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6"/>
        <w:spacing w:line="360" w:lineRule="auto"/>
        <w:jc w:val="center"/>
        <w:rPr>
          <w:rFonts w:hint="eastAsia" w:ascii="宋体" w:hAnsi="宋体" w:cs="宋体"/>
          <w:b/>
          <w:bCs/>
          <w:color w:val="auto"/>
          <w:sz w:val="28"/>
          <w:szCs w:val="28"/>
        </w:rPr>
      </w:pPr>
      <w:bookmarkStart w:id="0" w:name="OLE_LINK11"/>
      <w:bookmarkStart w:id="64" w:name="_GoBack"/>
      <w:r>
        <w:rPr>
          <w:rFonts w:hint="eastAsia" w:ascii="宋体" w:hAnsi="宋体" w:cs="宋体"/>
          <w:b/>
          <w:bCs/>
          <w:color w:val="auto"/>
          <w:sz w:val="28"/>
          <w:szCs w:val="28"/>
        </w:rPr>
        <w:t>王老吉大健康南沙工厂</w:t>
      </w:r>
      <w:bookmarkStart w:id="1" w:name="_Hlk201561945"/>
      <w:r>
        <w:rPr>
          <w:rFonts w:hint="eastAsia" w:ascii="宋体" w:hAnsi="宋体" w:cs="宋体"/>
          <w:b/>
          <w:bCs/>
          <w:color w:val="auto"/>
          <w:sz w:val="28"/>
          <w:szCs w:val="28"/>
        </w:rPr>
        <w:t>复合性饮料中试线项目</w:t>
      </w:r>
      <w:bookmarkEnd w:id="0"/>
      <w:bookmarkEnd w:id="1"/>
      <w:r>
        <w:rPr>
          <w:rFonts w:hint="eastAsia" w:ascii="宋体" w:hAnsi="宋体" w:cs="宋体"/>
          <w:b/>
          <w:bCs/>
          <w:color w:val="auto"/>
          <w:sz w:val="28"/>
          <w:szCs w:val="28"/>
        </w:rPr>
        <w:t>吹灌旋一体机设备及辅助设施采购安装及相关服务用户需求书</w:t>
      </w:r>
    </w:p>
    <w:p>
      <w:pPr>
        <w:pStyle w:val="36"/>
        <w:numPr>
          <w:ilvl w:val="0"/>
          <w:numId w:val="1"/>
        </w:numPr>
        <w:spacing w:line="360" w:lineRule="auto"/>
        <w:contextualSpacing w:val="0"/>
        <w:rPr>
          <w:rFonts w:hint="eastAsia" w:ascii="宋体" w:hAnsi="宋体" w:cs="宋体"/>
          <w:b/>
          <w:bCs/>
          <w:color w:val="auto"/>
          <w:szCs w:val="21"/>
        </w:rPr>
      </w:pPr>
      <w:r>
        <w:rPr>
          <w:rFonts w:hint="eastAsia" w:ascii="宋体" w:hAnsi="宋体" w:cs="宋体"/>
          <w:b/>
          <w:bCs/>
          <w:color w:val="auto"/>
          <w:szCs w:val="21"/>
        </w:rPr>
        <w:t>标的情况</w:t>
      </w:r>
    </w:p>
    <w:p>
      <w:pPr>
        <w:pStyle w:val="36"/>
        <w:numPr>
          <w:ilvl w:val="0"/>
          <w:numId w:val="2"/>
        </w:numPr>
        <w:spacing w:line="360" w:lineRule="auto"/>
        <w:contextualSpacing w:val="0"/>
        <w:rPr>
          <w:rFonts w:hint="eastAsia" w:ascii="宋体" w:hAnsi="宋体" w:cs="宋体"/>
          <w:color w:val="auto"/>
          <w:szCs w:val="21"/>
        </w:rPr>
      </w:pPr>
      <w:r>
        <w:rPr>
          <w:rFonts w:hint="eastAsia" w:ascii="宋体" w:hAnsi="宋体" w:cs="宋体"/>
          <w:color w:val="auto"/>
          <w:szCs w:val="21"/>
        </w:rPr>
        <w:t xml:space="preserve">项目名称：王老吉大健康南沙工厂复合性饮料中试线项目吹灌旋一体机设备及辅助设施采购安装及相关服务。 </w:t>
      </w:r>
    </w:p>
    <w:p>
      <w:pPr>
        <w:pStyle w:val="36"/>
        <w:numPr>
          <w:ilvl w:val="0"/>
          <w:numId w:val="2"/>
        </w:numPr>
        <w:spacing w:line="360" w:lineRule="auto"/>
        <w:contextualSpacing w:val="0"/>
        <w:rPr>
          <w:rFonts w:hint="eastAsia" w:ascii="宋体" w:hAnsi="宋体" w:cs="宋体"/>
          <w:color w:val="auto"/>
          <w:szCs w:val="21"/>
        </w:rPr>
      </w:pPr>
      <w:r>
        <w:rPr>
          <w:rFonts w:hint="eastAsia" w:ascii="宋体" w:hAnsi="宋体" w:cs="宋体"/>
          <w:color w:val="auto"/>
          <w:szCs w:val="21"/>
        </w:rPr>
        <w:t>标的主要设备：</w:t>
      </w:r>
      <w:r>
        <w:rPr>
          <w:rFonts w:ascii="宋体" w:hAnsi="宋体" w:cs="宋体"/>
          <w:color w:val="auto"/>
          <w:szCs w:val="21"/>
        </w:rPr>
        <w:t>吹灌旋</w:t>
      </w:r>
      <w:r>
        <w:rPr>
          <w:rFonts w:hint="eastAsia" w:ascii="宋体" w:hAnsi="宋体" w:cs="宋体"/>
          <w:color w:val="auto"/>
          <w:szCs w:val="21"/>
        </w:rPr>
        <w:t>一体机设备、</w:t>
      </w:r>
      <w:bookmarkStart w:id="2" w:name="OLE_LINK2"/>
      <w:r>
        <w:rPr>
          <w:rFonts w:hint="eastAsia" w:ascii="宋体" w:hAnsi="宋体"/>
          <w:color w:val="auto"/>
          <w:kern w:val="0"/>
          <w:szCs w:val="21"/>
        </w:rPr>
        <w:t>CO2激光打码机</w:t>
      </w:r>
      <w:r>
        <w:rPr>
          <w:rFonts w:hint="eastAsia" w:ascii="宋体" w:hAnsi="宋体" w:cs="宋体"/>
          <w:color w:val="auto"/>
          <w:szCs w:val="21"/>
        </w:rPr>
        <w:t>、液位封盖检测机、洁净蒸汽发生器、</w:t>
      </w:r>
      <w:bookmarkStart w:id="3" w:name="OLE_LINK7"/>
      <w:r>
        <w:rPr>
          <w:rFonts w:hint="eastAsia" w:ascii="宋体" w:hAnsi="宋体" w:cs="宋体"/>
          <w:color w:val="auto"/>
          <w:szCs w:val="21"/>
        </w:rPr>
        <w:t>冰水机、吹干机、十万级洁净功能区系统</w:t>
      </w:r>
      <w:bookmarkEnd w:id="3"/>
      <w:r>
        <w:rPr>
          <w:rFonts w:hint="eastAsia" w:ascii="宋体" w:hAnsi="宋体" w:cs="宋体"/>
          <w:color w:val="auto"/>
          <w:szCs w:val="21"/>
        </w:rPr>
        <w:t>、吹灌旋一体机设备换型件</w:t>
      </w:r>
      <w:bookmarkEnd w:id="2"/>
      <w:r>
        <w:rPr>
          <w:rFonts w:hint="eastAsia" w:ascii="宋体" w:hAnsi="宋体" w:cs="宋体"/>
          <w:color w:val="auto"/>
          <w:szCs w:val="21"/>
        </w:rPr>
        <w:t>及配套输送线等设备，详见标的范围。</w:t>
      </w:r>
    </w:p>
    <w:p>
      <w:pPr>
        <w:pStyle w:val="36"/>
        <w:numPr>
          <w:ilvl w:val="0"/>
          <w:numId w:val="2"/>
        </w:numPr>
        <w:spacing w:line="360" w:lineRule="auto"/>
        <w:contextualSpacing w:val="0"/>
        <w:rPr>
          <w:rFonts w:hint="eastAsia" w:ascii="宋体" w:hAnsi="宋体" w:cs="宋体"/>
          <w:color w:val="auto"/>
          <w:szCs w:val="21"/>
        </w:rPr>
      </w:pPr>
      <w:r>
        <w:rPr>
          <w:rFonts w:hint="eastAsia" w:ascii="宋体" w:hAnsi="宋体" w:cs="宋体"/>
          <w:color w:val="auto"/>
          <w:szCs w:val="21"/>
        </w:rPr>
        <w:t>数量：1套。</w:t>
      </w:r>
    </w:p>
    <w:p>
      <w:pPr>
        <w:pStyle w:val="36"/>
        <w:numPr>
          <w:ilvl w:val="0"/>
          <w:numId w:val="2"/>
        </w:numPr>
        <w:spacing w:line="360" w:lineRule="auto"/>
        <w:contextualSpacing w:val="0"/>
        <w:rPr>
          <w:rFonts w:hint="eastAsia" w:ascii="宋体" w:hAnsi="宋体" w:cs="宋体"/>
          <w:color w:val="auto"/>
          <w:szCs w:val="21"/>
        </w:rPr>
      </w:pPr>
      <w:r>
        <w:rPr>
          <w:rFonts w:hint="eastAsia" w:ascii="宋体" w:hAnsi="宋体" w:cs="宋体"/>
          <w:color w:val="auto"/>
          <w:szCs w:val="21"/>
        </w:rPr>
        <w:t>标的伴随服务的范围：</w:t>
      </w:r>
      <w:bookmarkStart w:id="4" w:name="_Hlk117085115"/>
      <w:r>
        <w:rPr>
          <w:rFonts w:hint="eastAsia" w:ascii="宋体" w:hAnsi="宋体" w:cs="宋体"/>
          <w:color w:val="auto"/>
          <w:szCs w:val="21"/>
        </w:rPr>
        <w:t>本项目标的范围内所有</w:t>
      </w:r>
      <w:r>
        <w:rPr>
          <w:rFonts w:hint="eastAsia" w:ascii="宋体" w:hAnsi="宋体" w:cs="宋体"/>
          <w:color w:val="auto"/>
          <w:kern w:val="0"/>
          <w:szCs w:val="21"/>
        </w:rPr>
        <w:t>设备及系统的设计、采购、供货、运输、安装、调试及相关服务。</w:t>
      </w:r>
      <w:bookmarkEnd w:id="4"/>
    </w:p>
    <w:p>
      <w:pPr>
        <w:pStyle w:val="36"/>
        <w:numPr>
          <w:ilvl w:val="0"/>
          <w:numId w:val="1"/>
        </w:numPr>
        <w:spacing w:line="360" w:lineRule="auto"/>
        <w:contextualSpacing w:val="0"/>
        <w:rPr>
          <w:rFonts w:hint="eastAsia" w:ascii="宋体" w:hAnsi="宋体" w:cs="宋体"/>
          <w:b/>
          <w:bCs/>
          <w:color w:val="auto"/>
          <w:szCs w:val="21"/>
        </w:rPr>
      </w:pPr>
      <w:r>
        <w:rPr>
          <w:rFonts w:hint="eastAsia" w:ascii="宋体" w:hAnsi="宋体" w:cs="宋体"/>
          <w:b/>
          <w:bCs/>
          <w:color w:val="auto"/>
          <w:szCs w:val="21"/>
        </w:rPr>
        <w:t>项目介绍和工艺要求</w:t>
      </w:r>
    </w:p>
    <w:p>
      <w:pPr>
        <w:numPr>
          <w:ilvl w:val="0"/>
          <w:numId w:val="3"/>
        </w:numPr>
        <w:spacing w:line="360" w:lineRule="auto"/>
        <w:rPr>
          <w:rFonts w:hint="eastAsia" w:ascii="宋体" w:hAnsi="宋体" w:cs="宋体"/>
          <w:color w:val="auto"/>
          <w:szCs w:val="21"/>
        </w:rPr>
      </w:pPr>
      <w:bookmarkStart w:id="5" w:name="_Hlk200273072"/>
      <w:r>
        <w:rPr>
          <w:rFonts w:hint="eastAsia" w:ascii="宋体" w:hAnsi="宋体" w:cs="宋体"/>
          <w:color w:val="auto"/>
          <w:szCs w:val="21"/>
        </w:rPr>
        <w:t>项目介绍：招</w:t>
      </w:r>
      <w:bookmarkEnd w:id="5"/>
      <w:r>
        <w:rPr>
          <w:rFonts w:hint="eastAsia" w:ascii="宋体" w:hAnsi="宋体" w:cs="宋体"/>
          <w:color w:val="auto"/>
          <w:szCs w:val="21"/>
        </w:rPr>
        <w:t>标方在广东省广州市南沙区横沥镇群新路9号广州王老吉大健康产业有限公司南沙工厂内建设复合性饮料中试线项目。采购</w:t>
      </w:r>
      <w:r>
        <w:rPr>
          <w:rFonts w:ascii="宋体" w:hAnsi="宋体" w:cs="宋体"/>
          <w:color w:val="auto"/>
          <w:szCs w:val="21"/>
        </w:rPr>
        <w:t>一套全自动吹灌旋</w:t>
      </w:r>
      <w:r>
        <w:rPr>
          <w:rFonts w:hint="eastAsia" w:ascii="宋体" w:hAnsi="宋体" w:cs="宋体"/>
          <w:color w:val="auto"/>
          <w:szCs w:val="21"/>
        </w:rPr>
        <w:t>一体机设备等设备（设计产能≥24000瓶/小时</w:t>
      </w:r>
      <w:r>
        <w:rPr>
          <w:rFonts w:hint="eastAsia" w:ascii="宋体" w:hAnsi="宋体" w:cs="宋体"/>
          <w:color w:val="auto"/>
          <w:szCs w:val="21"/>
        </w:rPr>
        <w:t>，</w:t>
      </w:r>
      <w:r>
        <w:rPr>
          <w:rFonts w:hint="eastAsia" w:ascii="宋体" w:hAnsi="宋体" w:cs="宋体"/>
          <w:color w:val="auto"/>
          <w:szCs w:val="21"/>
        </w:rPr>
        <w:t>以</w:t>
      </w:r>
      <w:r>
        <w:rPr>
          <w:rFonts w:ascii="宋体" w:hAnsi="宋体" w:cs="宋体"/>
          <w:color w:val="auto"/>
          <w:szCs w:val="21"/>
        </w:rPr>
        <w:t>500mLPET</w:t>
      </w:r>
      <w:r>
        <w:rPr>
          <w:rFonts w:hint="eastAsia" w:ascii="宋体" w:hAnsi="宋体" w:cs="宋体"/>
          <w:color w:val="auto"/>
          <w:szCs w:val="21"/>
        </w:rPr>
        <w:t>瓶计）。</w:t>
      </w:r>
    </w:p>
    <w:p>
      <w:pPr>
        <w:numPr>
          <w:ilvl w:val="0"/>
          <w:numId w:val="3"/>
        </w:numPr>
        <w:spacing w:line="360" w:lineRule="auto"/>
        <w:rPr>
          <w:rFonts w:hint="eastAsia" w:ascii="宋体" w:hAnsi="宋体" w:cs="宋体"/>
          <w:color w:val="auto"/>
          <w:szCs w:val="21"/>
        </w:rPr>
      </w:pPr>
      <w:r>
        <w:rPr>
          <w:rFonts w:hint="eastAsia" w:ascii="宋体" w:hAnsi="宋体" w:cs="宋体"/>
          <w:color w:val="auto"/>
          <w:szCs w:val="21"/>
        </w:rPr>
        <w:t>工艺要求，干法或湿法杀菌，部分条款及要求分别对应两种杀菌工艺，投标时分别对应：</w:t>
      </w:r>
    </w:p>
    <w:p>
      <w:pPr>
        <w:pStyle w:val="36"/>
        <w:numPr>
          <w:ilvl w:val="0"/>
          <w:numId w:val="4"/>
        </w:numPr>
        <w:spacing w:line="360" w:lineRule="auto"/>
        <w:rPr>
          <w:rFonts w:hint="eastAsia" w:ascii="宋体" w:hAnsi="宋体" w:cs="宋体"/>
          <w:color w:val="auto"/>
          <w:szCs w:val="21"/>
        </w:rPr>
      </w:pPr>
      <w:r>
        <w:rPr>
          <w:rFonts w:hint="eastAsia" w:ascii="宋体" w:hAnsi="宋体" w:cs="宋体"/>
          <w:color w:val="auto"/>
          <w:szCs w:val="21"/>
        </w:rPr>
        <w:t>瓶：瓶坯→瓶坯自动翻斗→</w:t>
      </w:r>
      <w:r>
        <w:rPr>
          <w:rFonts w:hint="eastAsia" w:ascii="宋体" w:hAnsi="宋体"/>
          <w:bCs/>
          <w:color w:val="auto"/>
          <w:szCs w:val="21"/>
        </w:rPr>
        <w:t>坯</w:t>
      </w:r>
      <w:r>
        <w:rPr>
          <w:rFonts w:ascii="宋体" w:hAnsi="宋体"/>
          <w:bCs/>
          <w:color w:val="auto"/>
          <w:szCs w:val="21"/>
        </w:rPr>
        <w:t>斗</w:t>
      </w:r>
      <w:r>
        <w:rPr>
          <w:rFonts w:hint="eastAsia" w:ascii="宋体" w:hAnsi="宋体" w:cs="宋体"/>
          <w:color w:val="auto"/>
          <w:szCs w:val="21"/>
        </w:rPr>
        <w:t>→理坯机→瓶胚检测→瓶坯杀菌→吹瓶→灌装→旋盖→喷码→液位封盖检测→输送</w:t>
      </w:r>
    </w:p>
    <w:p>
      <w:pPr>
        <w:pStyle w:val="36"/>
        <w:numPr>
          <w:ilvl w:val="0"/>
          <w:numId w:val="4"/>
        </w:numPr>
        <w:spacing w:line="360" w:lineRule="auto"/>
        <w:rPr>
          <w:rFonts w:hint="eastAsia" w:ascii="宋体" w:hAnsi="宋体" w:cs="宋体"/>
          <w:color w:val="auto"/>
          <w:szCs w:val="21"/>
        </w:rPr>
      </w:pPr>
      <w:r>
        <w:rPr>
          <w:rFonts w:hint="eastAsia" w:ascii="宋体" w:hAnsi="宋体" w:cs="宋体"/>
          <w:color w:val="auto"/>
          <w:szCs w:val="21"/>
        </w:rPr>
        <w:t>盖: 盖→盖斗→理盖</w:t>
      </w:r>
      <w:bookmarkStart w:id="6" w:name="OLE_LINK6"/>
      <w:r>
        <w:rPr>
          <w:rFonts w:hint="eastAsia" w:ascii="宋体" w:hAnsi="宋体" w:cs="宋体"/>
          <w:color w:val="auto"/>
          <w:szCs w:val="21"/>
        </w:rPr>
        <w:t>→</w:t>
      </w:r>
      <w:bookmarkEnd w:id="6"/>
      <w:r>
        <w:rPr>
          <w:rFonts w:hint="eastAsia" w:ascii="宋体" w:hAnsi="宋体" w:cs="宋体"/>
          <w:color w:val="auto"/>
          <w:szCs w:val="21"/>
        </w:rPr>
        <w:t>空盖检测→盖杀菌→旋盖机→喷码→液位封盖检测→输送</w:t>
      </w:r>
    </w:p>
    <w:p>
      <w:pPr>
        <w:pStyle w:val="36"/>
        <w:numPr>
          <w:ilvl w:val="0"/>
          <w:numId w:val="4"/>
        </w:numPr>
        <w:spacing w:line="360" w:lineRule="auto"/>
        <w:rPr>
          <w:rFonts w:hint="eastAsia" w:ascii="宋体" w:hAnsi="宋体" w:cs="宋体"/>
          <w:color w:val="auto"/>
          <w:szCs w:val="21"/>
        </w:rPr>
      </w:pPr>
      <w:r>
        <w:rPr>
          <w:rFonts w:hint="eastAsia" w:ascii="宋体" w:hAnsi="宋体" w:cs="宋体"/>
          <w:color w:val="auto"/>
          <w:szCs w:val="21"/>
        </w:rPr>
        <w:t>无菌水制作单元：RO水→过滤→无菌水制备→各工序使用</w:t>
      </w:r>
    </w:p>
    <w:p>
      <w:pPr>
        <w:pStyle w:val="36"/>
        <w:numPr>
          <w:ilvl w:val="0"/>
          <w:numId w:val="4"/>
        </w:numPr>
        <w:spacing w:line="360" w:lineRule="auto"/>
        <w:rPr>
          <w:rFonts w:hint="eastAsia" w:ascii="宋体" w:hAnsi="宋体" w:cs="宋体"/>
          <w:color w:val="auto"/>
          <w:szCs w:val="21"/>
        </w:rPr>
      </w:pPr>
      <w:r>
        <w:rPr>
          <w:rFonts w:hint="eastAsia" w:ascii="宋体" w:hAnsi="宋体" w:cs="宋体"/>
          <w:color w:val="auto"/>
          <w:szCs w:val="21"/>
        </w:rPr>
        <w:t>化学试剂：CIP清洗液及生产杀菌液→隔膜泵→各工序使用</w:t>
      </w:r>
    </w:p>
    <w:p>
      <w:pPr>
        <w:pStyle w:val="36"/>
        <w:numPr>
          <w:ilvl w:val="0"/>
          <w:numId w:val="4"/>
        </w:numPr>
        <w:spacing w:line="360" w:lineRule="auto"/>
        <w:rPr>
          <w:rFonts w:hint="eastAsia" w:ascii="宋体" w:hAnsi="宋体" w:cs="宋体"/>
          <w:color w:val="auto"/>
          <w:szCs w:val="21"/>
        </w:rPr>
      </w:pPr>
      <w:bookmarkStart w:id="7" w:name="OLE_LINK33"/>
      <w:r>
        <w:rPr>
          <w:rFonts w:hint="eastAsia" w:ascii="宋体" w:hAnsi="宋体" w:cs="宋体"/>
          <w:color w:val="auto"/>
          <w:szCs w:val="21"/>
        </w:rPr>
        <w:t>CIP/COP/SIP/SOP</w:t>
      </w:r>
      <w:bookmarkEnd w:id="7"/>
      <w:r>
        <w:rPr>
          <w:rFonts w:hint="eastAsia" w:ascii="宋体" w:hAnsi="宋体" w:cs="宋体"/>
          <w:color w:val="auto"/>
          <w:szCs w:val="21"/>
        </w:rPr>
        <w:t>：无菌水→热RO水→化学试剂在线调配→各工序清洗→回流</w:t>
      </w:r>
    </w:p>
    <w:p>
      <w:pPr>
        <w:pStyle w:val="36"/>
        <w:numPr>
          <w:ilvl w:val="0"/>
          <w:numId w:val="4"/>
        </w:numPr>
        <w:spacing w:line="360" w:lineRule="auto"/>
        <w:rPr>
          <w:rFonts w:hint="eastAsia" w:ascii="宋体" w:hAnsi="宋体" w:cs="宋体"/>
          <w:color w:val="auto"/>
          <w:szCs w:val="21"/>
        </w:rPr>
      </w:pPr>
      <w:r>
        <w:rPr>
          <w:rFonts w:hint="eastAsia" w:ascii="宋体" w:hAnsi="宋体" w:cs="宋体"/>
          <w:color w:val="auto"/>
          <w:szCs w:val="21"/>
        </w:rPr>
        <w:t>洁净蒸汽发生器：RO水→工业蒸汽→无菌洁净蒸汽→各工序使用</w:t>
      </w:r>
    </w:p>
    <w:p>
      <w:pPr>
        <w:pStyle w:val="36"/>
        <w:numPr>
          <w:ilvl w:val="0"/>
          <w:numId w:val="4"/>
        </w:numPr>
        <w:spacing w:line="360" w:lineRule="auto"/>
        <w:rPr>
          <w:rFonts w:hint="eastAsia" w:ascii="宋体" w:hAnsi="宋体" w:cs="宋体"/>
          <w:color w:val="auto"/>
          <w:szCs w:val="21"/>
        </w:rPr>
      </w:pPr>
      <w:r>
        <w:rPr>
          <w:rFonts w:hint="eastAsia" w:ascii="宋体" w:hAnsi="宋体" w:cs="宋体"/>
          <w:color w:val="auto"/>
          <w:szCs w:val="21"/>
        </w:rPr>
        <w:t>整线支持：无菌水制作单元+药剂中心+CIP/COP/SIP/SOP+洁净蒸汽发生器</w:t>
      </w:r>
    </w:p>
    <w:p>
      <w:pPr>
        <w:pStyle w:val="36"/>
        <w:numPr>
          <w:ilvl w:val="0"/>
          <w:numId w:val="1"/>
        </w:numPr>
        <w:spacing w:line="360" w:lineRule="auto"/>
        <w:contextualSpacing w:val="0"/>
        <w:rPr>
          <w:rFonts w:hint="eastAsia" w:ascii="宋体" w:hAnsi="宋体" w:cs="宋体"/>
          <w:b/>
          <w:bCs/>
          <w:color w:val="auto"/>
          <w:szCs w:val="21"/>
        </w:rPr>
      </w:pPr>
      <w:r>
        <w:rPr>
          <w:rFonts w:hint="eastAsia" w:ascii="宋体" w:hAnsi="宋体" w:cs="宋体"/>
          <w:b/>
          <w:bCs/>
          <w:color w:val="auto"/>
          <w:szCs w:val="21"/>
        </w:rPr>
        <w:t>产品规格</w:t>
      </w:r>
    </w:p>
    <w:p>
      <w:pPr>
        <w:pStyle w:val="36"/>
        <w:numPr>
          <w:ilvl w:val="0"/>
          <w:numId w:val="5"/>
        </w:numPr>
        <w:spacing w:line="360" w:lineRule="auto"/>
        <w:contextualSpacing w:val="0"/>
        <w:rPr>
          <w:rFonts w:hint="eastAsia" w:ascii="宋体" w:hAnsi="宋体" w:cs="宋体"/>
          <w:color w:val="auto"/>
          <w:szCs w:val="21"/>
        </w:rPr>
      </w:pPr>
      <w:r>
        <w:rPr>
          <w:rFonts w:hint="eastAsia" w:ascii="宋体" w:hAnsi="宋体" w:cs="宋体"/>
          <w:b/>
          <w:bCs/>
          <w:color w:val="auto"/>
          <w:szCs w:val="21"/>
        </w:rPr>
        <w:t>产品类别：</w:t>
      </w:r>
      <w:r>
        <w:rPr>
          <w:rFonts w:hint="eastAsia" w:ascii="宋体" w:hAnsi="宋体" w:cs="宋体"/>
          <w:color w:val="auto"/>
          <w:szCs w:val="21"/>
        </w:rPr>
        <w:t>满足凉茶植物饮料、果汁、植物蛋白饮料、电解质饮料、能量风味饮料等低酸、中性、高酸产品生产；</w:t>
      </w:r>
    </w:p>
    <w:p>
      <w:pPr>
        <w:pStyle w:val="36"/>
        <w:numPr>
          <w:ilvl w:val="0"/>
          <w:numId w:val="5"/>
        </w:numPr>
        <w:spacing w:line="360" w:lineRule="auto"/>
        <w:contextualSpacing w:val="0"/>
        <w:rPr>
          <w:rFonts w:hint="eastAsia" w:ascii="宋体" w:hAnsi="宋体" w:cs="宋体"/>
          <w:color w:val="auto"/>
          <w:szCs w:val="21"/>
        </w:rPr>
      </w:pPr>
      <w:bookmarkStart w:id="8" w:name="OLE_LINK24"/>
      <w:r>
        <w:rPr>
          <w:rFonts w:hint="eastAsia" w:ascii="宋体" w:hAnsi="宋体" w:cs="宋体"/>
          <w:b/>
          <w:bCs/>
          <w:color w:val="auto"/>
          <w:szCs w:val="21"/>
        </w:rPr>
        <w:t>杀菌方式：</w:t>
      </w:r>
      <w:r>
        <w:rPr>
          <w:rFonts w:hint="eastAsia" w:ascii="宋体" w:hAnsi="宋体" w:cs="宋体"/>
          <w:color w:val="auto"/>
          <w:szCs w:val="21"/>
        </w:rPr>
        <w:t xml:space="preserve">干法或湿法杀菌 </w:t>
      </w:r>
    </w:p>
    <w:bookmarkEnd w:id="8"/>
    <w:p>
      <w:pPr>
        <w:pStyle w:val="36"/>
        <w:numPr>
          <w:ilvl w:val="0"/>
          <w:numId w:val="5"/>
        </w:numPr>
        <w:spacing w:line="360" w:lineRule="auto"/>
        <w:contextualSpacing w:val="0"/>
        <w:rPr>
          <w:rFonts w:hint="eastAsia" w:ascii="宋体" w:hAnsi="宋体" w:cs="宋体"/>
          <w:color w:val="auto"/>
          <w:szCs w:val="21"/>
        </w:rPr>
      </w:pPr>
      <w:r>
        <w:rPr>
          <w:rFonts w:hint="eastAsia" w:ascii="宋体" w:hAnsi="宋体" w:cs="宋体"/>
          <w:b/>
          <w:bCs/>
          <w:color w:val="auto"/>
          <w:szCs w:val="21"/>
        </w:rPr>
        <w:t>产品容量规格：</w:t>
      </w:r>
      <w:bookmarkStart w:id="9" w:name="OLE_LINK3"/>
      <w:r>
        <w:rPr>
          <w:rFonts w:hint="eastAsia" w:ascii="宋体" w:hAnsi="宋体" w:cs="宋体"/>
          <w:color w:val="auto"/>
          <w:szCs w:val="21"/>
        </w:rPr>
        <w:t>300mL~1.5L无菌非含汽灌装饮料（凉茶、果汁、椰汁等）</w:t>
      </w:r>
      <w:bookmarkEnd w:id="9"/>
    </w:p>
    <w:tbl>
      <w:tblPr>
        <w:tblStyle w:val="19"/>
        <w:tblW w:w="8578" w:type="dxa"/>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990"/>
        <w:gridCol w:w="1488"/>
        <w:gridCol w:w="1212"/>
        <w:gridCol w:w="1063"/>
        <w:gridCol w:w="1250"/>
        <w:gridCol w:w="975"/>
        <w:gridCol w:w="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序号</w:t>
            </w:r>
          </w:p>
        </w:tc>
        <w:tc>
          <w:tcPr>
            <w:tcW w:w="990"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产品容量</w:t>
            </w:r>
          </w:p>
        </w:tc>
        <w:tc>
          <w:tcPr>
            <w:tcW w:w="1488"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瓶口直径</w:t>
            </w:r>
          </w:p>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（mm）</w:t>
            </w:r>
          </w:p>
        </w:tc>
        <w:tc>
          <w:tcPr>
            <w:tcW w:w="1212"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瓶身外径</w:t>
            </w:r>
          </w:p>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（mm）</w:t>
            </w:r>
          </w:p>
        </w:tc>
        <w:tc>
          <w:tcPr>
            <w:tcW w:w="1063"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瓶身高度</w:t>
            </w:r>
          </w:p>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（mm）</w:t>
            </w:r>
          </w:p>
        </w:tc>
        <w:tc>
          <w:tcPr>
            <w:tcW w:w="1250"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注点液位</w:t>
            </w:r>
          </w:p>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（mL）</w:t>
            </w:r>
          </w:p>
        </w:tc>
        <w:tc>
          <w:tcPr>
            <w:tcW w:w="975"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满口容量</w:t>
            </w:r>
          </w:p>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（mL）</w:t>
            </w:r>
          </w:p>
        </w:tc>
        <w:tc>
          <w:tcPr>
            <w:tcW w:w="962"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1</w:t>
            </w:r>
          </w:p>
        </w:tc>
        <w:tc>
          <w:tcPr>
            <w:tcW w:w="990"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300mL</w:t>
            </w:r>
          </w:p>
        </w:tc>
        <w:tc>
          <w:tcPr>
            <w:tcW w:w="1488"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29.7</w:t>
            </w:r>
            <w:r>
              <w:rPr>
                <w:rFonts w:ascii="宋体" w:hAnsi="宋体" w:cs="Arial"/>
                <w:color w:val="auto"/>
                <w:kern w:val="0"/>
                <w:sz w:val="16"/>
                <w:szCs w:val="16"/>
              </w:rPr>
              <w:t>0</w:t>
            </w:r>
            <w:r>
              <w:rPr>
                <w:rFonts w:hint="eastAsia" w:ascii="宋体" w:hAnsi="宋体" w:cs="Arial"/>
                <w:color w:val="auto"/>
                <w:kern w:val="0"/>
                <w:sz w:val="16"/>
                <w:szCs w:val="16"/>
              </w:rPr>
              <w:t>±0.</w:t>
            </w:r>
            <w:r>
              <w:rPr>
                <w:rFonts w:ascii="宋体" w:hAnsi="宋体" w:cs="Arial"/>
                <w:color w:val="auto"/>
                <w:kern w:val="0"/>
                <w:sz w:val="16"/>
                <w:szCs w:val="16"/>
              </w:rPr>
              <w:t>2</w:t>
            </w:r>
            <w:r>
              <w:rPr>
                <w:rFonts w:hint="eastAsia" w:ascii="宋体" w:hAnsi="宋体" w:cs="Arial"/>
                <w:color w:val="auto"/>
                <w:kern w:val="0"/>
                <w:sz w:val="16"/>
                <w:szCs w:val="16"/>
              </w:rPr>
              <w:t>0</w:t>
            </w:r>
          </w:p>
        </w:tc>
        <w:tc>
          <w:tcPr>
            <w:tcW w:w="1212"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∮61.5±0.6</w:t>
            </w:r>
          </w:p>
        </w:tc>
        <w:tc>
          <w:tcPr>
            <w:tcW w:w="1063"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158.0±1.0</w:t>
            </w:r>
          </w:p>
        </w:tc>
        <w:tc>
          <w:tcPr>
            <w:tcW w:w="1250"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305（</w:t>
            </w:r>
            <w:bookmarkStart w:id="10" w:name="OLE_LINK19"/>
            <w:r>
              <w:rPr>
                <w:rFonts w:hint="eastAsia" w:ascii="宋体" w:hAnsi="宋体" w:cs="Arial"/>
                <w:color w:val="auto"/>
                <w:kern w:val="0"/>
                <w:sz w:val="16"/>
                <w:szCs w:val="16"/>
              </w:rPr>
              <w:t>+</w:t>
            </w:r>
            <w:bookmarkEnd w:id="10"/>
            <w:r>
              <w:rPr>
                <w:rFonts w:hint="eastAsia" w:ascii="宋体" w:hAnsi="宋体" w:cs="Arial"/>
                <w:color w:val="auto"/>
                <w:kern w:val="0"/>
                <w:sz w:val="16"/>
                <w:szCs w:val="16"/>
              </w:rPr>
              <w:t>5/-</w:t>
            </w:r>
            <w:r>
              <w:rPr>
                <w:rFonts w:ascii="宋体" w:hAnsi="宋体" w:cs="Arial"/>
                <w:color w:val="auto"/>
                <w:kern w:val="0"/>
                <w:sz w:val="16"/>
                <w:szCs w:val="16"/>
              </w:rPr>
              <w:t>0</w:t>
            </w:r>
            <w:r>
              <w:rPr>
                <w:rFonts w:hint="eastAsia" w:ascii="宋体" w:hAnsi="宋体" w:cs="Arial"/>
                <w:color w:val="auto"/>
                <w:kern w:val="0"/>
                <w:sz w:val="16"/>
                <w:szCs w:val="16"/>
              </w:rPr>
              <w:t>）</w:t>
            </w:r>
          </w:p>
        </w:tc>
        <w:tc>
          <w:tcPr>
            <w:tcW w:w="975"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324</w:t>
            </w:r>
          </w:p>
        </w:tc>
        <w:tc>
          <w:tcPr>
            <w:tcW w:w="962" w:type="dxa"/>
            <w:vAlign w:val="center"/>
          </w:tcPr>
          <w:p>
            <w:pPr>
              <w:pStyle w:val="36"/>
              <w:spacing w:line="360" w:lineRule="auto"/>
              <w:ind w:left="0"/>
              <w:contextualSpacing w:val="0"/>
              <w:jc w:val="center"/>
              <w:rPr>
                <w:rFonts w:hint="eastAsia" w:ascii="宋体" w:hAnsi="宋体" w:cs="Arial"/>
                <w:color w:val="auto"/>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2</w:t>
            </w:r>
          </w:p>
        </w:tc>
        <w:tc>
          <w:tcPr>
            <w:tcW w:w="990" w:type="dxa"/>
            <w:vAlign w:val="center"/>
          </w:tcPr>
          <w:p>
            <w:pPr>
              <w:pStyle w:val="36"/>
              <w:spacing w:line="360" w:lineRule="auto"/>
              <w:ind w:left="0"/>
              <w:contextualSpacing w:val="0"/>
              <w:jc w:val="center"/>
              <w:rPr>
                <w:rFonts w:hint="eastAsia" w:ascii="宋体" w:hAnsi="宋体" w:cs="Arial"/>
                <w:color w:val="auto"/>
                <w:kern w:val="0"/>
                <w:sz w:val="16"/>
                <w:szCs w:val="16"/>
              </w:rPr>
            </w:pPr>
            <w:bookmarkStart w:id="11" w:name="OLE_LINK17"/>
            <w:r>
              <w:rPr>
                <w:rFonts w:hint="eastAsia" w:ascii="宋体" w:hAnsi="宋体" w:cs="Arial"/>
                <w:color w:val="auto"/>
                <w:kern w:val="0"/>
                <w:sz w:val="16"/>
                <w:szCs w:val="16"/>
              </w:rPr>
              <w:t>500mL</w:t>
            </w:r>
            <w:bookmarkEnd w:id="11"/>
          </w:p>
        </w:tc>
        <w:tc>
          <w:tcPr>
            <w:tcW w:w="1488"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39.80±0.30</w:t>
            </w:r>
          </w:p>
        </w:tc>
        <w:tc>
          <w:tcPr>
            <w:tcW w:w="1212"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∮68.6±0.8</w:t>
            </w:r>
          </w:p>
        </w:tc>
        <w:tc>
          <w:tcPr>
            <w:tcW w:w="1063"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213.9±1</w:t>
            </w:r>
          </w:p>
        </w:tc>
        <w:tc>
          <w:tcPr>
            <w:tcW w:w="1250"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519±5</w:t>
            </w:r>
          </w:p>
        </w:tc>
        <w:tc>
          <w:tcPr>
            <w:tcW w:w="975"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568+10/0</w:t>
            </w:r>
          </w:p>
        </w:tc>
        <w:tc>
          <w:tcPr>
            <w:tcW w:w="962"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荔小吉&amp;刺柠吉瓶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3</w:t>
            </w:r>
          </w:p>
        </w:tc>
        <w:tc>
          <w:tcPr>
            <w:tcW w:w="990"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500mL</w:t>
            </w:r>
          </w:p>
        </w:tc>
        <w:tc>
          <w:tcPr>
            <w:tcW w:w="1488"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33.00</w:t>
            </w:r>
          </w:p>
        </w:tc>
        <w:tc>
          <w:tcPr>
            <w:tcW w:w="1212"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∮64.00±0.6</w:t>
            </w:r>
          </w:p>
        </w:tc>
        <w:tc>
          <w:tcPr>
            <w:tcW w:w="1063"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227.00±1</w:t>
            </w:r>
          </w:p>
        </w:tc>
        <w:tc>
          <w:tcPr>
            <w:tcW w:w="1250"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506+7.5/0</w:t>
            </w:r>
          </w:p>
        </w:tc>
        <w:tc>
          <w:tcPr>
            <w:tcW w:w="975"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526</w:t>
            </w:r>
          </w:p>
        </w:tc>
        <w:tc>
          <w:tcPr>
            <w:tcW w:w="962"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王老吉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4</w:t>
            </w:r>
          </w:p>
        </w:tc>
        <w:tc>
          <w:tcPr>
            <w:tcW w:w="990"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500mL</w:t>
            </w:r>
          </w:p>
        </w:tc>
        <w:tc>
          <w:tcPr>
            <w:tcW w:w="1488"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39.80±0.30</w:t>
            </w:r>
          </w:p>
        </w:tc>
        <w:tc>
          <w:tcPr>
            <w:tcW w:w="1212"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∮63.8±0.6</w:t>
            </w:r>
          </w:p>
        </w:tc>
        <w:tc>
          <w:tcPr>
            <w:tcW w:w="1063"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226.4±1</w:t>
            </w:r>
          </w:p>
        </w:tc>
        <w:tc>
          <w:tcPr>
            <w:tcW w:w="1250"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519±5</w:t>
            </w:r>
          </w:p>
        </w:tc>
        <w:tc>
          <w:tcPr>
            <w:tcW w:w="975"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562</w:t>
            </w:r>
          </w:p>
        </w:tc>
        <w:tc>
          <w:tcPr>
            <w:tcW w:w="962"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无糖凉茶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5</w:t>
            </w:r>
          </w:p>
        </w:tc>
        <w:tc>
          <w:tcPr>
            <w:tcW w:w="990"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500mL</w:t>
            </w:r>
          </w:p>
        </w:tc>
        <w:tc>
          <w:tcPr>
            <w:tcW w:w="1488"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29.7</w:t>
            </w:r>
            <w:r>
              <w:rPr>
                <w:rFonts w:ascii="宋体" w:hAnsi="宋体" w:cs="Arial"/>
                <w:color w:val="auto"/>
                <w:kern w:val="0"/>
                <w:sz w:val="16"/>
                <w:szCs w:val="16"/>
              </w:rPr>
              <w:t>0</w:t>
            </w:r>
            <w:r>
              <w:rPr>
                <w:rFonts w:hint="eastAsia" w:ascii="宋体" w:hAnsi="宋体" w:cs="Arial"/>
                <w:color w:val="auto"/>
                <w:kern w:val="0"/>
                <w:sz w:val="16"/>
                <w:szCs w:val="16"/>
              </w:rPr>
              <w:t>±   0.</w:t>
            </w:r>
            <w:r>
              <w:rPr>
                <w:rFonts w:ascii="宋体" w:hAnsi="宋体" w:cs="Arial"/>
                <w:color w:val="auto"/>
                <w:kern w:val="0"/>
                <w:sz w:val="16"/>
                <w:szCs w:val="16"/>
              </w:rPr>
              <w:t>2</w:t>
            </w:r>
            <w:r>
              <w:rPr>
                <w:rFonts w:hint="eastAsia" w:ascii="宋体" w:hAnsi="宋体" w:cs="Arial"/>
                <w:color w:val="auto"/>
                <w:kern w:val="0"/>
                <w:sz w:val="16"/>
                <w:szCs w:val="16"/>
              </w:rPr>
              <w:t>0</w:t>
            </w:r>
          </w:p>
        </w:tc>
        <w:tc>
          <w:tcPr>
            <w:tcW w:w="1212"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∮68.8±0.6</w:t>
            </w:r>
          </w:p>
        </w:tc>
        <w:tc>
          <w:tcPr>
            <w:tcW w:w="1063"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214±1</w:t>
            </w:r>
          </w:p>
        </w:tc>
        <w:tc>
          <w:tcPr>
            <w:tcW w:w="1250"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510</w:t>
            </w:r>
          </w:p>
        </w:tc>
        <w:tc>
          <w:tcPr>
            <w:tcW w:w="975"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w:t>
            </w:r>
          </w:p>
        </w:tc>
        <w:tc>
          <w:tcPr>
            <w:tcW w:w="962"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原味凉茶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6</w:t>
            </w:r>
          </w:p>
        </w:tc>
        <w:tc>
          <w:tcPr>
            <w:tcW w:w="990"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1L</w:t>
            </w:r>
          </w:p>
        </w:tc>
        <w:tc>
          <w:tcPr>
            <w:tcW w:w="1488"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29.7</w:t>
            </w:r>
            <w:r>
              <w:rPr>
                <w:rFonts w:ascii="宋体" w:hAnsi="宋体" w:cs="Arial"/>
                <w:color w:val="auto"/>
                <w:kern w:val="0"/>
                <w:sz w:val="16"/>
                <w:szCs w:val="16"/>
              </w:rPr>
              <w:t>0</w:t>
            </w:r>
            <w:r>
              <w:rPr>
                <w:rFonts w:hint="eastAsia" w:ascii="宋体" w:hAnsi="宋体" w:cs="Arial"/>
                <w:color w:val="auto"/>
                <w:kern w:val="0"/>
                <w:sz w:val="16"/>
                <w:szCs w:val="16"/>
              </w:rPr>
              <w:t>±0.</w:t>
            </w:r>
            <w:r>
              <w:rPr>
                <w:rFonts w:ascii="宋体" w:hAnsi="宋体" w:cs="Arial"/>
                <w:color w:val="auto"/>
                <w:kern w:val="0"/>
                <w:sz w:val="16"/>
                <w:szCs w:val="16"/>
              </w:rPr>
              <w:t>2</w:t>
            </w:r>
            <w:r>
              <w:rPr>
                <w:rFonts w:hint="eastAsia" w:ascii="宋体" w:hAnsi="宋体" w:cs="Arial"/>
                <w:color w:val="auto"/>
                <w:kern w:val="0"/>
                <w:sz w:val="16"/>
                <w:szCs w:val="16"/>
              </w:rPr>
              <w:t>0</w:t>
            </w:r>
          </w:p>
        </w:tc>
        <w:tc>
          <w:tcPr>
            <w:tcW w:w="1212"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∮80.5±0.75</w:t>
            </w:r>
          </w:p>
        </w:tc>
        <w:tc>
          <w:tcPr>
            <w:tcW w:w="1063"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271±1.2</w:t>
            </w:r>
          </w:p>
        </w:tc>
        <w:tc>
          <w:tcPr>
            <w:tcW w:w="1250"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1010±12.5/0</w:t>
            </w:r>
          </w:p>
        </w:tc>
        <w:tc>
          <w:tcPr>
            <w:tcW w:w="975"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1032</w:t>
            </w:r>
          </w:p>
        </w:tc>
        <w:tc>
          <w:tcPr>
            <w:tcW w:w="962"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凉茶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7</w:t>
            </w:r>
          </w:p>
        </w:tc>
        <w:tc>
          <w:tcPr>
            <w:tcW w:w="990"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1.23L</w:t>
            </w:r>
          </w:p>
        </w:tc>
        <w:tc>
          <w:tcPr>
            <w:tcW w:w="1488"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39.80±0.30</w:t>
            </w:r>
          </w:p>
        </w:tc>
        <w:tc>
          <w:tcPr>
            <w:tcW w:w="1212"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∮92.4±0.8</w:t>
            </w:r>
          </w:p>
        </w:tc>
        <w:tc>
          <w:tcPr>
            <w:tcW w:w="1063"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286.5±1.2</w:t>
            </w:r>
          </w:p>
        </w:tc>
        <w:tc>
          <w:tcPr>
            <w:tcW w:w="1250"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1262</w:t>
            </w:r>
          </w:p>
        </w:tc>
        <w:tc>
          <w:tcPr>
            <w:tcW w:w="975"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1296</w:t>
            </w:r>
          </w:p>
        </w:tc>
        <w:tc>
          <w:tcPr>
            <w:tcW w:w="962"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椰柔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8</w:t>
            </w:r>
          </w:p>
        </w:tc>
        <w:tc>
          <w:tcPr>
            <w:tcW w:w="990"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1.25L</w:t>
            </w:r>
          </w:p>
        </w:tc>
        <w:tc>
          <w:tcPr>
            <w:tcW w:w="1488"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39.80±0.30</w:t>
            </w:r>
          </w:p>
        </w:tc>
        <w:tc>
          <w:tcPr>
            <w:tcW w:w="1212"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∮83.5±0.8</w:t>
            </w:r>
          </w:p>
        </w:tc>
        <w:tc>
          <w:tcPr>
            <w:tcW w:w="1063"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285±1.2</w:t>
            </w:r>
          </w:p>
        </w:tc>
        <w:tc>
          <w:tcPr>
            <w:tcW w:w="1250"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1250</w:t>
            </w:r>
          </w:p>
        </w:tc>
        <w:tc>
          <w:tcPr>
            <w:tcW w:w="975"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1285</w:t>
            </w:r>
          </w:p>
        </w:tc>
        <w:tc>
          <w:tcPr>
            <w:tcW w:w="962"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刺柠吉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9</w:t>
            </w:r>
          </w:p>
        </w:tc>
        <w:tc>
          <w:tcPr>
            <w:tcW w:w="990"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1.5L</w:t>
            </w:r>
          </w:p>
        </w:tc>
        <w:tc>
          <w:tcPr>
            <w:tcW w:w="1488"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29.7</w:t>
            </w:r>
            <w:r>
              <w:rPr>
                <w:rFonts w:ascii="宋体" w:hAnsi="宋体" w:cs="Arial"/>
                <w:color w:val="auto"/>
                <w:kern w:val="0"/>
                <w:sz w:val="16"/>
                <w:szCs w:val="16"/>
              </w:rPr>
              <w:t>0</w:t>
            </w:r>
            <w:r>
              <w:rPr>
                <w:rFonts w:hint="eastAsia" w:ascii="宋体" w:hAnsi="宋体" w:cs="Arial"/>
                <w:color w:val="auto"/>
                <w:kern w:val="0"/>
                <w:sz w:val="16"/>
                <w:szCs w:val="16"/>
              </w:rPr>
              <w:t>±0.</w:t>
            </w:r>
            <w:r>
              <w:rPr>
                <w:rFonts w:ascii="宋体" w:hAnsi="宋体" w:cs="Arial"/>
                <w:color w:val="auto"/>
                <w:kern w:val="0"/>
                <w:sz w:val="16"/>
                <w:szCs w:val="16"/>
              </w:rPr>
              <w:t>2</w:t>
            </w:r>
            <w:r>
              <w:rPr>
                <w:rFonts w:hint="eastAsia" w:ascii="宋体" w:hAnsi="宋体" w:cs="Arial"/>
                <w:color w:val="auto"/>
                <w:kern w:val="0"/>
                <w:sz w:val="16"/>
                <w:szCs w:val="16"/>
              </w:rPr>
              <w:t>0</w:t>
            </w:r>
          </w:p>
        </w:tc>
        <w:tc>
          <w:tcPr>
            <w:tcW w:w="1212"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∮92±0.75</w:t>
            </w:r>
          </w:p>
        </w:tc>
        <w:tc>
          <w:tcPr>
            <w:tcW w:w="1063"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307±1.2</w:t>
            </w:r>
          </w:p>
        </w:tc>
        <w:tc>
          <w:tcPr>
            <w:tcW w:w="1250"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1512+15/0</w:t>
            </w:r>
          </w:p>
        </w:tc>
        <w:tc>
          <w:tcPr>
            <w:tcW w:w="975"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1535</w:t>
            </w:r>
          </w:p>
        </w:tc>
        <w:tc>
          <w:tcPr>
            <w:tcW w:w="962" w:type="dxa"/>
            <w:vAlign w:val="center"/>
          </w:tcPr>
          <w:p>
            <w:pPr>
              <w:pStyle w:val="36"/>
              <w:spacing w:line="360" w:lineRule="auto"/>
              <w:ind w:left="0"/>
              <w:contextualSpacing w:val="0"/>
              <w:jc w:val="center"/>
              <w:rPr>
                <w:rFonts w:hint="eastAsia" w:ascii="宋体" w:hAnsi="宋体" w:cs="Arial"/>
                <w:color w:val="auto"/>
                <w:kern w:val="0"/>
                <w:sz w:val="16"/>
                <w:szCs w:val="16"/>
              </w:rPr>
            </w:pPr>
            <w:r>
              <w:rPr>
                <w:rFonts w:hint="eastAsia" w:ascii="宋体" w:hAnsi="宋体" w:cs="Arial"/>
                <w:color w:val="auto"/>
                <w:kern w:val="0"/>
                <w:sz w:val="16"/>
                <w:szCs w:val="16"/>
              </w:rPr>
              <w:t>凉茶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8" w:type="dxa"/>
            <w:gridSpan w:val="8"/>
          </w:tcPr>
          <w:p>
            <w:pPr>
              <w:pStyle w:val="36"/>
              <w:spacing w:line="360" w:lineRule="auto"/>
              <w:ind w:left="0"/>
              <w:contextualSpacing w:val="0"/>
              <w:jc w:val="left"/>
              <w:rPr>
                <w:rFonts w:hint="eastAsia" w:ascii="宋体" w:hAnsi="宋体" w:cs="宋体"/>
                <w:color w:val="auto"/>
                <w:szCs w:val="21"/>
              </w:rPr>
            </w:pPr>
            <w:r>
              <w:rPr>
                <w:rFonts w:hint="eastAsia" w:ascii="宋体" w:hAnsi="宋体" w:cs="宋体"/>
                <w:color w:val="auto"/>
                <w:szCs w:val="21"/>
              </w:rPr>
              <w:t>注：瓶子尺寸以我司提供的样板为准（中标后提资）</w:t>
            </w:r>
          </w:p>
        </w:tc>
      </w:tr>
    </w:tbl>
    <w:p>
      <w:pPr>
        <w:pStyle w:val="36"/>
        <w:numPr>
          <w:ilvl w:val="0"/>
          <w:numId w:val="5"/>
        </w:numPr>
        <w:spacing w:line="360" w:lineRule="auto"/>
        <w:contextualSpacing w:val="0"/>
        <w:rPr>
          <w:rFonts w:hint="eastAsia" w:ascii="宋体" w:hAnsi="宋体" w:cs="宋体"/>
          <w:b/>
          <w:bCs/>
          <w:color w:val="auto"/>
          <w:szCs w:val="21"/>
        </w:rPr>
      </w:pPr>
      <w:r>
        <w:rPr>
          <w:rFonts w:hint="eastAsia" w:ascii="宋体" w:hAnsi="宋体" w:cs="宋体"/>
          <w:b/>
          <w:bCs/>
          <w:color w:val="auto"/>
          <w:szCs w:val="21"/>
        </w:rPr>
        <w:t>灌装温度：</w:t>
      </w:r>
      <w:r>
        <w:rPr>
          <w:rFonts w:hint="eastAsia" w:ascii="宋体" w:hAnsi="宋体" w:cs="宋体"/>
          <w:color w:val="auto"/>
          <w:szCs w:val="21"/>
        </w:rPr>
        <w:t>无菌产品，无菌灌装</w:t>
      </w:r>
    </w:p>
    <w:p>
      <w:pPr>
        <w:pStyle w:val="36"/>
        <w:numPr>
          <w:ilvl w:val="0"/>
          <w:numId w:val="1"/>
        </w:numPr>
        <w:spacing w:line="360" w:lineRule="auto"/>
        <w:contextualSpacing w:val="0"/>
        <w:rPr>
          <w:rFonts w:hint="eastAsia" w:ascii="宋体" w:hAnsi="宋体" w:cs="宋体"/>
          <w:b/>
          <w:bCs/>
          <w:color w:val="auto"/>
          <w:szCs w:val="21"/>
        </w:rPr>
      </w:pPr>
      <w:r>
        <w:rPr>
          <w:rFonts w:hint="eastAsia" w:ascii="宋体" w:hAnsi="宋体" w:cs="宋体"/>
          <w:b/>
          <w:bCs/>
          <w:color w:val="auto"/>
          <w:szCs w:val="21"/>
        </w:rPr>
        <w:t>工况条件</w:t>
      </w:r>
    </w:p>
    <w:p>
      <w:pPr>
        <w:pStyle w:val="36"/>
        <w:numPr>
          <w:ilvl w:val="0"/>
          <w:numId w:val="6"/>
        </w:numPr>
        <w:spacing w:line="360" w:lineRule="auto"/>
        <w:contextualSpacing w:val="0"/>
        <w:rPr>
          <w:rFonts w:hint="eastAsia" w:ascii="宋体" w:hAnsi="宋体" w:cs="宋体"/>
          <w:color w:val="auto"/>
          <w:szCs w:val="21"/>
        </w:rPr>
      </w:pPr>
      <w:r>
        <w:rPr>
          <w:rFonts w:hint="eastAsia" w:ascii="宋体" w:hAnsi="宋体" w:cs="宋体"/>
          <w:color w:val="auto"/>
          <w:szCs w:val="21"/>
        </w:rPr>
        <w:t>工作环境：一般区；</w:t>
      </w:r>
    </w:p>
    <w:p>
      <w:pPr>
        <w:pStyle w:val="36"/>
        <w:numPr>
          <w:ilvl w:val="0"/>
          <w:numId w:val="6"/>
        </w:numPr>
        <w:spacing w:line="360" w:lineRule="auto"/>
        <w:contextualSpacing w:val="0"/>
        <w:rPr>
          <w:rFonts w:hint="eastAsia" w:ascii="宋体" w:hAnsi="宋体" w:cs="宋体"/>
          <w:color w:val="auto"/>
          <w:szCs w:val="21"/>
        </w:rPr>
      </w:pPr>
      <w:r>
        <w:rPr>
          <w:rFonts w:hint="eastAsia" w:ascii="宋体" w:hAnsi="宋体" w:cs="宋体"/>
          <w:color w:val="auto"/>
          <w:szCs w:val="21"/>
        </w:rPr>
        <w:t>电    源：三相，380V ，50Hz ，三相五线接地保护；</w:t>
      </w:r>
    </w:p>
    <w:p>
      <w:pPr>
        <w:pStyle w:val="36"/>
        <w:numPr>
          <w:ilvl w:val="0"/>
          <w:numId w:val="6"/>
        </w:numPr>
        <w:spacing w:line="360" w:lineRule="auto"/>
        <w:contextualSpacing w:val="0"/>
        <w:rPr>
          <w:rFonts w:hint="eastAsia" w:ascii="宋体" w:hAnsi="宋体" w:cs="宋体"/>
          <w:color w:val="auto"/>
          <w:szCs w:val="21"/>
        </w:rPr>
      </w:pPr>
      <w:r>
        <w:rPr>
          <w:rFonts w:hint="eastAsia" w:ascii="宋体" w:hAnsi="宋体" w:cs="宋体"/>
          <w:color w:val="auto"/>
          <w:szCs w:val="21"/>
        </w:rPr>
        <w:t>低压压缩空气：压力0.55～0 .70Mpa ，无油压缩空气；</w:t>
      </w:r>
    </w:p>
    <w:p>
      <w:pPr>
        <w:pStyle w:val="36"/>
        <w:numPr>
          <w:ilvl w:val="0"/>
          <w:numId w:val="6"/>
        </w:numPr>
        <w:spacing w:line="360" w:lineRule="auto"/>
        <w:contextualSpacing w:val="0"/>
        <w:rPr>
          <w:rFonts w:hint="eastAsia" w:ascii="宋体" w:hAnsi="宋体" w:cs="宋体"/>
          <w:color w:val="auto"/>
          <w:szCs w:val="21"/>
        </w:rPr>
      </w:pPr>
      <w:bookmarkStart w:id="12" w:name="OLE_LINK4"/>
      <w:r>
        <w:rPr>
          <w:rFonts w:hint="eastAsia" w:ascii="宋体" w:hAnsi="宋体" w:cs="宋体"/>
          <w:color w:val="auto"/>
          <w:szCs w:val="21"/>
        </w:rPr>
        <w:t xml:space="preserve">高压压缩空气：由招标方提供，中标后提资； </w:t>
      </w:r>
    </w:p>
    <w:bookmarkEnd w:id="12"/>
    <w:p>
      <w:pPr>
        <w:pStyle w:val="36"/>
        <w:numPr>
          <w:ilvl w:val="0"/>
          <w:numId w:val="6"/>
        </w:numPr>
        <w:spacing w:line="360" w:lineRule="auto"/>
        <w:contextualSpacing w:val="0"/>
        <w:rPr>
          <w:rFonts w:hint="eastAsia" w:ascii="宋体" w:hAnsi="宋体" w:cs="宋体"/>
          <w:color w:val="auto"/>
          <w:szCs w:val="21"/>
        </w:rPr>
      </w:pPr>
      <w:r>
        <w:rPr>
          <w:rFonts w:hint="eastAsia" w:ascii="宋体" w:hAnsi="宋体" w:cs="宋体"/>
          <w:color w:val="auto"/>
          <w:szCs w:val="21"/>
        </w:rPr>
        <w:t>蒸    汽：市政供汽，压力</w:t>
      </w:r>
      <w:r>
        <w:rPr>
          <w:rFonts w:hint="eastAsia" w:ascii="宋体" w:hAnsi="宋体" w:cs="宋体"/>
          <w:bCs/>
          <w:color w:val="auto"/>
          <w:szCs w:val="21"/>
        </w:rPr>
        <w:t>0.7～0.9Mpa</w:t>
      </w:r>
      <w:r>
        <w:rPr>
          <w:rFonts w:hint="eastAsia" w:ascii="宋体" w:hAnsi="宋体" w:cs="宋体"/>
          <w:color w:val="auto"/>
          <w:szCs w:val="21"/>
        </w:rPr>
        <w:t>；</w:t>
      </w:r>
    </w:p>
    <w:p>
      <w:pPr>
        <w:pStyle w:val="36"/>
        <w:numPr>
          <w:ilvl w:val="0"/>
          <w:numId w:val="6"/>
        </w:numPr>
        <w:spacing w:line="360" w:lineRule="auto"/>
        <w:contextualSpacing w:val="0"/>
        <w:rPr>
          <w:rFonts w:hint="eastAsia" w:ascii="宋体" w:hAnsi="宋体" w:cs="宋体"/>
          <w:color w:val="auto"/>
          <w:szCs w:val="21"/>
        </w:rPr>
      </w:pPr>
      <w:bookmarkStart w:id="13" w:name="OLE_LINK5"/>
      <w:r>
        <w:rPr>
          <w:rFonts w:hint="eastAsia" w:ascii="宋体" w:hAnsi="宋体" w:cs="宋体"/>
          <w:color w:val="auto"/>
          <w:szCs w:val="21"/>
        </w:rPr>
        <w:t>塔水（吹瓶）：由招标方提供，中标后提资；</w:t>
      </w:r>
    </w:p>
    <w:p>
      <w:pPr>
        <w:pStyle w:val="36"/>
        <w:numPr>
          <w:ilvl w:val="0"/>
          <w:numId w:val="6"/>
        </w:numPr>
        <w:spacing w:line="360" w:lineRule="auto"/>
        <w:contextualSpacing w:val="0"/>
        <w:rPr>
          <w:rFonts w:hint="eastAsia" w:ascii="宋体" w:hAnsi="宋体" w:cs="宋体"/>
          <w:color w:val="auto"/>
          <w:szCs w:val="21"/>
        </w:rPr>
      </w:pPr>
      <w:r>
        <w:rPr>
          <w:rFonts w:hint="eastAsia" w:ascii="宋体" w:hAnsi="宋体"/>
          <w:color w:val="auto"/>
          <w:szCs w:val="21"/>
        </w:rPr>
        <w:t>冰水（空调系统及灌装机）：7</w:t>
      </w:r>
      <w:r>
        <w:rPr>
          <w:rFonts w:hint="eastAsia" w:ascii="宋体" w:hAnsi="宋体" w:cs="宋体"/>
          <w:bCs/>
          <w:color w:val="auto"/>
          <w:szCs w:val="21"/>
        </w:rPr>
        <w:t>～</w:t>
      </w:r>
      <w:r>
        <w:rPr>
          <w:rFonts w:hint="eastAsia" w:ascii="宋体" w:hAnsi="宋体"/>
          <w:color w:val="auto"/>
          <w:szCs w:val="21"/>
        </w:rPr>
        <w:t>12℃，</w:t>
      </w:r>
      <w:r>
        <w:rPr>
          <w:rFonts w:hint="eastAsia" w:ascii="宋体" w:hAnsi="宋体" w:cs="宋体"/>
          <w:color w:val="auto"/>
          <w:szCs w:val="21"/>
        </w:rPr>
        <w:t>由招标方提供，中标后提资；</w:t>
      </w:r>
    </w:p>
    <w:bookmarkEnd w:id="13"/>
    <w:p>
      <w:pPr>
        <w:pStyle w:val="36"/>
        <w:numPr>
          <w:ilvl w:val="0"/>
          <w:numId w:val="6"/>
        </w:numPr>
        <w:spacing w:line="360" w:lineRule="auto"/>
        <w:contextualSpacing w:val="0"/>
        <w:rPr>
          <w:rFonts w:hint="eastAsia" w:ascii="宋体" w:hAnsi="宋体" w:cs="宋体"/>
          <w:color w:val="auto"/>
          <w:szCs w:val="21"/>
        </w:rPr>
      </w:pPr>
      <w:r>
        <w:rPr>
          <w:rFonts w:hint="eastAsia" w:ascii="宋体" w:hAnsi="宋体" w:cs="宋体"/>
          <w:color w:val="auto"/>
          <w:szCs w:val="21"/>
        </w:rPr>
        <w:t>RO水：非恒压供水，投标方考虑压力变化，＜0.4M</w:t>
      </w:r>
      <w:r>
        <w:rPr>
          <w:rFonts w:hint="eastAsia" w:ascii="宋体" w:hAnsi="宋体" w:cs="宋体"/>
          <w:bCs/>
          <w:color w:val="auto"/>
          <w:szCs w:val="21"/>
        </w:rPr>
        <w:t>pa，</w:t>
      </w:r>
      <w:r>
        <w:rPr>
          <w:rFonts w:hint="eastAsia" w:ascii="宋体" w:hAnsi="宋体" w:cs="宋体"/>
          <w:color w:val="auto"/>
          <w:szCs w:val="21"/>
        </w:rPr>
        <w:t>电导率≤20μs/cm；</w:t>
      </w:r>
    </w:p>
    <w:p>
      <w:pPr>
        <w:pStyle w:val="36"/>
        <w:numPr>
          <w:ilvl w:val="0"/>
          <w:numId w:val="6"/>
        </w:numPr>
        <w:spacing w:line="360" w:lineRule="auto"/>
        <w:contextualSpacing w:val="0"/>
        <w:rPr>
          <w:rFonts w:hint="eastAsia" w:ascii="宋体" w:hAnsi="宋体" w:cs="宋体"/>
          <w:color w:val="auto"/>
          <w:szCs w:val="21"/>
        </w:rPr>
      </w:pPr>
      <w:r>
        <w:rPr>
          <w:rFonts w:hint="eastAsia" w:ascii="宋体" w:hAnsi="宋体" w:cs="宋体"/>
          <w:color w:val="auto"/>
          <w:szCs w:val="21"/>
        </w:rPr>
        <w:t>车间各功能单布局和首层平面图：详见附件1：生产车间首层平面图。</w:t>
      </w:r>
    </w:p>
    <w:p>
      <w:pPr>
        <w:pStyle w:val="36"/>
        <w:numPr>
          <w:ilvl w:val="0"/>
          <w:numId w:val="1"/>
        </w:numPr>
        <w:spacing w:line="360" w:lineRule="auto"/>
        <w:contextualSpacing w:val="0"/>
        <w:rPr>
          <w:rFonts w:hint="eastAsia" w:ascii="宋体" w:hAnsi="宋体" w:cs="宋体"/>
          <w:b/>
          <w:bCs/>
          <w:color w:val="auto"/>
          <w:szCs w:val="21"/>
        </w:rPr>
      </w:pPr>
      <w:r>
        <w:rPr>
          <w:rFonts w:hint="eastAsia" w:ascii="宋体" w:hAnsi="宋体" w:cs="宋体"/>
          <w:b/>
          <w:bCs/>
          <w:color w:val="auto"/>
          <w:szCs w:val="21"/>
        </w:rPr>
        <w:t>总体要求</w:t>
      </w:r>
    </w:p>
    <w:p>
      <w:pPr>
        <w:pStyle w:val="36"/>
        <w:numPr>
          <w:ilvl w:val="0"/>
          <w:numId w:val="7"/>
        </w:numPr>
        <w:spacing w:line="360" w:lineRule="auto"/>
        <w:contextualSpacing w:val="0"/>
        <w:rPr>
          <w:rFonts w:hint="eastAsia" w:ascii="宋体" w:hAnsi="宋体" w:cs="宋体"/>
          <w:color w:val="auto"/>
          <w:szCs w:val="21"/>
        </w:rPr>
      </w:pPr>
      <w:r>
        <w:rPr>
          <w:rFonts w:hint="eastAsia" w:ascii="宋体" w:hAnsi="宋体" w:cs="宋体"/>
          <w:color w:val="auto"/>
          <w:szCs w:val="21"/>
        </w:rPr>
        <w:t>本工程所提交的系统必须是通电并可使用的系统，投标人将对该项目的总体性，成套性负责。</w:t>
      </w:r>
    </w:p>
    <w:p>
      <w:pPr>
        <w:pStyle w:val="36"/>
        <w:numPr>
          <w:ilvl w:val="0"/>
          <w:numId w:val="7"/>
        </w:numPr>
        <w:spacing w:line="360" w:lineRule="auto"/>
        <w:contextualSpacing w:val="0"/>
        <w:rPr>
          <w:rFonts w:hint="eastAsia" w:ascii="宋体" w:hAnsi="宋体" w:cs="宋体"/>
          <w:color w:val="auto"/>
          <w:szCs w:val="21"/>
        </w:rPr>
      </w:pPr>
      <w:r>
        <w:rPr>
          <w:rFonts w:hint="eastAsia" w:ascii="宋体" w:hAnsi="宋体" w:cs="宋体"/>
          <w:color w:val="auto"/>
          <w:szCs w:val="21"/>
        </w:rPr>
        <w:t>投标人在提交的技术文件中，要逐项响应。若标记★内容有一项或以上没有响应，视为无效投标。</w:t>
      </w:r>
    </w:p>
    <w:p>
      <w:pPr>
        <w:pStyle w:val="36"/>
        <w:numPr>
          <w:ilvl w:val="0"/>
          <w:numId w:val="7"/>
        </w:numPr>
        <w:spacing w:line="360" w:lineRule="auto"/>
        <w:contextualSpacing w:val="0"/>
        <w:rPr>
          <w:rFonts w:hint="eastAsia" w:ascii="宋体" w:hAnsi="宋体" w:cs="宋体"/>
          <w:color w:val="auto"/>
          <w:szCs w:val="21"/>
        </w:rPr>
      </w:pPr>
      <w:r>
        <w:rPr>
          <w:rFonts w:hint="eastAsia" w:ascii="宋体" w:hAnsi="宋体" w:cs="宋体"/>
          <w:color w:val="auto"/>
          <w:szCs w:val="21"/>
        </w:rPr>
        <w:t>对于本用户需求书中未提到的功能，或投标人认为有更好的方案，可在所提交投标文件中向招标人提出建议或优化方案，详细阐述理由，并在投标文件中列明该建议或方案的报价，招标人保留采纳投标人所提供的更为优秀可靠的系统方案的权利。</w:t>
      </w:r>
    </w:p>
    <w:p>
      <w:pPr>
        <w:pStyle w:val="36"/>
        <w:numPr>
          <w:ilvl w:val="0"/>
          <w:numId w:val="7"/>
        </w:numPr>
        <w:spacing w:line="360" w:lineRule="auto"/>
        <w:contextualSpacing w:val="0"/>
        <w:rPr>
          <w:rFonts w:hint="eastAsia" w:ascii="宋体" w:hAnsi="宋体" w:cs="宋体"/>
          <w:color w:val="auto"/>
          <w:szCs w:val="21"/>
        </w:rPr>
      </w:pPr>
      <w:r>
        <w:rPr>
          <w:rFonts w:hint="eastAsia" w:ascii="宋体" w:hAnsi="宋体" w:cs="宋体"/>
          <w:color w:val="auto"/>
          <w:szCs w:val="21"/>
        </w:rPr>
        <w:t xml:space="preserve">投标文件中，与招标技术要求有差异之处，必须汇集填写到《技术规格偏离表》中。本用户需求的相关内容，没有在投标文件的技术规格偏离表中注明偏离（文字说明或在投标差异表中注明）的参数、配置、条款视为被投标人完全接受。 </w:t>
      </w:r>
    </w:p>
    <w:p>
      <w:pPr>
        <w:pStyle w:val="36"/>
        <w:numPr>
          <w:ilvl w:val="0"/>
          <w:numId w:val="7"/>
        </w:numPr>
        <w:spacing w:line="360" w:lineRule="auto"/>
        <w:contextualSpacing w:val="0"/>
        <w:rPr>
          <w:rFonts w:hint="eastAsia" w:ascii="宋体" w:hAnsi="宋体" w:cs="宋体"/>
          <w:color w:val="auto"/>
          <w:szCs w:val="21"/>
        </w:rPr>
      </w:pPr>
      <w:r>
        <w:rPr>
          <w:rFonts w:hint="eastAsia" w:ascii="宋体" w:hAnsi="宋体" w:cs="宋体"/>
          <w:color w:val="auto"/>
          <w:szCs w:val="21"/>
        </w:rPr>
        <w:t>投标文件中，涉及量化指标必须明确应答，主要技术指标提供检测报告和样本。</w:t>
      </w:r>
    </w:p>
    <w:p>
      <w:pPr>
        <w:pStyle w:val="36"/>
        <w:numPr>
          <w:ilvl w:val="0"/>
          <w:numId w:val="7"/>
        </w:numPr>
        <w:spacing w:line="360" w:lineRule="auto"/>
        <w:contextualSpacing w:val="0"/>
        <w:rPr>
          <w:rFonts w:hint="eastAsia" w:ascii="宋体" w:hAnsi="宋体" w:cs="宋体"/>
          <w:color w:val="auto"/>
          <w:szCs w:val="21"/>
        </w:rPr>
      </w:pPr>
      <w:r>
        <w:rPr>
          <w:rFonts w:hint="eastAsia" w:ascii="宋体" w:hAnsi="宋体" w:cs="宋体"/>
          <w:color w:val="auto"/>
          <w:szCs w:val="21"/>
        </w:rPr>
        <w:t>★投标文件中，至少包含以下技术资料：清晰的工艺流程图及平面布局图（采用A2及以上纸彩色打印）、工程界限图、技术参数的详细应答（工艺描述）、详细备品备件清单、项目工作推进计划、施工安全管理方案。</w:t>
      </w:r>
    </w:p>
    <w:p>
      <w:pPr>
        <w:pStyle w:val="36"/>
        <w:numPr>
          <w:ilvl w:val="0"/>
          <w:numId w:val="7"/>
        </w:numPr>
        <w:spacing w:line="360" w:lineRule="auto"/>
        <w:contextualSpacing w:val="0"/>
        <w:rPr>
          <w:rFonts w:hint="eastAsia" w:ascii="宋体" w:hAnsi="宋体" w:cs="宋体"/>
          <w:color w:val="auto"/>
          <w:szCs w:val="21"/>
        </w:rPr>
      </w:pPr>
      <w:bookmarkStart w:id="14" w:name="OLE_LINK36"/>
      <w:r>
        <w:rPr>
          <w:rFonts w:hint="eastAsia" w:ascii="宋体" w:hAnsi="宋体" w:cs="宋体"/>
          <w:color w:val="auto"/>
          <w:szCs w:val="21"/>
        </w:rPr>
        <w:t>提供吹灌旋一体机设备生产过程、</w:t>
      </w:r>
      <w:r>
        <w:rPr>
          <w:rFonts w:hint="eastAsia" w:ascii="宋体" w:hAnsi="宋体"/>
          <w:bCs/>
          <w:color w:val="auto"/>
          <w:spacing w:val="-2"/>
        </w:rPr>
        <w:t>CIP/SIP/COP/SOP清洗和杀菌</w:t>
      </w:r>
      <w:r>
        <w:rPr>
          <w:rFonts w:hint="eastAsia" w:ascii="宋体" w:hAnsi="宋体" w:cs="宋体"/>
          <w:color w:val="auto"/>
          <w:szCs w:val="21"/>
        </w:rPr>
        <w:t>过程的H2O2/PAA及水电气（汽）能耗表（以500mL瓶型</w:t>
      </w:r>
      <w:r>
        <w:rPr>
          <w:rFonts w:ascii="宋体" w:hAnsi="宋体"/>
          <w:color w:val="auto"/>
          <w:kern w:val="0"/>
          <w:szCs w:val="21"/>
        </w:rPr>
        <w:t>24000瓶/小时</w:t>
      </w:r>
      <w:r>
        <w:rPr>
          <w:rFonts w:hint="eastAsia" w:ascii="宋体" w:hAnsi="宋体"/>
          <w:color w:val="auto"/>
          <w:kern w:val="0"/>
          <w:szCs w:val="21"/>
        </w:rPr>
        <w:t>生产速度</w:t>
      </w:r>
      <w:r>
        <w:rPr>
          <w:rFonts w:hint="eastAsia" w:ascii="宋体" w:hAnsi="宋体" w:cs="宋体"/>
          <w:color w:val="auto"/>
          <w:szCs w:val="21"/>
        </w:rPr>
        <w:t>计算）</w:t>
      </w:r>
      <w:bookmarkEnd w:id="14"/>
      <w:r>
        <w:rPr>
          <w:rFonts w:hint="eastAsia" w:ascii="宋体" w:hAnsi="宋体" w:cs="宋体"/>
          <w:color w:val="auto"/>
          <w:szCs w:val="21"/>
        </w:rPr>
        <w:t>。</w:t>
      </w:r>
    </w:p>
    <w:p>
      <w:pPr>
        <w:pStyle w:val="36"/>
        <w:numPr>
          <w:ilvl w:val="0"/>
          <w:numId w:val="7"/>
        </w:numPr>
        <w:spacing w:line="360" w:lineRule="auto"/>
        <w:contextualSpacing w:val="0"/>
        <w:rPr>
          <w:rFonts w:hint="eastAsia" w:ascii="宋体" w:hAnsi="宋体" w:cs="宋体"/>
          <w:color w:val="auto"/>
          <w:szCs w:val="21"/>
        </w:rPr>
      </w:pPr>
      <w:r>
        <w:rPr>
          <w:rFonts w:hint="eastAsia" w:ascii="宋体" w:hAnsi="宋体" w:cs="宋体"/>
          <w:color w:val="auto"/>
          <w:szCs w:val="21"/>
        </w:rPr>
        <w:t>所有设备及材料在设备进场安装前需经招标方确认后方可安装施工。</w:t>
      </w:r>
    </w:p>
    <w:p>
      <w:pPr>
        <w:pStyle w:val="36"/>
        <w:numPr>
          <w:ilvl w:val="0"/>
          <w:numId w:val="7"/>
        </w:numPr>
        <w:spacing w:line="360" w:lineRule="auto"/>
        <w:contextualSpacing w:val="0"/>
        <w:rPr>
          <w:rFonts w:hint="eastAsia" w:ascii="宋体" w:hAnsi="宋体" w:cs="宋体"/>
          <w:color w:val="auto"/>
          <w:szCs w:val="21"/>
        </w:rPr>
      </w:pPr>
      <w:r>
        <w:rPr>
          <w:rFonts w:hint="eastAsia" w:ascii="宋体" w:hAnsi="宋体" w:cs="宋体"/>
          <w:color w:val="auto"/>
          <w:szCs w:val="21"/>
        </w:rPr>
        <w:t>安装过程中招标方提供施工场所，施工用电用水，参与施工的过程监督，不负责提供任何施工工具及人工服务。投标方负责安装、调试期间、试运行期间所需的人工费用及设备易损件费用。</w:t>
      </w:r>
    </w:p>
    <w:p>
      <w:pPr>
        <w:pStyle w:val="36"/>
        <w:numPr>
          <w:ilvl w:val="0"/>
          <w:numId w:val="7"/>
        </w:numPr>
        <w:spacing w:line="360" w:lineRule="auto"/>
        <w:contextualSpacing w:val="0"/>
        <w:rPr>
          <w:rFonts w:hint="eastAsia" w:ascii="宋体" w:hAnsi="宋体" w:cs="宋体"/>
          <w:color w:val="auto"/>
          <w:szCs w:val="21"/>
        </w:rPr>
      </w:pPr>
      <w:r>
        <w:rPr>
          <w:rFonts w:hint="eastAsia" w:ascii="宋体" w:hAnsi="宋体" w:cs="宋体"/>
          <w:color w:val="auto"/>
          <w:szCs w:val="21"/>
        </w:rPr>
        <w:t>投标方负责施工期间安全、场地垃圾清理、人员管理工作，并在签合同时签订《安全协议》。在施工时需要服从工厂单位安全管理和规定。</w:t>
      </w:r>
    </w:p>
    <w:p>
      <w:pPr>
        <w:pStyle w:val="36"/>
        <w:numPr>
          <w:ilvl w:val="0"/>
          <w:numId w:val="7"/>
        </w:numPr>
        <w:spacing w:line="360" w:lineRule="auto"/>
        <w:contextualSpacing w:val="0"/>
        <w:rPr>
          <w:rFonts w:hint="eastAsia" w:ascii="宋体" w:hAnsi="宋体" w:cs="宋体"/>
          <w:color w:val="auto"/>
          <w:szCs w:val="21"/>
        </w:rPr>
      </w:pPr>
      <w:r>
        <w:rPr>
          <w:rFonts w:hint="eastAsia" w:ascii="宋体" w:hAnsi="宋体" w:cs="宋体"/>
          <w:color w:val="auto"/>
          <w:szCs w:val="21"/>
        </w:rPr>
        <w:t>投标方负责将所供设备运到招标方的工地现场，并负责所供设备的设计、供货、运输、装卸、保管、开箱（买方参与清点货物）、就位、安装、调试、培训、售后服务等。</w:t>
      </w:r>
    </w:p>
    <w:p>
      <w:pPr>
        <w:pStyle w:val="36"/>
        <w:numPr>
          <w:ilvl w:val="0"/>
          <w:numId w:val="7"/>
        </w:numPr>
        <w:spacing w:line="360" w:lineRule="auto"/>
        <w:contextualSpacing w:val="0"/>
        <w:rPr>
          <w:rFonts w:hint="eastAsia" w:ascii="宋体" w:hAnsi="宋体" w:cs="宋体"/>
          <w:color w:val="auto"/>
          <w:szCs w:val="21"/>
        </w:rPr>
      </w:pPr>
      <w:r>
        <w:rPr>
          <w:rFonts w:hint="eastAsia" w:ascii="宋体" w:hAnsi="宋体" w:cs="宋体"/>
          <w:color w:val="auto"/>
          <w:szCs w:val="21"/>
        </w:rPr>
        <w:t>投标方在收到中标通知书后30天内提供设备平面布局图、PID工艺图、设备尺寸、能耗数据、工程界限对接点等，提供洁净功能区建筑图、暖通、给排水、地面施工图、照明、弱电等配电和自控方案、</w:t>
      </w:r>
      <w:r>
        <w:rPr>
          <w:rFonts w:ascii="宋体" w:hAnsi="宋体" w:cs="宋体"/>
          <w:color w:val="auto"/>
          <w:szCs w:val="21"/>
        </w:rPr>
        <w:t>提供设备设计图纸、设备配套设施要求及相关图纸</w:t>
      </w:r>
      <w:r>
        <w:rPr>
          <w:rFonts w:hint="eastAsia" w:ascii="宋体" w:hAnsi="宋体" w:cs="宋体"/>
          <w:color w:val="auto"/>
          <w:szCs w:val="21"/>
        </w:rPr>
        <w:t>、提出</w:t>
      </w:r>
      <w:r>
        <w:rPr>
          <w:rFonts w:hint="eastAsia" w:ascii="宋体" w:hAnsi="宋体"/>
          <w:color w:val="auto"/>
          <w:szCs w:val="21"/>
        </w:rPr>
        <w:t>制订</w:t>
      </w:r>
      <w:r>
        <w:rPr>
          <w:rFonts w:hint="eastAsia" w:ascii="宋体" w:hAnsi="宋体" w:cs="宋体"/>
          <w:color w:val="auto"/>
          <w:szCs w:val="21"/>
        </w:rPr>
        <w:t>洁净功能区系统</w:t>
      </w:r>
      <w:r>
        <w:rPr>
          <w:rFonts w:hint="eastAsia" w:ascii="宋体" w:hAnsi="宋体"/>
          <w:color w:val="auto"/>
          <w:szCs w:val="21"/>
        </w:rPr>
        <w:t>详尽的施工组织方案。</w:t>
      </w:r>
      <w:r>
        <w:rPr>
          <w:rFonts w:hint="eastAsia" w:ascii="宋体" w:hAnsi="宋体" w:cs="宋体"/>
          <w:color w:val="auto"/>
          <w:szCs w:val="21"/>
        </w:rPr>
        <w:t>以上资料需待招标方确认后方可开始制作设备。中标方收到中标通知书后可到项目现场勘察。</w:t>
      </w:r>
    </w:p>
    <w:p>
      <w:pPr>
        <w:pStyle w:val="36"/>
        <w:numPr>
          <w:ilvl w:val="0"/>
          <w:numId w:val="7"/>
        </w:numPr>
        <w:spacing w:line="360" w:lineRule="auto"/>
        <w:contextualSpacing w:val="0"/>
        <w:rPr>
          <w:rFonts w:hint="eastAsia" w:ascii="宋体" w:hAnsi="宋体" w:cs="宋体"/>
          <w:color w:val="auto"/>
          <w:szCs w:val="21"/>
        </w:rPr>
      </w:pPr>
      <w:r>
        <w:rPr>
          <w:rFonts w:hint="eastAsia" w:ascii="宋体" w:hAnsi="宋体" w:cs="宋体"/>
          <w:color w:val="auto"/>
          <w:szCs w:val="21"/>
        </w:rPr>
        <w:t>相关专业必须具有相关资质。</w:t>
      </w:r>
    </w:p>
    <w:p>
      <w:pPr>
        <w:pStyle w:val="36"/>
        <w:numPr>
          <w:ilvl w:val="0"/>
          <w:numId w:val="7"/>
        </w:numPr>
        <w:spacing w:line="360" w:lineRule="auto"/>
        <w:contextualSpacing w:val="0"/>
        <w:rPr>
          <w:rFonts w:hint="eastAsia" w:ascii="宋体" w:hAnsi="宋体" w:cs="宋体"/>
          <w:color w:val="auto"/>
          <w:szCs w:val="21"/>
        </w:rPr>
      </w:pPr>
      <w:bookmarkStart w:id="15" w:name="OLE_LINK14"/>
      <w:r>
        <w:rPr>
          <w:rFonts w:hint="eastAsia" w:ascii="宋体" w:hAnsi="宋体" w:cs="宋体"/>
          <w:color w:val="auto"/>
          <w:szCs w:val="21"/>
        </w:rPr>
        <w:t>项目投标应对本项目列出详细备品备件清单及更换周期，并配置有相应的易损备件，备件费用为项目总金额的0.5%以上；包含但不限于以下备件：3套瓶夹、1套止旋刀、10个喷嘴、1套封盖头、1套拉伸杆、1套流量计、2套操作手套、阀门密封圈及维修包、瓶夹弹簧、盖杀菌喷嘴、下盖轨道、电气备件（PLC模块、伺服电机、阀岛等）、吹瓶紫外灯、补偿弹簧、吹嘴、过滤器、假杯及皮带等。</w:t>
      </w:r>
    </w:p>
    <w:bookmarkEnd w:id="15"/>
    <w:p>
      <w:pPr>
        <w:pStyle w:val="36"/>
        <w:numPr>
          <w:ilvl w:val="0"/>
          <w:numId w:val="7"/>
        </w:numPr>
        <w:spacing w:line="360" w:lineRule="auto"/>
        <w:contextualSpacing w:val="0"/>
        <w:rPr>
          <w:rFonts w:hint="eastAsia" w:ascii="宋体" w:hAnsi="宋体" w:cs="宋体"/>
          <w:color w:val="auto"/>
          <w:szCs w:val="21"/>
        </w:rPr>
      </w:pPr>
      <w:r>
        <w:rPr>
          <w:rFonts w:hint="eastAsia" w:ascii="宋体" w:hAnsi="宋体" w:cs="宋体"/>
          <w:color w:val="auto"/>
          <w:szCs w:val="21"/>
        </w:rPr>
        <w:t>场地移交以后，投标方负责场地内包括车间地面（金刚砂等）及钢结构等设施的保护。</w:t>
      </w:r>
    </w:p>
    <w:p>
      <w:pPr>
        <w:pStyle w:val="36"/>
        <w:numPr>
          <w:ilvl w:val="0"/>
          <w:numId w:val="7"/>
        </w:numPr>
        <w:spacing w:line="360" w:lineRule="auto"/>
        <w:contextualSpacing w:val="0"/>
        <w:rPr>
          <w:rFonts w:hint="eastAsia" w:ascii="宋体" w:hAnsi="宋体" w:cs="宋体"/>
          <w:color w:val="auto"/>
          <w:szCs w:val="21"/>
        </w:rPr>
      </w:pPr>
      <w:r>
        <w:rPr>
          <w:rFonts w:hint="eastAsia" w:ascii="宋体" w:hAnsi="宋体" w:cs="宋体"/>
          <w:color w:val="auto"/>
          <w:szCs w:val="21"/>
        </w:rPr>
        <w:t>投标方在投标时需</w:t>
      </w:r>
      <w:r>
        <w:rPr>
          <w:rFonts w:hint="eastAsia" w:ascii="宋体" w:hAnsi="宋体" w:cs="宋体"/>
          <w:color w:val="auto"/>
          <w:szCs w:val="21"/>
        </w:rPr>
        <w:t>填写</w:t>
      </w:r>
      <w:r>
        <w:rPr>
          <w:rFonts w:hint="eastAsia" w:ascii="宋体" w:hAnsi="宋体" w:cs="宋体"/>
          <w:color w:val="auto"/>
          <w:szCs w:val="21"/>
        </w:rPr>
        <w:t>吹灌旋一体机设备的生产地。</w:t>
      </w:r>
    </w:p>
    <w:p>
      <w:pPr>
        <w:pStyle w:val="36"/>
        <w:numPr>
          <w:ilvl w:val="0"/>
          <w:numId w:val="7"/>
        </w:numPr>
        <w:spacing w:line="360" w:lineRule="auto"/>
        <w:contextualSpacing w:val="0"/>
        <w:rPr>
          <w:rFonts w:hint="eastAsia" w:ascii="宋体" w:hAnsi="宋体" w:cs="宋体"/>
          <w:color w:val="auto"/>
          <w:szCs w:val="21"/>
        </w:rPr>
      </w:pPr>
      <w:r>
        <w:rPr>
          <w:rFonts w:hint="eastAsia" w:ascii="宋体" w:hAnsi="宋体" w:cs="宋体"/>
          <w:color w:val="auto"/>
          <w:szCs w:val="21"/>
        </w:rPr>
        <w:t>施工过程中，投标方负责做好现场的围蔽，避免影响到招标方的生产工作。</w:t>
      </w:r>
    </w:p>
    <w:p>
      <w:pPr>
        <w:pStyle w:val="36"/>
        <w:numPr>
          <w:ilvl w:val="0"/>
          <w:numId w:val="7"/>
        </w:numPr>
        <w:spacing w:line="360" w:lineRule="auto"/>
        <w:contextualSpacing w:val="0"/>
        <w:rPr>
          <w:rFonts w:hint="eastAsia" w:ascii="宋体" w:hAnsi="宋体" w:cs="宋体"/>
          <w:color w:val="auto"/>
          <w:szCs w:val="21"/>
        </w:rPr>
      </w:pPr>
      <w:r>
        <w:rPr>
          <w:rFonts w:hint="eastAsia" w:ascii="宋体" w:hAnsi="宋体" w:cs="宋体"/>
          <w:color w:val="auto"/>
          <w:szCs w:val="21"/>
        </w:rPr>
        <w:t>投标方如需改动招标方的车间结构，需经过招标方审核同意。</w:t>
      </w:r>
    </w:p>
    <w:p>
      <w:pPr>
        <w:pStyle w:val="36"/>
        <w:numPr>
          <w:ilvl w:val="0"/>
          <w:numId w:val="7"/>
        </w:numPr>
        <w:spacing w:line="360" w:lineRule="auto"/>
        <w:contextualSpacing w:val="0"/>
        <w:rPr>
          <w:rFonts w:hint="eastAsia" w:ascii="宋体" w:hAnsi="宋体" w:cs="宋体"/>
          <w:color w:val="auto"/>
          <w:szCs w:val="21"/>
        </w:rPr>
      </w:pPr>
      <w:r>
        <w:rPr>
          <w:rFonts w:hint="eastAsia" w:ascii="宋体" w:hAnsi="宋体" w:cs="宋体"/>
          <w:color w:val="auto"/>
          <w:szCs w:val="21"/>
        </w:rPr>
        <w:t>投标方负责本项目所需要的地面、排水等改造。</w:t>
      </w:r>
    </w:p>
    <w:p>
      <w:pPr>
        <w:pStyle w:val="36"/>
        <w:numPr>
          <w:ilvl w:val="0"/>
          <w:numId w:val="1"/>
        </w:numPr>
        <w:spacing w:line="360" w:lineRule="auto"/>
        <w:contextualSpacing w:val="0"/>
        <w:rPr>
          <w:rFonts w:hint="eastAsia" w:ascii="宋体" w:hAnsi="宋体" w:cs="宋体"/>
          <w:b/>
          <w:bCs/>
          <w:color w:val="auto"/>
          <w:szCs w:val="21"/>
        </w:rPr>
      </w:pPr>
      <w:r>
        <w:rPr>
          <w:rFonts w:hint="eastAsia" w:ascii="宋体" w:hAnsi="宋体" w:cs="宋体"/>
          <w:b/>
          <w:bCs/>
          <w:color w:val="auto"/>
          <w:szCs w:val="21"/>
        </w:rPr>
        <w:t>标的范围和工程界限</w:t>
      </w:r>
      <w:r>
        <w:rPr>
          <w:rFonts w:hint="eastAsia" w:ascii="宋体" w:hAnsi="宋体" w:cs="宋体"/>
          <w:b/>
          <w:bCs/>
          <w:color w:val="auto"/>
          <w:szCs w:val="21"/>
        </w:rPr>
        <w:tab/>
      </w:r>
    </w:p>
    <w:p>
      <w:pPr>
        <w:pStyle w:val="36"/>
        <w:widowControl/>
        <w:numPr>
          <w:ilvl w:val="0"/>
          <w:numId w:val="8"/>
        </w:numPr>
        <w:spacing w:line="360" w:lineRule="auto"/>
        <w:jc w:val="left"/>
        <w:rPr>
          <w:rFonts w:hint="eastAsia" w:ascii="宋体" w:hAnsi="宋体" w:cs="宋体"/>
          <w:b/>
          <w:bCs/>
          <w:color w:val="auto"/>
          <w:szCs w:val="21"/>
        </w:rPr>
      </w:pPr>
      <w:r>
        <w:rPr>
          <w:rFonts w:hint="eastAsia" w:ascii="宋体" w:hAnsi="宋体"/>
          <w:b/>
          <w:color w:val="auto"/>
          <w:szCs w:val="21"/>
        </w:rPr>
        <w:t>标的范围和工程界限</w:t>
      </w:r>
    </w:p>
    <w:p>
      <w:pPr>
        <w:widowControl/>
        <w:numPr>
          <w:ilvl w:val="0"/>
          <w:numId w:val="9"/>
        </w:numPr>
        <w:spacing w:line="360" w:lineRule="auto"/>
        <w:jc w:val="left"/>
        <w:rPr>
          <w:rFonts w:hint="eastAsia" w:ascii="宋体" w:hAnsi="宋体" w:cs="宋体"/>
          <w:bCs/>
          <w:color w:val="auto"/>
          <w:kern w:val="0"/>
          <w:szCs w:val="21"/>
        </w:rPr>
      </w:pPr>
      <w:r>
        <w:rPr>
          <w:rFonts w:hint="eastAsia" w:ascii="宋体" w:hAnsi="宋体" w:cs="宋体"/>
          <w:b/>
          <w:color w:val="auto"/>
          <w:kern w:val="0"/>
          <w:szCs w:val="21"/>
        </w:rPr>
        <w:t>标的范围：</w:t>
      </w:r>
    </w:p>
    <w:p>
      <w:pPr>
        <w:pStyle w:val="36"/>
        <w:widowControl/>
        <w:numPr>
          <w:ilvl w:val="0"/>
          <w:numId w:val="10"/>
        </w:numPr>
        <w:spacing w:line="360" w:lineRule="auto"/>
        <w:contextualSpacing w:val="0"/>
        <w:jc w:val="left"/>
        <w:rPr>
          <w:rFonts w:hint="eastAsia" w:ascii="宋体" w:hAnsi="宋体"/>
          <w:color w:val="auto"/>
          <w:kern w:val="0"/>
          <w:szCs w:val="21"/>
        </w:rPr>
      </w:pPr>
      <w:r>
        <w:rPr>
          <w:rFonts w:hint="eastAsia" w:ascii="宋体" w:hAnsi="宋体"/>
          <w:color w:val="auto"/>
          <w:kern w:val="0"/>
          <w:szCs w:val="21"/>
        </w:rPr>
        <w:t>吹灌旋一体机设备（包括瓶坯进料整理单元、加热炉、吹瓶机、瓶坯检测机、空瓶/盖杀菌、盖输送整列机及盖杀菌、灌装机、旋盖机、CIP/SIP/COP/SOP 单元、无菌水单元、药剂中心等</w:t>
      </w:r>
      <w:r>
        <w:rPr>
          <w:rFonts w:hint="eastAsia" w:ascii="宋体" w:hAnsi="宋体"/>
          <w:color w:val="auto"/>
          <w:kern w:val="0"/>
          <w:szCs w:val="21"/>
        </w:rPr>
        <w:t>）</w:t>
      </w:r>
      <w:r>
        <w:rPr>
          <w:rFonts w:hint="eastAsia" w:ascii="宋体" w:hAnsi="宋体"/>
          <w:color w:val="auto"/>
          <w:kern w:val="0"/>
          <w:szCs w:val="21"/>
        </w:rPr>
        <w:t>（1套）、瓶盖检测机（1套）、吹干机（1套）、CO2激光打码机（1套）、液位封盖检测机（1套）、</w:t>
      </w:r>
      <w:bookmarkStart w:id="16" w:name="OLE_LINK23"/>
      <w:r>
        <w:rPr>
          <w:rFonts w:hint="eastAsia" w:ascii="宋体" w:hAnsi="宋体"/>
          <w:color w:val="auto"/>
          <w:kern w:val="0"/>
          <w:szCs w:val="21"/>
        </w:rPr>
        <w:t>无菌生产工艺数据处理及分析系统</w:t>
      </w:r>
      <w:bookmarkEnd w:id="16"/>
      <w:r>
        <w:rPr>
          <w:rFonts w:hint="eastAsia" w:ascii="宋体" w:hAnsi="宋体"/>
          <w:color w:val="auto"/>
          <w:kern w:val="0"/>
          <w:szCs w:val="21"/>
        </w:rPr>
        <w:t>（1套）、UPS储能模块（1套）、洁净蒸汽发生器（1套）、冰水机（1套）、吹灌旋一体机设备换型件（满足本项目所有的产品规格生产）、304不锈钢电柜、304不锈钢线槽和线管、桥架、管架、支架和配套材料等的设计、采购、安装、调试及相关服务。</w:t>
      </w:r>
    </w:p>
    <w:p>
      <w:pPr>
        <w:pStyle w:val="36"/>
        <w:widowControl/>
        <w:numPr>
          <w:ilvl w:val="0"/>
          <w:numId w:val="10"/>
        </w:numPr>
        <w:spacing w:line="360" w:lineRule="auto"/>
        <w:contextualSpacing w:val="0"/>
        <w:jc w:val="left"/>
        <w:rPr>
          <w:rFonts w:hint="eastAsia" w:ascii="宋体" w:hAnsi="宋体"/>
          <w:color w:val="auto"/>
          <w:kern w:val="0"/>
          <w:szCs w:val="21"/>
        </w:rPr>
      </w:pPr>
      <w:r>
        <w:rPr>
          <w:rFonts w:hint="eastAsia" w:ascii="宋体" w:hAnsi="宋体"/>
          <w:color w:val="auto"/>
          <w:kern w:val="0"/>
          <w:szCs w:val="21"/>
        </w:rPr>
        <w:t>十万级洁净功能区系统：</w:t>
      </w:r>
    </w:p>
    <w:p>
      <w:pPr>
        <w:pStyle w:val="36"/>
        <w:widowControl/>
        <w:numPr>
          <w:ilvl w:val="1"/>
          <w:numId w:val="11"/>
        </w:numPr>
        <w:spacing w:line="360" w:lineRule="auto"/>
        <w:jc w:val="left"/>
        <w:rPr>
          <w:rFonts w:hint="eastAsia" w:ascii="宋体" w:hAnsi="宋体"/>
          <w:color w:val="auto"/>
          <w:spacing w:val="-3"/>
        </w:rPr>
      </w:pPr>
      <w:r>
        <w:rPr>
          <w:rFonts w:hint="eastAsia" w:ascii="宋体" w:hAnsi="宋体"/>
          <w:color w:val="auto"/>
          <w:spacing w:val="-3"/>
        </w:rPr>
        <w:t>装修：不锈钢彩钢板隔墙、吊顶，净化门窗、传递窗、不锈钢设备（风淋室、操作平台、洗手池、更衣柜、鞋柜等）、风幕机、快速卷帘门、应急洗眼池、烘手/手消毒器及附件、地面施工（聚氨酯地面、排水系统等）、风淋室等材料的供应、加工制作、安装、检测调试。</w:t>
      </w:r>
    </w:p>
    <w:p>
      <w:pPr>
        <w:pStyle w:val="36"/>
        <w:widowControl/>
        <w:numPr>
          <w:ilvl w:val="1"/>
          <w:numId w:val="11"/>
        </w:numPr>
        <w:spacing w:line="360" w:lineRule="auto"/>
        <w:jc w:val="left"/>
        <w:rPr>
          <w:rFonts w:hint="eastAsia" w:ascii="宋体" w:hAnsi="宋体"/>
          <w:color w:val="auto"/>
          <w:spacing w:val="-3"/>
        </w:rPr>
      </w:pPr>
      <w:r>
        <w:rPr>
          <w:rFonts w:hint="eastAsia" w:ascii="宋体" w:hAnsi="宋体"/>
          <w:color w:val="auto"/>
          <w:spacing w:val="-3"/>
        </w:rPr>
        <w:t>水电: 照明、插座、开关系统(包括配管、穿线、洁净灯具、应急照明等)，控系统动力供（配）电系统、空调自控等的二次设计、材料供应、加工制作、安装、检测调试、消防实施（消防栓、灭火箱、烟感、手报、应急灯、逃生指示灯等）。</w:t>
      </w:r>
    </w:p>
    <w:p>
      <w:pPr>
        <w:pStyle w:val="36"/>
        <w:widowControl/>
        <w:numPr>
          <w:ilvl w:val="1"/>
          <w:numId w:val="11"/>
        </w:numPr>
        <w:spacing w:line="360" w:lineRule="auto"/>
        <w:jc w:val="left"/>
        <w:rPr>
          <w:rFonts w:hint="eastAsia" w:ascii="宋体" w:hAnsi="宋体"/>
          <w:color w:val="auto"/>
          <w:spacing w:val="-3"/>
        </w:rPr>
      </w:pPr>
      <w:r>
        <w:rPr>
          <w:rFonts w:hint="eastAsia" w:ascii="宋体" w:hAnsi="宋体"/>
          <w:color w:val="auto"/>
          <w:spacing w:val="-3"/>
        </w:rPr>
        <w:t>给排水：自来水系统、排水系统的二次设计及施工、材料供应、加工制作、安装、检测调试。包括墙面／楼面开洞与修复、材料供应、加工制作、安装、检测调试。</w:t>
      </w:r>
    </w:p>
    <w:p>
      <w:pPr>
        <w:pStyle w:val="36"/>
        <w:widowControl/>
        <w:numPr>
          <w:ilvl w:val="1"/>
          <w:numId w:val="11"/>
        </w:numPr>
        <w:spacing w:line="360" w:lineRule="auto"/>
        <w:jc w:val="left"/>
        <w:rPr>
          <w:rFonts w:hint="eastAsia" w:ascii="宋体" w:hAnsi="宋体"/>
          <w:color w:val="auto"/>
          <w:spacing w:val="-3"/>
        </w:rPr>
      </w:pPr>
      <w:r>
        <w:rPr>
          <w:rFonts w:ascii="宋体" w:hAnsi="宋体"/>
          <w:color w:val="auto"/>
          <w:spacing w:val="-3"/>
        </w:rPr>
        <w:t>暖通</w:t>
      </w:r>
      <w:r>
        <w:rPr>
          <w:rFonts w:hint="eastAsia" w:ascii="宋体" w:hAnsi="宋体"/>
          <w:color w:val="auto"/>
          <w:spacing w:val="-3"/>
        </w:rPr>
        <w:t>：空调设备（净化空调机组、排风机组、新风机组）、通风风管（送风、回风、排风）、暖通管道系统、高效过滤器、风口百叶、风管保温、管道阀门配套连接安装、加工制作、安装、检测调试。</w:t>
      </w:r>
    </w:p>
    <w:p>
      <w:pPr>
        <w:widowControl/>
        <w:numPr>
          <w:ilvl w:val="0"/>
          <w:numId w:val="9"/>
        </w:numPr>
        <w:spacing w:line="360" w:lineRule="auto"/>
        <w:jc w:val="left"/>
        <w:rPr>
          <w:rFonts w:hint="eastAsia" w:ascii="宋体" w:hAnsi="宋体" w:cs="宋体"/>
          <w:b/>
          <w:color w:val="auto"/>
          <w:kern w:val="0"/>
          <w:szCs w:val="21"/>
        </w:rPr>
      </w:pPr>
      <w:r>
        <w:rPr>
          <w:rFonts w:hint="eastAsia" w:ascii="宋体" w:hAnsi="宋体" w:cs="宋体"/>
          <w:b/>
          <w:color w:val="auto"/>
          <w:kern w:val="0"/>
          <w:szCs w:val="21"/>
        </w:rPr>
        <w:t>工程界限</w:t>
      </w:r>
    </w:p>
    <w:p>
      <w:pPr>
        <w:pStyle w:val="36"/>
        <w:widowControl/>
        <w:numPr>
          <w:ilvl w:val="0"/>
          <w:numId w:val="12"/>
        </w:numPr>
        <w:spacing w:line="360" w:lineRule="auto"/>
        <w:contextualSpacing w:val="0"/>
        <w:jc w:val="left"/>
        <w:rPr>
          <w:rFonts w:hint="eastAsia" w:ascii="宋体" w:hAnsi="宋体" w:cs="宋体"/>
          <w:bCs/>
          <w:color w:val="auto"/>
          <w:kern w:val="0"/>
          <w:szCs w:val="21"/>
        </w:rPr>
      </w:pPr>
      <w:r>
        <w:rPr>
          <w:rFonts w:hint="eastAsia" w:ascii="宋体" w:hAnsi="宋体"/>
          <w:color w:val="auto"/>
          <w:kern w:val="0"/>
          <w:szCs w:val="21"/>
        </w:rPr>
        <w:t>电源:</w:t>
      </w:r>
      <w:r>
        <w:rPr>
          <w:rFonts w:hint="eastAsia" w:ascii="宋体" w:hAnsi="宋体" w:cs="宋体"/>
          <w:bCs/>
          <w:color w:val="auto"/>
          <w:kern w:val="0"/>
          <w:szCs w:val="21"/>
        </w:rPr>
        <w:t xml:space="preserve"> 招标方负责依照投标方的设备需求提供单独的施工电缆线（最多提供4个施工电缆接口）至投标方的设备配电柜并压接好电缆端子，投标方负责系统内所有设备用</w:t>
      </w:r>
      <w:r>
        <w:rPr>
          <w:rFonts w:hint="eastAsia" w:ascii="宋体" w:hAnsi="宋体"/>
          <w:color w:val="auto"/>
        </w:rPr>
        <w:t>电使用点的动力和弱电电柜、主电源开关、控制电气和元器件、控制电缆、插座、信号电缆、线槽和线管、304不锈钢桥架、管架、支架和配套材料等设计、采购、安装和调试。</w:t>
      </w:r>
      <w:r>
        <w:rPr>
          <w:rFonts w:hint="eastAsia" w:ascii="宋体" w:hAnsi="宋体" w:cs="宋体"/>
          <w:bCs/>
          <w:color w:val="auto"/>
          <w:kern w:val="0"/>
          <w:szCs w:val="21"/>
        </w:rPr>
        <w:t>（具体中标后提资）</w:t>
      </w:r>
    </w:p>
    <w:p>
      <w:pPr>
        <w:pStyle w:val="36"/>
        <w:widowControl/>
        <w:numPr>
          <w:ilvl w:val="0"/>
          <w:numId w:val="12"/>
        </w:numPr>
        <w:spacing w:line="360" w:lineRule="auto"/>
        <w:contextualSpacing w:val="0"/>
        <w:jc w:val="left"/>
        <w:rPr>
          <w:rFonts w:hint="eastAsia" w:ascii="宋体" w:hAnsi="宋体" w:cs="宋体"/>
          <w:bCs/>
          <w:color w:val="auto"/>
          <w:kern w:val="0"/>
          <w:szCs w:val="21"/>
        </w:rPr>
      </w:pPr>
      <w:r>
        <w:rPr>
          <w:rFonts w:hint="eastAsia" w:ascii="宋体" w:hAnsi="宋体" w:cs="宋体"/>
          <w:bCs/>
          <w:color w:val="auto"/>
          <w:kern w:val="0"/>
          <w:szCs w:val="21"/>
        </w:rPr>
        <w:t>RO水供给管道：招标方负责提供1个管道至洁净功能区外墙1米作为工程界限（只提供1个管道对接口,压力＜0.4Mpa，管径规格中标后确定），</w:t>
      </w:r>
      <w:r>
        <w:rPr>
          <w:rFonts w:hint="eastAsia"/>
          <w:color w:val="auto"/>
        </w:rPr>
        <w:t>投标方负责工程界限接驳口焊接和本项目所有RO水使用点的卫生不锈钢管道和配套管件、管道配套法兰、弯头、三通、异径管、法兰管堵、304不锈钢球阀和截止阀、阀阵、流量计、水泵、换热器、压力和温度表、仪表仪器、过滤器、管垫和管码、桥架、支架和管架等货物的设计、采购、安装和调试。</w:t>
      </w:r>
    </w:p>
    <w:p>
      <w:pPr>
        <w:pStyle w:val="36"/>
        <w:numPr>
          <w:ilvl w:val="0"/>
          <w:numId w:val="12"/>
        </w:numPr>
        <w:spacing w:line="360" w:lineRule="auto"/>
        <w:rPr>
          <w:rFonts w:hint="eastAsia" w:ascii="宋体" w:hAnsi="宋体"/>
          <w:color w:val="auto"/>
          <w:kern w:val="0"/>
          <w:szCs w:val="21"/>
        </w:rPr>
      </w:pPr>
      <w:r>
        <w:rPr>
          <w:rFonts w:hint="eastAsia" w:ascii="宋体" w:hAnsi="宋体" w:cs="宋体"/>
          <w:bCs/>
          <w:color w:val="auto"/>
          <w:kern w:val="0"/>
          <w:szCs w:val="21"/>
        </w:rPr>
        <w:t>压缩空气管道：</w:t>
      </w:r>
    </w:p>
    <w:p>
      <w:pPr>
        <w:pStyle w:val="36"/>
        <w:widowControl/>
        <w:spacing w:line="360" w:lineRule="auto"/>
        <w:ind w:left="737"/>
        <w:contextualSpacing w:val="0"/>
        <w:jc w:val="left"/>
        <w:rPr>
          <w:rFonts w:hint="eastAsia" w:ascii="宋体" w:hAnsi="宋体" w:cs="宋体"/>
          <w:bCs/>
          <w:color w:val="auto"/>
          <w:kern w:val="0"/>
          <w:szCs w:val="21"/>
        </w:rPr>
      </w:pPr>
      <w:r>
        <w:rPr>
          <w:rFonts w:hint="eastAsia" w:ascii="宋体" w:hAnsi="宋体" w:cs="宋体"/>
          <w:bCs/>
          <w:color w:val="auto"/>
          <w:kern w:val="0"/>
          <w:szCs w:val="21"/>
        </w:rPr>
        <w:t>1）低压空气：招标方负责提供1个管道至洁净功能区外墙1米作为工程界限（只提供1个管道对接口,压力0.3～0.4Mpa，管径规格中标后确定），</w:t>
      </w:r>
      <w:r>
        <w:rPr>
          <w:rFonts w:hint="eastAsia"/>
          <w:color w:val="auto"/>
        </w:rPr>
        <w:t>投标方负责工程界限接驳口焊接和本项目所有设备用气使用点的304不锈钢无缝钢管道及配套管件、管道配套法兰、弯头、三通、异径管、法兰管堵、304不锈钢球阀和截止阀、压力表、气动三联体、空气过滤器、压力表、管垫和管码、桥架、支架和管架等货物的优化设计、采购、安装和调试。</w:t>
      </w:r>
    </w:p>
    <w:p>
      <w:pPr>
        <w:pStyle w:val="36"/>
        <w:spacing w:line="360" w:lineRule="auto"/>
        <w:ind w:left="737"/>
        <w:rPr>
          <w:rFonts w:hint="eastAsia" w:ascii="宋体" w:hAnsi="宋体" w:cs="宋体"/>
          <w:bCs/>
          <w:color w:val="auto"/>
          <w:kern w:val="0"/>
          <w:szCs w:val="21"/>
        </w:rPr>
      </w:pPr>
      <w:r>
        <w:rPr>
          <w:rFonts w:hint="eastAsia" w:ascii="宋体" w:hAnsi="宋体" w:cs="宋体"/>
          <w:bCs/>
          <w:color w:val="auto"/>
          <w:kern w:val="0"/>
          <w:szCs w:val="21"/>
        </w:rPr>
        <w:t>2）高压空气：招标方负责提供1个管道至洁净功能区外墙1米接口作为工程界限只提供1个管道对接口，压力及管径规格中标后确定），</w:t>
      </w:r>
      <w:r>
        <w:rPr>
          <w:rFonts w:hint="eastAsia"/>
          <w:color w:val="auto"/>
        </w:rPr>
        <w:t>投标方负责工程界限接驳口焊接和本项目所有设备用气使用点的304不锈钢无缝钢管道及配套管件、管道配套法兰、弯头、三通、异径管、法兰管堵、304不锈钢球阀和截止阀、压力表、气动三联体、空气过滤器、压力表、管垫和管码、桥架、支架和管架等货物的优化设计、采购、安装和调试。</w:t>
      </w:r>
    </w:p>
    <w:p>
      <w:pPr>
        <w:pStyle w:val="36"/>
        <w:numPr>
          <w:ilvl w:val="0"/>
          <w:numId w:val="12"/>
        </w:numPr>
        <w:spacing w:line="360" w:lineRule="auto"/>
        <w:rPr>
          <w:rFonts w:hint="eastAsia" w:ascii="宋体" w:hAnsi="宋体"/>
          <w:color w:val="auto"/>
          <w:kern w:val="0"/>
          <w:szCs w:val="21"/>
        </w:rPr>
      </w:pPr>
      <w:r>
        <w:rPr>
          <w:rFonts w:hint="eastAsia" w:ascii="宋体" w:hAnsi="宋体"/>
          <w:color w:val="auto"/>
          <w:kern w:val="0"/>
          <w:szCs w:val="21"/>
        </w:rPr>
        <w:t>蒸汽：</w:t>
      </w:r>
      <w:r>
        <w:rPr>
          <w:rFonts w:hint="eastAsia" w:ascii="宋体" w:hAnsi="宋体" w:cs="宋体"/>
          <w:bCs/>
          <w:color w:val="auto"/>
          <w:kern w:val="0"/>
          <w:szCs w:val="21"/>
        </w:rPr>
        <w:t>招标方负责提供1个管道接至洁净功能区外墙1米作为工程界限只提供1个管道对接口，压力</w:t>
      </w:r>
      <w:r>
        <w:rPr>
          <w:rFonts w:hint="eastAsia" w:ascii="宋体" w:hAnsi="宋体" w:cs="宋体"/>
          <w:bCs/>
          <w:color w:val="auto"/>
          <w:szCs w:val="21"/>
        </w:rPr>
        <w:t>0.7～0.9Mpa</w:t>
      </w:r>
      <w:r>
        <w:rPr>
          <w:rFonts w:hint="eastAsia" w:ascii="宋体" w:hAnsi="宋体" w:cs="宋体"/>
          <w:bCs/>
          <w:color w:val="auto"/>
          <w:kern w:val="0"/>
          <w:szCs w:val="21"/>
        </w:rPr>
        <w:t>及管径规格中标后确定），</w:t>
      </w:r>
      <w:r>
        <w:rPr>
          <w:rFonts w:hint="eastAsia"/>
          <w:color w:val="auto"/>
          <w:kern w:val="0"/>
        </w:rPr>
        <w:t>投标方负责工程界限蒸汽管道接口的焊接、管道接口至本项目所有设备蒸汽使用点的</w:t>
      </w:r>
      <w:r>
        <w:rPr>
          <w:rFonts w:hint="eastAsia"/>
          <w:color w:val="auto"/>
        </w:rPr>
        <w:t>无缝管道（碳钢）和配套管件、</w:t>
      </w:r>
      <w:r>
        <w:rPr>
          <w:rFonts w:hint="eastAsia"/>
          <w:color w:val="auto"/>
          <w:kern w:val="0"/>
        </w:rPr>
        <w:t>报装报检，</w:t>
      </w:r>
      <w:r>
        <w:rPr>
          <w:rFonts w:hint="eastAsia"/>
          <w:color w:val="auto"/>
        </w:rPr>
        <w:t>管道配套法兰、法兰管堵、弯头、异径管、三通、截止阀、过滤器、疏水阀、膨胀阀、安全阀、压力表、温度表、止回阀</w:t>
      </w:r>
      <w:r>
        <w:rPr>
          <w:rFonts w:hint="eastAsia"/>
          <w:color w:val="auto"/>
          <w:kern w:val="0"/>
        </w:rPr>
        <w:t>、换热器、</w:t>
      </w:r>
      <w:r>
        <w:rPr>
          <w:rFonts w:hint="eastAsia"/>
          <w:color w:val="auto"/>
        </w:rPr>
        <w:t>管道保温和外包裹304不锈钢防护、管垫和管码、桥架、支架和管架等货物的设计、采购、安装和调试</w:t>
      </w:r>
      <w:r>
        <w:rPr>
          <w:rFonts w:hint="eastAsia"/>
          <w:color w:val="auto"/>
          <w:kern w:val="0"/>
        </w:rPr>
        <w:t>。</w:t>
      </w:r>
    </w:p>
    <w:p>
      <w:pPr>
        <w:pStyle w:val="36"/>
        <w:numPr>
          <w:ilvl w:val="0"/>
          <w:numId w:val="12"/>
        </w:numPr>
        <w:spacing w:line="360" w:lineRule="auto"/>
        <w:rPr>
          <w:rFonts w:hint="eastAsia" w:ascii="宋体" w:hAnsi="宋体"/>
          <w:color w:val="auto"/>
          <w:kern w:val="0"/>
          <w:szCs w:val="21"/>
        </w:rPr>
      </w:pPr>
      <w:r>
        <w:rPr>
          <w:rFonts w:hint="eastAsia" w:ascii="宋体" w:hAnsi="宋体"/>
          <w:color w:val="auto"/>
          <w:kern w:val="0"/>
          <w:szCs w:val="21"/>
        </w:rPr>
        <w:t>CIP管道：</w:t>
      </w:r>
    </w:p>
    <w:p>
      <w:pPr>
        <w:pStyle w:val="36"/>
        <w:spacing w:line="360" w:lineRule="auto"/>
        <w:ind w:left="737"/>
        <w:rPr>
          <w:rFonts w:hint="eastAsia" w:ascii="宋体" w:hAnsi="宋体"/>
          <w:color w:val="auto"/>
          <w:kern w:val="0"/>
          <w:szCs w:val="21"/>
        </w:rPr>
      </w:pPr>
      <w:r>
        <w:rPr>
          <w:rFonts w:hint="eastAsia" w:ascii="宋体" w:hAnsi="宋体"/>
          <w:color w:val="auto"/>
          <w:kern w:val="0"/>
          <w:szCs w:val="21"/>
        </w:rPr>
        <w:t>1）招标方负责本项目设备物料/CIP管道接</w:t>
      </w:r>
      <w:r>
        <w:rPr>
          <w:rFonts w:hint="eastAsia" w:ascii="宋体" w:hAnsi="宋体" w:cs="宋体"/>
          <w:bCs/>
          <w:color w:val="auto"/>
          <w:kern w:val="0"/>
          <w:szCs w:val="21"/>
        </w:rPr>
        <w:t>至洁净功能区外墙1米，</w:t>
      </w:r>
      <w:r>
        <w:rPr>
          <w:rFonts w:hint="eastAsia" w:ascii="宋体" w:hAnsi="宋体"/>
          <w:color w:val="auto"/>
          <w:kern w:val="0"/>
          <w:szCs w:val="21"/>
        </w:rPr>
        <w:t>投标方负责本项目设备物料/CIP清洗的不锈钢管道和配套管件、管道配套法兰、法兰管堵、弯头、异径管、三通、蝶阀、阀阵、过滤器、止回阀、离心泵、自吸泵、换热器、不锈钢罐、流量计、电导率仪、仪表仪器、CIP系统设备和控制系统、管垫和管码、桥架、支架和管架等货物的设计、采购、安装和调试。</w:t>
      </w:r>
    </w:p>
    <w:p>
      <w:pPr>
        <w:pStyle w:val="36"/>
        <w:spacing w:line="360" w:lineRule="auto"/>
        <w:ind w:left="737"/>
        <w:rPr>
          <w:rFonts w:hint="eastAsia" w:ascii="宋体" w:hAnsi="宋体"/>
          <w:color w:val="auto"/>
        </w:rPr>
      </w:pPr>
      <w:r>
        <w:rPr>
          <w:rFonts w:hint="eastAsia" w:ascii="宋体" w:hAnsi="宋体"/>
          <w:color w:val="auto"/>
          <w:kern w:val="0"/>
          <w:szCs w:val="21"/>
        </w:rPr>
        <w:t>2）投标方负责预留吹灌旋一体机设备与前处理设备的物料管道与CIP管道的对接口并配合招标方PLC信号对接，以吹灌旋产品入口阀门为界点，投标方负责交接阀门后的CIP管道配件和清洗程序，招标方负责交接阀门前的</w:t>
      </w:r>
      <w:r>
        <w:rPr>
          <w:rFonts w:hint="eastAsia" w:ascii="宋体" w:hAnsi="宋体"/>
          <w:color w:val="auto"/>
        </w:rPr>
        <w:t>前处理设备至吹灌旋设备的物料管道及CIP不锈钢管道和配套管件、管道配套法兰、弯头、异径管、三通、蝶阀、止回阀、管垫和管码、桥架、支架和管架等货物的设计、采购、安装和调试。</w:t>
      </w:r>
    </w:p>
    <w:p>
      <w:pPr>
        <w:pStyle w:val="36"/>
        <w:numPr>
          <w:ilvl w:val="0"/>
          <w:numId w:val="12"/>
        </w:numPr>
        <w:spacing w:line="360" w:lineRule="auto"/>
        <w:rPr>
          <w:rFonts w:hint="eastAsia" w:ascii="宋体" w:hAnsi="宋体"/>
          <w:color w:val="auto"/>
          <w:kern w:val="0"/>
          <w:szCs w:val="21"/>
        </w:rPr>
      </w:pPr>
      <w:r>
        <w:rPr>
          <w:rFonts w:hint="eastAsia" w:ascii="宋体" w:hAnsi="宋体"/>
          <w:color w:val="auto"/>
          <w:szCs w:val="21"/>
        </w:rPr>
        <w:t>冰水（空调系统及灌装机）</w:t>
      </w:r>
      <w:r>
        <w:rPr>
          <w:rFonts w:hint="eastAsia" w:ascii="宋体" w:hAnsi="宋体" w:cs="宋体"/>
          <w:bCs/>
          <w:color w:val="auto"/>
          <w:kern w:val="0"/>
          <w:szCs w:val="21"/>
        </w:rPr>
        <w:t>：招标方负责提供管道接至洁净功能区外墙1米作为工程界限（只提供管道对接口，管径规格中标后确定），投标方负责本项目洁净房使用点的内部管道和连接。</w:t>
      </w:r>
      <w:r>
        <w:rPr>
          <w:rFonts w:hint="eastAsia" w:ascii="宋体" w:hAnsi="宋体"/>
          <w:color w:val="auto"/>
          <w:kern w:val="0"/>
          <w:szCs w:val="21"/>
        </w:rPr>
        <w:t xml:space="preserve"> </w:t>
      </w:r>
    </w:p>
    <w:p>
      <w:pPr>
        <w:pStyle w:val="36"/>
        <w:numPr>
          <w:ilvl w:val="0"/>
          <w:numId w:val="12"/>
        </w:numPr>
        <w:spacing w:line="360" w:lineRule="auto"/>
        <w:rPr>
          <w:rFonts w:hint="eastAsia" w:ascii="宋体" w:hAnsi="宋体"/>
          <w:color w:val="auto"/>
          <w:kern w:val="0"/>
          <w:szCs w:val="21"/>
        </w:rPr>
      </w:pPr>
      <w:r>
        <w:rPr>
          <w:rFonts w:hint="eastAsia" w:ascii="宋体" w:hAnsi="宋体"/>
          <w:color w:val="auto"/>
          <w:kern w:val="0"/>
          <w:szCs w:val="21"/>
        </w:rPr>
        <w:t>塔水：</w:t>
      </w:r>
      <w:r>
        <w:rPr>
          <w:rFonts w:hint="eastAsia" w:ascii="宋体" w:hAnsi="宋体" w:cs="宋体"/>
          <w:bCs/>
          <w:color w:val="auto"/>
          <w:kern w:val="0"/>
          <w:szCs w:val="21"/>
        </w:rPr>
        <w:t>招标方负责提供管道接至洁净功能区外墙1米作为工程界限（只提供管道对接口，管径规格中标后确定，只提供吹瓶机塔水），投标方负责本项目设备使用点的内部管道和连接。</w:t>
      </w:r>
      <w:r>
        <w:rPr>
          <w:rFonts w:hint="eastAsia" w:ascii="宋体" w:hAnsi="宋体"/>
          <w:color w:val="auto"/>
          <w:kern w:val="0"/>
          <w:szCs w:val="21"/>
        </w:rPr>
        <w:t xml:space="preserve"> </w:t>
      </w:r>
    </w:p>
    <w:p>
      <w:pPr>
        <w:pStyle w:val="36"/>
        <w:numPr>
          <w:ilvl w:val="0"/>
          <w:numId w:val="12"/>
        </w:numPr>
        <w:spacing w:line="360" w:lineRule="auto"/>
        <w:rPr>
          <w:rFonts w:hint="eastAsia" w:ascii="宋体" w:hAnsi="宋体"/>
          <w:color w:val="auto"/>
          <w:kern w:val="0"/>
          <w:szCs w:val="21"/>
        </w:rPr>
      </w:pPr>
      <w:r>
        <w:rPr>
          <w:rFonts w:hint="eastAsia"/>
          <w:color w:val="auto"/>
        </w:rPr>
        <w:t>招标方负责灌装机设备和洁净房空调所需的冰水能源；投标方负责吹瓶机设备使用冰水的冰水能源，</w:t>
      </w:r>
      <w:r>
        <w:rPr>
          <w:rFonts w:hint="eastAsia" w:ascii="宋体" w:hAnsi="宋体"/>
          <w:color w:val="auto"/>
          <w:kern w:val="0"/>
          <w:szCs w:val="21"/>
        </w:rPr>
        <w:t>包含冰水机组、冰水管道、</w:t>
      </w:r>
      <w:r>
        <w:rPr>
          <w:rFonts w:hint="eastAsia" w:ascii="宋体" w:hAnsi="宋体"/>
          <w:color w:val="auto"/>
        </w:rPr>
        <w:t>管道配套法兰、弯头、异径管、三通、蝶阀、止回阀、管垫和管码、桥架、支架和管架等货物的设计、采购、安装和调试。</w:t>
      </w:r>
    </w:p>
    <w:p>
      <w:pPr>
        <w:pStyle w:val="36"/>
        <w:widowControl/>
        <w:numPr>
          <w:ilvl w:val="0"/>
          <w:numId w:val="12"/>
        </w:numPr>
        <w:spacing w:line="360" w:lineRule="auto"/>
        <w:contextualSpacing w:val="0"/>
        <w:jc w:val="left"/>
        <w:rPr>
          <w:rFonts w:hint="eastAsia" w:ascii="宋体" w:hAnsi="宋体" w:cs="宋体"/>
          <w:bCs/>
          <w:color w:val="auto"/>
          <w:kern w:val="0"/>
          <w:szCs w:val="21"/>
        </w:rPr>
      </w:pPr>
      <w:r>
        <w:rPr>
          <w:rFonts w:hint="eastAsia" w:ascii="宋体" w:hAnsi="宋体" w:cs="宋体"/>
          <w:bCs/>
          <w:color w:val="auto"/>
          <w:kern w:val="0"/>
          <w:szCs w:val="21"/>
        </w:rPr>
        <w:t>投标方负责本项目吹灌旋一体机设备及配套输送带污水排放，需要集中收集，并连接车间内就近排污口或水沟排放及恢复，包括304不锈钢管道及转换管道、支架等的设计、采购、安装和调试。</w:t>
      </w:r>
    </w:p>
    <w:p>
      <w:pPr>
        <w:pStyle w:val="36"/>
        <w:numPr>
          <w:ilvl w:val="0"/>
          <w:numId w:val="12"/>
        </w:numPr>
        <w:spacing w:line="360" w:lineRule="auto"/>
        <w:contextualSpacing w:val="0"/>
        <w:rPr>
          <w:rFonts w:hint="eastAsia" w:ascii="宋体" w:hAnsi="宋体" w:cs="宋体"/>
          <w:color w:val="auto"/>
          <w:szCs w:val="21"/>
        </w:rPr>
      </w:pPr>
      <w:r>
        <w:rPr>
          <w:rFonts w:ascii="宋体" w:hAnsi="宋体" w:cs="宋体"/>
          <w:color w:val="auto"/>
          <w:szCs w:val="21"/>
        </w:rPr>
        <w:t>招标方负责设备调试阶段起所需的生产消耗品，投标方需在中标后提供一份从调试至量产阶段所需消耗品清单</w:t>
      </w:r>
      <w:r>
        <w:rPr>
          <w:rFonts w:hint="eastAsia" w:ascii="宋体" w:hAnsi="宋体" w:cs="宋体"/>
          <w:color w:val="auto"/>
          <w:szCs w:val="21"/>
        </w:rPr>
        <w:t>，其中包括但不限于CIP清洗剂、杀菌液、无菌验证菌种及培养基等。</w:t>
      </w:r>
    </w:p>
    <w:p>
      <w:pPr>
        <w:pStyle w:val="36"/>
        <w:widowControl/>
        <w:numPr>
          <w:ilvl w:val="0"/>
          <w:numId w:val="12"/>
        </w:numPr>
        <w:spacing w:line="360" w:lineRule="auto"/>
        <w:contextualSpacing w:val="0"/>
        <w:jc w:val="left"/>
        <w:rPr>
          <w:rFonts w:hint="eastAsia" w:ascii="宋体" w:hAnsi="宋体" w:cs="宋体"/>
          <w:bCs/>
          <w:color w:val="auto"/>
          <w:kern w:val="0"/>
          <w:szCs w:val="21"/>
        </w:rPr>
      </w:pPr>
      <w:r>
        <w:rPr>
          <w:rFonts w:hint="eastAsia" w:ascii="宋体" w:hAnsi="宋体" w:cs="宋体"/>
          <w:bCs/>
          <w:color w:val="auto"/>
          <w:kern w:val="0"/>
          <w:szCs w:val="21"/>
        </w:rPr>
        <w:t>与上下游设备的信号交换原则上是谁需要谁负责通讯电缆、</w:t>
      </w:r>
      <w:r>
        <w:rPr>
          <w:rFonts w:hint="eastAsia" w:ascii="宋体" w:hAnsi="宋体" w:cs="宋体"/>
          <w:bCs/>
          <w:color w:val="auto"/>
          <w:szCs w:val="21"/>
        </w:rPr>
        <w:t>管码、桥架、支架和管架等货物采购和</w:t>
      </w:r>
      <w:r>
        <w:rPr>
          <w:rFonts w:hint="eastAsia" w:ascii="宋体" w:hAnsi="宋体" w:cs="宋体"/>
          <w:bCs/>
          <w:color w:val="auto"/>
          <w:kern w:val="0"/>
          <w:szCs w:val="21"/>
        </w:rPr>
        <w:t>安装，上下游公司负责提供信号接口，并配合调试。</w:t>
      </w:r>
    </w:p>
    <w:p>
      <w:pPr>
        <w:numPr>
          <w:ilvl w:val="0"/>
          <w:numId w:val="12"/>
        </w:numPr>
        <w:spacing w:line="360" w:lineRule="auto"/>
        <w:rPr>
          <w:rFonts w:hint="eastAsia" w:ascii="宋体" w:hAnsi="宋体"/>
          <w:color w:val="auto"/>
          <w:kern w:val="0"/>
          <w:szCs w:val="21"/>
        </w:rPr>
      </w:pPr>
      <w:r>
        <w:rPr>
          <w:rFonts w:hint="eastAsia" w:ascii="宋体" w:hAnsi="宋体"/>
          <w:color w:val="auto"/>
          <w:kern w:val="0"/>
          <w:szCs w:val="21"/>
        </w:rPr>
        <w:t xml:space="preserve">投标方负责提供1条洁净功能区至生产车间的输送带，由液位封盖检测机（配置在洁净功能区外）位置起输送线后（含液位取样输送线）的1米作为工程界限，包括输送带、输送带主动传动轴、配套变频电机、轴承和配套设备等设计、采购、安装和调试；负责工程界限输送带电机和主动传动轴与招标方后段设备输送带联接安装（输送带实际需要长度，中标后后段设备标段与本标段提资确定具体连接和控制方案，并送招标方审核确认）。招标方负责提供1条后段设备的单道输送带、与工程界限输送带相互联接的从动传动轴、配套变频电机、轴承等由招标方负责采购和安装；投标方配合招标方多道输送带从动传动轴的安装和调试。 </w:t>
      </w:r>
    </w:p>
    <w:p>
      <w:pPr>
        <w:numPr>
          <w:ilvl w:val="0"/>
          <w:numId w:val="12"/>
        </w:numPr>
        <w:spacing w:line="360" w:lineRule="auto"/>
        <w:rPr>
          <w:rFonts w:hint="eastAsia" w:ascii="宋体" w:hAnsi="宋体"/>
          <w:color w:val="auto"/>
        </w:rPr>
      </w:pPr>
      <w:r>
        <w:rPr>
          <w:rFonts w:hint="eastAsia" w:ascii="宋体" w:hAnsi="宋体"/>
          <w:color w:val="auto"/>
          <w:kern w:val="0"/>
          <w:szCs w:val="21"/>
        </w:rPr>
        <w:t>投标方需依据生产车间给排水布局现状和车间1混凝土结构图负责本项目吹灌旋设备洁净功能区车间系统、排水管道设计及施工，尽量利用现有的排水。采用配有U型弯管的洁净地漏，布局合理，并满足设备污水排放要求，洁净功能区内剩余现有明沟均需要填平。（中标后进行提资和出具设计施工方案，并送招标方审核确认）；详看附件2：车间给排水管道图，附件3：车间1 混凝土结构图。</w:t>
      </w:r>
    </w:p>
    <w:p>
      <w:pPr>
        <w:pStyle w:val="36"/>
        <w:numPr>
          <w:ilvl w:val="0"/>
          <w:numId w:val="12"/>
        </w:numPr>
        <w:spacing w:line="360" w:lineRule="auto"/>
        <w:rPr>
          <w:rFonts w:hint="eastAsia" w:ascii="宋体" w:hAnsi="宋体"/>
          <w:color w:val="auto"/>
          <w:kern w:val="0"/>
        </w:rPr>
      </w:pPr>
      <w:r>
        <w:rPr>
          <w:rFonts w:hint="eastAsia" w:ascii="宋体" w:hAnsi="宋体"/>
          <w:color w:val="auto"/>
        </w:rPr>
        <w:t>投标方负责标的范围内的特种设备、压力管道和仪表仪器的报建报检报验等工作及相关费用，招标方配合及提供相关证件资料。</w:t>
      </w:r>
    </w:p>
    <w:p>
      <w:pPr>
        <w:numPr>
          <w:ilvl w:val="0"/>
          <w:numId w:val="12"/>
        </w:numPr>
        <w:spacing w:line="360" w:lineRule="auto"/>
        <w:rPr>
          <w:rFonts w:hint="eastAsia" w:ascii="宋体" w:hAnsi="宋体"/>
          <w:color w:val="auto"/>
          <w:kern w:val="0"/>
          <w:szCs w:val="21"/>
        </w:rPr>
      </w:pPr>
      <w:r>
        <w:rPr>
          <w:rFonts w:hint="eastAsia" w:ascii="宋体" w:hAnsi="宋体"/>
          <w:color w:val="auto"/>
          <w:kern w:val="0"/>
          <w:szCs w:val="21"/>
        </w:rPr>
        <w:t>投标方负责本项目所有蒸汽使用的设备蒸汽冷凝水集中回收，并安装至车间室外冷却水塔设备附近（具体位置方案中标后提资，并送招标方审核确认）；主要包括管道、管道转换管道件、管道保温及保温防护、单向阀、蒸汽阀门、温度表、压力表、桥架和支架等的设计、采购、安装和调试等。</w:t>
      </w:r>
    </w:p>
    <w:p>
      <w:pPr>
        <w:numPr>
          <w:ilvl w:val="0"/>
          <w:numId w:val="12"/>
        </w:numPr>
        <w:spacing w:line="360" w:lineRule="auto"/>
        <w:rPr>
          <w:rFonts w:hint="eastAsia" w:ascii="宋体" w:hAnsi="宋体"/>
          <w:color w:val="auto"/>
          <w:kern w:val="0"/>
          <w:szCs w:val="21"/>
        </w:rPr>
      </w:pPr>
      <w:r>
        <w:rPr>
          <w:rFonts w:hint="eastAsia" w:ascii="宋体" w:hAnsi="宋体"/>
          <w:color w:val="auto"/>
          <w:kern w:val="0"/>
          <w:szCs w:val="21"/>
        </w:rPr>
        <w:t>投标方负责将洁净功能区排风管道（</w:t>
      </w:r>
      <w:r>
        <w:rPr>
          <w:rFonts w:hint="eastAsia" w:ascii="宋体" w:hAnsi="宋体" w:cs="宋体"/>
          <w:bCs/>
          <w:color w:val="auto"/>
          <w:kern w:val="0"/>
          <w:szCs w:val="21"/>
        </w:rPr>
        <w:t>洁净功能区</w:t>
      </w:r>
      <w:r>
        <w:rPr>
          <w:rFonts w:hint="eastAsia" w:ascii="宋体" w:hAnsi="宋体"/>
          <w:color w:val="auto"/>
          <w:kern w:val="0"/>
          <w:szCs w:val="21"/>
        </w:rPr>
        <w:t>及设备等）统一配置在生产钢结构车间与立体仓库方向的侧面（中标后提资），并做好防水噪音等措施。</w:t>
      </w:r>
    </w:p>
    <w:p>
      <w:pPr>
        <w:numPr>
          <w:ilvl w:val="0"/>
          <w:numId w:val="12"/>
        </w:numPr>
        <w:spacing w:line="360" w:lineRule="auto"/>
        <w:rPr>
          <w:rFonts w:hint="eastAsia" w:ascii="宋体" w:hAnsi="宋体"/>
          <w:color w:val="auto"/>
          <w:kern w:val="0"/>
          <w:szCs w:val="21"/>
        </w:rPr>
      </w:pPr>
      <w:r>
        <w:rPr>
          <w:rFonts w:hint="eastAsia" w:ascii="宋体" w:hAnsi="宋体"/>
          <w:color w:val="auto"/>
          <w:kern w:val="0"/>
          <w:szCs w:val="21"/>
        </w:rPr>
        <w:t>投标方负责在本项目</w:t>
      </w:r>
      <w:r>
        <w:rPr>
          <w:rFonts w:hint="eastAsia"/>
          <w:color w:val="auto"/>
        </w:rPr>
        <w:t>设备试产前</w:t>
      </w:r>
      <w:r>
        <w:rPr>
          <w:rFonts w:hint="eastAsia" w:ascii="宋体" w:hAnsi="宋体"/>
          <w:color w:val="auto"/>
          <w:kern w:val="0"/>
          <w:szCs w:val="21"/>
        </w:rPr>
        <w:t>所有设备的易损件及过滤器更换。</w:t>
      </w:r>
    </w:p>
    <w:p>
      <w:pPr>
        <w:numPr>
          <w:ilvl w:val="0"/>
          <w:numId w:val="12"/>
        </w:numPr>
        <w:spacing w:line="360" w:lineRule="auto"/>
        <w:rPr>
          <w:rFonts w:hint="eastAsia" w:ascii="宋体" w:hAnsi="宋体"/>
          <w:color w:val="auto"/>
          <w:kern w:val="0"/>
          <w:szCs w:val="21"/>
        </w:rPr>
      </w:pPr>
      <w:r>
        <w:rPr>
          <w:rFonts w:hint="eastAsia" w:ascii="宋体" w:hAnsi="宋体"/>
          <w:color w:val="auto"/>
          <w:kern w:val="0"/>
          <w:szCs w:val="21"/>
        </w:rPr>
        <w:t>投标方负责将所供设备运到招标方的工地现场，并负责所供设备的设计、供货、运输、报关、装卸、保管、开箱（招标方参与清点货物）、就位、安装、调试、无菌验证、培训、售后服务等。</w:t>
      </w:r>
    </w:p>
    <w:p>
      <w:pPr>
        <w:numPr>
          <w:ilvl w:val="0"/>
          <w:numId w:val="12"/>
        </w:numPr>
        <w:spacing w:line="360" w:lineRule="auto"/>
        <w:rPr>
          <w:rFonts w:hint="eastAsia" w:ascii="宋体" w:hAnsi="宋体"/>
          <w:color w:val="auto"/>
        </w:rPr>
      </w:pPr>
      <w:r>
        <w:rPr>
          <w:rFonts w:hint="eastAsia" w:ascii="宋体" w:hAnsi="宋体"/>
          <w:color w:val="auto"/>
          <w:kern w:val="0"/>
          <w:szCs w:val="21"/>
        </w:rPr>
        <w:t>投标方在各设备控制系统内设置以太网通讯模块并最少预留一个接口，能接受上位机监控，能提供完成生产所需要的信号交换表格，并配合与招标方生产车间中控信号对接、调试。招标方负责中控室至本项目设备控制柜的通讯线安装，招标方在中控室能监控吹灌旋一体机设备，并通过控制柜中的通讯模块读取运行数据、报警等数据以及设备运行状态等信息数据。</w:t>
      </w:r>
    </w:p>
    <w:p>
      <w:pPr>
        <w:numPr>
          <w:ilvl w:val="0"/>
          <w:numId w:val="12"/>
        </w:numPr>
        <w:spacing w:line="360" w:lineRule="auto"/>
        <w:rPr>
          <w:rFonts w:hint="eastAsia" w:ascii="宋体" w:hAnsi="宋体"/>
          <w:color w:val="auto"/>
        </w:rPr>
      </w:pPr>
      <w:r>
        <w:rPr>
          <w:rFonts w:hint="eastAsia" w:ascii="宋体" w:hAnsi="宋体"/>
          <w:color w:val="auto"/>
          <w:szCs w:val="21"/>
        </w:rPr>
        <w:t>投标方负责所有线槽或线管安装时，驳接处须用铜导线或软铜线两端连接，且按规范进行两端接地连接，所有设备外壳可靠接地。</w:t>
      </w:r>
    </w:p>
    <w:p>
      <w:pPr>
        <w:numPr>
          <w:ilvl w:val="0"/>
          <w:numId w:val="12"/>
        </w:numPr>
        <w:spacing w:line="360" w:lineRule="auto"/>
        <w:rPr>
          <w:rFonts w:hint="eastAsia" w:ascii="宋体" w:hAnsi="宋体"/>
          <w:color w:val="auto"/>
          <w:kern w:val="0"/>
          <w:szCs w:val="21"/>
        </w:rPr>
      </w:pPr>
      <w:r>
        <w:rPr>
          <w:rFonts w:hint="eastAsia" w:ascii="宋体" w:hAnsi="宋体"/>
          <w:color w:val="auto"/>
          <w:szCs w:val="21"/>
        </w:rPr>
        <w:t>投标方施工安装桥架、支架、管道、线槽和线管件等，需要固定、穿墙或隔断开孔等，由投标方负责修复洞口堵封或墙面复原等，所用材料符合消防防火要求。</w:t>
      </w:r>
    </w:p>
    <w:p>
      <w:pPr>
        <w:numPr>
          <w:ilvl w:val="0"/>
          <w:numId w:val="12"/>
        </w:numPr>
        <w:spacing w:line="360" w:lineRule="auto"/>
        <w:rPr>
          <w:rFonts w:hint="eastAsia" w:ascii="宋体" w:hAnsi="宋体"/>
          <w:color w:val="auto"/>
          <w:kern w:val="0"/>
          <w:szCs w:val="21"/>
        </w:rPr>
      </w:pPr>
      <w:r>
        <w:rPr>
          <w:rFonts w:hint="eastAsia" w:ascii="宋体" w:hAnsi="宋体" w:cs="宋体"/>
          <w:color w:val="auto"/>
          <w:szCs w:val="21"/>
        </w:rPr>
        <w:t>洁净功能区系统</w:t>
      </w:r>
      <w:r>
        <w:rPr>
          <w:rFonts w:hint="eastAsia" w:ascii="宋体" w:hAnsi="宋体"/>
          <w:color w:val="auto"/>
          <w:kern w:val="0"/>
          <w:szCs w:val="21"/>
        </w:rPr>
        <w:t>工程所用的主要材料、设备、成品及半成品均须符合国家标准的规定并在购买前进行统一报招标方审核，关键材料存样。到货后需经验收合格才能使用，报验需提供</w:t>
      </w:r>
      <w:bookmarkStart w:id="17" w:name="OLE_LINK8"/>
      <w:r>
        <w:rPr>
          <w:rFonts w:hint="eastAsia" w:ascii="宋体" w:hAnsi="宋体"/>
          <w:color w:val="auto"/>
          <w:kern w:val="0"/>
          <w:szCs w:val="21"/>
        </w:rPr>
        <w:t>报检</w:t>
      </w:r>
      <w:bookmarkEnd w:id="17"/>
      <w:r>
        <w:rPr>
          <w:rFonts w:hint="eastAsia" w:ascii="宋体" w:hAnsi="宋体"/>
          <w:color w:val="auto"/>
          <w:kern w:val="0"/>
          <w:szCs w:val="21"/>
        </w:rPr>
        <w:t>资料（包括材料</w:t>
      </w:r>
      <w:r>
        <w:rPr>
          <w:rFonts w:ascii="宋体" w:hAnsi="宋体"/>
          <w:color w:val="auto"/>
          <w:kern w:val="0"/>
          <w:szCs w:val="21"/>
        </w:rPr>
        <w:t>/</w:t>
      </w:r>
      <w:r>
        <w:rPr>
          <w:rFonts w:hint="eastAsia" w:ascii="宋体" w:hAnsi="宋体"/>
          <w:color w:val="auto"/>
          <w:kern w:val="0"/>
          <w:szCs w:val="21"/>
        </w:rPr>
        <w:t>设备品牌、型号、清单、技术资料、合格证书或质量证明文件）。并有出厂合格证明或质量鉴定证明文件</w:t>
      </w:r>
      <w:r>
        <w:rPr>
          <w:rFonts w:ascii="宋体" w:hAnsi="宋体"/>
          <w:color w:val="auto"/>
          <w:kern w:val="0"/>
          <w:szCs w:val="21"/>
        </w:rPr>
        <w:t>,</w:t>
      </w:r>
      <w:r>
        <w:rPr>
          <w:rFonts w:hint="eastAsia" w:ascii="宋体" w:hAnsi="宋体"/>
          <w:color w:val="auto"/>
          <w:kern w:val="0"/>
          <w:szCs w:val="21"/>
        </w:rPr>
        <w:t>没有出厂合格证明或对质量有怀疑时</w:t>
      </w:r>
      <w:r>
        <w:rPr>
          <w:rFonts w:ascii="宋体" w:hAnsi="宋体"/>
          <w:color w:val="auto"/>
          <w:kern w:val="0"/>
          <w:szCs w:val="21"/>
        </w:rPr>
        <w:t>,</w:t>
      </w:r>
      <w:r>
        <w:rPr>
          <w:rFonts w:hint="eastAsia" w:ascii="宋体" w:hAnsi="宋体"/>
          <w:color w:val="auto"/>
          <w:kern w:val="0"/>
          <w:szCs w:val="21"/>
        </w:rPr>
        <w:t>必须进行检验</w:t>
      </w:r>
      <w:r>
        <w:rPr>
          <w:rFonts w:ascii="宋体" w:hAnsi="宋体"/>
          <w:color w:val="auto"/>
          <w:kern w:val="0"/>
          <w:szCs w:val="21"/>
        </w:rPr>
        <w:t>,</w:t>
      </w:r>
      <w:r>
        <w:rPr>
          <w:rFonts w:hint="eastAsia" w:ascii="宋体" w:hAnsi="宋体"/>
          <w:color w:val="auto"/>
          <w:kern w:val="0"/>
          <w:szCs w:val="21"/>
        </w:rPr>
        <w:t>符合要求后方可使用。超过工厂保质期的材料不得使用。</w:t>
      </w:r>
    </w:p>
    <w:p>
      <w:pPr>
        <w:numPr>
          <w:ilvl w:val="0"/>
          <w:numId w:val="12"/>
        </w:numPr>
        <w:spacing w:line="360" w:lineRule="auto"/>
        <w:rPr>
          <w:rFonts w:hint="eastAsia" w:ascii="宋体" w:hAnsi="宋体"/>
          <w:color w:val="auto"/>
          <w:kern w:val="0"/>
          <w:szCs w:val="21"/>
        </w:rPr>
      </w:pPr>
      <w:r>
        <w:rPr>
          <w:rFonts w:hint="eastAsia" w:ascii="宋体" w:hAnsi="宋体"/>
          <w:color w:val="auto"/>
          <w:kern w:val="0"/>
          <w:szCs w:val="21"/>
        </w:rPr>
        <w:t>投标方按照相关法律、法规设计本标段的功能区，负责该区域的消防设施设计、采购、安装、调试施工，并负责本标段的消防系统与招标方消防主机联动；同时根据项目需要，配合招标方的相关报规报建工作。</w:t>
      </w:r>
    </w:p>
    <w:p>
      <w:pPr>
        <w:widowControl/>
        <w:spacing w:line="360" w:lineRule="auto"/>
        <w:jc w:val="left"/>
        <w:rPr>
          <w:rFonts w:hint="eastAsia" w:ascii="宋体" w:hAnsi="宋体"/>
          <w:b/>
          <w:color w:val="auto"/>
          <w:szCs w:val="21"/>
        </w:rPr>
      </w:pPr>
      <w:r>
        <w:rPr>
          <w:rFonts w:hint="eastAsia" w:ascii="宋体" w:hAnsi="宋体"/>
          <w:b/>
          <w:color w:val="auto"/>
          <w:szCs w:val="21"/>
        </w:rPr>
        <w:t>（二）设备基本要求</w:t>
      </w:r>
    </w:p>
    <w:p>
      <w:pPr>
        <w:pStyle w:val="36"/>
        <w:numPr>
          <w:ilvl w:val="0"/>
          <w:numId w:val="13"/>
        </w:numPr>
        <w:spacing w:line="360" w:lineRule="auto"/>
        <w:rPr>
          <w:rFonts w:hint="eastAsia" w:ascii="宋体" w:hAnsi="宋体"/>
          <w:color w:val="auto"/>
          <w:szCs w:val="21"/>
        </w:rPr>
      </w:pPr>
      <w:r>
        <w:rPr>
          <w:rFonts w:ascii="宋体" w:hAnsi="宋体"/>
          <w:color w:val="auto"/>
          <w:szCs w:val="21"/>
        </w:rPr>
        <w:t>单机系统噪音低于 8</w:t>
      </w:r>
      <w:r>
        <w:rPr>
          <w:rFonts w:hint="eastAsia" w:ascii="宋体" w:hAnsi="宋体"/>
          <w:color w:val="auto"/>
          <w:szCs w:val="21"/>
        </w:rPr>
        <w:t>5</w:t>
      </w:r>
      <w:r>
        <w:rPr>
          <w:rFonts w:ascii="宋体" w:hAnsi="宋体"/>
          <w:color w:val="auto"/>
          <w:szCs w:val="21"/>
        </w:rPr>
        <w:t xml:space="preserve"> 分贝</w:t>
      </w:r>
      <w:r>
        <w:rPr>
          <w:rFonts w:hint="eastAsia" w:ascii="宋体" w:hAnsi="宋体"/>
          <w:color w:val="auto"/>
          <w:szCs w:val="21"/>
        </w:rPr>
        <w:t>。</w:t>
      </w:r>
    </w:p>
    <w:p>
      <w:pPr>
        <w:pStyle w:val="36"/>
        <w:numPr>
          <w:ilvl w:val="0"/>
          <w:numId w:val="13"/>
        </w:numPr>
        <w:spacing w:line="360" w:lineRule="auto"/>
        <w:rPr>
          <w:rFonts w:hint="eastAsia" w:ascii="宋体" w:hAnsi="宋体"/>
          <w:color w:val="auto"/>
          <w:szCs w:val="21"/>
        </w:rPr>
      </w:pPr>
      <w:r>
        <w:rPr>
          <w:rFonts w:hint="eastAsia" w:ascii="宋体" w:hAnsi="宋体"/>
          <w:color w:val="auto"/>
          <w:szCs w:val="21"/>
        </w:rPr>
        <w:t>高温、低温、化学品、传动部位要有显著的安全标示贴，并做适当的防护。</w:t>
      </w:r>
    </w:p>
    <w:p>
      <w:pPr>
        <w:pStyle w:val="36"/>
        <w:numPr>
          <w:ilvl w:val="0"/>
          <w:numId w:val="13"/>
        </w:numPr>
        <w:spacing w:line="360" w:lineRule="auto"/>
        <w:rPr>
          <w:rFonts w:hint="eastAsia" w:ascii="宋体" w:hAnsi="宋体"/>
          <w:color w:val="auto"/>
          <w:szCs w:val="21"/>
        </w:rPr>
      </w:pPr>
      <w:r>
        <w:rPr>
          <w:rFonts w:hint="eastAsia" w:ascii="宋体" w:hAnsi="宋体"/>
          <w:color w:val="auto"/>
          <w:szCs w:val="21"/>
        </w:rPr>
        <w:t>蒸汽</w:t>
      </w:r>
      <w:r>
        <w:rPr>
          <w:rFonts w:ascii="宋体" w:hAnsi="宋体"/>
          <w:color w:val="auto"/>
          <w:szCs w:val="21"/>
        </w:rPr>
        <w:t>管路</w:t>
      </w:r>
      <w:r>
        <w:rPr>
          <w:rFonts w:hint="eastAsia" w:ascii="宋体" w:hAnsi="宋体"/>
          <w:color w:val="auto"/>
          <w:szCs w:val="21"/>
        </w:rPr>
        <w:t>及阀门、空调管道、冰水管道均</w:t>
      </w:r>
      <w:r>
        <w:rPr>
          <w:rFonts w:ascii="宋体" w:hAnsi="宋体"/>
          <w:color w:val="auto"/>
          <w:szCs w:val="21"/>
        </w:rPr>
        <w:t>需</w:t>
      </w:r>
      <w:r>
        <w:rPr>
          <w:rFonts w:hint="eastAsia" w:ascii="宋体" w:hAnsi="宋体"/>
          <w:color w:val="auto"/>
          <w:szCs w:val="21"/>
        </w:rPr>
        <w:t>作</w:t>
      </w:r>
      <w:r>
        <w:rPr>
          <w:rFonts w:ascii="宋体" w:hAnsi="宋体"/>
          <w:color w:val="auto"/>
          <w:szCs w:val="21"/>
        </w:rPr>
        <w:t>保温</w:t>
      </w:r>
      <w:r>
        <w:rPr>
          <w:rFonts w:hint="eastAsia" w:ascii="宋体" w:hAnsi="宋体"/>
          <w:color w:val="auto"/>
          <w:szCs w:val="21"/>
        </w:rPr>
        <w:t>，满足工业食品厂房规范。采用杜肯、阿乐斯、昂固或同等及以上品牌</w:t>
      </w:r>
    </w:p>
    <w:p>
      <w:pPr>
        <w:pStyle w:val="36"/>
        <w:numPr>
          <w:ilvl w:val="0"/>
          <w:numId w:val="13"/>
        </w:numPr>
        <w:spacing w:line="360" w:lineRule="auto"/>
        <w:rPr>
          <w:rFonts w:hint="eastAsia" w:ascii="宋体" w:hAnsi="宋体"/>
          <w:color w:val="auto"/>
          <w:szCs w:val="21"/>
        </w:rPr>
      </w:pPr>
      <w:r>
        <w:rPr>
          <w:rFonts w:hint="eastAsia" w:ascii="宋体" w:hAnsi="宋体"/>
          <w:color w:val="auto"/>
          <w:szCs w:val="21"/>
        </w:rPr>
        <w:t>机台上部要有检修通道及防护，护栏高度1</w:t>
      </w:r>
      <w:r>
        <w:rPr>
          <w:rFonts w:ascii="宋体" w:hAnsi="宋体"/>
          <w:color w:val="auto"/>
          <w:szCs w:val="21"/>
        </w:rPr>
        <w:t>.2米，中间平均分</w:t>
      </w:r>
      <w:r>
        <w:rPr>
          <w:rFonts w:hint="eastAsia" w:ascii="宋体" w:hAnsi="宋体"/>
          <w:color w:val="auto"/>
          <w:szCs w:val="21"/>
        </w:rPr>
        <w:t>布</w:t>
      </w:r>
      <w:r>
        <w:rPr>
          <w:rFonts w:ascii="宋体" w:hAnsi="宋体"/>
          <w:color w:val="auto"/>
          <w:szCs w:val="21"/>
        </w:rPr>
        <w:t>两根挡杆</w:t>
      </w:r>
      <w:r>
        <w:rPr>
          <w:rFonts w:hint="eastAsia" w:ascii="宋体" w:hAnsi="宋体"/>
          <w:color w:val="auto"/>
          <w:szCs w:val="21"/>
        </w:rPr>
        <w:t>。平台有踢脚板≥10</w:t>
      </w:r>
      <w:r>
        <w:rPr>
          <w:rFonts w:ascii="宋体" w:hAnsi="宋体"/>
          <w:color w:val="auto"/>
          <w:szCs w:val="21"/>
        </w:rPr>
        <w:t>0m</w:t>
      </w:r>
      <w:r>
        <w:rPr>
          <w:rFonts w:hint="eastAsia" w:ascii="宋体" w:hAnsi="宋体"/>
          <w:color w:val="auto"/>
          <w:szCs w:val="21"/>
        </w:rPr>
        <w:t>m。</w:t>
      </w:r>
    </w:p>
    <w:p>
      <w:pPr>
        <w:pStyle w:val="36"/>
        <w:numPr>
          <w:ilvl w:val="0"/>
          <w:numId w:val="13"/>
        </w:numPr>
        <w:spacing w:line="360" w:lineRule="auto"/>
        <w:rPr>
          <w:rFonts w:hint="eastAsia" w:ascii="宋体" w:hAnsi="宋体"/>
          <w:color w:val="auto"/>
          <w:szCs w:val="21"/>
        </w:rPr>
      </w:pPr>
      <w:r>
        <w:rPr>
          <w:rFonts w:hint="eastAsia" w:ascii="宋体" w:hAnsi="宋体"/>
          <w:color w:val="auto"/>
          <w:szCs w:val="21"/>
        </w:rPr>
        <w:t xml:space="preserve">设备废气排放（包括生产、清洗、灭菌过程中）及噪音必须符合中华人民共和国法律法规的要求。 </w:t>
      </w:r>
    </w:p>
    <w:p>
      <w:pPr>
        <w:pStyle w:val="36"/>
        <w:numPr>
          <w:ilvl w:val="0"/>
          <w:numId w:val="13"/>
        </w:numPr>
        <w:spacing w:line="360" w:lineRule="auto"/>
        <w:rPr>
          <w:rFonts w:hint="eastAsia" w:ascii="宋体" w:hAnsi="宋体"/>
          <w:color w:val="auto"/>
          <w:szCs w:val="21"/>
        </w:rPr>
      </w:pPr>
      <w:r>
        <w:rPr>
          <w:rFonts w:hint="eastAsia" w:ascii="宋体" w:hAnsi="宋体"/>
          <w:color w:val="auto"/>
          <w:szCs w:val="21"/>
        </w:rPr>
        <w:t>设备表面无毛刺及锋利边缘，焊接区无氧化物。</w:t>
      </w:r>
    </w:p>
    <w:p>
      <w:pPr>
        <w:pStyle w:val="36"/>
        <w:numPr>
          <w:ilvl w:val="0"/>
          <w:numId w:val="13"/>
        </w:numPr>
        <w:spacing w:line="360" w:lineRule="auto"/>
        <w:rPr>
          <w:rFonts w:hint="eastAsia" w:ascii="宋体" w:hAnsi="宋体"/>
          <w:color w:val="auto"/>
          <w:szCs w:val="21"/>
        </w:rPr>
      </w:pPr>
      <w:r>
        <w:rPr>
          <w:rFonts w:hint="eastAsia" w:ascii="宋体" w:hAnsi="宋体"/>
          <w:color w:val="auto"/>
          <w:szCs w:val="21"/>
        </w:rPr>
        <w:t>设备整机表面及所有的结构件不得出现</w:t>
      </w:r>
      <w:r>
        <w:rPr>
          <w:rFonts w:hint="eastAsia" w:ascii="宋体" w:hAnsi="宋体"/>
          <w:bCs/>
          <w:color w:val="auto"/>
          <w:szCs w:val="21"/>
        </w:rPr>
        <w:t>锈蚀异常。</w:t>
      </w:r>
    </w:p>
    <w:p>
      <w:pPr>
        <w:pStyle w:val="36"/>
        <w:numPr>
          <w:ilvl w:val="0"/>
          <w:numId w:val="13"/>
        </w:numPr>
        <w:spacing w:line="360" w:lineRule="auto"/>
        <w:rPr>
          <w:rFonts w:hint="eastAsia" w:ascii="宋体" w:hAnsi="宋体"/>
          <w:color w:val="auto"/>
          <w:szCs w:val="21"/>
        </w:rPr>
      </w:pPr>
      <w:r>
        <w:rPr>
          <w:rFonts w:hint="eastAsia" w:ascii="宋体" w:hAnsi="宋体"/>
          <w:color w:val="auto"/>
          <w:szCs w:val="21"/>
        </w:rPr>
        <w:t>与杀菌液或清洗液等氧化、腐蚀介质接触的橡胶制品应选用耐高温型材料。</w:t>
      </w:r>
    </w:p>
    <w:p>
      <w:pPr>
        <w:pStyle w:val="36"/>
        <w:numPr>
          <w:ilvl w:val="0"/>
          <w:numId w:val="13"/>
        </w:numPr>
        <w:spacing w:line="360" w:lineRule="auto"/>
        <w:rPr>
          <w:rFonts w:hint="eastAsia" w:ascii="宋体" w:hAnsi="宋体"/>
          <w:color w:val="auto"/>
          <w:szCs w:val="21"/>
        </w:rPr>
      </w:pPr>
      <w:r>
        <w:rPr>
          <w:rFonts w:hint="eastAsia" w:ascii="宋体" w:hAnsi="宋体"/>
          <w:color w:val="auto"/>
          <w:szCs w:val="21"/>
        </w:rPr>
        <w:t>与灌装物料、无菌空气接触的阀门、管件、检测元件应选用无菌防护设计的结构型式。</w:t>
      </w:r>
    </w:p>
    <w:p>
      <w:pPr>
        <w:pStyle w:val="36"/>
        <w:numPr>
          <w:ilvl w:val="0"/>
          <w:numId w:val="13"/>
        </w:numPr>
        <w:spacing w:line="360" w:lineRule="auto"/>
        <w:rPr>
          <w:rFonts w:hint="eastAsia" w:ascii="宋体" w:hAnsi="宋体"/>
          <w:color w:val="auto"/>
          <w:szCs w:val="22"/>
        </w:rPr>
      </w:pPr>
      <w:r>
        <w:rPr>
          <w:rFonts w:hint="eastAsia" w:ascii="宋体" w:hAnsi="宋体"/>
          <w:color w:val="auto"/>
        </w:rPr>
        <w:t>本项目所有的储罐及管道(物料、CIP)等均需进行清洗钝化处理，达到招标方要求。</w:t>
      </w:r>
    </w:p>
    <w:p>
      <w:pPr>
        <w:pStyle w:val="36"/>
        <w:numPr>
          <w:ilvl w:val="0"/>
          <w:numId w:val="13"/>
        </w:numPr>
        <w:spacing w:line="360" w:lineRule="auto"/>
        <w:contextualSpacing w:val="0"/>
        <w:rPr>
          <w:rFonts w:hint="eastAsia" w:ascii="宋体" w:hAnsi="宋体"/>
          <w:color w:val="auto"/>
          <w:szCs w:val="21"/>
        </w:rPr>
      </w:pPr>
      <w:r>
        <w:rPr>
          <w:rFonts w:hint="eastAsia" w:ascii="宋体" w:hAnsi="宋体"/>
          <w:color w:val="auto"/>
          <w:szCs w:val="21"/>
        </w:rPr>
        <w:t>设备的隔离板，</w:t>
      </w:r>
      <w:r>
        <w:rPr>
          <w:rFonts w:ascii="宋体" w:hAnsi="宋体"/>
          <w:color w:val="auto"/>
          <w:spacing w:val="-3"/>
        </w:rPr>
        <w:t>护板采用卡扣等快拆方式</w:t>
      </w:r>
      <w:r>
        <w:rPr>
          <w:rFonts w:hint="eastAsia" w:ascii="宋体" w:hAnsi="宋体"/>
          <w:color w:val="auto"/>
          <w:szCs w:val="21"/>
        </w:rPr>
        <w:t>。</w:t>
      </w:r>
    </w:p>
    <w:p>
      <w:pPr>
        <w:pStyle w:val="36"/>
        <w:numPr>
          <w:ilvl w:val="0"/>
          <w:numId w:val="13"/>
        </w:numPr>
        <w:spacing w:line="360" w:lineRule="auto"/>
        <w:contextualSpacing w:val="0"/>
        <w:rPr>
          <w:rFonts w:hint="eastAsia" w:ascii="宋体" w:hAnsi="宋体"/>
          <w:color w:val="auto"/>
          <w:szCs w:val="21"/>
        </w:rPr>
      </w:pPr>
      <w:r>
        <w:rPr>
          <w:rFonts w:hint="eastAsia" w:ascii="宋体" w:hAnsi="宋体"/>
          <w:color w:val="auto"/>
          <w:szCs w:val="21"/>
        </w:rPr>
        <w:t>负责本标段设备、管道相关标识。</w:t>
      </w:r>
    </w:p>
    <w:p>
      <w:pPr>
        <w:spacing w:line="360" w:lineRule="auto"/>
        <w:rPr>
          <w:rFonts w:hint="eastAsia" w:ascii="宋体" w:hAnsi="宋体"/>
          <w:color w:val="auto"/>
          <w:szCs w:val="21"/>
        </w:rPr>
      </w:pPr>
      <w:r>
        <w:rPr>
          <w:rFonts w:hint="eastAsia" w:ascii="宋体" w:hAnsi="宋体"/>
          <w:b/>
          <w:bCs/>
          <w:color w:val="auto"/>
          <w:szCs w:val="21"/>
        </w:rPr>
        <w:t>（</w:t>
      </w:r>
      <w:r>
        <w:rPr>
          <w:rFonts w:hint="eastAsia" w:ascii="宋体" w:hAnsi="宋体"/>
          <w:b/>
          <w:color w:val="auto"/>
          <w:szCs w:val="21"/>
        </w:rPr>
        <w:t>三）</w:t>
      </w:r>
      <w:bookmarkStart w:id="18" w:name="_Hlk200287622"/>
      <w:r>
        <w:rPr>
          <w:rFonts w:hint="eastAsia" w:ascii="宋体" w:hAnsi="宋体"/>
          <w:b/>
          <w:color w:val="auto"/>
          <w:szCs w:val="21"/>
        </w:rPr>
        <w:t>设备电气配置要求：</w:t>
      </w:r>
    </w:p>
    <w:bookmarkEnd w:id="18"/>
    <w:p>
      <w:pPr>
        <w:widowControl/>
        <w:numPr>
          <w:ilvl w:val="0"/>
          <w:numId w:val="14"/>
        </w:numPr>
        <w:spacing w:line="360" w:lineRule="auto"/>
        <w:jc w:val="left"/>
        <w:rPr>
          <w:rFonts w:hint="eastAsia" w:ascii="宋体" w:hAnsi="宋体"/>
          <w:color w:val="auto"/>
          <w:szCs w:val="21"/>
        </w:rPr>
      </w:pPr>
      <w:r>
        <w:rPr>
          <w:rFonts w:hint="eastAsia" w:ascii="宋体" w:hAnsi="宋体"/>
          <w:color w:val="auto"/>
          <w:szCs w:val="21"/>
        </w:rPr>
        <w:t>所有控制柜</w:t>
      </w:r>
      <w:r>
        <w:rPr>
          <w:rFonts w:hint="eastAsia" w:ascii="宋体" w:hAnsi="宋体" w:cs="宋体"/>
          <w:color w:val="auto"/>
          <w:szCs w:val="21"/>
        </w:rPr>
        <w:t>配</w:t>
      </w:r>
      <w:r>
        <w:rPr>
          <w:rFonts w:hint="eastAsia" w:ascii="宋体" w:hAnsi="宋体"/>
          <w:color w:val="auto"/>
          <w:szCs w:val="21"/>
        </w:rPr>
        <w:t>有工业空调及照明，另配有辅助电箱配套设备等</w:t>
      </w:r>
      <w:r>
        <w:rPr>
          <w:rFonts w:ascii="宋体" w:hAnsi="宋体"/>
          <w:color w:val="auto"/>
          <w:szCs w:val="21"/>
        </w:rPr>
        <w:t>(带进出散热风扇)</w:t>
      </w:r>
      <w:r>
        <w:rPr>
          <w:rFonts w:hint="eastAsia" w:ascii="宋体" w:hAnsi="宋体"/>
          <w:color w:val="auto"/>
          <w:szCs w:val="21"/>
        </w:rPr>
        <w:t>。</w:t>
      </w:r>
    </w:p>
    <w:p>
      <w:pPr>
        <w:widowControl/>
        <w:numPr>
          <w:ilvl w:val="0"/>
          <w:numId w:val="14"/>
        </w:numPr>
        <w:spacing w:line="360" w:lineRule="auto"/>
        <w:jc w:val="left"/>
        <w:rPr>
          <w:rFonts w:hint="eastAsia" w:ascii="宋体" w:hAnsi="宋体"/>
          <w:color w:val="auto"/>
          <w:szCs w:val="21"/>
        </w:rPr>
      </w:pPr>
      <w:r>
        <w:rPr>
          <w:rFonts w:hint="eastAsia" w:ascii="宋体" w:hAnsi="宋体"/>
          <w:color w:val="auto"/>
          <w:szCs w:val="21"/>
        </w:rPr>
        <w:t>所有控制电柜及工业空调材质为</w:t>
      </w:r>
      <w:r>
        <w:rPr>
          <w:rFonts w:ascii="宋体" w:hAnsi="宋体"/>
          <w:color w:val="auto"/>
          <w:szCs w:val="21"/>
        </w:rPr>
        <w:t xml:space="preserve"> 304不锈钢材质</w:t>
      </w:r>
      <w:r>
        <w:rPr>
          <w:rFonts w:hint="eastAsia" w:ascii="宋体" w:hAnsi="宋体"/>
          <w:color w:val="auto"/>
          <w:szCs w:val="21"/>
        </w:rPr>
        <w:t>，厚度符合国家相关规范要求。防护等级不低于IP54。</w:t>
      </w:r>
    </w:p>
    <w:p>
      <w:pPr>
        <w:widowControl/>
        <w:numPr>
          <w:ilvl w:val="0"/>
          <w:numId w:val="14"/>
        </w:numPr>
        <w:spacing w:line="360" w:lineRule="auto"/>
        <w:jc w:val="left"/>
        <w:rPr>
          <w:rFonts w:hint="eastAsia" w:ascii="宋体" w:hAnsi="宋体"/>
          <w:color w:val="auto"/>
          <w:szCs w:val="21"/>
        </w:rPr>
      </w:pPr>
      <w:r>
        <w:rPr>
          <w:rFonts w:ascii="宋体" w:hAnsi="宋体"/>
          <w:color w:val="auto"/>
          <w:szCs w:val="21"/>
        </w:rPr>
        <w:t>所有的电缆桥架</w:t>
      </w:r>
      <w:r>
        <w:rPr>
          <w:rFonts w:hint="eastAsia" w:ascii="宋体" w:hAnsi="宋体"/>
          <w:color w:val="auto"/>
          <w:szCs w:val="21"/>
        </w:rPr>
        <w:t>和支架</w:t>
      </w:r>
      <w:r>
        <w:rPr>
          <w:rFonts w:ascii="宋体" w:hAnsi="宋体"/>
          <w:color w:val="auto"/>
          <w:szCs w:val="21"/>
        </w:rPr>
        <w:t>、穿线管</w:t>
      </w:r>
      <w:r>
        <w:rPr>
          <w:rFonts w:hint="eastAsia" w:ascii="宋体" w:hAnsi="宋体"/>
          <w:color w:val="auto"/>
          <w:szCs w:val="21"/>
        </w:rPr>
        <w:t>和线槽</w:t>
      </w:r>
      <w:r>
        <w:rPr>
          <w:rFonts w:ascii="宋体" w:hAnsi="宋体"/>
          <w:color w:val="auto"/>
          <w:szCs w:val="21"/>
        </w:rPr>
        <w:t>为SUS304不锈钢制品</w:t>
      </w:r>
      <w:r>
        <w:rPr>
          <w:rFonts w:hint="eastAsia" w:ascii="宋体" w:hAnsi="宋体"/>
          <w:color w:val="auto"/>
          <w:szCs w:val="21"/>
        </w:rPr>
        <w:t>，厚度符合国家相关规范要求。</w:t>
      </w:r>
    </w:p>
    <w:p>
      <w:pPr>
        <w:widowControl/>
        <w:numPr>
          <w:ilvl w:val="0"/>
          <w:numId w:val="14"/>
        </w:numPr>
        <w:spacing w:line="360" w:lineRule="auto"/>
        <w:jc w:val="left"/>
        <w:rPr>
          <w:rFonts w:hint="eastAsia" w:ascii="宋体" w:hAnsi="宋体"/>
          <w:color w:val="auto"/>
          <w:szCs w:val="21"/>
        </w:rPr>
      </w:pPr>
      <w:bookmarkStart w:id="19" w:name="_Hlk100751700"/>
      <w:r>
        <w:rPr>
          <w:rFonts w:ascii="宋体" w:hAnsi="宋体"/>
          <w:color w:val="auto"/>
          <w:szCs w:val="21"/>
        </w:rPr>
        <w:t>控制系统所选用的元器件均须采用知名品牌，</w:t>
      </w:r>
      <w:r>
        <w:rPr>
          <w:rFonts w:hint="eastAsia" w:ascii="宋体" w:hAnsi="宋体"/>
          <w:color w:val="auto"/>
          <w:szCs w:val="21"/>
        </w:rPr>
        <w:t>选用</w:t>
      </w:r>
      <w:r>
        <w:rPr>
          <w:rFonts w:ascii="宋体" w:hAnsi="宋体"/>
          <w:color w:val="auto"/>
          <w:szCs w:val="21"/>
        </w:rPr>
        <w:t>西门子</w:t>
      </w:r>
      <w:r>
        <w:rPr>
          <w:rFonts w:hint="eastAsia" w:ascii="宋体" w:hAnsi="宋体"/>
          <w:color w:val="auto"/>
          <w:szCs w:val="21"/>
        </w:rPr>
        <w:t>、</w:t>
      </w:r>
      <w:r>
        <w:rPr>
          <w:rFonts w:ascii="宋体" w:hAnsi="宋体"/>
          <w:color w:val="auto"/>
          <w:szCs w:val="21"/>
        </w:rPr>
        <w:t>AB、贝加莱或同等及以上品牌。PLC控制器要求西门子S7-1500系列</w:t>
      </w:r>
      <w:r>
        <w:rPr>
          <w:rFonts w:hint="eastAsia" w:ascii="宋体" w:hAnsi="宋体"/>
          <w:color w:val="auto"/>
          <w:szCs w:val="21"/>
        </w:rPr>
        <w:t>以上</w:t>
      </w:r>
      <w:r>
        <w:rPr>
          <w:rFonts w:ascii="宋体" w:hAnsi="宋体"/>
          <w:color w:val="auto"/>
          <w:szCs w:val="21"/>
        </w:rPr>
        <w:t>或AB（罗克韦尔）CompactLogix系列或贝加莱X20系列或同等及以上品牌型号</w:t>
      </w:r>
      <w:r>
        <w:rPr>
          <w:rFonts w:hint="eastAsia" w:ascii="宋体" w:hAnsi="宋体"/>
          <w:color w:val="auto"/>
          <w:szCs w:val="21"/>
        </w:rPr>
        <w:t>，</w:t>
      </w:r>
      <w:r>
        <w:rPr>
          <w:rFonts w:ascii="宋体" w:hAnsi="宋体"/>
          <w:color w:val="auto"/>
          <w:szCs w:val="21"/>
        </w:rPr>
        <w:t>并自带以太网通讯方式，配置开放式通讯协议（如</w:t>
      </w:r>
      <w:r>
        <w:rPr>
          <w:rFonts w:hint="eastAsia" w:ascii="宋体" w:hAnsi="宋体"/>
          <w:color w:val="auto"/>
          <w:szCs w:val="21"/>
        </w:rPr>
        <w:t>P</w:t>
      </w:r>
      <w:r>
        <w:rPr>
          <w:rFonts w:ascii="宋体" w:hAnsi="宋体"/>
          <w:color w:val="auto"/>
          <w:szCs w:val="21"/>
        </w:rPr>
        <w:t>N或TCP/IP或ETHER-NET通讯接口）、必须</w:t>
      </w:r>
      <w:r>
        <w:rPr>
          <w:rFonts w:hint="eastAsia" w:ascii="宋体" w:hAnsi="宋体"/>
          <w:color w:val="auto"/>
          <w:szCs w:val="21"/>
        </w:rPr>
        <w:t>有</w:t>
      </w:r>
      <w:r>
        <w:rPr>
          <w:rFonts w:ascii="宋体" w:hAnsi="宋体"/>
          <w:color w:val="auto"/>
          <w:szCs w:val="21"/>
        </w:rPr>
        <w:t>转换配套装置（如协议转换器等）及相应的技术说明资料，并免费提供车间信息管理系统联网通讯、集中监控、数据采集、数据储存和统计等所需的权限和接口</w:t>
      </w:r>
      <w:r>
        <w:rPr>
          <w:rFonts w:hint="eastAsia" w:ascii="宋体" w:hAnsi="宋体"/>
          <w:color w:val="auto"/>
          <w:szCs w:val="21"/>
        </w:rPr>
        <w:t>；</w:t>
      </w:r>
    </w:p>
    <w:bookmarkEnd w:id="19"/>
    <w:p>
      <w:pPr>
        <w:widowControl/>
        <w:numPr>
          <w:ilvl w:val="0"/>
          <w:numId w:val="14"/>
        </w:numPr>
        <w:spacing w:line="360" w:lineRule="auto"/>
        <w:jc w:val="left"/>
        <w:rPr>
          <w:rFonts w:hint="eastAsia" w:ascii="宋体" w:hAnsi="宋体"/>
          <w:color w:val="auto"/>
          <w:szCs w:val="21"/>
        </w:rPr>
      </w:pPr>
      <w:r>
        <w:rPr>
          <w:rFonts w:hint="eastAsia" w:ascii="宋体" w:hAnsi="宋体"/>
          <w:color w:val="auto"/>
          <w:szCs w:val="21"/>
        </w:rPr>
        <w:t>电机采用：SEW、伦茨、西门子或同等及以上品牌。</w:t>
      </w:r>
    </w:p>
    <w:p>
      <w:pPr>
        <w:widowControl/>
        <w:numPr>
          <w:ilvl w:val="0"/>
          <w:numId w:val="14"/>
        </w:numPr>
        <w:spacing w:line="360" w:lineRule="auto"/>
        <w:jc w:val="left"/>
        <w:rPr>
          <w:rFonts w:hint="eastAsia" w:ascii="宋体" w:hAnsi="宋体"/>
          <w:color w:val="auto"/>
          <w:szCs w:val="21"/>
        </w:rPr>
      </w:pPr>
      <w:r>
        <w:rPr>
          <w:rFonts w:hint="eastAsia" w:ascii="宋体" w:hAnsi="宋体"/>
          <w:color w:val="auto"/>
          <w:szCs w:val="21"/>
        </w:rPr>
        <w:t xml:space="preserve">阀门：Evoguard、APV、GEA </w:t>
      </w:r>
      <w:bookmarkStart w:id="20" w:name="OLE_LINK31"/>
      <w:r>
        <w:rPr>
          <w:rFonts w:hint="eastAsia" w:ascii="宋体" w:hAnsi="宋体"/>
          <w:color w:val="auto"/>
          <w:szCs w:val="21"/>
        </w:rPr>
        <w:t>或同等及以上品牌</w:t>
      </w:r>
      <w:bookmarkEnd w:id="20"/>
      <w:r>
        <w:rPr>
          <w:rFonts w:hint="eastAsia" w:ascii="宋体" w:hAnsi="宋体"/>
          <w:color w:val="auto"/>
          <w:szCs w:val="21"/>
        </w:rPr>
        <w:t>。</w:t>
      </w:r>
    </w:p>
    <w:p>
      <w:pPr>
        <w:widowControl/>
        <w:numPr>
          <w:ilvl w:val="0"/>
          <w:numId w:val="14"/>
        </w:numPr>
        <w:spacing w:line="360" w:lineRule="auto"/>
        <w:jc w:val="left"/>
        <w:rPr>
          <w:rFonts w:hint="eastAsia" w:ascii="宋体" w:hAnsi="宋体"/>
          <w:color w:val="auto"/>
          <w:szCs w:val="21"/>
        </w:rPr>
      </w:pPr>
      <w:r>
        <w:rPr>
          <w:rFonts w:ascii="宋体" w:hAnsi="宋体"/>
          <w:color w:val="auto"/>
          <w:szCs w:val="21"/>
        </w:rPr>
        <w:t>低压电器</w:t>
      </w:r>
      <w:r>
        <w:rPr>
          <w:rFonts w:hint="eastAsia" w:ascii="宋体" w:hAnsi="宋体"/>
          <w:color w:val="auto"/>
          <w:szCs w:val="21"/>
        </w:rPr>
        <w:t>件</w:t>
      </w:r>
      <w:r>
        <w:rPr>
          <w:rFonts w:ascii="宋体" w:hAnsi="宋体"/>
          <w:color w:val="auto"/>
          <w:szCs w:val="21"/>
        </w:rPr>
        <w:t>采用</w:t>
      </w:r>
      <w:r>
        <w:rPr>
          <w:rFonts w:hint="eastAsia" w:ascii="宋体" w:hAnsi="宋体"/>
          <w:color w:val="auto"/>
          <w:szCs w:val="21"/>
        </w:rPr>
        <w:t>：西门子、</w:t>
      </w:r>
      <w:r>
        <w:rPr>
          <w:rFonts w:ascii="宋体" w:hAnsi="宋体"/>
          <w:color w:val="auto"/>
          <w:szCs w:val="21"/>
        </w:rPr>
        <w:t>施耐德、ABB</w:t>
      </w:r>
      <w:r>
        <w:rPr>
          <w:rFonts w:hint="eastAsia" w:ascii="宋体" w:hAnsi="宋体"/>
          <w:color w:val="auto"/>
          <w:szCs w:val="21"/>
        </w:rPr>
        <w:t>或同等及以上品牌。</w:t>
      </w:r>
    </w:p>
    <w:p>
      <w:pPr>
        <w:widowControl/>
        <w:numPr>
          <w:ilvl w:val="0"/>
          <w:numId w:val="14"/>
        </w:numPr>
        <w:spacing w:line="360" w:lineRule="auto"/>
        <w:jc w:val="left"/>
        <w:rPr>
          <w:rFonts w:hint="eastAsia" w:ascii="宋体" w:hAnsi="宋体"/>
          <w:color w:val="auto"/>
          <w:szCs w:val="21"/>
        </w:rPr>
      </w:pPr>
      <w:r>
        <w:rPr>
          <w:rFonts w:hint="eastAsia" w:ascii="宋体" w:hAnsi="宋体"/>
          <w:color w:val="auto"/>
          <w:szCs w:val="21"/>
        </w:rPr>
        <w:t>流量计：E</w:t>
      </w:r>
      <w:r>
        <w:rPr>
          <w:rFonts w:ascii="宋体" w:hAnsi="宋体"/>
          <w:color w:val="auto"/>
          <w:szCs w:val="21"/>
        </w:rPr>
        <w:t>+H</w:t>
      </w:r>
      <w:r>
        <w:rPr>
          <w:rFonts w:hint="eastAsia" w:ascii="宋体" w:hAnsi="宋体"/>
          <w:color w:val="auto"/>
          <w:szCs w:val="21"/>
        </w:rPr>
        <w:t>、科隆</w:t>
      </w:r>
      <w:r>
        <w:rPr>
          <w:rFonts w:ascii="宋体" w:hAnsi="宋体"/>
          <w:color w:val="auto"/>
          <w:szCs w:val="21"/>
        </w:rPr>
        <w:t>、罗斯蒙特或同等及以上品牌</w:t>
      </w:r>
      <w:r>
        <w:rPr>
          <w:rFonts w:hint="eastAsia" w:ascii="宋体" w:hAnsi="宋体"/>
          <w:color w:val="auto"/>
          <w:szCs w:val="21"/>
        </w:rPr>
        <w:t>。</w:t>
      </w:r>
    </w:p>
    <w:p>
      <w:pPr>
        <w:widowControl/>
        <w:numPr>
          <w:ilvl w:val="0"/>
          <w:numId w:val="14"/>
        </w:numPr>
        <w:spacing w:line="360" w:lineRule="auto"/>
        <w:jc w:val="left"/>
        <w:rPr>
          <w:rFonts w:hint="eastAsia" w:ascii="宋体" w:hAnsi="宋体"/>
          <w:color w:val="auto"/>
          <w:szCs w:val="21"/>
        </w:rPr>
      </w:pPr>
      <w:r>
        <w:rPr>
          <w:rFonts w:hint="eastAsia" w:ascii="宋体" w:hAnsi="宋体"/>
          <w:color w:val="auto"/>
          <w:szCs w:val="21"/>
        </w:rPr>
        <w:t>蒸汽阀门及流量计：斯派莎克、阿姆斯壮、马克丹尼或同等及以上品牌。</w:t>
      </w:r>
    </w:p>
    <w:p>
      <w:pPr>
        <w:widowControl/>
        <w:numPr>
          <w:ilvl w:val="0"/>
          <w:numId w:val="14"/>
        </w:numPr>
        <w:spacing w:line="360" w:lineRule="auto"/>
        <w:jc w:val="left"/>
        <w:rPr>
          <w:rFonts w:hint="eastAsia" w:ascii="宋体" w:hAnsi="宋体"/>
          <w:color w:val="auto"/>
          <w:szCs w:val="21"/>
        </w:rPr>
      </w:pPr>
      <w:r>
        <w:rPr>
          <w:rFonts w:ascii="宋体" w:hAnsi="宋体"/>
          <w:color w:val="auto"/>
          <w:szCs w:val="21"/>
        </w:rPr>
        <w:t>变频器采用</w:t>
      </w:r>
      <w:r>
        <w:rPr>
          <w:rFonts w:hint="eastAsia" w:ascii="宋体" w:hAnsi="宋体"/>
          <w:color w:val="auto"/>
          <w:szCs w:val="21"/>
        </w:rPr>
        <w:t>：</w:t>
      </w:r>
      <w:r>
        <w:rPr>
          <w:rFonts w:ascii="宋体" w:hAnsi="宋体"/>
          <w:color w:val="auto"/>
          <w:szCs w:val="21"/>
        </w:rPr>
        <w:t>丹佛斯、</w:t>
      </w:r>
      <w:r>
        <w:rPr>
          <w:rFonts w:hint="eastAsia" w:ascii="宋体" w:hAnsi="宋体"/>
          <w:color w:val="auto"/>
          <w:szCs w:val="21"/>
        </w:rPr>
        <w:t>施耐德、西门子或同等及以上品牌。</w:t>
      </w:r>
    </w:p>
    <w:p>
      <w:pPr>
        <w:widowControl/>
        <w:numPr>
          <w:ilvl w:val="0"/>
          <w:numId w:val="14"/>
        </w:numPr>
        <w:spacing w:line="360" w:lineRule="auto"/>
        <w:jc w:val="left"/>
        <w:rPr>
          <w:rFonts w:hint="eastAsia" w:ascii="宋体" w:hAnsi="宋体"/>
          <w:color w:val="auto"/>
          <w:szCs w:val="21"/>
        </w:rPr>
      </w:pPr>
      <w:r>
        <w:rPr>
          <w:rFonts w:hint="eastAsia" w:ascii="宋体" w:hAnsi="宋体"/>
          <w:color w:val="auto"/>
          <w:szCs w:val="21"/>
        </w:rPr>
        <w:t>检测光栅元件采用</w:t>
      </w:r>
      <w:r>
        <w:rPr>
          <w:rFonts w:ascii="宋体" w:hAnsi="宋体"/>
          <w:color w:val="auto"/>
          <w:szCs w:val="21"/>
        </w:rPr>
        <w:t>：P+F</w:t>
      </w:r>
      <w:r>
        <w:rPr>
          <w:rFonts w:hint="eastAsia" w:ascii="宋体" w:hAnsi="宋体"/>
          <w:color w:val="auto"/>
          <w:szCs w:val="21"/>
        </w:rPr>
        <w:t>、</w:t>
      </w:r>
      <w:r>
        <w:rPr>
          <w:rFonts w:ascii="宋体" w:hAnsi="宋体"/>
          <w:color w:val="auto"/>
          <w:szCs w:val="21"/>
        </w:rPr>
        <w:t>SICK</w:t>
      </w:r>
      <w:r>
        <w:rPr>
          <w:rFonts w:hint="eastAsia" w:ascii="宋体" w:hAnsi="宋体"/>
          <w:color w:val="auto"/>
          <w:szCs w:val="21"/>
        </w:rPr>
        <w:t>、欧姆龙或同等及以上品牌。</w:t>
      </w:r>
    </w:p>
    <w:p>
      <w:pPr>
        <w:widowControl/>
        <w:numPr>
          <w:ilvl w:val="0"/>
          <w:numId w:val="14"/>
        </w:numPr>
        <w:spacing w:line="360" w:lineRule="auto"/>
        <w:jc w:val="left"/>
        <w:rPr>
          <w:rFonts w:hint="eastAsia" w:ascii="宋体" w:hAnsi="宋体"/>
          <w:color w:val="auto"/>
          <w:szCs w:val="21"/>
        </w:rPr>
      </w:pPr>
      <w:r>
        <w:rPr>
          <w:rFonts w:hint="eastAsia" w:ascii="宋体" w:hAnsi="宋体"/>
          <w:color w:val="auto"/>
          <w:szCs w:val="21"/>
        </w:rPr>
        <w:t>光电开关、接近开关等传感器：</w:t>
      </w:r>
      <w:r>
        <w:rPr>
          <w:rFonts w:ascii="宋体" w:hAnsi="宋体"/>
          <w:color w:val="auto"/>
          <w:szCs w:val="21"/>
        </w:rPr>
        <w:t>IFM、西门子、</w:t>
      </w:r>
      <w:r>
        <w:rPr>
          <w:rFonts w:hint="eastAsia" w:ascii="宋体" w:hAnsi="宋体"/>
          <w:color w:val="auto"/>
          <w:szCs w:val="21"/>
        </w:rPr>
        <w:t>SICK或同等及以上品牌。</w:t>
      </w:r>
    </w:p>
    <w:p>
      <w:pPr>
        <w:widowControl/>
        <w:numPr>
          <w:ilvl w:val="0"/>
          <w:numId w:val="14"/>
        </w:numPr>
        <w:spacing w:line="360" w:lineRule="auto"/>
        <w:jc w:val="left"/>
        <w:rPr>
          <w:rFonts w:hint="eastAsia" w:ascii="宋体" w:hAnsi="宋体"/>
          <w:color w:val="auto"/>
          <w:szCs w:val="21"/>
        </w:rPr>
      </w:pPr>
      <w:r>
        <w:rPr>
          <w:rFonts w:hint="eastAsia" w:ascii="宋体" w:hAnsi="宋体"/>
          <w:color w:val="auto"/>
          <w:szCs w:val="21"/>
        </w:rPr>
        <w:t>气动元件采用：</w:t>
      </w:r>
      <w:r>
        <w:rPr>
          <w:rFonts w:ascii="宋体" w:hAnsi="宋体"/>
          <w:color w:val="auto"/>
          <w:szCs w:val="21"/>
        </w:rPr>
        <w:t>FESTO</w:t>
      </w:r>
      <w:r>
        <w:rPr>
          <w:rFonts w:hint="eastAsia" w:ascii="宋体" w:hAnsi="宋体"/>
          <w:color w:val="auto"/>
          <w:szCs w:val="21"/>
        </w:rPr>
        <w:t>、</w:t>
      </w:r>
      <w:r>
        <w:rPr>
          <w:rFonts w:ascii="宋体" w:hAnsi="宋体"/>
          <w:color w:val="auto"/>
          <w:szCs w:val="21"/>
        </w:rPr>
        <w:t xml:space="preserve"> SMC、</w:t>
      </w:r>
      <w:r>
        <w:rPr>
          <w:rFonts w:hint="eastAsia" w:ascii="宋体" w:hAnsi="宋体"/>
          <w:color w:val="auto"/>
          <w:szCs w:val="21"/>
        </w:rPr>
        <w:t>M</w:t>
      </w:r>
      <w:r>
        <w:rPr>
          <w:rFonts w:ascii="宋体" w:hAnsi="宋体"/>
          <w:color w:val="auto"/>
          <w:szCs w:val="21"/>
        </w:rPr>
        <w:t>AC</w:t>
      </w:r>
      <w:r>
        <w:rPr>
          <w:rFonts w:hint="eastAsia" w:ascii="宋体" w:hAnsi="宋体"/>
          <w:color w:val="auto"/>
          <w:szCs w:val="21"/>
        </w:rPr>
        <w:t>、</w:t>
      </w:r>
      <w:r>
        <w:rPr>
          <w:rFonts w:ascii="宋体" w:hAnsi="宋体"/>
          <w:color w:val="auto"/>
          <w:szCs w:val="21"/>
        </w:rPr>
        <w:t>BOSCH</w:t>
      </w:r>
      <w:r>
        <w:rPr>
          <w:rFonts w:hint="eastAsia" w:ascii="宋体" w:hAnsi="宋体"/>
          <w:color w:val="auto"/>
          <w:szCs w:val="21"/>
        </w:rPr>
        <w:t>或同等及以上品牌；</w:t>
      </w:r>
    </w:p>
    <w:p>
      <w:pPr>
        <w:widowControl/>
        <w:numPr>
          <w:ilvl w:val="0"/>
          <w:numId w:val="14"/>
        </w:numPr>
        <w:spacing w:line="360" w:lineRule="auto"/>
        <w:jc w:val="left"/>
        <w:rPr>
          <w:rFonts w:hint="eastAsia" w:ascii="宋体" w:hAnsi="宋体"/>
          <w:color w:val="auto"/>
          <w:szCs w:val="21"/>
        </w:rPr>
      </w:pPr>
      <w:r>
        <w:rPr>
          <w:rFonts w:hint="eastAsia" w:ascii="宋体" w:hAnsi="宋体"/>
          <w:color w:val="auto"/>
          <w:szCs w:val="21"/>
        </w:rPr>
        <w:t>本项目所有设备气源气管材质采用白色尼龙管。</w:t>
      </w:r>
    </w:p>
    <w:p>
      <w:pPr>
        <w:pStyle w:val="36"/>
        <w:numPr>
          <w:ilvl w:val="0"/>
          <w:numId w:val="14"/>
        </w:numPr>
        <w:spacing w:line="360" w:lineRule="auto"/>
        <w:contextualSpacing w:val="0"/>
        <w:rPr>
          <w:rFonts w:hint="eastAsia" w:ascii="宋体" w:hAnsi="宋体"/>
          <w:color w:val="auto"/>
          <w:szCs w:val="21"/>
        </w:rPr>
      </w:pPr>
      <w:r>
        <w:rPr>
          <w:rFonts w:ascii="宋体" w:hAnsi="宋体"/>
          <w:color w:val="auto"/>
          <w:szCs w:val="21"/>
        </w:rPr>
        <w:t>控制柜的进、出线都需做好标记，标明线路的具体走向；所有动力线及控制线中间不允许有接头并且留有充裕备用线</w:t>
      </w:r>
      <w:r>
        <w:rPr>
          <w:rFonts w:hint="eastAsia" w:ascii="宋体" w:hAnsi="宋体"/>
          <w:color w:val="auto"/>
          <w:szCs w:val="21"/>
        </w:rPr>
        <w:t>；</w:t>
      </w:r>
      <w:r>
        <w:rPr>
          <w:rFonts w:ascii="宋体" w:hAnsi="宋体"/>
          <w:color w:val="auto"/>
          <w:szCs w:val="21"/>
        </w:rPr>
        <w:t>所有电气元件末端需要进行标识</w:t>
      </w:r>
      <w:r>
        <w:rPr>
          <w:rFonts w:hint="eastAsia" w:ascii="宋体" w:hAnsi="宋体"/>
          <w:color w:val="auto"/>
          <w:szCs w:val="21"/>
        </w:rPr>
        <w:t>。</w:t>
      </w:r>
    </w:p>
    <w:p>
      <w:pPr>
        <w:widowControl/>
        <w:numPr>
          <w:ilvl w:val="0"/>
          <w:numId w:val="14"/>
        </w:numPr>
        <w:spacing w:line="360" w:lineRule="auto"/>
        <w:jc w:val="left"/>
        <w:rPr>
          <w:rFonts w:hint="eastAsia" w:ascii="宋体" w:hAnsi="宋体"/>
          <w:color w:val="auto"/>
          <w:szCs w:val="21"/>
        </w:rPr>
      </w:pPr>
      <w:r>
        <w:rPr>
          <w:rFonts w:ascii="宋体" w:hAnsi="宋体"/>
          <w:color w:val="auto"/>
          <w:szCs w:val="21"/>
        </w:rPr>
        <w:t>PLC自带以太网</w:t>
      </w:r>
      <w:r>
        <w:rPr>
          <w:rFonts w:hint="eastAsia" w:ascii="宋体" w:hAnsi="宋体"/>
          <w:color w:val="auto"/>
          <w:szCs w:val="21"/>
        </w:rPr>
        <w:t>通讯</w:t>
      </w:r>
      <w:r>
        <w:rPr>
          <w:rFonts w:ascii="宋体" w:hAnsi="宋体"/>
          <w:color w:val="auto"/>
          <w:szCs w:val="21"/>
        </w:rPr>
        <w:t>接口，能接受上位机监控</w:t>
      </w:r>
      <w:r>
        <w:rPr>
          <w:rFonts w:hint="eastAsia" w:ascii="宋体" w:hAnsi="宋体"/>
          <w:color w:val="auto"/>
          <w:szCs w:val="21"/>
        </w:rPr>
        <w:t>，无法进行以太网通讯接口的设备，需要转换可以与招标方中控系统通讯的接口，并开放通讯权限</w:t>
      </w:r>
      <w:r>
        <w:rPr>
          <w:rFonts w:ascii="宋体" w:hAnsi="宋体"/>
          <w:color w:val="auto"/>
          <w:szCs w:val="21"/>
        </w:rPr>
        <w:t>。</w:t>
      </w:r>
    </w:p>
    <w:p>
      <w:pPr>
        <w:pStyle w:val="36"/>
        <w:numPr>
          <w:ilvl w:val="0"/>
          <w:numId w:val="1"/>
        </w:numPr>
        <w:spacing w:line="360" w:lineRule="auto"/>
        <w:contextualSpacing w:val="0"/>
        <w:rPr>
          <w:rFonts w:hint="eastAsia" w:ascii="宋体" w:hAnsi="宋体" w:cs="宋体"/>
          <w:b/>
          <w:bCs/>
          <w:color w:val="auto"/>
          <w:szCs w:val="21"/>
        </w:rPr>
      </w:pPr>
      <w:r>
        <w:rPr>
          <w:rFonts w:ascii="宋体" w:hAnsi="宋体" w:cs="宋体"/>
          <w:b/>
          <w:bCs/>
          <w:color w:val="auto"/>
          <w:szCs w:val="21"/>
        </w:rPr>
        <w:t>吹灌旋一体机</w:t>
      </w:r>
      <w:r>
        <w:rPr>
          <w:rFonts w:hint="eastAsia" w:ascii="宋体" w:hAnsi="宋体" w:cs="宋体"/>
          <w:b/>
          <w:bCs/>
          <w:color w:val="auto"/>
          <w:szCs w:val="21"/>
        </w:rPr>
        <w:t>设备的技术要求：</w:t>
      </w:r>
    </w:p>
    <w:p>
      <w:pPr>
        <w:pStyle w:val="36"/>
        <w:numPr>
          <w:ilvl w:val="0"/>
          <w:numId w:val="15"/>
        </w:numPr>
        <w:spacing w:line="360" w:lineRule="auto"/>
        <w:rPr>
          <w:rFonts w:hint="eastAsia" w:ascii="宋体" w:hAnsi="宋体"/>
          <w:b/>
          <w:color w:val="auto"/>
          <w:szCs w:val="21"/>
        </w:rPr>
      </w:pPr>
      <w:r>
        <w:rPr>
          <w:rFonts w:hint="eastAsia" w:ascii="宋体" w:hAnsi="宋体"/>
          <w:b/>
          <w:color w:val="auto"/>
          <w:szCs w:val="21"/>
        </w:rPr>
        <w:t>吹灌旋一体机设备整体要求：</w:t>
      </w:r>
    </w:p>
    <w:p>
      <w:pPr>
        <w:pStyle w:val="36"/>
        <w:numPr>
          <w:ilvl w:val="0"/>
          <w:numId w:val="16"/>
        </w:numPr>
        <w:spacing w:line="360" w:lineRule="auto"/>
        <w:rPr>
          <w:rFonts w:hint="eastAsia" w:ascii="宋体" w:hAnsi="宋体"/>
          <w:bCs/>
          <w:color w:val="auto"/>
          <w:szCs w:val="21"/>
        </w:rPr>
      </w:pPr>
      <w:r>
        <w:rPr>
          <w:rFonts w:hint="eastAsia" w:ascii="宋体" w:hAnsi="宋体"/>
          <w:bCs/>
          <w:color w:val="auto"/>
          <w:szCs w:val="21"/>
        </w:rPr>
        <w:t>功能描述：</w:t>
      </w:r>
      <w:r>
        <w:rPr>
          <w:rFonts w:ascii="宋体" w:hAnsi="宋体"/>
          <w:bCs/>
          <w:color w:val="auto"/>
          <w:szCs w:val="21"/>
        </w:rPr>
        <w:t>将包材（瓶坯、盖）经过相应的热处理/化学处理达到商业无菌标准要求，在无菌的环境下进行料液产品灌装、旋盖并输出到后段输送带。</w:t>
      </w:r>
    </w:p>
    <w:p>
      <w:pPr>
        <w:pStyle w:val="36"/>
        <w:numPr>
          <w:ilvl w:val="0"/>
          <w:numId w:val="16"/>
        </w:numPr>
        <w:spacing w:line="360" w:lineRule="auto"/>
        <w:rPr>
          <w:rFonts w:hint="eastAsia" w:ascii="宋体" w:hAnsi="宋体"/>
          <w:bCs/>
          <w:color w:val="auto"/>
          <w:szCs w:val="21"/>
        </w:rPr>
      </w:pPr>
      <w:bookmarkStart w:id="21" w:name="OLE_LINK10"/>
      <w:r>
        <w:rPr>
          <w:rFonts w:hint="eastAsia" w:ascii="宋体" w:hAnsi="宋体"/>
          <w:bCs/>
          <w:color w:val="auto"/>
          <w:szCs w:val="21"/>
        </w:rPr>
        <w:t>主要设备范围</w:t>
      </w:r>
      <w:bookmarkEnd w:id="21"/>
      <w:r>
        <w:rPr>
          <w:rFonts w:hint="eastAsia" w:ascii="宋体" w:hAnsi="宋体"/>
          <w:bCs/>
          <w:color w:val="auto"/>
          <w:szCs w:val="21"/>
        </w:rPr>
        <w:t>：</w:t>
      </w:r>
      <w:r>
        <w:rPr>
          <w:rFonts w:ascii="宋体" w:hAnsi="宋体"/>
          <w:bCs/>
          <w:color w:val="auto"/>
          <w:szCs w:val="21"/>
        </w:rPr>
        <w:t>吹瓶机以及其辅助设备、瓶坯杀菌、</w:t>
      </w:r>
      <w:r>
        <w:rPr>
          <w:rFonts w:ascii="宋体" w:hAnsi="宋体"/>
          <w:bCs/>
          <w:color w:val="auto"/>
          <w:spacing w:val="-2"/>
        </w:rPr>
        <w:t>瓶胚检测</w:t>
      </w:r>
      <w:r>
        <w:rPr>
          <w:rFonts w:hint="eastAsia" w:ascii="宋体" w:hAnsi="宋体"/>
          <w:bCs/>
          <w:color w:val="auto"/>
          <w:spacing w:val="-2"/>
        </w:rPr>
        <w:t>、</w:t>
      </w:r>
      <w:r>
        <w:rPr>
          <w:rFonts w:ascii="宋体" w:hAnsi="宋体"/>
          <w:bCs/>
          <w:color w:val="auto"/>
          <w:szCs w:val="21"/>
        </w:rPr>
        <w:t>盖整列、</w:t>
      </w:r>
      <w:r>
        <w:rPr>
          <w:rFonts w:hint="eastAsia" w:ascii="宋体" w:hAnsi="宋体" w:cs="宋体"/>
          <w:color w:val="auto"/>
          <w:szCs w:val="21"/>
        </w:rPr>
        <w:t>瓶盖检测</w:t>
      </w:r>
      <w:r>
        <w:rPr>
          <w:rFonts w:hint="eastAsia" w:ascii="宋体" w:hAnsi="宋体"/>
          <w:bCs/>
          <w:color w:val="auto"/>
          <w:szCs w:val="21"/>
        </w:rPr>
        <w:t>、</w:t>
      </w:r>
      <w:r>
        <w:rPr>
          <w:rFonts w:ascii="宋体" w:hAnsi="宋体"/>
          <w:bCs/>
          <w:color w:val="auto"/>
          <w:szCs w:val="21"/>
        </w:rPr>
        <w:t>盖杀菌设备、灌装机、旋盖机以及为达成相关功能应当包括的辅助处理设备等。</w:t>
      </w:r>
    </w:p>
    <w:p>
      <w:pPr>
        <w:pStyle w:val="36"/>
        <w:numPr>
          <w:ilvl w:val="0"/>
          <w:numId w:val="16"/>
        </w:numPr>
        <w:spacing w:line="360" w:lineRule="auto"/>
        <w:rPr>
          <w:rFonts w:hint="eastAsia" w:ascii="宋体" w:hAnsi="宋体"/>
          <w:bCs/>
          <w:color w:val="auto"/>
          <w:szCs w:val="21"/>
        </w:rPr>
      </w:pPr>
      <w:bookmarkStart w:id="22" w:name="_Hlk200288166"/>
      <w:r>
        <w:rPr>
          <w:rFonts w:hint="eastAsia" w:ascii="宋体" w:hAnsi="宋体"/>
          <w:bCs/>
          <w:color w:val="auto"/>
          <w:szCs w:val="21"/>
        </w:rPr>
        <w:t>设备技术参数及配置要求：</w:t>
      </w:r>
      <w:bookmarkEnd w:id="22"/>
    </w:p>
    <w:p>
      <w:pPr>
        <w:numPr>
          <w:ilvl w:val="0"/>
          <w:numId w:val="17"/>
        </w:numPr>
        <w:spacing w:line="360" w:lineRule="auto"/>
        <w:rPr>
          <w:rFonts w:hint="eastAsia" w:ascii="宋体" w:hAnsi="宋体"/>
          <w:color w:val="auto"/>
          <w:kern w:val="0"/>
          <w:szCs w:val="21"/>
        </w:rPr>
      </w:pPr>
      <w:r>
        <w:rPr>
          <w:rFonts w:hint="eastAsia" w:ascii="宋体" w:hAnsi="宋体"/>
          <w:color w:val="auto"/>
          <w:kern w:val="0"/>
          <w:szCs w:val="21"/>
        </w:rPr>
        <w:t>★数量：1套；配置吹灌旋一体机，</w:t>
      </w:r>
      <w:r>
        <w:rPr>
          <w:rFonts w:ascii="宋体" w:hAnsi="宋体"/>
          <w:color w:val="auto"/>
          <w:kern w:val="0"/>
          <w:szCs w:val="21"/>
        </w:rPr>
        <w:t>满足28mm</w:t>
      </w:r>
      <w:r>
        <w:rPr>
          <w:rFonts w:hint="eastAsia" w:ascii="宋体" w:hAnsi="宋体"/>
          <w:color w:val="auto"/>
          <w:kern w:val="0"/>
          <w:szCs w:val="21"/>
        </w:rPr>
        <w:t>和</w:t>
      </w:r>
      <w:r>
        <w:rPr>
          <w:rFonts w:ascii="宋体" w:hAnsi="宋体"/>
          <w:color w:val="auto"/>
          <w:kern w:val="0"/>
          <w:szCs w:val="21"/>
        </w:rPr>
        <w:t>38mm瓶口规格的PET瓶生产需求，设计产能 ≥24000瓶/小时</w:t>
      </w:r>
      <w:r>
        <w:rPr>
          <w:rFonts w:hint="eastAsia" w:ascii="宋体" w:hAnsi="宋体"/>
          <w:color w:val="auto"/>
          <w:kern w:val="0"/>
          <w:szCs w:val="21"/>
        </w:rPr>
        <w:t>，</w:t>
      </w:r>
      <w:r>
        <w:rPr>
          <w:rFonts w:ascii="宋体" w:hAnsi="宋体"/>
          <w:color w:val="auto"/>
          <w:kern w:val="0"/>
          <w:szCs w:val="21"/>
        </w:rPr>
        <w:t>以500mL</w:t>
      </w:r>
      <w:r>
        <w:rPr>
          <w:rFonts w:hint="eastAsia" w:ascii="宋体" w:hAnsi="宋体"/>
          <w:color w:val="auto"/>
          <w:kern w:val="0"/>
          <w:szCs w:val="21"/>
        </w:rPr>
        <w:t>PET瓶</w:t>
      </w:r>
      <w:r>
        <w:rPr>
          <w:rFonts w:ascii="宋体" w:hAnsi="宋体"/>
          <w:color w:val="auto"/>
          <w:kern w:val="0"/>
          <w:szCs w:val="21"/>
        </w:rPr>
        <w:t>计</w:t>
      </w:r>
      <w:r>
        <w:rPr>
          <w:rFonts w:hint="eastAsia" w:ascii="宋体" w:hAnsi="宋体"/>
          <w:color w:val="auto"/>
          <w:kern w:val="0"/>
          <w:szCs w:val="21"/>
        </w:rPr>
        <w:t>，速度满足50%～100%可调。</w:t>
      </w:r>
    </w:p>
    <w:p>
      <w:pPr>
        <w:numPr>
          <w:ilvl w:val="0"/>
          <w:numId w:val="17"/>
        </w:numPr>
        <w:spacing w:line="360" w:lineRule="auto"/>
        <w:rPr>
          <w:rFonts w:hint="eastAsia" w:ascii="宋体" w:hAnsi="宋体"/>
          <w:color w:val="auto"/>
          <w:kern w:val="0"/>
          <w:szCs w:val="21"/>
        </w:rPr>
      </w:pPr>
      <w:r>
        <w:rPr>
          <w:rFonts w:hint="eastAsia" w:ascii="宋体" w:hAnsi="宋体"/>
          <w:color w:val="auto"/>
          <w:kern w:val="0"/>
          <w:szCs w:val="21"/>
        </w:rPr>
        <w:t>换型件设计时可考虑不同的瓶型可兼容使用，满足本项目要求的所有瓶型生产，具备快速换型的特点，采用不锈钢SUS304L或更高规格材质制作，使用时不得出现锈蚀异常。</w:t>
      </w:r>
    </w:p>
    <w:p>
      <w:pPr>
        <w:numPr>
          <w:ilvl w:val="0"/>
          <w:numId w:val="17"/>
        </w:numPr>
        <w:spacing w:line="360" w:lineRule="auto"/>
        <w:rPr>
          <w:rFonts w:hint="eastAsia" w:ascii="宋体" w:hAnsi="宋体"/>
          <w:color w:val="auto"/>
          <w:kern w:val="0"/>
          <w:szCs w:val="21"/>
        </w:rPr>
      </w:pPr>
      <w:r>
        <w:rPr>
          <w:rFonts w:hint="eastAsia" w:ascii="宋体" w:hAnsi="宋体"/>
          <w:color w:val="auto"/>
          <w:kern w:val="0"/>
          <w:szCs w:val="21"/>
        </w:rPr>
        <w:t>提供1套500mL王老吉产品的吹瓶模具（含1支备用模具），吹瓶模及底模带有排气功能（具体瓶型中标后确认）。</w:t>
      </w:r>
    </w:p>
    <w:p>
      <w:pPr>
        <w:numPr>
          <w:ilvl w:val="0"/>
          <w:numId w:val="17"/>
        </w:numPr>
        <w:spacing w:line="360" w:lineRule="auto"/>
        <w:rPr>
          <w:rFonts w:hint="eastAsia" w:ascii="宋体" w:hAnsi="宋体"/>
          <w:color w:val="auto"/>
          <w:kern w:val="0"/>
          <w:szCs w:val="21"/>
        </w:rPr>
      </w:pPr>
      <w:r>
        <w:rPr>
          <w:rFonts w:hint="eastAsia" w:ascii="宋体" w:hAnsi="宋体"/>
          <w:color w:val="auto"/>
          <w:kern w:val="0"/>
          <w:szCs w:val="21"/>
        </w:rPr>
        <w:t>同口径不同克重、模具切换，从上一个批次最后一瓶至下一个批次第一瓶时间间隔≤2.5小时（硬件、软件切换时间，不包含</w:t>
      </w:r>
      <w:r>
        <w:rPr>
          <w:rFonts w:ascii="宋体" w:hAnsi="宋体"/>
          <w:color w:val="auto"/>
          <w:kern w:val="0"/>
          <w:szCs w:val="21"/>
        </w:rPr>
        <w:t>CIP</w:t>
      </w:r>
      <w:r>
        <w:rPr>
          <w:rFonts w:hint="eastAsia" w:ascii="宋体" w:hAnsi="宋体"/>
          <w:color w:val="auto"/>
          <w:kern w:val="0"/>
          <w:szCs w:val="21"/>
        </w:rPr>
        <w:t>、</w:t>
      </w:r>
      <w:r>
        <w:rPr>
          <w:rFonts w:ascii="宋体" w:hAnsi="宋体"/>
          <w:color w:val="auto"/>
          <w:kern w:val="0"/>
          <w:szCs w:val="21"/>
        </w:rPr>
        <w:t>COP</w:t>
      </w:r>
      <w:r>
        <w:rPr>
          <w:rFonts w:hint="eastAsia" w:ascii="宋体" w:hAnsi="宋体"/>
          <w:color w:val="auto"/>
          <w:kern w:val="0"/>
          <w:szCs w:val="21"/>
        </w:rPr>
        <w:t>、SIP、</w:t>
      </w:r>
      <w:r>
        <w:rPr>
          <w:rFonts w:ascii="宋体" w:hAnsi="宋体"/>
          <w:color w:val="auto"/>
          <w:kern w:val="0"/>
          <w:szCs w:val="21"/>
        </w:rPr>
        <w:t>SOP</w:t>
      </w:r>
      <w:r>
        <w:rPr>
          <w:rFonts w:hint="eastAsia" w:ascii="宋体" w:hAnsi="宋体"/>
          <w:color w:val="auto"/>
          <w:kern w:val="0"/>
          <w:szCs w:val="21"/>
        </w:rPr>
        <w:t>等过程）。</w:t>
      </w:r>
    </w:p>
    <w:p>
      <w:pPr>
        <w:pStyle w:val="36"/>
        <w:numPr>
          <w:ilvl w:val="0"/>
          <w:numId w:val="17"/>
        </w:numPr>
        <w:spacing w:line="360" w:lineRule="auto"/>
        <w:rPr>
          <w:rFonts w:hint="eastAsia" w:ascii="宋体" w:hAnsi="宋体"/>
          <w:bCs/>
          <w:color w:val="auto"/>
          <w:szCs w:val="21"/>
        </w:rPr>
      </w:pPr>
      <w:r>
        <w:rPr>
          <w:rFonts w:hint="eastAsia" w:ascii="宋体" w:hAnsi="宋体"/>
          <w:bCs/>
          <w:color w:val="auto"/>
          <w:szCs w:val="21"/>
        </w:rPr>
        <w:t>设备自配1套冰水机（循环泵等）用于吹瓶机模具冷却和瓶口冷却使用；采用舜天、宝钦、奥伦德或同等及以上品牌，冰水温度、流量及冷量需求配置满足设备工艺使用要求。</w:t>
      </w:r>
    </w:p>
    <w:p>
      <w:pPr>
        <w:numPr>
          <w:ilvl w:val="0"/>
          <w:numId w:val="17"/>
        </w:numPr>
        <w:spacing w:line="360" w:lineRule="auto"/>
        <w:rPr>
          <w:rFonts w:hint="eastAsia" w:ascii="宋体" w:hAnsi="宋体"/>
          <w:color w:val="auto"/>
          <w:kern w:val="0"/>
          <w:szCs w:val="21"/>
        </w:rPr>
      </w:pPr>
      <w:r>
        <w:rPr>
          <w:rFonts w:hint="eastAsia" w:ascii="宋体" w:hAnsi="宋体"/>
          <w:color w:val="auto"/>
          <w:kern w:val="0"/>
          <w:szCs w:val="21"/>
        </w:rPr>
        <w:t>配置1套UPS储能模块，UPS储能模块能够保护设备在断电的情况下保存PLC数据信息，并正常关机，电池容量不低于7AH。</w:t>
      </w:r>
    </w:p>
    <w:p>
      <w:pPr>
        <w:numPr>
          <w:ilvl w:val="0"/>
          <w:numId w:val="17"/>
        </w:numPr>
        <w:spacing w:line="360" w:lineRule="auto"/>
        <w:rPr>
          <w:rFonts w:hint="eastAsia" w:ascii="宋体" w:hAnsi="宋体"/>
          <w:color w:val="auto"/>
          <w:kern w:val="0"/>
          <w:szCs w:val="21"/>
        </w:rPr>
      </w:pPr>
      <w:r>
        <w:rPr>
          <w:rFonts w:ascii="宋体" w:hAnsi="宋体"/>
          <w:color w:val="auto"/>
          <w:kern w:val="0"/>
          <w:szCs w:val="21"/>
        </w:rPr>
        <w:t xml:space="preserve">所有食品接触材质符合食品安全标准：不锈钢均为 </w:t>
      </w:r>
      <w:r>
        <w:rPr>
          <w:rFonts w:hint="eastAsia" w:ascii="宋体" w:hAnsi="宋体"/>
          <w:color w:val="auto"/>
          <w:kern w:val="0"/>
          <w:szCs w:val="21"/>
        </w:rPr>
        <w:t>316</w:t>
      </w:r>
      <w:r>
        <w:rPr>
          <w:rFonts w:ascii="宋体" w:hAnsi="宋体"/>
          <w:color w:val="auto"/>
          <w:kern w:val="0"/>
          <w:szCs w:val="21"/>
        </w:rPr>
        <w:t>L</w:t>
      </w:r>
      <w:r>
        <w:rPr>
          <w:rFonts w:hint="eastAsia" w:ascii="宋体" w:hAnsi="宋体"/>
          <w:color w:val="auto"/>
          <w:kern w:val="0"/>
          <w:szCs w:val="21"/>
        </w:rPr>
        <w:t>及以上</w:t>
      </w:r>
      <w:r>
        <w:rPr>
          <w:rFonts w:ascii="宋体" w:hAnsi="宋体"/>
          <w:color w:val="auto"/>
          <w:kern w:val="0"/>
          <w:szCs w:val="21"/>
        </w:rPr>
        <w:t>更高等级材质。</w:t>
      </w:r>
    </w:p>
    <w:p>
      <w:pPr>
        <w:numPr>
          <w:ilvl w:val="0"/>
          <w:numId w:val="17"/>
        </w:numPr>
        <w:spacing w:line="360" w:lineRule="auto"/>
        <w:rPr>
          <w:rFonts w:hint="eastAsia" w:ascii="宋体" w:hAnsi="宋体"/>
          <w:color w:val="auto"/>
          <w:kern w:val="0"/>
          <w:szCs w:val="21"/>
        </w:rPr>
      </w:pPr>
      <w:r>
        <w:rPr>
          <w:rFonts w:ascii="宋体" w:hAnsi="宋体"/>
          <w:color w:val="auto"/>
          <w:kern w:val="0"/>
          <w:szCs w:val="21"/>
        </w:rPr>
        <w:t>吹灌旋设备</w:t>
      </w:r>
      <w:r>
        <w:rPr>
          <w:rFonts w:hint="eastAsia" w:ascii="宋体" w:hAnsi="宋体"/>
          <w:color w:val="auto"/>
          <w:kern w:val="0"/>
          <w:szCs w:val="21"/>
        </w:rPr>
        <w:t>需</w:t>
      </w:r>
      <w:r>
        <w:rPr>
          <w:rFonts w:ascii="宋体" w:hAnsi="宋体"/>
          <w:color w:val="auto"/>
          <w:kern w:val="0"/>
          <w:szCs w:val="21"/>
        </w:rPr>
        <w:t>具备 CIP、COP、SIP、SOP 功能，灌装机 SIP 和CIP 时要求采用密闭循环方式，以满足清洗的压力和流量。</w:t>
      </w:r>
    </w:p>
    <w:p>
      <w:pPr>
        <w:numPr>
          <w:ilvl w:val="0"/>
          <w:numId w:val="17"/>
        </w:numPr>
        <w:spacing w:line="360" w:lineRule="auto"/>
        <w:rPr>
          <w:rFonts w:hint="eastAsia" w:ascii="宋体" w:hAnsi="宋体"/>
          <w:color w:val="auto"/>
          <w:kern w:val="0"/>
          <w:szCs w:val="21"/>
        </w:rPr>
      </w:pPr>
      <w:r>
        <w:rPr>
          <w:rFonts w:ascii="宋体" w:hAnsi="宋体"/>
          <w:color w:val="auto"/>
          <w:kern w:val="0"/>
          <w:szCs w:val="21"/>
        </w:rPr>
        <w:t>吹瓶机</w:t>
      </w:r>
      <w:r>
        <w:rPr>
          <w:rFonts w:hint="eastAsia" w:ascii="宋体" w:hAnsi="宋体"/>
          <w:color w:val="auto"/>
          <w:kern w:val="0"/>
          <w:szCs w:val="21"/>
        </w:rPr>
        <w:t>、</w:t>
      </w:r>
      <w:r>
        <w:rPr>
          <w:rFonts w:ascii="宋体" w:hAnsi="宋体"/>
          <w:color w:val="auto"/>
          <w:kern w:val="0"/>
          <w:szCs w:val="21"/>
        </w:rPr>
        <w:t>灌装机</w:t>
      </w:r>
      <w:r>
        <w:rPr>
          <w:rFonts w:hint="eastAsia" w:ascii="宋体" w:hAnsi="宋体"/>
          <w:color w:val="auto"/>
          <w:kern w:val="0"/>
          <w:szCs w:val="21"/>
        </w:rPr>
        <w:t>及</w:t>
      </w:r>
      <w:r>
        <w:rPr>
          <w:rFonts w:ascii="宋体" w:hAnsi="宋体"/>
          <w:color w:val="auto"/>
          <w:kern w:val="0"/>
          <w:szCs w:val="21"/>
        </w:rPr>
        <w:t>旋盖机分别独立操作与调试。</w:t>
      </w:r>
    </w:p>
    <w:p>
      <w:pPr>
        <w:numPr>
          <w:ilvl w:val="0"/>
          <w:numId w:val="17"/>
        </w:numPr>
        <w:spacing w:line="360" w:lineRule="auto"/>
        <w:rPr>
          <w:rFonts w:hint="eastAsia" w:ascii="宋体" w:hAnsi="宋体"/>
          <w:color w:val="auto"/>
          <w:kern w:val="0"/>
          <w:szCs w:val="21"/>
        </w:rPr>
      </w:pPr>
      <w:r>
        <w:rPr>
          <w:rFonts w:ascii="宋体" w:hAnsi="宋体"/>
          <w:color w:val="auto"/>
          <w:kern w:val="0"/>
          <w:szCs w:val="21"/>
        </w:rPr>
        <w:t>产品经灌装完成后旋盖前</w:t>
      </w:r>
      <w:r>
        <w:rPr>
          <w:rFonts w:hint="eastAsia" w:ascii="宋体" w:hAnsi="宋体"/>
          <w:color w:val="auto"/>
          <w:kern w:val="0"/>
          <w:szCs w:val="21"/>
        </w:rPr>
        <w:t>配置</w:t>
      </w:r>
      <w:r>
        <w:rPr>
          <w:rFonts w:ascii="宋体" w:hAnsi="宋体"/>
          <w:color w:val="auto"/>
          <w:kern w:val="0"/>
          <w:szCs w:val="21"/>
        </w:rPr>
        <w:t>有瓶口冲洗功能。</w:t>
      </w:r>
    </w:p>
    <w:p>
      <w:pPr>
        <w:numPr>
          <w:ilvl w:val="0"/>
          <w:numId w:val="17"/>
        </w:numPr>
        <w:spacing w:line="360" w:lineRule="auto"/>
        <w:rPr>
          <w:rFonts w:hint="eastAsia" w:ascii="宋体" w:hAnsi="宋体"/>
          <w:color w:val="auto"/>
          <w:kern w:val="0"/>
          <w:szCs w:val="21"/>
        </w:rPr>
      </w:pPr>
      <w:bookmarkStart w:id="23" w:name="_Hlk200288205"/>
      <w:r>
        <w:rPr>
          <w:rFonts w:hint="eastAsia" w:ascii="宋体" w:hAnsi="宋体"/>
          <w:color w:val="auto"/>
          <w:kern w:val="0"/>
          <w:szCs w:val="21"/>
        </w:rPr>
        <w:t>设备满足招标方包材（瓶坯、瓶盖）的微生物指标质量标准要求。</w:t>
      </w:r>
    </w:p>
    <w:p>
      <w:pPr>
        <w:numPr>
          <w:ilvl w:val="0"/>
          <w:numId w:val="17"/>
        </w:numPr>
        <w:spacing w:line="360" w:lineRule="auto"/>
        <w:rPr>
          <w:rFonts w:hint="eastAsia" w:ascii="宋体" w:hAnsi="宋体"/>
          <w:color w:val="auto"/>
          <w:kern w:val="0"/>
          <w:szCs w:val="21"/>
        </w:rPr>
      </w:pPr>
      <w:r>
        <w:rPr>
          <w:rFonts w:hint="eastAsia" w:ascii="宋体" w:hAnsi="宋体"/>
          <w:color w:val="auto"/>
          <w:kern w:val="0"/>
          <w:szCs w:val="21"/>
        </w:rPr>
        <w:t>杀菌</w:t>
      </w:r>
      <w:r>
        <w:rPr>
          <w:rFonts w:ascii="宋体" w:hAnsi="宋体"/>
          <w:color w:val="auto"/>
          <w:kern w:val="0"/>
          <w:szCs w:val="21"/>
        </w:rPr>
        <w:t>过程中产生的废气排放应符合国家环保法律法规规定的排放标准</w:t>
      </w:r>
      <w:r>
        <w:rPr>
          <w:rFonts w:hint="eastAsia" w:ascii="宋体" w:hAnsi="宋体"/>
          <w:color w:val="auto"/>
          <w:kern w:val="0"/>
          <w:szCs w:val="21"/>
        </w:rPr>
        <w:t>。</w:t>
      </w:r>
    </w:p>
    <w:bookmarkEnd w:id="23"/>
    <w:p>
      <w:pPr>
        <w:pStyle w:val="36"/>
        <w:numPr>
          <w:ilvl w:val="0"/>
          <w:numId w:val="16"/>
        </w:numPr>
        <w:spacing w:line="360" w:lineRule="auto"/>
        <w:rPr>
          <w:rFonts w:hint="eastAsia" w:ascii="宋体" w:hAnsi="宋体"/>
          <w:bCs/>
          <w:color w:val="auto"/>
          <w:szCs w:val="21"/>
        </w:rPr>
      </w:pPr>
      <w:bookmarkStart w:id="24" w:name="_Hlk200547166"/>
      <w:r>
        <w:rPr>
          <w:rFonts w:hint="eastAsia" w:ascii="宋体" w:hAnsi="宋体"/>
          <w:bCs/>
          <w:color w:val="auto"/>
          <w:szCs w:val="21"/>
        </w:rPr>
        <w:t>设备功能要求：</w:t>
      </w:r>
    </w:p>
    <w:bookmarkEnd w:id="24"/>
    <w:p>
      <w:pPr>
        <w:numPr>
          <w:ilvl w:val="0"/>
          <w:numId w:val="18"/>
        </w:numPr>
        <w:spacing w:line="360" w:lineRule="auto"/>
        <w:rPr>
          <w:rFonts w:hint="eastAsia" w:ascii="宋体" w:hAnsi="宋体"/>
          <w:color w:val="auto"/>
          <w:kern w:val="0"/>
          <w:szCs w:val="21"/>
        </w:rPr>
      </w:pPr>
      <w:r>
        <w:rPr>
          <w:rFonts w:ascii="宋体" w:hAnsi="宋体"/>
          <w:color w:val="auto"/>
          <w:kern w:val="0"/>
          <w:szCs w:val="21"/>
        </w:rPr>
        <w:t>配自动集中润滑系统，并具备人工检查窗口、手动加油润滑功能，在主控屏幕上设有异常报警功能，提高设备的运行可靠性。</w:t>
      </w:r>
    </w:p>
    <w:p>
      <w:pPr>
        <w:numPr>
          <w:ilvl w:val="0"/>
          <w:numId w:val="18"/>
        </w:numPr>
        <w:spacing w:line="360" w:lineRule="auto"/>
        <w:rPr>
          <w:rFonts w:hint="eastAsia" w:ascii="宋体" w:hAnsi="宋体"/>
          <w:color w:val="auto"/>
          <w:kern w:val="0"/>
          <w:szCs w:val="21"/>
        </w:rPr>
      </w:pPr>
      <w:r>
        <w:rPr>
          <w:rFonts w:ascii="宋体" w:hAnsi="宋体"/>
          <w:color w:val="auto"/>
          <w:kern w:val="0"/>
          <w:szCs w:val="21"/>
        </w:rPr>
        <w:t>吹灌旋一体系统与后段包装整线联动</w:t>
      </w:r>
      <w:r>
        <w:rPr>
          <w:rFonts w:hint="eastAsia" w:ascii="宋体" w:hAnsi="宋体"/>
          <w:color w:val="auto"/>
          <w:kern w:val="0"/>
          <w:szCs w:val="21"/>
        </w:rPr>
        <w:t>、</w:t>
      </w:r>
      <w:r>
        <w:rPr>
          <w:rFonts w:ascii="宋体" w:hAnsi="宋体"/>
          <w:color w:val="auto"/>
          <w:kern w:val="0"/>
          <w:szCs w:val="21"/>
        </w:rPr>
        <w:t>合理设置急停开关位置</w:t>
      </w:r>
      <w:r>
        <w:rPr>
          <w:rFonts w:hint="eastAsia" w:ascii="宋体" w:hAnsi="宋体"/>
          <w:color w:val="auto"/>
          <w:kern w:val="0"/>
          <w:szCs w:val="21"/>
        </w:rPr>
        <w:t>，并具有满瓶检测、减速检测等联动功能。</w:t>
      </w:r>
    </w:p>
    <w:p>
      <w:pPr>
        <w:numPr>
          <w:ilvl w:val="0"/>
          <w:numId w:val="18"/>
        </w:numPr>
        <w:spacing w:line="360" w:lineRule="auto"/>
        <w:rPr>
          <w:rFonts w:hint="eastAsia" w:ascii="宋体" w:hAnsi="宋体"/>
          <w:color w:val="auto"/>
          <w:kern w:val="0"/>
          <w:szCs w:val="21"/>
        </w:rPr>
      </w:pPr>
      <w:r>
        <w:rPr>
          <w:rFonts w:hint="eastAsia" w:ascii="宋体" w:hAnsi="宋体" w:cs="宋体"/>
          <w:color w:val="auto"/>
          <w:sz w:val="24"/>
        </w:rPr>
        <w:t>★</w:t>
      </w:r>
      <w:r>
        <w:rPr>
          <w:rFonts w:ascii="宋体" w:hAnsi="宋体"/>
          <w:color w:val="auto"/>
          <w:kern w:val="0"/>
          <w:szCs w:val="21"/>
        </w:rPr>
        <w:t>吹灌旋一体机效率：生产效率≥9</w:t>
      </w:r>
      <w:r>
        <w:rPr>
          <w:rFonts w:hint="eastAsia" w:ascii="宋体" w:hAnsi="宋体"/>
          <w:color w:val="auto"/>
          <w:kern w:val="0"/>
          <w:szCs w:val="21"/>
        </w:rPr>
        <w:t>5</w:t>
      </w:r>
      <w:r>
        <w:rPr>
          <w:rFonts w:ascii="宋体" w:hAnsi="宋体"/>
          <w:color w:val="auto"/>
          <w:kern w:val="0"/>
          <w:szCs w:val="21"/>
        </w:rPr>
        <w:t>%</w:t>
      </w:r>
      <w:r>
        <w:rPr>
          <w:rFonts w:hint="eastAsia" w:ascii="宋体" w:hAnsi="宋体"/>
          <w:color w:val="auto"/>
          <w:kern w:val="0"/>
          <w:szCs w:val="21"/>
        </w:rPr>
        <w:t>。</w:t>
      </w:r>
    </w:p>
    <w:p>
      <w:pPr>
        <w:numPr>
          <w:ilvl w:val="0"/>
          <w:numId w:val="18"/>
        </w:numPr>
        <w:spacing w:line="360" w:lineRule="auto"/>
        <w:rPr>
          <w:rFonts w:hint="eastAsia" w:ascii="宋体" w:hAnsi="宋体"/>
          <w:color w:val="auto"/>
          <w:kern w:val="0"/>
          <w:szCs w:val="21"/>
        </w:rPr>
      </w:pPr>
      <w:r>
        <w:rPr>
          <w:rFonts w:hint="eastAsia" w:ascii="宋体" w:hAnsi="宋体"/>
          <w:color w:val="auto"/>
          <w:kern w:val="0"/>
          <w:szCs w:val="21"/>
        </w:rPr>
        <w:t>投标方负责提供</w:t>
      </w:r>
      <w:r>
        <w:rPr>
          <w:rFonts w:ascii="宋体" w:hAnsi="宋体"/>
          <w:color w:val="auto"/>
          <w:kern w:val="0"/>
          <w:szCs w:val="21"/>
        </w:rPr>
        <w:t>无菌验证技术指导（含教材）与培训</w:t>
      </w:r>
      <w:r>
        <w:rPr>
          <w:rFonts w:hint="eastAsia" w:ascii="宋体" w:hAnsi="宋体"/>
          <w:color w:val="auto"/>
          <w:kern w:val="0"/>
          <w:szCs w:val="21"/>
        </w:rPr>
        <w:t>合格</w:t>
      </w:r>
      <w:r>
        <w:rPr>
          <w:rFonts w:ascii="宋体" w:hAnsi="宋体"/>
          <w:color w:val="auto"/>
          <w:kern w:val="0"/>
          <w:szCs w:val="21"/>
        </w:rPr>
        <w:t>。</w:t>
      </w:r>
    </w:p>
    <w:p>
      <w:pPr>
        <w:pStyle w:val="36"/>
        <w:numPr>
          <w:ilvl w:val="0"/>
          <w:numId w:val="15"/>
        </w:numPr>
        <w:spacing w:line="360" w:lineRule="auto"/>
        <w:rPr>
          <w:rFonts w:hint="eastAsia" w:ascii="宋体" w:hAnsi="宋体"/>
          <w:b/>
          <w:color w:val="auto"/>
          <w:spacing w:val="-2"/>
          <w:szCs w:val="21"/>
        </w:rPr>
      </w:pPr>
      <w:bookmarkStart w:id="25" w:name="_Hlk200292876"/>
      <w:r>
        <w:rPr>
          <w:rFonts w:hint="eastAsia" w:ascii="宋体" w:hAnsi="宋体"/>
          <w:b/>
          <w:color w:val="auto"/>
          <w:spacing w:val="-2"/>
          <w:szCs w:val="21"/>
        </w:rPr>
        <w:t>瓶坯进料整理单元：</w:t>
      </w:r>
    </w:p>
    <w:bookmarkEnd w:id="25"/>
    <w:p>
      <w:pPr>
        <w:pStyle w:val="36"/>
        <w:numPr>
          <w:ilvl w:val="0"/>
          <w:numId w:val="19"/>
        </w:numPr>
        <w:spacing w:line="360" w:lineRule="auto"/>
        <w:rPr>
          <w:rFonts w:hint="eastAsia" w:ascii="宋体" w:hAnsi="宋体"/>
          <w:bCs/>
          <w:color w:val="auto"/>
          <w:szCs w:val="21"/>
        </w:rPr>
      </w:pPr>
      <w:r>
        <w:rPr>
          <w:rFonts w:hint="eastAsia" w:ascii="宋体" w:hAnsi="宋体"/>
          <w:bCs/>
          <w:color w:val="auto"/>
          <w:szCs w:val="21"/>
        </w:rPr>
        <w:t>主要设备范围：瓶坯底部皮带、瓶坯提升皮机、瓶坯斗、理坯整列机、瓶坯滑道、</w:t>
      </w:r>
      <w:bookmarkStart w:id="26" w:name="OLE_LINK12"/>
      <w:r>
        <w:rPr>
          <w:rFonts w:hint="eastAsia" w:ascii="宋体" w:hAnsi="宋体"/>
          <w:bCs/>
          <w:color w:val="auto"/>
          <w:szCs w:val="21"/>
        </w:rPr>
        <w:t>瓶坯翻斗机</w:t>
      </w:r>
      <w:bookmarkEnd w:id="26"/>
      <w:r>
        <w:rPr>
          <w:rFonts w:hint="eastAsia" w:ascii="宋体" w:hAnsi="宋体"/>
          <w:bCs/>
          <w:color w:val="auto"/>
          <w:szCs w:val="21"/>
        </w:rPr>
        <w:t>等设备</w:t>
      </w:r>
    </w:p>
    <w:p>
      <w:pPr>
        <w:pStyle w:val="36"/>
        <w:numPr>
          <w:ilvl w:val="0"/>
          <w:numId w:val="19"/>
        </w:numPr>
        <w:spacing w:line="360" w:lineRule="auto"/>
        <w:rPr>
          <w:rFonts w:hint="eastAsia" w:ascii="宋体" w:hAnsi="宋体"/>
          <w:bCs/>
          <w:color w:val="auto"/>
          <w:szCs w:val="21"/>
        </w:rPr>
      </w:pPr>
      <w:r>
        <w:rPr>
          <w:rFonts w:hint="eastAsia" w:ascii="宋体" w:hAnsi="宋体"/>
          <w:bCs/>
          <w:color w:val="auto"/>
          <w:szCs w:val="21"/>
        </w:rPr>
        <w:t>配置1套自动瓶坯翻斗机设备，可以通过手动/自动上胚功能将瓶胚框内的瓶胚翻倒至瓶胚输送和整列。</w:t>
      </w:r>
    </w:p>
    <w:p>
      <w:pPr>
        <w:pStyle w:val="36"/>
        <w:numPr>
          <w:ilvl w:val="0"/>
          <w:numId w:val="19"/>
        </w:numPr>
        <w:spacing w:line="360" w:lineRule="auto"/>
        <w:rPr>
          <w:rFonts w:hint="eastAsia" w:ascii="宋体" w:hAnsi="宋体"/>
          <w:bCs/>
          <w:color w:val="auto"/>
          <w:szCs w:val="21"/>
        </w:rPr>
      </w:pPr>
      <w:r>
        <w:rPr>
          <w:rFonts w:hint="eastAsia" w:ascii="宋体" w:hAnsi="宋体"/>
          <w:bCs/>
          <w:color w:val="auto"/>
          <w:szCs w:val="21"/>
        </w:rPr>
        <w:t>瓶坯翻斗机必须与现有装坯铁框配合，瓶坯翻斗除机座外全</w:t>
      </w:r>
      <w:r>
        <w:rPr>
          <w:rFonts w:ascii="宋体" w:hAnsi="宋体"/>
          <w:bCs/>
          <w:color w:val="auto"/>
          <w:szCs w:val="21"/>
        </w:rPr>
        <w:t>304</w:t>
      </w:r>
      <w:r>
        <w:rPr>
          <w:rFonts w:hint="eastAsia" w:ascii="宋体" w:hAnsi="宋体"/>
          <w:bCs/>
          <w:color w:val="auto"/>
          <w:szCs w:val="21"/>
        </w:rPr>
        <w:t>不锈钢材质且保证强度。</w:t>
      </w:r>
    </w:p>
    <w:p>
      <w:pPr>
        <w:pStyle w:val="36"/>
        <w:numPr>
          <w:ilvl w:val="0"/>
          <w:numId w:val="19"/>
        </w:numPr>
        <w:spacing w:line="360" w:lineRule="auto"/>
        <w:rPr>
          <w:rFonts w:hint="eastAsia" w:ascii="宋体" w:hAnsi="宋体"/>
          <w:bCs/>
          <w:color w:val="auto"/>
          <w:szCs w:val="21"/>
        </w:rPr>
      </w:pPr>
      <w:r>
        <w:rPr>
          <w:rFonts w:hint="eastAsia" w:ascii="宋体" w:hAnsi="宋体"/>
          <w:bCs/>
          <w:color w:val="auto"/>
          <w:szCs w:val="21"/>
        </w:rPr>
        <w:t>瓶坯翻斗机可与瓶胚料斗联动控制。</w:t>
      </w:r>
    </w:p>
    <w:p>
      <w:pPr>
        <w:pStyle w:val="36"/>
        <w:numPr>
          <w:ilvl w:val="0"/>
          <w:numId w:val="19"/>
        </w:numPr>
        <w:spacing w:line="360" w:lineRule="auto"/>
        <w:rPr>
          <w:rFonts w:hint="eastAsia" w:ascii="宋体" w:hAnsi="宋体"/>
          <w:bCs/>
          <w:color w:val="auto"/>
          <w:szCs w:val="21"/>
        </w:rPr>
      </w:pPr>
      <w:r>
        <w:rPr>
          <w:rFonts w:hint="eastAsia" w:ascii="宋体" w:hAnsi="宋体"/>
          <w:bCs/>
          <w:color w:val="auto"/>
          <w:szCs w:val="21"/>
        </w:rPr>
        <w:t>坯</w:t>
      </w:r>
      <w:r>
        <w:rPr>
          <w:rFonts w:ascii="宋体" w:hAnsi="宋体"/>
          <w:bCs/>
          <w:color w:val="auto"/>
          <w:szCs w:val="21"/>
        </w:rPr>
        <w:t>斗容量：≥4</w:t>
      </w:r>
      <w:r>
        <w:rPr>
          <w:rFonts w:hint="eastAsia" w:ascii="宋体" w:hAnsi="宋体"/>
          <w:bCs/>
          <w:color w:val="auto"/>
          <w:szCs w:val="21"/>
        </w:rPr>
        <w:t>m³</w:t>
      </w:r>
      <w:r>
        <w:rPr>
          <w:rFonts w:ascii="宋体" w:hAnsi="宋体"/>
          <w:bCs/>
          <w:color w:val="auto"/>
          <w:szCs w:val="21"/>
        </w:rPr>
        <w:t>；具备倒坯软质缓冲防撞装置。</w:t>
      </w:r>
    </w:p>
    <w:p>
      <w:pPr>
        <w:pStyle w:val="36"/>
        <w:numPr>
          <w:ilvl w:val="0"/>
          <w:numId w:val="19"/>
        </w:numPr>
        <w:spacing w:line="360" w:lineRule="auto"/>
        <w:rPr>
          <w:rFonts w:hint="eastAsia" w:ascii="宋体" w:hAnsi="宋体"/>
          <w:bCs/>
          <w:color w:val="auto"/>
          <w:szCs w:val="21"/>
        </w:rPr>
      </w:pPr>
      <w:r>
        <w:rPr>
          <w:rFonts w:hint="eastAsia" w:ascii="宋体" w:hAnsi="宋体"/>
          <w:bCs/>
          <w:color w:val="auto"/>
          <w:szCs w:val="21"/>
        </w:rPr>
        <w:t>配置有坯</w:t>
      </w:r>
      <w:r>
        <w:rPr>
          <w:rFonts w:ascii="宋体" w:hAnsi="宋体"/>
          <w:bCs/>
          <w:color w:val="auto"/>
          <w:szCs w:val="21"/>
        </w:rPr>
        <w:t>斗容量检测</w:t>
      </w:r>
      <w:r>
        <w:rPr>
          <w:rFonts w:hint="eastAsia" w:ascii="宋体" w:hAnsi="宋体"/>
          <w:bCs/>
          <w:color w:val="auto"/>
          <w:szCs w:val="21"/>
        </w:rPr>
        <w:t>功能</w:t>
      </w:r>
      <w:r>
        <w:rPr>
          <w:rFonts w:ascii="宋体" w:hAnsi="宋体"/>
          <w:bCs/>
          <w:color w:val="auto"/>
          <w:szCs w:val="21"/>
        </w:rPr>
        <w:t>，在有停机风险的位置前 5 分出声光报警。</w:t>
      </w:r>
    </w:p>
    <w:p>
      <w:pPr>
        <w:pStyle w:val="36"/>
        <w:numPr>
          <w:ilvl w:val="0"/>
          <w:numId w:val="19"/>
        </w:numPr>
        <w:spacing w:line="360" w:lineRule="auto"/>
        <w:rPr>
          <w:rFonts w:hint="eastAsia" w:ascii="宋体" w:hAnsi="宋体"/>
          <w:bCs/>
          <w:color w:val="auto"/>
          <w:szCs w:val="21"/>
        </w:rPr>
      </w:pPr>
      <w:r>
        <w:rPr>
          <w:rFonts w:hint="eastAsia" w:ascii="宋体" w:hAnsi="宋体"/>
          <w:bCs/>
          <w:color w:val="auto"/>
          <w:szCs w:val="21"/>
        </w:rPr>
        <w:t>瓶坯输送满足28mm口径瓶坯长度为82mm-127mm、38mm口径瓶坯长度为68mm-143mm瓶坯的正常使用。</w:t>
      </w:r>
    </w:p>
    <w:p>
      <w:pPr>
        <w:pStyle w:val="36"/>
        <w:numPr>
          <w:ilvl w:val="0"/>
          <w:numId w:val="19"/>
        </w:numPr>
        <w:spacing w:line="360" w:lineRule="auto"/>
        <w:rPr>
          <w:rFonts w:hint="eastAsia" w:ascii="宋体" w:hAnsi="宋体"/>
          <w:bCs/>
          <w:color w:val="auto"/>
          <w:szCs w:val="21"/>
        </w:rPr>
      </w:pPr>
      <w:r>
        <w:rPr>
          <w:rFonts w:hint="eastAsia" w:ascii="宋体" w:hAnsi="宋体"/>
          <w:bCs/>
          <w:color w:val="auto"/>
          <w:szCs w:val="21"/>
        </w:rPr>
        <w:t>瓶坯输送时不伤瓶坯，支撑环损伤低于1</w:t>
      </w:r>
      <w:r>
        <w:rPr>
          <w:rFonts w:ascii="宋体" w:hAnsi="宋体"/>
          <w:bCs/>
          <w:color w:val="auto"/>
          <w:szCs w:val="21"/>
        </w:rPr>
        <w:t>‰</w:t>
      </w:r>
      <w:r>
        <w:rPr>
          <w:rFonts w:hint="eastAsia" w:ascii="宋体" w:hAnsi="宋体"/>
          <w:bCs/>
          <w:color w:val="auto"/>
          <w:szCs w:val="21"/>
        </w:rPr>
        <w:t>。</w:t>
      </w:r>
    </w:p>
    <w:p>
      <w:pPr>
        <w:pStyle w:val="36"/>
        <w:numPr>
          <w:ilvl w:val="0"/>
          <w:numId w:val="19"/>
        </w:numPr>
        <w:spacing w:line="360" w:lineRule="auto"/>
        <w:rPr>
          <w:rFonts w:hint="eastAsia" w:ascii="宋体" w:hAnsi="宋体"/>
          <w:bCs/>
          <w:color w:val="auto"/>
          <w:szCs w:val="21"/>
        </w:rPr>
      </w:pPr>
      <w:r>
        <w:rPr>
          <w:rFonts w:hint="eastAsia" w:ascii="宋体" w:hAnsi="宋体"/>
          <w:bCs/>
          <w:color w:val="auto"/>
          <w:szCs w:val="21"/>
        </w:rPr>
        <w:t>瓶坯提升和理坯机构全程有机玻璃覆盖。</w:t>
      </w:r>
    </w:p>
    <w:p>
      <w:pPr>
        <w:pStyle w:val="36"/>
        <w:numPr>
          <w:ilvl w:val="0"/>
          <w:numId w:val="19"/>
        </w:numPr>
        <w:spacing w:line="360" w:lineRule="auto"/>
        <w:rPr>
          <w:rFonts w:hint="eastAsia" w:ascii="宋体" w:hAnsi="宋体"/>
          <w:bCs/>
          <w:color w:val="auto"/>
          <w:szCs w:val="21"/>
        </w:rPr>
      </w:pPr>
      <w:r>
        <w:rPr>
          <w:rFonts w:hint="eastAsia" w:ascii="宋体" w:hAnsi="宋体"/>
          <w:bCs/>
          <w:color w:val="auto"/>
          <w:szCs w:val="21"/>
        </w:rPr>
        <w:t>输</w:t>
      </w:r>
      <w:r>
        <w:rPr>
          <w:rFonts w:ascii="宋体" w:hAnsi="宋体"/>
          <w:bCs/>
          <w:color w:val="auto"/>
          <w:szCs w:val="21"/>
        </w:rPr>
        <w:t>送带落坯及回坯需有软质缓降装置有效缓解坯管冲击。</w:t>
      </w:r>
    </w:p>
    <w:p>
      <w:pPr>
        <w:pStyle w:val="36"/>
        <w:numPr>
          <w:ilvl w:val="0"/>
          <w:numId w:val="19"/>
        </w:numPr>
        <w:spacing w:line="360" w:lineRule="auto"/>
        <w:rPr>
          <w:rFonts w:hint="eastAsia" w:ascii="宋体" w:hAnsi="宋体"/>
          <w:bCs/>
          <w:color w:val="auto"/>
          <w:szCs w:val="21"/>
        </w:rPr>
      </w:pPr>
      <w:r>
        <w:rPr>
          <w:rFonts w:hint="eastAsia" w:ascii="宋体" w:hAnsi="宋体"/>
          <w:bCs/>
          <w:color w:val="auto"/>
          <w:szCs w:val="21"/>
        </w:rPr>
        <w:t>理</w:t>
      </w:r>
      <w:r>
        <w:rPr>
          <w:rFonts w:ascii="宋体" w:hAnsi="宋体"/>
          <w:bCs/>
          <w:color w:val="auto"/>
          <w:szCs w:val="21"/>
        </w:rPr>
        <w:t>坯段采用高位缓冲坯斗，减少送坯平台加入坯斗的高度落差，回坯提升采用兜型提升皮带输送机，皮带材质为食品级。</w:t>
      </w:r>
    </w:p>
    <w:p>
      <w:pPr>
        <w:pStyle w:val="36"/>
        <w:numPr>
          <w:ilvl w:val="0"/>
          <w:numId w:val="19"/>
        </w:numPr>
        <w:spacing w:line="360" w:lineRule="auto"/>
        <w:rPr>
          <w:rFonts w:hint="eastAsia" w:ascii="宋体" w:hAnsi="宋体"/>
          <w:bCs/>
          <w:color w:val="auto"/>
          <w:szCs w:val="21"/>
        </w:rPr>
      </w:pPr>
      <w:r>
        <w:rPr>
          <w:rFonts w:hint="eastAsia" w:ascii="宋体" w:hAnsi="宋体"/>
          <w:bCs/>
          <w:color w:val="auto"/>
          <w:szCs w:val="21"/>
        </w:rPr>
        <w:t>瓶</w:t>
      </w:r>
      <w:r>
        <w:rPr>
          <w:rFonts w:ascii="宋体" w:hAnsi="宋体"/>
          <w:bCs/>
          <w:color w:val="auto"/>
          <w:szCs w:val="21"/>
        </w:rPr>
        <w:t>坯料斗后侧底部配清空装置及皮带反转驱动。</w:t>
      </w:r>
    </w:p>
    <w:p>
      <w:pPr>
        <w:pStyle w:val="36"/>
        <w:numPr>
          <w:ilvl w:val="0"/>
          <w:numId w:val="19"/>
        </w:numPr>
        <w:spacing w:line="360" w:lineRule="auto"/>
        <w:rPr>
          <w:rFonts w:hint="eastAsia" w:ascii="宋体" w:hAnsi="宋体"/>
          <w:bCs/>
          <w:color w:val="auto"/>
          <w:szCs w:val="21"/>
        </w:rPr>
      </w:pPr>
      <w:r>
        <w:rPr>
          <w:rFonts w:hint="eastAsia" w:ascii="宋体" w:hAnsi="宋体"/>
          <w:bCs/>
          <w:color w:val="auto"/>
          <w:szCs w:val="21"/>
        </w:rPr>
        <w:t>瓶胚提升斗</w:t>
      </w:r>
      <w:r>
        <w:rPr>
          <w:rFonts w:ascii="宋体" w:hAnsi="宋体"/>
          <w:bCs/>
          <w:color w:val="auto"/>
          <w:szCs w:val="21"/>
        </w:rPr>
        <w:t>/</w:t>
      </w:r>
      <w:r>
        <w:rPr>
          <w:rFonts w:hint="eastAsia" w:ascii="宋体" w:hAnsi="宋体"/>
          <w:bCs/>
          <w:color w:val="auto"/>
          <w:szCs w:val="21"/>
        </w:rPr>
        <w:t>瓶胚输送带</w:t>
      </w:r>
      <w:r>
        <w:rPr>
          <w:rFonts w:ascii="宋体" w:hAnsi="宋体"/>
          <w:bCs/>
          <w:color w:val="auto"/>
          <w:szCs w:val="21"/>
        </w:rPr>
        <w:t>/</w:t>
      </w:r>
      <w:r>
        <w:rPr>
          <w:rFonts w:hint="eastAsia" w:ascii="宋体" w:hAnsi="宋体"/>
          <w:bCs/>
          <w:color w:val="auto"/>
          <w:szCs w:val="21"/>
        </w:rPr>
        <w:t>瓶胚回收</w:t>
      </w:r>
      <w:r>
        <w:rPr>
          <w:rFonts w:ascii="宋体" w:hAnsi="宋体"/>
          <w:bCs/>
          <w:color w:val="auto"/>
          <w:szCs w:val="21"/>
        </w:rPr>
        <w:t>/</w:t>
      </w:r>
      <w:r>
        <w:rPr>
          <w:rFonts w:hint="eastAsia" w:ascii="宋体" w:hAnsi="宋体"/>
          <w:bCs/>
          <w:color w:val="auto"/>
          <w:szCs w:val="21"/>
        </w:rPr>
        <w:t>瓶胚整列配备防尘罩</w:t>
      </w:r>
      <w:r>
        <w:rPr>
          <w:rFonts w:ascii="宋体" w:hAnsi="宋体"/>
          <w:bCs/>
          <w:color w:val="auto"/>
          <w:szCs w:val="21"/>
        </w:rPr>
        <w:t>/</w:t>
      </w:r>
      <w:r>
        <w:rPr>
          <w:rFonts w:hint="eastAsia" w:ascii="宋体" w:hAnsi="宋体"/>
          <w:bCs/>
          <w:color w:val="auto"/>
          <w:szCs w:val="21"/>
        </w:rPr>
        <w:t>防尘罩便于拆卸或操作。</w:t>
      </w:r>
    </w:p>
    <w:p>
      <w:pPr>
        <w:pStyle w:val="36"/>
        <w:numPr>
          <w:ilvl w:val="0"/>
          <w:numId w:val="19"/>
        </w:numPr>
        <w:spacing w:line="360" w:lineRule="auto"/>
        <w:rPr>
          <w:rFonts w:hint="eastAsia" w:ascii="宋体" w:hAnsi="宋体"/>
          <w:bCs/>
          <w:color w:val="auto"/>
          <w:szCs w:val="21"/>
        </w:rPr>
      </w:pPr>
      <w:r>
        <w:rPr>
          <w:rFonts w:hint="eastAsia" w:ascii="宋体" w:hAnsi="宋体"/>
          <w:bCs/>
          <w:color w:val="auto"/>
          <w:szCs w:val="21"/>
        </w:rPr>
        <w:t>配置设备检修平台，采用304不锈钢材质。</w:t>
      </w:r>
    </w:p>
    <w:p>
      <w:pPr>
        <w:pStyle w:val="36"/>
        <w:numPr>
          <w:ilvl w:val="0"/>
          <w:numId w:val="15"/>
        </w:numPr>
        <w:spacing w:line="360" w:lineRule="auto"/>
        <w:rPr>
          <w:rFonts w:hint="eastAsia" w:ascii="宋体" w:hAnsi="宋体"/>
          <w:b/>
          <w:color w:val="auto"/>
          <w:szCs w:val="21"/>
        </w:rPr>
      </w:pPr>
      <w:r>
        <w:rPr>
          <w:rFonts w:hint="eastAsia" w:ascii="宋体" w:hAnsi="宋体"/>
          <w:b/>
          <w:color w:val="auto"/>
          <w:szCs w:val="21"/>
        </w:rPr>
        <w:t>加热炉：</w:t>
      </w:r>
    </w:p>
    <w:p>
      <w:pPr>
        <w:pStyle w:val="36"/>
        <w:numPr>
          <w:ilvl w:val="0"/>
          <w:numId w:val="20"/>
        </w:numPr>
        <w:spacing w:line="360" w:lineRule="auto"/>
        <w:rPr>
          <w:rFonts w:hint="eastAsia" w:ascii="宋体" w:hAnsi="宋体"/>
          <w:bCs/>
          <w:color w:val="auto"/>
          <w:szCs w:val="21"/>
        </w:rPr>
      </w:pPr>
      <w:bookmarkStart w:id="27" w:name="_Hlk200293618"/>
      <w:r>
        <w:rPr>
          <w:rFonts w:hint="eastAsia" w:ascii="宋体" w:hAnsi="宋体"/>
          <w:bCs/>
          <w:color w:val="auto"/>
          <w:szCs w:val="21"/>
        </w:rPr>
        <w:t>加</w:t>
      </w:r>
      <w:r>
        <w:rPr>
          <w:rFonts w:ascii="宋体" w:hAnsi="宋体"/>
          <w:bCs/>
          <w:color w:val="auto"/>
          <w:szCs w:val="21"/>
        </w:rPr>
        <w:t>温炉恒温分段控制，配备瓶口保护装置，配置烘炉抽风罩</w:t>
      </w:r>
      <w:r>
        <w:rPr>
          <w:rFonts w:hint="eastAsia" w:ascii="宋体" w:hAnsi="宋体"/>
          <w:bCs/>
          <w:color w:val="auto"/>
          <w:szCs w:val="21"/>
        </w:rPr>
        <w:t>（含排风电机）</w:t>
      </w:r>
      <w:r>
        <w:rPr>
          <w:rFonts w:ascii="宋体" w:hAnsi="宋体"/>
          <w:bCs/>
          <w:color w:val="auto"/>
          <w:szCs w:val="21"/>
        </w:rPr>
        <w:t>和压力管理。</w:t>
      </w:r>
    </w:p>
    <w:bookmarkEnd w:id="27"/>
    <w:p>
      <w:pPr>
        <w:pStyle w:val="36"/>
        <w:numPr>
          <w:ilvl w:val="0"/>
          <w:numId w:val="20"/>
        </w:numPr>
        <w:spacing w:line="360" w:lineRule="auto"/>
        <w:rPr>
          <w:rFonts w:hint="eastAsia" w:ascii="宋体" w:hAnsi="宋体"/>
          <w:bCs/>
          <w:color w:val="auto"/>
          <w:szCs w:val="21"/>
        </w:rPr>
      </w:pPr>
      <w:r>
        <w:rPr>
          <w:rFonts w:hint="eastAsia" w:ascii="宋体" w:hAnsi="宋体"/>
          <w:bCs/>
          <w:color w:val="auto"/>
          <w:szCs w:val="21"/>
        </w:rPr>
        <w:t>灯</w:t>
      </w:r>
      <w:r>
        <w:rPr>
          <w:rFonts w:ascii="宋体" w:hAnsi="宋体"/>
          <w:bCs/>
          <w:color w:val="auto"/>
          <w:szCs w:val="21"/>
        </w:rPr>
        <w:t>箱整体可拆卸，快速转换。</w:t>
      </w:r>
    </w:p>
    <w:p>
      <w:pPr>
        <w:pStyle w:val="36"/>
        <w:numPr>
          <w:ilvl w:val="0"/>
          <w:numId w:val="20"/>
        </w:numPr>
        <w:spacing w:line="360" w:lineRule="auto"/>
        <w:rPr>
          <w:rFonts w:hint="eastAsia" w:ascii="宋体" w:hAnsi="宋体"/>
          <w:bCs/>
          <w:color w:val="auto"/>
          <w:szCs w:val="21"/>
        </w:rPr>
      </w:pPr>
      <w:r>
        <w:rPr>
          <w:rFonts w:hint="eastAsia" w:ascii="宋体" w:hAnsi="宋体"/>
          <w:bCs/>
          <w:color w:val="auto"/>
          <w:szCs w:val="21"/>
        </w:rPr>
        <w:t>快</w:t>
      </w:r>
      <w:r>
        <w:rPr>
          <w:rFonts w:ascii="宋体" w:hAnsi="宋体"/>
          <w:bCs/>
          <w:color w:val="auto"/>
          <w:szCs w:val="21"/>
        </w:rPr>
        <w:t>速更换的进瓶坯星轮单元，匹配的导轨和可伸缩的进瓶坯导轨。</w:t>
      </w:r>
    </w:p>
    <w:p>
      <w:pPr>
        <w:pStyle w:val="36"/>
        <w:numPr>
          <w:ilvl w:val="0"/>
          <w:numId w:val="20"/>
        </w:numPr>
        <w:spacing w:line="360" w:lineRule="auto"/>
        <w:rPr>
          <w:rFonts w:hint="eastAsia" w:ascii="宋体" w:hAnsi="宋体"/>
          <w:bCs/>
          <w:color w:val="auto"/>
          <w:szCs w:val="21"/>
        </w:rPr>
      </w:pPr>
      <w:r>
        <w:rPr>
          <w:rFonts w:hint="eastAsia" w:ascii="宋体" w:hAnsi="宋体"/>
          <w:bCs/>
          <w:color w:val="auto"/>
          <w:szCs w:val="21"/>
        </w:rPr>
        <w:t>连</w:t>
      </w:r>
      <w:r>
        <w:rPr>
          <w:rFonts w:ascii="宋体" w:hAnsi="宋体"/>
          <w:bCs/>
          <w:color w:val="auto"/>
          <w:szCs w:val="21"/>
        </w:rPr>
        <w:t>接PLC的红外线摄像头在烘炉的出口检测瓶坯的温度，自动控制烘炉的加热。</w:t>
      </w:r>
    </w:p>
    <w:p>
      <w:pPr>
        <w:pStyle w:val="36"/>
        <w:numPr>
          <w:ilvl w:val="0"/>
          <w:numId w:val="20"/>
        </w:numPr>
        <w:spacing w:line="360" w:lineRule="auto"/>
        <w:rPr>
          <w:rFonts w:hint="eastAsia" w:ascii="宋体" w:hAnsi="宋体"/>
          <w:bCs/>
          <w:color w:val="auto"/>
          <w:szCs w:val="21"/>
        </w:rPr>
      </w:pPr>
      <w:r>
        <w:rPr>
          <w:rFonts w:hint="eastAsia" w:ascii="宋体" w:hAnsi="宋体"/>
          <w:bCs/>
          <w:color w:val="auto"/>
          <w:szCs w:val="21"/>
        </w:rPr>
        <w:t>每个加热模组包含一个整合高温照射调节模块、检测系统和在模组前的通风模块。</w:t>
      </w:r>
    </w:p>
    <w:p>
      <w:pPr>
        <w:pStyle w:val="36"/>
        <w:numPr>
          <w:ilvl w:val="0"/>
          <w:numId w:val="20"/>
        </w:numPr>
        <w:spacing w:line="360" w:lineRule="auto"/>
        <w:rPr>
          <w:rFonts w:hint="eastAsia" w:ascii="宋体" w:hAnsi="宋体"/>
          <w:bCs/>
          <w:color w:val="auto"/>
          <w:szCs w:val="21"/>
        </w:rPr>
      </w:pPr>
      <w:r>
        <w:rPr>
          <w:rFonts w:hint="eastAsia" w:ascii="宋体" w:hAnsi="宋体"/>
          <w:bCs/>
          <w:color w:val="auto"/>
          <w:szCs w:val="21"/>
        </w:rPr>
        <w:t>在进瓶坯盘和瓶坯进烘炉间，需配备检测和剔除未正确加载的瓶坯装置。</w:t>
      </w:r>
    </w:p>
    <w:p>
      <w:pPr>
        <w:pStyle w:val="36"/>
        <w:numPr>
          <w:ilvl w:val="0"/>
          <w:numId w:val="20"/>
        </w:numPr>
        <w:spacing w:line="360" w:lineRule="auto"/>
        <w:rPr>
          <w:rFonts w:hint="eastAsia" w:ascii="宋体" w:hAnsi="宋体"/>
          <w:bCs/>
          <w:color w:val="auto"/>
          <w:szCs w:val="21"/>
        </w:rPr>
      </w:pPr>
      <w:r>
        <w:rPr>
          <w:rFonts w:hint="eastAsia" w:ascii="宋体" w:hAnsi="宋体"/>
          <w:bCs/>
          <w:color w:val="auto"/>
          <w:szCs w:val="21"/>
        </w:rPr>
        <w:t>瓶坯清洁和杀菌：如若配在线瓶坯杀菌，杀菌效果达到商业无菌要求。</w:t>
      </w:r>
    </w:p>
    <w:p>
      <w:pPr>
        <w:pStyle w:val="36"/>
        <w:numPr>
          <w:ilvl w:val="0"/>
          <w:numId w:val="15"/>
        </w:numPr>
        <w:spacing w:line="360" w:lineRule="auto"/>
        <w:rPr>
          <w:rFonts w:hint="eastAsia" w:ascii="宋体" w:hAnsi="宋体"/>
          <w:b/>
          <w:bCs/>
          <w:color w:val="auto"/>
          <w:spacing w:val="-2"/>
          <w:szCs w:val="21"/>
        </w:rPr>
      </w:pPr>
      <w:r>
        <w:rPr>
          <w:rFonts w:hint="eastAsia" w:ascii="宋体" w:hAnsi="宋体"/>
          <w:b/>
          <w:bCs/>
          <w:color w:val="auto"/>
          <w:spacing w:val="-2"/>
          <w:szCs w:val="21"/>
        </w:rPr>
        <w:t>吹瓶机：</w:t>
      </w:r>
    </w:p>
    <w:p>
      <w:pPr>
        <w:numPr>
          <w:ilvl w:val="0"/>
          <w:numId w:val="21"/>
        </w:numPr>
        <w:spacing w:line="360" w:lineRule="auto"/>
        <w:rPr>
          <w:rFonts w:hint="eastAsia" w:ascii="宋体" w:hAnsi="宋体"/>
          <w:bCs/>
          <w:color w:val="auto"/>
          <w:szCs w:val="21"/>
        </w:rPr>
      </w:pPr>
      <w:bookmarkStart w:id="28" w:name="_Hlk200294072"/>
      <w:r>
        <w:rPr>
          <w:rFonts w:hint="eastAsia" w:ascii="宋体" w:hAnsi="宋体"/>
          <w:bCs/>
          <w:color w:val="auto"/>
          <w:szCs w:val="21"/>
        </w:rPr>
        <w:t>品牌：采用</w:t>
      </w:r>
      <w:bookmarkStart w:id="29" w:name="OLE_LINK34"/>
      <w:r>
        <w:rPr>
          <w:rFonts w:hint="eastAsia" w:ascii="宋体" w:hAnsi="宋体"/>
          <w:bCs/>
          <w:color w:val="auto"/>
          <w:szCs w:val="21"/>
        </w:rPr>
        <w:t>KRONES克朗斯、Sidel西得乐</w:t>
      </w:r>
      <w:bookmarkEnd w:id="29"/>
      <w:r>
        <w:rPr>
          <w:rFonts w:hint="eastAsia" w:ascii="宋体" w:hAnsi="宋体"/>
          <w:bCs/>
          <w:color w:val="auto"/>
          <w:szCs w:val="21"/>
        </w:rPr>
        <w:t>、KHS或同等及以上品牌</w:t>
      </w:r>
    </w:p>
    <w:p>
      <w:pPr>
        <w:numPr>
          <w:ilvl w:val="0"/>
          <w:numId w:val="21"/>
        </w:numPr>
        <w:spacing w:line="360" w:lineRule="auto"/>
        <w:rPr>
          <w:rFonts w:hint="eastAsia" w:ascii="宋体" w:hAnsi="宋体"/>
          <w:bCs/>
          <w:color w:val="auto"/>
          <w:szCs w:val="21"/>
        </w:rPr>
      </w:pPr>
      <w:bookmarkStart w:id="30" w:name="OLE_LINK35"/>
      <w:r>
        <w:rPr>
          <w:rFonts w:hint="eastAsia" w:ascii="宋体" w:hAnsi="宋体" w:cs="宋体"/>
          <w:color w:val="auto"/>
          <w:szCs w:val="21"/>
        </w:rPr>
        <w:t>★</w:t>
      </w:r>
      <w:bookmarkEnd w:id="30"/>
      <w:r>
        <w:rPr>
          <w:rFonts w:hint="eastAsia" w:ascii="宋体" w:hAnsi="宋体"/>
          <w:bCs/>
          <w:color w:val="auto"/>
          <w:szCs w:val="21"/>
        </w:rPr>
        <w:t>额定产能：≥</w:t>
      </w:r>
      <w:r>
        <w:rPr>
          <w:rFonts w:ascii="宋体" w:hAnsi="宋体"/>
          <w:bCs/>
          <w:color w:val="auto"/>
          <w:szCs w:val="21"/>
        </w:rPr>
        <w:t>2</w:t>
      </w:r>
      <w:r>
        <w:rPr>
          <w:rFonts w:hint="eastAsia" w:ascii="宋体" w:hAnsi="宋体"/>
          <w:bCs/>
          <w:color w:val="auto"/>
          <w:szCs w:val="21"/>
        </w:rPr>
        <w:t>4</w:t>
      </w:r>
      <w:r>
        <w:rPr>
          <w:rFonts w:ascii="宋体" w:hAnsi="宋体"/>
          <w:bCs/>
          <w:color w:val="auto"/>
          <w:szCs w:val="21"/>
        </w:rPr>
        <w:t xml:space="preserve">000 </w:t>
      </w:r>
      <w:r>
        <w:rPr>
          <w:rFonts w:hint="eastAsia" w:ascii="宋体" w:hAnsi="宋体"/>
          <w:bCs/>
          <w:color w:val="auto"/>
          <w:szCs w:val="21"/>
        </w:rPr>
        <w:t>瓶/小时（以500mL计算），</w:t>
      </w:r>
      <w:r>
        <w:rPr>
          <w:rFonts w:hint="eastAsia" w:ascii="宋体" w:hAnsi="宋体"/>
          <w:color w:val="auto"/>
          <w:kern w:val="0"/>
          <w:szCs w:val="21"/>
        </w:rPr>
        <w:t>吹瓶成品不良率≤</w:t>
      </w:r>
      <w:r>
        <w:rPr>
          <w:rFonts w:ascii="宋体" w:hAnsi="宋体"/>
          <w:color w:val="auto"/>
          <w:kern w:val="0"/>
          <w:szCs w:val="21"/>
        </w:rPr>
        <w:t>0.</w:t>
      </w:r>
      <w:r>
        <w:rPr>
          <w:rFonts w:hint="eastAsia" w:ascii="宋体" w:hAnsi="宋体"/>
          <w:color w:val="auto"/>
          <w:kern w:val="0"/>
          <w:szCs w:val="21"/>
        </w:rPr>
        <w:t>1</w:t>
      </w:r>
      <w:r>
        <w:rPr>
          <w:rFonts w:ascii="宋体" w:hAnsi="宋体"/>
          <w:color w:val="auto"/>
          <w:kern w:val="0"/>
          <w:szCs w:val="21"/>
        </w:rPr>
        <w:t>%</w:t>
      </w:r>
      <w:r>
        <w:rPr>
          <w:rFonts w:hint="eastAsia" w:ascii="宋体" w:hAnsi="宋体"/>
          <w:color w:val="auto"/>
          <w:kern w:val="0"/>
          <w:szCs w:val="21"/>
        </w:rPr>
        <w:t xml:space="preserve">， </w:t>
      </w:r>
      <w:r>
        <w:rPr>
          <w:rFonts w:ascii="宋体" w:hAnsi="宋体"/>
          <w:bCs/>
          <w:color w:val="auto"/>
          <w:szCs w:val="21"/>
        </w:rPr>
        <w:t>500mL</w:t>
      </w:r>
      <w:r>
        <w:rPr>
          <w:rFonts w:hint="eastAsia" w:ascii="宋体" w:hAnsi="宋体"/>
          <w:bCs/>
          <w:color w:val="auto"/>
          <w:szCs w:val="21"/>
        </w:rPr>
        <w:t>空瓶容积偏差不大于8mL。</w:t>
      </w:r>
    </w:p>
    <w:bookmarkEnd w:id="28"/>
    <w:p>
      <w:pPr>
        <w:pStyle w:val="36"/>
        <w:numPr>
          <w:ilvl w:val="0"/>
          <w:numId w:val="21"/>
        </w:numPr>
        <w:spacing w:line="360" w:lineRule="auto"/>
        <w:rPr>
          <w:rFonts w:hint="eastAsia" w:ascii="宋体" w:hAnsi="宋体"/>
          <w:bCs/>
          <w:color w:val="auto"/>
          <w:szCs w:val="21"/>
        </w:rPr>
      </w:pPr>
      <w:r>
        <w:rPr>
          <w:rFonts w:hint="eastAsia" w:ascii="宋体" w:hAnsi="宋体" w:cs="宋体"/>
          <w:color w:val="auto"/>
          <w:szCs w:val="21"/>
        </w:rPr>
        <w:t>★</w:t>
      </w:r>
      <w:r>
        <w:rPr>
          <w:rFonts w:hint="eastAsia" w:ascii="宋体" w:hAnsi="宋体"/>
          <w:bCs/>
          <w:color w:val="auto"/>
          <w:szCs w:val="21"/>
        </w:rPr>
        <w:t>瓶坯杀菌分配器及分配管需配置双氧水未喷入瓶坯的状态能够可视化或可通过</w:t>
      </w:r>
      <w:r>
        <w:rPr>
          <w:rFonts w:hint="eastAsia"/>
          <w:color w:val="auto"/>
        </w:rPr>
        <w:t>压力流量来监控（此项适合干法杀菌）</w:t>
      </w:r>
      <w:r>
        <w:rPr>
          <w:rFonts w:hint="eastAsia" w:ascii="宋体" w:hAnsi="宋体"/>
          <w:bCs/>
          <w:color w:val="auto"/>
          <w:szCs w:val="21"/>
        </w:rPr>
        <w:t>。</w:t>
      </w:r>
    </w:p>
    <w:p>
      <w:pPr>
        <w:pStyle w:val="36"/>
        <w:numPr>
          <w:ilvl w:val="0"/>
          <w:numId w:val="21"/>
        </w:numPr>
        <w:spacing w:line="360" w:lineRule="auto"/>
        <w:rPr>
          <w:rFonts w:hint="eastAsia" w:ascii="宋体" w:hAnsi="宋体"/>
          <w:bCs/>
          <w:color w:val="auto"/>
          <w:szCs w:val="21"/>
        </w:rPr>
      </w:pPr>
      <w:r>
        <w:rPr>
          <w:rFonts w:hint="eastAsia" w:ascii="宋体" w:hAnsi="宋体"/>
          <w:bCs/>
          <w:color w:val="auto"/>
          <w:szCs w:val="21"/>
        </w:rPr>
        <w:t>瓶坯杀菌化学药剂的加热段需配置自动清洗功能以去除所使用杀菌药剂里的稳定剂成分，并防其进入产品中。如无自动清洁功能，需保证无稳定剂进入产品中。</w:t>
      </w:r>
    </w:p>
    <w:p>
      <w:pPr>
        <w:pStyle w:val="36"/>
        <w:numPr>
          <w:ilvl w:val="0"/>
          <w:numId w:val="21"/>
        </w:numPr>
        <w:spacing w:line="360" w:lineRule="auto"/>
        <w:rPr>
          <w:rFonts w:hint="eastAsia" w:ascii="宋体" w:hAnsi="宋体"/>
          <w:bCs/>
          <w:color w:val="auto"/>
          <w:szCs w:val="21"/>
        </w:rPr>
      </w:pPr>
      <w:r>
        <w:rPr>
          <w:rFonts w:hint="eastAsia" w:ascii="宋体" w:hAnsi="宋体"/>
          <w:bCs/>
          <w:color w:val="auto"/>
          <w:szCs w:val="21"/>
        </w:rPr>
        <w:t>瓶胚内部杀菌能力≥log</w:t>
      </w:r>
      <w:r>
        <w:rPr>
          <w:rFonts w:ascii="宋体" w:hAnsi="宋体"/>
          <w:bCs/>
          <w:color w:val="auto"/>
          <w:szCs w:val="21"/>
        </w:rPr>
        <w:t>6</w:t>
      </w:r>
      <w:r>
        <w:rPr>
          <w:rFonts w:hint="eastAsia" w:ascii="宋体" w:hAnsi="宋体"/>
          <w:bCs/>
          <w:color w:val="auto"/>
          <w:szCs w:val="21"/>
        </w:rPr>
        <w:t>、瓶胚外部杀菌能力≥log</w:t>
      </w:r>
      <w:r>
        <w:rPr>
          <w:rFonts w:ascii="宋体" w:hAnsi="宋体"/>
          <w:bCs/>
          <w:color w:val="auto"/>
          <w:szCs w:val="21"/>
        </w:rPr>
        <w:t>5</w:t>
      </w:r>
      <w:r>
        <w:rPr>
          <w:rFonts w:hint="eastAsia" w:ascii="宋体" w:hAnsi="宋体"/>
          <w:bCs/>
          <w:color w:val="auto"/>
          <w:szCs w:val="21"/>
        </w:rPr>
        <w:t>；正常灌装生产状态下瓶胚及瓶盖灭菌后灌装前杀菌剂的残留量≤0.5</w:t>
      </w:r>
      <w:r>
        <w:rPr>
          <w:rFonts w:ascii="宋体" w:hAnsi="宋体"/>
          <w:color w:val="auto"/>
          <w:szCs w:val="21"/>
        </w:rPr>
        <w:t>ppm</w:t>
      </w:r>
      <w:r>
        <w:rPr>
          <w:rFonts w:hint="eastAsia" w:ascii="宋体" w:hAnsi="宋体"/>
          <w:bCs/>
          <w:color w:val="auto"/>
          <w:szCs w:val="21"/>
        </w:rPr>
        <w:t>；</w:t>
      </w:r>
    </w:p>
    <w:p>
      <w:pPr>
        <w:pStyle w:val="36"/>
        <w:numPr>
          <w:ilvl w:val="0"/>
          <w:numId w:val="21"/>
        </w:numPr>
        <w:spacing w:line="360" w:lineRule="auto"/>
        <w:rPr>
          <w:rFonts w:hint="eastAsia" w:ascii="宋体" w:hAnsi="宋体"/>
          <w:bCs/>
          <w:color w:val="auto"/>
          <w:szCs w:val="21"/>
        </w:rPr>
      </w:pPr>
      <w:r>
        <w:rPr>
          <w:rFonts w:hint="eastAsia" w:ascii="宋体" w:hAnsi="宋体" w:cs="宋体"/>
          <w:color w:val="auto"/>
          <w:szCs w:val="21"/>
        </w:rPr>
        <w:t>★</w:t>
      </w:r>
      <w:r>
        <w:rPr>
          <w:rFonts w:hint="eastAsia"/>
          <w:color w:val="auto"/>
        </w:rPr>
        <w:t>吹瓶机开门处理紧急问题丢失无菌后，恢复无菌生产的时间不超过 30 分钟。</w:t>
      </w:r>
    </w:p>
    <w:p>
      <w:pPr>
        <w:pStyle w:val="36"/>
        <w:numPr>
          <w:ilvl w:val="0"/>
          <w:numId w:val="21"/>
        </w:numPr>
        <w:spacing w:line="360" w:lineRule="auto"/>
        <w:rPr>
          <w:rFonts w:hint="eastAsia" w:ascii="宋体" w:hAnsi="宋体"/>
          <w:bCs/>
          <w:color w:val="auto"/>
          <w:szCs w:val="21"/>
        </w:rPr>
      </w:pPr>
      <w:r>
        <w:rPr>
          <w:rFonts w:hint="eastAsia" w:ascii="宋体" w:hAnsi="宋体"/>
          <w:bCs/>
          <w:color w:val="auto"/>
          <w:szCs w:val="21"/>
        </w:rPr>
        <w:t>设备有实时监控和故障报警功能。灵活方便的参数设定满足不同工艺需要，可根据不同瓶型设定相应的瓶坯拉伸参数、加热参数、吹制时间等工艺参数。</w:t>
      </w:r>
    </w:p>
    <w:p>
      <w:pPr>
        <w:pStyle w:val="36"/>
        <w:numPr>
          <w:ilvl w:val="0"/>
          <w:numId w:val="21"/>
        </w:numPr>
        <w:spacing w:line="360" w:lineRule="auto"/>
        <w:rPr>
          <w:rFonts w:hint="eastAsia" w:ascii="宋体" w:hAnsi="宋体"/>
          <w:bCs/>
          <w:color w:val="auto"/>
          <w:szCs w:val="21"/>
        </w:rPr>
      </w:pPr>
      <w:r>
        <w:rPr>
          <w:rFonts w:hint="eastAsia" w:ascii="宋体" w:hAnsi="宋体"/>
          <w:bCs/>
          <w:color w:val="auto"/>
          <w:szCs w:val="21"/>
        </w:rPr>
        <w:t>同口径在更换瓶型时只要调用预先设好的参数经过小于30min调试即可顺利生产，更换瓶型转产时间小于 2.5h（2 人熟练工）。</w:t>
      </w:r>
    </w:p>
    <w:p>
      <w:pPr>
        <w:pStyle w:val="36"/>
        <w:numPr>
          <w:ilvl w:val="0"/>
          <w:numId w:val="21"/>
        </w:numPr>
        <w:spacing w:line="360" w:lineRule="auto"/>
        <w:rPr>
          <w:rFonts w:hint="eastAsia" w:ascii="宋体" w:hAnsi="宋体"/>
          <w:bCs/>
          <w:color w:val="auto"/>
          <w:szCs w:val="21"/>
        </w:rPr>
      </w:pPr>
      <w:r>
        <w:rPr>
          <w:rFonts w:hint="eastAsia" w:ascii="宋体" w:hAnsi="宋体"/>
          <w:bCs/>
          <w:color w:val="auto"/>
          <w:szCs w:val="21"/>
        </w:rPr>
        <w:t>需配置高压气回收用于瓶坯除尘，需配置过滤器，保障洁净、无交叉污染风险。</w:t>
      </w:r>
    </w:p>
    <w:p>
      <w:pPr>
        <w:pStyle w:val="36"/>
        <w:numPr>
          <w:ilvl w:val="0"/>
          <w:numId w:val="21"/>
        </w:numPr>
        <w:spacing w:line="360" w:lineRule="auto"/>
        <w:rPr>
          <w:rFonts w:hint="eastAsia" w:ascii="宋体" w:hAnsi="宋体"/>
          <w:bCs/>
          <w:color w:val="auto"/>
          <w:szCs w:val="21"/>
        </w:rPr>
      </w:pPr>
      <w:r>
        <w:rPr>
          <w:rFonts w:hint="eastAsia" w:ascii="宋体" w:hAnsi="宋体"/>
          <w:bCs/>
          <w:color w:val="auto"/>
          <w:szCs w:val="21"/>
        </w:rPr>
        <w:t>吹瓶主电机采用世界一线品牌节能电机；（节能要求达到IE</w:t>
      </w:r>
      <w:r>
        <w:rPr>
          <w:rFonts w:ascii="宋体" w:hAnsi="宋体"/>
          <w:bCs/>
          <w:color w:val="auto"/>
          <w:szCs w:val="21"/>
        </w:rPr>
        <w:t>4</w:t>
      </w:r>
      <w:r>
        <w:rPr>
          <w:rFonts w:hint="eastAsia" w:ascii="宋体" w:hAnsi="宋体"/>
          <w:bCs/>
          <w:color w:val="auto"/>
          <w:szCs w:val="21"/>
        </w:rPr>
        <w:t>及以上</w:t>
      </w:r>
      <w:r>
        <w:rPr>
          <w:rFonts w:ascii="宋体" w:hAnsi="宋体"/>
          <w:bCs/>
          <w:color w:val="auto"/>
          <w:szCs w:val="21"/>
        </w:rPr>
        <w:t>；特殊工位</w:t>
      </w:r>
      <w:r>
        <w:rPr>
          <w:rFonts w:hint="eastAsia" w:ascii="宋体" w:hAnsi="宋体"/>
          <w:bCs/>
          <w:color w:val="auto"/>
          <w:szCs w:val="21"/>
        </w:rPr>
        <w:t>除外</w:t>
      </w:r>
      <w:r>
        <w:rPr>
          <w:rFonts w:ascii="宋体" w:hAnsi="宋体"/>
          <w:bCs/>
          <w:color w:val="auto"/>
          <w:szCs w:val="21"/>
        </w:rPr>
        <w:t>）。</w:t>
      </w:r>
    </w:p>
    <w:p>
      <w:pPr>
        <w:pStyle w:val="36"/>
        <w:numPr>
          <w:ilvl w:val="0"/>
          <w:numId w:val="21"/>
        </w:numPr>
        <w:spacing w:line="360" w:lineRule="auto"/>
        <w:rPr>
          <w:rFonts w:hint="eastAsia" w:ascii="宋体" w:hAnsi="宋体"/>
          <w:bCs/>
          <w:color w:val="auto"/>
          <w:szCs w:val="21"/>
        </w:rPr>
      </w:pPr>
      <w:r>
        <w:rPr>
          <w:rFonts w:hint="eastAsia" w:ascii="宋体" w:hAnsi="宋体"/>
          <w:bCs/>
          <w:color w:val="auto"/>
          <w:szCs w:val="21"/>
        </w:rPr>
        <w:t>高压气管路联结设备前配置含三级以上过滤器（含超精过滤0.01um、活性炭过滤器0.003PPM、无菌过滤器，无菌过滤级别满足无菌产品的生产需要）或优于该过滤配置。可实现蒸汽或双氧水对无菌过滤器进行定期杀菌。</w:t>
      </w:r>
    </w:p>
    <w:p>
      <w:pPr>
        <w:pStyle w:val="36"/>
        <w:numPr>
          <w:ilvl w:val="0"/>
          <w:numId w:val="21"/>
        </w:numPr>
        <w:spacing w:line="360" w:lineRule="auto"/>
        <w:rPr>
          <w:rFonts w:hint="eastAsia" w:ascii="宋体" w:hAnsi="宋体"/>
          <w:bCs/>
          <w:color w:val="auto"/>
          <w:szCs w:val="21"/>
        </w:rPr>
      </w:pPr>
      <w:r>
        <w:rPr>
          <w:rFonts w:hint="eastAsia" w:ascii="宋体" w:hAnsi="宋体"/>
          <w:bCs/>
          <w:color w:val="auto"/>
          <w:szCs w:val="21"/>
        </w:rPr>
        <w:t>吹瓶瓶坯拉伸采用伺服控制或直线电机控制或磁力控制。</w:t>
      </w:r>
    </w:p>
    <w:p>
      <w:pPr>
        <w:pStyle w:val="36"/>
        <w:numPr>
          <w:ilvl w:val="0"/>
          <w:numId w:val="21"/>
        </w:numPr>
        <w:spacing w:line="360" w:lineRule="auto"/>
        <w:rPr>
          <w:rFonts w:hint="eastAsia" w:ascii="宋体" w:hAnsi="宋体"/>
          <w:bCs/>
          <w:color w:val="auto"/>
          <w:szCs w:val="21"/>
        </w:rPr>
      </w:pPr>
      <w:r>
        <w:rPr>
          <w:rFonts w:hint="eastAsia" w:ascii="宋体" w:hAnsi="宋体"/>
          <w:bCs/>
          <w:color w:val="auto"/>
          <w:szCs w:val="21"/>
        </w:rPr>
        <w:t>机器配备完善可靠的安全门系统，安装有报警装置,最大限度的保证操作人员的安全。</w:t>
      </w:r>
    </w:p>
    <w:p>
      <w:pPr>
        <w:pStyle w:val="36"/>
        <w:numPr>
          <w:ilvl w:val="0"/>
          <w:numId w:val="21"/>
        </w:numPr>
        <w:spacing w:line="360" w:lineRule="auto"/>
        <w:rPr>
          <w:rFonts w:hint="eastAsia" w:ascii="宋体" w:hAnsi="宋体"/>
          <w:bCs/>
          <w:color w:val="auto"/>
          <w:szCs w:val="21"/>
        </w:rPr>
      </w:pPr>
      <w:r>
        <w:rPr>
          <w:rFonts w:hint="eastAsia" w:ascii="宋体" w:hAnsi="宋体"/>
          <w:bCs/>
          <w:color w:val="auto"/>
          <w:szCs w:val="21"/>
        </w:rPr>
        <w:t>吹瓶出口配置有急停排空装置。</w:t>
      </w:r>
    </w:p>
    <w:p>
      <w:pPr>
        <w:pStyle w:val="36"/>
        <w:numPr>
          <w:ilvl w:val="0"/>
          <w:numId w:val="15"/>
        </w:numPr>
        <w:spacing w:line="360" w:lineRule="auto"/>
        <w:rPr>
          <w:rFonts w:hint="eastAsia" w:ascii="宋体" w:hAnsi="宋体"/>
          <w:b/>
          <w:bCs/>
          <w:color w:val="auto"/>
          <w:spacing w:val="-2"/>
          <w:szCs w:val="21"/>
        </w:rPr>
      </w:pPr>
      <w:r>
        <w:rPr>
          <w:rFonts w:hint="eastAsia" w:ascii="宋体" w:hAnsi="宋体"/>
          <w:b/>
          <w:bCs/>
          <w:color w:val="auto"/>
          <w:spacing w:val="-2"/>
          <w:szCs w:val="21"/>
        </w:rPr>
        <w:t>瓶胚检测机：</w:t>
      </w:r>
    </w:p>
    <w:p>
      <w:pPr>
        <w:pStyle w:val="36"/>
        <w:numPr>
          <w:ilvl w:val="0"/>
          <w:numId w:val="22"/>
        </w:numPr>
        <w:spacing w:line="360" w:lineRule="auto"/>
        <w:rPr>
          <w:rFonts w:hint="eastAsia" w:ascii="宋体" w:hAnsi="宋体"/>
          <w:bCs/>
          <w:color w:val="auto"/>
          <w:szCs w:val="21"/>
        </w:rPr>
      </w:pPr>
      <w:r>
        <w:rPr>
          <w:rFonts w:ascii="宋体" w:hAnsi="宋体"/>
          <w:bCs/>
          <w:color w:val="auto"/>
          <w:szCs w:val="21"/>
        </w:rPr>
        <w:t>配置吹瓶空瓶检测及剔除设备，针对</w:t>
      </w:r>
      <w:r>
        <w:rPr>
          <w:rFonts w:hint="eastAsia" w:ascii="宋体" w:hAnsi="宋体"/>
          <w:color w:val="auto"/>
        </w:rPr>
        <w:t>瓶坯口和瓶坯底检测</w:t>
      </w:r>
      <w:r>
        <w:rPr>
          <w:rFonts w:ascii="宋体" w:hAnsi="宋体"/>
          <w:bCs/>
          <w:color w:val="auto"/>
          <w:szCs w:val="21"/>
        </w:rPr>
        <w:t>进行检测剔除，并输出检测记录。</w:t>
      </w:r>
    </w:p>
    <w:p>
      <w:pPr>
        <w:pStyle w:val="36"/>
        <w:numPr>
          <w:ilvl w:val="0"/>
          <w:numId w:val="22"/>
        </w:numPr>
        <w:spacing w:line="360" w:lineRule="auto"/>
        <w:rPr>
          <w:rFonts w:hint="eastAsia" w:ascii="宋体" w:hAnsi="宋体"/>
          <w:bCs/>
          <w:color w:val="auto"/>
          <w:szCs w:val="21"/>
        </w:rPr>
      </w:pPr>
      <w:r>
        <w:rPr>
          <w:rFonts w:ascii="宋体" w:hAnsi="宋体"/>
          <w:bCs/>
          <w:color w:val="auto"/>
          <w:szCs w:val="21"/>
        </w:rPr>
        <w:t>检测设备新增配方的权限要求开放，可以选择自行新增包材检测、调整检测项目、调整检测参数等</w:t>
      </w:r>
      <w:r>
        <w:rPr>
          <w:rFonts w:hint="eastAsia" w:ascii="宋体" w:hAnsi="宋体"/>
          <w:bCs/>
          <w:color w:val="auto"/>
          <w:szCs w:val="21"/>
        </w:rPr>
        <w:t>。</w:t>
      </w:r>
    </w:p>
    <w:p>
      <w:pPr>
        <w:pStyle w:val="36"/>
        <w:numPr>
          <w:ilvl w:val="0"/>
          <w:numId w:val="22"/>
        </w:numPr>
        <w:spacing w:line="360" w:lineRule="auto"/>
        <w:rPr>
          <w:rFonts w:hint="eastAsia" w:ascii="宋体" w:hAnsi="宋体"/>
          <w:bCs/>
          <w:color w:val="auto"/>
          <w:szCs w:val="21"/>
        </w:rPr>
      </w:pPr>
      <w:r>
        <w:rPr>
          <w:rFonts w:hint="eastAsia" w:ascii="宋体" w:hAnsi="宋体"/>
          <w:bCs/>
          <w:color w:val="auto"/>
          <w:szCs w:val="21"/>
        </w:rPr>
        <w:t xml:space="preserve">配置检测相机模块, </w:t>
      </w:r>
      <w:bookmarkStart w:id="31" w:name="OLE_LINK30"/>
      <w:r>
        <w:rPr>
          <w:rFonts w:hint="eastAsia" w:ascii="宋体" w:hAnsi="宋体"/>
          <w:bCs/>
          <w:color w:val="auto"/>
          <w:szCs w:val="21"/>
        </w:rPr>
        <w:t>采用海富、</w:t>
      </w:r>
      <w:bookmarkStart w:id="32" w:name="OLE_LINK25"/>
      <w:r>
        <w:rPr>
          <w:rFonts w:hint="eastAsia" w:ascii="宋体" w:hAnsi="宋体"/>
          <w:bCs/>
          <w:color w:val="auto"/>
          <w:szCs w:val="21"/>
        </w:rPr>
        <w:t>美国</w:t>
      </w:r>
      <w:r>
        <w:rPr>
          <w:rFonts w:ascii="宋体" w:hAnsi="宋体"/>
          <w:bCs/>
          <w:color w:val="auto"/>
          <w:szCs w:val="21"/>
        </w:rPr>
        <w:t>Pressco</w:t>
      </w:r>
      <w:bookmarkEnd w:id="32"/>
      <w:r>
        <w:rPr>
          <w:rFonts w:hint="eastAsia" w:ascii="宋体" w:hAnsi="宋体"/>
          <w:bCs/>
          <w:color w:val="auto"/>
          <w:szCs w:val="21"/>
        </w:rPr>
        <w:t>、德国巴斯勒或同等及以上品牌，如检测设备为自有品牌，则对相机镜头光源等品牌不做限制。</w:t>
      </w:r>
    </w:p>
    <w:bookmarkEnd w:id="31"/>
    <w:p>
      <w:pPr>
        <w:pStyle w:val="36"/>
        <w:numPr>
          <w:ilvl w:val="0"/>
          <w:numId w:val="22"/>
        </w:numPr>
        <w:spacing w:line="360" w:lineRule="auto"/>
        <w:rPr>
          <w:rFonts w:hint="eastAsia" w:ascii="宋体" w:hAnsi="宋体"/>
          <w:bCs/>
          <w:color w:val="auto"/>
          <w:szCs w:val="21"/>
        </w:rPr>
      </w:pPr>
      <w:r>
        <w:rPr>
          <w:rFonts w:hint="eastAsia" w:ascii="宋体" w:hAnsi="宋体"/>
          <w:bCs/>
          <w:color w:val="auto"/>
          <w:szCs w:val="21"/>
        </w:rPr>
        <w:t>检测要求如下：</w:t>
      </w:r>
    </w:p>
    <w:tbl>
      <w:tblPr>
        <w:tblStyle w:val="19"/>
        <w:tblW w:w="841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216"/>
        <w:gridCol w:w="2287"/>
        <w:gridCol w:w="4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line="360" w:lineRule="auto"/>
              <w:jc w:val="center"/>
              <w:rPr>
                <w:rFonts w:hint="eastAsia" w:ascii="宋体" w:hAnsi="宋体"/>
                <w:color w:val="auto"/>
                <w:spacing w:val="-3"/>
              </w:rPr>
            </w:pPr>
            <w:r>
              <w:rPr>
                <w:rFonts w:hint="eastAsia" w:ascii="宋体" w:hAnsi="宋体"/>
                <w:color w:val="auto"/>
                <w:spacing w:val="-3"/>
              </w:rPr>
              <w:t>序号</w:t>
            </w:r>
          </w:p>
        </w:tc>
        <w:tc>
          <w:tcPr>
            <w:tcW w:w="1216" w:type="dxa"/>
            <w:vAlign w:val="center"/>
          </w:tcPr>
          <w:p>
            <w:pPr>
              <w:spacing w:line="360" w:lineRule="auto"/>
              <w:jc w:val="center"/>
              <w:rPr>
                <w:rFonts w:hint="eastAsia" w:ascii="宋体" w:hAnsi="宋体"/>
                <w:color w:val="auto"/>
                <w:spacing w:val="-3"/>
              </w:rPr>
            </w:pPr>
            <w:r>
              <w:rPr>
                <w:rFonts w:hint="eastAsia" w:ascii="宋体" w:hAnsi="宋体"/>
                <w:color w:val="auto"/>
                <w:spacing w:val="-3"/>
              </w:rPr>
              <w:t>检测项目</w:t>
            </w:r>
          </w:p>
        </w:tc>
        <w:tc>
          <w:tcPr>
            <w:tcW w:w="2287" w:type="dxa"/>
            <w:vAlign w:val="center"/>
          </w:tcPr>
          <w:p>
            <w:pPr>
              <w:spacing w:line="360" w:lineRule="auto"/>
              <w:jc w:val="center"/>
              <w:rPr>
                <w:rFonts w:hint="eastAsia" w:ascii="宋体" w:hAnsi="宋体"/>
                <w:color w:val="auto"/>
                <w:spacing w:val="-3"/>
              </w:rPr>
            </w:pPr>
            <w:r>
              <w:rPr>
                <w:rFonts w:hint="eastAsia" w:ascii="宋体" w:hAnsi="宋体"/>
                <w:color w:val="auto"/>
                <w:spacing w:val="-3"/>
              </w:rPr>
              <w:t>检测指标</w:t>
            </w:r>
          </w:p>
        </w:tc>
        <w:tc>
          <w:tcPr>
            <w:tcW w:w="4200" w:type="dxa"/>
            <w:vAlign w:val="center"/>
          </w:tcPr>
          <w:p>
            <w:pPr>
              <w:spacing w:line="360" w:lineRule="auto"/>
              <w:jc w:val="center"/>
              <w:rPr>
                <w:rFonts w:hint="eastAsia" w:ascii="宋体" w:hAnsi="宋体"/>
                <w:color w:val="auto"/>
                <w:spacing w:val="-3"/>
              </w:rPr>
            </w:pPr>
            <w:r>
              <w:rPr>
                <w:rFonts w:hint="eastAsia" w:ascii="宋体" w:hAnsi="宋体"/>
                <w:color w:val="auto"/>
                <w:spacing w:val="-3"/>
              </w:rPr>
              <w:t>检测配置要求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restart"/>
            <w:vAlign w:val="center"/>
          </w:tcPr>
          <w:p>
            <w:pPr>
              <w:spacing w:line="360" w:lineRule="auto"/>
              <w:jc w:val="center"/>
              <w:rPr>
                <w:rFonts w:hint="eastAsia" w:ascii="宋体" w:hAnsi="宋体"/>
                <w:color w:val="auto"/>
                <w:spacing w:val="-3"/>
              </w:rPr>
            </w:pPr>
          </w:p>
          <w:p>
            <w:pPr>
              <w:spacing w:line="360" w:lineRule="auto"/>
              <w:jc w:val="center"/>
              <w:rPr>
                <w:rFonts w:hint="eastAsia" w:ascii="宋体" w:hAnsi="宋体"/>
                <w:color w:val="auto"/>
                <w:spacing w:val="-3"/>
              </w:rPr>
            </w:pPr>
            <w:r>
              <w:rPr>
                <w:rFonts w:hint="eastAsia" w:ascii="宋体" w:hAnsi="宋体"/>
                <w:color w:val="auto"/>
                <w:spacing w:val="-3"/>
              </w:rPr>
              <w:t>1</w:t>
            </w:r>
          </w:p>
          <w:p>
            <w:pPr>
              <w:spacing w:line="360" w:lineRule="auto"/>
              <w:jc w:val="center"/>
              <w:rPr>
                <w:rFonts w:hint="eastAsia" w:ascii="宋体" w:hAnsi="宋体"/>
                <w:color w:val="auto"/>
                <w:spacing w:val="-3"/>
              </w:rPr>
            </w:pPr>
          </w:p>
        </w:tc>
        <w:tc>
          <w:tcPr>
            <w:tcW w:w="1216" w:type="dxa"/>
            <w:vMerge w:val="restart"/>
            <w:vAlign w:val="center"/>
          </w:tcPr>
          <w:p>
            <w:pPr>
              <w:spacing w:line="360" w:lineRule="auto"/>
              <w:jc w:val="center"/>
              <w:rPr>
                <w:rFonts w:hint="eastAsia" w:ascii="宋体" w:hAnsi="宋体"/>
                <w:color w:val="auto"/>
                <w:kern w:val="0"/>
                <w:szCs w:val="21"/>
              </w:rPr>
            </w:pPr>
            <w:r>
              <w:rPr>
                <w:rFonts w:ascii="宋体" w:hAnsi="宋体"/>
                <w:color w:val="auto"/>
                <w:kern w:val="0"/>
                <w:szCs w:val="21"/>
              </w:rPr>
              <w:t>瓶胚检测</w:t>
            </w:r>
          </w:p>
        </w:tc>
        <w:tc>
          <w:tcPr>
            <w:tcW w:w="2287" w:type="dxa"/>
            <w:vAlign w:val="center"/>
          </w:tcPr>
          <w:p>
            <w:pPr>
              <w:spacing w:line="360" w:lineRule="auto"/>
              <w:rPr>
                <w:rFonts w:hint="eastAsia" w:ascii="宋体" w:hAnsi="宋体"/>
                <w:color w:val="auto"/>
                <w:kern w:val="0"/>
                <w:szCs w:val="21"/>
              </w:rPr>
            </w:pPr>
            <w:r>
              <w:rPr>
                <w:rFonts w:hint="eastAsia" w:ascii="宋体" w:hAnsi="宋体"/>
                <w:color w:val="auto"/>
                <w:kern w:val="0"/>
                <w:szCs w:val="21"/>
              </w:rPr>
              <w:t>贯穿槽缺</w:t>
            </w:r>
          </w:p>
        </w:tc>
        <w:tc>
          <w:tcPr>
            <w:tcW w:w="4200" w:type="dxa"/>
            <w:vAlign w:val="center"/>
          </w:tcPr>
          <w:p>
            <w:pPr>
              <w:spacing w:line="360" w:lineRule="auto"/>
              <w:rPr>
                <w:rFonts w:hint="eastAsia" w:ascii="宋体" w:hAnsi="宋体"/>
                <w:color w:val="auto"/>
                <w:kern w:val="0"/>
                <w:szCs w:val="21"/>
              </w:rPr>
            </w:pPr>
            <w:r>
              <w:rPr>
                <w:rFonts w:hint="eastAsia" w:ascii="宋体" w:hAnsi="宋体"/>
                <w:color w:val="auto"/>
                <w:kern w:val="0"/>
                <w:szCs w:val="21"/>
              </w:rPr>
              <w:t>≥宽度0.50mm,深度0.25mm。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spacing w:line="360" w:lineRule="auto"/>
              <w:jc w:val="center"/>
              <w:rPr>
                <w:rFonts w:hint="eastAsia" w:ascii="宋体" w:hAnsi="宋体"/>
                <w:color w:val="auto"/>
                <w:spacing w:val="-3"/>
              </w:rPr>
            </w:pPr>
          </w:p>
        </w:tc>
        <w:tc>
          <w:tcPr>
            <w:tcW w:w="1216" w:type="dxa"/>
            <w:vMerge w:val="continue"/>
            <w:vAlign w:val="center"/>
          </w:tcPr>
          <w:p>
            <w:pPr>
              <w:spacing w:line="360" w:lineRule="auto"/>
              <w:jc w:val="center"/>
              <w:rPr>
                <w:rFonts w:hint="eastAsia" w:ascii="宋体" w:hAnsi="宋体"/>
                <w:color w:val="auto"/>
                <w:kern w:val="0"/>
                <w:szCs w:val="21"/>
              </w:rPr>
            </w:pPr>
          </w:p>
        </w:tc>
        <w:tc>
          <w:tcPr>
            <w:tcW w:w="2287" w:type="dxa"/>
            <w:vAlign w:val="center"/>
          </w:tcPr>
          <w:p>
            <w:pPr>
              <w:spacing w:line="360" w:lineRule="auto"/>
              <w:rPr>
                <w:rFonts w:hint="eastAsia" w:ascii="宋体" w:hAnsi="宋体"/>
                <w:color w:val="auto"/>
                <w:kern w:val="0"/>
                <w:szCs w:val="21"/>
              </w:rPr>
            </w:pPr>
            <w:r>
              <w:rPr>
                <w:rFonts w:hint="eastAsia" w:ascii="宋体" w:hAnsi="宋体"/>
                <w:color w:val="auto"/>
                <w:kern w:val="0"/>
                <w:szCs w:val="21"/>
              </w:rPr>
              <w:t>内缺、外缺</w:t>
            </w:r>
          </w:p>
        </w:tc>
        <w:tc>
          <w:tcPr>
            <w:tcW w:w="4200" w:type="dxa"/>
            <w:vAlign w:val="center"/>
          </w:tcPr>
          <w:p>
            <w:pPr>
              <w:spacing w:line="360" w:lineRule="auto"/>
              <w:rPr>
                <w:rFonts w:hint="eastAsia" w:ascii="宋体" w:hAnsi="宋体"/>
                <w:color w:val="auto"/>
                <w:kern w:val="0"/>
                <w:szCs w:val="21"/>
              </w:rPr>
            </w:pPr>
            <w:r>
              <w:rPr>
                <w:rFonts w:hint="eastAsia" w:ascii="宋体" w:hAnsi="宋体"/>
                <w:color w:val="auto"/>
                <w:kern w:val="0"/>
                <w:szCs w:val="21"/>
              </w:rPr>
              <w:t>≥宽度0.50mm,深度0.25mm,缺口深入到瓶口密封面一半。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spacing w:line="360" w:lineRule="auto"/>
              <w:jc w:val="center"/>
              <w:rPr>
                <w:rFonts w:hint="eastAsia" w:ascii="宋体" w:hAnsi="宋体"/>
                <w:color w:val="auto"/>
                <w:spacing w:val="-3"/>
              </w:rPr>
            </w:pPr>
          </w:p>
        </w:tc>
        <w:tc>
          <w:tcPr>
            <w:tcW w:w="1216" w:type="dxa"/>
            <w:vMerge w:val="continue"/>
            <w:vAlign w:val="center"/>
          </w:tcPr>
          <w:p>
            <w:pPr>
              <w:spacing w:line="360" w:lineRule="auto"/>
              <w:jc w:val="center"/>
              <w:rPr>
                <w:rFonts w:hint="eastAsia" w:ascii="宋体" w:hAnsi="宋体"/>
                <w:color w:val="auto"/>
                <w:kern w:val="0"/>
                <w:szCs w:val="21"/>
              </w:rPr>
            </w:pPr>
          </w:p>
        </w:tc>
        <w:tc>
          <w:tcPr>
            <w:tcW w:w="2287" w:type="dxa"/>
            <w:vAlign w:val="center"/>
          </w:tcPr>
          <w:p>
            <w:pPr>
              <w:spacing w:line="360" w:lineRule="auto"/>
              <w:rPr>
                <w:rFonts w:hint="eastAsia" w:ascii="宋体" w:hAnsi="宋体"/>
                <w:color w:val="auto"/>
                <w:kern w:val="0"/>
                <w:szCs w:val="21"/>
              </w:rPr>
            </w:pPr>
            <w:r>
              <w:rPr>
                <w:rFonts w:hint="eastAsia" w:ascii="宋体" w:hAnsi="宋体"/>
                <w:color w:val="auto"/>
                <w:kern w:val="0"/>
                <w:szCs w:val="21"/>
              </w:rPr>
              <w:t>点缺</w:t>
            </w:r>
          </w:p>
        </w:tc>
        <w:tc>
          <w:tcPr>
            <w:tcW w:w="4200" w:type="dxa"/>
            <w:vAlign w:val="center"/>
          </w:tcPr>
          <w:p>
            <w:pPr>
              <w:spacing w:line="360" w:lineRule="auto"/>
              <w:rPr>
                <w:rFonts w:hint="eastAsia" w:ascii="宋体" w:hAnsi="宋体"/>
                <w:color w:val="auto"/>
                <w:kern w:val="0"/>
                <w:szCs w:val="21"/>
              </w:rPr>
            </w:pPr>
            <w:r>
              <w:rPr>
                <w:rFonts w:hint="eastAsia" w:ascii="宋体" w:hAnsi="宋体"/>
                <w:color w:val="auto"/>
                <w:kern w:val="0"/>
                <w:szCs w:val="21"/>
              </w:rPr>
              <w:t>≥长度0.20mm、宽度0.50mm,深度0.25mm,缺口位于瓶口密封面中间。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spacing w:line="360" w:lineRule="auto"/>
              <w:jc w:val="center"/>
              <w:rPr>
                <w:rFonts w:hint="eastAsia" w:ascii="宋体" w:hAnsi="宋体"/>
                <w:color w:val="auto"/>
                <w:spacing w:val="-3"/>
              </w:rPr>
            </w:pPr>
          </w:p>
        </w:tc>
        <w:tc>
          <w:tcPr>
            <w:tcW w:w="1216" w:type="dxa"/>
            <w:vMerge w:val="continue"/>
            <w:vAlign w:val="center"/>
          </w:tcPr>
          <w:p>
            <w:pPr>
              <w:spacing w:line="360" w:lineRule="auto"/>
              <w:jc w:val="center"/>
              <w:rPr>
                <w:rFonts w:hint="eastAsia" w:ascii="宋体" w:hAnsi="宋体"/>
                <w:color w:val="auto"/>
                <w:kern w:val="0"/>
                <w:szCs w:val="21"/>
              </w:rPr>
            </w:pPr>
          </w:p>
        </w:tc>
        <w:tc>
          <w:tcPr>
            <w:tcW w:w="2287" w:type="dxa"/>
            <w:vAlign w:val="center"/>
          </w:tcPr>
          <w:p>
            <w:pPr>
              <w:spacing w:line="360" w:lineRule="auto"/>
              <w:rPr>
                <w:rFonts w:hint="eastAsia" w:ascii="宋体" w:hAnsi="宋体"/>
                <w:color w:val="auto"/>
                <w:kern w:val="0"/>
                <w:szCs w:val="21"/>
              </w:rPr>
            </w:pPr>
            <w:r>
              <w:rPr>
                <w:rFonts w:hint="eastAsia" w:ascii="宋体" w:hAnsi="宋体"/>
                <w:color w:val="auto"/>
                <w:kern w:val="0"/>
                <w:szCs w:val="21"/>
              </w:rPr>
              <w:t>瓶口长径短径之差</w:t>
            </w:r>
          </w:p>
        </w:tc>
        <w:tc>
          <w:tcPr>
            <w:tcW w:w="4200" w:type="dxa"/>
            <w:vAlign w:val="center"/>
          </w:tcPr>
          <w:p>
            <w:pPr>
              <w:spacing w:line="360" w:lineRule="auto"/>
              <w:rPr>
                <w:rFonts w:hint="eastAsia" w:ascii="宋体" w:hAnsi="宋体"/>
                <w:color w:val="auto"/>
                <w:kern w:val="0"/>
                <w:szCs w:val="21"/>
              </w:rPr>
            </w:pPr>
            <w:r>
              <w:rPr>
                <w:rFonts w:hint="eastAsia" w:ascii="宋体" w:hAnsi="宋体"/>
                <w:color w:val="auto"/>
                <w:kern w:val="0"/>
                <w:szCs w:val="21"/>
              </w:rPr>
              <w:t>≥0.20mm。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spacing w:line="360" w:lineRule="auto"/>
              <w:jc w:val="center"/>
              <w:rPr>
                <w:rFonts w:hint="eastAsia" w:ascii="宋体" w:hAnsi="宋体"/>
                <w:color w:val="auto"/>
                <w:spacing w:val="-3"/>
              </w:rPr>
            </w:pPr>
          </w:p>
        </w:tc>
        <w:tc>
          <w:tcPr>
            <w:tcW w:w="1216" w:type="dxa"/>
            <w:vMerge w:val="continue"/>
            <w:vAlign w:val="center"/>
          </w:tcPr>
          <w:p>
            <w:pPr>
              <w:spacing w:line="360" w:lineRule="auto"/>
              <w:jc w:val="center"/>
              <w:rPr>
                <w:rFonts w:hint="eastAsia" w:ascii="宋体" w:hAnsi="宋体"/>
                <w:color w:val="auto"/>
                <w:kern w:val="0"/>
                <w:szCs w:val="21"/>
              </w:rPr>
            </w:pPr>
          </w:p>
        </w:tc>
        <w:tc>
          <w:tcPr>
            <w:tcW w:w="2287" w:type="dxa"/>
            <w:vAlign w:val="center"/>
          </w:tcPr>
          <w:p>
            <w:pPr>
              <w:spacing w:line="360" w:lineRule="auto"/>
              <w:rPr>
                <w:rFonts w:hint="eastAsia" w:ascii="宋体" w:hAnsi="宋体"/>
                <w:color w:val="auto"/>
                <w:kern w:val="0"/>
                <w:szCs w:val="21"/>
              </w:rPr>
            </w:pPr>
            <w:r>
              <w:rPr>
                <w:rFonts w:hint="eastAsia" w:ascii="宋体" w:hAnsi="宋体"/>
                <w:color w:val="auto"/>
                <w:kern w:val="0"/>
                <w:szCs w:val="21"/>
              </w:rPr>
              <w:t>瓶口内外径偏差</w:t>
            </w:r>
          </w:p>
        </w:tc>
        <w:tc>
          <w:tcPr>
            <w:tcW w:w="4200" w:type="dxa"/>
            <w:vAlign w:val="center"/>
          </w:tcPr>
          <w:p>
            <w:pPr>
              <w:spacing w:line="360" w:lineRule="auto"/>
              <w:rPr>
                <w:rFonts w:hint="eastAsia" w:ascii="宋体" w:hAnsi="宋体"/>
                <w:color w:val="auto"/>
                <w:kern w:val="0"/>
                <w:szCs w:val="21"/>
              </w:rPr>
            </w:pPr>
            <w:r>
              <w:rPr>
                <w:rFonts w:hint="eastAsia" w:ascii="宋体" w:hAnsi="宋体"/>
                <w:color w:val="auto"/>
                <w:kern w:val="0"/>
                <w:szCs w:val="21"/>
              </w:rPr>
              <w:t>≥±0.15mm。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restart"/>
            <w:vAlign w:val="center"/>
          </w:tcPr>
          <w:p>
            <w:pPr>
              <w:spacing w:line="360" w:lineRule="auto"/>
              <w:jc w:val="center"/>
              <w:rPr>
                <w:rFonts w:hint="eastAsia" w:ascii="宋体" w:hAnsi="宋体"/>
                <w:color w:val="auto"/>
                <w:spacing w:val="-3"/>
              </w:rPr>
            </w:pPr>
          </w:p>
          <w:p>
            <w:pPr>
              <w:spacing w:line="360" w:lineRule="auto"/>
              <w:jc w:val="center"/>
              <w:rPr>
                <w:rFonts w:hint="eastAsia" w:ascii="宋体" w:hAnsi="宋体"/>
                <w:color w:val="auto"/>
                <w:spacing w:val="-3"/>
              </w:rPr>
            </w:pPr>
            <w:r>
              <w:rPr>
                <w:rFonts w:hint="eastAsia" w:ascii="宋体" w:hAnsi="宋体"/>
                <w:color w:val="auto"/>
                <w:spacing w:val="-3"/>
              </w:rPr>
              <w:t>2</w:t>
            </w:r>
          </w:p>
          <w:p>
            <w:pPr>
              <w:spacing w:line="360" w:lineRule="auto"/>
              <w:jc w:val="center"/>
              <w:rPr>
                <w:rFonts w:hint="eastAsia" w:ascii="宋体" w:hAnsi="宋体"/>
                <w:color w:val="auto"/>
                <w:spacing w:val="-3"/>
              </w:rPr>
            </w:pPr>
          </w:p>
        </w:tc>
        <w:tc>
          <w:tcPr>
            <w:tcW w:w="1216" w:type="dxa"/>
            <w:vMerge w:val="restart"/>
            <w:vAlign w:val="center"/>
          </w:tcPr>
          <w:p>
            <w:pPr>
              <w:spacing w:line="360" w:lineRule="auto"/>
              <w:jc w:val="center"/>
              <w:rPr>
                <w:rFonts w:hint="eastAsia" w:ascii="宋体" w:hAnsi="宋体"/>
                <w:color w:val="auto"/>
                <w:kern w:val="0"/>
                <w:szCs w:val="21"/>
              </w:rPr>
            </w:pPr>
            <w:r>
              <w:rPr>
                <w:rFonts w:hint="eastAsia" w:ascii="宋体" w:hAnsi="宋体"/>
                <w:color w:val="auto"/>
                <w:kern w:val="0"/>
                <w:szCs w:val="21"/>
              </w:rPr>
              <w:t>坯底检测</w:t>
            </w:r>
          </w:p>
        </w:tc>
        <w:tc>
          <w:tcPr>
            <w:tcW w:w="2287" w:type="dxa"/>
            <w:vAlign w:val="center"/>
          </w:tcPr>
          <w:p>
            <w:pPr>
              <w:spacing w:line="360" w:lineRule="auto"/>
              <w:rPr>
                <w:rFonts w:hint="eastAsia" w:ascii="宋体" w:hAnsi="宋体"/>
                <w:color w:val="auto"/>
                <w:kern w:val="0"/>
                <w:szCs w:val="21"/>
              </w:rPr>
            </w:pPr>
            <w:r>
              <w:rPr>
                <w:rFonts w:ascii="宋体" w:hAnsi="宋体"/>
                <w:color w:val="auto"/>
                <w:kern w:val="0"/>
                <w:szCs w:val="21"/>
              </w:rPr>
              <w:t>瓶口尺寸</w:t>
            </w:r>
          </w:p>
        </w:tc>
        <w:tc>
          <w:tcPr>
            <w:tcW w:w="4200" w:type="dxa"/>
            <w:vAlign w:val="center"/>
          </w:tcPr>
          <w:p>
            <w:pPr>
              <w:spacing w:line="360" w:lineRule="auto"/>
              <w:rPr>
                <w:rFonts w:hint="eastAsia" w:ascii="宋体" w:hAnsi="宋体"/>
                <w:color w:val="auto"/>
                <w:kern w:val="0"/>
                <w:szCs w:val="21"/>
              </w:rPr>
            </w:pPr>
            <w:r>
              <w:rPr>
                <w:rFonts w:ascii="宋体" w:hAnsi="宋体"/>
                <w:color w:val="auto"/>
                <w:kern w:val="0"/>
                <w:szCs w:val="21"/>
              </w:rPr>
              <w:t>范围: 20mm to 53mm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spacing w:line="360" w:lineRule="auto"/>
              <w:rPr>
                <w:rFonts w:hint="eastAsia" w:ascii="宋体" w:hAnsi="宋体"/>
                <w:color w:val="auto"/>
                <w:spacing w:val="-4"/>
              </w:rPr>
            </w:pPr>
          </w:p>
        </w:tc>
        <w:tc>
          <w:tcPr>
            <w:tcW w:w="1216" w:type="dxa"/>
            <w:vMerge w:val="continue"/>
            <w:vAlign w:val="center"/>
          </w:tcPr>
          <w:p>
            <w:pPr>
              <w:spacing w:line="360" w:lineRule="auto"/>
              <w:rPr>
                <w:rFonts w:hint="eastAsia" w:ascii="宋体" w:hAnsi="宋体"/>
                <w:color w:val="auto"/>
                <w:kern w:val="0"/>
                <w:szCs w:val="21"/>
              </w:rPr>
            </w:pPr>
          </w:p>
        </w:tc>
        <w:tc>
          <w:tcPr>
            <w:tcW w:w="2287" w:type="dxa"/>
            <w:vAlign w:val="center"/>
          </w:tcPr>
          <w:p>
            <w:pPr>
              <w:spacing w:line="360" w:lineRule="auto"/>
              <w:rPr>
                <w:rFonts w:hint="eastAsia" w:ascii="宋体" w:hAnsi="宋体"/>
                <w:color w:val="auto"/>
                <w:kern w:val="0"/>
                <w:szCs w:val="21"/>
              </w:rPr>
            </w:pPr>
            <w:r>
              <w:rPr>
                <w:rFonts w:ascii="宋体" w:hAnsi="宋体"/>
                <w:color w:val="auto"/>
                <w:kern w:val="0"/>
                <w:szCs w:val="21"/>
              </w:rPr>
              <w:t>瓶口密封面椭圆度</w:t>
            </w:r>
          </w:p>
        </w:tc>
        <w:tc>
          <w:tcPr>
            <w:tcW w:w="4200" w:type="dxa"/>
            <w:vAlign w:val="center"/>
          </w:tcPr>
          <w:p>
            <w:pPr>
              <w:spacing w:line="360" w:lineRule="auto"/>
              <w:rPr>
                <w:rFonts w:hint="eastAsia" w:ascii="宋体" w:hAnsi="宋体"/>
                <w:color w:val="auto"/>
                <w:kern w:val="0"/>
                <w:szCs w:val="21"/>
              </w:rPr>
            </w:pPr>
            <w:r>
              <w:rPr>
                <w:rFonts w:ascii="宋体" w:hAnsi="宋体"/>
                <w:color w:val="auto"/>
                <w:kern w:val="0"/>
                <w:szCs w:val="21"/>
              </w:rPr>
              <w:t>+/- 0.2mm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spacing w:line="360" w:lineRule="auto"/>
              <w:rPr>
                <w:rFonts w:hint="eastAsia" w:ascii="宋体" w:hAnsi="宋体"/>
                <w:color w:val="auto"/>
                <w:spacing w:val="-3"/>
              </w:rPr>
            </w:pPr>
          </w:p>
        </w:tc>
        <w:tc>
          <w:tcPr>
            <w:tcW w:w="1216" w:type="dxa"/>
            <w:vMerge w:val="continue"/>
            <w:vAlign w:val="center"/>
          </w:tcPr>
          <w:p>
            <w:pPr>
              <w:spacing w:line="360" w:lineRule="auto"/>
              <w:rPr>
                <w:rFonts w:hint="eastAsia" w:ascii="宋体" w:hAnsi="宋体"/>
                <w:color w:val="auto"/>
                <w:kern w:val="0"/>
                <w:szCs w:val="21"/>
              </w:rPr>
            </w:pPr>
          </w:p>
        </w:tc>
        <w:tc>
          <w:tcPr>
            <w:tcW w:w="2287" w:type="dxa"/>
            <w:vAlign w:val="center"/>
          </w:tcPr>
          <w:p>
            <w:pPr>
              <w:spacing w:line="360" w:lineRule="auto"/>
              <w:rPr>
                <w:rFonts w:hint="eastAsia" w:ascii="宋体" w:hAnsi="宋体"/>
                <w:color w:val="auto"/>
                <w:kern w:val="0"/>
                <w:szCs w:val="21"/>
              </w:rPr>
            </w:pPr>
            <w:r>
              <w:rPr>
                <w:rFonts w:ascii="宋体" w:hAnsi="宋体"/>
                <w:color w:val="auto"/>
                <w:kern w:val="0"/>
                <w:szCs w:val="21"/>
              </w:rPr>
              <w:t>瓶口密封面划伤，刻痕，磕伤</w:t>
            </w:r>
          </w:p>
        </w:tc>
        <w:tc>
          <w:tcPr>
            <w:tcW w:w="4200" w:type="dxa"/>
            <w:vAlign w:val="center"/>
          </w:tcPr>
          <w:p>
            <w:pPr>
              <w:spacing w:line="360" w:lineRule="auto"/>
              <w:rPr>
                <w:rFonts w:hint="eastAsia" w:ascii="宋体" w:hAnsi="宋体"/>
                <w:color w:val="auto"/>
                <w:kern w:val="0"/>
                <w:szCs w:val="21"/>
              </w:rPr>
            </w:pPr>
            <w:r>
              <w:rPr>
                <w:rFonts w:ascii="宋体" w:hAnsi="宋体"/>
                <w:color w:val="auto"/>
                <w:kern w:val="0"/>
                <w:szCs w:val="21"/>
              </w:rPr>
              <w:t>0.5mm x 0.5mm x 0.25mm(深度)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spacing w:line="360" w:lineRule="auto"/>
              <w:rPr>
                <w:rFonts w:hint="eastAsia" w:ascii="宋体" w:hAnsi="宋体"/>
                <w:color w:val="auto"/>
                <w:spacing w:val="-2"/>
              </w:rPr>
            </w:pPr>
          </w:p>
        </w:tc>
        <w:tc>
          <w:tcPr>
            <w:tcW w:w="1216" w:type="dxa"/>
            <w:vMerge w:val="continue"/>
            <w:vAlign w:val="center"/>
          </w:tcPr>
          <w:p>
            <w:pPr>
              <w:spacing w:line="360" w:lineRule="auto"/>
              <w:rPr>
                <w:rFonts w:hint="eastAsia" w:ascii="宋体" w:hAnsi="宋体"/>
                <w:color w:val="auto"/>
                <w:kern w:val="0"/>
                <w:szCs w:val="21"/>
              </w:rPr>
            </w:pPr>
          </w:p>
        </w:tc>
        <w:tc>
          <w:tcPr>
            <w:tcW w:w="2287" w:type="dxa"/>
            <w:vAlign w:val="center"/>
          </w:tcPr>
          <w:p>
            <w:pPr>
              <w:spacing w:line="360" w:lineRule="auto"/>
              <w:rPr>
                <w:rFonts w:hint="eastAsia" w:ascii="宋体" w:hAnsi="宋体"/>
                <w:color w:val="auto"/>
                <w:kern w:val="0"/>
                <w:szCs w:val="21"/>
              </w:rPr>
            </w:pPr>
            <w:r>
              <w:rPr>
                <w:rFonts w:ascii="宋体" w:hAnsi="宋体"/>
                <w:color w:val="auto"/>
                <w:kern w:val="0"/>
                <w:szCs w:val="21"/>
              </w:rPr>
              <w:t>底部不透明异物/内容物</w:t>
            </w:r>
          </w:p>
        </w:tc>
        <w:tc>
          <w:tcPr>
            <w:tcW w:w="4200" w:type="dxa"/>
            <w:vAlign w:val="center"/>
          </w:tcPr>
          <w:p>
            <w:pPr>
              <w:spacing w:line="360" w:lineRule="auto"/>
              <w:rPr>
                <w:rFonts w:hint="eastAsia" w:ascii="宋体" w:hAnsi="宋体"/>
                <w:color w:val="auto"/>
                <w:kern w:val="0"/>
                <w:szCs w:val="21"/>
              </w:rPr>
            </w:pPr>
            <w:r>
              <w:rPr>
                <w:rFonts w:ascii="宋体" w:hAnsi="宋体"/>
                <w:color w:val="auto"/>
                <w:kern w:val="0"/>
                <w:szCs w:val="21"/>
              </w:rPr>
              <w:t>0.5mm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spacing w:line="360" w:lineRule="auto"/>
              <w:rPr>
                <w:rFonts w:hint="eastAsia" w:ascii="宋体" w:hAnsi="宋体"/>
                <w:color w:val="auto"/>
                <w:spacing w:val="-4"/>
              </w:rPr>
            </w:pPr>
          </w:p>
        </w:tc>
        <w:tc>
          <w:tcPr>
            <w:tcW w:w="1216" w:type="dxa"/>
            <w:vMerge w:val="continue"/>
            <w:vAlign w:val="center"/>
          </w:tcPr>
          <w:p>
            <w:pPr>
              <w:spacing w:line="360" w:lineRule="auto"/>
              <w:rPr>
                <w:rFonts w:hint="eastAsia" w:ascii="宋体" w:hAnsi="宋体"/>
                <w:color w:val="auto"/>
                <w:kern w:val="0"/>
                <w:szCs w:val="21"/>
              </w:rPr>
            </w:pPr>
          </w:p>
        </w:tc>
        <w:tc>
          <w:tcPr>
            <w:tcW w:w="2287" w:type="dxa"/>
            <w:vAlign w:val="center"/>
          </w:tcPr>
          <w:p>
            <w:pPr>
              <w:spacing w:line="360" w:lineRule="auto"/>
              <w:rPr>
                <w:rFonts w:hint="eastAsia" w:ascii="宋体" w:hAnsi="宋体"/>
                <w:color w:val="auto"/>
                <w:kern w:val="0"/>
                <w:szCs w:val="21"/>
              </w:rPr>
            </w:pPr>
            <w:r>
              <w:rPr>
                <w:rFonts w:ascii="宋体" w:hAnsi="宋体"/>
                <w:color w:val="auto"/>
                <w:kern w:val="0"/>
                <w:szCs w:val="21"/>
              </w:rPr>
              <w:t>底部香蕉状瓶坯</w:t>
            </w:r>
          </w:p>
        </w:tc>
        <w:tc>
          <w:tcPr>
            <w:tcW w:w="4200" w:type="dxa"/>
            <w:vAlign w:val="center"/>
          </w:tcPr>
          <w:p>
            <w:pPr>
              <w:spacing w:line="360" w:lineRule="auto"/>
              <w:rPr>
                <w:rFonts w:hint="eastAsia" w:ascii="宋体" w:hAnsi="宋体"/>
                <w:color w:val="auto"/>
                <w:kern w:val="0"/>
                <w:szCs w:val="21"/>
              </w:rPr>
            </w:pPr>
            <w:r>
              <w:rPr>
                <w:rFonts w:ascii="宋体" w:hAnsi="宋体"/>
                <w:color w:val="auto"/>
                <w:kern w:val="0"/>
                <w:szCs w:val="21"/>
              </w:rPr>
              <w:t>当浇注口区域中心位置的时候表明为香蕉状</w:t>
            </w:r>
            <w:r>
              <w:rPr>
                <w:rFonts w:hint="eastAsia" w:ascii="宋体" w:hAnsi="宋体"/>
                <w:color w:val="auto"/>
                <w:kern w:val="0"/>
                <w:szCs w:val="21"/>
              </w:rPr>
              <w:t>，偏心2mm以上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spacing w:line="360" w:lineRule="auto"/>
              <w:rPr>
                <w:rFonts w:hint="eastAsia" w:ascii="宋体" w:hAnsi="宋体"/>
                <w:color w:val="auto"/>
                <w:spacing w:val="-4"/>
              </w:rPr>
            </w:pPr>
          </w:p>
        </w:tc>
        <w:tc>
          <w:tcPr>
            <w:tcW w:w="1216" w:type="dxa"/>
            <w:vMerge w:val="continue"/>
            <w:vAlign w:val="center"/>
          </w:tcPr>
          <w:p>
            <w:pPr>
              <w:spacing w:line="360" w:lineRule="auto"/>
              <w:rPr>
                <w:rFonts w:hint="eastAsia" w:ascii="宋体" w:hAnsi="宋体"/>
                <w:color w:val="auto"/>
                <w:kern w:val="0"/>
                <w:szCs w:val="21"/>
              </w:rPr>
            </w:pPr>
          </w:p>
        </w:tc>
        <w:tc>
          <w:tcPr>
            <w:tcW w:w="2287" w:type="dxa"/>
            <w:vAlign w:val="center"/>
          </w:tcPr>
          <w:p>
            <w:pPr>
              <w:spacing w:line="360" w:lineRule="auto"/>
              <w:rPr>
                <w:rFonts w:hint="eastAsia" w:ascii="宋体" w:hAnsi="宋体"/>
                <w:color w:val="auto"/>
                <w:kern w:val="0"/>
                <w:szCs w:val="21"/>
              </w:rPr>
            </w:pPr>
            <w:r>
              <w:rPr>
                <w:rFonts w:ascii="宋体" w:hAnsi="宋体"/>
                <w:color w:val="auto"/>
                <w:kern w:val="0"/>
                <w:szCs w:val="21"/>
              </w:rPr>
              <w:t>检测率</w:t>
            </w:r>
          </w:p>
        </w:tc>
        <w:tc>
          <w:tcPr>
            <w:tcW w:w="4200" w:type="dxa"/>
            <w:vAlign w:val="center"/>
          </w:tcPr>
          <w:p>
            <w:pPr>
              <w:spacing w:line="360" w:lineRule="auto"/>
              <w:rPr>
                <w:rFonts w:hint="eastAsia" w:ascii="宋体" w:hAnsi="宋体"/>
                <w:color w:val="auto"/>
                <w:kern w:val="0"/>
                <w:szCs w:val="21"/>
              </w:rPr>
            </w:pPr>
            <w:r>
              <w:rPr>
                <w:rFonts w:ascii="宋体" w:hAnsi="宋体"/>
                <w:color w:val="auto"/>
                <w:kern w:val="0"/>
                <w:szCs w:val="21"/>
              </w:rPr>
              <w:t>99</w:t>
            </w:r>
            <w:r>
              <w:rPr>
                <w:rFonts w:hint="eastAsia" w:ascii="宋体" w:hAnsi="宋体"/>
                <w:color w:val="auto"/>
                <w:kern w:val="0"/>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spacing w:line="360" w:lineRule="auto"/>
              <w:rPr>
                <w:rFonts w:hint="eastAsia" w:ascii="宋体" w:hAnsi="宋体"/>
                <w:color w:val="auto"/>
                <w:spacing w:val="-3"/>
              </w:rPr>
            </w:pPr>
          </w:p>
        </w:tc>
        <w:tc>
          <w:tcPr>
            <w:tcW w:w="1216" w:type="dxa"/>
            <w:vMerge w:val="continue"/>
            <w:vAlign w:val="center"/>
          </w:tcPr>
          <w:p>
            <w:pPr>
              <w:spacing w:line="360" w:lineRule="auto"/>
              <w:rPr>
                <w:rFonts w:hint="eastAsia" w:ascii="宋体" w:hAnsi="宋体"/>
                <w:color w:val="auto"/>
                <w:kern w:val="0"/>
                <w:szCs w:val="21"/>
              </w:rPr>
            </w:pPr>
          </w:p>
        </w:tc>
        <w:tc>
          <w:tcPr>
            <w:tcW w:w="2287" w:type="dxa"/>
            <w:vAlign w:val="center"/>
          </w:tcPr>
          <w:p>
            <w:pPr>
              <w:spacing w:line="360" w:lineRule="auto"/>
              <w:rPr>
                <w:rFonts w:hint="eastAsia" w:ascii="宋体" w:hAnsi="宋体"/>
                <w:color w:val="auto"/>
                <w:kern w:val="0"/>
                <w:szCs w:val="21"/>
              </w:rPr>
            </w:pPr>
            <w:r>
              <w:rPr>
                <w:rFonts w:ascii="宋体" w:hAnsi="宋体"/>
                <w:color w:val="auto"/>
                <w:kern w:val="0"/>
                <w:szCs w:val="21"/>
              </w:rPr>
              <w:t>误剔除率</w:t>
            </w:r>
          </w:p>
        </w:tc>
        <w:tc>
          <w:tcPr>
            <w:tcW w:w="4200" w:type="dxa"/>
            <w:vAlign w:val="center"/>
          </w:tcPr>
          <w:p>
            <w:pPr>
              <w:spacing w:line="360" w:lineRule="auto"/>
              <w:rPr>
                <w:rFonts w:hint="eastAsia" w:ascii="宋体" w:hAnsi="宋体"/>
                <w:color w:val="auto"/>
                <w:kern w:val="0"/>
                <w:szCs w:val="21"/>
              </w:rPr>
            </w:pPr>
            <w:r>
              <w:rPr>
                <w:rFonts w:ascii="宋体" w:hAnsi="宋体"/>
                <w:color w:val="auto"/>
                <w:kern w:val="0"/>
                <w:szCs w:val="21"/>
              </w:rPr>
              <w:t>小于 0.</w:t>
            </w:r>
            <w:r>
              <w:rPr>
                <w:rFonts w:hint="eastAsia" w:ascii="宋体" w:hAnsi="宋体"/>
                <w:color w:val="auto"/>
                <w:kern w:val="0"/>
                <w:szCs w:val="21"/>
              </w:rPr>
              <w:t>3</w:t>
            </w:r>
            <w:r>
              <w:rPr>
                <w:rFonts w:ascii="宋体" w:hAnsi="宋体"/>
                <w:color w:val="auto"/>
                <w:kern w:val="0"/>
                <w:szCs w:val="21"/>
              </w:rPr>
              <w:t>%</w:t>
            </w:r>
          </w:p>
        </w:tc>
      </w:tr>
    </w:tbl>
    <w:p>
      <w:pPr>
        <w:pStyle w:val="36"/>
        <w:numPr>
          <w:ilvl w:val="0"/>
          <w:numId w:val="15"/>
        </w:numPr>
        <w:spacing w:line="360" w:lineRule="auto"/>
        <w:rPr>
          <w:rFonts w:hint="eastAsia" w:ascii="宋体" w:hAnsi="宋体"/>
          <w:b/>
          <w:bCs/>
          <w:color w:val="auto"/>
          <w:spacing w:val="-2"/>
          <w:szCs w:val="21"/>
        </w:rPr>
      </w:pPr>
      <w:bookmarkStart w:id="33" w:name="_Hlk200444348"/>
      <w:r>
        <w:rPr>
          <w:rFonts w:hint="eastAsia" w:ascii="宋体" w:hAnsi="宋体"/>
          <w:b/>
          <w:bCs/>
          <w:color w:val="auto"/>
          <w:spacing w:val="-2"/>
          <w:szCs w:val="21"/>
        </w:rPr>
        <w:t>空瓶/盖杀菌（如设备为湿法杀菌，也需要满足以下要求与指标）：</w:t>
      </w:r>
    </w:p>
    <w:p>
      <w:pPr>
        <w:pStyle w:val="36"/>
        <w:numPr>
          <w:ilvl w:val="0"/>
          <w:numId w:val="23"/>
        </w:numPr>
        <w:spacing w:line="360" w:lineRule="auto"/>
        <w:rPr>
          <w:rFonts w:hint="eastAsia" w:ascii="宋体" w:hAnsi="宋体"/>
          <w:bCs/>
          <w:color w:val="auto"/>
          <w:szCs w:val="21"/>
        </w:rPr>
      </w:pPr>
      <w:r>
        <w:rPr>
          <w:rFonts w:hint="eastAsia" w:ascii="宋体" w:hAnsi="宋体"/>
          <w:bCs/>
          <w:color w:val="auto"/>
          <w:szCs w:val="21"/>
        </w:rPr>
        <w:t>PAA瓶灭菌模块，提供详细的杀菌和人员保护说明；</w:t>
      </w:r>
    </w:p>
    <w:p>
      <w:pPr>
        <w:pStyle w:val="36"/>
        <w:numPr>
          <w:ilvl w:val="0"/>
          <w:numId w:val="23"/>
        </w:numPr>
        <w:spacing w:line="360" w:lineRule="auto"/>
        <w:rPr>
          <w:rFonts w:hint="eastAsia" w:ascii="宋体" w:hAnsi="宋体"/>
          <w:bCs/>
          <w:color w:val="auto"/>
          <w:szCs w:val="21"/>
        </w:rPr>
      </w:pPr>
      <w:r>
        <w:rPr>
          <w:rFonts w:hint="eastAsia" w:ascii="宋体" w:hAnsi="宋体"/>
          <w:bCs/>
          <w:color w:val="auto"/>
          <w:szCs w:val="21"/>
        </w:rPr>
        <w:t>瓶及瓶盖内表面灭菌效率达到或超过log6，瓶内部杀菌能力≥log6、瓶外部杀菌能力≥log5，配置智能传感器通过检测PAA喷射压力或喷洒量检测每个瓶灭菌状况。配置有杀菌压力监控装置；</w:t>
      </w:r>
    </w:p>
    <w:p>
      <w:pPr>
        <w:pStyle w:val="36"/>
        <w:numPr>
          <w:ilvl w:val="0"/>
          <w:numId w:val="23"/>
        </w:numPr>
        <w:spacing w:line="360" w:lineRule="auto"/>
        <w:rPr>
          <w:rFonts w:hint="eastAsia" w:ascii="宋体" w:hAnsi="宋体"/>
          <w:bCs/>
          <w:color w:val="auto"/>
          <w:szCs w:val="21"/>
        </w:rPr>
      </w:pPr>
      <w:r>
        <w:rPr>
          <w:rFonts w:hint="eastAsia" w:ascii="宋体" w:hAnsi="宋体"/>
          <w:bCs/>
          <w:color w:val="auto"/>
          <w:szCs w:val="21"/>
        </w:rPr>
        <w:t>杀菌后配置无菌水冲洗系统；</w:t>
      </w:r>
    </w:p>
    <w:p>
      <w:pPr>
        <w:pStyle w:val="36"/>
        <w:numPr>
          <w:ilvl w:val="0"/>
          <w:numId w:val="23"/>
        </w:numPr>
        <w:spacing w:line="360" w:lineRule="auto"/>
        <w:rPr>
          <w:rFonts w:hint="eastAsia" w:ascii="宋体" w:hAnsi="宋体"/>
          <w:bCs/>
          <w:color w:val="auto"/>
          <w:szCs w:val="21"/>
        </w:rPr>
      </w:pPr>
      <w:r>
        <w:rPr>
          <w:rFonts w:hint="eastAsia" w:ascii="宋体" w:hAnsi="宋体"/>
          <w:bCs/>
          <w:color w:val="auto"/>
          <w:szCs w:val="21"/>
        </w:rPr>
        <w:t>正常灌装生产状态下瓶胚及瓶盖灭菌后灌装前杀菌剂的残留量≤0.5pp；</w:t>
      </w:r>
    </w:p>
    <w:p>
      <w:pPr>
        <w:pStyle w:val="36"/>
        <w:numPr>
          <w:ilvl w:val="0"/>
          <w:numId w:val="23"/>
        </w:numPr>
        <w:spacing w:line="360" w:lineRule="auto"/>
        <w:rPr>
          <w:rFonts w:hint="eastAsia" w:ascii="宋体" w:hAnsi="宋体"/>
          <w:bCs/>
          <w:color w:val="auto"/>
          <w:szCs w:val="21"/>
        </w:rPr>
      </w:pPr>
      <w:r>
        <w:rPr>
          <w:rFonts w:hint="eastAsia" w:ascii="宋体" w:hAnsi="宋体"/>
          <w:bCs/>
          <w:color w:val="auto"/>
          <w:szCs w:val="21"/>
        </w:rPr>
        <w:t>瓶子、盖内外部同时灭菌，防止交叉污染；</w:t>
      </w:r>
    </w:p>
    <w:p>
      <w:pPr>
        <w:pStyle w:val="36"/>
        <w:numPr>
          <w:ilvl w:val="0"/>
          <w:numId w:val="23"/>
        </w:numPr>
        <w:spacing w:line="360" w:lineRule="auto"/>
        <w:rPr>
          <w:rFonts w:hint="eastAsia" w:ascii="宋体" w:hAnsi="宋体"/>
          <w:bCs/>
          <w:color w:val="auto"/>
          <w:szCs w:val="21"/>
        </w:rPr>
      </w:pPr>
      <w:r>
        <w:rPr>
          <w:rFonts w:hint="eastAsia" w:ascii="宋体" w:hAnsi="宋体"/>
          <w:bCs/>
          <w:color w:val="auto"/>
          <w:szCs w:val="21"/>
        </w:rPr>
        <w:t>提供防止PAA泄露到操作环境中的设计说明，以防止对人员的伤害；</w:t>
      </w:r>
    </w:p>
    <w:p>
      <w:pPr>
        <w:pStyle w:val="36"/>
        <w:numPr>
          <w:ilvl w:val="0"/>
          <w:numId w:val="23"/>
        </w:numPr>
        <w:spacing w:line="360" w:lineRule="auto"/>
        <w:rPr>
          <w:rFonts w:hint="eastAsia" w:ascii="宋体" w:hAnsi="宋体"/>
          <w:bCs/>
          <w:color w:val="auto"/>
          <w:szCs w:val="21"/>
        </w:rPr>
      </w:pPr>
      <w:r>
        <w:rPr>
          <w:rFonts w:hint="eastAsia" w:ascii="宋体" w:hAnsi="宋体"/>
          <w:bCs/>
          <w:color w:val="auto"/>
          <w:szCs w:val="21"/>
        </w:rPr>
        <w:t>设备用的PAA杀菌药剂系统具备在线监测浓度功能，PAA浓度低于或高于标准要求无法保证杀菌效果时，能够报警停机。具备消毒液制备/回收系统及排气净化功能。同时需确保所有管路便于清洁清除附着物，预防阻塞；</w:t>
      </w:r>
    </w:p>
    <w:p>
      <w:pPr>
        <w:pStyle w:val="36"/>
        <w:numPr>
          <w:ilvl w:val="0"/>
          <w:numId w:val="15"/>
        </w:numPr>
        <w:spacing w:line="360" w:lineRule="auto"/>
        <w:rPr>
          <w:rFonts w:hint="eastAsia" w:ascii="宋体" w:hAnsi="宋体"/>
          <w:b/>
          <w:bCs/>
          <w:color w:val="auto"/>
          <w:spacing w:val="-2"/>
          <w:szCs w:val="21"/>
        </w:rPr>
      </w:pPr>
      <w:r>
        <w:rPr>
          <w:rFonts w:hint="eastAsia" w:ascii="宋体" w:hAnsi="宋体"/>
          <w:b/>
          <w:bCs/>
          <w:color w:val="auto"/>
          <w:spacing w:val="-2"/>
          <w:szCs w:val="21"/>
        </w:rPr>
        <w:t>盖输送整列机及盖杀菌：</w:t>
      </w:r>
    </w:p>
    <w:bookmarkEnd w:id="33"/>
    <w:p>
      <w:pPr>
        <w:pStyle w:val="36"/>
        <w:numPr>
          <w:ilvl w:val="0"/>
          <w:numId w:val="24"/>
        </w:numPr>
        <w:spacing w:line="360" w:lineRule="auto"/>
        <w:rPr>
          <w:rFonts w:hint="eastAsia" w:ascii="宋体" w:hAnsi="宋体"/>
          <w:bCs/>
          <w:color w:val="auto"/>
          <w:szCs w:val="21"/>
        </w:rPr>
      </w:pPr>
      <w:bookmarkStart w:id="34" w:name="_Hlk201066464"/>
      <w:r>
        <w:rPr>
          <w:rFonts w:hint="eastAsia" w:ascii="宋体" w:hAnsi="宋体"/>
          <w:bCs/>
          <w:color w:val="auto"/>
          <w:szCs w:val="21"/>
        </w:rPr>
        <w:t>盖储存桶：≥1</w:t>
      </w:r>
      <w:r>
        <w:rPr>
          <w:rFonts w:ascii="宋体" w:hAnsi="宋体"/>
          <w:bCs/>
          <w:color w:val="auto"/>
          <w:szCs w:val="21"/>
        </w:rPr>
        <w:t xml:space="preserve"> m³</w:t>
      </w:r>
    </w:p>
    <w:p>
      <w:pPr>
        <w:pStyle w:val="36"/>
        <w:numPr>
          <w:ilvl w:val="0"/>
          <w:numId w:val="24"/>
        </w:numPr>
        <w:spacing w:line="360" w:lineRule="auto"/>
        <w:rPr>
          <w:rFonts w:hint="eastAsia" w:ascii="宋体" w:hAnsi="宋体"/>
          <w:bCs/>
          <w:color w:val="auto"/>
          <w:szCs w:val="21"/>
        </w:rPr>
      </w:pPr>
      <w:r>
        <w:rPr>
          <w:rFonts w:hint="eastAsia" w:ascii="宋体" w:hAnsi="宋体"/>
          <w:bCs/>
          <w:color w:val="auto"/>
          <w:szCs w:val="21"/>
        </w:rPr>
        <w:t>盖整理：采用</w:t>
      </w:r>
      <w:r>
        <w:rPr>
          <w:rFonts w:ascii="宋体" w:hAnsi="宋体"/>
          <w:bCs/>
          <w:color w:val="auto"/>
          <w:szCs w:val="21"/>
        </w:rPr>
        <w:t>整列设备</w:t>
      </w:r>
      <w:r>
        <w:rPr>
          <w:rFonts w:hint="eastAsia" w:ascii="宋体" w:hAnsi="宋体"/>
          <w:bCs/>
          <w:color w:val="auto"/>
          <w:szCs w:val="21"/>
        </w:rPr>
        <w:t>，</w:t>
      </w:r>
      <w:r>
        <w:rPr>
          <w:rFonts w:ascii="宋体" w:hAnsi="宋体"/>
          <w:bCs/>
          <w:color w:val="auto"/>
          <w:szCs w:val="21"/>
        </w:rPr>
        <w:t>材质为食品级</w:t>
      </w:r>
      <w:r>
        <w:rPr>
          <w:rFonts w:hint="eastAsia" w:ascii="宋体" w:hAnsi="宋体"/>
          <w:bCs/>
          <w:color w:val="auto"/>
          <w:szCs w:val="21"/>
        </w:rPr>
        <w:t>，适用于28mm和38mm瓶盖</w:t>
      </w:r>
      <w:r>
        <w:rPr>
          <w:rFonts w:ascii="宋体" w:hAnsi="宋体"/>
          <w:bCs/>
          <w:color w:val="auto"/>
          <w:szCs w:val="21"/>
        </w:rPr>
        <w:t>。</w:t>
      </w:r>
    </w:p>
    <w:bookmarkEnd w:id="34"/>
    <w:p>
      <w:pPr>
        <w:pStyle w:val="36"/>
        <w:numPr>
          <w:ilvl w:val="0"/>
          <w:numId w:val="24"/>
        </w:numPr>
        <w:spacing w:line="360" w:lineRule="auto"/>
        <w:rPr>
          <w:rFonts w:hint="eastAsia" w:ascii="宋体" w:hAnsi="宋体"/>
          <w:bCs/>
          <w:color w:val="auto"/>
          <w:szCs w:val="21"/>
        </w:rPr>
      </w:pPr>
      <w:r>
        <w:rPr>
          <w:rFonts w:hint="eastAsia" w:ascii="宋体" w:hAnsi="宋体"/>
          <w:bCs/>
          <w:color w:val="auto"/>
          <w:szCs w:val="21"/>
        </w:rPr>
        <w:t>瓶</w:t>
      </w:r>
      <w:r>
        <w:rPr>
          <w:rFonts w:ascii="宋体" w:hAnsi="宋体"/>
          <w:bCs/>
          <w:color w:val="auto"/>
          <w:szCs w:val="21"/>
        </w:rPr>
        <w:t>盖检测</w:t>
      </w:r>
      <w:r>
        <w:rPr>
          <w:rFonts w:hint="eastAsia" w:ascii="宋体" w:hAnsi="宋体"/>
          <w:bCs/>
          <w:color w:val="auto"/>
          <w:szCs w:val="21"/>
        </w:rPr>
        <w:t>机</w:t>
      </w:r>
      <w:r>
        <w:rPr>
          <w:rFonts w:ascii="宋体" w:hAnsi="宋体"/>
          <w:bCs/>
          <w:color w:val="auto"/>
          <w:szCs w:val="21"/>
        </w:rPr>
        <w:t>：配置盖视觉检测系统与不良品剔除功能。</w:t>
      </w:r>
      <w:r>
        <w:rPr>
          <w:rFonts w:hint="eastAsia" w:ascii="宋体" w:hAnsi="宋体"/>
          <w:bCs/>
          <w:color w:val="auto"/>
          <w:szCs w:val="21"/>
        </w:rPr>
        <w:t>检测要求如下</w:t>
      </w:r>
    </w:p>
    <w:p>
      <w:pPr>
        <w:pStyle w:val="36"/>
        <w:numPr>
          <w:ilvl w:val="0"/>
          <w:numId w:val="24"/>
        </w:numPr>
        <w:spacing w:line="360" w:lineRule="auto"/>
        <w:rPr>
          <w:rFonts w:hint="eastAsia" w:ascii="宋体" w:hAnsi="宋体"/>
          <w:bCs/>
          <w:color w:val="auto"/>
          <w:szCs w:val="21"/>
        </w:rPr>
      </w:pPr>
      <w:bookmarkStart w:id="35" w:name="OLE_LINK28"/>
      <w:r>
        <w:rPr>
          <w:rFonts w:hint="eastAsia" w:ascii="宋体" w:hAnsi="宋体"/>
          <w:bCs/>
          <w:color w:val="auto"/>
          <w:szCs w:val="21"/>
        </w:rPr>
        <w:t>瓶盖检测机</w:t>
      </w:r>
      <w:bookmarkEnd w:id="35"/>
      <w:r>
        <w:rPr>
          <w:rFonts w:hint="eastAsia" w:ascii="宋体" w:hAnsi="宋体"/>
          <w:bCs/>
          <w:color w:val="auto"/>
          <w:szCs w:val="21"/>
        </w:rPr>
        <w:t>指标：</w:t>
      </w:r>
    </w:p>
    <w:tbl>
      <w:tblPr>
        <w:tblStyle w:val="19"/>
        <w:tblW w:w="852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709"/>
        <w:gridCol w:w="1969"/>
        <w:gridCol w:w="2413"/>
        <w:gridCol w:w="1100"/>
        <w:gridCol w:w="1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line="360" w:lineRule="auto"/>
              <w:rPr>
                <w:rFonts w:hint="eastAsia" w:ascii="宋体" w:hAnsi="宋体"/>
                <w:color w:val="auto"/>
                <w:kern w:val="0"/>
                <w:szCs w:val="21"/>
              </w:rPr>
            </w:pPr>
            <w:r>
              <w:rPr>
                <w:rFonts w:hint="eastAsia" w:ascii="宋体" w:hAnsi="宋体"/>
                <w:color w:val="auto"/>
                <w:kern w:val="0"/>
                <w:szCs w:val="21"/>
              </w:rPr>
              <w:t>序号</w:t>
            </w:r>
          </w:p>
        </w:tc>
        <w:tc>
          <w:tcPr>
            <w:tcW w:w="709" w:type="dxa"/>
            <w:vAlign w:val="center"/>
          </w:tcPr>
          <w:p>
            <w:pPr>
              <w:spacing w:line="360" w:lineRule="auto"/>
              <w:rPr>
                <w:rFonts w:hint="eastAsia" w:ascii="宋体" w:hAnsi="宋体"/>
                <w:color w:val="auto"/>
                <w:kern w:val="0"/>
                <w:szCs w:val="21"/>
              </w:rPr>
            </w:pPr>
            <w:r>
              <w:rPr>
                <w:rFonts w:hint="eastAsia" w:ascii="宋体" w:hAnsi="宋体"/>
                <w:color w:val="auto"/>
                <w:kern w:val="0"/>
                <w:szCs w:val="21"/>
              </w:rPr>
              <w:t>项目</w:t>
            </w:r>
          </w:p>
        </w:tc>
        <w:tc>
          <w:tcPr>
            <w:tcW w:w="1969" w:type="dxa"/>
            <w:vAlign w:val="center"/>
          </w:tcPr>
          <w:p>
            <w:pPr>
              <w:spacing w:line="360" w:lineRule="auto"/>
              <w:rPr>
                <w:rFonts w:hint="eastAsia" w:ascii="宋体" w:hAnsi="宋体"/>
                <w:color w:val="auto"/>
                <w:kern w:val="0"/>
                <w:szCs w:val="21"/>
              </w:rPr>
            </w:pPr>
            <w:r>
              <w:rPr>
                <w:rFonts w:hint="eastAsia" w:ascii="宋体" w:hAnsi="宋体"/>
                <w:color w:val="auto"/>
                <w:kern w:val="0"/>
                <w:szCs w:val="21"/>
              </w:rPr>
              <w:t>检测内容</w:t>
            </w:r>
          </w:p>
        </w:tc>
        <w:tc>
          <w:tcPr>
            <w:tcW w:w="2413" w:type="dxa"/>
            <w:vAlign w:val="center"/>
          </w:tcPr>
          <w:p>
            <w:pPr>
              <w:spacing w:line="360" w:lineRule="auto"/>
              <w:rPr>
                <w:rFonts w:hint="eastAsia" w:ascii="宋体" w:hAnsi="宋体"/>
                <w:color w:val="auto"/>
                <w:kern w:val="0"/>
                <w:szCs w:val="21"/>
              </w:rPr>
            </w:pPr>
            <w:r>
              <w:rPr>
                <w:rFonts w:hint="eastAsia" w:ascii="宋体" w:hAnsi="宋体"/>
                <w:color w:val="auto"/>
                <w:kern w:val="0"/>
                <w:szCs w:val="21"/>
              </w:rPr>
              <w:t>检测条件</w:t>
            </w:r>
          </w:p>
        </w:tc>
        <w:tc>
          <w:tcPr>
            <w:tcW w:w="1100" w:type="dxa"/>
            <w:vAlign w:val="center"/>
          </w:tcPr>
          <w:p>
            <w:pPr>
              <w:spacing w:line="360" w:lineRule="auto"/>
              <w:rPr>
                <w:rFonts w:hint="eastAsia" w:ascii="宋体" w:hAnsi="宋体"/>
                <w:color w:val="auto"/>
                <w:kern w:val="0"/>
                <w:szCs w:val="21"/>
              </w:rPr>
            </w:pPr>
            <w:r>
              <w:rPr>
                <w:rFonts w:hint="eastAsia" w:ascii="宋体" w:hAnsi="宋体"/>
                <w:color w:val="auto"/>
                <w:kern w:val="0"/>
                <w:szCs w:val="21"/>
              </w:rPr>
              <w:t>剔除精度</w:t>
            </w:r>
          </w:p>
        </w:tc>
        <w:tc>
          <w:tcPr>
            <w:tcW w:w="1625" w:type="dxa"/>
            <w:vAlign w:val="center"/>
          </w:tcPr>
          <w:p>
            <w:pPr>
              <w:spacing w:line="360" w:lineRule="auto"/>
              <w:rPr>
                <w:rFonts w:hint="eastAsia" w:ascii="宋体" w:hAnsi="宋体"/>
                <w:color w:val="auto"/>
                <w:kern w:val="0"/>
                <w:szCs w:val="21"/>
              </w:rPr>
            </w:pPr>
            <w:r>
              <w:rPr>
                <w:rFonts w:hint="eastAsia" w:ascii="宋体" w:hAnsi="宋体"/>
                <w:color w:val="auto"/>
                <w:kern w:val="0"/>
                <w:szCs w:val="21"/>
              </w:rPr>
              <w:t>误剔率/漏剔率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line="360" w:lineRule="auto"/>
              <w:rPr>
                <w:rFonts w:hint="eastAsia" w:ascii="宋体" w:hAnsi="宋体"/>
                <w:color w:val="auto"/>
                <w:kern w:val="0"/>
                <w:szCs w:val="21"/>
              </w:rPr>
            </w:pPr>
            <w:r>
              <w:rPr>
                <w:rFonts w:ascii="宋体" w:hAnsi="宋体"/>
                <w:color w:val="auto"/>
                <w:kern w:val="0"/>
                <w:szCs w:val="21"/>
              </w:rPr>
              <w:t>1</w:t>
            </w:r>
          </w:p>
        </w:tc>
        <w:tc>
          <w:tcPr>
            <w:tcW w:w="709" w:type="dxa"/>
            <w:vMerge w:val="restart"/>
            <w:vAlign w:val="center"/>
          </w:tcPr>
          <w:p>
            <w:pPr>
              <w:spacing w:line="360" w:lineRule="auto"/>
              <w:rPr>
                <w:rFonts w:hint="eastAsia" w:ascii="宋体" w:hAnsi="宋体"/>
                <w:color w:val="auto"/>
                <w:kern w:val="0"/>
                <w:szCs w:val="21"/>
              </w:rPr>
            </w:pPr>
            <w:r>
              <w:rPr>
                <w:rFonts w:hint="eastAsia" w:ascii="宋体" w:hAnsi="宋体"/>
                <w:color w:val="auto"/>
                <w:kern w:val="0"/>
                <w:szCs w:val="21"/>
              </w:rPr>
              <w:t>空盖检测</w:t>
            </w:r>
          </w:p>
        </w:tc>
        <w:tc>
          <w:tcPr>
            <w:tcW w:w="1969" w:type="dxa"/>
            <w:vAlign w:val="center"/>
          </w:tcPr>
          <w:p>
            <w:pPr>
              <w:spacing w:line="360" w:lineRule="auto"/>
              <w:rPr>
                <w:rFonts w:hint="eastAsia" w:ascii="宋体" w:hAnsi="宋体"/>
                <w:color w:val="auto"/>
                <w:kern w:val="0"/>
                <w:szCs w:val="21"/>
              </w:rPr>
            </w:pPr>
            <w:r>
              <w:rPr>
                <w:rFonts w:hint="eastAsia" w:ascii="宋体" w:hAnsi="宋体"/>
                <w:color w:val="auto"/>
                <w:kern w:val="0"/>
                <w:szCs w:val="21"/>
              </w:rPr>
              <w:t>椭圆度</w:t>
            </w:r>
          </w:p>
        </w:tc>
        <w:tc>
          <w:tcPr>
            <w:tcW w:w="2413" w:type="dxa"/>
            <w:vAlign w:val="center"/>
          </w:tcPr>
          <w:p>
            <w:pPr>
              <w:spacing w:line="360" w:lineRule="auto"/>
              <w:rPr>
                <w:rFonts w:hint="eastAsia" w:ascii="宋体" w:hAnsi="宋体"/>
                <w:color w:val="auto"/>
                <w:kern w:val="0"/>
                <w:szCs w:val="21"/>
              </w:rPr>
            </w:pPr>
            <w:r>
              <w:rPr>
                <w:rFonts w:hint="eastAsia" w:ascii="宋体" w:hAnsi="宋体"/>
                <w:color w:val="auto"/>
                <w:kern w:val="0"/>
                <w:szCs w:val="21"/>
              </w:rPr>
              <w:t>交叉直径差＞2%</w:t>
            </w:r>
          </w:p>
        </w:tc>
        <w:tc>
          <w:tcPr>
            <w:tcW w:w="1100" w:type="dxa"/>
            <w:vAlign w:val="center"/>
          </w:tcPr>
          <w:p>
            <w:pPr>
              <w:spacing w:line="360" w:lineRule="auto"/>
              <w:rPr>
                <w:rFonts w:hint="eastAsia" w:ascii="宋体" w:hAnsi="宋体"/>
                <w:color w:val="auto"/>
                <w:kern w:val="0"/>
                <w:szCs w:val="21"/>
              </w:rPr>
            </w:pPr>
            <w:r>
              <w:rPr>
                <w:rFonts w:hint="eastAsia" w:ascii="宋体" w:hAnsi="宋体"/>
                <w:color w:val="auto"/>
                <w:kern w:val="0"/>
                <w:szCs w:val="21"/>
              </w:rPr>
              <w:t>≥</w:t>
            </w:r>
            <w:r>
              <w:rPr>
                <w:rFonts w:ascii="宋体" w:hAnsi="宋体"/>
                <w:color w:val="auto"/>
                <w:kern w:val="0"/>
                <w:szCs w:val="21"/>
              </w:rPr>
              <w:t>99.9</w:t>
            </w:r>
            <w:r>
              <w:rPr>
                <w:rFonts w:hint="eastAsia" w:ascii="宋体" w:hAnsi="宋体"/>
                <w:color w:val="auto"/>
                <w:kern w:val="0"/>
                <w:szCs w:val="21"/>
              </w:rPr>
              <w:t>%</w:t>
            </w:r>
          </w:p>
        </w:tc>
        <w:tc>
          <w:tcPr>
            <w:tcW w:w="1625" w:type="dxa"/>
            <w:vMerge w:val="restart"/>
            <w:vAlign w:val="center"/>
          </w:tcPr>
          <w:p>
            <w:pPr>
              <w:spacing w:line="360" w:lineRule="auto"/>
              <w:rPr>
                <w:rFonts w:hint="eastAsia" w:ascii="宋体" w:hAnsi="宋体"/>
                <w:color w:val="auto"/>
                <w:kern w:val="0"/>
                <w:szCs w:val="21"/>
              </w:rPr>
            </w:pPr>
            <w:r>
              <w:rPr>
                <w:rFonts w:hint="eastAsia" w:ascii="宋体" w:hAnsi="宋体"/>
                <w:color w:val="auto"/>
                <w:kern w:val="0"/>
                <w:szCs w:val="21"/>
              </w:rPr>
              <w:t>误剔率≤0.</w:t>
            </w:r>
            <w:r>
              <w:rPr>
                <w:rFonts w:ascii="宋体" w:hAnsi="宋体"/>
                <w:color w:val="auto"/>
                <w:kern w:val="0"/>
                <w:szCs w:val="21"/>
              </w:rPr>
              <w:t>0</w:t>
            </w:r>
            <w:r>
              <w:rPr>
                <w:rFonts w:hint="eastAsia" w:ascii="宋体" w:hAnsi="宋体"/>
                <w:color w:val="auto"/>
                <w:kern w:val="0"/>
                <w:szCs w:val="21"/>
              </w:rPr>
              <w:t>3%</w:t>
            </w:r>
          </w:p>
          <w:p>
            <w:pPr>
              <w:spacing w:line="360" w:lineRule="auto"/>
              <w:rPr>
                <w:rFonts w:hint="eastAsia" w:ascii="宋体" w:hAnsi="宋体"/>
                <w:color w:val="auto"/>
                <w:kern w:val="0"/>
                <w:szCs w:val="21"/>
              </w:rPr>
            </w:pPr>
            <w:r>
              <w:rPr>
                <w:rFonts w:hint="eastAsia" w:ascii="宋体" w:hAnsi="宋体"/>
                <w:color w:val="auto"/>
                <w:kern w:val="0"/>
                <w:szCs w:val="21"/>
              </w:rPr>
              <w:t>漏剔率≤0.01%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line="360" w:lineRule="auto"/>
              <w:rPr>
                <w:rFonts w:hint="eastAsia" w:ascii="宋体" w:hAnsi="宋体"/>
                <w:color w:val="auto"/>
                <w:kern w:val="0"/>
                <w:szCs w:val="21"/>
              </w:rPr>
            </w:pPr>
            <w:r>
              <w:rPr>
                <w:rFonts w:ascii="宋体" w:hAnsi="宋体"/>
                <w:color w:val="auto"/>
                <w:kern w:val="0"/>
                <w:szCs w:val="21"/>
              </w:rPr>
              <w:t>2</w:t>
            </w:r>
          </w:p>
        </w:tc>
        <w:tc>
          <w:tcPr>
            <w:tcW w:w="709" w:type="dxa"/>
            <w:vMerge w:val="continue"/>
            <w:vAlign w:val="center"/>
          </w:tcPr>
          <w:p>
            <w:pPr>
              <w:spacing w:line="360" w:lineRule="auto"/>
              <w:rPr>
                <w:rFonts w:hint="eastAsia" w:ascii="宋体" w:hAnsi="宋体"/>
                <w:color w:val="auto"/>
                <w:kern w:val="0"/>
                <w:szCs w:val="21"/>
              </w:rPr>
            </w:pPr>
          </w:p>
        </w:tc>
        <w:tc>
          <w:tcPr>
            <w:tcW w:w="1969" w:type="dxa"/>
            <w:vAlign w:val="center"/>
          </w:tcPr>
          <w:p>
            <w:pPr>
              <w:spacing w:line="360" w:lineRule="auto"/>
              <w:rPr>
                <w:rFonts w:hint="eastAsia" w:ascii="宋体" w:hAnsi="宋体"/>
                <w:color w:val="auto"/>
                <w:kern w:val="0"/>
                <w:szCs w:val="21"/>
              </w:rPr>
            </w:pPr>
            <w:r>
              <w:rPr>
                <w:rFonts w:hint="eastAsia" w:ascii="宋体" w:hAnsi="宋体"/>
                <w:color w:val="auto"/>
                <w:kern w:val="0"/>
                <w:szCs w:val="21"/>
              </w:rPr>
              <w:t>安全环缺失（安全环高度＞3mm）</w:t>
            </w:r>
          </w:p>
        </w:tc>
        <w:tc>
          <w:tcPr>
            <w:tcW w:w="2413" w:type="dxa"/>
            <w:vAlign w:val="center"/>
          </w:tcPr>
          <w:p>
            <w:pPr>
              <w:spacing w:line="360" w:lineRule="auto"/>
              <w:rPr>
                <w:rFonts w:hint="eastAsia" w:ascii="宋体" w:hAnsi="宋体"/>
                <w:color w:val="auto"/>
                <w:kern w:val="0"/>
                <w:szCs w:val="21"/>
              </w:rPr>
            </w:pPr>
            <w:r>
              <w:rPr>
                <w:rFonts w:hint="eastAsia" w:ascii="宋体" w:hAnsi="宋体"/>
                <w:color w:val="auto"/>
                <w:kern w:val="0"/>
                <w:szCs w:val="21"/>
              </w:rPr>
              <w:t>缺失</w:t>
            </w:r>
          </w:p>
        </w:tc>
        <w:tc>
          <w:tcPr>
            <w:tcW w:w="1100" w:type="dxa"/>
            <w:vAlign w:val="center"/>
          </w:tcPr>
          <w:p>
            <w:pPr>
              <w:spacing w:line="360" w:lineRule="auto"/>
              <w:rPr>
                <w:rFonts w:hint="eastAsia" w:ascii="宋体" w:hAnsi="宋体"/>
                <w:color w:val="auto"/>
                <w:kern w:val="0"/>
                <w:szCs w:val="21"/>
              </w:rPr>
            </w:pPr>
            <w:r>
              <w:rPr>
                <w:rFonts w:hint="eastAsia" w:ascii="宋体" w:hAnsi="宋体"/>
                <w:color w:val="auto"/>
                <w:kern w:val="0"/>
                <w:szCs w:val="21"/>
              </w:rPr>
              <w:t>≥</w:t>
            </w:r>
            <w:r>
              <w:rPr>
                <w:rFonts w:ascii="宋体" w:hAnsi="宋体"/>
                <w:color w:val="auto"/>
                <w:kern w:val="0"/>
                <w:szCs w:val="21"/>
              </w:rPr>
              <w:t>99.9</w:t>
            </w:r>
            <w:r>
              <w:rPr>
                <w:rFonts w:hint="eastAsia" w:ascii="宋体" w:hAnsi="宋体"/>
                <w:color w:val="auto"/>
                <w:kern w:val="0"/>
                <w:szCs w:val="21"/>
              </w:rPr>
              <w:t>%</w:t>
            </w:r>
          </w:p>
        </w:tc>
        <w:tc>
          <w:tcPr>
            <w:tcW w:w="1625" w:type="dxa"/>
            <w:vMerge w:val="continue"/>
          </w:tcPr>
          <w:p>
            <w:pPr>
              <w:spacing w:line="360" w:lineRule="auto"/>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line="360" w:lineRule="auto"/>
              <w:rPr>
                <w:rFonts w:hint="eastAsia" w:ascii="宋体" w:hAnsi="宋体"/>
                <w:color w:val="auto"/>
                <w:kern w:val="0"/>
                <w:szCs w:val="21"/>
              </w:rPr>
            </w:pPr>
            <w:r>
              <w:rPr>
                <w:rFonts w:ascii="宋体" w:hAnsi="宋体"/>
                <w:color w:val="auto"/>
                <w:kern w:val="0"/>
                <w:szCs w:val="21"/>
              </w:rPr>
              <w:t>3</w:t>
            </w:r>
          </w:p>
        </w:tc>
        <w:tc>
          <w:tcPr>
            <w:tcW w:w="709" w:type="dxa"/>
            <w:vMerge w:val="continue"/>
            <w:vAlign w:val="center"/>
          </w:tcPr>
          <w:p>
            <w:pPr>
              <w:spacing w:line="360" w:lineRule="auto"/>
              <w:rPr>
                <w:rFonts w:hint="eastAsia" w:ascii="宋体" w:hAnsi="宋体"/>
                <w:color w:val="auto"/>
                <w:kern w:val="0"/>
                <w:szCs w:val="21"/>
              </w:rPr>
            </w:pPr>
          </w:p>
        </w:tc>
        <w:tc>
          <w:tcPr>
            <w:tcW w:w="1969" w:type="dxa"/>
            <w:vAlign w:val="center"/>
          </w:tcPr>
          <w:p>
            <w:pPr>
              <w:spacing w:line="360" w:lineRule="auto"/>
              <w:rPr>
                <w:rFonts w:hint="eastAsia" w:ascii="宋体" w:hAnsi="宋体"/>
                <w:color w:val="auto"/>
                <w:kern w:val="0"/>
                <w:szCs w:val="21"/>
              </w:rPr>
            </w:pPr>
            <w:r>
              <w:rPr>
                <w:rFonts w:hint="eastAsia" w:ascii="宋体" w:hAnsi="宋体"/>
                <w:color w:val="auto"/>
                <w:kern w:val="0"/>
                <w:szCs w:val="21"/>
              </w:rPr>
              <w:t>盖位置</w:t>
            </w:r>
          </w:p>
        </w:tc>
        <w:tc>
          <w:tcPr>
            <w:tcW w:w="2413" w:type="dxa"/>
            <w:vAlign w:val="center"/>
          </w:tcPr>
          <w:p>
            <w:pPr>
              <w:spacing w:line="360" w:lineRule="auto"/>
              <w:rPr>
                <w:rFonts w:hint="eastAsia" w:ascii="宋体" w:hAnsi="宋体"/>
                <w:color w:val="auto"/>
                <w:kern w:val="0"/>
                <w:szCs w:val="21"/>
              </w:rPr>
            </w:pPr>
            <w:r>
              <w:rPr>
                <w:rFonts w:hint="eastAsia" w:ascii="宋体" w:hAnsi="宋体"/>
                <w:color w:val="auto"/>
                <w:kern w:val="0"/>
                <w:szCs w:val="21"/>
              </w:rPr>
              <w:t>正反盖</w:t>
            </w:r>
          </w:p>
        </w:tc>
        <w:tc>
          <w:tcPr>
            <w:tcW w:w="1100" w:type="dxa"/>
            <w:vAlign w:val="center"/>
          </w:tcPr>
          <w:p>
            <w:pPr>
              <w:spacing w:line="360" w:lineRule="auto"/>
              <w:rPr>
                <w:rFonts w:hint="eastAsia" w:ascii="宋体" w:hAnsi="宋体"/>
                <w:color w:val="auto"/>
                <w:kern w:val="0"/>
                <w:szCs w:val="21"/>
              </w:rPr>
            </w:pPr>
            <w:r>
              <w:rPr>
                <w:rFonts w:hint="eastAsia" w:ascii="宋体" w:hAnsi="宋体"/>
                <w:color w:val="auto"/>
                <w:kern w:val="0"/>
                <w:szCs w:val="21"/>
              </w:rPr>
              <w:t>≥</w:t>
            </w:r>
            <w:r>
              <w:rPr>
                <w:rFonts w:ascii="宋体" w:hAnsi="宋体"/>
                <w:color w:val="auto"/>
                <w:kern w:val="0"/>
                <w:szCs w:val="21"/>
              </w:rPr>
              <w:t>99.9</w:t>
            </w:r>
            <w:r>
              <w:rPr>
                <w:rFonts w:hint="eastAsia" w:ascii="宋体" w:hAnsi="宋体"/>
                <w:color w:val="auto"/>
                <w:kern w:val="0"/>
                <w:szCs w:val="21"/>
              </w:rPr>
              <w:t>%</w:t>
            </w:r>
          </w:p>
        </w:tc>
        <w:tc>
          <w:tcPr>
            <w:tcW w:w="1625" w:type="dxa"/>
            <w:vMerge w:val="continue"/>
          </w:tcPr>
          <w:p>
            <w:pPr>
              <w:spacing w:line="360" w:lineRule="auto"/>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line="360" w:lineRule="auto"/>
              <w:rPr>
                <w:rFonts w:hint="eastAsia" w:ascii="宋体" w:hAnsi="宋体"/>
                <w:color w:val="auto"/>
                <w:kern w:val="0"/>
                <w:szCs w:val="21"/>
              </w:rPr>
            </w:pPr>
            <w:r>
              <w:rPr>
                <w:rFonts w:hint="eastAsia" w:ascii="宋体" w:hAnsi="宋体"/>
                <w:color w:val="auto"/>
                <w:kern w:val="0"/>
                <w:szCs w:val="21"/>
              </w:rPr>
              <w:t>4</w:t>
            </w:r>
          </w:p>
        </w:tc>
        <w:tc>
          <w:tcPr>
            <w:tcW w:w="709" w:type="dxa"/>
            <w:vMerge w:val="continue"/>
            <w:vAlign w:val="center"/>
          </w:tcPr>
          <w:p>
            <w:pPr>
              <w:spacing w:line="360" w:lineRule="auto"/>
              <w:rPr>
                <w:rFonts w:hint="eastAsia" w:ascii="宋体" w:hAnsi="宋体"/>
                <w:color w:val="auto"/>
                <w:kern w:val="0"/>
                <w:szCs w:val="21"/>
              </w:rPr>
            </w:pPr>
          </w:p>
        </w:tc>
        <w:tc>
          <w:tcPr>
            <w:tcW w:w="1969" w:type="dxa"/>
            <w:vAlign w:val="center"/>
          </w:tcPr>
          <w:p>
            <w:pPr>
              <w:spacing w:line="360" w:lineRule="auto"/>
              <w:rPr>
                <w:rFonts w:hint="eastAsia" w:ascii="宋体" w:hAnsi="宋体"/>
                <w:color w:val="auto"/>
                <w:kern w:val="0"/>
                <w:szCs w:val="21"/>
              </w:rPr>
            </w:pPr>
            <w:r>
              <w:rPr>
                <w:rFonts w:ascii="宋体" w:hAnsi="宋体"/>
                <w:color w:val="auto"/>
                <w:kern w:val="0"/>
                <w:szCs w:val="21"/>
              </w:rPr>
              <w:t>盖子脏污</w:t>
            </w:r>
          </w:p>
        </w:tc>
        <w:tc>
          <w:tcPr>
            <w:tcW w:w="2413" w:type="dxa"/>
            <w:vAlign w:val="center"/>
          </w:tcPr>
          <w:p>
            <w:pPr>
              <w:spacing w:line="360" w:lineRule="auto"/>
              <w:rPr>
                <w:rFonts w:hint="eastAsia" w:ascii="宋体" w:hAnsi="宋体"/>
                <w:color w:val="auto"/>
                <w:kern w:val="0"/>
                <w:szCs w:val="21"/>
              </w:rPr>
            </w:pPr>
            <w:r>
              <w:rPr>
                <w:rFonts w:ascii="宋体" w:hAnsi="宋体"/>
                <w:color w:val="auto"/>
                <w:kern w:val="0"/>
                <w:szCs w:val="21"/>
              </w:rPr>
              <w:t>直径＞</w:t>
            </w:r>
            <w:r>
              <w:rPr>
                <w:rFonts w:hint="eastAsia" w:ascii="宋体" w:hAnsi="宋体"/>
                <w:color w:val="auto"/>
                <w:kern w:val="0"/>
                <w:szCs w:val="21"/>
              </w:rPr>
              <w:t>1</w:t>
            </w:r>
            <w:r>
              <w:rPr>
                <w:rFonts w:ascii="宋体" w:hAnsi="宋体"/>
                <w:color w:val="auto"/>
                <w:kern w:val="0"/>
                <w:szCs w:val="21"/>
              </w:rPr>
              <w:t>mm的斑点）或浅色污渍（如油渍、水痕）</w:t>
            </w:r>
          </w:p>
        </w:tc>
        <w:tc>
          <w:tcPr>
            <w:tcW w:w="1100" w:type="dxa"/>
            <w:vAlign w:val="center"/>
          </w:tcPr>
          <w:p>
            <w:pPr>
              <w:spacing w:line="360" w:lineRule="auto"/>
              <w:rPr>
                <w:rFonts w:hint="eastAsia" w:ascii="宋体" w:hAnsi="宋体"/>
                <w:color w:val="auto"/>
                <w:kern w:val="0"/>
                <w:szCs w:val="21"/>
              </w:rPr>
            </w:pPr>
            <w:r>
              <w:rPr>
                <w:rFonts w:hint="eastAsia" w:ascii="宋体" w:hAnsi="宋体"/>
                <w:color w:val="auto"/>
                <w:kern w:val="0"/>
                <w:szCs w:val="21"/>
              </w:rPr>
              <w:t>≥</w:t>
            </w:r>
            <w:r>
              <w:rPr>
                <w:rFonts w:ascii="宋体" w:hAnsi="宋体"/>
                <w:color w:val="auto"/>
                <w:kern w:val="0"/>
                <w:szCs w:val="21"/>
              </w:rPr>
              <w:t>99.9</w:t>
            </w:r>
            <w:r>
              <w:rPr>
                <w:rFonts w:hint="eastAsia" w:ascii="宋体" w:hAnsi="宋体"/>
                <w:color w:val="auto"/>
                <w:kern w:val="0"/>
                <w:szCs w:val="21"/>
              </w:rPr>
              <w:t>%</w:t>
            </w:r>
          </w:p>
        </w:tc>
        <w:tc>
          <w:tcPr>
            <w:tcW w:w="1625" w:type="dxa"/>
            <w:vMerge w:val="continue"/>
          </w:tcPr>
          <w:p>
            <w:pPr>
              <w:spacing w:line="360" w:lineRule="auto"/>
              <w:rPr>
                <w:rFonts w:hint="eastAsia" w:ascii="宋体" w:hAnsi="宋体"/>
                <w:color w:val="auto"/>
                <w:kern w:val="0"/>
                <w:szCs w:val="21"/>
              </w:rPr>
            </w:pPr>
          </w:p>
        </w:tc>
      </w:tr>
    </w:tbl>
    <w:p>
      <w:pPr>
        <w:spacing w:line="360" w:lineRule="auto"/>
        <w:rPr>
          <w:rFonts w:hint="eastAsia" w:ascii="宋体" w:hAnsi="宋体"/>
          <w:color w:val="auto"/>
          <w:kern w:val="0"/>
          <w:szCs w:val="21"/>
        </w:rPr>
      </w:pPr>
    </w:p>
    <w:p>
      <w:pPr>
        <w:pStyle w:val="36"/>
        <w:numPr>
          <w:ilvl w:val="0"/>
          <w:numId w:val="24"/>
        </w:numPr>
        <w:spacing w:line="360" w:lineRule="auto"/>
        <w:ind w:left="788" w:hanging="357"/>
        <w:rPr>
          <w:rFonts w:hint="eastAsia" w:ascii="宋体" w:hAnsi="宋体"/>
          <w:bCs/>
          <w:color w:val="auto"/>
          <w:szCs w:val="21"/>
        </w:rPr>
      </w:pPr>
      <w:r>
        <w:rPr>
          <w:rFonts w:hint="eastAsia" w:ascii="宋体" w:hAnsi="宋体"/>
          <w:bCs/>
          <w:color w:val="auto"/>
          <w:szCs w:val="21"/>
        </w:rPr>
        <w:t xml:space="preserve">采用H2O2蒸汽或PAA对瓶盖进行杀菌，杀菌通道需满足兼容28mm和38mm瓶盖生产。 </w:t>
      </w:r>
    </w:p>
    <w:p>
      <w:pPr>
        <w:pStyle w:val="36"/>
        <w:numPr>
          <w:ilvl w:val="0"/>
          <w:numId w:val="24"/>
        </w:numPr>
        <w:spacing w:line="360" w:lineRule="auto"/>
        <w:ind w:left="788" w:hanging="357"/>
        <w:rPr>
          <w:rFonts w:hint="eastAsia" w:ascii="宋体" w:hAnsi="宋体"/>
          <w:bCs/>
          <w:color w:val="auto"/>
          <w:szCs w:val="21"/>
        </w:rPr>
      </w:pPr>
      <w:r>
        <w:rPr>
          <w:rFonts w:hint="eastAsia" w:ascii="宋体" w:hAnsi="宋体"/>
          <w:bCs/>
          <w:color w:val="auto"/>
          <w:szCs w:val="21"/>
        </w:rPr>
        <w:t>盖灭菌后送盖轨道增加无菌水喷洗系统，在人机上可以选择使用或不使用。</w:t>
      </w:r>
    </w:p>
    <w:p>
      <w:pPr>
        <w:pStyle w:val="36"/>
        <w:numPr>
          <w:ilvl w:val="0"/>
          <w:numId w:val="24"/>
        </w:numPr>
        <w:spacing w:line="360" w:lineRule="auto"/>
        <w:ind w:left="788" w:hanging="357"/>
        <w:rPr>
          <w:rFonts w:hint="eastAsia" w:ascii="宋体" w:hAnsi="宋体"/>
          <w:bCs/>
          <w:color w:val="auto"/>
          <w:szCs w:val="21"/>
        </w:rPr>
      </w:pPr>
      <w:r>
        <w:rPr>
          <w:rFonts w:hint="eastAsia" w:ascii="宋体" w:hAnsi="宋体"/>
          <w:bCs/>
          <w:color w:val="auto"/>
          <w:szCs w:val="21"/>
        </w:rPr>
        <w:t>盖斗</w:t>
      </w:r>
      <w:r>
        <w:rPr>
          <w:rFonts w:ascii="宋体" w:hAnsi="宋体"/>
          <w:bCs/>
          <w:color w:val="auto"/>
          <w:szCs w:val="21"/>
        </w:rPr>
        <w:t>侧底部配清空装置及皮带反转驱动</w:t>
      </w:r>
      <w:r>
        <w:rPr>
          <w:rFonts w:hint="eastAsia" w:ascii="宋体" w:hAnsi="宋体"/>
          <w:bCs/>
          <w:color w:val="auto"/>
          <w:szCs w:val="21"/>
        </w:rPr>
        <w:t>，便于操作员退盖操作。</w:t>
      </w:r>
    </w:p>
    <w:p>
      <w:pPr>
        <w:pStyle w:val="36"/>
        <w:numPr>
          <w:ilvl w:val="0"/>
          <w:numId w:val="24"/>
        </w:numPr>
        <w:spacing w:line="360" w:lineRule="auto"/>
        <w:ind w:left="788" w:hanging="357"/>
        <w:rPr>
          <w:rFonts w:hint="eastAsia" w:ascii="宋体" w:hAnsi="宋体"/>
          <w:bCs/>
          <w:color w:val="auto"/>
          <w:szCs w:val="21"/>
        </w:rPr>
      </w:pPr>
      <w:bookmarkStart w:id="36" w:name="OLE_LINK26"/>
      <w:r>
        <w:rPr>
          <w:rFonts w:hint="eastAsia" w:ascii="宋体" w:hAnsi="宋体"/>
          <w:bCs/>
          <w:color w:val="auto"/>
          <w:szCs w:val="21"/>
        </w:rPr>
        <w:t>盖储存桶从盖输送整列</w:t>
      </w:r>
      <w:bookmarkEnd w:id="36"/>
      <w:r>
        <w:rPr>
          <w:rFonts w:hint="eastAsia" w:ascii="宋体" w:hAnsi="宋体"/>
          <w:bCs/>
          <w:color w:val="auto"/>
          <w:szCs w:val="21"/>
        </w:rPr>
        <w:t>至盖杀菌区的盖输送整列机配304不锈钢构操作平台，平台铺304防滑不锈钢板（厚度3mm符合国标）、支撑柱采用碳钢材质。配有护栏和楼梯（均采用304不锈钢材质），护栏结实牢固材料（符合国标），平台护栏高度不低1.2米，设计符合国家相关规范要求。连接采用螺栓连接方式，平台支腿与地面安装采用化学螺栓连接（中标后提资和出具施工方案，并送招标方审核确认）</w:t>
      </w:r>
    </w:p>
    <w:p>
      <w:pPr>
        <w:pStyle w:val="36"/>
        <w:numPr>
          <w:ilvl w:val="0"/>
          <w:numId w:val="15"/>
        </w:numPr>
        <w:spacing w:line="360" w:lineRule="auto"/>
        <w:rPr>
          <w:rFonts w:hint="eastAsia" w:ascii="宋体" w:hAnsi="宋体"/>
          <w:b/>
          <w:bCs/>
          <w:color w:val="auto"/>
          <w:spacing w:val="-2"/>
          <w:szCs w:val="21"/>
        </w:rPr>
      </w:pPr>
      <w:r>
        <w:rPr>
          <w:rFonts w:hint="eastAsia" w:ascii="宋体" w:hAnsi="宋体"/>
          <w:b/>
          <w:bCs/>
          <w:color w:val="auto"/>
          <w:spacing w:val="-2"/>
          <w:szCs w:val="21"/>
        </w:rPr>
        <w:t>灌装机：</w:t>
      </w:r>
    </w:p>
    <w:p>
      <w:pPr>
        <w:pStyle w:val="36"/>
        <w:numPr>
          <w:ilvl w:val="0"/>
          <w:numId w:val="25"/>
        </w:numPr>
        <w:spacing w:line="360" w:lineRule="auto"/>
        <w:ind w:left="160" w:leftChars="76"/>
        <w:rPr>
          <w:rFonts w:hint="eastAsia" w:ascii="宋体" w:hAnsi="宋体"/>
          <w:bCs/>
          <w:color w:val="auto"/>
          <w:szCs w:val="21"/>
        </w:rPr>
      </w:pPr>
      <w:r>
        <w:rPr>
          <w:rFonts w:hint="eastAsia" w:ascii="宋体" w:hAnsi="宋体"/>
          <w:bCs/>
          <w:color w:val="auto"/>
          <w:szCs w:val="21"/>
        </w:rPr>
        <w:t>灌装机全封闭隔离，局部需配有手套用于不破坏无菌的操作。</w:t>
      </w:r>
    </w:p>
    <w:p>
      <w:pPr>
        <w:pStyle w:val="36"/>
        <w:numPr>
          <w:ilvl w:val="0"/>
          <w:numId w:val="25"/>
        </w:numPr>
        <w:spacing w:line="360" w:lineRule="auto"/>
        <w:ind w:left="160" w:leftChars="76"/>
        <w:rPr>
          <w:rFonts w:hint="eastAsia" w:ascii="宋体" w:hAnsi="宋体"/>
          <w:bCs/>
          <w:color w:val="auto"/>
          <w:szCs w:val="21"/>
        </w:rPr>
      </w:pPr>
      <w:r>
        <w:rPr>
          <w:rFonts w:hint="eastAsia" w:ascii="宋体" w:hAnsi="宋体"/>
          <w:bCs/>
          <w:color w:val="auto"/>
          <w:szCs w:val="21"/>
        </w:rPr>
        <w:t>非接触式灌装。</w:t>
      </w:r>
    </w:p>
    <w:p>
      <w:pPr>
        <w:pStyle w:val="36"/>
        <w:numPr>
          <w:ilvl w:val="0"/>
          <w:numId w:val="25"/>
        </w:numPr>
        <w:spacing w:line="360" w:lineRule="auto"/>
        <w:ind w:left="160" w:leftChars="76"/>
        <w:rPr>
          <w:rFonts w:hint="eastAsia" w:ascii="宋体" w:hAnsi="宋体"/>
          <w:bCs/>
          <w:color w:val="auto"/>
          <w:szCs w:val="21"/>
        </w:rPr>
      </w:pPr>
      <w:r>
        <w:rPr>
          <w:rFonts w:hint="eastAsia" w:ascii="宋体" w:hAnsi="宋体"/>
          <w:bCs/>
          <w:color w:val="auto"/>
          <w:szCs w:val="21"/>
        </w:rPr>
        <w:t>灌装过程采用快慢速双速灌装。</w:t>
      </w:r>
    </w:p>
    <w:p>
      <w:pPr>
        <w:pStyle w:val="36"/>
        <w:numPr>
          <w:ilvl w:val="0"/>
          <w:numId w:val="25"/>
        </w:numPr>
        <w:spacing w:line="360" w:lineRule="auto"/>
        <w:ind w:left="160" w:leftChars="76"/>
        <w:rPr>
          <w:rFonts w:hint="eastAsia" w:ascii="宋体" w:hAnsi="宋体"/>
          <w:bCs/>
          <w:color w:val="auto"/>
          <w:szCs w:val="21"/>
        </w:rPr>
      </w:pPr>
      <w:r>
        <w:rPr>
          <w:rFonts w:hint="eastAsia" w:ascii="宋体" w:hAnsi="宋体"/>
          <w:bCs/>
          <w:color w:val="auto"/>
          <w:szCs w:val="21"/>
        </w:rPr>
        <w:t>灌装机每次清洗后生产中性产品，无菌生产保持时间不低于120h。</w:t>
      </w:r>
    </w:p>
    <w:p>
      <w:pPr>
        <w:pStyle w:val="36"/>
        <w:numPr>
          <w:ilvl w:val="0"/>
          <w:numId w:val="25"/>
        </w:numPr>
        <w:spacing w:line="360" w:lineRule="auto"/>
        <w:ind w:left="160" w:leftChars="76"/>
        <w:rPr>
          <w:rFonts w:hint="eastAsia" w:ascii="宋体" w:hAnsi="宋体"/>
          <w:bCs/>
          <w:color w:val="auto"/>
          <w:szCs w:val="21"/>
        </w:rPr>
      </w:pPr>
      <w:bookmarkStart w:id="37" w:name="OLE_LINK1"/>
      <w:r>
        <w:rPr>
          <w:rFonts w:hint="eastAsia" w:ascii="宋体" w:hAnsi="宋体"/>
          <w:bCs/>
          <w:color w:val="auto"/>
          <w:szCs w:val="21"/>
        </w:rPr>
        <w:t>灌装机</w:t>
      </w:r>
      <w:bookmarkEnd w:id="37"/>
      <w:r>
        <w:rPr>
          <w:rFonts w:hint="eastAsia" w:ascii="宋体" w:hAnsi="宋体"/>
          <w:bCs/>
          <w:color w:val="auto"/>
          <w:szCs w:val="21"/>
        </w:rPr>
        <w:t>自带的无菌缓存罐配备无菌机磁力搅拌，灌装机的灌注缸（无菌平衡罐）内的灌装物料由过压无菌空气保护。</w:t>
      </w:r>
    </w:p>
    <w:p>
      <w:pPr>
        <w:pStyle w:val="36"/>
        <w:numPr>
          <w:ilvl w:val="0"/>
          <w:numId w:val="25"/>
        </w:numPr>
        <w:spacing w:line="360" w:lineRule="auto"/>
        <w:ind w:left="160" w:leftChars="76"/>
        <w:rPr>
          <w:rFonts w:hint="eastAsia" w:ascii="宋体" w:hAnsi="宋体"/>
          <w:bCs/>
          <w:color w:val="auto"/>
          <w:szCs w:val="21"/>
        </w:rPr>
      </w:pPr>
      <w:r>
        <w:rPr>
          <w:rFonts w:ascii="宋体" w:hAnsi="宋体"/>
          <w:color w:val="auto"/>
          <w:kern w:val="0"/>
          <w:szCs w:val="21"/>
        </w:rPr>
        <w:t>灌装正压层流配置：灌装区域/旋盖区域</w:t>
      </w:r>
      <w:r>
        <w:rPr>
          <w:rFonts w:hint="eastAsia" w:ascii="宋体" w:hAnsi="宋体"/>
          <w:color w:val="auto"/>
          <w:kern w:val="0"/>
          <w:szCs w:val="21"/>
        </w:rPr>
        <w:t>为</w:t>
      </w:r>
      <w:r>
        <w:rPr>
          <w:rFonts w:hint="eastAsia" w:ascii="宋体" w:hAnsi="宋体"/>
          <w:color w:val="auto"/>
        </w:rPr>
        <w:t>无菌隔离舱</w:t>
      </w:r>
      <w:r>
        <w:rPr>
          <w:rFonts w:ascii="宋体" w:hAnsi="宋体"/>
          <w:color w:val="auto"/>
          <w:kern w:val="0"/>
          <w:szCs w:val="21"/>
        </w:rPr>
        <w:t>，从灌装区域至中间区域直至非无菌区域有气体压力管理。</w:t>
      </w:r>
    </w:p>
    <w:p>
      <w:pPr>
        <w:pStyle w:val="36"/>
        <w:numPr>
          <w:ilvl w:val="0"/>
          <w:numId w:val="25"/>
        </w:numPr>
        <w:spacing w:line="360" w:lineRule="auto"/>
        <w:ind w:left="160" w:leftChars="76"/>
        <w:rPr>
          <w:rFonts w:hint="eastAsia" w:ascii="宋体" w:hAnsi="宋体"/>
          <w:bCs/>
          <w:color w:val="auto"/>
          <w:szCs w:val="21"/>
        </w:rPr>
      </w:pPr>
      <w:r>
        <w:rPr>
          <w:rFonts w:hint="eastAsia" w:ascii="宋体" w:hAnsi="宋体"/>
          <w:bCs/>
          <w:color w:val="auto"/>
          <w:szCs w:val="21"/>
        </w:rPr>
        <w:t>灌装机旋转塔和机台如果采用水封屏障，上下水封需要能自动保持一定浓度的化学药剂作为保障。隔离体内部清洗杀菌时上下水封避免生产环境产生化学气味。</w:t>
      </w:r>
    </w:p>
    <w:p>
      <w:pPr>
        <w:pStyle w:val="36"/>
        <w:numPr>
          <w:ilvl w:val="0"/>
          <w:numId w:val="25"/>
        </w:numPr>
        <w:spacing w:line="360" w:lineRule="auto"/>
        <w:ind w:left="160" w:leftChars="76"/>
        <w:rPr>
          <w:rFonts w:hint="eastAsia" w:ascii="宋体" w:hAnsi="宋体"/>
          <w:bCs/>
          <w:color w:val="auto"/>
          <w:szCs w:val="21"/>
        </w:rPr>
      </w:pPr>
      <w:r>
        <w:rPr>
          <w:rFonts w:hint="eastAsia" w:ascii="宋体" w:hAnsi="宋体"/>
          <w:bCs/>
          <w:color w:val="auto"/>
          <w:szCs w:val="21"/>
        </w:rPr>
        <w:t>在隔离罩配置有无菌操作手套，用于生产中的操作（如微生物取样：无菌水取样，小故障处理，而不破坏无菌环境）</w:t>
      </w:r>
    </w:p>
    <w:p>
      <w:pPr>
        <w:pStyle w:val="36"/>
        <w:numPr>
          <w:ilvl w:val="0"/>
          <w:numId w:val="25"/>
        </w:numPr>
        <w:spacing w:line="360" w:lineRule="auto"/>
        <w:ind w:left="160" w:leftChars="76"/>
        <w:rPr>
          <w:rFonts w:hint="eastAsia" w:ascii="宋体" w:hAnsi="宋体"/>
          <w:bCs/>
          <w:color w:val="auto"/>
          <w:szCs w:val="21"/>
        </w:rPr>
      </w:pPr>
      <w:r>
        <w:rPr>
          <w:rFonts w:hint="eastAsia" w:ascii="宋体" w:hAnsi="宋体"/>
          <w:bCs/>
          <w:color w:val="auto"/>
          <w:szCs w:val="21"/>
        </w:rPr>
        <w:t>灌装机出口传送带链板需要化学杀菌管理，以防外部微生物入侵。</w:t>
      </w:r>
    </w:p>
    <w:p>
      <w:pPr>
        <w:pStyle w:val="36"/>
        <w:numPr>
          <w:ilvl w:val="0"/>
          <w:numId w:val="25"/>
        </w:numPr>
        <w:spacing w:line="360" w:lineRule="auto"/>
        <w:ind w:left="160" w:leftChars="76"/>
        <w:rPr>
          <w:rFonts w:hint="eastAsia" w:ascii="宋体" w:hAnsi="宋体"/>
          <w:bCs/>
          <w:color w:val="auto"/>
          <w:szCs w:val="21"/>
        </w:rPr>
      </w:pPr>
      <w:bookmarkStart w:id="38" w:name="OLE_LINK15"/>
      <w:r>
        <w:rPr>
          <w:rFonts w:hint="eastAsia" w:ascii="宋体" w:hAnsi="宋体"/>
          <w:bCs/>
          <w:color w:val="auto"/>
          <w:szCs w:val="21"/>
        </w:rPr>
        <w:t>灌装机生产中可开门处理生产中遇到的紧急问题，且恢复无菌生产时间不超过2h。</w:t>
      </w:r>
    </w:p>
    <w:bookmarkEnd w:id="38"/>
    <w:p>
      <w:pPr>
        <w:pStyle w:val="36"/>
        <w:numPr>
          <w:ilvl w:val="0"/>
          <w:numId w:val="25"/>
        </w:numPr>
        <w:spacing w:line="360" w:lineRule="auto"/>
        <w:ind w:left="160" w:leftChars="76"/>
        <w:rPr>
          <w:rFonts w:hint="eastAsia" w:ascii="宋体" w:hAnsi="宋体"/>
          <w:bCs/>
          <w:color w:val="auto"/>
          <w:szCs w:val="21"/>
        </w:rPr>
      </w:pPr>
      <w:r>
        <w:rPr>
          <w:rFonts w:hint="eastAsia" w:ascii="宋体" w:hAnsi="宋体"/>
          <w:bCs/>
          <w:color w:val="auto"/>
          <w:szCs w:val="21"/>
        </w:rPr>
        <w:t>灌装至旋盖之间的产品传递过程中需配备瓶口冲洗功能模块，无菌水：30℃~60℃，要求瓶口干净，无溅入；无残留糖斑。</w:t>
      </w:r>
    </w:p>
    <w:p>
      <w:pPr>
        <w:pStyle w:val="36"/>
        <w:numPr>
          <w:ilvl w:val="0"/>
          <w:numId w:val="25"/>
        </w:numPr>
        <w:spacing w:line="360" w:lineRule="auto"/>
        <w:ind w:left="160" w:leftChars="76"/>
        <w:rPr>
          <w:rFonts w:hint="eastAsia" w:ascii="宋体" w:hAnsi="宋体"/>
          <w:bCs/>
          <w:color w:val="auto"/>
          <w:szCs w:val="21"/>
        </w:rPr>
      </w:pPr>
      <w:r>
        <w:rPr>
          <w:rFonts w:hint="eastAsia" w:ascii="宋体" w:hAnsi="宋体"/>
          <w:bCs/>
          <w:color w:val="auto"/>
          <w:szCs w:val="21"/>
        </w:rPr>
        <w:t>灌装充填关键蒸汽屏障/冷凝水障≥80℃。</w:t>
      </w:r>
    </w:p>
    <w:p>
      <w:pPr>
        <w:pStyle w:val="36"/>
        <w:numPr>
          <w:ilvl w:val="0"/>
          <w:numId w:val="25"/>
        </w:numPr>
        <w:spacing w:line="360" w:lineRule="auto"/>
        <w:ind w:left="160" w:leftChars="76"/>
        <w:rPr>
          <w:rFonts w:hint="eastAsia" w:ascii="宋体" w:hAnsi="宋体"/>
          <w:bCs/>
          <w:color w:val="auto"/>
          <w:szCs w:val="21"/>
        </w:rPr>
      </w:pPr>
      <w:bookmarkStart w:id="39" w:name="OLE_LINK9"/>
      <w:r>
        <w:rPr>
          <w:rFonts w:hint="eastAsia" w:ascii="宋体" w:hAnsi="宋体" w:cs="宋体"/>
          <w:color w:val="auto"/>
          <w:szCs w:val="21"/>
        </w:rPr>
        <w:t>★</w:t>
      </w:r>
      <w:bookmarkEnd w:id="39"/>
      <w:r>
        <w:rPr>
          <w:rFonts w:hint="eastAsia" w:ascii="宋体" w:hAnsi="宋体"/>
          <w:bCs/>
          <w:color w:val="auto"/>
          <w:szCs w:val="21"/>
        </w:rPr>
        <w:t>灌装液位：液位控制在对应产品要求标准位置，灌装精度要求如下：</w:t>
      </w:r>
    </w:p>
    <w:tbl>
      <w:tblPr>
        <w:tblStyle w:val="19"/>
        <w:tblW w:w="6044" w:type="dxa"/>
        <w:tblInd w:w="5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1979"/>
        <w:gridCol w:w="1570"/>
        <w:gridCol w:w="1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Align w:val="center"/>
          </w:tcPr>
          <w:p>
            <w:pPr>
              <w:pStyle w:val="36"/>
              <w:spacing w:line="360" w:lineRule="auto"/>
              <w:ind w:left="160" w:leftChars="76"/>
              <w:jc w:val="center"/>
              <w:rPr>
                <w:rFonts w:hint="eastAsia" w:ascii="宋体" w:hAnsi="宋体"/>
                <w:bCs/>
                <w:color w:val="auto"/>
                <w:szCs w:val="21"/>
              </w:rPr>
            </w:pPr>
            <w:r>
              <w:rPr>
                <w:rFonts w:hint="eastAsia" w:ascii="宋体" w:hAnsi="宋体"/>
                <w:bCs/>
                <w:color w:val="auto"/>
                <w:szCs w:val="21"/>
              </w:rPr>
              <w:t>序号</w:t>
            </w:r>
          </w:p>
        </w:tc>
        <w:tc>
          <w:tcPr>
            <w:tcW w:w="1979" w:type="dxa"/>
            <w:vAlign w:val="center"/>
          </w:tcPr>
          <w:p>
            <w:pPr>
              <w:pStyle w:val="36"/>
              <w:spacing w:line="360" w:lineRule="auto"/>
              <w:ind w:left="160" w:leftChars="76"/>
              <w:jc w:val="center"/>
              <w:rPr>
                <w:rFonts w:hint="eastAsia" w:ascii="宋体" w:hAnsi="宋体"/>
                <w:bCs/>
                <w:color w:val="auto"/>
                <w:szCs w:val="21"/>
              </w:rPr>
            </w:pPr>
            <w:r>
              <w:rPr>
                <w:rFonts w:hint="eastAsia" w:ascii="宋体" w:hAnsi="宋体"/>
                <w:bCs/>
                <w:color w:val="auto"/>
                <w:szCs w:val="21"/>
              </w:rPr>
              <w:t>灌装液位</w:t>
            </w:r>
          </w:p>
        </w:tc>
        <w:tc>
          <w:tcPr>
            <w:tcW w:w="1570" w:type="dxa"/>
            <w:vAlign w:val="center"/>
          </w:tcPr>
          <w:p>
            <w:pPr>
              <w:spacing w:line="360" w:lineRule="auto"/>
              <w:ind w:left="160" w:leftChars="76"/>
              <w:jc w:val="center"/>
              <w:rPr>
                <w:rFonts w:hint="eastAsia" w:ascii="宋体" w:hAnsi="宋体"/>
                <w:bCs/>
                <w:color w:val="auto"/>
                <w:szCs w:val="21"/>
              </w:rPr>
            </w:pPr>
            <w:r>
              <w:rPr>
                <w:rFonts w:hint="eastAsia" w:ascii="宋体" w:hAnsi="宋体"/>
                <w:bCs/>
                <w:color w:val="auto"/>
                <w:szCs w:val="21"/>
              </w:rPr>
              <w:t>标准偏差</w:t>
            </w:r>
          </w:p>
        </w:tc>
        <w:tc>
          <w:tcPr>
            <w:tcW w:w="1688" w:type="dxa"/>
          </w:tcPr>
          <w:p>
            <w:pPr>
              <w:spacing w:line="360" w:lineRule="auto"/>
              <w:ind w:left="160" w:leftChars="76"/>
              <w:jc w:val="center"/>
              <w:rPr>
                <w:rFonts w:hint="eastAsia" w:ascii="宋体" w:hAnsi="宋体"/>
                <w:bCs/>
                <w:color w:val="auto"/>
                <w:szCs w:val="21"/>
              </w:rPr>
            </w:pPr>
            <w:r>
              <w:rPr>
                <w:rFonts w:hint="eastAsia" w:ascii="宋体" w:hAnsi="宋体"/>
                <w:bCs/>
                <w:color w:val="auto"/>
                <w:szCs w:val="21"/>
              </w:rPr>
              <w:t>不良率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Align w:val="center"/>
          </w:tcPr>
          <w:p>
            <w:pPr>
              <w:spacing w:line="360" w:lineRule="auto"/>
              <w:ind w:left="160" w:leftChars="76"/>
              <w:jc w:val="center"/>
              <w:rPr>
                <w:rFonts w:hint="eastAsia" w:ascii="宋体" w:hAnsi="宋体"/>
                <w:bCs/>
                <w:color w:val="auto"/>
                <w:szCs w:val="21"/>
              </w:rPr>
            </w:pPr>
            <w:r>
              <w:rPr>
                <w:rFonts w:hint="eastAsia" w:ascii="宋体" w:hAnsi="宋体"/>
                <w:bCs/>
                <w:color w:val="auto"/>
                <w:szCs w:val="21"/>
              </w:rPr>
              <w:t>1</w:t>
            </w:r>
          </w:p>
        </w:tc>
        <w:tc>
          <w:tcPr>
            <w:tcW w:w="1979" w:type="dxa"/>
            <w:vAlign w:val="center"/>
          </w:tcPr>
          <w:p>
            <w:pPr>
              <w:spacing w:line="360" w:lineRule="auto"/>
              <w:ind w:left="160" w:leftChars="76"/>
              <w:jc w:val="center"/>
              <w:rPr>
                <w:rFonts w:hint="eastAsia" w:ascii="宋体" w:hAnsi="宋体"/>
                <w:bCs/>
                <w:color w:val="auto"/>
                <w:szCs w:val="21"/>
              </w:rPr>
            </w:pPr>
            <w:r>
              <w:rPr>
                <w:rFonts w:hint="eastAsia" w:ascii="宋体" w:hAnsi="宋体"/>
                <w:bCs/>
                <w:color w:val="auto"/>
                <w:szCs w:val="21"/>
              </w:rPr>
              <w:t>≤500mL</w:t>
            </w:r>
          </w:p>
        </w:tc>
        <w:tc>
          <w:tcPr>
            <w:tcW w:w="1570" w:type="dxa"/>
            <w:vAlign w:val="center"/>
          </w:tcPr>
          <w:p>
            <w:pPr>
              <w:spacing w:line="360" w:lineRule="auto"/>
              <w:ind w:left="160" w:leftChars="76"/>
              <w:jc w:val="center"/>
              <w:rPr>
                <w:rFonts w:hint="eastAsia" w:ascii="宋体" w:hAnsi="宋体"/>
                <w:bCs/>
                <w:color w:val="auto"/>
                <w:szCs w:val="21"/>
              </w:rPr>
            </w:pPr>
            <w:r>
              <w:rPr>
                <w:rFonts w:hint="eastAsia" w:ascii="宋体" w:hAnsi="宋体"/>
                <w:bCs/>
                <w:color w:val="auto"/>
                <w:szCs w:val="21"/>
              </w:rPr>
              <w:t>1.2mL</w:t>
            </w:r>
          </w:p>
        </w:tc>
        <w:tc>
          <w:tcPr>
            <w:tcW w:w="1688" w:type="dxa"/>
          </w:tcPr>
          <w:p>
            <w:pPr>
              <w:spacing w:line="360" w:lineRule="auto"/>
              <w:ind w:left="160" w:leftChars="76"/>
              <w:jc w:val="center"/>
              <w:rPr>
                <w:rFonts w:hint="eastAsia" w:ascii="宋体" w:hAnsi="宋体"/>
                <w:bCs/>
                <w:color w:val="auto"/>
                <w:szCs w:val="21"/>
              </w:rPr>
            </w:pPr>
            <w:r>
              <w:rPr>
                <w:rFonts w:hint="eastAsia" w:ascii="宋体" w:hAnsi="宋体"/>
                <w:bCs/>
                <w:color w:val="auto"/>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Align w:val="center"/>
          </w:tcPr>
          <w:p>
            <w:pPr>
              <w:spacing w:line="360" w:lineRule="auto"/>
              <w:ind w:left="160" w:leftChars="76"/>
              <w:jc w:val="center"/>
              <w:rPr>
                <w:rFonts w:hint="eastAsia" w:ascii="宋体" w:hAnsi="宋体"/>
                <w:bCs/>
                <w:color w:val="auto"/>
                <w:szCs w:val="21"/>
              </w:rPr>
            </w:pPr>
            <w:r>
              <w:rPr>
                <w:rFonts w:hint="eastAsia" w:ascii="宋体" w:hAnsi="宋体"/>
                <w:bCs/>
                <w:color w:val="auto"/>
                <w:szCs w:val="21"/>
              </w:rPr>
              <w:t>2</w:t>
            </w:r>
          </w:p>
        </w:tc>
        <w:tc>
          <w:tcPr>
            <w:tcW w:w="1979" w:type="dxa"/>
            <w:vAlign w:val="center"/>
          </w:tcPr>
          <w:p>
            <w:pPr>
              <w:spacing w:line="360" w:lineRule="auto"/>
              <w:ind w:left="160" w:leftChars="76"/>
              <w:jc w:val="center"/>
              <w:rPr>
                <w:rFonts w:hint="eastAsia" w:ascii="宋体" w:hAnsi="宋体"/>
                <w:bCs/>
                <w:color w:val="auto"/>
                <w:szCs w:val="21"/>
              </w:rPr>
            </w:pPr>
            <w:r>
              <w:rPr>
                <w:rFonts w:hint="eastAsia" w:ascii="宋体" w:hAnsi="宋体"/>
                <w:bCs/>
                <w:color w:val="auto"/>
                <w:szCs w:val="21"/>
              </w:rPr>
              <w:t>500mL&lt;X&lt;1000mL</w:t>
            </w:r>
          </w:p>
        </w:tc>
        <w:tc>
          <w:tcPr>
            <w:tcW w:w="1570" w:type="dxa"/>
            <w:vAlign w:val="center"/>
          </w:tcPr>
          <w:p>
            <w:pPr>
              <w:spacing w:line="360" w:lineRule="auto"/>
              <w:ind w:left="160" w:leftChars="76"/>
              <w:jc w:val="center"/>
              <w:rPr>
                <w:rFonts w:hint="eastAsia" w:ascii="宋体" w:hAnsi="宋体"/>
                <w:bCs/>
                <w:color w:val="auto"/>
                <w:szCs w:val="21"/>
              </w:rPr>
            </w:pPr>
            <w:r>
              <w:rPr>
                <w:rFonts w:hint="eastAsia" w:ascii="宋体" w:hAnsi="宋体"/>
                <w:bCs/>
                <w:color w:val="auto"/>
                <w:szCs w:val="21"/>
              </w:rPr>
              <w:t>1.7mL</w:t>
            </w:r>
          </w:p>
        </w:tc>
        <w:tc>
          <w:tcPr>
            <w:tcW w:w="1688" w:type="dxa"/>
          </w:tcPr>
          <w:p>
            <w:pPr>
              <w:spacing w:line="360" w:lineRule="auto"/>
              <w:ind w:left="160" w:leftChars="76"/>
              <w:jc w:val="center"/>
              <w:rPr>
                <w:rFonts w:hint="eastAsia" w:ascii="宋体" w:hAnsi="宋体"/>
                <w:bCs/>
                <w:color w:val="auto"/>
                <w:szCs w:val="21"/>
              </w:rPr>
            </w:pPr>
            <w:r>
              <w:rPr>
                <w:rFonts w:hint="eastAsia" w:ascii="宋体" w:hAnsi="宋体"/>
                <w:bCs/>
                <w:color w:val="auto"/>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Align w:val="center"/>
          </w:tcPr>
          <w:p>
            <w:pPr>
              <w:spacing w:line="360" w:lineRule="auto"/>
              <w:ind w:left="160" w:leftChars="76"/>
              <w:jc w:val="center"/>
              <w:rPr>
                <w:rFonts w:hint="eastAsia" w:ascii="宋体" w:hAnsi="宋体"/>
                <w:bCs/>
                <w:color w:val="auto"/>
                <w:szCs w:val="21"/>
              </w:rPr>
            </w:pPr>
            <w:r>
              <w:rPr>
                <w:rFonts w:hint="eastAsia" w:ascii="宋体" w:hAnsi="宋体"/>
                <w:bCs/>
                <w:color w:val="auto"/>
                <w:szCs w:val="21"/>
              </w:rPr>
              <w:t>3</w:t>
            </w:r>
          </w:p>
        </w:tc>
        <w:tc>
          <w:tcPr>
            <w:tcW w:w="1979" w:type="dxa"/>
            <w:vAlign w:val="center"/>
          </w:tcPr>
          <w:p>
            <w:pPr>
              <w:spacing w:line="360" w:lineRule="auto"/>
              <w:ind w:left="160" w:leftChars="76"/>
              <w:jc w:val="center"/>
              <w:rPr>
                <w:rFonts w:hint="eastAsia" w:ascii="宋体" w:hAnsi="宋体"/>
                <w:bCs/>
                <w:color w:val="auto"/>
                <w:szCs w:val="21"/>
              </w:rPr>
            </w:pPr>
            <w:r>
              <w:rPr>
                <w:rFonts w:hint="eastAsia" w:ascii="宋体" w:hAnsi="宋体"/>
                <w:bCs/>
                <w:color w:val="auto"/>
                <w:szCs w:val="21"/>
              </w:rPr>
              <w:t>1000mL&lt;X&lt;1500mL</w:t>
            </w:r>
          </w:p>
        </w:tc>
        <w:tc>
          <w:tcPr>
            <w:tcW w:w="1570" w:type="dxa"/>
            <w:vAlign w:val="center"/>
          </w:tcPr>
          <w:p>
            <w:pPr>
              <w:spacing w:line="360" w:lineRule="auto"/>
              <w:ind w:left="160" w:leftChars="76"/>
              <w:jc w:val="center"/>
              <w:rPr>
                <w:rFonts w:hint="eastAsia" w:ascii="宋体" w:hAnsi="宋体"/>
                <w:bCs/>
                <w:color w:val="auto"/>
                <w:szCs w:val="21"/>
              </w:rPr>
            </w:pPr>
            <w:r>
              <w:rPr>
                <w:rFonts w:hint="eastAsia" w:ascii="宋体" w:hAnsi="宋体"/>
                <w:bCs/>
                <w:color w:val="auto"/>
                <w:szCs w:val="21"/>
              </w:rPr>
              <w:t>2.0mL</w:t>
            </w:r>
          </w:p>
        </w:tc>
        <w:tc>
          <w:tcPr>
            <w:tcW w:w="1688" w:type="dxa"/>
          </w:tcPr>
          <w:p>
            <w:pPr>
              <w:spacing w:line="360" w:lineRule="auto"/>
              <w:ind w:left="160" w:leftChars="76"/>
              <w:jc w:val="center"/>
              <w:rPr>
                <w:rFonts w:hint="eastAsia" w:ascii="宋体" w:hAnsi="宋体"/>
                <w:bCs/>
                <w:color w:val="auto"/>
                <w:szCs w:val="21"/>
              </w:rPr>
            </w:pPr>
            <w:r>
              <w:rPr>
                <w:rFonts w:hint="eastAsia" w:ascii="宋体" w:hAnsi="宋体"/>
                <w:bCs/>
                <w:color w:val="auto"/>
                <w:szCs w:val="21"/>
              </w:rPr>
              <w:t>≤0.01%</w:t>
            </w:r>
          </w:p>
        </w:tc>
      </w:tr>
    </w:tbl>
    <w:p>
      <w:pPr>
        <w:pStyle w:val="36"/>
        <w:numPr>
          <w:ilvl w:val="0"/>
          <w:numId w:val="25"/>
        </w:numPr>
        <w:spacing w:line="360" w:lineRule="auto"/>
        <w:ind w:left="160" w:leftChars="76"/>
        <w:rPr>
          <w:rFonts w:hint="eastAsia" w:ascii="宋体" w:hAnsi="宋体"/>
          <w:bCs/>
          <w:color w:val="auto"/>
          <w:szCs w:val="21"/>
        </w:rPr>
      </w:pPr>
      <w:r>
        <w:rPr>
          <w:rFonts w:hint="eastAsia" w:ascii="宋体" w:hAnsi="宋体"/>
          <w:bCs/>
          <w:color w:val="auto"/>
          <w:szCs w:val="21"/>
        </w:rPr>
        <w:t>灌装量采用电磁流量计精确控制，保持灌装压力流量稳定。</w:t>
      </w:r>
    </w:p>
    <w:p>
      <w:pPr>
        <w:pStyle w:val="36"/>
        <w:numPr>
          <w:ilvl w:val="0"/>
          <w:numId w:val="25"/>
        </w:numPr>
        <w:spacing w:line="360" w:lineRule="auto"/>
        <w:ind w:left="160" w:leftChars="76"/>
        <w:rPr>
          <w:rFonts w:hint="eastAsia" w:ascii="宋体" w:hAnsi="宋体"/>
          <w:bCs/>
          <w:color w:val="auto"/>
          <w:szCs w:val="21"/>
        </w:rPr>
      </w:pPr>
      <w:r>
        <w:rPr>
          <w:rFonts w:hint="eastAsia" w:ascii="宋体" w:hAnsi="宋体"/>
          <w:bCs/>
          <w:color w:val="auto"/>
          <w:szCs w:val="21"/>
        </w:rPr>
        <w:t>灌装机入口星轮过载保护装置，加装进口扭矩限制器（如采用伺服电机自带，不作要求）。</w:t>
      </w:r>
    </w:p>
    <w:p>
      <w:pPr>
        <w:pStyle w:val="36"/>
        <w:numPr>
          <w:ilvl w:val="0"/>
          <w:numId w:val="25"/>
        </w:numPr>
        <w:spacing w:line="360" w:lineRule="auto"/>
        <w:ind w:left="160" w:leftChars="76"/>
        <w:rPr>
          <w:rFonts w:hint="eastAsia" w:ascii="宋体" w:hAnsi="宋体"/>
          <w:bCs/>
          <w:color w:val="auto"/>
          <w:szCs w:val="21"/>
        </w:rPr>
      </w:pPr>
      <w:r>
        <w:rPr>
          <w:rFonts w:hint="eastAsia" w:ascii="宋体" w:hAnsi="宋体"/>
          <w:bCs/>
          <w:color w:val="auto"/>
          <w:szCs w:val="21"/>
        </w:rPr>
        <w:t>配备声光报警装置，机器配备完善可靠的安全门系统，安装有报警装置,最大限度的保证操作人员的安全；设备外部配有点动操作手柄。</w:t>
      </w:r>
    </w:p>
    <w:p>
      <w:pPr>
        <w:pStyle w:val="36"/>
        <w:numPr>
          <w:ilvl w:val="0"/>
          <w:numId w:val="25"/>
        </w:numPr>
        <w:spacing w:line="360" w:lineRule="auto"/>
        <w:ind w:left="160" w:leftChars="76"/>
        <w:rPr>
          <w:rFonts w:hint="eastAsia" w:ascii="宋体" w:hAnsi="宋体"/>
          <w:bCs/>
          <w:color w:val="auto"/>
          <w:szCs w:val="21"/>
        </w:rPr>
      </w:pPr>
      <w:r>
        <w:rPr>
          <w:rFonts w:hint="eastAsia" w:ascii="宋体" w:hAnsi="宋体"/>
          <w:bCs/>
          <w:color w:val="auto"/>
          <w:szCs w:val="21"/>
        </w:rPr>
        <w:t>在额定生产速度（24000</w:t>
      </w:r>
      <w:r>
        <w:rPr>
          <w:rFonts w:ascii="宋体" w:hAnsi="宋体"/>
          <w:color w:val="auto"/>
          <w:kern w:val="0"/>
          <w:szCs w:val="21"/>
        </w:rPr>
        <w:t>瓶/小时</w:t>
      </w:r>
      <w:r>
        <w:rPr>
          <w:rFonts w:hint="eastAsia" w:ascii="宋体" w:hAnsi="宋体"/>
          <w:bCs/>
          <w:color w:val="auto"/>
          <w:szCs w:val="21"/>
        </w:rPr>
        <w:t>）下，化学药剂残留量＜0.5ppm，糖斑（瓶口残留）不良率为零（随机取100瓶，使用烘干法/斐林试剂法，瓶口烘到结晶做目视检查）</w:t>
      </w:r>
    </w:p>
    <w:p>
      <w:pPr>
        <w:pStyle w:val="36"/>
        <w:numPr>
          <w:ilvl w:val="0"/>
          <w:numId w:val="25"/>
        </w:numPr>
        <w:spacing w:line="360" w:lineRule="auto"/>
        <w:ind w:left="160" w:leftChars="76"/>
        <w:rPr>
          <w:rFonts w:hint="eastAsia" w:ascii="宋体" w:hAnsi="宋体"/>
          <w:bCs/>
          <w:color w:val="auto"/>
          <w:szCs w:val="21"/>
        </w:rPr>
      </w:pPr>
      <w:r>
        <w:rPr>
          <w:rFonts w:hint="eastAsia" w:ascii="宋体" w:hAnsi="宋体"/>
          <w:bCs/>
          <w:color w:val="auto"/>
          <w:szCs w:val="21"/>
        </w:rPr>
        <w:t>设备自带追溯功能，用于HACCP和生产信息追踪，与CO2激光打码机联动控制。</w:t>
      </w:r>
    </w:p>
    <w:p>
      <w:pPr>
        <w:pStyle w:val="36"/>
        <w:numPr>
          <w:ilvl w:val="0"/>
          <w:numId w:val="15"/>
        </w:numPr>
        <w:spacing w:line="360" w:lineRule="auto"/>
        <w:rPr>
          <w:rFonts w:hint="eastAsia" w:ascii="宋体" w:hAnsi="宋体"/>
          <w:b/>
          <w:bCs/>
          <w:color w:val="auto"/>
          <w:spacing w:val="-2"/>
          <w:szCs w:val="21"/>
        </w:rPr>
      </w:pPr>
      <w:bookmarkStart w:id="40" w:name="_Hlk200445208"/>
      <w:r>
        <w:rPr>
          <w:rFonts w:hint="eastAsia" w:ascii="宋体" w:hAnsi="宋体"/>
          <w:b/>
          <w:bCs/>
          <w:color w:val="auto"/>
          <w:spacing w:val="-2"/>
          <w:szCs w:val="21"/>
        </w:rPr>
        <w:t>旋盖机：</w:t>
      </w:r>
    </w:p>
    <w:bookmarkEnd w:id="40"/>
    <w:p>
      <w:pPr>
        <w:pStyle w:val="36"/>
        <w:numPr>
          <w:ilvl w:val="0"/>
          <w:numId w:val="26"/>
        </w:numPr>
        <w:spacing w:line="360" w:lineRule="auto"/>
        <w:rPr>
          <w:rFonts w:hint="eastAsia" w:ascii="宋体" w:hAnsi="宋体"/>
          <w:bCs/>
          <w:color w:val="auto"/>
          <w:szCs w:val="21"/>
        </w:rPr>
      </w:pPr>
      <w:r>
        <w:rPr>
          <w:rFonts w:hint="eastAsia" w:ascii="宋体" w:hAnsi="宋体"/>
          <w:bCs/>
          <w:color w:val="auto"/>
          <w:szCs w:val="21"/>
        </w:rPr>
        <w:t>验收取样总耗时≤120分钟；测试值正态分布统计CP≥1，单边CPK＞1.33；</w:t>
      </w:r>
    </w:p>
    <w:p>
      <w:pPr>
        <w:pStyle w:val="36"/>
        <w:numPr>
          <w:ilvl w:val="0"/>
          <w:numId w:val="26"/>
        </w:numPr>
        <w:spacing w:line="360" w:lineRule="auto"/>
        <w:rPr>
          <w:rFonts w:hint="eastAsia" w:ascii="宋体" w:hAnsi="宋体"/>
          <w:bCs/>
          <w:color w:val="auto"/>
          <w:szCs w:val="21"/>
        </w:rPr>
      </w:pPr>
      <w:r>
        <w:rPr>
          <w:rFonts w:hint="eastAsia" w:ascii="宋体" w:hAnsi="宋体"/>
          <w:bCs/>
          <w:color w:val="auto"/>
          <w:szCs w:val="21"/>
        </w:rPr>
        <w:t>无菌旋盖机正压罩内和正压罩外部件需要进行隔离，适当使用蒸汽/冷凝水/药剂屏障</w:t>
      </w:r>
    </w:p>
    <w:p>
      <w:pPr>
        <w:pStyle w:val="36"/>
        <w:numPr>
          <w:ilvl w:val="0"/>
          <w:numId w:val="26"/>
        </w:numPr>
        <w:spacing w:line="360" w:lineRule="auto"/>
        <w:rPr>
          <w:rFonts w:hint="eastAsia" w:ascii="宋体" w:hAnsi="宋体"/>
          <w:bCs/>
          <w:color w:val="auto"/>
          <w:szCs w:val="21"/>
        </w:rPr>
      </w:pPr>
      <w:r>
        <w:rPr>
          <w:rFonts w:hint="eastAsia" w:ascii="宋体" w:hAnsi="宋体"/>
          <w:bCs/>
          <w:color w:val="auto"/>
          <w:szCs w:val="21"/>
        </w:rPr>
        <w:t>主传动及各旋盖头均配置伺服控制，可独立控制，且扭矩值可单独进行调整。</w:t>
      </w:r>
    </w:p>
    <w:p>
      <w:pPr>
        <w:pStyle w:val="36"/>
        <w:numPr>
          <w:ilvl w:val="0"/>
          <w:numId w:val="26"/>
        </w:numPr>
        <w:spacing w:line="360" w:lineRule="auto"/>
        <w:rPr>
          <w:rFonts w:hint="eastAsia" w:ascii="宋体" w:hAnsi="宋体"/>
          <w:bCs/>
          <w:color w:val="auto"/>
          <w:szCs w:val="21"/>
        </w:rPr>
      </w:pPr>
      <w:r>
        <w:rPr>
          <w:rFonts w:hint="eastAsia" w:ascii="宋体" w:hAnsi="宋体"/>
          <w:bCs/>
          <w:color w:val="auto"/>
          <w:szCs w:val="21"/>
        </w:rPr>
        <w:t>封盖后进行开启力矩及防盗环型测试，扭力测试满足招标方质量要求，</w:t>
      </w:r>
      <w:r>
        <w:rPr>
          <w:rFonts w:ascii="宋体" w:hAnsi="宋体"/>
          <w:bCs/>
          <w:color w:val="auto"/>
          <w:szCs w:val="21"/>
        </w:rPr>
        <w:t>开启后连接桥明显断裂</w:t>
      </w:r>
      <w:r>
        <w:rPr>
          <w:rFonts w:hint="eastAsia" w:ascii="宋体" w:hAnsi="宋体"/>
          <w:bCs/>
          <w:color w:val="auto"/>
          <w:szCs w:val="21"/>
        </w:rPr>
        <w:t>（连接</w:t>
      </w:r>
      <w:r>
        <w:rPr>
          <w:rFonts w:ascii="宋体" w:hAnsi="宋体"/>
          <w:bCs/>
          <w:color w:val="auto"/>
          <w:szCs w:val="21"/>
        </w:rPr>
        <w:t>桥</w:t>
      </w:r>
      <w:r>
        <w:rPr>
          <w:rFonts w:hint="eastAsia" w:ascii="宋体" w:hAnsi="宋体"/>
          <w:bCs/>
          <w:color w:val="auto"/>
          <w:szCs w:val="21"/>
        </w:rPr>
        <w:t>最多不超过连续3个不断裂，防盗环在瓶子上）。</w:t>
      </w:r>
    </w:p>
    <w:p>
      <w:pPr>
        <w:pStyle w:val="36"/>
        <w:numPr>
          <w:ilvl w:val="0"/>
          <w:numId w:val="26"/>
        </w:numPr>
        <w:spacing w:line="360" w:lineRule="auto"/>
        <w:rPr>
          <w:rFonts w:hint="eastAsia" w:ascii="宋体" w:hAnsi="宋体"/>
          <w:bCs/>
          <w:color w:val="auto"/>
          <w:szCs w:val="21"/>
        </w:rPr>
      </w:pPr>
      <w:r>
        <w:rPr>
          <w:rFonts w:hint="eastAsia" w:ascii="宋体" w:hAnsi="宋体"/>
          <w:bCs/>
          <w:color w:val="auto"/>
          <w:szCs w:val="21"/>
        </w:rPr>
        <w:t>封盖后产品不可出现漏气现象，随机取10瓶封盖完整产品做PAT检测。检测方式将盖子用旋盖机按满足封盖要求的额定扭矩封盖，切去防盗环，用密封测试仪测试；38口：加压至50psi，在水中保压1min，观察是否有漏气：28口：加压至100psi，在水中保压1min，观察是否有漏气。</w:t>
      </w:r>
    </w:p>
    <w:p>
      <w:pPr>
        <w:pStyle w:val="36"/>
        <w:numPr>
          <w:ilvl w:val="0"/>
          <w:numId w:val="26"/>
        </w:numPr>
        <w:spacing w:line="360" w:lineRule="auto"/>
        <w:rPr>
          <w:rFonts w:hint="eastAsia" w:ascii="宋体" w:hAnsi="宋体"/>
          <w:bCs/>
          <w:color w:val="auto"/>
          <w:szCs w:val="21"/>
        </w:rPr>
      </w:pPr>
      <w:r>
        <w:rPr>
          <w:rFonts w:hint="eastAsia" w:ascii="宋体" w:hAnsi="宋体" w:cs="宋体"/>
          <w:color w:val="auto"/>
          <w:szCs w:val="21"/>
        </w:rPr>
        <w:t>★</w:t>
      </w:r>
      <w:r>
        <w:rPr>
          <w:rFonts w:hint="eastAsia" w:ascii="宋体" w:hAnsi="宋体"/>
          <w:bCs/>
          <w:color w:val="auto"/>
          <w:szCs w:val="21"/>
        </w:rPr>
        <w:t>封盖不良率在万分之五以内（含无盖、高盖、歪盖等）。</w:t>
      </w:r>
    </w:p>
    <w:p>
      <w:pPr>
        <w:pStyle w:val="36"/>
        <w:numPr>
          <w:ilvl w:val="0"/>
          <w:numId w:val="26"/>
        </w:numPr>
        <w:spacing w:line="360" w:lineRule="auto"/>
        <w:rPr>
          <w:rFonts w:hint="eastAsia" w:ascii="宋体" w:hAnsi="宋体"/>
          <w:b/>
          <w:bCs/>
          <w:color w:val="auto"/>
          <w:spacing w:val="-2"/>
        </w:rPr>
      </w:pPr>
      <w:r>
        <w:rPr>
          <w:rFonts w:hint="eastAsia" w:ascii="宋体" w:hAnsi="宋体"/>
          <w:bCs/>
          <w:color w:val="auto"/>
          <w:szCs w:val="21"/>
        </w:rPr>
        <w:t>设备自带输送带需有配套底部接水槽、线槽、护栏，接水槽宽度要求相对输送带两边各外延30mm，不可有积水及水滴到地面现象，下水口配活动式滤网，防止盖子等异物进入造成堵塞。</w:t>
      </w:r>
      <w:bookmarkStart w:id="41" w:name="_Hlk200445386"/>
    </w:p>
    <w:p>
      <w:pPr>
        <w:pStyle w:val="36"/>
        <w:numPr>
          <w:ilvl w:val="0"/>
          <w:numId w:val="15"/>
        </w:numPr>
        <w:spacing w:line="360" w:lineRule="auto"/>
        <w:rPr>
          <w:rFonts w:hint="eastAsia" w:ascii="宋体" w:hAnsi="宋体"/>
          <w:b/>
          <w:bCs/>
          <w:color w:val="auto"/>
          <w:spacing w:val="-2"/>
          <w:szCs w:val="21"/>
        </w:rPr>
      </w:pPr>
      <w:bookmarkStart w:id="42" w:name="OLE_LINK29"/>
      <w:bookmarkStart w:id="43" w:name="OLE_LINK27"/>
      <w:r>
        <w:rPr>
          <w:rFonts w:hint="eastAsia" w:ascii="宋体" w:hAnsi="宋体"/>
          <w:b/>
          <w:bCs/>
          <w:color w:val="auto"/>
          <w:spacing w:val="-2"/>
          <w:szCs w:val="21"/>
        </w:rPr>
        <w:t>CIP/SIP/COP/SOP 单元</w:t>
      </w:r>
    </w:p>
    <w:bookmarkEnd w:id="41"/>
    <w:bookmarkEnd w:id="42"/>
    <w:bookmarkEnd w:id="43"/>
    <w:p>
      <w:pPr>
        <w:pStyle w:val="36"/>
        <w:numPr>
          <w:ilvl w:val="0"/>
          <w:numId w:val="27"/>
        </w:numPr>
        <w:spacing w:line="360" w:lineRule="auto"/>
        <w:rPr>
          <w:rFonts w:hint="eastAsia" w:ascii="宋体" w:hAnsi="宋体"/>
          <w:bCs/>
          <w:color w:val="auto"/>
          <w:szCs w:val="21"/>
        </w:rPr>
      </w:pPr>
      <w:r>
        <w:rPr>
          <w:rFonts w:hint="eastAsia" w:ascii="宋体" w:hAnsi="宋体"/>
          <w:bCs/>
          <w:color w:val="auto"/>
          <w:szCs w:val="21"/>
        </w:rPr>
        <w:t>可根据预先设定程序能够一次操作完成CIP/SIP/COP/SOP等不同菜单的进程，内部清洗/杀菌和设备表面的清洗/杀菌单独进行，根据工艺设计，满足最终的杀菌效果。</w:t>
      </w:r>
    </w:p>
    <w:p>
      <w:pPr>
        <w:pStyle w:val="36"/>
        <w:numPr>
          <w:ilvl w:val="0"/>
          <w:numId w:val="27"/>
        </w:numPr>
        <w:spacing w:line="360" w:lineRule="auto"/>
        <w:rPr>
          <w:rFonts w:hint="eastAsia" w:ascii="宋体" w:hAnsi="宋体"/>
          <w:bCs/>
          <w:color w:val="auto"/>
          <w:szCs w:val="21"/>
        </w:rPr>
      </w:pPr>
      <w:r>
        <w:rPr>
          <w:rFonts w:hint="eastAsia" w:ascii="宋体" w:hAnsi="宋体"/>
          <w:bCs/>
          <w:color w:val="auto"/>
          <w:szCs w:val="21"/>
        </w:rPr>
        <w:t xml:space="preserve">配集中化学药剂站 </w:t>
      </w:r>
    </w:p>
    <w:p>
      <w:pPr>
        <w:pStyle w:val="36"/>
        <w:numPr>
          <w:ilvl w:val="0"/>
          <w:numId w:val="27"/>
        </w:numPr>
        <w:spacing w:line="360" w:lineRule="auto"/>
        <w:rPr>
          <w:rFonts w:hint="eastAsia" w:ascii="宋体" w:hAnsi="宋体"/>
          <w:bCs/>
          <w:color w:val="auto"/>
          <w:szCs w:val="21"/>
        </w:rPr>
      </w:pPr>
      <w:r>
        <w:rPr>
          <w:rFonts w:hint="eastAsia" w:ascii="宋体" w:hAnsi="宋体"/>
          <w:bCs/>
          <w:color w:val="auto"/>
          <w:szCs w:val="21"/>
        </w:rPr>
        <w:t>配置有CIP回程泵，CIP系统设计满足各部位清洗能力1.5m/s。</w:t>
      </w:r>
    </w:p>
    <w:p>
      <w:pPr>
        <w:pStyle w:val="36"/>
        <w:numPr>
          <w:ilvl w:val="0"/>
          <w:numId w:val="27"/>
        </w:numPr>
        <w:spacing w:line="360" w:lineRule="auto"/>
        <w:rPr>
          <w:rFonts w:hint="eastAsia" w:ascii="宋体" w:hAnsi="宋体"/>
          <w:bCs/>
          <w:color w:val="auto"/>
          <w:szCs w:val="21"/>
        </w:rPr>
      </w:pPr>
      <w:r>
        <w:rPr>
          <w:rFonts w:hint="eastAsia" w:ascii="宋体" w:hAnsi="宋体"/>
          <w:bCs/>
          <w:color w:val="auto"/>
          <w:szCs w:val="21"/>
        </w:rPr>
        <w:t>按需配置隔膜泵，用于</w:t>
      </w:r>
      <w:r>
        <w:rPr>
          <w:rFonts w:hint="eastAsia" w:ascii="宋体" w:hAnsi="宋体"/>
          <w:bCs/>
          <w:color w:val="auto"/>
          <w:spacing w:val="-2"/>
        </w:rPr>
        <w:t>CIP/SIP/COP/SOP清洗原液/生产杀菌原液抽取使用，配置在</w:t>
      </w:r>
      <w:r>
        <w:rPr>
          <w:rFonts w:hint="eastAsia" w:ascii="宋体" w:hAnsi="宋体"/>
          <w:bCs/>
          <w:color w:val="auto"/>
          <w:szCs w:val="21"/>
        </w:rPr>
        <w:t>功能缓冲间</w:t>
      </w:r>
      <w:r>
        <w:rPr>
          <w:rFonts w:hint="eastAsia" w:ascii="宋体" w:hAnsi="宋体"/>
          <w:bCs/>
          <w:color w:val="auto"/>
          <w:spacing w:val="-2"/>
        </w:rPr>
        <w:t>。</w:t>
      </w:r>
    </w:p>
    <w:p>
      <w:pPr>
        <w:pStyle w:val="36"/>
        <w:numPr>
          <w:ilvl w:val="0"/>
          <w:numId w:val="27"/>
        </w:numPr>
        <w:spacing w:line="360" w:lineRule="auto"/>
        <w:rPr>
          <w:rFonts w:hint="eastAsia" w:ascii="宋体" w:hAnsi="宋体"/>
          <w:bCs/>
          <w:color w:val="auto"/>
          <w:szCs w:val="21"/>
        </w:rPr>
      </w:pPr>
      <w:r>
        <w:rPr>
          <w:rFonts w:hint="eastAsia" w:ascii="宋体" w:hAnsi="宋体"/>
          <w:bCs/>
          <w:color w:val="auto"/>
          <w:szCs w:val="21"/>
        </w:rPr>
        <w:t>在设备CIP/SIP/COP/SOP中均需满足自动检测与控制相应的清洗药剂/水/蒸汽等介质的温度、浓度、流量、压力、时间。</w:t>
      </w:r>
    </w:p>
    <w:p>
      <w:pPr>
        <w:pStyle w:val="36"/>
        <w:numPr>
          <w:ilvl w:val="0"/>
          <w:numId w:val="27"/>
        </w:numPr>
        <w:spacing w:line="360" w:lineRule="auto"/>
        <w:rPr>
          <w:rFonts w:hint="eastAsia" w:ascii="宋体" w:hAnsi="宋体"/>
          <w:bCs/>
          <w:color w:val="auto"/>
          <w:szCs w:val="21"/>
        </w:rPr>
      </w:pPr>
      <w:r>
        <w:rPr>
          <w:rFonts w:hint="eastAsia" w:ascii="宋体" w:hAnsi="宋体"/>
          <w:bCs/>
          <w:color w:val="auto"/>
          <w:szCs w:val="21"/>
        </w:rPr>
        <w:t>人机显示CIP流量、浓度、温度及时间，并可以设定，未达到设定值时不计时，清洗资料需在设备内保存至少12个月，并可随时调阅，资料可下载。</w:t>
      </w:r>
    </w:p>
    <w:p>
      <w:pPr>
        <w:pStyle w:val="36"/>
        <w:numPr>
          <w:ilvl w:val="0"/>
          <w:numId w:val="27"/>
        </w:numPr>
        <w:spacing w:line="360" w:lineRule="auto"/>
        <w:rPr>
          <w:rFonts w:hint="eastAsia" w:ascii="宋体" w:hAnsi="宋体"/>
          <w:bCs/>
          <w:color w:val="auto"/>
          <w:szCs w:val="21"/>
        </w:rPr>
      </w:pPr>
      <w:r>
        <w:rPr>
          <w:rFonts w:hint="eastAsia" w:ascii="宋体" w:hAnsi="宋体"/>
          <w:bCs/>
          <w:color w:val="auto"/>
          <w:szCs w:val="21"/>
        </w:rPr>
        <w:t>CIP/SIP 清洗杀菌介质要保证一定的压力，灌装阀上端压力要保证≥2bar,且需配置标准 3 步或 5 步CIP 循环供选择。</w:t>
      </w:r>
    </w:p>
    <w:p>
      <w:pPr>
        <w:pStyle w:val="36"/>
        <w:numPr>
          <w:ilvl w:val="0"/>
          <w:numId w:val="27"/>
        </w:numPr>
        <w:spacing w:line="360" w:lineRule="auto"/>
        <w:rPr>
          <w:rFonts w:hint="eastAsia" w:ascii="宋体" w:hAnsi="宋体"/>
          <w:bCs/>
          <w:color w:val="auto"/>
          <w:szCs w:val="21"/>
        </w:rPr>
      </w:pPr>
      <w:r>
        <w:rPr>
          <w:rFonts w:hint="eastAsia" w:ascii="宋体" w:hAnsi="宋体"/>
          <w:bCs/>
          <w:color w:val="auto"/>
          <w:szCs w:val="21"/>
        </w:rPr>
        <w:t>3 步或 5 步CIP 结束后，应取样检测，进出口取样水的pH值不大于0.3或出口水的电导率差值应≤25</w:t>
      </w:r>
      <w:r>
        <w:rPr>
          <w:rFonts w:ascii="宋体" w:hAnsi="宋体"/>
          <w:bCs/>
          <w:color w:val="auto"/>
          <w:szCs w:val="21"/>
        </w:rPr>
        <w:t>μS/cm</w:t>
      </w:r>
      <w:r>
        <w:rPr>
          <w:rFonts w:hint="eastAsia" w:ascii="宋体" w:hAnsi="宋体"/>
          <w:bCs/>
          <w:color w:val="auto"/>
          <w:szCs w:val="21"/>
        </w:rPr>
        <w:t>。</w:t>
      </w:r>
    </w:p>
    <w:p>
      <w:pPr>
        <w:pStyle w:val="36"/>
        <w:numPr>
          <w:ilvl w:val="0"/>
          <w:numId w:val="27"/>
        </w:numPr>
        <w:spacing w:line="360" w:lineRule="auto"/>
        <w:rPr>
          <w:rFonts w:hint="eastAsia" w:ascii="宋体" w:hAnsi="宋体"/>
          <w:bCs/>
          <w:color w:val="auto"/>
          <w:szCs w:val="21"/>
        </w:rPr>
      </w:pPr>
      <w:r>
        <w:rPr>
          <w:rFonts w:hint="eastAsia" w:ascii="宋体" w:hAnsi="宋体"/>
          <w:bCs/>
          <w:color w:val="auto"/>
          <w:szCs w:val="21"/>
        </w:rPr>
        <w:t>提供设备的CIP/SIP/COP/SOP清洗杀菌时长及能耗信息。</w:t>
      </w:r>
    </w:p>
    <w:p>
      <w:pPr>
        <w:pStyle w:val="36"/>
        <w:numPr>
          <w:ilvl w:val="0"/>
          <w:numId w:val="27"/>
        </w:numPr>
        <w:spacing w:line="360" w:lineRule="auto"/>
        <w:rPr>
          <w:rFonts w:hint="eastAsia" w:ascii="宋体" w:hAnsi="宋体"/>
          <w:bCs/>
          <w:color w:val="auto"/>
          <w:szCs w:val="21"/>
        </w:rPr>
      </w:pPr>
      <w:r>
        <w:rPr>
          <w:rFonts w:hint="eastAsia" w:ascii="宋体" w:hAnsi="宋体"/>
          <w:bCs/>
          <w:color w:val="auto"/>
          <w:szCs w:val="21"/>
        </w:rPr>
        <w:t>COP/SOP 时设备表面温度不得超过 65℃，否则需做特定防护，以防烫伤风险。</w:t>
      </w:r>
    </w:p>
    <w:p>
      <w:pPr>
        <w:pStyle w:val="36"/>
        <w:numPr>
          <w:ilvl w:val="0"/>
          <w:numId w:val="28"/>
        </w:numPr>
        <w:spacing w:line="360" w:lineRule="auto"/>
        <w:rPr>
          <w:rFonts w:hint="eastAsia" w:ascii="宋体" w:hAnsi="宋体"/>
          <w:b/>
          <w:color w:val="auto"/>
          <w:szCs w:val="21"/>
        </w:rPr>
      </w:pPr>
      <w:r>
        <w:rPr>
          <w:rFonts w:hint="eastAsia" w:ascii="宋体" w:hAnsi="宋体"/>
          <w:b/>
          <w:color w:val="auto"/>
          <w:szCs w:val="21"/>
        </w:rPr>
        <w:t>无菌水单元：</w:t>
      </w:r>
    </w:p>
    <w:p>
      <w:pPr>
        <w:pStyle w:val="36"/>
        <w:numPr>
          <w:ilvl w:val="0"/>
          <w:numId w:val="29"/>
        </w:numPr>
        <w:spacing w:line="360" w:lineRule="auto"/>
        <w:rPr>
          <w:rFonts w:hint="eastAsia" w:ascii="宋体" w:hAnsi="宋体"/>
          <w:bCs/>
          <w:color w:val="auto"/>
          <w:szCs w:val="21"/>
        </w:rPr>
      </w:pPr>
      <w:r>
        <w:rPr>
          <w:rFonts w:hint="eastAsia" w:ascii="宋体" w:hAnsi="宋体"/>
          <w:bCs/>
          <w:color w:val="auto"/>
          <w:szCs w:val="21"/>
        </w:rPr>
        <w:t>无菌水直接接触材质满足食品安全要求；</w:t>
      </w:r>
    </w:p>
    <w:p>
      <w:pPr>
        <w:pStyle w:val="36"/>
        <w:numPr>
          <w:ilvl w:val="0"/>
          <w:numId w:val="29"/>
        </w:numPr>
        <w:spacing w:line="360" w:lineRule="auto"/>
        <w:rPr>
          <w:rFonts w:hint="eastAsia" w:ascii="宋体" w:hAnsi="宋体"/>
          <w:bCs/>
          <w:color w:val="auto"/>
          <w:szCs w:val="21"/>
        </w:rPr>
      </w:pPr>
      <w:r>
        <w:rPr>
          <w:rFonts w:hint="eastAsia" w:ascii="宋体" w:hAnsi="宋体"/>
          <w:bCs/>
          <w:color w:val="auto"/>
          <w:szCs w:val="21"/>
        </w:rPr>
        <w:t>无菌水制备前需配置蒸汽减压和稳压装置；</w:t>
      </w:r>
    </w:p>
    <w:p>
      <w:pPr>
        <w:pStyle w:val="36"/>
        <w:numPr>
          <w:ilvl w:val="0"/>
          <w:numId w:val="29"/>
        </w:numPr>
        <w:spacing w:line="360" w:lineRule="auto"/>
        <w:rPr>
          <w:rFonts w:hint="eastAsia" w:ascii="宋体" w:hAnsi="宋体"/>
          <w:bCs/>
          <w:color w:val="auto"/>
          <w:szCs w:val="21"/>
        </w:rPr>
      </w:pPr>
      <w:r>
        <w:rPr>
          <w:rFonts w:hint="eastAsia" w:ascii="宋体" w:hAnsi="宋体"/>
          <w:bCs/>
          <w:color w:val="auto"/>
          <w:szCs w:val="21"/>
        </w:rPr>
        <w:t>独立的UHT无菌水单元流量要求大＞3T/h；</w:t>
      </w:r>
    </w:p>
    <w:p>
      <w:pPr>
        <w:pStyle w:val="36"/>
        <w:numPr>
          <w:ilvl w:val="0"/>
          <w:numId w:val="29"/>
        </w:numPr>
        <w:spacing w:line="360" w:lineRule="auto"/>
        <w:rPr>
          <w:rFonts w:hint="eastAsia" w:ascii="宋体" w:hAnsi="宋体"/>
          <w:bCs/>
          <w:color w:val="auto"/>
          <w:szCs w:val="21"/>
        </w:rPr>
      </w:pPr>
      <w:r>
        <w:rPr>
          <w:rFonts w:hint="eastAsia" w:ascii="宋体" w:hAnsi="宋体"/>
          <w:bCs/>
          <w:color w:val="auto"/>
          <w:szCs w:val="21"/>
        </w:rPr>
        <w:t>无菌水菌落总数、霉菌酵母＜1CFU/100mL；</w:t>
      </w:r>
    </w:p>
    <w:p>
      <w:pPr>
        <w:pStyle w:val="36"/>
        <w:numPr>
          <w:ilvl w:val="0"/>
          <w:numId w:val="29"/>
        </w:numPr>
        <w:spacing w:line="360" w:lineRule="auto"/>
        <w:rPr>
          <w:rFonts w:hint="eastAsia" w:ascii="宋体" w:hAnsi="宋体"/>
          <w:color w:val="auto"/>
          <w:szCs w:val="21"/>
        </w:rPr>
      </w:pPr>
      <w:r>
        <w:rPr>
          <w:rFonts w:hint="eastAsia" w:ascii="宋体" w:hAnsi="宋体"/>
          <w:bCs/>
          <w:color w:val="auto"/>
          <w:szCs w:val="21"/>
        </w:rPr>
        <w:t>配置一套洁净蒸汽发生器，满足设备使用；采用斯派莎克、阿姆斯壮、</w:t>
      </w:r>
      <w:r>
        <w:rPr>
          <w:rFonts w:ascii="宋体" w:hAnsi="宋体"/>
          <w:color w:val="auto"/>
          <w:szCs w:val="21"/>
        </w:rPr>
        <w:t>美国思泰瑞</w:t>
      </w:r>
      <w:r>
        <w:rPr>
          <w:rFonts w:hint="eastAsia" w:ascii="宋体" w:hAnsi="宋体"/>
          <w:color w:val="auto"/>
          <w:szCs w:val="21"/>
        </w:rPr>
        <w:t>或同等及以上品牌。</w:t>
      </w:r>
    </w:p>
    <w:p>
      <w:pPr>
        <w:pStyle w:val="36"/>
        <w:numPr>
          <w:ilvl w:val="0"/>
          <w:numId w:val="28"/>
        </w:numPr>
        <w:spacing w:line="360" w:lineRule="auto"/>
        <w:rPr>
          <w:rFonts w:hint="eastAsia" w:ascii="宋体" w:hAnsi="宋体"/>
          <w:b/>
          <w:color w:val="auto"/>
          <w:szCs w:val="21"/>
        </w:rPr>
      </w:pPr>
      <w:r>
        <w:rPr>
          <w:rFonts w:hint="eastAsia" w:ascii="宋体" w:hAnsi="宋体"/>
          <w:b/>
          <w:color w:val="auto"/>
          <w:szCs w:val="21"/>
        </w:rPr>
        <w:t>无菌生产工艺数据处理及分析系统</w:t>
      </w:r>
    </w:p>
    <w:p>
      <w:pPr>
        <w:pStyle w:val="36"/>
        <w:numPr>
          <w:ilvl w:val="0"/>
          <w:numId w:val="30"/>
        </w:numPr>
        <w:spacing w:line="360" w:lineRule="auto"/>
        <w:rPr>
          <w:rFonts w:hint="eastAsia" w:ascii="宋体" w:hAnsi="宋体"/>
          <w:bCs/>
          <w:color w:val="auto"/>
          <w:szCs w:val="21"/>
        </w:rPr>
      </w:pPr>
      <w:r>
        <w:rPr>
          <w:rFonts w:hint="eastAsia" w:ascii="宋体" w:hAnsi="宋体"/>
          <w:bCs/>
          <w:color w:val="auto"/>
          <w:szCs w:val="21"/>
        </w:rPr>
        <w:t>产线分析系统功能要求：产线分析系统集成，包含但不限于具备信息看板、停机管理看板、单机故障看板、生产机综合报表、趋势图机生产线在线监控等功能：</w:t>
      </w:r>
    </w:p>
    <w:p>
      <w:pPr>
        <w:pStyle w:val="36"/>
        <w:numPr>
          <w:ilvl w:val="0"/>
          <w:numId w:val="30"/>
        </w:numPr>
        <w:spacing w:line="360" w:lineRule="auto"/>
        <w:rPr>
          <w:rFonts w:hint="eastAsia" w:ascii="宋体" w:hAnsi="宋体"/>
          <w:bCs/>
          <w:color w:val="auto"/>
          <w:szCs w:val="21"/>
        </w:rPr>
      </w:pPr>
      <w:r>
        <w:rPr>
          <w:rFonts w:hint="eastAsia" w:ascii="宋体" w:hAnsi="宋体"/>
          <w:bCs/>
          <w:color w:val="auto"/>
          <w:szCs w:val="21"/>
        </w:rPr>
        <w:t>产线分析系统软件要求</w:t>
      </w:r>
    </w:p>
    <w:p>
      <w:pPr>
        <w:numPr>
          <w:ilvl w:val="0"/>
          <w:numId w:val="31"/>
        </w:numPr>
        <w:spacing w:line="360" w:lineRule="auto"/>
        <w:rPr>
          <w:rFonts w:hint="eastAsia" w:ascii="宋体" w:hAnsi="宋体"/>
          <w:color w:val="auto"/>
          <w:kern w:val="0"/>
          <w:szCs w:val="21"/>
        </w:rPr>
      </w:pPr>
      <w:r>
        <w:rPr>
          <w:rFonts w:hint="eastAsia" w:ascii="宋体" w:hAnsi="宋体"/>
          <w:color w:val="auto"/>
          <w:kern w:val="0"/>
          <w:szCs w:val="21"/>
        </w:rPr>
        <w:t>数据采集范围包括：工艺数据(状态信息、温度、压力、数量、速度等)， 生产数据(计数器、订单、运行小时数、停机时间、预测)），故障数据(错误消息、警报、注释)，消耗数据(原材料、辅料、作业材料) ，能源和媒体数据(电、水、蒸汽)，关键数据(OEE, MTTR/MTBF，效率，产率，废品率)</w:t>
      </w:r>
    </w:p>
    <w:p>
      <w:pPr>
        <w:numPr>
          <w:ilvl w:val="0"/>
          <w:numId w:val="31"/>
        </w:numPr>
        <w:spacing w:line="360" w:lineRule="auto"/>
        <w:rPr>
          <w:rFonts w:hint="eastAsia" w:ascii="宋体" w:hAnsi="宋体"/>
          <w:color w:val="auto"/>
          <w:kern w:val="0"/>
          <w:szCs w:val="21"/>
        </w:rPr>
      </w:pPr>
      <w:r>
        <w:rPr>
          <w:rFonts w:hint="eastAsia" w:ascii="宋体" w:hAnsi="宋体"/>
          <w:color w:val="auto"/>
          <w:kern w:val="0"/>
          <w:szCs w:val="21"/>
        </w:rPr>
        <w:t>对无菌状态起关键作用的全部参数（温度、压力、浓度、电导率等）全部记录并储存，实现产品质量反向追踪功能；</w:t>
      </w:r>
    </w:p>
    <w:p>
      <w:pPr>
        <w:numPr>
          <w:ilvl w:val="0"/>
          <w:numId w:val="31"/>
        </w:numPr>
        <w:spacing w:line="360" w:lineRule="auto"/>
        <w:rPr>
          <w:rFonts w:hint="eastAsia" w:ascii="宋体" w:hAnsi="宋体"/>
          <w:color w:val="auto"/>
          <w:kern w:val="0"/>
          <w:szCs w:val="21"/>
        </w:rPr>
      </w:pPr>
      <w:r>
        <w:rPr>
          <w:rFonts w:hint="eastAsia" w:ascii="宋体" w:hAnsi="宋体"/>
          <w:color w:val="auto"/>
          <w:kern w:val="0"/>
          <w:szCs w:val="21"/>
        </w:rPr>
        <w:t>按照现场真实的布局绘制产线示意图，每台设备的运行状态通过不同颜色展示，以便产线操作工能够直观地看到每台设备的运行情况，并可回看历史状态。</w:t>
      </w:r>
    </w:p>
    <w:p>
      <w:pPr>
        <w:numPr>
          <w:ilvl w:val="0"/>
          <w:numId w:val="31"/>
        </w:numPr>
        <w:spacing w:line="360" w:lineRule="auto"/>
        <w:rPr>
          <w:rFonts w:hint="eastAsia" w:ascii="宋体" w:hAnsi="宋体"/>
          <w:color w:val="auto"/>
          <w:kern w:val="0"/>
          <w:szCs w:val="21"/>
        </w:rPr>
      </w:pPr>
      <w:r>
        <w:rPr>
          <w:rFonts w:hint="eastAsia" w:ascii="宋体" w:hAnsi="宋体"/>
          <w:color w:val="auto"/>
          <w:kern w:val="0"/>
          <w:szCs w:val="21"/>
        </w:rPr>
        <w:t>操作界面为图像式中文人机界面，可在灌装中控室通过远程监控系统，实时监控整线设备运行状态，与灌装机现场操作界面同步实时显示现场操作界面的设备消毒、生产清洗时的温度、压力、流量、清洗剂浓度等信息。能显示灌装机及辅助设备的工艺流程，在每一操作步骤和设备发生故障时都有中、英文显示说明。</w:t>
      </w:r>
    </w:p>
    <w:p>
      <w:pPr>
        <w:numPr>
          <w:ilvl w:val="0"/>
          <w:numId w:val="31"/>
        </w:numPr>
        <w:spacing w:line="360" w:lineRule="auto"/>
        <w:rPr>
          <w:rFonts w:hint="eastAsia" w:ascii="宋体" w:hAnsi="宋体"/>
          <w:color w:val="auto"/>
          <w:kern w:val="0"/>
          <w:szCs w:val="21"/>
        </w:rPr>
      </w:pPr>
      <w:r>
        <w:rPr>
          <w:rFonts w:hint="eastAsia" w:ascii="宋体" w:hAnsi="宋体"/>
          <w:color w:val="auto"/>
          <w:kern w:val="0"/>
          <w:szCs w:val="21"/>
        </w:rPr>
        <w:t>数据和报表输出功能，根据需要可输出相关数据，包括：生产数据：产线KPI数据呈现，产品类型、产量、效率，不良品剔除统计等总体信息；生产计数：产线各设备的产量统计，不良品计数（检测设备），各类不良细项（检测设备检测项目）统计；运行状态：产线各设备的运行状态统计，可显示故障状态下具体设备报警信息；停机时间分析：可查询机器所有停机开始、结束时间、持续时间，停机分类、原因，引起停机的责任机器等。程序报告：灌装机、封盖机，CIP等设备的程序步骤开始、结束时间，持续时间及具体步骤描述；</w:t>
      </w:r>
    </w:p>
    <w:p>
      <w:pPr>
        <w:numPr>
          <w:ilvl w:val="0"/>
          <w:numId w:val="31"/>
        </w:numPr>
        <w:spacing w:line="360" w:lineRule="auto"/>
        <w:rPr>
          <w:rFonts w:hint="eastAsia" w:ascii="宋体" w:hAnsi="宋体"/>
          <w:color w:val="auto"/>
          <w:kern w:val="0"/>
          <w:szCs w:val="21"/>
        </w:rPr>
      </w:pPr>
      <w:r>
        <w:rPr>
          <w:rFonts w:hint="eastAsia" w:ascii="宋体" w:hAnsi="宋体"/>
          <w:color w:val="auto"/>
          <w:kern w:val="0"/>
          <w:szCs w:val="21"/>
        </w:rPr>
        <w:t>故障清单：各机器的历史报警信息；故障分析：分析各机器的报警信息，统计出各机器发生报警的总持续时长，总次数。列出发生次数最多，持续时间最长的前10位报警信息。消耗数据：对各设备的电消耗、介质（水、压缩空气、蒸汽）消耗统计对比。</w:t>
      </w:r>
    </w:p>
    <w:p>
      <w:pPr>
        <w:numPr>
          <w:ilvl w:val="0"/>
          <w:numId w:val="31"/>
        </w:numPr>
        <w:spacing w:line="360" w:lineRule="auto"/>
        <w:rPr>
          <w:rFonts w:hint="eastAsia" w:ascii="宋体" w:hAnsi="宋体"/>
          <w:color w:val="auto"/>
          <w:kern w:val="0"/>
          <w:szCs w:val="21"/>
        </w:rPr>
      </w:pPr>
      <w:r>
        <w:rPr>
          <w:rFonts w:hint="eastAsia" w:ascii="宋体" w:hAnsi="宋体"/>
          <w:color w:val="auto"/>
          <w:kern w:val="0"/>
          <w:szCs w:val="21"/>
        </w:rPr>
        <w:t>以上报告数据均可导出为Excel、Pdf等多种格式。</w:t>
      </w:r>
    </w:p>
    <w:p>
      <w:pPr>
        <w:pStyle w:val="36"/>
        <w:numPr>
          <w:ilvl w:val="0"/>
          <w:numId w:val="30"/>
        </w:numPr>
        <w:spacing w:line="360" w:lineRule="auto"/>
        <w:rPr>
          <w:rFonts w:hint="eastAsia" w:ascii="宋体" w:hAnsi="宋体"/>
          <w:bCs/>
          <w:color w:val="auto"/>
          <w:szCs w:val="21"/>
        </w:rPr>
      </w:pPr>
      <w:r>
        <w:rPr>
          <w:rFonts w:hint="eastAsia" w:ascii="宋体" w:hAnsi="宋体"/>
          <w:bCs/>
          <w:color w:val="auto"/>
          <w:szCs w:val="21"/>
        </w:rPr>
        <w:t>产线分析系统硬件配置要求</w:t>
      </w:r>
    </w:p>
    <w:p>
      <w:pPr>
        <w:numPr>
          <w:ilvl w:val="0"/>
          <w:numId w:val="32"/>
        </w:numPr>
        <w:spacing w:line="360" w:lineRule="auto"/>
        <w:rPr>
          <w:rFonts w:hint="eastAsia" w:ascii="宋体" w:hAnsi="宋体"/>
          <w:color w:val="auto"/>
          <w:kern w:val="0"/>
          <w:szCs w:val="21"/>
        </w:rPr>
      </w:pPr>
      <w:r>
        <w:rPr>
          <w:rFonts w:hint="eastAsia" w:ascii="宋体" w:hAnsi="宋体"/>
          <w:color w:val="auto"/>
          <w:kern w:val="0"/>
          <w:szCs w:val="21"/>
        </w:rPr>
        <w:t>服务器：对需要监控的数据进行实时监控，应至少8核CPU，16G内存以上，2.4T的硬盘以上，硬盘应使用RAID结构。</w:t>
      </w:r>
    </w:p>
    <w:p>
      <w:pPr>
        <w:numPr>
          <w:ilvl w:val="0"/>
          <w:numId w:val="32"/>
        </w:numPr>
        <w:spacing w:line="360" w:lineRule="auto"/>
        <w:rPr>
          <w:rFonts w:hint="eastAsia" w:ascii="宋体" w:hAnsi="宋体"/>
          <w:color w:val="auto"/>
          <w:kern w:val="0"/>
          <w:szCs w:val="21"/>
        </w:rPr>
      </w:pPr>
      <w:r>
        <w:rPr>
          <w:rFonts w:hint="eastAsia" w:ascii="宋体" w:hAnsi="宋体"/>
          <w:color w:val="auto"/>
          <w:kern w:val="0"/>
          <w:szCs w:val="21"/>
        </w:rPr>
        <w:t>数据存储：须配置数据库以存储生产数据，历史数据至少保留3年以上，具有 备份功能。</w:t>
      </w:r>
    </w:p>
    <w:p>
      <w:pPr>
        <w:numPr>
          <w:ilvl w:val="0"/>
          <w:numId w:val="32"/>
        </w:numPr>
        <w:spacing w:line="360" w:lineRule="auto"/>
        <w:rPr>
          <w:rFonts w:hint="eastAsia" w:ascii="宋体" w:hAnsi="宋体"/>
          <w:color w:val="auto"/>
          <w:kern w:val="0"/>
          <w:szCs w:val="21"/>
        </w:rPr>
      </w:pPr>
      <w:r>
        <w:rPr>
          <w:rFonts w:hint="eastAsia" w:ascii="宋体" w:hAnsi="宋体"/>
          <w:color w:val="auto"/>
          <w:kern w:val="0"/>
          <w:szCs w:val="21"/>
        </w:rPr>
        <w:t>配置桌面客户端，为布置于控制中心的桌面式计算机，显示器等，用于实时监视相应产线生产数据。</w:t>
      </w:r>
    </w:p>
    <w:p>
      <w:pPr>
        <w:numPr>
          <w:ilvl w:val="0"/>
          <w:numId w:val="32"/>
        </w:numPr>
        <w:spacing w:line="360" w:lineRule="auto"/>
        <w:rPr>
          <w:rFonts w:hint="eastAsia" w:ascii="宋体" w:hAnsi="宋体"/>
          <w:color w:val="auto"/>
          <w:kern w:val="0"/>
          <w:szCs w:val="21"/>
        </w:rPr>
      </w:pPr>
      <w:r>
        <w:rPr>
          <w:rFonts w:hint="eastAsia" w:ascii="宋体" w:hAnsi="宋体"/>
          <w:color w:val="auto"/>
          <w:kern w:val="0"/>
          <w:szCs w:val="21"/>
        </w:rPr>
        <w:t>电源：配置UPS应急电源，自带网卡，并接入其信号线至服务器，能与UPS信号连锁，实现服务器硬件保护。</w:t>
      </w:r>
    </w:p>
    <w:p>
      <w:pPr>
        <w:numPr>
          <w:ilvl w:val="0"/>
          <w:numId w:val="32"/>
        </w:numPr>
        <w:spacing w:line="360" w:lineRule="auto"/>
        <w:rPr>
          <w:rFonts w:hint="eastAsia" w:ascii="宋体" w:hAnsi="宋体"/>
          <w:color w:val="auto"/>
          <w:kern w:val="0"/>
          <w:szCs w:val="21"/>
        </w:rPr>
      </w:pPr>
      <w:r>
        <w:rPr>
          <w:rFonts w:hint="eastAsia" w:ascii="宋体" w:hAnsi="宋体"/>
          <w:color w:val="auto"/>
          <w:kern w:val="0"/>
          <w:szCs w:val="21"/>
        </w:rPr>
        <w:t>柜体：防护等级要求应满足现场夏季长期高温（高于35℃）和高湿（大于80%）的运行要求，柜体配置空调。</w:t>
      </w:r>
    </w:p>
    <w:p>
      <w:pPr>
        <w:pStyle w:val="36"/>
        <w:numPr>
          <w:ilvl w:val="0"/>
          <w:numId w:val="28"/>
        </w:numPr>
        <w:spacing w:line="360" w:lineRule="auto"/>
        <w:rPr>
          <w:rFonts w:hint="eastAsia" w:ascii="宋体" w:hAnsi="宋体"/>
          <w:b/>
          <w:color w:val="auto"/>
          <w:szCs w:val="21"/>
        </w:rPr>
      </w:pPr>
      <w:r>
        <w:rPr>
          <w:rFonts w:hint="eastAsia" w:ascii="宋体" w:hAnsi="宋体"/>
          <w:b/>
          <w:color w:val="auto"/>
          <w:szCs w:val="21"/>
        </w:rPr>
        <w:t>吹干机</w:t>
      </w:r>
    </w:p>
    <w:p>
      <w:pPr>
        <w:pStyle w:val="36"/>
        <w:numPr>
          <w:ilvl w:val="0"/>
          <w:numId w:val="33"/>
        </w:numPr>
        <w:spacing w:line="360" w:lineRule="auto"/>
        <w:rPr>
          <w:rFonts w:hint="eastAsia" w:ascii="宋体" w:hAnsi="宋体"/>
          <w:bCs/>
          <w:color w:val="auto"/>
          <w:szCs w:val="21"/>
        </w:rPr>
      </w:pPr>
      <w:r>
        <w:rPr>
          <w:rFonts w:hint="eastAsia" w:ascii="宋体" w:hAnsi="宋体"/>
          <w:bCs/>
          <w:color w:val="auto"/>
          <w:szCs w:val="21"/>
        </w:rPr>
        <w:t>数量：1套， 配置在旋盖机后，十万级洁净功能区外，CO2激光打码机前；</w:t>
      </w:r>
    </w:p>
    <w:p>
      <w:pPr>
        <w:pStyle w:val="36"/>
        <w:numPr>
          <w:ilvl w:val="0"/>
          <w:numId w:val="33"/>
        </w:numPr>
        <w:spacing w:line="360" w:lineRule="auto"/>
        <w:rPr>
          <w:rFonts w:hint="eastAsia" w:ascii="宋体" w:hAnsi="宋体"/>
          <w:bCs/>
          <w:color w:val="auto"/>
          <w:spacing w:val="-2"/>
        </w:rPr>
      </w:pPr>
      <w:r>
        <w:rPr>
          <w:rFonts w:hint="eastAsia" w:ascii="宋体" w:hAnsi="宋体"/>
          <w:bCs/>
          <w:color w:val="auto"/>
          <w:szCs w:val="21"/>
        </w:rPr>
        <w:t>整机采用304不锈钢材质，配置防护门。</w:t>
      </w:r>
    </w:p>
    <w:p>
      <w:pPr>
        <w:pStyle w:val="36"/>
        <w:numPr>
          <w:ilvl w:val="0"/>
          <w:numId w:val="33"/>
        </w:numPr>
        <w:spacing w:line="360" w:lineRule="auto"/>
        <w:rPr>
          <w:rFonts w:hint="eastAsia" w:ascii="宋体" w:hAnsi="宋体"/>
          <w:bCs/>
          <w:color w:val="auto"/>
          <w:spacing w:val="-2"/>
        </w:rPr>
      </w:pPr>
      <w:r>
        <w:rPr>
          <w:rFonts w:hint="eastAsia" w:ascii="宋体" w:hAnsi="宋体"/>
          <w:bCs/>
          <w:color w:val="auto"/>
          <w:szCs w:val="21"/>
        </w:rPr>
        <w:t>确保进入下一工序时产品表面保持干燥；</w:t>
      </w:r>
    </w:p>
    <w:p>
      <w:pPr>
        <w:pStyle w:val="36"/>
        <w:numPr>
          <w:ilvl w:val="0"/>
          <w:numId w:val="33"/>
        </w:numPr>
        <w:spacing w:line="360" w:lineRule="auto"/>
        <w:rPr>
          <w:rFonts w:hint="eastAsia" w:ascii="宋体" w:hAnsi="宋体"/>
          <w:bCs/>
          <w:color w:val="auto"/>
          <w:spacing w:val="-2"/>
        </w:rPr>
      </w:pPr>
      <w:r>
        <w:rPr>
          <w:rFonts w:hint="eastAsia" w:ascii="宋体" w:hAnsi="宋体"/>
          <w:bCs/>
          <w:color w:val="auto"/>
          <w:szCs w:val="21"/>
        </w:rPr>
        <w:t>风机选用静音风机；</w:t>
      </w:r>
    </w:p>
    <w:p>
      <w:pPr>
        <w:pStyle w:val="36"/>
        <w:numPr>
          <w:ilvl w:val="0"/>
          <w:numId w:val="33"/>
        </w:numPr>
        <w:spacing w:line="360" w:lineRule="auto"/>
        <w:rPr>
          <w:rFonts w:hint="eastAsia" w:ascii="宋体" w:hAnsi="宋体"/>
          <w:bCs/>
          <w:color w:val="auto"/>
          <w:spacing w:val="-2"/>
        </w:rPr>
      </w:pPr>
      <w:r>
        <w:rPr>
          <w:rFonts w:hint="eastAsia" w:ascii="宋体" w:hAnsi="宋体"/>
          <w:bCs/>
          <w:color w:val="auto"/>
          <w:spacing w:val="-2"/>
        </w:rPr>
        <w:t>吹配电磁阀自动控制进、出气（来瓶吹气，无瓶延迟30秒关气）。</w:t>
      </w:r>
    </w:p>
    <w:p>
      <w:pPr>
        <w:pStyle w:val="36"/>
        <w:numPr>
          <w:ilvl w:val="0"/>
          <w:numId w:val="28"/>
        </w:numPr>
        <w:spacing w:line="360" w:lineRule="auto"/>
        <w:rPr>
          <w:rFonts w:hint="eastAsia" w:ascii="宋体" w:hAnsi="宋体"/>
          <w:b/>
          <w:color w:val="auto"/>
          <w:szCs w:val="21"/>
        </w:rPr>
      </w:pPr>
      <w:bookmarkStart w:id="44" w:name="OLE_LINK32"/>
      <w:r>
        <w:rPr>
          <w:rFonts w:hint="eastAsia" w:ascii="宋体" w:hAnsi="宋体"/>
          <w:b/>
          <w:color w:val="auto"/>
          <w:szCs w:val="21"/>
        </w:rPr>
        <w:t>CO2激光打码机</w:t>
      </w:r>
    </w:p>
    <w:bookmarkEnd w:id="44"/>
    <w:p>
      <w:pPr>
        <w:pStyle w:val="36"/>
        <w:numPr>
          <w:ilvl w:val="0"/>
          <w:numId w:val="34"/>
        </w:numPr>
        <w:spacing w:line="360" w:lineRule="auto"/>
        <w:rPr>
          <w:rFonts w:hint="eastAsia" w:ascii="宋体" w:hAnsi="宋体"/>
          <w:bCs/>
          <w:color w:val="auto"/>
          <w:szCs w:val="21"/>
        </w:rPr>
      </w:pPr>
      <w:r>
        <w:rPr>
          <w:rFonts w:hint="eastAsia" w:ascii="宋体" w:hAnsi="宋体"/>
          <w:bCs/>
          <w:color w:val="auto"/>
          <w:szCs w:val="21"/>
        </w:rPr>
        <w:t>品牌：采用伟迪杰、多米诺、依码士、大族</w:t>
      </w:r>
      <w:r>
        <w:rPr>
          <w:rFonts w:hint="eastAsia" w:ascii="宋体" w:hAnsi="宋体"/>
          <w:color w:val="auto"/>
          <w:szCs w:val="21"/>
        </w:rPr>
        <w:t>或同等及以上品牌</w:t>
      </w:r>
      <w:r>
        <w:rPr>
          <w:rFonts w:hint="eastAsia" w:ascii="宋体" w:hAnsi="宋体"/>
          <w:bCs/>
          <w:color w:val="auto"/>
          <w:szCs w:val="21"/>
        </w:rPr>
        <w:t>。</w:t>
      </w:r>
    </w:p>
    <w:p>
      <w:pPr>
        <w:pStyle w:val="36"/>
        <w:numPr>
          <w:ilvl w:val="0"/>
          <w:numId w:val="34"/>
        </w:numPr>
        <w:spacing w:line="360" w:lineRule="auto"/>
        <w:rPr>
          <w:rFonts w:hint="eastAsia" w:ascii="宋体" w:hAnsi="宋体"/>
          <w:bCs/>
          <w:color w:val="auto"/>
          <w:szCs w:val="21"/>
        </w:rPr>
      </w:pPr>
      <w:r>
        <w:rPr>
          <w:rFonts w:hint="eastAsia" w:ascii="宋体" w:hAnsi="宋体"/>
          <w:bCs/>
          <w:color w:val="auto"/>
          <w:szCs w:val="21"/>
        </w:rPr>
        <w:t>数量：1套，打码能力满足匹配产线速度要求。</w:t>
      </w:r>
    </w:p>
    <w:p>
      <w:pPr>
        <w:pStyle w:val="36"/>
        <w:numPr>
          <w:ilvl w:val="0"/>
          <w:numId w:val="34"/>
        </w:numPr>
        <w:spacing w:line="360" w:lineRule="auto"/>
        <w:rPr>
          <w:rFonts w:hint="eastAsia" w:ascii="宋体" w:hAnsi="宋体"/>
          <w:bCs/>
          <w:color w:val="auto"/>
          <w:szCs w:val="21"/>
        </w:rPr>
      </w:pPr>
      <w:r>
        <w:rPr>
          <w:rFonts w:hint="eastAsia" w:ascii="宋体" w:hAnsi="宋体"/>
          <w:bCs/>
          <w:color w:val="auto"/>
          <w:szCs w:val="21"/>
        </w:rPr>
        <w:t>采用CO2激光打码方式，将信息水平打码至瓶身。</w:t>
      </w:r>
    </w:p>
    <w:p>
      <w:pPr>
        <w:pStyle w:val="36"/>
        <w:numPr>
          <w:ilvl w:val="0"/>
          <w:numId w:val="34"/>
        </w:numPr>
        <w:spacing w:line="360" w:lineRule="auto"/>
        <w:rPr>
          <w:rFonts w:hint="eastAsia" w:ascii="宋体" w:hAnsi="宋体"/>
          <w:bCs/>
          <w:color w:val="auto"/>
          <w:szCs w:val="21"/>
        </w:rPr>
      </w:pPr>
      <w:r>
        <w:rPr>
          <w:rFonts w:hint="eastAsia" w:ascii="宋体" w:hAnsi="宋体"/>
          <w:bCs/>
          <w:color w:val="auto"/>
          <w:szCs w:val="21"/>
        </w:rPr>
        <w:t>打印标准：支持单双、排打印，打印字符≥</w:t>
      </w:r>
      <w:r>
        <w:rPr>
          <w:rFonts w:ascii="宋体" w:hAnsi="宋体"/>
          <w:bCs/>
          <w:color w:val="auto"/>
          <w:szCs w:val="21"/>
        </w:rPr>
        <w:t>19</w:t>
      </w:r>
      <w:r>
        <w:rPr>
          <w:rFonts w:hint="eastAsia" w:ascii="宋体" w:hAnsi="宋体"/>
          <w:bCs/>
          <w:color w:val="auto"/>
          <w:szCs w:val="21"/>
        </w:rPr>
        <w:t>位，字符间无空格。</w:t>
      </w:r>
    </w:p>
    <w:p>
      <w:pPr>
        <w:pStyle w:val="36"/>
        <w:numPr>
          <w:ilvl w:val="0"/>
          <w:numId w:val="34"/>
        </w:numPr>
        <w:spacing w:line="360" w:lineRule="auto"/>
        <w:rPr>
          <w:rFonts w:hint="eastAsia" w:ascii="宋体" w:hAnsi="宋体"/>
          <w:bCs/>
          <w:color w:val="auto"/>
          <w:szCs w:val="21"/>
        </w:rPr>
      </w:pPr>
      <w:r>
        <w:rPr>
          <w:rFonts w:hint="eastAsia" w:ascii="宋体" w:hAnsi="宋体"/>
          <w:bCs/>
          <w:color w:val="auto"/>
          <w:szCs w:val="21"/>
        </w:rPr>
        <w:t>打印信息：可在控制界面上选择或外部输入打印信息，进行混合编码，要求日期、时间、阿拉伯数字、图形、二维码、中</w:t>
      </w:r>
      <w:r>
        <w:rPr>
          <w:rFonts w:ascii="宋体" w:hAnsi="宋体"/>
          <w:bCs/>
          <w:color w:val="auto"/>
          <w:szCs w:val="21"/>
        </w:rPr>
        <w:t>/</w:t>
      </w:r>
      <w:r>
        <w:rPr>
          <w:rFonts w:hint="eastAsia" w:ascii="宋体" w:hAnsi="宋体"/>
          <w:bCs/>
          <w:color w:val="auto"/>
          <w:szCs w:val="21"/>
        </w:rPr>
        <w:t>日</w:t>
      </w:r>
      <w:r>
        <w:rPr>
          <w:rFonts w:ascii="宋体" w:hAnsi="宋体"/>
          <w:bCs/>
          <w:color w:val="auto"/>
          <w:szCs w:val="21"/>
        </w:rPr>
        <w:t>/</w:t>
      </w:r>
      <w:r>
        <w:rPr>
          <w:rFonts w:hint="eastAsia" w:ascii="宋体" w:hAnsi="宋体"/>
          <w:bCs/>
          <w:color w:val="auto"/>
          <w:szCs w:val="21"/>
        </w:rPr>
        <w:t>英文、号码链等相关信息及格式全部具有。文件格式支持</w:t>
      </w:r>
      <w:r>
        <w:rPr>
          <w:rFonts w:ascii="宋体" w:hAnsi="宋体"/>
          <w:bCs/>
          <w:color w:val="auto"/>
          <w:szCs w:val="21"/>
        </w:rPr>
        <w:t>BMP</w:t>
      </w:r>
      <w:r>
        <w:rPr>
          <w:rFonts w:hint="eastAsia" w:ascii="宋体" w:hAnsi="宋体"/>
          <w:bCs/>
          <w:color w:val="auto"/>
          <w:szCs w:val="21"/>
        </w:rPr>
        <w:t>、</w:t>
      </w:r>
      <w:r>
        <w:rPr>
          <w:rFonts w:ascii="宋体" w:hAnsi="宋体"/>
          <w:bCs/>
          <w:color w:val="auto"/>
          <w:szCs w:val="21"/>
        </w:rPr>
        <w:t>DXF</w:t>
      </w:r>
      <w:r>
        <w:rPr>
          <w:rFonts w:hint="eastAsia" w:ascii="宋体" w:hAnsi="宋体"/>
          <w:bCs/>
          <w:color w:val="auto"/>
          <w:szCs w:val="21"/>
        </w:rPr>
        <w:t>、</w:t>
      </w:r>
      <w:r>
        <w:rPr>
          <w:rFonts w:ascii="宋体" w:hAnsi="宋体"/>
          <w:bCs/>
          <w:color w:val="auto"/>
          <w:szCs w:val="21"/>
        </w:rPr>
        <w:t>HPGL</w:t>
      </w:r>
      <w:r>
        <w:rPr>
          <w:rFonts w:hint="eastAsia" w:ascii="宋体" w:hAnsi="宋体"/>
          <w:bCs/>
          <w:color w:val="auto"/>
          <w:szCs w:val="21"/>
        </w:rPr>
        <w:t>、</w:t>
      </w:r>
      <w:r>
        <w:rPr>
          <w:rFonts w:ascii="宋体" w:hAnsi="宋体"/>
          <w:bCs/>
          <w:color w:val="auto"/>
          <w:szCs w:val="21"/>
        </w:rPr>
        <w:t>JPEG</w:t>
      </w:r>
      <w:r>
        <w:rPr>
          <w:rFonts w:hint="eastAsia" w:ascii="宋体" w:hAnsi="宋体"/>
          <w:bCs/>
          <w:color w:val="auto"/>
          <w:szCs w:val="21"/>
        </w:rPr>
        <w:t>、</w:t>
      </w:r>
      <w:r>
        <w:rPr>
          <w:rFonts w:ascii="宋体" w:hAnsi="宋体"/>
          <w:bCs/>
          <w:color w:val="auto"/>
          <w:szCs w:val="21"/>
        </w:rPr>
        <w:t>PLT</w:t>
      </w:r>
      <w:r>
        <w:rPr>
          <w:rFonts w:hint="eastAsia" w:ascii="宋体" w:hAnsi="宋体"/>
          <w:bCs/>
          <w:color w:val="auto"/>
          <w:szCs w:val="21"/>
        </w:rPr>
        <w:t>等。</w:t>
      </w:r>
    </w:p>
    <w:p>
      <w:pPr>
        <w:pStyle w:val="36"/>
        <w:numPr>
          <w:ilvl w:val="0"/>
          <w:numId w:val="34"/>
        </w:numPr>
        <w:spacing w:line="360" w:lineRule="auto"/>
        <w:rPr>
          <w:rFonts w:hint="eastAsia" w:ascii="宋体" w:hAnsi="宋体"/>
          <w:bCs/>
          <w:color w:val="auto"/>
          <w:szCs w:val="21"/>
        </w:rPr>
      </w:pPr>
      <w:r>
        <w:rPr>
          <w:rFonts w:hint="eastAsia" w:ascii="宋体" w:hAnsi="宋体"/>
          <w:bCs/>
          <w:color w:val="auto"/>
          <w:szCs w:val="21"/>
        </w:rPr>
        <w:t>打印质量：清晰度符合招标方质量要求，不容许出现打穿产品的情况。</w:t>
      </w:r>
    </w:p>
    <w:p>
      <w:pPr>
        <w:pStyle w:val="36"/>
        <w:numPr>
          <w:ilvl w:val="0"/>
          <w:numId w:val="34"/>
        </w:numPr>
        <w:spacing w:line="360" w:lineRule="auto"/>
        <w:rPr>
          <w:rFonts w:hint="eastAsia" w:ascii="宋体" w:hAnsi="宋体"/>
          <w:bCs/>
          <w:color w:val="auto"/>
          <w:szCs w:val="21"/>
        </w:rPr>
      </w:pPr>
      <w:r>
        <w:rPr>
          <w:rFonts w:hint="eastAsia" w:ascii="宋体" w:hAnsi="宋体"/>
          <w:bCs/>
          <w:color w:val="auto"/>
          <w:szCs w:val="21"/>
        </w:rPr>
        <w:t>CO2</w:t>
      </w:r>
      <w:r>
        <w:rPr>
          <w:rFonts w:ascii="宋体" w:hAnsi="宋体"/>
          <w:bCs/>
          <w:color w:val="auto"/>
          <w:szCs w:val="21"/>
        </w:rPr>
        <w:t>激光功率</w:t>
      </w:r>
      <w:r>
        <w:rPr>
          <w:rFonts w:hint="eastAsia" w:ascii="宋体" w:hAnsi="宋体"/>
          <w:bCs/>
          <w:color w:val="auto"/>
          <w:szCs w:val="21"/>
        </w:rPr>
        <w:t>：≥30W（可调）。</w:t>
      </w:r>
    </w:p>
    <w:p>
      <w:pPr>
        <w:pStyle w:val="36"/>
        <w:numPr>
          <w:ilvl w:val="0"/>
          <w:numId w:val="34"/>
        </w:numPr>
        <w:spacing w:line="360" w:lineRule="auto"/>
        <w:rPr>
          <w:rFonts w:hint="eastAsia" w:ascii="宋体" w:hAnsi="宋体"/>
          <w:bCs/>
          <w:color w:val="auto"/>
          <w:szCs w:val="21"/>
        </w:rPr>
      </w:pPr>
      <w:r>
        <w:rPr>
          <w:rFonts w:hint="eastAsia" w:ascii="宋体" w:hAnsi="宋体"/>
          <w:bCs/>
          <w:color w:val="auto"/>
          <w:szCs w:val="21"/>
        </w:rPr>
        <w:t>振镜：采用进口振镜德国SCANLAB、美国CTI技术振镜或同等及以上性能高速振镜，具有IP65防护级别，具有自动清洁功能，可阻断外部灰尘污染。</w:t>
      </w:r>
    </w:p>
    <w:p>
      <w:pPr>
        <w:pStyle w:val="36"/>
        <w:numPr>
          <w:ilvl w:val="0"/>
          <w:numId w:val="34"/>
        </w:numPr>
        <w:spacing w:line="360" w:lineRule="auto"/>
        <w:rPr>
          <w:rFonts w:hint="eastAsia" w:ascii="宋体" w:hAnsi="宋体"/>
          <w:bCs/>
          <w:color w:val="auto"/>
          <w:szCs w:val="21"/>
        </w:rPr>
      </w:pPr>
      <w:r>
        <w:rPr>
          <w:rFonts w:hint="eastAsia" w:ascii="宋体" w:hAnsi="宋体"/>
          <w:bCs/>
          <w:color w:val="auto"/>
          <w:szCs w:val="21"/>
        </w:rPr>
        <w:t>具备文字、数字、图形、参数设置、密码分级保护；高度集成化主板，外置操作终端；激光机打印信息在操作屏实时体现及刷新；可接收外部打印数据。</w:t>
      </w:r>
    </w:p>
    <w:p>
      <w:pPr>
        <w:pStyle w:val="36"/>
        <w:numPr>
          <w:ilvl w:val="0"/>
          <w:numId w:val="34"/>
        </w:numPr>
        <w:spacing w:line="360" w:lineRule="auto"/>
        <w:rPr>
          <w:rFonts w:hint="eastAsia" w:ascii="宋体" w:hAnsi="宋体"/>
          <w:bCs/>
          <w:color w:val="auto"/>
          <w:szCs w:val="21"/>
        </w:rPr>
      </w:pPr>
      <w:r>
        <w:rPr>
          <w:rFonts w:hint="eastAsia" w:ascii="宋体" w:hAnsi="宋体"/>
          <w:bCs/>
          <w:color w:val="auto"/>
          <w:szCs w:val="21"/>
        </w:rPr>
        <w:t>可反馈打印信息、运行数据、故障停机类型等。</w:t>
      </w:r>
    </w:p>
    <w:p>
      <w:pPr>
        <w:pStyle w:val="36"/>
        <w:numPr>
          <w:ilvl w:val="0"/>
          <w:numId w:val="34"/>
        </w:numPr>
        <w:spacing w:line="360" w:lineRule="auto"/>
        <w:rPr>
          <w:rFonts w:hint="eastAsia" w:ascii="宋体" w:hAnsi="宋体"/>
          <w:bCs/>
          <w:color w:val="auto"/>
          <w:szCs w:val="21"/>
        </w:rPr>
      </w:pPr>
      <w:r>
        <w:rPr>
          <w:rFonts w:hint="eastAsia" w:ascii="宋体" w:hAnsi="宋体"/>
          <w:bCs/>
          <w:color w:val="auto"/>
          <w:szCs w:val="21"/>
        </w:rPr>
        <w:t>系统实现多级权限管理，产线操作时具有启停和参数设定调整等基本功能，日期修改需具备单独管理功能，权限高于其他管理权限。可设置四级权限，更换信息时，增加可选人工确认功能。</w:t>
      </w:r>
    </w:p>
    <w:p>
      <w:pPr>
        <w:pStyle w:val="36"/>
        <w:numPr>
          <w:ilvl w:val="0"/>
          <w:numId w:val="34"/>
        </w:numPr>
        <w:spacing w:line="360" w:lineRule="auto"/>
        <w:rPr>
          <w:rFonts w:hint="eastAsia" w:ascii="宋体" w:hAnsi="宋体"/>
          <w:bCs/>
          <w:color w:val="auto"/>
          <w:szCs w:val="21"/>
        </w:rPr>
      </w:pPr>
      <w:r>
        <w:rPr>
          <w:rFonts w:hint="eastAsia" w:ascii="宋体" w:hAnsi="宋体"/>
          <w:bCs/>
          <w:color w:val="auto"/>
          <w:szCs w:val="21"/>
        </w:rPr>
        <w:t>系统具备CO2激光打码机打印信息参数、设备运行状态信息、能够由CO2激光打码机自身系统导出；可扩展对接外部数据采集与分析功能，报表输出功能。包含</w:t>
      </w:r>
      <w:r>
        <w:rPr>
          <w:rFonts w:ascii="宋体" w:hAnsi="宋体"/>
          <w:bCs/>
          <w:color w:val="auto"/>
          <w:szCs w:val="21"/>
        </w:rPr>
        <w:t>USB 2.0</w:t>
      </w:r>
      <w:r>
        <w:rPr>
          <w:rFonts w:hint="eastAsia" w:ascii="宋体" w:hAnsi="宋体"/>
          <w:bCs/>
          <w:color w:val="auto"/>
          <w:szCs w:val="21"/>
        </w:rPr>
        <w:t>、以太网接口、串口等外部接口配置。</w:t>
      </w:r>
    </w:p>
    <w:p>
      <w:pPr>
        <w:pStyle w:val="36"/>
        <w:numPr>
          <w:ilvl w:val="0"/>
          <w:numId w:val="34"/>
        </w:numPr>
        <w:spacing w:line="360" w:lineRule="auto"/>
        <w:rPr>
          <w:rFonts w:hint="eastAsia" w:ascii="宋体" w:hAnsi="宋体"/>
          <w:bCs/>
          <w:color w:val="auto"/>
          <w:szCs w:val="21"/>
        </w:rPr>
      </w:pPr>
      <w:r>
        <w:rPr>
          <w:rFonts w:hint="eastAsia" w:ascii="宋体" w:hAnsi="宋体"/>
          <w:bCs/>
          <w:color w:val="auto"/>
          <w:szCs w:val="21"/>
        </w:rPr>
        <w:t>数据交互：CO2激光打码机预留与系统平台联通功能，可与系统集成商完成上下游对接，信息交互。</w:t>
      </w:r>
    </w:p>
    <w:p>
      <w:pPr>
        <w:pStyle w:val="36"/>
        <w:numPr>
          <w:ilvl w:val="0"/>
          <w:numId w:val="34"/>
        </w:numPr>
        <w:spacing w:line="360" w:lineRule="auto"/>
        <w:rPr>
          <w:rFonts w:hint="eastAsia" w:ascii="宋体" w:hAnsi="宋体"/>
          <w:bCs/>
          <w:color w:val="auto"/>
          <w:szCs w:val="21"/>
        </w:rPr>
      </w:pPr>
      <w:r>
        <w:rPr>
          <w:rFonts w:hint="eastAsia" w:ascii="宋体" w:hAnsi="宋体"/>
          <w:bCs/>
          <w:color w:val="auto"/>
          <w:szCs w:val="21"/>
        </w:rPr>
        <w:t>CO2激光喷码机具有自动监测功能：实现机器及配件状态自检报警功能</w:t>
      </w:r>
      <w:r>
        <w:rPr>
          <w:rFonts w:ascii="宋体" w:hAnsi="宋体"/>
          <w:bCs/>
          <w:color w:val="auto"/>
          <w:szCs w:val="21"/>
        </w:rPr>
        <w:t>,</w:t>
      </w:r>
      <w:r>
        <w:rPr>
          <w:rFonts w:hint="eastAsia" w:ascii="宋体" w:hAnsi="宋体"/>
          <w:bCs/>
          <w:color w:val="auto"/>
          <w:szCs w:val="21"/>
        </w:rPr>
        <w:t>激光器的温度监测报警</w:t>
      </w:r>
      <w:r>
        <w:rPr>
          <w:rFonts w:ascii="宋体" w:hAnsi="宋体"/>
          <w:bCs/>
          <w:color w:val="auto"/>
          <w:szCs w:val="21"/>
        </w:rPr>
        <w:t>/</w:t>
      </w:r>
      <w:r>
        <w:rPr>
          <w:rFonts w:hint="eastAsia" w:ascii="宋体" w:hAnsi="宋体"/>
          <w:bCs/>
          <w:color w:val="auto"/>
          <w:szCs w:val="21"/>
        </w:rPr>
        <w:t>电源电压监测报警</w:t>
      </w:r>
      <w:r>
        <w:rPr>
          <w:rFonts w:ascii="宋体" w:hAnsi="宋体"/>
          <w:bCs/>
          <w:color w:val="auto"/>
          <w:szCs w:val="21"/>
        </w:rPr>
        <w:t>/</w:t>
      </w:r>
      <w:r>
        <w:rPr>
          <w:rFonts w:hint="eastAsia" w:ascii="宋体" w:hAnsi="宋体"/>
          <w:bCs/>
          <w:color w:val="auto"/>
          <w:szCs w:val="21"/>
        </w:rPr>
        <w:t>打码信号异常报警</w:t>
      </w:r>
      <w:r>
        <w:rPr>
          <w:rFonts w:ascii="宋体" w:hAnsi="宋体"/>
          <w:bCs/>
          <w:color w:val="auto"/>
          <w:szCs w:val="21"/>
        </w:rPr>
        <w:t>/</w:t>
      </w:r>
      <w:r>
        <w:rPr>
          <w:rFonts w:hint="eastAsia" w:ascii="宋体" w:hAnsi="宋体"/>
          <w:bCs/>
          <w:color w:val="auto"/>
          <w:szCs w:val="21"/>
        </w:rPr>
        <w:t>跟踪产线速度的编码器故障监测报警等，及时报警，可与生产线联动。</w:t>
      </w:r>
    </w:p>
    <w:p>
      <w:pPr>
        <w:pStyle w:val="36"/>
        <w:numPr>
          <w:ilvl w:val="0"/>
          <w:numId w:val="34"/>
        </w:numPr>
        <w:spacing w:line="360" w:lineRule="auto"/>
        <w:rPr>
          <w:rFonts w:hint="eastAsia" w:ascii="宋体" w:hAnsi="宋体"/>
          <w:bCs/>
          <w:color w:val="auto"/>
          <w:szCs w:val="21"/>
        </w:rPr>
      </w:pPr>
      <w:r>
        <w:rPr>
          <w:rFonts w:hint="eastAsia" w:ascii="宋体" w:hAnsi="宋体"/>
          <w:bCs/>
          <w:color w:val="auto"/>
          <w:szCs w:val="21"/>
        </w:rPr>
        <w:t>激光机主体配套上下前后调节支架，瓶型切换可快速调整，保障设备运行稳定性；设备连接线路具备安全防护，布线整齐美观，无清洁死角。机柜要求：配置不锈钢机柜。</w:t>
      </w:r>
    </w:p>
    <w:p>
      <w:pPr>
        <w:pStyle w:val="36"/>
        <w:numPr>
          <w:ilvl w:val="0"/>
          <w:numId w:val="34"/>
        </w:numPr>
        <w:spacing w:line="360" w:lineRule="auto"/>
        <w:rPr>
          <w:rFonts w:hint="eastAsia" w:ascii="宋体" w:hAnsi="宋体"/>
          <w:bCs/>
          <w:color w:val="auto"/>
          <w:szCs w:val="21"/>
        </w:rPr>
      </w:pPr>
      <w:r>
        <w:rPr>
          <w:rFonts w:hint="eastAsia" w:ascii="宋体" w:hAnsi="宋体"/>
          <w:bCs/>
          <w:color w:val="auto"/>
          <w:szCs w:val="21"/>
        </w:rPr>
        <w:t>打印头配置防护罩</w:t>
      </w:r>
      <w:r>
        <w:rPr>
          <w:rFonts w:ascii="宋体" w:hAnsi="宋体"/>
          <w:bCs/>
          <w:color w:val="auto"/>
          <w:szCs w:val="21"/>
        </w:rPr>
        <w:t>,</w:t>
      </w:r>
      <w:r>
        <w:rPr>
          <w:rFonts w:hint="eastAsia" w:ascii="宋体" w:hAnsi="宋体"/>
          <w:bCs/>
          <w:color w:val="auto"/>
          <w:szCs w:val="21"/>
        </w:rPr>
        <w:t>并要求防护罩与激光发生器互锁，防护罩打开</w:t>
      </w:r>
      <w:r>
        <w:rPr>
          <w:rFonts w:ascii="宋体" w:hAnsi="宋体"/>
          <w:bCs/>
          <w:color w:val="auto"/>
          <w:szCs w:val="21"/>
        </w:rPr>
        <w:t>,</w:t>
      </w:r>
      <w:r>
        <w:rPr>
          <w:rFonts w:hint="eastAsia" w:ascii="宋体" w:hAnsi="宋体"/>
          <w:bCs/>
          <w:color w:val="auto"/>
          <w:szCs w:val="21"/>
        </w:rPr>
        <w:t>激光发射停止</w:t>
      </w:r>
      <w:r>
        <w:rPr>
          <w:rFonts w:ascii="宋体" w:hAnsi="宋体"/>
          <w:bCs/>
          <w:color w:val="auto"/>
          <w:szCs w:val="21"/>
        </w:rPr>
        <w:t>,</w:t>
      </w:r>
      <w:r>
        <w:rPr>
          <w:rFonts w:hint="eastAsia" w:ascii="宋体" w:hAnsi="宋体"/>
          <w:bCs/>
          <w:color w:val="auto"/>
          <w:szCs w:val="21"/>
        </w:rPr>
        <w:t>防护罩关闭</w:t>
      </w:r>
      <w:r>
        <w:rPr>
          <w:rFonts w:ascii="宋体" w:hAnsi="宋体"/>
          <w:bCs/>
          <w:color w:val="auto"/>
          <w:szCs w:val="21"/>
        </w:rPr>
        <w:t>,</w:t>
      </w:r>
      <w:r>
        <w:rPr>
          <w:rFonts w:hint="eastAsia" w:ascii="宋体" w:hAnsi="宋体"/>
          <w:bCs/>
          <w:color w:val="auto"/>
          <w:szCs w:val="21"/>
        </w:rPr>
        <w:t>激光可正常发射。</w:t>
      </w:r>
    </w:p>
    <w:p>
      <w:pPr>
        <w:pStyle w:val="36"/>
        <w:numPr>
          <w:ilvl w:val="0"/>
          <w:numId w:val="34"/>
        </w:numPr>
        <w:spacing w:line="360" w:lineRule="auto"/>
        <w:rPr>
          <w:rFonts w:hint="eastAsia" w:ascii="宋体" w:hAnsi="宋体"/>
          <w:bCs/>
          <w:color w:val="auto"/>
          <w:szCs w:val="21"/>
        </w:rPr>
      </w:pPr>
      <w:r>
        <w:rPr>
          <w:rFonts w:hint="eastAsia" w:ascii="宋体" w:hAnsi="宋体"/>
          <w:bCs/>
          <w:color w:val="auto"/>
          <w:szCs w:val="21"/>
        </w:rPr>
        <w:t>配置烟雾过滤处理系统。采用IP56及以上防护等级设计，由预过滤器和主过滤器组成，主过滤器采用HEPA高效过滤滤芯和化学滤芯，可适应潮湿等恶劣的工作环境。烟雾过滤系统采取从下至上的过滤方向，可实时监测烟雾排放的质量，当过滤系统堵塞异常时，自动调整电机转速保证烟雾吸收量，处理后的烟雾排放符合国家标准。烟雾过滤系统具备对过滤系统工作状况、烟雾吸附效果的实时监测、反馈和报警功能，并与激光喷码机联动。</w:t>
      </w:r>
    </w:p>
    <w:p>
      <w:pPr>
        <w:pStyle w:val="36"/>
        <w:numPr>
          <w:ilvl w:val="0"/>
          <w:numId w:val="34"/>
        </w:numPr>
        <w:spacing w:line="360" w:lineRule="auto"/>
        <w:rPr>
          <w:rFonts w:hint="eastAsia" w:ascii="宋体" w:hAnsi="宋体"/>
          <w:bCs/>
          <w:color w:val="auto"/>
          <w:szCs w:val="21"/>
        </w:rPr>
      </w:pPr>
      <w:r>
        <w:rPr>
          <w:rFonts w:hint="eastAsia" w:ascii="宋体" w:hAnsi="宋体"/>
          <w:bCs/>
          <w:color w:val="auto"/>
          <w:szCs w:val="21"/>
        </w:rPr>
        <w:t>防护等级：激光光路和打印头</w:t>
      </w:r>
      <w:r>
        <w:rPr>
          <w:rFonts w:ascii="宋体" w:hAnsi="宋体"/>
          <w:bCs/>
          <w:color w:val="auto"/>
          <w:szCs w:val="21"/>
        </w:rPr>
        <w:t>IP54</w:t>
      </w:r>
      <w:r>
        <w:rPr>
          <w:rFonts w:hint="eastAsia" w:ascii="宋体" w:hAnsi="宋体"/>
          <w:bCs/>
          <w:color w:val="auto"/>
          <w:szCs w:val="21"/>
        </w:rPr>
        <w:t>以上。</w:t>
      </w:r>
    </w:p>
    <w:p>
      <w:pPr>
        <w:pStyle w:val="36"/>
        <w:numPr>
          <w:ilvl w:val="0"/>
          <w:numId w:val="28"/>
        </w:numPr>
        <w:spacing w:line="360" w:lineRule="auto"/>
        <w:rPr>
          <w:rFonts w:hint="eastAsia" w:ascii="宋体" w:hAnsi="宋体"/>
          <w:b/>
          <w:bCs/>
          <w:color w:val="auto"/>
          <w:spacing w:val="-2"/>
          <w:szCs w:val="21"/>
        </w:rPr>
      </w:pPr>
      <w:r>
        <w:rPr>
          <w:rFonts w:hint="eastAsia" w:ascii="宋体" w:hAnsi="宋体"/>
          <w:b/>
          <w:bCs/>
          <w:color w:val="auto"/>
          <w:spacing w:val="-2"/>
          <w:szCs w:val="21"/>
        </w:rPr>
        <w:t>液位封盖检测</w:t>
      </w:r>
      <w:r>
        <w:rPr>
          <w:rFonts w:hint="eastAsia" w:ascii="宋体" w:hAnsi="宋体"/>
          <w:b/>
          <w:color w:val="auto"/>
          <w:szCs w:val="21"/>
        </w:rPr>
        <w:t>机</w:t>
      </w:r>
    </w:p>
    <w:p>
      <w:pPr>
        <w:pStyle w:val="36"/>
        <w:numPr>
          <w:ilvl w:val="0"/>
          <w:numId w:val="35"/>
        </w:numPr>
        <w:spacing w:line="360" w:lineRule="auto"/>
        <w:rPr>
          <w:rFonts w:hint="eastAsia" w:ascii="宋体" w:hAnsi="宋体"/>
          <w:bCs/>
          <w:color w:val="auto"/>
          <w:szCs w:val="21"/>
        </w:rPr>
      </w:pPr>
      <w:r>
        <w:rPr>
          <w:rFonts w:hint="eastAsia" w:ascii="宋体" w:hAnsi="宋体"/>
          <w:bCs/>
          <w:color w:val="auto"/>
          <w:szCs w:val="21"/>
        </w:rPr>
        <w:t>数量：1套，检测能力满足匹配产线速度要求。</w:t>
      </w:r>
    </w:p>
    <w:p>
      <w:pPr>
        <w:pStyle w:val="36"/>
        <w:numPr>
          <w:ilvl w:val="0"/>
          <w:numId w:val="35"/>
        </w:numPr>
        <w:spacing w:line="360" w:lineRule="auto"/>
        <w:rPr>
          <w:rFonts w:hint="eastAsia" w:ascii="宋体" w:hAnsi="宋体"/>
          <w:bCs/>
          <w:color w:val="auto"/>
          <w:szCs w:val="21"/>
        </w:rPr>
      </w:pPr>
      <w:r>
        <w:rPr>
          <w:rFonts w:hint="eastAsia" w:ascii="宋体" w:hAnsi="宋体"/>
          <w:bCs/>
          <w:color w:val="auto"/>
          <w:szCs w:val="21"/>
        </w:rPr>
        <w:t>剔除系统采用击打剔除置并配置1台剔除平台，将不合格的瓶子进行剔除。</w:t>
      </w:r>
    </w:p>
    <w:p>
      <w:pPr>
        <w:pStyle w:val="36"/>
        <w:numPr>
          <w:ilvl w:val="0"/>
          <w:numId w:val="35"/>
        </w:numPr>
        <w:spacing w:line="360" w:lineRule="auto"/>
        <w:rPr>
          <w:rFonts w:hint="eastAsia" w:ascii="宋体" w:hAnsi="宋体"/>
          <w:bCs/>
          <w:color w:val="auto"/>
          <w:szCs w:val="21"/>
        </w:rPr>
      </w:pPr>
      <w:r>
        <w:rPr>
          <w:rFonts w:hint="eastAsia" w:ascii="宋体" w:hAnsi="宋体"/>
          <w:bCs/>
          <w:color w:val="auto"/>
          <w:szCs w:val="21"/>
        </w:rPr>
        <w:t>检测速度能力≥33</w:t>
      </w:r>
      <w:r>
        <w:rPr>
          <w:rFonts w:ascii="宋体" w:hAnsi="宋体"/>
          <w:bCs/>
          <w:color w:val="auto"/>
          <w:szCs w:val="21"/>
        </w:rPr>
        <w:t>000瓶/小时</w:t>
      </w:r>
      <w:r>
        <w:rPr>
          <w:rFonts w:hint="eastAsia" w:ascii="宋体" w:hAnsi="宋体"/>
          <w:bCs/>
          <w:color w:val="auto"/>
          <w:szCs w:val="21"/>
        </w:rPr>
        <w:t>。</w:t>
      </w:r>
    </w:p>
    <w:p>
      <w:pPr>
        <w:pStyle w:val="36"/>
        <w:numPr>
          <w:ilvl w:val="0"/>
          <w:numId w:val="35"/>
        </w:numPr>
        <w:spacing w:line="360" w:lineRule="auto"/>
        <w:rPr>
          <w:rFonts w:hint="eastAsia" w:ascii="宋体" w:hAnsi="宋体"/>
          <w:bCs/>
          <w:color w:val="auto"/>
          <w:szCs w:val="21"/>
        </w:rPr>
      </w:pPr>
      <w:r>
        <w:rPr>
          <w:rFonts w:ascii="宋体" w:hAnsi="宋体"/>
          <w:bCs/>
          <w:color w:val="auto"/>
          <w:szCs w:val="21"/>
        </w:rPr>
        <w:t>CCD</w:t>
      </w:r>
      <w:r>
        <w:rPr>
          <w:rFonts w:hint="eastAsia" w:ascii="宋体" w:hAnsi="宋体"/>
          <w:bCs/>
          <w:color w:val="auto"/>
          <w:szCs w:val="21"/>
        </w:rPr>
        <w:t>相机（镜头、滤镜、光源）光源寿命≥</w:t>
      </w:r>
      <w:r>
        <w:rPr>
          <w:rFonts w:ascii="宋体" w:hAnsi="宋体"/>
          <w:bCs/>
          <w:color w:val="auto"/>
          <w:szCs w:val="21"/>
        </w:rPr>
        <w:t>50000</w:t>
      </w:r>
      <w:r>
        <w:rPr>
          <w:rFonts w:hint="eastAsia" w:ascii="宋体" w:hAnsi="宋体"/>
          <w:bCs/>
          <w:color w:val="auto"/>
          <w:szCs w:val="21"/>
        </w:rPr>
        <w:t>小时。</w:t>
      </w:r>
    </w:p>
    <w:p>
      <w:pPr>
        <w:pStyle w:val="36"/>
        <w:numPr>
          <w:ilvl w:val="0"/>
          <w:numId w:val="35"/>
        </w:numPr>
        <w:spacing w:line="360" w:lineRule="auto"/>
        <w:rPr>
          <w:rFonts w:hint="eastAsia" w:ascii="宋体" w:hAnsi="宋体"/>
          <w:bCs/>
          <w:color w:val="auto"/>
          <w:szCs w:val="21"/>
        </w:rPr>
      </w:pPr>
      <w:r>
        <w:rPr>
          <w:rFonts w:hint="eastAsia" w:ascii="宋体" w:hAnsi="宋体"/>
          <w:bCs/>
          <w:color w:val="auto"/>
          <w:szCs w:val="21"/>
        </w:rPr>
        <w:t>可单个灌装阀及旋盖头编号取样单个灌装阀及压盖头编号取样准确率≥</w:t>
      </w:r>
      <w:r>
        <w:rPr>
          <w:rFonts w:ascii="宋体" w:hAnsi="宋体"/>
          <w:bCs/>
          <w:color w:val="auto"/>
          <w:szCs w:val="21"/>
        </w:rPr>
        <w:t>99.9%</w:t>
      </w:r>
      <w:r>
        <w:rPr>
          <w:rFonts w:hint="eastAsia" w:ascii="宋体" w:hAnsi="宋体"/>
          <w:bCs/>
          <w:color w:val="auto"/>
          <w:szCs w:val="21"/>
        </w:rPr>
        <w:t>。</w:t>
      </w:r>
    </w:p>
    <w:p>
      <w:pPr>
        <w:pStyle w:val="36"/>
        <w:numPr>
          <w:ilvl w:val="0"/>
          <w:numId w:val="35"/>
        </w:numPr>
        <w:spacing w:line="360" w:lineRule="auto"/>
        <w:rPr>
          <w:rFonts w:hint="eastAsia" w:ascii="宋体" w:hAnsi="宋体"/>
          <w:bCs/>
          <w:color w:val="auto"/>
          <w:szCs w:val="21"/>
        </w:rPr>
      </w:pPr>
      <w:r>
        <w:rPr>
          <w:rFonts w:hint="eastAsia" w:ascii="宋体" w:hAnsi="宋体"/>
          <w:bCs/>
          <w:color w:val="auto"/>
          <w:szCs w:val="21"/>
        </w:rPr>
        <w:t>旋盖、液位、喷码等检测模块使用国际一线</w:t>
      </w:r>
      <w:r>
        <w:rPr>
          <w:rFonts w:ascii="宋体" w:hAnsi="宋体"/>
          <w:bCs/>
          <w:color w:val="auto"/>
          <w:szCs w:val="21"/>
        </w:rPr>
        <w:t>CCD</w:t>
      </w:r>
      <w:r>
        <w:rPr>
          <w:rFonts w:hint="eastAsia" w:ascii="宋体" w:hAnsi="宋体"/>
          <w:bCs/>
          <w:color w:val="auto"/>
          <w:szCs w:val="21"/>
        </w:rPr>
        <w:t>相机品牌，对瓶子进行</w:t>
      </w:r>
      <w:r>
        <w:rPr>
          <w:rFonts w:ascii="宋体" w:hAnsi="宋体"/>
          <w:bCs/>
          <w:color w:val="auto"/>
          <w:szCs w:val="21"/>
        </w:rPr>
        <w:t>360</w:t>
      </w:r>
      <w:r>
        <w:rPr>
          <w:rFonts w:hint="eastAsia" w:ascii="宋体" w:hAnsi="宋体"/>
          <w:bCs/>
          <w:color w:val="auto"/>
          <w:szCs w:val="21"/>
        </w:rPr>
        <w:t>度不同的角度进行拍照，减少检测盲区，保证高效获取图像，旋盖、喷码检测相机配置数量≥</w:t>
      </w:r>
      <w:r>
        <w:rPr>
          <w:rFonts w:ascii="宋体" w:hAnsi="宋体"/>
          <w:bCs/>
          <w:color w:val="auto"/>
          <w:szCs w:val="21"/>
        </w:rPr>
        <w:t>4</w:t>
      </w:r>
      <w:r>
        <w:rPr>
          <w:rFonts w:hint="eastAsia" w:ascii="宋体" w:hAnsi="宋体"/>
          <w:bCs/>
          <w:color w:val="auto"/>
          <w:szCs w:val="21"/>
        </w:rPr>
        <w:t>个。采用海富、美国Pressco、德国巴斯勒或同等及以上品牌，如检测设备为自有品牌，则对相机镜头光源等品牌不做限制。</w:t>
      </w:r>
    </w:p>
    <w:p>
      <w:pPr>
        <w:pStyle w:val="36"/>
        <w:numPr>
          <w:ilvl w:val="0"/>
          <w:numId w:val="35"/>
        </w:numPr>
        <w:spacing w:line="360" w:lineRule="auto"/>
        <w:rPr>
          <w:rFonts w:hint="eastAsia" w:ascii="宋体" w:hAnsi="宋体"/>
          <w:bCs/>
          <w:color w:val="auto"/>
          <w:szCs w:val="21"/>
        </w:rPr>
      </w:pPr>
      <w:r>
        <w:rPr>
          <w:rFonts w:hint="eastAsia" w:ascii="宋体" w:hAnsi="宋体"/>
          <w:bCs/>
          <w:color w:val="auto"/>
          <w:szCs w:val="21"/>
        </w:rPr>
        <w:t>剔除系统采用击打</w:t>
      </w:r>
      <w:r>
        <w:rPr>
          <w:rFonts w:ascii="宋体" w:hAnsi="宋体"/>
          <w:bCs/>
          <w:color w:val="auto"/>
          <w:szCs w:val="21"/>
        </w:rPr>
        <w:t>/</w:t>
      </w:r>
      <w:r>
        <w:rPr>
          <w:rFonts w:hint="eastAsia" w:ascii="宋体" w:hAnsi="宋体"/>
          <w:bCs/>
          <w:color w:val="auto"/>
          <w:szCs w:val="21"/>
        </w:rPr>
        <w:t>柔性剔除装置，将不合格的瓶子进行剔除，配备手动或自动升降机构适应生产现有瓶型，可上下、前后可调节，保证不良产品不倒、正常通过旁通输送链暂存，剔除产品在输送带润滑等条件满足设备要求的前提下，</w:t>
      </w:r>
      <w:r>
        <w:rPr>
          <w:rFonts w:ascii="宋体" w:hAnsi="宋体"/>
          <w:bCs/>
          <w:color w:val="auto"/>
          <w:szCs w:val="21"/>
        </w:rPr>
        <w:t xml:space="preserve"> </w:t>
      </w:r>
      <w:r>
        <w:rPr>
          <w:rFonts w:hint="eastAsia" w:ascii="宋体" w:hAnsi="宋体"/>
          <w:bCs/>
          <w:color w:val="auto"/>
          <w:szCs w:val="21"/>
        </w:rPr>
        <w:t>对于正常生产下被剔除的产品都不能有倒瓶（空瓶及变形瓶等特殊情况除外）。</w:t>
      </w:r>
    </w:p>
    <w:p>
      <w:pPr>
        <w:pStyle w:val="36"/>
        <w:numPr>
          <w:ilvl w:val="0"/>
          <w:numId w:val="35"/>
        </w:numPr>
        <w:spacing w:line="360" w:lineRule="auto"/>
        <w:rPr>
          <w:rFonts w:hint="eastAsia" w:ascii="宋体" w:hAnsi="宋体"/>
          <w:bCs/>
          <w:color w:val="auto"/>
          <w:szCs w:val="21"/>
        </w:rPr>
      </w:pPr>
      <w:r>
        <w:rPr>
          <w:rFonts w:hint="eastAsia" w:ascii="宋体" w:hAnsi="宋体"/>
          <w:bCs/>
          <w:color w:val="auto"/>
          <w:szCs w:val="21"/>
        </w:rPr>
        <w:t>采用可升降结构，能够兼容多种瓶型，包括30</w:t>
      </w:r>
      <w:r>
        <w:rPr>
          <w:rFonts w:ascii="宋体" w:hAnsi="宋体"/>
          <w:bCs/>
          <w:color w:val="auto"/>
          <w:szCs w:val="21"/>
        </w:rPr>
        <w:t>0mL</w:t>
      </w:r>
      <w:r>
        <w:rPr>
          <w:rFonts w:hint="eastAsia" w:ascii="宋体" w:hAnsi="宋体"/>
          <w:bCs/>
          <w:color w:val="auto"/>
          <w:szCs w:val="21"/>
        </w:rPr>
        <w:t>至15</w:t>
      </w:r>
      <w:r>
        <w:rPr>
          <w:rFonts w:ascii="宋体" w:hAnsi="宋体"/>
          <w:bCs/>
          <w:color w:val="auto"/>
          <w:szCs w:val="21"/>
        </w:rPr>
        <w:t>00mL</w:t>
      </w:r>
      <w:r>
        <w:rPr>
          <w:rFonts w:hint="eastAsia" w:ascii="宋体" w:hAnsi="宋体"/>
          <w:bCs/>
          <w:color w:val="auto"/>
          <w:szCs w:val="21"/>
        </w:rPr>
        <w:t>等，更换瓶型时无需调整内部结构，设计定位调整结构，并根据所生产瓶型自动切换。</w:t>
      </w:r>
    </w:p>
    <w:p>
      <w:pPr>
        <w:pStyle w:val="36"/>
        <w:numPr>
          <w:ilvl w:val="0"/>
          <w:numId w:val="35"/>
        </w:numPr>
        <w:spacing w:line="360" w:lineRule="auto"/>
        <w:rPr>
          <w:rFonts w:hint="eastAsia" w:ascii="宋体" w:hAnsi="宋体"/>
          <w:bCs/>
          <w:color w:val="auto"/>
          <w:szCs w:val="21"/>
        </w:rPr>
      </w:pPr>
      <w:r>
        <w:rPr>
          <w:rFonts w:hint="eastAsia" w:ascii="宋体" w:hAnsi="宋体"/>
          <w:bCs/>
          <w:color w:val="auto"/>
          <w:szCs w:val="21"/>
        </w:rPr>
        <w:t>灌装管理：系统可方便集成灌装管理的模块，根据检测的结果可以追溯到某一个确定的吹瓶模具、灌装阀及旋盖头的工作状况，并带有灌装阀、旋盖头取样功能、所有被定位的瓶子需要全部剔除取样。</w:t>
      </w:r>
    </w:p>
    <w:p>
      <w:pPr>
        <w:pStyle w:val="36"/>
        <w:numPr>
          <w:ilvl w:val="0"/>
          <w:numId w:val="35"/>
        </w:numPr>
        <w:spacing w:line="360" w:lineRule="auto"/>
        <w:rPr>
          <w:rFonts w:hint="eastAsia" w:ascii="宋体" w:hAnsi="宋体"/>
          <w:bCs/>
          <w:color w:val="auto"/>
          <w:szCs w:val="21"/>
        </w:rPr>
      </w:pPr>
      <w:r>
        <w:rPr>
          <w:rFonts w:hint="eastAsia" w:ascii="宋体" w:hAnsi="宋体"/>
          <w:bCs/>
          <w:color w:val="auto"/>
          <w:szCs w:val="21"/>
        </w:rPr>
        <w:t>倒瓶剔除：产品运行中出现的倒瓶进行定位剔除。</w:t>
      </w:r>
    </w:p>
    <w:p>
      <w:pPr>
        <w:pStyle w:val="36"/>
        <w:numPr>
          <w:ilvl w:val="0"/>
          <w:numId w:val="35"/>
        </w:numPr>
        <w:spacing w:line="360" w:lineRule="auto"/>
        <w:rPr>
          <w:rFonts w:hint="eastAsia" w:ascii="宋体" w:hAnsi="宋体"/>
          <w:bCs/>
          <w:color w:val="auto"/>
          <w:szCs w:val="21"/>
        </w:rPr>
      </w:pPr>
      <w:r>
        <w:rPr>
          <w:rFonts w:hint="eastAsia" w:ascii="宋体" w:hAnsi="宋体"/>
          <w:bCs/>
          <w:color w:val="auto"/>
          <w:szCs w:val="21"/>
        </w:rPr>
        <w:t>增加配置当喷码不良连续超过大于</w:t>
      </w:r>
      <w:r>
        <w:rPr>
          <w:rFonts w:ascii="宋体" w:hAnsi="宋体"/>
          <w:bCs/>
          <w:color w:val="auto"/>
          <w:szCs w:val="21"/>
        </w:rPr>
        <w:t>N</w:t>
      </w:r>
      <w:r>
        <w:rPr>
          <w:rFonts w:hint="eastAsia" w:ascii="宋体" w:hAnsi="宋体"/>
          <w:bCs/>
          <w:color w:val="auto"/>
          <w:szCs w:val="21"/>
        </w:rPr>
        <w:t>瓶时（也可按需设置），检测设备可以给吹灌旋设备发送停止进瓶坯信号，并给出警报，进坯停止由吹灌旋一体机按需设定。</w:t>
      </w:r>
    </w:p>
    <w:p>
      <w:pPr>
        <w:pStyle w:val="36"/>
        <w:numPr>
          <w:ilvl w:val="0"/>
          <w:numId w:val="35"/>
        </w:numPr>
        <w:spacing w:line="360" w:lineRule="auto"/>
        <w:rPr>
          <w:rFonts w:hint="eastAsia" w:ascii="宋体" w:hAnsi="宋体"/>
          <w:bCs/>
          <w:color w:val="auto"/>
          <w:szCs w:val="21"/>
        </w:rPr>
      </w:pPr>
      <w:r>
        <w:rPr>
          <w:rFonts w:hint="eastAsia" w:ascii="宋体" w:hAnsi="宋体"/>
          <w:bCs/>
          <w:color w:val="auto"/>
          <w:szCs w:val="21"/>
        </w:rPr>
        <w:t>检测精度要求：</w:t>
      </w:r>
    </w:p>
    <w:tbl>
      <w:tblPr>
        <w:tblStyle w:val="18"/>
        <w:tblW w:w="878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975"/>
        <w:gridCol w:w="1125"/>
        <w:gridCol w:w="1763"/>
        <w:gridCol w:w="1037"/>
        <w:gridCol w:w="1300"/>
        <w:gridCol w:w="1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pPr>
              <w:jc w:val="center"/>
              <w:rPr>
                <w:rFonts w:hint="eastAsia" w:ascii="宋体" w:hAnsi="宋体"/>
                <w:color w:val="auto"/>
                <w:sz w:val="18"/>
                <w:szCs w:val="18"/>
              </w:rPr>
            </w:pPr>
            <w:r>
              <w:rPr>
                <w:rFonts w:ascii="宋体" w:hAnsi="宋体"/>
                <w:color w:val="auto"/>
                <w:sz w:val="18"/>
                <w:szCs w:val="18"/>
              </w:rPr>
              <w:t>序号</w:t>
            </w:r>
          </w:p>
        </w:tc>
        <w:tc>
          <w:tcPr>
            <w:tcW w:w="975" w:type="dxa"/>
            <w:vAlign w:val="center"/>
          </w:tcPr>
          <w:p>
            <w:pPr>
              <w:rPr>
                <w:rFonts w:hint="eastAsia" w:ascii="宋体" w:hAnsi="宋体"/>
                <w:color w:val="auto"/>
                <w:sz w:val="18"/>
                <w:szCs w:val="18"/>
              </w:rPr>
            </w:pPr>
            <w:r>
              <w:rPr>
                <w:rFonts w:ascii="宋体" w:hAnsi="宋体"/>
                <w:color w:val="auto"/>
                <w:sz w:val="18"/>
                <w:szCs w:val="18"/>
              </w:rPr>
              <w:t>项目</w:t>
            </w:r>
          </w:p>
        </w:tc>
        <w:tc>
          <w:tcPr>
            <w:tcW w:w="1125" w:type="dxa"/>
            <w:vAlign w:val="center"/>
          </w:tcPr>
          <w:p>
            <w:pPr>
              <w:rPr>
                <w:rFonts w:hint="eastAsia" w:ascii="宋体" w:hAnsi="宋体"/>
                <w:color w:val="auto"/>
                <w:sz w:val="18"/>
                <w:szCs w:val="18"/>
              </w:rPr>
            </w:pPr>
            <w:r>
              <w:rPr>
                <w:rFonts w:ascii="宋体" w:hAnsi="宋体"/>
                <w:color w:val="auto"/>
                <w:sz w:val="18"/>
                <w:szCs w:val="18"/>
              </w:rPr>
              <w:t>检测内容</w:t>
            </w:r>
          </w:p>
        </w:tc>
        <w:tc>
          <w:tcPr>
            <w:tcW w:w="1763" w:type="dxa"/>
            <w:vAlign w:val="center"/>
          </w:tcPr>
          <w:p>
            <w:pPr>
              <w:rPr>
                <w:rFonts w:hint="eastAsia" w:ascii="宋体" w:hAnsi="宋体"/>
                <w:color w:val="auto"/>
                <w:sz w:val="18"/>
                <w:szCs w:val="18"/>
              </w:rPr>
            </w:pPr>
            <w:r>
              <w:rPr>
                <w:rFonts w:ascii="宋体" w:hAnsi="宋体"/>
                <w:color w:val="auto"/>
                <w:sz w:val="18"/>
                <w:szCs w:val="18"/>
              </w:rPr>
              <w:t>检测条件</w:t>
            </w:r>
          </w:p>
        </w:tc>
        <w:tc>
          <w:tcPr>
            <w:tcW w:w="1037" w:type="dxa"/>
            <w:vAlign w:val="center"/>
          </w:tcPr>
          <w:p>
            <w:pPr>
              <w:rPr>
                <w:rFonts w:hint="eastAsia" w:ascii="宋体" w:hAnsi="宋体"/>
                <w:color w:val="auto"/>
                <w:sz w:val="18"/>
                <w:szCs w:val="18"/>
              </w:rPr>
            </w:pPr>
            <w:r>
              <w:rPr>
                <w:rFonts w:ascii="宋体" w:hAnsi="宋体"/>
                <w:color w:val="auto"/>
                <w:sz w:val="18"/>
                <w:szCs w:val="18"/>
              </w:rPr>
              <w:t>剔除精度</w:t>
            </w:r>
          </w:p>
        </w:tc>
        <w:tc>
          <w:tcPr>
            <w:tcW w:w="1300" w:type="dxa"/>
            <w:vAlign w:val="center"/>
          </w:tcPr>
          <w:p>
            <w:pPr>
              <w:rPr>
                <w:rFonts w:hint="eastAsia" w:ascii="宋体" w:hAnsi="宋体"/>
                <w:color w:val="auto"/>
                <w:sz w:val="18"/>
                <w:szCs w:val="18"/>
              </w:rPr>
            </w:pPr>
            <w:r>
              <w:rPr>
                <w:rFonts w:ascii="宋体" w:hAnsi="宋体"/>
                <w:color w:val="auto"/>
                <w:sz w:val="18"/>
                <w:szCs w:val="18"/>
              </w:rPr>
              <w:t>误剔率/漏剔率</w:t>
            </w:r>
          </w:p>
        </w:tc>
        <w:tc>
          <w:tcPr>
            <w:tcW w:w="1950" w:type="dxa"/>
            <w:vAlign w:val="center"/>
          </w:tcPr>
          <w:p>
            <w:pPr>
              <w:rPr>
                <w:rFonts w:hint="eastAsia" w:ascii="宋体" w:hAnsi="宋体"/>
                <w:color w:val="auto"/>
                <w:sz w:val="18"/>
                <w:szCs w:val="18"/>
              </w:rPr>
            </w:pPr>
            <w:r>
              <w:rPr>
                <w:rFonts w:ascii="宋体" w:hAnsi="宋体"/>
                <w:color w:val="auto"/>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pPr>
              <w:jc w:val="center"/>
              <w:rPr>
                <w:rFonts w:hint="eastAsia" w:ascii="宋体" w:hAnsi="宋体"/>
                <w:color w:val="auto"/>
                <w:sz w:val="18"/>
                <w:szCs w:val="18"/>
              </w:rPr>
            </w:pPr>
            <w:r>
              <w:rPr>
                <w:rFonts w:ascii="宋体" w:hAnsi="宋体"/>
                <w:color w:val="auto"/>
                <w:sz w:val="18"/>
                <w:szCs w:val="18"/>
              </w:rPr>
              <w:t>1</w:t>
            </w:r>
          </w:p>
        </w:tc>
        <w:tc>
          <w:tcPr>
            <w:tcW w:w="975" w:type="dxa"/>
            <w:vAlign w:val="center"/>
          </w:tcPr>
          <w:p>
            <w:pPr>
              <w:rPr>
                <w:rFonts w:hint="eastAsia" w:ascii="宋体" w:hAnsi="宋体"/>
                <w:color w:val="auto"/>
                <w:sz w:val="18"/>
                <w:szCs w:val="18"/>
              </w:rPr>
            </w:pPr>
            <w:r>
              <w:rPr>
                <w:rFonts w:ascii="宋体" w:hAnsi="宋体"/>
                <w:color w:val="auto"/>
                <w:sz w:val="18"/>
                <w:szCs w:val="18"/>
              </w:rPr>
              <w:t>液位检测</w:t>
            </w:r>
          </w:p>
        </w:tc>
        <w:tc>
          <w:tcPr>
            <w:tcW w:w="1125" w:type="dxa"/>
            <w:vAlign w:val="center"/>
          </w:tcPr>
          <w:p>
            <w:pPr>
              <w:rPr>
                <w:rFonts w:hint="eastAsia" w:ascii="宋体" w:hAnsi="宋体"/>
                <w:color w:val="auto"/>
                <w:sz w:val="18"/>
                <w:szCs w:val="18"/>
              </w:rPr>
            </w:pPr>
            <w:r>
              <w:rPr>
                <w:rFonts w:ascii="宋体" w:hAnsi="宋体"/>
                <w:color w:val="auto"/>
                <w:sz w:val="18"/>
                <w:szCs w:val="18"/>
              </w:rPr>
              <w:t>高低液位</w:t>
            </w:r>
          </w:p>
        </w:tc>
        <w:tc>
          <w:tcPr>
            <w:tcW w:w="1763" w:type="dxa"/>
            <w:vAlign w:val="center"/>
          </w:tcPr>
          <w:p>
            <w:pPr>
              <w:rPr>
                <w:rFonts w:hint="eastAsia" w:ascii="宋体" w:hAnsi="宋体"/>
                <w:color w:val="auto"/>
                <w:sz w:val="18"/>
                <w:szCs w:val="18"/>
              </w:rPr>
            </w:pPr>
            <w:r>
              <w:rPr>
                <w:rFonts w:ascii="宋体" w:hAnsi="宋体"/>
                <w:color w:val="auto"/>
                <w:sz w:val="18"/>
                <w:szCs w:val="18"/>
              </w:rPr>
              <w:t>偏差±2mm</w:t>
            </w:r>
          </w:p>
        </w:tc>
        <w:tc>
          <w:tcPr>
            <w:tcW w:w="1037" w:type="dxa"/>
            <w:vAlign w:val="center"/>
          </w:tcPr>
          <w:p>
            <w:pPr>
              <w:rPr>
                <w:rFonts w:hint="eastAsia" w:ascii="宋体" w:hAnsi="宋体"/>
                <w:color w:val="auto"/>
                <w:sz w:val="18"/>
                <w:szCs w:val="18"/>
              </w:rPr>
            </w:pPr>
            <w:r>
              <w:rPr>
                <w:rFonts w:ascii="宋体" w:hAnsi="宋体"/>
                <w:color w:val="auto"/>
                <w:sz w:val="18"/>
                <w:szCs w:val="18"/>
              </w:rPr>
              <w:t>≥99.9%</w:t>
            </w:r>
          </w:p>
        </w:tc>
        <w:tc>
          <w:tcPr>
            <w:tcW w:w="1300" w:type="dxa"/>
            <w:vMerge w:val="restart"/>
            <w:vAlign w:val="center"/>
          </w:tcPr>
          <w:p>
            <w:pPr>
              <w:rPr>
                <w:rFonts w:hint="eastAsia" w:ascii="宋体" w:hAnsi="宋体"/>
                <w:color w:val="auto"/>
                <w:sz w:val="18"/>
                <w:szCs w:val="18"/>
              </w:rPr>
            </w:pPr>
            <w:r>
              <w:rPr>
                <w:rFonts w:ascii="宋体" w:hAnsi="宋体"/>
                <w:color w:val="auto"/>
                <w:sz w:val="18"/>
                <w:szCs w:val="18"/>
              </w:rPr>
              <w:t>误剔率≤0.0</w:t>
            </w:r>
            <w:r>
              <w:rPr>
                <w:rFonts w:hint="eastAsia" w:ascii="宋体" w:hAnsi="宋体"/>
                <w:color w:val="auto"/>
                <w:sz w:val="18"/>
                <w:szCs w:val="18"/>
              </w:rPr>
              <w:t>1</w:t>
            </w:r>
            <w:r>
              <w:rPr>
                <w:rFonts w:ascii="宋体" w:hAnsi="宋体"/>
                <w:color w:val="auto"/>
                <w:sz w:val="18"/>
                <w:szCs w:val="18"/>
              </w:rPr>
              <w:t>%/漏剔率≤0.01%</w:t>
            </w:r>
          </w:p>
        </w:tc>
        <w:tc>
          <w:tcPr>
            <w:tcW w:w="1950" w:type="dxa"/>
            <w:vMerge w:val="restart"/>
            <w:vAlign w:val="center"/>
          </w:tcPr>
          <w:p>
            <w:pPr>
              <w:rPr>
                <w:rFonts w:hint="eastAsia" w:ascii="宋体" w:hAnsi="宋体"/>
                <w:color w:val="auto"/>
                <w:sz w:val="18"/>
                <w:szCs w:val="18"/>
              </w:rPr>
            </w:pPr>
            <w:r>
              <w:rPr>
                <w:rFonts w:ascii="宋体" w:hAnsi="宋体"/>
                <w:color w:val="auto"/>
                <w:sz w:val="18"/>
                <w:szCs w:val="18"/>
              </w:rPr>
              <w:t>1.要求检测设备与灌装机连线，信号同步、具备同步监测显示、警示不良品的灌注阀或旋盖头编号功能；</w:t>
            </w:r>
          </w:p>
          <w:p>
            <w:pPr>
              <w:rPr>
                <w:rFonts w:hint="eastAsia" w:ascii="宋体" w:hAnsi="宋体"/>
                <w:color w:val="auto"/>
                <w:sz w:val="18"/>
                <w:szCs w:val="18"/>
              </w:rPr>
            </w:pPr>
            <w:r>
              <w:rPr>
                <w:rFonts w:ascii="宋体" w:hAnsi="宋体"/>
                <w:color w:val="auto"/>
                <w:sz w:val="18"/>
                <w:szCs w:val="18"/>
              </w:rPr>
              <w:t>2.喷码规格：喷码上缘不超过盖防滑条上缘、下缘不超过盖防滑条下缘（见标准图样）；</w:t>
            </w:r>
          </w:p>
          <w:p>
            <w:pPr>
              <w:pStyle w:val="11"/>
              <w:jc w:val="both"/>
              <w:rPr>
                <w:rFonts w:hint="eastAsia" w:ascii="宋体" w:hAnsi="宋体" w:cstheme="minorBidi"/>
                <w:color w:val="auto"/>
                <w:sz w:val="18"/>
                <w:szCs w:val="18"/>
              </w:rPr>
            </w:pPr>
            <w:r>
              <w:rPr>
                <w:rFonts w:ascii="宋体" w:hAnsi="宋体" w:cstheme="minorBidi"/>
                <w:color w:val="auto"/>
                <w:sz w:val="18"/>
                <w:szCs w:val="18"/>
              </w:rPr>
              <w:t>3.喷码检测，在规定的长、宽范围内可接受，超出长度或宽度都需要剔除;</w:t>
            </w:r>
          </w:p>
          <w:p>
            <w:pPr>
              <w:pStyle w:val="11"/>
              <w:jc w:val="both"/>
              <w:rPr>
                <w:rFonts w:hint="eastAsia" w:ascii="宋体" w:hAnsi="宋体" w:cstheme="minorBidi"/>
                <w:color w:val="auto"/>
                <w:sz w:val="18"/>
                <w:szCs w:val="18"/>
              </w:rPr>
            </w:pPr>
            <w:r>
              <w:rPr>
                <w:rFonts w:ascii="宋体" w:hAnsi="宋体" w:cstheme="minorBidi"/>
                <w:color w:val="auto"/>
                <w:sz w:val="18"/>
                <w:szCs w:val="18"/>
              </w:rPr>
              <w:t>4.喷码检测，当出现喷码内容部分缺失或模糊能够剔除出;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pPr>
              <w:jc w:val="center"/>
              <w:rPr>
                <w:rFonts w:hint="eastAsia" w:ascii="宋体" w:hAnsi="宋体"/>
                <w:color w:val="auto"/>
                <w:sz w:val="18"/>
                <w:szCs w:val="18"/>
              </w:rPr>
            </w:pPr>
            <w:r>
              <w:rPr>
                <w:rFonts w:ascii="宋体" w:hAnsi="宋体"/>
                <w:color w:val="auto"/>
                <w:sz w:val="18"/>
                <w:szCs w:val="18"/>
              </w:rPr>
              <w:t>2</w:t>
            </w:r>
          </w:p>
        </w:tc>
        <w:tc>
          <w:tcPr>
            <w:tcW w:w="975" w:type="dxa"/>
            <w:vMerge w:val="restart"/>
            <w:vAlign w:val="center"/>
          </w:tcPr>
          <w:p>
            <w:pPr>
              <w:rPr>
                <w:rFonts w:hint="eastAsia" w:ascii="宋体" w:hAnsi="宋体"/>
                <w:color w:val="auto"/>
                <w:sz w:val="18"/>
                <w:szCs w:val="18"/>
              </w:rPr>
            </w:pPr>
            <w:r>
              <w:rPr>
                <w:rFonts w:ascii="宋体" w:hAnsi="宋体"/>
                <w:color w:val="auto"/>
                <w:sz w:val="18"/>
                <w:szCs w:val="18"/>
              </w:rPr>
              <w:t>封盖检测</w:t>
            </w:r>
          </w:p>
        </w:tc>
        <w:tc>
          <w:tcPr>
            <w:tcW w:w="1125" w:type="dxa"/>
            <w:vAlign w:val="center"/>
          </w:tcPr>
          <w:p>
            <w:pPr>
              <w:rPr>
                <w:rFonts w:hint="eastAsia" w:ascii="宋体" w:hAnsi="宋体"/>
                <w:color w:val="auto"/>
                <w:sz w:val="18"/>
                <w:szCs w:val="18"/>
              </w:rPr>
            </w:pPr>
            <w:r>
              <w:rPr>
                <w:rFonts w:ascii="宋体" w:hAnsi="宋体"/>
                <w:color w:val="auto"/>
                <w:sz w:val="18"/>
                <w:szCs w:val="18"/>
              </w:rPr>
              <w:t>无盖</w:t>
            </w:r>
          </w:p>
        </w:tc>
        <w:tc>
          <w:tcPr>
            <w:tcW w:w="1763" w:type="dxa"/>
            <w:vAlign w:val="center"/>
          </w:tcPr>
          <w:p>
            <w:pPr>
              <w:rPr>
                <w:rFonts w:hint="eastAsia" w:ascii="宋体" w:hAnsi="宋体"/>
                <w:color w:val="auto"/>
                <w:sz w:val="18"/>
                <w:szCs w:val="18"/>
              </w:rPr>
            </w:pPr>
            <w:r>
              <w:rPr>
                <w:rFonts w:ascii="宋体" w:hAnsi="宋体"/>
                <w:color w:val="auto"/>
                <w:sz w:val="18"/>
                <w:szCs w:val="18"/>
              </w:rPr>
              <w:t>无盖</w:t>
            </w:r>
          </w:p>
        </w:tc>
        <w:tc>
          <w:tcPr>
            <w:tcW w:w="1037" w:type="dxa"/>
            <w:vAlign w:val="center"/>
          </w:tcPr>
          <w:p>
            <w:pPr>
              <w:rPr>
                <w:rFonts w:hint="eastAsia" w:ascii="宋体" w:hAnsi="宋体"/>
                <w:color w:val="auto"/>
                <w:sz w:val="18"/>
                <w:szCs w:val="18"/>
              </w:rPr>
            </w:pPr>
            <w:r>
              <w:rPr>
                <w:rFonts w:ascii="宋体" w:hAnsi="宋体"/>
                <w:color w:val="auto"/>
                <w:sz w:val="18"/>
                <w:szCs w:val="18"/>
              </w:rPr>
              <w:t>≥99.9%</w:t>
            </w:r>
          </w:p>
        </w:tc>
        <w:tc>
          <w:tcPr>
            <w:tcW w:w="1300" w:type="dxa"/>
            <w:vMerge w:val="continue"/>
            <w:vAlign w:val="center"/>
          </w:tcPr>
          <w:p>
            <w:pPr>
              <w:spacing w:line="360" w:lineRule="auto"/>
              <w:jc w:val="center"/>
              <w:rPr>
                <w:rFonts w:hint="eastAsia" w:ascii="宋体" w:hAnsi="宋体"/>
                <w:color w:val="auto"/>
                <w:szCs w:val="21"/>
              </w:rPr>
            </w:pPr>
          </w:p>
        </w:tc>
        <w:tc>
          <w:tcPr>
            <w:tcW w:w="1950" w:type="dxa"/>
            <w:vMerge w:val="continue"/>
            <w:vAlign w:val="center"/>
          </w:tcPr>
          <w:p>
            <w:pPr>
              <w:spacing w:line="360" w:lineRule="auto"/>
              <w:jc w:val="center"/>
              <w:rPr>
                <w:rFonts w:hint="eastAsia"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pPr>
              <w:jc w:val="center"/>
              <w:rPr>
                <w:rFonts w:hint="eastAsia" w:ascii="宋体" w:hAnsi="宋体"/>
                <w:color w:val="auto"/>
                <w:sz w:val="18"/>
                <w:szCs w:val="18"/>
              </w:rPr>
            </w:pPr>
            <w:r>
              <w:rPr>
                <w:rFonts w:ascii="宋体" w:hAnsi="宋体"/>
                <w:color w:val="auto"/>
                <w:sz w:val="18"/>
                <w:szCs w:val="18"/>
              </w:rPr>
              <w:t>3</w:t>
            </w:r>
          </w:p>
        </w:tc>
        <w:tc>
          <w:tcPr>
            <w:tcW w:w="975" w:type="dxa"/>
            <w:vMerge w:val="continue"/>
            <w:vAlign w:val="center"/>
          </w:tcPr>
          <w:p>
            <w:pPr>
              <w:rPr>
                <w:rFonts w:hint="eastAsia" w:ascii="宋体" w:hAnsi="宋体"/>
                <w:color w:val="auto"/>
                <w:sz w:val="18"/>
                <w:szCs w:val="18"/>
              </w:rPr>
            </w:pPr>
          </w:p>
        </w:tc>
        <w:tc>
          <w:tcPr>
            <w:tcW w:w="1125" w:type="dxa"/>
            <w:vAlign w:val="center"/>
          </w:tcPr>
          <w:p>
            <w:pPr>
              <w:rPr>
                <w:rFonts w:hint="eastAsia" w:ascii="宋体" w:hAnsi="宋体"/>
                <w:color w:val="auto"/>
                <w:sz w:val="18"/>
                <w:szCs w:val="18"/>
              </w:rPr>
            </w:pPr>
            <w:r>
              <w:rPr>
                <w:rFonts w:ascii="宋体" w:hAnsi="宋体"/>
                <w:color w:val="auto"/>
                <w:sz w:val="18"/>
                <w:szCs w:val="18"/>
              </w:rPr>
              <w:t>高盖</w:t>
            </w:r>
          </w:p>
        </w:tc>
        <w:tc>
          <w:tcPr>
            <w:tcW w:w="1763" w:type="dxa"/>
            <w:vAlign w:val="center"/>
          </w:tcPr>
          <w:p>
            <w:pPr>
              <w:rPr>
                <w:rFonts w:hint="eastAsia" w:ascii="宋体" w:hAnsi="宋体"/>
                <w:color w:val="auto"/>
                <w:sz w:val="18"/>
                <w:szCs w:val="18"/>
              </w:rPr>
            </w:pPr>
            <w:r>
              <w:rPr>
                <w:rFonts w:ascii="宋体" w:hAnsi="宋体"/>
                <w:color w:val="auto"/>
                <w:sz w:val="18"/>
                <w:szCs w:val="18"/>
              </w:rPr>
              <w:t>≥1mm</w:t>
            </w:r>
          </w:p>
        </w:tc>
        <w:tc>
          <w:tcPr>
            <w:tcW w:w="1037" w:type="dxa"/>
            <w:vAlign w:val="center"/>
          </w:tcPr>
          <w:p>
            <w:pPr>
              <w:rPr>
                <w:rFonts w:hint="eastAsia" w:ascii="宋体" w:hAnsi="宋体"/>
                <w:color w:val="auto"/>
                <w:sz w:val="18"/>
                <w:szCs w:val="18"/>
              </w:rPr>
            </w:pPr>
            <w:r>
              <w:rPr>
                <w:rFonts w:ascii="宋体" w:hAnsi="宋体"/>
                <w:color w:val="auto"/>
                <w:sz w:val="18"/>
                <w:szCs w:val="18"/>
              </w:rPr>
              <w:t>≥99.5%</w:t>
            </w:r>
          </w:p>
        </w:tc>
        <w:tc>
          <w:tcPr>
            <w:tcW w:w="1300" w:type="dxa"/>
            <w:vMerge w:val="continue"/>
            <w:vAlign w:val="center"/>
          </w:tcPr>
          <w:p>
            <w:pPr>
              <w:spacing w:line="360" w:lineRule="auto"/>
              <w:jc w:val="center"/>
              <w:rPr>
                <w:rFonts w:hint="eastAsia" w:ascii="宋体" w:hAnsi="宋体"/>
                <w:color w:val="auto"/>
                <w:szCs w:val="21"/>
              </w:rPr>
            </w:pPr>
          </w:p>
        </w:tc>
        <w:tc>
          <w:tcPr>
            <w:tcW w:w="1950" w:type="dxa"/>
            <w:vMerge w:val="continue"/>
            <w:vAlign w:val="center"/>
          </w:tcPr>
          <w:p>
            <w:pPr>
              <w:spacing w:line="360" w:lineRule="auto"/>
              <w:jc w:val="center"/>
              <w:rPr>
                <w:rFonts w:hint="eastAsia"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pPr>
              <w:jc w:val="center"/>
              <w:rPr>
                <w:rFonts w:hint="eastAsia" w:ascii="宋体" w:hAnsi="宋体"/>
                <w:color w:val="auto"/>
                <w:sz w:val="18"/>
                <w:szCs w:val="18"/>
              </w:rPr>
            </w:pPr>
            <w:r>
              <w:rPr>
                <w:rFonts w:ascii="宋体" w:hAnsi="宋体"/>
                <w:color w:val="auto"/>
                <w:sz w:val="18"/>
                <w:szCs w:val="18"/>
              </w:rPr>
              <w:t>4</w:t>
            </w:r>
          </w:p>
        </w:tc>
        <w:tc>
          <w:tcPr>
            <w:tcW w:w="975" w:type="dxa"/>
            <w:vMerge w:val="continue"/>
            <w:vAlign w:val="center"/>
          </w:tcPr>
          <w:p>
            <w:pPr>
              <w:rPr>
                <w:rFonts w:hint="eastAsia" w:ascii="宋体" w:hAnsi="宋体"/>
                <w:color w:val="auto"/>
                <w:sz w:val="18"/>
                <w:szCs w:val="18"/>
              </w:rPr>
            </w:pPr>
          </w:p>
        </w:tc>
        <w:tc>
          <w:tcPr>
            <w:tcW w:w="1125" w:type="dxa"/>
            <w:vAlign w:val="center"/>
          </w:tcPr>
          <w:p>
            <w:pPr>
              <w:rPr>
                <w:rFonts w:hint="eastAsia" w:ascii="宋体" w:hAnsi="宋体"/>
                <w:color w:val="auto"/>
                <w:sz w:val="18"/>
                <w:szCs w:val="18"/>
              </w:rPr>
            </w:pPr>
            <w:r>
              <w:rPr>
                <w:rFonts w:ascii="宋体" w:hAnsi="宋体"/>
                <w:color w:val="auto"/>
                <w:sz w:val="18"/>
                <w:szCs w:val="18"/>
              </w:rPr>
              <w:t>歪盖</w:t>
            </w:r>
          </w:p>
        </w:tc>
        <w:tc>
          <w:tcPr>
            <w:tcW w:w="1763" w:type="dxa"/>
            <w:vAlign w:val="center"/>
          </w:tcPr>
          <w:p>
            <w:pPr>
              <w:rPr>
                <w:rFonts w:hint="eastAsia" w:ascii="宋体" w:hAnsi="宋体"/>
                <w:color w:val="auto"/>
                <w:sz w:val="18"/>
                <w:szCs w:val="18"/>
              </w:rPr>
            </w:pPr>
            <w:r>
              <w:rPr>
                <w:rFonts w:ascii="宋体" w:hAnsi="宋体"/>
                <w:color w:val="auto"/>
                <w:sz w:val="18"/>
                <w:szCs w:val="18"/>
              </w:rPr>
              <w:t>≥1mm</w:t>
            </w:r>
          </w:p>
        </w:tc>
        <w:tc>
          <w:tcPr>
            <w:tcW w:w="1037" w:type="dxa"/>
            <w:vAlign w:val="center"/>
          </w:tcPr>
          <w:p>
            <w:pPr>
              <w:rPr>
                <w:rFonts w:hint="eastAsia" w:ascii="宋体" w:hAnsi="宋体"/>
                <w:color w:val="auto"/>
                <w:sz w:val="18"/>
                <w:szCs w:val="18"/>
              </w:rPr>
            </w:pPr>
            <w:r>
              <w:rPr>
                <w:rFonts w:ascii="宋体" w:hAnsi="宋体"/>
                <w:color w:val="auto"/>
                <w:sz w:val="18"/>
                <w:szCs w:val="18"/>
              </w:rPr>
              <w:t>≥99.5%</w:t>
            </w:r>
          </w:p>
        </w:tc>
        <w:tc>
          <w:tcPr>
            <w:tcW w:w="1300" w:type="dxa"/>
            <w:vMerge w:val="continue"/>
            <w:vAlign w:val="center"/>
          </w:tcPr>
          <w:p>
            <w:pPr>
              <w:spacing w:line="360" w:lineRule="auto"/>
              <w:jc w:val="center"/>
              <w:rPr>
                <w:rFonts w:hint="eastAsia" w:ascii="宋体" w:hAnsi="宋体"/>
                <w:color w:val="auto"/>
                <w:szCs w:val="21"/>
              </w:rPr>
            </w:pPr>
          </w:p>
        </w:tc>
        <w:tc>
          <w:tcPr>
            <w:tcW w:w="1950" w:type="dxa"/>
            <w:vMerge w:val="continue"/>
            <w:vAlign w:val="center"/>
          </w:tcPr>
          <w:p>
            <w:pPr>
              <w:spacing w:line="360" w:lineRule="auto"/>
              <w:jc w:val="center"/>
              <w:rPr>
                <w:rFonts w:hint="eastAsia"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pPr>
              <w:jc w:val="center"/>
              <w:rPr>
                <w:rFonts w:hint="eastAsia" w:ascii="宋体" w:hAnsi="宋体"/>
                <w:color w:val="auto"/>
                <w:sz w:val="18"/>
                <w:szCs w:val="18"/>
              </w:rPr>
            </w:pPr>
            <w:r>
              <w:rPr>
                <w:rFonts w:ascii="宋体" w:hAnsi="宋体"/>
                <w:color w:val="auto"/>
                <w:sz w:val="18"/>
                <w:szCs w:val="18"/>
              </w:rPr>
              <w:t>5</w:t>
            </w:r>
          </w:p>
        </w:tc>
        <w:tc>
          <w:tcPr>
            <w:tcW w:w="975" w:type="dxa"/>
            <w:vMerge w:val="continue"/>
            <w:vAlign w:val="center"/>
          </w:tcPr>
          <w:p>
            <w:pPr>
              <w:rPr>
                <w:rFonts w:hint="eastAsia" w:ascii="宋体" w:hAnsi="宋体"/>
                <w:color w:val="auto"/>
                <w:sz w:val="18"/>
                <w:szCs w:val="18"/>
              </w:rPr>
            </w:pPr>
          </w:p>
        </w:tc>
        <w:tc>
          <w:tcPr>
            <w:tcW w:w="1125" w:type="dxa"/>
            <w:vAlign w:val="center"/>
          </w:tcPr>
          <w:p>
            <w:pPr>
              <w:rPr>
                <w:rFonts w:hint="eastAsia" w:ascii="宋体" w:hAnsi="宋体"/>
                <w:color w:val="auto"/>
                <w:sz w:val="18"/>
                <w:szCs w:val="18"/>
              </w:rPr>
            </w:pPr>
            <w:r>
              <w:rPr>
                <w:rFonts w:ascii="宋体" w:hAnsi="宋体"/>
                <w:color w:val="auto"/>
                <w:sz w:val="18"/>
                <w:szCs w:val="18"/>
              </w:rPr>
              <w:t>盖破裂</w:t>
            </w:r>
          </w:p>
        </w:tc>
        <w:tc>
          <w:tcPr>
            <w:tcW w:w="1763" w:type="dxa"/>
            <w:vAlign w:val="center"/>
          </w:tcPr>
          <w:p>
            <w:pPr>
              <w:rPr>
                <w:rFonts w:hint="eastAsia" w:ascii="宋体" w:hAnsi="宋体"/>
                <w:color w:val="auto"/>
                <w:sz w:val="18"/>
                <w:szCs w:val="18"/>
              </w:rPr>
            </w:pPr>
            <w:r>
              <w:rPr>
                <w:rFonts w:ascii="宋体" w:hAnsi="宋体"/>
                <w:color w:val="auto"/>
                <w:sz w:val="18"/>
                <w:szCs w:val="18"/>
              </w:rPr>
              <w:t>破裂宽度间隙≥1mm</w:t>
            </w:r>
          </w:p>
        </w:tc>
        <w:tc>
          <w:tcPr>
            <w:tcW w:w="1037" w:type="dxa"/>
            <w:vAlign w:val="center"/>
          </w:tcPr>
          <w:p>
            <w:pPr>
              <w:rPr>
                <w:rFonts w:hint="eastAsia" w:ascii="宋体" w:hAnsi="宋体"/>
                <w:color w:val="auto"/>
                <w:sz w:val="18"/>
                <w:szCs w:val="18"/>
              </w:rPr>
            </w:pPr>
            <w:r>
              <w:rPr>
                <w:rFonts w:ascii="宋体" w:hAnsi="宋体"/>
                <w:color w:val="auto"/>
                <w:sz w:val="18"/>
                <w:szCs w:val="18"/>
              </w:rPr>
              <w:t>≥99.5%</w:t>
            </w:r>
          </w:p>
        </w:tc>
        <w:tc>
          <w:tcPr>
            <w:tcW w:w="1300" w:type="dxa"/>
            <w:vMerge w:val="continue"/>
            <w:vAlign w:val="center"/>
          </w:tcPr>
          <w:p>
            <w:pPr>
              <w:spacing w:line="360" w:lineRule="auto"/>
              <w:jc w:val="center"/>
              <w:rPr>
                <w:rFonts w:hint="eastAsia" w:ascii="宋体" w:hAnsi="宋体"/>
                <w:color w:val="auto"/>
                <w:szCs w:val="21"/>
              </w:rPr>
            </w:pPr>
          </w:p>
        </w:tc>
        <w:tc>
          <w:tcPr>
            <w:tcW w:w="1950" w:type="dxa"/>
            <w:vMerge w:val="continue"/>
            <w:vAlign w:val="center"/>
          </w:tcPr>
          <w:p>
            <w:pPr>
              <w:spacing w:line="360" w:lineRule="auto"/>
              <w:jc w:val="center"/>
              <w:rPr>
                <w:rFonts w:hint="eastAsia"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pPr>
              <w:jc w:val="center"/>
              <w:rPr>
                <w:rFonts w:hint="eastAsia" w:ascii="宋体" w:hAnsi="宋体"/>
                <w:color w:val="auto"/>
                <w:sz w:val="18"/>
                <w:szCs w:val="18"/>
              </w:rPr>
            </w:pPr>
            <w:r>
              <w:rPr>
                <w:rFonts w:ascii="宋体" w:hAnsi="宋体"/>
                <w:color w:val="auto"/>
                <w:sz w:val="18"/>
                <w:szCs w:val="18"/>
              </w:rPr>
              <w:t>6</w:t>
            </w:r>
          </w:p>
        </w:tc>
        <w:tc>
          <w:tcPr>
            <w:tcW w:w="975" w:type="dxa"/>
            <w:vMerge w:val="continue"/>
            <w:vAlign w:val="center"/>
          </w:tcPr>
          <w:p>
            <w:pPr>
              <w:rPr>
                <w:rFonts w:hint="eastAsia" w:ascii="宋体" w:hAnsi="宋体"/>
                <w:color w:val="auto"/>
                <w:sz w:val="18"/>
                <w:szCs w:val="18"/>
              </w:rPr>
            </w:pPr>
          </w:p>
        </w:tc>
        <w:tc>
          <w:tcPr>
            <w:tcW w:w="1125" w:type="dxa"/>
            <w:vAlign w:val="center"/>
          </w:tcPr>
          <w:p>
            <w:pPr>
              <w:rPr>
                <w:rFonts w:hint="eastAsia" w:ascii="宋体" w:hAnsi="宋体"/>
                <w:color w:val="auto"/>
                <w:sz w:val="18"/>
                <w:szCs w:val="18"/>
              </w:rPr>
            </w:pPr>
            <w:r>
              <w:rPr>
                <w:rFonts w:ascii="宋体" w:hAnsi="宋体"/>
                <w:color w:val="auto"/>
                <w:sz w:val="18"/>
                <w:szCs w:val="18"/>
              </w:rPr>
              <w:t>盖子LOGO</w:t>
            </w:r>
          </w:p>
        </w:tc>
        <w:tc>
          <w:tcPr>
            <w:tcW w:w="1763" w:type="dxa"/>
            <w:vAlign w:val="center"/>
          </w:tcPr>
          <w:p>
            <w:pPr>
              <w:rPr>
                <w:rFonts w:hint="eastAsia" w:ascii="宋体" w:hAnsi="宋体"/>
                <w:color w:val="auto"/>
                <w:sz w:val="18"/>
                <w:szCs w:val="18"/>
              </w:rPr>
            </w:pPr>
            <w:r>
              <w:rPr>
                <w:rFonts w:ascii="宋体" w:hAnsi="宋体"/>
                <w:color w:val="auto"/>
                <w:sz w:val="18"/>
                <w:szCs w:val="18"/>
              </w:rPr>
              <w:t>盖子（logo 不正确）</w:t>
            </w:r>
          </w:p>
        </w:tc>
        <w:tc>
          <w:tcPr>
            <w:tcW w:w="1037" w:type="dxa"/>
            <w:vAlign w:val="center"/>
          </w:tcPr>
          <w:p>
            <w:pPr>
              <w:rPr>
                <w:rFonts w:hint="eastAsia" w:ascii="宋体" w:hAnsi="宋体"/>
                <w:color w:val="auto"/>
                <w:sz w:val="18"/>
                <w:szCs w:val="18"/>
              </w:rPr>
            </w:pPr>
            <w:r>
              <w:rPr>
                <w:rFonts w:ascii="宋体" w:hAnsi="宋体"/>
                <w:color w:val="auto"/>
                <w:sz w:val="18"/>
                <w:szCs w:val="18"/>
              </w:rPr>
              <w:t>≥99.5%</w:t>
            </w:r>
          </w:p>
        </w:tc>
        <w:tc>
          <w:tcPr>
            <w:tcW w:w="1300" w:type="dxa"/>
            <w:vMerge w:val="continue"/>
            <w:vAlign w:val="center"/>
          </w:tcPr>
          <w:p>
            <w:pPr>
              <w:spacing w:line="360" w:lineRule="auto"/>
              <w:jc w:val="center"/>
              <w:rPr>
                <w:rFonts w:hint="eastAsia" w:ascii="宋体" w:hAnsi="宋体"/>
                <w:color w:val="auto"/>
                <w:szCs w:val="21"/>
              </w:rPr>
            </w:pPr>
          </w:p>
        </w:tc>
        <w:tc>
          <w:tcPr>
            <w:tcW w:w="1950" w:type="dxa"/>
            <w:vMerge w:val="continue"/>
            <w:vAlign w:val="center"/>
          </w:tcPr>
          <w:p>
            <w:pPr>
              <w:spacing w:line="360" w:lineRule="auto"/>
              <w:jc w:val="center"/>
              <w:rPr>
                <w:rFonts w:hint="eastAsia"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pPr>
              <w:jc w:val="center"/>
              <w:rPr>
                <w:rFonts w:hint="eastAsia" w:ascii="宋体" w:hAnsi="宋体"/>
                <w:color w:val="auto"/>
                <w:sz w:val="18"/>
                <w:szCs w:val="18"/>
              </w:rPr>
            </w:pPr>
            <w:r>
              <w:rPr>
                <w:rFonts w:ascii="宋体" w:hAnsi="宋体"/>
                <w:color w:val="auto"/>
                <w:sz w:val="18"/>
                <w:szCs w:val="18"/>
              </w:rPr>
              <w:t>7</w:t>
            </w:r>
          </w:p>
        </w:tc>
        <w:tc>
          <w:tcPr>
            <w:tcW w:w="975" w:type="dxa"/>
            <w:vMerge w:val="continue"/>
            <w:vAlign w:val="center"/>
          </w:tcPr>
          <w:p>
            <w:pPr>
              <w:rPr>
                <w:rFonts w:hint="eastAsia" w:ascii="宋体" w:hAnsi="宋体"/>
                <w:color w:val="auto"/>
                <w:sz w:val="18"/>
                <w:szCs w:val="18"/>
              </w:rPr>
            </w:pPr>
          </w:p>
        </w:tc>
        <w:tc>
          <w:tcPr>
            <w:tcW w:w="1125" w:type="dxa"/>
            <w:vAlign w:val="center"/>
          </w:tcPr>
          <w:p>
            <w:pPr>
              <w:rPr>
                <w:rFonts w:hint="eastAsia" w:ascii="宋体" w:hAnsi="宋体"/>
                <w:color w:val="auto"/>
                <w:sz w:val="18"/>
                <w:szCs w:val="18"/>
              </w:rPr>
            </w:pPr>
            <w:r>
              <w:rPr>
                <w:rFonts w:ascii="宋体" w:hAnsi="宋体"/>
                <w:color w:val="auto"/>
                <w:sz w:val="18"/>
                <w:szCs w:val="18"/>
              </w:rPr>
              <w:t>盖颜色错误</w:t>
            </w:r>
          </w:p>
        </w:tc>
        <w:tc>
          <w:tcPr>
            <w:tcW w:w="1763" w:type="dxa"/>
            <w:vAlign w:val="center"/>
          </w:tcPr>
          <w:p>
            <w:pPr>
              <w:rPr>
                <w:rFonts w:hint="eastAsia" w:ascii="宋体" w:hAnsi="宋体"/>
                <w:color w:val="auto"/>
                <w:sz w:val="18"/>
                <w:szCs w:val="18"/>
              </w:rPr>
            </w:pPr>
            <w:r>
              <w:rPr>
                <w:rFonts w:ascii="宋体" w:hAnsi="宋体"/>
                <w:color w:val="auto"/>
                <w:sz w:val="18"/>
                <w:szCs w:val="18"/>
              </w:rPr>
              <w:t>/</w:t>
            </w:r>
          </w:p>
        </w:tc>
        <w:tc>
          <w:tcPr>
            <w:tcW w:w="1037" w:type="dxa"/>
            <w:vAlign w:val="center"/>
          </w:tcPr>
          <w:p>
            <w:pPr>
              <w:rPr>
                <w:rFonts w:hint="eastAsia" w:ascii="宋体" w:hAnsi="宋体"/>
                <w:color w:val="auto"/>
                <w:sz w:val="18"/>
                <w:szCs w:val="18"/>
              </w:rPr>
            </w:pPr>
            <w:r>
              <w:rPr>
                <w:rFonts w:ascii="宋体" w:hAnsi="宋体"/>
                <w:color w:val="auto"/>
                <w:sz w:val="18"/>
                <w:szCs w:val="18"/>
              </w:rPr>
              <w:t>≥99.5%</w:t>
            </w:r>
          </w:p>
        </w:tc>
        <w:tc>
          <w:tcPr>
            <w:tcW w:w="1300" w:type="dxa"/>
            <w:vMerge w:val="continue"/>
            <w:vAlign w:val="center"/>
          </w:tcPr>
          <w:p>
            <w:pPr>
              <w:spacing w:line="360" w:lineRule="auto"/>
              <w:jc w:val="center"/>
              <w:rPr>
                <w:rFonts w:hint="eastAsia" w:ascii="宋体" w:hAnsi="宋体"/>
                <w:color w:val="auto"/>
                <w:szCs w:val="21"/>
              </w:rPr>
            </w:pPr>
          </w:p>
        </w:tc>
        <w:tc>
          <w:tcPr>
            <w:tcW w:w="1950" w:type="dxa"/>
            <w:vMerge w:val="continue"/>
            <w:vAlign w:val="center"/>
          </w:tcPr>
          <w:p>
            <w:pPr>
              <w:spacing w:line="360" w:lineRule="auto"/>
              <w:jc w:val="center"/>
              <w:rPr>
                <w:rFonts w:hint="eastAsia"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pPr>
              <w:jc w:val="center"/>
              <w:rPr>
                <w:rFonts w:hint="eastAsia" w:ascii="宋体" w:hAnsi="宋体"/>
                <w:color w:val="auto"/>
                <w:sz w:val="18"/>
                <w:szCs w:val="18"/>
              </w:rPr>
            </w:pPr>
            <w:r>
              <w:rPr>
                <w:rFonts w:ascii="宋体" w:hAnsi="宋体"/>
                <w:color w:val="auto"/>
                <w:sz w:val="18"/>
                <w:szCs w:val="18"/>
              </w:rPr>
              <w:t>8</w:t>
            </w:r>
          </w:p>
        </w:tc>
        <w:tc>
          <w:tcPr>
            <w:tcW w:w="975" w:type="dxa"/>
            <w:vMerge w:val="restart"/>
            <w:vAlign w:val="center"/>
          </w:tcPr>
          <w:p>
            <w:pPr>
              <w:rPr>
                <w:rFonts w:hint="eastAsia" w:ascii="宋体" w:hAnsi="宋体"/>
                <w:color w:val="auto"/>
                <w:sz w:val="18"/>
                <w:szCs w:val="18"/>
              </w:rPr>
            </w:pPr>
            <w:r>
              <w:rPr>
                <w:rFonts w:ascii="宋体" w:hAnsi="宋体"/>
                <w:color w:val="auto"/>
                <w:sz w:val="18"/>
                <w:szCs w:val="18"/>
              </w:rPr>
              <w:t>断桥、防盗环缺失</w:t>
            </w:r>
          </w:p>
        </w:tc>
        <w:tc>
          <w:tcPr>
            <w:tcW w:w="1125" w:type="dxa"/>
            <w:vAlign w:val="center"/>
          </w:tcPr>
          <w:p>
            <w:pPr>
              <w:rPr>
                <w:rFonts w:hint="eastAsia" w:ascii="宋体" w:hAnsi="宋体"/>
                <w:color w:val="auto"/>
                <w:sz w:val="18"/>
                <w:szCs w:val="18"/>
              </w:rPr>
            </w:pPr>
            <w:r>
              <w:rPr>
                <w:rFonts w:ascii="宋体" w:hAnsi="宋体"/>
                <w:color w:val="auto"/>
                <w:sz w:val="18"/>
                <w:szCs w:val="18"/>
              </w:rPr>
              <w:t>断桥</w:t>
            </w:r>
          </w:p>
        </w:tc>
        <w:tc>
          <w:tcPr>
            <w:tcW w:w="1763" w:type="dxa"/>
            <w:vAlign w:val="center"/>
          </w:tcPr>
          <w:p>
            <w:pPr>
              <w:rPr>
                <w:rFonts w:hint="eastAsia" w:ascii="宋体" w:hAnsi="宋体"/>
                <w:color w:val="auto"/>
                <w:sz w:val="18"/>
                <w:szCs w:val="18"/>
              </w:rPr>
            </w:pPr>
            <w:r>
              <w:rPr>
                <w:rFonts w:ascii="宋体" w:hAnsi="宋体"/>
                <w:color w:val="auto"/>
                <w:sz w:val="18"/>
                <w:szCs w:val="18"/>
              </w:rPr>
              <w:t>断点范围&gt;70°，缝隙开裂大于1mm</w:t>
            </w:r>
          </w:p>
        </w:tc>
        <w:tc>
          <w:tcPr>
            <w:tcW w:w="1037" w:type="dxa"/>
            <w:vAlign w:val="center"/>
          </w:tcPr>
          <w:p>
            <w:pPr>
              <w:rPr>
                <w:rFonts w:hint="eastAsia" w:ascii="宋体" w:hAnsi="宋体"/>
                <w:color w:val="auto"/>
                <w:sz w:val="18"/>
                <w:szCs w:val="18"/>
              </w:rPr>
            </w:pPr>
            <w:r>
              <w:rPr>
                <w:rFonts w:ascii="宋体" w:hAnsi="宋体"/>
                <w:color w:val="auto"/>
                <w:sz w:val="18"/>
                <w:szCs w:val="18"/>
              </w:rPr>
              <w:t>≥99.5%</w:t>
            </w:r>
          </w:p>
        </w:tc>
        <w:tc>
          <w:tcPr>
            <w:tcW w:w="1300" w:type="dxa"/>
            <w:vMerge w:val="continue"/>
            <w:vAlign w:val="center"/>
          </w:tcPr>
          <w:p>
            <w:pPr>
              <w:spacing w:line="360" w:lineRule="auto"/>
              <w:jc w:val="center"/>
              <w:rPr>
                <w:rFonts w:hint="eastAsia" w:ascii="宋体" w:hAnsi="宋体"/>
                <w:color w:val="auto"/>
                <w:szCs w:val="21"/>
              </w:rPr>
            </w:pPr>
          </w:p>
        </w:tc>
        <w:tc>
          <w:tcPr>
            <w:tcW w:w="1950" w:type="dxa"/>
            <w:vMerge w:val="continue"/>
            <w:vAlign w:val="center"/>
          </w:tcPr>
          <w:p>
            <w:pPr>
              <w:spacing w:line="360" w:lineRule="auto"/>
              <w:jc w:val="center"/>
              <w:rPr>
                <w:rFonts w:hint="eastAsia"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pPr>
              <w:jc w:val="center"/>
              <w:rPr>
                <w:rFonts w:hint="eastAsia" w:ascii="宋体" w:hAnsi="宋体"/>
                <w:color w:val="auto"/>
                <w:sz w:val="18"/>
                <w:szCs w:val="18"/>
              </w:rPr>
            </w:pPr>
            <w:r>
              <w:rPr>
                <w:rFonts w:ascii="宋体" w:hAnsi="宋体"/>
                <w:color w:val="auto"/>
                <w:sz w:val="18"/>
                <w:szCs w:val="18"/>
              </w:rPr>
              <w:t>9</w:t>
            </w:r>
          </w:p>
        </w:tc>
        <w:tc>
          <w:tcPr>
            <w:tcW w:w="975" w:type="dxa"/>
            <w:vMerge w:val="continue"/>
            <w:vAlign w:val="center"/>
          </w:tcPr>
          <w:p>
            <w:pPr>
              <w:rPr>
                <w:rFonts w:hint="eastAsia" w:ascii="宋体" w:hAnsi="宋体"/>
                <w:color w:val="auto"/>
                <w:sz w:val="18"/>
                <w:szCs w:val="18"/>
              </w:rPr>
            </w:pPr>
          </w:p>
        </w:tc>
        <w:tc>
          <w:tcPr>
            <w:tcW w:w="1125" w:type="dxa"/>
            <w:vAlign w:val="center"/>
          </w:tcPr>
          <w:p>
            <w:pPr>
              <w:rPr>
                <w:rFonts w:hint="eastAsia" w:ascii="宋体" w:hAnsi="宋体"/>
                <w:color w:val="auto"/>
                <w:sz w:val="18"/>
                <w:szCs w:val="18"/>
              </w:rPr>
            </w:pPr>
            <w:r>
              <w:rPr>
                <w:rFonts w:ascii="宋体" w:hAnsi="宋体"/>
                <w:color w:val="auto"/>
                <w:sz w:val="18"/>
                <w:szCs w:val="18"/>
              </w:rPr>
              <w:t>防盗环缺失</w:t>
            </w:r>
          </w:p>
        </w:tc>
        <w:tc>
          <w:tcPr>
            <w:tcW w:w="1763" w:type="dxa"/>
            <w:vAlign w:val="center"/>
          </w:tcPr>
          <w:p>
            <w:pPr>
              <w:rPr>
                <w:rFonts w:hint="eastAsia" w:ascii="宋体" w:hAnsi="宋体"/>
                <w:color w:val="auto"/>
                <w:sz w:val="18"/>
                <w:szCs w:val="18"/>
              </w:rPr>
            </w:pPr>
            <w:r>
              <w:rPr>
                <w:rFonts w:ascii="宋体" w:hAnsi="宋体"/>
                <w:color w:val="auto"/>
                <w:sz w:val="18"/>
                <w:szCs w:val="18"/>
              </w:rPr>
              <w:t>周长＞120°</w:t>
            </w:r>
          </w:p>
        </w:tc>
        <w:tc>
          <w:tcPr>
            <w:tcW w:w="1037" w:type="dxa"/>
            <w:vAlign w:val="center"/>
          </w:tcPr>
          <w:p>
            <w:pPr>
              <w:rPr>
                <w:rFonts w:hint="eastAsia" w:ascii="宋体" w:hAnsi="宋体"/>
                <w:color w:val="auto"/>
                <w:sz w:val="18"/>
                <w:szCs w:val="18"/>
              </w:rPr>
            </w:pPr>
            <w:r>
              <w:rPr>
                <w:rFonts w:ascii="宋体" w:hAnsi="宋体"/>
                <w:color w:val="auto"/>
                <w:sz w:val="18"/>
                <w:szCs w:val="18"/>
              </w:rPr>
              <w:t>≥99.5%</w:t>
            </w:r>
          </w:p>
        </w:tc>
        <w:tc>
          <w:tcPr>
            <w:tcW w:w="1300" w:type="dxa"/>
            <w:vMerge w:val="continue"/>
            <w:vAlign w:val="center"/>
          </w:tcPr>
          <w:p>
            <w:pPr>
              <w:spacing w:line="360" w:lineRule="auto"/>
              <w:jc w:val="center"/>
              <w:rPr>
                <w:rFonts w:hint="eastAsia" w:ascii="宋体" w:hAnsi="宋体"/>
                <w:color w:val="auto"/>
                <w:szCs w:val="21"/>
              </w:rPr>
            </w:pPr>
          </w:p>
        </w:tc>
        <w:tc>
          <w:tcPr>
            <w:tcW w:w="1950" w:type="dxa"/>
            <w:vMerge w:val="continue"/>
            <w:vAlign w:val="center"/>
          </w:tcPr>
          <w:p>
            <w:pPr>
              <w:spacing w:line="360" w:lineRule="auto"/>
              <w:jc w:val="center"/>
              <w:rPr>
                <w:rFonts w:hint="eastAsia"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pPr>
              <w:jc w:val="center"/>
              <w:rPr>
                <w:rFonts w:hint="eastAsia" w:ascii="宋体" w:hAnsi="宋体"/>
                <w:color w:val="auto"/>
                <w:sz w:val="18"/>
                <w:szCs w:val="18"/>
              </w:rPr>
            </w:pPr>
            <w:r>
              <w:rPr>
                <w:rFonts w:ascii="宋体" w:hAnsi="宋体"/>
                <w:color w:val="auto"/>
                <w:sz w:val="18"/>
                <w:szCs w:val="18"/>
              </w:rPr>
              <w:t>10</w:t>
            </w:r>
          </w:p>
        </w:tc>
        <w:tc>
          <w:tcPr>
            <w:tcW w:w="975" w:type="dxa"/>
            <w:vMerge w:val="restart"/>
            <w:vAlign w:val="center"/>
          </w:tcPr>
          <w:p>
            <w:pPr>
              <w:rPr>
                <w:rFonts w:hint="eastAsia" w:ascii="宋体" w:hAnsi="宋体"/>
                <w:color w:val="auto"/>
                <w:sz w:val="18"/>
                <w:szCs w:val="18"/>
              </w:rPr>
            </w:pPr>
            <w:r>
              <w:rPr>
                <w:rFonts w:ascii="宋体" w:hAnsi="宋体"/>
                <w:color w:val="auto"/>
                <w:sz w:val="18"/>
                <w:szCs w:val="18"/>
              </w:rPr>
              <w:t>喷码检测</w:t>
            </w:r>
          </w:p>
        </w:tc>
        <w:tc>
          <w:tcPr>
            <w:tcW w:w="1125" w:type="dxa"/>
            <w:vAlign w:val="center"/>
          </w:tcPr>
          <w:p>
            <w:pPr>
              <w:rPr>
                <w:rFonts w:hint="eastAsia" w:ascii="宋体" w:hAnsi="宋体"/>
                <w:color w:val="auto"/>
                <w:sz w:val="18"/>
                <w:szCs w:val="18"/>
              </w:rPr>
            </w:pPr>
            <w:r>
              <w:rPr>
                <w:rFonts w:ascii="宋体" w:hAnsi="宋体"/>
                <w:color w:val="auto"/>
                <w:sz w:val="18"/>
                <w:szCs w:val="18"/>
              </w:rPr>
              <w:t>喷码缺失</w:t>
            </w:r>
          </w:p>
        </w:tc>
        <w:tc>
          <w:tcPr>
            <w:tcW w:w="1763" w:type="dxa"/>
            <w:vAlign w:val="center"/>
          </w:tcPr>
          <w:p>
            <w:pPr>
              <w:rPr>
                <w:rFonts w:hint="eastAsia" w:ascii="宋体" w:hAnsi="宋体"/>
                <w:color w:val="auto"/>
                <w:sz w:val="18"/>
                <w:szCs w:val="18"/>
              </w:rPr>
            </w:pPr>
            <w:r>
              <w:rPr>
                <w:rFonts w:ascii="宋体" w:hAnsi="宋体"/>
                <w:color w:val="auto"/>
                <w:sz w:val="18"/>
                <w:szCs w:val="18"/>
              </w:rPr>
              <w:t>未喷码</w:t>
            </w:r>
            <w:r>
              <w:rPr>
                <w:rFonts w:hint="eastAsia" w:ascii="宋体" w:hAnsi="宋体"/>
                <w:color w:val="auto"/>
                <w:sz w:val="18"/>
                <w:szCs w:val="18"/>
              </w:rPr>
              <w:t>或缺失5</w:t>
            </w:r>
            <w:r>
              <w:rPr>
                <w:rFonts w:ascii="宋体" w:hAnsi="宋体"/>
                <w:color w:val="auto"/>
                <w:sz w:val="18"/>
                <w:szCs w:val="18"/>
              </w:rPr>
              <w:t>0</w:t>
            </w:r>
            <w:r>
              <w:rPr>
                <w:rFonts w:hint="eastAsia" w:ascii="宋体" w:hAnsi="宋体"/>
                <w:color w:val="auto"/>
                <w:sz w:val="18"/>
                <w:szCs w:val="18"/>
              </w:rPr>
              <w:t>%</w:t>
            </w:r>
          </w:p>
        </w:tc>
        <w:tc>
          <w:tcPr>
            <w:tcW w:w="1037" w:type="dxa"/>
            <w:vAlign w:val="center"/>
          </w:tcPr>
          <w:p>
            <w:pPr>
              <w:rPr>
                <w:rFonts w:hint="eastAsia" w:ascii="宋体" w:hAnsi="宋体"/>
                <w:color w:val="auto"/>
                <w:sz w:val="18"/>
                <w:szCs w:val="18"/>
              </w:rPr>
            </w:pPr>
            <w:r>
              <w:rPr>
                <w:rFonts w:ascii="宋体" w:hAnsi="宋体"/>
                <w:color w:val="auto"/>
                <w:sz w:val="18"/>
                <w:szCs w:val="18"/>
              </w:rPr>
              <w:t>≥99.9%</w:t>
            </w:r>
          </w:p>
        </w:tc>
        <w:tc>
          <w:tcPr>
            <w:tcW w:w="1300" w:type="dxa"/>
            <w:vMerge w:val="continue"/>
            <w:vAlign w:val="center"/>
          </w:tcPr>
          <w:p>
            <w:pPr>
              <w:spacing w:line="360" w:lineRule="auto"/>
              <w:jc w:val="center"/>
              <w:rPr>
                <w:rFonts w:hint="eastAsia" w:ascii="宋体" w:hAnsi="宋体"/>
                <w:color w:val="auto"/>
                <w:szCs w:val="21"/>
              </w:rPr>
            </w:pPr>
          </w:p>
        </w:tc>
        <w:tc>
          <w:tcPr>
            <w:tcW w:w="1950" w:type="dxa"/>
            <w:vMerge w:val="continue"/>
            <w:vAlign w:val="center"/>
          </w:tcPr>
          <w:p>
            <w:pPr>
              <w:spacing w:line="360" w:lineRule="auto"/>
              <w:jc w:val="center"/>
              <w:rPr>
                <w:rFonts w:hint="eastAsia"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pPr>
              <w:jc w:val="center"/>
              <w:rPr>
                <w:rFonts w:hint="eastAsia" w:ascii="宋体" w:hAnsi="宋体"/>
                <w:color w:val="auto"/>
                <w:sz w:val="18"/>
                <w:szCs w:val="18"/>
              </w:rPr>
            </w:pPr>
            <w:r>
              <w:rPr>
                <w:rFonts w:ascii="宋体" w:hAnsi="宋体"/>
                <w:color w:val="auto"/>
                <w:sz w:val="18"/>
                <w:szCs w:val="18"/>
              </w:rPr>
              <w:t>11</w:t>
            </w:r>
          </w:p>
        </w:tc>
        <w:tc>
          <w:tcPr>
            <w:tcW w:w="975" w:type="dxa"/>
            <w:vMerge w:val="continue"/>
            <w:vAlign w:val="center"/>
          </w:tcPr>
          <w:p>
            <w:pPr>
              <w:rPr>
                <w:rFonts w:hint="eastAsia" w:ascii="宋体" w:hAnsi="宋体"/>
                <w:color w:val="auto"/>
                <w:sz w:val="18"/>
                <w:szCs w:val="18"/>
              </w:rPr>
            </w:pPr>
          </w:p>
        </w:tc>
        <w:tc>
          <w:tcPr>
            <w:tcW w:w="1125" w:type="dxa"/>
            <w:vAlign w:val="center"/>
          </w:tcPr>
          <w:p>
            <w:pPr>
              <w:rPr>
                <w:rFonts w:hint="eastAsia" w:ascii="宋体" w:hAnsi="宋体"/>
                <w:color w:val="auto"/>
                <w:sz w:val="18"/>
                <w:szCs w:val="18"/>
              </w:rPr>
            </w:pPr>
            <w:r>
              <w:rPr>
                <w:rFonts w:ascii="宋体" w:hAnsi="宋体"/>
                <w:color w:val="auto"/>
                <w:sz w:val="18"/>
                <w:szCs w:val="18"/>
              </w:rPr>
              <w:t>激光喷码</w:t>
            </w:r>
          </w:p>
        </w:tc>
        <w:tc>
          <w:tcPr>
            <w:tcW w:w="1763" w:type="dxa"/>
            <w:vAlign w:val="center"/>
          </w:tcPr>
          <w:p>
            <w:pPr>
              <w:rPr>
                <w:rFonts w:hint="eastAsia" w:ascii="宋体" w:hAnsi="宋体"/>
                <w:color w:val="auto"/>
                <w:sz w:val="18"/>
                <w:szCs w:val="18"/>
              </w:rPr>
            </w:pPr>
            <w:r>
              <w:rPr>
                <w:rFonts w:ascii="宋体" w:hAnsi="宋体"/>
                <w:color w:val="auto"/>
                <w:sz w:val="18"/>
                <w:szCs w:val="18"/>
              </w:rPr>
              <w:t>长15—17mm</w:t>
            </w:r>
          </w:p>
          <w:p>
            <w:pPr>
              <w:rPr>
                <w:rFonts w:hint="eastAsia" w:ascii="宋体" w:hAnsi="宋体"/>
                <w:color w:val="auto"/>
                <w:sz w:val="18"/>
                <w:szCs w:val="18"/>
              </w:rPr>
            </w:pPr>
            <w:r>
              <w:rPr>
                <w:rFonts w:ascii="宋体" w:hAnsi="宋体"/>
                <w:color w:val="auto"/>
                <w:sz w:val="18"/>
                <w:szCs w:val="18"/>
              </w:rPr>
              <w:t>宽6—8mm</w:t>
            </w:r>
          </w:p>
        </w:tc>
        <w:tc>
          <w:tcPr>
            <w:tcW w:w="1037" w:type="dxa"/>
            <w:vAlign w:val="center"/>
          </w:tcPr>
          <w:p>
            <w:pPr>
              <w:rPr>
                <w:rFonts w:hint="eastAsia" w:ascii="宋体" w:hAnsi="宋体"/>
                <w:color w:val="auto"/>
                <w:sz w:val="18"/>
                <w:szCs w:val="18"/>
              </w:rPr>
            </w:pPr>
            <w:r>
              <w:rPr>
                <w:rFonts w:ascii="宋体" w:hAnsi="宋体"/>
                <w:color w:val="auto"/>
                <w:sz w:val="18"/>
                <w:szCs w:val="18"/>
              </w:rPr>
              <w:t>≥99.5%</w:t>
            </w:r>
          </w:p>
        </w:tc>
        <w:tc>
          <w:tcPr>
            <w:tcW w:w="1300" w:type="dxa"/>
            <w:vMerge w:val="continue"/>
            <w:vAlign w:val="center"/>
          </w:tcPr>
          <w:p>
            <w:pPr>
              <w:spacing w:line="360" w:lineRule="auto"/>
              <w:jc w:val="center"/>
              <w:rPr>
                <w:rFonts w:hint="eastAsia" w:ascii="宋体" w:hAnsi="宋体"/>
                <w:color w:val="auto"/>
                <w:szCs w:val="21"/>
              </w:rPr>
            </w:pPr>
          </w:p>
        </w:tc>
        <w:tc>
          <w:tcPr>
            <w:tcW w:w="1950" w:type="dxa"/>
            <w:vMerge w:val="continue"/>
            <w:vAlign w:val="center"/>
          </w:tcPr>
          <w:p>
            <w:pPr>
              <w:spacing w:line="360" w:lineRule="auto"/>
              <w:jc w:val="center"/>
              <w:rPr>
                <w:rFonts w:hint="eastAsia"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pPr>
              <w:jc w:val="center"/>
              <w:rPr>
                <w:rFonts w:hint="eastAsia" w:ascii="宋体" w:hAnsi="宋体"/>
                <w:color w:val="auto"/>
                <w:sz w:val="18"/>
                <w:szCs w:val="18"/>
              </w:rPr>
            </w:pPr>
            <w:r>
              <w:rPr>
                <w:rFonts w:ascii="宋体" w:hAnsi="宋体"/>
                <w:color w:val="auto"/>
                <w:sz w:val="18"/>
                <w:szCs w:val="18"/>
              </w:rPr>
              <w:t>12</w:t>
            </w:r>
          </w:p>
        </w:tc>
        <w:tc>
          <w:tcPr>
            <w:tcW w:w="975" w:type="dxa"/>
            <w:vAlign w:val="center"/>
          </w:tcPr>
          <w:p>
            <w:pPr>
              <w:rPr>
                <w:rFonts w:hint="eastAsia" w:ascii="宋体" w:hAnsi="宋体"/>
                <w:color w:val="auto"/>
                <w:sz w:val="18"/>
                <w:szCs w:val="18"/>
              </w:rPr>
            </w:pPr>
            <w:r>
              <w:rPr>
                <w:rFonts w:ascii="宋体" w:hAnsi="宋体"/>
                <w:color w:val="auto"/>
                <w:sz w:val="18"/>
                <w:szCs w:val="18"/>
              </w:rPr>
              <w:t>倒瓶剔除</w:t>
            </w:r>
          </w:p>
        </w:tc>
        <w:tc>
          <w:tcPr>
            <w:tcW w:w="1125" w:type="dxa"/>
            <w:vAlign w:val="center"/>
          </w:tcPr>
          <w:p>
            <w:pPr>
              <w:rPr>
                <w:rFonts w:hint="eastAsia" w:ascii="宋体" w:hAnsi="宋体"/>
                <w:color w:val="auto"/>
                <w:sz w:val="18"/>
                <w:szCs w:val="18"/>
              </w:rPr>
            </w:pPr>
            <w:r>
              <w:rPr>
                <w:rFonts w:ascii="宋体" w:hAnsi="宋体"/>
                <w:color w:val="auto"/>
                <w:sz w:val="18"/>
                <w:szCs w:val="18"/>
              </w:rPr>
              <w:t>倒瓶</w:t>
            </w:r>
          </w:p>
        </w:tc>
        <w:tc>
          <w:tcPr>
            <w:tcW w:w="1763" w:type="dxa"/>
            <w:vAlign w:val="center"/>
          </w:tcPr>
          <w:p>
            <w:pPr>
              <w:rPr>
                <w:rFonts w:hint="eastAsia" w:ascii="宋体" w:hAnsi="宋体"/>
                <w:color w:val="auto"/>
                <w:sz w:val="18"/>
                <w:szCs w:val="18"/>
              </w:rPr>
            </w:pPr>
            <w:r>
              <w:rPr>
                <w:rFonts w:ascii="宋体" w:hAnsi="宋体"/>
                <w:color w:val="auto"/>
                <w:sz w:val="18"/>
                <w:szCs w:val="18"/>
              </w:rPr>
              <w:t>倒瓶剔除</w:t>
            </w:r>
          </w:p>
        </w:tc>
        <w:tc>
          <w:tcPr>
            <w:tcW w:w="1037" w:type="dxa"/>
            <w:vAlign w:val="center"/>
          </w:tcPr>
          <w:p>
            <w:pPr>
              <w:rPr>
                <w:rFonts w:hint="eastAsia" w:ascii="宋体" w:hAnsi="宋体"/>
                <w:color w:val="auto"/>
                <w:sz w:val="18"/>
                <w:szCs w:val="18"/>
              </w:rPr>
            </w:pPr>
            <w:r>
              <w:rPr>
                <w:rFonts w:ascii="宋体" w:hAnsi="宋体"/>
                <w:color w:val="auto"/>
                <w:sz w:val="18"/>
                <w:szCs w:val="18"/>
              </w:rPr>
              <w:t>≥99.9%</w:t>
            </w:r>
          </w:p>
        </w:tc>
        <w:tc>
          <w:tcPr>
            <w:tcW w:w="1300" w:type="dxa"/>
            <w:vMerge w:val="continue"/>
            <w:vAlign w:val="center"/>
          </w:tcPr>
          <w:p>
            <w:pPr>
              <w:spacing w:line="360" w:lineRule="auto"/>
              <w:jc w:val="center"/>
              <w:rPr>
                <w:rFonts w:hint="eastAsia" w:ascii="宋体" w:hAnsi="宋体"/>
                <w:color w:val="auto"/>
                <w:szCs w:val="21"/>
              </w:rPr>
            </w:pPr>
          </w:p>
        </w:tc>
        <w:tc>
          <w:tcPr>
            <w:tcW w:w="1950" w:type="dxa"/>
            <w:vMerge w:val="continue"/>
            <w:vAlign w:val="center"/>
          </w:tcPr>
          <w:p>
            <w:pPr>
              <w:spacing w:line="360" w:lineRule="auto"/>
              <w:jc w:val="center"/>
              <w:rPr>
                <w:rFonts w:hint="eastAsia" w:ascii="宋体" w:hAnsi="宋体"/>
                <w:color w:val="auto"/>
                <w:szCs w:val="21"/>
              </w:rPr>
            </w:pPr>
          </w:p>
        </w:tc>
      </w:tr>
    </w:tbl>
    <w:p>
      <w:pPr>
        <w:spacing w:line="360" w:lineRule="auto"/>
        <w:rPr>
          <w:rFonts w:hint="eastAsia" w:ascii="宋体" w:hAnsi="宋体"/>
          <w:color w:val="auto"/>
          <w:kern w:val="0"/>
          <w:szCs w:val="21"/>
        </w:rPr>
      </w:pPr>
    </w:p>
    <w:p>
      <w:pPr>
        <w:pStyle w:val="36"/>
        <w:numPr>
          <w:ilvl w:val="0"/>
          <w:numId w:val="1"/>
        </w:numPr>
        <w:spacing w:line="360" w:lineRule="auto"/>
        <w:contextualSpacing w:val="0"/>
        <w:rPr>
          <w:rFonts w:hint="eastAsia" w:ascii="宋体" w:hAnsi="宋体" w:cs="宋体"/>
          <w:b/>
          <w:bCs/>
          <w:color w:val="auto"/>
          <w:szCs w:val="21"/>
        </w:rPr>
      </w:pPr>
      <w:r>
        <w:rPr>
          <w:rFonts w:hint="eastAsia" w:ascii="宋体" w:hAnsi="宋体" w:cs="宋体"/>
          <w:b/>
          <w:bCs/>
          <w:color w:val="auto"/>
          <w:szCs w:val="21"/>
        </w:rPr>
        <w:t>洁净功能区系统技术要求：</w:t>
      </w:r>
    </w:p>
    <w:p>
      <w:pPr>
        <w:pStyle w:val="36"/>
        <w:widowControl/>
        <w:spacing w:line="360" w:lineRule="auto"/>
        <w:ind w:left="210"/>
        <w:contextualSpacing w:val="0"/>
        <w:jc w:val="left"/>
        <w:rPr>
          <w:rFonts w:hint="eastAsia" w:ascii="宋体" w:hAnsi="宋体"/>
          <w:b/>
          <w:bCs/>
          <w:color w:val="auto"/>
          <w:szCs w:val="21"/>
        </w:rPr>
      </w:pPr>
      <w:r>
        <w:rPr>
          <w:rFonts w:hint="eastAsia" w:ascii="宋体" w:hAnsi="宋体"/>
          <w:b/>
          <w:bCs/>
          <w:color w:val="auto"/>
          <w:szCs w:val="21"/>
        </w:rPr>
        <w:t>（一）十万级洁净功能区系统总体要求</w:t>
      </w:r>
    </w:p>
    <w:p>
      <w:pPr>
        <w:pStyle w:val="36"/>
        <w:numPr>
          <w:ilvl w:val="0"/>
          <w:numId w:val="36"/>
        </w:numPr>
        <w:spacing w:line="360" w:lineRule="auto"/>
        <w:rPr>
          <w:rFonts w:hint="eastAsia" w:ascii="宋体" w:hAnsi="宋体"/>
          <w:bCs/>
          <w:color w:val="auto"/>
          <w:szCs w:val="21"/>
        </w:rPr>
      </w:pPr>
      <w:r>
        <w:rPr>
          <w:rFonts w:hint="eastAsia" w:ascii="宋体" w:hAnsi="宋体"/>
          <w:bCs/>
          <w:color w:val="auto"/>
          <w:szCs w:val="21"/>
        </w:rPr>
        <w:t>洁净功能区系统：吹瓶灌注间：24m×18m×8m(长×宽×高)（生产车间梁下高度为9.2m）、上盖间：4m×9m×8m、上坯间：4m×9m×8m（尺寸供参考，具体由投标方设计）</w:t>
      </w:r>
    </w:p>
    <w:p>
      <w:pPr>
        <w:pStyle w:val="36"/>
        <w:numPr>
          <w:ilvl w:val="0"/>
          <w:numId w:val="36"/>
        </w:numPr>
        <w:spacing w:line="360" w:lineRule="auto"/>
        <w:rPr>
          <w:rFonts w:hint="eastAsia" w:ascii="宋体" w:hAnsi="宋体"/>
          <w:bCs/>
          <w:color w:val="auto"/>
          <w:szCs w:val="21"/>
        </w:rPr>
      </w:pPr>
      <w:r>
        <w:rPr>
          <w:rFonts w:hint="eastAsia" w:ascii="宋体" w:hAnsi="宋体"/>
          <w:bCs/>
          <w:color w:val="auto"/>
          <w:szCs w:val="21"/>
        </w:rPr>
        <w:t>配置一个大无菌罐存放间：4m×5m×8m(长×宽×高)（尺寸中标后确认）、洁净等级为一般区。</w:t>
      </w:r>
    </w:p>
    <w:p>
      <w:pPr>
        <w:pStyle w:val="36"/>
        <w:numPr>
          <w:ilvl w:val="0"/>
          <w:numId w:val="36"/>
        </w:numPr>
        <w:spacing w:line="360" w:lineRule="auto"/>
        <w:rPr>
          <w:rFonts w:hint="eastAsia" w:ascii="宋体" w:hAnsi="宋体"/>
          <w:bCs/>
          <w:color w:val="auto"/>
          <w:szCs w:val="21"/>
        </w:rPr>
      </w:pPr>
      <w:r>
        <w:rPr>
          <w:rFonts w:hint="eastAsia" w:ascii="宋体" w:hAnsi="宋体"/>
          <w:bCs/>
          <w:color w:val="auto"/>
          <w:szCs w:val="21"/>
        </w:rPr>
        <w:t>吹瓶灌装间为整体空间，上盖间、上坯间及吹瓶灌装间之间有隔断，吹瓶灌装间到上盖间及上坯间之间需保持微正压。上盖间及上坯间各配置一个双开门可进入吹瓶灌装间。</w:t>
      </w:r>
    </w:p>
    <w:p>
      <w:pPr>
        <w:pStyle w:val="36"/>
        <w:numPr>
          <w:ilvl w:val="0"/>
          <w:numId w:val="36"/>
        </w:numPr>
        <w:spacing w:line="360" w:lineRule="auto"/>
        <w:rPr>
          <w:rFonts w:hint="eastAsia" w:ascii="宋体" w:hAnsi="宋体"/>
          <w:bCs/>
          <w:color w:val="auto"/>
          <w:szCs w:val="21"/>
        </w:rPr>
      </w:pPr>
      <w:r>
        <w:rPr>
          <w:rFonts w:hint="eastAsia" w:ascii="宋体" w:hAnsi="宋体"/>
          <w:bCs/>
          <w:color w:val="auto"/>
          <w:szCs w:val="21"/>
        </w:rPr>
        <w:t>在</w:t>
      </w:r>
      <w:bookmarkStart w:id="45" w:name="OLE_LINK18"/>
      <w:r>
        <w:rPr>
          <w:rFonts w:hint="eastAsia" w:ascii="宋体" w:hAnsi="宋体"/>
          <w:bCs/>
          <w:color w:val="auto"/>
          <w:szCs w:val="21"/>
        </w:rPr>
        <w:t>吹瓶灌装间</w:t>
      </w:r>
      <w:bookmarkEnd w:id="45"/>
      <w:r>
        <w:rPr>
          <w:rFonts w:hint="eastAsia" w:ascii="宋体" w:hAnsi="宋体"/>
          <w:bCs/>
          <w:color w:val="auto"/>
          <w:szCs w:val="21"/>
        </w:rPr>
        <w:t>设计一个二更室及一个设备办公间，面积依照6人更衣需求设计，满足GMP需求。在二更上层空间及吹灌旋一体机办公间作夹层，作为空调机柜及设备UPS电源的存储空间，配置有不锈钢扶梯、通风装置及检修通道；</w:t>
      </w:r>
    </w:p>
    <w:p>
      <w:pPr>
        <w:pStyle w:val="36"/>
        <w:numPr>
          <w:ilvl w:val="0"/>
          <w:numId w:val="36"/>
        </w:numPr>
        <w:spacing w:line="360" w:lineRule="auto"/>
        <w:rPr>
          <w:rFonts w:hint="eastAsia" w:ascii="宋体" w:hAnsi="宋体"/>
          <w:bCs/>
          <w:color w:val="auto"/>
          <w:szCs w:val="21"/>
        </w:rPr>
      </w:pPr>
      <w:r>
        <w:rPr>
          <w:rFonts w:hint="eastAsia" w:ascii="宋体" w:hAnsi="宋体"/>
          <w:bCs/>
          <w:color w:val="auto"/>
          <w:szCs w:val="21"/>
        </w:rPr>
        <w:t>设备办公间配置1个观察视窗；</w:t>
      </w:r>
    </w:p>
    <w:p>
      <w:pPr>
        <w:pStyle w:val="36"/>
        <w:numPr>
          <w:ilvl w:val="0"/>
          <w:numId w:val="36"/>
        </w:numPr>
        <w:spacing w:line="360" w:lineRule="auto"/>
        <w:rPr>
          <w:rFonts w:hint="eastAsia" w:ascii="宋体" w:hAnsi="宋体"/>
          <w:bCs/>
          <w:color w:val="auto"/>
          <w:szCs w:val="21"/>
        </w:rPr>
      </w:pPr>
      <w:r>
        <w:rPr>
          <w:rFonts w:hint="eastAsia" w:ascii="宋体" w:hAnsi="宋体"/>
          <w:bCs/>
          <w:color w:val="auto"/>
          <w:szCs w:val="21"/>
        </w:rPr>
        <w:t>在设置一个功能缓冲间，位置依照设备布局设计5m×6m（尺寸供参考，具体由投标方设计）。</w:t>
      </w:r>
    </w:p>
    <w:p>
      <w:pPr>
        <w:pStyle w:val="36"/>
        <w:numPr>
          <w:ilvl w:val="0"/>
          <w:numId w:val="36"/>
        </w:numPr>
        <w:spacing w:line="360" w:lineRule="auto"/>
        <w:rPr>
          <w:rFonts w:hint="eastAsia" w:ascii="宋体" w:hAnsi="宋体"/>
          <w:bCs/>
          <w:color w:val="auto"/>
          <w:szCs w:val="21"/>
        </w:rPr>
      </w:pPr>
      <w:r>
        <w:rPr>
          <w:rFonts w:hint="eastAsia" w:ascii="宋体" w:hAnsi="宋体"/>
          <w:bCs/>
          <w:color w:val="auto"/>
          <w:szCs w:val="21"/>
        </w:rPr>
        <w:t>上盖间配置一个传递窗，作为盖子传送窗口使用。</w:t>
      </w:r>
    </w:p>
    <w:p>
      <w:pPr>
        <w:pStyle w:val="36"/>
        <w:numPr>
          <w:ilvl w:val="0"/>
          <w:numId w:val="36"/>
        </w:numPr>
        <w:spacing w:line="360" w:lineRule="auto"/>
        <w:rPr>
          <w:rFonts w:hint="eastAsia" w:ascii="宋体" w:hAnsi="宋体"/>
          <w:bCs/>
          <w:color w:val="auto"/>
          <w:szCs w:val="21"/>
        </w:rPr>
      </w:pPr>
      <w:r>
        <w:rPr>
          <w:rFonts w:hint="eastAsia" w:ascii="宋体" w:hAnsi="宋体"/>
          <w:bCs/>
          <w:color w:val="auto"/>
          <w:szCs w:val="21"/>
        </w:rPr>
        <w:t>上坯间及功能缓冲间的门为快速卷帘门，进口入口配风幕机，空间要密封防虫防鼠，快速卷闸门互锁；上坯间配置2套快速卷帘门，经过一道快速卷帘门后再经过另一道快速卷帘门，中间区域作为上坯间的缓存间，2套快速卷帘门</w:t>
      </w:r>
      <w:r>
        <w:rPr>
          <w:rFonts w:hint="eastAsia" w:ascii="宋体" w:hAnsi="宋体"/>
          <w:color w:val="auto"/>
          <w:szCs w:val="21"/>
        </w:rPr>
        <w:t>具备有互锁装置。</w:t>
      </w:r>
    </w:p>
    <w:p>
      <w:pPr>
        <w:pStyle w:val="36"/>
        <w:numPr>
          <w:ilvl w:val="0"/>
          <w:numId w:val="36"/>
        </w:numPr>
        <w:spacing w:line="360" w:lineRule="auto"/>
        <w:rPr>
          <w:rFonts w:hint="eastAsia" w:ascii="宋体" w:hAnsi="宋体"/>
          <w:bCs/>
          <w:color w:val="auto"/>
          <w:szCs w:val="21"/>
        </w:rPr>
      </w:pPr>
      <w:r>
        <w:rPr>
          <w:rFonts w:hint="eastAsia" w:ascii="宋体" w:hAnsi="宋体"/>
          <w:bCs/>
          <w:color w:val="auto"/>
          <w:szCs w:val="21"/>
        </w:rPr>
        <w:t>洁净功能区整体GMP要求：</w:t>
      </w:r>
    </w:p>
    <w:p>
      <w:pPr>
        <w:numPr>
          <w:ilvl w:val="0"/>
          <w:numId w:val="37"/>
        </w:numPr>
        <w:spacing w:line="360" w:lineRule="auto"/>
        <w:rPr>
          <w:rFonts w:hint="eastAsia" w:ascii="宋体" w:hAnsi="宋体"/>
          <w:color w:val="auto"/>
          <w:kern w:val="0"/>
          <w:szCs w:val="21"/>
        </w:rPr>
      </w:pPr>
      <w:r>
        <w:rPr>
          <w:rFonts w:hint="eastAsia" w:ascii="宋体" w:hAnsi="宋体"/>
          <w:color w:val="auto"/>
          <w:kern w:val="0"/>
          <w:szCs w:val="21"/>
        </w:rPr>
        <w:t>消毒要求：需具备有紫外灯消毒及臭氧消毒功能，要求臭氧浓度在15分钟内达到30mg/m³；紫外灯消毒，要求紫外灯功率每盏≥40瓦，平均每10平方米一盏分布，其中吹瓶机入瓶胚及出瓶上方、灌注机入瓶及出瓶上方不能安装，需要错开这些位置，紫外灯要求能产生臭氧的款式，紫外灯安装离地面2.5-3米）；</w:t>
      </w:r>
    </w:p>
    <w:p>
      <w:pPr>
        <w:numPr>
          <w:ilvl w:val="0"/>
          <w:numId w:val="37"/>
        </w:numPr>
        <w:spacing w:line="360" w:lineRule="auto"/>
        <w:rPr>
          <w:rFonts w:hint="eastAsia" w:ascii="宋体" w:hAnsi="宋体"/>
          <w:color w:val="auto"/>
          <w:kern w:val="0"/>
          <w:szCs w:val="21"/>
        </w:rPr>
      </w:pPr>
      <w:r>
        <w:rPr>
          <w:rFonts w:hint="eastAsia" w:ascii="宋体" w:hAnsi="宋体"/>
          <w:color w:val="auto"/>
          <w:kern w:val="0"/>
          <w:szCs w:val="21"/>
        </w:rPr>
        <w:t>通风要求按洁净等级要求；</w:t>
      </w:r>
    </w:p>
    <w:p>
      <w:pPr>
        <w:numPr>
          <w:ilvl w:val="0"/>
          <w:numId w:val="37"/>
        </w:numPr>
        <w:spacing w:line="360" w:lineRule="auto"/>
        <w:rPr>
          <w:rFonts w:hint="eastAsia" w:ascii="宋体" w:hAnsi="宋体"/>
          <w:color w:val="auto"/>
          <w:kern w:val="0"/>
          <w:szCs w:val="21"/>
        </w:rPr>
      </w:pPr>
      <w:r>
        <w:rPr>
          <w:rFonts w:hint="eastAsia" w:ascii="宋体" w:hAnsi="宋体"/>
          <w:color w:val="auto"/>
          <w:kern w:val="0"/>
          <w:szCs w:val="21"/>
        </w:rPr>
        <w:t>所有的门具备自动回门装置，关闭是常态；</w:t>
      </w:r>
    </w:p>
    <w:p>
      <w:pPr>
        <w:numPr>
          <w:ilvl w:val="0"/>
          <w:numId w:val="37"/>
        </w:numPr>
        <w:spacing w:line="360" w:lineRule="auto"/>
        <w:rPr>
          <w:rFonts w:hint="eastAsia" w:ascii="宋体" w:hAnsi="宋体"/>
          <w:color w:val="auto"/>
          <w:kern w:val="0"/>
          <w:szCs w:val="21"/>
        </w:rPr>
      </w:pPr>
      <w:r>
        <w:rPr>
          <w:rFonts w:hint="eastAsia" w:ascii="宋体" w:hAnsi="宋体"/>
          <w:color w:val="auto"/>
          <w:kern w:val="0"/>
          <w:szCs w:val="21"/>
        </w:rPr>
        <w:t>温湿度可调节可控制；</w:t>
      </w:r>
    </w:p>
    <w:p>
      <w:pPr>
        <w:numPr>
          <w:ilvl w:val="0"/>
          <w:numId w:val="37"/>
        </w:numPr>
        <w:spacing w:line="360" w:lineRule="auto"/>
        <w:rPr>
          <w:rFonts w:hint="eastAsia" w:ascii="宋体" w:hAnsi="宋体"/>
          <w:color w:val="auto"/>
          <w:kern w:val="0"/>
          <w:szCs w:val="21"/>
        </w:rPr>
      </w:pPr>
      <w:r>
        <w:rPr>
          <w:rFonts w:hint="eastAsia" w:ascii="宋体" w:hAnsi="宋体"/>
          <w:color w:val="auto"/>
          <w:kern w:val="0"/>
          <w:szCs w:val="21"/>
        </w:rPr>
        <w:t>所有照明设施采用洁净灯具，要配防爆罩装置；</w:t>
      </w:r>
    </w:p>
    <w:p>
      <w:pPr>
        <w:numPr>
          <w:ilvl w:val="0"/>
          <w:numId w:val="37"/>
        </w:numPr>
        <w:spacing w:line="360" w:lineRule="auto"/>
        <w:rPr>
          <w:rFonts w:hint="eastAsia" w:ascii="宋体" w:hAnsi="宋体"/>
          <w:color w:val="auto"/>
          <w:kern w:val="0"/>
          <w:szCs w:val="21"/>
        </w:rPr>
      </w:pPr>
      <w:r>
        <w:rPr>
          <w:rFonts w:hint="eastAsia" w:ascii="宋体" w:hAnsi="宋体"/>
          <w:color w:val="auto"/>
          <w:kern w:val="0"/>
          <w:szCs w:val="21"/>
        </w:rPr>
        <w:t>所有区域靠近入口内侧位置1.8米高度，预留一个二三插，用于灭蝇灯用电；</w:t>
      </w:r>
    </w:p>
    <w:p>
      <w:pPr>
        <w:numPr>
          <w:ilvl w:val="0"/>
          <w:numId w:val="37"/>
        </w:numPr>
        <w:spacing w:line="360" w:lineRule="auto"/>
        <w:rPr>
          <w:rFonts w:hint="eastAsia" w:ascii="宋体" w:hAnsi="宋体"/>
          <w:color w:val="auto"/>
          <w:kern w:val="0"/>
          <w:szCs w:val="21"/>
        </w:rPr>
      </w:pPr>
      <w:r>
        <w:rPr>
          <w:rFonts w:hint="eastAsia" w:ascii="宋体" w:hAnsi="宋体"/>
          <w:color w:val="auto"/>
          <w:kern w:val="0"/>
          <w:szCs w:val="21"/>
        </w:rPr>
        <w:t>所有墙壁与墙壁之间接缝、墙壁与地面接缝，采用圆弧形结构（</w:t>
      </w:r>
      <w:r>
        <w:rPr>
          <w:rFonts w:hint="eastAsia" w:ascii="宋体" w:hAnsi="宋体"/>
          <w:color w:val="auto"/>
          <w:szCs w:val="21"/>
          <w:lang w:val="da-DK"/>
        </w:rPr>
        <w:t>R=50mm</w:t>
      </w:r>
      <w:r>
        <w:rPr>
          <w:rFonts w:hint="eastAsia" w:ascii="宋体" w:hAnsi="宋体"/>
          <w:color w:val="auto"/>
          <w:kern w:val="0"/>
          <w:szCs w:val="21"/>
        </w:rPr>
        <w:t>）；</w:t>
      </w:r>
    </w:p>
    <w:p>
      <w:pPr>
        <w:numPr>
          <w:ilvl w:val="0"/>
          <w:numId w:val="37"/>
        </w:numPr>
        <w:spacing w:line="360" w:lineRule="auto"/>
        <w:rPr>
          <w:rFonts w:hint="eastAsia" w:ascii="宋体" w:hAnsi="宋体"/>
          <w:color w:val="auto"/>
          <w:kern w:val="0"/>
          <w:szCs w:val="21"/>
        </w:rPr>
      </w:pPr>
      <w:r>
        <w:rPr>
          <w:rFonts w:hint="eastAsia" w:ascii="宋体" w:hAnsi="宋体"/>
          <w:color w:val="auto"/>
          <w:kern w:val="0"/>
          <w:szCs w:val="21"/>
        </w:rPr>
        <w:t>所有地面耐高温（100℃）、耐酸碱（酸碱浓度≤10%）、耐腐蚀、耐消毒液（氯水≤30ppm/过氧乙酸≤3000ppm）。</w:t>
      </w:r>
    </w:p>
    <w:p>
      <w:pPr>
        <w:pStyle w:val="36"/>
        <w:numPr>
          <w:ilvl w:val="0"/>
          <w:numId w:val="36"/>
        </w:numPr>
        <w:spacing w:line="360" w:lineRule="auto"/>
        <w:rPr>
          <w:rFonts w:hint="eastAsia" w:ascii="宋体" w:hAnsi="宋体"/>
          <w:bCs/>
          <w:color w:val="auto"/>
          <w:szCs w:val="21"/>
        </w:rPr>
      </w:pPr>
      <w:r>
        <w:rPr>
          <w:rFonts w:hint="eastAsia" w:ascii="宋体" w:hAnsi="宋体"/>
          <w:bCs/>
          <w:color w:val="auto"/>
          <w:szCs w:val="21"/>
        </w:rPr>
        <w:t>洁净功能区静态等级要求</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2"/>
        <w:gridCol w:w="1183"/>
        <w:gridCol w:w="3030"/>
        <w:gridCol w:w="2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vAlign w:val="center"/>
          </w:tcPr>
          <w:p>
            <w:pPr>
              <w:widowControl/>
              <w:spacing w:line="360" w:lineRule="auto"/>
              <w:jc w:val="center"/>
              <w:rPr>
                <w:rFonts w:hint="eastAsia" w:ascii="宋体" w:hAnsi="宋体"/>
                <w:color w:val="auto"/>
                <w:szCs w:val="21"/>
              </w:rPr>
            </w:pPr>
            <w:r>
              <w:rPr>
                <w:rFonts w:hint="eastAsia" w:ascii="宋体" w:hAnsi="宋体"/>
                <w:color w:val="auto"/>
                <w:szCs w:val="21"/>
              </w:rPr>
              <w:t>房间名称</w:t>
            </w:r>
          </w:p>
        </w:tc>
        <w:tc>
          <w:tcPr>
            <w:tcW w:w="3030" w:type="dxa"/>
            <w:vAlign w:val="center"/>
          </w:tcPr>
          <w:p>
            <w:pPr>
              <w:widowControl/>
              <w:spacing w:line="360" w:lineRule="auto"/>
              <w:jc w:val="center"/>
              <w:rPr>
                <w:rFonts w:hint="eastAsia" w:ascii="宋体" w:hAnsi="宋体"/>
                <w:color w:val="auto"/>
                <w:szCs w:val="21"/>
              </w:rPr>
            </w:pPr>
            <w:r>
              <w:rPr>
                <w:rFonts w:hint="eastAsia" w:ascii="宋体" w:hAnsi="宋体"/>
                <w:color w:val="auto"/>
                <w:szCs w:val="21"/>
              </w:rPr>
              <w:t>灌注间</w:t>
            </w:r>
          </w:p>
        </w:tc>
        <w:tc>
          <w:tcPr>
            <w:tcW w:w="2861" w:type="dxa"/>
            <w:vAlign w:val="center"/>
          </w:tcPr>
          <w:p>
            <w:pPr>
              <w:widowControl/>
              <w:spacing w:line="360" w:lineRule="auto"/>
              <w:jc w:val="center"/>
              <w:rPr>
                <w:rFonts w:hint="eastAsia" w:ascii="宋体" w:hAnsi="宋体"/>
                <w:color w:val="auto"/>
                <w:szCs w:val="21"/>
              </w:rPr>
            </w:pPr>
            <w:r>
              <w:rPr>
                <w:rFonts w:hint="eastAsia" w:ascii="宋体" w:hAnsi="宋体"/>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vAlign w:val="center"/>
          </w:tcPr>
          <w:p>
            <w:pPr>
              <w:widowControl/>
              <w:spacing w:line="360" w:lineRule="auto"/>
              <w:jc w:val="center"/>
              <w:rPr>
                <w:rFonts w:hint="eastAsia" w:ascii="宋体" w:hAnsi="宋体"/>
                <w:color w:val="auto"/>
                <w:szCs w:val="21"/>
              </w:rPr>
            </w:pPr>
            <w:r>
              <w:rPr>
                <w:rFonts w:hint="eastAsia" w:ascii="宋体" w:hAnsi="宋体"/>
                <w:color w:val="auto"/>
                <w:szCs w:val="21"/>
              </w:rPr>
              <w:t>洁净度等级</w:t>
            </w:r>
          </w:p>
        </w:tc>
        <w:tc>
          <w:tcPr>
            <w:tcW w:w="3030" w:type="dxa"/>
            <w:vAlign w:val="center"/>
          </w:tcPr>
          <w:p>
            <w:pPr>
              <w:widowControl/>
              <w:spacing w:line="360" w:lineRule="auto"/>
              <w:jc w:val="center"/>
              <w:rPr>
                <w:rFonts w:hint="eastAsia" w:ascii="宋体" w:hAnsi="宋体"/>
                <w:color w:val="auto"/>
                <w:szCs w:val="21"/>
              </w:rPr>
            </w:pPr>
            <w:r>
              <w:rPr>
                <w:rFonts w:hint="eastAsia" w:ascii="宋体" w:hAnsi="宋体"/>
                <w:color w:val="auto"/>
                <w:szCs w:val="21"/>
              </w:rPr>
              <w:t>十万级</w:t>
            </w:r>
          </w:p>
        </w:tc>
        <w:tc>
          <w:tcPr>
            <w:tcW w:w="2861" w:type="dxa"/>
            <w:vAlign w:val="center"/>
          </w:tcPr>
          <w:p>
            <w:pPr>
              <w:widowControl/>
              <w:spacing w:line="360" w:lineRule="auto"/>
              <w:jc w:val="center"/>
              <w:rPr>
                <w:rFonts w:hint="eastAsia"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1222" w:type="dxa"/>
            <w:vMerge w:val="restart"/>
            <w:vAlign w:val="center"/>
          </w:tcPr>
          <w:p>
            <w:pPr>
              <w:widowControl/>
              <w:spacing w:line="360" w:lineRule="auto"/>
              <w:jc w:val="center"/>
              <w:rPr>
                <w:rFonts w:hint="eastAsia" w:ascii="宋体" w:hAnsi="宋体"/>
                <w:color w:val="auto"/>
                <w:szCs w:val="21"/>
              </w:rPr>
            </w:pPr>
            <w:r>
              <w:rPr>
                <w:rFonts w:hint="eastAsia" w:ascii="宋体" w:hAnsi="宋体"/>
                <w:color w:val="auto"/>
                <w:szCs w:val="21"/>
              </w:rPr>
              <w:t>大于或等于要求粒径的最大浓度限值</w:t>
            </w:r>
          </w:p>
          <w:p>
            <w:pPr>
              <w:widowControl/>
              <w:spacing w:line="360" w:lineRule="auto"/>
              <w:jc w:val="center"/>
              <w:rPr>
                <w:rFonts w:hint="eastAsia" w:ascii="宋体" w:hAnsi="宋体"/>
                <w:color w:val="auto"/>
                <w:szCs w:val="21"/>
              </w:rPr>
            </w:pPr>
            <w:r>
              <w:rPr>
                <w:rFonts w:hint="eastAsia" w:ascii="宋体" w:hAnsi="宋体"/>
                <w:color w:val="auto"/>
                <w:szCs w:val="21"/>
              </w:rPr>
              <w:t>（PC/m³）</w:t>
            </w:r>
          </w:p>
        </w:tc>
        <w:tc>
          <w:tcPr>
            <w:tcW w:w="1183" w:type="dxa"/>
            <w:vAlign w:val="center"/>
          </w:tcPr>
          <w:p>
            <w:pPr>
              <w:widowControl/>
              <w:spacing w:line="360" w:lineRule="auto"/>
              <w:jc w:val="center"/>
              <w:rPr>
                <w:rFonts w:hint="eastAsia" w:ascii="宋体" w:hAnsi="宋体"/>
                <w:color w:val="auto"/>
                <w:szCs w:val="21"/>
              </w:rPr>
            </w:pPr>
            <w:r>
              <w:rPr>
                <w:rFonts w:hint="eastAsia" w:ascii="宋体" w:hAnsi="宋体"/>
                <w:color w:val="auto"/>
                <w:szCs w:val="21"/>
              </w:rPr>
              <w:t>≥0.5</w:t>
            </w:r>
            <w:bookmarkStart w:id="46" w:name="OLE_LINK13"/>
            <w:r>
              <w:rPr>
                <w:rFonts w:hint="eastAsia" w:ascii="宋体" w:hAnsi="宋体"/>
                <w:color w:val="auto"/>
                <w:szCs w:val="21"/>
              </w:rPr>
              <w:t>μm</w:t>
            </w:r>
            <w:bookmarkEnd w:id="46"/>
          </w:p>
        </w:tc>
        <w:tc>
          <w:tcPr>
            <w:tcW w:w="3030" w:type="dxa"/>
            <w:vAlign w:val="center"/>
          </w:tcPr>
          <w:p>
            <w:pPr>
              <w:widowControl/>
              <w:spacing w:line="360" w:lineRule="auto"/>
              <w:jc w:val="center"/>
              <w:rPr>
                <w:rFonts w:hint="eastAsia" w:ascii="宋体" w:hAnsi="宋体"/>
                <w:color w:val="auto"/>
                <w:szCs w:val="21"/>
              </w:rPr>
            </w:pPr>
            <w:r>
              <w:rPr>
                <w:rFonts w:ascii="宋体" w:hAnsi="宋体"/>
                <w:color w:val="auto"/>
                <w:szCs w:val="21"/>
              </w:rPr>
              <w:t>≤3520000个/m³</w:t>
            </w:r>
          </w:p>
        </w:tc>
        <w:tc>
          <w:tcPr>
            <w:tcW w:w="2861" w:type="dxa"/>
            <w:vMerge w:val="restart"/>
            <w:vAlign w:val="center"/>
          </w:tcPr>
          <w:p>
            <w:pPr>
              <w:widowControl/>
              <w:spacing w:line="360" w:lineRule="auto"/>
              <w:jc w:val="center"/>
              <w:rPr>
                <w:rFonts w:hint="eastAsia" w:ascii="宋体" w:hAnsi="宋体"/>
                <w:color w:val="auto"/>
                <w:szCs w:val="21"/>
              </w:rPr>
            </w:pPr>
            <w:r>
              <w:rPr>
                <w:rFonts w:ascii="宋体" w:hAnsi="宋体"/>
                <w:color w:val="auto"/>
                <w:szCs w:val="21"/>
              </w:rPr>
              <w:t>粒子计数需通过激光粒子计数器在静态或动态下检测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vMerge w:val="continue"/>
            <w:vAlign w:val="center"/>
          </w:tcPr>
          <w:p>
            <w:pPr>
              <w:widowControl/>
              <w:spacing w:line="360" w:lineRule="auto"/>
              <w:jc w:val="center"/>
              <w:rPr>
                <w:rFonts w:hint="eastAsia" w:ascii="宋体" w:hAnsi="宋体"/>
                <w:color w:val="auto"/>
                <w:szCs w:val="21"/>
              </w:rPr>
            </w:pPr>
          </w:p>
        </w:tc>
        <w:tc>
          <w:tcPr>
            <w:tcW w:w="1183" w:type="dxa"/>
            <w:vAlign w:val="center"/>
          </w:tcPr>
          <w:p>
            <w:pPr>
              <w:widowControl/>
              <w:spacing w:line="360" w:lineRule="auto"/>
              <w:jc w:val="center"/>
              <w:rPr>
                <w:rFonts w:hint="eastAsia" w:ascii="宋体" w:hAnsi="宋体"/>
                <w:color w:val="auto"/>
                <w:szCs w:val="21"/>
              </w:rPr>
            </w:pPr>
            <w:r>
              <w:rPr>
                <w:rFonts w:hint="eastAsia" w:ascii="宋体" w:hAnsi="宋体"/>
                <w:color w:val="auto"/>
                <w:szCs w:val="21"/>
              </w:rPr>
              <w:t>≤5μm</w:t>
            </w:r>
          </w:p>
        </w:tc>
        <w:tc>
          <w:tcPr>
            <w:tcW w:w="3030" w:type="dxa"/>
            <w:vAlign w:val="center"/>
          </w:tcPr>
          <w:p>
            <w:pPr>
              <w:widowControl/>
              <w:spacing w:line="360" w:lineRule="auto"/>
              <w:jc w:val="center"/>
              <w:rPr>
                <w:rFonts w:hint="eastAsia" w:ascii="宋体" w:hAnsi="宋体"/>
                <w:color w:val="auto"/>
                <w:szCs w:val="21"/>
              </w:rPr>
            </w:pPr>
            <w:r>
              <w:rPr>
                <w:rFonts w:ascii="宋体" w:hAnsi="宋体"/>
                <w:color w:val="auto"/>
                <w:szCs w:val="21"/>
              </w:rPr>
              <w:t>≤</w:t>
            </w:r>
            <w:r>
              <w:rPr>
                <w:rFonts w:hint="eastAsia" w:ascii="宋体" w:hAnsi="宋体"/>
                <w:color w:val="auto"/>
                <w:szCs w:val="21"/>
              </w:rPr>
              <w:t>2000</w:t>
            </w:r>
            <w:r>
              <w:rPr>
                <w:rFonts w:ascii="宋体" w:hAnsi="宋体"/>
                <w:color w:val="auto"/>
                <w:szCs w:val="21"/>
              </w:rPr>
              <w:t>0个/m³</w:t>
            </w:r>
          </w:p>
        </w:tc>
        <w:tc>
          <w:tcPr>
            <w:tcW w:w="2861" w:type="dxa"/>
            <w:vMerge w:val="continue"/>
            <w:vAlign w:val="center"/>
          </w:tcPr>
          <w:p>
            <w:pPr>
              <w:widowControl/>
              <w:spacing w:line="360" w:lineRule="auto"/>
              <w:jc w:val="center"/>
              <w:rPr>
                <w:rFonts w:hint="eastAsia"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vAlign w:val="center"/>
          </w:tcPr>
          <w:p>
            <w:pPr>
              <w:widowControl/>
              <w:spacing w:line="360" w:lineRule="auto"/>
              <w:jc w:val="center"/>
              <w:rPr>
                <w:rFonts w:hint="eastAsia" w:ascii="宋体" w:hAnsi="宋体"/>
                <w:color w:val="auto"/>
                <w:szCs w:val="21"/>
              </w:rPr>
            </w:pPr>
            <w:r>
              <w:rPr>
                <w:rFonts w:hint="eastAsia" w:ascii="宋体" w:hAnsi="宋体"/>
                <w:color w:val="auto"/>
                <w:szCs w:val="21"/>
              </w:rPr>
              <w:t>正压压差（Pa)</w:t>
            </w:r>
          </w:p>
        </w:tc>
        <w:tc>
          <w:tcPr>
            <w:tcW w:w="3030" w:type="dxa"/>
            <w:vAlign w:val="center"/>
          </w:tcPr>
          <w:p>
            <w:pPr>
              <w:widowControl/>
              <w:spacing w:line="360" w:lineRule="auto"/>
              <w:jc w:val="center"/>
              <w:rPr>
                <w:rFonts w:hint="eastAsia" w:ascii="宋体" w:hAnsi="宋体"/>
                <w:color w:val="auto"/>
                <w:szCs w:val="21"/>
              </w:rPr>
            </w:pPr>
            <w:r>
              <w:rPr>
                <w:rFonts w:ascii="宋体" w:hAnsi="宋体"/>
                <w:color w:val="auto"/>
                <w:szCs w:val="21"/>
              </w:rPr>
              <w:t>灌注大于冲瓶且洁净间与室外的压差≥10Pa</w:t>
            </w:r>
          </w:p>
        </w:tc>
        <w:tc>
          <w:tcPr>
            <w:tcW w:w="2861" w:type="dxa"/>
            <w:vAlign w:val="center"/>
          </w:tcPr>
          <w:p>
            <w:pPr>
              <w:widowControl/>
              <w:spacing w:line="360" w:lineRule="auto"/>
              <w:jc w:val="center"/>
              <w:rPr>
                <w:rFonts w:hint="eastAsia" w:ascii="宋体" w:hAnsi="宋体"/>
                <w:color w:val="auto"/>
                <w:szCs w:val="21"/>
              </w:rPr>
            </w:pPr>
            <w:r>
              <w:rPr>
                <w:rFonts w:hint="eastAsia" w:ascii="宋体" w:hAnsi="宋体"/>
                <w:color w:val="auto"/>
                <w:szCs w:val="21"/>
              </w:rPr>
              <w:t>每个生产周期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vAlign w:val="center"/>
          </w:tcPr>
          <w:p>
            <w:pPr>
              <w:widowControl/>
              <w:spacing w:line="360" w:lineRule="auto"/>
              <w:jc w:val="center"/>
              <w:rPr>
                <w:rFonts w:hint="eastAsia" w:ascii="宋体" w:hAnsi="宋体"/>
                <w:color w:val="auto"/>
                <w:szCs w:val="21"/>
              </w:rPr>
            </w:pPr>
            <w:r>
              <w:rPr>
                <w:rFonts w:hint="eastAsia" w:ascii="宋体" w:hAnsi="宋体"/>
                <w:color w:val="auto"/>
                <w:szCs w:val="21"/>
              </w:rPr>
              <w:t>温湿度要求</w:t>
            </w:r>
          </w:p>
        </w:tc>
        <w:tc>
          <w:tcPr>
            <w:tcW w:w="3030" w:type="dxa"/>
            <w:vAlign w:val="center"/>
          </w:tcPr>
          <w:p>
            <w:pPr>
              <w:widowControl/>
              <w:spacing w:line="360" w:lineRule="auto"/>
              <w:jc w:val="center"/>
              <w:rPr>
                <w:rFonts w:hint="eastAsia" w:ascii="宋体" w:hAnsi="宋体"/>
                <w:color w:val="auto"/>
                <w:szCs w:val="21"/>
              </w:rPr>
            </w:pPr>
            <w:r>
              <w:rPr>
                <w:rFonts w:ascii="宋体" w:hAnsi="宋体"/>
                <w:color w:val="auto"/>
                <w:szCs w:val="21"/>
              </w:rPr>
              <w:t>温度：15-27℃</w:t>
            </w:r>
            <w:r>
              <w:rPr>
                <w:rFonts w:hint="eastAsia" w:ascii="宋体" w:hAnsi="宋体"/>
                <w:color w:val="auto"/>
                <w:szCs w:val="21"/>
              </w:rPr>
              <w:t>；</w:t>
            </w:r>
            <w:r>
              <w:rPr>
                <w:rFonts w:ascii="宋体" w:hAnsi="宋体"/>
                <w:color w:val="auto"/>
                <w:szCs w:val="21"/>
              </w:rPr>
              <w:t>湿度：≤65%</w:t>
            </w:r>
          </w:p>
        </w:tc>
        <w:tc>
          <w:tcPr>
            <w:tcW w:w="2861" w:type="dxa"/>
            <w:vAlign w:val="center"/>
          </w:tcPr>
          <w:p>
            <w:pPr>
              <w:widowControl/>
              <w:spacing w:line="360" w:lineRule="auto"/>
              <w:jc w:val="center"/>
              <w:rPr>
                <w:rFonts w:hint="eastAsia"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vAlign w:val="center"/>
          </w:tcPr>
          <w:p>
            <w:pPr>
              <w:widowControl/>
              <w:spacing w:line="360" w:lineRule="auto"/>
              <w:jc w:val="center"/>
              <w:rPr>
                <w:rFonts w:hint="eastAsia" w:ascii="宋体" w:hAnsi="宋体"/>
                <w:color w:val="auto"/>
                <w:szCs w:val="21"/>
              </w:rPr>
            </w:pPr>
            <w:r>
              <w:rPr>
                <w:rFonts w:hint="eastAsia" w:ascii="宋体" w:hAnsi="宋体"/>
                <w:color w:val="auto"/>
                <w:szCs w:val="21"/>
              </w:rPr>
              <w:t>换气次数（次/小时）</w:t>
            </w:r>
          </w:p>
        </w:tc>
        <w:tc>
          <w:tcPr>
            <w:tcW w:w="3030" w:type="dxa"/>
            <w:vAlign w:val="center"/>
          </w:tcPr>
          <w:p>
            <w:pPr>
              <w:widowControl/>
              <w:spacing w:line="360" w:lineRule="auto"/>
              <w:jc w:val="center"/>
              <w:rPr>
                <w:rFonts w:hint="eastAsia" w:ascii="宋体" w:hAnsi="宋体"/>
                <w:color w:val="auto"/>
                <w:szCs w:val="21"/>
              </w:rPr>
            </w:pPr>
            <w:r>
              <w:rPr>
                <w:rFonts w:hint="eastAsia" w:ascii="宋体" w:hAnsi="宋体"/>
                <w:color w:val="auto"/>
                <w:szCs w:val="21"/>
              </w:rPr>
              <w:t>≥20（次/小时）</w:t>
            </w:r>
          </w:p>
        </w:tc>
        <w:tc>
          <w:tcPr>
            <w:tcW w:w="2861" w:type="dxa"/>
            <w:vAlign w:val="center"/>
          </w:tcPr>
          <w:p>
            <w:pPr>
              <w:widowControl/>
              <w:spacing w:line="360" w:lineRule="auto"/>
              <w:jc w:val="center"/>
              <w:rPr>
                <w:rFonts w:hint="eastAsia"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vAlign w:val="center"/>
          </w:tcPr>
          <w:p>
            <w:pPr>
              <w:widowControl/>
              <w:spacing w:line="360" w:lineRule="auto"/>
              <w:jc w:val="center"/>
              <w:rPr>
                <w:rFonts w:hint="eastAsia" w:ascii="宋体" w:hAnsi="宋体"/>
                <w:color w:val="auto"/>
                <w:szCs w:val="21"/>
              </w:rPr>
            </w:pPr>
            <w:r>
              <w:rPr>
                <w:rFonts w:hint="eastAsia" w:ascii="宋体" w:hAnsi="宋体"/>
                <w:color w:val="auto"/>
                <w:szCs w:val="21"/>
              </w:rPr>
              <w:t>浮游菌（cfu/m³）</w:t>
            </w:r>
          </w:p>
        </w:tc>
        <w:tc>
          <w:tcPr>
            <w:tcW w:w="3030" w:type="dxa"/>
            <w:vAlign w:val="center"/>
          </w:tcPr>
          <w:p>
            <w:pPr>
              <w:widowControl/>
              <w:spacing w:line="360" w:lineRule="auto"/>
              <w:jc w:val="center"/>
              <w:rPr>
                <w:rFonts w:hint="eastAsia" w:ascii="宋体" w:hAnsi="宋体"/>
                <w:color w:val="auto"/>
                <w:szCs w:val="21"/>
              </w:rPr>
            </w:pPr>
            <w:r>
              <w:rPr>
                <w:rFonts w:ascii="宋体" w:hAnsi="宋体"/>
                <w:color w:val="auto"/>
                <w:szCs w:val="21"/>
              </w:rPr>
              <w:t>≤500 CFU/m³</w:t>
            </w:r>
          </w:p>
        </w:tc>
        <w:tc>
          <w:tcPr>
            <w:tcW w:w="2861" w:type="dxa"/>
            <w:vAlign w:val="center"/>
          </w:tcPr>
          <w:p>
            <w:pPr>
              <w:widowControl/>
              <w:spacing w:line="360" w:lineRule="auto"/>
              <w:jc w:val="center"/>
              <w:rPr>
                <w:rFonts w:hint="eastAsia"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vAlign w:val="center"/>
          </w:tcPr>
          <w:p>
            <w:pPr>
              <w:widowControl/>
              <w:spacing w:line="360" w:lineRule="auto"/>
              <w:jc w:val="center"/>
              <w:rPr>
                <w:rFonts w:hint="eastAsia" w:ascii="宋体" w:hAnsi="宋体"/>
                <w:color w:val="auto"/>
                <w:szCs w:val="21"/>
              </w:rPr>
            </w:pPr>
            <w:r>
              <w:rPr>
                <w:rFonts w:hint="eastAsia" w:ascii="宋体" w:hAnsi="宋体"/>
                <w:color w:val="auto"/>
                <w:szCs w:val="21"/>
              </w:rPr>
              <w:t>沉降菌（cfu/皿/30min）</w:t>
            </w:r>
          </w:p>
        </w:tc>
        <w:tc>
          <w:tcPr>
            <w:tcW w:w="3030" w:type="dxa"/>
            <w:vAlign w:val="center"/>
          </w:tcPr>
          <w:p>
            <w:pPr>
              <w:widowControl/>
              <w:spacing w:line="360" w:lineRule="auto"/>
              <w:jc w:val="center"/>
              <w:rPr>
                <w:rFonts w:hint="eastAsia" w:ascii="宋体" w:hAnsi="宋体"/>
                <w:color w:val="auto"/>
                <w:szCs w:val="21"/>
              </w:rPr>
            </w:pPr>
            <w:r>
              <w:rPr>
                <w:rFonts w:ascii="宋体" w:hAnsi="宋体"/>
                <w:color w:val="auto"/>
                <w:szCs w:val="21"/>
              </w:rPr>
              <w:t>≤10CFU/皿</w:t>
            </w:r>
          </w:p>
        </w:tc>
        <w:tc>
          <w:tcPr>
            <w:tcW w:w="2861" w:type="dxa"/>
            <w:vAlign w:val="center"/>
          </w:tcPr>
          <w:p>
            <w:pPr>
              <w:widowControl/>
              <w:spacing w:line="360" w:lineRule="auto"/>
              <w:jc w:val="center"/>
              <w:rPr>
                <w:rFonts w:hint="eastAsia"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vAlign w:val="center"/>
          </w:tcPr>
          <w:p>
            <w:pPr>
              <w:widowControl/>
              <w:spacing w:line="360" w:lineRule="auto"/>
              <w:jc w:val="center"/>
              <w:rPr>
                <w:rFonts w:hint="eastAsia" w:ascii="宋体" w:hAnsi="宋体"/>
                <w:color w:val="auto"/>
                <w:szCs w:val="21"/>
              </w:rPr>
            </w:pPr>
            <w:r>
              <w:rPr>
                <w:rFonts w:hint="eastAsia" w:ascii="宋体" w:hAnsi="宋体"/>
                <w:color w:val="auto"/>
                <w:szCs w:val="21"/>
              </w:rPr>
              <w:t>尘埃粒子</w:t>
            </w:r>
          </w:p>
        </w:tc>
        <w:tc>
          <w:tcPr>
            <w:tcW w:w="3030" w:type="dxa"/>
            <w:vAlign w:val="center"/>
          </w:tcPr>
          <w:p>
            <w:pPr>
              <w:widowControl/>
              <w:spacing w:line="360" w:lineRule="auto"/>
              <w:jc w:val="center"/>
              <w:rPr>
                <w:rFonts w:hint="eastAsia" w:ascii="宋体" w:hAnsi="宋体"/>
                <w:color w:val="auto"/>
                <w:szCs w:val="21"/>
              </w:rPr>
            </w:pPr>
            <w:r>
              <w:rPr>
                <w:rFonts w:hint="eastAsia" w:ascii="宋体" w:hAnsi="宋体"/>
                <w:color w:val="auto"/>
                <w:szCs w:val="21"/>
              </w:rPr>
              <w:t>每28.3L气体中≥0.5μm的粒子数：十万级区≤100000（静态）</w:t>
            </w:r>
          </w:p>
        </w:tc>
        <w:tc>
          <w:tcPr>
            <w:tcW w:w="2861" w:type="dxa"/>
            <w:vAlign w:val="center"/>
          </w:tcPr>
          <w:p>
            <w:pPr>
              <w:widowControl/>
              <w:spacing w:line="360" w:lineRule="auto"/>
              <w:jc w:val="center"/>
              <w:rPr>
                <w:rFonts w:hint="eastAsia" w:ascii="宋体" w:hAnsi="宋体"/>
                <w:color w:val="auto"/>
                <w:szCs w:val="21"/>
              </w:rPr>
            </w:pPr>
            <w:r>
              <w:rPr>
                <w:rFonts w:hint="eastAsia" w:ascii="宋体" w:hAnsi="宋体"/>
                <w:color w:val="auto"/>
                <w:szCs w:val="21"/>
              </w:rPr>
              <w:t>生产周期结束后，尘埃粒子计数器检测</w:t>
            </w:r>
          </w:p>
        </w:tc>
      </w:tr>
    </w:tbl>
    <w:p>
      <w:pPr>
        <w:pStyle w:val="36"/>
        <w:numPr>
          <w:ilvl w:val="0"/>
          <w:numId w:val="36"/>
        </w:numPr>
        <w:spacing w:line="360" w:lineRule="auto"/>
        <w:rPr>
          <w:rFonts w:hint="eastAsia" w:ascii="宋体" w:hAnsi="宋体"/>
          <w:bCs/>
          <w:color w:val="auto"/>
          <w:szCs w:val="21"/>
        </w:rPr>
      </w:pPr>
      <w:r>
        <w:rPr>
          <w:rFonts w:hint="eastAsia" w:ascii="宋体" w:hAnsi="宋体"/>
          <w:bCs/>
          <w:color w:val="auto"/>
          <w:szCs w:val="21"/>
        </w:rPr>
        <w:t xml:space="preserve">配合招标方完成食品级洁净室性能检测。 </w:t>
      </w:r>
    </w:p>
    <w:p>
      <w:pPr>
        <w:pStyle w:val="36"/>
        <w:numPr>
          <w:ilvl w:val="0"/>
          <w:numId w:val="36"/>
        </w:numPr>
        <w:spacing w:line="360" w:lineRule="auto"/>
        <w:rPr>
          <w:rFonts w:hint="eastAsia" w:ascii="宋体" w:hAnsi="宋体"/>
          <w:bCs/>
          <w:color w:val="auto"/>
          <w:szCs w:val="21"/>
        </w:rPr>
      </w:pPr>
      <w:r>
        <w:rPr>
          <w:rFonts w:hint="eastAsia" w:ascii="宋体" w:hAnsi="宋体"/>
          <w:bCs/>
          <w:color w:val="auto"/>
          <w:szCs w:val="21"/>
        </w:rPr>
        <w:t>洁净间内使用的材料不能生锈，不能产生异物掉落。</w:t>
      </w:r>
    </w:p>
    <w:p>
      <w:pPr>
        <w:pStyle w:val="36"/>
        <w:numPr>
          <w:ilvl w:val="0"/>
          <w:numId w:val="36"/>
        </w:numPr>
        <w:spacing w:line="360" w:lineRule="auto"/>
        <w:rPr>
          <w:rFonts w:hint="eastAsia" w:ascii="宋体" w:hAnsi="宋体"/>
          <w:bCs/>
          <w:color w:val="auto"/>
          <w:szCs w:val="21"/>
        </w:rPr>
      </w:pPr>
      <w:r>
        <w:rPr>
          <w:rFonts w:hint="eastAsia" w:ascii="宋体" w:hAnsi="宋体"/>
          <w:bCs/>
          <w:color w:val="auto"/>
          <w:szCs w:val="21"/>
        </w:rPr>
        <w:t>投标方需要委托有资质的设计单位设计洁净房。</w:t>
      </w:r>
    </w:p>
    <w:p>
      <w:pPr>
        <w:pStyle w:val="36"/>
        <w:numPr>
          <w:ilvl w:val="0"/>
          <w:numId w:val="36"/>
        </w:numPr>
        <w:spacing w:line="360" w:lineRule="auto"/>
        <w:rPr>
          <w:rFonts w:hint="eastAsia" w:ascii="宋体" w:hAnsi="宋体"/>
          <w:bCs/>
          <w:color w:val="auto"/>
          <w:szCs w:val="21"/>
        </w:rPr>
      </w:pPr>
      <w:r>
        <w:rPr>
          <w:rFonts w:hint="eastAsia" w:ascii="宋体" w:hAnsi="宋体"/>
          <w:bCs/>
          <w:color w:val="auto"/>
          <w:szCs w:val="21"/>
        </w:rPr>
        <w:t>由于PAA/H2O2杀菌系统过多敞露在灌装车间的空气中，无菌灌装机需要在上部建筑上有额外的排气设施。该排气量应包含在灌装车间的总体计算中。</w:t>
      </w:r>
    </w:p>
    <w:p>
      <w:pPr>
        <w:widowControl/>
        <w:spacing w:line="360" w:lineRule="auto"/>
        <w:jc w:val="left"/>
        <w:rPr>
          <w:rFonts w:hint="eastAsia" w:ascii="宋体" w:hAnsi="宋体"/>
          <w:b/>
          <w:bCs/>
          <w:color w:val="auto"/>
          <w:szCs w:val="21"/>
        </w:rPr>
      </w:pPr>
      <w:r>
        <w:rPr>
          <w:rFonts w:hint="eastAsia" w:ascii="宋体" w:hAnsi="宋体"/>
          <w:b/>
          <w:bCs/>
          <w:color w:val="auto"/>
          <w:szCs w:val="21"/>
        </w:rPr>
        <w:t>（二）装修</w:t>
      </w:r>
    </w:p>
    <w:tbl>
      <w:tblPr>
        <w:tblStyle w:val="19"/>
        <w:tblW w:w="84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701"/>
        <w:gridCol w:w="5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widowControl/>
              <w:spacing w:line="360" w:lineRule="auto"/>
              <w:jc w:val="center"/>
              <w:rPr>
                <w:rFonts w:hint="eastAsia" w:ascii="宋体" w:hAnsi="宋体"/>
                <w:color w:val="auto"/>
                <w:szCs w:val="21"/>
              </w:rPr>
            </w:pPr>
            <w:r>
              <w:rPr>
                <w:rFonts w:hint="eastAsia" w:ascii="宋体" w:hAnsi="宋体"/>
                <w:color w:val="auto"/>
                <w:szCs w:val="21"/>
              </w:rPr>
              <w:t>名称</w:t>
            </w:r>
          </w:p>
        </w:tc>
        <w:tc>
          <w:tcPr>
            <w:tcW w:w="7636" w:type="dxa"/>
            <w:gridSpan w:val="2"/>
          </w:tcPr>
          <w:p>
            <w:pPr>
              <w:widowControl/>
              <w:spacing w:line="360" w:lineRule="auto"/>
              <w:jc w:val="center"/>
              <w:rPr>
                <w:rFonts w:hint="eastAsia" w:ascii="宋体" w:hAnsi="宋体"/>
                <w:b/>
                <w:bCs/>
                <w:color w:val="auto"/>
                <w:szCs w:val="21"/>
              </w:rPr>
            </w:pPr>
            <w:r>
              <w:rPr>
                <w:rFonts w:hint="eastAsia" w:ascii="宋体" w:hAnsi="宋体"/>
                <w:color w:val="auto"/>
                <w:szCs w:val="21"/>
              </w:rPr>
              <w:t>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restart"/>
            <w:vAlign w:val="center"/>
          </w:tcPr>
          <w:p>
            <w:pPr>
              <w:spacing w:line="360" w:lineRule="auto"/>
              <w:jc w:val="center"/>
              <w:rPr>
                <w:rFonts w:hint="eastAsia" w:ascii="宋体" w:hAnsi="宋体"/>
                <w:color w:val="auto"/>
                <w:szCs w:val="21"/>
              </w:rPr>
            </w:pPr>
            <w:r>
              <w:rPr>
                <w:rFonts w:hint="eastAsia" w:ascii="宋体" w:hAnsi="宋体"/>
                <w:color w:val="auto"/>
                <w:szCs w:val="21"/>
              </w:rPr>
              <w:t>车间隔断</w:t>
            </w:r>
          </w:p>
        </w:tc>
        <w:tc>
          <w:tcPr>
            <w:tcW w:w="1701" w:type="dxa"/>
            <w:vAlign w:val="center"/>
          </w:tcPr>
          <w:p>
            <w:pPr>
              <w:widowControl/>
              <w:spacing w:line="360" w:lineRule="auto"/>
              <w:jc w:val="center"/>
              <w:rPr>
                <w:rFonts w:hint="eastAsia" w:ascii="宋体" w:hAnsi="宋体"/>
                <w:color w:val="auto"/>
                <w:szCs w:val="21"/>
              </w:rPr>
            </w:pPr>
            <w:r>
              <w:rPr>
                <w:rFonts w:hint="eastAsia" w:ascii="宋体" w:hAnsi="宋体"/>
                <w:color w:val="auto"/>
                <w:szCs w:val="21"/>
              </w:rPr>
              <w:t>品牌</w:t>
            </w:r>
          </w:p>
        </w:tc>
        <w:tc>
          <w:tcPr>
            <w:tcW w:w="5935" w:type="dxa"/>
          </w:tcPr>
          <w:p>
            <w:pPr>
              <w:widowControl/>
              <w:spacing w:line="360" w:lineRule="auto"/>
              <w:jc w:val="left"/>
              <w:rPr>
                <w:rFonts w:hint="eastAsia" w:ascii="宋体" w:hAnsi="宋体"/>
                <w:color w:val="auto"/>
                <w:szCs w:val="21"/>
              </w:rPr>
            </w:pPr>
            <w:r>
              <w:rPr>
                <w:rFonts w:hint="eastAsia" w:ascii="宋体" w:hAnsi="宋体"/>
                <w:color w:val="auto"/>
                <w:szCs w:val="21"/>
              </w:rPr>
              <w:t>采用国瑞、通成</w:t>
            </w:r>
            <w:r>
              <w:rPr>
                <w:rFonts w:hint="eastAsia" w:ascii="宋体" w:hAnsi="宋体"/>
                <w:color w:val="auto"/>
                <w:szCs w:val="21"/>
                <w:lang w:val="da-DK"/>
              </w:rPr>
              <w:t>、莱润或同等及以上品牌。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widowControl/>
              <w:spacing w:line="360" w:lineRule="auto"/>
              <w:jc w:val="center"/>
              <w:rPr>
                <w:rFonts w:hint="eastAsia" w:ascii="宋体" w:hAnsi="宋体"/>
                <w:b/>
                <w:bCs/>
                <w:color w:val="auto"/>
                <w:szCs w:val="21"/>
              </w:rPr>
            </w:pPr>
          </w:p>
        </w:tc>
        <w:tc>
          <w:tcPr>
            <w:tcW w:w="1701" w:type="dxa"/>
            <w:vAlign w:val="center"/>
          </w:tcPr>
          <w:p>
            <w:pPr>
              <w:widowControl/>
              <w:spacing w:line="360" w:lineRule="auto"/>
              <w:jc w:val="center"/>
              <w:rPr>
                <w:rFonts w:hint="eastAsia" w:ascii="宋体" w:hAnsi="宋体"/>
                <w:color w:val="auto"/>
                <w:szCs w:val="21"/>
              </w:rPr>
            </w:pPr>
            <w:r>
              <w:rPr>
                <w:rFonts w:hint="eastAsia" w:ascii="宋体" w:hAnsi="宋体"/>
                <w:color w:val="auto"/>
                <w:szCs w:val="21"/>
              </w:rPr>
              <w:t>隔墙板</w:t>
            </w:r>
          </w:p>
        </w:tc>
        <w:tc>
          <w:tcPr>
            <w:tcW w:w="5935" w:type="dxa"/>
          </w:tcPr>
          <w:p>
            <w:pPr>
              <w:widowControl/>
              <w:spacing w:line="360" w:lineRule="auto"/>
              <w:jc w:val="left"/>
              <w:rPr>
                <w:rFonts w:hint="eastAsia" w:ascii="宋体" w:hAnsi="宋体"/>
                <w:color w:val="auto"/>
                <w:szCs w:val="21"/>
              </w:rPr>
            </w:pPr>
            <w:r>
              <w:rPr>
                <w:rFonts w:hint="eastAsia" w:ascii="宋体" w:hAnsi="宋体"/>
                <w:color w:val="auto"/>
                <w:szCs w:val="21"/>
              </w:rPr>
              <w:t>（1）采用双面</w:t>
            </w:r>
            <w:r>
              <w:rPr>
                <w:rFonts w:ascii="宋体" w:hAnsi="宋体"/>
                <w:color w:val="auto"/>
                <w:szCs w:val="21"/>
              </w:rPr>
              <w:t>304</w:t>
            </w:r>
            <w:r>
              <w:rPr>
                <w:rFonts w:hint="eastAsia" w:ascii="宋体" w:hAnsi="宋体"/>
                <w:color w:val="auto"/>
                <w:szCs w:val="21"/>
              </w:rPr>
              <w:t>不锈钢中空玻镁板，材质厚度δ=50mm。表面面层采用厚度不小于0.5mm的优质不锈钢板；</w:t>
            </w:r>
          </w:p>
          <w:p>
            <w:pPr>
              <w:widowControl/>
              <w:spacing w:line="360" w:lineRule="auto"/>
              <w:jc w:val="left"/>
              <w:rPr>
                <w:rFonts w:hint="eastAsia" w:ascii="宋体" w:hAnsi="宋体"/>
                <w:color w:val="auto"/>
                <w:szCs w:val="21"/>
              </w:rPr>
            </w:pPr>
            <w:r>
              <w:rPr>
                <w:rFonts w:hint="eastAsia" w:ascii="宋体" w:hAnsi="宋体"/>
                <w:color w:val="auto"/>
                <w:szCs w:val="21"/>
              </w:rPr>
              <w:t>（2）铝合金内边框（厚度≥0.8mm）</w:t>
            </w:r>
          </w:p>
          <w:p>
            <w:pPr>
              <w:widowControl/>
              <w:spacing w:line="360" w:lineRule="auto"/>
              <w:jc w:val="left"/>
              <w:rPr>
                <w:rFonts w:hint="eastAsia" w:ascii="宋体" w:hAnsi="宋体"/>
                <w:color w:val="auto"/>
                <w:szCs w:val="21"/>
              </w:rPr>
            </w:pPr>
            <w:r>
              <w:rPr>
                <w:rFonts w:hint="eastAsia" w:ascii="宋体" w:hAnsi="宋体"/>
                <w:color w:val="auto"/>
                <w:szCs w:val="21"/>
              </w:rPr>
              <w:t>（3）墙板间采用企口式锁扣结构，</w:t>
            </w:r>
            <w:r>
              <w:rPr>
                <w:rFonts w:ascii="宋体" w:hAnsi="宋体"/>
                <w:color w:val="auto"/>
                <w:szCs w:val="21"/>
              </w:rPr>
              <w:t>转角处做圆弧处理（R≥50mm）减少积尘死角</w:t>
            </w:r>
            <w:r>
              <w:rPr>
                <w:rFonts w:hint="eastAsia" w:ascii="宋体" w:hAnsi="宋体"/>
                <w:color w:val="auto"/>
                <w:szCs w:val="21"/>
              </w:rPr>
              <w:t>，底座需要做不锈钢围堰（样式如附件3: 底座不锈钢围堰图）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widowControl/>
              <w:spacing w:line="360" w:lineRule="auto"/>
              <w:jc w:val="center"/>
              <w:rPr>
                <w:rFonts w:hint="eastAsia" w:ascii="宋体" w:hAnsi="宋体"/>
                <w:b/>
                <w:bCs/>
                <w:color w:val="auto"/>
                <w:szCs w:val="21"/>
              </w:rPr>
            </w:pPr>
          </w:p>
        </w:tc>
        <w:tc>
          <w:tcPr>
            <w:tcW w:w="1701" w:type="dxa"/>
            <w:vMerge w:val="restart"/>
            <w:vAlign w:val="center"/>
          </w:tcPr>
          <w:p>
            <w:pPr>
              <w:widowControl/>
              <w:spacing w:line="360" w:lineRule="auto"/>
              <w:jc w:val="center"/>
              <w:rPr>
                <w:rFonts w:hint="eastAsia" w:ascii="宋体" w:hAnsi="宋体"/>
                <w:color w:val="auto"/>
                <w:szCs w:val="21"/>
              </w:rPr>
            </w:pPr>
            <w:r>
              <w:rPr>
                <w:rFonts w:hint="eastAsia" w:ascii="宋体" w:hAnsi="宋体"/>
                <w:color w:val="auto"/>
                <w:szCs w:val="21"/>
              </w:rPr>
              <w:t>吊顶</w:t>
            </w:r>
          </w:p>
        </w:tc>
        <w:tc>
          <w:tcPr>
            <w:tcW w:w="5935" w:type="dxa"/>
          </w:tcPr>
          <w:p>
            <w:pPr>
              <w:widowControl/>
              <w:spacing w:line="360" w:lineRule="auto"/>
              <w:jc w:val="left"/>
              <w:rPr>
                <w:rFonts w:hint="eastAsia" w:ascii="宋体" w:hAnsi="宋体"/>
                <w:color w:val="auto"/>
                <w:szCs w:val="21"/>
              </w:rPr>
            </w:pPr>
            <w:r>
              <w:rPr>
                <w:rFonts w:hint="eastAsia" w:ascii="宋体" w:hAnsi="宋体"/>
                <w:color w:val="auto"/>
                <w:szCs w:val="21"/>
              </w:rPr>
              <w:t>（1）吊顶板采用单面</w:t>
            </w:r>
            <w:r>
              <w:rPr>
                <w:rFonts w:ascii="宋体" w:hAnsi="宋体"/>
                <w:color w:val="auto"/>
                <w:szCs w:val="21"/>
              </w:rPr>
              <w:t>304</w:t>
            </w:r>
            <w:r>
              <w:rPr>
                <w:rFonts w:hint="eastAsia" w:ascii="宋体" w:hAnsi="宋体"/>
                <w:color w:val="auto"/>
                <w:szCs w:val="21"/>
              </w:rPr>
              <w:t>不锈钢中空玻镁板</w:t>
            </w:r>
          </w:p>
          <w:p>
            <w:pPr>
              <w:widowControl/>
              <w:spacing w:line="360" w:lineRule="auto"/>
              <w:jc w:val="left"/>
              <w:rPr>
                <w:rFonts w:hint="eastAsia" w:ascii="宋体" w:hAnsi="宋体"/>
                <w:color w:val="auto"/>
                <w:szCs w:val="21"/>
              </w:rPr>
            </w:pPr>
            <w:r>
              <w:rPr>
                <w:rFonts w:hint="eastAsia" w:ascii="宋体" w:hAnsi="宋体"/>
                <w:color w:val="auto"/>
                <w:szCs w:val="21"/>
              </w:rPr>
              <w:t>（2）板厚度δ=50mm，表面面层采用厚度国标0.5mm的优质不锈钢板，企口联接。</w:t>
            </w:r>
          </w:p>
          <w:p>
            <w:pPr>
              <w:widowControl/>
              <w:spacing w:line="360" w:lineRule="auto"/>
              <w:jc w:val="left"/>
              <w:rPr>
                <w:rFonts w:hint="eastAsia" w:ascii="宋体" w:hAnsi="宋体"/>
                <w:color w:val="auto"/>
                <w:szCs w:val="21"/>
              </w:rPr>
            </w:pPr>
            <w:r>
              <w:rPr>
                <w:rFonts w:hint="eastAsia" w:ascii="宋体" w:hAnsi="宋体"/>
                <w:color w:val="auto"/>
                <w:szCs w:val="21"/>
              </w:rPr>
              <w:t>（3）所有的连接件采用≥1.2 mm厚的铝型材</w:t>
            </w:r>
          </w:p>
          <w:p>
            <w:pPr>
              <w:widowControl/>
              <w:spacing w:line="360" w:lineRule="auto"/>
              <w:jc w:val="left"/>
              <w:rPr>
                <w:rFonts w:hint="eastAsia" w:ascii="宋体" w:hAnsi="宋体"/>
                <w:color w:val="auto"/>
                <w:szCs w:val="21"/>
              </w:rPr>
            </w:pPr>
            <w:r>
              <w:rPr>
                <w:rFonts w:hint="eastAsia" w:ascii="宋体" w:hAnsi="宋体"/>
                <w:color w:val="auto"/>
                <w:szCs w:val="21"/>
              </w:rPr>
              <w:t>（4）所有</w:t>
            </w:r>
            <w:r>
              <w:rPr>
                <w:rFonts w:ascii="宋体" w:hAnsi="宋体"/>
                <w:color w:val="auto"/>
                <w:szCs w:val="21"/>
              </w:rPr>
              <w:t>304</w:t>
            </w:r>
            <w:r>
              <w:rPr>
                <w:rFonts w:hint="eastAsia" w:ascii="宋体" w:hAnsi="宋体"/>
                <w:color w:val="auto"/>
                <w:szCs w:val="21"/>
              </w:rPr>
              <w:t>不锈钢中空玻镁板，顶板拼缝处理应对齐，保证美观。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widowControl/>
              <w:spacing w:line="360" w:lineRule="auto"/>
              <w:jc w:val="center"/>
              <w:rPr>
                <w:rFonts w:hint="eastAsia" w:ascii="宋体" w:hAnsi="宋体"/>
                <w:b/>
                <w:bCs/>
                <w:color w:val="auto"/>
                <w:szCs w:val="21"/>
              </w:rPr>
            </w:pPr>
          </w:p>
        </w:tc>
        <w:tc>
          <w:tcPr>
            <w:tcW w:w="1701" w:type="dxa"/>
            <w:vMerge w:val="continue"/>
            <w:vAlign w:val="center"/>
          </w:tcPr>
          <w:p>
            <w:pPr>
              <w:widowControl/>
              <w:spacing w:line="360" w:lineRule="auto"/>
              <w:jc w:val="center"/>
              <w:rPr>
                <w:rFonts w:hint="eastAsia" w:ascii="宋体" w:hAnsi="宋体"/>
                <w:color w:val="auto"/>
                <w:szCs w:val="21"/>
              </w:rPr>
            </w:pPr>
          </w:p>
        </w:tc>
        <w:tc>
          <w:tcPr>
            <w:tcW w:w="5935" w:type="dxa"/>
          </w:tcPr>
          <w:p>
            <w:pPr>
              <w:widowControl/>
              <w:spacing w:line="360" w:lineRule="auto"/>
              <w:jc w:val="left"/>
              <w:rPr>
                <w:rFonts w:hint="eastAsia" w:ascii="宋体" w:hAnsi="宋体"/>
                <w:color w:val="auto"/>
                <w:szCs w:val="21"/>
              </w:rPr>
            </w:pPr>
            <w:r>
              <w:rPr>
                <w:rFonts w:hint="eastAsia" w:ascii="宋体" w:hAnsi="宋体"/>
                <w:color w:val="auto"/>
                <w:szCs w:val="21"/>
              </w:rPr>
              <w:t>（1）采用地面单独的型材支撑承载方式吊装。详看附件 ：车间1钢结构图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widowControl/>
              <w:spacing w:line="360" w:lineRule="auto"/>
              <w:jc w:val="center"/>
              <w:rPr>
                <w:rFonts w:hint="eastAsia" w:ascii="宋体" w:hAnsi="宋体"/>
                <w:b/>
                <w:bCs/>
                <w:color w:val="auto"/>
                <w:szCs w:val="21"/>
              </w:rPr>
            </w:pPr>
          </w:p>
        </w:tc>
        <w:tc>
          <w:tcPr>
            <w:tcW w:w="1701" w:type="dxa"/>
            <w:vMerge w:val="continue"/>
            <w:vAlign w:val="center"/>
          </w:tcPr>
          <w:p>
            <w:pPr>
              <w:widowControl/>
              <w:spacing w:line="360" w:lineRule="auto"/>
              <w:jc w:val="center"/>
              <w:rPr>
                <w:rFonts w:hint="eastAsia" w:ascii="宋体" w:hAnsi="宋体"/>
                <w:color w:val="auto"/>
                <w:szCs w:val="21"/>
              </w:rPr>
            </w:pPr>
          </w:p>
        </w:tc>
        <w:tc>
          <w:tcPr>
            <w:tcW w:w="5935" w:type="dxa"/>
          </w:tcPr>
          <w:p>
            <w:pPr>
              <w:autoSpaceDE w:val="0"/>
              <w:autoSpaceDN w:val="0"/>
              <w:adjustRightInd w:val="0"/>
              <w:spacing w:line="360" w:lineRule="auto"/>
              <w:jc w:val="left"/>
              <w:rPr>
                <w:rFonts w:hint="eastAsia" w:ascii="宋体" w:hAnsi="宋体"/>
                <w:color w:val="auto"/>
                <w:szCs w:val="21"/>
              </w:rPr>
            </w:pPr>
            <w:r>
              <w:rPr>
                <w:rFonts w:hint="eastAsia" w:ascii="宋体" w:hAnsi="宋体"/>
                <w:color w:val="auto"/>
                <w:szCs w:val="21"/>
              </w:rPr>
              <w:t>（1）考虑钢构房区吊顶需求的二次钢构优化，</w:t>
            </w:r>
            <w:r>
              <w:rPr>
                <w:rFonts w:ascii="宋体" w:hAnsi="宋体"/>
                <w:color w:val="auto"/>
                <w:szCs w:val="21"/>
              </w:rPr>
              <w:t>承载≥120kg/m²</w:t>
            </w:r>
            <w:r>
              <w:rPr>
                <w:rFonts w:hint="eastAsia" w:ascii="宋体" w:hAnsi="宋体"/>
                <w:color w:val="auto"/>
                <w:szCs w:val="21"/>
              </w:rPr>
              <w:t>；</w:t>
            </w:r>
          </w:p>
          <w:p>
            <w:pPr>
              <w:widowControl/>
              <w:spacing w:line="360" w:lineRule="auto"/>
              <w:jc w:val="left"/>
              <w:rPr>
                <w:rFonts w:hint="eastAsia" w:ascii="宋体" w:hAnsi="宋体"/>
                <w:color w:val="auto"/>
                <w:szCs w:val="21"/>
              </w:rPr>
            </w:pPr>
            <w:r>
              <w:rPr>
                <w:rFonts w:hint="eastAsia" w:ascii="宋体" w:hAnsi="宋体"/>
                <w:color w:val="auto"/>
                <w:szCs w:val="21"/>
              </w:rPr>
              <w:t>（2）顶板长度不得超过3.0米，所有</w:t>
            </w:r>
            <w:r>
              <w:rPr>
                <w:rFonts w:ascii="宋体" w:hAnsi="宋体"/>
                <w:color w:val="auto"/>
                <w:szCs w:val="21"/>
              </w:rPr>
              <w:t>304</w:t>
            </w:r>
            <w:r>
              <w:rPr>
                <w:rFonts w:hint="eastAsia" w:ascii="宋体" w:hAnsi="宋体"/>
                <w:color w:val="auto"/>
                <w:szCs w:val="21"/>
              </w:rPr>
              <w:t>不锈钢中空玻镁顶板必须要有横向加强筋，不超过1.0米的无需加强筋，2.0米的加一根，2-3米的加两根，走道</w:t>
            </w:r>
            <w:r>
              <w:rPr>
                <w:rFonts w:ascii="宋体" w:hAnsi="宋体"/>
                <w:color w:val="auto"/>
                <w:szCs w:val="21"/>
              </w:rPr>
              <w:t>304</w:t>
            </w:r>
            <w:r>
              <w:rPr>
                <w:rFonts w:hint="eastAsia" w:ascii="宋体" w:hAnsi="宋体"/>
                <w:color w:val="auto"/>
                <w:szCs w:val="21"/>
              </w:rPr>
              <w:t>不锈钢中空玻镁板必须有加强筋，加强筋材料厚度（1.0MM）、样式与彩钢板外框材料厚度一致。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widowControl/>
              <w:spacing w:line="360" w:lineRule="auto"/>
              <w:jc w:val="center"/>
              <w:rPr>
                <w:rFonts w:hint="eastAsia" w:ascii="宋体" w:hAnsi="宋体"/>
                <w:b/>
                <w:bCs/>
                <w:color w:val="auto"/>
                <w:szCs w:val="21"/>
              </w:rPr>
            </w:pPr>
          </w:p>
        </w:tc>
        <w:tc>
          <w:tcPr>
            <w:tcW w:w="1701" w:type="dxa"/>
            <w:vAlign w:val="center"/>
          </w:tcPr>
          <w:p>
            <w:pPr>
              <w:widowControl/>
              <w:spacing w:line="360" w:lineRule="auto"/>
              <w:jc w:val="center"/>
              <w:rPr>
                <w:rFonts w:hint="eastAsia" w:ascii="宋体" w:hAnsi="宋体"/>
                <w:color w:val="auto"/>
                <w:szCs w:val="21"/>
              </w:rPr>
            </w:pPr>
            <w:r>
              <w:rPr>
                <w:rFonts w:hint="eastAsia" w:ascii="宋体" w:hAnsi="宋体"/>
                <w:color w:val="auto"/>
                <w:szCs w:val="21"/>
              </w:rPr>
              <w:t>密封胶</w:t>
            </w:r>
          </w:p>
        </w:tc>
        <w:tc>
          <w:tcPr>
            <w:tcW w:w="5935" w:type="dxa"/>
          </w:tcPr>
          <w:p>
            <w:pPr>
              <w:autoSpaceDE w:val="0"/>
              <w:autoSpaceDN w:val="0"/>
              <w:adjustRightInd w:val="0"/>
              <w:spacing w:line="360" w:lineRule="auto"/>
              <w:jc w:val="left"/>
              <w:rPr>
                <w:rFonts w:hint="eastAsia" w:ascii="宋体" w:hAnsi="宋体"/>
                <w:color w:val="auto"/>
                <w:szCs w:val="21"/>
              </w:rPr>
            </w:pPr>
            <w:r>
              <w:rPr>
                <w:rFonts w:hint="eastAsia" w:ascii="宋体" w:hAnsi="宋体"/>
                <w:color w:val="auto"/>
                <w:szCs w:val="21"/>
                <w:lang w:val="da-DK"/>
              </w:rPr>
              <w:t>使用食品级中性硅酮密封胶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widowControl/>
              <w:spacing w:line="360" w:lineRule="auto"/>
              <w:jc w:val="center"/>
              <w:rPr>
                <w:rFonts w:hint="eastAsia" w:ascii="宋体" w:hAnsi="宋体"/>
                <w:b/>
                <w:bCs/>
                <w:color w:val="auto"/>
                <w:szCs w:val="21"/>
              </w:rPr>
            </w:pPr>
          </w:p>
        </w:tc>
        <w:tc>
          <w:tcPr>
            <w:tcW w:w="1701" w:type="dxa"/>
            <w:vAlign w:val="center"/>
          </w:tcPr>
          <w:p>
            <w:pPr>
              <w:widowControl/>
              <w:spacing w:line="360" w:lineRule="auto"/>
              <w:jc w:val="center"/>
              <w:rPr>
                <w:rFonts w:hint="eastAsia" w:ascii="宋体" w:hAnsi="宋体"/>
                <w:color w:val="auto"/>
                <w:szCs w:val="21"/>
              </w:rPr>
            </w:pPr>
            <w:r>
              <w:rPr>
                <w:rFonts w:hint="eastAsia" w:ascii="宋体" w:hAnsi="宋体"/>
                <w:color w:val="auto"/>
                <w:szCs w:val="21"/>
              </w:rPr>
              <w:t>隔墙板与吊顶板要求</w:t>
            </w:r>
          </w:p>
        </w:tc>
        <w:tc>
          <w:tcPr>
            <w:tcW w:w="5935" w:type="dxa"/>
          </w:tcPr>
          <w:p>
            <w:pPr>
              <w:widowControl/>
              <w:spacing w:line="360" w:lineRule="auto"/>
              <w:jc w:val="left"/>
              <w:rPr>
                <w:rFonts w:hint="eastAsia" w:ascii="宋体" w:hAnsi="宋体"/>
                <w:color w:val="auto"/>
                <w:szCs w:val="21"/>
              </w:rPr>
            </w:pPr>
            <w:r>
              <w:rPr>
                <w:rFonts w:hint="eastAsia" w:ascii="宋体" w:hAnsi="宋体"/>
                <w:color w:val="auto"/>
                <w:szCs w:val="21"/>
                <w:lang w:val="da-DK"/>
              </w:rPr>
              <w:t>（1）所有</w:t>
            </w:r>
            <w:r>
              <w:rPr>
                <w:rFonts w:ascii="宋体" w:hAnsi="宋体"/>
                <w:color w:val="auto"/>
                <w:szCs w:val="21"/>
              </w:rPr>
              <w:t>304</w:t>
            </w:r>
            <w:r>
              <w:rPr>
                <w:rFonts w:hint="eastAsia" w:ascii="宋体" w:hAnsi="宋体"/>
                <w:color w:val="auto"/>
                <w:szCs w:val="21"/>
              </w:rPr>
              <w:t>不锈钢中空玻镁板</w:t>
            </w:r>
            <w:r>
              <w:rPr>
                <w:rFonts w:hint="eastAsia" w:ascii="宋体" w:hAnsi="宋体"/>
                <w:color w:val="auto"/>
                <w:szCs w:val="21"/>
                <w:lang w:val="da-DK"/>
              </w:rPr>
              <w:t>的顶板和墙板必须经过排版满足对缝要求，彩钢板顶板风口、灯具（嵌入式），需预加工好，洞口四周需用铝合金型材加固并密封。</w:t>
            </w:r>
          </w:p>
          <w:p>
            <w:pPr>
              <w:widowControl/>
              <w:spacing w:line="360" w:lineRule="auto"/>
              <w:jc w:val="left"/>
              <w:rPr>
                <w:rFonts w:hint="eastAsia" w:ascii="宋体" w:hAnsi="宋体"/>
                <w:color w:val="auto"/>
                <w:szCs w:val="21"/>
              </w:rPr>
            </w:pPr>
            <w:r>
              <w:rPr>
                <w:rFonts w:hint="eastAsia" w:ascii="宋体" w:hAnsi="宋体"/>
                <w:color w:val="auto"/>
                <w:szCs w:val="21"/>
                <w:lang w:val="da-DK"/>
              </w:rPr>
              <w:t>（2）板上其他洞口（开关插座、消火栓、监控探头、压差表等），切割方正、边缘整齐，洞口四周需用铝合金封闭，避免填充材料外露，保证</w:t>
            </w:r>
            <w:r>
              <w:rPr>
                <w:rFonts w:ascii="宋体" w:hAnsi="宋体"/>
                <w:color w:val="auto"/>
                <w:szCs w:val="21"/>
              </w:rPr>
              <w:t>304</w:t>
            </w:r>
            <w:r>
              <w:rPr>
                <w:rFonts w:hint="eastAsia" w:ascii="宋体" w:hAnsi="宋体"/>
                <w:color w:val="auto"/>
                <w:szCs w:val="21"/>
              </w:rPr>
              <w:t>不锈钢中空玻镁板</w:t>
            </w:r>
            <w:r>
              <w:rPr>
                <w:rFonts w:hint="eastAsia" w:ascii="宋体" w:hAnsi="宋体"/>
                <w:color w:val="auto"/>
                <w:szCs w:val="21"/>
                <w:lang w:val="da-DK"/>
              </w:rPr>
              <w:t>的密封性。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widowControl/>
              <w:spacing w:line="360" w:lineRule="auto"/>
              <w:jc w:val="center"/>
              <w:rPr>
                <w:rFonts w:hint="eastAsia" w:ascii="宋体" w:hAnsi="宋体"/>
                <w:b/>
                <w:bCs/>
                <w:color w:val="auto"/>
                <w:szCs w:val="21"/>
              </w:rPr>
            </w:pPr>
          </w:p>
        </w:tc>
        <w:tc>
          <w:tcPr>
            <w:tcW w:w="1701" w:type="dxa"/>
            <w:vAlign w:val="center"/>
          </w:tcPr>
          <w:p>
            <w:pPr>
              <w:widowControl/>
              <w:spacing w:line="360" w:lineRule="auto"/>
              <w:jc w:val="center"/>
              <w:rPr>
                <w:rFonts w:hint="eastAsia" w:ascii="宋体" w:hAnsi="宋体"/>
                <w:color w:val="auto"/>
                <w:szCs w:val="21"/>
              </w:rPr>
            </w:pPr>
            <w:r>
              <w:rPr>
                <w:rFonts w:hint="eastAsia" w:ascii="宋体" w:hAnsi="宋体"/>
                <w:color w:val="auto"/>
                <w:szCs w:val="21"/>
              </w:rPr>
              <w:t>不锈钢洁净门</w:t>
            </w:r>
          </w:p>
        </w:tc>
        <w:tc>
          <w:tcPr>
            <w:tcW w:w="5935" w:type="dxa"/>
          </w:tcPr>
          <w:p>
            <w:pPr>
              <w:widowControl/>
              <w:spacing w:line="360" w:lineRule="auto"/>
              <w:jc w:val="left"/>
              <w:rPr>
                <w:rFonts w:hint="eastAsia" w:ascii="宋体" w:hAnsi="宋体"/>
                <w:color w:val="auto"/>
                <w:szCs w:val="21"/>
              </w:rPr>
            </w:pPr>
            <w:r>
              <w:rPr>
                <w:rFonts w:hint="eastAsia" w:ascii="宋体" w:hAnsi="宋体"/>
                <w:color w:val="auto"/>
                <w:szCs w:val="21"/>
              </w:rPr>
              <w:t>（1）配置1个双开门（设备后端各配置一个），尺寸为</w:t>
            </w:r>
            <w:r>
              <w:rPr>
                <w:rFonts w:ascii="宋体" w:hAnsi="宋体"/>
                <w:color w:val="auto"/>
                <w:szCs w:val="21"/>
              </w:rPr>
              <w:t>1</w:t>
            </w:r>
            <w:r>
              <w:rPr>
                <w:rFonts w:hint="eastAsia" w:ascii="宋体" w:hAnsi="宋体"/>
                <w:color w:val="auto"/>
                <w:szCs w:val="21"/>
              </w:rPr>
              <w:t>5</w:t>
            </w:r>
            <w:r>
              <w:rPr>
                <w:rFonts w:ascii="宋体" w:hAnsi="宋体"/>
                <w:color w:val="auto"/>
                <w:szCs w:val="21"/>
              </w:rPr>
              <w:t>00mm × 2100mm</w:t>
            </w:r>
            <w:r>
              <w:rPr>
                <w:rFonts w:hint="eastAsia" w:ascii="宋体" w:hAnsi="宋体"/>
                <w:color w:val="auto"/>
                <w:szCs w:val="21"/>
              </w:rPr>
              <w:t>；</w:t>
            </w:r>
          </w:p>
          <w:p>
            <w:pPr>
              <w:widowControl/>
              <w:spacing w:line="360" w:lineRule="auto"/>
              <w:jc w:val="left"/>
              <w:rPr>
                <w:rFonts w:hint="eastAsia" w:ascii="宋体" w:hAnsi="宋体"/>
                <w:color w:val="auto"/>
                <w:szCs w:val="21"/>
              </w:rPr>
            </w:pPr>
            <w:r>
              <w:rPr>
                <w:rFonts w:hint="eastAsia" w:ascii="宋体" w:hAnsi="宋体"/>
                <w:color w:val="auto"/>
                <w:szCs w:val="21"/>
              </w:rPr>
              <w:t>（2）采用双面</w:t>
            </w:r>
            <w:r>
              <w:rPr>
                <w:rFonts w:ascii="宋体" w:hAnsi="宋体"/>
                <w:color w:val="auto"/>
                <w:szCs w:val="21"/>
              </w:rPr>
              <w:t>304</w:t>
            </w:r>
            <w:r>
              <w:rPr>
                <w:rFonts w:hint="eastAsia" w:ascii="宋体" w:hAnsi="宋体"/>
                <w:color w:val="auto"/>
                <w:szCs w:val="21"/>
              </w:rPr>
              <w:t>不锈钢中空玻镁板，带观察窗；</w:t>
            </w:r>
          </w:p>
          <w:p>
            <w:pPr>
              <w:widowControl/>
              <w:spacing w:line="360" w:lineRule="auto"/>
              <w:jc w:val="left"/>
              <w:rPr>
                <w:rFonts w:hint="eastAsia" w:ascii="宋体" w:hAnsi="宋体"/>
                <w:color w:val="auto"/>
                <w:szCs w:val="21"/>
              </w:rPr>
            </w:pPr>
            <w:r>
              <w:rPr>
                <w:rFonts w:hint="eastAsia" w:ascii="宋体" w:hAnsi="宋体"/>
                <w:color w:val="auto"/>
                <w:szCs w:val="21"/>
              </w:rPr>
              <w:t>（3）综合考虑门套、不锈钢把手、暗装自闭器、暗装挡尘条及门五金配件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widowControl/>
              <w:spacing w:line="360" w:lineRule="auto"/>
              <w:jc w:val="center"/>
              <w:rPr>
                <w:rFonts w:hint="eastAsia" w:ascii="宋体" w:hAnsi="宋体"/>
                <w:b/>
                <w:bCs/>
                <w:color w:val="auto"/>
                <w:szCs w:val="21"/>
              </w:rPr>
            </w:pPr>
          </w:p>
        </w:tc>
        <w:tc>
          <w:tcPr>
            <w:tcW w:w="1701" w:type="dxa"/>
            <w:vAlign w:val="center"/>
          </w:tcPr>
          <w:p>
            <w:pPr>
              <w:widowControl/>
              <w:spacing w:line="360" w:lineRule="auto"/>
              <w:jc w:val="center"/>
              <w:rPr>
                <w:rFonts w:hint="eastAsia" w:ascii="宋体" w:hAnsi="宋体"/>
                <w:color w:val="auto"/>
                <w:szCs w:val="21"/>
              </w:rPr>
            </w:pPr>
            <w:r>
              <w:rPr>
                <w:rFonts w:hint="eastAsia" w:ascii="宋体" w:hAnsi="宋体"/>
                <w:color w:val="auto"/>
                <w:szCs w:val="21"/>
              </w:rPr>
              <w:t>安全门</w:t>
            </w:r>
          </w:p>
        </w:tc>
        <w:tc>
          <w:tcPr>
            <w:tcW w:w="5935" w:type="dxa"/>
          </w:tcPr>
          <w:p>
            <w:pPr>
              <w:widowControl/>
              <w:spacing w:line="360" w:lineRule="auto"/>
              <w:jc w:val="left"/>
              <w:rPr>
                <w:rFonts w:hint="eastAsia" w:ascii="宋体" w:hAnsi="宋体"/>
                <w:color w:val="auto"/>
                <w:szCs w:val="21"/>
              </w:rPr>
            </w:pPr>
            <w:r>
              <w:rPr>
                <w:rFonts w:hint="eastAsia" w:ascii="宋体" w:hAnsi="宋体"/>
                <w:color w:val="auto"/>
                <w:szCs w:val="21"/>
              </w:rPr>
              <w:t>（1）配置1个单开门，尺寸设计而定</w:t>
            </w:r>
          </w:p>
          <w:p>
            <w:pPr>
              <w:widowControl/>
              <w:spacing w:line="360" w:lineRule="auto"/>
              <w:jc w:val="left"/>
              <w:rPr>
                <w:rFonts w:hint="eastAsia" w:ascii="宋体" w:hAnsi="宋体"/>
                <w:color w:val="auto"/>
                <w:szCs w:val="21"/>
              </w:rPr>
            </w:pPr>
            <w:r>
              <w:rPr>
                <w:rFonts w:hint="eastAsia" w:ascii="宋体" w:hAnsi="宋体"/>
                <w:color w:val="auto"/>
                <w:szCs w:val="21"/>
              </w:rPr>
              <w:t>（2）双面中空玻璃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widowControl/>
              <w:spacing w:line="360" w:lineRule="auto"/>
              <w:jc w:val="center"/>
              <w:rPr>
                <w:rFonts w:hint="eastAsia" w:ascii="宋体" w:hAnsi="宋体"/>
                <w:b/>
                <w:bCs/>
                <w:color w:val="auto"/>
                <w:szCs w:val="21"/>
              </w:rPr>
            </w:pPr>
          </w:p>
        </w:tc>
        <w:tc>
          <w:tcPr>
            <w:tcW w:w="1701" w:type="dxa"/>
            <w:vAlign w:val="center"/>
          </w:tcPr>
          <w:p>
            <w:pPr>
              <w:widowControl/>
              <w:spacing w:line="360" w:lineRule="auto"/>
              <w:jc w:val="center"/>
              <w:rPr>
                <w:rFonts w:hint="eastAsia" w:ascii="宋体" w:hAnsi="宋体"/>
                <w:color w:val="auto"/>
                <w:szCs w:val="21"/>
              </w:rPr>
            </w:pPr>
            <w:r>
              <w:rPr>
                <w:rFonts w:hint="eastAsia" w:ascii="宋体" w:hAnsi="宋体"/>
                <w:color w:val="auto"/>
                <w:szCs w:val="21"/>
              </w:rPr>
              <w:t>视窗</w:t>
            </w:r>
          </w:p>
        </w:tc>
        <w:tc>
          <w:tcPr>
            <w:tcW w:w="5935" w:type="dxa"/>
          </w:tcPr>
          <w:p>
            <w:pPr>
              <w:widowControl/>
              <w:spacing w:line="360" w:lineRule="auto"/>
              <w:jc w:val="left"/>
              <w:rPr>
                <w:rFonts w:hint="eastAsia" w:ascii="宋体" w:hAnsi="宋体"/>
                <w:color w:val="auto"/>
                <w:szCs w:val="21"/>
              </w:rPr>
            </w:pPr>
            <w:r>
              <w:rPr>
                <w:rFonts w:hint="eastAsia" w:ascii="宋体" w:hAnsi="宋体"/>
                <w:color w:val="auto"/>
                <w:szCs w:val="21"/>
              </w:rPr>
              <w:t>（1）尺寸：不小于2500mm×2000mm，洁净功能区面向中试线后包装段整面为双层中空视窗；其余面共配置约12个（以实际确认为准），保证满足参观。（中标后提供效果图供招标方确认）；</w:t>
            </w:r>
          </w:p>
          <w:p>
            <w:pPr>
              <w:widowControl/>
              <w:spacing w:line="360" w:lineRule="auto"/>
              <w:jc w:val="left"/>
              <w:rPr>
                <w:rFonts w:hint="eastAsia" w:ascii="宋体" w:hAnsi="宋体"/>
                <w:color w:val="auto"/>
                <w:szCs w:val="21"/>
              </w:rPr>
            </w:pPr>
            <w:r>
              <w:rPr>
                <w:rFonts w:hint="eastAsia" w:ascii="宋体" w:hAnsi="宋体"/>
                <w:color w:val="auto"/>
                <w:szCs w:val="21"/>
              </w:rPr>
              <w:t>（2）采用双层中空视窗，安装与</w:t>
            </w:r>
            <w:r>
              <w:rPr>
                <w:rFonts w:ascii="宋体" w:hAnsi="宋体"/>
                <w:color w:val="auto"/>
                <w:szCs w:val="21"/>
              </w:rPr>
              <w:t>304</w:t>
            </w:r>
            <w:r>
              <w:rPr>
                <w:rFonts w:hint="eastAsia" w:ascii="宋体" w:hAnsi="宋体"/>
                <w:color w:val="auto"/>
                <w:szCs w:val="21"/>
              </w:rPr>
              <w:t>不锈钢中空玻镁板表面齐平的双层密封玻璃观察窗，有防潮、防止雾化（充惰性气体）等有效处理措施，内衬材料色泽与彩钢板颜色一致，双层，玻璃窗整体厚度为20mm钢化玻璃，玻璃内外完全密封处理，四周圆角处理，预装在墙板中，与墙面平滑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widowControl/>
              <w:spacing w:line="360" w:lineRule="auto"/>
              <w:jc w:val="center"/>
              <w:rPr>
                <w:rFonts w:hint="eastAsia" w:ascii="宋体" w:hAnsi="宋体"/>
                <w:b/>
                <w:bCs/>
                <w:color w:val="auto"/>
                <w:szCs w:val="21"/>
              </w:rPr>
            </w:pPr>
          </w:p>
        </w:tc>
        <w:tc>
          <w:tcPr>
            <w:tcW w:w="1701" w:type="dxa"/>
            <w:vAlign w:val="center"/>
          </w:tcPr>
          <w:p>
            <w:pPr>
              <w:widowControl/>
              <w:spacing w:line="360" w:lineRule="auto"/>
              <w:jc w:val="center"/>
              <w:rPr>
                <w:rFonts w:hint="eastAsia" w:ascii="宋体" w:hAnsi="宋体"/>
                <w:color w:val="auto"/>
                <w:szCs w:val="21"/>
              </w:rPr>
            </w:pPr>
            <w:r>
              <w:rPr>
                <w:rFonts w:hint="eastAsia" w:ascii="宋体" w:hAnsi="宋体"/>
                <w:color w:val="auto"/>
                <w:szCs w:val="21"/>
              </w:rPr>
              <w:t>应急洗眼池</w:t>
            </w:r>
          </w:p>
        </w:tc>
        <w:tc>
          <w:tcPr>
            <w:tcW w:w="5935" w:type="dxa"/>
            <w:vAlign w:val="center"/>
          </w:tcPr>
          <w:p>
            <w:pPr>
              <w:widowControl/>
              <w:spacing w:line="360" w:lineRule="auto"/>
              <w:rPr>
                <w:rFonts w:hint="eastAsia" w:ascii="宋体" w:hAnsi="宋体"/>
                <w:color w:val="auto"/>
                <w:szCs w:val="21"/>
              </w:rPr>
            </w:pPr>
            <w:r>
              <w:rPr>
                <w:rFonts w:hint="eastAsia" w:ascii="宋体" w:hAnsi="宋体"/>
                <w:color w:val="auto"/>
                <w:szCs w:val="21"/>
              </w:rPr>
              <w:t>（1）2套（洁净功能区及</w:t>
            </w:r>
            <w:r>
              <w:rPr>
                <w:rFonts w:hint="eastAsia" w:ascii="宋体" w:hAnsi="宋体"/>
                <w:bCs/>
                <w:color w:val="auto"/>
                <w:szCs w:val="21"/>
              </w:rPr>
              <w:t>功能缓冲间</w:t>
            </w:r>
            <w:r>
              <w:rPr>
                <w:rFonts w:hint="eastAsia" w:ascii="宋体" w:hAnsi="宋体"/>
                <w:color w:val="auto"/>
                <w:szCs w:val="21"/>
              </w:rPr>
              <w:t>各配置1套）</w:t>
            </w:r>
          </w:p>
          <w:p>
            <w:pPr>
              <w:widowControl/>
              <w:spacing w:line="360" w:lineRule="auto"/>
              <w:jc w:val="left"/>
              <w:rPr>
                <w:rFonts w:hint="eastAsia" w:ascii="宋体" w:hAnsi="宋体"/>
                <w:color w:val="auto"/>
                <w:szCs w:val="21"/>
              </w:rPr>
            </w:pPr>
            <w:r>
              <w:rPr>
                <w:rFonts w:hint="eastAsia" w:ascii="宋体" w:hAnsi="宋体"/>
                <w:color w:val="auto"/>
                <w:szCs w:val="21"/>
              </w:rPr>
              <w:t>（2）</w:t>
            </w:r>
            <w:r>
              <w:rPr>
                <w:rFonts w:ascii="宋体" w:hAnsi="宋体" w:cs="Segoe UI"/>
                <w:color w:val="auto"/>
                <w:sz w:val="23"/>
                <w:szCs w:val="23"/>
              </w:rPr>
              <w:t>双头（洗眼+</w:t>
            </w:r>
            <w:r>
              <w:rPr>
                <w:rFonts w:ascii="宋体" w:hAnsi="宋体"/>
                <w:color w:val="auto"/>
                <w:szCs w:val="21"/>
              </w:rPr>
              <w:t>淋浴），水流≥12L/min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widowControl/>
              <w:spacing w:line="360" w:lineRule="auto"/>
              <w:jc w:val="center"/>
              <w:rPr>
                <w:rFonts w:hint="eastAsia" w:ascii="宋体" w:hAnsi="宋体"/>
                <w:b/>
                <w:bCs/>
                <w:color w:val="auto"/>
                <w:szCs w:val="21"/>
              </w:rPr>
            </w:pPr>
          </w:p>
        </w:tc>
        <w:tc>
          <w:tcPr>
            <w:tcW w:w="1701" w:type="dxa"/>
            <w:vAlign w:val="center"/>
          </w:tcPr>
          <w:p>
            <w:pPr>
              <w:widowControl/>
              <w:spacing w:line="360" w:lineRule="auto"/>
              <w:jc w:val="center"/>
              <w:rPr>
                <w:rFonts w:hint="eastAsia" w:ascii="宋体" w:hAnsi="宋体"/>
                <w:bCs/>
                <w:color w:val="auto"/>
                <w:szCs w:val="21"/>
              </w:rPr>
            </w:pPr>
            <w:r>
              <w:rPr>
                <w:rFonts w:hint="eastAsia" w:ascii="宋体" w:hAnsi="宋体"/>
                <w:bCs/>
                <w:color w:val="auto"/>
                <w:spacing w:val="-4"/>
                <w:szCs w:val="21"/>
              </w:rPr>
              <w:t>地漏</w:t>
            </w:r>
          </w:p>
        </w:tc>
        <w:tc>
          <w:tcPr>
            <w:tcW w:w="5935" w:type="dxa"/>
          </w:tcPr>
          <w:p>
            <w:pPr>
              <w:widowControl/>
              <w:spacing w:line="360" w:lineRule="auto"/>
              <w:jc w:val="left"/>
              <w:rPr>
                <w:rFonts w:hint="eastAsia" w:ascii="宋体" w:hAnsi="宋体"/>
                <w:color w:val="auto"/>
                <w:szCs w:val="21"/>
              </w:rPr>
            </w:pPr>
            <w:r>
              <w:rPr>
                <w:rFonts w:hint="eastAsia" w:ascii="宋体" w:hAnsi="宋体"/>
                <w:color w:val="auto"/>
                <w:spacing w:val="-4"/>
                <w:szCs w:val="21"/>
              </w:rPr>
              <w:t>采用</w:t>
            </w:r>
            <w:r>
              <w:rPr>
                <w:rFonts w:ascii="宋体" w:hAnsi="宋体"/>
                <w:color w:val="auto"/>
                <w:spacing w:val="-4"/>
                <w:szCs w:val="21"/>
              </w:rPr>
              <w:t>304</w:t>
            </w:r>
            <w:r>
              <w:rPr>
                <w:rFonts w:hint="eastAsia" w:ascii="宋体" w:hAnsi="宋体"/>
                <w:color w:val="auto"/>
                <w:spacing w:val="-4"/>
                <w:szCs w:val="21"/>
              </w:rPr>
              <w:t>不锈钢洁净地漏（双水封），数量依设备布局及需求配置。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restart"/>
            <w:vAlign w:val="center"/>
          </w:tcPr>
          <w:p>
            <w:pPr>
              <w:widowControl/>
              <w:spacing w:line="360" w:lineRule="auto"/>
              <w:jc w:val="center"/>
              <w:rPr>
                <w:rFonts w:hint="eastAsia" w:ascii="宋体" w:hAnsi="宋体"/>
                <w:color w:val="auto"/>
                <w:szCs w:val="21"/>
              </w:rPr>
            </w:pPr>
            <w:r>
              <w:rPr>
                <w:rFonts w:hint="eastAsia" w:ascii="宋体" w:hAnsi="宋体"/>
                <w:color w:val="auto"/>
                <w:szCs w:val="21"/>
              </w:rPr>
              <w:t>地面施工</w:t>
            </w:r>
          </w:p>
        </w:tc>
        <w:tc>
          <w:tcPr>
            <w:tcW w:w="1701" w:type="dxa"/>
            <w:vAlign w:val="center"/>
          </w:tcPr>
          <w:p>
            <w:pPr>
              <w:widowControl/>
              <w:spacing w:line="360" w:lineRule="auto"/>
              <w:jc w:val="center"/>
              <w:rPr>
                <w:rFonts w:hint="eastAsia" w:ascii="宋体" w:hAnsi="宋体"/>
                <w:color w:val="auto"/>
                <w:szCs w:val="21"/>
              </w:rPr>
            </w:pPr>
            <w:r>
              <w:rPr>
                <w:rFonts w:hint="eastAsia" w:ascii="宋体" w:hAnsi="宋体"/>
                <w:color w:val="auto"/>
                <w:szCs w:val="21"/>
              </w:rPr>
              <w:t>工艺要求</w:t>
            </w:r>
          </w:p>
        </w:tc>
        <w:tc>
          <w:tcPr>
            <w:tcW w:w="5935" w:type="dxa"/>
            <w:vAlign w:val="center"/>
          </w:tcPr>
          <w:p>
            <w:pPr>
              <w:widowControl/>
              <w:spacing w:line="360" w:lineRule="auto"/>
              <w:jc w:val="left"/>
              <w:rPr>
                <w:rFonts w:hint="eastAsia" w:ascii="宋体" w:hAnsi="宋体"/>
                <w:color w:val="auto"/>
                <w:szCs w:val="21"/>
              </w:rPr>
            </w:pPr>
            <w:r>
              <w:rPr>
                <w:rFonts w:hint="eastAsia" w:ascii="宋体" w:hAnsi="宋体"/>
                <w:color w:val="auto"/>
                <w:szCs w:val="21"/>
              </w:rPr>
              <w:t xml:space="preserve">（1）采用4mm耐酸碱腐蚀聚氨酯（基础研磨，清理→环氧底漆→环氧砂浆层→环氧腻子层→聚氨酯自流平面漆） </w:t>
            </w:r>
          </w:p>
          <w:p>
            <w:pPr>
              <w:widowControl/>
              <w:spacing w:line="360" w:lineRule="auto"/>
              <w:jc w:val="left"/>
              <w:rPr>
                <w:rFonts w:hint="eastAsia" w:ascii="宋体" w:hAnsi="宋体"/>
                <w:color w:val="auto"/>
                <w:szCs w:val="21"/>
              </w:rPr>
            </w:pPr>
            <w:r>
              <w:rPr>
                <w:rFonts w:hint="eastAsia" w:ascii="宋体" w:hAnsi="宋体"/>
                <w:color w:val="auto"/>
                <w:szCs w:val="21"/>
              </w:rPr>
              <w:t>（2）地交界处做 R=50mm圆弧角（专用PVC弧形条预埋），树脂分层填充，无接缝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widowControl/>
              <w:spacing w:line="360" w:lineRule="auto"/>
              <w:jc w:val="center"/>
              <w:rPr>
                <w:rFonts w:hint="eastAsia" w:ascii="宋体" w:hAnsi="宋体"/>
                <w:color w:val="auto"/>
                <w:szCs w:val="21"/>
              </w:rPr>
            </w:pPr>
          </w:p>
        </w:tc>
        <w:tc>
          <w:tcPr>
            <w:tcW w:w="1701" w:type="dxa"/>
            <w:vAlign w:val="center"/>
          </w:tcPr>
          <w:p>
            <w:pPr>
              <w:widowControl/>
              <w:spacing w:line="360" w:lineRule="auto"/>
              <w:jc w:val="center"/>
              <w:rPr>
                <w:rFonts w:hint="eastAsia" w:ascii="宋体" w:hAnsi="宋体"/>
                <w:color w:val="auto"/>
                <w:szCs w:val="21"/>
              </w:rPr>
            </w:pPr>
            <w:r>
              <w:rPr>
                <w:rFonts w:hint="eastAsia" w:ascii="宋体" w:hAnsi="宋体"/>
                <w:color w:val="auto"/>
                <w:szCs w:val="21"/>
              </w:rPr>
              <w:t>品牌及颜色</w:t>
            </w:r>
          </w:p>
        </w:tc>
        <w:tc>
          <w:tcPr>
            <w:tcW w:w="5935" w:type="dxa"/>
            <w:vAlign w:val="center"/>
          </w:tcPr>
          <w:p>
            <w:pPr>
              <w:widowControl/>
              <w:spacing w:line="360" w:lineRule="auto"/>
              <w:rPr>
                <w:rFonts w:hint="eastAsia" w:ascii="宋体" w:hAnsi="宋体"/>
                <w:color w:val="auto"/>
                <w:szCs w:val="21"/>
              </w:rPr>
            </w:pPr>
            <w:r>
              <w:rPr>
                <w:rFonts w:hint="eastAsia" w:ascii="宋体" w:hAnsi="宋体"/>
                <w:color w:val="auto"/>
                <w:szCs w:val="21"/>
              </w:rPr>
              <w:t>（1）品牌：采用巴斯夫BASF、西卡Sika、施贝或同等及以上品牌</w:t>
            </w:r>
          </w:p>
          <w:p>
            <w:pPr>
              <w:widowControl/>
              <w:spacing w:line="360" w:lineRule="auto"/>
              <w:rPr>
                <w:rFonts w:hint="eastAsia" w:ascii="宋体" w:hAnsi="宋体"/>
                <w:color w:val="auto"/>
                <w:szCs w:val="21"/>
              </w:rPr>
            </w:pPr>
            <w:r>
              <w:rPr>
                <w:rFonts w:hint="eastAsia" w:ascii="宋体" w:hAnsi="宋体"/>
                <w:color w:val="auto"/>
                <w:szCs w:val="21"/>
              </w:rPr>
              <w:t>（2）颜色：绿色（具体招标方确认）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restart"/>
            <w:vAlign w:val="center"/>
          </w:tcPr>
          <w:p>
            <w:pPr>
              <w:widowControl/>
              <w:spacing w:line="360" w:lineRule="auto"/>
              <w:jc w:val="center"/>
              <w:rPr>
                <w:rFonts w:hint="eastAsia" w:ascii="宋体" w:hAnsi="宋体"/>
                <w:color w:val="auto"/>
                <w:szCs w:val="21"/>
              </w:rPr>
            </w:pPr>
            <w:r>
              <w:rPr>
                <w:rFonts w:hint="eastAsia" w:ascii="宋体" w:hAnsi="宋体"/>
                <w:bCs/>
                <w:color w:val="auto"/>
                <w:szCs w:val="21"/>
              </w:rPr>
              <w:t>上坯间、功能缓冲间配置要求</w:t>
            </w:r>
          </w:p>
        </w:tc>
        <w:tc>
          <w:tcPr>
            <w:tcW w:w="1701" w:type="dxa"/>
            <w:vAlign w:val="center"/>
          </w:tcPr>
          <w:p>
            <w:pPr>
              <w:widowControl/>
              <w:spacing w:line="360" w:lineRule="auto"/>
              <w:jc w:val="center"/>
              <w:rPr>
                <w:rFonts w:hint="eastAsia" w:ascii="宋体" w:hAnsi="宋体"/>
                <w:color w:val="auto"/>
                <w:szCs w:val="21"/>
              </w:rPr>
            </w:pPr>
            <w:r>
              <w:rPr>
                <w:rFonts w:hint="eastAsia" w:ascii="宋体" w:hAnsi="宋体"/>
                <w:color w:val="auto"/>
                <w:szCs w:val="21"/>
              </w:rPr>
              <w:t>风幕机</w:t>
            </w:r>
          </w:p>
        </w:tc>
        <w:tc>
          <w:tcPr>
            <w:tcW w:w="5935" w:type="dxa"/>
            <w:vAlign w:val="center"/>
          </w:tcPr>
          <w:p>
            <w:pPr>
              <w:widowControl/>
              <w:spacing w:line="360" w:lineRule="auto"/>
              <w:rPr>
                <w:rFonts w:hint="eastAsia" w:ascii="宋体" w:hAnsi="宋体"/>
                <w:color w:val="auto"/>
                <w:szCs w:val="21"/>
              </w:rPr>
            </w:pPr>
            <w:r>
              <w:rPr>
                <w:rFonts w:hint="eastAsia" w:ascii="宋体" w:hAnsi="宋体"/>
                <w:color w:val="auto"/>
                <w:szCs w:val="21"/>
              </w:rPr>
              <w:t>（1）数量：2套（</w:t>
            </w:r>
            <w:r>
              <w:rPr>
                <w:rFonts w:hint="eastAsia" w:ascii="宋体" w:hAnsi="宋体"/>
                <w:bCs/>
                <w:color w:val="auto"/>
                <w:szCs w:val="21"/>
              </w:rPr>
              <w:t>上坯间与功能缓冲间各配置1套</w:t>
            </w:r>
            <w:r>
              <w:rPr>
                <w:rFonts w:hint="eastAsia" w:ascii="宋体" w:hAnsi="宋体"/>
                <w:color w:val="auto"/>
                <w:szCs w:val="21"/>
              </w:rPr>
              <w:t>）</w:t>
            </w:r>
          </w:p>
          <w:p>
            <w:pPr>
              <w:widowControl/>
              <w:spacing w:line="360" w:lineRule="auto"/>
              <w:rPr>
                <w:rFonts w:hint="eastAsia" w:ascii="宋体" w:hAnsi="宋体"/>
                <w:color w:val="auto"/>
                <w:szCs w:val="21"/>
              </w:rPr>
            </w:pPr>
            <w:r>
              <w:rPr>
                <w:rFonts w:hint="eastAsia" w:ascii="宋体" w:hAnsi="宋体"/>
                <w:color w:val="auto"/>
                <w:szCs w:val="21"/>
              </w:rPr>
              <w:t>（2）尺寸;</w:t>
            </w:r>
            <w:r>
              <w:rPr>
                <w:rFonts w:hint="eastAsia" w:ascii="宋体" w:hAnsi="宋体"/>
                <w:color w:val="auto"/>
              </w:rPr>
              <w:t xml:space="preserve"> </w:t>
            </w:r>
            <w:r>
              <w:rPr>
                <w:rFonts w:hint="eastAsia" w:ascii="宋体" w:hAnsi="宋体"/>
                <w:color w:val="auto"/>
                <w:szCs w:val="21"/>
              </w:rPr>
              <w:t>2500 mm×3000mm</w:t>
            </w:r>
          </w:p>
          <w:p>
            <w:pPr>
              <w:widowControl/>
              <w:spacing w:line="360" w:lineRule="auto"/>
              <w:rPr>
                <w:rFonts w:hint="eastAsia" w:ascii="宋体" w:hAnsi="宋体"/>
                <w:color w:val="auto"/>
                <w:szCs w:val="21"/>
              </w:rPr>
            </w:pPr>
            <w:r>
              <w:rPr>
                <w:rFonts w:hint="eastAsia" w:ascii="宋体" w:hAnsi="宋体"/>
                <w:color w:val="auto"/>
                <w:szCs w:val="21"/>
              </w:rPr>
              <w:t>（3）风速≥30m/s,最大风量≥5000m³/h，噪音≤56</w:t>
            </w:r>
            <w:r>
              <w:rPr>
                <w:rFonts w:ascii="宋体" w:hAnsi="宋体"/>
                <w:color w:val="auto"/>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widowControl/>
              <w:spacing w:line="360" w:lineRule="auto"/>
              <w:jc w:val="center"/>
              <w:rPr>
                <w:rFonts w:hint="eastAsia" w:ascii="宋体" w:hAnsi="宋体"/>
                <w:bCs/>
                <w:color w:val="auto"/>
                <w:szCs w:val="21"/>
              </w:rPr>
            </w:pPr>
          </w:p>
        </w:tc>
        <w:tc>
          <w:tcPr>
            <w:tcW w:w="1701" w:type="dxa"/>
            <w:vAlign w:val="center"/>
          </w:tcPr>
          <w:p>
            <w:pPr>
              <w:widowControl/>
              <w:spacing w:line="360" w:lineRule="auto"/>
              <w:jc w:val="center"/>
              <w:rPr>
                <w:rFonts w:hint="eastAsia" w:ascii="宋体" w:hAnsi="宋体"/>
                <w:color w:val="auto"/>
                <w:szCs w:val="21"/>
              </w:rPr>
            </w:pPr>
            <w:r>
              <w:rPr>
                <w:rFonts w:hint="eastAsia" w:ascii="宋体" w:hAnsi="宋体"/>
                <w:color w:val="auto"/>
                <w:szCs w:val="21"/>
              </w:rPr>
              <w:t>不锈钢洁净门</w:t>
            </w:r>
          </w:p>
        </w:tc>
        <w:tc>
          <w:tcPr>
            <w:tcW w:w="5935" w:type="dxa"/>
          </w:tcPr>
          <w:p>
            <w:pPr>
              <w:widowControl/>
              <w:spacing w:line="360" w:lineRule="auto"/>
              <w:jc w:val="left"/>
              <w:rPr>
                <w:rFonts w:hint="eastAsia" w:ascii="宋体" w:hAnsi="宋体"/>
                <w:color w:val="auto"/>
                <w:szCs w:val="21"/>
              </w:rPr>
            </w:pPr>
            <w:r>
              <w:rPr>
                <w:rFonts w:hint="eastAsia" w:ascii="宋体" w:hAnsi="宋体"/>
                <w:color w:val="auto"/>
                <w:szCs w:val="21"/>
              </w:rPr>
              <w:t>（1）配置1个单开门，进入灌装间使用。尺寸不下于10</w:t>
            </w:r>
            <w:r>
              <w:rPr>
                <w:rFonts w:ascii="宋体" w:hAnsi="宋体"/>
                <w:color w:val="auto"/>
                <w:szCs w:val="21"/>
              </w:rPr>
              <w:t>00mm × 2100mm</w:t>
            </w:r>
            <w:r>
              <w:rPr>
                <w:rFonts w:hint="eastAsia" w:ascii="宋体" w:hAnsi="宋体"/>
                <w:color w:val="auto"/>
                <w:szCs w:val="21"/>
              </w:rPr>
              <w:t>；</w:t>
            </w:r>
          </w:p>
          <w:p>
            <w:pPr>
              <w:widowControl/>
              <w:spacing w:line="360" w:lineRule="auto"/>
              <w:jc w:val="left"/>
              <w:rPr>
                <w:rFonts w:hint="eastAsia" w:ascii="宋体" w:hAnsi="宋体"/>
                <w:color w:val="auto"/>
                <w:szCs w:val="21"/>
              </w:rPr>
            </w:pPr>
            <w:r>
              <w:rPr>
                <w:rFonts w:hint="eastAsia" w:ascii="宋体" w:hAnsi="宋体"/>
                <w:color w:val="auto"/>
                <w:szCs w:val="21"/>
              </w:rPr>
              <w:t>（2）采用双面</w:t>
            </w:r>
            <w:r>
              <w:rPr>
                <w:rFonts w:ascii="宋体" w:hAnsi="宋体"/>
                <w:color w:val="auto"/>
                <w:szCs w:val="21"/>
              </w:rPr>
              <w:t>304</w:t>
            </w:r>
            <w:r>
              <w:rPr>
                <w:rFonts w:hint="eastAsia" w:ascii="宋体" w:hAnsi="宋体"/>
                <w:color w:val="auto"/>
                <w:szCs w:val="21"/>
              </w:rPr>
              <w:t>不锈钢成品门，带观察窗；</w:t>
            </w:r>
          </w:p>
          <w:p>
            <w:pPr>
              <w:widowControl/>
              <w:spacing w:line="360" w:lineRule="auto"/>
              <w:rPr>
                <w:rFonts w:hint="eastAsia" w:ascii="宋体" w:hAnsi="宋体"/>
                <w:color w:val="auto"/>
                <w:szCs w:val="21"/>
              </w:rPr>
            </w:pPr>
            <w:r>
              <w:rPr>
                <w:rFonts w:hint="eastAsia" w:ascii="宋体" w:hAnsi="宋体"/>
                <w:color w:val="auto"/>
                <w:szCs w:val="21"/>
              </w:rPr>
              <w:t>（3）综合考虑门套、不锈钢把手、暗装自闭器、暗装挡尘条及门五金配件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widowControl/>
              <w:spacing w:line="360" w:lineRule="auto"/>
              <w:jc w:val="center"/>
              <w:rPr>
                <w:rFonts w:hint="eastAsia" w:ascii="宋体" w:hAnsi="宋体"/>
                <w:bCs/>
                <w:color w:val="auto"/>
                <w:szCs w:val="21"/>
              </w:rPr>
            </w:pPr>
          </w:p>
        </w:tc>
        <w:tc>
          <w:tcPr>
            <w:tcW w:w="1701" w:type="dxa"/>
            <w:vAlign w:val="center"/>
          </w:tcPr>
          <w:p>
            <w:pPr>
              <w:widowControl/>
              <w:spacing w:line="360" w:lineRule="auto"/>
              <w:jc w:val="center"/>
              <w:rPr>
                <w:rFonts w:hint="eastAsia" w:ascii="宋体" w:hAnsi="宋体"/>
                <w:color w:val="auto"/>
                <w:szCs w:val="21"/>
              </w:rPr>
            </w:pPr>
            <w:r>
              <w:rPr>
                <w:rFonts w:hint="eastAsia" w:ascii="宋体" w:hAnsi="宋体"/>
                <w:color w:val="auto"/>
                <w:szCs w:val="21"/>
              </w:rPr>
              <w:t>快速卷帘门</w:t>
            </w:r>
          </w:p>
        </w:tc>
        <w:tc>
          <w:tcPr>
            <w:tcW w:w="5935" w:type="dxa"/>
            <w:vAlign w:val="center"/>
          </w:tcPr>
          <w:p>
            <w:pPr>
              <w:widowControl/>
              <w:spacing w:line="360" w:lineRule="auto"/>
              <w:rPr>
                <w:rFonts w:hint="eastAsia" w:ascii="宋体" w:hAnsi="宋体"/>
                <w:color w:val="auto"/>
                <w:szCs w:val="21"/>
              </w:rPr>
            </w:pPr>
            <w:r>
              <w:rPr>
                <w:rFonts w:hint="eastAsia" w:ascii="宋体" w:hAnsi="宋体"/>
                <w:color w:val="auto"/>
                <w:szCs w:val="21"/>
              </w:rPr>
              <w:t>（1）品牌：霍曼、瑞泰、广州万盛门业或同等及以上品牌</w:t>
            </w:r>
          </w:p>
          <w:p>
            <w:pPr>
              <w:widowControl/>
              <w:spacing w:line="360" w:lineRule="auto"/>
              <w:rPr>
                <w:rFonts w:hint="eastAsia" w:ascii="宋体" w:hAnsi="宋体"/>
                <w:color w:val="auto"/>
                <w:szCs w:val="21"/>
              </w:rPr>
            </w:pPr>
            <w:r>
              <w:rPr>
                <w:rFonts w:hint="eastAsia" w:ascii="宋体" w:hAnsi="宋体"/>
                <w:color w:val="auto"/>
                <w:szCs w:val="21"/>
              </w:rPr>
              <w:t>（2）数量：3套（</w:t>
            </w:r>
            <w:r>
              <w:rPr>
                <w:rFonts w:hint="eastAsia" w:ascii="宋体" w:hAnsi="宋体"/>
                <w:bCs/>
                <w:color w:val="auto"/>
                <w:szCs w:val="21"/>
              </w:rPr>
              <w:t>上坯间2套、与功能缓冲间1套</w:t>
            </w:r>
            <w:r>
              <w:rPr>
                <w:rFonts w:hint="eastAsia" w:ascii="宋体" w:hAnsi="宋体"/>
                <w:color w:val="auto"/>
                <w:szCs w:val="21"/>
              </w:rPr>
              <w:t>）</w:t>
            </w:r>
          </w:p>
          <w:p>
            <w:pPr>
              <w:widowControl/>
              <w:spacing w:line="360" w:lineRule="auto"/>
              <w:rPr>
                <w:rFonts w:hint="eastAsia" w:ascii="宋体" w:hAnsi="宋体"/>
                <w:color w:val="auto"/>
                <w:szCs w:val="21"/>
              </w:rPr>
            </w:pPr>
            <w:r>
              <w:rPr>
                <w:rFonts w:hint="eastAsia" w:ascii="宋体" w:hAnsi="宋体"/>
                <w:color w:val="auto"/>
                <w:szCs w:val="21"/>
              </w:rPr>
              <w:t>（3）尺寸;</w:t>
            </w:r>
            <w:r>
              <w:rPr>
                <w:rFonts w:hint="eastAsia" w:ascii="宋体" w:hAnsi="宋体"/>
                <w:color w:val="auto"/>
              </w:rPr>
              <w:t xml:space="preserve"> </w:t>
            </w:r>
            <w:r>
              <w:rPr>
                <w:rFonts w:hint="eastAsia" w:ascii="宋体" w:hAnsi="宋体"/>
                <w:color w:val="auto"/>
                <w:szCs w:val="21"/>
              </w:rPr>
              <w:t>2500</w:t>
            </w:r>
            <w:bookmarkStart w:id="47" w:name="OLE_LINK16"/>
            <w:r>
              <w:rPr>
                <w:rFonts w:hint="eastAsia" w:ascii="宋体" w:hAnsi="宋体"/>
                <w:color w:val="auto"/>
                <w:szCs w:val="21"/>
              </w:rPr>
              <w:t>mm×</w:t>
            </w:r>
            <w:bookmarkEnd w:id="47"/>
            <w:r>
              <w:rPr>
                <w:rFonts w:hint="eastAsia" w:ascii="宋体" w:hAnsi="宋体"/>
                <w:color w:val="auto"/>
                <w:szCs w:val="21"/>
              </w:rPr>
              <w:t>3000mm</w:t>
            </w:r>
          </w:p>
          <w:p>
            <w:pPr>
              <w:widowControl/>
              <w:spacing w:line="360" w:lineRule="auto"/>
              <w:rPr>
                <w:rFonts w:hint="eastAsia" w:ascii="宋体" w:hAnsi="宋体"/>
                <w:color w:val="auto"/>
                <w:szCs w:val="21"/>
              </w:rPr>
            </w:pPr>
            <w:r>
              <w:rPr>
                <w:rFonts w:hint="eastAsia" w:ascii="宋体" w:hAnsi="宋体"/>
                <w:color w:val="auto"/>
                <w:szCs w:val="21"/>
              </w:rPr>
              <w:t>（4）封箱采用不锈钢材质、门帘采用PVC材质，黄色</w:t>
            </w:r>
          </w:p>
          <w:p>
            <w:pPr>
              <w:widowControl/>
              <w:spacing w:line="360" w:lineRule="auto"/>
              <w:rPr>
                <w:rFonts w:hint="eastAsia" w:ascii="宋体" w:hAnsi="宋体"/>
                <w:color w:val="auto"/>
                <w:szCs w:val="21"/>
              </w:rPr>
            </w:pPr>
            <w:r>
              <w:rPr>
                <w:rFonts w:hint="eastAsia" w:ascii="宋体" w:hAnsi="宋体"/>
                <w:color w:val="auto"/>
                <w:szCs w:val="21"/>
              </w:rPr>
              <w:t>（5）上升/下降速度可调</w:t>
            </w:r>
          </w:p>
          <w:p>
            <w:pPr>
              <w:widowControl/>
              <w:spacing w:line="360" w:lineRule="auto"/>
              <w:rPr>
                <w:rFonts w:hint="eastAsia" w:ascii="宋体" w:hAnsi="宋体"/>
                <w:color w:val="auto"/>
                <w:szCs w:val="21"/>
              </w:rPr>
            </w:pPr>
            <w:r>
              <w:rPr>
                <w:rFonts w:hint="eastAsia" w:ascii="宋体" w:hAnsi="宋体"/>
                <w:color w:val="auto"/>
                <w:szCs w:val="21"/>
              </w:rPr>
              <w:t>（6）具有按钮开启、刷卡开启、密码开启、地磁感应开启及遥控控制开启功能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restart"/>
            <w:vAlign w:val="center"/>
          </w:tcPr>
          <w:p>
            <w:pPr>
              <w:widowControl/>
              <w:spacing w:line="360" w:lineRule="auto"/>
              <w:jc w:val="center"/>
              <w:rPr>
                <w:rFonts w:hint="eastAsia" w:ascii="宋体" w:hAnsi="宋体"/>
                <w:bCs/>
                <w:color w:val="auto"/>
                <w:szCs w:val="21"/>
              </w:rPr>
            </w:pPr>
            <w:r>
              <w:rPr>
                <w:rFonts w:hint="eastAsia" w:ascii="宋体" w:hAnsi="宋体"/>
                <w:bCs/>
                <w:color w:val="auto"/>
                <w:szCs w:val="21"/>
              </w:rPr>
              <w:t>上盖间</w:t>
            </w:r>
          </w:p>
        </w:tc>
        <w:tc>
          <w:tcPr>
            <w:tcW w:w="1701" w:type="dxa"/>
            <w:vAlign w:val="center"/>
          </w:tcPr>
          <w:p>
            <w:pPr>
              <w:widowControl/>
              <w:spacing w:line="360" w:lineRule="auto"/>
              <w:jc w:val="center"/>
              <w:rPr>
                <w:rFonts w:hint="eastAsia" w:ascii="宋体" w:hAnsi="宋体"/>
                <w:color w:val="auto"/>
                <w:szCs w:val="21"/>
              </w:rPr>
            </w:pPr>
            <w:r>
              <w:rPr>
                <w:rFonts w:hint="eastAsia" w:ascii="宋体" w:hAnsi="宋体"/>
                <w:color w:val="auto"/>
                <w:szCs w:val="21"/>
              </w:rPr>
              <w:t>传递窗</w:t>
            </w:r>
          </w:p>
        </w:tc>
        <w:tc>
          <w:tcPr>
            <w:tcW w:w="5935" w:type="dxa"/>
            <w:vAlign w:val="center"/>
          </w:tcPr>
          <w:p>
            <w:pPr>
              <w:widowControl/>
              <w:spacing w:line="360" w:lineRule="auto"/>
              <w:rPr>
                <w:rFonts w:hint="eastAsia" w:ascii="宋体" w:hAnsi="宋体"/>
                <w:color w:val="auto"/>
                <w:szCs w:val="21"/>
              </w:rPr>
            </w:pPr>
            <w:r>
              <w:rPr>
                <w:rFonts w:hint="eastAsia" w:ascii="宋体" w:hAnsi="宋体"/>
                <w:color w:val="auto"/>
                <w:szCs w:val="21"/>
              </w:rPr>
              <w:t>（1）1套，作为盖子传送使用。</w:t>
            </w:r>
          </w:p>
          <w:p>
            <w:pPr>
              <w:widowControl/>
              <w:spacing w:line="360" w:lineRule="auto"/>
              <w:rPr>
                <w:rFonts w:hint="eastAsia" w:ascii="宋体" w:hAnsi="宋体"/>
                <w:color w:val="auto"/>
                <w:szCs w:val="21"/>
              </w:rPr>
            </w:pPr>
            <w:r>
              <w:rPr>
                <w:rFonts w:hint="eastAsia" w:ascii="宋体" w:hAnsi="宋体"/>
                <w:color w:val="auto"/>
                <w:szCs w:val="21"/>
              </w:rPr>
              <w:t>（2）304不锈钢材质，尺寸（内径）不少于900 mm宽×900mm深×900mm高</w:t>
            </w:r>
          </w:p>
          <w:p>
            <w:pPr>
              <w:widowControl/>
              <w:spacing w:line="360" w:lineRule="auto"/>
              <w:rPr>
                <w:rFonts w:hint="eastAsia" w:ascii="宋体" w:hAnsi="宋体"/>
                <w:color w:val="auto"/>
                <w:szCs w:val="21"/>
              </w:rPr>
            </w:pPr>
            <w:r>
              <w:rPr>
                <w:rFonts w:hint="eastAsia" w:ascii="宋体" w:hAnsi="宋体"/>
                <w:color w:val="auto"/>
                <w:szCs w:val="21"/>
              </w:rPr>
              <w:t>（3）具备有互锁装置、紫外灯杀菌等功能。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widowControl/>
              <w:spacing w:line="360" w:lineRule="auto"/>
              <w:jc w:val="center"/>
              <w:rPr>
                <w:rFonts w:hint="eastAsia" w:ascii="宋体" w:hAnsi="宋体"/>
                <w:bCs/>
                <w:color w:val="auto"/>
                <w:szCs w:val="21"/>
              </w:rPr>
            </w:pPr>
          </w:p>
        </w:tc>
        <w:tc>
          <w:tcPr>
            <w:tcW w:w="1701" w:type="dxa"/>
            <w:vAlign w:val="center"/>
          </w:tcPr>
          <w:p>
            <w:pPr>
              <w:widowControl/>
              <w:spacing w:line="360" w:lineRule="auto"/>
              <w:jc w:val="center"/>
              <w:rPr>
                <w:rFonts w:hint="eastAsia" w:ascii="宋体" w:hAnsi="宋体"/>
                <w:color w:val="auto"/>
                <w:szCs w:val="21"/>
              </w:rPr>
            </w:pPr>
            <w:r>
              <w:rPr>
                <w:rFonts w:hint="eastAsia" w:ascii="宋体" w:hAnsi="宋体"/>
                <w:color w:val="auto"/>
                <w:szCs w:val="21"/>
              </w:rPr>
              <w:t>不锈钢洁净门</w:t>
            </w:r>
          </w:p>
        </w:tc>
        <w:tc>
          <w:tcPr>
            <w:tcW w:w="5935" w:type="dxa"/>
          </w:tcPr>
          <w:p>
            <w:pPr>
              <w:widowControl/>
              <w:spacing w:line="360" w:lineRule="auto"/>
              <w:jc w:val="left"/>
              <w:rPr>
                <w:rFonts w:hint="eastAsia" w:ascii="宋体" w:hAnsi="宋体"/>
                <w:color w:val="auto"/>
                <w:szCs w:val="21"/>
              </w:rPr>
            </w:pPr>
            <w:r>
              <w:rPr>
                <w:rFonts w:hint="eastAsia" w:ascii="宋体" w:hAnsi="宋体"/>
                <w:color w:val="auto"/>
                <w:szCs w:val="21"/>
              </w:rPr>
              <w:t>（1）配置1个单开门，进入灌装间使用。尺寸不下于10</w:t>
            </w:r>
            <w:r>
              <w:rPr>
                <w:rFonts w:ascii="宋体" w:hAnsi="宋体"/>
                <w:color w:val="auto"/>
                <w:szCs w:val="21"/>
              </w:rPr>
              <w:t>00mm × 2100mm</w:t>
            </w:r>
            <w:r>
              <w:rPr>
                <w:rFonts w:hint="eastAsia" w:ascii="宋体" w:hAnsi="宋体"/>
                <w:color w:val="auto"/>
                <w:szCs w:val="21"/>
              </w:rPr>
              <w:t>；</w:t>
            </w:r>
          </w:p>
          <w:p>
            <w:pPr>
              <w:widowControl/>
              <w:spacing w:line="360" w:lineRule="auto"/>
              <w:jc w:val="left"/>
              <w:rPr>
                <w:rFonts w:hint="eastAsia" w:ascii="宋体" w:hAnsi="宋体"/>
                <w:color w:val="auto"/>
                <w:szCs w:val="21"/>
              </w:rPr>
            </w:pPr>
            <w:r>
              <w:rPr>
                <w:rFonts w:hint="eastAsia" w:ascii="宋体" w:hAnsi="宋体"/>
                <w:color w:val="auto"/>
                <w:szCs w:val="21"/>
              </w:rPr>
              <w:t>（2）采用双面</w:t>
            </w:r>
            <w:r>
              <w:rPr>
                <w:rFonts w:ascii="宋体" w:hAnsi="宋体"/>
                <w:color w:val="auto"/>
                <w:szCs w:val="21"/>
              </w:rPr>
              <w:t>304</w:t>
            </w:r>
            <w:r>
              <w:rPr>
                <w:rFonts w:hint="eastAsia" w:ascii="宋体" w:hAnsi="宋体"/>
                <w:color w:val="auto"/>
                <w:szCs w:val="21"/>
              </w:rPr>
              <w:t>不锈钢成品门，带观察窗；</w:t>
            </w:r>
          </w:p>
          <w:p>
            <w:pPr>
              <w:widowControl/>
              <w:spacing w:line="360" w:lineRule="auto"/>
              <w:rPr>
                <w:rFonts w:hint="eastAsia" w:ascii="宋体" w:hAnsi="宋体"/>
                <w:color w:val="auto"/>
                <w:szCs w:val="21"/>
              </w:rPr>
            </w:pPr>
            <w:r>
              <w:rPr>
                <w:rFonts w:hint="eastAsia" w:ascii="宋体" w:hAnsi="宋体"/>
                <w:color w:val="auto"/>
                <w:szCs w:val="21"/>
              </w:rPr>
              <w:t>（3）综合考虑门套、不锈钢把手、暗装自闭器、暗装挡尘条及门五金配件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restart"/>
            <w:vAlign w:val="center"/>
          </w:tcPr>
          <w:p>
            <w:pPr>
              <w:spacing w:line="360" w:lineRule="auto"/>
              <w:jc w:val="center"/>
              <w:rPr>
                <w:rFonts w:hint="eastAsia" w:ascii="宋体" w:hAnsi="宋体"/>
                <w:bCs/>
                <w:color w:val="auto"/>
                <w:szCs w:val="21"/>
              </w:rPr>
            </w:pPr>
            <w:r>
              <w:rPr>
                <w:rFonts w:hint="eastAsia" w:ascii="宋体" w:hAnsi="宋体"/>
                <w:color w:val="auto"/>
                <w:szCs w:val="21"/>
              </w:rPr>
              <w:t>二更室配置要求</w:t>
            </w:r>
          </w:p>
        </w:tc>
        <w:tc>
          <w:tcPr>
            <w:tcW w:w="1701" w:type="dxa"/>
            <w:vAlign w:val="center"/>
          </w:tcPr>
          <w:p>
            <w:pPr>
              <w:widowControl/>
              <w:spacing w:line="360" w:lineRule="auto"/>
              <w:jc w:val="center"/>
              <w:rPr>
                <w:rFonts w:hint="eastAsia" w:ascii="宋体" w:hAnsi="宋体"/>
                <w:color w:val="auto"/>
                <w:szCs w:val="21"/>
              </w:rPr>
            </w:pPr>
            <w:r>
              <w:rPr>
                <w:rFonts w:hint="eastAsia" w:ascii="宋体" w:hAnsi="宋体"/>
                <w:color w:val="auto"/>
                <w:szCs w:val="21"/>
              </w:rPr>
              <w:t>不锈钢洁净门</w:t>
            </w:r>
          </w:p>
        </w:tc>
        <w:tc>
          <w:tcPr>
            <w:tcW w:w="5935" w:type="dxa"/>
          </w:tcPr>
          <w:p>
            <w:pPr>
              <w:widowControl/>
              <w:spacing w:line="360" w:lineRule="auto"/>
              <w:jc w:val="left"/>
              <w:rPr>
                <w:rFonts w:hint="eastAsia" w:ascii="宋体" w:hAnsi="宋体"/>
                <w:color w:val="auto"/>
                <w:szCs w:val="21"/>
              </w:rPr>
            </w:pPr>
            <w:r>
              <w:rPr>
                <w:rFonts w:hint="eastAsia" w:ascii="宋体" w:hAnsi="宋体"/>
                <w:color w:val="auto"/>
                <w:szCs w:val="21"/>
              </w:rPr>
              <w:t>（1）配置1个单开门，尺寸不下于10</w:t>
            </w:r>
            <w:r>
              <w:rPr>
                <w:rFonts w:ascii="宋体" w:hAnsi="宋体"/>
                <w:color w:val="auto"/>
                <w:szCs w:val="21"/>
              </w:rPr>
              <w:t>00mm × 2100mm</w:t>
            </w:r>
            <w:r>
              <w:rPr>
                <w:rFonts w:hint="eastAsia" w:ascii="宋体" w:hAnsi="宋体"/>
                <w:color w:val="auto"/>
                <w:szCs w:val="21"/>
              </w:rPr>
              <w:t>；</w:t>
            </w:r>
          </w:p>
          <w:p>
            <w:pPr>
              <w:widowControl/>
              <w:spacing w:line="360" w:lineRule="auto"/>
              <w:jc w:val="left"/>
              <w:rPr>
                <w:rFonts w:hint="eastAsia" w:ascii="宋体" w:hAnsi="宋体"/>
                <w:color w:val="auto"/>
                <w:szCs w:val="21"/>
              </w:rPr>
            </w:pPr>
            <w:r>
              <w:rPr>
                <w:rFonts w:hint="eastAsia" w:ascii="宋体" w:hAnsi="宋体"/>
                <w:color w:val="auto"/>
                <w:szCs w:val="21"/>
              </w:rPr>
              <w:t>（2）采用双面</w:t>
            </w:r>
            <w:r>
              <w:rPr>
                <w:rFonts w:ascii="宋体" w:hAnsi="宋体"/>
                <w:color w:val="auto"/>
                <w:szCs w:val="21"/>
              </w:rPr>
              <w:t>304</w:t>
            </w:r>
            <w:r>
              <w:rPr>
                <w:rFonts w:hint="eastAsia" w:ascii="宋体" w:hAnsi="宋体"/>
                <w:color w:val="auto"/>
                <w:szCs w:val="21"/>
              </w:rPr>
              <w:t>不锈钢成品门，带观察窗；</w:t>
            </w:r>
          </w:p>
          <w:p>
            <w:pPr>
              <w:widowControl/>
              <w:spacing w:line="360" w:lineRule="auto"/>
              <w:rPr>
                <w:rFonts w:hint="eastAsia" w:ascii="宋体" w:hAnsi="宋体"/>
                <w:color w:val="auto"/>
                <w:szCs w:val="21"/>
              </w:rPr>
            </w:pPr>
            <w:r>
              <w:rPr>
                <w:rFonts w:hint="eastAsia" w:ascii="宋体" w:hAnsi="宋体"/>
                <w:color w:val="auto"/>
                <w:szCs w:val="21"/>
              </w:rPr>
              <w:t>（3）综合考虑门套、不锈钢把手、暗装自闭器、暗装挡尘条及门五金配件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widowControl/>
              <w:spacing w:line="360" w:lineRule="auto"/>
              <w:jc w:val="center"/>
              <w:rPr>
                <w:rFonts w:hint="eastAsia" w:ascii="宋体" w:hAnsi="宋体"/>
                <w:color w:val="auto"/>
                <w:szCs w:val="21"/>
              </w:rPr>
            </w:pPr>
          </w:p>
        </w:tc>
        <w:tc>
          <w:tcPr>
            <w:tcW w:w="1701" w:type="dxa"/>
            <w:vAlign w:val="center"/>
          </w:tcPr>
          <w:p>
            <w:pPr>
              <w:widowControl/>
              <w:spacing w:line="360" w:lineRule="auto"/>
              <w:jc w:val="left"/>
              <w:rPr>
                <w:rFonts w:hint="eastAsia" w:ascii="宋体" w:hAnsi="宋体" w:cs="宋体"/>
                <w:color w:val="auto"/>
                <w:kern w:val="0"/>
                <w:szCs w:val="21"/>
                <w:lang w:bidi="ar"/>
              </w:rPr>
            </w:pPr>
            <w:r>
              <w:rPr>
                <w:rFonts w:hint="eastAsia" w:ascii="宋体" w:hAnsi="宋体" w:cs="宋体"/>
                <w:color w:val="auto"/>
                <w:kern w:val="0"/>
                <w:szCs w:val="21"/>
                <w:lang w:bidi="ar"/>
              </w:rPr>
              <w:t>风淋室（灌注预进间）</w:t>
            </w:r>
          </w:p>
        </w:tc>
        <w:tc>
          <w:tcPr>
            <w:tcW w:w="5935" w:type="dxa"/>
          </w:tcPr>
          <w:p>
            <w:pPr>
              <w:widowControl/>
              <w:spacing w:line="360" w:lineRule="auto"/>
              <w:jc w:val="left"/>
              <w:rPr>
                <w:rFonts w:hint="eastAsia" w:ascii="宋体" w:hAnsi="宋体" w:cs="宋体"/>
                <w:color w:val="auto"/>
                <w:kern w:val="0"/>
                <w:szCs w:val="21"/>
                <w:lang w:bidi="ar"/>
              </w:rPr>
            </w:pPr>
            <w:r>
              <w:rPr>
                <w:rFonts w:hint="eastAsia" w:ascii="宋体" w:hAnsi="宋体" w:cs="宋体"/>
                <w:color w:val="auto"/>
                <w:kern w:val="0"/>
                <w:szCs w:val="21"/>
                <w:lang w:bidi="ar"/>
              </w:rPr>
              <w:t>（1）配置1个，双人双吹风淋室；</w:t>
            </w:r>
          </w:p>
          <w:p>
            <w:pPr>
              <w:widowControl/>
              <w:spacing w:line="360" w:lineRule="auto"/>
              <w:jc w:val="left"/>
              <w:rPr>
                <w:rFonts w:hint="eastAsia" w:ascii="宋体" w:hAnsi="宋体" w:cs="宋体"/>
                <w:color w:val="auto"/>
                <w:kern w:val="0"/>
                <w:szCs w:val="21"/>
                <w:lang w:bidi="ar"/>
              </w:rPr>
            </w:pPr>
            <w:r>
              <w:rPr>
                <w:rFonts w:hint="eastAsia" w:ascii="宋体" w:hAnsi="宋体" w:cs="宋体"/>
                <w:color w:val="auto"/>
                <w:kern w:val="0"/>
                <w:szCs w:val="21"/>
                <w:lang w:bidi="ar"/>
              </w:rPr>
              <w:t>（2）尺寸：1200mm×1500mm×2050mm；</w:t>
            </w:r>
          </w:p>
          <w:p>
            <w:pPr>
              <w:widowControl/>
              <w:spacing w:line="360" w:lineRule="auto"/>
              <w:jc w:val="left"/>
              <w:rPr>
                <w:rFonts w:hint="eastAsia" w:ascii="宋体" w:hAnsi="宋体" w:cs="宋体"/>
                <w:color w:val="auto"/>
                <w:kern w:val="0"/>
                <w:szCs w:val="21"/>
                <w:lang w:bidi="ar"/>
              </w:rPr>
            </w:pPr>
            <w:r>
              <w:rPr>
                <w:rFonts w:hint="eastAsia" w:ascii="宋体" w:hAnsi="宋体" w:cs="宋体"/>
                <w:color w:val="auto"/>
                <w:kern w:val="0"/>
                <w:szCs w:val="21"/>
                <w:lang w:bidi="ar"/>
              </w:rPr>
              <w:t>（3）用于洁净区域间人员出入时，防止不洁气流进入高级洁净区；</w:t>
            </w:r>
          </w:p>
          <w:p>
            <w:pPr>
              <w:widowControl/>
              <w:spacing w:line="360" w:lineRule="auto"/>
              <w:jc w:val="left"/>
              <w:rPr>
                <w:rFonts w:hint="eastAsia" w:ascii="宋体" w:hAnsi="宋体" w:cs="宋体"/>
                <w:color w:val="auto"/>
                <w:kern w:val="0"/>
                <w:szCs w:val="21"/>
                <w:lang w:bidi="ar"/>
              </w:rPr>
            </w:pPr>
            <w:r>
              <w:rPr>
                <w:rFonts w:hint="eastAsia" w:ascii="宋体" w:hAnsi="宋体" w:cs="宋体"/>
                <w:color w:val="auto"/>
                <w:kern w:val="0"/>
                <w:szCs w:val="21"/>
                <w:lang w:bidi="ar"/>
              </w:rPr>
              <w:t>（4）工作区内配置风淋净化处理装置，清除人、物表面附着尘埃，具有气闸功能；</w:t>
            </w:r>
          </w:p>
          <w:p>
            <w:pPr>
              <w:widowControl/>
              <w:spacing w:line="360" w:lineRule="auto"/>
              <w:jc w:val="left"/>
              <w:rPr>
                <w:rFonts w:hint="eastAsia" w:ascii="宋体" w:hAnsi="宋体" w:cs="宋体"/>
                <w:color w:val="auto"/>
                <w:kern w:val="0"/>
                <w:szCs w:val="21"/>
                <w:lang w:bidi="ar"/>
              </w:rPr>
            </w:pPr>
            <w:r>
              <w:rPr>
                <w:rFonts w:hint="eastAsia" w:ascii="宋体" w:hAnsi="宋体" w:cs="宋体"/>
                <w:color w:val="auto"/>
                <w:kern w:val="0"/>
                <w:szCs w:val="21"/>
                <w:lang w:bidi="ar"/>
              </w:rPr>
              <w:t>（5）自动控制，红外线感应，用户进入工作区后风淋自动开启，双侧自动出风吹淋；</w:t>
            </w:r>
          </w:p>
          <w:p>
            <w:pPr>
              <w:widowControl/>
              <w:spacing w:line="360" w:lineRule="auto"/>
              <w:jc w:val="left"/>
              <w:rPr>
                <w:rFonts w:hint="eastAsia" w:ascii="宋体" w:hAnsi="宋体" w:cs="宋体"/>
                <w:color w:val="auto"/>
                <w:kern w:val="0"/>
                <w:szCs w:val="21"/>
                <w:lang w:bidi="ar"/>
              </w:rPr>
            </w:pPr>
            <w:r>
              <w:rPr>
                <w:rFonts w:hint="eastAsia" w:ascii="宋体" w:hAnsi="宋体" w:cs="宋体"/>
                <w:color w:val="auto"/>
                <w:kern w:val="0"/>
                <w:szCs w:val="21"/>
                <w:lang w:bidi="ar"/>
              </w:rPr>
              <w:t>（6）风淋室双门互锁，不能同时打开两个门，风淋室吹风时间可以调节；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tcPr>
          <w:p>
            <w:pPr>
              <w:widowControl/>
              <w:spacing w:line="360" w:lineRule="auto"/>
              <w:jc w:val="left"/>
              <w:rPr>
                <w:rFonts w:hint="eastAsia" w:ascii="宋体" w:hAnsi="宋体"/>
                <w:b/>
                <w:bCs/>
                <w:color w:val="auto"/>
                <w:szCs w:val="21"/>
              </w:rPr>
            </w:pPr>
          </w:p>
        </w:tc>
        <w:tc>
          <w:tcPr>
            <w:tcW w:w="1701" w:type="dxa"/>
            <w:vAlign w:val="center"/>
          </w:tcPr>
          <w:p>
            <w:pPr>
              <w:widowControl/>
              <w:spacing w:line="360" w:lineRule="auto"/>
              <w:jc w:val="center"/>
              <w:rPr>
                <w:rFonts w:hint="eastAsia" w:ascii="宋体" w:hAnsi="宋体" w:cs="宋体"/>
                <w:color w:val="auto"/>
                <w:kern w:val="0"/>
                <w:szCs w:val="21"/>
                <w:lang w:bidi="ar"/>
              </w:rPr>
            </w:pPr>
            <w:r>
              <w:rPr>
                <w:rFonts w:hint="eastAsia" w:ascii="宋体" w:hAnsi="宋体" w:cs="宋体"/>
                <w:color w:val="auto"/>
                <w:kern w:val="0"/>
                <w:szCs w:val="21"/>
                <w:lang w:bidi="ar"/>
              </w:rPr>
              <w:t>洗手池</w:t>
            </w:r>
          </w:p>
        </w:tc>
        <w:tc>
          <w:tcPr>
            <w:tcW w:w="5935" w:type="dxa"/>
          </w:tcPr>
          <w:p>
            <w:pPr>
              <w:widowControl/>
              <w:spacing w:line="360" w:lineRule="auto"/>
              <w:jc w:val="left"/>
              <w:rPr>
                <w:rFonts w:hint="eastAsia" w:ascii="宋体" w:hAnsi="宋体"/>
                <w:color w:val="auto"/>
                <w:szCs w:val="21"/>
              </w:rPr>
            </w:pPr>
            <w:r>
              <w:rPr>
                <w:rFonts w:hint="eastAsia" w:ascii="宋体" w:hAnsi="宋体"/>
                <w:color w:val="auto"/>
                <w:szCs w:val="21"/>
              </w:rPr>
              <w:t>配置1个，使用红外感应自动出水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tcPr>
          <w:p>
            <w:pPr>
              <w:widowControl/>
              <w:spacing w:line="360" w:lineRule="auto"/>
              <w:jc w:val="left"/>
              <w:rPr>
                <w:rFonts w:hint="eastAsia" w:ascii="宋体" w:hAnsi="宋体"/>
                <w:b/>
                <w:bCs/>
                <w:color w:val="auto"/>
                <w:szCs w:val="21"/>
              </w:rPr>
            </w:pPr>
          </w:p>
        </w:tc>
        <w:tc>
          <w:tcPr>
            <w:tcW w:w="1701" w:type="dxa"/>
            <w:vAlign w:val="center"/>
          </w:tcPr>
          <w:p>
            <w:pPr>
              <w:widowControl/>
              <w:spacing w:line="360" w:lineRule="auto"/>
              <w:jc w:val="center"/>
              <w:rPr>
                <w:rFonts w:hint="eastAsia" w:ascii="宋体" w:hAnsi="宋体" w:cs="宋体"/>
                <w:color w:val="auto"/>
                <w:kern w:val="0"/>
                <w:szCs w:val="21"/>
                <w:lang w:bidi="ar"/>
              </w:rPr>
            </w:pPr>
            <w:r>
              <w:rPr>
                <w:rFonts w:hint="eastAsia" w:ascii="宋体" w:hAnsi="宋体"/>
                <w:color w:val="auto"/>
                <w:szCs w:val="21"/>
              </w:rPr>
              <w:t>烘手/手消毒器</w:t>
            </w:r>
          </w:p>
        </w:tc>
        <w:tc>
          <w:tcPr>
            <w:tcW w:w="5935" w:type="dxa"/>
          </w:tcPr>
          <w:p>
            <w:pPr>
              <w:widowControl/>
              <w:spacing w:line="360" w:lineRule="auto"/>
              <w:jc w:val="left"/>
              <w:rPr>
                <w:rFonts w:hint="eastAsia" w:ascii="宋体" w:hAnsi="宋体"/>
                <w:color w:val="auto"/>
                <w:szCs w:val="21"/>
              </w:rPr>
            </w:pPr>
            <w:r>
              <w:rPr>
                <w:rFonts w:hint="eastAsia" w:ascii="宋体" w:hAnsi="宋体"/>
                <w:color w:val="auto"/>
                <w:szCs w:val="21"/>
              </w:rPr>
              <w:t>（1）配置1个，安装性能可靠，供电式</w:t>
            </w:r>
          </w:p>
          <w:p>
            <w:pPr>
              <w:widowControl/>
              <w:spacing w:line="360" w:lineRule="auto"/>
              <w:jc w:val="left"/>
              <w:rPr>
                <w:rFonts w:hint="eastAsia" w:ascii="宋体" w:hAnsi="宋体"/>
                <w:color w:val="auto"/>
                <w:szCs w:val="21"/>
              </w:rPr>
            </w:pPr>
            <w:r>
              <w:rPr>
                <w:rFonts w:hint="eastAsia" w:ascii="宋体" w:hAnsi="宋体"/>
                <w:color w:val="auto"/>
                <w:szCs w:val="21"/>
              </w:rPr>
              <w:t xml:space="preserve">（2）非手动式洗手设备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tcPr>
          <w:p>
            <w:pPr>
              <w:widowControl/>
              <w:spacing w:line="360" w:lineRule="auto"/>
              <w:jc w:val="left"/>
              <w:rPr>
                <w:rFonts w:hint="eastAsia" w:ascii="宋体" w:hAnsi="宋体"/>
                <w:b/>
                <w:bCs/>
                <w:color w:val="auto"/>
                <w:szCs w:val="21"/>
              </w:rPr>
            </w:pPr>
          </w:p>
        </w:tc>
        <w:tc>
          <w:tcPr>
            <w:tcW w:w="1701" w:type="dxa"/>
            <w:vAlign w:val="center"/>
          </w:tcPr>
          <w:p>
            <w:pPr>
              <w:widowControl/>
              <w:spacing w:line="360" w:lineRule="auto"/>
              <w:jc w:val="center"/>
              <w:rPr>
                <w:rFonts w:hint="eastAsia" w:ascii="宋体" w:hAnsi="宋体" w:cs="宋体"/>
                <w:color w:val="auto"/>
                <w:kern w:val="0"/>
                <w:szCs w:val="21"/>
                <w:lang w:bidi="ar"/>
              </w:rPr>
            </w:pPr>
            <w:r>
              <w:rPr>
                <w:rFonts w:hint="eastAsia" w:ascii="宋体" w:hAnsi="宋体" w:cs="宋体"/>
                <w:color w:val="auto"/>
                <w:kern w:val="0"/>
                <w:szCs w:val="21"/>
                <w:lang w:bidi="ar"/>
              </w:rPr>
              <w:t>鞋柜</w:t>
            </w:r>
          </w:p>
        </w:tc>
        <w:tc>
          <w:tcPr>
            <w:tcW w:w="5935" w:type="dxa"/>
          </w:tcPr>
          <w:p>
            <w:pPr>
              <w:widowControl/>
              <w:spacing w:line="360" w:lineRule="auto"/>
              <w:jc w:val="left"/>
              <w:rPr>
                <w:rFonts w:hint="eastAsia" w:ascii="宋体" w:hAnsi="宋体"/>
                <w:color w:val="auto"/>
                <w:szCs w:val="21"/>
              </w:rPr>
            </w:pPr>
            <w:r>
              <w:rPr>
                <w:rFonts w:hint="eastAsia" w:ascii="宋体" w:hAnsi="宋体"/>
                <w:color w:val="auto"/>
                <w:szCs w:val="21"/>
              </w:rPr>
              <w:t>（1）配置1个，尺寸不少于600mm×500mm，304不锈钢，双层结构</w:t>
            </w:r>
          </w:p>
          <w:p>
            <w:pPr>
              <w:widowControl/>
              <w:spacing w:line="360" w:lineRule="auto"/>
              <w:jc w:val="left"/>
              <w:rPr>
                <w:rFonts w:hint="eastAsia" w:ascii="宋体" w:hAnsi="宋体"/>
                <w:color w:val="auto"/>
                <w:szCs w:val="21"/>
              </w:rPr>
            </w:pPr>
            <w:r>
              <w:rPr>
                <w:rFonts w:hint="eastAsia" w:ascii="宋体" w:hAnsi="宋体"/>
                <w:color w:val="auto"/>
                <w:szCs w:val="21"/>
              </w:rPr>
              <w:t>（2）便鞋与工作鞋单独分开存放，避免交叉污染</w:t>
            </w:r>
          </w:p>
          <w:p>
            <w:pPr>
              <w:widowControl/>
              <w:spacing w:line="360" w:lineRule="auto"/>
              <w:jc w:val="left"/>
              <w:rPr>
                <w:rFonts w:hint="eastAsia" w:ascii="宋体" w:hAnsi="宋体"/>
                <w:color w:val="auto"/>
                <w:szCs w:val="21"/>
              </w:rPr>
            </w:pPr>
            <w:r>
              <w:rPr>
                <w:rFonts w:hint="eastAsia" w:ascii="宋体" w:hAnsi="宋体"/>
                <w:color w:val="auto"/>
                <w:szCs w:val="21"/>
              </w:rPr>
              <w:t>（3）每个鞋柜具有紫外杀菌功能。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tcPr>
          <w:p>
            <w:pPr>
              <w:widowControl/>
              <w:spacing w:line="360" w:lineRule="auto"/>
              <w:jc w:val="left"/>
              <w:rPr>
                <w:rFonts w:hint="eastAsia" w:ascii="宋体" w:hAnsi="宋体"/>
                <w:b/>
                <w:bCs/>
                <w:color w:val="auto"/>
                <w:szCs w:val="21"/>
              </w:rPr>
            </w:pPr>
          </w:p>
        </w:tc>
        <w:tc>
          <w:tcPr>
            <w:tcW w:w="1701" w:type="dxa"/>
            <w:vAlign w:val="center"/>
          </w:tcPr>
          <w:p>
            <w:pPr>
              <w:widowControl/>
              <w:spacing w:line="360" w:lineRule="auto"/>
              <w:jc w:val="center"/>
              <w:rPr>
                <w:rFonts w:hint="eastAsia" w:ascii="宋体" w:hAnsi="宋体" w:cs="宋体"/>
                <w:color w:val="auto"/>
                <w:kern w:val="0"/>
                <w:szCs w:val="21"/>
                <w:lang w:bidi="ar"/>
              </w:rPr>
            </w:pPr>
            <w:r>
              <w:rPr>
                <w:rFonts w:hint="eastAsia" w:ascii="宋体" w:hAnsi="宋体" w:cs="宋体"/>
                <w:color w:val="auto"/>
                <w:kern w:val="0"/>
                <w:szCs w:val="21"/>
                <w:lang w:bidi="ar"/>
              </w:rPr>
              <w:t>衣柜</w:t>
            </w:r>
          </w:p>
        </w:tc>
        <w:tc>
          <w:tcPr>
            <w:tcW w:w="5935" w:type="dxa"/>
          </w:tcPr>
          <w:p>
            <w:pPr>
              <w:widowControl/>
              <w:spacing w:line="360" w:lineRule="auto"/>
              <w:jc w:val="left"/>
              <w:rPr>
                <w:rFonts w:hint="eastAsia" w:ascii="宋体" w:hAnsi="宋体"/>
                <w:color w:val="auto"/>
                <w:szCs w:val="21"/>
              </w:rPr>
            </w:pPr>
            <w:r>
              <w:rPr>
                <w:rFonts w:hint="eastAsia" w:ascii="宋体" w:hAnsi="宋体"/>
                <w:color w:val="auto"/>
                <w:szCs w:val="21"/>
              </w:rPr>
              <w:t>（1）配置1个，尺寸不少于900mm×450mm×1800mm，304不锈钢，双门结构，可挂式；</w:t>
            </w:r>
          </w:p>
          <w:p>
            <w:pPr>
              <w:widowControl/>
              <w:spacing w:line="360" w:lineRule="auto"/>
              <w:jc w:val="left"/>
              <w:rPr>
                <w:rFonts w:hint="eastAsia" w:ascii="宋体" w:hAnsi="宋体"/>
                <w:color w:val="auto"/>
                <w:szCs w:val="21"/>
              </w:rPr>
            </w:pPr>
            <w:r>
              <w:rPr>
                <w:rFonts w:hint="eastAsia" w:ascii="宋体" w:hAnsi="宋体"/>
                <w:color w:val="auto"/>
                <w:szCs w:val="21"/>
              </w:rPr>
              <w:t>（2）主要存放白大褂，洁净工衣；</w:t>
            </w:r>
          </w:p>
          <w:p>
            <w:pPr>
              <w:widowControl/>
              <w:spacing w:line="360" w:lineRule="auto"/>
              <w:jc w:val="left"/>
              <w:rPr>
                <w:rFonts w:hint="eastAsia" w:ascii="宋体" w:hAnsi="宋体"/>
                <w:color w:val="auto"/>
                <w:szCs w:val="21"/>
              </w:rPr>
            </w:pPr>
            <w:r>
              <w:rPr>
                <w:rFonts w:hint="eastAsia" w:ascii="宋体" w:hAnsi="宋体"/>
                <w:color w:val="auto"/>
                <w:szCs w:val="21"/>
              </w:rPr>
              <w:t>（3）具有紫外杀菌功能，紫外灯与门联动，开门关灯，关门开灯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widowControl/>
              <w:spacing w:line="360" w:lineRule="auto"/>
              <w:jc w:val="center"/>
              <w:rPr>
                <w:rFonts w:hint="eastAsia" w:ascii="宋体" w:hAnsi="宋体"/>
                <w:color w:val="auto"/>
                <w:szCs w:val="21"/>
              </w:rPr>
            </w:pPr>
            <w:r>
              <w:rPr>
                <w:rFonts w:hint="eastAsia" w:ascii="宋体" w:hAnsi="宋体"/>
                <w:bCs/>
                <w:color w:val="auto"/>
                <w:szCs w:val="21"/>
              </w:rPr>
              <w:t>洁净功能区</w:t>
            </w:r>
            <w:r>
              <w:rPr>
                <w:rFonts w:hint="eastAsia" w:ascii="宋体" w:hAnsi="宋体"/>
                <w:color w:val="auto"/>
                <w:szCs w:val="21"/>
              </w:rPr>
              <w:t>配置要求</w:t>
            </w:r>
          </w:p>
        </w:tc>
        <w:tc>
          <w:tcPr>
            <w:tcW w:w="1701" w:type="dxa"/>
            <w:vAlign w:val="center"/>
          </w:tcPr>
          <w:p>
            <w:pPr>
              <w:widowControl/>
              <w:spacing w:line="360" w:lineRule="auto"/>
              <w:jc w:val="center"/>
              <w:rPr>
                <w:rFonts w:hint="eastAsia" w:ascii="宋体" w:hAnsi="宋体" w:cs="宋体"/>
                <w:color w:val="auto"/>
                <w:kern w:val="0"/>
                <w:szCs w:val="21"/>
                <w:lang w:bidi="ar"/>
              </w:rPr>
            </w:pPr>
            <w:r>
              <w:rPr>
                <w:rFonts w:hint="eastAsia" w:ascii="宋体" w:hAnsi="宋体" w:cs="宋体"/>
                <w:color w:val="auto"/>
                <w:kern w:val="0"/>
                <w:szCs w:val="21"/>
                <w:lang w:bidi="ar"/>
              </w:rPr>
              <w:t>不锈钢操作台</w:t>
            </w:r>
          </w:p>
        </w:tc>
        <w:tc>
          <w:tcPr>
            <w:tcW w:w="5935" w:type="dxa"/>
          </w:tcPr>
          <w:p>
            <w:pPr>
              <w:widowControl/>
              <w:spacing w:line="360" w:lineRule="auto"/>
              <w:jc w:val="left"/>
              <w:rPr>
                <w:rFonts w:hint="eastAsia" w:ascii="宋体" w:hAnsi="宋体"/>
                <w:color w:val="auto"/>
                <w:szCs w:val="21"/>
              </w:rPr>
            </w:pPr>
            <w:r>
              <w:rPr>
                <w:rFonts w:hint="eastAsia" w:ascii="宋体" w:hAnsi="宋体"/>
                <w:color w:val="auto"/>
                <w:szCs w:val="21"/>
              </w:rPr>
              <w:t>（1）配置1个，尺寸不少于2500 mm×1500 mm×1500，用于生产过程化学试剂检测；</w:t>
            </w:r>
          </w:p>
          <w:p>
            <w:pPr>
              <w:widowControl/>
              <w:spacing w:line="360" w:lineRule="auto"/>
              <w:jc w:val="left"/>
              <w:rPr>
                <w:rFonts w:hint="eastAsia" w:ascii="宋体" w:hAnsi="宋体"/>
                <w:color w:val="auto"/>
                <w:szCs w:val="21"/>
              </w:rPr>
            </w:pPr>
            <w:r>
              <w:rPr>
                <w:rFonts w:hint="eastAsia" w:ascii="宋体" w:hAnsi="宋体"/>
                <w:color w:val="auto"/>
                <w:szCs w:val="21"/>
              </w:rPr>
              <w:t>（2）内配置1个不锈钢水池，采用1.2mm厚的304拉丝不锈钢板制作，外表面应满焊、抛光。整个池体应整体包覆。洁净功能区内的水池下水应设置304不锈钢s弯，与排水管为卡盘连接，s弯可拆卸。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widowControl/>
              <w:spacing w:line="360" w:lineRule="auto"/>
              <w:jc w:val="center"/>
              <w:rPr>
                <w:rFonts w:hint="eastAsia" w:ascii="宋体" w:hAnsi="宋体"/>
                <w:color w:val="auto"/>
                <w:szCs w:val="21"/>
              </w:rPr>
            </w:pPr>
            <w:r>
              <w:rPr>
                <w:rFonts w:hint="eastAsia" w:ascii="宋体" w:hAnsi="宋体"/>
                <w:color w:val="auto"/>
                <w:szCs w:val="21"/>
              </w:rPr>
              <w:t>其他配置要求</w:t>
            </w:r>
          </w:p>
        </w:tc>
        <w:tc>
          <w:tcPr>
            <w:tcW w:w="7636" w:type="dxa"/>
            <w:gridSpan w:val="2"/>
            <w:vAlign w:val="center"/>
          </w:tcPr>
          <w:p>
            <w:pPr>
              <w:widowControl/>
              <w:spacing w:line="360" w:lineRule="auto"/>
              <w:jc w:val="left"/>
              <w:rPr>
                <w:rFonts w:hint="eastAsia" w:ascii="宋体" w:hAnsi="宋体"/>
                <w:color w:val="auto"/>
                <w:szCs w:val="21"/>
              </w:rPr>
            </w:pPr>
            <w:r>
              <w:rPr>
                <w:rFonts w:hint="eastAsia" w:ascii="宋体" w:hAnsi="宋体"/>
                <w:color w:val="auto"/>
                <w:szCs w:val="21"/>
              </w:rPr>
              <w:t>（1）配置1套</w:t>
            </w:r>
            <w:r>
              <w:rPr>
                <w:rFonts w:hint="eastAsia" w:ascii="宋体" w:hAnsi="宋体"/>
                <w:bCs/>
                <w:color w:val="auto"/>
                <w:szCs w:val="21"/>
              </w:rPr>
              <w:t>洁净功能区</w:t>
            </w:r>
            <w:r>
              <w:rPr>
                <w:rFonts w:hint="eastAsia" w:ascii="宋体" w:hAnsi="宋体"/>
                <w:color w:val="auto"/>
                <w:szCs w:val="21"/>
              </w:rPr>
              <w:t>不锈钢检修通道，用于</w:t>
            </w:r>
            <w:r>
              <w:rPr>
                <w:rFonts w:hint="eastAsia" w:ascii="宋体" w:hAnsi="宋体"/>
                <w:bCs/>
                <w:color w:val="auto"/>
                <w:szCs w:val="21"/>
              </w:rPr>
              <w:t>洁净功能区</w:t>
            </w:r>
            <w:r>
              <w:rPr>
                <w:rFonts w:hint="eastAsia" w:ascii="宋体" w:hAnsi="宋体"/>
                <w:color w:val="auto"/>
                <w:szCs w:val="21"/>
              </w:rPr>
              <w:t>吊顶检修及高效过滤器更换；</w:t>
            </w:r>
          </w:p>
          <w:p>
            <w:pPr>
              <w:widowControl/>
              <w:spacing w:line="360" w:lineRule="auto"/>
              <w:jc w:val="left"/>
              <w:rPr>
                <w:rFonts w:hint="eastAsia" w:ascii="宋体" w:hAnsi="宋体"/>
                <w:color w:val="auto"/>
                <w:szCs w:val="21"/>
              </w:rPr>
            </w:pPr>
            <w:r>
              <w:rPr>
                <w:rFonts w:hint="eastAsia" w:ascii="宋体" w:hAnsi="宋体"/>
                <w:color w:val="auto"/>
                <w:szCs w:val="21"/>
              </w:rPr>
              <w:t>（2）</w:t>
            </w:r>
            <w:r>
              <w:rPr>
                <w:rFonts w:hint="eastAsia" w:ascii="宋体" w:hAnsi="宋体"/>
                <w:bCs/>
                <w:color w:val="auto"/>
                <w:szCs w:val="21"/>
              </w:rPr>
              <w:t>洁净功能区</w:t>
            </w:r>
            <w:r>
              <w:rPr>
                <w:rFonts w:hint="eastAsia" w:ascii="宋体" w:hAnsi="宋体"/>
                <w:color w:val="auto"/>
                <w:szCs w:val="21"/>
              </w:rPr>
              <w:t>每一个功能间均需要预留防水插座二三插（3个以上）用于辅助设施供电使用。</w:t>
            </w:r>
          </w:p>
        </w:tc>
      </w:tr>
    </w:tbl>
    <w:p>
      <w:pPr>
        <w:widowControl/>
        <w:spacing w:line="360" w:lineRule="auto"/>
        <w:jc w:val="left"/>
        <w:rPr>
          <w:rFonts w:hint="eastAsia" w:ascii="宋体" w:hAnsi="宋体"/>
          <w:color w:val="auto"/>
          <w:szCs w:val="21"/>
        </w:rPr>
      </w:pPr>
      <w:r>
        <w:rPr>
          <w:rFonts w:hint="eastAsia" w:ascii="宋体" w:hAnsi="宋体"/>
          <w:color w:val="auto"/>
          <w:szCs w:val="21"/>
        </w:rPr>
        <w:t>（三）洁净通风</w:t>
      </w:r>
    </w:p>
    <w:tbl>
      <w:tblPr>
        <w:tblStyle w:val="19"/>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417"/>
        <w:gridCol w:w="6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widowControl/>
              <w:spacing w:line="360" w:lineRule="auto"/>
              <w:jc w:val="center"/>
              <w:rPr>
                <w:rFonts w:hint="eastAsia" w:ascii="宋体" w:hAnsi="宋体"/>
                <w:color w:val="auto"/>
                <w:szCs w:val="21"/>
              </w:rPr>
            </w:pPr>
            <w:r>
              <w:rPr>
                <w:rFonts w:hint="eastAsia" w:ascii="宋体" w:hAnsi="宋体"/>
                <w:color w:val="auto"/>
                <w:szCs w:val="21"/>
              </w:rPr>
              <w:t>项目</w:t>
            </w:r>
          </w:p>
        </w:tc>
        <w:tc>
          <w:tcPr>
            <w:tcW w:w="8080" w:type="dxa"/>
            <w:gridSpan w:val="2"/>
            <w:vAlign w:val="center"/>
          </w:tcPr>
          <w:p>
            <w:pPr>
              <w:widowControl/>
              <w:spacing w:line="360" w:lineRule="auto"/>
              <w:jc w:val="center"/>
              <w:rPr>
                <w:rFonts w:hint="eastAsia" w:ascii="宋体" w:hAnsi="宋体"/>
                <w:color w:val="auto"/>
                <w:szCs w:val="21"/>
              </w:rPr>
            </w:pPr>
            <w:r>
              <w:rPr>
                <w:rFonts w:hint="eastAsia" w:ascii="宋体" w:hAnsi="宋体"/>
                <w:color w:val="auto"/>
                <w:szCs w:val="21"/>
              </w:rPr>
              <w:t>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restart"/>
            <w:vAlign w:val="center"/>
          </w:tcPr>
          <w:p>
            <w:pPr>
              <w:widowControl/>
              <w:spacing w:line="360" w:lineRule="auto"/>
              <w:jc w:val="center"/>
              <w:rPr>
                <w:rFonts w:hint="eastAsia" w:ascii="宋体" w:hAnsi="宋体"/>
                <w:color w:val="auto"/>
                <w:szCs w:val="21"/>
              </w:rPr>
            </w:pPr>
            <w:r>
              <w:rPr>
                <w:rFonts w:hint="eastAsia" w:ascii="宋体" w:hAnsi="宋体"/>
                <w:bCs/>
                <w:color w:val="auto"/>
                <w:szCs w:val="21"/>
              </w:rPr>
              <w:t>洁净功能区</w:t>
            </w:r>
            <w:r>
              <w:rPr>
                <w:rFonts w:hint="eastAsia" w:ascii="宋体" w:hAnsi="宋体"/>
                <w:color w:val="auto"/>
                <w:szCs w:val="21"/>
              </w:rPr>
              <w:t>暖通（含二更 室、</w:t>
            </w:r>
            <w:r>
              <w:rPr>
                <w:rFonts w:hint="eastAsia" w:ascii="宋体" w:hAnsi="宋体"/>
                <w:bCs/>
                <w:color w:val="auto"/>
                <w:szCs w:val="21"/>
              </w:rPr>
              <w:t>上盖、上坯间</w:t>
            </w:r>
            <w:r>
              <w:rPr>
                <w:rFonts w:hint="eastAsia" w:ascii="宋体" w:hAnsi="宋体"/>
                <w:color w:val="auto"/>
                <w:szCs w:val="21"/>
              </w:rPr>
              <w:t>）</w:t>
            </w:r>
          </w:p>
        </w:tc>
        <w:tc>
          <w:tcPr>
            <w:tcW w:w="1417" w:type="dxa"/>
            <w:vAlign w:val="center"/>
          </w:tcPr>
          <w:p>
            <w:pPr>
              <w:widowControl/>
              <w:spacing w:line="360" w:lineRule="auto"/>
              <w:jc w:val="center"/>
              <w:rPr>
                <w:rFonts w:hint="eastAsia" w:ascii="宋体" w:hAnsi="宋体"/>
                <w:color w:val="auto"/>
                <w:szCs w:val="21"/>
              </w:rPr>
            </w:pPr>
            <w:r>
              <w:rPr>
                <w:rFonts w:hint="eastAsia" w:ascii="宋体" w:hAnsi="宋体"/>
                <w:color w:val="auto"/>
                <w:szCs w:val="21"/>
              </w:rPr>
              <w:t>中央空调及新风</w:t>
            </w:r>
          </w:p>
        </w:tc>
        <w:tc>
          <w:tcPr>
            <w:tcW w:w="6663" w:type="dxa"/>
          </w:tcPr>
          <w:p>
            <w:pPr>
              <w:widowControl/>
              <w:spacing w:line="360" w:lineRule="auto"/>
              <w:jc w:val="left"/>
              <w:rPr>
                <w:rFonts w:hint="eastAsia" w:ascii="宋体" w:hAnsi="宋体"/>
                <w:color w:val="auto"/>
                <w:szCs w:val="21"/>
              </w:rPr>
            </w:pPr>
            <w:r>
              <w:rPr>
                <w:rFonts w:hint="eastAsia" w:ascii="宋体" w:hAnsi="宋体"/>
                <w:color w:val="auto"/>
                <w:szCs w:val="21"/>
              </w:rPr>
              <w:t>（1）品牌：采用</w:t>
            </w:r>
            <w:r>
              <w:rPr>
                <w:rFonts w:ascii="宋体" w:hAnsi="宋体"/>
                <w:color w:val="auto"/>
                <w:szCs w:val="21"/>
              </w:rPr>
              <w:t>天加、格力</w:t>
            </w:r>
            <w:r>
              <w:rPr>
                <w:rFonts w:hint="eastAsia" w:ascii="宋体" w:hAnsi="宋体"/>
                <w:color w:val="auto"/>
                <w:szCs w:val="21"/>
              </w:rPr>
              <w:t>、申菱、麦克维尔或同等及以上品牌</w:t>
            </w:r>
          </w:p>
          <w:p>
            <w:pPr>
              <w:widowControl/>
              <w:spacing w:line="360" w:lineRule="auto"/>
              <w:jc w:val="left"/>
              <w:rPr>
                <w:rFonts w:hint="eastAsia" w:ascii="宋体" w:hAnsi="宋体"/>
                <w:color w:val="auto"/>
                <w:szCs w:val="21"/>
              </w:rPr>
            </w:pPr>
            <w:r>
              <w:rPr>
                <w:rFonts w:hint="eastAsia" w:ascii="宋体" w:hAnsi="宋体"/>
                <w:color w:val="auto"/>
                <w:szCs w:val="21"/>
              </w:rPr>
              <w:t>（2）组合式净化空气处理机组 1套，并配置风阀控制系统; 经过初效、中效、高效三级过滤，再通过空调制冷、制热、加湿处理，将空气送到房间内，实现十万级的净化。</w:t>
            </w:r>
          </w:p>
          <w:p>
            <w:pPr>
              <w:widowControl/>
              <w:spacing w:line="360" w:lineRule="auto"/>
              <w:jc w:val="left"/>
              <w:rPr>
                <w:rFonts w:hint="eastAsia" w:ascii="宋体" w:hAnsi="宋体"/>
                <w:color w:val="auto"/>
                <w:szCs w:val="21"/>
              </w:rPr>
            </w:pPr>
            <w:r>
              <w:rPr>
                <w:rFonts w:hint="eastAsia" w:ascii="宋体" w:hAnsi="宋体"/>
                <w:color w:val="auto"/>
                <w:szCs w:val="21"/>
              </w:rPr>
              <w:t>（2）能耗等级：1级</w:t>
            </w:r>
          </w:p>
          <w:p>
            <w:pPr>
              <w:widowControl/>
              <w:spacing w:line="360" w:lineRule="auto"/>
              <w:jc w:val="left"/>
              <w:rPr>
                <w:rFonts w:hint="eastAsia" w:ascii="宋体" w:hAnsi="宋体"/>
                <w:color w:val="auto"/>
                <w:szCs w:val="21"/>
              </w:rPr>
            </w:pPr>
            <w:r>
              <w:rPr>
                <w:rFonts w:hint="eastAsia" w:ascii="宋体" w:hAnsi="宋体"/>
                <w:color w:val="auto"/>
                <w:szCs w:val="21"/>
              </w:rPr>
              <w:t>（3）过滤效率:</w:t>
            </w:r>
            <w:r>
              <w:rPr>
                <w:rFonts w:ascii="宋体" w:hAnsi="宋体"/>
                <w:color w:val="auto"/>
                <w:szCs w:val="21"/>
              </w:rPr>
              <w:t xml:space="preserve"> G4初效（90%@5μm）+F8中效（95%@1μm）+H13高效（99.99%@0.3μm）</w:t>
            </w:r>
          </w:p>
          <w:p>
            <w:pPr>
              <w:widowControl/>
              <w:spacing w:line="360" w:lineRule="auto"/>
              <w:jc w:val="left"/>
              <w:rPr>
                <w:rFonts w:hint="eastAsia" w:ascii="宋体" w:hAnsi="宋体"/>
                <w:color w:val="auto"/>
                <w:szCs w:val="21"/>
              </w:rPr>
            </w:pPr>
            <w:r>
              <w:rPr>
                <w:rFonts w:hint="eastAsia" w:ascii="宋体" w:hAnsi="宋体"/>
                <w:color w:val="auto"/>
                <w:szCs w:val="21"/>
              </w:rPr>
              <w:t>（4）制冷量、送风量及新风量依据洁净系统车间大小而设计，满足换气次数≥20次/小时;</w:t>
            </w:r>
          </w:p>
          <w:p>
            <w:pPr>
              <w:widowControl/>
              <w:spacing w:line="360" w:lineRule="auto"/>
              <w:jc w:val="left"/>
              <w:rPr>
                <w:rFonts w:hint="eastAsia" w:ascii="宋体" w:hAnsi="宋体"/>
                <w:color w:val="auto"/>
                <w:szCs w:val="21"/>
              </w:rPr>
            </w:pPr>
            <w:r>
              <w:rPr>
                <w:rFonts w:hint="eastAsia" w:ascii="宋体" w:hAnsi="宋体"/>
                <w:color w:val="auto"/>
                <w:szCs w:val="21"/>
              </w:rPr>
              <w:t>（4）变频可调、温湿度可调；</w:t>
            </w:r>
            <w:r>
              <w:rPr>
                <w:rFonts w:ascii="宋体" w:hAnsi="宋体"/>
                <w:color w:val="auto"/>
                <w:szCs w:val="21"/>
              </w:rPr>
              <w:t>温度精度：±1℃，湿度精度：±5%</w:t>
            </w:r>
            <w:r>
              <w:rPr>
                <w:rFonts w:hint="eastAsia" w:ascii="宋体" w:hAnsi="宋体"/>
                <w:color w:val="auto"/>
                <w:szCs w:val="21"/>
              </w:rPr>
              <w:t xml:space="preserve"> </w:t>
            </w:r>
          </w:p>
          <w:p>
            <w:pPr>
              <w:widowControl/>
              <w:spacing w:line="360" w:lineRule="auto"/>
              <w:jc w:val="left"/>
              <w:rPr>
                <w:rFonts w:hint="eastAsia" w:ascii="宋体" w:hAnsi="宋体"/>
                <w:color w:val="auto"/>
                <w:szCs w:val="21"/>
              </w:rPr>
            </w:pPr>
            <w:r>
              <w:rPr>
                <w:rFonts w:hint="eastAsia" w:ascii="宋体" w:hAnsi="宋体"/>
                <w:color w:val="auto"/>
                <w:szCs w:val="21"/>
              </w:rPr>
              <w:t>（5）空调机柜配置在二更室上夹层空间，风柜内可带紫外线杀菌。</w:t>
            </w:r>
          </w:p>
          <w:p>
            <w:pPr>
              <w:widowControl/>
              <w:spacing w:line="360" w:lineRule="auto"/>
              <w:jc w:val="left"/>
              <w:rPr>
                <w:rFonts w:hint="eastAsia" w:ascii="宋体" w:hAnsi="宋体"/>
                <w:color w:val="auto"/>
                <w:szCs w:val="21"/>
              </w:rPr>
            </w:pPr>
            <w:r>
              <w:rPr>
                <w:rFonts w:hint="eastAsia" w:ascii="宋体" w:hAnsi="宋体"/>
                <w:color w:val="auto"/>
                <w:szCs w:val="21"/>
              </w:rPr>
              <w:t>（6）内胆、风机的板材及表冷器均使用304不锈钢材质。</w:t>
            </w:r>
          </w:p>
          <w:p>
            <w:pPr>
              <w:widowControl/>
              <w:spacing w:line="360" w:lineRule="auto"/>
              <w:jc w:val="left"/>
              <w:rPr>
                <w:rFonts w:hint="eastAsia" w:ascii="宋体" w:hAnsi="宋体"/>
                <w:color w:val="auto"/>
                <w:szCs w:val="21"/>
              </w:rPr>
            </w:pPr>
            <w:r>
              <w:rPr>
                <w:rFonts w:hint="eastAsia" w:ascii="宋体" w:hAnsi="宋体"/>
                <w:color w:val="auto"/>
                <w:szCs w:val="21"/>
              </w:rPr>
              <w:t>（7）内置臭氧发生器。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widowControl/>
              <w:spacing w:line="360" w:lineRule="auto"/>
              <w:jc w:val="center"/>
              <w:rPr>
                <w:rFonts w:hint="eastAsia" w:ascii="宋体" w:hAnsi="宋体"/>
                <w:color w:val="auto"/>
                <w:szCs w:val="21"/>
              </w:rPr>
            </w:pPr>
          </w:p>
        </w:tc>
        <w:tc>
          <w:tcPr>
            <w:tcW w:w="1417" w:type="dxa"/>
            <w:vAlign w:val="center"/>
          </w:tcPr>
          <w:p>
            <w:pPr>
              <w:widowControl/>
              <w:spacing w:line="360" w:lineRule="auto"/>
              <w:jc w:val="center"/>
              <w:rPr>
                <w:rFonts w:hint="eastAsia" w:ascii="宋体" w:hAnsi="宋体"/>
                <w:color w:val="auto"/>
                <w:szCs w:val="21"/>
              </w:rPr>
            </w:pPr>
            <w:r>
              <w:rPr>
                <w:rFonts w:ascii="宋体" w:hAnsi="宋体"/>
                <w:color w:val="auto"/>
                <w:szCs w:val="21"/>
              </w:rPr>
              <w:t>冷源形式</w:t>
            </w:r>
          </w:p>
        </w:tc>
        <w:tc>
          <w:tcPr>
            <w:tcW w:w="6663" w:type="dxa"/>
          </w:tcPr>
          <w:p>
            <w:pPr>
              <w:widowControl/>
              <w:spacing w:line="360" w:lineRule="auto"/>
              <w:jc w:val="center"/>
              <w:rPr>
                <w:rFonts w:hint="eastAsia" w:ascii="宋体" w:hAnsi="宋体"/>
                <w:color w:val="auto"/>
                <w:szCs w:val="21"/>
              </w:rPr>
            </w:pPr>
            <w:r>
              <w:rPr>
                <w:rFonts w:ascii="宋体" w:hAnsi="宋体"/>
                <w:color w:val="auto"/>
                <w:szCs w:val="21"/>
              </w:rPr>
              <w:t>水冷式（冰水机组+冷却塔）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widowControl/>
              <w:spacing w:line="360" w:lineRule="auto"/>
              <w:jc w:val="center"/>
              <w:rPr>
                <w:rFonts w:hint="eastAsia" w:ascii="宋体" w:hAnsi="宋体"/>
                <w:color w:val="auto"/>
                <w:szCs w:val="21"/>
              </w:rPr>
            </w:pPr>
          </w:p>
        </w:tc>
        <w:tc>
          <w:tcPr>
            <w:tcW w:w="1417" w:type="dxa"/>
            <w:vAlign w:val="center"/>
          </w:tcPr>
          <w:p>
            <w:pPr>
              <w:widowControl/>
              <w:spacing w:line="360" w:lineRule="auto"/>
              <w:jc w:val="center"/>
              <w:rPr>
                <w:rFonts w:hint="eastAsia" w:ascii="宋体" w:hAnsi="宋体"/>
                <w:color w:val="auto"/>
                <w:szCs w:val="21"/>
              </w:rPr>
            </w:pPr>
            <w:r>
              <w:rPr>
                <w:rFonts w:hint="eastAsia" w:ascii="宋体" w:hAnsi="宋体"/>
                <w:color w:val="auto"/>
                <w:szCs w:val="21"/>
              </w:rPr>
              <w:t>冰水</w:t>
            </w:r>
          </w:p>
        </w:tc>
        <w:tc>
          <w:tcPr>
            <w:tcW w:w="6663" w:type="dxa"/>
          </w:tcPr>
          <w:p>
            <w:pPr>
              <w:widowControl/>
              <w:spacing w:line="360" w:lineRule="auto"/>
              <w:jc w:val="center"/>
              <w:rPr>
                <w:rFonts w:hint="eastAsia" w:ascii="宋体" w:hAnsi="宋体"/>
                <w:color w:val="auto"/>
                <w:szCs w:val="21"/>
              </w:rPr>
            </w:pPr>
            <w:r>
              <w:rPr>
                <w:rFonts w:hint="eastAsia" w:ascii="宋体" w:hAnsi="宋体"/>
                <w:color w:val="auto"/>
                <w:szCs w:val="21"/>
              </w:rPr>
              <w:t>招标方提供（中标方提资）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widowControl/>
              <w:spacing w:line="360" w:lineRule="auto"/>
              <w:jc w:val="center"/>
              <w:rPr>
                <w:rFonts w:hint="eastAsia" w:ascii="宋体" w:hAnsi="宋体"/>
                <w:color w:val="auto"/>
                <w:szCs w:val="21"/>
              </w:rPr>
            </w:pPr>
          </w:p>
        </w:tc>
        <w:tc>
          <w:tcPr>
            <w:tcW w:w="1417" w:type="dxa"/>
            <w:vAlign w:val="center"/>
          </w:tcPr>
          <w:p>
            <w:pPr>
              <w:widowControl/>
              <w:spacing w:line="360" w:lineRule="auto"/>
              <w:jc w:val="center"/>
              <w:rPr>
                <w:rFonts w:hint="eastAsia" w:ascii="宋体" w:hAnsi="宋体"/>
                <w:color w:val="auto"/>
                <w:szCs w:val="21"/>
              </w:rPr>
            </w:pPr>
            <w:r>
              <w:rPr>
                <w:rFonts w:hint="eastAsia" w:ascii="宋体" w:hAnsi="宋体"/>
                <w:color w:val="auto"/>
                <w:szCs w:val="21"/>
              </w:rPr>
              <w:t>安装要求</w:t>
            </w:r>
          </w:p>
        </w:tc>
        <w:tc>
          <w:tcPr>
            <w:tcW w:w="6663" w:type="dxa"/>
          </w:tcPr>
          <w:p>
            <w:pPr>
              <w:widowControl/>
              <w:spacing w:line="360" w:lineRule="auto"/>
              <w:jc w:val="left"/>
              <w:rPr>
                <w:rFonts w:hint="eastAsia" w:ascii="宋体" w:hAnsi="宋体"/>
                <w:color w:val="auto"/>
                <w:szCs w:val="21"/>
              </w:rPr>
            </w:pPr>
            <w:r>
              <w:rPr>
                <w:rFonts w:ascii="宋体" w:hAnsi="宋体"/>
                <w:color w:val="auto"/>
                <w:szCs w:val="21"/>
              </w:rPr>
              <w:t>⑴ 空调机组必须有隔震措施，风管与设备连接处采用软接头</w:t>
            </w:r>
            <w:r>
              <w:rPr>
                <w:rFonts w:hint="eastAsia" w:ascii="宋体" w:hAnsi="宋体"/>
                <w:color w:val="auto"/>
                <w:szCs w:val="21"/>
              </w:rPr>
              <w:t>。</w:t>
            </w:r>
          </w:p>
          <w:p>
            <w:pPr>
              <w:widowControl/>
              <w:spacing w:line="360" w:lineRule="auto"/>
              <w:jc w:val="left"/>
              <w:rPr>
                <w:rFonts w:hint="eastAsia" w:ascii="宋体" w:hAnsi="宋体"/>
                <w:color w:val="auto"/>
                <w:szCs w:val="21"/>
              </w:rPr>
            </w:pPr>
            <w:r>
              <w:rPr>
                <w:rFonts w:ascii="宋体" w:hAnsi="宋体"/>
                <w:color w:val="auto"/>
                <w:szCs w:val="21"/>
              </w:rPr>
              <w:t>⑵</w:t>
            </w:r>
            <w:r>
              <w:rPr>
                <w:rFonts w:hint="eastAsia" w:ascii="宋体" w:hAnsi="宋体"/>
                <w:color w:val="auto"/>
                <w:szCs w:val="21"/>
              </w:rPr>
              <w:t xml:space="preserve"> </w:t>
            </w:r>
            <w:r>
              <w:rPr>
                <w:rFonts w:ascii="宋体" w:hAnsi="宋体"/>
                <w:color w:val="auto"/>
                <w:szCs w:val="21"/>
              </w:rPr>
              <w:t>风管、水管的支、吊或托架应设置于保温层外部，不得损坏保温层，并在支吊托架与管道间镶以垫木，垫木的厚度同保温层厚度，防火阀须单独配置吊架，安装调节阀、防火阀等调节配件时必须注意操作手柄配置在便于操作部位。</w:t>
            </w:r>
          </w:p>
          <w:p>
            <w:pPr>
              <w:widowControl/>
              <w:spacing w:line="360" w:lineRule="auto"/>
              <w:jc w:val="left"/>
              <w:rPr>
                <w:rFonts w:hint="eastAsia" w:ascii="宋体" w:hAnsi="宋体"/>
                <w:color w:val="auto"/>
                <w:szCs w:val="21"/>
              </w:rPr>
            </w:pPr>
            <w:r>
              <w:rPr>
                <w:rFonts w:ascii="宋体" w:hAnsi="宋体"/>
                <w:color w:val="auto"/>
                <w:szCs w:val="21"/>
              </w:rPr>
              <w:t>⑶保温风管、水管、设备等在表面除锈后刷防底漆两遍， 不保温的风管、金属支架等，在表面除锈后，刷防锈底漆和色漆。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widowControl/>
              <w:spacing w:line="360" w:lineRule="auto"/>
              <w:jc w:val="center"/>
              <w:rPr>
                <w:rFonts w:hint="eastAsia" w:ascii="宋体" w:hAnsi="宋体"/>
                <w:b/>
                <w:bCs/>
                <w:color w:val="auto"/>
                <w:szCs w:val="21"/>
              </w:rPr>
            </w:pPr>
          </w:p>
        </w:tc>
        <w:tc>
          <w:tcPr>
            <w:tcW w:w="1417" w:type="dxa"/>
            <w:vAlign w:val="center"/>
          </w:tcPr>
          <w:p>
            <w:pPr>
              <w:spacing w:line="360" w:lineRule="auto"/>
              <w:jc w:val="center"/>
              <w:rPr>
                <w:rFonts w:hint="eastAsia" w:ascii="宋体" w:hAnsi="宋体"/>
                <w:color w:val="auto"/>
                <w:spacing w:val="-4"/>
                <w:szCs w:val="21"/>
              </w:rPr>
            </w:pPr>
            <w:r>
              <w:rPr>
                <w:rFonts w:hint="eastAsia" w:ascii="宋体" w:hAnsi="宋体"/>
                <w:color w:val="auto"/>
                <w:spacing w:val="-4"/>
                <w:szCs w:val="21"/>
              </w:rPr>
              <w:t>回、排风口</w:t>
            </w:r>
          </w:p>
        </w:tc>
        <w:tc>
          <w:tcPr>
            <w:tcW w:w="6663" w:type="dxa"/>
          </w:tcPr>
          <w:p>
            <w:pPr>
              <w:widowControl/>
              <w:spacing w:line="360" w:lineRule="auto"/>
              <w:rPr>
                <w:rFonts w:hint="eastAsia" w:ascii="宋体" w:hAnsi="宋体"/>
                <w:color w:val="auto"/>
                <w:spacing w:val="-4"/>
                <w:szCs w:val="21"/>
              </w:rPr>
            </w:pPr>
            <w:r>
              <w:rPr>
                <w:rFonts w:hint="eastAsia" w:ascii="宋体" w:hAnsi="宋体"/>
                <w:color w:val="auto"/>
                <w:spacing w:val="-4"/>
                <w:szCs w:val="21"/>
              </w:rPr>
              <w:t>（1）洁净功能区内的回、排风口选用</w:t>
            </w:r>
            <w:r>
              <w:rPr>
                <w:rFonts w:hint="eastAsia" w:ascii="宋体" w:hAnsi="宋体"/>
                <w:color w:val="auto"/>
                <w:szCs w:val="21"/>
              </w:rPr>
              <w:t>不锈钢</w:t>
            </w:r>
            <w:r>
              <w:rPr>
                <w:rFonts w:hint="eastAsia" w:ascii="宋体" w:hAnsi="宋体"/>
                <w:color w:val="auto"/>
                <w:spacing w:val="-4"/>
                <w:szCs w:val="21"/>
              </w:rPr>
              <w:t>框架和手动调节阀门，功能区内回风口需带有过滤器，便于打开进行清洁。</w:t>
            </w:r>
          </w:p>
          <w:p>
            <w:pPr>
              <w:widowControl/>
              <w:spacing w:line="360" w:lineRule="auto"/>
              <w:rPr>
                <w:rFonts w:hint="eastAsia" w:ascii="宋体" w:hAnsi="宋体"/>
                <w:color w:val="auto"/>
                <w:spacing w:val="-4"/>
                <w:szCs w:val="21"/>
              </w:rPr>
            </w:pPr>
            <w:r>
              <w:rPr>
                <w:rFonts w:hint="eastAsia" w:ascii="宋体" w:hAnsi="宋体"/>
                <w:color w:val="auto"/>
                <w:spacing w:val="-4"/>
                <w:szCs w:val="21"/>
              </w:rPr>
              <w:t>（2）所有风口采用不锈钢304材质，颜色</w:t>
            </w:r>
            <w:r>
              <w:rPr>
                <w:rFonts w:hint="eastAsia" w:ascii="宋体" w:hAnsi="宋体"/>
                <w:color w:val="auto"/>
                <w:szCs w:val="21"/>
              </w:rPr>
              <w:t>与壁板相同</w:t>
            </w:r>
            <w:r>
              <w:rPr>
                <w:rFonts w:hint="eastAsia" w:ascii="宋体" w:hAnsi="宋体"/>
                <w:color w:val="auto"/>
                <w:spacing w:val="-4"/>
                <w:szCs w:val="21"/>
              </w:rPr>
              <w:t>或与建筑装修相协调，质量符合国家相关规范</w:t>
            </w:r>
            <w:r>
              <w:rPr>
                <w:rFonts w:hint="eastAsia" w:ascii="宋体" w:hAnsi="宋体"/>
                <w:color w:val="auto"/>
                <w:szCs w:val="21"/>
              </w:rPr>
              <w:t>及标准图集制作要求。</w:t>
            </w:r>
          </w:p>
          <w:p>
            <w:pPr>
              <w:widowControl/>
              <w:spacing w:line="360" w:lineRule="auto"/>
              <w:rPr>
                <w:rFonts w:hint="eastAsia" w:ascii="宋体" w:hAnsi="宋体"/>
                <w:color w:val="auto"/>
                <w:spacing w:val="-4"/>
                <w:szCs w:val="21"/>
              </w:rPr>
            </w:pPr>
            <w:r>
              <w:rPr>
                <w:rFonts w:hint="eastAsia" w:ascii="宋体" w:hAnsi="宋体"/>
                <w:color w:val="auto"/>
                <w:spacing w:val="-4"/>
                <w:szCs w:val="21"/>
              </w:rPr>
              <w:t>（3）风口百叶采用不锈钢固定百叶，方向冲下。以利于防水防潮、耐酸碱腐蚀需要；安装在外墙上的新风、排风口选用</w:t>
            </w:r>
            <w:r>
              <w:rPr>
                <w:rFonts w:ascii="宋体" w:hAnsi="宋体"/>
                <w:color w:val="auto"/>
                <w:spacing w:val="-4"/>
                <w:szCs w:val="21"/>
              </w:rPr>
              <w:t>304</w:t>
            </w:r>
            <w:r>
              <w:rPr>
                <w:rFonts w:hint="eastAsia" w:ascii="宋体" w:hAnsi="宋体"/>
                <w:color w:val="auto"/>
                <w:spacing w:val="-4"/>
                <w:szCs w:val="21"/>
              </w:rPr>
              <w:t>不锈钢材质</w:t>
            </w:r>
            <w:r>
              <w:rPr>
                <w:rFonts w:hint="eastAsia" w:ascii="宋体" w:hAnsi="宋体"/>
                <w:color w:val="auto"/>
                <w:szCs w:val="21"/>
              </w:rPr>
              <w:t>。</w:t>
            </w:r>
          </w:p>
          <w:p>
            <w:pPr>
              <w:widowControl/>
              <w:spacing w:line="360" w:lineRule="auto"/>
              <w:jc w:val="left"/>
              <w:rPr>
                <w:rFonts w:hint="eastAsia" w:ascii="宋体" w:hAnsi="宋体"/>
                <w:b/>
                <w:bCs/>
                <w:color w:val="auto"/>
                <w:szCs w:val="21"/>
              </w:rPr>
            </w:pPr>
            <w:r>
              <w:rPr>
                <w:rFonts w:hint="eastAsia" w:ascii="宋体" w:hAnsi="宋体"/>
                <w:color w:val="auto"/>
                <w:szCs w:val="21"/>
              </w:rPr>
              <w:t>新排风口均设置消声百叶，尽量减少声源对周围环境的影响。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widowControl/>
              <w:spacing w:line="360" w:lineRule="auto"/>
              <w:jc w:val="center"/>
              <w:rPr>
                <w:rFonts w:hint="eastAsia" w:ascii="宋体" w:hAnsi="宋体"/>
                <w:b/>
                <w:bCs/>
                <w:color w:val="auto"/>
                <w:szCs w:val="21"/>
              </w:rPr>
            </w:pPr>
          </w:p>
        </w:tc>
        <w:tc>
          <w:tcPr>
            <w:tcW w:w="1417" w:type="dxa"/>
            <w:vAlign w:val="center"/>
          </w:tcPr>
          <w:p>
            <w:pPr>
              <w:widowControl/>
              <w:spacing w:line="360" w:lineRule="auto"/>
              <w:jc w:val="center"/>
              <w:rPr>
                <w:rFonts w:hint="eastAsia" w:ascii="宋体" w:hAnsi="宋体"/>
                <w:color w:val="auto"/>
                <w:szCs w:val="21"/>
              </w:rPr>
            </w:pPr>
            <w:r>
              <w:rPr>
                <w:rFonts w:hint="eastAsia" w:ascii="宋体" w:hAnsi="宋体"/>
                <w:color w:val="auto"/>
                <w:szCs w:val="21"/>
              </w:rPr>
              <w:t>其他要求</w:t>
            </w:r>
          </w:p>
        </w:tc>
        <w:tc>
          <w:tcPr>
            <w:tcW w:w="6663" w:type="dxa"/>
          </w:tcPr>
          <w:p>
            <w:pPr>
              <w:widowControl/>
              <w:spacing w:line="360" w:lineRule="auto"/>
              <w:jc w:val="left"/>
              <w:rPr>
                <w:rFonts w:hint="eastAsia" w:ascii="宋体" w:hAnsi="宋体"/>
                <w:color w:val="auto"/>
                <w:szCs w:val="21"/>
              </w:rPr>
            </w:pPr>
            <w:r>
              <w:rPr>
                <w:rFonts w:hint="eastAsia" w:ascii="宋体" w:hAnsi="宋体"/>
                <w:color w:val="auto"/>
                <w:szCs w:val="21"/>
              </w:rPr>
              <w:t>（1）配置配压差计（范围：-30--30pa，精度：1.0pa）</w:t>
            </w:r>
          </w:p>
          <w:p>
            <w:pPr>
              <w:widowControl/>
              <w:spacing w:line="360" w:lineRule="auto"/>
              <w:jc w:val="left"/>
              <w:rPr>
                <w:rFonts w:hint="eastAsia" w:ascii="宋体" w:hAnsi="宋体"/>
                <w:color w:val="auto"/>
                <w:szCs w:val="21"/>
              </w:rPr>
            </w:pPr>
            <w:r>
              <w:rPr>
                <w:rFonts w:hint="eastAsia" w:ascii="宋体" w:hAnsi="宋体"/>
                <w:color w:val="auto"/>
                <w:szCs w:val="21"/>
              </w:rPr>
              <w:t>（2）风管：采用304不锈钢，厚度≥0.8mm；</w:t>
            </w:r>
          </w:p>
          <w:p>
            <w:pPr>
              <w:widowControl/>
              <w:spacing w:line="360" w:lineRule="auto"/>
              <w:jc w:val="left"/>
              <w:rPr>
                <w:rFonts w:hint="eastAsia" w:ascii="宋体" w:hAnsi="宋体"/>
                <w:color w:val="auto"/>
                <w:szCs w:val="21"/>
              </w:rPr>
            </w:pPr>
            <w:r>
              <w:rPr>
                <w:rFonts w:hint="eastAsia" w:ascii="宋体" w:hAnsi="宋体"/>
                <w:color w:val="auto"/>
                <w:szCs w:val="21"/>
              </w:rPr>
              <w:t>（3）所有风管均需要进行保温，采用B1级闭孔橡塑隔热保温材料，厚度δ=25mm及以上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restart"/>
            <w:vAlign w:val="center"/>
          </w:tcPr>
          <w:p>
            <w:pPr>
              <w:widowControl/>
              <w:spacing w:line="360" w:lineRule="auto"/>
              <w:rPr>
                <w:rFonts w:hint="eastAsia" w:ascii="宋体" w:hAnsi="宋体"/>
                <w:color w:val="auto"/>
                <w:szCs w:val="21"/>
              </w:rPr>
            </w:pPr>
            <w:r>
              <w:rPr>
                <w:rFonts w:hint="eastAsia" w:ascii="宋体" w:hAnsi="宋体"/>
                <w:bCs/>
                <w:color w:val="auto"/>
                <w:szCs w:val="21"/>
              </w:rPr>
              <w:t>功能缓冲间</w:t>
            </w:r>
            <w:r>
              <w:rPr>
                <w:rFonts w:hint="eastAsia" w:ascii="宋体" w:hAnsi="宋体"/>
                <w:color w:val="auto"/>
                <w:szCs w:val="21"/>
              </w:rPr>
              <w:t>通风要求</w:t>
            </w:r>
          </w:p>
        </w:tc>
        <w:tc>
          <w:tcPr>
            <w:tcW w:w="1417" w:type="dxa"/>
            <w:vAlign w:val="center"/>
          </w:tcPr>
          <w:p>
            <w:pPr>
              <w:widowControl/>
              <w:spacing w:line="360" w:lineRule="auto"/>
              <w:jc w:val="center"/>
              <w:rPr>
                <w:rFonts w:hint="eastAsia" w:ascii="宋体" w:hAnsi="宋体"/>
                <w:color w:val="auto"/>
                <w:szCs w:val="21"/>
              </w:rPr>
            </w:pPr>
            <w:r>
              <w:rPr>
                <w:rFonts w:hint="eastAsia" w:ascii="宋体" w:hAnsi="宋体"/>
                <w:color w:val="auto"/>
                <w:szCs w:val="21"/>
              </w:rPr>
              <w:t>通风要求</w:t>
            </w:r>
          </w:p>
        </w:tc>
        <w:tc>
          <w:tcPr>
            <w:tcW w:w="6663" w:type="dxa"/>
          </w:tcPr>
          <w:p>
            <w:pPr>
              <w:widowControl/>
              <w:spacing w:line="360" w:lineRule="auto"/>
              <w:jc w:val="left"/>
              <w:rPr>
                <w:rFonts w:hint="eastAsia" w:ascii="宋体" w:hAnsi="宋体"/>
                <w:color w:val="auto"/>
                <w:szCs w:val="21"/>
              </w:rPr>
            </w:pPr>
            <w:r>
              <w:rPr>
                <w:rFonts w:hint="eastAsia" w:ascii="宋体" w:hAnsi="宋体"/>
                <w:color w:val="auto"/>
                <w:szCs w:val="21"/>
              </w:rPr>
              <w:t>换风次数：≥12次/小时.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widowControl/>
              <w:spacing w:line="360" w:lineRule="auto"/>
              <w:rPr>
                <w:rFonts w:hint="eastAsia" w:ascii="宋体" w:hAnsi="宋体"/>
                <w:color w:val="auto"/>
                <w:szCs w:val="21"/>
              </w:rPr>
            </w:pPr>
          </w:p>
        </w:tc>
        <w:tc>
          <w:tcPr>
            <w:tcW w:w="1417" w:type="dxa"/>
            <w:vAlign w:val="center"/>
          </w:tcPr>
          <w:p>
            <w:pPr>
              <w:widowControl/>
              <w:spacing w:line="360" w:lineRule="auto"/>
              <w:jc w:val="center"/>
              <w:rPr>
                <w:rFonts w:hint="eastAsia" w:ascii="宋体" w:hAnsi="宋体"/>
                <w:color w:val="auto"/>
                <w:szCs w:val="21"/>
              </w:rPr>
            </w:pPr>
            <w:r>
              <w:rPr>
                <w:rFonts w:hint="eastAsia" w:ascii="宋体" w:hAnsi="宋体"/>
                <w:color w:val="auto"/>
                <w:szCs w:val="21"/>
              </w:rPr>
              <w:t>新风系统</w:t>
            </w:r>
          </w:p>
        </w:tc>
        <w:tc>
          <w:tcPr>
            <w:tcW w:w="6663" w:type="dxa"/>
          </w:tcPr>
          <w:p>
            <w:pPr>
              <w:widowControl/>
              <w:spacing w:line="360" w:lineRule="auto"/>
              <w:jc w:val="left"/>
              <w:rPr>
                <w:rFonts w:hint="eastAsia" w:ascii="宋体" w:hAnsi="宋体"/>
                <w:color w:val="auto"/>
                <w:szCs w:val="21"/>
              </w:rPr>
            </w:pPr>
            <w:r>
              <w:rPr>
                <w:rFonts w:hint="eastAsia" w:ascii="宋体" w:hAnsi="宋体"/>
                <w:color w:val="auto"/>
                <w:szCs w:val="21"/>
              </w:rPr>
              <w:t>（1）品牌：采用天加、格力、申菱、麦克维尔或同等及以上品牌</w:t>
            </w:r>
          </w:p>
          <w:p>
            <w:pPr>
              <w:widowControl/>
              <w:spacing w:line="360" w:lineRule="auto"/>
              <w:jc w:val="left"/>
              <w:rPr>
                <w:rFonts w:hint="eastAsia" w:ascii="宋体" w:hAnsi="宋体"/>
                <w:color w:val="auto"/>
                <w:szCs w:val="21"/>
              </w:rPr>
            </w:pPr>
            <w:r>
              <w:rPr>
                <w:rFonts w:hint="eastAsia" w:ascii="宋体" w:hAnsi="宋体"/>
                <w:color w:val="auto"/>
                <w:szCs w:val="21"/>
              </w:rPr>
              <w:t>（2）送风量及新风量依据</w:t>
            </w:r>
            <w:r>
              <w:rPr>
                <w:rFonts w:hint="eastAsia" w:ascii="宋体" w:hAnsi="宋体"/>
                <w:bCs/>
                <w:color w:val="auto"/>
                <w:szCs w:val="21"/>
              </w:rPr>
              <w:t>功能缓冲间</w:t>
            </w:r>
            <w:r>
              <w:rPr>
                <w:rFonts w:hint="eastAsia" w:ascii="宋体" w:hAnsi="宋体"/>
                <w:color w:val="auto"/>
                <w:szCs w:val="21"/>
              </w:rPr>
              <w:t>大小而设计，满足换气次数≥12次/小时;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widowControl/>
              <w:spacing w:line="360" w:lineRule="auto"/>
              <w:rPr>
                <w:rFonts w:hint="eastAsia" w:ascii="宋体" w:hAnsi="宋体"/>
                <w:color w:val="auto"/>
                <w:szCs w:val="21"/>
              </w:rPr>
            </w:pPr>
          </w:p>
        </w:tc>
        <w:tc>
          <w:tcPr>
            <w:tcW w:w="1417" w:type="dxa"/>
            <w:vAlign w:val="center"/>
          </w:tcPr>
          <w:p>
            <w:pPr>
              <w:widowControl/>
              <w:spacing w:line="360" w:lineRule="auto"/>
              <w:jc w:val="center"/>
              <w:rPr>
                <w:rFonts w:hint="eastAsia" w:ascii="宋体" w:hAnsi="宋体"/>
                <w:color w:val="auto"/>
                <w:szCs w:val="21"/>
              </w:rPr>
            </w:pPr>
            <w:r>
              <w:rPr>
                <w:rFonts w:hint="eastAsia" w:ascii="宋体" w:hAnsi="宋体"/>
                <w:color w:val="auto"/>
                <w:szCs w:val="21"/>
              </w:rPr>
              <w:t>其他要求</w:t>
            </w:r>
          </w:p>
        </w:tc>
        <w:tc>
          <w:tcPr>
            <w:tcW w:w="6663" w:type="dxa"/>
          </w:tcPr>
          <w:p>
            <w:pPr>
              <w:widowControl/>
              <w:spacing w:line="360" w:lineRule="auto"/>
              <w:ind w:firstLine="105" w:firstLineChars="50"/>
              <w:jc w:val="left"/>
              <w:rPr>
                <w:rFonts w:hint="eastAsia" w:ascii="宋体" w:hAnsi="宋体"/>
                <w:color w:val="auto"/>
                <w:szCs w:val="21"/>
              </w:rPr>
            </w:pPr>
            <w:r>
              <w:rPr>
                <w:rFonts w:hint="eastAsia" w:ascii="宋体" w:hAnsi="宋体"/>
                <w:color w:val="auto"/>
                <w:szCs w:val="21"/>
              </w:rPr>
              <w:t>(1）配置配压差计（范围：-30--30pa，精度：1.0pa）</w:t>
            </w:r>
          </w:p>
          <w:p>
            <w:pPr>
              <w:widowControl/>
              <w:spacing w:line="360" w:lineRule="auto"/>
              <w:jc w:val="left"/>
              <w:rPr>
                <w:rFonts w:hint="eastAsia" w:ascii="宋体" w:hAnsi="宋体"/>
                <w:color w:val="auto"/>
                <w:szCs w:val="21"/>
              </w:rPr>
            </w:pPr>
            <w:r>
              <w:rPr>
                <w:rFonts w:hint="eastAsia" w:ascii="宋体" w:hAnsi="宋体"/>
                <w:color w:val="auto"/>
                <w:szCs w:val="21"/>
              </w:rPr>
              <w:t>（2）风管：采用304不锈钢管道，厚度≥0.8mm；</w:t>
            </w:r>
          </w:p>
          <w:p>
            <w:pPr>
              <w:widowControl/>
              <w:spacing w:line="360" w:lineRule="auto"/>
              <w:jc w:val="left"/>
              <w:rPr>
                <w:rFonts w:hint="eastAsia" w:ascii="宋体" w:hAnsi="宋体"/>
                <w:color w:val="auto"/>
                <w:szCs w:val="21"/>
              </w:rPr>
            </w:pPr>
            <w:r>
              <w:rPr>
                <w:rFonts w:hint="eastAsia" w:ascii="宋体" w:hAnsi="宋体"/>
                <w:color w:val="auto"/>
                <w:szCs w:val="21"/>
              </w:rPr>
              <w:t>（3）所有风管均需要进行保温，采用B1级闭孔橡塑隔热保温材料，厚度δ=25mm及以上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widowControl/>
              <w:spacing w:line="360" w:lineRule="auto"/>
              <w:jc w:val="center"/>
              <w:rPr>
                <w:rFonts w:hint="eastAsia" w:ascii="宋体" w:hAnsi="宋体"/>
                <w:color w:val="auto"/>
                <w:szCs w:val="21"/>
              </w:rPr>
            </w:pPr>
            <w:r>
              <w:rPr>
                <w:rFonts w:hint="eastAsia" w:ascii="宋体" w:hAnsi="宋体"/>
                <w:color w:val="auto"/>
                <w:szCs w:val="21"/>
              </w:rPr>
              <w:t>尾气排放</w:t>
            </w:r>
          </w:p>
        </w:tc>
        <w:tc>
          <w:tcPr>
            <w:tcW w:w="8080" w:type="dxa"/>
            <w:gridSpan w:val="2"/>
            <w:vAlign w:val="center"/>
          </w:tcPr>
          <w:p>
            <w:pPr>
              <w:widowControl/>
              <w:spacing w:line="360" w:lineRule="auto"/>
              <w:jc w:val="left"/>
              <w:rPr>
                <w:rFonts w:hint="eastAsia" w:ascii="宋体" w:hAnsi="宋体"/>
                <w:color w:val="auto"/>
                <w:szCs w:val="21"/>
              </w:rPr>
            </w:pPr>
            <w:r>
              <w:rPr>
                <w:rFonts w:hint="eastAsia" w:ascii="宋体" w:hAnsi="宋体"/>
                <w:color w:val="auto"/>
                <w:szCs w:val="21"/>
              </w:rPr>
              <w:t>（1）吹灌旋一体机设备和洁净功能区系统产生的废气及尾气均需做联动控制统一排放至室外并做好隔音处理。</w:t>
            </w:r>
          </w:p>
          <w:p>
            <w:pPr>
              <w:widowControl/>
              <w:spacing w:line="360" w:lineRule="auto"/>
              <w:jc w:val="left"/>
              <w:rPr>
                <w:rFonts w:hint="eastAsia" w:ascii="宋体" w:hAnsi="宋体"/>
                <w:color w:val="auto"/>
                <w:szCs w:val="21"/>
              </w:rPr>
            </w:pPr>
            <w:r>
              <w:rPr>
                <w:rFonts w:hint="eastAsia" w:ascii="宋体" w:hAnsi="宋体"/>
                <w:color w:val="auto"/>
                <w:szCs w:val="21"/>
              </w:rPr>
              <w:t>（2）排气管道采用不锈钢风管，厚度符合国标要求。</w:t>
            </w:r>
          </w:p>
        </w:tc>
      </w:tr>
    </w:tbl>
    <w:p>
      <w:pPr>
        <w:widowControl/>
        <w:spacing w:line="360" w:lineRule="auto"/>
        <w:jc w:val="left"/>
        <w:rPr>
          <w:rFonts w:hint="eastAsia" w:ascii="宋体" w:hAnsi="宋体"/>
          <w:b/>
          <w:bCs/>
          <w:color w:val="auto"/>
          <w:szCs w:val="21"/>
        </w:rPr>
      </w:pPr>
      <w:r>
        <w:rPr>
          <w:rFonts w:hint="eastAsia" w:ascii="宋体" w:hAnsi="宋体"/>
          <w:b/>
          <w:bCs/>
          <w:color w:val="auto"/>
          <w:szCs w:val="21"/>
        </w:rPr>
        <w:t>（四）洁净照明</w:t>
      </w:r>
    </w:p>
    <w:tbl>
      <w:tblPr>
        <w:tblStyle w:val="19"/>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701"/>
        <w:gridCol w:w="6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widowControl/>
              <w:spacing w:line="360" w:lineRule="auto"/>
              <w:jc w:val="center"/>
              <w:rPr>
                <w:rFonts w:hint="eastAsia" w:ascii="宋体" w:hAnsi="宋体"/>
                <w:color w:val="auto"/>
                <w:szCs w:val="21"/>
              </w:rPr>
            </w:pPr>
            <w:r>
              <w:rPr>
                <w:rFonts w:hint="eastAsia" w:ascii="宋体" w:hAnsi="宋体"/>
                <w:color w:val="auto"/>
                <w:szCs w:val="21"/>
              </w:rPr>
              <w:t>项目</w:t>
            </w:r>
          </w:p>
        </w:tc>
        <w:tc>
          <w:tcPr>
            <w:tcW w:w="8080" w:type="dxa"/>
            <w:gridSpan w:val="2"/>
            <w:vAlign w:val="center"/>
          </w:tcPr>
          <w:p>
            <w:pPr>
              <w:widowControl/>
              <w:spacing w:line="360" w:lineRule="auto"/>
              <w:jc w:val="center"/>
              <w:rPr>
                <w:rFonts w:hint="eastAsia" w:ascii="宋体" w:hAnsi="宋体"/>
                <w:color w:val="auto"/>
                <w:szCs w:val="21"/>
              </w:rPr>
            </w:pPr>
            <w:r>
              <w:rPr>
                <w:rFonts w:hint="eastAsia" w:ascii="宋体" w:hAnsi="宋体"/>
                <w:color w:val="auto"/>
                <w:szCs w:val="21"/>
              </w:rPr>
              <w:t>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restart"/>
            <w:vAlign w:val="center"/>
          </w:tcPr>
          <w:p>
            <w:pPr>
              <w:widowControl/>
              <w:spacing w:line="360" w:lineRule="auto"/>
              <w:jc w:val="center"/>
              <w:rPr>
                <w:rFonts w:hint="eastAsia" w:ascii="宋体" w:hAnsi="宋体"/>
                <w:color w:val="auto"/>
                <w:szCs w:val="21"/>
              </w:rPr>
            </w:pPr>
            <w:r>
              <w:rPr>
                <w:rFonts w:hint="eastAsia" w:ascii="宋体" w:hAnsi="宋体"/>
                <w:color w:val="auto"/>
                <w:szCs w:val="21"/>
              </w:rPr>
              <w:t>洁净照明</w:t>
            </w:r>
          </w:p>
        </w:tc>
        <w:tc>
          <w:tcPr>
            <w:tcW w:w="1701" w:type="dxa"/>
            <w:vAlign w:val="center"/>
          </w:tcPr>
          <w:p>
            <w:pPr>
              <w:widowControl/>
              <w:spacing w:line="360" w:lineRule="auto"/>
              <w:jc w:val="center"/>
              <w:rPr>
                <w:rFonts w:hint="eastAsia" w:ascii="宋体" w:hAnsi="宋体"/>
                <w:color w:val="auto"/>
                <w:szCs w:val="21"/>
              </w:rPr>
            </w:pPr>
            <w:r>
              <w:rPr>
                <w:rFonts w:ascii="宋体" w:hAnsi="宋体"/>
                <w:color w:val="auto"/>
                <w:szCs w:val="21"/>
              </w:rPr>
              <w:t>嵌入式LED平板灯</w:t>
            </w:r>
          </w:p>
        </w:tc>
        <w:tc>
          <w:tcPr>
            <w:tcW w:w="6379" w:type="dxa"/>
          </w:tcPr>
          <w:p>
            <w:pPr>
              <w:widowControl/>
              <w:spacing w:line="360" w:lineRule="auto"/>
              <w:jc w:val="left"/>
              <w:rPr>
                <w:rFonts w:hint="eastAsia" w:ascii="宋体" w:hAnsi="宋体"/>
                <w:color w:val="auto"/>
                <w:szCs w:val="21"/>
              </w:rPr>
            </w:pPr>
            <w:r>
              <w:rPr>
                <w:rFonts w:hint="eastAsia" w:ascii="宋体" w:hAnsi="宋体"/>
                <w:color w:val="auto"/>
                <w:szCs w:val="21"/>
              </w:rPr>
              <w:t>（1）采用</w:t>
            </w:r>
            <w:r>
              <w:rPr>
                <w:rFonts w:ascii="宋体" w:hAnsi="宋体"/>
                <w:color w:val="auto"/>
                <w:szCs w:val="21"/>
              </w:rPr>
              <w:t>嵌入式LED平板灯</w:t>
            </w:r>
            <w:r>
              <w:rPr>
                <w:rFonts w:hint="eastAsia" w:ascii="宋体" w:hAnsi="宋体"/>
                <w:color w:val="auto"/>
                <w:szCs w:val="21"/>
              </w:rPr>
              <w:t>，吊顶无缝嵌入</w:t>
            </w:r>
          </w:p>
          <w:p>
            <w:pPr>
              <w:widowControl/>
              <w:spacing w:line="360" w:lineRule="auto"/>
              <w:jc w:val="left"/>
              <w:rPr>
                <w:rFonts w:hint="eastAsia" w:ascii="宋体" w:hAnsi="宋体"/>
                <w:color w:val="auto"/>
                <w:szCs w:val="21"/>
              </w:rPr>
            </w:pPr>
            <w:r>
              <w:rPr>
                <w:rFonts w:hint="eastAsia" w:ascii="宋体" w:hAnsi="宋体"/>
                <w:color w:val="auto"/>
                <w:szCs w:val="21"/>
              </w:rPr>
              <w:t>（2）304不锈钢灯架</w:t>
            </w:r>
            <w:r>
              <w:rPr>
                <w:rFonts w:ascii="宋体" w:hAnsi="宋体"/>
                <w:color w:val="auto"/>
                <w:szCs w:val="21"/>
              </w:rPr>
              <w:t>壳体</w:t>
            </w:r>
            <w:r>
              <w:rPr>
                <w:rFonts w:hint="eastAsia" w:ascii="宋体" w:hAnsi="宋体"/>
                <w:color w:val="auto"/>
                <w:szCs w:val="21"/>
              </w:rPr>
              <w:t>，防护等级 IP65；</w:t>
            </w:r>
          </w:p>
          <w:p>
            <w:pPr>
              <w:widowControl/>
              <w:spacing w:line="360" w:lineRule="auto"/>
              <w:jc w:val="left"/>
              <w:rPr>
                <w:rFonts w:hint="eastAsia" w:ascii="宋体" w:hAnsi="宋体"/>
                <w:color w:val="auto"/>
                <w:szCs w:val="21"/>
              </w:rPr>
            </w:pPr>
            <w:r>
              <w:rPr>
                <w:rFonts w:hint="eastAsia" w:ascii="宋体" w:hAnsi="宋体"/>
                <w:color w:val="auto"/>
                <w:szCs w:val="21"/>
              </w:rPr>
              <w:t>（3）整个洁净功能区照度不低于350LX；分区控制，需满足夹层检修功能；</w:t>
            </w:r>
          </w:p>
          <w:p>
            <w:pPr>
              <w:widowControl/>
              <w:spacing w:line="360" w:lineRule="auto"/>
              <w:jc w:val="left"/>
              <w:rPr>
                <w:rFonts w:hint="eastAsia" w:ascii="宋体" w:hAnsi="宋体"/>
                <w:color w:val="auto"/>
                <w:szCs w:val="21"/>
              </w:rPr>
            </w:pPr>
            <w:r>
              <w:rPr>
                <w:rFonts w:hint="eastAsia" w:ascii="宋体" w:hAnsi="宋体"/>
                <w:color w:val="auto"/>
                <w:szCs w:val="21"/>
              </w:rPr>
              <w:t>（4）整体光衰：10000H不超过10%，使用寿命≥50000H</w:t>
            </w:r>
          </w:p>
          <w:p>
            <w:pPr>
              <w:widowControl/>
              <w:spacing w:line="360" w:lineRule="auto"/>
              <w:jc w:val="left"/>
              <w:rPr>
                <w:rFonts w:hint="eastAsia" w:ascii="宋体" w:hAnsi="宋体"/>
                <w:color w:val="auto"/>
                <w:szCs w:val="21"/>
              </w:rPr>
            </w:pPr>
            <w:r>
              <w:rPr>
                <w:rFonts w:hint="eastAsia" w:ascii="宋体" w:hAnsi="宋体"/>
                <w:color w:val="auto"/>
                <w:szCs w:val="21"/>
              </w:rPr>
              <w:t>（5）全部LED灯要求功率因数要求不小于0.95，灯管、灯具要求配件统一。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widowControl/>
              <w:spacing w:line="360" w:lineRule="auto"/>
              <w:jc w:val="center"/>
              <w:rPr>
                <w:rFonts w:hint="eastAsia" w:ascii="宋体" w:hAnsi="宋体"/>
                <w:color w:val="auto"/>
                <w:szCs w:val="21"/>
              </w:rPr>
            </w:pPr>
          </w:p>
        </w:tc>
        <w:tc>
          <w:tcPr>
            <w:tcW w:w="1701" w:type="dxa"/>
            <w:vAlign w:val="center"/>
          </w:tcPr>
          <w:p>
            <w:pPr>
              <w:widowControl/>
              <w:spacing w:line="360" w:lineRule="auto"/>
              <w:jc w:val="center"/>
              <w:rPr>
                <w:rFonts w:hint="eastAsia" w:ascii="宋体" w:hAnsi="宋体"/>
                <w:color w:val="auto"/>
                <w:szCs w:val="21"/>
              </w:rPr>
            </w:pPr>
            <w:r>
              <w:rPr>
                <w:rFonts w:hint="eastAsia" w:ascii="宋体" w:hAnsi="宋体"/>
                <w:color w:val="auto"/>
                <w:szCs w:val="21"/>
              </w:rPr>
              <w:t>LED应急灯</w:t>
            </w:r>
          </w:p>
        </w:tc>
        <w:tc>
          <w:tcPr>
            <w:tcW w:w="6379" w:type="dxa"/>
          </w:tcPr>
          <w:p>
            <w:pPr>
              <w:widowControl/>
              <w:spacing w:line="360" w:lineRule="auto"/>
              <w:jc w:val="left"/>
              <w:rPr>
                <w:rFonts w:hint="eastAsia" w:ascii="宋体" w:hAnsi="宋体"/>
                <w:color w:val="auto"/>
                <w:szCs w:val="21"/>
              </w:rPr>
            </w:pPr>
            <w:r>
              <w:rPr>
                <w:rFonts w:hint="eastAsia" w:ascii="宋体" w:hAnsi="宋体"/>
                <w:color w:val="auto"/>
                <w:szCs w:val="21"/>
              </w:rPr>
              <w:t>（1）可带应急照明LED灯，应急时间不小于90min</w:t>
            </w:r>
          </w:p>
          <w:p>
            <w:pPr>
              <w:widowControl/>
              <w:spacing w:line="360" w:lineRule="auto"/>
              <w:jc w:val="left"/>
              <w:rPr>
                <w:rFonts w:hint="eastAsia" w:ascii="宋体" w:hAnsi="宋体"/>
                <w:color w:val="auto"/>
                <w:szCs w:val="21"/>
              </w:rPr>
            </w:pPr>
            <w:r>
              <w:rPr>
                <w:rFonts w:hint="eastAsia" w:ascii="宋体" w:hAnsi="宋体"/>
                <w:color w:val="auto"/>
                <w:szCs w:val="21"/>
              </w:rPr>
              <w:t>（2）304不锈钢灯架</w:t>
            </w:r>
            <w:r>
              <w:rPr>
                <w:rFonts w:ascii="宋体" w:hAnsi="宋体"/>
                <w:color w:val="auto"/>
                <w:szCs w:val="21"/>
              </w:rPr>
              <w:t>壳体</w:t>
            </w:r>
            <w:r>
              <w:rPr>
                <w:rFonts w:hint="eastAsia" w:ascii="宋体" w:hAnsi="宋体"/>
                <w:color w:val="auto"/>
                <w:szCs w:val="21"/>
              </w:rPr>
              <w:t>，防护等级 IP65；</w:t>
            </w:r>
          </w:p>
          <w:p>
            <w:pPr>
              <w:widowControl/>
              <w:spacing w:line="360" w:lineRule="auto"/>
              <w:jc w:val="left"/>
              <w:rPr>
                <w:rFonts w:hint="eastAsia" w:ascii="宋体" w:hAnsi="宋体"/>
                <w:color w:val="auto"/>
                <w:szCs w:val="21"/>
              </w:rPr>
            </w:pPr>
            <w:r>
              <w:rPr>
                <w:rFonts w:hint="eastAsia" w:ascii="宋体" w:hAnsi="宋体"/>
                <w:color w:val="auto"/>
                <w:szCs w:val="21"/>
              </w:rPr>
              <w:t>（3）整体光衰：10000H不超过10%，使用寿命≥50000H</w:t>
            </w:r>
          </w:p>
          <w:p>
            <w:pPr>
              <w:widowControl/>
              <w:spacing w:line="360" w:lineRule="auto"/>
              <w:jc w:val="left"/>
              <w:rPr>
                <w:rFonts w:hint="eastAsia" w:ascii="宋体" w:hAnsi="宋体"/>
                <w:color w:val="auto"/>
                <w:szCs w:val="21"/>
              </w:rPr>
            </w:pPr>
            <w:r>
              <w:rPr>
                <w:rFonts w:hint="eastAsia" w:ascii="宋体" w:hAnsi="宋体"/>
                <w:color w:val="auto"/>
                <w:szCs w:val="21"/>
              </w:rPr>
              <w:t>（4）全部LED灯要求功率因数要求不小于0.95，灯管、灯具要求配件统一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widowControl/>
              <w:spacing w:line="360" w:lineRule="auto"/>
              <w:jc w:val="center"/>
              <w:rPr>
                <w:rFonts w:hint="eastAsia" w:ascii="宋体" w:hAnsi="宋体"/>
                <w:b/>
                <w:bCs/>
                <w:color w:val="auto"/>
                <w:szCs w:val="21"/>
              </w:rPr>
            </w:pPr>
          </w:p>
        </w:tc>
        <w:tc>
          <w:tcPr>
            <w:tcW w:w="1701" w:type="dxa"/>
            <w:vAlign w:val="center"/>
          </w:tcPr>
          <w:p>
            <w:pPr>
              <w:widowControl/>
              <w:spacing w:line="360" w:lineRule="auto"/>
              <w:jc w:val="center"/>
              <w:rPr>
                <w:rFonts w:hint="eastAsia" w:ascii="宋体" w:hAnsi="宋体"/>
                <w:color w:val="auto"/>
                <w:szCs w:val="21"/>
              </w:rPr>
            </w:pPr>
            <w:r>
              <w:rPr>
                <w:rFonts w:hint="eastAsia" w:ascii="宋体" w:hAnsi="宋体"/>
                <w:color w:val="auto"/>
                <w:szCs w:val="21"/>
              </w:rPr>
              <w:t>紫外灯</w:t>
            </w:r>
          </w:p>
        </w:tc>
        <w:tc>
          <w:tcPr>
            <w:tcW w:w="6379" w:type="dxa"/>
          </w:tcPr>
          <w:p>
            <w:pPr>
              <w:widowControl/>
              <w:spacing w:line="360" w:lineRule="auto"/>
              <w:jc w:val="left"/>
              <w:rPr>
                <w:rFonts w:hint="eastAsia" w:ascii="宋体" w:hAnsi="宋体"/>
                <w:color w:val="auto"/>
                <w:szCs w:val="21"/>
              </w:rPr>
            </w:pPr>
            <w:r>
              <w:rPr>
                <w:rFonts w:hint="eastAsia" w:ascii="宋体" w:hAnsi="宋体"/>
                <w:color w:val="auto"/>
                <w:szCs w:val="21"/>
              </w:rPr>
              <w:t>（1）采用升降式紫外灯，每支紫外灯功率40瓦及以上，安装密度10㎡/支；</w:t>
            </w:r>
          </w:p>
          <w:p>
            <w:pPr>
              <w:widowControl/>
              <w:spacing w:line="360" w:lineRule="auto"/>
              <w:jc w:val="left"/>
              <w:rPr>
                <w:rFonts w:hint="eastAsia" w:ascii="宋体" w:hAnsi="宋体"/>
                <w:color w:val="auto"/>
                <w:szCs w:val="21"/>
              </w:rPr>
            </w:pPr>
            <w:r>
              <w:rPr>
                <w:rFonts w:hint="eastAsia" w:ascii="宋体" w:hAnsi="宋体"/>
                <w:color w:val="auto"/>
                <w:szCs w:val="21"/>
              </w:rPr>
              <w:t>（2）类型：臭氧型，紫外灯要产生臭氧</w:t>
            </w:r>
          </w:p>
          <w:p>
            <w:pPr>
              <w:widowControl/>
              <w:spacing w:line="360" w:lineRule="auto"/>
              <w:jc w:val="left"/>
              <w:rPr>
                <w:rFonts w:hint="eastAsia" w:ascii="宋体" w:hAnsi="宋体"/>
                <w:color w:val="auto"/>
                <w:szCs w:val="21"/>
              </w:rPr>
            </w:pPr>
            <w:r>
              <w:rPr>
                <w:rFonts w:hint="eastAsia" w:ascii="宋体" w:hAnsi="宋体"/>
                <w:color w:val="auto"/>
                <w:szCs w:val="21"/>
              </w:rPr>
              <w:t>（3）灯座：不锈钢型，防酸碱，适应潮湿环境</w:t>
            </w:r>
          </w:p>
          <w:p>
            <w:pPr>
              <w:widowControl/>
              <w:spacing w:line="360" w:lineRule="auto"/>
              <w:jc w:val="left"/>
              <w:rPr>
                <w:rFonts w:hint="eastAsia" w:ascii="宋体" w:hAnsi="宋体"/>
                <w:color w:val="auto"/>
                <w:szCs w:val="21"/>
              </w:rPr>
            </w:pPr>
            <w:r>
              <w:rPr>
                <w:rFonts w:hint="eastAsia" w:ascii="宋体" w:hAnsi="宋体"/>
                <w:color w:val="auto"/>
                <w:szCs w:val="21"/>
              </w:rPr>
              <w:t>（4）装回避点：产品正上方附近1.5米范围，此区域不能安装紫外灯及照明灯，</w:t>
            </w:r>
          </w:p>
          <w:p>
            <w:pPr>
              <w:widowControl/>
              <w:spacing w:line="360" w:lineRule="auto"/>
              <w:jc w:val="left"/>
              <w:rPr>
                <w:rFonts w:hint="eastAsia" w:ascii="宋体" w:hAnsi="宋体"/>
                <w:color w:val="auto"/>
                <w:szCs w:val="21"/>
              </w:rPr>
            </w:pPr>
            <w:r>
              <w:rPr>
                <w:rFonts w:hint="eastAsia" w:ascii="宋体" w:hAnsi="宋体"/>
                <w:color w:val="auto"/>
                <w:szCs w:val="21"/>
              </w:rPr>
              <w:t>（5）紫外灯波长选择：253.7nm附近</w:t>
            </w:r>
          </w:p>
          <w:p>
            <w:pPr>
              <w:widowControl/>
              <w:spacing w:line="360" w:lineRule="auto"/>
              <w:jc w:val="left"/>
              <w:rPr>
                <w:rFonts w:hint="eastAsia" w:ascii="宋体" w:hAnsi="宋体"/>
                <w:color w:val="auto"/>
                <w:szCs w:val="21"/>
              </w:rPr>
            </w:pPr>
            <w:r>
              <w:rPr>
                <w:rFonts w:hint="eastAsia" w:ascii="宋体" w:hAnsi="宋体"/>
                <w:color w:val="auto"/>
                <w:szCs w:val="21"/>
              </w:rPr>
              <w:t>（8）灯管材质：紫外灯采用石英玻璃或紫外线透过率不低于石英玻璃的材料。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widowControl/>
              <w:spacing w:line="360" w:lineRule="auto"/>
              <w:jc w:val="center"/>
              <w:rPr>
                <w:rFonts w:hint="eastAsia" w:ascii="宋体" w:hAnsi="宋体"/>
                <w:b/>
                <w:bCs/>
                <w:color w:val="auto"/>
                <w:szCs w:val="21"/>
              </w:rPr>
            </w:pPr>
          </w:p>
        </w:tc>
        <w:tc>
          <w:tcPr>
            <w:tcW w:w="1701" w:type="dxa"/>
            <w:vAlign w:val="center"/>
          </w:tcPr>
          <w:p>
            <w:pPr>
              <w:widowControl/>
              <w:spacing w:line="360" w:lineRule="auto"/>
              <w:jc w:val="center"/>
              <w:rPr>
                <w:rFonts w:hint="eastAsia" w:ascii="宋体" w:hAnsi="宋体"/>
                <w:color w:val="auto"/>
                <w:szCs w:val="21"/>
              </w:rPr>
            </w:pPr>
            <w:r>
              <w:rPr>
                <w:rFonts w:hint="eastAsia" w:ascii="宋体" w:hAnsi="宋体"/>
                <w:color w:val="auto"/>
                <w:szCs w:val="21"/>
              </w:rPr>
              <w:t>疏散指示灯</w:t>
            </w:r>
          </w:p>
        </w:tc>
        <w:tc>
          <w:tcPr>
            <w:tcW w:w="6379" w:type="dxa"/>
          </w:tcPr>
          <w:p>
            <w:pPr>
              <w:widowControl/>
              <w:spacing w:line="360" w:lineRule="auto"/>
              <w:jc w:val="left"/>
              <w:rPr>
                <w:rFonts w:hint="eastAsia" w:ascii="宋体" w:hAnsi="宋体"/>
                <w:color w:val="auto"/>
                <w:szCs w:val="21"/>
              </w:rPr>
            </w:pPr>
            <w:r>
              <w:rPr>
                <w:rFonts w:hint="eastAsia" w:ascii="宋体" w:hAnsi="宋体"/>
                <w:color w:val="auto"/>
                <w:szCs w:val="21"/>
              </w:rPr>
              <w:t>数量按设计配置，指示灯为超薄型，洁净区嵌入式安装；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widowControl/>
              <w:spacing w:line="360" w:lineRule="auto"/>
              <w:jc w:val="center"/>
              <w:rPr>
                <w:rFonts w:hint="eastAsia" w:ascii="宋体" w:hAnsi="宋体"/>
                <w:color w:val="auto"/>
                <w:szCs w:val="21"/>
              </w:rPr>
            </w:pPr>
            <w:r>
              <w:rPr>
                <w:rFonts w:hint="eastAsia" w:ascii="宋体" w:hAnsi="宋体"/>
                <w:color w:val="auto"/>
                <w:szCs w:val="21"/>
              </w:rPr>
              <w:t>插座</w:t>
            </w:r>
          </w:p>
        </w:tc>
        <w:tc>
          <w:tcPr>
            <w:tcW w:w="1701" w:type="dxa"/>
            <w:vAlign w:val="center"/>
          </w:tcPr>
          <w:p>
            <w:pPr>
              <w:widowControl/>
              <w:spacing w:line="360" w:lineRule="auto"/>
              <w:jc w:val="center"/>
              <w:rPr>
                <w:rFonts w:hint="eastAsia" w:ascii="宋体" w:hAnsi="宋体"/>
                <w:color w:val="auto"/>
                <w:szCs w:val="21"/>
              </w:rPr>
            </w:pPr>
            <w:r>
              <w:rPr>
                <w:rFonts w:hint="eastAsia" w:ascii="宋体" w:hAnsi="宋体"/>
                <w:color w:val="auto"/>
                <w:szCs w:val="21"/>
              </w:rPr>
              <w:t>开关插座</w:t>
            </w:r>
          </w:p>
        </w:tc>
        <w:tc>
          <w:tcPr>
            <w:tcW w:w="6379" w:type="dxa"/>
          </w:tcPr>
          <w:p>
            <w:pPr>
              <w:widowControl/>
              <w:spacing w:line="360" w:lineRule="auto"/>
              <w:jc w:val="left"/>
              <w:rPr>
                <w:rFonts w:hint="eastAsia" w:ascii="宋体" w:hAnsi="宋体"/>
                <w:color w:val="auto"/>
                <w:szCs w:val="21"/>
              </w:rPr>
            </w:pPr>
            <w:r>
              <w:rPr>
                <w:rFonts w:hint="eastAsia" w:ascii="宋体" w:hAnsi="宋体"/>
                <w:color w:val="auto"/>
                <w:szCs w:val="21"/>
              </w:rPr>
              <w:t>（1）类型：二、三孔防水插座，白色</w:t>
            </w:r>
          </w:p>
          <w:p>
            <w:pPr>
              <w:widowControl/>
              <w:spacing w:line="360" w:lineRule="auto"/>
              <w:jc w:val="left"/>
              <w:rPr>
                <w:rFonts w:hint="eastAsia" w:ascii="宋体" w:hAnsi="宋体"/>
                <w:color w:val="auto"/>
                <w:szCs w:val="21"/>
              </w:rPr>
            </w:pPr>
            <w:r>
              <w:rPr>
                <w:rFonts w:hint="eastAsia" w:ascii="宋体" w:hAnsi="宋体"/>
                <w:color w:val="auto"/>
                <w:szCs w:val="21"/>
              </w:rPr>
              <w:t>（2）其他要求：当插座有触电危险或在超时区域时，需用带开关的插座，潮湿地区安装高度不能低于1.5m；特殊地方安装插座不得低于0.15m，同一区域插座安装高度必须一致，插座要求暗装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widowControl/>
              <w:spacing w:line="360" w:lineRule="auto"/>
              <w:jc w:val="center"/>
              <w:rPr>
                <w:rFonts w:hint="eastAsia" w:ascii="宋体" w:hAnsi="宋体"/>
                <w:color w:val="auto"/>
                <w:szCs w:val="21"/>
              </w:rPr>
            </w:pPr>
            <w:r>
              <w:rPr>
                <w:rFonts w:hint="eastAsia" w:ascii="宋体" w:hAnsi="宋体"/>
                <w:color w:val="auto"/>
                <w:szCs w:val="21"/>
              </w:rPr>
              <w:t>消防</w:t>
            </w:r>
          </w:p>
        </w:tc>
        <w:tc>
          <w:tcPr>
            <w:tcW w:w="1701" w:type="dxa"/>
            <w:vAlign w:val="center"/>
          </w:tcPr>
          <w:p>
            <w:pPr>
              <w:widowControl/>
              <w:spacing w:line="360" w:lineRule="auto"/>
              <w:jc w:val="center"/>
              <w:rPr>
                <w:rFonts w:hint="eastAsia" w:ascii="宋体" w:hAnsi="宋体"/>
                <w:color w:val="auto"/>
                <w:szCs w:val="21"/>
              </w:rPr>
            </w:pPr>
            <w:r>
              <w:rPr>
                <w:rFonts w:hint="eastAsia" w:ascii="宋体" w:hAnsi="宋体"/>
                <w:color w:val="auto"/>
                <w:szCs w:val="21"/>
              </w:rPr>
              <w:t>消防栓、消防箱手报、烟感器等</w:t>
            </w:r>
          </w:p>
        </w:tc>
        <w:tc>
          <w:tcPr>
            <w:tcW w:w="6379" w:type="dxa"/>
          </w:tcPr>
          <w:p>
            <w:pPr>
              <w:widowControl/>
              <w:spacing w:line="360" w:lineRule="auto"/>
              <w:jc w:val="left"/>
              <w:rPr>
                <w:rFonts w:hint="eastAsia" w:ascii="宋体" w:hAnsi="宋体"/>
                <w:color w:val="auto"/>
                <w:szCs w:val="21"/>
              </w:rPr>
            </w:pPr>
            <w:r>
              <w:rPr>
                <w:rFonts w:hint="eastAsia" w:ascii="宋体" w:hAnsi="宋体"/>
                <w:color w:val="auto"/>
                <w:szCs w:val="21"/>
              </w:rPr>
              <w:t>按要求配置，满足消防要求</w:t>
            </w:r>
          </w:p>
        </w:tc>
      </w:tr>
    </w:tbl>
    <w:p>
      <w:pPr>
        <w:widowControl/>
        <w:spacing w:line="360" w:lineRule="auto"/>
        <w:jc w:val="left"/>
        <w:rPr>
          <w:rFonts w:hint="eastAsia" w:ascii="宋体" w:hAnsi="宋体"/>
          <w:b/>
          <w:bCs/>
          <w:color w:val="auto"/>
          <w:szCs w:val="21"/>
        </w:rPr>
      </w:pPr>
    </w:p>
    <w:p>
      <w:pPr>
        <w:pStyle w:val="36"/>
        <w:numPr>
          <w:ilvl w:val="0"/>
          <w:numId w:val="1"/>
        </w:numPr>
        <w:spacing w:line="360" w:lineRule="auto"/>
        <w:contextualSpacing w:val="0"/>
        <w:rPr>
          <w:rFonts w:hint="eastAsia" w:ascii="宋体" w:hAnsi="宋体" w:cs="宋体"/>
          <w:b/>
          <w:bCs/>
          <w:color w:val="auto"/>
          <w:szCs w:val="21"/>
        </w:rPr>
      </w:pPr>
      <w:r>
        <w:rPr>
          <w:rFonts w:hint="eastAsia" w:ascii="宋体" w:hAnsi="宋体" w:cs="宋体"/>
          <w:b/>
          <w:bCs/>
          <w:color w:val="auto"/>
          <w:szCs w:val="21"/>
        </w:rPr>
        <w:t>技术服务条件</w:t>
      </w:r>
    </w:p>
    <w:p>
      <w:pPr>
        <w:pStyle w:val="36"/>
        <w:numPr>
          <w:ilvl w:val="0"/>
          <w:numId w:val="38"/>
        </w:numPr>
        <w:spacing w:line="360" w:lineRule="auto"/>
        <w:rPr>
          <w:rFonts w:hint="eastAsia" w:ascii="宋体" w:hAnsi="宋体"/>
          <w:bCs/>
          <w:color w:val="auto"/>
          <w:szCs w:val="21"/>
        </w:rPr>
      </w:pPr>
      <w:r>
        <w:rPr>
          <w:rFonts w:hint="eastAsia" w:ascii="宋体" w:hAnsi="宋体"/>
          <w:bCs/>
          <w:color w:val="auto"/>
          <w:szCs w:val="21"/>
        </w:rPr>
        <w:t>投标资料含设备安装调试方案及项目实施进度计划。</w:t>
      </w:r>
    </w:p>
    <w:p>
      <w:pPr>
        <w:pStyle w:val="36"/>
        <w:numPr>
          <w:ilvl w:val="0"/>
          <w:numId w:val="38"/>
        </w:numPr>
        <w:spacing w:line="360" w:lineRule="auto"/>
        <w:rPr>
          <w:rFonts w:hint="eastAsia" w:ascii="宋体" w:hAnsi="宋体"/>
          <w:bCs/>
          <w:color w:val="auto"/>
          <w:szCs w:val="21"/>
        </w:rPr>
      </w:pPr>
      <w:r>
        <w:rPr>
          <w:rFonts w:hint="eastAsia" w:ascii="宋体" w:hAnsi="宋体"/>
          <w:bCs/>
          <w:color w:val="auto"/>
          <w:szCs w:val="21"/>
        </w:rPr>
        <w:t>提供对整线生产设备配置的修改意见和解决方案。</w:t>
      </w:r>
    </w:p>
    <w:p>
      <w:pPr>
        <w:pStyle w:val="36"/>
        <w:numPr>
          <w:ilvl w:val="0"/>
          <w:numId w:val="38"/>
        </w:numPr>
        <w:spacing w:line="360" w:lineRule="auto"/>
        <w:rPr>
          <w:rFonts w:hint="eastAsia" w:ascii="宋体" w:hAnsi="宋体"/>
          <w:bCs/>
          <w:color w:val="auto"/>
          <w:szCs w:val="21"/>
        </w:rPr>
      </w:pPr>
      <w:r>
        <w:rPr>
          <w:rFonts w:hint="eastAsia" w:ascii="宋体" w:hAnsi="宋体"/>
          <w:bCs/>
          <w:color w:val="auto"/>
          <w:szCs w:val="21"/>
        </w:rPr>
        <w:t>提供设备操作说明书、维护保养手册及设备验证等资料。这些资料应包括：技术说明、调试方法、调试技术要求、故障排除方法、润滑原理图及润滑点一览图（并在设备上贴牌标示）。所有资料均应采用一式两份，及电子版资料U盘一套。</w:t>
      </w:r>
    </w:p>
    <w:p>
      <w:pPr>
        <w:pStyle w:val="36"/>
        <w:numPr>
          <w:ilvl w:val="0"/>
          <w:numId w:val="38"/>
        </w:numPr>
        <w:spacing w:line="360" w:lineRule="auto"/>
        <w:rPr>
          <w:rFonts w:hint="eastAsia" w:ascii="宋体" w:hAnsi="宋体"/>
          <w:bCs/>
          <w:color w:val="auto"/>
          <w:szCs w:val="21"/>
        </w:rPr>
      </w:pPr>
      <w:r>
        <w:rPr>
          <w:rFonts w:hint="eastAsia" w:ascii="宋体" w:hAnsi="宋体"/>
          <w:bCs/>
          <w:color w:val="auto"/>
          <w:szCs w:val="21"/>
        </w:rPr>
        <w:t>提供设备电气控制原理图，</w:t>
      </w:r>
      <w:r>
        <w:rPr>
          <w:rFonts w:ascii="宋体" w:hAnsi="宋体"/>
          <w:bCs/>
          <w:color w:val="auto"/>
          <w:szCs w:val="21"/>
        </w:rPr>
        <w:t>PLC</w:t>
      </w:r>
      <w:r>
        <w:rPr>
          <w:rFonts w:hint="eastAsia" w:ascii="宋体" w:hAnsi="宋体"/>
          <w:bCs/>
          <w:color w:val="auto"/>
          <w:szCs w:val="21"/>
        </w:rPr>
        <w:t>镜像程序</w:t>
      </w:r>
      <w:r>
        <w:rPr>
          <w:rFonts w:ascii="宋体" w:hAnsi="宋体"/>
          <w:bCs/>
          <w:color w:val="auto"/>
          <w:szCs w:val="21"/>
        </w:rPr>
        <w:t>，设备机械传动原理图、设备各部件装配图、设备外形图及基础布置图。</w:t>
      </w:r>
      <w:r>
        <w:rPr>
          <w:rFonts w:hint="eastAsia" w:ascii="宋体" w:hAnsi="宋体"/>
          <w:bCs/>
          <w:color w:val="auto"/>
          <w:szCs w:val="21"/>
        </w:rPr>
        <w:t>所有资料均应采用一式两份，及电子版资料U盘一套。</w:t>
      </w:r>
    </w:p>
    <w:p>
      <w:pPr>
        <w:pStyle w:val="36"/>
        <w:numPr>
          <w:ilvl w:val="0"/>
          <w:numId w:val="38"/>
        </w:numPr>
        <w:spacing w:line="360" w:lineRule="auto"/>
        <w:rPr>
          <w:rFonts w:hint="eastAsia" w:ascii="宋体" w:hAnsi="宋体"/>
          <w:bCs/>
          <w:color w:val="auto"/>
          <w:szCs w:val="21"/>
        </w:rPr>
      </w:pPr>
      <w:r>
        <w:rPr>
          <w:rFonts w:ascii="宋体" w:hAnsi="宋体"/>
          <w:bCs/>
          <w:color w:val="auto"/>
          <w:szCs w:val="21"/>
        </w:rPr>
        <w:t>项目投标应对本项目设备各易损件列出具体清单，并配置有相应的易损备件（投标书体现清单内容及数量）。</w:t>
      </w:r>
    </w:p>
    <w:p>
      <w:pPr>
        <w:pStyle w:val="36"/>
        <w:numPr>
          <w:ilvl w:val="0"/>
          <w:numId w:val="38"/>
        </w:numPr>
        <w:spacing w:line="360" w:lineRule="auto"/>
        <w:rPr>
          <w:rFonts w:hint="eastAsia" w:ascii="宋体" w:hAnsi="宋体"/>
          <w:bCs/>
          <w:color w:val="auto"/>
          <w:szCs w:val="21"/>
        </w:rPr>
      </w:pPr>
      <w:r>
        <w:rPr>
          <w:rFonts w:hint="eastAsia" w:ascii="宋体" w:hAnsi="宋体"/>
          <w:bCs/>
          <w:color w:val="auto"/>
          <w:szCs w:val="21"/>
        </w:rPr>
        <w:t>培训：对现场操作及维修人员提供不小于两周</w:t>
      </w:r>
      <w:r>
        <w:rPr>
          <w:rFonts w:ascii="宋体" w:hAnsi="宋体"/>
          <w:bCs/>
          <w:color w:val="auto"/>
          <w:szCs w:val="21"/>
        </w:rPr>
        <w:t>的培训并有培训记录；</w:t>
      </w:r>
      <w:r>
        <w:rPr>
          <w:rFonts w:hint="eastAsia" w:ascii="宋体" w:hAnsi="宋体"/>
          <w:bCs/>
          <w:color w:val="auto"/>
          <w:szCs w:val="21"/>
        </w:rPr>
        <w:t xml:space="preserve"> </w:t>
      </w:r>
    </w:p>
    <w:p>
      <w:pPr>
        <w:pStyle w:val="36"/>
        <w:numPr>
          <w:ilvl w:val="0"/>
          <w:numId w:val="38"/>
        </w:numPr>
        <w:spacing w:line="360" w:lineRule="auto"/>
        <w:rPr>
          <w:rFonts w:hint="eastAsia" w:ascii="宋体" w:hAnsi="宋体"/>
          <w:bCs/>
          <w:color w:val="auto"/>
          <w:szCs w:val="21"/>
        </w:rPr>
      </w:pPr>
      <w:r>
        <w:rPr>
          <w:rFonts w:hint="eastAsia" w:ascii="宋体" w:hAnsi="宋体"/>
          <w:bCs/>
          <w:color w:val="auto"/>
          <w:szCs w:val="21"/>
        </w:rPr>
        <w:t xml:space="preserve">提供一套随机工具含工具箱，满足设备日常维护的需要； </w:t>
      </w:r>
    </w:p>
    <w:p>
      <w:pPr>
        <w:pStyle w:val="36"/>
        <w:numPr>
          <w:ilvl w:val="0"/>
          <w:numId w:val="38"/>
        </w:numPr>
        <w:spacing w:line="360" w:lineRule="auto"/>
        <w:rPr>
          <w:rFonts w:hint="eastAsia" w:ascii="宋体" w:hAnsi="宋体"/>
          <w:bCs/>
          <w:color w:val="auto"/>
          <w:szCs w:val="21"/>
        </w:rPr>
      </w:pPr>
      <w:r>
        <w:rPr>
          <w:rFonts w:hint="eastAsia" w:ascii="宋体" w:hAnsi="宋体"/>
          <w:bCs/>
          <w:color w:val="auto"/>
          <w:szCs w:val="21"/>
        </w:rPr>
        <w:t>设备供应商负责本项目包含的所有设备的制作、运输、卸货、安装、调试、验收及其费用等，具体包括：</w:t>
      </w:r>
    </w:p>
    <w:p>
      <w:pPr>
        <w:numPr>
          <w:ilvl w:val="0"/>
          <w:numId w:val="39"/>
        </w:numPr>
        <w:spacing w:line="360" w:lineRule="auto"/>
        <w:rPr>
          <w:rFonts w:hint="eastAsia" w:ascii="宋体" w:hAnsi="宋体"/>
          <w:color w:val="auto"/>
          <w:kern w:val="0"/>
          <w:szCs w:val="21"/>
        </w:rPr>
      </w:pPr>
      <w:r>
        <w:rPr>
          <w:rFonts w:hint="eastAsia" w:ascii="宋体" w:hAnsi="宋体"/>
          <w:color w:val="auto"/>
          <w:kern w:val="0"/>
          <w:szCs w:val="21"/>
        </w:rPr>
        <w:t>制作</w:t>
      </w:r>
      <w:r>
        <w:rPr>
          <w:rFonts w:ascii="宋体" w:hAnsi="宋体"/>
          <w:color w:val="auto"/>
          <w:kern w:val="0"/>
          <w:szCs w:val="21"/>
        </w:rPr>
        <w:t>:</w:t>
      </w:r>
      <w:r>
        <w:rPr>
          <w:rFonts w:hint="eastAsia" w:ascii="宋体" w:hAnsi="宋体"/>
          <w:color w:val="auto"/>
          <w:kern w:val="0"/>
          <w:szCs w:val="21"/>
        </w:rPr>
        <w:t>由</w:t>
      </w:r>
      <w:r>
        <w:rPr>
          <w:rFonts w:ascii="宋体" w:hAnsi="宋体"/>
          <w:color w:val="auto"/>
          <w:kern w:val="0"/>
          <w:szCs w:val="21"/>
        </w:rPr>
        <w:t>设备供应商</w:t>
      </w:r>
      <w:r>
        <w:rPr>
          <w:rFonts w:hint="eastAsia" w:ascii="宋体" w:hAnsi="宋体"/>
          <w:color w:val="auto"/>
          <w:kern w:val="0"/>
          <w:szCs w:val="21"/>
        </w:rPr>
        <w:t>负责制作</w:t>
      </w:r>
      <w:r>
        <w:rPr>
          <w:rFonts w:ascii="宋体" w:hAnsi="宋体"/>
          <w:color w:val="auto"/>
          <w:kern w:val="0"/>
          <w:szCs w:val="21"/>
        </w:rPr>
        <w:t>,在设备出厂前应做好运输途中的防护工作，对设备应进行必要的包装保护，对于有特殊要求的还应进行特殊处理，如：用木箱进行包装、用塑料纸进行防湿处理等。</w:t>
      </w:r>
    </w:p>
    <w:p>
      <w:pPr>
        <w:numPr>
          <w:ilvl w:val="0"/>
          <w:numId w:val="39"/>
        </w:numPr>
        <w:spacing w:line="360" w:lineRule="auto"/>
        <w:rPr>
          <w:rFonts w:hint="eastAsia" w:ascii="宋体" w:hAnsi="宋体"/>
          <w:color w:val="auto"/>
          <w:kern w:val="0"/>
          <w:szCs w:val="21"/>
        </w:rPr>
      </w:pPr>
      <w:r>
        <w:rPr>
          <w:rFonts w:hint="eastAsia" w:ascii="宋体" w:hAnsi="宋体"/>
          <w:color w:val="auto"/>
          <w:kern w:val="0"/>
          <w:szCs w:val="21"/>
        </w:rPr>
        <w:t>运输：</w:t>
      </w:r>
      <w:r>
        <w:rPr>
          <w:rFonts w:ascii="宋体" w:hAnsi="宋体"/>
          <w:color w:val="auto"/>
          <w:kern w:val="0"/>
          <w:szCs w:val="21"/>
        </w:rPr>
        <w:t>由设备供应商负责运送到招标人的使用地点。</w:t>
      </w:r>
    </w:p>
    <w:p>
      <w:pPr>
        <w:numPr>
          <w:ilvl w:val="0"/>
          <w:numId w:val="39"/>
        </w:numPr>
        <w:spacing w:line="360" w:lineRule="auto"/>
        <w:rPr>
          <w:rFonts w:hint="eastAsia" w:ascii="宋体" w:hAnsi="宋体"/>
          <w:color w:val="auto"/>
          <w:kern w:val="0"/>
          <w:szCs w:val="21"/>
        </w:rPr>
      </w:pPr>
      <w:r>
        <w:rPr>
          <w:rFonts w:hint="eastAsia" w:ascii="宋体" w:hAnsi="宋体"/>
          <w:color w:val="auto"/>
          <w:kern w:val="0"/>
          <w:szCs w:val="21"/>
        </w:rPr>
        <w:t>卸货：</w:t>
      </w:r>
      <w:r>
        <w:rPr>
          <w:rFonts w:ascii="宋体" w:hAnsi="宋体"/>
          <w:color w:val="auto"/>
          <w:kern w:val="0"/>
          <w:szCs w:val="21"/>
        </w:rPr>
        <w:t>由设备供应商负责卸货，并根据招标人的场地情况，由招标人的指定卸货地点，招标人协助设备供应商卸货，确保设备包装及设备完好。</w:t>
      </w:r>
    </w:p>
    <w:p>
      <w:pPr>
        <w:numPr>
          <w:ilvl w:val="0"/>
          <w:numId w:val="39"/>
        </w:numPr>
        <w:spacing w:line="360" w:lineRule="auto"/>
        <w:rPr>
          <w:rFonts w:hint="eastAsia" w:ascii="宋体" w:hAnsi="宋体"/>
          <w:color w:val="auto"/>
          <w:kern w:val="0"/>
          <w:szCs w:val="21"/>
        </w:rPr>
      </w:pPr>
      <w:r>
        <w:rPr>
          <w:rFonts w:hint="eastAsia" w:ascii="宋体" w:hAnsi="宋体"/>
          <w:color w:val="auto"/>
          <w:kern w:val="0"/>
          <w:szCs w:val="21"/>
        </w:rPr>
        <w:t>安装：</w:t>
      </w:r>
      <w:r>
        <w:rPr>
          <w:rFonts w:ascii="宋体" w:hAnsi="宋体"/>
          <w:color w:val="auto"/>
          <w:kern w:val="0"/>
          <w:szCs w:val="21"/>
        </w:rPr>
        <w:t>由设备供应商进行安装，确保安装过程中设备的完好，安装位置及方式的正确，安装过程中，接受招标人的安全监督，符合招标人的安全规程要求。</w:t>
      </w:r>
    </w:p>
    <w:p>
      <w:pPr>
        <w:numPr>
          <w:ilvl w:val="0"/>
          <w:numId w:val="39"/>
        </w:numPr>
        <w:spacing w:line="360" w:lineRule="auto"/>
        <w:rPr>
          <w:rFonts w:hint="eastAsia" w:ascii="宋体" w:hAnsi="宋体"/>
          <w:color w:val="auto"/>
          <w:kern w:val="0"/>
          <w:szCs w:val="21"/>
        </w:rPr>
      </w:pPr>
      <w:r>
        <w:rPr>
          <w:rFonts w:hint="eastAsia" w:ascii="宋体" w:hAnsi="宋体"/>
          <w:color w:val="auto"/>
          <w:kern w:val="0"/>
          <w:szCs w:val="21"/>
        </w:rPr>
        <w:t>调试：</w:t>
      </w:r>
      <w:r>
        <w:rPr>
          <w:rFonts w:ascii="宋体" w:hAnsi="宋体"/>
          <w:color w:val="auto"/>
          <w:kern w:val="0"/>
          <w:szCs w:val="21"/>
        </w:rPr>
        <w:t>由设备供应商主导，招标人配合共同进行调试，对调试各项结果进行签名确认。</w:t>
      </w:r>
    </w:p>
    <w:p>
      <w:pPr>
        <w:numPr>
          <w:ilvl w:val="0"/>
          <w:numId w:val="39"/>
        </w:numPr>
        <w:spacing w:line="360" w:lineRule="auto"/>
        <w:rPr>
          <w:rFonts w:hint="eastAsia" w:ascii="宋体" w:hAnsi="宋体"/>
          <w:color w:val="auto"/>
          <w:kern w:val="0"/>
          <w:szCs w:val="21"/>
        </w:rPr>
      </w:pPr>
      <w:r>
        <w:rPr>
          <w:rFonts w:hint="eastAsia" w:ascii="宋体" w:hAnsi="宋体"/>
          <w:color w:val="auto"/>
          <w:kern w:val="0"/>
          <w:szCs w:val="21"/>
        </w:rPr>
        <w:t>验收：</w:t>
      </w:r>
      <w:r>
        <w:rPr>
          <w:rFonts w:ascii="宋体" w:hAnsi="宋体"/>
          <w:color w:val="auto"/>
          <w:kern w:val="0"/>
          <w:szCs w:val="21"/>
        </w:rPr>
        <w:t>设备的验收由招标人的工程技术人员、采购人员及设备供应商共同参与完成，根据合同的条款逐一核实后，经双方各部门签名确认，并给出验收结论。</w:t>
      </w:r>
    </w:p>
    <w:p>
      <w:pPr>
        <w:numPr>
          <w:ilvl w:val="0"/>
          <w:numId w:val="39"/>
        </w:numPr>
        <w:spacing w:line="360" w:lineRule="auto"/>
        <w:rPr>
          <w:rFonts w:hint="eastAsia" w:ascii="宋体" w:hAnsi="宋体"/>
          <w:color w:val="auto"/>
          <w:kern w:val="0"/>
          <w:szCs w:val="21"/>
        </w:rPr>
      </w:pPr>
      <w:r>
        <w:rPr>
          <w:rFonts w:hint="eastAsia" w:ascii="宋体" w:hAnsi="宋体"/>
          <w:color w:val="auto"/>
          <w:kern w:val="0"/>
          <w:szCs w:val="21"/>
        </w:rPr>
        <w:t>费用：</w:t>
      </w:r>
      <w:r>
        <w:rPr>
          <w:rFonts w:ascii="宋体" w:hAnsi="宋体"/>
          <w:color w:val="auto"/>
          <w:kern w:val="0"/>
          <w:szCs w:val="21"/>
        </w:rPr>
        <w:t>设备供应商的包装、运输、卸货等所发生的费用均由设备供应商承担；设备供应商调试人员的食宿、差旅费等也应由供应商承担。</w:t>
      </w:r>
    </w:p>
    <w:p>
      <w:pPr>
        <w:pStyle w:val="36"/>
        <w:numPr>
          <w:ilvl w:val="0"/>
          <w:numId w:val="1"/>
        </w:numPr>
        <w:spacing w:line="360" w:lineRule="auto"/>
        <w:contextualSpacing w:val="0"/>
        <w:rPr>
          <w:rFonts w:hint="eastAsia" w:ascii="宋体" w:hAnsi="宋体" w:cs="宋体"/>
          <w:b/>
          <w:bCs/>
          <w:color w:val="auto"/>
          <w:szCs w:val="21"/>
        </w:rPr>
      </w:pPr>
      <w:r>
        <w:rPr>
          <w:rFonts w:hint="eastAsia" w:ascii="宋体" w:hAnsi="宋体" w:cs="宋体"/>
          <w:b/>
          <w:bCs/>
          <w:color w:val="auto"/>
          <w:szCs w:val="21"/>
        </w:rPr>
        <w:t>适用的规范、标准</w:t>
      </w:r>
    </w:p>
    <w:p>
      <w:pPr>
        <w:spacing w:line="360" w:lineRule="auto"/>
        <w:ind w:right="767"/>
        <w:rPr>
          <w:rFonts w:hint="eastAsia" w:ascii="宋体" w:hAnsi="宋体"/>
          <w:color w:val="auto"/>
          <w:szCs w:val="21"/>
        </w:rPr>
      </w:pPr>
      <w:r>
        <w:rPr>
          <w:rFonts w:hint="eastAsia" w:ascii="宋体" w:hAnsi="宋体"/>
          <w:color w:val="auto"/>
          <w:szCs w:val="21"/>
        </w:rPr>
        <w:t>《</w:t>
      </w:r>
      <w:r>
        <w:rPr>
          <w:rFonts w:hint="eastAsia" w:ascii="宋体" w:hAnsi="宋体" w:cs="Tahoma"/>
          <w:color w:val="auto"/>
        </w:rPr>
        <w:t>无菌吹灌旋一体机通用技术要求</w:t>
      </w:r>
      <w:r>
        <w:rPr>
          <w:rFonts w:hint="eastAsia" w:ascii="宋体" w:hAnsi="宋体"/>
          <w:color w:val="auto"/>
          <w:szCs w:val="21"/>
        </w:rPr>
        <w:t xml:space="preserve">》                         </w:t>
      </w:r>
      <w:r>
        <w:rPr>
          <w:rFonts w:ascii="宋体" w:hAnsi="宋体"/>
          <w:color w:val="auto"/>
          <w:szCs w:val="21"/>
        </w:rPr>
        <w:t>GB/T 41124-2021</w:t>
      </w:r>
    </w:p>
    <w:p>
      <w:pPr>
        <w:spacing w:line="360" w:lineRule="auto"/>
        <w:ind w:right="767"/>
        <w:rPr>
          <w:rFonts w:hint="eastAsia" w:ascii="宋体" w:hAnsi="宋体"/>
          <w:color w:val="auto"/>
          <w:szCs w:val="21"/>
        </w:rPr>
      </w:pPr>
      <w:r>
        <w:rPr>
          <w:rFonts w:hint="eastAsia" w:ascii="宋体" w:hAnsi="宋体"/>
          <w:color w:val="auto"/>
          <w:szCs w:val="21"/>
        </w:rPr>
        <w:t xml:space="preserve">《饮料通用分析方法》                                  </w:t>
      </w:r>
      <w:r>
        <w:rPr>
          <w:rFonts w:ascii="宋体" w:hAnsi="宋体"/>
          <w:color w:val="auto"/>
          <w:szCs w:val="21"/>
        </w:rPr>
        <w:t></w:t>
      </w:r>
      <w:r>
        <w:rPr>
          <w:rFonts w:hint="eastAsia" w:ascii="宋体" w:hAnsi="宋体"/>
          <w:color w:val="auto"/>
          <w:szCs w:val="21"/>
        </w:rPr>
        <w:t xml:space="preserve"> </w:t>
      </w:r>
      <w:r>
        <w:rPr>
          <w:rFonts w:ascii="宋体" w:hAnsi="宋体"/>
          <w:color w:val="auto"/>
          <w:szCs w:val="21"/>
        </w:rPr>
        <w:t>GB/T 12143</w:t>
      </w:r>
    </w:p>
    <w:p>
      <w:pPr>
        <w:spacing w:line="360" w:lineRule="auto"/>
        <w:ind w:right="767"/>
        <w:rPr>
          <w:rFonts w:hint="eastAsia" w:ascii="宋体" w:hAnsi="宋体"/>
          <w:color w:val="auto"/>
          <w:szCs w:val="21"/>
        </w:rPr>
      </w:pPr>
      <w:r>
        <w:rPr>
          <w:rFonts w:hint="eastAsia" w:ascii="宋体" w:hAnsi="宋体"/>
          <w:color w:val="auto"/>
          <w:szCs w:val="21"/>
        </w:rPr>
        <w:t>《</w:t>
      </w:r>
      <w:r>
        <w:rPr>
          <w:rFonts w:ascii="宋体" w:hAnsi="宋体"/>
          <w:color w:val="auto"/>
          <w:spacing w:val="-5"/>
        </w:rPr>
        <w:t>食品安全国家标准饮料</w:t>
      </w:r>
      <w:r>
        <w:rPr>
          <w:rFonts w:hint="eastAsia" w:ascii="宋体" w:hAnsi="宋体"/>
          <w:color w:val="auto"/>
          <w:szCs w:val="21"/>
        </w:rPr>
        <w:t xml:space="preserve">》                                  </w:t>
      </w:r>
      <w:r>
        <w:rPr>
          <w:rFonts w:ascii="宋体" w:hAnsi="宋体"/>
          <w:color w:val="auto"/>
          <w:szCs w:val="21"/>
        </w:rPr>
        <w:t>GB 7101</w:t>
      </w:r>
    </w:p>
    <w:p>
      <w:pPr>
        <w:spacing w:line="360" w:lineRule="auto"/>
        <w:ind w:right="767"/>
        <w:rPr>
          <w:rFonts w:hint="eastAsia" w:ascii="宋体" w:hAnsi="宋体"/>
          <w:color w:val="auto"/>
          <w:szCs w:val="21"/>
        </w:rPr>
      </w:pPr>
      <w:r>
        <w:rPr>
          <w:rFonts w:hint="eastAsia" w:ascii="宋体" w:hAnsi="宋体"/>
          <w:color w:val="auto"/>
          <w:szCs w:val="21"/>
        </w:rPr>
        <w:t>《</w:t>
      </w:r>
      <w:r>
        <w:rPr>
          <w:rFonts w:ascii="宋体" w:hAnsi="宋体"/>
          <w:color w:val="auto"/>
          <w:spacing w:val="-7"/>
        </w:rPr>
        <w:t>食品安全国家标准 饮料生产卫生规范</w:t>
      </w:r>
      <w:r>
        <w:rPr>
          <w:rFonts w:hint="eastAsia" w:ascii="宋体" w:hAnsi="宋体"/>
          <w:color w:val="auto"/>
          <w:szCs w:val="21"/>
        </w:rPr>
        <w:t xml:space="preserve">》                       </w:t>
      </w:r>
      <w:r>
        <w:rPr>
          <w:rFonts w:ascii="宋体" w:hAnsi="宋体"/>
          <w:color w:val="auto"/>
          <w:szCs w:val="21"/>
        </w:rPr>
        <w:t>GB 12695</w:t>
      </w:r>
    </w:p>
    <w:p>
      <w:pPr>
        <w:spacing w:line="360" w:lineRule="auto"/>
        <w:ind w:right="767"/>
        <w:rPr>
          <w:rFonts w:hint="eastAsia" w:ascii="宋体" w:hAnsi="宋体"/>
          <w:color w:val="auto"/>
          <w:szCs w:val="21"/>
        </w:rPr>
      </w:pPr>
      <w:r>
        <w:rPr>
          <w:rFonts w:hint="eastAsia" w:ascii="宋体" w:hAnsi="宋体"/>
          <w:color w:val="auto"/>
          <w:szCs w:val="21"/>
        </w:rPr>
        <w:t>《</w:t>
      </w:r>
      <w:r>
        <w:rPr>
          <w:rFonts w:ascii="宋体" w:hAnsi="宋体"/>
          <w:color w:val="auto"/>
          <w:spacing w:val="-4"/>
        </w:rPr>
        <w:t>饮料机械 聚酯(</w:t>
      </w:r>
      <w:r>
        <w:rPr>
          <w:rFonts w:ascii="宋体" w:hAnsi="宋体"/>
          <w:color w:val="auto"/>
          <w:spacing w:val="-6"/>
        </w:rPr>
        <w:t>PET</w:t>
      </w:r>
      <w:r>
        <w:rPr>
          <w:rFonts w:ascii="宋体" w:hAnsi="宋体"/>
          <w:color w:val="auto"/>
          <w:spacing w:val="-7"/>
        </w:rPr>
        <w:t>)瓶装饮料无菌冷灌装生产线</w:t>
      </w:r>
      <w:r>
        <w:rPr>
          <w:rFonts w:hint="eastAsia" w:ascii="宋体" w:hAnsi="宋体"/>
          <w:color w:val="auto"/>
          <w:szCs w:val="21"/>
        </w:rPr>
        <w:t xml:space="preserve">》              </w:t>
      </w:r>
      <w:r>
        <w:rPr>
          <w:rFonts w:ascii="宋体" w:hAnsi="宋体"/>
          <w:color w:val="auto"/>
          <w:szCs w:val="21"/>
        </w:rPr>
        <w:t>QB/T 4213</w:t>
      </w:r>
    </w:p>
    <w:p>
      <w:pPr>
        <w:spacing w:line="360" w:lineRule="auto"/>
        <w:ind w:right="767"/>
        <w:rPr>
          <w:rFonts w:hint="eastAsia" w:ascii="宋体" w:hAnsi="宋体"/>
          <w:color w:val="auto"/>
          <w:szCs w:val="21"/>
        </w:rPr>
      </w:pPr>
      <w:r>
        <w:rPr>
          <w:rFonts w:hint="eastAsia" w:ascii="宋体" w:hAnsi="宋体"/>
          <w:color w:val="auto"/>
          <w:szCs w:val="21"/>
        </w:rPr>
        <w:t xml:space="preserve">《食品企业通用卫生规范》                                 </w:t>
      </w:r>
      <w:r>
        <w:rPr>
          <w:rFonts w:ascii="宋体" w:hAnsi="宋体"/>
          <w:color w:val="auto"/>
          <w:szCs w:val="21"/>
        </w:rPr>
        <w:t>GB 14881</w:t>
      </w:r>
    </w:p>
    <w:p>
      <w:pPr>
        <w:spacing w:line="360" w:lineRule="auto"/>
        <w:ind w:right="767"/>
        <w:rPr>
          <w:rFonts w:hint="eastAsia" w:ascii="宋体" w:hAnsi="宋体"/>
          <w:color w:val="auto"/>
          <w:szCs w:val="21"/>
        </w:rPr>
      </w:pPr>
      <w:r>
        <w:rPr>
          <w:rFonts w:hint="eastAsia" w:ascii="宋体" w:hAnsi="宋体"/>
          <w:color w:val="auto"/>
          <w:szCs w:val="21"/>
        </w:rPr>
        <w:t xml:space="preserve">《钢制管法兰用金属垫片-环形垫片，缠绕垫片和包覆垫片》    </w:t>
      </w:r>
      <w:r>
        <w:rPr>
          <w:rFonts w:ascii="宋体" w:hAnsi="宋体"/>
          <w:color w:val="auto"/>
          <w:szCs w:val="21"/>
        </w:rPr>
        <w:t>ASME B16.20</w:t>
      </w:r>
    </w:p>
    <w:p>
      <w:pPr>
        <w:spacing w:line="360" w:lineRule="auto"/>
        <w:rPr>
          <w:rFonts w:hint="eastAsia" w:ascii="宋体" w:hAnsi="宋体"/>
          <w:color w:val="auto"/>
          <w:szCs w:val="21"/>
        </w:rPr>
      </w:pPr>
      <w:r>
        <w:rPr>
          <w:rFonts w:hint="eastAsia" w:ascii="宋体" w:hAnsi="宋体"/>
          <w:color w:val="auto"/>
          <w:szCs w:val="21"/>
        </w:rPr>
        <w:t xml:space="preserve">《压力管道安全管理与监察规定》                           </w:t>
      </w:r>
      <w:r>
        <w:rPr>
          <w:rFonts w:ascii="宋体" w:hAnsi="宋体"/>
          <w:color w:val="auto"/>
          <w:szCs w:val="21"/>
        </w:rPr>
        <w:t>劳动部发[1996]140 号</w:t>
      </w:r>
    </w:p>
    <w:p>
      <w:pPr>
        <w:spacing w:line="360" w:lineRule="auto"/>
        <w:ind w:right="767"/>
        <w:rPr>
          <w:rFonts w:hint="eastAsia" w:ascii="宋体" w:hAnsi="宋体"/>
          <w:color w:val="auto"/>
          <w:szCs w:val="21"/>
        </w:rPr>
      </w:pPr>
      <w:r>
        <w:rPr>
          <w:rFonts w:hint="eastAsia" w:ascii="宋体" w:hAnsi="宋体"/>
          <w:color w:val="auto"/>
          <w:szCs w:val="21"/>
        </w:rPr>
        <w:t xml:space="preserve">《工业计算机监控系统抗干扰技规范》                       </w:t>
      </w:r>
      <w:r>
        <w:rPr>
          <w:rFonts w:ascii="宋体" w:hAnsi="宋体"/>
          <w:color w:val="auto"/>
          <w:szCs w:val="21"/>
        </w:rPr>
        <w:t>CECS81：96</w:t>
      </w:r>
    </w:p>
    <w:p>
      <w:pPr>
        <w:spacing w:line="360" w:lineRule="auto"/>
        <w:ind w:right="767"/>
        <w:rPr>
          <w:rFonts w:hint="eastAsia" w:ascii="宋体" w:hAnsi="宋体"/>
          <w:color w:val="auto"/>
          <w:szCs w:val="21"/>
        </w:rPr>
      </w:pPr>
      <w:r>
        <w:rPr>
          <w:rFonts w:hint="eastAsia" w:ascii="宋体" w:hAnsi="宋体"/>
          <w:color w:val="auto"/>
          <w:szCs w:val="21"/>
        </w:rPr>
        <w:t>《低压电器控设备》</w:t>
      </w:r>
      <w:r>
        <w:rPr>
          <w:rFonts w:ascii="宋体" w:hAnsi="宋体"/>
          <w:color w:val="auto"/>
          <w:szCs w:val="21"/>
        </w:rPr>
        <w:t></w:t>
      </w:r>
      <w:r>
        <w:rPr>
          <w:rFonts w:ascii="宋体" w:hAnsi="宋体"/>
          <w:color w:val="auto"/>
          <w:szCs w:val="21"/>
        </w:rPr>
        <w:tab/>
      </w:r>
      <w:r>
        <w:rPr>
          <w:rFonts w:hint="eastAsia" w:ascii="宋体" w:hAnsi="宋体"/>
          <w:color w:val="auto"/>
          <w:szCs w:val="21"/>
        </w:rPr>
        <w:t xml:space="preserve">                                 </w:t>
      </w:r>
      <w:r>
        <w:rPr>
          <w:rFonts w:ascii="宋体" w:hAnsi="宋体"/>
          <w:color w:val="auto"/>
          <w:szCs w:val="21"/>
        </w:rPr>
        <w:t>GB 4720</w:t>
      </w:r>
    </w:p>
    <w:p>
      <w:pPr>
        <w:spacing w:line="360" w:lineRule="auto"/>
        <w:ind w:right="767"/>
        <w:rPr>
          <w:rFonts w:hint="eastAsia" w:ascii="宋体" w:hAnsi="宋体" w:cs="宋体"/>
          <w:color w:val="auto"/>
          <w:sz w:val="22"/>
          <w:szCs w:val="22"/>
        </w:rPr>
      </w:pPr>
      <w:r>
        <w:rPr>
          <w:rFonts w:hint="eastAsia" w:ascii="宋体" w:hAnsi="宋体"/>
          <w:color w:val="auto"/>
          <w:szCs w:val="21"/>
        </w:rPr>
        <w:t>《</w:t>
      </w:r>
      <w:r>
        <w:rPr>
          <w:rFonts w:hint="eastAsia" w:ascii="宋体" w:hAnsi="宋体" w:cs="宋体"/>
          <w:color w:val="auto"/>
          <w:sz w:val="22"/>
          <w:szCs w:val="22"/>
        </w:rPr>
        <w:t>洁净厂房设计规范</w:t>
      </w:r>
      <w:r>
        <w:rPr>
          <w:rFonts w:hint="eastAsia" w:ascii="宋体" w:hAnsi="宋体"/>
          <w:color w:val="auto"/>
          <w:szCs w:val="21"/>
        </w:rPr>
        <w:t xml:space="preserve">》                                    </w:t>
      </w:r>
      <w:r>
        <w:rPr>
          <w:rFonts w:hint="eastAsia" w:ascii="宋体" w:hAnsi="宋体" w:cs="宋体"/>
          <w:color w:val="auto"/>
          <w:sz w:val="22"/>
          <w:szCs w:val="22"/>
        </w:rPr>
        <w:t>GB50073-2001</w:t>
      </w:r>
    </w:p>
    <w:p>
      <w:pPr>
        <w:spacing w:line="360" w:lineRule="auto"/>
        <w:ind w:right="767"/>
        <w:rPr>
          <w:rFonts w:hint="eastAsia" w:ascii="宋体" w:hAnsi="宋体"/>
          <w:color w:val="auto"/>
          <w:szCs w:val="21"/>
        </w:rPr>
      </w:pPr>
      <w:r>
        <w:rPr>
          <w:rFonts w:hint="eastAsia" w:ascii="宋体" w:hAnsi="宋体"/>
          <w:color w:val="auto"/>
          <w:szCs w:val="21"/>
        </w:rPr>
        <w:t xml:space="preserve">《制冷设备及空气分离设备安装工程施工及验收规范》         </w:t>
      </w:r>
      <w:r>
        <w:rPr>
          <w:rFonts w:ascii="宋体" w:hAnsi="宋体"/>
          <w:color w:val="auto"/>
          <w:szCs w:val="21"/>
        </w:rPr>
        <w:t>GB50274-98</w:t>
      </w:r>
    </w:p>
    <w:p>
      <w:pPr>
        <w:spacing w:line="360" w:lineRule="auto"/>
        <w:ind w:right="767"/>
        <w:rPr>
          <w:rFonts w:hint="eastAsia" w:ascii="宋体" w:hAnsi="宋体"/>
          <w:color w:val="auto"/>
          <w:szCs w:val="21"/>
        </w:rPr>
      </w:pPr>
      <w:r>
        <w:rPr>
          <w:rFonts w:hint="eastAsia" w:ascii="宋体" w:hAnsi="宋体"/>
          <w:color w:val="auto"/>
          <w:szCs w:val="21"/>
        </w:rPr>
        <w:t xml:space="preserve">《采暖通风与空气调节设计规范》                           </w:t>
      </w:r>
      <w:r>
        <w:rPr>
          <w:rFonts w:ascii="宋体" w:hAnsi="宋体"/>
          <w:color w:val="auto"/>
          <w:szCs w:val="21"/>
        </w:rPr>
        <w:t>GB50019-2003</w:t>
      </w:r>
    </w:p>
    <w:p>
      <w:pPr>
        <w:spacing w:line="360" w:lineRule="auto"/>
        <w:ind w:right="767"/>
        <w:rPr>
          <w:rFonts w:hint="eastAsia" w:ascii="宋体" w:hAnsi="宋体"/>
          <w:color w:val="auto"/>
          <w:szCs w:val="21"/>
        </w:rPr>
      </w:pPr>
      <w:r>
        <w:rPr>
          <w:rFonts w:hint="eastAsia" w:ascii="宋体" w:hAnsi="宋体"/>
          <w:color w:val="auto"/>
          <w:szCs w:val="21"/>
        </w:rPr>
        <w:t xml:space="preserve">《洁净功能区施工及验收规范》                                 </w:t>
      </w:r>
      <w:r>
        <w:rPr>
          <w:rFonts w:ascii="宋体" w:hAnsi="宋体"/>
          <w:color w:val="auto"/>
          <w:szCs w:val="21"/>
        </w:rPr>
        <w:t>GB50591-2010</w:t>
      </w:r>
    </w:p>
    <w:p>
      <w:pPr>
        <w:pStyle w:val="36"/>
        <w:numPr>
          <w:ilvl w:val="0"/>
          <w:numId w:val="1"/>
        </w:numPr>
        <w:spacing w:line="360" w:lineRule="auto"/>
        <w:contextualSpacing w:val="0"/>
        <w:rPr>
          <w:rFonts w:hint="eastAsia" w:ascii="宋体" w:hAnsi="宋体" w:cs="宋体"/>
          <w:b/>
          <w:bCs/>
          <w:color w:val="auto"/>
          <w:szCs w:val="21"/>
        </w:rPr>
      </w:pPr>
      <w:r>
        <w:rPr>
          <w:rFonts w:hint="eastAsia" w:ascii="宋体" w:hAnsi="宋体" w:cs="宋体"/>
          <w:b/>
          <w:bCs/>
          <w:color w:val="auto"/>
          <w:szCs w:val="21"/>
        </w:rPr>
        <w:t>技术/质量验证与验收标准</w:t>
      </w:r>
    </w:p>
    <w:p>
      <w:pPr>
        <w:widowControl/>
        <w:numPr>
          <w:ilvl w:val="0"/>
          <w:numId w:val="40"/>
        </w:numPr>
        <w:spacing w:line="360" w:lineRule="auto"/>
        <w:jc w:val="left"/>
        <w:rPr>
          <w:rFonts w:hint="eastAsia" w:ascii="宋体" w:hAnsi="宋体"/>
          <w:b/>
          <w:color w:val="auto"/>
          <w:kern w:val="0"/>
          <w:szCs w:val="21"/>
        </w:rPr>
      </w:pPr>
      <w:bookmarkStart w:id="48" w:name="_Hlk96525768"/>
      <w:r>
        <w:rPr>
          <w:rFonts w:hint="eastAsia" w:ascii="宋体" w:hAnsi="宋体"/>
          <w:b/>
          <w:color w:val="auto"/>
          <w:kern w:val="0"/>
          <w:szCs w:val="21"/>
        </w:rPr>
        <w:t>验收方式：</w:t>
      </w:r>
    </w:p>
    <w:p>
      <w:pPr>
        <w:numPr>
          <w:ilvl w:val="0"/>
          <w:numId w:val="41"/>
        </w:numPr>
        <w:spacing w:line="360" w:lineRule="auto"/>
        <w:rPr>
          <w:rFonts w:hint="eastAsia" w:ascii="宋体" w:hAnsi="宋体"/>
          <w:color w:val="auto"/>
          <w:szCs w:val="21"/>
        </w:rPr>
      </w:pPr>
      <w:r>
        <w:rPr>
          <w:rFonts w:hint="eastAsia" w:ascii="宋体" w:hAnsi="宋体"/>
          <w:color w:val="auto"/>
          <w:szCs w:val="21"/>
        </w:rPr>
        <w:t>设备验收前提供相关验收资料（如竣工资料等）。</w:t>
      </w:r>
    </w:p>
    <w:p>
      <w:pPr>
        <w:numPr>
          <w:ilvl w:val="0"/>
          <w:numId w:val="41"/>
        </w:numPr>
        <w:spacing w:line="360" w:lineRule="auto"/>
        <w:rPr>
          <w:rFonts w:hint="eastAsia" w:ascii="宋体" w:hAnsi="宋体"/>
          <w:color w:val="auto"/>
          <w:szCs w:val="21"/>
        </w:rPr>
      </w:pPr>
      <w:r>
        <w:rPr>
          <w:rFonts w:hint="eastAsia" w:ascii="宋体" w:hAnsi="宋体"/>
          <w:color w:val="auto"/>
          <w:szCs w:val="21"/>
        </w:rPr>
        <w:t>设备的验收分为三步：</w:t>
      </w:r>
    </w:p>
    <w:p>
      <w:pPr>
        <w:numPr>
          <w:ilvl w:val="0"/>
          <w:numId w:val="42"/>
        </w:numPr>
        <w:spacing w:line="360" w:lineRule="auto"/>
        <w:rPr>
          <w:rFonts w:hint="eastAsia" w:ascii="宋体" w:hAnsi="宋体"/>
          <w:color w:val="auto"/>
          <w:szCs w:val="21"/>
        </w:rPr>
      </w:pPr>
      <w:r>
        <w:rPr>
          <w:rFonts w:hint="eastAsia" w:ascii="宋体" w:hAnsi="宋体"/>
          <w:color w:val="auto"/>
          <w:szCs w:val="21"/>
        </w:rPr>
        <w:t>投标方在设备入厂时提供设备明细清单，招标人组织人员进行清点、核对。</w:t>
      </w:r>
    </w:p>
    <w:p>
      <w:pPr>
        <w:numPr>
          <w:ilvl w:val="0"/>
          <w:numId w:val="42"/>
        </w:numPr>
        <w:spacing w:line="360" w:lineRule="auto"/>
        <w:rPr>
          <w:rFonts w:hint="eastAsia" w:ascii="宋体" w:hAnsi="宋体"/>
          <w:color w:val="auto"/>
          <w:szCs w:val="21"/>
        </w:rPr>
      </w:pPr>
      <w:r>
        <w:rPr>
          <w:rFonts w:hint="eastAsia" w:ascii="宋体" w:hAnsi="宋体"/>
          <w:color w:val="auto"/>
          <w:szCs w:val="21"/>
        </w:rPr>
        <w:t>设备调试完成并通过无菌验证测试，设备生产效率达成合同约定要求并在移交相关全套竣工资料后，投标方可提前</w:t>
      </w:r>
      <w:r>
        <w:rPr>
          <w:rFonts w:ascii="宋体" w:hAnsi="宋体"/>
          <w:color w:val="auto"/>
          <w:szCs w:val="21"/>
        </w:rPr>
        <w:t>3</w:t>
      </w:r>
      <w:r>
        <w:rPr>
          <w:rFonts w:hint="eastAsia" w:ascii="宋体" w:hAnsi="宋体"/>
          <w:color w:val="auto"/>
          <w:szCs w:val="21"/>
        </w:rPr>
        <w:t>天提出书面申请，双方确认验收开始时间。招标方组织人员根据合同条款进行正式验收，对设备的硬件配置、功能的合理性是否符合要求进行检验。</w:t>
      </w:r>
    </w:p>
    <w:p>
      <w:pPr>
        <w:widowControl/>
        <w:numPr>
          <w:ilvl w:val="0"/>
          <w:numId w:val="42"/>
        </w:numPr>
        <w:spacing w:line="360" w:lineRule="auto"/>
        <w:jc w:val="left"/>
        <w:rPr>
          <w:rFonts w:hint="eastAsia" w:ascii="宋体" w:hAnsi="宋体"/>
          <w:color w:val="auto"/>
          <w:kern w:val="0"/>
          <w:szCs w:val="21"/>
        </w:rPr>
      </w:pPr>
      <w:r>
        <w:rPr>
          <w:rFonts w:hint="eastAsia" w:ascii="宋体" w:hAnsi="宋体"/>
          <w:color w:val="auto"/>
          <w:kern w:val="0"/>
          <w:szCs w:val="21"/>
        </w:rPr>
        <w:t>由验收合格之日起开始计算质保期（至少1</w:t>
      </w:r>
      <w:r>
        <w:rPr>
          <w:rFonts w:ascii="宋体" w:hAnsi="宋体"/>
          <w:color w:val="auto"/>
          <w:kern w:val="0"/>
          <w:szCs w:val="21"/>
        </w:rPr>
        <w:t>2个月</w:t>
      </w:r>
      <w:r>
        <w:rPr>
          <w:rFonts w:hint="eastAsia" w:ascii="宋体" w:hAnsi="宋体"/>
          <w:color w:val="auto"/>
          <w:kern w:val="0"/>
          <w:szCs w:val="21"/>
        </w:rPr>
        <w:t>），</w:t>
      </w:r>
      <w:r>
        <w:rPr>
          <w:rFonts w:hint="eastAsia" w:ascii="宋体" w:hAnsi="宋体"/>
          <w:color w:val="auto"/>
          <w:szCs w:val="21"/>
        </w:rPr>
        <w:t>以最终验收完成日期(双方签署验收报告)开始计算,或按照投标方根据合同交付货物的日期起计算18个月(由于投标方原因导致未能及时验收合格的日期，不受此18个月期限限制，此种情况下的迟延时间应予以顺延)以先到为准，</w:t>
      </w:r>
      <w:r>
        <w:rPr>
          <w:rFonts w:hint="eastAsia" w:ascii="宋体" w:hAnsi="宋体"/>
          <w:color w:val="auto"/>
          <w:kern w:val="0"/>
          <w:szCs w:val="21"/>
        </w:rPr>
        <w:t>质保期满前1个月发起质保验收</w:t>
      </w:r>
      <w:r>
        <w:rPr>
          <w:rFonts w:ascii="宋体" w:hAnsi="宋体"/>
          <w:color w:val="auto"/>
          <w:kern w:val="0"/>
          <w:szCs w:val="21"/>
        </w:rPr>
        <w:t>及</w:t>
      </w:r>
      <w:r>
        <w:rPr>
          <w:rFonts w:hint="eastAsia" w:ascii="宋体" w:hAnsi="宋体"/>
          <w:color w:val="auto"/>
          <w:kern w:val="0"/>
          <w:szCs w:val="21"/>
        </w:rPr>
        <w:t>落实相关整改，并对验收合格进行确认。</w:t>
      </w:r>
    </w:p>
    <w:p>
      <w:pPr>
        <w:widowControl/>
        <w:numPr>
          <w:ilvl w:val="0"/>
          <w:numId w:val="40"/>
        </w:numPr>
        <w:spacing w:line="360" w:lineRule="auto"/>
        <w:jc w:val="left"/>
        <w:rPr>
          <w:rFonts w:hint="eastAsia" w:ascii="宋体" w:hAnsi="宋体"/>
          <w:b/>
          <w:color w:val="auto"/>
          <w:kern w:val="0"/>
          <w:szCs w:val="21"/>
        </w:rPr>
      </w:pPr>
      <w:r>
        <w:rPr>
          <w:rFonts w:hint="eastAsia" w:ascii="宋体" w:hAnsi="宋体"/>
          <w:b/>
          <w:color w:val="auto"/>
          <w:kern w:val="0"/>
          <w:szCs w:val="21"/>
        </w:rPr>
        <w:t>验收标准</w:t>
      </w:r>
    </w:p>
    <w:p>
      <w:pPr>
        <w:widowControl/>
        <w:numPr>
          <w:ilvl w:val="0"/>
          <w:numId w:val="43"/>
        </w:numPr>
        <w:spacing w:line="360" w:lineRule="auto"/>
        <w:jc w:val="left"/>
        <w:rPr>
          <w:rFonts w:hint="eastAsia" w:ascii="宋体" w:hAnsi="宋体"/>
          <w:color w:val="auto"/>
          <w:szCs w:val="21"/>
        </w:rPr>
      </w:pPr>
      <w:r>
        <w:rPr>
          <w:rFonts w:hint="eastAsia" w:ascii="宋体" w:hAnsi="宋体"/>
          <w:color w:val="auto"/>
          <w:szCs w:val="21"/>
        </w:rPr>
        <w:t>产品质量符合国家相关标准及招标人标准。</w:t>
      </w:r>
    </w:p>
    <w:p>
      <w:pPr>
        <w:widowControl/>
        <w:numPr>
          <w:ilvl w:val="0"/>
          <w:numId w:val="43"/>
        </w:numPr>
        <w:spacing w:line="360" w:lineRule="auto"/>
        <w:jc w:val="left"/>
        <w:rPr>
          <w:rFonts w:hint="eastAsia" w:ascii="宋体" w:hAnsi="宋体"/>
          <w:color w:val="auto"/>
          <w:szCs w:val="21"/>
        </w:rPr>
      </w:pPr>
      <w:r>
        <w:rPr>
          <w:rFonts w:hint="eastAsia" w:ascii="宋体" w:hAnsi="宋体"/>
          <w:color w:val="auto"/>
          <w:szCs w:val="21"/>
        </w:rPr>
        <w:t>符合技术要求中对设备基本要求的各项条款。</w:t>
      </w:r>
    </w:p>
    <w:p>
      <w:pPr>
        <w:widowControl/>
        <w:numPr>
          <w:ilvl w:val="0"/>
          <w:numId w:val="43"/>
        </w:numPr>
        <w:spacing w:line="360" w:lineRule="auto"/>
        <w:jc w:val="left"/>
        <w:rPr>
          <w:rFonts w:hint="eastAsia" w:ascii="宋体" w:hAnsi="宋体"/>
          <w:color w:val="auto"/>
          <w:szCs w:val="21"/>
        </w:rPr>
      </w:pPr>
      <w:r>
        <w:rPr>
          <w:rFonts w:hint="eastAsia" w:ascii="宋体" w:hAnsi="宋体"/>
          <w:color w:val="auto"/>
          <w:szCs w:val="21"/>
        </w:rPr>
        <w:t>满足技术要求中对技术参数要求的各项条款。</w:t>
      </w:r>
    </w:p>
    <w:p>
      <w:pPr>
        <w:widowControl/>
        <w:numPr>
          <w:ilvl w:val="0"/>
          <w:numId w:val="43"/>
        </w:numPr>
        <w:spacing w:line="360" w:lineRule="auto"/>
        <w:jc w:val="left"/>
        <w:rPr>
          <w:rFonts w:hint="eastAsia" w:ascii="宋体" w:hAnsi="宋体"/>
          <w:color w:val="auto"/>
          <w:szCs w:val="21"/>
        </w:rPr>
      </w:pPr>
      <w:bookmarkStart w:id="49" w:name="_Hlk96614432"/>
      <w:r>
        <w:rPr>
          <w:rFonts w:hint="eastAsia" w:ascii="宋体" w:hAnsi="宋体"/>
          <w:color w:val="auto"/>
          <w:szCs w:val="21"/>
        </w:rPr>
        <w:t>按500mL王老吉品项（一个瓶坯，一个瓶盖，一个瓶型，一个产品口味）进行验收，灌装生产验收速度24000瓶/小时或以上，</w:t>
      </w:r>
    </w:p>
    <w:bookmarkEnd w:id="49"/>
    <w:p>
      <w:pPr>
        <w:pStyle w:val="36"/>
        <w:numPr>
          <w:ilvl w:val="255"/>
          <w:numId w:val="0"/>
        </w:numPr>
        <w:spacing w:line="360" w:lineRule="auto"/>
        <w:rPr>
          <w:rFonts w:hint="eastAsia" w:ascii="宋体" w:hAnsi="宋体"/>
          <w:color w:val="auto"/>
          <w:szCs w:val="21"/>
        </w:rPr>
      </w:pPr>
      <w:r>
        <w:rPr>
          <w:rFonts w:hint="eastAsia" w:ascii="宋体" w:hAnsi="宋体"/>
          <w:color w:val="auto"/>
          <w:szCs w:val="21"/>
        </w:rPr>
        <w:t>1）生产效率试验：做3次×8h验收，每次间隔时间不超过16h，</w:t>
      </w:r>
      <w:r>
        <w:rPr>
          <w:rFonts w:ascii="宋体" w:hAnsi="宋体"/>
          <w:color w:val="auto"/>
          <w:szCs w:val="21"/>
        </w:rPr>
        <w:t>生产效率</w:t>
      </w:r>
      <w:r>
        <w:rPr>
          <w:rFonts w:ascii="宋体" w:hAnsi="宋体"/>
          <w:color w:val="auto"/>
          <w:kern w:val="0"/>
          <w:szCs w:val="21"/>
        </w:rPr>
        <w:t>≥</w:t>
      </w:r>
      <w:r>
        <w:rPr>
          <w:rFonts w:ascii="宋体" w:hAnsi="宋体"/>
          <w:color w:val="auto"/>
          <w:szCs w:val="21"/>
        </w:rPr>
        <w:t>9</w:t>
      </w:r>
      <w:r>
        <w:rPr>
          <w:rFonts w:hint="eastAsia" w:ascii="宋体" w:hAnsi="宋体"/>
          <w:color w:val="auto"/>
          <w:szCs w:val="21"/>
        </w:rPr>
        <w:t>5</w:t>
      </w:r>
      <w:r>
        <w:rPr>
          <w:rFonts w:ascii="宋体" w:hAnsi="宋体"/>
          <w:color w:val="auto"/>
          <w:szCs w:val="21"/>
        </w:rPr>
        <w:t>%</w:t>
      </w:r>
      <w:r>
        <w:rPr>
          <w:rFonts w:hint="eastAsia" w:ascii="宋体" w:hAnsi="宋体"/>
          <w:color w:val="auto"/>
          <w:szCs w:val="21"/>
        </w:rPr>
        <w:t>；效率验收前需确保灌装液位、扭力、封盖不良率在标准范围内，并经招标方那签名确认。按公式（1）计算生产效率。</w:t>
      </w:r>
      <w:r>
        <w:rPr>
          <w:rFonts w:ascii="宋体" w:hAnsi="宋体"/>
          <w:color w:val="auto"/>
          <w:szCs w:val="21"/>
        </w:rPr>
        <w:t xml:space="preserve"> </w:t>
      </w:r>
    </w:p>
    <w:p>
      <w:pPr>
        <w:pStyle w:val="36"/>
        <w:numPr>
          <w:ilvl w:val="255"/>
          <w:numId w:val="0"/>
        </w:numPr>
        <w:spacing w:line="360" w:lineRule="auto"/>
        <w:ind w:left="105" w:leftChars="50" w:firstLine="2530" w:firstLineChars="1200"/>
        <w:rPr>
          <w:rFonts w:hint="eastAsia" w:ascii="宋体" w:hAnsi="宋体"/>
          <w:color w:val="auto"/>
          <w:szCs w:val="21"/>
        </w:rPr>
      </w:pPr>
      <w:r>
        <w:rPr>
          <w:rFonts w:hint="eastAsia" w:ascii="宋体" w:hAnsi="宋体"/>
          <w:b/>
          <w:bCs/>
          <w:i/>
          <w:iCs/>
          <w:color w:val="auto"/>
          <w:szCs w:val="21"/>
        </w:rPr>
        <w:t>η</w:t>
      </w:r>
      <w:r>
        <w:rPr>
          <w:rFonts w:hint="eastAsia" w:ascii="宋体" w:hAnsi="宋体"/>
          <w:color w:val="auto"/>
          <w:szCs w:val="21"/>
        </w:rPr>
        <w:t>=</w:t>
      </w:r>
      <m:oMath>
        <m:f>
          <m:fPr>
            <m:ctrlPr>
              <w:rPr>
                <w:rFonts w:ascii="Cambria Math" w:hAnsi="Cambria Math"/>
                <w:i/>
                <w:color w:val="auto"/>
                <w:szCs w:val="21"/>
              </w:rPr>
            </m:ctrlPr>
          </m:fPr>
          <m:num>
            <m:r>
              <m:rPr/>
              <w:rPr>
                <w:rFonts w:ascii="Cambria Math" w:hAnsi="Cambria Math"/>
                <w:color w:val="auto"/>
                <w:szCs w:val="21"/>
              </w:rPr>
              <m:t>M</m:t>
            </m:r>
            <m:ctrlPr>
              <w:rPr>
                <w:rFonts w:ascii="Cambria Math" w:hAnsi="Cambria Math"/>
                <w:i/>
                <w:color w:val="auto"/>
                <w:szCs w:val="21"/>
              </w:rPr>
            </m:ctrlPr>
          </m:num>
          <m:den>
            <m:r>
              <m:rPr/>
              <w:rPr>
                <w:rFonts w:ascii="Cambria Math" w:hAnsi="Cambria Math"/>
                <w:color w:val="auto"/>
                <w:szCs w:val="21"/>
              </w:rPr>
              <m:t>F</m:t>
            </m:r>
            <m:r>
              <m:rPr/>
              <w:rPr>
                <w:rFonts w:hint="eastAsia" w:ascii="Cambria Math" w:hAnsi="Cambria Math"/>
                <w:color w:val="auto"/>
                <w:szCs w:val="21"/>
              </w:rPr>
              <m:t>×</m:t>
            </m:r>
            <m:r>
              <m:rPr/>
              <w:rPr>
                <w:rFonts w:ascii="Cambria Math" w:hAnsi="Cambria Math"/>
                <w:color w:val="auto"/>
                <w:szCs w:val="21"/>
              </w:rPr>
              <m:t>T</m:t>
            </m:r>
            <m:ctrlPr>
              <w:rPr>
                <w:rFonts w:ascii="Cambria Math" w:hAnsi="Cambria Math"/>
                <w:i/>
                <w:color w:val="auto"/>
                <w:szCs w:val="21"/>
              </w:rPr>
            </m:ctrlPr>
          </m:den>
        </m:f>
      </m:oMath>
      <w:r>
        <w:rPr>
          <w:rFonts w:hint="eastAsia" w:ascii="宋体" w:hAnsi="宋体"/>
          <w:color w:val="auto"/>
          <w:szCs w:val="21"/>
        </w:rPr>
        <w:t xml:space="preserve">×100%        </w:t>
      </w:r>
      <w:bookmarkStart w:id="50" w:name="_Hlk200894614"/>
      <w:r>
        <w:rPr>
          <w:rFonts w:hint="eastAsia" w:ascii="宋体" w:hAnsi="宋体"/>
          <w:color w:val="auto"/>
          <w:szCs w:val="21"/>
        </w:rPr>
        <w:t>...................(1)</w:t>
      </w:r>
    </w:p>
    <w:bookmarkEnd w:id="50"/>
    <w:p>
      <w:pPr>
        <w:numPr>
          <w:ilvl w:val="255"/>
          <w:numId w:val="0"/>
        </w:numPr>
        <w:spacing w:line="360" w:lineRule="auto"/>
        <w:rPr>
          <w:rFonts w:hint="eastAsia" w:ascii="宋体" w:hAnsi="宋体"/>
          <w:color w:val="auto"/>
          <w:szCs w:val="21"/>
        </w:rPr>
      </w:pPr>
      <w:r>
        <w:rPr>
          <w:rFonts w:hint="eastAsia" w:ascii="宋体" w:hAnsi="宋体"/>
          <w:color w:val="auto"/>
          <w:szCs w:val="21"/>
        </w:rPr>
        <w:t>式中：</w:t>
      </w:r>
    </w:p>
    <w:p>
      <w:pPr>
        <w:numPr>
          <w:ilvl w:val="255"/>
          <w:numId w:val="0"/>
        </w:numPr>
        <w:spacing w:line="360" w:lineRule="auto"/>
        <w:rPr>
          <w:rFonts w:hint="eastAsia" w:ascii="宋体" w:hAnsi="宋体"/>
          <w:color w:val="auto"/>
          <w:szCs w:val="21"/>
        </w:rPr>
      </w:pPr>
      <w:r>
        <w:rPr>
          <w:rFonts w:hint="eastAsia" w:ascii="宋体" w:hAnsi="宋体"/>
          <w:b/>
          <w:bCs/>
          <w:i/>
          <w:iCs/>
          <w:color w:val="auto"/>
          <w:szCs w:val="21"/>
        </w:rPr>
        <w:t>η</w:t>
      </w:r>
      <w:r>
        <w:rPr>
          <w:rFonts w:hint="eastAsia" w:ascii="宋体" w:hAnsi="宋体"/>
          <w:color w:val="auto"/>
          <w:szCs w:val="21"/>
        </w:rPr>
        <w:t>——生产效率%；</w:t>
      </w:r>
    </w:p>
    <w:p>
      <w:pPr>
        <w:numPr>
          <w:ilvl w:val="255"/>
          <w:numId w:val="0"/>
        </w:numPr>
        <w:spacing w:line="360" w:lineRule="auto"/>
        <w:rPr>
          <w:rFonts w:hint="eastAsia" w:ascii="宋体" w:hAnsi="宋体"/>
          <w:color w:val="auto"/>
          <w:szCs w:val="21"/>
        </w:rPr>
      </w:pPr>
      <w:r>
        <w:rPr>
          <w:rFonts w:hint="eastAsia" w:ascii="宋体" w:hAnsi="宋体"/>
          <w:i/>
          <w:color w:val="auto"/>
          <w:szCs w:val="21"/>
        </w:rPr>
        <w:t>F</w:t>
      </w:r>
      <w:r>
        <w:rPr>
          <w:rFonts w:hint="eastAsia" w:ascii="宋体" w:hAnsi="宋体"/>
          <w:color w:val="auto"/>
          <w:szCs w:val="21"/>
        </w:rPr>
        <w:t xml:space="preserve"> ——额定生产能力，单位为瓶/时（瓶/ h）;</w:t>
      </w:r>
    </w:p>
    <w:p>
      <w:pPr>
        <w:numPr>
          <w:ilvl w:val="255"/>
          <w:numId w:val="0"/>
        </w:numPr>
        <w:spacing w:line="360" w:lineRule="auto"/>
        <w:rPr>
          <w:rFonts w:hint="eastAsia" w:ascii="宋体" w:hAnsi="宋体"/>
          <w:color w:val="auto"/>
          <w:szCs w:val="21"/>
        </w:rPr>
      </w:pPr>
      <w:r>
        <w:rPr>
          <w:rFonts w:hint="eastAsia" w:ascii="宋体" w:hAnsi="宋体"/>
          <w:i/>
          <w:color w:val="auto"/>
          <w:szCs w:val="21"/>
        </w:rPr>
        <w:t>T</w:t>
      </w:r>
      <w:r>
        <w:rPr>
          <w:rFonts w:hint="eastAsia" w:ascii="宋体" w:hAnsi="宋体"/>
          <w:color w:val="auto"/>
          <w:szCs w:val="21"/>
        </w:rPr>
        <w:t xml:space="preserve"> ——有效时间，单位的为时（h）；</w:t>
      </w:r>
    </w:p>
    <w:p>
      <w:pPr>
        <w:numPr>
          <w:ilvl w:val="255"/>
          <w:numId w:val="0"/>
        </w:numPr>
        <w:spacing w:line="360" w:lineRule="auto"/>
        <w:rPr>
          <w:rFonts w:hint="eastAsia" w:ascii="宋体" w:hAnsi="宋体"/>
          <w:color w:val="auto"/>
          <w:szCs w:val="21"/>
        </w:rPr>
      </w:pPr>
      <w:r>
        <w:rPr>
          <w:rFonts w:hint="eastAsia" w:ascii="宋体" w:hAnsi="宋体"/>
          <w:b/>
          <w:bCs/>
          <w:i/>
          <w:iCs/>
          <w:color w:val="auto"/>
          <w:szCs w:val="21"/>
        </w:rPr>
        <w:t>M</w:t>
      </w:r>
      <w:r>
        <w:rPr>
          <w:rFonts w:hint="eastAsia" w:ascii="宋体" w:hAnsi="宋体"/>
          <w:color w:val="auto"/>
          <w:szCs w:val="21"/>
        </w:rPr>
        <w:t>——连续生产时间内灌装的成品数量，单位为瓶。</w:t>
      </w:r>
    </w:p>
    <w:p>
      <w:pPr>
        <w:numPr>
          <w:ilvl w:val="255"/>
          <w:numId w:val="0"/>
        </w:numPr>
        <w:spacing w:line="360" w:lineRule="auto"/>
        <w:rPr>
          <w:rFonts w:hint="eastAsia" w:ascii="宋体" w:hAnsi="宋体"/>
          <w:color w:val="auto"/>
          <w:szCs w:val="21"/>
        </w:rPr>
      </w:pPr>
      <w:r>
        <w:rPr>
          <w:rFonts w:hint="eastAsia" w:ascii="宋体" w:hAnsi="宋体"/>
          <w:color w:val="auto"/>
          <w:szCs w:val="21"/>
        </w:rPr>
        <w:t>有效时间（T不小于7.5h）为：测试时间减去在测试时间内非因吹灌旋设备本身故障而造成的一切停机时间的总和（∑t）,计算方法见公式（2）</w:t>
      </w:r>
    </w:p>
    <w:p>
      <w:pPr>
        <w:numPr>
          <w:ilvl w:val="255"/>
          <w:numId w:val="0"/>
        </w:numPr>
        <w:spacing w:line="360" w:lineRule="auto"/>
        <w:rPr>
          <w:rFonts w:hint="eastAsia" w:ascii="宋体" w:hAnsi="宋体"/>
          <w:color w:val="auto"/>
          <w:szCs w:val="21"/>
        </w:rPr>
      </w:pPr>
      <w:r>
        <w:rPr>
          <w:rFonts w:hint="eastAsia" w:ascii="宋体" w:hAnsi="宋体"/>
          <w:color w:val="auto"/>
          <w:szCs w:val="21"/>
        </w:rPr>
        <w:t xml:space="preserve">                       </w:t>
      </w:r>
      <w:r>
        <w:rPr>
          <w:rFonts w:hint="eastAsia" w:ascii="宋体" w:hAnsi="宋体"/>
          <w:b/>
          <w:bCs/>
          <w:i/>
          <w:iCs/>
          <w:color w:val="auto"/>
          <w:szCs w:val="21"/>
        </w:rPr>
        <w:t>T</w:t>
      </w:r>
      <w:r>
        <w:rPr>
          <w:rFonts w:hint="eastAsia" w:ascii="宋体" w:hAnsi="宋体"/>
          <w:color w:val="auto"/>
          <w:szCs w:val="21"/>
        </w:rPr>
        <w:t>=测试时间-</w:t>
      </w:r>
      <w:r>
        <w:rPr>
          <w:rFonts w:hint="eastAsia" w:ascii="宋体" w:hAnsi="宋体"/>
          <w:b/>
          <w:bCs/>
          <w:i/>
          <w:iCs/>
          <w:color w:val="auto"/>
          <w:szCs w:val="21"/>
        </w:rPr>
        <w:t>∑t</w:t>
      </w:r>
      <w:r>
        <w:rPr>
          <w:rFonts w:hint="eastAsia" w:ascii="宋体" w:hAnsi="宋体"/>
          <w:color w:val="auto"/>
          <w:szCs w:val="21"/>
        </w:rPr>
        <w:t xml:space="preserve">        </w:t>
      </w:r>
      <w:r>
        <w:rPr>
          <w:rFonts w:ascii="宋体" w:hAnsi="宋体"/>
          <w:color w:val="auto"/>
          <w:szCs w:val="21"/>
        </w:rPr>
        <w:t>...................(</w:t>
      </w:r>
      <w:r>
        <w:rPr>
          <w:rFonts w:hint="eastAsia" w:ascii="宋体" w:hAnsi="宋体"/>
          <w:color w:val="auto"/>
          <w:szCs w:val="21"/>
        </w:rPr>
        <w:t>2</w:t>
      </w:r>
      <w:r>
        <w:rPr>
          <w:rFonts w:ascii="宋体" w:hAnsi="宋体"/>
          <w:color w:val="auto"/>
          <w:szCs w:val="21"/>
        </w:rPr>
        <w:t>)</w:t>
      </w:r>
    </w:p>
    <w:p>
      <w:pPr>
        <w:numPr>
          <w:ilvl w:val="255"/>
          <w:numId w:val="0"/>
        </w:numPr>
        <w:spacing w:line="360" w:lineRule="auto"/>
        <w:rPr>
          <w:rFonts w:hint="eastAsia" w:ascii="宋体" w:hAnsi="宋体"/>
          <w:color w:val="auto"/>
          <w:szCs w:val="21"/>
        </w:rPr>
      </w:pPr>
      <w:r>
        <w:rPr>
          <w:rFonts w:hint="eastAsia" w:ascii="宋体" w:hAnsi="宋体"/>
          <w:color w:val="auto"/>
          <w:szCs w:val="21"/>
        </w:rPr>
        <w:t>式中：</w:t>
      </w:r>
    </w:p>
    <w:p>
      <w:pPr>
        <w:numPr>
          <w:ilvl w:val="255"/>
          <w:numId w:val="0"/>
        </w:numPr>
        <w:spacing w:line="360" w:lineRule="auto"/>
        <w:rPr>
          <w:rFonts w:hint="eastAsia" w:ascii="宋体" w:hAnsi="宋体"/>
          <w:color w:val="auto"/>
          <w:szCs w:val="21"/>
        </w:rPr>
      </w:pPr>
      <w:r>
        <w:rPr>
          <w:rFonts w:hint="eastAsia" w:ascii="宋体" w:hAnsi="宋体"/>
          <w:b/>
          <w:bCs/>
          <w:i/>
          <w:iCs/>
          <w:color w:val="auto"/>
          <w:szCs w:val="21"/>
        </w:rPr>
        <w:t>T</w:t>
      </w:r>
      <w:r>
        <w:rPr>
          <w:rFonts w:hint="eastAsia" w:ascii="宋体" w:hAnsi="宋体"/>
          <w:color w:val="auto"/>
          <w:szCs w:val="21"/>
        </w:rPr>
        <w:t>——有效时间，单位的为时（h）；</w:t>
      </w:r>
    </w:p>
    <w:p>
      <w:pPr>
        <w:numPr>
          <w:ilvl w:val="255"/>
          <w:numId w:val="0"/>
        </w:numPr>
        <w:spacing w:line="360" w:lineRule="auto"/>
        <w:rPr>
          <w:rFonts w:hint="eastAsia" w:ascii="宋体" w:hAnsi="宋体"/>
          <w:color w:val="auto"/>
          <w:szCs w:val="21"/>
        </w:rPr>
      </w:pPr>
      <w:r>
        <w:rPr>
          <w:rFonts w:hint="eastAsia" w:ascii="宋体" w:hAnsi="宋体"/>
          <w:b/>
          <w:bCs/>
          <w:i/>
          <w:iCs/>
          <w:color w:val="auto"/>
          <w:szCs w:val="21"/>
        </w:rPr>
        <w:t>∑t</w:t>
      </w:r>
      <w:r>
        <w:rPr>
          <w:rFonts w:hint="eastAsia" w:ascii="宋体" w:hAnsi="宋体"/>
          <w:color w:val="auto"/>
          <w:szCs w:val="21"/>
        </w:rPr>
        <w:t>——非因吹灌旋设备本身故障而造成的一切停机时间的总和，单位为时（h）。</w:t>
      </w:r>
    </w:p>
    <w:p>
      <w:pPr>
        <w:numPr>
          <w:ilvl w:val="255"/>
          <w:numId w:val="0"/>
        </w:numPr>
        <w:spacing w:line="360" w:lineRule="auto"/>
        <w:rPr>
          <w:rFonts w:hint="eastAsia" w:ascii="宋体" w:hAnsi="宋体"/>
          <w:color w:val="auto"/>
          <w:szCs w:val="21"/>
        </w:rPr>
      </w:pPr>
      <w:r>
        <w:rPr>
          <w:rFonts w:hint="eastAsia" w:ascii="宋体" w:hAnsi="宋体"/>
          <w:color w:val="auto"/>
          <w:szCs w:val="21"/>
        </w:rPr>
        <w:t>2）吹瓶不良损耗率试验：吹灌旋一体机稳定运行时（可与生产线效率验证同步进行），</w:t>
      </w:r>
      <w:bookmarkStart w:id="51" w:name="_Hlk206590772"/>
      <w:r>
        <w:rPr>
          <w:rFonts w:hint="eastAsia" w:ascii="宋体" w:hAnsi="宋体"/>
          <w:color w:val="auto"/>
          <w:szCs w:val="21"/>
        </w:rPr>
        <w:t>记录连续8h内生产合格</w:t>
      </w:r>
      <w:bookmarkEnd w:id="51"/>
      <w:r>
        <w:rPr>
          <w:rFonts w:hint="eastAsia" w:ascii="宋体" w:hAnsi="宋体"/>
          <w:color w:val="auto"/>
          <w:szCs w:val="21"/>
        </w:rPr>
        <w:t>吹瓶总数和损耗的吹瓶不良数；按公式（3）计算吹瓶不良损耗率。</w:t>
      </w:r>
    </w:p>
    <w:p>
      <w:pPr>
        <w:numPr>
          <w:ilvl w:val="255"/>
          <w:numId w:val="0"/>
        </w:numPr>
        <w:spacing w:line="360" w:lineRule="auto"/>
        <w:rPr>
          <w:rFonts w:hint="eastAsia" w:ascii="宋体" w:hAnsi="宋体"/>
          <w:color w:val="auto"/>
          <w:szCs w:val="21"/>
        </w:rPr>
      </w:pPr>
      <w:r>
        <w:rPr>
          <w:rFonts w:hint="eastAsia" w:ascii="宋体" w:hAnsi="宋体"/>
          <w:color w:val="auto"/>
          <w:szCs w:val="21"/>
        </w:rPr>
        <w:t xml:space="preserve">                        </w:t>
      </w:r>
      <w:r>
        <w:rPr>
          <w:rFonts w:hint="eastAsia" w:ascii="宋体" w:hAnsi="宋体"/>
          <w:b/>
          <w:bCs/>
          <w:i/>
          <w:iCs/>
          <w:color w:val="auto"/>
          <w:szCs w:val="21"/>
        </w:rPr>
        <w:t>B</w:t>
      </w:r>
      <w:r>
        <w:rPr>
          <w:rFonts w:hint="eastAsia" w:ascii="宋体" w:hAnsi="宋体"/>
          <w:color w:val="auto"/>
          <w:szCs w:val="21"/>
        </w:rPr>
        <w:t>=</w:t>
      </w:r>
      <m:oMath>
        <m:f>
          <m:fPr>
            <m:ctrlPr>
              <w:rPr>
                <w:rFonts w:ascii="Cambria Math" w:hAnsi="Cambria Math"/>
                <w:i/>
                <w:color w:val="auto"/>
                <w:szCs w:val="21"/>
              </w:rPr>
            </m:ctrlPr>
          </m:fPr>
          <m:num>
            <m:r>
              <m:rPr/>
              <w:rPr>
                <w:rFonts w:hint="eastAsia" w:ascii="Cambria Math" w:hAnsi="Cambria Math"/>
                <w:color w:val="auto"/>
                <w:szCs w:val="21"/>
              </w:rPr>
              <m:t>P</m:t>
            </m:r>
            <m:r>
              <m:rPr/>
              <w:rPr>
                <w:rFonts w:ascii="Cambria Math" w:hAnsi="Cambria Math"/>
                <w:color w:val="auto"/>
                <w:szCs w:val="21"/>
              </w:rPr>
              <m:t>1</m:t>
            </m:r>
            <m:ctrlPr>
              <w:rPr>
                <w:rFonts w:ascii="Cambria Math" w:hAnsi="Cambria Math"/>
                <w:i/>
                <w:color w:val="auto"/>
                <w:szCs w:val="21"/>
              </w:rPr>
            </m:ctrlPr>
          </m:num>
          <m:den>
            <m:r>
              <m:rPr/>
              <w:rPr>
                <w:rFonts w:hint="eastAsia" w:ascii="Cambria Math" w:hAnsi="Cambria Math"/>
                <w:color w:val="auto"/>
                <w:szCs w:val="21"/>
              </w:rPr>
              <m:t>P</m:t>
            </m:r>
            <m:ctrlPr>
              <w:rPr>
                <w:rFonts w:ascii="Cambria Math" w:hAnsi="Cambria Math"/>
                <w:i/>
                <w:color w:val="auto"/>
                <w:szCs w:val="21"/>
              </w:rPr>
            </m:ctrlPr>
          </m:den>
        </m:f>
      </m:oMath>
      <w:r>
        <w:rPr>
          <w:rFonts w:hint="eastAsia" w:ascii="宋体" w:hAnsi="宋体"/>
          <w:color w:val="auto"/>
          <w:szCs w:val="21"/>
        </w:rPr>
        <w:t xml:space="preserve">×100%            </w:t>
      </w:r>
      <w:r>
        <w:rPr>
          <w:rFonts w:ascii="宋体" w:hAnsi="宋体"/>
          <w:color w:val="auto"/>
          <w:szCs w:val="21"/>
        </w:rPr>
        <w:t>...................(</w:t>
      </w:r>
      <w:r>
        <w:rPr>
          <w:rFonts w:hint="eastAsia" w:ascii="宋体" w:hAnsi="宋体"/>
          <w:color w:val="auto"/>
          <w:szCs w:val="21"/>
        </w:rPr>
        <w:t>3</w:t>
      </w:r>
      <w:r>
        <w:rPr>
          <w:rFonts w:ascii="宋体" w:hAnsi="宋体"/>
          <w:color w:val="auto"/>
          <w:szCs w:val="21"/>
        </w:rPr>
        <w:t>)</w:t>
      </w:r>
    </w:p>
    <w:p>
      <w:pPr>
        <w:numPr>
          <w:ilvl w:val="255"/>
          <w:numId w:val="0"/>
        </w:numPr>
        <w:spacing w:line="360" w:lineRule="auto"/>
        <w:rPr>
          <w:rFonts w:hint="eastAsia" w:ascii="宋体" w:hAnsi="宋体"/>
          <w:color w:val="auto"/>
          <w:szCs w:val="21"/>
        </w:rPr>
      </w:pPr>
      <w:r>
        <w:rPr>
          <w:rFonts w:hint="eastAsia" w:ascii="宋体" w:hAnsi="宋体"/>
          <w:color w:val="auto"/>
          <w:szCs w:val="21"/>
        </w:rPr>
        <w:t>式中：</w:t>
      </w:r>
    </w:p>
    <w:p>
      <w:pPr>
        <w:numPr>
          <w:ilvl w:val="255"/>
          <w:numId w:val="0"/>
        </w:numPr>
        <w:spacing w:line="360" w:lineRule="auto"/>
        <w:rPr>
          <w:rFonts w:hint="eastAsia" w:ascii="宋体" w:hAnsi="宋体"/>
          <w:color w:val="auto"/>
          <w:szCs w:val="21"/>
        </w:rPr>
      </w:pPr>
      <w:r>
        <w:rPr>
          <w:rFonts w:hint="eastAsia" w:ascii="宋体" w:hAnsi="宋体"/>
          <w:color w:val="auto"/>
          <w:szCs w:val="21"/>
        </w:rPr>
        <w:t>B——吹瓶不良损耗率，%</w:t>
      </w:r>
    </w:p>
    <w:p>
      <w:pPr>
        <w:numPr>
          <w:ilvl w:val="255"/>
          <w:numId w:val="0"/>
        </w:numPr>
        <w:spacing w:line="360" w:lineRule="auto"/>
        <w:rPr>
          <w:rFonts w:hint="eastAsia" w:ascii="宋体" w:hAnsi="宋体"/>
          <w:color w:val="auto"/>
          <w:szCs w:val="21"/>
        </w:rPr>
      </w:pPr>
      <w:r>
        <w:rPr>
          <w:rFonts w:hint="eastAsia" w:ascii="宋体" w:hAnsi="宋体"/>
          <w:i/>
          <w:iCs/>
          <w:color w:val="auto"/>
          <w:szCs w:val="21"/>
        </w:rPr>
        <w:t>P1</w:t>
      </w:r>
      <w:r>
        <w:rPr>
          <w:rFonts w:hint="eastAsia" w:ascii="宋体" w:hAnsi="宋体"/>
          <w:color w:val="auto"/>
          <w:szCs w:val="21"/>
        </w:rPr>
        <w:t>——损耗的吹瓶不良数，单位为瓶</w:t>
      </w:r>
    </w:p>
    <w:p>
      <w:pPr>
        <w:numPr>
          <w:ilvl w:val="255"/>
          <w:numId w:val="0"/>
        </w:numPr>
        <w:spacing w:line="360" w:lineRule="auto"/>
        <w:rPr>
          <w:rFonts w:hint="eastAsia" w:ascii="宋体" w:hAnsi="宋体"/>
          <w:color w:val="auto"/>
          <w:szCs w:val="21"/>
        </w:rPr>
      </w:pPr>
      <w:r>
        <w:rPr>
          <w:rFonts w:hint="eastAsia" w:ascii="宋体" w:hAnsi="宋体"/>
          <w:i/>
          <w:iCs/>
          <w:color w:val="auto"/>
          <w:szCs w:val="21"/>
        </w:rPr>
        <w:t>P</w:t>
      </w:r>
      <w:r>
        <w:rPr>
          <w:rFonts w:hint="eastAsia" w:ascii="宋体" w:hAnsi="宋体"/>
          <w:color w:val="auto"/>
          <w:szCs w:val="21"/>
        </w:rPr>
        <w:t>——连续8h内生产合格吹瓶总数，单位为瓶</w:t>
      </w:r>
    </w:p>
    <w:p>
      <w:pPr>
        <w:numPr>
          <w:ilvl w:val="255"/>
          <w:numId w:val="0"/>
        </w:numPr>
        <w:spacing w:line="360" w:lineRule="auto"/>
        <w:rPr>
          <w:rFonts w:hint="eastAsia" w:ascii="宋体" w:hAnsi="宋体"/>
          <w:color w:val="auto"/>
          <w:szCs w:val="21"/>
        </w:rPr>
      </w:pPr>
      <w:r>
        <w:rPr>
          <w:rFonts w:hint="eastAsia" w:ascii="宋体" w:hAnsi="宋体"/>
          <w:color w:val="auto"/>
          <w:szCs w:val="21"/>
        </w:rPr>
        <w:t>3）瓶盖开启力矩试验</w:t>
      </w:r>
    </w:p>
    <w:p>
      <w:pPr>
        <w:numPr>
          <w:ilvl w:val="255"/>
          <w:numId w:val="0"/>
        </w:numPr>
        <w:spacing w:line="360" w:lineRule="auto"/>
        <w:rPr>
          <w:rFonts w:hint="eastAsia" w:ascii="宋体" w:hAnsi="宋体"/>
          <w:color w:val="auto"/>
          <w:szCs w:val="21"/>
        </w:rPr>
      </w:pPr>
      <w:r>
        <w:rPr>
          <w:rFonts w:hint="eastAsia" w:ascii="宋体" w:hAnsi="宋体"/>
          <w:color w:val="auto"/>
          <w:szCs w:val="21"/>
        </w:rPr>
        <w:t xml:space="preserve">   吹灌旋一体机稳定运行时，在额定的速度运转情况下，开机及每4h一次对每个封盖头抽取对应产品进行瓶盖开启力矩试验。</w:t>
      </w:r>
    </w:p>
    <w:p>
      <w:pPr>
        <w:numPr>
          <w:ilvl w:val="255"/>
          <w:numId w:val="0"/>
        </w:numPr>
        <w:spacing w:line="360" w:lineRule="auto"/>
        <w:rPr>
          <w:rFonts w:hint="eastAsia" w:ascii="宋体" w:hAnsi="宋体"/>
          <w:color w:val="auto"/>
          <w:szCs w:val="21"/>
        </w:rPr>
      </w:pPr>
      <w:r>
        <w:rPr>
          <w:rFonts w:hint="eastAsia" w:ascii="宋体" w:hAnsi="宋体"/>
          <w:color w:val="auto"/>
          <w:szCs w:val="21"/>
        </w:rPr>
        <w:t>4）封口气密性试验</w:t>
      </w:r>
    </w:p>
    <w:p>
      <w:pPr>
        <w:numPr>
          <w:ilvl w:val="255"/>
          <w:numId w:val="0"/>
        </w:numPr>
        <w:spacing w:line="360" w:lineRule="auto"/>
        <w:ind w:firstLine="420" w:firstLineChars="200"/>
        <w:rPr>
          <w:rFonts w:hint="eastAsia" w:ascii="宋体" w:hAnsi="宋体"/>
          <w:color w:val="auto"/>
          <w:szCs w:val="21"/>
        </w:rPr>
      </w:pPr>
      <w:r>
        <w:rPr>
          <w:rFonts w:hint="eastAsia" w:ascii="宋体" w:hAnsi="宋体"/>
          <w:color w:val="auto"/>
          <w:szCs w:val="21"/>
        </w:rPr>
        <w:t>吹灌旋一体机稳定运行时，在额定的速度运转情况下，开机及每6h一次对每个封盖头抽取对应产品进行封口气密性试验试验。按本需求书文件相关要求规定方法进行试验。</w:t>
      </w:r>
    </w:p>
    <w:p>
      <w:pPr>
        <w:numPr>
          <w:ilvl w:val="255"/>
          <w:numId w:val="0"/>
        </w:numPr>
        <w:spacing w:line="360" w:lineRule="auto"/>
        <w:rPr>
          <w:rFonts w:hint="eastAsia" w:ascii="宋体" w:hAnsi="宋体"/>
          <w:color w:val="auto"/>
          <w:szCs w:val="21"/>
        </w:rPr>
      </w:pPr>
      <w:r>
        <w:rPr>
          <w:rFonts w:hint="eastAsia" w:ascii="宋体" w:hAnsi="宋体"/>
          <w:color w:val="auto"/>
          <w:szCs w:val="21"/>
        </w:rPr>
        <w:t>5）封盖不良率试验</w:t>
      </w:r>
    </w:p>
    <w:p>
      <w:pPr>
        <w:numPr>
          <w:ilvl w:val="255"/>
          <w:numId w:val="0"/>
        </w:numPr>
        <w:spacing w:line="360" w:lineRule="auto"/>
        <w:rPr>
          <w:rFonts w:hint="eastAsia" w:ascii="宋体" w:hAnsi="宋体"/>
          <w:color w:val="auto"/>
          <w:szCs w:val="21"/>
        </w:rPr>
      </w:pPr>
      <w:r>
        <w:rPr>
          <w:rFonts w:hint="eastAsia" w:ascii="宋体" w:hAnsi="宋体"/>
          <w:color w:val="auto"/>
          <w:szCs w:val="21"/>
        </w:rPr>
        <w:t xml:space="preserve">    吹灌旋一体机稳定运行时，在额定的速度运转情况下，记录连续8h内生产合格产品与液位封盖设备剔除的封盖不良数；按公式（4）计算吹瓶不良损耗率。</w:t>
      </w:r>
    </w:p>
    <w:p>
      <w:pPr>
        <w:numPr>
          <w:ilvl w:val="255"/>
          <w:numId w:val="0"/>
        </w:numPr>
        <w:spacing w:line="360" w:lineRule="auto"/>
        <w:rPr>
          <w:rFonts w:hint="eastAsia" w:ascii="宋体" w:hAnsi="宋体"/>
          <w:color w:val="auto"/>
          <w:szCs w:val="21"/>
        </w:rPr>
      </w:pPr>
      <w:r>
        <w:rPr>
          <w:rFonts w:hint="eastAsia" w:ascii="宋体" w:hAnsi="宋体"/>
          <w:color w:val="auto"/>
          <w:szCs w:val="21"/>
        </w:rPr>
        <w:t xml:space="preserve">                       </w:t>
      </w:r>
      <w:r>
        <w:rPr>
          <w:rFonts w:hint="eastAsia" w:ascii="宋体" w:hAnsi="宋体"/>
          <w:b/>
          <w:bCs/>
          <w:i/>
          <w:iCs/>
          <w:color w:val="auto"/>
          <w:szCs w:val="21"/>
        </w:rPr>
        <w:t>K</w:t>
      </w:r>
      <w:r>
        <w:rPr>
          <w:rFonts w:hint="eastAsia" w:ascii="宋体" w:hAnsi="宋体"/>
          <w:color w:val="auto"/>
          <w:szCs w:val="21"/>
        </w:rPr>
        <w:t>=</w:t>
      </w:r>
      <m:oMath>
        <m:f>
          <m:fPr>
            <m:ctrlPr>
              <w:rPr>
                <w:rFonts w:ascii="Cambria Math" w:hAnsi="Cambria Math"/>
                <w:i/>
                <w:color w:val="auto"/>
                <w:szCs w:val="21"/>
              </w:rPr>
            </m:ctrlPr>
          </m:fPr>
          <m:num>
            <m:r>
              <m:rPr/>
              <w:rPr>
                <w:rFonts w:ascii="Cambria Math" w:hAnsi="Cambria Math"/>
                <w:color w:val="auto"/>
                <w:szCs w:val="21"/>
              </w:rPr>
              <m:t>a1</m:t>
            </m:r>
            <m:ctrlPr>
              <w:rPr>
                <w:rFonts w:ascii="Cambria Math" w:hAnsi="Cambria Math"/>
                <w:i/>
                <w:color w:val="auto"/>
                <w:szCs w:val="21"/>
              </w:rPr>
            </m:ctrlPr>
          </m:num>
          <m:den>
            <m:r>
              <m:rPr/>
              <w:rPr>
                <w:rFonts w:ascii="Cambria Math" w:hAnsi="Cambria Math"/>
                <w:color w:val="auto"/>
                <w:szCs w:val="21"/>
              </w:rPr>
              <m:t>a</m:t>
            </m:r>
            <m:ctrlPr>
              <w:rPr>
                <w:rFonts w:ascii="Cambria Math" w:hAnsi="Cambria Math"/>
                <w:i/>
                <w:color w:val="auto"/>
                <w:szCs w:val="21"/>
              </w:rPr>
            </m:ctrlPr>
          </m:den>
        </m:f>
      </m:oMath>
      <w:r>
        <w:rPr>
          <w:rFonts w:hint="eastAsia" w:ascii="宋体" w:hAnsi="宋体"/>
          <w:color w:val="auto"/>
          <w:szCs w:val="21"/>
        </w:rPr>
        <w:t xml:space="preserve">×100%            </w:t>
      </w:r>
      <w:r>
        <w:rPr>
          <w:rFonts w:ascii="宋体" w:hAnsi="宋体"/>
          <w:color w:val="auto"/>
          <w:szCs w:val="21"/>
        </w:rPr>
        <w:t>...................(</w:t>
      </w:r>
      <w:r>
        <w:rPr>
          <w:rFonts w:hint="eastAsia" w:ascii="宋体" w:hAnsi="宋体"/>
          <w:color w:val="auto"/>
          <w:szCs w:val="21"/>
        </w:rPr>
        <w:t>4</w:t>
      </w:r>
      <w:r>
        <w:rPr>
          <w:rFonts w:ascii="宋体" w:hAnsi="宋体"/>
          <w:color w:val="auto"/>
          <w:szCs w:val="21"/>
        </w:rPr>
        <w:t>)</w:t>
      </w:r>
    </w:p>
    <w:p>
      <w:pPr>
        <w:numPr>
          <w:ilvl w:val="255"/>
          <w:numId w:val="0"/>
        </w:numPr>
        <w:spacing w:line="360" w:lineRule="auto"/>
        <w:rPr>
          <w:rFonts w:hint="eastAsia" w:ascii="宋体" w:hAnsi="宋体"/>
          <w:color w:val="auto"/>
          <w:szCs w:val="21"/>
        </w:rPr>
      </w:pPr>
      <w:r>
        <w:rPr>
          <w:rFonts w:hint="eastAsia" w:ascii="宋体" w:hAnsi="宋体"/>
          <w:color w:val="auto"/>
          <w:szCs w:val="21"/>
        </w:rPr>
        <w:t>式中：</w:t>
      </w:r>
    </w:p>
    <w:p>
      <w:pPr>
        <w:numPr>
          <w:ilvl w:val="255"/>
          <w:numId w:val="0"/>
        </w:numPr>
        <w:spacing w:line="360" w:lineRule="auto"/>
        <w:rPr>
          <w:rFonts w:hint="eastAsia" w:ascii="宋体" w:hAnsi="宋体"/>
          <w:color w:val="auto"/>
          <w:szCs w:val="21"/>
        </w:rPr>
      </w:pPr>
      <w:r>
        <w:rPr>
          <w:rFonts w:hint="eastAsia" w:ascii="宋体" w:hAnsi="宋体"/>
          <w:b/>
          <w:bCs/>
          <w:i/>
          <w:iCs/>
          <w:color w:val="auto"/>
          <w:szCs w:val="21"/>
        </w:rPr>
        <w:t>K</w:t>
      </w:r>
      <w:r>
        <w:rPr>
          <w:rFonts w:hint="eastAsia" w:ascii="宋体" w:hAnsi="宋体"/>
          <w:color w:val="auto"/>
          <w:szCs w:val="21"/>
        </w:rPr>
        <w:t>——封盖不良率，%</w:t>
      </w:r>
    </w:p>
    <w:p>
      <w:pPr>
        <w:numPr>
          <w:ilvl w:val="255"/>
          <w:numId w:val="0"/>
        </w:numPr>
        <w:spacing w:line="360" w:lineRule="auto"/>
        <w:rPr>
          <w:rFonts w:hint="eastAsia" w:ascii="宋体" w:hAnsi="宋体"/>
          <w:color w:val="auto"/>
          <w:szCs w:val="21"/>
        </w:rPr>
      </w:pPr>
      <w:r>
        <w:rPr>
          <w:rFonts w:hint="eastAsia" w:ascii="宋体" w:hAnsi="宋体"/>
          <w:color w:val="auto"/>
          <w:szCs w:val="21"/>
        </w:rPr>
        <w:t>a1——液位封盖设备剔除的封盖不良数，单位为瓶</w:t>
      </w:r>
    </w:p>
    <w:p>
      <w:pPr>
        <w:numPr>
          <w:ilvl w:val="255"/>
          <w:numId w:val="0"/>
        </w:numPr>
        <w:spacing w:line="360" w:lineRule="auto"/>
        <w:rPr>
          <w:rFonts w:hint="eastAsia" w:ascii="宋体" w:hAnsi="宋体"/>
          <w:color w:val="auto"/>
          <w:szCs w:val="21"/>
        </w:rPr>
      </w:pPr>
      <w:r>
        <w:rPr>
          <w:rFonts w:hint="eastAsia" w:ascii="宋体" w:hAnsi="宋体"/>
          <w:color w:val="auto"/>
          <w:szCs w:val="21"/>
        </w:rPr>
        <w:t>a——连续8h内生产合格产品数，单位为瓶</w:t>
      </w:r>
    </w:p>
    <w:p>
      <w:pPr>
        <w:widowControl/>
        <w:numPr>
          <w:ilvl w:val="0"/>
          <w:numId w:val="40"/>
        </w:numPr>
        <w:spacing w:line="360" w:lineRule="auto"/>
        <w:jc w:val="left"/>
        <w:rPr>
          <w:rFonts w:hint="eastAsia" w:ascii="宋体" w:hAnsi="宋体"/>
          <w:b/>
          <w:color w:val="auto"/>
          <w:kern w:val="0"/>
          <w:szCs w:val="21"/>
        </w:rPr>
      </w:pPr>
      <w:bookmarkStart w:id="52" w:name="_Hlk201329353"/>
      <w:r>
        <w:rPr>
          <w:rFonts w:hint="eastAsia" w:ascii="宋体" w:hAnsi="宋体"/>
          <w:b/>
          <w:color w:val="auto"/>
          <w:kern w:val="0"/>
          <w:szCs w:val="21"/>
        </w:rPr>
        <w:t>吹灌旋一体机设备无菌验证</w:t>
      </w:r>
    </w:p>
    <w:bookmarkEnd w:id="52"/>
    <w:p>
      <w:pPr>
        <w:spacing w:line="360" w:lineRule="auto"/>
        <w:ind w:right="767" w:firstLine="210" w:firstLineChars="100"/>
        <w:rPr>
          <w:rFonts w:hint="eastAsia" w:ascii="宋体" w:hAnsi="宋体" w:cs="Tahoma"/>
          <w:color w:val="auto"/>
        </w:rPr>
      </w:pPr>
      <w:r>
        <w:rPr>
          <w:rFonts w:hint="eastAsia" w:ascii="宋体" w:hAnsi="宋体" w:cs="Tahoma"/>
          <w:color w:val="auto"/>
        </w:rPr>
        <w:t>根据设备不同厂家的无菌工艺不同，需多方进一步讨论并最终拟定无菌验证方案以及验收条款并最终呈现在正式合同中，但是要求接种测试不低于以下要求：</w:t>
      </w:r>
    </w:p>
    <w:p>
      <w:pPr>
        <w:widowControl/>
        <w:numPr>
          <w:ilvl w:val="0"/>
          <w:numId w:val="44"/>
        </w:numPr>
        <w:spacing w:line="360" w:lineRule="auto"/>
        <w:jc w:val="left"/>
        <w:rPr>
          <w:rFonts w:hint="eastAsia" w:ascii="宋体" w:hAnsi="宋体"/>
          <w:color w:val="auto"/>
          <w:szCs w:val="21"/>
        </w:rPr>
      </w:pPr>
      <w:r>
        <w:rPr>
          <w:rFonts w:ascii="宋体" w:hAnsi="宋体"/>
          <w:color w:val="auto"/>
          <w:szCs w:val="21"/>
        </w:rPr>
        <w:t>可实现指标菌 log 6 全面杀菌，</w:t>
      </w:r>
      <w:r>
        <w:rPr>
          <w:rFonts w:hint="eastAsia" w:ascii="宋体" w:hAnsi="宋体"/>
          <w:bCs/>
          <w:color w:val="auto"/>
          <w:szCs w:val="21"/>
        </w:rPr>
        <w:t>瓶胚或瓶内部杀菌能力≥log</w:t>
      </w:r>
      <w:r>
        <w:rPr>
          <w:rFonts w:ascii="宋体" w:hAnsi="宋体"/>
          <w:bCs/>
          <w:color w:val="auto"/>
          <w:szCs w:val="21"/>
        </w:rPr>
        <w:t>6</w:t>
      </w:r>
      <w:r>
        <w:rPr>
          <w:rFonts w:hint="eastAsia" w:ascii="宋体" w:hAnsi="宋体"/>
          <w:bCs/>
          <w:color w:val="auto"/>
          <w:szCs w:val="21"/>
        </w:rPr>
        <w:t>、瓶胚或瓶外部杀菌能力≥log</w:t>
      </w:r>
      <w:r>
        <w:rPr>
          <w:rFonts w:ascii="宋体" w:hAnsi="宋体"/>
          <w:bCs/>
          <w:color w:val="auto"/>
          <w:szCs w:val="21"/>
        </w:rPr>
        <w:t>5</w:t>
      </w:r>
      <w:r>
        <w:rPr>
          <w:rFonts w:hint="eastAsia" w:ascii="宋体" w:hAnsi="宋体"/>
          <w:bCs/>
          <w:color w:val="auto"/>
          <w:szCs w:val="21"/>
        </w:rPr>
        <w:t>，</w:t>
      </w:r>
      <w:r>
        <w:rPr>
          <w:rFonts w:ascii="宋体" w:hAnsi="宋体"/>
          <w:color w:val="auto"/>
          <w:szCs w:val="21"/>
        </w:rPr>
        <w:t>（枯草芽孢杆菌（Bacillus ATCC9372））。</w:t>
      </w:r>
    </w:p>
    <w:p>
      <w:pPr>
        <w:widowControl/>
        <w:numPr>
          <w:ilvl w:val="0"/>
          <w:numId w:val="44"/>
        </w:numPr>
        <w:spacing w:line="360" w:lineRule="auto"/>
        <w:jc w:val="left"/>
        <w:rPr>
          <w:rFonts w:hint="eastAsia" w:ascii="宋体" w:hAnsi="宋体"/>
          <w:color w:val="auto"/>
          <w:szCs w:val="21"/>
        </w:rPr>
      </w:pPr>
      <w:r>
        <w:rPr>
          <w:rFonts w:hint="eastAsia" w:ascii="宋体" w:hAnsi="宋体"/>
          <w:bCs/>
          <w:color w:val="auto"/>
          <w:szCs w:val="21"/>
        </w:rPr>
        <w:t>盖内部杀菌能力≥log</w:t>
      </w:r>
      <w:r>
        <w:rPr>
          <w:rFonts w:ascii="宋体" w:hAnsi="宋体"/>
          <w:bCs/>
          <w:color w:val="auto"/>
          <w:szCs w:val="21"/>
        </w:rPr>
        <w:t>6</w:t>
      </w:r>
      <w:r>
        <w:rPr>
          <w:rFonts w:hint="eastAsia" w:ascii="宋体" w:hAnsi="宋体"/>
          <w:bCs/>
          <w:color w:val="auto"/>
          <w:szCs w:val="21"/>
        </w:rPr>
        <w:t>、盖外部杀菌能力≥log</w:t>
      </w:r>
      <w:r>
        <w:rPr>
          <w:rFonts w:ascii="宋体" w:hAnsi="宋体"/>
          <w:bCs/>
          <w:color w:val="auto"/>
          <w:szCs w:val="21"/>
        </w:rPr>
        <w:t>5</w:t>
      </w:r>
      <w:r>
        <w:rPr>
          <w:rFonts w:ascii="宋体" w:hAnsi="宋体"/>
          <w:color w:val="auto"/>
          <w:szCs w:val="21"/>
        </w:rPr>
        <w:t>。</w:t>
      </w:r>
    </w:p>
    <w:p>
      <w:pPr>
        <w:widowControl/>
        <w:numPr>
          <w:ilvl w:val="0"/>
          <w:numId w:val="44"/>
        </w:numPr>
        <w:spacing w:line="360" w:lineRule="auto"/>
        <w:jc w:val="left"/>
        <w:rPr>
          <w:rFonts w:hint="eastAsia" w:ascii="宋体" w:hAnsi="宋体"/>
          <w:color w:val="auto"/>
          <w:szCs w:val="21"/>
        </w:rPr>
      </w:pPr>
      <w:r>
        <w:rPr>
          <w:rFonts w:ascii="宋体" w:hAnsi="宋体"/>
          <w:color w:val="auto"/>
          <w:szCs w:val="21"/>
        </w:rPr>
        <w:t>杀菌后旋盖空瓶双氧水</w:t>
      </w:r>
      <w:r>
        <w:rPr>
          <w:rFonts w:hint="eastAsia" w:ascii="宋体" w:hAnsi="宋体"/>
          <w:color w:val="auto"/>
          <w:szCs w:val="21"/>
        </w:rPr>
        <w:t>或PAA</w:t>
      </w:r>
      <w:r>
        <w:rPr>
          <w:rFonts w:ascii="宋体" w:hAnsi="宋体"/>
          <w:color w:val="auto"/>
          <w:szCs w:val="21"/>
        </w:rPr>
        <w:t>残留量≤0.5ppm,吹灌旋一体机操作台旁空间环境连续取样8h，双氧水</w:t>
      </w:r>
      <w:r>
        <w:rPr>
          <w:rFonts w:hint="eastAsia" w:ascii="宋体" w:hAnsi="宋体"/>
          <w:color w:val="auto"/>
          <w:szCs w:val="21"/>
        </w:rPr>
        <w:t>或PAA</w:t>
      </w:r>
      <w:r>
        <w:rPr>
          <w:rFonts w:ascii="宋体" w:hAnsi="宋体"/>
          <w:color w:val="auto"/>
          <w:szCs w:val="21"/>
        </w:rPr>
        <w:t>残留≤</w:t>
      </w:r>
      <w:r>
        <w:rPr>
          <w:rFonts w:hint="eastAsia" w:ascii="宋体" w:hAnsi="宋体"/>
          <w:color w:val="auto"/>
          <w:szCs w:val="21"/>
        </w:rPr>
        <w:t>1</w:t>
      </w:r>
      <w:r>
        <w:rPr>
          <w:rFonts w:ascii="宋体" w:hAnsi="宋体"/>
          <w:color w:val="auto"/>
          <w:szCs w:val="21"/>
        </w:rPr>
        <w:t>ppm。</w:t>
      </w:r>
    </w:p>
    <w:p>
      <w:pPr>
        <w:widowControl/>
        <w:numPr>
          <w:ilvl w:val="0"/>
          <w:numId w:val="44"/>
        </w:numPr>
        <w:spacing w:line="360" w:lineRule="auto"/>
        <w:jc w:val="left"/>
        <w:rPr>
          <w:rFonts w:hint="eastAsia" w:ascii="宋体" w:hAnsi="宋体"/>
          <w:color w:val="auto"/>
          <w:szCs w:val="21"/>
        </w:rPr>
      </w:pPr>
      <w:r>
        <w:rPr>
          <w:rFonts w:hint="eastAsia" w:ascii="宋体" w:hAnsi="宋体"/>
          <w:color w:val="auto"/>
          <w:szCs w:val="21"/>
        </w:rPr>
        <w:t>烟雾测试、日落黄、</w:t>
      </w:r>
      <w:r>
        <w:rPr>
          <w:rFonts w:ascii="宋体" w:hAnsi="宋体"/>
          <w:color w:val="auto"/>
          <w:szCs w:val="21"/>
        </w:rPr>
        <w:t xml:space="preserve">钢片测试杀菌效率 log </w:t>
      </w:r>
      <w:r>
        <w:rPr>
          <w:rFonts w:hint="eastAsia" w:ascii="宋体" w:hAnsi="宋体"/>
          <w:color w:val="auto"/>
          <w:szCs w:val="21"/>
        </w:rPr>
        <w:t>6</w:t>
      </w:r>
      <w:r>
        <w:rPr>
          <w:rFonts w:ascii="宋体" w:hAnsi="宋体"/>
          <w:color w:val="auto"/>
          <w:szCs w:val="21"/>
        </w:rPr>
        <w:t>枯草芽孢杆菌（Bacillus ATCC9372））。</w:t>
      </w:r>
    </w:p>
    <w:p>
      <w:pPr>
        <w:widowControl/>
        <w:numPr>
          <w:ilvl w:val="0"/>
          <w:numId w:val="44"/>
        </w:numPr>
        <w:spacing w:line="360" w:lineRule="auto"/>
        <w:jc w:val="left"/>
        <w:rPr>
          <w:rFonts w:hint="eastAsia" w:ascii="宋体" w:hAnsi="宋体"/>
          <w:color w:val="auto"/>
          <w:szCs w:val="21"/>
        </w:rPr>
      </w:pPr>
      <w:r>
        <w:rPr>
          <w:rFonts w:ascii="宋体" w:hAnsi="宋体"/>
          <w:color w:val="auto"/>
          <w:szCs w:val="21"/>
        </w:rPr>
        <w:t xml:space="preserve">钢片测试杀菌效率 log </w:t>
      </w:r>
      <w:r>
        <w:rPr>
          <w:rFonts w:hint="eastAsia" w:ascii="宋体" w:hAnsi="宋体"/>
          <w:color w:val="auto"/>
          <w:szCs w:val="21"/>
        </w:rPr>
        <w:t>6</w:t>
      </w:r>
      <w:r>
        <w:rPr>
          <w:rFonts w:ascii="宋体" w:hAnsi="宋体"/>
          <w:color w:val="auto"/>
          <w:szCs w:val="21"/>
        </w:rPr>
        <w:t>枯草芽孢杆菌（Bacillus ATCC9372））。</w:t>
      </w:r>
    </w:p>
    <w:p>
      <w:pPr>
        <w:widowControl/>
        <w:numPr>
          <w:ilvl w:val="0"/>
          <w:numId w:val="44"/>
        </w:numPr>
        <w:spacing w:line="360" w:lineRule="auto"/>
        <w:jc w:val="left"/>
        <w:rPr>
          <w:rFonts w:hint="eastAsia" w:ascii="宋体" w:hAnsi="宋体"/>
          <w:color w:val="auto"/>
          <w:szCs w:val="21"/>
        </w:rPr>
      </w:pPr>
      <w:r>
        <w:rPr>
          <w:rFonts w:ascii="宋体" w:hAnsi="宋体"/>
          <w:color w:val="auto"/>
          <w:szCs w:val="21"/>
        </w:rPr>
        <w:t xml:space="preserve">低酸培养基无菌保持 </w:t>
      </w:r>
      <w:r>
        <w:rPr>
          <w:rFonts w:hint="eastAsia" w:ascii="宋体" w:hAnsi="宋体"/>
          <w:color w:val="auto"/>
          <w:szCs w:val="21"/>
        </w:rPr>
        <w:t>72</w:t>
      </w:r>
      <w:r>
        <w:rPr>
          <w:rFonts w:ascii="宋体" w:hAnsi="宋体"/>
          <w:color w:val="auto"/>
          <w:szCs w:val="21"/>
        </w:rPr>
        <w:t>H; 总灌装数量</w:t>
      </w:r>
      <w:r>
        <w:rPr>
          <w:rFonts w:hint="eastAsia" w:ascii="宋体" w:hAnsi="宋体"/>
          <w:color w:val="auto"/>
          <w:szCs w:val="21"/>
        </w:rPr>
        <w:t>为三批，每次10000瓶，总数</w:t>
      </w:r>
      <w:r>
        <w:rPr>
          <w:rFonts w:ascii="宋体" w:hAnsi="宋体"/>
          <w:color w:val="auto"/>
          <w:szCs w:val="21"/>
        </w:rPr>
        <w:t>不少于 30000 瓶；保温 7 天进行目视全检， 标准为</w:t>
      </w:r>
      <w:r>
        <w:rPr>
          <w:rFonts w:hint="eastAsia" w:ascii="宋体" w:hAnsi="宋体"/>
          <w:color w:val="auto"/>
          <w:szCs w:val="21"/>
        </w:rPr>
        <w:t>每10000瓶不</w:t>
      </w:r>
      <w:r>
        <w:rPr>
          <w:rFonts w:ascii="宋体" w:hAnsi="宋体"/>
          <w:color w:val="auto"/>
          <w:szCs w:val="21"/>
        </w:rPr>
        <w:t>得超过 1 瓶阳性样品</w:t>
      </w:r>
      <w:r>
        <w:rPr>
          <w:rFonts w:hint="eastAsia" w:ascii="宋体" w:hAnsi="宋体"/>
          <w:color w:val="auto"/>
          <w:szCs w:val="21"/>
        </w:rPr>
        <w:t>，并提供无菌验证报告。</w:t>
      </w:r>
    </w:p>
    <w:p>
      <w:pPr>
        <w:widowControl/>
        <w:numPr>
          <w:ilvl w:val="0"/>
          <w:numId w:val="40"/>
        </w:numPr>
        <w:spacing w:line="360" w:lineRule="auto"/>
        <w:jc w:val="left"/>
        <w:rPr>
          <w:rFonts w:hint="eastAsia" w:ascii="宋体" w:hAnsi="宋体"/>
          <w:b/>
          <w:color w:val="auto"/>
          <w:kern w:val="0"/>
          <w:szCs w:val="21"/>
        </w:rPr>
      </w:pPr>
      <w:r>
        <w:rPr>
          <w:rFonts w:hint="eastAsia" w:ascii="宋体" w:hAnsi="宋体"/>
          <w:b/>
          <w:color w:val="auto"/>
          <w:kern w:val="0"/>
          <w:szCs w:val="21"/>
        </w:rPr>
        <w:t>饮料外观标准（验收要求）</w:t>
      </w:r>
    </w:p>
    <w:tbl>
      <w:tblPr>
        <w:tblStyle w:val="18"/>
        <w:tblW w:w="8868" w:type="dxa"/>
        <w:tblInd w:w="-4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7"/>
        <w:gridCol w:w="1843"/>
        <w:gridCol w:w="57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8868" w:type="dxa"/>
            <w:gridSpan w:val="3"/>
            <w:tcBorders>
              <w:bottom w:val="single" w:color="auto" w:sz="4" w:space="0"/>
            </w:tcBorders>
            <w:vAlign w:val="center"/>
          </w:tcPr>
          <w:p>
            <w:pPr>
              <w:widowControl/>
              <w:spacing w:line="360" w:lineRule="auto"/>
              <w:jc w:val="center"/>
              <w:rPr>
                <w:rFonts w:hint="eastAsia" w:ascii="宋体" w:hAnsi="宋体"/>
                <w:b/>
                <w:color w:val="auto"/>
                <w:szCs w:val="21"/>
              </w:rPr>
            </w:pPr>
            <w:r>
              <w:rPr>
                <w:rFonts w:ascii="宋体" w:hAnsi="宋体"/>
                <w:b/>
                <w:color w:val="auto"/>
                <w:szCs w:val="21"/>
              </w:rPr>
              <w:t>饮料 PET 瓶外观评估规定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1277"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宋体" w:hAnsi="宋体"/>
                <w:color w:val="auto"/>
                <w:szCs w:val="21"/>
              </w:rPr>
            </w:pPr>
            <w:r>
              <w:rPr>
                <w:rFonts w:ascii="宋体" w:hAnsi="宋体"/>
                <w:color w:val="auto"/>
                <w:szCs w:val="21"/>
              </w:rPr>
              <w:t>瓶盖</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宋体" w:hAnsi="宋体"/>
                <w:color w:val="auto"/>
                <w:szCs w:val="21"/>
              </w:rPr>
            </w:pPr>
            <w:r>
              <w:rPr>
                <w:rFonts w:ascii="宋体" w:hAnsi="宋体"/>
                <w:color w:val="auto"/>
                <w:szCs w:val="21"/>
              </w:rPr>
              <w:t>旋盖效果</w:t>
            </w:r>
          </w:p>
        </w:tc>
        <w:tc>
          <w:tcPr>
            <w:tcW w:w="5748" w:type="dxa"/>
            <w:tcBorders>
              <w:top w:val="single" w:color="auto" w:sz="4" w:space="0"/>
              <w:left w:val="single" w:color="auto" w:sz="4" w:space="0"/>
              <w:bottom w:val="single" w:color="auto" w:sz="4" w:space="0"/>
              <w:right w:val="single" w:color="auto" w:sz="4" w:space="0"/>
            </w:tcBorders>
          </w:tcPr>
          <w:p>
            <w:pPr>
              <w:widowControl/>
              <w:spacing w:line="360" w:lineRule="auto"/>
              <w:jc w:val="left"/>
              <w:rPr>
                <w:rFonts w:hint="eastAsia" w:ascii="宋体" w:hAnsi="宋体"/>
                <w:color w:val="auto"/>
                <w:szCs w:val="21"/>
              </w:rPr>
            </w:pPr>
            <w:r>
              <w:rPr>
                <w:rFonts w:ascii="宋体" w:hAnsi="宋体"/>
                <w:color w:val="auto"/>
                <w:szCs w:val="21"/>
              </w:rPr>
              <w:t>旋盖到位，无高歪盖，密封无渗漏</w:t>
            </w:r>
            <w:r>
              <w:rPr>
                <w:rFonts w:hint="eastAsia" w:ascii="宋体" w:hAnsi="宋体"/>
                <w:color w:val="auto"/>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27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宋体" w:hAnsi="宋体"/>
                <w:color w:val="auto"/>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宋体" w:hAnsi="宋体"/>
                <w:color w:val="auto"/>
                <w:szCs w:val="21"/>
              </w:rPr>
            </w:pPr>
            <w:r>
              <w:rPr>
                <w:rFonts w:ascii="宋体" w:hAnsi="宋体"/>
                <w:color w:val="auto"/>
                <w:szCs w:val="21"/>
              </w:rPr>
              <w:t>防盗环</w:t>
            </w:r>
          </w:p>
        </w:tc>
        <w:tc>
          <w:tcPr>
            <w:tcW w:w="5748" w:type="dxa"/>
            <w:tcBorders>
              <w:top w:val="single" w:color="auto" w:sz="4" w:space="0"/>
              <w:left w:val="single" w:color="auto" w:sz="4" w:space="0"/>
              <w:bottom w:val="single" w:color="auto" w:sz="4" w:space="0"/>
              <w:right w:val="single" w:color="auto" w:sz="4" w:space="0"/>
            </w:tcBorders>
          </w:tcPr>
          <w:p>
            <w:pPr>
              <w:widowControl/>
              <w:spacing w:line="360" w:lineRule="auto"/>
              <w:jc w:val="left"/>
              <w:rPr>
                <w:rFonts w:hint="eastAsia" w:ascii="宋体" w:hAnsi="宋体"/>
                <w:color w:val="auto"/>
                <w:szCs w:val="21"/>
              </w:rPr>
            </w:pPr>
            <w:r>
              <w:rPr>
                <w:rFonts w:ascii="宋体" w:hAnsi="宋体"/>
                <w:color w:val="auto"/>
                <w:szCs w:val="21"/>
              </w:rPr>
              <w:t>良好无断桥,无卷边,无断环</w:t>
            </w:r>
            <w:r>
              <w:rPr>
                <w:rFonts w:hint="eastAsia" w:ascii="宋体" w:hAnsi="宋体"/>
                <w:color w:val="auto"/>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127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宋体" w:hAnsi="宋体"/>
                <w:color w:val="auto"/>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宋体" w:hAnsi="宋体"/>
                <w:color w:val="auto"/>
                <w:szCs w:val="21"/>
              </w:rPr>
            </w:pPr>
            <w:r>
              <w:rPr>
                <w:rFonts w:ascii="宋体" w:hAnsi="宋体"/>
                <w:color w:val="auto"/>
                <w:szCs w:val="21"/>
              </w:rPr>
              <w:t>外观性</w:t>
            </w:r>
          </w:p>
        </w:tc>
        <w:tc>
          <w:tcPr>
            <w:tcW w:w="5748" w:type="dxa"/>
            <w:tcBorders>
              <w:top w:val="single" w:color="auto" w:sz="4" w:space="0"/>
              <w:left w:val="single" w:color="auto" w:sz="4" w:space="0"/>
              <w:bottom w:val="single" w:color="auto" w:sz="4" w:space="0"/>
              <w:right w:val="single" w:color="auto" w:sz="4" w:space="0"/>
            </w:tcBorders>
          </w:tcPr>
          <w:p>
            <w:pPr>
              <w:widowControl/>
              <w:spacing w:line="360" w:lineRule="auto"/>
              <w:jc w:val="left"/>
              <w:rPr>
                <w:rFonts w:hint="eastAsia" w:ascii="宋体" w:hAnsi="宋体"/>
                <w:color w:val="auto"/>
                <w:szCs w:val="21"/>
              </w:rPr>
            </w:pPr>
            <w:r>
              <w:rPr>
                <w:rFonts w:ascii="宋体" w:hAnsi="宋体"/>
                <w:color w:val="auto"/>
                <w:szCs w:val="21"/>
              </w:rPr>
              <w:t>无积尘、无污渍、盖颜色正常、无损伤</w:t>
            </w:r>
            <w:r>
              <w:rPr>
                <w:rFonts w:hint="eastAsia" w:ascii="宋体" w:hAnsi="宋体"/>
                <w:color w:val="auto"/>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8" w:hRule="atLeast"/>
        </w:trPr>
        <w:tc>
          <w:tcPr>
            <w:tcW w:w="1277"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宋体" w:hAnsi="宋体"/>
                <w:color w:val="auto"/>
                <w:szCs w:val="21"/>
              </w:rPr>
            </w:pPr>
            <w:r>
              <w:rPr>
                <w:rFonts w:ascii="宋体" w:hAnsi="宋体"/>
                <w:color w:val="auto"/>
                <w:szCs w:val="21"/>
              </w:rPr>
              <w:t>瓶颈</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630" w:firstLineChars="300"/>
              <w:rPr>
                <w:rFonts w:hint="eastAsia" w:ascii="宋体" w:hAnsi="宋体"/>
                <w:color w:val="auto"/>
                <w:szCs w:val="21"/>
              </w:rPr>
            </w:pPr>
            <w:r>
              <w:rPr>
                <w:rFonts w:ascii="宋体" w:hAnsi="宋体"/>
                <w:color w:val="auto"/>
                <w:szCs w:val="21"/>
              </w:rPr>
              <w:t>支撑环</w:t>
            </w:r>
          </w:p>
        </w:tc>
        <w:tc>
          <w:tcPr>
            <w:tcW w:w="5748" w:type="dxa"/>
            <w:tcBorders>
              <w:top w:val="single" w:color="auto" w:sz="4" w:space="0"/>
              <w:left w:val="single" w:color="auto" w:sz="4" w:space="0"/>
              <w:bottom w:val="single" w:color="auto" w:sz="4" w:space="0"/>
              <w:right w:val="single" w:color="auto" w:sz="4" w:space="0"/>
            </w:tcBorders>
          </w:tcPr>
          <w:p>
            <w:pPr>
              <w:widowControl/>
              <w:spacing w:line="360" w:lineRule="auto"/>
              <w:jc w:val="left"/>
              <w:rPr>
                <w:rFonts w:hint="eastAsia" w:ascii="宋体" w:hAnsi="宋体"/>
                <w:b/>
                <w:color w:val="auto"/>
                <w:szCs w:val="21"/>
              </w:rPr>
            </w:pPr>
          </w:p>
          <w:p>
            <w:pPr>
              <w:widowControl/>
              <w:spacing w:line="360" w:lineRule="auto"/>
              <w:jc w:val="left"/>
              <w:rPr>
                <w:rFonts w:hint="eastAsia" w:ascii="宋体" w:hAnsi="宋体"/>
                <w:color w:val="auto"/>
                <w:szCs w:val="21"/>
              </w:rPr>
            </w:pPr>
            <w:r>
              <w:rPr>
                <w:rFonts w:ascii="宋体" w:hAnsi="宋体"/>
                <w:color w:val="auto"/>
                <w:szCs w:val="21"/>
              </w:rPr>
              <w:t>无损伤变形、无积料,无刮丝,无尖刺</w:t>
            </w:r>
            <w:r>
              <w:rPr>
                <w:rFonts w:hint="eastAsia" w:ascii="宋体" w:hAnsi="宋体"/>
                <w:color w:val="auto"/>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0" w:hRule="atLeast"/>
        </w:trPr>
        <w:tc>
          <w:tcPr>
            <w:tcW w:w="127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宋体" w:hAnsi="宋体"/>
                <w:color w:val="auto"/>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630" w:firstLineChars="300"/>
              <w:rPr>
                <w:rFonts w:hint="eastAsia" w:ascii="宋体" w:hAnsi="宋体"/>
                <w:color w:val="auto"/>
                <w:szCs w:val="21"/>
              </w:rPr>
            </w:pPr>
            <w:r>
              <w:rPr>
                <w:rFonts w:ascii="宋体" w:hAnsi="宋体"/>
                <w:color w:val="auto"/>
                <w:szCs w:val="21"/>
              </w:rPr>
              <w:t>瓶颈</w:t>
            </w:r>
          </w:p>
        </w:tc>
        <w:tc>
          <w:tcPr>
            <w:tcW w:w="5748" w:type="dxa"/>
            <w:tcBorders>
              <w:top w:val="single" w:color="auto" w:sz="4" w:space="0"/>
              <w:left w:val="single" w:color="auto" w:sz="4" w:space="0"/>
              <w:bottom w:val="single" w:color="auto" w:sz="4" w:space="0"/>
              <w:right w:val="single" w:color="auto" w:sz="4" w:space="0"/>
            </w:tcBorders>
          </w:tcPr>
          <w:p>
            <w:pPr>
              <w:widowControl/>
              <w:spacing w:line="360" w:lineRule="auto"/>
              <w:jc w:val="left"/>
              <w:rPr>
                <w:rFonts w:hint="eastAsia" w:ascii="宋体" w:hAnsi="宋体"/>
                <w:b/>
                <w:color w:val="auto"/>
                <w:szCs w:val="21"/>
              </w:rPr>
            </w:pPr>
          </w:p>
          <w:p>
            <w:pPr>
              <w:widowControl/>
              <w:spacing w:line="360" w:lineRule="auto"/>
              <w:jc w:val="left"/>
              <w:rPr>
                <w:rFonts w:hint="eastAsia" w:ascii="宋体" w:hAnsi="宋体"/>
                <w:color w:val="auto"/>
                <w:szCs w:val="21"/>
              </w:rPr>
            </w:pPr>
            <w:r>
              <w:rPr>
                <w:rFonts w:ascii="宋体" w:hAnsi="宋体"/>
                <w:color w:val="auto"/>
                <w:szCs w:val="21"/>
              </w:rPr>
              <w:t>无刮痕,无损伤,无沙眼，无积料</w:t>
            </w:r>
            <w:r>
              <w:rPr>
                <w:rFonts w:hint="eastAsia" w:ascii="宋体" w:hAnsi="宋体"/>
                <w:color w:val="auto"/>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277"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宋体" w:hAnsi="宋体"/>
                <w:color w:val="auto"/>
                <w:szCs w:val="21"/>
              </w:rPr>
            </w:pPr>
            <w:r>
              <w:rPr>
                <w:rFonts w:ascii="宋体" w:hAnsi="宋体"/>
                <w:color w:val="auto"/>
                <w:szCs w:val="21"/>
              </w:rPr>
              <w:t>瓶身</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210" w:firstLineChars="100"/>
              <w:rPr>
                <w:rFonts w:hint="eastAsia" w:ascii="宋体" w:hAnsi="宋体"/>
                <w:color w:val="auto"/>
                <w:szCs w:val="21"/>
              </w:rPr>
            </w:pPr>
            <w:r>
              <w:rPr>
                <w:rFonts w:ascii="宋体" w:hAnsi="宋体"/>
                <w:color w:val="auto"/>
                <w:szCs w:val="21"/>
              </w:rPr>
              <w:t>液位</w:t>
            </w:r>
            <w:r>
              <w:rPr>
                <w:rFonts w:hint="eastAsia" w:ascii="宋体" w:hAnsi="宋体"/>
                <w:color w:val="auto"/>
                <w:szCs w:val="21"/>
              </w:rPr>
              <w:t xml:space="preserve"> </w:t>
            </w:r>
            <w:r>
              <w:rPr>
                <w:rFonts w:ascii="宋体" w:hAnsi="宋体"/>
                <w:color w:val="auto"/>
                <w:szCs w:val="21"/>
              </w:rPr>
              <w:t>（重量）</w:t>
            </w:r>
          </w:p>
        </w:tc>
        <w:tc>
          <w:tcPr>
            <w:tcW w:w="5748" w:type="dxa"/>
            <w:tcBorders>
              <w:top w:val="single" w:color="auto" w:sz="4" w:space="0"/>
              <w:left w:val="single" w:color="auto" w:sz="4" w:space="0"/>
              <w:bottom w:val="single" w:color="auto" w:sz="4" w:space="0"/>
              <w:right w:val="single" w:color="auto" w:sz="4" w:space="0"/>
            </w:tcBorders>
          </w:tcPr>
          <w:p>
            <w:pPr>
              <w:widowControl/>
              <w:spacing w:line="360" w:lineRule="auto"/>
              <w:jc w:val="left"/>
              <w:rPr>
                <w:rFonts w:hint="eastAsia" w:ascii="宋体" w:hAnsi="宋体"/>
                <w:color w:val="auto"/>
                <w:szCs w:val="21"/>
              </w:rPr>
            </w:pPr>
            <w:r>
              <w:rPr>
                <w:rFonts w:ascii="宋体" w:hAnsi="宋体"/>
                <w:color w:val="auto"/>
                <w:szCs w:val="21"/>
              </w:rPr>
              <w:t>标准液位（瓶口向下 32±2mm）同时满足标称值的要求</w:t>
            </w:r>
            <w:r>
              <w:rPr>
                <w:rFonts w:hint="eastAsia" w:ascii="宋体" w:hAnsi="宋体"/>
                <w:color w:val="auto"/>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1" w:hRule="atLeast"/>
        </w:trPr>
        <w:tc>
          <w:tcPr>
            <w:tcW w:w="127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宋体" w:hAnsi="宋体"/>
                <w:color w:val="auto"/>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630" w:firstLineChars="300"/>
              <w:rPr>
                <w:rFonts w:hint="eastAsia" w:ascii="宋体" w:hAnsi="宋体"/>
                <w:color w:val="auto"/>
                <w:szCs w:val="21"/>
              </w:rPr>
            </w:pPr>
            <w:r>
              <w:rPr>
                <w:rFonts w:ascii="宋体" w:hAnsi="宋体"/>
                <w:color w:val="auto"/>
                <w:szCs w:val="21"/>
              </w:rPr>
              <w:t>成型</w:t>
            </w:r>
          </w:p>
        </w:tc>
        <w:tc>
          <w:tcPr>
            <w:tcW w:w="5748" w:type="dxa"/>
            <w:tcBorders>
              <w:top w:val="single" w:color="auto" w:sz="4" w:space="0"/>
              <w:left w:val="single" w:color="auto" w:sz="4" w:space="0"/>
              <w:bottom w:val="single" w:color="auto" w:sz="4" w:space="0"/>
              <w:right w:val="single" w:color="auto" w:sz="4" w:space="0"/>
            </w:tcBorders>
          </w:tcPr>
          <w:p>
            <w:pPr>
              <w:widowControl/>
              <w:spacing w:line="360" w:lineRule="auto"/>
              <w:jc w:val="left"/>
              <w:rPr>
                <w:rFonts w:hint="eastAsia" w:ascii="宋体" w:hAnsi="宋体"/>
                <w:color w:val="auto"/>
                <w:szCs w:val="21"/>
              </w:rPr>
            </w:pPr>
            <w:r>
              <w:rPr>
                <w:rFonts w:ascii="宋体" w:hAnsi="宋体"/>
                <w:color w:val="auto"/>
                <w:szCs w:val="21"/>
              </w:rPr>
              <w:t>成型饱满、无变形,无压坏；内外干净无异物；无色光滑、透明、无易见的麻点状；无明显的雾状发白、无分体拉丝、无明粘胶拉丝</w:t>
            </w:r>
            <w:r>
              <w:rPr>
                <w:rFonts w:hint="eastAsia" w:ascii="宋体" w:hAnsi="宋体"/>
                <w:color w:val="auto"/>
                <w:szCs w:val="21"/>
              </w:rPr>
              <w:t>。</w:t>
            </w:r>
            <w:r>
              <w:rPr>
                <w:rFonts w:ascii="宋体" w:hAnsi="宋体"/>
                <w:color w:val="auto"/>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127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宋体" w:hAnsi="宋体"/>
                <w:color w:val="auto"/>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宋体" w:hAnsi="宋体"/>
                <w:color w:val="auto"/>
                <w:szCs w:val="21"/>
              </w:rPr>
            </w:pPr>
            <w:r>
              <w:rPr>
                <w:rFonts w:ascii="宋体" w:hAnsi="宋体"/>
                <w:color w:val="auto"/>
                <w:szCs w:val="21"/>
              </w:rPr>
              <w:t>合模线/焊缝线</w:t>
            </w:r>
          </w:p>
        </w:tc>
        <w:tc>
          <w:tcPr>
            <w:tcW w:w="5748" w:type="dxa"/>
            <w:tcBorders>
              <w:top w:val="single" w:color="auto" w:sz="4" w:space="0"/>
              <w:left w:val="single" w:color="auto" w:sz="4" w:space="0"/>
              <w:bottom w:val="single" w:color="auto" w:sz="4" w:space="0"/>
              <w:right w:val="single" w:color="auto" w:sz="4" w:space="0"/>
            </w:tcBorders>
          </w:tcPr>
          <w:p>
            <w:pPr>
              <w:widowControl/>
              <w:spacing w:line="360" w:lineRule="auto"/>
              <w:jc w:val="left"/>
              <w:rPr>
                <w:rFonts w:hint="eastAsia" w:ascii="宋体" w:hAnsi="宋体"/>
                <w:color w:val="auto"/>
                <w:szCs w:val="21"/>
              </w:rPr>
            </w:pPr>
            <w:r>
              <w:rPr>
                <w:rFonts w:ascii="宋体" w:hAnsi="宋体"/>
                <w:color w:val="auto"/>
                <w:szCs w:val="21"/>
              </w:rPr>
              <w:t>纵向合模线不明显凸起,手感光滑,无冷斑</w:t>
            </w:r>
            <w:r>
              <w:rPr>
                <w:rFonts w:hint="eastAsia" w:ascii="宋体" w:hAnsi="宋体"/>
                <w:color w:val="auto"/>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127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宋体" w:hAnsi="宋体"/>
                <w:color w:val="auto"/>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420" w:firstLineChars="200"/>
              <w:rPr>
                <w:rFonts w:hint="eastAsia" w:ascii="宋体" w:hAnsi="宋体"/>
                <w:color w:val="auto"/>
                <w:szCs w:val="21"/>
              </w:rPr>
            </w:pPr>
            <w:r>
              <w:rPr>
                <w:rFonts w:ascii="宋体" w:hAnsi="宋体"/>
                <w:color w:val="auto"/>
                <w:szCs w:val="21"/>
              </w:rPr>
              <w:t>损伤磨擦</w:t>
            </w:r>
          </w:p>
        </w:tc>
        <w:tc>
          <w:tcPr>
            <w:tcW w:w="5748" w:type="dxa"/>
            <w:tcBorders>
              <w:top w:val="single" w:color="auto" w:sz="4" w:space="0"/>
              <w:left w:val="single" w:color="auto" w:sz="4" w:space="0"/>
              <w:bottom w:val="single" w:color="auto" w:sz="4" w:space="0"/>
              <w:right w:val="single" w:color="auto" w:sz="4" w:space="0"/>
            </w:tcBorders>
          </w:tcPr>
          <w:p>
            <w:pPr>
              <w:widowControl/>
              <w:spacing w:line="360" w:lineRule="auto"/>
              <w:jc w:val="left"/>
              <w:rPr>
                <w:rFonts w:hint="eastAsia" w:ascii="宋体" w:hAnsi="宋体"/>
                <w:color w:val="auto"/>
                <w:szCs w:val="21"/>
              </w:rPr>
            </w:pPr>
            <w:r>
              <w:rPr>
                <w:rFonts w:ascii="宋体" w:hAnsi="宋体"/>
                <w:color w:val="auto"/>
                <w:szCs w:val="21"/>
              </w:rPr>
              <w:t>瓶身光洁，无磨损擦花，无变形</w:t>
            </w:r>
            <w:r>
              <w:rPr>
                <w:rFonts w:hint="eastAsia" w:ascii="宋体" w:hAnsi="宋体"/>
                <w:color w:val="auto"/>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127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宋体" w:hAnsi="宋体"/>
                <w:color w:val="auto"/>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宋体" w:hAnsi="宋体"/>
                <w:color w:val="auto"/>
                <w:szCs w:val="21"/>
              </w:rPr>
            </w:pPr>
            <w:r>
              <w:rPr>
                <w:rFonts w:ascii="宋体" w:hAnsi="宋体"/>
                <w:color w:val="auto"/>
                <w:szCs w:val="21"/>
              </w:rPr>
              <w:t>光洁度与透明度</w:t>
            </w:r>
          </w:p>
        </w:tc>
        <w:tc>
          <w:tcPr>
            <w:tcW w:w="5748" w:type="dxa"/>
            <w:tcBorders>
              <w:top w:val="single" w:color="auto" w:sz="4" w:space="0"/>
              <w:left w:val="single" w:color="auto" w:sz="4" w:space="0"/>
              <w:bottom w:val="single" w:color="auto" w:sz="4" w:space="0"/>
              <w:right w:val="single" w:color="auto" w:sz="4" w:space="0"/>
            </w:tcBorders>
          </w:tcPr>
          <w:p>
            <w:pPr>
              <w:widowControl/>
              <w:spacing w:line="360" w:lineRule="auto"/>
              <w:jc w:val="left"/>
              <w:rPr>
                <w:rFonts w:hint="eastAsia" w:ascii="宋体" w:hAnsi="宋体"/>
                <w:color w:val="auto"/>
                <w:szCs w:val="21"/>
              </w:rPr>
            </w:pPr>
            <w:r>
              <w:rPr>
                <w:rFonts w:ascii="宋体" w:hAnsi="宋体"/>
                <w:color w:val="auto"/>
                <w:szCs w:val="21"/>
              </w:rPr>
              <w:t>表面光洁透明、无黑点、无晶斑、无麻点、无灰尘、无污渍、无白化</w:t>
            </w:r>
            <w:r>
              <w:rPr>
                <w:rFonts w:hint="eastAsia" w:ascii="宋体" w:hAnsi="宋体"/>
                <w:color w:val="auto"/>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7" w:hRule="atLeast"/>
        </w:trPr>
        <w:tc>
          <w:tcPr>
            <w:tcW w:w="1277"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宋体" w:hAnsi="宋体"/>
                <w:color w:val="auto"/>
                <w:szCs w:val="21"/>
              </w:rPr>
            </w:pPr>
            <w:r>
              <w:rPr>
                <w:rFonts w:ascii="宋体" w:hAnsi="宋体"/>
                <w:color w:val="auto"/>
                <w:szCs w:val="21"/>
              </w:rPr>
              <w:t>瓶底</w:t>
            </w:r>
          </w:p>
        </w:tc>
        <w:tc>
          <w:tcPr>
            <w:tcW w:w="184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420" w:firstLineChars="200"/>
              <w:rPr>
                <w:rFonts w:hint="eastAsia" w:ascii="宋体" w:hAnsi="宋体"/>
                <w:color w:val="auto"/>
                <w:szCs w:val="21"/>
              </w:rPr>
            </w:pPr>
            <w:r>
              <w:rPr>
                <w:rFonts w:ascii="宋体" w:hAnsi="宋体"/>
                <w:color w:val="auto"/>
                <w:szCs w:val="21"/>
              </w:rPr>
              <w:t>瓶底成型</w:t>
            </w:r>
          </w:p>
        </w:tc>
        <w:tc>
          <w:tcPr>
            <w:tcW w:w="5748" w:type="dxa"/>
            <w:tcBorders>
              <w:top w:val="single" w:color="auto" w:sz="4" w:space="0"/>
              <w:left w:val="single" w:color="auto" w:sz="4" w:space="0"/>
              <w:bottom w:val="single" w:color="auto" w:sz="4" w:space="0"/>
              <w:right w:val="single" w:color="auto" w:sz="4" w:space="0"/>
            </w:tcBorders>
          </w:tcPr>
          <w:p>
            <w:pPr>
              <w:widowControl/>
              <w:spacing w:line="360" w:lineRule="auto"/>
              <w:jc w:val="left"/>
              <w:rPr>
                <w:rFonts w:hint="eastAsia" w:ascii="宋体" w:hAnsi="宋体"/>
                <w:color w:val="auto"/>
                <w:szCs w:val="21"/>
              </w:rPr>
            </w:pPr>
            <w:r>
              <w:rPr>
                <w:rFonts w:ascii="宋体" w:hAnsi="宋体"/>
                <w:color w:val="auto"/>
                <w:szCs w:val="21"/>
              </w:rPr>
              <w:t>成型：成型饱满、站立平稳、无穿孔、无凸底、无积料、底部边缘无凸起、无偏心、盖印效果图为内外两个同心圆、尺寸符合要求</w:t>
            </w:r>
            <w:r>
              <w:rPr>
                <w:rFonts w:hint="eastAsia" w:ascii="宋体" w:hAnsi="宋体"/>
                <w:color w:val="auto"/>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trPr>
        <w:tc>
          <w:tcPr>
            <w:tcW w:w="1277" w:type="dxa"/>
            <w:vMerge w:val="continue"/>
            <w:tcBorders>
              <w:top w:val="single" w:color="auto" w:sz="4" w:space="0"/>
              <w:left w:val="single" w:color="auto" w:sz="4" w:space="0"/>
              <w:bottom w:val="single" w:color="auto" w:sz="4" w:space="0"/>
              <w:right w:val="single" w:color="auto" w:sz="4" w:space="0"/>
            </w:tcBorders>
          </w:tcPr>
          <w:p>
            <w:pPr>
              <w:widowControl/>
              <w:spacing w:line="360" w:lineRule="auto"/>
              <w:jc w:val="left"/>
              <w:rPr>
                <w:rFonts w:hint="eastAsia" w:ascii="宋体" w:hAnsi="宋体"/>
                <w:color w:val="auto"/>
                <w:szCs w:val="21"/>
              </w:rPr>
            </w:pPr>
          </w:p>
        </w:tc>
        <w:tc>
          <w:tcPr>
            <w:tcW w:w="184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宋体" w:hAnsi="宋体"/>
                <w:color w:val="auto"/>
                <w:szCs w:val="21"/>
              </w:rPr>
            </w:pPr>
          </w:p>
        </w:tc>
        <w:tc>
          <w:tcPr>
            <w:tcW w:w="5748" w:type="dxa"/>
            <w:tcBorders>
              <w:top w:val="single" w:color="auto" w:sz="4" w:space="0"/>
              <w:left w:val="single" w:color="auto" w:sz="4" w:space="0"/>
              <w:bottom w:val="single" w:color="auto" w:sz="4" w:space="0"/>
              <w:right w:val="single" w:color="auto" w:sz="4" w:space="0"/>
            </w:tcBorders>
          </w:tcPr>
          <w:p>
            <w:pPr>
              <w:widowControl/>
              <w:spacing w:line="360" w:lineRule="auto"/>
              <w:jc w:val="left"/>
              <w:rPr>
                <w:rFonts w:hint="eastAsia" w:ascii="宋体" w:hAnsi="宋体"/>
                <w:color w:val="auto"/>
                <w:szCs w:val="21"/>
              </w:rPr>
            </w:pPr>
            <w:r>
              <w:rPr>
                <w:rFonts w:ascii="宋体" w:hAnsi="宋体"/>
                <w:color w:val="auto"/>
                <w:szCs w:val="21"/>
              </w:rPr>
              <w:t>外观：无明显可见黄斑、白圈，瓶底文字、模号等标识清晰圆润</w:t>
            </w:r>
            <w:r>
              <w:rPr>
                <w:rFonts w:hint="eastAsia" w:ascii="宋体" w:hAnsi="宋体"/>
                <w:color w:val="auto"/>
                <w:szCs w:val="21"/>
              </w:rPr>
              <w:t>。</w:t>
            </w:r>
          </w:p>
        </w:tc>
      </w:tr>
    </w:tbl>
    <w:p>
      <w:pPr>
        <w:widowControl/>
        <w:spacing w:line="360" w:lineRule="auto"/>
        <w:jc w:val="left"/>
        <w:rPr>
          <w:rFonts w:hint="eastAsia" w:ascii="宋体" w:hAnsi="宋体"/>
          <w:color w:val="auto"/>
          <w:szCs w:val="21"/>
        </w:rPr>
      </w:pPr>
    </w:p>
    <w:bookmarkEnd w:id="48"/>
    <w:p>
      <w:pPr>
        <w:pStyle w:val="36"/>
        <w:numPr>
          <w:ilvl w:val="0"/>
          <w:numId w:val="1"/>
        </w:numPr>
        <w:spacing w:line="360" w:lineRule="auto"/>
        <w:contextualSpacing w:val="0"/>
        <w:rPr>
          <w:rFonts w:hint="eastAsia" w:ascii="宋体" w:hAnsi="宋体" w:cs="宋体"/>
          <w:b/>
          <w:bCs/>
          <w:color w:val="auto"/>
          <w:szCs w:val="21"/>
        </w:rPr>
      </w:pPr>
      <w:r>
        <w:rPr>
          <w:rFonts w:hint="eastAsia" w:ascii="宋体" w:hAnsi="宋体" w:cs="宋体"/>
          <w:b/>
          <w:bCs/>
          <w:color w:val="auto"/>
          <w:szCs w:val="21"/>
        </w:rPr>
        <w:t>设备供货及安装调试周期：</w:t>
      </w:r>
    </w:p>
    <w:p>
      <w:pPr>
        <w:pStyle w:val="36"/>
        <w:numPr>
          <w:ilvl w:val="0"/>
          <w:numId w:val="45"/>
        </w:numPr>
        <w:spacing w:line="360" w:lineRule="auto"/>
        <w:contextualSpacing w:val="0"/>
        <w:rPr>
          <w:rFonts w:hint="eastAsia" w:ascii="宋体" w:hAnsi="宋体"/>
          <w:bCs/>
          <w:color w:val="auto"/>
          <w:kern w:val="0"/>
          <w:szCs w:val="21"/>
        </w:rPr>
      </w:pPr>
      <w:bookmarkStart w:id="53" w:name="_Hlk104814309"/>
      <w:bookmarkStart w:id="54" w:name="_Hlk96525553"/>
      <w:bookmarkStart w:id="55" w:name="_Hlk96525580"/>
      <w:r>
        <w:rPr>
          <w:rFonts w:hint="eastAsia" w:ascii="宋体" w:hAnsi="宋体"/>
          <w:bCs/>
          <w:color w:val="auto"/>
          <w:kern w:val="0"/>
          <w:szCs w:val="21"/>
        </w:rPr>
        <w:t>设备供货期（十万级洁净功能区除外）：</w:t>
      </w:r>
      <w:bookmarkStart w:id="56" w:name="_Hlk100664757"/>
      <w:r>
        <w:rPr>
          <w:rFonts w:hint="eastAsia" w:ascii="宋体" w:hAnsi="宋体"/>
          <w:bCs/>
          <w:color w:val="auto"/>
          <w:kern w:val="0"/>
          <w:szCs w:val="21"/>
        </w:rPr>
        <w:t>自合同签订</w:t>
      </w:r>
      <w:r>
        <w:rPr>
          <w:rFonts w:hint="eastAsia" w:ascii="宋体" w:hAnsi="宋体"/>
          <w:bCs/>
          <w:color w:val="auto"/>
          <w:kern w:val="0"/>
          <w:szCs w:val="21"/>
        </w:rPr>
        <w:t>之日</w:t>
      </w:r>
      <w:r>
        <w:rPr>
          <w:rFonts w:hint="eastAsia" w:ascii="宋体" w:hAnsi="宋体"/>
          <w:bCs/>
          <w:color w:val="auto"/>
          <w:kern w:val="0"/>
          <w:szCs w:val="21"/>
        </w:rPr>
        <w:t>开始起计12个月内</w:t>
      </w:r>
      <w:r>
        <w:rPr>
          <w:rFonts w:ascii="宋体" w:hAnsi="宋体"/>
          <w:bCs/>
          <w:color w:val="auto"/>
          <w:kern w:val="0"/>
          <w:szCs w:val="21"/>
        </w:rPr>
        <w:t>货运到招标方要求地点</w:t>
      </w:r>
      <w:r>
        <w:rPr>
          <w:rFonts w:hint="eastAsia" w:ascii="宋体" w:hAnsi="宋体"/>
          <w:bCs/>
          <w:color w:val="auto"/>
          <w:kern w:val="0"/>
          <w:szCs w:val="21"/>
        </w:rPr>
        <w:t>，具体以招标方通知为准。</w:t>
      </w:r>
      <w:bookmarkEnd w:id="56"/>
    </w:p>
    <w:p>
      <w:pPr>
        <w:pStyle w:val="36"/>
        <w:numPr>
          <w:ilvl w:val="0"/>
          <w:numId w:val="45"/>
        </w:numPr>
        <w:spacing w:line="360" w:lineRule="auto"/>
        <w:contextualSpacing w:val="0"/>
        <w:rPr>
          <w:rFonts w:hint="eastAsia" w:ascii="宋体" w:hAnsi="宋体"/>
          <w:bCs/>
          <w:color w:val="auto"/>
          <w:kern w:val="0"/>
          <w:szCs w:val="21"/>
        </w:rPr>
      </w:pPr>
      <w:r>
        <w:rPr>
          <w:rFonts w:hint="eastAsia" w:ascii="宋体" w:hAnsi="宋体"/>
          <w:bCs/>
          <w:color w:val="auto"/>
          <w:kern w:val="0"/>
          <w:szCs w:val="21"/>
        </w:rPr>
        <w:t>设备供货期（十万级洁净功能区）：自合同签订</w:t>
      </w:r>
      <w:r>
        <w:rPr>
          <w:rFonts w:hint="eastAsia" w:ascii="宋体" w:hAnsi="宋体"/>
          <w:bCs/>
          <w:color w:val="auto"/>
          <w:kern w:val="0"/>
          <w:szCs w:val="21"/>
        </w:rPr>
        <w:t>之日</w:t>
      </w:r>
      <w:r>
        <w:rPr>
          <w:rFonts w:hint="eastAsia" w:ascii="宋体" w:hAnsi="宋体"/>
          <w:bCs/>
          <w:color w:val="auto"/>
          <w:kern w:val="0"/>
          <w:szCs w:val="21"/>
        </w:rPr>
        <w:t>开始起计</w:t>
      </w:r>
      <w:r>
        <w:rPr>
          <w:rFonts w:hint="eastAsia" w:ascii="宋体" w:hAnsi="宋体"/>
          <w:bCs/>
          <w:color w:val="auto"/>
          <w:kern w:val="0"/>
          <w:szCs w:val="21"/>
        </w:rPr>
        <w:t>6</w:t>
      </w:r>
      <w:r>
        <w:rPr>
          <w:rFonts w:hint="eastAsia" w:ascii="宋体" w:hAnsi="宋体"/>
          <w:bCs/>
          <w:color w:val="auto"/>
          <w:kern w:val="0"/>
          <w:szCs w:val="21"/>
        </w:rPr>
        <w:t>个月内</w:t>
      </w:r>
      <w:r>
        <w:rPr>
          <w:rFonts w:hint="eastAsia" w:ascii="宋体" w:hAnsi="宋体"/>
          <w:bCs/>
          <w:color w:val="auto"/>
          <w:kern w:val="0"/>
          <w:szCs w:val="21"/>
        </w:rPr>
        <w:t>完成设计及</w:t>
      </w:r>
      <w:r>
        <w:rPr>
          <w:rFonts w:hint="eastAsia" w:ascii="宋体" w:hAnsi="宋体"/>
          <w:bCs/>
          <w:color w:val="auto"/>
          <w:kern w:val="0"/>
          <w:szCs w:val="21"/>
        </w:rPr>
        <w:t>施工安装，具体以买方通知为准。</w:t>
      </w:r>
    </w:p>
    <w:p>
      <w:pPr>
        <w:widowControl/>
        <w:numPr>
          <w:ilvl w:val="0"/>
          <w:numId w:val="45"/>
        </w:numPr>
        <w:spacing w:line="360" w:lineRule="auto"/>
        <w:jc w:val="left"/>
        <w:rPr>
          <w:rFonts w:hint="eastAsia" w:ascii="宋体" w:hAnsi="宋体"/>
          <w:bCs/>
          <w:color w:val="auto"/>
          <w:kern w:val="0"/>
          <w:szCs w:val="21"/>
        </w:rPr>
      </w:pPr>
      <w:r>
        <w:rPr>
          <w:rFonts w:hint="eastAsia" w:ascii="宋体" w:hAnsi="宋体"/>
          <w:bCs/>
          <w:color w:val="auto"/>
          <w:kern w:val="0"/>
          <w:szCs w:val="21"/>
        </w:rPr>
        <w:t>设备安装与调试期：自生产设备到货之日起75个日历天内，完成设备安装与调试工作。</w:t>
      </w:r>
    </w:p>
    <w:p>
      <w:pPr>
        <w:widowControl/>
        <w:numPr>
          <w:ilvl w:val="0"/>
          <w:numId w:val="45"/>
        </w:numPr>
        <w:spacing w:line="360" w:lineRule="auto"/>
        <w:jc w:val="left"/>
        <w:rPr>
          <w:rFonts w:hint="eastAsia" w:ascii="宋体" w:hAnsi="宋体"/>
          <w:bCs/>
          <w:color w:val="auto"/>
          <w:kern w:val="0"/>
          <w:szCs w:val="21"/>
        </w:rPr>
      </w:pPr>
      <w:r>
        <w:rPr>
          <w:rFonts w:hint="eastAsia" w:ascii="宋体" w:hAnsi="宋体"/>
          <w:bCs/>
          <w:color w:val="auto"/>
          <w:kern w:val="0"/>
          <w:szCs w:val="21"/>
        </w:rPr>
        <w:t>无菌验证时间：自安装调试完成之日起120个日历天内完成无菌验证；验证通过后，启动设备试产。</w:t>
      </w:r>
    </w:p>
    <w:p>
      <w:pPr>
        <w:widowControl/>
        <w:numPr>
          <w:ilvl w:val="0"/>
          <w:numId w:val="45"/>
        </w:numPr>
        <w:spacing w:line="360" w:lineRule="auto"/>
        <w:jc w:val="left"/>
        <w:rPr>
          <w:rFonts w:hint="eastAsia" w:ascii="宋体" w:hAnsi="宋体"/>
          <w:bCs/>
          <w:color w:val="auto"/>
          <w:kern w:val="0"/>
          <w:szCs w:val="21"/>
        </w:rPr>
      </w:pPr>
      <w:bookmarkStart w:id="57" w:name="OLE_LINK22"/>
      <w:r>
        <w:rPr>
          <w:rFonts w:hint="eastAsia" w:ascii="宋体" w:hAnsi="宋体"/>
          <w:bCs/>
          <w:color w:val="auto"/>
          <w:kern w:val="0"/>
          <w:szCs w:val="21"/>
        </w:rPr>
        <w:t>设备验收期：无菌验证完成后，在60个日历天内达到设备生产效率验证后，由投标方书面申请开展验收。</w:t>
      </w:r>
      <w:bookmarkEnd w:id="53"/>
      <w:bookmarkEnd w:id="54"/>
      <w:r>
        <w:rPr>
          <w:rFonts w:hint="eastAsia" w:ascii="宋体" w:hAnsi="宋体"/>
          <w:bCs/>
          <w:color w:val="auto"/>
          <w:kern w:val="0"/>
          <w:szCs w:val="21"/>
        </w:rPr>
        <w:t xml:space="preserve"> </w:t>
      </w:r>
    </w:p>
    <w:bookmarkEnd w:id="55"/>
    <w:bookmarkEnd w:id="57"/>
    <w:p>
      <w:pPr>
        <w:pStyle w:val="36"/>
        <w:numPr>
          <w:ilvl w:val="0"/>
          <w:numId w:val="1"/>
        </w:numPr>
        <w:spacing w:line="360" w:lineRule="auto"/>
        <w:contextualSpacing w:val="0"/>
        <w:rPr>
          <w:rFonts w:hint="eastAsia" w:ascii="宋体" w:hAnsi="宋体" w:cs="宋体"/>
          <w:b/>
          <w:bCs/>
          <w:color w:val="auto"/>
          <w:szCs w:val="21"/>
        </w:rPr>
      </w:pPr>
      <w:r>
        <w:rPr>
          <w:rFonts w:hint="eastAsia" w:ascii="宋体" w:hAnsi="宋体" w:cs="宋体"/>
          <w:b/>
          <w:bCs/>
          <w:color w:val="auto"/>
          <w:szCs w:val="21"/>
        </w:rPr>
        <w:t>交货地点：</w:t>
      </w:r>
    </w:p>
    <w:p>
      <w:pPr>
        <w:pStyle w:val="36"/>
        <w:widowControl/>
        <w:spacing w:line="360" w:lineRule="auto"/>
        <w:ind w:left="420"/>
        <w:jc w:val="left"/>
        <w:rPr>
          <w:rFonts w:hint="eastAsia" w:ascii="宋体" w:hAnsi="宋体"/>
          <w:b/>
          <w:bCs/>
          <w:color w:val="auto"/>
          <w:szCs w:val="21"/>
        </w:rPr>
      </w:pPr>
      <w:r>
        <w:rPr>
          <w:rFonts w:hint="eastAsia" w:ascii="宋体" w:hAnsi="宋体"/>
          <w:color w:val="auto"/>
          <w:szCs w:val="21"/>
        </w:rPr>
        <w:t>广州市南沙区横沥镇群新路9号。</w:t>
      </w:r>
    </w:p>
    <w:p>
      <w:pPr>
        <w:pStyle w:val="36"/>
        <w:numPr>
          <w:ilvl w:val="0"/>
          <w:numId w:val="1"/>
        </w:numPr>
        <w:spacing w:line="360" w:lineRule="auto"/>
        <w:contextualSpacing w:val="0"/>
        <w:rPr>
          <w:rFonts w:hint="eastAsia" w:ascii="宋体" w:hAnsi="宋体"/>
          <w:b/>
          <w:bCs/>
          <w:color w:val="auto"/>
          <w:szCs w:val="21"/>
        </w:rPr>
      </w:pPr>
      <w:r>
        <w:rPr>
          <w:rFonts w:hint="eastAsia" w:ascii="宋体" w:hAnsi="宋体" w:cs="宋体"/>
          <w:b/>
          <w:bCs/>
          <w:color w:val="auto"/>
          <w:szCs w:val="21"/>
        </w:rPr>
        <w:t>质保期</w:t>
      </w:r>
      <w:r>
        <w:rPr>
          <w:rFonts w:hint="eastAsia" w:ascii="宋体" w:hAnsi="宋体" w:cs="宋体"/>
          <w:color w:val="auto"/>
          <w:szCs w:val="21"/>
        </w:rPr>
        <w:t>：</w:t>
      </w:r>
      <w:r>
        <w:rPr>
          <w:rFonts w:ascii="宋体" w:hAnsi="宋体"/>
          <w:color w:val="auto"/>
          <w:szCs w:val="21"/>
        </w:rPr>
        <w:t xml:space="preserve"> </w:t>
      </w:r>
      <w:r>
        <w:rPr>
          <w:rFonts w:hint="eastAsia" w:ascii="宋体" w:hAnsi="宋体"/>
          <w:b/>
          <w:bCs/>
          <w:color w:val="auto"/>
          <w:szCs w:val="21"/>
        </w:rPr>
        <w:t>由设备最终验收合格之日起计算。</w:t>
      </w:r>
    </w:p>
    <w:p>
      <w:pPr>
        <w:numPr>
          <w:ilvl w:val="0"/>
          <w:numId w:val="46"/>
        </w:numPr>
        <w:spacing w:line="360" w:lineRule="auto"/>
        <w:jc w:val="left"/>
        <w:rPr>
          <w:rFonts w:hint="eastAsia" w:ascii="宋体" w:hAnsi="宋体"/>
          <w:color w:val="auto"/>
          <w:szCs w:val="21"/>
        </w:rPr>
      </w:pPr>
      <w:bookmarkStart w:id="58" w:name="_Hlk208738584"/>
      <w:r>
        <w:rPr>
          <w:rFonts w:hint="eastAsia" w:ascii="宋体" w:hAnsi="宋体"/>
          <w:color w:val="auto"/>
          <w:szCs w:val="21"/>
        </w:rPr>
        <w:t>设备整机的质量保证期为1年（12个月）。以最终验收完成日期(双方签署验收报告)开始计算,或按照投标方根据合同交付货物的日期起计算18个月(由于投标方原因导致未能及时验收合格的日期，不受此18个月期限限制，此种情况下的迟延时间应予以顺延)以先到为准</w:t>
      </w:r>
      <w:bookmarkEnd w:id="58"/>
      <w:r>
        <w:rPr>
          <w:rFonts w:hint="eastAsia" w:ascii="宋体" w:hAnsi="宋体"/>
          <w:color w:val="auto"/>
          <w:szCs w:val="21"/>
        </w:rPr>
        <w:t>。在保修期内投标方提供的设备出现三次系统异常问题或以上的相同质量缺陷时，质保期从该缺陷被消除之时起算。</w:t>
      </w:r>
    </w:p>
    <w:p>
      <w:pPr>
        <w:numPr>
          <w:ilvl w:val="0"/>
          <w:numId w:val="46"/>
        </w:numPr>
        <w:spacing w:line="360" w:lineRule="auto"/>
        <w:jc w:val="left"/>
        <w:rPr>
          <w:rFonts w:hint="eastAsia" w:ascii="宋体" w:hAnsi="宋体"/>
          <w:color w:val="auto"/>
          <w:szCs w:val="21"/>
        </w:rPr>
      </w:pPr>
      <w:r>
        <w:rPr>
          <w:rFonts w:hint="eastAsia" w:ascii="宋体" w:hAnsi="宋体"/>
          <w:color w:val="auto"/>
          <w:szCs w:val="21"/>
        </w:rPr>
        <w:t>如果设备于质保期内在正常运行条件下出现与合同技术规格书要求的技术条款质量不符的缺陷或故障，投标方负责免费更换、维修和重新调试。</w:t>
      </w:r>
    </w:p>
    <w:p>
      <w:pPr>
        <w:numPr>
          <w:ilvl w:val="0"/>
          <w:numId w:val="46"/>
        </w:numPr>
        <w:spacing w:line="360" w:lineRule="auto"/>
        <w:jc w:val="left"/>
        <w:rPr>
          <w:rFonts w:hint="eastAsia" w:ascii="宋体" w:hAnsi="宋体"/>
          <w:color w:val="auto"/>
          <w:szCs w:val="21"/>
        </w:rPr>
      </w:pPr>
      <w:r>
        <w:rPr>
          <w:rFonts w:hint="eastAsia" w:ascii="宋体" w:hAnsi="宋体"/>
          <w:color w:val="auto"/>
          <w:szCs w:val="21"/>
        </w:rPr>
        <w:t>质量保证期内设备缺陷、故障的排除、修复等售后服务，投标方在接到招标方的通知后24h内，将维修计划告知招标方，招标方有需要时在48h内到达客户现场解决问题，如因有个别特殊备件无法及时到达现场，经招标方同意可延长维修时间。提供7天×24h的热线电话服务；8h×5天的远程登录热线支持；投标方未按照要求及时且有效的响应招标方的质保需求，招标方有权每次扣除1%的质保金。如果投标方未能及时处理，招标方可自行维修处理，维修所用的费用从质保金扣除。</w:t>
      </w:r>
    </w:p>
    <w:p>
      <w:pPr>
        <w:numPr>
          <w:ilvl w:val="0"/>
          <w:numId w:val="46"/>
        </w:numPr>
        <w:spacing w:line="360" w:lineRule="auto"/>
        <w:jc w:val="left"/>
        <w:rPr>
          <w:rFonts w:hint="eastAsia" w:ascii="宋体" w:hAnsi="宋体"/>
          <w:color w:val="auto"/>
          <w:szCs w:val="21"/>
        </w:rPr>
      </w:pPr>
      <w:r>
        <w:rPr>
          <w:rFonts w:hint="eastAsia" w:ascii="宋体" w:hAnsi="宋体"/>
          <w:color w:val="auto"/>
          <w:szCs w:val="21"/>
        </w:rPr>
        <w:t>投标方对设备缺陷、故障的排除、修复等售后服务，在接到招标方通知后</w:t>
      </w:r>
      <w:r>
        <w:rPr>
          <w:rFonts w:ascii="宋体" w:hAnsi="宋体"/>
          <w:color w:val="auto"/>
          <w:szCs w:val="21"/>
        </w:rPr>
        <w:t>3</w:t>
      </w:r>
      <w:r>
        <w:rPr>
          <w:rFonts w:hint="eastAsia" w:ascii="宋体" w:hAnsi="宋体"/>
          <w:color w:val="auto"/>
          <w:szCs w:val="21"/>
        </w:rPr>
        <w:t>个自然天内完成维修及调试工作，并使之达到合同文件的有关要求。</w:t>
      </w:r>
    </w:p>
    <w:p>
      <w:pPr>
        <w:numPr>
          <w:ilvl w:val="0"/>
          <w:numId w:val="46"/>
        </w:numPr>
        <w:spacing w:line="360" w:lineRule="auto"/>
        <w:jc w:val="left"/>
        <w:rPr>
          <w:rFonts w:hint="eastAsia" w:ascii="宋体" w:hAnsi="宋体"/>
          <w:color w:val="auto"/>
          <w:szCs w:val="21"/>
        </w:rPr>
      </w:pPr>
      <w:r>
        <w:rPr>
          <w:rFonts w:hint="eastAsia" w:ascii="宋体" w:hAnsi="宋体"/>
          <w:color w:val="auto"/>
        </w:rPr>
        <w:t>在质保期内免费提供货物正常使用情况下发生故障的维修服务（包含损坏零配件更换、差旅费等）。</w:t>
      </w:r>
    </w:p>
    <w:p>
      <w:pPr>
        <w:numPr>
          <w:ilvl w:val="0"/>
          <w:numId w:val="46"/>
        </w:numPr>
        <w:spacing w:line="360" w:lineRule="auto"/>
        <w:jc w:val="left"/>
        <w:rPr>
          <w:rFonts w:hint="eastAsia" w:ascii="宋体" w:hAnsi="宋体"/>
          <w:color w:val="auto"/>
          <w:szCs w:val="21"/>
        </w:rPr>
      </w:pPr>
      <w:r>
        <w:rPr>
          <w:rFonts w:hint="eastAsia" w:ascii="宋体" w:hAnsi="宋体"/>
          <w:color w:val="auto"/>
          <w:szCs w:val="21"/>
        </w:rPr>
        <w:t>系统保质期内运行期间，免费</w:t>
      </w:r>
      <w:r>
        <w:rPr>
          <w:rFonts w:ascii="宋体" w:hAnsi="宋体"/>
          <w:color w:val="auto"/>
          <w:szCs w:val="21"/>
        </w:rPr>
        <w:t>派人到现场解决招标方无法处理的</w:t>
      </w:r>
      <w:r>
        <w:rPr>
          <w:rFonts w:hint="eastAsia" w:ascii="宋体" w:hAnsi="宋体"/>
          <w:color w:val="auto"/>
          <w:szCs w:val="21"/>
        </w:rPr>
        <w:t>问题。</w:t>
      </w:r>
    </w:p>
    <w:p>
      <w:pPr>
        <w:numPr>
          <w:ilvl w:val="0"/>
          <w:numId w:val="46"/>
        </w:numPr>
        <w:spacing w:line="360" w:lineRule="auto"/>
        <w:rPr>
          <w:rFonts w:hint="eastAsia" w:ascii="宋体" w:hAnsi="宋体"/>
          <w:color w:val="auto"/>
          <w:szCs w:val="21"/>
        </w:rPr>
      </w:pPr>
      <w:r>
        <w:rPr>
          <w:rFonts w:hint="eastAsia" w:ascii="宋体" w:hAnsi="宋体"/>
          <w:color w:val="auto"/>
          <w:szCs w:val="21"/>
        </w:rPr>
        <w:t>明确硬件、软件的保修范围及保修年限，保修期限内发生故障后的响应时间承诺。</w:t>
      </w:r>
    </w:p>
    <w:p>
      <w:pPr>
        <w:numPr>
          <w:ilvl w:val="0"/>
          <w:numId w:val="46"/>
        </w:numPr>
        <w:spacing w:line="360" w:lineRule="auto"/>
        <w:rPr>
          <w:rFonts w:hint="eastAsia" w:ascii="宋体" w:hAnsi="宋体"/>
          <w:color w:val="auto"/>
          <w:szCs w:val="21"/>
        </w:rPr>
      </w:pPr>
      <w:r>
        <w:rPr>
          <w:rFonts w:hint="eastAsia" w:ascii="宋体" w:hAnsi="宋体"/>
          <w:color w:val="auto"/>
          <w:szCs w:val="21"/>
        </w:rPr>
        <w:t>在质保期内，投标方免费为用户提供新件，更换所有的故障部件。投标方为系统提供预防性的维护服务。</w:t>
      </w:r>
    </w:p>
    <w:p>
      <w:pPr>
        <w:numPr>
          <w:ilvl w:val="0"/>
          <w:numId w:val="46"/>
        </w:numPr>
        <w:spacing w:line="360" w:lineRule="auto"/>
        <w:rPr>
          <w:rFonts w:hint="eastAsia" w:ascii="宋体" w:hAnsi="宋体"/>
          <w:color w:val="auto"/>
          <w:szCs w:val="21"/>
        </w:rPr>
      </w:pPr>
      <w:r>
        <w:rPr>
          <w:rFonts w:hint="eastAsia" w:ascii="宋体" w:hAnsi="宋体"/>
          <w:color w:val="auto"/>
          <w:szCs w:val="21"/>
        </w:rPr>
        <w:t>投标方提供的管理监控软件2年或以上免费升级，并保证更新软件不存在硬件增加。</w:t>
      </w:r>
    </w:p>
    <w:p>
      <w:pPr>
        <w:pStyle w:val="36"/>
        <w:numPr>
          <w:ilvl w:val="0"/>
          <w:numId w:val="46"/>
        </w:numPr>
        <w:spacing w:line="360" w:lineRule="auto"/>
        <w:contextualSpacing w:val="0"/>
        <w:rPr>
          <w:rFonts w:hint="eastAsia" w:ascii="宋体" w:hAnsi="宋体"/>
          <w:color w:val="auto"/>
          <w:szCs w:val="21"/>
        </w:rPr>
      </w:pPr>
      <w:bookmarkStart w:id="59" w:name="_Hlk96525244"/>
      <w:r>
        <w:rPr>
          <w:rFonts w:hint="eastAsia" w:ascii="宋体" w:hAnsi="宋体"/>
          <w:color w:val="auto"/>
          <w:szCs w:val="21"/>
        </w:rPr>
        <w:t>项目完工移交后，所有</w:t>
      </w:r>
      <w:r>
        <w:rPr>
          <w:rFonts w:ascii="宋体" w:hAnsi="宋体"/>
          <w:color w:val="auto"/>
          <w:szCs w:val="21"/>
        </w:rPr>
        <w:t>PLC、触摸屏程序一起移交给招标方，PLC和触摸屏程序均不可加密</w:t>
      </w:r>
      <w:bookmarkEnd w:id="59"/>
      <w:r>
        <w:rPr>
          <w:rFonts w:ascii="宋体" w:hAnsi="宋体"/>
          <w:color w:val="auto"/>
          <w:szCs w:val="21"/>
        </w:rPr>
        <w:t>。</w:t>
      </w:r>
    </w:p>
    <w:p>
      <w:pPr>
        <w:pStyle w:val="36"/>
        <w:numPr>
          <w:ilvl w:val="0"/>
          <w:numId w:val="1"/>
        </w:numPr>
        <w:spacing w:line="360" w:lineRule="auto"/>
        <w:contextualSpacing w:val="0"/>
        <w:rPr>
          <w:rFonts w:hint="eastAsia" w:ascii="宋体" w:hAnsi="宋体" w:cs="宋体"/>
          <w:b/>
          <w:bCs/>
          <w:color w:val="auto"/>
          <w:szCs w:val="21"/>
        </w:rPr>
      </w:pPr>
      <w:bookmarkStart w:id="60" w:name="_Hlk201062811"/>
      <w:r>
        <w:rPr>
          <w:rFonts w:hint="eastAsia" w:ascii="宋体" w:hAnsi="宋体" w:cs="宋体"/>
          <w:b/>
          <w:bCs/>
          <w:color w:val="auto"/>
          <w:szCs w:val="21"/>
        </w:rPr>
        <w:t>技术培训</w:t>
      </w:r>
    </w:p>
    <w:bookmarkEnd w:id="60"/>
    <w:p>
      <w:pPr>
        <w:numPr>
          <w:ilvl w:val="0"/>
          <w:numId w:val="47"/>
        </w:numPr>
        <w:spacing w:line="360" w:lineRule="auto"/>
        <w:rPr>
          <w:rFonts w:hint="eastAsia" w:ascii="宋体" w:hAnsi="宋体"/>
          <w:b/>
          <w:color w:val="auto"/>
          <w:szCs w:val="21"/>
        </w:rPr>
      </w:pPr>
      <w:r>
        <w:rPr>
          <w:rFonts w:hint="eastAsia" w:ascii="宋体" w:hAnsi="宋体"/>
          <w:b/>
          <w:color w:val="auto"/>
          <w:szCs w:val="21"/>
        </w:rPr>
        <w:t>培训要求</w:t>
      </w:r>
    </w:p>
    <w:p>
      <w:pPr>
        <w:numPr>
          <w:ilvl w:val="0"/>
          <w:numId w:val="48"/>
        </w:numPr>
        <w:spacing w:line="360" w:lineRule="auto"/>
        <w:jc w:val="left"/>
        <w:rPr>
          <w:rFonts w:hint="eastAsia" w:ascii="宋体" w:hAnsi="宋体"/>
          <w:color w:val="auto"/>
          <w:szCs w:val="21"/>
        </w:rPr>
      </w:pPr>
      <w:r>
        <w:rPr>
          <w:rFonts w:hint="eastAsia" w:ascii="宋体" w:hAnsi="宋体"/>
          <w:color w:val="auto"/>
          <w:szCs w:val="21"/>
        </w:rPr>
        <w:t>投标方向招标方提供</w:t>
      </w:r>
      <w:bookmarkStart w:id="61" w:name="OLE_LINK21"/>
      <w:r>
        <w:rPr>
          <w:rFonts w:hint="eastAsia" w:ascii="宋体" w:hAnsi="宋体"/>
          <w:color w:val="auto"/>
          <w:szCs w:val="21"/>
        </w:rPr>
        <w:t>不低于</w:t>
      </w:r>
      <w:bookmarkEnd w:id="61"/>
      <w:r>
        <w:rPr>
          <w:rFonts w:hint="eastAsia" w:ascii="宋体" w:hAnsi="宋体"/>
          <w:color w:val="auto"/>
          <w:szCs w:val="21"/>
        </w:rPr>
        <w:t>两周</w:t>
      </w:r>
      <w:r>
        <w:rPr>
          <w:rFonts w:ascii="宋体" w:hAnsi="宋体"/>
          <w:color w:val="auto"/>
          <w:szCs w:val="21"/>
        </w:rPr>
        <w:t>以上现场</w:t>
      </w:r>
      <w:r>
        <w:rPr>
          <w:rFonts w:hint="eastAsia" w:ascii="宋体" w:hAnsi="宋体"/>
          <w:color w:val="auto"/>
          <w:szCs w:val="21"/>
        </w:rPr>
        <w:t>的培训，提供详细的培训计划表；</w:t>
      </w:r>
    </w:p>
    <w:p>
      <w:pPr>
        <w:numPr>
          <w:ilvl w:val="0"/>
          <w:numId w:val="48"/>
        </w:numPr>
        <w:spacing w:line="360" w:lineRule="auto"/>
        <w:jc w:val="left"/>
        <w:rPr>
          <w:rFonts w:hint="eastAsia" w:ascii="宋体" w:hAnsi="宋体"/>
          <w:color w:val="auto"/>
          <w:szCs w:val="21"/>
        </w:rPr>
      </w:pPr>
      <w:r>
        <w:rPr>
          <w:rFonts w:hint="eastAsia" w:ascii="宋体" w:hAnsi="宋体"/>
          <w:color w:val="auto"/>
          <w:szCs w:val="21"/>
        </w:rPr>
        <w:t>投标方向招标方提供为期不少于7天、参训人数不少于6人的培训服务，培训地点为投标方的制造工厂或培训中心。此项培训安排在设备组装完成并进行初步调试阶段，面向招标方工程师开展。本项目报价需包含此项培训服务（注：若投标方制造工厂及培训中心均位于国外，则不涉及此项培训与报价）。</w:t>
      </w:r>
    </w:p>
    <w:p>
      <w:pPr>
        <w:numPr>
          <w:ilvl w:val="0"/>
          <w:numId w:val="48"/>
        </w:numPr>
        <w:spacing w:line="360" w:lineRule="auto"/>
        <w:jc w:val="left"/>
        <w:rPr>
          <w:rFonts w:hint="eastAsia" w:ascii="宋体" w:hAnsi="宋体"/>
          <w:color w:val="auto"/>
          <w:szCs w:val="21"/>
        </w:rPr>
      </w:pPr>
      <w:r>
        <w:rPr>
          <w:rFonts w:hint="eastAsia" w:ascii="宋体" w:hAnsi="宋体"/>
          <w:color w:val="auto"/>
          <w:szCs w:val="21"/>
        </w:rPr>
        <w:t>培训资料投标方应于培训开始前</w:t>
      </w:r>
      <w:r>
        <w:rPr>
          <w:rFonts w:ascii="宋体" w:hAnsi="宋体"/>
          <w:color w:val="auto"/>
          <w:szCs w:val="21"/>
        </w:rPr>
        <w:t>3</w:t>
      </w:r>
      <w:r>
        <w:rPr>
          <w:rFonts w:hint="eastAsia" w:ascii="宋体" w:hAnsi="宋体"/>
          <w:color w:val="auto"/>
          <w:szCs w:val="21"/>
        </w:rPr>
        <w:t>天提交招标方；</w:t>
      </w:r>
    </w:p>
    <w:p>
      <w:pPr>
        <w:numPr>
          <w:ilvl w:val="0"/>
          <w:numId w:val="47"/>
        </w:numPr>
        <w:spacing w:line="360" w:lineRule="auto"/>
        <w:rPr>
          <w:rFonts w:hint="eastAsia" w:ascii="宋体" w:hAnsi="宋体"/>
          <w:b/>
          <w:color w:val="auto"/>
          <w:szCs w:val="21"/>
        </w:rPr>
      </w:pPr>
      <w:r>
        <w:rPr>
          <w:rFonts w:hint="eastAsia" w:ascii="宋体" w:hAnsi="宋体"/>
          <w:b/>
          <w:color w:val="auto"/>
          <w:szCs w:val="21"/>
        </w:rPr>
        <w:t>培训对象和目标</w:t>
      </w:r>
    </w:p>
    <w:p>
      <w:pPr>
        <w:numPr>
          <w:ilvl w:val="0"/>
          <w:numId w:val="49"/>
        </w:numPr>
        <w:spacing w:line="360" w:lineRule="auto"/>
        <w:jc w:val="left"/>
        <w:rPr>
          <w:rFonts w:hint="eastAsia" w:ascii="宋体" w:hAnsi="宋体"/>
          <w:color w:val="auto"/>
          <w:szCs w:val="21"/>
        </w:rPr>
      </w:pPr>
      <w:r>
        <w:rPr>
          <w:rFonts w:hint="eastAsia" w:ascii="宋体" w:hAnsi="宋体"/>
          <w:color w:val="auto"/>
          <w:szCs w:val="21"/>
        </w:rPr>
        <w:t>提供给招标方的培训课程包括设备操作细节和设备操作的内容，包括相关安全步骤。</w:t>
      </w:r>
    </w:p>
    <w:p>
      <w:pPr>
        <w:numPr>
          <w:ilvl w:val="0"/>
          <w:numId w:val="49"/>
        </w:numPr>
        <w:spacing w:line="360" w:lineRule="auto"/>
        <w:jc w:val="left"/>
        <w:rPr>
          <w:rFonts w:hint="eastAsia" w:ascii="宋体" w:hAnsi="宋体"/>
          <w:color w:val="auto"/>
          <w:szCs w:val="21"/>
        </w:rPr>
      </w:pPr>
      <w:r>
        <w:rPr>
          <w:rFonts w:hint="eastAsia" w:ascii="宋体" w:hAnsi="宋体"/>
          <w:color w:val="auto"/>
          <w:szCs w:val="21"/>
        </w:rPr>
        <w:t>培训课程包括设备操作、报警日志分析、故障排解和附件相关手册。</w:t>
      </w:r>
    </w:p>
    <w:p>
      <w:pPr>
        <w:numPr>
          <w:ilvl w:val="0"/>
          <w:numId w:val="49"/>
        </w:numPr>
        <w:spacing w:line="360" w:lineRule="auto"/>
        <w:jc w:val="left"/>
        <w:rPr>
          <w:rFonts w:hint="eastAsia" w:ascii="宋体" w:hAnsi="宋体"/>
          <w:color w:val="auto"/>
          <w:szCs w:val="21"/>
        </w:rPr>
      </w:pPr>
      <w:r>
        <w:rPr>
          <w:rFonts w:hint="eastAsia" w:ascii="宋体" w:hAnsi="宋体"/>
          <w:color w:val="auto"/>
          <w:szCs w:val="21"/>
        </w:rPr>
        <w:t>对于维护人员而言，培训课程旨在实践中帮助技术人员获取应对紧急状况的经验，诊断并调整设备、排除故障、修理更换部件、管理备件、进行日常的维护。</w:t>
      </w:r>
    </w:p>
    <w:p>
      <w:pPr>
        <w:numPr>
          <w:ilvl w:val="0"/>
          <w:numId w:val="49"/>
        </w:numPr>
        <w:spacing w:line="360" w:lineRule="auto"/>
        <w:jc w:val="left"/>
        <w:rPr>
          <w:rFonts w:hint="eastAsia" w:ascii="宋体" w:hAnsi="宋体"/>
          <w:color w:val="auto"/>
          <w:szCs w:val="21"/>
        </w:rPr>
      </w:pPr>
      <w:r>
        <w:rPr>
          <w:rFonts w:hint="eastAsia" w:ascii="宋体" w:hAnsi="宋体"/>
          <w:color w:val="auto"/>
          <w:szCs w:val="21"/>
        </w:rPr>
        <w:t>对于操作人员而言，培训课程旨在实践中帮助操作员熟知设备及系统的使用，基本诊断和基本的调整操作。</w:t>
      </w:r>
    </w:p>
    <w:p>
      <w:pPr>
        <w:numPr>
          <w:ilvl w:val="0"/>
          <w:numId w:val="47"/>
        </w:numPr>
        <w:spacing w:line="360" w:lineRule="auto"/>
        <w:jc w:val="left"/>
        <w:rPr>
          <w:rFonts w:hint="eastAsia" w:ascii="宋体" w:hAnsi="宋体"/>
          <w:b/>
          <w:color w:val="auto"/>
          <w:szCs w:val="21"/>
        </w:rPr>
      </w:pPr>
      <w:bookmarkStart w:id="62" w:name="_Hlk201908894"/>
      <w:r>
        <w:rPr>
          <w:rFonts w:hint="eastAsia" w:ascii="宋体" w:hAnsi="宋体"/>
          <w:b/>
          <w:color w:val="auto"/>
          <w:szCs w:val="21"/>
        </w:rPr>
        <w:t>培训结构</w:t>
      </w:r>
    </w:p>
    <w:bookmarkEnd w:id="62"/>
    <w:p>
      <w:pPr>
        <w:spacing w:line="360" w:lineRule="auto"/>
        <w:ind w:firstLine="420" w:firstLineChars="200"/>
        <w:jc w:val="left"/>
        <w:rPr>
          <w:rFonts w:hint="eastAsia" w:ascii="宋体" w:hAnsi="宋体"/>
          <w:color w:val="auto"/>
          <w:szCs w:val="21"/>
        </w:rPr>
      </w:pPr>
      <w:r>
        <w:rPr>
          <w:rFonts w:hint="eastAsia" w:ascii="宋体" w:hAnsi="宋体"/>
          <w:color w:val="auto"/>
          <w:szCs w:val="21"/>
        </w:rPr>
        <w:t>投标方提供的培训应包括对以下招标方人员的培训：</w:t>
      </w:r>
    </w:p>
    <w:p>
      <w:pPr>
        <w:pStyle w:val="36"/>
        <w:numPr>
          <w:ilvl w:val="0"/>
          <w:numId w:val="50"/>
        </w:numPr>
        <w:spacing w:line="360" w:lineRule="auto"/>
        <w:contextualSpacing w:val="0"/>
        <w:jc w:val="left"/>
        <w:rPr>
          <w:rFonts w:hint="eastAsia" w:ascii="宋体" w:hAnsi="宋体"/>
          <w:color w:val="auto"/>
          <w:szCs w:val="21"/>
        </w:rPr>
      </w:pPr>
      <w:r>
        <w:rPr>
          <w:rFonts w:hint="eastAsia" w:ascii="宋体" w:hAnsi="宋体"/>
          <w:color w:val="auto"/>
          <w:szCs w:val="21"/>
        </w:rPr>
        <w:t>操作员的培训：目标使让操作人员熟知不同区域的应用。</w:t>
      </w:r>
    </w:p>
    <w:p>
      <w:pPr>
        <w:pStyle w:val="36"/>
        <w:numPr>
          <w:ilvl w:val="0"/>
          <w:numId w:val="50"/>
        </w:numPr>
        <w:spacing w:line="360" w:lineRule="auto"/>
        <w:contextualSpacing w:val="0"/>
        <w:jc w:val="left"/>
        <w:rPr>
          <w:rFonts w:hint="eastAsia" w:ascii="宋体" w:hAnsi="宋体"/>
          <w:color w:val="auto"/>
          <w:szCs w:val="21"/>
        </w:rPr>
      </w:pPr>
      <w:r>
        <w:rPr>
          <w:rFonts w:hint="eastAsia" w:ascii="宋体" w:hAnsi="宋体"/>
          <w:color w:val="auto"/>
          <w:szCs w:val="21"/>
        </w:rPr>
        <w:t>管理人员的培训：目标使让管理人员对所供系统和生产有更深入的认识。</w:t>
      </w:r>
    </w:p>
    <w:p>
      <w:pPr>
        <w:pStyle w:val="36"/>
        <w:numPr>
          <w:ilvl w:val="0"/>
          <w:numId w:val="50"/>
        </w:numPr>
        <w:spacing w:line="360" w:lineRule="auto"/>
        <w:contextualSpacing w:val="0"/>
        <w:jc w:val="left"/>
        <w:rPr>
          <w:rFonts w:hint="eastAsia" w:ascii="宋体" w:hAnsi="宋体"/>
          <w:color w:val="auto"/>
          <w:szCs w:val="21"/>
        </w:rPr>
      </w:pPr>
      <w:r>
        <w:rPr>
          <w:rFonts w:hint="eastAsia" w:ascii="宋体" w:hAnsi="宋体"/>
          <w:color w:val="auto"/>
          <w:szCs w:val="21"/>
        </w:rPr>
        <w:t>维护人员的培训：目标是使维护人员对所供系统有深入的了解并熟知日常和紧急维护处理步骤。</w:t>
      </w:r>
    </w:p>
    <w:p>
      <w:pPr>
        <w:pStyle w:val="36"/>
        <w:numPr>
          <w:ilvl w:val="0"/>
          <w:numId w:val="50"/>
        </w:numPr>
        <w:spacing w:line="360" w:lineRule="auto"/>
        <w:contextualSpacing w:val="0"/>
        <w:jc w:val="left"/>
        <w:rPr>
          <w:rFonts w:hint="eastAsia" w:ascii="宋体" w:hAnsi="宋体"/>
          <w:color w:val="auto"/>
          <w:szCs w:val="21"/>
        </w:rPr>
      </w:pPr>
      <w:r>
        <w:rPr>
          <w:rFonts w:hint="eastAsia" w:ascii="宋体" w:hAnsi="宋体"/>
          <w:color w:val="auto"/>
          <w:szCs w:val="21"/>
        </w:rPr>
        <w:t>进阶培训：主要针对精选人员(如工程师、IT)，额外培训系统高层部分以便处理非常状况。</w:t>
      </w:r>
    </w:p>
    <w:p>
      <w:pPr>
        <w:pStyle w:val="36"/>
        <w:numPr>
          <w:ilvl w:val="0"/>
          <w:numId w:val="50"/>
        </w:numPr>
        <w:spacing w:line="360" w:lineRule="auto"/>
        <w:contextualSpacing w:val="0"/>
        <w:jc w:val="left"/>
        <w:rPr>
          <w:rFonts w:hint="eastAsia" w:ascii="宋体" w:hAnsi="宋体"/>
          <w:color w:val="auto"/>
          <w:szCs w:val="21"/>
        </w:rPr>
      </w:pPr>
      <w:r>
        <w:rPr>
          <w:rFonts w:hint="eastAsia" w:ascii="宋体" w:hAnsi="宋体"/>
          <w:color w:val="auto"/>
          <w:szCs w:val="21"/>
        </w:rPr>
        <w:t>培训内容计划：投标方提供每个不同板块的受培训人员的培训步骤；每个部分包括培训时长，进行培训的地点和计划的安排。</w:t>
      </w:r>
    </w:p>
    <w:p>
      <w:pPr>
        <w:pStyle w:val="36"/>
        <w:numPr>
          <w:ilvl w:val="0"/>
          <w:numId w:val="50"/>
        </w:numPr>
        <w:spacing w:line="360" w:lineRule="auto"/>
        <w:contextualSpacing w:val="0"/>
        <w:jc w:val="left"/>
        <w:rPr>
          <w:rFonts w:hint="eastAsia" w:ascii="宋体" w:hAnsi="宋体"/>
          <w:color w:val="auto"/>
          <w:szCs w:val="21"/>
        </w:rPr>
      </w:pPr>
      <w:r>
        <w:rPr>
          <w:rFonts w:hint="eastAsia" w:ascii="宋体" w:hAnsi="宋体"/>
          <w:color w:val="auto"/>
          <w:szCs w:val="21"/>
        </w:rPr>
        <w:t>培训工具和文件：培训前投标方应提供完整的培训工具与文件。</w:t>
      </w:r>
    </w:p>
    <w:p>
      <w:pPr>
        <w:numPr>
          <w:ilvl w:val="0"/>
          <w:numId w:val="47"/>
        </w:numPr>
        <w:spacing w:line="360" w:lineRule="auto"/>
        <w:jc w:val="left"/>
        <w:rPr>
          <w:rFonts w:hint="eastAsia" w:ascii="宋体" w:hAnsi="宋体"/>
          <w:b/>
          <w:color w:val="auto"/>
          <w:szCs w:val="21"/>
        </w:rPr>
      </w:pPr>
      <w:r>
        <w:rPr>
          <w:rFonts w:hint="eastAsia" w:ascii="宋体" w:hAnsi="宋体"/>
          <w:b/>
          <w:color w:val="auto"/>
          <w:szCs w:val="21"/>
        </w:rPr>
        <w:t>陪产服务</w:t>
      </w:r>
    </w:p>
    <w:p>
      <w:pPr>
        <w:pStyle w:val="36"/>
        <w:numPr>
          <w:ilvl w:val="0"/>
          <w:numId w:val="51"/>
        </w:numPr>
        <w:spacing w:line="360" w:lineRule="auto"/>
        <w:jc w:val="left"/>
        <w:rPr>
          <w:rFonts w:hint="eastAsia" w:ascii="宋体" w:hAnsi="宋体"/>
          <w:color w:val="auto"/>
        </w:rPr>
      </w:pPr>
      <w:bookmarkStart w:id="63" w:name="OLE_LINK20"/>
      <w:r>
        <w:rPr>
          <w:rFonts w:hint="eastAsia" w:ascii="宋体" w:hAnsi="宋体"/>
          <w:color w:val="auto"/>
        </w:rPr>
        <w:t>陪产服务以生产线累计生产满4个月或通过生产效率验证、具备连续生产条件之日起计算8个月（</w:t>
      </w:r>
      <w:r>
        <w:rPr>
          <w:rFonts w:hint="eastAsia" w:ascii="宋体" w:hAnsi="宋体"/>
          <w:color w:val="auto"/>
          <w:szCs w:val="21"/>
        </w:rPr>
        <w:t>以先到为准）</w:t>
      </w:r>
      <w:r>
        <w:rPr>
          <w:rFonts w:hint="eastAsia" w:ascii="宋体" w:hAnsi="宋体"/>
          <w:color w:val="auto"/>
        </w:rPr>
        <w:t>为标准；陪产期间，生产过程中每个月陪产人员往返工厂次数不超过2次，最多累积往返不超过8次。</w:t>
      </w:r>
    </w:p>
    <w:p>
      <w:pPr>
        <w:pStyle w:val="36"/>
        <w:numPr>
          <w:ilvl w:val="0"/>
          <w:numId w:val="51"/>
        </w:numPr>
        <w:spacing w:line="360" w:lineRule="auto"/>
        <w:jc w:val="left"/>
        <w:rPr>
          <w:rFonts w:hint="eastAsia" w:ascii="宋体" w:hAnsi="宋体"/>
          <w:color w:val="auto"/>
        </w:rPr>
      </w:pPr>
      <w:r>
        <w:rPr>
          <w:rFonts w:hint="eastAsia" w:ascii="宋体" w:hAnsi="宋体"/>
          <w:color w:val="auto"/>
        </w:rPr>
        <w:t>服务起始时间从设备通过生产效率验证、具备连续生产条件之日起计算。</w:t>
      </w:r>
    </w:p>
    <w:bookmarkEnd w:id="63"/>
    <w:p>
      <w:pPr>
        <w:pStyle w:val="36"/>
        <w:numPr>
          <w:ilvl w:val="0"/>
          <w:numId w:val="1"/>
        </w:numPr>
        <w:spacing w:line="360" w:lineRule="auto"/>
        <w:contextualSpacing w:val="0"/>
        <w:rPr>
          <w:rFonts w:hint="eastAsia" w:ascii="宋体" w:hAnsi="宋体" w:cs="宋体"/>
          <w:b/>
          <w:bCs/>
          <w:color w:val="auto"/>
          <w:szCs w:val="21"/>
        </w:rPr>
      </w:pPr>
      <w:r>
        <w:rPr>
          <w:rFonts w:hint="eastAsia" w:ascii="宋体" w:hAnsi="宋体" w:cs="宋体"/>
          <w:b/>
          <w:bCs/>
          <w:color w:val="auto"/>
          <w:szCs w:val="21"/>
        </w:rPr>
        <w:t>附件</w:t>
      </w:r>
    </w:p>
    <w:p>
      <w:pPr>
        <w:spacing w:line="360" w:lineRule="auto"/>
        <w:jc w:val="left"/>
        <w:rPr>
          <w:rFonts w:hint="eastAsia" w:ascii="宋体" w:hAnsi="宋体" w:cs="宋体"/>
          <w:color w:val="auto"/>
          <w:szCs w:val="21"/>
        </w:rPr>
      </w:pPr>
      <w:r>
        <w:rPr>
          <w:rFonts w:hint="eastAsia" w:ascii="宋体" w:hAnsi="宋体" w:cs="宋体"/>
          <w:color w:val="auto"/>
          <w:szCs w:val="21"/>
        </w:rPr>
        <w:t>1、详见附件1：生产车间首层平面图</w:t>
      </w:r>
    </w:p>
    <w:p>
      <w:pPr>
        <w:spacing w:line="360" w:lineRule="auto"/>
        <w:jc w:val="left"/>
        <w:rPr>
          <w:rFonts w:hint="eastAsia" w:ascii="宋体" w:hAnsi="宋体"/>
          <w:color w:val="auto"/>
          <w:szCs w:val="21"/>
        </w:rPr>
      </w:pPr>
    </w:p>
    <w:p>
      <w:pPr>
        <w:spacing w:line="360" w:lineRule="auto"/>
        <w:jc w:val="left"/>
        <w:rPr>
          <w:rFonts w:hint="eastAsia" w:ascii="宋体" w:hAnsi="宋体"/>
          <w:color w:val="auto"/>
          <w:szCs w:val="21"/>
        </w:rPr>
      </w:pPr>
    </w:p>
    <w:p>
      <w:pPr>
        <w:widowControl/>
        <w:spacing w:line="360" w:lineRule="auto"/>
        <w:jc w:val="left"/>
        <w:rPr>
          <w:rFonts w:hint="eastAsia" w:ascii="宋体" w:hAnsi="宋体"/>
          <w:color w:val="auto"/>
          <w:szCs w:val="21"/>
        </w:rPr>
      </w:pPr>
      <w:r>
        <w:rPr>
          <w:rFonts w:ascii="宋体" w:hAnsi="宋体"/>
          <w:color w:val="auto"/>
          <w:szCs w:val="21"/>
        </w:rPr>
        <w:drawing>
          <wp:inline distT="0" distB="0" distL="0" distR="0">
            <wp:extent cx="5274310" cy="1753870"/>
            <wp:effectExtent l="0" t="0" r="2540" b="0"/>
            <wp:docPr id="2857879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87963" name="图片 1"/>
                    <pic:cNvPicPr>
                      <a:picLocks noChangeAspect="1"/>
                    </pic:cNvPicPr>
                  </pic:nvPicPr>
                  <pic:blipFill>
                    <a:blip r:embed="rId6"/>
                    <a:stretch>
                      <a:fillRect/>
                    </a:stretch>
                  </pic:blipFill>
                  <pic:spPr>
                    <a:xfrm>
                      <a:off x="0" y="0"/>
                      <a:ext cx="5274310" cy="1753870"/>
                    </a:xfrm>
                    <a:prstGeom prst="rect">
                      <a:avLst/>
                    </a:prstGeom>
                  </pic:spPr>
                </pic:pic>
              </a:graphicData>
            </a:graphic>
          </wp:inline>
        </w:drawing>
      </w:r>
    </w:p>
    <w:p>
      <w:pPr>
        <w:widowControl/>
        <w:spacing w:line="360" w:lineRule="auto"/>
        <w:jc w:val="left"/>
        <w:rPr>
          <w:rFonts w:hint="eastAsia" w:ascii="宋体" w:hAnsi="宋体"/>
          <w:color w:val="auto"/>
          <w:szCs w:val="21"/>
        </w:rPr>
      </w:pPr>
    </w:p>
    <w:p>
      <w:pPr>
        <w:spacing w:line="360" w:lineRule="auto"/>
        <w:rPr>
          <w:rFonts w:hint="eastAsia" w:ascii="宋体" w:hAnsi="宋体"/>
          <w:color w:val="auto"/>
          <w:kern w:val="0"/>
          <w:szCs w:val="21"/>
        </w:rPr>
      </w:pPr>
      <w:r>
        <w:rPr>
          <w:rFonts w:ascii="宋体" w:hAnsi="宋体"/>
          <w:color w:val="auto"/>
          <w14:ligatures w14:val="standardContextual"/>
        </w:rPr>
        <w:drawing>
          <wp:inline distT="0" distB="0" distL="0" distR="0">
            <wp:extent cx="5274310" cy="3006725"/>
            <wp:effectExtent l="0" t="0" r="2540" b="3175"/>
            <wp:docPr id="13950372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037235" name="图片 1"/>
                    <pic:cNvPicPr>
                      <a:picLocks noChangeAspect="1"/>
                    </pic:cNvPicPr>
                  </pic:nvPicPr>
                  <pic:blipFill>
                    <a:blip r:embed="rId7"/>
                    <a:stretch>
                      <a:fillRect/>
                    </a:stretch>
                  </pic:blipFill>
                  <pic:spPr>
                    <a:xfrm>
                      <a:off x="0" y="0"/>
                      <a:ext cx="5274310" cy="3006725"/>
                    </a:xfrm>
                    <a:prstGeom prst="rect">
                      <a:avLst/>
                    </a:prstGeom>
                  </pic:spPr>
                </pic:pic>
              </a:graphicData>
            </a:graphic>
          </wp:inline>
        </w:drawing>
      </w:r>
    </w:p>
    <w:p>
      <w:pPr>
        <w:spacing w:line="360" w:lineRule="auto"/>
        <w:rPr>
          <w:rFonts w:hint="eastAsia" w:ascii="宋体" w:hAnsi="宋体"/>
          <w:color w:val="auto"/>
        </w:rPr>
      </w:pPr>
      <w:r>
        <w:rPr>
          <w:rFonts w:hint="eastAsia" w:ascii="宋体" w:hAnsi="宋体"/>
          <w:color w:val="auto"/>
          <w:kern w:val="0"/>
          <w:szCs w:val="21"/>
        </w:rPr>
        <w:t>2、详看附件2：车间给排水管道图</w:t>
      </w:r>
    </w:p>
    <w:p>
      <w:pPr>
        <w:widowControl/>
        <w:spacing w:line="360" w:lineRule="auto"/>
        <w:jc w:val="left"/>
        <w:rPr>
          <w:rFonts w:hint="eastAsia" w:ascii="宋体" w:hAnsi="宋体"/>
          <w:color w:val="auto"/>
          <w:szCs w:val="21"/>
        </w:rPr>
      </w:pPr>
      <w:r>
        <w:rPr>
          <w:rFonts w:ascii="宋体" w:hAnsi="宋体"/>
          <w:color w:val="auto"/>
          <w14:ligatures w14:val="standardContextual"/>
        </w:rPr>
        <w:drawing>
          <wp:inline distT="0" distB="0" distL="0" distR="0">
            <wp:extent cx="5274310" cy="3266440"/>
            <wp:effectExtent l="0" t="0" r="2540" b="0"/>
            <wp:docPr id="20684613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461383" name="图片 1"/>
                    <pic:cNvPicPr>
                      <a:picLocks noChangeAspect="1"/>
                    </pic:cNvPicPr>
                  </pic:nvPicPr>
                  <pic:blipFill>
                    <a:blip r:embed="rId8"/>
                    <a:stretch>
                      <a:fillRect/>
                    </a:stretch>
                  </pic:blipFill>
                  <pic:spPr>
                    <a:xfrm>
                      <a:off x="0" y="0"/>
                      <a:ext cx="5274310" cy="3266440"/>
                    </a:xfrm>
                    <a:prstGeom prst="rect">
                      <a:avLst/>
                    </a:prstGeom>
                  </pic:spPr>
                </pic:pic>
              </a:graphicData>
            </a:graphic>
          </wp:inline>
        </w:drawing>
      </w:r>
    </w:p>
    <w:p>
      <w:pPr>
        <w:widowControl/>
        <w:spacing w:line="360" w:lineRule="auto"/>
        <w:jc w:val="left"/>
        <w:rPr>
          <w:rFonts w:hint="eastAsia" w:ascii="宋体" w:hAnsi="宋体"/>
          <w:color w:val="auto"/>
          <w:kern w:val="0"/>
          <w:szCs w:val="21"/>
        </w:rPr>
      </w:pPr>
      <w:r>
        <w:rPr>
          <w:rFonts w:hint="eastAsia" w:ascii="宋体" w:hAnsi="宋体"/>
          <w:color w:val="auto"/>
          <w:kern w:val="0"/>
          <w:szCs w:val="21"/>
        </w:rPr>
        <w:t>3、附件3：车间1 混凝土结构图。</w:t>
      </w:r>
    </w:p>
    <w:p>
      <w:pPr>
        <w:widowControl/>
        <w:spacing w:line="360" w:lineRule="auto"/>
        <w:jc w:val="left"/>
        <w:rPr>
          <w:rFonts w:hint="eastAsia" w:ascii="宋体" w:hAnsi="宋体"/>
          <w:color w:val="auto"/>
          <w:szCs w:val="21"/>
        </w:rPr>
      </w:pPr>
      <w:r>
        <w:rPr>
          <w:color w:val="auto"/>
          <w14:ligatures w14:val="standardContextual"/>
        </w:rPr>
        <w:drawing>
          <wp:inline distT="0" distB="0" distL="0" distR="0">
            <wp:extent cx="5274310" cy="3171825"/>
            <wp:effectExtent l="0" t="0" r="2540" b="9525"/>
            <wp:docPr id="15089353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935344" name="图片 1"/>
                    <pic:cNvPicPr>
                      <a:picLocks noChangeAspect="1"/>
                    </pic:cNvPicPr>
                  </pic:nvPicPr>
                  <pic:blipFill>
                    <a:blip r:embed="rId9"/>
                    <a:stretch>
                      <a:fillRect/>
                    </a:stretch>
                  </pic:blipFill>
                  <pic:spPr>
                    <a:xfrm>
                      <a:off x="0" y="0"/>
                      <a:ext cx="5274310" cy="3171825"/>
                    </a:xfrm>
                    <a:prstGeom prst="rect">
                      <a:avLst/>
                    </a:prstGeom>
                  </pic:spPr>
                </pic:pic>
              </a:graphicData>
            </a:graphic>
          </wp:inline>
        </w:drawing>
      </w:r>
    </w:p>
    <w:p>
      <w:pPr>
        <w:widowControl/>
        <w:spacing w:line="360" w:lineRule="auto"/>
        <w:jc w:val="left"/>
        <w:rPr>
          <w:rFonts w:hint="eastAsia" w:ascii="宋体" w:hAnsi="宋体"/>
          <w:color w:val="auto"/>
          <w:szCs w:val="21"/>
        </w:rPr>
      </w:pPr>
      <w:r>
        <w:rPr>
          <w:rFonts w:hint="eastAsia" w:ascii="宋体" w:hAnsi="宋体"/>
          <w:color w:val="auto"/>
          <w:szCs w:val="21"/>
        </w:rPr>
        <w:t>4、附件4：真空管道尺寸图</w:t>
      </w:r>
    </w:p>
    <w:p>
      <w:pPr>
        <w:widowControl/>
        <w:spacing w:line="360" w:lineRule="auto"/>
        <w:jc w:val="left"/>
        <w:rPr>
          <w:rFonts w:hint="eastAsia" w:ascii="宋体" w:hAnsi="宋体"/>
          <w:color w:val="auto"/>
          <w:szCs w:val="21"/>
        </w:rPr>
      </w:pPr>
      <w:r>
        <w:rPr>
          <w:rFonts w:ascii="宋体" w:hAnsi="宋体"/>
          <w:color w:val="auto"/>
          <w14:ligatures w14:val="standardContextual"/>
        </w:rPr>
        <w:drawing>
          <wp:inline distT="0" distB="0" distL="0" distR="0">
            <wp:extent cx="5274310" cy="3505200"/>
            <wp:effectExtent l="0" t="0" r="2540" b="0"/>
            <wp:docPr id="5644382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438229" name="图片 1"/>
                    <pic:cNvPicPr>
                      <a:picLocks noChangeAspect="1"/>
                    </pic:cNvPicPr>
                  </pic:nvPicPr>
                  <pic:blipFill>
                    <a:blip r:embed="rId10"/>
                    <a:stretch>
                      <a:fillRect/>
                    </a:stretch>
                  </pic:blipFill>
                  <pic:spPr>
                    <a:xfrm>
                      <a:off x="0" y="0"/>
                      <a:ext cx="5274310" cy="3505200"/>
                    </a:xfrm>
                    <a:prstGeom prst="rect">
                      <a:avLst/>
                    </a:prstGeom>
                  </pic:spPr>
                </pic:pic>
              </a:graphicData>
            </a:graphic>
          </wp:inline>
        </w:drawing>
      </w:r>
    </w:p>
    <w:p>
      <w:pPr>
        <w:widowControl/>
        <w:spacing w:line="360" w:lineRule="auto"/>
        <w:jc w:val="left"/>
        <w:rPr>
          <w:rFonts w:hint="eastAsia" w:ascii="宋体" w:hAnsi="宋体"/>
          <w:color w:val="auto"/>
          <w:szCs w:val="21"/>
        </w:rPr>
      </w:pPr>
      <w:r>
        <w:rPr>
          <w:rFonts w:hint="eastAsia" w:ascii="宋体" w:hAnsi="宋体"/>
          <w:color w:val="auto"/>
          <w:szCs w:val="21"/>
        </w:rPr>
        <w:t>5、附件5: 底座不锈钢围堰图</w:t>
      </w:r>
      <w:r>
        <w:rPr>
          <w:rFonts w:ascii="宋体" w:hAnsi="宋体"/>
          <w:color w:val="auto"/>
          <w14:ligatures w14:val="standardContextual"/>
        </w:rPr>
        <w:drawing>
          <wp:anchor distT="0" distB="0" distL="114300" distR="114300" simplePos="0" relativeHeight="251659264" behindDoc="0" locked="0" layoutInCell="1" allowOverlap="1">
            <wp:simplePos x="0" y="0"/>
            <wp:positionH relativeFrom="margin">
              <wp:posOffset>0</wp:posOffset>
            </wp:positionH>
            <wp:positionV relativeFrom="paragraph">
              <wp:posOffset>297180</wp:posOffset>
            </wp:positionV>
            <wp:extent cx="5274310" cy="4177030"/>
            <wp:effectExtent l="0" t="0" r="2540" b="0"/>
            <wp:wrapSquare wrapText="bothSides"/>
            <wp:docPr id="1626755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55606"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84015" cy="4184716"/>
                    </a:xfrm>
                    <a:prstGeom prst="rect">
                      <a:avLst/>
                    </a:prstGeom>
                    <a:noFill/>
                    <a:ln w="1">
                      <a:noFill/>
                      <a:miter lim="800000"/>
                      <a:headEnd/>
                      <a:tailEnd type="none" w="med" len="med"/>
                    </a:ln>
                    <a:effectLst/>
                  </pic:spPr>
                </pic:pic>
              </a:graphicData>
            </a:graphic>
          </wp:anchor>
        </w:drawing>
      </w:r>
    </w:p>
    <w:p>
      <w:pPr>
        <w:widowControl/>
        <w:spacing w:line="360" w:lineRule="auto"/>
        <w:jc w:val="left"/>
        <w:rPr>
          <w:rFonts w:hint="eastAsia" w:ascii="宋体" w:hAnsi="宋体"/>
          <w:color w:val="auto"/>
          <w:szCs w:val="21"/>
        </w:rPr>
      </w:pPr>
    </w:p>
    <w:p>
      <w:pPr>
        <w:widowControl/>
        <w:spacing w:line="360" w:lineRule="auto"/>
        <w:jc w:val="left"/>
        <w:rPr>
          <w:rFonts w:hint="eastAsia" w:ascii="宋体" w:hAnsi="宋体"/>
          <w:color w:val="auto"/>
          <w:kern w:val="0"/>
          <w:szCs w:val="21"/>
        </w:rPr>
      </w:pPr>
      <w:r>
        <w:rPr>
          <w:rFonts w:hint="eastAsia" w:ascii="宋体" w:hAnsi="宋体"/>
          <w:color w:val="auto"/>
          <w:kern w:val="0"/>
          <w:szCs w:val="21"/>
        </w:rPr>
        <w:t>6、附件6：车间1钢结构图</w:t>
      </w:r>
    </w:p>
    <w:p>
      <w:pPr>
        <w:widowControl/>
        <w:spacing w:line="360" w:lineRule="auto"/>
        <w:jc w:val="left"/>
        <w:rPr>
          <w:color w:val="auto"/>
          <w14:ligatures w14:val="standardContextual"/>
        </w:rPr>
        <w:sectPr>
          <w:headerReference r:id="rId3" w:type="default"/>
          <w:footerReference r:id="rId4" w:type="default"/>
          <w:pgSz w:w="11906" w:h="16838"/>
          <w:pgMar w:top="1440" w:right="1800" w:bottom="1440" w:left="1800" w:header="1020" w:footer="992" w:gutter="0"/>
          <w:cols w:space="425" w:num="1"/>
          <w:docGrid w:type="lines" w:linePitch="312" w:charSpace="0"/>
        </w:sectPr>
      </w:pPr>
      <w:r>
        <w:rPr>
          <w:color w:val="auto"/>
          <w14:ligatures w14:val="standardContextual"/>
        </w:rPr>
        <w:drawing>
          <wp:inline distT="0" distB="0" distL="0" distR="0">
            <wp:extent cx="5274310" cy="3138805"/>
            <wp:effectExtent l="0" t="0" r="2540" b="4445"/>
            <wp:docPr id="17552944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294417" name="图片 1"/>
                    <pic:cNvPicPr>
                      <a:picLocks noChangeAspect="1"/>
                    </pic:cNvPicPr>
                  </pic:nvPicPr>
                  <pic:blipFill>
                    <a:blip r:embed="rId12"/>
                    <a:stretch>
                      <a:fillRect/>
                    </a:stretch>
                  </pic:blipFill>
                  <pic:spPr>
                    <a:xfrm>
                      <a:off x="0" y="0"/>
                      <a:ext cx="5274310" cy="3138805"/>
                    </a:xfrm>
                    <a:prstGeom prst="rect">
                      <a:avLst/>
                    </a:prstGeom>
                  </pic:spPr>
                </pic:pic>
              </a:graphicData>
            </a:graphic>
          </wp:inline>
        </w:drawing>
      </w:r>
    </w:p>
    <w:p>
      <w:pPr>
        <w:widowControl/>
        <w:spacing w:line="360" w:lineRule="auto"/>
        <w:jc w:val="left"/>
        <w:rPr>
          <w:rFonts w:hint="eastAsia" w:ascii="宋体" w:hAnsi="宋体"/>
          <w:color w:val="auto"/>
          <w:szCs w:val="21"/>
        </w:rPr>
      </w:pPr>
      <w:r>
        <w:rPr>
          <w:rFonts w:hint="eastAsia" w:ascii="宋体" w:hAnsi="宋体"/>
          <w:color w:val="auto"/>
          <w:szCs w:val="21"/>
        </w:rPr>
        <w:t>附件7: 车间1自控消防</w:t>
      </w:r>
    </w:p>
    <w:p>
      <w:pPr>
        <w:widowControl/>
        <w:spacing w:line="360" w:lineRule="auto"/>
        <w:jc w:val="left"/>
        <w:rPr>
          <w:rFonts w:hint="eastAsia" w:ascii="宋体" w:hAnsi="宋体"/>
          <w:color w:val="auto"/>
          <w:szCs w:val="21"/>
        </w:rPr>
      </w:pPr>
      <w:r>
        <w:rPr>
          <w:color w:val="auto"/>
        </w:rPr>
        <w:drawing>
          <wp:inline distT="0" distB="0" distL="114300" distR="114300">
            <wp:extent cx="4298315" cy="6079490"/>
            <wp:effectExtent l="0" t="0" r="6985" b="165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4298315" cy="6079490"/>
                    </a:xfrm>
                    <a:prstGeom prst="rect">
                      <a:avLst/>
                    </a:prstGeom>
                    <a:noFill/>
                    <a:ln>
                      <a:noFill/>
                    </a:ln>
                  </pic:spPr>
                </pic:pic>
              </a:graphicData>
            </a:graphic>
          </wp:inline>
        </w:drawing>
      </w:r>
    </w:p>
    <w:bookmarkEnd w:id="64"/>
    <w:sectPr>
      <w:pgSz w:w="11906" w:h="16838"/>
      <w:pgMar w:top="1440" w:right="1800" w:bottom="1440" w:left="1800" w:header="102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Segoe UI">
    <w:panose1 w:val="020B0502040204020203"/>
    <w:charset w:val="00"/>
    <w:family w:val="swiss"/>
    <w:pitch w:val="default"/>
    <w:sig w:usb0="E4002EFF" w:usb1="C000E47F"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E00006FF" w:usb1="420024FF" w:usb2="02000000" w:usb3="00000000" w:csb0="2000019F" w:csb1="00000000"/>
  </w:font>
  <w:font w:name="MS Mincho">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70290710"/>
    </w:sdtPr>
    <w:sdtContent>
      <w:p>
        <w:pPr>
          <w:pStyle w:val="13"/>
          <w:jc w:val="center"/>
        </w:pPr>
        <w:r>
          <w:fldChar w:fldCharType="begin"/>
        </w:r>
        <w:r>
          <w:instrText xml:space="preserve">PAGE   \* MERGEFORMAT</w:instrText>
        </w:r>
        <w:r>
          <w:fldChar w:fldCharType="separate"/>
        </w:r>
        <w:r>
          <w:rPr>
            <w:lang w:val="zh-CN"/>
          </w:rPr>
          <w:t>2</w:t>
        </w:r>
        <w:r>
          <w:fldChar w:fldCharType="end"/>
        </w:r>
      </w:p>
    </w:sdtContent>
  </w:sdt>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E362EF"/>
    <w:multiLevelType w:val="singleLevel"/>
    <w:tmpl w:val="84E362EF"/>
    <w:lvl w:ilvl="0" w:tentative="0">
      <w:start w:val="1"/>
      <w:numFmt w:val="decimal"/>
      <w:lvlText w:val="(%1)"/>
      <w:lvlJc w:val="left"/>
      <w:pPr>
        <w:ind w:left="425" w:hanging="425"/>
      </w:pPr>
      <w:rPr>
        <w:rFonts w:hint="default"/>
      </w:rPr>
    </w:lvl>
  </w:abstractNum>
  <w:abstractNum w:abstractNumId="1">
    <w:nsid w:val="85A32543"/>
    <w:multiLevelType w:val="singleLevel"/>
    <w:tmpl w:val="85A32543"/>
    <w:lvl w:ilvl="0" w:tentative="0">
      <w:start w:val="1"/>
      <w:numFmt w:val="decimal"/>
      <w:lvlText w:val="(%1)"/>
      <w:lvlJc w:val="left"/>
      <w:pPr>
        <w:ind w:left="425" w:hanging="425"/>
      </w:pPr>
      <w:rPr>
        <w:rFonts w:hint="default"/>
      </w:rPr>
    </w:lvl>
  </w:abstractNum>
  <w:abstractNum w:abstractNumId="2">
    <w:nsid w:val="904E4BB2"/>
    <w:multiLevelType w:val="singleLevel"/>
    <w:tmpl w:val="904E4BB2"/>
    <w:lvl w:ilvl="0" w:tentative="0">
      <w:start w:val="1"/>
      <w:numFmt w:val="decimal"/>
      <w:lvlText w:val="(%1)"/>
      <w:lvlJc w:val="left"/>
      <w:pPr>
        <w:ind w:left="708" w:hanging="425"/>
      </w:pPr>
      <w:rPr>
        <w:rFonts w:hint="default"/>
      </w:rPr>
    </w:lvl>
  </w:abstractNum>
  <w:abstractNum w:abstractNumId="3">
    <w:nsid w:val="B0EE1744"/>
    <w:multiLevelType w:val="singleLevel"/>
    <w:tmpl w:val="B0EE1744"/>
    <w:lvl w:ilvl="0" w:tentative="0">
      <w:start w:val="1"/>
      <w:numFmt w:val="decimal"/>
      <w:lvlText w:val="%1."/>
      <w:lvlJc w:val="left"/>
      <w:pPr>
        <w:ind w:left="425" w:hanging="425"/>
      </w:pPr>
      <w:rPr>
        <w:rFonts w:hint="default"/>
      </w:rPr>
    </w:lvl>
  </w:abstractNum>
  <w:abstractNum w:abstractNumId="4">
    <w:nsid w:val="C13741E6"/>
    <w:multiLevelType w:val="singleLevel"/>
    <w:tmpl w:val="C13741E6"/>
    <w:lvl w:ilvl="0" w:tentative="0">
      <w:start w:val="1"/>
      <w:numFmt w:val="decimal"/>
      <w:lvlText w:val="%1."/>
      <w:lvlJc w:val="left"/>
      <w:pPr>
        <w:ind w:left="425" w:hanging="425"/>
      </w:pPr>
      <w:rPr>
        <w:rFonts w:hint="default"/>
      </w:rPr>
    </w:lvl>
  </w:abstractNum>
  <w:abstractNum w:abstractNumId="5">
    <w:nsid w:val="CA1E1F1E"/>
    <w:multiLevelType w:val="singleLevel"/>
    <w:tmpl w:val="CA1E1F1E"/>
    <w:lvl w:ilvl="0" w:tentative="0">
      <w:start w:val="1"/>
      <w:numFmt w:val="decimal"/>
      <w:lvlText w:val="%1."/>
      <w:lvlJc w:val="left"/>
      <w:pPr>
        <w:ind w:left="567" w:hanging="425"/>
      </w:pPr>
      <w:rPr>
        <w:rFonts w:hint="default"/>
      </w:rPr>
    </w:lvl>
  </w:abstractNum>
  <w:abstractNum w:abstractNumId="6">
    <w:nsid w:val="E0605AF2"/>
    <w:multiLevelType w:val="singleLevel"/>
    <w:tmpl w:val="E0605AF2"/>
    <w:lvl w:ilvl="0" w:tentative="0">
      <w:start w:val="1"/>
      <w:numFmt w:val="decimal"/>
      <w:lvlText w:val="%1."/>
      <w:lvlJc w:val="left"/>
      <w:pPr>
        <w:ind w:left="567" w:hanging="425"/>
      </w:pPr>
      <w:rPr>
        <w:rFonts w:hint="default"/>
      </w:rPr>
    </w:lvl>
  </w:abstractNum>
  <w:abstractNum w:abstractNumId="7">
    <w:nsid w:val="E0E50DBB"/>
    <w:multiLevelType w:val="singleLevel"/>
    <w:tmpl w:val="E0E50DBB"/>
    <w:lvl w:ilvl="0" w:tentative="0">
      <w:start w:val="1"/>
      <w:numFmt w:val="decimal"/>
      <w:lvlText w:val="%1)"/>
      <w:lvlJc w:val="left"/>
      <w:pPr>
        <w:ind w:left="851" w:hanging="425"/>
      </w:pPr>
      <w:rPr>
        <w:rFonts w:hint="default"/>
      </w:rPr>
    </w:lvl>
  </w:abstractNum>
  <w:abstractNum w:abstractNumId="8">
    <w:nsid w:val="EB901C85"/>
    <w:multiLevelType w:val="singleLevel"/>
    <w:tmpl w:val="EB901C85"/>
    <w:lvl w:ilvl="0" w:tentative="0">
      <w:start w:val="1"/>
      <w:numFmt w:val="decimal"/>
      <w:lvlText w:val="%1."/>
      <w:lvlJc w:val="left"/>
      <w:pPr>
        <w:ind w:left="425" w:hanging="425"/>
      </w:pPr>
      <w:rPr>
        <w:rFonts w:hint="default"/>
      </w:rPr>
    </w:lvl>
  </w:abstractNum>
  <w:abstractNum w:abstractNumId="9">
    <w:nsid w:val="01DC0392"/>
    <w:multiLevelType w:val="multilevel"/>
    <w:tmpl w:val="01DC0392"/>
    <w:lvl w:ilvl="0" w:tentative="0">
      <w:start w:val="1"/>
      <w:numFmt w:val="decimal"/>
      <w:lvlText w:val="%1."/>
      <w:lvlJc w:val="left"/>
      <w:pPr>
        <w:ind w:left="501" w:hanging="360"/>
      </w:pPr>
      <w:rPr>
        <w:rFonts w:hint="default"/>
        <w:b w:val="0"/>
        <w:bCs w:val="0"/>
      </w:rPr>
    </w:lvl>
    <w:lvl w:ilvl="1" w:tentative="0">
      <w:start w:val="1"/>
      <w:numFmt w:val="lowerLetter"/>
      <w:lvlText w:val="%2)"/>
      <w:lvlJc w:val="left"/>
      <w:pPr>
        <w:ind w:left="1021" w:hanging="440"/>
      </w:pPr>
    </w:lvl>
    <w:lvl w:ilvl="2" w:tentative="0">
      <w:start w:val="1"/>
      <w:numFmt w:val="lowerRoman"/>
      <w:lvlText w:val="%3."/>
      <w:lvlJc w:val="right"/>
      <w:pPr>
        <w:ind w:left="1461" w:hanging="440"/>
      </w:pPr>
    </w:lvl>
    <w:lvl w:ilvl="3" w:tentative="0">
      <w:start w:val="1"/>
      <w:numFmt w:val="decimal"/>
      <w:lvlText w:val="%4."/>
      <w:lvlJc w:val="left"/>
      <w:pPr>
        <w:ind w:left="1901" w:hanging="440"/>
      </w:pPr>
    </w:lvl>
    <w:lvl w:ilvl="4" w:tentative="0">
      <w:start w:val="1"/>
      <w:numFmt w:val="lowerLetter"/>
      <w:lvlText w:val="%5)"/>
      <w:lvlJc w:val="left"/>
      <w:pPr>
        <w:ind w:left="2341" w:hanging="440"/>
      </w:pPr>
    </w:lvl>
    <w:lvl w:ilvl="5" w:tentative="0">
      <w:start w:val="1"/>
      <w:numFmt w:val="lowerRoman"/>
      <w:lvlText w:val="%6."/>
      <w:lvlJc w:val="right"/>
      <w:pPr>
        <w:ind w:left="2781" w:hanging="440"/>
      </w:pPr>
    </w:lvl>
    <w:lvl w:ilvl="6" w:tentative="0">
      <w:start w:val="1"/>
      <w:numFmt w:val="decimal"/>
      <w:lvlText w:val="%7."/>
      <w:lvlJc w:val="left"/>
      <w:pPr>
        <w:ind w:left="3221" w:hanging="440"/>
      </w:pPr>
    </w:lvl>
    <w:lvl w:ilvl="7" w:tentative="0">
      <w:start w:val="1"/>
      <w:numFmt w:val="lowerLetter"/>
      <w:lvlText w:val="%8)"/>
      <w:lvlJc w:val="left"/>
      <w:pPr>
        <w:ind w:left="3661" w:hanging="440"/>
      </w:pPr>
    </w:lvl>
    <w:lvl w:ilvl="8" w:tentative="0">
      <w:start w:val="1"/>
      <w:numFmt w:val="lowerRoman"/>
      <w:lvlText w:val="%9."/>
      <w:lvlJc w:val="right"/>
      <w:pPr>
        <w:ind w:left="4101" w:hanging="440"/>
      </w:pPr>
    </w:lvl>
  </w:abstractNum>
  <w:abstractNum w:abstractNumId="10">
    <w:nsid w:val="075165D4"/>
    <w:multiLevelType w:val="multilevel"/>
    <w:tmpl w:val="075165D4"/>
    <w:lvl w:ilvl="0" w:tentative="0">
      <w:start w:val="1"/>
      <w:numFmt w:val="decimal"/>
      <w:lvlText w:val="%1."/>
      <w:lvlJc w:val="left"/>
      <w:pPr>
        <w:ind w:left="501" w:hanging="360"/>
      </w:pPr>
      <w:rPr>
        <w:rFonts w:hint="default"/>
        <w:b w:val="0"/>
        <w:bCs w:val="0"/>
      </w:rPr>
    </w:lvl>
    <w:lvl w:ilvl="1" w:tentative="0">
      <w:start w:val="1"/>
      <w:numFmt w:val="lowerLetter"/>
      <w:lvlText w:val="%2)"/>
      <w:lvlJc w:val="left"/>
      <w:pPr>
        <w:ind w:left="1021" w:hanging="440"/>
      </w:pPr>
    </w:lvl>
    <w:lvl w:ilvl="2" w:tentative="0">
      <w:start w:val="1"/>
      <w:numFmt w:val="lowerRoman"/>
      <w:lvlText w:val="%3."/>
      <w:lvlJc w:val="right"/>
      <w:pPr>
        <w:ind w:left="1461" w:hanging="440"/>
      </w:pPr>
    </w:lvl>
    <w:lvl w:ilvl="3" w:tentative="0">
      <w:start w:val="1"/>
      <w:numFmt w:val="decimal"/>
      <w:lvlText w:val="%4."/>
      <w:lvlJc w:val="left"/>
      <w:pPr>
        <w:ind w:left="1901" w:hanging="440"/>
      </w:pPr>
    </w:lvl>
    <w:lvl w:ilvl="4" w:tentative="0">
      <w:start w:val="1"/>
      <w:numFmt w:val="lowerLetter"/>
      <w:lvlText w:val="%5)"/>
      <w:lvlJc w:val="left"/>
      <w:pPr>
        <w:ind w:left="2341" w:hanging="440"/>
      </w:pPr>
    </w:lvl>
    <w:lvl w:ilvl="5" w:tentative="0">
      <w:start w:val="1"/>
      <w:numFmt w:val="lowerRoman"/>
      <w:lvlText w:val="%6."/>
      <w:lvlJc w:val="right"/>
      <w:pPr>
        <w:ind w:left="2781" w:hanging="440"/>
      </w:pPr>
    </w:lvl>
    <w:lvl w:ilvl="6" w:tentative="0">
      <w:start w:val="1"/>
      <w:numFmt w:val="decimal"/>
      <w:lvlText w:val="%7."/>
      <w:lvlJc w:val="left"/>
      <w:pPr>
        <w:ind w:left="3221" w:hanging="440"/>
      </w:pPr>
    </w:lvl>
    <w:lvl w:ilvl="7" w:tentative="0">
      <w:start w:val="1"/>
      <w:numFmt w:val="lowerLetter"/>
      <w:lvlText w:val="%8)"/>
      <w:lvlJc w:val="left"/>
      <w:pPr>
        <w:ind w:left="3661" w:hanging="440"/>
      </w:pPr>
    </w:lvl>
    <w:lvl w:ilvl="8" w:tentative="0">
      <w:start w:val="1"/>
      <w:numFmt w:val="lowerRoman"/>
      <w:lvlText w:val="%9."/>
      <w:lvlJc w:val="right"/>
      <w:pPr>
        <w:ind w:left="4101" w:hanging="440"/>
      </w:pPr>
    </w:lvl>
  </w:abstractNum>
  <w:abstractNum w:abstractNumId="11">
    <w:nsid w:val="085D055A"/>
    <w:multiLevelType w:val="singleLevel"/>
    <w:tmpl w:val="085D055A"/>
    <w:lvl w:ilvl="0" w:tentative="0">
      <w:start w:val="1"/>
      <w:numFmt w:val="decimal"/>
      <w:lvlText w:val="(%1)"/>
      <w:lvlJc w:val="left"/>
      <w:pPr>
        <w:ind w:left="425" w:hanging="425"/>
      </w:pPr>
      <w:rPr>
        <w:rFonts w:hint="default"/>
      </w:rPr>
    </w:lvl>
  </w:abstractNum>
  <w:abstractNum w:abstractNumId="12">
    <w:nsid w:val="0A046806"/>
    <w:multiLevelType w:val="multilevel"/>
    <w:tmpl w:val="0A046806"/>
    <w:lvl w:ilvl="0" w:tentative="0">
      <w:start w:val="1"/>
      <w:numFmt w:val="decimal"/>
      <w:lvlText w:val="%1."/>
      <w:lvlJc w:val="left"/>
      <w:pPr>
        <w:ind w:left="501" w:hanging="360"/>
      </w:pPr>
      <w:rPr>
        <w:rFonts w:hint="default"/>
        <w:b w:val="0"/>
        <w:bCs w:val="0"/>
      </w:rPr>
    </w:lvl>
    <w:lvl w:ilvl="1" w:tentative="0">
      <w:start w:val="1"/>
      <w:numFmt w:val="lowerLetter"/>
      <w:lvlText w:val="%2)"/>
      <w:lvlJc w:val="left"/>
      <w:pPr>
        <w:ind w:left="1021" w:hanging="440"/>
      </w:pPr>
    </w:lvl>
    <w:lvl w:ilvl="2" w:tentative="0">
      <w:start w:val="1"/>
      <w:numFmt w:val="lowerRoman"/>
      <w:lvlText w:val="%3."/>
      <w:lvlJc w:val="right"/>
      <w:pPr>
        <w:ind w:left="1461" w:hanging="440"/>
      </w:pPr>
    </w:lvl>
    <w:lvl w:ilvl="3" w:tentative="0">
      <w:start w:val="1"/>
      <w:numFmt w:val="decimal"/>
      <w:lvlText w:val="%4."/>
      <w:lvlJc w:val="left"/>
      <w:pPr>
        <w:ind w:left="1901" w:hanging="440"/>
      </w:pPr>
    </w:lvl>
    <w:lvl w:ilvl="4" w:tentative="0">
      <w:start w:val="1"/>
      <w:numFmt w:val="lowerLetter"/>
      <w:lvlText w:val="%5)"/>
      <w:lvlJc w:val="left"/>
      <w:pPr>
        <w:ind w:left="2341" w:hanging="440"/>
      </w:pPr>
    </w:lvl>
    <w:lvl w:ilvl="5" w:tentative="0">
      <w:start w:val="1"/>
      <w:numFmt w:val="lowerRoman"/>
      <w:lvlText w:val="%6."/>
      <w:lvlJc w:val="right"/>
      <w:pPr>
        <w:ind w:left="2781" w:hanging="440"/>
      </w:pPr>
    </w:lvl>
    <w:lvl w:ilvl="6" w:tentative="0">
      <w:start w:val="1"/>
      <w:numFmt w:val="decimal"/>
      <w:lvlText w:val="%7."/>
      <w:lvlJc w:val="left"/>
      <w:pPr>
        <w:ind w:left="3221" w:hanging="440"/>
      </w:pPr>
    </w:lvl>
    <w:lvl w:ilvl="7" w:tentative="0">
      <w:start w:val="1"/>
      <w:numFmt w:val="lowerLetter"/>
      <w:lvlText w:val="%8)"/>
      <w:lvlJc w:val="left"/>
      <w:pPr>
        <w:ind w:left="3661" w:hanging="440"/>
      </w:pPr>
    </w:lvl>
    <w:lvl w:ilvl="8" w:tentative="0">
      <w:start w:val="1"/>
      <w:numFmt w:val="lowerRoman"/>
      <w:lvlText w:val="%9."/>
      <w:lvlJc w:val="right"/>
      <w:pPr>
        <w:ind w:left="4101" w:hanging="440"/>
      </w:pPr>
    </w:lvl>
  </w:abstractNum>
  <w:abstractNum w:abstractNumId="13">
    <w:nsid w:val="0B641ACD"/>
    <w:multiLevelType w:val="multilevel"/>
    <w:tmpl w:val="0B641ACD"/>
    <w:lvl w:ilvl="0" w:tentative="0">
      <w:start w:val="1"/>
      <w:numFmt w:val="decimal"/>
      <w:lvlText w:val="%1)"/>
      <w:lvlJc w:val="left"/>
      <w:pPr>
        <w:ind w:left="1160" w:hanging="440"/>
      </w:pPr>
    </w:lvl>
    <w:lvl w:ilvl="1" w:tentative="0">
      <w:start w:val="1"/>
      <w:numFmt w:val="decimal"/>
      <w:lvlText w:val="%2)"/>
      <w:lvlJc w:val="left"/>
      <w:pPr>
        <w:ind w:left="865" w:hanging="440"/>
      </w:pPr>
      <w:rPr>
        <w:b w:val="0"/>
        <w:bCs w:val="0"/>
      </w:rPr>
    </w:lvl>
    <w:lvl w:ilvl="2" w:tentative="0">
      <w:start w:val="1"/>
      <w:numFmt w:val="lowerRoman"/>
      <w:lvlText w:val="%3."/>
      <w:lvlJc w:val="right"/>
      <w:pPr>
        <w:ind w:left="2040" w:hanging="440"/>
      </w:pPr>
    </w:lvl>
    <w:lvl w:ilvl="3" w:tentative="0">
      <w:start w:val="1"/>
      <w:numFmt w:val="decimal"/>
      <w:lvlText w:val="%4."/>
      <w:lvlJc w:val="left"/>
      <w:pPr>
        <w:ind w:left="2480" w:hanging="440"/>
      </w:pPr>
    </w:lvl>
    <w:lvl w:ilvl="4" w:tentative="0">
      <w:start w:val="1"/>
      <w:numFmt w:val="lowerLetter"/>
      <w:lvlText w:val="%5)"/>
      <w:lvlJc w:val="left"/>
      <w:pPr>
        <w:ind w:left="2920" w:hanging="440"/>
      </w:pPr>
    </w:lvl>
    <w:lvl w:ilvl="5" w:tentative="0">
      <w:start w:val="1"/>
      <w:numFmt w:val="lowerRoman"/>
      <w:lvlText w:val="%6."/>
      <w:lvlJc w:val="right"/>
      <w:pPr>
        <w:ind w:left="3360" w:hanging="440"/>
      </w:pPr>
    </w:lvl>
    <w:lvl w:ilvl="6" w:tentative="0">
      <w:start w:val="1"/>
      <w:numFmt w:val="decimal"/>
      <w:lvlText w:val="%7."/>
      <w:lvlJc w:val="left"/>
      <w:pPr>
        <w:ind w:left="3800" w:hanging="440"/>
      </w:pPr>
    </w:lvl>
    <w:lvl w:ilvl="7" w:tentative="0">
      <w:start w:val="1"/>
      <w:numFmt w:val="lowerLetter"/>
      <w:lvlText w:val="%8)"/>
      <w:lvlJc w:val="left"/>
      <w:pPr>
        <w:ind w:left="4240" w:hanging="440"/>
      </w:pPr>
    </w:lvl>
    <w:lvl w:ilvl="8" w:tentative="0">
      <w:start w:val="1"/>
      <w:numFmt w:val="lowerRoman"/>
      <w:lvlText w:val="%9."/>
      <w:lvlJc w:val="right"/>
      <w:pPr>
        <w:ind w:left="4680" w:hanging="440"/>
      </w:pPr>
    </w:lvl>
  </w:abstractNum>
  <w:abstractNum w:abstractNumId="14">
    <w:nsid w:val="0CED1D82"/>
    <w:multiLevelType w:val="singleLevel"/>
    <w:tmpl w:val="0CED1D82"/>
    <w:lvl w:ilvl="0" w:tentative="0">
      <w:start w:val="1"/>
      <w:numFmt w:val="decimal"/>
      <w:lvlText w:val="(%1)"/>
      <w:lvlJc w:val="left"/>
      <w:pPr>
        <w:ind w:left="850" w:hanging="425"/>
      </w:pPr>
      <w:rPr>
        <w:rFonts w:hint="default"/>
      </w:rPr>
    </w:lvl>
  </w:abstractNum>
  <w:abstractNum w:abstractNumId="15">
    <w:nsid w:val="0F817B11"/>
    <w:multiLevelType w:val="multilevel"/>
    <w:tmpl w:val="0F817B11"/>
    <w:lvl w:ilvl="0" w:tentative="0">
      <w:start w:val="1"/>
      <w:numFmt w:val="decimal"/>
      <w:lvlText w:val="%1."/>
      <w:lvlJc w:val="left"/>
      <w:pPr>
        <w:ind w:left="502" w:hanging="360"/>
      </w:pPr>
      <w:rPr>
        <w:rFonts w:hint="default"/>
        <w:b w:val="0"/>
        <w:bCs w:val="0"/>
      </w:rPr>
    </w:lvl>
    <w:lvl w:ilvl="1" w:tentative="0">
      <w:start w:val="1"/>
      <w:numFmt w:val="lowerLetter"/>
      <w:lvlText w:val="%2)"/>
      <w:lvlJc w:val="left"/>
      <w:pPr>
        <w:ind w:left="1022" w:hanging="440"/>
      </w:pPr>
    </w:lvl>
    <w:lvl w:ilvl="2" w:tentative="0">
      <w:start w:val="1"/>
      <w:numFmt w:val="lowerRoman"/>
      <w:lvlText w:val="%3."/>
      <w:lvlJc w:val="right"/>
      <w:pPr>
        <w:ind w:left="1462" w:hanging="440"/>
      </w:pPr>
    </w:lvl>
    <w:lvl w:ilvl="3" w:tentative="0">
      <w:start w:val="1"/>
      <w:numFmt w:val="decimal"/>
      <w:lvlText w:val="%4."/>
      <w:lvlJc w:val="left"/>
      <w:pPr>
        <w:ind w:left="1902" w:hanging="440"/>
      </w:pPr>
    </w:lvl>
    <w:lvl w:ilvl="4" w:tentative="0">
      <w:start w:val="1"/>
      <w:numFmt w:val="lowerLetter"/>
      <w:lvlText w:val="%5)"/>
      <w:lvlJc w:val="left"/>
      <w:pPr>
        <w:ind w:left="2342" w:hanging="440"/>
      </w:pPr>
    </w:lvl>
    <w:lvl w:ilvl="5" w:tentative="0">
      <w:start w:val="1"/>
      <w:numFmt w:val="lowerRoman"/>
      <w:lvlText w:val="%6."/>
      <w:lvlJc w:val="right"/>
      <w:pPr>
        <w:ind w:left="2782" w:hanging="440"/>
      </w:pPr>
    </w:lvl>
    <w:lvl w:ilvl="6" w:tentative="0">
      <w:start w:val="1"/>
      <w:numFmt w:val="decimal"/>
      <w:lvlText w:val="%7."/>
      <w:lvlJc w:val="left"/>
      <w:pPr>
        <w:ind w:left="3222" w:hanging="440"/>
      </w:pPr>
    </w:lvl>
    <w:lvl w:ilvl="7" w:tentative="0">
      <w:start w:val="1"/>
      <w:numFmt w:val="lowerLetter"/>
      <w:lvlText w:val="%8)"/>
      <w:lvlJc w:val="left"/>
      <w:pPr>
        <w:ind w:left="3662" w:hanging="440"/>
      </w:pPr>
    </w:lvl>
    <w:lvl w:ilvl="8" w:tentative="0">
      <w:start w:val="1"/>
      <w:numFmt w:val="lowerRoman"/>
      <w:lvlText w:val="%9."/>
      <w:lvlJc w:val="right"/>
      <w:pPr>
        <w:ind w:left="4102" w:hanging="440"/>
      </w:pPr>
    </w:lvl>
  </w:abstractNum>
  <w:abstractNum w:abstractNumId="16">
    <w:nsid w:val="13D04E7C"/>
    <w:multiLevelType w:val="multilevel"/>
    <w:tmpl w:val="13D04E7C"/>
    <w:lvl w:ilvl="0" w:tentative="0">
      <w:start w:val="1"/>
      <w:numFmt w:val="decimal"/>
      <w:lvlText w:val="%1."/>
      <w:lvlJc w:val="left"/>
      <w:pPr>
        <w:ind w:left="501" w:hanging="360"/>
      </w:pPr>
      <w:rPr>
        <w:rFonts w:hint="default"/>
        <w:b w:val="0"/>
        <w:bCs w:val="0"/>
      </w:rPr>
    </w:lvl>
    <w:lvl w:ilvl="1" w:tentative="0">
      <w:start w:val="1"/>
      <w:numFmt w:val="lowerLetter"/>
      <w:lvlText w:val="%2)"/>
      <w:lvlJc w:val="left"/>
      <w:pPr>
        <w:ind w:left="1021" w:hanging="440"/>
      </w:pPr>
    </w:lvl>
    <w:lvl w:ilvl="2" w:tentative="0">
      <w:start w:val="1"/>
      <w:numFmt w:val="lowerRoman"/>
      <w:lvlText w:val="%3."/>
      <w:lvlJc w:val="right"/>
      <w:pPr>
        <w:ind w:left="1461" w:hanging="440"/>
      </w:pPr>
    </w:lvl>
    <w:lvl w:ilvl="3" w:tentative="0">
      <w:start w:val="1"/>
      <w:numFmt w:val="decimal"/>
      <w:lvlText w:val="%4."/>
      <w:lvlJc w:val="left"/>
      <w:pPr>
        <w:ind w:left="1901" w:hanging="440"/>
      </w:pPr>
    </w:lvl>
    <w:lvl w:ilvl="4" w:tentative="0">
      <w:start w:val="1"/>
      <w:numFmt w:val="lowerLetter"/>
      <w:lvlText w:val="%5)"/>
      <w:lvlJc w:val="left"/>
      <w:pPr>
        <w:ind w:left="2341" w:hanging="440"/>
      </w:pPr>
    </w:lvl>
    <w:lvl w:ilvl="5" w:tentative="0">
      <w:start w:val="1"/>
      <w:numFmt w:val="lowerRoman"/>
      <w:lvlText w:val="%6."/>
      <w:lvlJc w:val="right"/>
      <w:pPr>
        <w:ind w:left="2781" w:hanging="440"/>
      </w:pPr>
    </w:lvl>
    <w:lvl w:ilvl="6" w:tentative="0">
      <w:start w:val="1"/>
      <w:numFmt w:val="decimal"/>
      <w:lvlText w:val="%7."/>
      <w:lvlJc w:val="left"/>
      <w:pPr>
        <w:ind w:left="3221" w:hanging="440"/>
      </w:pPr>
    </w:lvl>
    <w:lvl w:ilvl="7" w:tentative="0">
      <w:start w:val="1"/>
      <w:numFmt w:val="lowerLetter"/>
      <w:lvlText w:val="%8)"/>
      <w:lvlJc w:val="left"/>
      <w:pPr>
        <w:ind w:left="3661" w:hanging="440"/>
      </w:pPr>
    </w:lvl>
    <w:lvl w:ilvl="8" w:tentative="0">
      <w:start w:val="1"/>
      <w:numFmt w:val="lowerRoman"/>
      <w:lvlText w:val="%9."/>
      <w:lvlJc w:val="right"/>
      <w:pPr>
        <w:ind w:left="4101" w:hanging="440"/>
      </w:pPr>
    </w:lvl>
  </w:abstractNum>
  <w:abstractNum w:abstractNumId="17">
    <w:nsid w:val="17A00903"/>
    <w:multiLevelType w:val="singleLevel"/>
    <w:tmpl w:val="17A00903"/>
    <w:lvl w:ilvl="0" w:tentative="0">
      <w:start w:val="1"/>
      <w:numFmt w:val="decimal"/>
      <w:lvlText w:val="(%1)"/>
      <w:lvlJc w:val="left"/>
      <w:pPr>
        <w:ind w:left="425" w:hanging="425"/>
      </w:pPr>
      <w:rPr>
        <w:rFonts w:hint="default"/>
      </w:rPr>
    </w:lvl>
  </w:abstractNum>
  <w:abstractNum w:abstractNumId="18">
    <w:nsid w:val="181142BB"/>
    <w:multiLevelType w:val="singleLevel"/>
    <w:tmpl w:val="181142BB"/>
    <w:lvl w:ilvl="0" w:tentative="0">
      <w:start w:val="1"/>
      <w:numFmt w:val="decimal"/>
      <w:lvlText w:val="(%1)"/>
      <w:lvlJc w:val="left"/>
      <w:pPr>
        <w:ind w:left="425" w:hanging="425"/>
      </w:pPr>
      <w:rPr>
        <w:rFonts w:hint="default"/>
      </w:rPr>
    </w:lvl>
  </w:abstractNum>
  <w:abstractNum w:abstractNumId="19">
    <w:nsid w:val="1A903502"/>
    <w:multiLevelType w:val="multilevel"/>
    <w:tmpl w:val="1A903502"/>
    <w:lvl w:ilvl="0" w:tentative="0">
      <w:start w:val="1"/>
      <w:numFmt w:val="decimal"/>
      <w:lvlText w:val="%1."/>
      <w:lvlJc w:val="left"/>
      <w:pPr>
        <w:ind w:left="600" w:hanging="440"/>
      </w:pPr>
    </w:lvl>
    <w:lvl w:ilvl="1" w:tentative="0">
      <w:start w:val="1"/>
      <w:numFmt w:val="lowerLetter"/>
      <w:lvlText w:val="%2)"/>
      <w:lvlJc w:val="left"/>
      <w:pPr>
        <w:ind w:left="1040" w:hanging="440"/>
      </w:pPr>
    </w:lvl>
    <w:lvl w:ilvl="2" w:tentative="0">
      <w:start w:val="1"/>
      <w:numFmt w:val="lowerRoman"/>
      <w:lvlText w:val="%3."/>
      <w:lvlJc w:val="right"/>
      <w:pPr>
        <w:ind w:left="1480" w:hanging="440"/>
      </w:pPr>
    </w:lvl>
    <w:lvl w:ilvl="3" w:tentative="0">
      <w:start w:val="1"/>
      <w:numFmt w:val="decimal"/>
      <w:lvlText w:val="%4."/>
      <w:lvlJc w:val="left"/>
      <w:pPr>
        <w:ind w:left="1920" w:hanging="440"/>
      </w:pPr>
    </w:lvl>
    <w:lvl w:ilvl="4" w:tentative="0">
      <w:start w:val="1"/>
      <w:numFmt w:val="lowerLetter"/>
      <w:lvlText w:val="%5)"/>
      <w:lvlJc w:val="left"/>
      <w:pPr>
        <w:ind w:left="2360" w:hanging="440"/>
      </w:pPr>
    </w:lvl>
    <w:lvl w:ilvl="5" w:tentative="0">
      <w:start w:val="1"/>
      <w:numFmt w:val="lowerRoman"/>
      <w:lvlText w:val="%6."/>
      <w:lvlJc w:val="right"/>
      <w:pPr>
        <w:ind w:left="2800" w:hanging="440"/>
      </w:pPr>
    </w:lvl>
    <w:lvl w:ilvl="6" w:tentative="0">
      <w:start w:val="1"/>
      <w:numFmt w:val="decimal"/>
      <w:lvlText w:val="%7."/>
      <w:lvlJc w:val="left"/>
      <w:pPr>
        <w:ind w:left="3240" w:hanging="440"/>
      </w:pPr>
    </w:lvl>
    <w:lvl w:ilvl="7" w:tentative="0">
      <w:start w:val="1"/>
      <w:numFmt w:val="lowerLetter"/>
      <w:lvlText w:val="%8)"/>
      <w:lvlJc w:val="left"/>
      <w:pPr>
        <w:ind w:left="3680" w:hanging="440"/>
      </w:pPr>
    </w:lvl>
    <w:lvl w:ilvl="8" w:tentative="0">
      <w:start w:val="1"/>
      <w:numFmt w:val="lowerRoman"/>
      <w:lvlText w:val="%9."/>
      <w:lvlJc w:val="right"/>
      <w:pPr>
        <w:ind w:left="4120" w:hanging="440"/>
      </w:pPr>
    </w:lvl>
  </w:abstractNum>
  <w:abstractNum w:abstractNumId="20">
    <w:nsid w:val="1B3A2C4C"/>
    <w:multiLevelType w:val="singleLevel"/>
    <w:tmpl w:val="1B3A2C4C"/>
    <w:lvl w:ilvl="0" w:tentative="0">
      <w:start w:val="1"/>
      <w:numFmt w:val="decimal"/>
      <w:lvlText w:val="(%1)"/>
      <w:lvlJc w:val="left"/>
      <w:pPr>
        <w:ind w:left="708" w:hanging="425"/>
      </w:pPr>
      <w:rPr>
        <w:rFonts w:hint="default"/>
      </w:rPr>
    </w:lvl>
  </w:abstractNum>
  <w:abstractNum w:abstractNumId="21">
    <w:nsid w:val="1BE73212"/>
    <w:multiLevelType w:val="multilevel"/>
    <w:tmpl w:val="1BE73212"/>
    <w:lvl w:ilvl="0" w:tentative="0">
      <w:start w:val="1"/>
      <w:numFmt w:val="decimal"/>
      <w:lvlText w:val="%1."/>
      <w:lvlJc w:val="left"/>
      <w:pPr>
        <w:ind w:left="644" w:hanging="360"/>
      </w:pPr>
      <w:rPr>
        <w:rFonts w:hint="default"/>
        <w:b w:val="0"/>
        <w:bCs w:val="0"/>
      </w:rPr>
    </w:lvl>
    <w:lvl w:ilvl="1" w:tentative="0">
      <w:start w:val="1"/>
      <w:numFmt w:val="lowerLetter"/>
      <w:lvlText w:val="%2)"/>
      <w:lvlJc w:val="left"/>
      <w:pPr>
        <w:ind w:left="1309" w:hanging="440"/>
      </w:pPr>
    </w:lvl>
    <w:lvl w:ilvl="2" w:tentative="0">
      <w:start w:val="1"/>
      <w:numFmt w:val="lowerRoman"/>
      <w:lvlText w:val="%3."/>
      <w:lvlJc w:val="right"/>
      <w:pPr>
        <w:ind w:left="1749" w:hanging="440"/>
      </w:pPr>
    </w:lvl>
    <w:lvl w:ilvl="3" w:tentative="0">
      <w:start w:val="1"/>
      <w:numFmt w:val="decimal"/>
      <w:lvlText w:val="%4."/>
      <w:lvlJc w:val="left"/>
      <w:pPr>
        <w:ind w:left="2189" w:hanging="440"/>
      </w:pPr>
    </w:lvl>
    <w:lvl w:ilvl="4" w:tentative="0">
      <w:start w:val="1"/>
      <w:numFmt w:val="lowerLetter"/>
      <w:lvlText w:val="%5)"/>
      <w:lvlJc w:val="left"/>
      <w:pPr>
        <w:ind w:left="2629" w:hanging="440"/>
      </w:pPr>
    </w:lvl>
    <w:lvl w:ilvl="5" w:tentative="0">
      <w:start w:val="1"/>
      <w:numFmt w:val="lowerRoman"/>
      <w:lvlText w:val="%6."/>
      <w:lvlJc w:val="right"/>
      <w:pPr>
        <w:ind w:left="3069" w:hanging="440"/>
      </w:pPr>
    </w:lvl>
    <w:lvl w:ilvl="6" w:tentative="0">
      <w:start w:val="1"/>
      <w:numFmt w:val="decimal"/>
      <w:lvlText w:val="%7."/>
      <w:lvlJc w:val="left"/>
      <w:pPr>
        <w:ind w:left="3509" w:hanging="440"/>
      </w:pPr>
    </w:lvl>
    <w:lvl w:ilvl="7" w:tentative="0">
      <w:start w:val="1"/>
      <w:numFmt w:val="lowerLetter"/>
      <w:lvlText w:val="%8)"/>
      <w:lvlJc w:val="left"/>
      <w:pPr>
        <w:ind w:left="3949" w:hanging="440"/>
      </w:pPr>
    </w:lvl>
    <w:lvl w:ilvl="8" w:tentative="0">
      <w:start w:val="1"/>
      <w:numFmt w:val="lowerRoman"/>
      <w:lvlText w:val="%9."/>
      <w:lvlJc w:val="right"/>
      <w:pPr>
        <w:ind w:left="4389" w:hanging="440"/>
      </w:pPr>
    </w:lvl>
  </w:abstractNum>
  <w:abstractNum w:abstractNumId="22">
    <w:nsid w:val="27900714"/>
    <w:multiLevelType w:val="multilevel"/>
    <w:tmpl w:val="27900714"/>
    <w:lvl w:ilvl="0" w:tentative="0">
      <w:start w:val="1"/>
      <w:numFmt w:val="decimal"/>
      <w:lvlText w:val="%1."/>
      <w:lvlJc w:val="left"/>
      <w:pPr>
        <w:ind w:left="502" w:hanging="360"/>
      </w:pPr>
      <w:rPr>
        <w:rFonts w:hint="default"/>
        <w:b w:val="0"/>
        <w:bCs w:val="0"/>
      </w:rPr>
    </w:lvl>
    <w:lvl w:ilvl="1" w:tentative="0">
      <w:start w:val="1"/>
      <w:numFmt w:val="lowerLetter"/>
      <w:lvlText w:val="%2)"/>
      <w:lvlJc w:val="left"/>
      <w:pPr>
        <w:ind w:left="1022" w:hanging="440"/>
      </w:pPr>
    </w:lvl>
    <w:lvl w:ilvl="2" w:tentative="0">
      <w:start w:val="1"/>
      <w:numFmt w:val="lowerRoman"/>
      <w:lvlText w:val="%3."/>
      <w:lvlJc w:val="right"/>
      <w:pPr>
        <w:ind w:left="1462" w:hanging="440"/>
      </w:pPr>
    </w:lvl>
    <w:lvl w:ilvl="3" w:tentative="0">
      <w:start w:val="1"/>
      <w:numFmt w:val="decimal"/>
      <w:lvlText w:val="%4."/>
      <w:lvlJc w:val="left"/>
      <w:pPr>
        <w:ind w:left="1902" w:hanging="440"/>
      </w:pPr>
    </w:lvl>
    <w:lvl w:ilvl="4" w:tentative="0">
      <w:start w:val="1"/>
      <w:numFmt w:val="lowerLetter"/>
      <w:lvlText w:val="%5)"/>
      <w:lvlJc w:val="left"/>
      <w:pPr>
        <w:ind w:left="2342" w:hanging="440"/>
      </w:pPr>
    </w:lvl>
    <w:lvl w:ilvl="5" w:tentative="0">
      <w:start w:val="1"/>
      <w:numFmt w:val="lowerRoman"/>
      <w:lvlText w:val="%6."/>
      <w:lvlJc w:val="right"/>
      <w:pPr>
        <w:ind w:left="2782" w:hanging="440"/>
      </w:pPr>
    </w:lvl>
    <w:lvl w:ilvl="6" w:tentative="0">
      <w:start w:val="1"/>
      <w:numFmt w:val="decimal"/>
      <w:lvlText w:val="%7."/>
      <w:lvlJc w:val="left"/>
      <w:pPr>
        <w:ind w:left="3222" w:hanging="440"/>
      </w:pPr>
    </w:lvl>
    <w:lvl w:ilvl="7" w:tentative="0">
      <w:start w:val="1"/>
      <w:numFmt w:val="lowerLetter"/>
      <w:lvlText w:val="%8)"/>
      <w:lvlJc w:val="left"/>
      <w:pPr>
        <w:ind w:left="3662" w:hanging="440"/>
      </w:pPr>
    </w:lvl>
    <w:lvl w:ilvl="8" w:tentative="0">
      <w:start w:val="1"/>
      <w:numFmt w:val="lowerRoman"/>
      <w:lvlText w:val="%9."/>
      <w:lvlJc w:val="right"/>
      <w:pPr>
        <w:ind w:left="4102" w:hanging="440"/>
      </w:pPr>
    </w:lvl>
  </w:abstractNum>
  <w:abstractNum w:abstractNumId="23">
    <w:nsid w:val="28E0549A"/>
    <w:multiLevelType w:val="multilevel"/>
    <w:tmpl w:val="28E0549A"/>
    <w:lvl w:ilvl="0" w:tentative="0">
      <w:start w:val="1"/>
      <w:numFmt w:val="decimal"/>
      <w:lvlText w:val="%1."/>
      <w:lvlJc w:val="left"/>
      <w:pPr>
        <w:ind w:left="42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4">
    <w:nsid w:val="2DAC4B47"/>
    <w:multiLevelType w:val="singleLevel"/>
    <w:tmpl w:val="2DAC4B47"/>
    <w:lvl w:ilvl="0" w:tentative="0">
      <w:start w:val="1"/>
      <w:numFmt w:val="decimal"/>
      <w:lvlText w:val="(%1)"/>
      <w:lvlJc w:val="left"/>
      <w:pPr>
        <w:ind w:left="850" w:hanging="425"/>
      </w:pPr>
      <w:rPr>
        <w:rFonts w:hint="default"/>
      </w:rPr>
    </w:lvl>
  </w:abstractNum>
  <w:abstractNum w:abstractNumId="25">
    <w:nsid w:val="358B611F"/>
    <w:multiLevelType w:val="multilevel"/>
    <w:tmpl w:val="358B611F"/>
    <w:lvl w:ilvl="0" w:tentative="0">
      <w:start w:val="1"/>
      <w:numFmt w:val="chineseCountingThousand"/>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6">
    <w:nsid w:val="360FBA86"/>
    <w:multiLevelType w:val="singleLevel"/>
    <w:tmpl w:val="360FBA86"/>
    <w:lvl w:ilvl="0" w:tentative="0">
      <w:start w:val="1"/>
      <w:numFmt w:val="decimal"/>
      <w:lvlText w:val="%1."/>
      <w:lvlJc w:val="left"/>
      <w:pPr>
        <w:ind w:left="425" w:hanging="425"/>
      </w:pPr>
      <w:rPr>
        <w:rFonts w:hint="default"/>
      </w:rPr>
    </w:lvl>
  </w:abstractNum>
  <w:abstractNum w:abstractNumId="27">
    <w:nsid w:val="3B4341E2"/>
    <w:multiLevelType w:val="multilevel"/>
    <w:tmpl w:val="3B4341E2"/>
    <w:lvl w:ilvl="0" w:tentative="0">
      <w:start w:val="1"/>
      <w:numFmt w:val="decimal"/>
      <w:lvlText w:val="%1."/>
      <w:lvlJc w:val="left"/>
      <w:pPr>
        <w:ind w:left="42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8">
    <w:nsid w:val="3DBF0D51"/>
    <w:multiLevelType w:val="multilevel"/>
    <w:tmpl w:val="3DBF0D51"/>
    <w:lvl w:ilvl="0" w:tentative="0">
      <w:start w:val="1"/>
      <w:numFmt w:val="decimal"/>
      <w:lvlText w:val="%1."/>
      <w:lvlJc w:val="left"/>
      <w:pPr>
        <w:ind w:left="501" w:hanging="360"/>
      </w:pPr>
      <w:rPr>
        <w:rFonts w:hint="default"/>
        <w:b/>
      </w:rPr>
    </w:lvl>
    <w:lvl w:ilvl="1" w:tentative="0">
      <w:start w:val="1"/>
      <w:numFmt w:val="lowerLetter"/>
      <w:lvlText w:val="%2)"/>
      <w:lvlJc w:val="left"/>
      <w:pPr>
        <w:ind w:left="1021" w:hanging="440"/>
      </w:pPr>
    </w:lvl>
    <w:lvl w:ilvl="2" w:tentative="0">
      <w:start w:val="1"/>
      <w:numFmt w:val="lowerRoman"/>
      <w:lvlText w:val="%3."/>
      <w:lvlJc w:val="right"/>
      <w:pPr>
        <w:ind w:left="1461" w:hanging="440"/>
      </w:pPr>
    </w:lvl>
    <w:lvl w:ilvl="3" w:tentative="0">
      <w:start w:val="1"/>
      <w:numFmt w:val="decimal"/>
      <w:lvlText w:val="%4."/>
      <w:lvlJc w:val="left"/>
      <w:pPr>
        <w:ind w:left="1901" w:hanging="440"/>
      </w:pPr>
    </w:lvl>
    <w:lvl w:ilvl="4" w:tentative="0">
      <w:start w:val="1"/>
      <w:numFmt w:val="lowerLetter"/>
      <w:lvlText w:val="%5)"/>
      <w:lvlJc w:val="left"/>
      <w:pPr>
        <w:ind w:left="2341" w:hanging="440"/>
      </w:pPr>
    </w:lvl>
    <w:lvl w:ilvl="5" w:tentative="0">
      <w:start w:val="1"/>
      <w:numFmt w:val="lowerRoman"/>
      <w:lvlText w:val="%6."/>
      <w:lvlJc w:val="right"/>
      <w:pPr>
        <w:ind w:left="2781" w:hanging="440"/>
      </w:pPr>
    </w:lvl>
    <w:lvl w:ilvl="6" w:tentative="0">
      <w:start w:val="1"/>
      <w:numFmt w:val="decimal"/>
      <w:lvlText w:val="%7."/>
      <w:lvlJc w:val="left"/>
      <w:pPr>
        <w:ind w:left="3221" w:hanging="440"/>
      </w:pPr>
    </w:lvl>
    <w:lvl w:ilvl="7" w:tentative="0">
      <w:start w:val="1"/>
      <w:numFmt w:val="lowerLetter"/>
      <w:lvlText w:val="%8)"/>
      <w:lvlJc w:val="left"/>
      <w:pPr>
        <w:ind w:left="3661" w:hanging="440"/>
      </w:pPr>
    </w:lvl>
    <w:lvl w:ilvl="8" w:tentative="0">
      <w:start w:val="1"/>
      <w:numFmt w:val="lowerRoman"/>
      <w:lvlText w:val="%9."/>
      <w:lvlJc w:val="right"/>
      <w:pPr>
        <w:ind w:left="4101" w:hanging="440"/>
      </w:pPr>
    </w:lvl>
  </w:abstractNum>
  <w:abstractNum w:abstractNumId="29">
    <w:nsid w:val="3DC31435"/>
    <w:multiLevelType w:val="multilevel"/>
    <w:tmpl w:val="3DC31435"/>
    <w:lvl w:ilvl="0" w:tentative="0">
      <w:start w:val="1"/>
      <w:numFmt w:val="decimal"/>
      <w:lvlText w:val="%1."/>
      <w:lvlJc w:val="left"/>
      <w:pPr>
        <w:ind w:left="789" w:hanging="360"/>
      </w:pPr>
      <w:rPr>
        <w:rFonts w:hint="default"/>
        <w:b/>
      </w:rPr>
    </w:lvl>
    <w:lvl w:ilvl="1" w:tentative="0">
      <w:start w:val="1"/>
      <w:numFmt w:val="lowerLetter"/>
      <w:lvlText w:val="%2)"/>
      <w:lvlJc w:val="left"/>
      <w:pPr>
        <w:ind w:left="1309" w:hanging="440"/>
      </w:pPr>
    </w:lvl>
    <w:lvl w:ilvl="2" w:tentative="0">
      <w:start w:val="1"/>
      <w:numFmt w:val="lowerRoman"/>
      <w:lvlText w:val="%3."/>
      <w:lvlJc w:val="right"/>
      <w:pPr>
        <w:ind w:left="1749" w:hanging="440"/>
      </w:pPr>
    </w:lvl>
    <w:lvl w:ilvl="3" w:tentative="0">
      <w:start w:val="1"/>
      <w:numFmt w:val="decimal"/>
      <w:lvlText w:val="%4."/>
      <w:lvlJc w:val="left"/>
      <w:pPr>
        <w:ind w:left="2189" w:hanging="440"/>
      </w:pPr>
    </w:lvl>
    <w:lvl w:ilvl="4" w:tentative="0">
      <w:start w:val="1"/>
      <w:numFmt w:val="lowerLetter"/>
      <w:lvlText w:val="%5)"/>
      <w:lvlJc w:val="left"/>
      <w:pPr>
        <w:ind w:left="2629" w:hanging="440"/>
      </w:pPr>
    </w:lvl>
    <w:lvl w:ilvl="5" w:tentative="0">
      <w:start w:val="1"/>
      <w:numFmt w:val="lowerRoman"/>
      <w:lvlText w:val="%6."/>
      <w:lvlJc w:val="right"/>
      <w:pPr>
        <w:ind w:left="3069" w:hanging="440"/>
      </w:pPr>
    </w:lvl>
    <w:lvl w:ilvl="6" w:tentative="0">
      <w:start w:val="1"/>
      <w:numFmt w:val="decimal"/>
      <w:lvlText w:val="%7."/>
      <w:lvlJc w:val="left"/>
      <w:pPr>
        <w:ind w:left="3509" w:hanging="440"/>
      </w:pPr>
    </w:lvl>
    <w:lvl w:ilvl="7" w:tentative="0">
      <w:start w:val="1"/>
      <w:numFmt w:val="lowerLetter"/>
      <w:lvlText w:val="%8)"/>
      <w:lvlJc w:val="left"/>
      <w:pPr>
        <w:ind w:left="3949" w:hanging="440"/>
      </w:pPr>
    </w:lvl>
    <w:lvl w:ilvl="8" w:tentative="0">
      <w:start w:val="1"/>
      <w:numFmt w:val="lowerRoman"/>
      <w:lvlText w:val="%9."/>
      <w:lvlJc w:val="right"/>
      <w:pPr>
        <w:ind w:left="4389" w:hanging="440"/>
      </w:pPr>
    </w:lvl>
  </w:abstractNum>
  <w:abstractNum w:abstractNumId="30">
    <w:nsid w:val="3EB02898"/>
    <w:multiLevelType w:val="multilevel"/>
    <w:tmpl w:val="3EB02898"/>
    <w:lvl w:ilvl="0" w:tentative="0">
      <w:start w:val="1"/>
      <w:numFmt w:val="decimal"/>
      <w:lvlText w:val="%1."/>
      <w:lvlJc w:val="left"/>
      <w:pPr>
        <w:ind w:left="600" w:hanging="440"/>
      </w:pPr>
    </w:lvl>
    <w:lvl w:ilvl="1" w:tentative="0">
      <w:start w:val="1"/>
      <w:numFmt w:val="lowerLetter"/>
      <w:lvlText w:val="%2)"/>
      <w:lvlJc w:val="left"/>
      <w:pPr>
        <w:ind w:left="1040" w:hanging="440"/>
      </w:pPr>
    </w:lvl>
    <w:lvl w:ilvl="2" w:tentative="0">
      <w:start w:val="1"/>
      <w:numFmt w:val="lowerRoman"/>
      <w:lvlText w:val="%3."/>
      <w:lvlJc w:val="right"/>
      <w:pPr>
        <w:ind w:left="1480" w:hanging="440"/>
      </w:pPr>
    </w:lvl>
    <w:lvl w:ilvl="3" w:tentative="0">
      <w:start w:val="1"/>
      <w:numFmt w:val="decimal"/>
      <w:lvlText w:val="%4."/>
      <w:lvlJc w:val="left"/>
      <w:pPr>
        <w:ind w:left="1920" w:hanging="440"/>
      </w:pPr>
    </w:lvl>
    <w:lvl w:ilvl="4" w:tentative="0">
      <w:start w:val="1"/>
      <w:numFmt w:val="lowerLetter"/>
      <w:lvlText w:val="%5)"/>
      <w:lvlJc w:val="left"/>
      <w:pPr>
        <w:ind w:left="2360" w:hanging="440"/>
      </w:pPr>
    </w:lvl>
    <w:lvl w:ilvl="5" w:tentative="0">
      <w:start w:val="1"/>
      <w:numFmt w:val="lowerRoman"/>
      <w:lvlText w:val="%6."/>
      <w:lvlJc w:val="right"/>
      <w:pPr>
        <w:ind w:left="2800" w:hanging="440"/>
      </w:pPr>
    </w:lvl>
    <w:lvl w:ilvl="6" w:tentative="0">
      <w:start w:val="1"/>
      <w:numFmt w:val="decimal"/>
      <w:lvlText w:val="%7."/>
      <w:lvlJc w:val="left"/>
      <w:pPr>
        <w:ind w:left="3240" w:hanging="440"/>
      </w:pPr>
    </w:lvl>
    <w:lvl w:ilvl="7" w:tentative="0">
      <w:start w:val="1"/>
      <w:numFmt w:val="lowerLetter"/>
      <w:lvlText w:val="%8)"/>
      <w:lvlJc w:val="left"/>
      <w:pPr>
        <w:ind w:left="3680" w:hanging="440"/>
      </w:pPr>
    </w:lvl>
    <w:lvl w:ilvl="8" w:tentative="0">
      <w:start w:val="1"/>
      <w:numFmt w:val="lowerRoman"/>
      <w:lvlText w:val="%9."/>
      <w:lvlJc w:val="right"/>
      <w:pPr>
        <w:ind w:left="4120" w:hanging="440"/>
      </w:pPr>
    </w:lvl>
  </w:abstractNum>
  <w:abstractNum w:abstractNumId="31">
    <w:nsid w:val="42B37FA9"/>
    <w:multiLevelType w:val="multilevel"/>
    <w:tmpl w:val="42B37FA9"/>
    <w:lvl w:ilvl="0" w:tentative="0">
      <w:start w:val="1"/>
      <w:numFmt w:val="decimal"/>
      <w:lvlText w:val="%1."/>
      <w:lvlJc w:val="left"/>
      <w:pPr>
        <w:ind w:left="501" w:hanging="360"/>
      </w:pPr>
      <w:rPr>
        <w:rFonts w:hint="default"/>
        <w:b w:val="0"/>
        <w:bCs w:val="0"/>
      </w:rPr>
    </w:lvl>
    <w:lvl w:ilvl="1" w:tentative="0">
      <w:start w:val="1"/>
      <w:numFmt w:val="lowerLetter"/>
      <w:lvlText w:val="%2)"/>
      <w:lvlJc w:val="left"/>
      <w:pPr>
        <w:ind w:left="1021" w:hanging="440"/>
      </w:pPr>
    </w:lvl>
    <w:lvl w:ilvl="2" w:tentative="0">
      <w:start w:val="1"/>
      <w:numFmt w:val="lowerRoman"/>
      <w:lvlText w:val="%3."/>
      <w:lvlJc w:val="right"/>
      <w:pPr>
        <w:ind w:left="1461" w:hanging="440"/>
      </w:pPr>
    </w:lvl>
    <w:lvl w:ilvl="3" w:tentative="0">
      <w:start w:val="1"/>
      <w:numFmt w:val="decimal"/>
      <w:lvlText w:val="%4."/>
      <w:lvlJc w:val="left"/>
      <w:pPr>
        <w:ind w:left="1901" w:hanging="440"/>
      </w:pPr>
    </w:lvl>
    <w:lvl w:ilvl="4" w:tentative="0">
      <w:start w:val="1"/>
      <w:numFmt w:val="lowerLetter"/>
      <w:lvlText w:val="%5)"/>
      <w:lvlJc w:val="left"/>
      <w:pPr>
        <w:ind w:left="2341" w:hanging="440"/>
      </w:pPr>
    </w:lvl>
    <w:lvl w:ilvl="5" w:tentative="0">
      <w:start w:val="1"/>
      <w:numFmt w:val="lowerRoman"/>
      <w:lvlText w:val="%6."/>
      <w:lvlJc w:val="right"/>
      <w:pPr>
        <w:ind w:left="2781" w:hanging="440"/>
      </w:pPr>
    </w:lvl>
    <w:lvl w:ilvl="6" w:tentative="0">
      <w:start w:val="1"/>
      <w:numFmt w:val="decimal"/>
      <w:lvlText w:val="%7."/>
      <w:lvlJc w:val="left"/>
      <w:pPr>
        <w:ind w:left="3221" w:hanging="440"/>
      </w:pPr>
    </w:lvl>
    <w:lvl w:ilvl="7" w:tentative="0">
      <w:start w:val="1"/>
      <w:numFmt w:val="lowerLetter"/>
      <w:lvlText w:val="%8)"/>
      <w:lvlJc w:val="left"/>
      <w:pPr>
        <w:ind w:left="3661" w:hanging="440"/>
      </w:pPr>
    </w:lvl>
    <w:lvl w:ilvl="8" w:tentative="0">
      <w:start w:val="1"/>
      <w:numFmt w:val="lowerRoman"/>
      <w:lvlText w:val="%9."/>
      <w:lvlJc w:val="right"/>
      <w:pPr>
        <w:ind w:left="4101" w:hanging="440"/>
      </w:pPr>
    </w:lvl>
  </w:abstractNum>
  <w:abstractNum w:abstractNumId="32">
    <w:nsid w:val="44FD6560"/>
    <w:multiLevelType w:val="multilevel"/>
    <w:tmpl w:val="44FD6560"/>
    <w:lvl w:ilvl="0" w:tentative="0">
      <w:start w:val="1"/>
      <w:numFmt w:val="chineseCountingThousand"/>
      <w:lvlText w:val="(%1)"/>
      <w:lvlJc w:val="left"/>
      <w:pPr>
        <w:ind w:left="651" w:hanging="440"/>
      </w:pPr>
    </w:lvl>
    <w:lvl w:ilvl="1" w:tentative="0">
      <w:start w:val="1"/>
      <w:numFmt w:val="lowerLetter"/>
      <w:lvlText w:val="%2)"/>
      <w:lvlJc w:val="left"/>
      <w:pPr>
        <w:ind w:left="1091" w:hanging="440"/>
      </w:pPr>
    </w:lvl>
    <w:lvl w:ilvl="2" w:tentative="0">
      <w:start w:val="1"/>
      <w:numFmt w:val="lowerRoman"/>
      <w:lvlText w:val="%3."/>
      <w:lvlJc w:val="right"/>
      <w:pPr>
        <w:ind w:left="1531" w:hanging="440"/>
      </w:pPr>
    </w:lvl>
    <w:lvl w:ilvl="3" w:tentative="0">
      <w:start w:val="1"/>
      <w:numFmt w:val="decimal"/>
      <w:lvlText w:val="%4."/>
      <w:lvlJc w:val="left"/>
      <w:pPr>
        <w:ind w:left="1971" w:hanging="440"/>
      </w:pPr>
    </w:lvl>
    <w:lvl w:ilvl="4" w:tentative="0">
      <w:start w:val="1"/>
      <w:numFmt w:val="lowerLetter"/>
      <w:lvlText w:val="%5)"/>
      <w:lvlJc w:val="left"/>
      <w:pPr>
        <w:ind w:left="2411" w:hanging="440"/>
      </w:pPr>
    </w:lvl>
    <w:lvl w:ilvl="5" w:tentative="0">
      <w:start w:val="1"/>
      <w:numFmt w:val="lowerRoman"/>
      <w:lvlText w:val="%6."/>
      <w:lvlJc w:val="right"/>
      <w:pPr>
        <w:ind w:left="2851" w:hanging="440"/>
      </w:pPr>
    </w:lvl>
    <w:lvl w:ilvl="6" w:tentative="0">
      <w:start w:val="1"/>
      <w:numFmt w:val="decimal"/>
      <w:lvlText w:val="%7."/>
      <w:lvlJc w:val="left"/>
      <w:pPr>
        <w:ind w:left="3291" w:hanging="440"/>
      </w:pPr>
    </w:lvl>
    <w:lvl w:ilvl="7" w:tentative="0">
      <w:start w:val="1"/>
      <w:numFmt w:val="lowerLetter"/>
      <w:lvlText w:val="%8)"/>
      <w:lvlJc w:val="left"/>
      <w:pPr>
        <w:ind w:left="3731" w:hanging="440"/>
      </w:pPr>
    </w:lvl>
    <w:lvl w:ilvl="8" w:tentative="0">
      <w:start w:val="1"/>
      <w:numFmt w:val="lowerRoman"/>
      <w:lvlText w:val="%9."/>
      <w:lvlJc w:val="right"/>
      <w:pPr>
        <w:ind w:left="4171" w:hanging="440"/>
      </w:pPr>
    </w:lvl>
  </w:abstractNum>
  <w:abstractNum w:abstractNumId="33">
    <w:nsid w:val="45B92059"/>
    <w:multiLevelType w:val="multilevel"/>
    <w:tmpl w:val="45B92059"/>
    <w:lvl w:ilvl="0" w:tentative="0">
      <w:start w:val="1"/>
      <w:numFmt w:val="decimal"/>
      <w:lvlText w:val="%1."/>
      <w:lvlJc w:val="left"/>
      <w:pPr>
        <w:ind w:left="42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4">
    <w:nsid w:val="46AF6239"/>
    <w:multiLevelType w:val="multilevel"/>
    <w:tmpl w:val="46AF6239"/>
    <w:lvl w:ilvl="0" w:tentative="0">
      <w:start w:val="1"/>
      <w:numFmt w:val="decimal"/>
      <w:lvlText w:val="%1."/>
      <w:lvlJc w:val="left"/>
      <w:pPr>
        <w:ind w:left="42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5">
    <w:nsid w:val="47D90AA1"/>
    <w:multiLevelType w:val="multilevel"/>
    <w:tmpl w:val="47D90AA1"/>
    <w:lvl w:ilvl="0" w:tentative="0">
      <w:start w:val="1"/>
      <w:numFmt w:val="decimal"/>
      <w:lvlText w:val="（%1）"/>
      <w:lvlJc w:val="left"/>
      <w:pPr>
        <w:ind w:left="862" w:hanging="720"/>
      </w:pPr>
      <w:rPr>
        <w:rFonts w:hint="default"/>
      </w:rPr>
    </w:lvl>
    <w:lvl w:ilvl="1" w:tentative="0">
      <w:start w:val="1"/>
      <w:numFmt w:val="lowerLetter"/>
      <w:lvlText w:val="%2)"/>
      <w:lvlJc w:val="left"/>
      <w:pPr>
        <w:ind w:left="1022" w:hanging="440"/>
      </w:pPr>
    </w:lvl>
    <w:lvl w:ilvl="2" w:tentative="0">
      <w:start w:val="1"/>
      <w:numFmt w:val="lowerRoman"/>
      <w:lvlText w:val="%3."/>
      <w:lvlJc w:val="right"/>
      <w:pPr>
        <w:ind w:left="1462" w:hanging="440"/>
      </w:pPr>
    </w:lvl>
    <w:lvl w:ilvl="3" w:tentative="0">
      <w:start w:val="1"/>
      <w:numFmt w:val="decimal"/>
      <w:lvlText w:val="%4."/>
      <w:lvlJc w:val="left"/>
      <w:pPr>
        <w:ind w:left="1902" w:hanging="440"/>
      </w:pPr>
    </w:lvl>
    <w:lvl w:ilvl="4" w:tentative="0">
      <w:start w:val="1"/>
      <w:numFmt w:val="lowerLetter"/>
      <w:lvlText w:val="%5)"/>
      <w:lvlJc w:val="left"/>
      <w:pPr>
        <w:ind w:left="2342" w:hanging="440"/>
      </w:pPr>
    </w:lvl>
    <w:lvl w:ilvl="5" w:tentative="0">
      <w:start w:val="1"/>
      <w:numFmt w:val="lowerRoman"/>
      <w:lvlText w:val="%6."/>
      <w:lvlJc w:val="right"/>
      <w:pPr>
        <w:ind w:left="2782" w:hanging="440"/>
      </w:pPr>
    </w:lvl>
    <w:lvl w:ilvl="6" w:tentative="0">
      <w:start w:val="1"/>
      <w:numFmt w:val="decimal"/>
      <w:lvlText w:val="%7."/>
      <w:lvlJc w:val="left"/>
      <w:pPr>
        <w:ind w:left="3222" w:hanging="440"/>
      </w:pPr>
    </w:lvl>
    <w:lvl w:ilvl="7" w:tentative="0">
      <w:start w:val="1"/>
      <w:numFmt w:val="lowerLetter"/>
      <w:lvlText w:val="%8)"/>
      <w:lvlJc w:val="left"/>
      <w:pPr>
        <w:ind w:left="3662" w:hanging="440"/>
      </w:pPr>
    </w:lvl>
    <w:lvl w:ilvl="8" w:tentative="0">
      <w:start w:val="1"/>
      <w:numFmt w:val="lowerRoman"/>
      <w:lvlText w:val="%9."/>
      <w:lvlJc w:val="right"/>
      <w:pPr>
        <w:ind w:left="4102" w:hanging="440"/>
      </w:pPr>
    </w:lvl>
  </w:abstractNum>
  <w:abstractNum w:abstractNumId="36">
    <w:nsid w:val="4C1F7BA9"/>
    <w:multiLevelType w:val="multilevel"/>
    <w:tmpl w:val="4C1F7BA9"/>
    <w:lvl w:ilvl="0" w:tentative="0">
      <w:start w:val="1"/>
      <w:numFmt w:val="chineseCountingThousand"/>
      <w:lvlText w:val="(十%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7">
    <w:nsid w:val="4C4B2245"/>
    <w:multiLevelType w:val="singleLevel"/>
    <w:tmpl w:val="4C4B2245"/>
    <w:lvl w:ilvl="0" w:tentative="0">
      <w:start w:val="1"/>
      <w:numFmt w:val="decimal"/>
      <w:lvlText w:val="(%1)"/>
      <w:lvlJc w:val="left"/>
      <w:pPr>
        <w:ind w:left="850" w:hanging="425"/>
      </w:pPr>
      <w:rPr>
        <w:rFonts w:hint="default"/>
      </w:rPr>
    </w:lvl>
  </w:abstractNum>
  <w:abstractNum w:abstractNumId="38">
    <w:nsid w:val="522FCE48"/>
    <w:multiLevelType w:val="singleLevel"/>
    <w:tmpl w:val="522FCE48"/>
    <w:lvl w:ilvl="0" w:tentative="0">
      <w:start w:val="1"/>
      <w:numFmt w:val="decimal"/>
      <w:lvlText w:val="%1."/>
      <w:lvlJc w:val="left"/>
      <w:pPr>
        <w:ind w:left="425" w:hanging="425"/>
      </w:pPr>
      <w:rPr>
        <w:rFonts w:hint="default"/>
      </w:rPr>
    </w:lvl>
  </w:abstractNum>
  <w:abstractNum w:abstractNumId="39">
    <w:nsid w:val="59AB4BDD"/>
    <w:multiLevelType w:val="multilevel"/>
    <w:tmpl w:val="59AB4BDD"/>
    <w:lvl w:ilvl="0" w:tentative="0">
      <w:start w:val="1"/>
      <w:numFmt w:val="decimal"/>
      <w:lvlText w:val="%1."/>
      <w:lvlJc w:val="left"/>
      <w:pPr>
        <w:ind w:left="502" w:hanging="360"/>
      </w:pPr>
      <w:rPr>
        <w:rFonts w:hint="default"/>
        <w:b w:val="0"/>
        <w:bCs w:val="0"/>
      </w:rPr>
    </w:lvl>
    <w:lvl w:ilvl="1" w:tentative="0">
      <w:start w:val="1"/>
      <w:numFmt w:val="lowerLetter"/>
      <w:lvlText w:val="%2)"/>
      <w:lvlJc w:val="left"/>
      <w:pPr>
        <w:ind w:left="1309" w:hanging="440"/>
      </w:pPr>
    </w:lvl>
    <w:lvl w:ilvl="2" w:tentative="0">
      <w:start w:val="1"/>
      <w:numFmt w:val="lowerRoman"/>
      <w:lvlText w:val="%3."/>
      <w:lvlJc w:val="right"/>
      <w:pPr>
        <w:ind w:left="1749" w:hanging="440"/>
      </w:pPr>
    </w:lvl>
    <w:lvl w:ilvl="3" w:tentative="0">
      <w:start w:val="1"/>
      <w:numFmt w:val="decimal"/>
      <w:lvlText w:val="%4."/>
      <w:lvlJc w:val="left"/>
      <w:pPr>
        <w:ind w:left="2189" w:hanging="440"/>
      </w:pPr>
    </w:lvl>
    <w:lvl w:ilvl="4" w:tentative="0">
      <w:start w:val="1"/>
      <w:numFmt w:val="lowerLetter"/>
      <w:lvlText w:val="%5)"/>
      <w:lvlJc w:val="left"/>
      <w:pPr>
        <w:ind w:left="2629" w:hanging="440"/>
      </w:pPr>
    </w:lvl>
    <w:lvl w:ilvl="5" w:tentative="0">
      <w:start w:val="1"/>
      <w:numFmt w:val="lowerRoman"/>
      <w:lvlText w:val="%6."/>
      <w:lvlJc w:val="right"/>
      <w:pPr>
        <w:ind w:left="3069" w:hanging="440"/>
      </w:pPr>
    </w:lvl>
    <w:lvl w:ilvl="6" w:tentative="0">
      <w:start w:val="1"/>
      <w:numFmt w:val="decimal"/>
      <w:lvlText w:val="%7."/>
      <w:lvlJc w:val="left"/>
      <w:pPr>
        <w:ind w:left="3509" w:hanging="440"/>
      </w:pPr>
    </w:lvl>
    <w:lvl w:ilvl="7" w:tentative="0">
      <w:start w:val="1"/>
      <w:numFmt w:val="lowerLetter"/>
      <w:lvlText w:val="%8)"/>
      <w:lvlJc w:val="left"/>
      <w:pPr>
        <w:ind w:left="3949" w:hanging="440"/>
      </w:pPr>
    </w:lvl>
    <w:lvl w:ilvl="8" w:tentative="0">
      <w:start w:val="1"/>
      <w:numFmt w:val="lowerRoman"/>
      <w:lvlText w:val="%9."/>
      <w:lvlJc w:val="right"/>
      <w:pPr>
        <w:ind w:left="4389" w:hanging="440"/>
      </w:pPr>
    </w:lvl>
  </w:abstractNum>
  <w:abstractNum w:abstractNumId="40">
    <w:nsid w:val="5FB917F6"/>
    <w:multiLevelType w:val="multilevel"/>
    <w:tmpl w:val="5FB917F6"/>
    <w:lvl w:ilvl="0" w:tentative="0">
      <w:start w:val="1"/>
      <w:numFmt w:val="decimal"/>
      <w:lvlText w:val="%1."/>
      <w:lvlJc w:val="left"/>
      <w:pPr>
        <w:ind w:left="502" w:hanging="360"/>
      </w:pPr>
      <w:rPr>
        <w:rFonts w:hint="default"/>
        <w:b w:val="0"/>
        <w:bCs w:val="0"/>
      </w:rPr>
    </w:lvl>
    <w:lvl w:ilvl="1" w:tentative="0">
      <w:start w:val="1"/>
      <w:numFmt w:val="lowerLetter"/>
      <w:lvlText w:val="%2)"/>
      <w:lvlJc w:val="left"/>
      <w:pPr>
        <w:ind w:left="1022" w:hanging="440"/>
      </w:pPr>
    </w:lvl>
    <w:lvl w:ilvl="2" w:tentative="0">
      <w:start w:val="1"/>
      <w:numFmt w:val="lowerRoman"/>
      <w:lvlText w:val="%3."/>
      <w:lvlJc w:val="right"/>
      <w:pPr>
        <w:ind w:left="1462" w:hanging="440"/>
      </w:pPr>
    </w:lvl>
    <w:lvl w:ilvl="3" w:tentative="0">
      <w:start w:val="1"/>
      <w:numFmt w:val="decimal"/>
      <w:lvlText w:val="%4."/>
      <w:lvlJc w:val="left"/>
      <w:pPr>
        <w:ind w:left="1902" w:hanging="440"/>
      </w:pPr>
    </w:lvl>
    <w:lvl w:ilvl="4" w:tentative="0">
      <w:start w:val="1"/>
      <w:numFmt w:val="lowerLetter"/>
      <w:lvlText w:val="%5)"/>
      <w:lvlJc w:val="left"/>
      <w:pPr>
        <w:ind w:left="2342" w:hanging="440"/>
      </w:pPr>
    </w:lvl>
    <w:lvl w:ilvl="5" w:tentative="0">
      <w:start w:val="1"/>
      <w:numFmt w:val="lowerRoman"/>
      <w:lvlText w:val="%6."/>
      <w:lvlJc w:val="right"/>
      <w:pPr>
        <w:ind w:left="2782" w:hanging="440"/>
      </w:pPr>
    </w:lvl>
    <w:lvl w:ilvl="6" w:tentative="0">
      <w:start w:val="1"/>
      <w:numFmt w:val="decimal"/>
      <w:lvlText w:val="%7."/>
      <w:lvlJc w:val="left"/>
      <w:pPr>
        <w:ind w:left="3222" w:hanging="440"/>
      </w:pPr>
    </w:lvl>
    <w:lvl w:ilvl="7" w:tentative="0">
      <w:start w:val="1"/>
      <w:numFmt w:val="lowerLetter"/>
      <w:lvlText w:val="%8)"/>
      <w:lvlJc w:val="left"/>
      <w:pPr>
        <w:ind w:left="3662" w:hanging="440"/>
      </w:pPr>
    </w:lvl>
    <w:lvl w:ilvl="8" w:tentative="0">
      <w:start w:val="1"/>
      <w:numFmt w:val="lowerRoman"/>
      <w:lvlText w:val="%9."/>
      <w:lvlJc w:val="right"/>
      <w:pPr>
        <w:ind w:left="4102" w:hanging="440"/>
      </w:pPr>
    </w:lvl>
  </w:abstractNum>
  <w:abstractNum w:abstractNumId="41">
    <w:nsid w:val="5FCF631C"/>
    <w:multiLevelType w:val="singleLevel"/>
    <w:tmpl w:val="5FCF631C"/>
    <w:lvl w:ilvl="0" w:tentative="0">
      <w:start w:val="1"/>
      <w:numFmt w:val="decimal"/>
      <w:lvlText w:val="(%1)"/>
      <w:lvlJc w:val="left"/>
      <w:pPr>
        <w:ind w:left="425" w:hanging="425"/>
      </w:pPr>
      <w:rPr>
        <w:rFonts w:hint="default"/>
      </w:rPr>
    </w:lvl>
  </w:abstractNum>
  <w:abstractNum w:abstractNumId="42">
    <w:nsid w:val="621CD8DD"/>
    <w:multiLevelType w:val="singleLevel"/>
    <w:tmpl w:val="621CD8DD"/>
    <w:lvl w:ilvl="0" w:tentative="0">
      <w:start w:val="1"/>
      <w:numFmt w:val="chineseCounting"/>
      <w:suff w:val="nothing"/>
      <w:lvlText w:val="%1、"/>
      <w:lvlJc w:val="left"/>
      <w:pPr>
        <w:ind w:left="-420" w:firstLine="420"/>
      </w:pPr>
      <w:rPr>
        <w:rFonts w:hint="eastAsia"/>
      </w:rPr>
    </w:lvl>
  </w:abstractNum>
  <w:abstractNum w:abstractNumId="43">
    <w:nsid w:val="67073477"/>
    <w:multiLevelType w:val="multilevel"/>
    <w:tmpl w:val="67073477"/>
    <w:lvl w:ilvl="0" w:tentative="0">
      <w:start w:val="1"/>
      <w:numFmt w:val="decimal"/>
      <w:lvlText w:val="%1."/>
      <w:lvlJc w:val="left"/>
      <w:pPr>
        <w:ind w:left="600" w:hanging="440"/>
      </w:pPr>
    </w:lvl>
    <w:lvl w:ilvl="1" w:tentative="0">
      <w:start w:val="1"/>
      <w:numFmt w:val="lowerLetter"/>
      <w:lvlText w:val="%2)"/>
      <w:lvlJc w:val="left"/>
      <w:pPr>
        <w:ind w:left="1040" w:hanging="440"/>
      </w:pPr>
    </w:lvl>
    <w:lvl w:ilvl="2" w:tentative="0">
      <w:start w:val="1"/>
      <w:numFmt w:val="lowerRoman"/>
      <w:lvlText w:val="%3."/>
      <w:lvlJc w:val="right"/>
      <w:pPr>
        <w:ind w:left="1480" w:hanging="440"/>
      </w:pPr>
    </w:lvl>
    <w:lvl w:ilvl="3" w:tentative="0">
      <w:start w:val="1"/>
      <w:numFmt w:val="decimal"/>
      <w:lvlText w:val="%4."/>
      <w:lvlJc w:val="left"/>
      <w:pPr>
        <w:ind w:left="1920" w:hanging="440"/>
      </w:pPr>
    </w:lvl>
    <w:lvl w:ilvl="4" w:tentative="0">
      <w:start w:val="1"/>
      <w:numFmt w:val="lowerLetter"/>
      <w:lvlText w:val="%5)"/>
      <w:lvlJc w:val="left"/>
      <w:pPr>
        <w:ind w:left="2360" w:hanging="440"/>
      </w:pPr>
    </w:lvl>
    <w:lvl w:ilvl="5" w:tentative="0">
      <w:start w:val="1"/>
      <w:numFmt w:val="lowerRoman"/>
      <w:lvlText w:val="%6."/>
      <w:lvlJc w:val="right"/>
      <w:pPr>
        <w:ind w:left="2800" w:hanging="440"/>
      </w:pPr>
    </w:lvl>
    <w:lvl w:ilvl="6" w:tentative="0">
      <w:start w:val="1"/>
      <w:numFmt w:val="decimal"/>
      <w:lvlText w:val="%7."/>
      <w:lvlJc w:val="left"/>
      <w:pPr>
        <w:ind w:left="3240" w:hanging="440"/>
      </w:pPr>
    </w:lvl>
    <w:lvl w:ilvl="7" w:tentative="0">
      <w:start w:val="1"/>
      <w:numFmt w:val="lowerLetter"/>
      <w:lvlText w:val="%8)"/>
      <w:lvlJc w:val="left"/>
      <w:pPr>
        <w:ind w:left="3680" w:hanging="440"/>
      </w:pPr>
    </w:lvl>
    <w:lvl w:ilvl="8" w:tentative="0">
      <w:start w:val="1"/>
      <w:numFmt w:val="lowerRoman"/>
      <w:lvlText w:val="%9."/>
      <w:lvlJc w:val="right"/>
      <w:pPr>
        <w:ind w:left="4120" w:hanging="440"/>
      </w:pPr>
    </w:lvl>
  </w:abstractNum>
  <w:abstractNum w:abstractNumId="44">
    <w:nsid w:val="6AA91470"/>
    <w:multiLevelType w:val="singleLevel"/>
    <w:tmpl w:val="6AA91470"/>
    <w:lvl w:ilvl="0" w:tentative="0">
      <w:start w:val="1"/>
      <w:numFmt w:val="decimal"/>
      <w:lvlText w:val="(%1)"/>
      <w:lvlJc w:val="left"/>
      <w:pPr>
        <w:ind w:left="1133" w:hanging="425"/>
      </w:pPr>
      <w:rPr>
        <w:rFonts w:hint="default"/>
      </w:rPr>
    </w:lvl>
  </w:abstractNum>
  <w:abstractNum w:abstractNumId="45">
    <w:nsid w:val="723658AE"/>
    <w:multiLevelType w:val="singleLevel"/>
    <w:tmpl w:val="723658AE"/>
    <w:lvl w:ilvl="0" w:tentative="0">
      <w:start w:val="1"/>
      <w:numFmt w:val="decimal"/>
      <w:lvlText w:val="(%1)"/>
      <w:lvlJc w:val="left"/>
      <w:pPr>
        <w:ind w:left="850" w:hanging="425"/>
      </w:pPr>
      <w:rPr>
        <w:rFonts w:hint="default"/>
      </w:rPr>
    </w:lvl>
  </w:abstractNum>
  <w:abstractNum w:abstractNumId="46">
    <w:nsid w:val="74ED7223"/>
    <w:multiLevelType w:val="multilevel"/>
    <w:tmpl w:val="74ED7223"/>
    <w:lvl w:ilvl="0" w:tentative="0">
      <w:start w:val="1"/>
      <w:numFmt w:val="decimal"/>
      <w:lvlText w:val="%1."/>
      <w:lvlJc w:val="left"/>
      <w:pPr>
        <w:ind w:left="644" w:hanging="360"/>
      </w:pPr>
      <w:rPr>
        <w:rFonts w:hint="default"/>
        <w:b w:val="0"/>
        <w:bCs w:val="0"/>
      </w:rPr>
    </w:lvl>
    <w:lvl w:ilvl="1" w:tentative="0">
      <w:start w:val="1"/>
      <w:numFmt w:val="lowerLetter"/>
      <w:lvlText w:val="%2)"/>
      <w:lvlJc w:val="left"/>
      <w:pPr>
        <w:ind w:left="1309" w:hanging="440"/>
      </w:pPr>
    </w:lvl>
    <w:lvl w:ilvl="2" w:tentative="0">
      <w:start w:val="1"/>
      <w:numFmt w:val="lowerRoman"/>
      <w:lvlText w:val="%3."/>
      <w:lvlJc w:val="right"/>
      <w:pPr>
        <w:ind w:left="1749" w:hanging="440"/>
      </w:pPr>
    </w:lvl>
    <w:lvl w:ilvl="3" w:tentative="0">
      <w:start w:val="1"/>
      <w:numFmt w:val="decimal"/>
      <w:lvlText w:val="%4."/>
      <w:lvlJc w:val="left"/>
      <w:pPr>
        <w:ind w:left="2189" w:hanging="440"/>
      </w:pPr>
    </w:lvl>
    <w:lvl w:ilvl="4" w:tentative="0">
      <w:start w:val="1"/>
      <w:numFmt w:val="lowerLetter"/>
      <w:lvlText w:val="%5)"/>
      <w:lvlJc w:val="left"/>
      <w:pPr>
        <w:ind w:left="2629" w:hanging="440"/>
      </w:pPr>
    </w:lvl>
    <w:lvl w:ilvl="5" w:tentative="0">
      <w:start w:val="1"/>
      <w:numFmt w:val="lowerRoman"/>
      <w:lvlText w:val="%6."/>
      <w:lvlJc w:val="right"/>
      <w:pPr>
        <w:ind w:left="3069" w:hanging="440"/>
      </w:pPr>
    </w:lvl>
    <w:lvl w:ilvl="6" w:tentative="0">
      <w:start w:val="1"/>
      <w:numFmt w:val="decimal"/>
      <w:lvlText w:val="%7."/>
      <w:lvlJc w:val="left"/>
      <w:pPr>
        <w:ind w:left="3509" w:hanging="440"/>
      </w:pPr>
    </w:lvl>
    <w:lvl w:ilvl="7" w:tentative="0">
      <w:start w:val="1"/>
      <w:numFmt w:val="lowerLetter"/>
      <w:lvlText w:val="%8)"/>
      <w:lvlJc w:val="left"/>
      <w:pPr>
        <w:ind w:left="3949" w:hanging="440"/>
      </w:pPr>
    </w:lvl>
    <w:lvl w:ilvl="8" w:tentative="0">
      <w:start w:val="1"/>
      <w:numFmt w:val="lowerRoman"/>
      <w:lvlText w:val="%9."/>
      <w:lvlJc w:val="right"/>
      <w:pPr>
        <w:ind w:left="4389" w:hanging="440"/>
      </w:pPr>
    </w:lvl>
  </w:abstractNum>
  <w:abstractNum w:abstractNumId="47">
    <w:nsid w:val="799A61EC"/>
    <w:multiLevelType w:val="multilevel"/>
    <w:tmpl w:val="799A61EC"/>
    <w:lvl w:ilvl="0" w:tentative="0">
      <w:start w:val="1"/>
      <w:numFmt w:val="decimal"/>
      <w:lvlText w:val="%1."/>
      <w:lvlJc w:val="left"/>
      <w:pPr>
        <w:ind w:left="501" w:hanging="360"/>
      </w:pPr>
      <w:rPr>
        <w:rFonts w:hint="default"/>
        <w:b w:val="0"/>
        <w:bCs w:val="0"/>
      </w:rPr>
    </w:lvl>
    <w:lvl w:ilvl="1" w:tentative="0">
      <w:start w:val="1"/>
      <w:numFmt w:val="lowerLetter"/>
      <w:lvlText w:val="%2)"/>
      <w:lvlJc w:val="left"/>
      <w:pPr>
        <w:ind w:left="1021" w:hanging="440"/>
      </w:pPr>
    </w:lvl>
    <w:lvl w:ilvl="2" w:tentative="0">
      <w:start w:val="1"/>
      <w:numFmt w:val="lowerRoman"/>
      <w:lvlText w:val="%3."/>
      <w:lvlJc w:val="right"/>
      <w:pPr>
        <w:ind w:left="1461" w:hanging="440"/>
      </w:pPr>
    </w:lvl>
    <w:lvl w:ilvl="3" w:tentative="0">
      <w:start w:val="1"/>
      <w:numFmt w:val="decimal"/>
      <w:lvlText w:val="%4."/>
      <w:lvlJc w:val="left"/>
      <w:pPr>
        <w:ind w:left="1901" w:hanging="440"/>
      </w:pPr>
    </w:lvl>
    <w:lvl w:ilvl="4" w:tentative="0">
      <w:start w:val="1"/>
      <w:numFmt w:val="lowerLetter"/>
      <w:lvlText w:val="%5)"/>
      <w:lvlJc w:val="left"/>
      <w:pPr>
        <w:ind w:left="2341" w:hanging="440"/>
      </w:pPr>
    </w:lvl>
    <w:lvl w:ilvl="5" w:tentative="0">
      <w:start w:val="1"/>
      <w:numFmt w:val="lowerRoman"/>
      <w:lvlText w:val="%6."/>
      <w:lvlJc w:val="right"/>
      <w:pPr>
        <w:ind w:left="2781" w:hanging="440"/>
      </w:pPr>
    </w:lvl>
    <w:lvl w:ilvl="6" w:tentative="0">
      <w:start w:val="1"/>
      <w:numFmt w:val="decimal"/>
      <w:lvlText w:val="%7."/>
      <w:lvlJc w:val="left"/>
      <w:pPr>
        <w:ind w:left="3221" w:hanging="440"/>
      </w:pPr>
    </w:lvl>
    <w:lvl w:ilvl="7" w:tentative="0">
      <w:start w:val="1"/>
      <w:numFmt w:val="lowerLetter"/>
      <w:lvlText w:val="%8)"/>
      <w:lvlJc w:val="left"/>
      <w:pPr>
        <w:ind w:left="3661" w:hanging="440"/>
      </w:pPr>
    </w:lvl>
    <w:lvl w:ilvl="8" w:tentative="0">
      <w:start w:val="1"/>
      <w:numFmt w:val="lowerRoman"/>
      <w:lvlText w:val="%9."/>
      <w:lvlJc w:val="right"/>
      <w:pPr>
        <w:ind w:left="4101" w:hanging="440"/>
      </w:pPr>
    </w:lvl>
  </w:abstractNum>
  <w:abstractNum w:abstractNumId="48">
    <w:nsid w:val="7C2FC1E8"/>
    <w:multiLevelType w:val="singleLevel"/>
    <w:tmpl w:val="7C2FC1E8"/>
    <w:lvl w:ilvl="0" w:tentative="0">
      <w:start w:val="1"/>
      <w:numFmt w:val="decimal"/>
      <w:lvlText w:val="(%1)"/>
      <w:lvlJc w:val="left"/>
      <w:pPr>
        <w:ind w:left="425" w:hanging="425"/>
      </w:pPr>
      <w:rPr>
        <w:rFonts w:hint="default"/>
      </w:rPr>
    </w:lvl>
  </w:abstractNum>
  <w:abstractNum w:abstractNumId="49">
    <w:nsid w:val="7C3C6A82"/>
    <w:multiLevelType w:val="multilevel"/>
    <w:tmpl w:val="7C3C6A82"/>
    <w:lvl w:ilvl="0" w:tentative="0">
      <w:start w:val="1"/>
      <w:numFmt w:val="decimal"/>
      <w:lvlText w:val="%1."/>
      <w:lvlJc w:val="left"/>
      <w:pPr>
        <w:ind w:left="42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0">
    <w:nsid w:val="7C9A02E7"/>
    <w:multiLevelType w:val="singleLevel"/>
    <w:tmpl w:val="7C9A02E7"/>
    <w:lvl w:ilvl="0" w:tentative="0">
      <w:start w:val="1"/>
      <w:numFmt w:val="decimal"/>
      <w:lvlText w:val="(%1)"/>
      <w:lvlJc w:val="left"/>
      <w:pPr>
        <w:ind w:left="1134" w:hanging="425"/>
      </w:pPr>
      <w:rPr>
        <w:rFonts w:hint="default"/>
      </w:rPr>
    </w:lvl>
  </w:abstractNum>
  <w:num w:numId="1">
    <w:abstractNumId w:val="42"/>
  </w:num>
  <w:num w:numId="2">
    <w:abstractNumId w:val="27"/>
  </w:num>
  <w:num w:numId="3">
    <w:abstractNumId w:val="23"/>
  </w:num>
  <w:num w:numId="4">
    <w:abstractNumId w:val="35"/>
  </w:num>
  <w:num w:numId="5">
    <w:abstractNumId w:val="34"/>
  </w:num>
  <w:num w:numId="6">
    <w:abstractNumId w:val="49"/>
  </w:num>
  <w:num w:numId="7">
    <w:abstractNumId w:val="33"/>
  </w:num>
  <w:num w:numId="8">
    <w:abstractNumId w:val="25"/>
  </w:num>
  <w:num w:numId="9">
    <w:abstractNumId w:val="26"/>
  </w:num>
  <w:num w:numId="10">
    <w:abstractNumId w:val="2"/>
  </w:num>
  <w:num w:numId="11">
    <w:abstractNumId w:val="13"/>
  </w:num>
  <w:num w:numId="12">
    <w:abstractNumId w:val="20"/>
  </w:num>
  <w:num w:numId="13">
    <w:abstractNumId w:val="6"/>
  </w:num>
  <w:num w:numId="14">
    <w:abstractNumId w:val="5"/>
  </w:num>
  <w:num w:numId="15">
    <w:abstractNumId w:val="32"/>
  </w:num>
  <w:num w:numId="16">
    <w:abstractNumId w:val="43"/>
  </w:num>
  <w:num w:numId="17">
    <w:abstractNumId w:val="37"/>
  </w:num>
  <w:num w:numId="18">
    <w:abstractNumId w:val="14"/>
  </w:num>
  <w:num w:numId="19">
    <w:abstractNumId w:val="19"/>
  </w:num>
  <w:num w:numId="20">
    <w:abstractNumId w:val="30"/>
  </w:num>
  <w:num w:numId="21">
    <w:abstractNumId w:val="22"/>
  </w:num>
  <w:num w:numId="22">
    <w:abstractNumId w:val="15"/>
  </w:num>
  <w:num w:numId="23">
    <w:abstractNumId w:val="21"/>
  </w:num>
  <w:num w:numId="24">
    <w:abstractNumId w:val="46"/>
  </w:num>
  <w:num w:numId="25">
    <w:abstractNumId w:val="39"/>
  </w:num>
  <w:num w:numId="26">
    <w:abstractNumId w:val="12"/>
  </w:num>
  <w:num w:numId="27">
    <w:abstractNumId w:val="10"/>
  </w:num>
  <w:num w:numId="28">
    <w:abstractNumId w:val="36"/>
  </w:num>
  <w:num w:numId="29">
    <w:abstractNumId w:val="31"/>
  </w:num>
  <w:num w:numId="30">
    <w:abstractNumId w:val="9"/>
  </w:num>
  <w:num w:numId="31">
    <w:abstractNumId w:val="24"/>
  </w:num>
  <w:num w:numId="32">
    <w:abstractNumId w:val="50"/>
  </w:num>
  <w:num w:numId="33">
    <w:abstractNumId w:val="16"/>
  </w:num>
  <w:num w:numId="34">
    <w:abstractNumId w:val="40"/>
  </w:num>
  <w:num w:numId="35">
    <w:abstractNumId w:val="47"/>
  </w:num>
  <w:num w:numId="36">
    <w:abstractNumId w:val="28"/>
  </w:num>
  <w:num w:numId="37">
    <w:abstractNumId w:val="45"/>
  </w:num>
  <w:num w:numId="38">
    <w:abstractNumId w:val="29"/>
  </w:num>
  <w:num w:numId="39">
    <w:abstractNumId w:val="44"/>
  </w:num>
  <w:num w:numId="40">
    <w:abstractNumId w:val="3"/>
  </w:num>
  <w:num w:numId="41">
    <w:abstractNumId w:val="1"/>
  </w:num>
  <w:num w:numId="42">
    <w:abstractNumId w:val="7"/>
  </w:num>
  <w:num w:numId="43">
    <w:abstractNumId w:val="48"/>
  </w:num>
  <w:num w:numId="44">
    <w:abstractNumId w:val="41"/>
  </w:num>
  <w:num w:numId="45">
    <w:abstractNumId w:val="4"/>
  </w:num>
  <w:num w:numId="46">
    <w:abstractNumId w:val="38"/>
  </w:num>
  <w:num w:numId="47">
    <w:abstractNumId w:val="8"/>
  </w:num>
  <w:num w:numId="48">
    <w:abstractNumId w:val="11"/>
  </w:num>
  <w:num w:numId="49">
    <w:abstractNumId w:val="0"/>
  </w:num>
  <w:num w:numId="50">
    <w:abstractNumId w:val="18"/>
  </w:num>
  <w:num w:numId="5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25D"/>
    <w:rsid w:val="000011BA"/>
    <w:rsid w:val="00002F03"/>
    <w:rsid w:val="0000432B"/>
    <w:rsid w:val="0000481D"/>
    <w:rsid w:val="00004C23"/>
    <w:rsid w:val="0000583C"/>
    <w:rsid w:val="000064DB"/>
    <w:rsid w:val="00006C4E"/>
    <w:rsid w:val="00007A6F"/>
    <w:rsid w:val="00010075"/>
    <w:rsid w:val="00011E68"/>
    <w:rsid w:val="00011EB9"/>
    <w:rsid w:val="000140D7"/>
    <w:rsid w:val="00015999"/>
    <w:rsid w:val="00015A6A"/>
    <w:rsid w:val="000168D6"/>
    <w:rsid w:val="000172A4"/>
    <w:rsid w:val="000203C5"/>
    <w:rsid w:val="000204AD"/>
    <w:rsid w:val="00023D46"/>
    <w:rsid w:val="00024841"/>
    <w:rsid w:val="00024DAB"/>
    <w:rsid w:val="00024DF6"/>
    <w:rsid w:val="0002666E"/>
    <w:rsid w:val="0002699A"/>
    <w:rsid w:val="00031FE1"/>
    <w:rsid w:val="000346A6"/>
    <w:rsid w:val="000348DF"/>
    <w:rsid w:val="0003675D"/>
    <w:rsid w:val="00036E6E"/>
    <w:rsid w:val="000404F2"/>
    <w:rsid w:val="000408F8"/>
    <w:rsid w:val="00041AE8"/>
    <w:rsid w:val="00041D09"/>
    <w:rsid w:val="000429DE"/>
    <w:rsid w:val="00046C90"/>
    <w:rsid w:val="0004700F"/>
    <w:rsid w:val="00047757"/>
    <w:rsid w:val="00047B76"/>
    <w:rsid w:val="0005009D"/>
    <w:rsid w:val="000511E2"/>
    <w:rsid w:val="00052B7A"/>
    <w:rsid w:val="0005349D"/>
    <w:rsid w:val="00053A89"/>
    <w:rsid w:val="00053DCD"/>
    <w:rsid w:val="0005456C"/>
    <w:rsid w:val="000548E1"/>
    <w:rsid w:val="00055F81"/>
    <w:rsid w:val="00056D34"/>
    <w:rsid w:val="00057764"/>
    <w:rsid w:val="00057D06"/>
    <w:rsid w:val="00062DD9"/>
    <w:rsid w:val="000658C1"/>
    <w:rsid w:val="000701A7"/>
    <w:rsid w:val="00070F1C"/>
    <w:rsid w:val="000715A3"/>
    <w:rsid w:val="00071AE9"/>
    <w:rsid w:val="00071D9E"/>
    <w:rsid w:val="00072C3F"/>
    <w:rsid w:val="00073195"/>
    <w:rsid w:val="0007482F"/>
    <w:rsid w:val="00075F20"/>
    <w:rsid w:val="00076420"/>
    <w:rsid w:val="00076F7A"/>
    <w:rsid w:val="0007730C"/>
    <w:rsid w:val="000801A4"/>
    <w:rsid w:val="00080394"/>
    <w:rsid w:val="0008186A"/>
    <w:rsid w:val="00083D17"/>
    <w:rsid w:val="00084754"/>
    <w:rsid w:val="00086564"/>
    <w:rsid w:val="000865F8"/>
    <w:rsid w:val="00086F50"/>
    <w:rsid w:val="0008771E"/>
    <w:rsid w:val="0009065E"/>
    <w:rsid w:val="000909CE"/>
    <w:rsid w:val="000910BB"/>
    <w:rsid w:val="00092069"/>
    <w:rsid w:val="000921AF"/>
    <w:rsid w:val="000925E7"/>
    <w:rsid w:val="00092621"/>
    <w:rsid w:val="000926EB"/>
    <w:rsid w:val="00092752"/>
    <w:rsid w:val="00095147"/>
    <w:rsid w:val="00097CA4"/>
    <w:rsid w:val="00097E96"/>
    <w:rsid w:val="000A17B8"/>
    <w:rsid w:val="000A1A16"/>
    <w:rsid w:val="000A1C98"/>
    <w:rsid w:val="000A2009"/>
    <w:rsid w:val="000A32DE"/>
    <w:rsid w:val="000A3C8B"/>
    <w:rsid w:val="000A414F"/>
    <w:rsid w:val="000A4581"/>
    <w:rsid w:val="000A4981"/>
    <w:rsid w:val="000A6316"/>
    <w:rsid w:val="000A63A8"/>
    <w:rsid w:val="000A6E1E"/>
    <w:rsid w:val="000A71A8"/>
    <w:rsid w:val="000A7FB7"/>
    <w:rsid w:val="000B1624"/>
    <w:rsid w:val="000B1AE8"/>
    <w:rsid w:val="000B2572"/>
    <w:rsid w:val="000B398A"/>
    <w:rsid w:val="000B3D46"/>
    <w:rsid w:val="000B3FC2"/>
    <w:rsid w:val="000B4C9E"/>
    <w:rsid w:val="000B63CA"/>
    <w:rsid w:val="000B69A3"/>
    <w:rsid w:val="000C01B0"/>
    <w:rsid w:val="000C13A6"/>
    <w:rsid w:val="000C374A"/>
    <w:rsid w:val="000C48E5"/>
    <w:rsid w:val="000D09E2"/>
    <w:rsid w:val="000D13F5"/>
    <w:rsid w:val="000D1429"/>
    <w:rsid w:val="000D1BA4"/>
    <w:rsid w:val="000D2256"/>
    <w:rsid w:val="000D2926"/>
    <w:rsid w:val="000D3CE5"/>
    <w:rsid w:val="000D4965"/>
    <w:rsid w:val="000D580D"/>
    <w:rsid w:val="000D6780"/>
    <w:rsid w:val="000D7E43"/>
    <w:rsid w:val="000E0704"/>
    <w:rsid w:val="000E0FC9"/>
    <w:rsid w:val="000E2326"/>
    <w:rsid w:val="000E2EA5"/>
    <w:rsid w:val="000E3233"/>
    <w:rsid w:val="000E3295"/>
    <w:rsid w:val="000E66A3"/>
    <w:rsid w:val="000E7365"/>
    <w:rsid w:val="000F018C"/>
    <w:rsid w:val="000F2100"/>
    <w:rsid w:val="000F6475"/>
    <w:rsid w:val="000F759A"/>
    <w:rsid w:val="00102EAD"/>
    <w:rsid w:val="001032D0"/>
    <w:rsid w:val="0010377B"/>
    <w:rsid w:val="00104B07"/>
    <w:rsid w:val="00105DD5"/>
    <w:rsid w:val="001064A4"/>
    <w:rsid w:val="00106E65"/>
    <w:rsid w:val="00107EE8"/>
    <w:rsid w:val="00107FB3"/>
    <w:rsid w:val="00110286"/>
    <w:rsid w:val="001106D1"/>
    <w:rsid w:val="001138DC"/>
    <w:rsid w:val="0011549E"/>
    <w:rsid w:val="00115C04"/>
    <w:rsid w:val="001207BA"/>
    <w:rsid w:val="0012086C"/>
    <w:rsid w:val="00120A8A"/>
    <w:rsid w:val="0012192C"/>
    <w:rsid w:val="00123F82"/>
    <w:rsid w:val="00124F34"/>
    <w:rsid w:val="00125826"/>
    <w:rsid w:val="00126A7F"/>
    <w:rsid w:val="00126D6D"/>
    <w:rsid w:val="0013010D"/>
    <w:rsid w:val="00130C0D"/>
    <w:rsid w:val="00130DD5"/>
    <w:rsid w:val="00130EFF"/>
    <w:rsid w:val="0013299A"/>
    <w:rsid w:val="00133EAD"/>
    <w:rsid w:val="0013412D"/>
    <w:rsid w:val="001344A0"/>
    <w:rsid w:val="00134C4D"/>
    <w:rsid w:val="0013546A"/>
    <w:rsid w:val="00140339"/>
    <w:rsid w:val="001408CC"/>
    <w:rsid w:val="00141EDC"/>
    <w:rsid w:val="00141F0A"/>
    <w:rsid w:val="00142230"/>
    <w:rsid w:val="00142580"/>
    <w:rsid w:val="001430B9"/>
    <w:rsid w:val="00144B46"/>
    <w:rsid w:val="00146340"/>
    <w:rsid w:val="00147CB6"/>
    <w:rsid w:val="00150162"/>
    <w:rsid w:val="001506D9"/>
    <w:rsid w:val="00150ED3"/>
    <w:rsid w:val="001519CB"/>
    <w:rsid w:val="001520E9"/>
    <w:rsid w:val="00152C3A"/>
    <w:rsid w:val="00153D65"/>
    <w:rsid w:val="00153FB1"/>
    <w:rsid w:val="00154A05"/>
    <w:rsid w:val="00155B45"/>
    <w:rsid w:val="00155BA3"/>
    <w:rsid w:val="00157354"/>
    <w:rsid w:val="001579D3"/>
    <w:rsid w:val="00160A86"/>
    <w:rsid w:val="001615EF"/>
    <w:rsid w:val="00161BDC"/>
    <w:rsid w:val="00162121"/>
    <w:rsid w:val="0016230B"/>
    <w:rsid w:val="00163292"/>
    <w:rsid w:val="00164658"/>
    <w:rsid w:val="00165131"/>
    <w:rsid w:val="0016558B"/>
    <w:rsid w:val="0016571E"/>
    <w:rsid w:val="00170B64"/>
    <w:rsid w:val="00170E71"/>
    <w:rsid w:val="0017165A"/>
    <w:rsid w:val="00171C5B"/>
    <w:rsid w:val="00172EEA"/>
    <w:rsid w:val="001739BF"/>
    <w:rsid w:val="00173A1C"/>
    <w:rsid w:val="00175458"/>
    <w:rsid w:val="0017648C"/>
    <w:rsid w:val="00176C6D"/>
    <w:rsid w:val="00181A5A"/>
    <w:rsid w:val="00182705"/>
    <w:rsid w:val="00183654"/>
    <w:rsid w:val="00183F49"/>
    <w:rsid w:val="001845F9"/>
    <w:rsid w:val="00185683"/>
    <w:rsid w:val="00185D6D"/>
    <w:rsid w:val="001926F7"/>
    <w:rsid w:val="00194EDC"/>
    <w:rsid w:val="00195CAC"/>
    <w:rsid w:val="001968F5"/>
    <w:rsid w:val="001973D3"/>
    <w:rsid w:val="00197C12"/>
    <w:rsid w:val="001A1135"/>
    <w:rsid w:val="001A19F9"/>
    <w:rsid w:val="001A3220"/>
    <w:rsid w:val="001A3694"/>
    <w:rsid w:val="001A3B74"/>
    <w:rsid w:val="001A5591"/>
    <w:rsid w:val="001A5A98"/>
    <w:rsid w:val="001A5F0C"/>
    <w:rsid w:val="001A638B"/>
    <w:rsid w:val="001A6775"/>
    <w:rsid w:val="001A6F3E"/>
    <w:rsid w:val="001A71F8"/>
    <w:rsid w:val="001A7C72"/>
    <w:rsid w:val="001B07A1"/>
    <w:rsid w:val="001B0BA9"/>
    <w:rsid w:val="001B2282"/>
    <w:rsid w:val="001B4ABD"/>
    <w:rsid w:val="001B550D"/>
    <w:rsid w:val="001B60FA"/>
    <w:rsid w:val="001B797E"/>
    <w:rsid w:val="001C13A8"/>
    <w:rsid w:val="001C1B9E"/>
    <w:rsid w:val="001C203B"/>
    <w:rsid w:val="001C34E5"/>
    <w:rsid w:val="001C721B"/>
    <w:rsid w:val="001C779F"/>
    <w:rsid w:val="001D0DEA"/>
    <w:rsid w:val="001D1D8C"/>
    <w:rsid w:val="001D3212"/>
    <w:rsid w:val="001D3697"/>
    <w:rsid w:val="001D7619"/>
    <w:rsid w:val="001E1CF9"/>
    <w:rsid w:val="001E24DF"/>
    <w:rsid w:val="001E26C6"/>
    <w:rsid w:val="001E40C1"/>
    <w:rsid w:val="001E4729"/>
    <w:rsid w:val="001E500E"/>
    <w:rsid w:val="001E5828"/>
    <w:rsid w:val="001E5DB9"/>
    <w:rsid w:val="001F02BC"/>
    <w:rsid w:val="001F2273"/>
    <w:rsid w:val="001F28DB"/>
    <w:rsid w:val="001F301F"/>
    <w:rsid w:val="001F3AF2"/>
    <w:rsid w:val="001F57E7"/>
    <w:rsid w:val="001F77F0"/>
    <w:rsid w:val="001F7C80"/>
    <w:rsid w:val="00200C0D"/>
    <w:rsid w:val="00200DA5"/>
    <w:rsid w:val="002014EC"/>
    <w:rsid w:val="00201ADE"/>
    <w:rsid w:val="0020225F"/>
    <w:rsid w:val="002036C3"/>
    <w:rsid w:val="002055C7"/>
    <w:rsid w:val="002065BF"/>
    <w:rsid w:val="00207C80"/>
    <w:rsid w:val="00210CF9"/>
    <w:rsid w:val="002110A2"/>
    <w:rsid w:val="002116A2"/>
    <w:rsid w:val="002120C6"/>
    <w:rsid w:val="002124E7"/>
    <w:rsid w:val="002126D3"/>
    <w:rsid w:val="00212EAB"/>
    <w:rsid w:val="00213352"/>
    <w:rsid w:val="00213836"/>
    <w:rsid w:val="00213EFE"/>
    <w:rsid w:val="00214D34"/>
    <w:rsid w:val="002154DA"/>
    <w:rsid w:val="00215AF7"/>
    <w:rsid w:val="00216D9D"/>
    <w:rsid w:val="00216DCC"/>
    <w:rsid w:val="00216EC3"/>
    <w:rsid w:val="00217988"/>
    <w:rsid w:val="00217E2F"/>
    <w:rsid w:val="00217ED4"/>
    <w:rsid w:val="00220537"/>
    <w:rsid w:val="002206C0"/>
    <w:rsid w:val="00222B35"/>
    <w:rsid w:val="00224931"/>
    <w:rsid w:val="00227B69"/>
    <w:rsid w:val="002307BC"/>
    <w:rsid w:val="00231570"/>
    <w:rsid w:val="00232A77"/>
    <w:rsid w:val="0023528B"/>
    <w:rsid w:val="0023584D"/>
    <w:rsid w:val="00240DDA"/>
    <w:rsid w:val="00241436"/>
    <w:rsid w:val="002415E1"/>
    <w:rsid w:val="00241922"/>
    <w:rsid w:val="00242348"/>
    <w:rsid w:val="002425D2"/>
    <w:rsid w:val="00243192"/>
    <w:rsid w:val="00245B8C"/>
    <w:rsid w:val="00246D21"/>
    <w:rsid w:val="00247CEB"/>
    <w:rsid w:val="002515D2"/>
    <w:rsid w:val="00251645"/>
    <w:rsid w:val="00251E50"/>
    <w:rsid w:val="00251F85"/>
    <w:rsid w:val="002541A1"/>
    <w:rsid w:val="0025573F"/>
    <w:rsid w:val="00255FDB"/>
    <w:rsid w:val="0026167C"/>
    <w:rsid w:val="00261E9A"/>
    <w:rsid w:val="00263BF2"/>
    <w:rsid w:val="00264688"/>
    <w:rsid w:val="00264A77"/>
    <w:rsid w:val="00264C2E"/>
    <w:rsid w:val="00266604"/>
    <w:rsid w:val="0026737C"/>
    <w:rsid w:val="00267441"/>
    <w:rsid w:val="00270FFA"/>
    <w:rsid w:val="00271C06"/>
    <w:rsid w:val="00271CE0"/>
    <w:rsid w:val="002724DE"/>
    <w:rsid w:val="00272F49"/>
    <w:rsid w:val="002739A2"/>
    <w:rsid w:val="0027470B"/>
    <w:rsid w:val="00274B33"/>
    <w:rsid w:val="002761F2"/>
    <w:rsid w:val="00281138"/>
    <w:rsid w:val="002813C3"/>
    <w:rsid w:val="002816C6"/>
    <w:rsid w:val="00282B13"/>
    <w:rsid w:val="00282BF5"/>
    <w:rsid w:val="00282CEC"/>
    <w:rsid w:val="0028472E"/>
    <w:rsid w:val="00286F09"/>
    <w:rsid w:val="00287D3D"/>
    <w:rsid w:val="0029031F"/>
    <w:rsid w:val="00291488"/>
    <w:rsid w:val="00292CE5"/>
    <w:rsid w:val="0029358F"/>
    <w:rsid w:val="00294502"/>
    <w:rsid w:val="00295143"/>
    <w:rsid w:val="00295E1B"/>
    <w:rsid w:val="00296604"/>
    <w:rsid w:val="00297F7B"/>
    <w:rsid w:val="002A04AB"/>
    <w:rsid w:val="002A120F"/>
    <w:rsid w:val="002A1FE7"/>
    <w:rsid w:val="002A25AC"/>
    <w:rsid w:val="002A289F"/>
    <w:rsid w:val="002A2EB0"/>
    <w:rsid w:val="002A46C3"/>
    <w:rsid w:val="002A5B03"/>
    <w:rsid w:val="002A6C57"/>
    <w:rsid w:val="002A7950"/>
    <w:rsid w:val="002B0259"/>
    <w:rsid w:val="002B06D2"/>
    <w:rsid w:val="002B472F"/>
    <w:rsid w:val="002B4C80"/>
    <w:rsid w:val="002B58DC"/>
    <w:rsid w:val="002B6D0A"/>
    <w:rsid w:val="002B776B"/>
    <w:rsid w:val="002B7877"/>
    <w:rsid w:val="002C0B34"/>
    <w:rsid w:val="002C138C"/>
    <w:rsid w:val="002C29A6"/>
    <w:rsid w:val="002C3192"/>
    <w:rsid w:val="002C5B76"/>
    <w:rsid w:val="002C6BDE"/>
    <w:rsid w:val="002C745C"/>
    <w:rsid w:val="002D0BAA"/>
    <w:rsid w:val="002D0D5D"/>
    <w:rsid w:val="002D155A"/>
    <w:rsid w:val="002D2007"/>
    <w:rsid w:val="002D2042"/>
    <w:rsid w:val="002D3284"/>
    <w:rsid w:val="002D37A1"/>
    <w:rsid w:val="002D421D"/>
    <w:rsid w:val="002D4D04"/>
    <w:rsid w:val="002D53B2"/>
    <w:rsid w:val="002D5D72"/>
    <w:rsid w:val="002D773E"/>
    <w:rsid w:val="002D7B84"/>
    <w:rsid w:val="002E235A"/>
    <w:rsid w:val="002E3D19"/>
    <w:rsid w:val="002E485E"/>
    <w:rsid w:val="002E5644"/>
    <w:rsid w:val="002E5F6F"/>
    <w:rsid w:val="002F0CA4"/>
    <w:rsid w:val="002F1D43"/>
    <w:rsid w:val="002F27F9"/>
    <w:rsid w:val="002F2D56"/>
    <w:rsid w:val="002F4939"/>
    <w:rsid w:val="002F6CEE"/>
    <w:rsid w:val="00300B66"/>
    <w:rsid w:val="00302360"/>
    <w:rsid w:val="003023FC"/>
    <w:rsid w:val="00303620"/>
    <w:rsid w:val="003042A7"/>
    <w:rsid w:val="00305360"/>
    <w:rsid w:val="003074AF"/>
    <w:rsid w:val="00307596"/>
    <w:rsid w:val="00307846"/>
    <w:rsid w:val="003121DC"/>
    <w:rsid w:val="003125B4"/>
    <w:rsid w:val="0031278A"/>
    <w:rsid w:val="00312882"/>
    <w:rsid w:val="00312D40"/>
    <w:rsid w:val="0031346E"/>
    <w:rsid w:val="00314A25"/>
    <w:rsid w:val="00314D3F"/>
    <w:rsid w:val="0031532B"/>
    <w:rsid w:val="0031783D"/>
    <w:rsid w:val="003201D2"/>
    <w:rsid w:val="00321788"/>
    <w:rsid w:val="003246C1"/>
    <w:rsid w:val="003251DC"/>
    <w:rsid w:val="00330105"/>
    <w:rsid w:val="00330198"/>
    <w:rsid w:val="00331413"/>
    <w:rsid w:val="003336A1"/>
    <w:rsid w:val="003351E0"/>
    <w:rsid w:val="00335DED"/>
    <w:rsid w:val="00336A8B"/>
    <w:rsid w:val="0034122D"/>
    <w:rsid w:val="003434DD"/>
    <w:rsid w:val="00343975"/>
    <w:rsid w:val="00344F41"/>
    <w:rsid w:val="00345C00"/>
    <w:rsid w:val="00351220"/>
    <w:rsid w:val="003537E1"/>
    <w:rsid w:val="00354AEE"/>
    <w:rsid w:val="003556CA"/>
    <w:rsid w:val="00356041"/>
    <w:rsid w:val="00357F0C"/>
    <w:rsid w:val="00361F49"/>
    <w:rsid w:val="00364197"/>
    <w:rsid w:val="00364A50"/>
    <w:rsid w:val="0036573E"/>
    <w:rsid w:val="003660FB"/>
    <w:rsid w:val="00367E34"/>
    <w:rsid w:val="00373A7B"/>
    <w:rsid w:val="0037457E"/>
    <w:rsid w:val="00374C37"/>
    <w:rsid w:val="00376986"/>
    <w:rsid w:val="00376C02"/>
    <w:rsid w:val="00377E11"/>
    <w:rsid w:val="0038186E"/>
    <w:rsid w:val="003825C7"/>
    <w:rsid w:val="003829E0"/>
    <w:rsid w:val="00383D22"/>
    <w:rsid w:val="003846B2"/>
    <w:rsid w:val="0038563E"/>
    <w:rsid w:val="0038599D"/>
    <w:rsid w:val="00385E83"/>
    <w:rsid w:val="003872D1"/>
    <w:rsid w:val="003877C3"/>
    <w:rsid w:val="003906B8"/>
    <w:rsid w:val="00390D7F"/>
    <w:rsid w:val="003910B0"/>
    <w:rsid w:val="00391C1C"/>
    <w:rsid w:val="00391DFC"/>
    <w:rsid w:val="0039496D"/>
    <w:rsid w:val="00394993"/>
    <w:rsid w:val="003959DB"/>
    <w:rsid w:val="00396541"/>
    <w:rsid w:val="00396AA1"/>
    <w:rsid w:val="003970CB"/>
    <w:rsid w:val="00397615"/>
    <w:rsid w:val="003A12B1"/>
    <w:rsid w:val="003A16B6"/>
    <w:rsid w:val="003A24B5"/>
    <w:rsid w:val="003A2CF0"/>
    <w:rsid w:val="003A3144"/>
    <w:rsid w:val="003A44C5"/>
    <w:rsid w:val="003A4D7F"/>
    <w:rsid w:val="003A5F09"/>
    <w:rsid w:val="003A668C"/>
    <w:rsid w:val="003A6C21"/>
    <w:rsid w:val="003A711D"/>
    <w:rsid w:val="003A75BB"/>
    <w:rsid w:val="003B08B7"/>
    <w:rsid w:val="003B14B5"/>
    <w:rsid w:val="003B1EB9"/>
    <w:rsid w:val="003B2402"/>
    <w:rsid w:val="003B2ACB"/>
    <w:rsid w:val="003B3F62"/>
    <w:rsid w:val="003B45F2"/>
    <w:rsid w:val="003B4B7C"/>
    <w:rsid w:val="003B508E"/>
    <w:rsid w:val="003B570A"/>
    <w:rsid w:val="003B639A"/>
    <w:rsid w:val="003C172B"/>
    <w:rsid w:val="003C23E9"/>
    <w:rsid w:val="003C3105"/>
    <w:rsid w:val="003C6DB9"/>
    <w:rsid w:val="003D064D"/>
    <w:rsid w:val="003D34E5"/>
    <w:rsid w:val="003D39A1"/>
    <w:rsid w:val="003D7622"/>
    <w:rsid w:val="003D7D71"/>
    <w:rsid w:val="003E0754"/>
    <w:rsid w:val="003E081F"/>
    <w:rsid w:val="003E0D37"/>
    <w:rsid w:val="003E2C38"/>
    <w:rsid w:val="003E2D70"/>
    <w:rsid w:val="003E4BD8"/>
    <w:rsid w:val="003E509C"/>
    <w:rsid w:val="003E6740"/>
    <w:rsid w:val="003E7435"/>
    <w:rsid w:val="003E7B53"/>
    <w:rsid w:val="003F0913"/>
    <w:rsid w:val="003F0EE1"/>
    <w:rsid w:val="003F1679"/>
    <w:rsid w:val="003F1BC6"/>
    <w:rsid w:val="003F27F0"/>
    <w:rsid w:val="003F284B"/>
    <w:rsid w:val="003F344A"/>
    <w:rsid w:val="003F3DD5"/>
    <w:rsid w:val="003F4939"/>
    <w:rsid w:val="003F49F9"/>
    <w:rsid w:val="003F549C"/>
    <w:rsid w:val="003F54A9"/>
    <w:rsid w:val="003F55FB"/>
    <w:rsid w:val="00400B4E"/>
    <w:rsid w:val="00401114"/>
    <w:rsid w:val="004045B6"/>
    <w:rsid w:val="004054AF"/>
    <w:rsid w:val="004060A7"/>
    <w:rsid w:val="004104F3"/>
    <w:rsid w:val="004119FD"/>
    <w:rsid w:val="004124AC"/>
    <w:rsid w:val="00412502"/>
    <w:rsid w:val="004130C0"/>
    <w:rsid w:val="00413232"/>
    <w:rsid w:val="00413BE1"/>
    <w:rsid w:val="0041504F"/>
    <w:rsid w:val="004239E3"/>
    <w:rsid w:val="00423B5F"/>
    <w:rsid w:val="004245B0"/>
    <w:rsid w:val="00424815"/>
    <w:rsid w:val="00425034"/>
    <w:rsid w:val="00425D5C"/>
    <w:rsid w:val="00426161"/>
    <w:rsid w:val="00426DA3"/>
    <w:rsid w:val="0043060C"/>
    <w:rsid w:val="00430719"/>
    <w:rsid w:val="00431232"/>
    <w:rsid w:val="004339FD"/>
    <w:rsid w:val="004340EE"/>
    <w:rsid w:val="004355EF"/>
    <w:rsid w:val="004371C8"/>
    <w:rsid w:val="00437668"/>
    <w:rsid w:val="00437CB7"/>
    <w:rsid w:val="00441832"/>
    <w:rsid w:val="00441DC3"/>
    <w:rsid w:val="0044318C"/>
    <w:rsid w:val="004432F6"/>
    <w:rsid w:val="00443ACF"/>
    <w:rsid w:val="0044423A"/>
    <w:rsid w:val="004450DB"/>
    <w:rsid w:val="0044586F"/>
    <w:rsid w:val="00445950"/>
    <w:rsid w:val="00445973"/>
    <w:rsid w:val="00446676"/>
    <w:rsid w:val="00447C03"/>
    <w:rsid w:val="00451248"/>
    <w:rsid w:val="004514FD"/>
    <w:rsid w:val="00451A5C"/>
    <w:rsid w:val="004521A1"/>
    <w:rsid w:val="00452D02"/>
    <w:rsid w:val="00456190"/>
    <w:rsid w:val="00456521"/>
    <w:rsid w:val="00456D92"/>
    <w:rsid w:val="00460388"/>
    <w:rsid w:val="0046051B"/>
    <w:rsid w:val="00460BD2"/>
    <w:rsid w:val="00461B56"/>
    <w:rsid w:val="004637C0"/>
    <w:rsid w:val="00465BD8"/>
    <w:rsid w:val="00470964"/>
    <w:rsid w:val="00470D2C"/>
    <w:rsid w:val="004742D1"/>
    <w:rsid w:val="00474F58"/>
    <w:rsid w:val="00476852"/>
    <w:rsid w:val="00477DDE"/>
    <w:rsid w:val="0048273A"/>
    <w:rsid w:val="00487E5B"/>
    <w:rsid w:val="00487E6A"/>
    <w:rsid w:val="00495613"/>
    <w:rsid w:val="00495AD3"/>
    <w:rsid w:val="0049613C"/>
    <w:rsid w:val="004A2790"/>
    <w:rsid w:val="004A3973"/>
    <w:rsid w:val="004A39DF"/>
    <w:rsid w:val="004A3F0B"/>
    <w:rsid w:val="004A4878"/>
    <w:rsid w:val="004A4953"/>
    <w:rsid w:val="004A54CE"/>
    <w:rsid w:val="004A5936"/>
    <w:rsid w:val="004A5FB5"/>
    <w:rsid w:val="004A671F"/>
    <w:rsid w:val="004A67B6"/>
    <w:rsid w:val="004A7E4B"/>
    <w:rsid w:val="004B12A6"/>
    <w:rsid w:val="004B1493"/>
    <w:rsid w:val="004B1652"/>
    <w:rsid w:val="004B2A96"/>
    <w:rsid w:val="004B2E56"/>
    <w:rsid w:val="004B31BD"/>
    <w:rsid w:val="004B3792"/>
    <w:rsid w:val="004B3EFF"/>
    <w:rsid w:val="004B4CFC"/>
    <w:rsid w:val="004B5087"/>
    <w:rsid w:val="004B6507"/>
    <w:rsid w:val="004B65A8"/>
    <w:rsid w:val="004B70C3"/>
    <w:rsid w:val="004B7344"/>
    <w:rsid w:val="004C0D95"/>
    <w:rsid w:val="004C108F"/>
    <w:rsid w:val="004C1220"/>
    <w:rsid w:val="004C2CD1"/>
    <w:rsid w:val="004C2DCD"/>
    <w:rsid w:val="004C3CCA"/>
    <w:rsid w:val="004C5737"/>
    <w:rsid w:val="004D09D3"/>
    <w:rsid w:val="004D0EDA"/>
    <w:rsid w:val="004D1962"/>
    <w:rsid w:val="004D1D7C"/>
    <w:rsid w:val="004D4C41"/>
    <w:rsid w:val="004E025E"/>
    <w:rsid w:val="004E14EE"/>
    <w:rsid w:val="004E24C1"/>
    <w:rsid w:val="004E5C50"/>
    <w:rsid w:val="004E6DFC"/>
    <w:rsid w:val="004E79AC"/>
    <w:rsid w:val="004E7F3E"/>
    <w:rsid w:val="004F0E1B"/>
    <w:rsid w:val="004F1694"/>
    <w:rsid w:val="004F1E18"/>
    <w:rsid w:val="004F2136"/>
    <w:rsid w:val="004F2A1D"/>
    <w:rsid w:val="004F2D74"/>
    <w:rsid w:val="004F32BF"/>
    <w:rsid w:val="004F5252"/>
    <w:rsid w:val="004F6511"/>
    <w:rsid w:val="004F7B0E"/>
    <w:rsid w:val="004F7E00"/>
    <w:rsid w:val="004F7E19"/>
    <w:rsid w:val="00501149"/>
    <w:rsid w:val="00502296"/>
    <w:rsid w:val="00502795"/>
    <w:rsid w:val="00502C50"/>
    <w:rsid w:val="00502EEF"/>
    <w:rsid w:val="00503ECF"/>
    <w:rsid w:val="005044C7"/>
    <w:rsid w:val="00505783"/>
    <w:rsid w:val="00505E39"/>
    <w:rsid w:val="0050716C"/>
    <w:rsid w:val="00507E54"/>
    <w:rsid w:val="0051114C"/>
    <w:rsid w:val="005122C2"/>
    <w:rsid w:val="00514F05"/>
    <w:rsid w:val="005159F9"/>
    <w:rsid w:val="00517E15"/>
    <w:rsid w:val="00524DCE"/>
    <w:rsid w:val="0052566F"/>
    <w:rsid w:val="00526CB8"/>
    <w:rsid w:val="00526F5B"/>
    <w:rsid w:val="0052743C"/>
    <w:rsid w:val="0053041D"/>
    <w:rsid w:val="00530AAE"/>
    <w:rsid w:val="00530B6A"/>
    <w:rsid w:val="00530CBF"/>
    <w:rsid w:val="005323CC"/>
    <w:rsid w:val="00532B38"/>
    <w:rsid w:val="00534EC1"/>
    <w:rsid w:val="00535150"/>
    <w:rsid w:val="005352C5"/>
    <w:rsid w:val="00536772"/>
    <w:rsid w:val="00541856"/>
    <w:rsid w:val="005425CF"/>
    <w:rsid w:val="00542DBE"/>
    <w:rsid w:val="00543F4A"/>
    <w:rsid w:val="00543F52"/>
    <w:rsid w:val="005443BF"/>
    <w:rsid w:val="005448C7"/>
    <w:rsid w:val="00545386"/>
    <w:rsid w:val="00545390"/>
    <w:rsid w:val="005458CF"/>
    <w:rsid w:val="00545B23"/>
    <w:rsid w:val="00546073"/>
    <w:rsid w:val="005466B1"/>
    <w:rsid w:val="00546B5F"/>
    <w:rsid w:val="0055250F"/>
    <w:rsid w:val="005534FC"/>
    <w:rsid w:val="00554B4A"/>
    <w:rsid w:val="00556825"/>
    <w:rsid w:val="00560011"/>
    <w:rsid w:val="0056037F"/>
    <w:rsid w:val="00561F25"/>
    <w:rsid w:val="005640AC"/>
    <w:rsid w:val="00565297"/>
    <w:rsid w:val="00566954"/>
    <w:rsid w:val="0056695A"/>
    <w:rsid w:val="00567625"/>
    <w:rsid w:val="00567695"/>
    <w:rsid w:val="00567F31"/>
    <w:rsid w:val="00571464"/>
    <w:rsid w:val="00571A8F"/>
    <w:rsid w:val="00572BA1"/>
    <w:rsid w:val="00573C7A"/>
    <w:rsid w:val="00574E8B"/>
    <w:rsid w:val="005750A4"/>
    <w:rsid w:val="00577CB0"/>
    <w:rsid w:val="00580DDB"/>
    <w:rsid w:val="00581B33"/>
    <w:rsid w:val="00581DE0"/>
    <w:rsid w:val="00582A66"/>
    <w:rsid w:val="0058322C"/>
    <w:rsid w:val="00583F05"/>
    <w:rsid w:val="00584913"/>
    <w:rsid w:val="0058783D"/>
    <w:rsid w:val="00591C25"/>
    <w:rsid w:val="0059264C"/>
    <w:rsid w:val="005947D6"/>
    <w:rsid w:val="005974F5"/>
    <w:rsid w:val="00597A82"/>
    <w:rsid w:val="005A0B57"/>
    <w:rsid w:val="005A0CA4"/>
    <w:rsid w:val="005A1155"/>
    <w:rsid w:val="005A3108"/>
    <w:rsid w:val="005A40E3"/>
    <w:rsid w:val="005A4DAD"/>
    <w:rsid w:val="005A7A54"/>
    <w:rsid w:val="005B17A4"/>
    <w:rsid w:val="005B2B59"/>
    <w:rsid w:val="005B52D7"/>
    <w:rsid w:val="005B613E"/>
    <w:rsid w:val="005C2281"/>
    <w:rsid w:val="005C31DD"/>
    <w:rsid w:val="005C3B7C"/>
    <w:rsid w:val="005C3C51"/>
    <w:rsid w:val="005C4252"/>
    <w:rsid w:val="005C4841"/>
    <w:rsid w:val="005C5523"/>
    <w:rsid w:val="005C5C2B"/>
    <w:rsid w:val="005C705C"/>
    <w:rsid w:val="005C76FC"/>
    <w:rsid w:val="005D1567"/>
    <w:rsid w:val="005D21E0"/>
    <w:rsid w:val="005D428A"/>
    <w:rsid w:val="005D55EB"/>
    <w:rsid w:val="005D6A09"/>
    <w:rsid w:val="005D769C"/>
    <w:rsid w:val="005D7902"/>
    <w:rsid w:val="005D79C5"/>
    <w:rsid w:val="005E045D"/>
    <w:rsid w:val="005E0474"/>
    <w:rsid w:val="005E0D7F"/>
    <w:rsid w:val="005E1F26"/>
    <w:rsid w:val="005E2001"/>
    <w:rsid w:val="005E263C"/>
    <w:rsid w:val="005E3991"/>
    <w:rsid w:val="005E5097"/>
    <w:rsid w:val="005E5ACA"/>
    <w:rsid w:val="005E6CAA"/>
    <w:rsid w:val="005E7F03"/>
    <w:rsid w:val="005F0A9E"/>
    <w:rsid w:val="005F0E56"/>
    <w:rsid w:val="005F1C9B"/>
    <w:rsid w:val="005F2160"/>
    <w:rsid w:val="005F2338"/>
    <w:rsid w:val="005F2D63"/>
    <w:rsid w:val="005F34A4"/>
    <w:rsid w:val="005F3C66"/>
    <w:rsid w:val="005F4702"/>
    <w:rsid w:val="005F63B4"/>
    <w:rsid w:val="005F6F85"/>
    <w:rsid w:val="005F7587"/>
    <w:rsid w:val="005F7B89"/>
    <w:rsid w:val="006027B0"/>
    <w:rsid w:val="006033A8"/>
    <w:rsid w:val="00604CEF"/>
    <w:rsid w:val="0060679C"/>
    <w:rsid w:val="00606C34"/>
    <w:rsid w:val="00607F51"/>
    <w:rsid w:val="00607F55"/>
    <w:rsid w:val="0061019E"/>
    <w:rsid w:val="0061190A"/>
    <w:rsid w:val="00611AE3"/>
    <w:rsid w:val="006125D7"/>
    <w:rsid w:val="00612981"/>
    <w:rsid w:val="006139AD"/>
    <w:rsid w:val="00613AB5"/>
    <w:rsid w:val="00615080"/>
    <w:rsid w:val="00616CF5"/>
    <w:rsid w:val="0061788F"/>
    <w:rsid w:val="006211F3"/>
    <w:rsid w:val="00621797"/>
    <w:rsid w:val="006218B3"/>
    <w:rsid w:val="00622AFA"/>
    <w:rsid w:val="00623C8D"/>
    <w:rsid w:val="00623F90"/>
    <w:rsid w:val="0062468B"/>
    <w:rsid w:val="0062487D"/>
    <w:rsid w:val="0062520F"/>
    <w:rsid w:val="00626D67"/>
    <w:rsid w:val="00627898"/>
    <w:rsid w:val="00630253"/>
    <w:rsid w:val="00633861"/>
    <w:rsid w:val="00633AB5"/>
    <w:rsid w:val="00636D8E"/>
    <w:rsid w:val="00637A38"/>
    <w:rsid w:val="006413D5"/>
    <w:rsid w:val="006415E7"/>
    <w:rsid w:val="006425A0"/>
    <w:rsid w:val="006435F7"/>
    <w:rsid w:val="0064412D"/>
    <w:rsid w:val="006456B2"/>
    <w:rsid w:val="0064580E"/>
    <w:rsid w:val="00645D55"/>
    <w:rsid w:val="00647182"/>
    <w:rsid w:val="0065030E"/>
    <w:rsid w:val="006506F3"/>
    <w:rsid w:val="006511E8"/>
    <w:rsid w:val="00652025"/>
    <w:rsid w:val="00652258"/>
    <w:rsid w:val="00652655"/>
    <w:rsid w:val="00652942"/>
    <w:rsid w:val="006530C9"/>
    <w:rsid w:val="00653D40"/>
    <w:rsid w:val="00654A5F"/>
    <w:rsid w:val="006601E5"/>
    <w:rsid w:val="006612E2"/>
    <w:rsid w:val="00661EE6"/>
    <w:rsid w:val="006624B1"/>
    <w:rsid w:val="0066274A"/>
    <w:rsid w:val="00667DEC"/>
    <w:rsid w:val="0067076D"/>
    <w:rsid w:val="00670CB6"/>
    <w:rsid w:val="0067123F"/>
    <w:rsid w:val="006720B5"/>
    <w:rsid w:val="006721F8"/>
    <w:rsid w:val="006724EB"/>
    <w:rsid w:val="006747FC"/>
    <w:rsid w:val="00674B12"/>
    <w:rsid w:val="00674F3F"/>
    <w:rsid w:val="00675205"/>
    <w:rsid w:val="00676374"/>
    <w:rsid w:val="006774E7"/>
    <w:rsid w:val="006775CD"/>
    <w:rsid w:val="00680AB6"/>
    <w:rsid w:val="00680B06"/>
    <w:rsid w:val="00680C97"/>
    <w:rsid w:val="00681408"/>
    <w:rsid w:val="006819D4"/>
    <w:rsid w:val="0068345B"/>
    <w:rsid w:val="0068421A"/>
    <w:rsid w:val="00684B4F"/>
    <w:rsid w:val="006866CE"/>
    <w:rsid w:val="00686D3C"/>
    <w:rsid w:val="00687358"/>
    <w:rsid w:val="006876A4"/>
    <w:rsid w:val="00687C21"/>
    <w:rsid w:val="00690DF2"/>
    <w:rsid w:val="00691884"/>
    <w:rsid w:val="006927CB"/>
    <w:rsid w:val="00692C76"/>
    <w:rsid w:val="006964FB"/>
    <w:rsid w:val="00696ECD"/>
    <w:rsid w:val="00697BDE"/>
    <w:rsid w:val="006A12CA"/>
    <w:rsid w:val="006A1AC8"/>
    <w:rsid w:val="006A31C5"/>
    <w:rsid w:val="006A353B"/>
    <w:rsid w:val="006A4DED"/>
    <w:rsid w:val="006A5A5A"/>
    <w:rsid w:val="006A64F8"/>
    <w:rsid w:val="006B0CF4"/>
    <w:rsid w:val="006B1EE1"/>
    <w:rsid w:val="006B3313"/>
    <w:rsid w:val="006B38CF"/>
    <w:rsid w:val="006B49FC"/>
    <w:rsid w:val="006B6455"/>
    <w:rsid w:val="006B6D9E"/>
    <w:rsid w:val="006B7D24"/>
    <w:rsid w:val="006C00F4"/>
    <w:rsid w:val="006C05D6"/>
    <w:rsid w:val="006C06FC"/>
    <w:rsid w:val="006C2E44"/>
    <w:rsid w:val="006C37C8"/>
    <w:rsid w:val="006C4053"/>
    <w:rsid w:val="006C4AEE"/>
    <w:rsid w:val="006C5B81"/>
    <w:rsid w:val="006C6D18"/>
    <w:rsid w:val="006C6D94"/>
    <w:rsid w:val="006C6E55"/>
    <w:rsid w:val="006C7F16"/>
    <w:rsid w:val="006D0AF2"/>
    <w:rsid w:val="006D1AFD"/>
    <w:rsid w:val="006E19C9"/>
    <w:rsid w:val="006E2718"/>
    <w:rsid w:val="006E2A6E"/>
    <w:rsid w:val="006E3AD0"/>
    <w:rsid w:val="006E530E"/>
    <w:rsid w:val="006E655F"/>
    <w:rsid w:val="006E6A2B"/>
    <w:rsid w:val="006F09DD"/>
    <w:rsid w:val="006F0EC3"/>
    <w:rsid w:val="006F1187"/>
    <w:rsid w:val="006F1703"/>
    <w:rsid w:val="006F2791"/>
    <w:rsid w:val="006F3277"/>
    <w:rsid w:val="006F3DC7"/>
    <w:rsid w:val="006F464E"/>
    <w:rsid w:val="006F4A29"/>
    <w:rsid w:val="006F4C9A"/>
    <w:rsid w:val="006F6032"/>
    <w:rsid w:val="006F6F40"/>
    <w:rsid w:val="006F7297"/>
    <w:rsid w:val="006F7463"/>
    <w:rsid w:val="006F7665"/>
    <w:rsid w:val="007001FB"/>
    <w:rsid w:val="00700239"/>
    <w:rsid w:val="00701894"/>
    <w:rsid w:val="0070211C"/>
    <w:rsid w:val="007021AD"/>
    <w:rsid w:val="00702AE2"/>
    <w:rsid w:val="00702C01"/>
    <w:rsid w:val="00703EAA"/>
    <w:rsid w:val="00703FD0"/>
    <w:rsid w:val="007045CC"/>
    <w:rsid w:val="007079CE"/>
    <w:rsid w:val="007113CA"/>
    <w:rsid w:val="007118C1"/>
    <w:rsid w:val="00711DF2"/>
    <w:rsid w:val="00714062"/>
    <w:rsid w:val="00715743"/>
    <w:rsid w:val="00716785"/>
    <w:rsid w:val="00717B55"/>
    <w:rsid w:val="00720087"/>
    <w:rsid w:val="0072052D"/>
    <w:rsid w:val="00720CA8"/>
    <w:rsid w:val="00721562"/>
    <w:rsid w:val="007219DF"/>
    <w:rsid w:val="00726D25"/>
    <w:rsid w:val="00726EA6"/>
    <w:rsid w:val="00727ADA"/>
    <w:rsid w:val="0073022F"/>
    <w:rsid w:val="00731680"/>
    <w:rsid w:val="00732323"/>
    <w:rsid w:val="00732389"/>
    <w:rsid w:val="00736F6E"/>
    <w:rsid w:val="00737E1E"/>
    <w:rsid w:val="007405AA"/>
    <w:rsid w:val="007413F5"/>
    <w:rsid w:val="00743025"/>
    <w:rsid w:val="007457E2"/>
    <w:rsid w:val="0074755B"/>
    <w:rsid w:val="0075366C"/>
    <w:rsid w:val="00753FA6"/>
    <w:rsid w:val="00755C60"/>
    <w:rsid w:val="00757C96"/>
    <w:rsid w:val="00760A56"/>
    <w:rsid w:val="00760AE9"/>
    <w:rsid w:val="00761A6E"/>
    <w:rsid w:val="00762519"/>
    <w:rsid w:val="00762B89"/>
    <w:rsid w:val="00762FC7"/>
    <w:rsid w:val="00763C18"/>
    <w:rsid w:val="007658EF"/>
    <w:rsid w:val="00766085"/>
    <w:rsid w:val="00766B8F"/>
    <w:rsid w:val="007670D4"/>
    <w:rsid w:val="0076725B"/>
    <w:rsid w:val="0076729E"/>
    <w:rsid w:val="0077020C"/>
    <w:rsid w:val="00770B1F"/>
    <w:rsid w:val="007718C2"/>
    <w:rsid w:val="00772B6F"/>
    <w:rsid w:val="007746A9"/>
    <w:rsid w:val="00774B39"/>
    <w:rsid w:val="00774DF0"/>
    <w:rsid w:val="00775C53"/>
    <w:rsid w:val="0077679B"/>
    <w:rsid w:val="007767AD"/>
    <w:rsid w:val="007772E3"/>
    <w:rsid w:val="00780534"/>
    <w:rsid w:val="00780C8C"/>
    <w:rsid w:val="00782FD1"/>
    <w:rsid w:val="00784D40"/>
    <w:rsid w:val="00786B24"/>
    <w:rsid w:val="00786DFA"/>
    <w:rsid w:val="00786E04"/>
    <w:rsid w:val="007900F1"/>
    <w:rsid w:val="00790E0A"/>
    <w:rsid w:val="00790FD4"/>
    <w:rsid w:val="007927B9"/>
    <w:rsid w:val="007935A3"/>
    <w:rsid w:val="0079565F"/>
    <w:rsid w:val="00797DB1"/>
    <w:rsid w:val="007A121F"/>
    <w:rsid w:val="007A4274"/>
    <w:rsid w:val="007A4352"/>
    <w:rsid w:val="007A4C8C"/>
    <w:rsid w:val="007A6935"/>
    <w:rsid w:val="007A6A11"/>
    <w:rsid w:val="007A7313"/>
    <w:rsid w:val="007B012E"/>
    <w:rsid w:val="007B0EAB"/>
    <w:rsid w:val="007B2461"/>
    <w:rsid w:val="007B4784"/>
    <w:rsid w:val="007B68AD"/>
    <w:rsid w:val="007C0313"/>
    <w:rsid w:val="007C09D8"/>
    <w:rsid w:val="007C1218"/>
    <w:rsid w:val="007C2DA3"/>
    <w:rsid w:val="007C310D"/>
    <w:rsid w:val="007C317B"/>
    <w:rsid w:val="007C391B"/>
    <w:rsid w:val="007C44BC"/>
    <w:rsid w:val="007C4558"/>
    <w:rsid w:val="007C75B3"/>
    <w:rsid w:val="007D0FFE"/>
    <w:rsid w:val="007D3286"/>
    <w:rsid w:val="007D37A7"/>
    <w:rsid w:val="007D39DA"/>
    <w:rsid w:val="007D3C4E"/>
    <w:rsid w:val="007D3D1F"/>
    <w:rsid w:val="007D4C16"/>
    <w:rsid w:val="007D65AC"/>
    <w:rsid w:val="007D6846"/>
    <w:rsid w:val="007E0BD9"/>
    <w:rsid w:val="007E2EFE"/>
    <w:rsid w:val="007E3AE3"/>
    <w:rsid w:val="007E3B8E"/>
    <w:rsid w:val="007E6609"/>
    <w:rsid w:val="007E7152"/>
    <w:rsid w:val="007E7E61"/>
    <w:rsid w:val="007F0F57"/>
    <w:rsid w:val="007F1DEC"/>
    <w:rsid w:val="007F1F80"/>
    <w:rsid w:val="007F298E"/>
    <w:rsid w:val="007F32C4"/>
    <w:rsid w:val="007F3EB9"/>
    <w:rsid w:val="007F4368"/>
    <w:rsid w:val="007F488A"/>
    <w:rsid w:val="007F4A99"/>
    <w:rsid w:val="007F542C"/>
    <w:rsid w:val="007F6C8C"/>
    <w:rsid w:val="007F7163"/>
    <w:rsid w:val="008017AA"/>
    <w:rsid w:val="008017C9"/>
    <w:rsid w:val="0080247C"/>
    <w:rsid w:val="00803366"/>
    <w:rsid w:val="00803439"/>
    <w:rsid w:val="00803FF4"/>
    <w:rsid w:val="00804E27"/>
    <w:rsid w:val="008050DA"/>
    <w:rsid w:val="008051BE"/>
    <w:rsid w:val="0080777E"/>
    <w:rsid w:val="008107BF"/>
    <w:rsid w:val="008128C2"/>
    <w:rsid w:val="00812914"/>
    <w:rsid w:val="0081495C"/>
    <w:rsid w:val="00814D27"/>
    <w:rsid w:val="00816755"/>
    <w:rsid w:val="008174F8"/>
    <w:rsid w:val="00817C2B"/>
    <w:rsid w:val="008203C4"/>
    <w:rsid w:val="008208E7"/>
    <w:rsid w:val="00820EA4"/>
    <w:rsid w:val="0082162F"/>
    <w:rsid w:val="00823056"/>
    <w:rsid w:val="00826344"/>
    <w:rsid w:val="00826A14"/>
    <w:rsid w:val="00830483"/>
    <w:rsid w:val="008316AE"/>
    <w:rsid w:val="00831868"/>
    <w:rsid w:val="0083278B"/>
    <w:rsid w:val="008331A2"/>
    <w:rsid w:val="0083482E"/>
    <w:rsid w:val="00834E4B"/>
    <w:rsid w:val="0083583E"/>
    <w:rsid w:val="00837AF8"/>
    <w:rsid w:val="00840CA9"/>
    <w:rsid w:val="00841256"/>
    <w:rsid w:val="00842CA6"/>
    <w:rsid w:val="00843BE0"/>
    <w:rsid w:val="008445FB"/>
    <w:rsid w:val="00846D70"/>
    <w:rsid w:val="0085042F"/>
    <w:rsid w:val="00850BB1"/>
    <w:rsid w:val="0085326B"/>
    <w:rsid w:val="00853BE1"/>
    <w:rsid w:val="00853F00"/>
    <w:rsid w:val="00854563"/>
    <w:rsid w:val="008548FC"/>
    <w:rsid w:val="0085507C"/>
    <w:rsid w:val="0085563B"/>
    <w:rsid w:val="00856200"/>
    <w:rsid w:val="00856DF0"/>
    <w:rsid w:val="00857A00"/>
    <w:rsid w:val="00862DE4"/>
    <w:rsid w:val="00863521"/>
    <w:rsid w:val="00863FBB"/>
    <w:rsid w:val="00867046"/>
    <w:rsid w:val="008672FE"/>
    <w:rsid w:val="00867D05"/>
    <w:rsid w:val="00867DCD"/>
    <w:rsid w:val="00871989"/>
    <w:rsid w:val="00872755"/>
    <w:rsid w:val="008729CA"/>
    <w:rsid w:val="00872B76"/>
    <w:rsid w:val="008743E0"/>
    <w:rsid w:val="00875295"/>
    <w:rsid w:val="00875C7B"/>
    <w:rsid w:val="00875D4C"/>
    <w:rsid w:val="00876778"/>
    <w:rsid w:val="00880B2E"/>
    <w:rsid w:val="00883D2B"/>
    <w:rsid w:val="00885FE4"/>
    <w:rsid w:val="0088664E"/>
    <w:rsid w:val="00887B35"/>
    <w:rsid w:val="008900EA"/>
    <w:rsid w:val="008916C5"/>
    <w:rsid w:val="0089234C"/>
    <w:rsid w:val="0089287F"/>
    <w:rsid w:val="00892F00"/>
    <w:rsid w:val="008935B0"/>
    <w:rsid w:val="0089381D"/>
    <w:rsid w:val="0089398B"/>
    <w:rsid w:val="00893AAC"/>
    <w:rsid w:val="008944E0"/>
    <w:rsid w:val="008960AE"/>
    <w:rsid w:val="008A03A6"/>
    <w:rsid w:val="008A054F"/>
    <w:rsid w:val="008A20A4"/>
    <w:rsid w:val="008A25A8"/>
    <w:rsid w:val="008A3EE1"/>
    <w:rsid w:val="008A3F5F"/>
    <w:rsid w:val="008A4CC1"/>
    <w:rsid w:val="008A5275"/>
    <w:rsid w:val="008A52CE"/>
    <w:rsid w:val="008A5F26"/>
    <w:rsid w:val="008B05FF"/>
    <w:rsid w:val="008B553D"/>
    <w:rsid w:val="008B6BEA"/>
    <w:rsid w:val="008C0BEF"/>
    <w:rsid w:val="008C0F75"/>
    <w:rsid w:val="008C1193"/>
    <w:rsid w:val="008C18B9"/>
    <w:rsid w:val="008C6933"/>
    <w:rsid w:val="008C75A6"/>
    <w:rsid w:val="008D0AAF"/>
    <w:rsid w:val="008D2449"/>
    <w:rsid w:val="008D2B00"/>
    <w:rsid w:val="008D2DFC"/>
    <w:rsid w:val="008D3440"/>
    <w:rsid w:val="008D477C"/>
    <w:rsid w:val="008D6209"/>
    <w:rsid w:val="008E033F"/>
    <w:rsid w:val="008E109D"/>
    <w:rsid w:val="008E1C13"/>
    <w:rsid w:val="008E2498"/>
    <w:rsid w:val="008E3A74"/>
    <w:rsid w:val="008E439D"/>
    <w:rsid w:val="008E5999"/>
    <w:rsid w:val="008E5E71"/>
    <w:rsid w:val="008E6BBD"/>
    <w:rsid w:val="008E72A8"/>
    <w:rsid w:val="008E7DD2"/>
    <w:rsid w:val="008E7DDE"/>
    <w:rsid w:val="008F12CD"/>
    <w:rsid w:val="008F4BD8"/>
    <w:rsid w:val="008F50CD"/>
    <w:rsid w:val="008F5CFA"/>
    <w:rsid w:val="008F7620"/>
    <w:rsid w:val="008F7713"/>
    <w:rsid w:val="0090358D"/>
    <w:rsid w:val="009036EF"/>
    <w:rsid w:val="00903F4D"/>
    <w:rsid w:val="00904814"/>
    <w:rsid w:val="009049A9"/>
    <w:rsid w:val="009049E0"/>
    <w:rsid w:val="009059CF"/>
    <w:rsid w:val="009078E3"/>
    <w:rsid w:val="0091064E"/>
    <w:rsid w:val="009125F0"/>
    <w:rsid w:val="0091305A"/>
    <w:rsid w:val="00913830"/>
    <w:rsid w:val="00913ED3"/>
    <w:rsid w:val="0091467D"/>
    <w:rsid w:val="00917795"/>
    <w:rsid w:val="00920AC0"/>
    <w:rsid w:val="00920B98"/>
    <w:rsid w:val="00924068"/>
    <w:rsid w:val="009241F2"/>
    <w:rsid w:val="00924BF5"/>
    <w:rsid w:val="00925512"/>
    <w:rsid w:val="0092698F"/>
    <w:rsid w:val="00926F4A"/>
    <w:rsid w:val="00927235"/>
    <w:rsid w:val="00930959"/>
    <w:rsid w:val="00930CF1"/>
    <w:rsid w:val="00932880"/>
    <w:rsid w:val="009344A7"/>
    <w:rsid w:val="00935276"/>
    <w:rsid w:val="00935467"/>
    <w:rsid w:val="00935A57"/>
    <w:rsid w:val="0094235E"/>
    <w:rsid w:val="009433AA"/>
    <w:rsid w:val="009446E7"/>
    <w:rsid w:val="0094517B"/>
    <w:rsid w:val="009463F6"/>
    <w:rsid w:val="00947613"/>
    <w:rsid w:val="00950A5C"/>
    <w:rsid w:val="009522A5"/>
    <w:rsid w:val="0095304C"/>
    <w:rsid w:val="00954FC6"/>
    <w:rsid w:val="0096008C"/>
    <w:rsid w:val="00960395"/>
    <w:rsid w:val="009607C9"/>
    <w:rsid w:val="0096153E"/>
    <w:rsid w:val="009663EB"/>
    <w:rsid w:val="009702B5"/>
    <w:rsid w:val="009709BE"/>
    <w:rsid w:val="00971436"/>
    <w:rsid w:val="009721F3"/>
    <w:rsid w:val="009740C0"/>
    <w:rsid w:val="00974345"/>
    <w:rsid w:val="00976031"/>
    <w:rsid w:val="00976D45"/>
    <w:rsid w:val="00977354"/>
    <w:rsid w:val="00977CAF"/>
    <w:rsid w:val="00977F6B"/>
    <w:rsid w:val="00980384"/>
    <w:rsid w:val="00980CE3"/>
    <w:rsid w:val="00981298"/>
    <w:rsid w:val="009839AB"/>
    <w:rsid w:val="00990061"/>
    <w:rsid w:val="00990FCC"/>
    <w:rsid w:val="0099177E"/>
    <w:rsid w:val="00991A5C"/>
    <w:rsid w:val="00991B26"/>
    <w:rsid w:val="00992884"/>
    <w:rsid w:val="00992EC5"/>
    <w:rsid w:val="00992F64"/>
    <w:rsid w:val="0099410F"/>
    <w:rsid w:val="009954AD"/>
    <w:rsid w:val="00995CA8"/>
    <w:rsid w:val="009A18AF"/>
    <w:rsid w:val="009A54E8"/>
    <w:rsid w:val="009A7561"/>
    <w:rsid w:val="009B1408"/>
    <w:rsid w:val="009B146E"/>
    <w:rsid w:val="009B14A8"/>
    <w:rsid w:val="009B2E68"/>
    <w:rsid w:val="009B5A2B"/>
    <w:rsid w:val="009C04AB"/>
    <w:rsid w:val="009C14AA"/>
    <w:rsid w:val="009C23FD"/>
    <w:rsid w:val="009C37E9"/>
    <w:rsid w:val="009C647F"/>
    <w:rsid w:val="009C67DB"/>
    <w:rsid w:val="009C746F"/>
    <w:rsid w:val="009C7668"/>
    <w:rsid w:val="009D082A"/>
    <w:rsid w:val="009D163D"/>
    <w:rsid w:val="009D1C5D"/>
    <w:rsid w:val="009D2ACB"/>
    <w:rsid w:val="009D3494"/>
    <w:rsid w:val="009D4974"/>
    <w:rsid w:val="009D54B2"/>
    <w:rsid w:val="009D54B8"/>
    <w:rsid w:val="009D5B9D"/>
    <w:rsid w:val="009D6429"/>
    <w:rsid w:val="009D6D25"/>
    <w:rsid w:val="009D760D"/>
    <w:rsid w:val="009E074D"/>
    <w:rsid w:val="009E0B33"/>
    <w:rsid w:val="009E111A"/>
    <w:rsid w:val="009E147A"/>
    <w:rsid w:val="009E1F63"/>
    <w:rsid w:val="009E23BB"/>
    <w:rsid w:val="009E2AB3"/>
    <w:rsid w:val="009E2C4A"/>
    <w:rsid w:val="009E30F5"/>
    <w:rsid w:val="009E4146"/>
    <w:rsid w:val="009E46EB"/>
    <w:rsid w:val="009E4AC4"/>
    <w:rsid w:val="009E5220"/>
    <w:rsid w:val="009F0F9B"/>
    <w:rsid w:val="009F54D0"/>
    <w:rsid w:val="009F5E19"/>
    <w:rsid w:val="009F62E1"/>
    <w:rsid w:val="009F6F91"/>
    <w:rsid w:val="009F76C5"/>
    <w:rsid w:val="00A00E89"/>
    <w:rsid w:val="00A013FA"/>
    <w:rsid w:val="00A0243E"/>
    <w:rsid w:val="00A04189"/>
    <w:rsid w:val="00A046BB"/>
    <w:rsid w:val="00A04863"/>
    <w:rsid w:val="00A054DE"/>
    <w:rsid w:val="00A06244"/>
    <w:rsid w:val="00A066E9"/>
    <w:rsid w:val="00A06AFD"/>
    <w:rsid w:val="00A07920"/>
    <w:rsid w:val="00A0793D"/>
    <w:rsid w:val="00A123D1"/>
    <w:rsid w:val="00A12E1E"/>
    <w:rsid w:val="00A13AFF"/>
    <w:rsid w:val="00A147C2"/>
    <w:rsid w:val="00A2219D"/>
    <w:rsid w:val="00A23E43"/>
    <w:rsid w:val="00A26389"/>
    <w:rsid w:val="00A27135"/>
    <w:rsid w:val="00A275D0"/>
    <w:rsid w:val="00A27D6F"/>
    <w:rsid w:val="00A3089E"/>
    <w:rsid w:val="00A31BCC"/>
    <w:rsid w:val="00A329F4"/>
    <w:rsid w:val="00A33293"/>
    <w:rsid w:val="00A338BE"/>
    <w:rsid w:val="00A351CA"/>
    <w:rsid w:val="00A359E8"/>
    <w:rsid w:val="00A374B5"/>
    <w:rsid w:val="00A376FA"/>
    <w:rsid w:val="00A37A6E"/>
    <w:rsid w:val="00A40749"/>
    <w:rsid w:val="00A41C1E"/>
    <w:rsid w:val="00A43A4D"/>
    <w:rsid w:val="00A4533D"/>
    <w:rsid w:val="00A453EB"/>
    <w:rsid w:val="00A47A82"/>
    <w:rsid w:val="00A47C09"/>
    <w:rsid w:val="00A50664"/>
    <w:rsid w:val="00A50700"/>
    <w:rsid w:val="00A52B09"/>
    <w:rsid w:val="00A536E7"/>
    <w:rsid w:val="00A556A1"/>
    <w:rsid w:val="00A57401"/>
    <w:rsid w:val="00A60F0F"/>
    <w:rsid w:val="00A61159"/>
    <w:rsid w:val="00A629D9"/>
    <w:rsid w:val="00A63DD2"/>
    <w:rsid w:val="00A653EB"/>
    <w:rsid w:val="00A66964"/>
    <w:rsid w:val="00A66D09"/>
    <w:rsid w:val="00A670D8"/>
    <w:rsid w:val="00A67656"/>
    <w:rsid w:val="00A70B5D"/>
    <w:rsid w:val="00A71B1C"/>
    <w:rsid w:val="00A74100"/>
    <w:rsid w:val="00A743D6"/>
    <w:rsid w:val="00A75E60"/>
    <w:rsid w:val="00A77DEB"/>
    <w:rsid w:val="00A80F3A"/>
    <w:rsid w:val="00A8166D"/>
    <w:rsid w:val="00A81812"/>
    <w:rsid w:val="00A81B35"/>
    <w:rsid w:val="00A8224B"/>
    <w:rsid w:val="00A843D6"/>
    <w:rsid w:val="00A8452E"/>
    <w:rsid w:val="00A86754"/>
    <w:rsid w:val="00A868AB"/>
    <w:rsid w:val="00A9066A"/>
    <w:rsid w:val="00A91ADD"/>
    <w:rsid w:val="00A91EDC"/>
    <w:rsid w:val="00A92210"/>
    <w:rsid w:val="00A928B0"/>
    <w:rsid w:val="00A935D1"/>
    <w:rsid w:val="00A93617"/>
    <w:rsid w:val="00A9529B"/>
    <w:rsid w:val="00A9620D"/>
    <w:rsid w:val="00A96F03"/>
    <w:rsid w:val="00AA1770"/>
    <w:rsid w:val="00AA26D4"/>
    <w:rsid w:val="00AA410B"/>
    <w:rsid w:val="00AA66E9"/>
    <w:rsid w:val="00AB120D"/>
    <w:rsid w:val="00AB1936"/>
    <w:rsid w:val="00AB289A"/>
    <w:rsid w:val="00AB3515"/>
    <w:rsid w:val="00AB391C"/>
    <w:rsid w:val="00AB3F92"/>
    <w:rsid w:val="00AB3FF1"/>
    <w:rsid w:val="00AB4FE4"/>
    <w:rsid w:val="00AB64E8"/>
    <w:rsid w:val="00AB7A69"/>
    <w:rsid w:val="00AB7E6A"/>
    <w:rsid w:val="00AC709D"/>
    <w:rsid w:val="00AC7D23"/>
    <w:rsid w:val="00AD0C67"/>
    <w:rsid w:val="00AD1453"/>
    <w:rsid w:val="00AD220D"/>
    <w:rsid w:val="00AD4851"/>
    <w:rsid w:val="00AD5AF4"/>
    <w:rsid w:val="00AD609C"/>
    <w:rsid w:val="00AD6631"/>
    <w:rsid w:val="00AD6CA9"/>
    <w:rsid w:val="00AD75BA"/>
    <w:rsid w:val="00AE1623"/>
    <w:rsid w:val="00AE1979"/>
    <w:rsid w:val="00AE4363"/>
    <w:rsid w:val="00AE44EC"/>
    <w:rsid w:val="00AE4EB5"/>
    <w:rsid w:val="00AE50BE"/>
    <w:rsid w:val="00AE7DF9"/>
    <w:rsid w:val="00AF1708"/>
    <w:rsid w:val="00AF18A1"/>
    <w:rsid w:val="00AF23BD"/>
    <w:rsid w:val="00AF25E7"/>
    <w:rsid w:val="00AF2AA7"/>
    <w:rsid w:val="00AF4B80"/>
    <w:rsid w:val="00AF51AE"/>
    <w:rsid w:val="00AF76D3"/>
    <w:rsid w:val="00AF78F4"/>
    <w:rsid w:val="00AF7911"/>
    <w:rsid w:val="00AF7925"/>
    <w:rsid w:val="00B00AF6"/>
    <w:rsid w:val="00B02C21"/>
    <w:rsid w:val="00B03F57"/>
    <w:rsid w:val="00B045A3"/>
    <w:rsid w:val="00B05876"/>
    <w:rsid w:val="00B05C68"/>
    <w:rsid w:val="00B068AD"/>
    <w:rsid w:val="00B07442"/>
    <w:rsid w:val="00B07F75"/>
    <w:rsid w:val="00B10684"/>
    <w:rsid w:val="00B10ADE"/>
    <w:rsid w:val="00B11243"/>
    <w:rsid w:val="00B12447"/>
    <w:rsid w:val="00B125D1"/>
    <w:rsid w:val="00B12AE3"/>
    <w:rsid w:val="00B135C5"/>
    <w:rsid w:val="00B13A1E"/>
    <w:rsid w:val="00B146AF"/>
    <w:rsid w:val="00B167C3"/>
    <w:rsid w:val="00B16A32"/>
    <w:rsid w:val="00B17313"/>
    <w:rsid w:val="00B24E83"/>
    <w:rsid w:val="00B250EE"/>
    <w:rsid w:val="00B25264"/>
    <w:rsid w:val="00B27FEA"/>
    <w:rsid w:val="00B303B9"/>
    <w:rsid w:val="00B30A36"/>
    <w:rsid w:val="00B3125C"/>
    <w:rsid w:val="00B31CA1"/>
    <w:rsid w:val="00B3483A"/>
    <w:rsid w:val="00B355DA"/>
    <w:rsid w:val="00B36E3F"/>
    <w:rsid w:val="00B4025D"/>
    <w:rsid w:val="00B42548"/>
    <w:rsid w:val="00B4347F"/>
    <w:rsid w:val="00B435CB"/>
    <w:rsid w:val="00B439DA"/>
    <w:rsid w:val="00B4403B"/>
    <w:rsid w:val="00B448C6"/>
    <w:rsid w:val="00B44A62"/>
    <w:rsid w:val="00B46CC9"/>
    <w:rsid w:val="00B46F9A"/>
    <w:rsid w:val="00B47426"/>
    <w:rsid w:val="00B5036B"/>
    <w:rsid w:val="00B50559"/>
    <w:rsid w:val="00B5163F"/>
    <w:rsid w:val="00B51687"/>
    <w:rsid w:val="00B517D7"/>
    <w:rsid w:val="00B51874"/>
    <w:rsid w:val="00B53E35"/>
    <w:rsid w:val="00B540A0"/>
    <w:rsid w:val="00B546A9"/>
    <w:rsid w:val="00B55D71"/>
    <w:rsid w:val="00B56D3E"/>
    <w:rsid w:val="00B57C8E"/>
    <w:rsid w:val="00B614F4"/>
    <w:rsid w:val="00B633DF"/>
    <w:rsid w:val="00B6417E"/>
    <w:rsid w:val="00B65304"/>
    <w:rsid w:val="00B65F4E"/>
    <w:rsid w:val="00B66C99"/>
    <w:rsid w:val="00B71112"/>
    <w:rsid w:val="00B71967"/>
    <w:rsid w:val="00B71DB7"/>
    <w:rsid w:val="00B71FB1"/>
    <w:rsid w:val="00B72A2E"/>
    <w:rsid w:val="00B74C4A"/>
    <w:rsid w:val="00B74F61"/>
    <w:rsid w:val="00B74F75"/>
    <w:rsid w:val="00B7529F"/>
    <w:rsid w:val="00B80173"/>
    <w:rsid w:val="00B80C24"/>
    <w:rsid w:val="00B80E1D"/>
    <w:rsid w:val="00B82966"/>
    <w:rsid w:val="00B829E1"/>
    <w:rsid w:val="00B83F23"/>
    <w:rsid w:val="00B864ED"/>
    <w:rsid w:val="00B8655F"/>
    <w:rsid w:val="00B866FD"/>
    <w:rsid w:val="00B872B5"/>
    <w:rsid w:val="00B9060C"/>
    <w:rsid w:val="00B92E7B"/>
    <w:rsid w:val="00B92E9D"/>
    <w:rsid w:val="00B93285"/>
    <w:rsid w:val="00B946B0"/>
    <w:rsid w:val="00B95FD3"/>
    <w:rsid w:val="00B969E6"/>
    <w:rsid w:val="00BA0487"/>
    <w:rsid w:val="00BA0E43"/>
    <w:rsid w:val="00BA0E4E"/>
    <w:rsid w:val="00BA0F08"/>
    <w:rsid w:val="00BA3457"/>
    <w:rsid w:val="00BA51F9"/>
    <w:rsid w:val="00BA58E4"/>
    <w:rsid w:val="00BA5B85"/>
    <w:rsid w:val="00BA71CE"/>
    <w:rsid w:val="00BA72D8"/>
    <w:rsid w:val="00BA7529"/>
    <w:rsid w:val="00BB10E5"/>
    <w:rsid w:val="00BB2501"/>
    <w:rsid w:val="00BB351B"/>
    <w:rsid w:val="00BB3CB3"/>
    <w:rsid w:val="00BB4106"/>
    <w:rsid w:val="00BB4D83"/>
    <w:rsid w:val="00BB5024"/>
    <w:rsid w:val="00BB548A"/>
    <w:rsid w:val="00BB55F4"/>
    <w:rsid w:val="00BB5BDE"/>
    <w:rsid w:val="00BB7E25"/>
    <w:rsid w:val="00BC12DC"/>
    <w:rsid w:val="00BC1952"/>
    <w:rsid w:val="00BC51A2"/>
    <w:rsid w:val="00BC5746"/>
    <w:rsid w:val="00BC7338"/>
    <w:rsid w:val="00BC7F96"/>
    <w:rsid w:val="00BD0FFB"/>
    <w:rsid w:val="00BD117E"/>
    <w:rsid w:val="00BD1FCF"/>
    <w:rsid w:val="00BD26D2"/>
    <w:rsid w:val="00BD377D"/>
    <w:rsid w:val="00BD42A1"/>
    <w:rsid w:val="00BD4B8C"/>
    <w:rsid w:val="00BD5CAD"/>
    <w:rsid w:val="00BD5DF4"/>
    <w:rsid w:val="00BD615E"/>
    <w:rsid w:val="00BD7554"/>
    <w:rsid w:val="00BD79A1"/>
    <w:rsid w:val="00BD7E20"/>
    <w:rsid w:val="00BE0F93"/>
    <w:rsid w:val="00BE300A"/>
    <w:rsid w:val="00BE33EF"/>
    <w:rsid w:val="00BE3D76"/>
    <w:rsid w:val="00BE57E4"/>
    <w:rsid w:val="00BE7044"/>
    <w:rsid w:val="00BF0C30"/>
    <w:rsid w:val="00BF0DED"/>
    <w:rsid w:val="00BF2DE3"/>
    <w:rsid w:val="00BF30F7"/>
    <w:rsid w:val="00BF5CAC"/>
    <w:rsid w:val="00BF5CBD"/>
    <w:rsid w:val="00BF5E03"/>
    <w:rsid w:val="00BF6B26"/>
    <w:rsid w:val="00C02B69"/>
    <w:rsid w:val="00C02E88"/>
    <w:rsid w:val="00C033D2"/>
    <w:rsid w:val="00C0415C"/>
    <w:rsid w:val="00C04417"/>
    <w:rsid w:val="00C04497"/>
    <w:rsid w:val="00C04952"/>
    <w:rsid w:val="00C05BD9"/>
    <w:rsid w:val="00C07CAA"/>
    <w:rsid w:val="00C10007"/>
    <w:rsid w:val="00C105B7"/>
    <w:rsid w:val="00C11EA3"/>
    <w:rsid w:val="00C13AD6"/>
    <w:rsid w:val="00C14B9E"/>
    <w:rsid w:val="00C156B5"/>
    <w:rsid w:val="00C1581A"/>
    <w:rsid w:val="00C16400"/>
    <w:rsid w:val="00C16EB9"/>
    <w:rsid w:val="00C220E0"/>
    <w:rsid w:val="00C243ED"/>
    <w:rsid w:val="00C255F1"/>
    <w:rsid w:val="00C265E9"/>
    <w:rsid w:val="00C26CEA"/>
    <w:rsid w:val="00C30582"/>
    <w:rsid w:val="00C31ABC"/>
    <w:rsid w:val="00C325D5"/>
    <w:rsid w:val="00C344B3"/>
    <w:rsid w:val="00C34FA7"/>
    <w:rsid w:val="00C35DC5"/>
    <w:rsid w:val="00C3722D"/>
    <w:rsid w:val="00C43843"/>
    <w:rsid w:val="00C43E59"/>
    <w:rsid w:val="00C45904"/>
    <w:rsid w:val="00C4600E"/>
    <w:rsid w:val="00C51A99"/>
    <w:rsid w:val="00C52275"/>
    <w:rsid w:val="00C5363C"/>
    <w:rsid w:val="00C55366"/>
    <w:rsid w:val="00C56069"/>
    <w:rsid w:val="00C56BBD"/>
    <w:rsid w:val="00C56CB2"/>
    <w:rsid w:val="00C57021"/>
    <w:rsid w:val="00C5726E"/>
    <w:rsid w:val="00C624EF"/>
    <w:rsid w:val="00C62A05"/>
    <w:rsid w:val="00C62C76"/>
    <w:rsid w:val="00C630FD"/>
    <w:rsid w:val="00C63AEA"/>
    <w:rsid w:val="00C64FA0"/>
    <w:rsid w:val="00C664F2"/>
    <w:rsid w:val="00C67413"/>
    <w:rsid w:val="00C67B6E"/>
    <w:rsid w:val="00C710D8"/>
    <w:rsid w:val="00C71913"/>
    <w:rsid w:val="00C74CF5"/>
    <w:rsid w:val="00C75A1C"/>
    <w:rsid w:val="00C769BC"/>
    <w:rsid w:val="00C77014"/>
    <w:rsid w:val="00C77672"/>
    <w:rsid w:val="00C821B5"/>
    <w:rsid w:val="00C8375B"/>
    <w:rsid w:val="00C83AAF"/>
    <w:rsid w:val="00C85002"/>
    <w:rsid w:val="00C85AEA"/>
    <w:rsid w:val="00C85B78"/>
    <w:rsid w:val="00C86519"/>
    <w:rsid w:val="00C91CDF"/>
    <w:rsid w:val="00C92A7C"/>
    <w:rsid w:val="00C95D1B"/>
    <w:rsid w:val="00C95D81"/>
    <w:rsid w:val="00C96D38"/>
    <w:rsid w:val="00CA35B2"/>
    <w:rsid w:val="00CA3E56"/>
    <w:rsid w:val="00CA5179"/>
    <w:rsid w:val="00CA73B1"/>
    <w:rsid w:val="00CB1CCE"/>
    <w:rsid w:val="00CB2856"/>
    <w:rsid w:val="00CB32E5"/>
    <w:rsid w:val="00CB37F6"/>
    <w:rsid w:val="00CB627C"/>
    <w:rsid w:val="00CB7747"/>
    <w:rsid w:val="00CB7F5C"/>
    <w:rsid w:val="00CC15C1"/>
    <w:rsid w:val="00CC367D"/>
    <w:rsid w:val="00CC3725"/>
    <w:rsid w:val="00CC40C0"/>
    <w:rsid w:val="00CC56D8"/>
    <w:rsid w:val="00CC5D47"/>
    <w:rsid w:val="00CC74A2"/>
    <w:rsid w:val="00CC7767"/>
    <w:rsid w:val="00CD081C"/>
    <w:rsid w:val="00CD0B48"/>
    <w:rsid w:val="00CD10AA"/>
    <w:rsid w:val="00CD4018"/>
    <w:rsid w:val="00CD7107"/>
    <w:rsid w:val="00CD7B30"/>
    <w:rsid w:val="00CE249D"/>
    <w:rsid w:val="00CE2583"/>
    <w:rsid w:val="00CE27BC"/>
    <w:rsid w:val="00CE3AAA"/>
    <w:rsid w:val="00CE66B0"/>
    <w:rsid w:val="00CE7267"/>
    <w:rsid w:val="00CF013D"/>
    <w:rsid w:val="00CF0359"/>
    <w:rsid w:val="00CF0B59"/>
    <w:rsid w:val="00CF3F32"/>
    <w:rsid w:val="00CF457C"/>
    <w:rsid w:val="00CF52B0"/>
    <w:rsid w:val="00CF5926"/>
    <w:rsid w:val="00CF5F07"/>
    <w:rsid w:val="00CF7D8D"/>
    <w:rsid w:val="00D01B4F"/>
    <w:rsid w:val="00D0467C"/>
    <w:rsid w:val="00D0471C"/>
    <w:rsid w:val="00D04E2F"/>
    <w:rsid w:val="00D04F72"/>
    <w:rsid w:val="00D05968"/>
    <w:rsid w:val="00D0718D"/>
    <w:rsid w:val="00D1011D"/>
    <w:rsid w:val="00D10C9C"/>
    <w:rsid w:val="00D122AC"/>
    <w:rsid w:val="00D12BDE"/>
    <w:rsid w:val="00D130A6"/>
    <w:rsid w:val="00D13190"/>
    <w:rsid w:val="00D136B9"/>
    <w:rsid w:val="00D14235"/>
    <w:rsid w:val="00D15D58"/>
    <w:rsid w:val="00D17ED9"/>
    <w:rsid w:val="00D2119A"/>
    <w:rsid w:val="00D21656"/>
    <w:rsid w:val="00D21D13"/>
    <w:rsid w:val="00D2344E"/>
    <w:rsid w:val="00D2354F"/>
    <w:rsid w:val="00D250A4"/>
    <w:rsid w:val="00D25EE9"/>
    <w:rsid w:val="00D26813"/>
    <w:rsid w:val="00D30DB1"/>
    <w:rsid w:val="00D330D1"/>
    <w:rsid w:val="00D332B3"/>
    <w:rsid w:val="00D340F0"/>
    <w:rsid w:val="00D401D3"/>
    <w:rsid w:val="00D409E4"/>
    <w:rsid w:val="00D41211"/>
    <w:rsid w:val="00D41339"/>
    <w:rsid w:val="00D413C8"/>
    <w:rsid w:val="00D45314"/>
    <w:rsid w:val="00D509E9"/>
    <w:rsid w:val="00D50D60"/>
    <w:rsid w:val="00D518C4"/>
    <w:rsid w:val="00D5247F"/>
    <w:rsid w:val="00D524BF"/>
    <w:rsid w:val="00D52E2E"/>
    <w:rsid w:val="00D535BF"/>
    <w:rsid w:val="00D5475A"/>
    <w:rsid w:val="00D552B0"/>
    <w:rsid w:val="00D55409"/>
    <w:rsid w:val="00D55749"/>
    <w:rsid w:val="00D57E1F"/>
    <w:rsid w:val="00D60B78"/>
    <w:rsid w:val="00D61349"/>
    <w:rsid w:val="00D61743"/>
    <w:rsid w:val="00D61B77"/>
    <w:rsid w:val="00D6234A"/>
    <w:rsid w:val="00D632E7"/>
    <w:rsid w:val="00D635CA"/>
    <w:rsid w:val="00D636B1"/>
    <w:rsid w:val="00D6461F"/>
    <w:rsid w:val="00D64878"/>
    <w:rsid w:val="00D65FFA"/>
    <w:rsid w:val="00D667AA"/>
    <w:rsid w:val="00D671EF"/>
    <w:rsid w:val="00D70D11"/>
    <w:rsid w:val="00D732E2"/>
    <w:rsid w:val="00D7363C"/>
    <w:rsid w:val="00D740A4"/>
    <w:rsid w:val="00D74CE6"/>
    <w:rsid w:val="00D74D2C"/>
    <w:rsid w:val="00D75C77"/>
    <w:rsid w:val="00D75D47"/>
    <w:rsid w:val="00D8064D"/>
    <w:rsid w:val="00D8065E"/>
    <w:rsid w:val="00D80F58"/>
    <w:rsid w:val="00D8173F"/>
    <w:rsid w:val="00D8213E"/>
    <w:rsid w:val="00D821F7"/>
    <w:rsid w:val="00D83FA2"/>
    <w:rsid w:val="00D83FEF"/>
    <w:rsid w:val="00D84A01"/>
    <w:rsid w:val="00D85EE4"/>
    <w:rsid w:val="00D86ACA"/>
    <w:rsid w:val="00D86D14"/>
    <w:rsid w:val="00D87D06"/>
    <w:rsid w:val="00D91D72"/>
    <w:rsid w:val="00D92393"/>
    <w:rsid w:val="00D92829"/>
    <w:rsid w:val="00D93019"/>
    <w:rsid w:val="00D932C7"/>
    <w:rsid w:val="00D94C6E"/>
    <w:rsid w:val="00D95192"/>
    <w:rsid w:val="00D9561B"/>
    <w:rsid w:val="00D96E5D"/>
    <w:rsid w:val="00DA017C"/>
    <w:rsid w:val="00DA06BF"/>
    <w:rsid w:val="00DA1AC1"/>
    <w:rsid w:val="00DA1C26"/>
    <w:rsid w:val="00DA1CA5"/>
    <w:rsid w:val="00DA2CDF"/>
    <w:rsid w:val="00DA2E74"/>
    <w:rsid w:val="00DA397D"/>
    <w:rsid w:val="00DA398E"/>
    <w:rsid w:val="00DA3AAD"/>
    <w:rsid w:val="00DA47D4"/>
    <w:rsid w:val="00DA572C"/>
    <w:rsid w:val="00DA6749"/>
    <w:rsid w:val="00DA6760"/>
    <w:rsid w:val="00DB017C"/>
    <w:rsid w:val="00DB047B"/>
    <w:rsid w:val="00DB053A"/>
    <w:rsid w:val="00DB09E1"/>
    <w:rsid w:val="00DB0B7B"/>
    <w:rsid w:val="00DB154A"/>
    <w:rsid w:val="00DB1999"/>
    <w:rsid w:val="00DB1CD5"/>
    <w:rsid w:val="00DB2A18"/>
    <w:rsid w:val="00DB57A0"/>
    <w:rsid w:val="00DB6402"/>
    <w:rsid w:val="00DB65C7"/>
    <w:rsid w:val="00DC129B"/>
    <w:rsid w:val="00DC1537"/>
    <w:rsid w:val="00DC1B21"/>
    <w:rsid w:val="00DC2EB1"/>
    <w:rsid w:val="00DC4D54"/>
    <w:rsid w:val="00DC4FFD"/>
    <w:rsid w:val="00DC5B51"/>
    <w:rsid w:val="00DC7896"/>
    <w:rsid w:val="00DD0FCD"/>
    <w:rsid w:val="00DD1C1A"/>
    <w:rsid w:val="00DD1D85"/>
    <w:rsid w:val="00DD2FB9"/>
    <w:rsid w:val="00DD4E26"/>
    <w:rsid w:val="00DD57CF"/>
    <w:rsid w:val="00DD7053"/>
    <w:rsid w:val="00DD7CEE"/>
    <w:rsid w:val="00DE039E"/>
    <w:rsid w:val="00DE056D"/>
    <w:rsid w:val="00DE59E7"/>
    <w:rsid w:val="00DE70C1"/>
    <w:rsid w:val="00DE7C09"/>
    <w:rsid w:val="00DF1254"/>
    <w:rsid w:val="00DF1EAA"/>
    <w:rsid w:val="00DF2E31"/>
    <w:rsid w:val="00DF36D3"/>
    <w:rsid w:val="00DF37CD"/>
    <w:rsid w:val="00DF3E57"/>
    <w:rsid w:val="00DF42EE"/>
    <w:rsid w:val="00DF4CC6"/>
    <w:rsid w:val="00DF5237"/>
    <w:rsid w:val="00DF71FF"/>
    <w:rsid w:val="00DF733A"/>
    <w:rsid w:val="00E055CF"/>
    <w:rsid w:val="00E05648"/>
    <w:rsid w:val="00E05CF2"/>
    <w:rsid w:val="00E067C2"/>
    <w:rsid w:val="00E079DE"/>
    <w:rsid w:val="00E11BC5"/>
    <w:rsid w:val="00E127DC"/>
    <w:rsid w:val="00E13368"/>
    <w:rsid w:val="00E134D1"/>
    <w:rsid w:val="00E136BF"/>
    <w:rsid w:val="00E136EC"/>
    <w:rsid w:val="00E13DA9"/>
    <w:rsid w:val="00E140CB"/>
    <w:rsid w:val="00E145FC"/>
    <w:rsid w:val="00E14A47"/>
    <w:rsid w:val="00E1556F"/>
    <w:rsid w:val="00E159D7"/>
    <w:rsid w:val="00E15E26"/>
    <w:rsid w:val="00E15ECF"/>
    <w:rsid w:val="00E1656B"/>
    <w:rsid w:val="00E16B33"/>
    <w:rsid w:val="00E203C4"/>
    <w:rsid w:val="00E22739"/>
    <w:rsid w:val="00E22EA3"/>
    <w:rsid w:val="00E2371B"/>
    <w:rsid w:val="00E24DA9"/>
    <w:rsid w:val="00E2539A"/>
    <w:rsid w:val="00E267C9"/>
    <w:rsid w:val="00E26BA3"/>
    <w:rsid w:val="00E27330"/>
    <w:rsid w:val="00E304C6"/>
    <w:rsid w:val="00E30C7B"/>
    <w:rsid w:val="00E31305"/>
    <w:rsid w:val="00E343F7"/>
    <w:rsid w:val="00E34E69"/>
    <w:rsid w:val="00E409A2"/>
    <w:rsid w:val="00E4237B"/>
    <w:rsid w:val="00E427D9"/>
    <w:rsid w:val="00E4437C"/>
    <w:rsid w:val="00E46294"/>
    <w:rsid w:val="00E46E3A"/>
    <w:rsid w:val="00E4747B"/>
    <w:rsid w:val="00E51062"/>
    <w:rsid w:val="00E5294C"/>
    <w:rsid w:val="00E52C14"/>
    <w:rsid w:val="00E55277"/>
    <w:rsid w:val="00E552BC"/>
    <w:rsid w:val="00E55D85"/>
    <w:rsid w:val="00E561CF"/>
    <w:rsid w:val="00E56E28"/>
    <w:rsid w:val="00E578C9"/>
    <w:rsid w:val="00E57967"/>
    <w:rsid w:val="00E607A0"/>
    <w:rsid w:val="00E60A26"/>
    <w:rsid w:val="00E61854"/>
    <w:rsid w:val="00E61AFF"/>
    <w:rsid w:val="00E63E62"/>
    <w:rsid w:val="00E640D5"/>
    <w:rsid w:val="00E65101"/>
    <w:rsid w:val="00E658EB"/>
    <w:rsid w:val="00E67AD9"/>
    <w:rsid w:val="00E67CB1"/>
    <w:rsid w:val="00E7035E"/>
    <w:rsid w:val="00E70B66"/>
    <w:rsid w:val="00E71F5F"/>
    <w:rsid w:val="00E724FE"/>
    <w:rsid w:val="00E72E13"/>
    <w:rsid w:val="00E73A35"/>
    <w:rsid w:val="00E75977"/>
    <w:rsid w:val="00E75F6D"/>
    <w:rsid w:val="00E7602F"/>
    <w:rsid w:val="00E807BD"/>
    <w:rsid w:val="00E81C93"/>
    <w:rsid w:val="00E8398B"/>
    <w:rsid w:val="00E83AF0"/>
    <w:rsid w:val="00E84925"/>
    <w:rsid w:val="00E8677B"/>
    <w:rsid w:val="00E86849"/>
    <w:rsid w:val="00E90F35"/>
    <w:rsid w:val="00E918B5"/>
    <w:rsid w:val="00E91C26"/>
    <w:rsid w:val="00E933E1"/>
    <w:rsid w:val="00E950BA"/>
    <w:rsid w:val="00E97A9F"/>
    <w:rsid w:val="00EA14AB"/>
    <w:rsid w:val="00EA572B"/>
    <w:rsid w:val="00EA6548"/>
    <w:rsid w:val="00EB0AE7"/>
    <w:rsid w:val="00EB0EAB"/>
    <w:rsid w:val="00EB1095"/>
    <w:rsid w:val="00EB1B3D"/>
    <w:rsid w:val="00EB202E"/>
    <w:rsid w:val="00EB2402"/>
    <w:rsid w:val="00EB3342"/>
    <w:rsid w:val="00EB3556"/>
    <w:rsid w:val="00EB5166"/>
    <w:rsid w:val="00EB5E5F"/>
    <w:rsid w:val="00EB67CE"/>
    <w:rsid w:val="00EB6ADE"/>
    <w:rsid w:val="00EB73AE"/>
    <w:rsid w:val="00EB7990"/>
    <w:rsid w:val="00EC1933"/>
    <w:rsid w:val="00EC1AC3"/>
    <w:rsid w:val="00EC226C"/>
    <w:rsid w:val="00EC4FA7"/>
    <w:rsid w:val="00EC5E5F"/>
    <w:rsid w:val="00EC60CE"/>
    <w:rsid w:val="00EC6E86"/>
    <w:rsid w:val="00EC7043"/>
    <w:rsid w:val="00EC718D"/>
    <w:rsid w:val="00EC72F2"/>
    <w:rsid w:val="00ED13AB"/>
    <w:rsid w:val="00ED1A82"/>
    <w:rsid w:val="00ED2259"/>
    <w:rsid w:val="00ED3A1B"/>
    <w:rsid w:val="00ED4D93"/>
    <w:rsid w:val="00ED579A"/>
    <w:rsid w:val="00ED7E06"/>
    <w:rsid w:val="00EE35A5"/>
    <w:rsid w:val="00EE3EB9"/>
    <w:rsid w:val="00EE52D7"/>
    <w:rsid w:val="00EE6AE1"/>
    <w:rsid w:val="00EE7255"/>
    <w:rsid w:val="00EE7406"/>
    <w:rsid w:val="00EE7EFD"/>
    <w:rsid w:val="00EF0250"/>
    <w:rsid w:val="00EF0324"/>
    <w:rsid w:val="00EF1BF2"/>
    <w:rsid w:val="00EF22E7"/>
    <w:rsid w:val="00EF2E0C"/>
    <w:rsid w:val="00EF3E0A"/>
    <w:rsid w:val="00EF57CE"/>
    <w:rsid w:val="00EF5BDD"/>
    <w:rsid w:val="00EF6259"/>
    <w:rsid w:val="00EF6DE1"/>
    <w:rsid w:val="00EF7507"/>
    <w:rsid w:val="00EF775D"/>
    <w:rsid w:val="00F00099"/>
    <w:rsid w:val="00F00952"/>
    <w:rsid w:val="00F00AC6"/>
    <w:rsid w:val="00F01070"/>
    <w:rsid w:val="00F010D1"/>
    <w:rsid w:val="00F013A9"/>
    <w:rsid w:val="00F032F1"/>
    <w:rsid w:val="00F033A2"/>
    <w:rsid w:val="00F03833"/>
    <w:rsid w:val="00F03AE7"/>
    <w:rsid w:val="00F0420D"/>
    <w:rsid w:val="00F04412"/>
    <w:rsid w:val="00F04F81"/>
    <w:rsid w:val="00F0555D"/>
    <w:rsid w:val="00F06D70"/>
    <w:rsid w:val="00F11234"/>
    <w:rsid w:val="00F1339E"/>
    <w:rsid w:val="00F134A0"/>
    <w:rsid w:val="00F14E14"/>
    <w:rsid w:val="00F14FBB"/>
    <w:rsid w:val="00F17166"/>
    <w:rsid w:val="00F1726C"/>
    <w:rsid w:val="00F172C6"/>
    <w:rsid w:val="00F23A59"/>
    <w:rsid w:val="00F24099"/>
    <w:rsid w:val="00F252E7"/>
    <w:rsid w:val="00F279BF"/>
    <w:rsid w:val="00F27A62"/>
    <w:rsid w:val="00F313FC"/>
    <w:rsid w:val="00F32CCF"/>
    <w:rsid w:val="00F33D83"/>
    <w:rsid w:val="00F34E04"/>
    <w:rsid w:val="00F35128"/>
    <w:rsid w:val="00F35AB4"/>
    <w:rsid w:val="00F36F8A"/>
    <w:rsid w:val="00F40704"/>
    <w:rsid w:val="00F40F19"/>
    <w:rsid w:val="00F41267"/>
    <w:rsid w:val="00F415B0"/>
    <w:rsid w:val="00F445B1"/>
    <w:rsid w:val="00F445D3"/>
    <w:rsid w:val="00F456EF"/>
    <w:rsid w:val="00F46182"/>
    <w:rsid w:val="00F464EF"/>
    <w:rsid w:val="00F46B3B"/>
    <w:rsid w:val="00F47666"/>
    <w:rsid w:val="00F47982"/>
    <w:rsid w:val="00F514EA"/>
    <w:rsid w:val="00F51C0F"/>
    <w:rsid w:val="00F537B7"/>
    <w:rsid w:val="00F53A66"/>
    <w:rsid w:val="00F54168"/>
    <w:rsid w:val="00F54B22"/>
    <w:rsid w:val="00F56129"/>
    <w:rsid w:val="00F565CD"/>
    <w:rsid w:val="00F56959"/>
    <w:rsid w:val="00F56BFD"/>
    <w:rsid w:val="00F62539"/>
    <w:rsid w:val="00F628DE"/>
    <w:rsid w:val="00F636CB"/>
    <w:rsid w:val="00F63C8A"/>
    <w:rsid w:val="00F63DF5"/>
    <w:rsid w:val="00F648D8"/>
    <w:rsid w:val="00F701E7"/>
    <w:rsid w:val="00F70ED1"/>
    <w:rsid w:val="00F737DE"/>
    <w:rsid w:val="00F754A4"/>
    <w:rsid w:val="00F7574B"/>
    <w:rsid w:val="00F757F9"/>
    <w:rsid w:val="00F77E0F"/>
    <w:rsid w:val="00F809B4"/>
    <w:rsid w:val="00F82FEA"/>
    <w:rsid w:val="00F83BAD"/>
    <w:rsid w:val="00F83C45"/>
    <w:rsid w:val="00F8574E"/>
    <w:rsid w:val="00F8602F"/>
    <w:rsid w:val="00F86B5B"/>
    <w:rsid w:val="00F90004"/>
    <w:rsid w:val="00F90627"/>
    <w:rsid w:val="00F9227D"/>
    <w:rsid w:val="00F92EB5"/>
    <w:rsid w:val="00F941DC"/>
    <w:rsid w:val="00F94288"/>
    <w:rsid w:val="00F94B2A"/>
    <w:rsid w:val="00F96268"/>
    <w:rsid w:val="00F96E70"/>
    <w:rsid w:val="00F971AC"/>
    <w:rsid w:val="00F97E44"/>
    <w:rsid w:val="00FA0816"/>
    <w:rsid w:val="00FA13C3"/>
    <w:rsid w:val="00FA15CE"/>
    <w:rsid w:val="00FA1D01"/>
    <w:rsid w:val="00FA251F"/>
    <w:rsid w:val="00FA2675"/>
    <w:rsid w:val="00FA4E2C"/>
    <w:rsid w:val="00FA5B76"/>
    <w:rsid w:val="00FA682B"/>
    <w:rsid w:val="00FA684F"/>
    <w:rsid w:val="00FA754E"/>
    <w:rsid w:val="00FB0681"/>
    <w:rsid w:val="00FB10CB"/>
    <w:rsid w:val="00FB262B"/>
    <w:rsid w:val="00FB299D"/>
    <w:rsid w:val="00FB3A41"/>
    <w:rsid w:val="00FB4E69"/>
    <w:rsid w:val="00FB5B1E"/>
    <w:rsid w:val="00FB5EED"/>
    <w:rsid w:val="00FB6493"/>
    <w:rsid w:val="00FB6C5A"/>
    <w:rsid w:val="00FB72D5"/>
    <w:rsid w:val="00FB7467"/>
    <w:rsid w:val="00FB7CF7"/>
    <w:rsid w:val="00FC0326"/>
    <w:rsid w:val="00FC081E"/>
    <w:rsid w:val="00FC0A2F"/>
    <w:rsid w:val="00FC30B0"/>
    <w:rsid w:val="00FC3163"/>
    <w:rsid w:val="00FC397D"/>
    <w:rsid w:val="00FC4352"/>
    <w:rsid w:val="00FC439A"/>
    <w:rsid w:val="00FC44A6"/>
    <w:rsid w:val="00FC54AC"/>
    <w:rsid w:val="00FC6355"/>
    <w:rsid w:val="00FC7BEE"/>
    <w:rsid w:val="00FD08F6"/>
    <w:rsid w:val="00FD0D47"/>
    <w:rsid w:val="00FD2034"/>
    <w:rsid w:val="00FD386D"/>
    <w:rsid w:val="00FD5A13"/>
    <w:rsid w:val="00FD6624"/>
    <w:rsid w:val="00FD7A59"/>
    <w:rsid w:val="00FE086A"/>
    <w:rsid w:val="00FE2F96"/>
    <w:rsid w:val="00FE5CA3"/>
    <w:rsid w:val="00FE6846"/>
    <w:rsid w:val="00FF0899"/>
    <w:rsid w:val="00FF0DBC"/>
    <w:rsid w:val="00FF342C"/>
    <w:rsid w:val="00FF3A13"/>
    <w:rsid w:val="00FF3A89"/>
    <w:rsid w:val="00FF4568"/>
    <w:rsid w:val="00FF7AC0"/>
    <w:rsid w:val="0AAB73DC"/>
    <w:rsid w:val="0DD41F47"/>
    <w:rsid w:val="14DF1632"/>
    <w:rsid w:val="16315EBE"/>
    <w:rsid w:val="184A370F"/>
    <w:rsid w:val="249930CD"/>
    <w:rsid w:val="2B1F7824"/>
    <w:rsid w:val="32E47E71"/>
    <w:rsid w:val="36514370"/>
    <w:rsid w:val="3B614DB7"/>
    <w:rsid w:val="43135248"/>
    <w:rsid w:val="462C6980"/>
    <w:rsid w:val="498A6B77"/>
    <w:rsid w:val="4A195B68"/>
    <w:rsid w:val="56FA701E"/>
    <w:rsid w:val="5B1A0BC8"/>
    <w:rsid w:val="61D655F3"/>
    <w:rsid w:val="64F97173"/>
    <w:rsid w:val="65C91F9D"/>
    <w:rsid w:val="69A9306C"/>
    <w:rsid w:val="6E9E7254"/>
    <w:rsid w:val="6FF73DDB"/>
    <w:rsid w:val="75FB1082"/>
    <w:rsid w:val="76855DA0"/>
    <w:rsid w:val="78054E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3"/>
    <w:qFormat/>
    <w:uiPriority w:val="9"/>
    <w:pPr>
      <w:keepNext/>
      <w:keepLines/>
      <w:spacing w:before="480" w:after="80"/>
      <w:outlineLvl w:val="0"/>
    </w:pPr>
    <w:rPr>
      <w:rFonts w:asciiTheme="majorHAnsi" w:hAnsiTheme="majorHAnsi" w:eastAsiaTheme="majorEastAsia" w:cstheme="majorBidi"/>
      <w:color w:val="2F5597" w:themeColor="accent1" w:themeShade="BF"/>
      <w:sz w:val="48"/>
      <w:szCs w:val="48"/>
    </w:rPr>
  </w:style>
  <w:style w:type="paragraph" w:styleId="3">
    <w:name w:val="heading 2"/>
    <w:basedOn w:val="1"/>
    <w:next w:val="1"/>
    <w:link w:val="24"/>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40"/>
      <w:szCs w:val="40"/>
    </w:rPr>
  </w:style>
  <w:style w:type="paragraph" w:styleId="4">
    <w:name w:val="heading 3"/>
    <w:basedOn w:val="1"/>
    <w:next w:val="1"/>
    <w:link w:val="25"/>
    <w:semiHidden/>
    <w:unhideWhenUsed/>
    <w:qFormat/>
    <w:uiPriority w:val="9"/>
    <w:pPr>
      <w:keepNext/>
      <w:keepLines/>
      <w:spacing w:before="160" w:after="80"/>
      <w:outlineLvl w:val="2"/>
    </w:pPr>
    <w:rPr>
      <w:rFonts w:asciiTheme="majorHAnsi" w:hAnsiTheme="majorHAnsi" w:eastAsiaTheme="majorEastAsia" w:cstheme="majorBidi"/>
      <w:color w:val="2F5597" w:themeColor="accent1" w:themeShade="BF"/>
      <w:sz w:val="32"/>
      <w:szCs w:val="32"/>
    </w:rPr>
  </w:style>
  <w:style w:type="paragraph" w:styleId="5">
    <w:name w:val="heading 4"/>
    <w:basedOn w:val="1"/>
    <w:next w:val="1"/>
    <w:link w:val="26"/>
    <w:semiHidden/>
    <w:unhideWhenUsed/>
    <w:qFormat/>
    <w:uiPriority w:val="9"/>
    <w:pPr>
      <w:keepNext/>
      <w:keepLines/>
      <w:spacing w:before="80" w:after="40"/>
      <w:outlineLvl w:val="3"/>
    </w:pPr>
    <w:rPr>
      <w:rFonts w:cstheme="majorBidi"/>
      <w:color w:val="2F5597" w:themeColor="accent1" w:themeShade="BF"/>
      <w:sz w:val="28"/>
      <w:szCs w:val="28"/>
    </w:rPr>
  </w:style>
  <w:style w:type="paragraph" w:styleId="6">
    <w:name w:val="heading 5"/>
    <w:basedOn w:val="1"/>
    <w:next w:val="1"/>
    <w:link w:val="27"/>
    <w:semiHidden/>
    <w:unhideWhenUsed/>
    <w:qFormat/>
    <w:uiPriority w:val="9"/>
    <w:pPr>
      <w:keepNext/>
      <w:keepLines/>
      <w:spacing w:before="80" w:after="40"/>
      <w:outlineLvl w:val="4"/>
    </w:pPr>
    <w:rPr>
      <w:rFonts w:cstheme="majorBidi"/>
      <w:color w:val="2F5597" w:themeColor="accent1" w:themeShade="BF"/>
      <w:sz w:val="24"/>
    </w:rPr>
  </w:style>
  <w:style w:type="paragraph" w:styleId="7">
    <w:name w:val="heading 6"/>
    <w:basedOn w:val="1"/>
    <w:next w:val="1"/>
    <w:link w:val="28"/>
    <w:semiHidden/>
    <w:unhideWhenUsed/>
    <w:qFormat/>
    <w:uiPriority w:val="9"/>
    <w:pPr>
      <w:keepNext/>
      <w:keepLines/>
      <w:spacing w:before="40"/>
      <w:outlineLvl w:val="5"/>
    </w:pPr>
    <w:rPr>
      <w:rFonts w:cstheme="majorBidi"/>
      <w:b/>
      <w:bCs/>
      <w:color w:val="2F5597" w:themeColor="accent1" w:themeShade="BF"/>
    </w:rPr>
  </w:style>
  <w:style w:type="paragraph" w:styleId="8">
    <w:name w:val="heading 7"/>
    <w:basedOn w:val="1"/>
    <w:next w:val="1"/>
    <w:link w:val="29"/>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30"/>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31"/>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link w:val="45"/>
    <w:unhideWhenUsed/>
    <w:qFormat/>
    <w:uiPriority w:val="99"/>
    <w:pPr>
      <w:jc w:val="left"/>
    </w:pPr>
  </w:style>
  <w:style w:type="paragraph" w:styleId="12">
    <w:name w:val="Body Text"/>
    <w:basedOn w:val="1"/>
    <w:link w:val="43"/>
    <w:semiHidden/>
    <w:unhideWhenUsed/>
    <w:qFormat/>
    <w:uiPriority w:val="99"/>
    <w:pPr>
      <w:spacing w:after="120"/>
    </w:pPr>
  </w:style>
  <w:style w:type="paragraph" w:styleId="13">
    <w:name w:val="footer"/>
    <w:basedOn w:val="1"/>
    <w:link w:val="42"/>
    <w:unhideWhenUsed/>
    <w:qFormat/>
    <w:uiPriority w:val="99"/>
    <w:pPr>
      <w:tabs>
        <w:tab w:val="center" w:pos="4153"/>
        <w:tab w:val="right" w:pos="8306"/>
      </w:tabs>
      <w:snapToGrid w:val="0"/>
      <w:jc w:val="left"/>
    </w:pPr>
    <w:rPr>
      <w:sz w:val="18"/>
      <w:szCs w:val="18"/>
    </w:rPr>
  </w:style>
  <w:style w:type="paragraph" w:styleId="14">
    <w:name w:val="header"/>
    <w:basedOn w:val="1"/>
    <w:link w:val="41"/>
    <w:unhideWhenUsed/>
    <w:qFormat/>
    <w:uiPriority w:val="99"/>
    <w:pPr>
      <w:tabs>
        <w:tab w:val="center" w:pos="4153"/>
        <w:tab w:val="right" w:pos="8306"/>
      </w:tabs>
      <w:snapToGrid w:val="0"/>
      <w:jc w:val="center"/>
    </w:pPr>
    <w:rPr>
      <w:sz w:val="18"/>
      <w:szCs w:val="18"/>
    </w:rPr>
  </w:style>
  <w:style w:type="paragraph" w:styleId="15">
    <w:name w:val="Subtitle"/>
    <w:basedOn w:val="1"/>
    <w:next w:val="1"/>
    <w:link w:val="33"/>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6">
    <w:name w:val="Title"/>
    <w:basedOn w:val="1"/>
    <w:next w:val="1"/>
    <w:link w:val="32"/>
    <w:qFormat/>
    <w:uiPriority w:val="10"/>
    <w:pPr>
      <w:spacing w:after="80"/>
      <w:contextualSpacing/>
      <w:jc w:val="center"/>
    </w:pPr>
    <w:rPr>
      <w:rFonts w:asciiTheme="majorHAnsi" w:hAnsiTheme="majorHAnsi" w:eastAsiaTheme="majorEastAsia" w:cstheme="majorBidi"/>
      <w:spacing w:val="-10"/>
      <w:kern w:val="28"/>
      <w:sz w:val="56"/>
      <w:szCs w:val="56"/>
    </w:rPr>
  </w:style>
  <w:style w:type="paragraph" w:styleId="17">
    <w:name w:val="annotation subject"/>
    <w:basedOn w:val="11"/>
    <w:next w:val="11"/>
    <w:link w:val="46"/>
    <w:semiHidden/>
    <w:unhideWhenUsed/>
    <w:qFormat/>
    <w:uiPriority w:val="99"/>
    <w:rPr>
      <w:b/>
      <w:bCs/>
    </w:rPr>
  </w:style>
  <w:style w:type="table" w:styleId="19">
    <w:name w:val="Table Grid"/>
    <w:basedOn w:val="1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22"/>
    <w:rPr>
      <w:b/>
      <w:bCs/>
    </w:rPr>
  </w:style>
  <w:style w:type="character" w:styleId="22">
    <w:name w:val="annotation reference"/>
    <w:basedOn w:val="20"/>
    <w:semiHidden/>
    <w:unhideWhenUsed/>
    <w:qFormat/>
    <w:uiPriority w:val="99"/>
    <w:rPr>
      <w:sz w:val="21"/>
      <w:szCs w:val="21"/>
    </w:rPr>
  </w:style>
  <w:style w:type="character" w:customStyle="1" w:styleId="23">
    <w:name w:val="标题 1 字符"/>
    <w:basedOn w:val="20"/>
    <w:link w:val="2"/>
    <w:qFormat/>
    <w:uiPriority w:val="9"/>
    <w:rPr>
      <w:rFonts w:asciiTheme="majorHAnsi" w:hAnsiTheme="majorHAnsi" w:eastAsiaTheme="majorEastAsia" w:cstheme="majorBidi"/>
      <w:color w:val="2F5597" w:themeColor="accent1" w:themeShade="BF"/>
      <w:sz w:val="48"/>
      <w:szCs w:val="48"/>
    </w:rPr>
  </w:style>
  <w:style w:type="character" w:customStyle="1" w:styleId="24">
    <w:name w:val="标题 2 字符"/>
    <w:basedOn w:val="20"/>
    <w:link w:val="3"/>
    <w:semiHidden/>
    <w:qFormat/>
    <w:uiPriority w:val="9"/>
    <w:rPr>
      <w:rFonts w:asciiTheme="majorHAnsi" w:hAnsiTheme="majorHAnsi" w:eastAsiaTheme="majorEastAsia" w:cstheme="majorBidi"/>
      <w:color w:val="2F5597" w:themeColor="accent1" w:themeShade="BF"/>
      <w:sz w:val="40"/>
      <w:szCs w:val="40"/>
    </w:rPr>
  </w:style>
  <w:style w:type="character" w:customStyle="1" w:styleId="25">
    <w:name w:val="标题 3 字符"/>
    <w:basedOn w:val="20"/>
    <w:link w:val="4"/>
    <w:semiHidden/>
    <w:qFormat/>
    <w:uiPriority w:val="9"/>
    <w:rPr>
      <w:rFonts w:asciiTheme="majorHAnsi" w:hAnsiTheme="majorHAnsi" w:eastAsiaTheme="majorEastAsia" w:cstheme="majorBidi"/>
      <w:color w:val="2F5597" w:themeColor="accent1" w:themeShade="BF"/>
      <w:sz w:val="32"/>
      <w:szCs w:val="32"/>
    </w:rPr>
  </w:style>
  <w:style w:type="character" w:customStyle="1" w:styleId="26">
    <w:name w:val="标题 4 字符"/>
    <w:basedOn w:val="20"/>
    <w:link w:val="5"/>
    <w:semiHidden/>
    <w:qFormat/>
    <w:uiPriority w:val="9"/>
    <w:rPr>
      <w:rFonts w:cstheme="majorBidi"/>
      <w:color w:val="2F5597" w:themeColor="accent1" w:themeShade="BF"/>
      <w:sz w:val="28"/>
      <w:szCs w:val="28"/>
    </w:rPr>
  </w:style>
  <w:style w:type="character" w:customStyle="1" w:styleId="27">
    <w:name w:val="标题 5 字符"/>
    <w:basedOn w:val="20"/>
    <w:link w:val="6"/>
    <w:semiHidden/>
    <w:qFormat/>
    <w:uiPriority w:val="9"/>
    <w:rPr>
      <w:rFonts w:cstheme="majorBidi"/>
      <w:color w:val="2F5597" w:themeColor="accent1" w:themeShade="BF"/>
      <w:sz w:val="24"/>
      <w:szCs w:val="24"/>
    </w:rPr>
  </w:style>
  <w:style w:type="character" w:customStyle="1" w:styleId="28">
    <w:name w:val="标题 6 字符"/>
    <w:basedOn w:val="20"/>
    <w:link w:val="7"/>
    <w:semiHidden/>
    <w:qFormat/>
    <w:uiPriority w:val="9"/>
    <w:rPr>
      <w:rFonts w:cstheme="majorBidi"/>
      <w:b/>
      <w:bCs/>
      <w:color w:val="2F5597" w:themeColor="accent1" w:themeShade="BF"/>
    </w:rPr>
  </w:style>
  <w:style w:type="character" w:customStyle="1" w:styleId="29">
    <w:name w:val="标题 7 字符"/>
    <w:basedOn w:val="20"/>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30">
    <w:name w:val="标题 8 字符"/>
    <w:basedOn w:val="20"/>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31">
    <w:name w:val="标题 9 字符"/>
    <w:basedOn w:val="20"/>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2">
    <w:name w:val="标题 字符"/>
    <w:basedOn w:val="20"/>
    <w:link w:val="16"/>
    <w:qFormat/>
    <w:uiPriority w:val="10"/>
    <w:rPr>
      <w:rFonts w:asciiTheme="majorHAnsi" w:hAnsiTheme="majorHAnsi" w:eastAsiaTheme="majorEastAsia" w:cstheme="majorBidi"/>
      <w:spacing w:val="-10"/>
      <w:kern w:val="28"/>
      <w:sz w:val="56"/>
      <w:szCs w:val="56"/>
    </w:rPr>
  </w:style>
  <w:style w:type="character" w:customStyle="1" w:styleId="33">
    <w:name w:val="副标题 字符"/>
    <w:basedOn w:val="20"/>
    <w:link w:val="15"/>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4">
    <w:name w:val="Quote"/>
    <w:basedOn w:val="1"/>
    <w:next w:val="1"/>
    <w:link w:val="35"/>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5">
    <w:name w:val="引用 字符"/>
    <w:basedOn w:val="20"/>
    <w:link w:val="34"/>
    <w:qFormat/>
    <w:uiPriority w:val="29"/>
    <w:rPr>
      <w:i/>
      <w:iCs/>
      <w:color w:val="404040" w:themeColor="text1" w:themeTint="BF"/>
      <w14:textFill>
        <w14:solidFill>
          <w14:schemeClr w14:val="tx1">
            <w14:lumMod w14:val="75000"/>
            <w14:lumOff w14:val="25000"/>
          </w14:schemeClr>
        </w14:solidFill>
      </w14:textFill>
    </w:rPr>
  </w:style>
  <w:style w:type="paragraph" w:styleId="36">
    <w:name w:val="List Paragraph"/>
    <w:basedOn w:val="1"/>
    <w:link w:val="49"/>
    <w:qFormat/>
    <w:uiPriority w:val="34"/>
    <w:pPr>
      <w:ind w:left="720"/>
      <w:contextualSpacing/>
    </w:pPr>
  </w:style>
  <w:style w:type="character" w:customStyle="1" w:styleId="37">
    <w:name w:val="明显强调1"/>
    <w:basedOn w:val="20"/>
    <w:qFormat/>
    <w:uiPriority w:val="21"/>
    <w:rPr>
      <w:i/>
      <w:iCs/>
      <w:color w:val="2F5597" w:themeColor="accent1" w:themeShade="BF"/>
    </w:rPr>
  </w:style>
  <w:style w:type="paragraph" w:styleId="38">
    <w:name w:val="Intense Quote"/>
    <w:basedOn w:val="1"/>
    <w:next w:val="1"/>
    <w:link w:val="39"/>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9">
    <w:name w:val="明显引用 字符"/>
    <w:basedOn w:val="20"/>
    <w:link w:val="38"/>
    <w:qFormat/>
    <w:uiPriority w:val="30"/>
    <w:rPr>
      <w:i/>
      <w:iCs/>
      <w:color w:val="2F5597" w:themeColor="accent1" w:themeShade="BF"/>
    </w:rPr>
  </w:style>
  <w:style w:type="character" w:customStyle="1" w:styleId="40">
    <w:name w:val="明显参考1"/>
    <w:basedOn w:val="20"/>
    <w:qFormat/>
    <w:uiPriority w:val="32"/>
    <w:rPr>
      <w:b/>
      <w:bCs/>
      <w:smallCaps/>
      <w:color w:val="2F5597" w:themeColor="accent1" w:themeShade="BF"/>
      <w:spacing w:val="5"/>
    </w:rPr>
  </w:style>
  <w:style w:type="character" w:customStyle="1" w:styleId="41">
    <w:name w:val="页眉 字符"/>
    <w:basedOn w:val="20"/>
    <w:link w:val="14"/>
    <w:qFormat/>
    <w:uiPriority w:val="99"/>
    <w:rPr>
      <w:sz w:val="18"/>
      <w:szCs w:val="18"/>
    </w:rPr>
  </w:style>
  <w:style w:type="character" w:customStyle="1" w:styleId="42">
    <w:name w:val="页脚 字符"/>
    <w:basedOn w:val="20"/>
    <w:link w:val="13"/>
    <w:qFormat/>
    <w:uiPriority w:val="99"/>
    <w:rPr>
      <w:sz w:val="18"/>
      <w:szCs w:val="18"/>
    </w:rPr>
  </w:style>
  <w:style w:type="character" w:customStyle="1" w:styleId="43">
    <w:name w:val="正文文本 字符"/>
    <w:basedOn w:val="20"/>
    <w:link w:val="12"/>
    <w:semiHidden/>
    <w:qFormat/>
    <w:uiPriority w:val="99"/>
    <w:rPr>
      <w:rFonts w:ascii="Times New Roman" w:hAnsi="Times New Roman" w:eastAsia="宋体" w:cs="Times New Roman"/>
      <w:szCs w:val="24"/>
      <w14:ligatures w14:val="none"/>
    </w:rPr>
  </w:style>
  <w:style w:type="paragraph" w:customStyle="1" w:styleId="44">
    <w:name w:val="Table Paragraph"/>
    <w:basedOn w:val="1"/>
    <w:qFormat/>
    <w:uiPriority w:val="1"/>
    <w:pPr>
      <w:autoSpaceDE w:val="0"/>
      <w:autoSpaceDN w:val="0"/>
      <w:jc w:val="left"/>
    </w:pPr>
    <w:rPr>
      <w:rFonts w:ascii="微软雅黑" w:hAnsi="微软雅黑" w:eastAsia="微软雅黑" w:cs="宋体"/>
      <w:kern w:val="0"/>
      <w:sz w:val="22"/>
      <w:szCs w:val="22"/>
    </w:rPr>
  </w:style>
  <w:style w:type="character" w:customStyle="1" w:styleId="45">
    <w:name w:val="批注文字 字符"/>
    <w:basedOn w:val="20"/>
    <w:link w:val="11"/>
    <w:qFormat/>
    <w:uiPriority w:val="99"/>
    <w:rPr>
      <w:rFonts w:ascii="Times New Roman" w:hAnsi="Times New Roman" w:eastAsia="宋体" w:cs="Times New Roman"/>
      <w:szCs w:val="24"/>
      <w14:ligatures w14:val="none"/>
    </w:rPr>
  </w:style>
  <w:style w:type="character" w:customStyle="1" w:styleId="46">
    <w:name w:val="批注主题 字符"/>
    <w:basedOn w:val="45"/>
    <w:link w:val="17"/>
    <w:semiHidden/>
    <w:qFormat/>
    <w:uiPriority w:val="99"/>
    <w:rPr>
      <w:rFonts w:ascii="Times New Roman" w:hAnsi="Times New Roman" w:eastAsia="宋体" w:cs="Times New Roman"/>
      <w:b/>
      <w:bCs/>
      <w:szCs w:val="24"/>
      <w14:ligatures w14:val="none"/>
    </w:rPr>
  </w:style>
  <w:style w:type="character" w:styleId="47">
    <w:name w:val="Placeholder Text"/>
    <w:basedOn w:val="20"/>
    <w:semiHidden/>
    <w:qFormat/>
    <w:uiPriority w:val="99"/>
    <w:rPr>
      <w:color w:val="666666"/>
    </w:rPr>
  </w:style>
  <w:style w:type="paragraph" w:customStyle="1" w:styleId="48">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49">
    <w:name w:val="列表段落 字符"/>
    <w:basedOn w:val="20"/>
    <w:link w:val="36"/>
    <w:qFormat/>
    <w:locked/>
    <w:uiPriority w:val="34"/>
    <w:rPr>
      <w:rFonts w:ascii="Times New Roman" w:hAnsi="Times New Roman" w:eastAsia="宋体" w:cs="Times New Roman"/>
      <w:szCs w:val="24"/>
      <w14:ligatures w14:val="none"/>
    </w:rPr>
  </w:style>
  <w:style w:type="paragraph" w:customStyle="1" w:styleId="50">
    <w:name w:val="首行缩进"/>
    <w:basedOn w:val="1"/>
    <w:qFormat/>
    <w:uiPriority w:val="99"/>
    <w:pPr>
      <w:ind w:firstLine="480" w:firstLineChars="200"/>
    </w:pPr>
    <w:rPr>
      <w:rFonts w:ascii="宋体" w:hAnsi="宋体" w:cs="宋体"/>
      <w:kern w:val="0"/>
      <w:szCs w:val="20"/>
    </w:rPr>
  </w:style>
  <w:style w:type="paragraph" w:customStyle="1" w:styleId="51">
    <w:name w:val="修订2"/>
    <w:hidden/>
    <w:unhideWhenUsed/>
    <w:qFormat/>
    <w:uiPriority w:val="99"/>
    <w:rPr>
      <w:rFonts w:ascii="Times New Roman" w:hAnsi="Times New Roman" w:eastAsia="宋体" w:cs="Times New Roman"/>
      <w:kern w:val="2"/>
      <w:sz w:val="21"/>
      <w:szCs w:val="24"/>
      <w:lang w:val="en-US" w:eastAsia="zh-CN" w:bidi="ar-SA"/>
    </w:rPr>
  </w:style>
  <w:style w:type="paragraph" w:customStyle="1" w:styleId="52">
    <w:name w:val="修订3"/>
    <w:hidden/>
    <w:unhideWhenUsed/>
    <w:qFormat/>
    <w:uiPriority w:val="99"/>
    <w:rPr>
      <w:rFonts w:ascii="Times New Roman" w:hAnsi="Times New Roman" w:eastAsia="宋体" w:cs="Times New Roman"/>
      <w:kern w:val="2"/>
      <w:sz w:val="21"/>
      <w:szCs w:val="24"/>
      <w:lang w:val="en-US" w:eastAsia="zh-CN" w:bidi="ar-SA"/>
    </w:rPr>
  </w:style>
  <w:style w:type="paragraph" w:customStyle="1" w:styleId="53">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77C902-09F7-455D-9B64-A85ED385980F}">
  <ds:schemaRefs/>
</ds:datastoreItem>
</file>

<file path=docProps/app.xml><?xml version="1.0" encoding="utf-8"?>
<Properties xmlns="http://schemas.openxmlformats.org/officeDocument/2006/extended-properties" xmlns:vt="http://schemas.openxmlformats.org/officeDocument/2006/docPropsVTypes">
  <Template>Normal</Template>
  <Pages>41</Pages>
  <Words>13960</Words>
  <Characters>15497</Characters>
  <Lines>815</Lines>
  <Paragraphs>920</Paragraphs>
  <TotalTime>4</TotalTime>
  <ScaleCrop>false</ScaleCrop>
  <LinksUpToDate>false</LinksUpToDate>
  <CharactersWithSpaces>28537</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2025-10-14T00:41:00Z</dcterms:created>
  <dc:creator>超烺 曾</dc:creator>
  <cp:lastModifiedBy>Zb2-1027</cp:lastModifiedBy>
  <cp:lastPrinted>2025-10-20T02:46:00Z</cp:lastPrinted>
  <dcterms:modified xsi:type="dcterms:W3CDTF">2025-10-21T09:18:43Z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5F991BDD7B044B9E860C81EB16031801</vt:lpwstr>
  </property>
  <property fmtid="{D5CDD505-2E9C-101B-9397-08002B2CF9AE}" pid="4" name="KSOTemplateDocerSaveRecord">
    <vt:lpwstr>eyJoZGlkIjoiYWYxYjc3ZjE5MTdkNmZjNTcwY2Q5ODY5ODFiZjUwYTUiLCJ1c2VySWQiOiIxMzEzMTY1MDMzIn0=</vt:lpwstr>
  </property>
</Properties>
</file>