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B3682">
      <w:pPr>
        <w:pStyle w:val="2"/>
        <w:jc w:val="center"/>
        <w:rPr>
          <w:rFonts w:hint="eastAsia" w:ascii="宋体" w:hAnsi="宋体" w:eastAsia="宋体" w:cs="宋体"/>
          <w:color w:val="auto"/>
          <w:sz w:val="36"/>
          <w:szCs w:val="36"/>
          <w:highlight w:val="none"/>
        </w:rPr>
      </w:pPr>
      <w:bookmarkStart w:id="0" w:name="_Toc508286121"/>
      <w:bookmarkStart w:id="1" w:name="_Toc25970"/>
      <w:bookmarkStart w:id="2" w:name="_Toc25810"/>
      <w:bookmarkStart w:id="3" w:name="_Toc1139"/>
      <w:bookmarkStart w:id="4" w:name="_Toc14817"/>
      <w:bookmarkStart w:id="5" w:name="_Toc17063"/>
      <w:bookmarkStart w:id="6" w:name="_Toc7089"/>
      <w:bookmarkStart w:id="7" w:name="_Toc903"/>
      <w:bookmarkStart w:id="8" w:name="_Toc22121"/>
      <w:bookmarkStart w:id="9" w:name="_Toc6519"/>
      <w:bookmarkStart w:id="10" w:name="_Toc942"/>
      <w:bookmarkStart w:id="11" w:name="_Toc21282"/>
      <w:bookmarkStart w:id="12" w:name="_Toc183078645"/>
      <w:bookmarkStart w:id="13" w:name="_Toc24434"/>
      <w:bookmarkStart w:id="14" w:name="_Toc8974"/>
      <w:bookmarkStart w:id="15" w:name="_Toc20249"/>
      <w:bookmarkStart w:id="16" w:name="_Toc15604"/>
      <w:bookmarkStart w:id="17" w:name="_Toc25542"/>
      <w:bookmarkStart w:id="18" w:name="_Toc3572"/>
      <w:bookmarkStart w:id="19" w:name="_Toc31801"/>
      <w:bookmarkStart w:id="20" w:name="_Toc16256"/>
      <w:bookmarkStart w:id="21" w:name="_Toc14280"/>
      <w:bookmarkStart w:id="22" w:name="_Toc1809"/>
      <w:bookmarkStart w:id="23" w:name="_Toc6038"/>
      <w:bookmarkStart w:id="24" w:name="_Toc23181"/>
      <w:bookmarkStart w:id="25" w:name="_Toc67748101"/>
      <w:bookmarkStart w:id="26" w:name="_Toc24537"/>
      <w:bookmarkStart w:id="27" w:name="_Toc25188"/>
      <w:bookmarkStart w:id="28" w:name="_Toc21277"/>
      <w:bookmarkStart w:id="29" w:name="_Toc31695"/>
      <w:bookmarkStart w:id="30" w:name="_Toc6540"/>
      <w:bookmarkStart w:id="31" w:name="_Toc4267"/>
      <w:bookmarkStart w:id="32" w:name="_Toc25328"/>
      <w:bookmarkStart w:id="33" w:name="_Toc13321"/>
      <w:bookmarkStart w:id="34" w:name="_Toc11165"/>
      <w:bookmarkStart w:id="35" w:name="_Toc19749"/>
      <w:bookmarkStart w:id="36" w:name="_Toc2130"/>
      <w:bookmarkStart w:id="37" w:name="_Toc13713"/>
      <w:bookmarkStart w:id="38" w:name="_Toc26407"/>
      <w:bookmarkStart w:id="39" w:name="_Toc18973"/>
      <w:bookmarkStart w:id="40" w:name="_Toc6993"/>
      <w:bookmarkStart w:id="41" w:name="_Toc31587"/>
      <w:bookmarkStart w:id="42" w:name="_Toc12134"/>
      <w:bookmarkStart w:id="43" w:name="_Toc16059"/>
      <w:bookmarkStart w:id="44" w:name="_Toc21016"/>
      <w:r>
        <w:rPr>
          <w:rFonts w:hint="eastAsia" w:ascii="宋体" w:hAnsi="宋体" w:eastAsia="宋体" w:cs="宋体"/>
          <w:color w:val="auto"/>
          <w:sz w:val="36"/>
          <w:szCs w:val="36"/>
          <w:highlight w:val="none"/>
        </w:rPr>
        <w:t>第三章 评标办法</w:t>
      </w:r>
      <w:bookmarkEnd w:id="0"/>
      <w:r>
        <w:rPr>
          <w:rFonts w:hint="eastAsia" w:ascii="宋体" w:hAnsi="宋体" w:eastAsia="宋体" w:cs="宋体"/>
          <w:color w:val="auto"/>
          <w:sz w:val="36"/>
          <w:szCs w:val="36"/>
          <w:highlight w:val="none"/>
        </w:rPr>
        <w:t>（综合评估法：采用两阶段开评标）</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C4A17A0">
      <w:pPr>
        <w:pStyle w:val="3"/>
        <w:rPr>
          <w:rFonts w:hint="eastAsia" w:ascii="宋体" w:hAnsi="宋体" w:eastAsia="宋体" w:cs="宋体"/>
          <w:color w:val="auto"/>
          <w:sz w:val="24"/>
          <w:szCs w:val="24"/>
          <w:highlight w:val="none"/>
        </w:rPr>
      </w:pPr>
      <w:bookmarkStart w:id="45" w:name="_Toc32378"/>
      <w:bookmarkStart w:id="46" w:name="_Toc7261"/>
      <w:bookmarkStart w:id="47" w:name="_Toc6941"/>
      <w:bookmarkStart w:id="48" w:name="_Toc22630"/>
      <w:bookmarkStart w:id="49" w:name="_Toc19806"/>
      <w:bookmarkStart w:id="50" w:name="_Toc15028"/>
      <w:bookmarkStart w:id="51" w:name="_Toc18596"/>
      <w:bookmarkStart w:id="52" w:name="_Toc12736"/>
      <w:bookmarkStart w:id="53" w:name="_Toc67748102"/>
      <w:bookmarkStart w:id="54" w:name="_Toc23378"/>
      <w:bookmarkStart w:id="55" w:name="_Toc548"/>
      <w:bookmarkStart w:id="56" w:name="_Toc29075"/>
      <w:bookmarkStart w:id="57" w:name="_Toc6867"/>
      <w:bookmarkStart w:id="58" w:name="_Toc29187"/>
      <w:bookmarkStart w:id="59" w:name="_Toc8448"/>
      <w:bookmarkStart w:id="60" w:name="_Toc1890"/>
      <w:bookmarkStart w:id="61" w:name="_Toc3926"/>
      <w:bookmarkStart w:id="62" w:name="_Toc12997"/>
      <w:bookmarkStart w:id="63" w:name="_Toc886"/>
      <w:bookmarkStart w:id="64" w:name="_Toc6873"/>
      <w:bookmarkStart w:id="65" w:name="_Toc28515"/>
      <w:bookmarkStart w:id="66" w:name="_Toc30175"/>
      <w:bookmarkStart w:id="67" w:name="_Toc7688"/>
      <w:bookmarkStart w:id="68" w:name="_Toc31727"/>
      <w:bookmarkStart w:id="69" w:name="_Toc7503"/>
      <w:bookmarkStart w:id="70" w:name="_Toc22998"/>
      <w:bookmarkStart w:id="71" w:name="_Toc27707"/>
      <w:bookmarkStart w:id="72" w:name="_Toc7070"/>
      <w:bookmarkStart w:id="73" w:name="_Toc183078646"/>
      <w:bookmarkStart w:id="74" w:name="_Toc4724"/>
      <w:bookmarkStart w:id="75" w:name="_Toc8989"/>
      <w:bookmarkStart w:id="76" w:name="_Toc5371"/>
      <w:bookmarkStart w:id="77" w:name="_Toc10282"/>
      <w:bookmarkStart w:id="78" w:name="_Toc29467"/>
      <w:bookmarkStart w:id="79" w:name="_Toc11948"/>
      <w:bookmarkStart w:id="80" w:name="_Toc16581"/>
      <w:bookmarkStart w:id="81" w:name="_Toc15780"/>
      <w:bookmarkStart w:id="82" w:name="_Toc3879"/>
      <w:bookmarkStart w:id="83" w:name="_Toc27818"/>
      <w:bookmarkStart w:id="84" w:name="_Toc25815"/>
      <w:bookmarkStart w:id="85" w:name="_Toc25300"/>
      <w:bookmarkStart w:id="86" w:name="_Toc32661"/>
      <w:bookmarkStart w:id="87" w:name="_Toc25548"/>
      <w:bookmarkStart w:id="88" w:name="_Toc14712"/>
      <w:bookmarkStart w:id="89" w:name="_Toc8264"/>
      <w:bookmarkStart w:id="90" w:name="_Toc20588"/>
      <w:bookmarkStart w:id="91" w:name="_Toc24406"/>
      <w:bookmarkStart w:id="92" w:name="_Toc26386"/>
      <w:bookmarkStart w:id="93" w:name="_Toc28709"/>
      <w:r>
        <w:rPr>
          <w:rFonts w:hint="eastAsia" w:ascii="宋体" w:hAnsi="宋体" w:eastAsia="宋体" w:cs="宋体"/>
          <w:color w:val="auto"/>
          <w:sz w:val="24"/>
          <w:szCs w:val="24"/>
          <w:highlight w:val="none"/>
        </w:rPr>
        <w:t>评标办法前附表</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72C08B60">
      <w:pPr>
        <w:keepNext/>
        <w:keepLines/>
        <w:spacing w:before="340" w:after="330" w:line="240" w:lineRule="auto"/>
        <w:outlineLvl w:val="0"/>
        <w:rPr>
          <w:rFonts w:hint="eastAsia"/>
          <w:b/>
          <w:bCs/>
          <w:color w:val="auto"/>
          <w:kern w:val="44"/>
          <w:sz w:val="24"/>
          <w:szCs w:val="24"/>
          <w:highlight w:val="none"/>
        </w:rPr>
      </w:pPr>
      <w:r>
        <w:rPr>
          <w:rFonts w:hint="eastAsia"/>
          <w:b/>
          <w:bCs/>
          <w:color w:val="auto"/>
          <w:kern w:val="44"/>
          <w:sz w:val="24"/>
          <w:szCs w:val="24"/>
          <w:highlight w:val="none"/>
        </w:rPr>
        <w:t>综合评估法一：适用于可行性研究完成阶段工程总承包招标</w:t>
      </w:r>
    </w:p>
    <w:tbl>
      <w:tblPr>
        <w:tblStyle w:val="5"/>
        <w:tblW w:w="8700" w:type="dxa"/>
        <w:tblInd w:w="131"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57" w:type="dxa"/>
          <w:left w:w="108" w:type="dxa"/>
          <w:bottom w:w="57" w:type="dxa"/>
          <w:right w:w="108" w:type="dxa"/>
        </w:tblCellMar>
      </w:tblPr>
      <w:tblGrid>
        <w:gridCol w:w="828"/>
        <w:gridCol w:w="123"/>
        <w:gridCol w:w="850"/>
        <w:gridCol w:w="142"/>
        <w:gridCol w:w="2268"/>
        <w:gridCol w:w="4489"/>
      </w:tblGrid>
      <w:tr w14:paraId="5CE47A2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57" w:type="dxa"/>
            <w:left w:w="108" w:type="dxa"/>
            <w:bottom w:w="57" w:type="dxa"/>
            <w:right w:w="108" w:type="dxa"/>
          </w:tblCellMar>
        </w:tblPrEx>
        <w:tc>
          <w:tcPr>
            <w:tcW w:w="1943" w:type="dxa"/>
            <w:gridSpan w:val="4"/>
            <w:tcBorders>
              <w:top w:val="single" w:color="auto" w:sz="12" w:space="0"/>
              <w:left w:val="single" w:color="auto" w:sz="12" w:space="0"/>
              <w:bottom w:val="single" w:color="auto" w:sz="4" w:space="0"/>
              <w:right w:val="single" w:color="auto" w:sz="4" w:space="0"/>
            </w:tcBorders>
            <w:shd w:val="clear" w:color="auto" w:fill="E8E8E8"/>
            <w:noWrap w:val="0"/>
            <w:vAlign w:val="center"/>
          </w:tcPr>
          <w:p w14:paraId="5B3D68F7">
            <w:pPr>
              <w:adjustRightInd w:val="0"/>
              <w:snapToGrid w:val="0"/>
              <w:spacing w:line="400" w:lineRule="exact"/>
              <w:jc w:val="center"/>
              <w:rPr>
                <w:rFonts w:ascii="宋体" w:hAnsi="宋体" w:cs="宋体"/>
                <w:b/>
                <w:color w:val="auto"/>
                <w:szCs w:val="21"/>
                <w:highlight w:val="none"/>
              </w:rPr>
            </w:pPr>
            <w:r>
              <w:rPr>
                <w:rFonts w:ascii="宋体" w:hAnsi="宋体" w:cs="宋体"/>
                <w:b/>
                <w:color w:val="auto"/>
                <w:szCs w:val="21"/>
                <w:highlight w:val="none"/>
              </w:rPr>
              <w:t>条款号</w:t>
            </w:r>
          </w:p>
        </w:tc>
        <w:tc>
          <w:tcPr>
            <w:tcW w:w="2268" w:type="dxa"/>
            <w:tcBorders>
              <w:top w:val="single" w:color="auto" w:sz="12" w:space="0"/>
              <w:left w:val="single" w:color="auto" w:sz="4" w:space="0"/>
              <w:bottom w:val="single" w:color="auto" w:sz="4" w:space="0"/>
              <w:right w:val="single" w:color="auto" w:sz="4" w:space="0"/>
            </w:tcBorders>
            <w:shd w:val="clear" w:color="auto" w:fill="E8E8E8"/>
            <w:noWrap w:val="0"/>
            <w:vAlign w:val="center"/>
          </w:tcPr>
          <w:p w14:paraId="7194150D">
            <w:pPr>
              <w:adjustRightInd w:val="0"/>
              <w:snapToGrid w:val="0"/>
              <w:spacing w:line="400" w:lineRule="exact"/>
              <w:jc w:val="center"/>
              <w:rPr>
                <w:rFonts w:ascii="宋体" w:hAnsi="宋体" w:cs="宋体"/>
                <w:b/>
                <w:color w:val="auto"/>
                <w:szCs w:val="21"/>
                <w:highlight w:val="none"/>
              </w:rPr>
            </w:pPr>
            <w:r>
              <w:rPr>
                <w:rFonts w:ascii="宋体" w:hAnsi="宋体" w:cs="宋体"/>
                <w:b/>
                <w:color w:val="auto"/>
                <w:szCs w:val="21"/>
                <w:highlight w:val="none"/>
              </w:rPr>
              <w:t>评</w:t>
            </w:r>
            <w:r>
              <w:rPr>
                <w:rFonts w:hint="eastAsia" w:ascii="宋体" w:hAnsi="宋体" w:cs="宋体"/>
                <w:b/>
                <w:color w:val="auto"/>
                <w:szCs w:val="21"/>
                <w:highlight w:val="none"/>
              </w:rPr>
              <w:t xml:space="preserve"> </w:t>
            </w:r>
            <w:r>
              <w:rPr>
                <w:rFonts w:ascii="宋体" w:hAnsi="宋体" w:cs="宋体"/>
                <w:b/>
                <w:color w:val="auto"/>
                <w:szCs w:val="21"/>
                <w:highlight w:val="none"/>
              </w:rPr>
              <w:t>审</w:t>
            </w:r>
            <w:r>
              <w:rPr>
                <w:rFonts w:hint="eastAsia" w:ascii="宋体" w:hAnsi="宋体" w:cs="宋体"/>
                <w:b/>
                <w:color w:val="auto"/>
                <w:szCs w:val="21"/>
                <w:highlight w:val="none"/>
              </w:rPr>
              <w:t xml:space="preserve"> </w:t>
            </w:r>
            <w:r>
              <w:rPr>
                <w:rFonts w:ascii="宋体" w:hAnsi="宋体" w:cs="宋体"/>
                <w:b/>
                <w:color w:val="auto"/>
                <w:szCs w:val="21"/>
                <w:highlight w:val="none"/>
              </w:rPr>
              <w:t>因</w:t>
            </w:r>
            <w:r>
              <w:rPr>
                <w:rFonts w:hint="eastAsia" w:ascii="宋体" w:hAnsi="宋体" w:cs="宋体"/>
                <w:b/>
                <w:color w:val="auto"/>
                <w:szCs w:val="21"/>
                <w:highlight w:val="none"/>
              </w:rPr>
              <w:t xml:space="preserve"> </w:t>
            </w:r>
            <w:r>
              <w:rPr>
                <w:rFonts w:ascii="宋体" w:hAnsi="宋体" w:cs="宋体"/>
                <w:b/>
                <w:color w:val="auto"/>
                <w:szCs w:val="21"/>
                <w:highlight w:val="none"/>
              </w:rPr>
              <w:t>素</w:t>
            </w:r>
          </w:p>
        </w:tc>
        <w:tc>
          <w:tcPr>
            <w:tcW w:w="4489" w:type="dxa"/>
            <w:tcBorders>
              <w:top w:val="single" w:color="auto" w:sz="12" w:space="0"/>
              <w:left w:val="single" w:color="auto" w:sz="4" w:space="0"/>
              <w:bottom w:val="single" w:color="auto" w:sz="4" w:space="0"/>
              <w:right w:val="single" w:color="auto" w:sz="12" w:space="0"/>
            </w:tcBorders>
            <w:shd w:val="clear" w:color="auto" w:fill="E8E8E8"/>
            <w:noWrap w:val="0"/>
            <w:vAlign w:val="center"/>
          </w:tcPr>
          <w:p w14:paraId="590255FB">
            <w:pPr>
              <w:adjustRightInd w:val="0"/>
              <w:snapToGrid w:val="0"/>
              <w:spacing w:line="400" w:lineRule="exact"/>
              <w:jc w:val="center"/>
              <w:rPr>
                <w:rFonts w:ascii="宋体" w:hAnsi="宋体" w:cs="宋体"/>
                <w:b/>
                <w:color w:val="auto"/>
                <w:szCs w:val="21"/>
                <w:highlight w:val="none"/>
              </w:rPr>
            </w:pPr>
            <w:r>
              <w:rPr>
                <w:rFonts w:ascii="宋体" w:hAnsi="宋体" w:cs="宋体"/>
                <w:b/>
                <w:color w:val="auto"/>
                <w:szCs w:val="21"/>
                <w:highlight w:val="none"/>
              </w:rPr>
              <w:t>评</w:t>
            </w:r>
            <w:r>
              <w:rPr>
                <w:rFonts w:hint="eastAsia" w:ascii="宋体" w:hAnsi="宋体" w:cs="宋体"/>
                <w:b/>
                <w:color w:val="auto"/>
                <w:szCs w:val="21"/>
                <w:highlight w:val="none"/>
              </w:rPr>
              <w:t xml:space="preserve"> </w:t>
            </w:r>
            <w:r>
              <w:rPr>
                <w:rFonts w:ascii="宋体" w:hAnsi="宋体" w:cs="宋体"/>
                <w:b/>
                <w:color w:val="auto"/>
                <w:szCs w:val="21"/>
                <w:highlight w:val="none"/>
              </w:rPr>
              <w:t>审</w:t>
            </w:r>
            <w:r>
              <w:rPr>
                <w:rFonts w:hint="eastAsia" w:ascii="宋体" w:hAnsi="宋体" w:cs="宋体"/>
                <w:b/>
                <w:color w:val="auto"/>
                <w:szCs w:val="21"/>
                <w:highlight w:val="none"/>
              </w:rPr>
              <w:t xml:space="preserve"> </w:t>
            </w:r>
            <w:r>
              <w:rPr>
                <w:rFonts w:ascii="宋体" w:hAnsi="宋体" w:cs="宋体"/>
                <w:b/>
                <w:color w:val="auto"/>
                <w:szCs w:val="21"/>
                <w:highlight w:val="none"/>
              </w:rPr>
              <w:t>标</w:t>
            </w:r>
            <w:r>
              <w:rPr>
                <w:rFonts w:hint="eastAsia" w:ascii="宋体" w:hAnsi="宋体" w:cs="宋体"/>
                <w:b/>
                <w:color w:val="auto"/>
                <w:szCs w:val="21"/>
                <w:highlight w:val="none"/>
              </w:rPr>
              <w:t xml:space="preserve"> </w:t>
            </w:r>
            <w:r>
              <w:rPr>
                <w:rFonts w:ascii="宋体" w:hAnsi="宋体" w:cs="宋体"/>
                <w:b/>
                <w:color w:val="auto"/>
                <w:szCs w:val="21"/>
                <w:highlight w:val="none"/>
              </w:rPr>
              <w:t>准</w:t>
            </w:r>
          </w:p>
        </w:tc>
      </w:tr>
      <w:tr w14:paraId="4DE778A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57" w:type="dxa"/>
            <w:left w:w="108" w:type="dxa"/>
            <w:bottom w:w="57" w:type="dxa"/>
            <w:right w:w="108" w:type="dxa"/>
          </w:tblCellMar>
        </w:tblPrEx>
        <w:tc>
          <w:tcPr>
            <w:tcW w:w="951" w:type="dxa"/>
            <w:gridSpan w:val="2"/>
            <w:tcBorders>
              <w:top w:val="single" w:color="auto" w:sz="4" w:space="0"/>
              <w:left w:val="single" w:color="auto" w:sz="12" w:space="0"/>
              <w:bottom w:val="single" w:color="auto" w:sz="4" w:space="0"/>
              <w:right w:val="single" w:color="auto" w:sz="4" w:space="0"/>
            </w:tcBorders>
            <w:noWrap w:val="0"/>
            <w:vAlign w:val="center"/>
          </w:tcPr>
          <w:p w14:paraId="6958626D">
            <w:pPr>
              <w:spacing w:line="40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63C9B44E">
            <w:pPr>
              <w:spacing w:line="400" w:lineRule="exact"/>
              <w:jc w:val="center"/>
              <w:rPr>
                <w:color w:val="auto"/>
                <w:szCs w:val="21"/>
                <w:highlight w:val="none"/>
              </w:rPr>
            </w:pPr>
            <w:r>
              <w:rPr>
                <w:rFonts w:hint="eastAsia"/>
                <w:color w:val="auto"/>
                <w:szCs w:val="21"/>
                <w:highlight w:val="none"/>
              </w:rPr>
              <w:t>评标办法</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2127437">
            <w:pPr>
              <w:spacing w:line="400" w:lineRule="exact"/>
              <w:rPr>
                <w:color w:val="auto"/>
                <w:szCs w:val="21"/>
                <w:highlight w:val="none"/>
              </w:rPr>
            </w:pPr>
            <w:r>
              <w:rPr>
                <w:color w:val="auto"/>
                <w:szCs w:val="21"/>
                <w:highlight w:val="none"/>
              </w:rPr>
              <w:t>中标候选人排序方法</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1329B08B">
            <w:pPr>
              <w:spacing w:line="400" w:lineRule="exact"/>
              <w:rPr>
                <w:rFonts w:hint="eastAsia"/>
              </w:rPr>
            </w:pPr>
            <w:r>
              <w:rPr>
                <w:rFonts w:hint="eastAsia"/>
              </w:rPr>
              <w:t>工程总承包项目招标采用两阶段评标。投标人应当按照招标文件的要求编制、递交投标文件。第一阶段投标文件包括：设计文件、项目管理组织方案、项目管理机构、工程业绩以及资格审查资料（实行资格后审的）等；第二阶段投标文件包括工程总承包报价。开标、评标活动分两个阶段进行。</w:t>
            </w:r>
          </w:p>
          <w:p w14:paraId="7529585B">
            <w:pPr>
              <w:spacing w:line="400" w:lineRule="exact"/>
              <w:rPr>
                <w:rFonts w:hint="eastAsia"/>
              </w:rPr>
            </w:pPr>
            <w:r>
              <w:rPr>
                <w:rFonts w:hint="eastAsia"/>
              </w:rPr>
              <w:t>第一阶段：先开启第一阶段商务技术文件，包括设计文件、项目管理组织方案、项目管理机构、工程业绩以及资格审查资料（实行资格后审的）等。评标委员会先进行初步评审，然后对初步评审合格的投标人的商务技术文件进行评审。在设计文件评审合格（设计文件总分值的60%）的投标人中，根据第一阶段汇总得分排在前</w:t>
            </w:r>
            <w:r>
              <w:rPr>
                <w:rFonts w:hint="eastAsia"/>
                <w:lang w:val="en-US" w:eastAsia="zh-CN"/>
              </w:rPr>
              <w:t>5</w:t>
            </w:r>
            <w:r>
              <w:rPr>
                <w:rFonts w:hint="eastAsia"/>
              </w:rPr>
              <w:t>名的，才能进入第二阶段评标；设计文件评审合格的投标人少于</w:t>
            </w:r>
            <w:r>
              <w:rPr>
                <w:rFonts w:hint="eastAsia"/>
                <w:lang w:val="en-US" w:eastAsia="zh-CN"/>
              </w:rPr>
              <w:t>5</w:t>
            </w:r>
            <w:r>
              <w:rPr>
                <w:rFonts w:hint="eastAsia"/>
              </w:rPr>
              <w:t>名的，全部进入第二阶段评标。</w:t>
            </w:r>
          </w:p>
          <w:p w14:paraId="5EEEEACB">
            <w:pPr>
              <w:spacing w:line="400" w:lineRule="exact"/>
              <w:rPr>
                <w:color w:val="auto"/>
                <w:szCs w:val="21"/>
                <w:highlight w:val="none"/>
              </w:rPr>
            </w:pPr>
            <w:r>
              <w:rPr>
                <w:rFonts w:hint="eastAsia"/>
              </w:rPr>
              <w:t>第二阶段：开启所有投标人的工程总承包报价文件，宣布进入第二阶段评审入围的投标人，评标委员会按照招标文件规定的评标方法进行评审。</w:t>
            </w:r>
          </w:p>
        </w:tc>
      </w:tr>
      <w:tr w14:paraId="28259BC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57" w:type="dxa"/>
            <w:left w:w="108" w:type="dxa"/>
            <w:bottom w:w="57" w:type="dxa"/>
            <w:right w:w="108" w:type="dxa"/>
          </w:tblCellMar>
        </w:tblPrEx>
        <w:tc>
          <w:tcPr>
            <w:tcW w:w="951" w:type="dxa"/>
            <w:gridSpan w:val="2"/>
            <w:vMerge w:val="restart"/>
            <w:tcBorders>
              <w:top w:val="single" w:color="auto" w:sz="4" w:space="0"/>
              <w:left w:val="single" w:color="auto" w:sz="12" w:space="0"/>
              <w:bottom w:val="single" w:color="auto" w:sz="4" w:space="0"/>
              <w:right w:val="single" w:color="auto" w:sz="4" w:space="0"/>
            </w:tcBorders>
            <w:noWrap w:val="0"/>
            <w:vAlign w:val="center"/>
          </w:tcPr>
          <w:p w14:paraId="61D758F7">
            <w:pPr>
              <w:spacing w:line="400" w:lineRule="exact"/>
              <w:jc w:val="center"/>
              <w:rPr>
                <w:rFonts w:ascii="宋体" w:hAnsi="宋体"/>
                <w:color w:val="auto"/>
                <w:szCs w:val="21"/>
                <w:highlight w:val="none"/>
              </w:rPr>
            </w:pPr>
            <w:r>
              <w:rPr>
                <w:rFonts w:hint="eastAsia" w:ascii="宋体" w:hAnsi="宋体"/>
                <w:color w:val="auto"/>
                <w:szCs w:val="21"/>
                <w:highlight w:val="none"/>
              </w:rPr>
              <w:t>2.1.1</w:t>
            </w:r>
          </w:p>
        </w:tc>
        <w:tc>
          <w:tcPr>
            <w:tcW w:w="99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8153D56">
            <w:pPr>
              <w:spacing w:line="400" w:lineRule="exact"/>
              <w:jc w:val="center"/>
              <w:rPr>
                <w:color w:val="auto"/>
                <w:szCs w:val="21"/>
                <w:highlight w:val="none"/>
              </w:rPr>
            </w:pPr>
            <w:r>
              <w:rPr>
                <w:rFonts w:hint="eastAsia"/>
                <w:color w:val="auto"/>
                <w:szCs w:val="21"/>
                <w:highlight w:val="none"/>
              </w:rPr>
              <w:t>形式评审标准</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A3FFB19">
            <w:pPr>
              <w:spacing w:line="400" w:lineRule="exact"/>
              <w:rPr>
                <w:color w:val="auto"/>
                <w:szCs w:val="21"/>
                <w:highlight w:val="none"/>
              </w:rPr>
            </w:pPr>
            <w:r>
              <w:rPr>
                <w:color w:val="auto"/>
                <w:szCs w:val="21"/>
                <w:highlight w:val="none"/>
              </w:rPr>
              <w:t>投标人名称</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2C38208C">
            <w:pPr>
              <w:spacing w:line="400" w:lineRule="exact"/>
              <w:rPr>
                <w:color w:val="auto"/>
                <w:szCs w:val="21"/>
                <w:highlight w:val="none"/>
              </w:rPr>
            </w:pPr>
            <w:r>
              <w:rPr>
                <w:color w:val="auto"/>
                <w:szCs w:val="21"/>
                <w:highlight w:val="none"/>
              </w:rPr>
              <w:t>与营业执照、资质证书、安全生产许可证一致</w:t>
            </w:r>
          </w:p>
        </w:tc>
      </w:tr>
      <w:tr w14:paraId="41EBCC4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57" w:type="dxa"/>
            <w:left w:w="108" w:type="dxa"/>
            <w:bottom w:w="57" w:type="dxa"/>
            <w:right w:w="108" w:type="dxa"/>
          </w:tblCellMar>
        </w:tblPrEx>
        <w:tc>
          <w:tcPr>
            <w:tcW w:w="951" w:type="dxa"/>
            <w:gridSpan w:val="2"/>
            <w:vMerge w:val="continue"/>
            <w:tcBorders>
              <w:top w:val="single" w:color="auto" w:sz="4" w:space="0"/>
              <w:left w:val="single" w:color="auto" w:sz="12" w:space="0"/>
              <w:bottom w:val="single" w:color="auto" w:sz="4" w:space="0"/>
              <w:right w:val="single" w:color="auto" w:sz="4" w:space="0"/>
            </w:tcBorders>
            <w:noWrap w:val="0"/>
            <w:vAlign w:val="center"/>
          </w:tcPr>
          <w:p w14:paraId="34CAA78A">
            <w:pPr>
              <w:spacing w:line="400" w:lineRule="exact"/>
              <w:jc w:val="center"/>
              <w:rPr>
                <w:color w:val="auto"/>
                <w:szCs w:val="21"/>
                <w:highlight w:val="none"/>
              </w:rPr>
            </w:pPr>
          </w:p>
        </w:tc>
        <w:tc>
          <w:tcPr>
            <w:tcW w:w="99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B5691D0">
            <w:pPr>
              <w:spacing w:line="400" w:lineRule="exact"/>
              <w:jc w:val="center"/>
              <w:rPr>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DE39940">
            <w:pPr>
              <w:spacing w:line="400" w:lineRule="exact"/>
              <w:rPr>
                <w:color w:val="auto"/>
                <w:szCs w:val="21"/>
                <w:highlight w:val="none"/>
              </w:rPr>
            </w:pPr>
            <w:r>
              <w:rPr>
                <w:color w:val="auto"/>
                <w:szCs w:val="21"/>
                <w:highlight w:val="none"/>
              </w:rPr>
              <w:t>投标函签字盖章</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64D054EB">
            <w:pPr>
              <w:spacing w:line="400" w:lineRule="exact"/>
              <w:rPr>
                <w:color w:val="auto"/>
                <w:szCs w:val="21"/>
                <w:highlight w:val="none"/>
              </w:rPr>
            </w:pPr>
            <w:r>
              <w:rPr>
                <w:rFonts w:hint="eastAsia"/>
                <w:color w:val="auto"/>
                <w:szCs w:val="21"/>
                <w:highlight w:val="none"/>
              </w:rPr>
              <w:t>投标函加盖企业法定代表人（或企业法定代表人委托代理人）印章（或签字）</w:t>
            </w:r>
          </w:p>
        </w:tc>
      </w:tr>
      <w:tr w14:paraId="1BF3892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57" w:type="dxa"/>
            <w:left w:w="108" w:type="dxa"/>
            <w:bottom w:w="57" w:type="dxa"/>
            <w:right w:w="108" w:type="dxa"/>
          </w:tblCellMar>
        </w:tblPrEx>
        <w:tc>
          <w:tcPr>
            <w:tcW w:w="951" w:type="dxa"/>
            <w:gridSpan w:val="2"/>
            <w:vMerge w:val="continue"/>
            <w:tcBorders>
              <w:top w:val="single" w:color="auto" w:sz="4" w:space="0"/>
              <w:left w:val="single" w:color="auto" w:sz="12" w:space="0"/>
              <w:bottom w:val="single" w:color="auto" w:sz="4" w:space="0"/>
              <w:right w:val="single" w:color="auto" w:sz="4" w:space="0"/>
            </w:tcBorders>
            <w:noWrap w:val="0"/>
            <w:vAlign w:val="center"/>
          </w:tcPr>
          <w:p w14:paraId="380F592C">
            <w:pPr>
              <w:spacing w:line="400" w:lineRule="exact"/>
              <w:jc w:val="center"/>
              <w:rPr>
                <w:color w:val="auto"/>
                <w:szCs w:val="21"/>
                <w:highlight w:val="none"/>
              </w:rPr>
            </w:pPr>
          </w:p>
        </w:tc>
        <w:tc>
          <w:tcPr>
            <w:tcW w:w="99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9E1E9B4">
            <w:pPr>
              <w:spacing w:line="400" w:lineRule="exact"/>
              <w:jc w:val="center"/>
              <w:rPr>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741135D">
            <w:pPr>
              <w:spacing w:line="400" w:lineRule="exact"/>
              <w:rPr>
                <w:color w:val="auto"/>
                <w:szCs w:val="21"/>
                <w:highlight w:val="none"/>
              </w:rPr>
            </w:pPr>
            <w:r>
              <w:rPr>
                <w:color w:val="auto"/>
                <w:szCs w:val="21"/>
                <w:highlight w:val="none"/>
              </w:rPr>
              <w:t>报价唯一</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7A86BFEB">
            <w:pPr>
              <w:spacing w:line="400" w:lineRule="exact"/>
              <w:rPr>
                <w:color w:val="auto"/>
                <w:szCs w:val="21"/>
                <w:highlight w:val="none"/>
              </w:rPr>
            </w:pPr>
            <w:r>
              <w:rPr>
                <w:color w:val="auto"/>
                <w:szCs w:val="21"/>
                <w:highlight w:val="none"/>
              </w:rPr>
              <w:t>只能有一个有效报价</w:t>
            </w:r>
          </w:p>
        </w:tc>
      </w:tr>
      <w:tr w14:paraId="0275C34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57" w:type="dxa"/>
            <w:left w:w="108" w:type="dxa"/>
            <w:bottom w:w="57" w:type="dxa"/>
            <w:right w:w="108" w:type="dxa"/>
          </w:tblCellMar>
        </w:tblPrEx>
        <w:tc>
          <w:tcPr>
            <w:tcW w:w="951" w:type="dxa"/>
            <w:gridSpan w:val="2"/>
            <w:vMerge w:val="continue"/>
            <w:tcBorders>
              <w:top w:val="single" w:color="auto" w:sz="4" w:space="0"/>
              <w:left w:val="single" w:color="auto" w:sz="12" w:space="0"/>
              <w:bottom w:val="single" w:color="auto" w:sz="4" w:space="0"/>
              <w:right w:val="single" w:color="auto" w:sz="4" w:space="0"/>
            </w:tcBorders>
            <w:noWrap w:val="0"/>
            <w:vAlign w:val="center"/>
          </w:tcPr>
          <w:p w14:paraId="5D6A930E">
            <w:pPr>
              <w:spacing w:line="400" w:lineRule="exact"/>
              <w:jc w:val="center"/>
              <w:rPr>
                <w:color w:val="auto"/>
                <w:szCs w:val="21"/>
                <w:highlight w:val="none"/>
              </w:rPr>
            </w:pPr>
          </w:p>
        </w:tc>
        <w:tc>
          <w:tcPr>
            <w:tcW w:w="99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E428948">
            <w:pPr>
              <w:spacing w:line="400" w:lineRule="exact"/>
              <w:jc w:val="center"/>
              <w:rPr>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3D009B5">
            <w:pPr>
              <w:spacing w:line="400" w:lineRule="exact"/>
              <w:rPr>
                <w:color w:val="auto"/>
                <w:szCs w:val="21"/>
                <w:highlight w:val="none"/>
              </w:rPr>
            </w:pPr>
            <w:r>
              <w:rPr>
                <w:rFonts w:hint="eastAsia"/>
                <w:color w:val="auto"/>
                <w:szCs w:val="21"/>
                <w:highlight w:val="none"/>
              </w:rPr>
              <w:t>暗标</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7890278D">
            <w:pPr>
              <w:spacing w:line="400" w:lineRule="exact"/>
              <w:rPr>
                <w:color w:val="auto"/>
                <w:szCs w:val="21"/>
                <w:highlight w:val="none"/>
              </w:rPr>
            </w:pPr>
            <w:r>
              <w:rPr>
                <w:rFonts w:hint="eastAsia"/>
                <w:color w:val="auto"/>
                <w:szCs w:val="21"/>
                <w:highlight w:val="none"/>
              </w:rPr>
              <w:t>符合招标文件有关暗标的要求</w:t>
            </w:r>
          </w:p>
        </w:tc>
      </w:tr>
      <w:tr w14:paraId="3D1F976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57" w:type="dxa"/>
            <w:left w:w="108" w:type="dxa"/>
            <w:bottom w:w="57" w:type="dxa"/>
            <w:right w:w="108" w:type="dxa"/>
          </w:tblCellMar>
        </w:tblPrEx>
        <w:tc>
          <w:tcPr>
            <w:tcW w:w="951" w:type="dxa"/>
            <w:gridSpan w:val="2"/>
            <w:vMerge w:val="continue"/>
            <w:tcBorders>
              <w:top w:val="single" w:color="auto" w:sz="4" w:space="0"/>
              <w:left w:val="single" w:color="auto" w:sz="12" w:space="0"/>
              <w:bottom w:val="single" w:color="auto" w:sz="4" w:space="0"/>
              <w:right w:val="single" w:color="auto" w:sz="4" w:space="0"/>
            </w:tcBorders>
            <w:noWrap w:val="0"/>
            <w:vAlign w:val="center"/>
          </w:tcPr>
          <w:p w14:paraId="1FB62CC2">
            <w:pPr>
              <w:spacing w:line="400" w:lineRule="exact"/>
              <w:jc w:val="center"/>
              <w:rPr>
                <w:color w:val="auto"/>
                <w:szCs w:val="21"/>
                <w:highlight w:val="none"/>
              </w:rPr>
            </w:pPr>
          </w:p>
        </w:tc>
        <w:tc>
          <w:tcPr>
            <w:tcW w:w="99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0D1C74F">
            <w:pPr>
              <w:spacing w:line="400" w:lineRule="exact"/>
              <w:jc w:val="center"/>
              <w:rPr>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1454A4D">
            <w:pPr>
              <w:spacing w:line="400" w:lineRule="exact"/>
              <w:rPr>
                <w:color w:val="auto"/>
                <w:szCs w:val="21"/>
                <w:highlight w:val="none"/>
              </w:rPr>
            </w:pPr>
            <w:r>
              <w:rPr>
                <w:color w:val="auto"/>
                <w:szCs w:val="21"/>
                <w:highlight w:val="none"/>
              </w:rPr>
              <w:t>……</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7865EF0F">
            <w:pPr>
              <w:spacing w:line="400" w:lineRule="exact"/>
              <w:rPr>
                <w:color w:val="auto"/>
                <w:szCs w:val="21"/>
                <w:highlight w:val="none"/>
              </w:rPr>
            </w:pPr>
            <w:r>
              <w:rPr>
                <w:color w:val="auto"/>
                <w:szCs w:val="21"/>
                <w:highlight w:val="none"/>
              </w:rPr>
              <w:t>……</w:t>
            </w:r>
          </w:p>
        </w:tc>
      </w:tr>
      <w:tr w14:paraId="6B89E05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57" w:type="dxa"/>
            <w:left w:w="108" w:type="dxa"/>
            <w:bottom w:w="57" w:type="dxa"/>
            <w:right w:w="108" w:type="dxa"/>
          </w:tblCellMar>
        </w:tblPrEx>
        <w:tc>
          <w:tcPr>
            <w:tcW w:w="951" w:type="dxa"/>
            <w:gridSpan w:val="2"/>
            <w:vMerge w:val="restart"/>
            <w:tcBorders>
              <w:top w:val="single" w:color="auto" w:sz="4" w:space="0"/>
              <w:left w:val="single" w:color="auto" w:sz="12" w:space="0"/>
              <w:bottom w:val="single" w:color="auto" w:sz="4" w:space="0"/>
              <w:right w:val="single" w:color="auto" w:sz="4" w:space="0"/>
            </w:tcBorders>
            <w:noWrap w:val="0"/>
            <w:vAlign w:val="center"/>
          </w:tcPr>
          <w:p w14:paraId="7C4E60A1">
            <w:pPr>
              <w:spacing w:line="400" w:lineRule="exact"/>
              <w:jc w:val="center"/>
              <w:rPr>
                <w:rFonts w:hint="eastAsia"/>
                <w:color w:val="auto"/>
                <w:szCs w:val="21"/>
                <w:highlight w:val="none"/>
              </w:rPr>
            </w:pPr>
            <w:r>
              <w:rPr>
                <w:rFonts w:hint="eastAsia" w:ascii="宋体" w:hAnsi="宋体"/>
                <w:color w:val="auto"/>
                <w:szCs w:val="21"/>
                <w:highlight w:val="none"/>
              </w:rPr>
              <w:t>2.1.2</w:t>
            </w:r>
          </w:p>
        </w:tc>
        <w:tc>
          <w:tcPr>
            <w:tcW w:w="99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5C63A18">
            <w:pPr>
              <w:spacing w:line="400" w:lineRule="exact"/>
              <w:jc w:val="center"/>
              <w:rPr>
                <w:color w:val="auto"/>
                <w:szCs w:val="21"/>
                <w:highlight w:val="none"/>
              </w:rPr>
            </w:pPr>
            <w:r>
              <w:rPr>
                <w:rFonts w:hint="eastAsia"/>
                <w:color w:val="auto"/>
                <w:szCs w:val="21"/>
                <w:highlight w:val="none"/>
              </w:rPr>
              <w:t>响应性评审标准</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9A670D7">
            <w:pPr>
              <w:spacing w:line="400" w:lineRule="exact"/>
              <w:rPr>
                <w:rFonts w:hint="eastAsia"/>
                <w:color w:val="auto"/>
                <w:szCs w:val="21"/>
                <w:highlight w:val="none"/>
              </w:rPr>
            </w:pPr>
            <w:r>
              <w:rPr>
                <w:color w:val="auto"/>
                <w:szCs w:val="21"/>
                <w:highlight w:val="none"/>
              </w:rPr>
              <w:t>投标内容</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3927887F">
            <w:pPr>
              <w:spacing w:line="400" w:lineRule="exact"/>
              <w:rPr>
                <w:rFonts w:hint="eastAsia"/>
                <w:color w:val="auto"/>
                <w:szCs w:val="21"/>
                <w:highlight w:val="none"/>
              </w:rPr>
            </w:pPr>
            <w:r>
              <w:rPr>
                <w:color w:val="auto"/>
                <w:szCs w:val="21"/>
                <w:highlight w:val="none"/>
              </w:rPr>
              <w:t>符合第二章“投标人须知”第1.3.1项规定</w:t>
            </w:r>
          </w:p>
        </w:tc>
      </w:tr>
      <w:tr w14:paraId="4D029A3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57" w:type="dxa"/>
            <w:left w:w="108" w:type="dxa"/>
            <w:bottom w:w="57" w:type="dxa"/>
            <w:right w:w="108" w:type="dxa"/>
          </w:tblCellMar>
        </w:tblPrEx>
        <w:tc>
          <w:tcPr>
            <w:tcW w:w="951" w:type="dxa"/>
            <w:gridSpan w:val="2"/>
            <w:vMerge w:val="continue"/>
            <w:tcBorders>
              <w:top w:val="single" w:color="auto" w:sz="4" w:space="0"/>
              <w:left w:val="single" w:color="auto" w:sz="12" w:space="0"/>
              <w:bottom w:val="single" w:color="auto" w:sz="4" w:space="0"/>
              <w:right w:val="single" w:color="auto" w:sz="4" w:space="0"/>
            </w:tcBorders>
            <w:noWrap w:val="0"/>
            <w:vAlign w:val="center"/>
          </w:tcPr>
          <w:p w14:paraId="0B1947AC">
            <w:pPr>
              <w:spacing w:line="400" w:lineRule="exact"/>
              <w:jc w:val="left"/>
              <w:rPr>
                <w:color w:val="auto"/>
                <w:szCs w:val="21"/>
                <w:highlight w:val="none"/>
              </w:rPr>
            </w:pPr>
          </w:p>
        </w:tc>
        <w:tc>
          <w:tcPr>
            <w:tcW w:w="99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601D630">
            <w:pPr>
              <w:spacing w:line="400" w:lineRule="exact"/>
              <w:jc w:val="left"/>
              <w:rPr>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D767119">
            <w:pPr>
              <w:spacing w:line="400" w:lineRule="exact"/>
              <w:rPr>
                <w:rFonts w:hint="eastAsia"/>
                <w:color w:val="auto"/>
                <w:szCs w:val="21"/>
                <w:highlight w:val="none"/>
              </w:rPr>
            </w:pPr>
            <w:r>
              <w:rPr>
                <w:color w:val="auto"/>
                <w:szCs w:val="21"/>
                <w:highlight w:val="none"/>
              </w:rPr>
              <w:t>工期</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684241F0">
            <w:pPr>
              <w:spacing w:line="400" w:lineRule="exact"/>
              <w:rPr>
                <w:rFonts w:hint="eastAsia"/>
                <w:color w:val="auto"/>
                <w:szCs w:val="21"/>
                <w:highlight w:val="none"/>
              </w:rPr>
            </w:pPr>
            <w:r>
              <w:rPr>
                <w:color w:val="auto"/>
                <w:szCs w:val="21"/>
                <w:highlight w:val="none"/>
              </w:rPr>
              <w:t>投标函中载明的工期符合第二章“投标人须知”第1.3.2项规定</w:t>
            </w:r>
          </w:p>
        </w:tc>
      </w:tr>
      <w:tr w14:paraId="4C37234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57" w:type="dxa"/>
            <w:left w:w="108" w:type="dxa"/>
            <w:bottom w:w="57" w:type="dxa"/>
            <w:right w:w="108" w:type="dxa"/>
          </w:tblCellMar>
        </w:tblPrEx>
        <w:tc>
          <w:tcPr>
            <w:tcW w:w="951" w:type="dxa"/>
            <w:gridSpan w:val="2"/>
            <w:vMerge w:val="continue"/>
            <w:tcBorders>
              <w:top w:val="single" w:color="auto" w:sz="4" w:space="0"/>
              <w:left w:val="single" w:color="auto" w:sz="12" w:space="0"/>
              <w:bottom w:val="single" w:color="auto" w:sz="4" w:space="0"/>
              <w:right w:val="single" w:color="auto" w:sz="4" w:space="0"/>
            </w:tcBorders>
            <w:noWrap w:val="0"/>
            <w:vAlign w:val="center"/>
          </w:tcPr>
          <w:p w14:paraId="54E97E1D">
            <w:pPr>
              <w:spacing w:line="400" w:lineRule="exact"/>
              <w:jc w:val="left"/>
              <w:rPr>
                <w:rFonts w:hint="eastAsia"/>
                <w:color w:val="auto"/>
                <w:szCs w:val="21"/>
                <w:highlight w:val="none"/>
              </w:rPr>
            </w:pPr>
          </w:p>
        </w:tc>
        <w:tc>
          <w:tcPr>
            <w:tcW w:w="99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944C9F3">
            <w:pPr>
              <w:spacing w:line="400" w:lineRule="exact"/>
              <w:jc w:val="left"/>
              <w:rPr>
                <w:rFonts w:hint="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A638CC1">
            <w:pPr>
              <w:spacing w:line="400" w:lineRule="exact"/>
              <w:rPr>
                <w:rFonts w:hint="eastAsia"/>
                <w:color w:val="auto"/>
                <w:szCs w:val="21"/>
                <w:highlight w:val="none"/>
              </w:rPr>
            </w:pPr>
            <w:r>
              <w:rPr>
                <w:color w:val="auto"/>
                <w:szCs w:val="21"/>
                <w:highlight w:val="none"/>
              </w:rPr>
              <w:t>工程质量</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3B1751EB">
            <w:pPr>
              <w:spacing w:line="400" w:lineRule="exact"/>
              <w:rPr>
                <w:rFonts w:hint="eastAsia"/>
                <w:color w:val="auto"/>
                <w:szCs w:val="21"/>
                <w:highlight w:val="none"/>
              </w:rPr>
            </w:pPr>
            <w:r>
              <w:rPr>
                <w:color w:val="auto"/>
                <w:szCs w:val="21"/>
                <w:highlight w:val="none"/>
              </w:rPr>
              <w:t>投标函中载明的质量符合第二章“投标人须知”第1.3.3项规定</w:t>
            </w:r>
          </w:p>
        </w:tc>
      </w:tr>
      <w:tr w14:paraId="51E31F6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57" w:type="dxa"/>
            <w:left w:w="108" w:type="dxa"/>
            <w:bottom w:w="57" w:type="dxa"/>
            <w:right w:w="108" w:type="dxa"/>
          </w:tblCellMar>
        </w:tblPrEx>
        <w:tc>
          <w:tcPr>
            <w:tcW w:w="951" w:type="dxa"/>
            <w:gridSpan w:val="2"/>
            <w:vMerge w:val="continue"/>
            <w:tcBorders>
              <w:top w:val="single" w:color="auto" w:sz="4" w:space="0"/>
              <w:left w:val="single" w:color="auto" w:sz="12" w:space="0"/>
              <w:bottom w:val="single" w:color="auto" w:sz="4" w:space="0"/>
              <w:right w:val="single" w:color="auto" w:sz="4" w:space="0"/>
            </w:tcBorders>
            <w:noWrap w:val="0"/>
            <w:vAlign w:val="center"/>
          </w:tcPr>
          <w:p w14:paraId="52236198">
            <w:pPr>
              <w:spacing w:line="400" w:lineRule="exact"/>
              <w:jc w:val="left"/>
              <w:rPr>
                <w:rFonts w:hint="eastAsia"/>
                <w:color w:val="auto"/>
                <w:szCs w:val="21"/>
                <w:highlight w:val="none"/>
              </w:rPr>
            </w:pPr>
          </w:p>
        </w:tc>
        <w:tc>
          <w:tcPr>
            <w:tcW w:w="99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E33850A">
            <w:pPr>
              <w:spacing w:line="400" w:lineRule="exact"/>
              <w:jc w:val="left"/>
              <w:rPr>
                <w:rFonts w:hint="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96A9094">
            <w:pPr>
              <w:spacing w:line="400" w:lineRule="exact"/>
              <w:rPr>
                <w:rFonts w:hint="eastAsia"/>
                <w:color w:val="auto"/>
                <w:szCs w:val="21"/>
                <w:highlight w:val="none"/>
              </w:rPr>
            </w:pPr>
            <w:r>
              <w:rPr>
                <w:color w:val="auto"/>
                <w:szCs w:val="21"/>
                <w:highlight w:val="none"/>
              </w:rPr>
              <w:t>投标有效期</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037CB7AD">
            <w:pPr>
              <w:spacing w:line="400" w:lineRule="exact"/>
              <w:rPr>
                <w:rFonts w:hint="eastAsia"/>
                <w:color w:val="auto"/>
                <w:szCs w:val="21"/>
                <w:highlight w:val="none"/>
              </w:rPr>
            </w:pPr>
            <w:r>
              <w:rPr>
                <w:color w:val="auto"/>
                <w:szCs w:val="21"/>
                <w:highlight w:val="none"/>
              </w:rPr>
              <w:t>投标函附录中承诺的投标有效期符合第二章“投标人须知”第3.3.1项规定</w:t>
            </w:r>
          </w:p>
        </w:tc>
      </w:tr>
      <w:tr w14:paraId="6880C23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57" w:type="dxa"/>
            <w:left w:w="108" w:type="dxa"/>
            <w:bottom w:w="57" w:type="dxa"/>
            <w:right w:w="108" w:type="dxa"/>
          </w:tblCellMar>
        </w:tblPrEx>
        <w:tc>
          <w:tcPr>
            <w:tcW w:w="951" w:type="dxa"/>
            <w:gridSpan w:val="2"/>
            <w:vMerge w:val="continue"/>
            <w:tcBorders>
              <w:top w:val="single" w:color="auto" w:sz="4" w:space="0"/>
              <w:left w:val="single" w:color="auto" w:sz="12" w:space="0"/>
              <w:bottom w:val="single" w:color="auto" w:sz="4" w:space="0"/>
              <w:right w:val="single" w:color="auto" w:sz="4" w:space="0"/>
            </w:tcBorders>
            <w:noWrap w:val="0"/>
            <w:vAlign w:val="center"/>
          </w:tcPr>
          <w:p w14:paraId="4E347426">
            <w:pPr>
              <w:spacing w:line="400" w:lineRule="exact"/>
              <w:jc w:val="left"/>
              <w:rPr>
                <w:rFonts w:hint="eastAsia"/>
                <w:color w:val="auto"/>
                <w:szCs w:val="21"/>
                <w:highlight w:val="none"/>
              </w:rPr>
            </w:pPr>
          </w:p>
        </w:tc>
        <w:tc>
          <w:tcPr>
            <w:tcW w:w="99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11E5141">
            <w:pPr>
              <w:spacing w:line="400" w:lineRule="exact"/>
              <w:jc w:val="left"/>
              <w:rPr>
                <w:rFonts w:hint="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CBF550D">
            <w:pPr>
              <w:spacing w:line="400" w:lineRule="exact"/>
              <w:rPr>
                <w:rFonts w:hint="eastAsia"/>
                <w:color w:val="auto"/>
                <w:szCs w:val="21"/>
                <w:highlight w:val="none"/>
              </w:rPr>
            </w:pPr>
            <w:r>
              <w:rPr>
                <w:color w:val="auto"/>
                <w:szCs w:val="21"/>
                <w:highlight w:val="none"/>
              </w:rPr>
              <w:t>投标保证金</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0E381B6E">
            <w:pPr>
              <w:spacing w:line="400" w:lineRule="exact"/>
              <w:rPr>
                <w:rFonts w:hint="eastAsia"/>
                <w:color w:val="auto"/>
                <w:szCs w:val="21"/>
                <w:highlight w:val="none"/>
              </w:rPr>
            </w:pPr>
            <w:r>
              <w:rPr>
                <w:color w:val="auto"/>
                <w:szCs w:val="21"/>
                <w:highlight w:val="none"/>
              </w:rPr>
              <w:t>符合第二章“投标人须知”第3.4.1项规定；</w:t>
            </w:r>
          </w:p>
        </w:tc>
      </w:tr>
      <w:tr w14:paraId="2E9CF2D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57" w:type="dxa"/>
            <w:left w:w="108" w:type="dxa"/>
            <w:bottom w:w="57" w:type="dxa"/>
            <w:right w:w="108" w:type="dxa"/>
          </w:tblCellMar>
        </w:tblPrEx>
        <w:tc>
          <w:tcPr>
            <w:tcW w:w="951" w:type="dxa"/>
            <w:gridSpan w:val="2"/>
            <w:vMerge w:val="continue"/>
            <w:tcBorders>
              <w:top w:val="single" w:color="auto" w:sz="4" w:space="0"/>
              <w:left w:val="single" w:color="auto" w:sz="12" w:space="0"/>
              <w:bottom w:val="single" w:color="auto" w:sz="4" w:space="0"/>
              <w:right w:val="single" w:color="auto" w:sz="4" w:space="0"/>
            </w:tcBorders>
            <w:noWrap w:val="0"/>
            <w:vAlign w:val="center"/>
          </w:tcPr>
          <w:p w14:paraId="31E5CCB1">
            <w:pPr>
              <w:spacing w:line="400" w:lineRule="exact"/>
              <w:rPr>
                <w:rFonts w:hint="eastAsia"/>
                <w:color w:val="auto"/>
                <w:szCs w:val="21"/>
                <w:highlight w:val="none"/>
              </w:rPr>
            </w:pPr>
          </w:p>
        </w:tc>
        <w:tc>
          <w:tcPr>
            <w:tcW w:w="99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2FFD65E">
            <w:pPr>
              <w:spacing w:line="400" w:lineRule="exact"/>
              <w:jc w:val="left"/>
              <w:rPr>
                <w:rFonts w:hint="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963CD7B">
            <w:pPr>
              <w:spacing w:line="400" w:lineRule="exact"/>
              <w:rPr>
                <w:rFonts w:hint="eastAsia"/>
                <w:color w:val="auto"/>
                <w:szCs w:val="21"/>
                <w:highlight w:val="none"/>
              </w:rPr>
            </w:pPr>
            <w:r>
              <w:rPr>
                <w:color w:val="auto"/>
                <w:szCs w:val="21"/>
                <w:highlight w:val="none"/>
              </w:rPr>
              <w:t>其他要求：</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4D73CCDF">
            <w:pPr>
              <w:spacing w:line="400" w:lineRule="exact"/>
              <w:rPr>
                <w:rFonts w:hint="eastAsia"/>
                <w:color w:val="auto"/>
                <w:szCs w:val="21"/>
                <w:highlight w:val="none"/>
              </w:rPr>
            </w:pPr>
            <w:r>
              <w:rPr>
                <w:rFonts w:hint="eastAsia"/>
                <w:color w:val="auto"/>
                <w:szCs w:val="21"/>
                <w:highlight w:val="none"/>
              </w:rPr>
              <w:t>无评标办法第“</w:t>
            </w:r>
            <w:r>
              <w:rPr>
                <w:rFonts w:hint="eastAsia" w:ascii="Arial" w:hAnsi="Arial" w:cs="Times New Roman"/>
                <w:b/>
                <w:bCs/>
                <w:color w:val="auto"/>
                <w:highlight w:val="none"/>
                <w:lang w:eastAsia="zh-CN"/>
              </w:rPr>
              <w:t>6</w:t>
            </w:r>
            <w:r>
              <w:rPr>
                <w:rFonts w:hint="eastAsia" w:ascii="Arial" w:hAnsi="Arial" w:cs="Times New Roman"/>
                <w:b/>
                <w:bCs/>
                <w:color w:val="auto"/>
                <w:highlight w:val="none"/>
              </w:rPr>
              <w:t xml:space="preserve"> 无效标条款</w:t>
            </w:r>
            <w:r>
              <w:rPr>
                <w:rFonts w:hint="eastAsia"/>
                <w:color w:val="auto"/>
                <w:szCs w:val="21"/>
                <w:highlight w:val="none"/>
              </w:rPr>
              <w:t>”所列情形</w:t>
            </w:r>
          </w:p>
        </w:tc>
      </w:tr>
      <w:tr w14:paraId="1BF6E08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57" w:type="dxa"/>
            <w:left w:w="108" w:type="dxa"/>
            <w:bottom w:w="57" w:type="dxa"/>
            <w:right w:w="108" w:type="dxa"/>
          </w:tblCellMar>
        </w:tblPrEx>
        <w:tc>
          <w:tcPr>
            <w:tcW w:w="951" w:type="dxa"/>
            <w:gridSpan w:val="2"/>
            <w:vMerge w:val="continue"/>
            <w:tcBorders>
              <w:top w:val="single" w:color="auto" w:sz="4" w:space="0"/>
              <w:left w:val="single" w:color="auto" w:sz="12" w:space="0"/>
              <w:bottom w:val="single" w:color="auto" w:sz="4" w:space="0"/>
              <w:right w:val="single" w:color="auto" w:sz="4" w:space="0"/>
            </w:tcBorders>
            <w:noWrap w:val="0"/>
            <w:vAlign w:val="center"/>
          </w:tcPr>
          <w:p w14:paraId="718AF46F">
            <w:pPr>
              <w:spacing w:line="400" w:lineRule="exact"/>
              <w:jc w:val="left"/>
              <w:rPr>
                <w:rFonts w:hint="eastAsia"/>
                <w:color w:val="auto"/>
                <w:szCs w:val="21"/>
                <w:highlight w:val="none"/>
              </w:rPr>
            </w:pPr>
          </w:p>
        </w:tc>
        <w:tc>
          <w:tcPr>
            <w:tcW w:w="99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65D35DE">
            <w:pPr>
              <w:spacing w:line="400" w:lineRule="exact"/>
              <w:jc w:val="left"/>
              <w:rPr>
                <w:rFonts w:hint="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9ADC6E4">
            <w:pPr>
              <w:spacing w:line="400" w:lineRule="exact"/>
              <w:rPr>
                <w:rFonts w:hint="eastAsia"/>
                <w:color w:val="auto"/>
                <w:szCs w:val="21"/>
                <w:highlight w:val="none"/>
              </w:rPr>
            </w:pPr>
            <w:r>
              <w:rPr>
                <w:color w:val="auto"/>
                <w:szCs w:val="21"/>
                <w:highlight w:val="none"/>
              </w:rPr>
              <w:t>……</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7D1A8E68">
            <w:pPr>
              <w:spacing w:line="400" w:lineRule="exact"/>
              <w:rPr>
                <w:rFonts w:hint="eastAsia"/>
                <w:color w:val="auto"/>
                <w:szCs w:val="21"/>
                <w:highlight w:val="none"/>
              </w:rPr>
            </w:pPr>
            <w:r>
              <w:rPr>
                <w:color w:val="auto"/>
                <w:szCs w:val="21"/>
                <w:highlight w:val="none"/>
              </w:rPr>
              <w:t>……</w:t>
            </w:r>
          </w:p>
        </w:tc>
      </w:tr>
      <w:tr w14:paraId="2B0F58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c>
          <w:tcPr>
            <w:tcW w:w="8700" w:type="dxa"/>
            <w:gridSpan w:val="6"/>
            <w:tcBorders>
              <w:top w:val="single" w:color="auto" w:sz="4" w:space="0"/>
              <w:left w:val="single" w:color="auto" w:sz="12" w:space="0"/>
              <w:bottom w:val="single" w:color="auto" w:sz="4" w:space="0"/>
              <w:right w:val="single" w:color="auto" w:sz="12" w:space="0"/>
            </w:tcBorders>
            <w:noWrap w:val="0"/>
            <w:vAlign w:val="center"/>
          </w:tcPr>
          <w:p w14:paraId="4DA70946">
            <w:pPr>
              <w:spacing w:line="440" w:lineRule="exact"/>
              <w:jc w:val="center"/>
              <w:rPr>
                <w:rFonts w:ascii="宋体" w:hAnsi="宋体"/>
                <w:color w:val="auto"/>
                <w:sz w:val="28"/>
                <w:szCs w:val="28"/>
                <w:highlight w:val="none"/>
              </w:rPr>
            </w:pPr>
            <w:r>
              <w:rPr>
                <w:rFonts w:hint="eastAsia" w:ascii="宋体" w:hAnsi="宋体"/>
                <w:b/>
                <w:bCs/>
                <w:color w:val="auto"/>
                <w:sz w:val="24"/>
                <w:highlight w:val="none"/>
              </w:rPr>
              <w:t>详细评审</w:t>
            </w:r>
          </w:p>
        </w:tc>
      </w:tr>
      <w:tr w14:paraId="235B6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c>
          <w:tcPr>
            <w:tcW w:w="1801" w:type="dxa"/>
            <w:gridSpan w:val="3"/>
            <w:tcBorders>
              <w:top w:val="single" w:color="auto" w:sz="4" w:space="0"/>
              <w:left w:val="single" w:color="auto" w:sz="12" w:space="0"/>
              <w:bottom w:val="single" w:color="auto" w:sz="4" w:space="0"/>
              <w:right w:val="single" w:color="auto" w:sz="4" w:space="0"/>
            </w:tcBorders>
            <w:shd w:val="clear" w:color="auto" w:fill="E8E8E8"/>
            <w:noWrap w:val="0"/>
            <w:vAlign w:val="center"/>
          </w:tcPr>
          <w:p w14:paraId="7AB6D01B">
            <w:pPr>
              <w:spacing w:line="400" w:lineRule="exact"/>
              <w:jc w:val="center"/>
              <w:rPr>
                <w:rFonts w:ascii="宋体" w:hAnsi="宋体"/>
                <w:b/>
                <w:bCs/>
                <w:color w:val="auto"/>
                <w:szCs w:val="21"/>
                <w:highlight w:val="none"/>
              </w:rPr>
            </w:pPr>
            <w:r>
              <w:rPr>
                <w:rFonts w:hint="eastAsia" w:ascii="宋体" w:hAnsi="宋体"/>
                <w:b/>
                <w:bCs/>
                <w:color w:val="auto"/>
                <w:szCs w:val="21"/>
                <w:highlight w:val="none"/>
              </w:rPr>
              <w:t>条款号</w:t>
            </w:r>
          </w:p>
        </w:tc>
        <w:tc>
          <w:tcPr>
            <w:tcW w:w="2410" w:type="dxa"/>
            <w:gridSpan w:val="2"/>
            <w:tcBorders>
              <w:top w:val="single" w:color="auto" w:sz="4" w:space="0"/>
              <w:left w:val="single" w:color="auto" w:sz="4" w:space="0"/>
              <w:bottom w:val="single" w:color="auto" w:sz="4" w:space="0"/>
              <w:right w:val="single" w:color="auto" w:sz="4" w:space="0"/>
            </w:tcBorders>
            <w:shd w:val="clear" w:color="auto" w:fill="E8E8E8"/>
            <w:noWrap w:val="0"/>
            <w:vAlign w:val="center"/>
          </w:tcPr>
          <w:p w14:paraId="18F5F7E4">
            <w:pPr>
              <w:spacing w:line="400" w:lineRule="exact"/>
              <w:jc w:val="center"/>
              <w:rPr>
                <w:rFonts w:ascii="宋体" w:hAnsi="宋体"/>
                <w:b/>
                <w:bCs/>
                <w:color w:val="auto"/>
                <w:szCs w:val="21"/>
                <w:highlight w:val="none"/>
              </w:rPr>
            </w:pPr>
            <w:r>
              <w:rPr>
                <w:rFonts w:hint="eastAsia" w:ascii="宋体" w:hAnsi="宋体"/>
                <w:b/>
                <w:bCs/>
                <w:color w:val="auto"/>
                <w:szCs w:val="21"/>
                <w:highlight w:val="none"/>
              </w:rPr>
              <w:t>条 款 内 容</w:t>
            </w:r>
          </w:p>
        </w:tc>
        <w:tc>
          <w:tcPr>
            <w:tcW w:w="4489" w:type="dxa"/>
            <w:tcBorders>
              <w:top w:val="single" w:color="auto" w:sz="4" w:space="0"/>
              <w:left w:val="single" w:color="auto" w:sz="4" w:space="0"/>
              <w:bottom w:val="single" w:color="auto" w:sz="4" w:space="0"/>
              <w:right w:val="single" w:color="auto" w:sz="12" w:space="0"/>
            </w:tcBorders>
            <w:shd w:val="clear" w:color="auto" w:fill="E8E8E8"/>
            <w:noWrap w:val="0"/>
            <w:vAlign w:val="center"/>
          </w:tcPr>
          <w:p w14:paraId="6331C504">
            <w:pPr>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编 列 内 容</w:t>
            </w:r>
          </w:p>
        </w:tc>
      </w:tr>
      <w:tr w14:paraId="7EB0B6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c>
          <w:tcPr>
            <w:tcW w:w="1801" w:type="dxa"/>
            <w:gridSpan w:val="3"/>
            <w:tcBorders>
              <w:top w:val="single" w:color="auto" w:sz="4" w:space="0"/>
              <w:left w:val="single" w:color="auto" w:sz="12" w:space="0"/>
              <w:bottom w:val="single" w:color="auto" w:sz="4" w:space="0"/>
              <w:right w:val="single" w:color="auto" w:sz="4" w:space="0"/>
            </w:tcBorders>
            <w:noWrap w:val="0"/>
            <w:vAlign w:val="center"/>
          </w:tcPr>
          <w:p w14:paraId="2ABFD4AC">
            <w:pPr>
              <w:spacing w:line="400" w:lineRule="exact"/>
              <w:jc w:val="center"/>
              <w:rPr>
                <w:rFonts w:ascii="宋体" w:hAnsi="宋体"/>
                <w:color w:val="auto"/>
                <w:szCs w:val="21"/>
                <w:highlight w:val="none"/>
              </w:rPr>
            </w:pPr>
            <w:r>
              <w:rPr>
                <w:rFonts w:hint="eastAsia" w:ascii="宋体" w:hAnsi="宋体"/>
                <w:color w:val="auto"/>
                <w:szCs w:val="21"/>
                <w:highlight w:val="none"/>
              </w:rPr>
              <w:t>2.2.1</w:t>
            </w: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14:paraId="5301EC53">
            <w:pPr>
              <w:spacing w:line="400" w:lineRule="exact"/>
              <w:rPr>
                <w:rFonts w:ascii="宋体" w:hAnsi="宋体"/>
                <w:color w:val="auto"/>
                <w:szCs w:val="21"/>
                <w:highlight w:val="none"/>
              </w:rPr>
            </w:pPr>
            <w:r>
              <w:rPr>
                <w:rFonts w:ascii="宋体" w:hAnsi="宋体"/>
                <w:color w:val="auto"/>
                <w:szCs w:val="21"/>
                <w:highlight w:val="none"/>
              </w:rPr>
              <w:t>分值构成(总分100分)</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60ECA67C">
            <w:pPr>
              <w:spacing w:line="400" w:lineRule="exact"/>
              <w:textAlignment w:val="auto"/>
              <w:rPr>
                <w:rFonts w:hint="eastAsia" w:ascii="宋体" w:hAnsi="宋体"/>
                <w:color w:val="auto"/>
                <w:szCs w:val="21"/>
                <w:highlight w:val="none"/>
              </w:rPr>
            </w:pPr>
            <w:r>
              <w:rPr>
                <w:rFonts w:hint="eastAsia" w:ascii="宋体" w:hAnsi="宋体"/>
                <w:b/>
                <w:color w:val="auto"/>
                <w:szCs w:val="21"/>
                <w:highlight w:val="none"/>
              </w:rPr>
              <w:t>第一阶段详细评审分值构成：</w:t>
            </w:r>
          </w:p>
          <w:p w14:paraId="643951FB">
            <w:pPr>
              <w:spacing w:line="400" w:lineRule="exact"/>
              <w:rPr>
                <w:rFonts w:hint="eastAsia" w:ascii="宋体" w:hAnsi="宋体"/>
                <w:color w:val="auto"/>
                <w:szCs w:val="21"/>
                <w:highlight w:val="none"/>
                <w:u w:val="single"/>
              </w:rPr>
            </w:pPr>
            <w:r>
              <w:rPr>
                <w:rFonts w:hint="eastAsia" w:ascii="宋体" w:hAnsi="宋体"/>
                <w:color w:val="auto"/>
                <w:szCs w:val="21"/>
                <w:highlight w:val="none"/>
              </w:rPr>
              <w:t>方案设计文件：</w:t>
            </w:r>
            <w:r>
              <w:rPr>
                <w:rFonts w:hint="eastAsia" w:ascii="宋体" w:hAnsi="宋体"/>
                <w:color w:val="auto"/>
                <w:szCs w:val="21"/>
                <w:highlight w:val="none"/>
                <w:u w:val="single"/>
                <w:lang w:val="en-US" w:eastAsia="zh-CN"/>
              </w:rPr>
              <w:t>35</w:t>
            </w:r>
            <w:r>
              <w:rPr>
                <w:rFonts w:hint="eastAsia" w:ascii="宋体" w:hAnsi="宋体"/>
                <w:color w:val="auto"/>
                <w:szCs w:val="21"/>
                <w:highlight w:val="none"/>
                <w:u w:val="single"/>
              </w:rPr>
              <w:t>分</w:t>
            </w:r>
          </w:p>
          <w:p w14:paraId="56DE1D40">
            <w:pPr>
              <w:spacing w:line="400" w:lineRule="exact"/>
              <w:rPr>
                <w:rFonts w:ascii="宋体" w:hAnsi="宋体"/>
                <w:color w:val="auto"/>
                <w:szCs w:val="21"/>
                <w:highlight w:val="none"/>
              </w:rPr>
            </w:pPr>
            <w:r>
              <w:rPr>
                <w:rFonts w:hint="eastAsia" w:ascii="宋体" w:hAnsi="宋体"/>
                <w:color w:val="auto"/>
                <w:szCs w:val="21"/>
                <w:highlight w:val="none"/>
              </w:rPr>
              <w:t>项目管理组织方案</w:t>
            </w:r>
            <w:r>
              <w:rPr>
                <w:rFonts w:hint="eastAsia" w:ascii="宋体" w:hAnsi="宋体"/>
                <w:color w:val="auto"/>
                <w:szCs w:val="21"/>
                <w:highlight w:val="none"/>
                <w:u w:val="none"/>
              </w:rPr>
              <w:t>：</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分</w:t>
            </w:r>
          </w:p>
          <w:p w14:paraId="4E0C3777">
            <w:pPr>
              <w:spacing w:line="400" w:lineRule="exact"/>
              <w:rPr>
                <w:rFonts w:ascii="宋体" w:hAnsi="宋体"/>
                <w:color w:val="auto"/>
                <w:szCs w:val="21"/>
                <w:highlight w:val="none"/>
              </w:rPr>
            </w:pPr>
            <w:r>
              <w:rPr>
                <w:rFonts w:hint="eastAsia" w:ascii="宋体" w:hAnsi="宋体"/>
                <w:color w:val="auto"/>
                <w:szCs w:val="21"/>
                <w:highlight w:val="none"/>
              </w:rPr>
              <w:t>项目管理机构：</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分</w:t>
            </w:r>
          </w:p>
          <w:p w14:paraId="6E2776A5">
            <w:pPr>
              <w:spacing w:line="400" w:lineRule="exact"/>
              <w:rPr>
                <w:rFonts w:ascii="宋体" w:hAnsi="宋体"/>
                <w:color w:val="auto"/>
                <w:szCs w:val="21"/>
                <w:highlight w:val="none"/>
                <w:u w:val="single"/>
              </w:rPr>
            </w:pPr>
            <w:r>
              <w:rPr>
                <w:rFonts w:hint="eastAsia" w:ascii="宋体" w:hAnsi="宋体"/>
                <w:color w:val="auto"/>
                <w:szCs w:val="21"/>
                <w:highlight w:val="none"/>
              </w:rPr>
              <w:t>工程业绩：</w:t>
            </w:r>
            <w:r>
              <w:rPr>
                <w:rFonts w:hint="eastAsia" w:ascii="宋体" w:hAnsi="宋体"/>
                <w:color w:val="auto"/>
                <w:szCs w:val="21"/>
                <w:highlight w:val="none"/>
                <w:u w:val="single"/>
                <w:lang w:val="en-US" w:eastAsia="zh-CN"/>
              </w:rPr>
              <w:t>0</w:t>
            </w:r>
            <w:r>
              <w:rPr>
                <w:rFonts w:hint="eastAsia" w:ascii="宋体" w:hAnsi="宋体"/>
                <w:color w:val="auto"/>
                <w:szCs w:val="21"/>
                <w:highlight w:val="none"/>
                <w:u w:val="single"/>
              </w:rPr>
              <w:t>分</w:t>
            </w:r>
          </w:p>
          <w:p w14:paraId="6890B512">
            <w:pPr>
              <w:spacing w:line="400" w:lineRule="exact"/>
              <w:rPr>
                <w:rFonts w:hint="eastAsia" w:ascii="宋体" w:hAnsi="宋体"/>
                <w:color w:val="auto"/>
                <w:szCs w:val="21"/>
                <w:highlight w:val="none"/>
                <w:u w:val="single"/>
              </w:rPr>
            </w:pPr>
            <w:r>
              <w:rPr>
                <w:rFonts w:hint="eastAsia" w:ascii="宋体" w:hAnsi="宋体"/>
                <w:color w:val="auto"/>
                <w:szCs w:val="21"/>
                <w:highlight w:val="none"/>
              </w:rPr>
              <w:t>其他评分因素：</w:t>
            </w:r>
            <w:r>
              <w:rPr>
                <w:rFonts w:hint="eastAsia" w:ascii="宋体" w:hAnsi="宋体"/>
                <w:color w:val="auto"/>
                <w:szCs w:val="21"/>
                <w:highlight w:val="none"/>
                <w:u w:val="single"/>
                <w:lang w:val="en-US" w:eastAsia="zh-CN"/>
              </w:rPr>
              <w:t>0</w:t>
            </w:r>
            <w:r>
              <w:rPr>
                <w:rFonts w:hint="eastAsia" w:ascii="宋体" w:hAnsi="宋体"/>
                <w:color w:val="auto"/>
                <w:szCs w:val="21"/>
                <w:highlight w:val="none"/>
                <w:u w:val="single"/>
              </w:rPr>
              <w:t>分</w:t>
            </w:r>
          </w:p>
          <w:p w14:paraId="53FB32E3">
            <w:pPr>
              <w:spacing w:line="400" w:lineRule="exact"/>
              <w:textAlignment w:val="auto"/>
              <w:rPr>
                <w:rFonts w:hint="eastAsia" w:ascii="宋体" w:hAnsi="宋体"/>
                <w:color w:val="auto"/>
                <w:szCs w:val="21"/>
                <w:highlight w:val="none"/>
                <w:u w:val="single"/>
              </w:rPr>
            </w:pPr>
            <w:r>
              <w:rPr>
                <w:rFonts w:hint="eastAsia" w:ascii="宋体" w:hAnsi="宋体"/>
                <w:b/>
                <w:color w:val="auto"/>
                <w:szCs w:val="21"/>
                <w:highlight w:val="none"/>
              </w:rPr>
              <w:t>第二阶段详细评审分值构成：</w:t>
            </w:r>
          </w:p>
          <w:p w14:paraId="37B06546">
            <w:pPr>
              <w:spacing w:line="400" w:lineRule="exact"/>
              <w:rPr>
                <w:rFonts w:ascii="宋体" w:hAnsi="宋体"/>
                <w:color w:val="auto"/>
                <w:szCs w:val="21"/>
                <w:highlight w:val="none"/>
                <w:u w:val="single"/>
              </w:rPr>
            </w:pPr>
            <w:r>
              <w:rPr>
                <w:rFonts w:hint="eastAsia" w:ascii="宋体" w:hAnsi="宋体"/>
                <w:color w:val="auto"/>
                <w:szCs w:val="21"/>
                <w:highlight w:val="none"/>
              </w:rPr>
              <w:t>工程总承包报价</w:t>
            </w:r>
            <w:r>
              <w:rPr>
                <w:rFonts w:ascii="宋体" w:hAnsi="宋体"/>
                <w:color w:val="auto"/>
                <w:szCs w:val="21"/>
                <w:highlight w:val="none"/>
              </w:rPr>
              <w:t>：</w:t>
            </w:r>
            <w:r>
              <w:rPr>
                <w:rFonts w:hint="eastAsia" w:ascii="宋体" w:hAnsi="宋体"/>
                <w:color w:val="auto"/>
                <w:szCs w:val="21"/>
                <w:highlight w:val="none"/>
                <w:u w:val="single"/>
                <w:lang w:val="en-US" w:eastAsia="zh-CN"/>
              </w:rPr>
              <w:t>56</w:t>
            </w:r>
            <w:r>
              <w:rPr>
                <w:rFonts w:hint="eastAsia" w:ascii="宋体" w:hAnsi="宋体"/>
                <w:color w:val="auto"/>
                <w:szCs w:val="21"/>
                <w:highlight w:val="none"/>
                <w:u w:val="single"/>
              </w:rPr>
              <w:t>分</w:t>
            </w:r>
          </w:p>
        </w:tc>
      </w:tr>
      <w:tr w14:paraId="6AFF62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c>
          <w:tcPr>
            <w:tcW w:w="1801" w:type="dxa"/>
            <w:gridSpan w:val="3"/>
            <w:tcBorders>
              <w:top w:val="single" w:color="auto" w:sz="4" w:space="0"/>
              <w:left w:val="single" w:color="auto" w:sz="12" w:space="0"/>
              <w:bottom w:val="single" w:color="auto" w:sz="4" w:space="0"/>
              <w:right w:val="single" w:color="auto" w:sz="4" w:space="0"/>
            </w:tcBorders>
            <w:noWrap w:val="0"/>
            <w:vAlign w:val="center"/>
          </w:tcPr>
          <w:p w14:paraId="46A07CB0">
            <w:pPr>
              <w:spacing w:line="400" w:lineRule="exact"/>
              <w:jc w:val="center"/>
              <w:rPr>
                <w:rFonts w:ascii="宋体" w:hAnsi="宋体"/>
                <w:color w:val="auto"/>
                <w:szCs w:val="21"/>
                <w:highlight w:val="none"/>
              </w:rPr>
            </w:pPr>
            <w:r>
              <w:rPr>
                <w:rFonts w:hint="eastAsia" w:ascii="宋体" w:hAnsi="宋体"/>
                <w:color w:val="auto"/>
                <w:szCs w:val="21"/>
                <w:highlight w:val="none"/>
              </w:rPr>
              <w:t>2.2.2</w:t>
            </w: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14:paraId="43BC1749">
            <w:pPr>
              <w:spacing w:line="400" w:lineRule="exact"/>
              <w:rPr>
                <w:rFonts w:ascii="宋体" w:hAnsi="宋体"/>
                <w:color w:val="auto"/>
                <w:szCs w:val="21"/>
                <w:highlight w:val="none"/>
              </w:rPr>
            </w:pPr>
            <w:r>
              <w:rPr>
                <w:rFonts w:hint="eastAsia" w:ascii="宋体" w:hAnsi="宋体"/>
                <w:color w:val="auto"/>
                <w:szCs w:val="21"/>
                <w:highlight w:val="none"/>
              </w:rPr>
              <w:t>评标基准价计算方法</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45F1D32E">
            <w:pPr>
              <w:spacing w:line="400" w:lineRule="exact"/>
              <w:rPr>
                <w:rFonts w:ascii="宋体" w:hAnsi="宋体"/>
                <w:color w:val="auto"/>
                <w:szCs w:val="21"/>
                <w:highlight w:val="none"/>
              </w:rPr>
            </w:pPr>
            <w:r>
              <w:rPr>
                <w:rFonts w:hint="eastAsia" w:ascii="宋体" w:hAnsi="宋体"/>
                <w:color w:val="auto"/>
                <w:szCs w:val="21"/>
                <w:highlight w:val="none"/>
                <w:lang w:bidi="ar"/>
              </w:rPr>
              <w:t>□</w:t>
            </w:r>
            <w:r>
              <w:rPr>
                <w:rFonts w:hint="eastAsia" w:ascii="宋体" w:hAnsi="宋体"/>
                <w:color w:val="auto"/>
                <w:szCs w:val="21"/>
                <w:highlight w:val="none"/>
              </w:rPr>
              <w:t>方法一：</w:t>
            </w:r>
          </w:p>
          <w:p w14:paraId="1D1A165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以进入第二阶段评审的有效投标文件的最低评标价为评标基准价。</w:t>
            </w:r>
          </w:p>
          <w:p w14:paraId="25C5D4FE">
            <w:pPr>
              <w:spacing w:line="400" w:lineRule="exact"/>
              <w:rPr>
                <w:rFonts w:ascii="宋体" w:hAnsi="宋体"/>
                <w:color w:val="auto"/>
                <w:szCs w:val="21"/>
                <w:highlight w:val="none"/>
              </w:rPr>
            </w:pPr>
            <w:r>
              <w:rPr>
                <w:rFonts w:hint="eastAsia" w:ascii="宋体" w:hAnsi="宋体"/>
                <w:color w:val="auto"/>
                <w:szCs w:val="21"/>
                <w:highlight w:val="none"/>
                <w:lang w:eastAsia="zh-CN" w:bidi="ar"/>
              </w:rPr>
              <w:t>☑</w:t>
            </w:r>
            <w:r>
              <w:rPr>
                <w:rFonts w:hint="eastAsia" w:ascii="宋体" w:hAnsi="宋体"/>
                <w:color w:val="auto"/>
                <w:szCs w:val="21"/>
                <w:highlight w:val="none"/>
              </w:rPr>
              <w:t>方法二：</w:t>
            </w:r>
          </w:p>
          <w:p w14:paraId="300DF0D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以进入第二阶段评审的有效投标文件的评标价进行算术平均，该平均值下浮的具体数值从 3%、3.5%、4%、4.5%四个数值中在开标时随机抽取，由算术平均值和下浮抽取的数值计算得到的结果为评标基准价。评标价等于评标基准价的得满分；每低于评标基准价 1%扣 0.1 分；每高于评标基准价 1%扣 0.6 分。偏离不足 1%的，按照插入法计算得分。</w:t>
            </w:r>
          </w:p>
        </w:tc>
      </w:tr>
      <w:tr w14:paraId="470F77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c>
          <w:tcPr>
            <w:tcW w:w="1801" w:type="dxa"/>
            <w:gridSpan w:val="3"/>
            <w:tcBorders>
              <w:top w:val="single" w:color="auto" w:sz="4" w:space="0"/>
              <w:left w:val="single" w:color="auto" w:sz="12" w:space="0"/>
              <w:bottom w:val="single" w:color="auto" w:sz="4" w:space="0"/>
              <w:right w:val="single" w:color="auto" w:sz="4" w:space="0"/>
            </w:tcBorders>
            <w:noWrap w:val="0"/>
            <w:vAlign w:val="center"/>
          </w:tcPr>
          <w:p w14:paraId="692E4949">
            <w:pPr>
              <w:spacing w:line="400" w:lineRule="exact"/>
              <w:jc w:val="center"/>
              <w:rPr>
                <w:rFonts w:ascii="宋体" w:hAnsi="宋体"/>
                <w:color w:val="auto"/>
                <w:szCs w:val="21"/>
                <w:highlight w:val="none"/>
              </w:rPr>
            </w:pPr>
            <w:r>
              <w:rPr>
                <w:rFonts w:hint="eastAsia" w:ascii="宋体" w:hAnsi="宋体"/>
                <w:color w:val="auto"/>
                <w:szCs w:val="21"/>
                <w:highlight w:val="none"/>
              </w:rPr>
              <w:t>2.2.3</w:t>
            </w: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14:paraId="615B1065">
            <w:pPr>
              <w:spacing w:line="400" w:lineRule="exact"/>
              <w:rPr>
                <w:rFonts w:hint="eastAsia" w:ascii="宋体" w:hAnsi="宋体"/>
                <w:color w:val="auto"/>
                <w:szCs w:val="21"/>
                <w:highlight w:val="none"/>
              </w:rPr>
            </w:pPr>
            <w:r>
              <w:rPr>
                <w:rFonts w:hint="eastAsia" w:ascii="宋体" w:hAnsi="宋体"/>
                <w:color w:val="auto"/>
                <w:szCs w:val="21"/>
                <w:highlight w:val="none"/>
              </w:rPr>
              <w:t>投标报价的偏差率计算公式</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2E63019C">
            <w:pPr>
              <w:spacing w:line="400" w:lineRule="exact"/>
              <w:rPr>
                <w:rFonts w:hint="eastAsia" w:ascii="宋体" w:hAnsi="宋体"/>
                <w:color w:val="auto"/>
                <w:szCs w:val="21"/>
                <w:highlight w:val="none"/>
              </w:rPr>
            </w:pPr>
            <w:r>
              <w:rPr>
                <w:rFonts w:hint="eastAsia" w:ascii="宋体" w:hAnsi="宋体"/>
                <w:b/>
                <w:color w:val="auto"/>
                <w:szCs w:val="21"/>
                <w:highlight w:val="none"/>
              </w:rPr>
              <w:t>偏差率</w:t>
            </w:r>
            <w:r>
              <w:rPr>
                <w:rFonts w:ascii="宋体" w:hAnsi="宋体"/>
                <w:b/>
                <w:color w:val="auto"/>
                <w:szCs w:val="21"/>
                <w:highlight w:val="none"/>
              </w:rPr>
              <w:t>=100%</w:t>
            </w:r>
            <w:r>
              <w:rPr>
                <w:rFonts w:hint="eastAsia" w:ascii="宋体" w:hAnsi="宋体"/>
                <w:b/>
                <w:color w:val="auto"/>
                <w:szCs w:val="21"/>
                <w:highlight w:val="none"/>
              </w:rPr>
              <w:t>×（评标价－</w:t>
            </w:r>
            <w:r>
              <w:rPr>
                <w:rFonts w:ascii="宋体" w:hAnsi="宋体"/>
                <w:b/>
                <w:color w:val="auto"/>
                <w:szCs w:val="21"/>
                <w:highlight w:val="none"/>
              </w:rPr>
              <w:t>评标基准价</w:t>
            </w:r>
            <w:r>
              <w:rPr>
                <w:rFonts w:hint="eastAsia" w:ascii="宋体" w:hAnsi="宋体"/>
                <w:b/>
                <w:color w:val="auto"/>
                <w:szCs w:val="21"/>
                <w:highlight w:val="none"/>
              </w:rPr>
              <w:t>）／</w:t>
            </w:r>
            <w:r>
              <w:rPr>
                <w:rFonts w:ascii="宋体" w:hAnsi="宋体"/>
                <w:b/>
                <w:color w:val="auto"/>
                <w:szCs w:val="21"/>
                <w:highlight w:val="none"/>
              </w:rPr>
              <w:t>评标基准价</w:t>
            </w:r>
          </w:p>
        </w:tc>
      </w:tr>
      <w:tr w14:paraId="68D722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c>
          <w:tcPr>
            <w:tcW w:w="828" w:type="dxa"/>
            <w:tcBorders>
              <w:top w:val="single" w:color="auto" w:sz="4" w:space="0"/>
              <w:left w:val="single" w:color="auto" w:sz="12" w:space="0"/>
              <w:bottom w:val="single" w:color="auto" w:sz="4" w:space="0"/>
              <w:right w:val="single" w:color="auto" w:sz="4" w:space="0"/>
            </w:tcBorders>
            <w:shd w:val="clear" w:color="auto" w:fill="E8E8E8"/>
            <w:noWrap w:val="0"/>
            <w:vAlign w:val="center"/>
          </w:tcPr>
          <w:p w14:paraId="3D138DBD">
            <w:pPr>
              <w:spacing w:line="400" w:lineRule="exact"/>
              <w:jc w:val="center"/>
              <w:rPr>
                <w:rFonts w:ascii="宋体" w:hAnsi="宋体"/>
                <w:b/>
                <w:bCs/>
                <w:color w:val="auto"/>
                <w:szCs w:val="21"/>
                <w:highlight w:val="none"/>
              </w:rPr>
            </w:pPr>
            <w:r>
              <w:rPr>
                <w:rFonts w:hint="eastAsia" w:ascii="宋体" w:hAnsi="宋体"/>
                <w:b/>
                <w:bCs/>
                <w:color w:val="auto"/>
                <w:szCs w:val="21"/>
                <w:highlight w:val="none"/>
              </w:rPr>
              <w:t>条款号</w:t>
            </w:r>
          </w:p>
        </w:tc>
        <w:tc>
          <w:tcPr>
            <w:tcW w:w="973" w:type="dxa"/>
            <w:gridSpan w:val="2"/>
            <w:tcBorders>
              <w:top w:val="single" w:color="auto" w:sz="4" w:space="0"/>
              <w:left w:val="single" w:color="auto" w:sz="12" w:space="0"/>
              <w:bottom w:val="single" w:color="auto" w:sz="4" w:space="0"/>
              <w:right w:val="single" w:color="auto" w:sz="4" w:space="0"/>
            </w:tcBorders>
            <w:shd w:val="clear" w:color="auto" w:fill="E8E8E8"/>
            <w:noWrap w:val="0"/>
            <w:vAlign w:val="center"/>
          </w:tcPr>
          <w:p w14:paraId="2A88C56C">
            <w:pPr>
              <w:spacing w:line="400" w:lineRule="exact"/>
              <w:jc w:val="center"/>
              <w:rPr>
                <w:rFonts w:ascii="宋体" w:hAnsi="宋体"/>
                <w:b/>
                <w:bCs/>
                <w:color w:val="auto"/>
                <w:szCs w:val="21"/>
                <w:highlight w:val="none"/>
              </w:rPr>
            </w:pPr>
            <w:r>
              <w:rPr>
                <w:rFonts w:hint="eastAsia" w:ascii="宋体" w:hAnsi="宋体"/>
                <w:b/>
                <w:bCs/>
                <w:color w:val="auto"/>
                <w:szCs w:val="21"/>
                <w:highlight w:val="none"/>
              </w:rPr>
              <w:t>评审项</w:t>
            </w:r>
          </w:p>
        </w:tc>
        <w:tc>
          <w:tcPr>
            <w:tcW w:w="2410" w:type="dxa"/>
            <w:gridSpan w:val="2"/>
            <w:tcBorders>
              <w:top w:val="single" w:color="auto" w:sz="4" w:space="0"/>
              <w:left w:val="single" w:color="auto" w:sz="4" w:space="0"/>
              <w:bottom w:val="single" w:color="auto" w:sz="4" w:space="0"/>
              <w:right w:val="single" w:color="auto" w:sz="4" w:space="0"/>
            </w:tcBorders>
            <w:shd w:val="clear" w:color="auto" w:fill="E8E8E8"/>
            <w:noWrap w:val="0"/>
            <w:vAlign w:val="center"/>
          </w:tcPr>
          <w:p w14:paraId="448BCD58">
            <w:pPr>
              <w:spacing w:line="400" w:lineRule="exact"/>
              <w:jc w:val="center"/>
              <w:rPr>
                <w:rFonts w:ascii="宋体" w:hAnsi="宋体"/>
                <w:b/>
                <w:bCs/>
                <w:color w:val="auto"/>
                <w:szCs w:val="21"/>
                <w:highlight w:val="none"/>
              </w:rPr>
            </w:pPr>
            <w:r>
              <w:rPr>
                <w:rFonts w:ascii="宋体" w:hAnsi="宋体"/>
                <w:b/>
                <w:bCs/>
                <w:color w:val="auto"/>
                <w:szCs w:val="21"/>
                <w:highlight w:val="none"/>
              </w:rPr>
              <w:t>评分因素（偏差率）</w:t>
            </w:r>
          </w:p>
        </w:tc>
        <w:tc>
          <w:tcPr>
            <w:tcW w:w="4489" w:type="dxa"/>
            <w:tcBorders>
              <w:top w:val="single" w:color="auto" w:sz="4" w:space="0"/>
              <w:left w:val="single" w:color="auto" w:sz="4" w:space="0"/>
              <w:bottom w:val="single" w:color="auto" w:sz="4" w:space="0"/>
              <w:right w:val="single" w:color="auto" w:sz="12" w:space="0"/>
            </w:tcBorders>
            <w:shd w:val="clear" w:color="auto" w:fill="E8E8E8"/>
            <w:noWrap w:val="0"/>
            <w:vAlign w:val="center"/>
          </w:tcPr>
          <w:p w14:paraId="72A8121F">
            <w:pPr>
              <w:spacing w:line="400" w:lineRule="exact"/>
              <w:jc w:val="center"/>
              <w:rPr>
                <w:rFonts w:ascii="宋体" w:hAnsi="宋体"/>
                <w:color w:val="auto"/>
                <w:szCs w:val="21"/>
                <w:highlight w:val="none"/>
              </w:rPr>
            </w:pPr>
            <w:r>
              <w:rPr>
                <w:rFonts w:ascii="宋体" w:hAnsi="宋体"/>
                <w:b/>
                <w:color w:val="auto"/>
                <w:szCs w:val="21"/>
                <w:highlight w:val="none"/>
              </w:rPr>
              <w:t>评</w:t>
            </w:r>
            <w:r>
              <w:rPr>
                <w:rFonts w:hint="eastAsia" w:ascii="宋体" w:hAnsi="宋体"/>
                <w:b/>
                <w:color w:val="auto"/>
                <w:szCs w:val="21"/>
                <w:highlight w:val="none"/>
              </w:rPr>
              <w:t xml:space="preserve"> </w:t>
            </w:r>
            <w:r>
              <w:rPr>
                <w:rFonts w:ascii="宋体" w:hAnsi="宋体"/>
                <w:b/>
                <w:color w:val="auto"/>
                <w:szCs w:val="21"/>
                <w:highlight w:val="none"/>
              </w:rPr>
              <w:t>分</w:t>
            </w:r>
            <w:r>
              <w:rPr>
                <w:rFonts w:hint="eastAsia" w:ascii="宋体" w:hAnsi="宋体"/>
                <w:b/>
                <w:color w:val="auto"/>
                <w:szCs w:val="21"/>
                <w:highlight w:val="none"/>
              </w:rPr>
              <w:t xml:space="preserve"> </w:t>
            </w:r>
            <w:r>
              <w:rPr>
                <w:rFonts w:ascii="宋体" w:hAnsi="宋体"/>
                <w:b/>
                <w:color w:val="auto"/>
                <w:szCs w:val="21"/>
                <w:highlight w:val="none"/>
              </w:rPr>
              <w:t>标</w:t>
            </w:r>
            <w:r>
              <w:rPr>
                <w:rFonts w:hint="eastAsia" w:ascii="宋体" w:hAnsi="宋体"/>
                <w:b/>
                <w:color w:val="auto"/>
                <w:szCs w:val="21"/>
                <w:highlight w:val="none"/>
              </w:rPr>
              <w:t xml:space="preserve"> </w:t>
            </w:r>
            <w:r>
              <w:rPr>
                <w:rFonts w:ascii="宋体" w:hAnsi="宋体"/>
                <w:b/>
                <w:color w:val="auto"/>
                <w:szCs w:val="21"/>
                <w:highlight w:val="none"/>
              </w:rPr>
              <w:t>准</w:t>
            </w:r>
          </w:p>
        </w:tc>
      </w:tr>
      <w:tr w14:paraId="528587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c>
          <w:tcPr>
            <w:tcW w:w="828" w:type="dxa"/>
            <w:vMerge w:val="restart"/>
            <w:tcBorders>
              <w:top w:val="single" w:color="auto" w:sz="4" w:space="0"/>
              <w:left w:val="single" w:color="auto" w:sz="12" w:space="0"/>
              <w:right w:val="single" w:color="auto" w:sz="4" w:space="0"/>
            </w:tcBorders>
            <w:noWrap w:val="0"/>
            <w:vAlign w:val="center"/>
          </w:tcPr>
          <w:p w14:paraId="6E411043">
            <w:pPr>
              <w:spacing w:line="400" w:lineRule="exact"/>
              <w:jc w:val="center"/>
              <w:rPr>
                <w:rFonts w:hint="eastAsia" w:ascii="宋体" w:hAnsi="宋体"/>
                <w:color w:val="auto"/>
                <w:szCs w:val="21"/>
                <w:highlight w:val="none"/>
              </w:rPr>
            </w:pPr>
            <w:r>
              <w:rPr>
                <w:rFonts w:hint="eastAsia" w:ascii="宋体" w:hAnsi="宋体"/>
                <w:color w:val="auto"/>
                <w:szCs w:val="21"/>
                <w:highlight w:val="none"/>
              </w:rPr>
              <w:t>2.2.4</w:t>
            </w:r>
            <w:r>
              <w:rPr>
                <w:rFonts w:hint="eastAsia" w:ascii="宋体" w:hAnsi="宋体"/>
                <w:color w:val="auto"/>
                <w:szCs w:val="21"/>
                <w:highlight w:val="none"/>
                <w:lang w:eastAsia="zh-CN"/>
              </w:rPr>
              <w:t>(</w:t>
            </w:r>
            <w:r>
              <w:rPr>
                <w:rFonts w:hint="eastAsia" w:ascii="宋体" w:hAnsi="宋体"/>
                <w:color w:val="auto"/>
                <w:szCs w:val="21"/>
                <w:highlight w:val="none"/>
              </w:rPr>
              <w:t>1</w:t>
            </w:r>
            <w:r>
              <w:rPr>
                <w:rFonts w:hint="eastAsia" w:ascii="宋体" w:hAnsi="宋体"/>
                <w:color w:val="auto"/>
                <w:szCs w:val="21"/>
                <w:highlight w:val="none"/>
                <w:lang w:eastAsia="zh-CN"/>
              </w:rPr>
              <w:t>)</w:t>
            </w:r>
          </w:p>
        </w:tc>
        <w:tc>
          <w:tcPr>
            <w:tcW w:w="97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B594F01">
            <w:pPr>
              <w:spacing w:line="400" w:lineRule="exact"/>
              <w:jc w:val="center"/>
              <w:rPr>
                <w:rFonts w:ascii="宋体" w:hAnsi="宋体"/>
                <w:color w:val="auto"/>
                <w:szCs w:val="21"/>
                <w:highlight w:val="none"/>
              </w:rPr>
            </w:pPr>
            <w:r>
              <w:rPr>
                <w:rFonts w:hint="eastAsia" w:ascii="宋体" w:hAnsi="宋体"/>
                <w:color w:val="auto"/>
                <w:szCs w:val="21"/>
                <w:highlight w:val="none"/>
              </w:rPr>
              <w:t>1.1方案设计文件（35分）</w:t>
            </w: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14:paraId="0FA0CD53">
            <w:pPr>
              <w:spacing w:line="400" w:lineRule="exac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rPr>
              <w:t>设计说明（4分）</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43CE9BD2">
            <w:pPr>
              <w:spacing w:line="440" w:lineRule="exact"/>
              <w:rPr>
                <w:color w:val="auto"/>
                <w:szCs w:val="21"/>
                <w:highlight w:val="none"/>
              </w:rPr>
            </w:pPr>
            <w:r>
              <w:rPr>
                <w:rFonts w:hint="eastAsia"/>
                <w:color w:val="auto"/>
                <w:szCs w:val="21"/>
                <w:highlight w:val="none"/>
                <w:lang w:eastAsia="zh-CN"/>
              </w:rPr>
              <w:t>1.</w:t>
            </w:r>
            <w:r>
              <w:rPr>
                <w:rFonts w:hint="eastAsia"/>
                <w:color w:val="auto"/>
                <w:szCs w:val="21"/>
                <w:highlight w:val="none"/>
              </w:rPr>
              <w:t>设计说明能对项目解读充分，理解深刻，分析准确，构思新颖。</w:t>
            </w:r>
          </w:p>
          <w:p w14:paraId="082D02AF">
            <w:pPr>
              <w:spacing w:line="440" w:lineRule="exact"/>
              <w:rPr>
                <w:color w:val="auto"/>
                <w:szCs w:val="21"/>
                <w:highlight w:val="none"/>
              </w:rPr>
            </w:pPr>
            <w:r>
              <w:rPr>
                <w:rFonts w:hint="eastAsia"/>
                <w:color w:val="auto"/>
                <w:szCs w:val="21"/>
                <w:highlight w:val="none"/>
                <w:lang w:eastAsia="zh-CN"/>
              </w:rPr>
              <w:t>2.</w:t>
            </w:r>
            <w:r>
              <w:rPr>
                <w:rFonts w:hint="eastAsia"/>
                <w:color w:val="auto"/>
                <w:szCs w:val="21"/>
                <w:highlight w:val="none"/>
              </w:rPr>
              <w:t>项目规划设计各项指标满足任务书及规划设计要点并科学、合理。</w:t>
            </w:r>
          </w:p>
          <w:p w14:paraId="5CFB9198">
            <w:pPr>
              <w:spacing w:line="440" w:lineRule="exact"/>
              <w:rPr>
                <w:color w:val="auto"/>
                <w:szCs w:val="21"/>
                <w:highlight w:val="none"/>
              </w:rPr>
            </w:pPr>
            <w:r>
              <w:rPr>
                <w:rFonts w:hint="eastAsia"/>
                <w:color w:val="auto"/>
                <w:szCs w:val="21"/>
                <w:highlight w:val="none"/>
                <w:lang w:eastAsia="zh-CN"/>
              </w:rPr>
              <w:t>3.</w:t>
            </w:r>
            <w:r>
              <w:rPr>
                <w:rFonts w:hint="eastAsia"/>
                <w:color w:val="auto"/>
                <w:szCs w:val="21"/>
                <w:highlight w:val="none"/>
              </w:rPr>
              <w:t>技术指标满足任务书要求，符合规划要求。</w:t>
            </w:r>
          </w:p>
          <w:p w14:paraId="2F3E671E">
            <w:pPr>
              <w:spacing w:line="440" w:lineRule="exact"/>
              <w:rPr>
                <w:color w:val="auto"/>
                <w:szCs w:val="21"/>
                <w:highlight w:val="none"/>
              </w:rPr>
            </w:pPr>
            <w:r>
              <w:rPr>
                <w:rFonts w:hint="eastAsia"/>
                <w:color w:val="auto"/>
                <w:szCs w:val="21"/>
                <w:highlight w:val="none"/>
                <w:lang w:eastAsia="zh-CN"/>
              </w:rPr>
              <w:t>4.</w:t>
            </w:r>
            <w:r>
              <w:rPr>
                <w:rFonts w:hint="eastAsia"/>
                <w:color w:val="auto"/>
                <w:szCs w:val="21"/>
                <w:highlight w:val="none"/>
              </w:rPr>
              <w:t>各专业设计说明。</w:t>
            </w:r>
          </w:p>
          <w:p w14:paraId="70348484">
            <w:pPr>
              <w:spacing w:line="400" w:lineRule="exact"/>
              <w:rPr>
                <w:rFonts w:hint="eastAsia"/>
                <w:color w:val="auto"/>
                <w:szCs w:val="21"/>
                <w:highlight w:val="none"/>
              </w:rPr>
            </w:pPr>
            <w:r>
              <w:rPr>
                <w:rFonts w:hint="eastAsia"/>
                <w:color w:val="auto"/>
                <w:szCs w:val="21"/>
                <w:highlight w:val="none"/>
              </w:rPr>
              <w:t>5</w:t>
            </w:r>
            <w:r>
              <w:rPr>
                <w:rFonts w:hint="eastAsia"/>
                <w:color w:val="auto"/>
                <w:szCs w:val="21"/>
                <w:highlight w:val="none"/>
                <w:lang w:val="en-US" w:eastAsia="zh-CN"/>
              </w:rPr>
              <w:t>.</w:t>
            </w:r>
            <w:r>
              <w:rPr>
                <w:rFonts w:hint="eastAsia"/>
                <w:color w:val="auto"/>
                <w:szCs w:val="21"/>
                <w:highlight w:val="none"/>
              </w:rPr>
              <w:t>投资估算与经济评价。</w:t>
            </w:r>
          </w:p>
          <w:p w14:paraId="2BC44F17">
            <w:pPr>
              <w:spacing w:line="400" w:lineRule="exact"/>
              <w:rPr>
                <w:rFonts w:hint="eastAsia"/>
                <w:color w:val="auto"/>
                <w:szCs w:val="21"/>
                <w:highlight w:val="none"/>
              </w:rPr>
            </w:pPr>
            <w:r>
              <w:rPr>
                <w:rFonts w:hint="eastAsia"/>
                <w:color w:val="auto"/>
                <w:szCs w:val="21"/>
                <w:highlight w:val="none"/>
              </w:rPr>
              <w:t>提供的设计说明及构思较完整、较好、重点突出的得2-4分，一般得1-2分，较差得0-1 分</w:t>
            </w:r>
          </w:p>
        </w:tc>
      </w:tr>
      <w:tr w14:paraId="6E130F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c>
          <w:tcPr>
            <w:tcW w:w="828" w:type="dxa"/>
            <w:vMerge w:val="continue"/>
            <w:tcBorders>
              <w:left w:val="single" w:color="auto" w:sz="12" w:space="0"/>
              <w:right w:val="single" w:color="auto" w:sz="4" w:space="0"/>
            </w:tcBorders>
            <w:noWrap w:val="0"/>
            <w:vAlign w:val="center"/>
          </w:tcPr>
          <w:p w14:paraId="6D7F2261">
            <w:pPr>
              <w:spacing w:line="400" w:lineRule="exact"/>
              <w:jc w:val="center"/>
              <w:rPr>
                <w:rFonts w:ascii="宋体" w:hAnsi="宋体"/>
                <w:color w:val="auto"/>
                <w:szCs w:val="21"/>
                <w:highlight w:val="none"/>
              </w:rPr>
            </w:pPr>
          </w:p>
        </w:tc>
        <w:tc>
          <w:tcPr>
            <w:tcW w:w="973"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27619E79">
            <w:pPr>
              <w:spacing w:line="400" w:lineRule="exact"/>
              <w:jc w:val="center"/>
              <w:rPr>
                <w:rFonts w:ascii="宋体" w:hAnsi="宋体"/>
                <w:color w:val="auto"/>
                <w:szCs w:val="21"/>
                <w:highlight w:val="none"/>
              </w:rPr>
            </w:pP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14:paraId="2FC6F76F">
            <w:pPr>
              <w:spacing w:line="400" w:lineRule="exact"/>
              <w:rPr>
                <w:rFonts w:ascii="宋体" w:hAnsi="宋体"/>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总平面布局（8分）</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414FD8E4">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功能介绍、规划构思与布局新颖、合理。</w:t>
            </w:r>
          </w:p>
          <w:p w14:paraId="5DB0A34D">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是否合理利用土地</w:t>
            </w:r>
            <w:r>
              <w:rPr>
                <w:rFonts w:hint="eastAsia" w:ascii="宋体" w:hAnsi="宋体" w:cs="宋体"/>
                <w:color w:val="auto"/>
                <w:szCs w:val="21"/>
                <w:highlight w:val="none"/>
                <w:lang w:eastAsia="zh-CN"/>
              </w:rPr>
              <w:t>；</w:t>
            </w:r>
            <w:r>
              <w:rPr>
                <w:rFonts w:hint="eastAsia" w:ascii="宋体" w:hAnsi="宋体" w:cs="宋体"/>
                <w:color w:val="auto"/>
                <w:szCs w:val="21"/>
                <w:highlight w:val="none"/>
              </w:rPr>
              <w:t>与周边环境协调。</w:t>
            </w:r>
          </w:p>
          <w:p w14:paraId="1615A5F1">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是否满足交通流线及开口要求。</w:t>
            </w:r>
          </w:p>
          <w:p w14:paraId="2214193E">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4.</w:t>
            </w:r>
            <w:r>
              <w:rPr>
                <w:rFonts w:hint="eastAsia" w:ascii="宋体" w:hAnsi="宋体" w:cs="宋体"/>
                <w:color w:val="auto"/>
                <w:szCs w:val="21"/>
                <w:highlight w:val="none"/>
              </w:rPr>
              <w:t>停车位布局合理可行。</w:t>
            </w:r>
          </w:p>
          <w:p w14:paraId="1D952A40">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是否满足消防间距要求、是否满足日照间距要求。</w:t>
            </w:r>
          </w:p>
          <w:p w14:paraId="5473E183">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6.</w:t>
            </w:r>
            <w:r>
              <w:rPr>
                <w:rFonts w:hint="eastAsia" w:ascii="宋体" w:hAnsi="宋体" w:cs="宋体"/>
                <w:color w:val="auto"/>
                <w:szCs w:val="21"/>
                <w:highlight w:val="none"/>
              </w:rPr>
              <w:t>总平面布局、竖向设计符合规划要求。</w:t>
            </w:r>
          </w:p>
          <w:p w14:paraId="0011C955">
            <w:pPr>
              <w:spacing w:line="400" w:lineRule="exact"/>
              <w:rPr>
                <w:rFonts w:hint="eastAsia" w:ascii="宋体" w:hAnsi="宋体" w:cs="宋体"/>
                <w:color w:val="auto"/>
                <w:szCs w:val="21"/>
                <w:highlight w:val="none"/>
              </w:rPr>
            </w:pPr>
            <w:r>
              <w:rPr>
                <w:rFonts w:hint="eastAsia"/>
                <w:color w:val="auto"/>
                <w:szCs w:val="21"/>
                <w:highlight w:val="none"/>
              </w:rPr>
              <w:t>合理得6-8分，较合理得3-6分，较差得0-3分</w:t>
            </w:r>
          </w:p>
        </w:tc>
      </w:tr>
      <w:tr w14:paraId="14B8E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c>
          <w:tcPr>
            <w:tcW w:w="828" w:type="dxa"/>
            <w:vMerge w:val="continue"/>
            <w:tcBorders>
              <w:left w:val="single" w:color="auto" w:sz="12" w:space="0"/>
              <w:right w:val="single" w:color="auto" w:sz="4" w:space="0"/>
            </w:tcBorders>
            <w:noWrap w:val="0"/>
            <w:vAlign w:val="center"/>
          </w:tcPr>
          <w:p w14:paraId="6E2410D9">
            <w:pPr>
              <w:spacing w:line="400" w:lineRule="exact"/>
              <w:jc w:val="center"/>
              <w:rPr>
                <w:rFonts w:ascii="宋体" w:hAnsi="宋体"/>
                <w:color w:val="auto"/>
                <w:szCs w:val="21"/>
                <w:highlight w:val="none"/>
              </w:rPr>
            </w:pPr>
          </w:p>
        </w:tc>
        <w:tc>
          <w:tcPr>
            <w:tcW w:w="973"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37B10408">
            <w:pPr>
              <w:spacing w:line="400" w:lineRule="exact"/>
              <w:jc w:val="center"/>
              <w:rPr>
                <w:rFonts w:ascii="宋体" w:hAnsi="宋体"/>
                <w:color w:val="auto"/>
                <w:szCs w:val="21"/>
                <w:highlight w:val="none"/>
              </w:rPr>
            </w:pP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14:paraId="529CB469">
            <w:pPr>
              <w:spacing w:line="400" w:lineRule="exac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建筑功能（9分）</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1416A431">
            <w:pPr>
              <w:spacing w:line="440" w:lineRule="exact"/>
              <w:rPr>
                <w:rFonts w:hint="eastAsia" w:ascii="宋体" w:hAnsi="宋体" w:cs="宋体"/>
                <w:color w:val="auto"/>
                <w:szCs w:val="21"/>
                <w:highlight w:val="none"/>
              </w:rPr>
            </w:pPr>
            <w:r>
              <w:rPr>
                <w:rFonts w:hint="eastAsia"/>
                <w:color w:val="auto"/>
                <w:szCs w:val="21"/>
                <w:highlight w:val="none"/>
                <w:lang w:eastAsia="zh-CN"/>
              </w:rPr>
              <w:t>1.</w:t>
            </w:r>
            <w:r>
              <w:rPr>
                <w:rFonts w:hint="eastAsia" w:ascii="宋体" w:hAnsi="宋体" w:cs="宋体"/>
                <w:color w:val="auto"/>
                <w:szCs w:val="21"/>
                <w:highlight w:val="none"/>
              </w:rPr>
              <w:t>项目功能要求是否满足设计任务书要求。</w:t>
            </w:r>
          </w:p>
          <w:p w14:paraId="7A68233A">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工艺系统流程设计符合设计任务书要求，且先进合理。</w:t>
            </w:r>
          </w:p>
          <w:p w14:paraId="0355E40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3.对项目的设计思路把握准确、设计合理。</w:t>
            </w:r>
          </w:p>
          <w:p w14:paraId="7B7407F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合理得6-9分，较合理得3-6分，较差得0-3分</w:t>
            </w:r>
          </w:p>
        </w:tc>
      </w:tr>
      <w:tr w14:paraId="61D30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c>
          <w:tcPr>
            <w:tcW w:w="828" w:type="dxa"/>
            <w:vMerge w:val="continue"/>
            <w:tcBorders>
              <w:left w:val="single" w:color="auto" w:sz="12" w:space="0"/>
              <w:right w:val="single" w:color="auto" w:sz="4" w:space="0"/>
            </w:tcBorders>
            <w:noWrap w:val="0"/>
            <w:vAlign w:val="center"/>
          </w:tcPr>
          <w:p w14:paraId="7329FFD7">
            <w:pPr>
              <w:spacing w:line="400" w:lineRule="exact"/>
              <w:jc w:val="center"/>
              <w:rPr>
                <w:rFonts w:ascii="宋体" w:hAnsi="宋体"/>
                <w:color w:val="auto"/>
                <w:szCs w:val="21"/>
                <w:highlight w:val="none"/>
              </w:rPr>
            </w:pPr>
          </w:p>
        </w:tc>
        <w:tc>
          <w:tcPr>
            <w:tcW w:w="973"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385570F4">
            <w:pPr>
              <w:spacing w:line="400" w:lineRule="exact"/>
              <w:jc w:val="center"/>
              <w:rPr>
                <w:rFonts w:ascii="宋体" w:hAnsi="宋体"/>
                <w:color w:val="auto"/>
                <w:szCs w:val="21"/>
                <w:highlight w:val="none"/>
              </w:rPr>
            </w:pP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14:paraId="62DB2BF5">
            <w:pPr>
              <w:spacing w:line="400" w:lineRule="exac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建筑造型（4分）</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6DFA871C">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建筑创意、空间处理是否合理。</w:t>
            </w:r>
          </w:p>
          <w:p w14:paraId="03C9E713">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立面造型、比例尺度和谐美观，建筑的功能和形式统一。</w:t>
            </w:r>
          </w:p>
          <w:p w14:paraId="1ACCE5A2">
            <w:pPr>
              <w:spacing w:line="440" w:lineRule="exact"/>
              <w:rPr>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功能与形式统一，与周围环境相协调，能够很好</w:t>
            </w:r>
            <w:r>
              <w:rPr>
                <w:rFonts w:hint="eastAsia" w:ascii="宋体" w:hAnsi="宋体" w:cs="宋体"/>
                <w:color w:val="auto"/>
                <w:szCs w:val="21"/>
                <w:highlight w:val="none"/>
                <w:lang w:val="en-US" w:eastAsia="zh-CN"/>
              </w:rPr>
              <w:t>地</w:t>
            </w:r>
            <w:r>
              <w:rPr>
                <w:rFonts w:hint="eastAsia" w:ascii="宋体" w:hAnsi="宋体" w:cs="宋体"/>
                <w:color w:val="auto"/>
                <w:szCs w:val="21"/>
                <w:highlight w:val="none"/>
              </w:rPr>
              <w:t>体现建筑风格</w:t>
            </w:r>
            <w:r>
              <w:rPr>
                <w:rFonts w:hint="eastAsia"/>
                <w:color w:val="auto"/>
                <w:szCs w:val="21"/>
                <w:highlight w:val="none"/>
              </w:rPr>
              <w:t>。</w:t>
            </w:r>
          </w:p>
          <w:p w14:paraId="5C277FED">
            <w:pPr>
              <w:spacing w:line="400" w:lineRule="exact"/>
              <w:rPr>
                <w:rFonts w:hint="eastAsia"/>
                <w:color w:val="auto"/>
                <w:szCs w:val="21"/>
                <w:highlight w:val="none"/>
              </w:rPr>
            </w:pPr>
            <w:r>
              <w:rPr>
                <w:rFonts w:hint="eastAsia"/>
                <w:color w:val="auto"/>
                <w:szCs w:val="21"/>
                <w:highlight w:val="none"/>
                <w:lang w:eastAsia="zh-CN"/>
              </w:rPr>
              <w:t>4.</w:t>
            </w:r>
            <w:r>
              <w:rPr>
                <w:rFonts w:hint="eastAsia"/>
                <w:color w:val="auto"/>
                <w:szCs w:val="21"/>
                <w:highlight w:val="none"/>
              </w:rPr>
              <w:t>对设计的规划分析图、鸟瞰图、透视图、平立剖面图、交通分析图、模型等进行评比。</w:t>
            </w:r>
          </w:p>
          <w:p w14:paraId="03A8A1D3">
            <w:pPr>
              <w:spacing w:line="400" w:lineRule="exact"/>
              <w:rPr>
                <w:rFonts w:hint="eastAsia"/>
                <w:color w:val="auto"/>
                <w:szCs w:val="21"/>
                <w:highlight w:val="none"/>
              </w:rPr>
            </w:pPr>
            <w:r>
              <w:rPr>
                <w:rFonts w:hint="eastAsia"/>
                <w:color w:val="auto"/>
                <w:szCs w:val="21"/>
                <w:highlight w:val="none"/>
              </w:rPr>
              <w:t>较好得3-4分，一般得2-3分，较差得0-2分</w:t>
            </w:r>
          </w:p>
        </w:tc>
      </w:tr>
      <w:tr w14:paraId="5EC899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c>
          <w:tcPr>
            <w:tcW w:w="828" w:type="dxa"/>
            <w:vMerge w:val="continue"/>
            <w:tcBorders>
              <w:left w:val="single" w:color="auto" w:sz="12" w:space="0"/>
              <w:right w:val="single" w:color="auto" w:sz="4" w:space="0"/>
            </w:tcBorders>
            <w:noWrap w:val="0"/>
            <w:vAlign w:val="center"/>
          </w:tcPr>
          <w:p w14:paraId="17EBE695">
            <w:pPr>
              <w:spacing w:line="400" w:lineRule="exact"/>
              <w:jc w:val="center"/>
              <w:rPr>
                <w:rFonts w:ascii="宋体" w:hAnsi="宋体"/>
                <w:color w:val="auto"/>
                <w:szCs w:val="21"/>
                <w:highlight w:val="none"/>
              </w:rPr>
            </w:pPr>
          </w:p>
        </w:tc>
        <w:tc>
          <w:tcPr>
            <w:tcW w:w="973"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1418DF52">
            <w:pPr>
              <w:spacing w:line="400" w:lineRule="exact"/>
              <w:jc w:val="center"/>
              <w:rPr>
                <w:rFonts w:ascii="宋体" w:hAnsi="宋体"/>
                <w:color w:val="auto"/>
                <w:szCs w:val="21"/>
                <w:highlight w:val="none"/>
              </w:rPr>
            </w:pP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14:paraId="63514834">
            <w:pPr>
              <w:spacing w:line="400" w:lineRule="exac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结构方案（3分）</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08AB1D06">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结构方案的选型合理可行、满足设计任务书要求。</w:t>
            </w:r>
          </w:p>
          <w:p w14:paraId="7436A814">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结构方案的设计依据符合规范及标准要求。</w:t>
            </w:r>
          </w:p>
          <w:p w14:paraId="24E45E39">
            <w:pPr>
              <w:spacing w:line="400" w:lineRule="exact"/>
              <w:rPr>
                <w:rFonts w:hint="eastAsia" w:ascii="宋体" w:hAnsi="宋体" w:cs="宋体"/>
                <w:color w:val="auto"/>
                <w:szCs w:val="21"/>
                <w:highlight w:val="none"/>
              </w:rPr>
            </w:pPr>
            <w:r>
              <w:rPr>
                <w:rFonts w:hint="eastAsia"/>
                <w:color w:val="auto"/>
                <w:szCs w:val="21"/>
                <w:highlight w:val="none"/>
              </w:rPr>
              <w:t>内容完整、合理得2-3分，一般得1-2分，较差得0-1分</w:t>
            </w:r>
          </w:p>
        </w:tc>
      </w:tr>
      <w:tr w14:paraId="3A4FA4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c>
          <w:tcPr>
            <w:tcW w:w="828" w:type="dxa"/>
            <w:vMerge w:val="continue"/>
            <w:tcBorders>
              <w:left w:val="single" w:color="auto" w:sz="12" w:space="0"/>
              <w:right w:val="single" w:color="auto" w:sz="4" w:space="0"/>
            </w:tcBorders>
            <w:noWrap w:val="0"/>
            <w:vAlign w:val="center"/>
          </w:tcPr>
          <w:p w14:paraId="14AD7284">
            <w:pPr>
              <w:spacing w:line="400" w:lineRule="exact"/>
              <w:jc w:val="center"/>
              <w:rPr>
                <w:rFonts w:ascii="宋体" w:hAnsi="宋体"/>
                <w:color w:val="auto"/>
                <w:szCs w:val="21"/>
                <w:highlight w:val="none"/>
              </w:rPr>
            </w:pPr>
          </w:p>
        </w:tc>
        <w:tc>
          <w:tcPr>
            <w:tcW w:w="973"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773575AC">
            <w:pPr>
              <w:spacing w:line="400" w:lineRule="exact"/>
              <w:jc w:val="center"/>
              <w:rPr>
                <w:rFonts w:ascii="宋体" w:hAnsi="宋体"/>
                <w:color w:val="auto"/>
                <w:szCs w:val="21"/>
                <w:highlight w:val="none"/>
              </w:rPr>
            </w:pP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14:paraId="7B77240C">
            <w:pPr>
              <w:spacing w:line="400" w:lineRule="exact"/>
              <w:rPr>
                <w:rFonts w:ascii="宋体" w:hAnsi="宋体"/>
                <w:color w:val="auto"/>
                <w:szCs w:val="21"/>
                <w:highlight w:val="none"/>
              </w:rPr>
            </w:pPr>
            <w:r>
              <w:rPr>
                <w:rFonts w:hint="eastAsia" w:ascii="宋体" w:hAnsi="宋体" w:cs="宋体"/>
                <w:color w:val="auto"/>
                <w:szCs w:val="21"/>
                <w:highlight w:val="none"/>
                <w:lang w:eastAsia="zh-CN"/>
              </w:rPr>
              <w:t>6.</w:t>
            </w:r>
            <w:r>
              <w:rPr>
                <w:rFonts w:hint="eastAsia" w:ascii="宋体" w:hAnsi="宋体" w:cs="宋体"/>
                <w:color w:val="auto"/>
                <w:szCs w:val="21"/>
                <w:highlight w:val="none"/>
              </w:rPr>
              <w:t>设备方案（2分）</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05CAE514">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设备方案的选型合理可行、满足设计任务书要求。</w:t>
            </w:r>
          </w:p>
          <w:p w14:paraId="241707B5">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设备方案的设计依据符合规范及标准要求。</w:t>
            </w:r>
          </w:p>
          <w:p w14:paraId="79EAD2D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选型合理得1.3-2分，一般得0.6-1.3分，较差得0-0.6分</w:t>
            </w:r>
          </w:p>
        </w:tc>
      </w:tr>
      <w:tr w14:paraId="3EC477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c>
          <w:tcPr>
            <w:tcW w:w="828" w:type="dxa"/>
            <w:vMerge w:val="continue"/>
            <w:tcBorders>
              <w:left w:val="single" w:color="auto" w:sz="12" w:space="0"/>
              <w:right w:val="single" w:color="auto" w:sz="4" w:space="0"/>
            </w:tcBorders>
            <w:noWrap w:val="0"/>
            <w:vAlign w:val="center"/>
          </w:tcPr>
          <w:p w14:paraId="59F40D3A">
            <w:pPr>
              <w:spacing w:line="400" w:lineRule="exact"/>
              <w:jc w:val="center"/>
              <w:rPr>
                <w:rFonts w:ascii="宋体" w:hAnsi="宋体"/>
                <w:color w:val="auto"/>
                <w:szCs w:val="21"/>
                <w:highlight w:val="none"/>
              </w:rPr>
            </w:pPr>
          </w:p>
        </w:tc>
        <w:tc>
          <w:tcPr>
            <w:tcW w:w="973"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121116CF">
            <w:pPr>
              <w:spacing w:line="400" w:lineRule="exact"/>
              <w:jc w:val="center"/>
              <w:rPr>
                <w:rFonts w:ascii="宋体" w:hAnsi="宋体"/>
                <w:color w:val="auto"/>
                <w:szCs w:val="21"/>
                <w:highlight w:val="none"/>
              </w:rPr>
            </w:pP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14:paraId="4870E0A0">
            <w:pPr>
              <w:spacing w:line="400" w:lineRule="exac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绿色建筑（含建筑节能）与装配式建筑设计（3分）</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4EC13B57">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采用科学合理的绿色建筑（</w:t>
            </w:r>
            <w:r>
              <w:rPr>
                <w:rFonts w:hint="eastAsia"/>
                <w:color w:val="auto"/>
                <w:szCs w:val="21"/>
                <w:highlight w:val="none"/>
              </w:rPr>
              <w:t>建筑节能</w:t>
            </w:r>
            <w:r>
              <w:rPr>
                <w:rFonts w:hint="eastAsia" w:ascii="宋体" w:hAnsi="宋体" w:cs="宋体"/>
                <w:color w:val="auto"/>
                <w:szCs w:val="21"/>
                <w:highlight w:val="none"/>
              </w:rPr>
              <w:t>）措施。</w:t>
            </w:r>
          </w:p>
          <w:p w14:paraId="45805654">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提出切实可行的生态建筑理念与措施。</w:t>
            </w:r>
          </w:p>
          <w:p w14:paraId="7BB08606">
            <w:pPr>
              <w:spacing w:line="440" w:lineRule="exact"/>
              <w:rPr>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是否符合国家及地方的有关绿色建筑标准</w:t>
            </w:r>
            <w:r>
              <w:rPr>
                <w:rFonts w:hint="eastAsia"/>
                <w:color w:val="auto"/>
                <w:szCs w:val="21"/>
                <w:highlight w:val="none"/>
              </w:rPr>
              <w:t>。</w:t>
            </w:r>
          </w:p>
          <w:p w14:paraId="3642E165">
            <w:pPr>
              <w:spacing w:line="400" w:lineRule="exact"/>
              <w:rPr>
                <w:rFonts w:hint="eastAsia"/>
                <w:color w:val="auto"/>
                <w:szCs w:val="21"/>
                <w:highlight w:val="none"/>
              </w:rPr>
            </w:pPr>
            <w:r>
              <w:rPr>
                <w:rFonts w:hint="eastAsia"/>
                <w:color w:val="auto"/>
                <w:szCs w:val="21"/>
                <w:highlight w:val="none"/>
                <w:lang w:eastAsia="zh-CN"/>
              </w:rPr>
              <w:t>4.</w:t>
            </w:r>
            <w:r>
              <w:rPr>
                <w:rFonts w:hint="eastAsia"/>
                <w:color w:val="auto"/>
                <w:szCs w:val="21"/>
                <w:highlight w:val="none"/>
              </w:rPr>
              <w:t>工程采用装配式技术。</w:t>
            </w:r>
          </w:p>
          <w:p w14:paraId="0A504EB0">
            <w:pPr>
              <w:spacing w:line="400" w:lineRule="exact"/>
              <w:rPr>
                <w:rFonts w:hint="eastAsia"/>
                <w:color w:val="auto"/>
                <w:szCs w:val="21"/>
                <w:highlight w:val="none"/>
              </w:rPr>
            </w:pPr>
            <w:r>
              <w:rPr>
                <w:rFonts w:hint="eastAsia"/>
                <w:color w:val="auto"/>
                <w:szCs w:val="21"/>
                <w:highlight w:val="none"/>
              </w:rPr>
              <w:t>建筑节能措施</w:t>
            </w:r>
            <w:r>
              <w:rPr>
                <w:rFonts w:hint="eastAsia"/>
                <w:color w:val="auto"/>
                <w:szCs w:val="21"/>
                <w:highlight w:val="none"/>
                <w:lang w:eastAsia="zh-CN"/>
              </w:rPr>
              <w:t>、</w:t>
            </w:r>
            <w:r>
              <w:rPr>
                <w:rFonts w:hint="eastAsia"/>
                <w:color w:val="auto"/>
                <w:szCs w:val="21"/>
                <w:highlight w:val="none"/>
                <w:lang w:val="en-US" w:eastAsia="zh-CN"/>
              </w:rPr>
              <w:t>装配式建筑设计</w:t>
            </w:r>
            <w:r>
              <w:rPr>
                <w:rFonts w:hint="eastAsia"/>
                <w:color w:val="auto"/>
                <w:szCs w:val="21"/>
                <w:highlight w:val="none"/>
              </w:rPr>
              <w:t>科学合理得2-3分，建筑节能措施</w:t>
            </w:r>
            <w:r>
              <w:rPr>
                <w:rFonts w:hint="eastAsia"/>
                <w:color w:val="auto"/>
                <w:szCs w:val="21"/>
                <w:highlight w:val="none"/>
                <w:lang w:eastAsia="zh-CN"/>
              </w:rPr>
              <w:t>、</w:t>
            </w:r>
            <w:r>
              <w:rPr>
                <w:rFonts w:hint="eastAsia"/>
                <w:color w:val="auto"/>
                <w:szCs w:val="21"/>
                <w:highlight w:val="none"/>
                <w:lang w:val="en-US" w:eastAsia="zh-CN"/>
              </w:rPr>
              <w:t>装配式建筑设计</w:t>
            </w:r>
            <w:r>
              <w:rPr>
                <w:rFonts w:hint="eastAsia"/>
                <w:color w:val="auto"/>
                <w:szCs w:val="21"/>
                <w:highlight w:val="none"/>
              </w:rPr>
              <w:t>一般，得1-2分，建筑节能措施</w:t>
            </w:r>
            <w:r>
              <w:rPr>
                <w:rFonts w:hint="eastAsia"/>
                <w:color w:val="auto"/>
                <w:szCs w:val="21"/>
                <w:highlight w:val="none"/>
                <w:lang w:eastAsia="zh-CN"/>
              </w:rPr>
              <w:t>、</w:t>
            </w:r>
            <w:r>
              <w:rPr>
                <w:rFonts w:hint="eastAsia"/>
                <w:color w:val="auto"/>
                <w:szCs w:val="21"/>
                <w:highlight w:val="none"/>
                <w:lang w:val="en-US" w:eastAsia="zh-CN"/>
              </w:rPr>
              <w:t>装配式建筑设计</w:t>
            </w:r>
            <w:r>
              <w:rPr>
                <w:rFonts w:hint="eastAsia"/>
                <w:color w:val="auto"/>
                <w:szCs w:val="21"/>
                <w:highlight w:val="none"/>
              </w:rPr>
              <w:t>较差得0-1分</w:t>
            </w:r>
          </w:p>
        </w:tc>
      </w:tr>
      <w:tr w14:paraId="50EBC9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c>
          <w:tcPr>
            <w:tcW w:w="828" w:type="dxa"/>
            <w:vMerge w:val="continue"/>
            <w:tcBorders>
              <w:left w:val="single" w:color="auto" w:sz="12" w:space="0"/>
              <w:right w:val="single" w:color="auto" w:sz="4" w:space="0"/>
            </w:tcBorders>
            <w:noWrap w:val="0"/>
            <w:vAlign w:val="center"/>
          </w:tcPr>
          <w:p w14:paraId="41C01066">
            <w:pPr>
              <w:spacing w:line="400" w:lineRule="exact"/>
              <w:jc w:val="center"/>
              <w:rPr>
                <w:rFonts w:ascii="宋体" w:hAnsi="宋体"/>
                <w:color w:val="auto"/>
                <w:szCs w:val="21"/>
                <w:highlight w:val="none"/>
              </w:rPr>
            </w:pPr>
          </w:p>
        </w:tc>
        <w:tc>
          <w:tcPr>
            <w:tcW w:w="973"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2827760D">
            <w:pPr>
              <w:spacing w:line="400" w:lineRule="exact"/>
              <w:jc w:val="center"/>
              <w:rPr>
                <w:rFonts w:ascii="宋体" w:hAnsi="宋体"/>
                <w:color w:val="auto"/>
                <w:szCs w:val="21"/>
                <w:highlight w:val="none"/>
              </w:rPr>
            </w:pP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14:paraId="22561840">
            <w:pPr>
              <w:spacing w:line="400" w:lineRule="exact"/>
              <w:rPr>
                <w:rFonts w:ascii="宋体" w:hAnsi="宋体"/>
                <w:color w:val="auto"/>
                <w:szCs w:val="21"/>
                <w:highlight w:val="none"/>
              </w:rPr>
            </w:pPr>
            <w:r>
              <w:rPr>
                <w:rFonts w:hint="eastAsia" w:ascii="宋体" w:hAnsi="宋体"/>
                <w:color w:val="auto"/>
                <w:szCs w:val="21"/>
                <w:highlight w:val="none"/>
              </w:rPr>
              <w:t>8.设计深度（2分）</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5B08133E">
            <w:pPr>
              <w:spacing w:line="440" w:lineRule="exact"/>
              <w:rPr>
                <w:color w:val="auto"/>
                <w:szCs w:val="21"/>
                <w:highlight w:val="none"/>
              </w:rPr>
            </w:pPr>
            <w:r>
              <w:rPr>
                <w:rFonts w:hint="eastAsia"/>
                <w:color w:val="auto"/>
                <w:szCs w:val="21"/>
                <w:highlight w:val="none"/>
                <w:lang w:eastAsia="zh-CN"/>
              </w:rPr>
              <w:t>1.</w:t>
            </w:r>
            <w:r>
              <w:rPr>
                <w:rFonts w:hint="eastAsia"/>
                <w:color w:val="auto"/>
                <w:szCs w:val="21"/>
                <w:highlight w:val="none"/>
              </w:rPr>
              <w:t>是否符合设计任务书要求。</w:t>
            </w:r>
          </w:p>
          <w:p w14:paraId="3350F6BF">
            <w:pPr>
              <w:spacing w:line="440" w:lineRule="exact"/>
              <w:rPr>
                <w:color w:val="auto"/>
                <w:szCs w:val="21"/>
                <w:highlight w:val="none"/>
              </w:rPr>
            </w:pPr>
            <w:r>
              <w:rPr>
                <w:rFonts w:hint="eastAsia"/>
                <w:color w:val="auto"/>
                <w:szCs w:val="21"/>
                <w:highlight w:val="none"/>
                <w:lang w:eastAsia="zh-CN"/>
              </w:rPr>
              <w:t>2.</w:t>
            </w:r>
            <w:r>
              <w:rPr>
                <w:rFonts w:hint="eastAsia"/>
                <w:color w:val="auto"/>
                <w:szCs w:val="21"/>
                <w:highlight w:val="none"/>
              </w:rPr>
              <w:t>是否符合国家规定的《建筑工程设计文件编制深度规定》。</w:t>
            </w:r>
          </w:p>
          <w:p w14:paraId="40F9ECA9">
            <w:pPr>
              <w:spacing w:line="400" w:lineRule="exact"/>
              <w:rPr>
                <w:rFonts w:ascii="宋体" w:hAnsi="宋体" w:cs="宋体"/>
                <w:color w:val="auto"/>
                <w:szCs w:val="21"/>
                <w:highlight w:val="none"/>
              </w:rPr>
            </w:pPr>
            <w:r>
              <w:rPr>
                <w:rFonts w:hint="eastAsia"/>
                <w:color w:val="auto"/>
                <w:szCs w:val="21"/>
                <w:highlight w:val="none"/>
              </w:rPr>
              <w:t>注：本项可视设计深度符合程度在0~2分之间酌情打分</w:t>
            </w:r>
            <w:r>
              <w:rPr>
                <w:rFonts w:hint="eastAsia"/>
                <w:color w:val="auto"/>
                <w:szCs w:val="21"/>
                <w:highlight w:val="none"/>
                <w:lang w:eastAsia="zh-CN"/>
              </w:rPr>
              <w:t>。</w:t>
            </w:r>
          </w:p>
        </w:tc>
      </w:tr>
      <w:tr w14:paraId="01BFC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c>
          <w:tcPr>
            <w:tcW w:w="828" w:type="dxa"/>
            <w:vMerge w:val="continue"/>
            <w:tcBorders>
              <w:left w:val="single" w:color="auto" w:sz="12" w:space="0"/>
              <w:bottom w:val="single" w:color="auto" w:sz="4" w:space="0"/>
              <w:right w:val="single" w:color="auto" w:sz="4" w:space="0"/>
            </w:tcBorders>
            <w:noWrap w:val="0"/>
            <w:vAlign w:val="center"/>
          </w:tcPr>
          <w:p w14:paraId="1A57DA43">
            <w:pPr>
              <w:spacing w:line="400" w:lineRule="exact"/>
              <w:jc w:val="center"/>
              <w:rPr>
                <w:rFonts w:ascii="宋体" w:hAnsi="宋体"/>
                <w:color w:val="auto"/>
                <w:szCs w:val="21"/>
                <w:highlight w:val="none"/>
              </w:rPr>
            </w:pPr>
          </w:p>
        </w:tc>
        <w:tc>
          <w:tcPr>
            <w:tcW w:w="973"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2CA0BE29">
            <w:pPr>
              <w:spacing w:line="400" w:lineRule="exact"/>
              <w:jc w:val="center"/>
              <w:rPr>
                <w:rFonts w:ascii="宋体" w:hAnsi="宋体"/>
                <w:color w:val="auto"/>
                <w:szCs w:val="21"/>
                <w:highlight w:val="none"/>
              </w:rPr>
            </w:pPr>
          </w:p>
        </w:tc>
        <w:tc>
          <w:tcPr>
            <w:tcW w:w="6899" w:type="dxa"/>
            <w:gridSpan w:val="3"/>
            <w:tcBorders>
              <w:top w:val="single" w:color="auto" w:sz="4" w:space="0"/>
              <w:left w:val="single" w:color="auto" w:sz="4" w:space="0"/>
              <w:bottom w:val="single" w:color="auto" w:sz="4" w:space="0"/>
              <w:right w:val="single" w:color="auto" w:sz="12" w:space="0"/>
            </w:tcBorders>
            <w:noWrap w:val="0"/>
            <w:vAlign w:val="top"/>
          </w:tcPr>
          <w:p w14:paraId="2BE55877">
            <w:pPr>
              <w:spacing w:line="400" w:lineRule="exact"/>
              <w:rPr>
                <w:rFonts w:ascii="宋体" w:hAnsi="宋体"/>
                <w:color w:val="auto"/>
                <w:szCs w:val="21"/>
                <w:highlight w:val="none"/>
              </w:rPr>
            </w:pPr>
            <w:r>
              <w:rPr>
                <w:rFonts w:hint="eastAsia" w:ascii="宋体" w:hAnsi="宋体"/>
                <w:color w:val="auto"/>
                <w:szCs w:val="21"/>
                <w:highlight w:val="none"/>
              </w:rPr>
              <w:t>注：</w:t>
            </w:r>
            <w:bookmarkStart w:id="94" w:name="OLE_LINK3"/>
            <w:r>
              <w:rPr>
                <w:rFonts w:hint="eastAsia" w:ascii="宋体" w:hAnsi="宋体"/>
                <w:color w:val="auto"/>
                <w:szCs w:val="21"/>
                <w:highlight w:val="none"/>
              </w:rPr>
              <w:t>招标人可根据项目的实际情况选择增加上述各评分因素，但“评审项”分值不得调整；也可在招标文件中细化明确评分标准的内容，但一般不得突破各评分因素的规定分值。</w:t>
            </w:r>
            <w:bookmarkEnd w:id="94"/>
          </w:p>
        </w:tc>
      </w:tr>
      <w:tr w14:paraId="6DB8D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c>
          <w:tcPr>
            <w:tcW w:w="828" w:type="dxa"/>
            <w:vMerge w:val="restart"/>
            <w:tcBorders>
              <w:top w:val="single" w:color="auto" w:sz="4" w:space="0"/>
              <w:left w:val="single" w:color="auto" w:sz="12" w:space="0"/>
              <w:bottom w:val="single" w:color="auto" w:sz="4" w:space="0"/>
              <w:right w:val="single" w:color="auto" w:sz="4" w:space="0"/>
            </w:tcBorders>
            <w:noWrap w:val="0"/>
            <w:vAlign w:val="center"/>
          </w:tcPr>
          <w:p w14:paraId="6FAD8D77">
            <w:pPr>
              <w:spacing w:line="400" w:lineRule="exact"/>
              <w:jc w:val="center"/>
              <w:rPr>
                <w:rFonts w:hint="eastAsia" w:ascii="宋体" w:hAnsi="宋体"/>
                <w:color w:val="auto"/>
                <w:szCs w:val="21"/>
                <w:highlight w:val="none"/>
              </w:rPr>
            </w:pPr>
            <w:r>
              <w:rPr>
                <w:rFonts w:hint="eastAsia" w:ascii="宋体" w:hAnsi="宋体"/>
                <w:color w:val="auto"/>
                <w:szCs w:val="21"/>
                <w:highlight w:val="none"/>
              </w:rPr>
              <w:t>2.2.4</w:t>
            </w:r>
            <w:r>
              <w:rPr>
                <w:rFonts w:hint="eastAsia" w:ascii="宋体" w:hAnsi="宋体"/>
                <w:color w:val="auto"/>
                <w:szCs w:val="21"/>
                <w:highlight w:val="none"/>
                <w:lang w:eastAsia="zh-CN"/>
              </w:rPr>
              <w:t>(</w:t>
            </w:r>
            <w:r>
              <w:rPr>
                <w:rFonts w:hint="eastAsia" w:ascii="宋体" w:hAnsi="宋体"/>
                <w:color w:val="auto"/>
                <w:szCs w:val="21"/>
                <w:highlight w:val="none"/>
              </w:rPr>
              <w:t>2</w:t>
            </w:r>
            <w:r>
              <w:rPr>
                <w:rFonts w:hint="eastAsia" w:ascii="宋体" w:hAnsi="宋体"/>
                <w:color w:val="auto"/>
                <w:szCs w:val="21"/>
                <w:highlight w:val="none"/>
                <w:lang w:eastAsia="zh-CN"/>
              </w:rPr>
              <w:t>)</w:t>
            </w:r>
          </w:p>
        </w:tc>
        <w:tc>
          <w:tcPr>
            <w:tcW w:w="97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12591DD">
            <w:pPr>
              <w:spacing w:line="400" w:lineRule="exact"/>
              <w:jc w:val="center"/>
              <w:rPr>
                <w:rFonts w:ascii="宋体" w:hAnsi="宋体"/>
                <w:color w:val="auto"/>
                <w:szCs w:val="21"/>
                <w:highlight w:val="none"/>
              </w:rPr>
            </w:pPr>
            <w:r>
              <w:rPr>
                <w:rFonts w:hint="eastAsia" w:ascii="宋体" w:hAnsi="宋体"/>
                <w:color w:val="auto"/>
                <w:szCs w:val="21"/>
                <w:highlight w:val="none"/>
              </w:rPr>
              <w:t>工程总承包报价</w:t>
            </w:r>
            <w:r>
              <w:rPr>
                <w:rFonts w:hint="eastAsia" w:ascii="宋体" w:hAnsi="宋体"/>
                <w:color w:val="auto"/>
                <w:szCs w:val="21"/>
                <w:highlight w:val="none"/>
                <w:lang w:val="en-US" w:eastAsia="zh-CN"/>
              </w:rPr>
              <w:t>56</w:t>
            </w:r>
            <w:r>
              <w:rPr>
                <w:rFonts w:hint="eastAsia" w:ascii="宋体" w:hAnsi="宋体"/>
                <w:color w:val="auto"/>
                <w:szCs w:val="21"/>
                <w:highlight w:val="none"/>
              </w:rPr>
              <w:t>）</w:t>
            </w: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14:paraId="33F10480">
            <w:pPr>
              <w:spacing w:line="400" w:lineRule="exact"/>
              <w:jc w:val="center"/>
              <w:rPr>
                <w:rFonts w:ascii="宋体" w:hAnsi="宋体"/>
                <w:color w:val="auto"/>
                <w:szCs w:val="21"/>
                <w:highlight w:val="none"/>
              </w:rPr>
            </w:pPr>
            <w:r>
              <w:rPr>
                <w:rFonts w:hint="eastAsia" w:ascii="宋体" w:hAnsi="宋体"/>
                <w:color w:val="auto"/>
                <w:szCs w:val="21"/>
                <w:highlight w:val="none"/>
              </w:rPr>
              <w:t>报价评审（工程总承包范围内的所有费用）（</w:t>
            </w:r>
            <w:r>
              <w:rPr>
                <w:rFonts w:hint="eastAsia" w:ascii="宋体" w:hAnsi="宋体"/>
                <w:color w:val="auto"/>
                <w:szCs w:val="21"/>
                <w:highlight w:val="none"/>
                <w:lang w:val="en-US" w:eastAsia="zh-CN"/>
              </w:rPr>
              <w:t>54</w:t>
            </w:r>
            <w:r>
              <w:rPr>
                <w:rFonts w:hint="eastAsia" w:ascii="宋体" w:hAnsi="宋体"/>
                <w:color w:val="auto"/>
                <w:szCs w:val="21"/>
                <w:highlight w:val="none"/>
              </w:rPr>
              <w:t>分）</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6FF4D561">
            <w:pPr>
              <w:spacing w:line="400" w:lineRule="exact"/>
              <w:rPr>
                <w:rFonts w:ascii="宋体" w:hAnsi="宋体"/>
                <w:color w:val="auto"/>
                <w:szCs w:val="21"/>
                <w:highlight w:val="none"/>
              </w:rPr>
            </w:pPr>
            <w:r>
              <w:rPr>
                <w:rFonts w:hint="eastAsia" w:ascii="宋体" w:hAnsi="宋体"/>
                <w:color w:val="auto"/>
                <w:szCs w:val="21"/>
                <w:highlight w:val="none"/>
                <w:lang w:bidi="ar"/>
              </w:rPr>
              <w:t>□</w:t>
            </w:r>
            <w:r>
              <w:rPr>
                <w:rFonts w:hint="eastAsia" w:ascii="宋体" w:hAnsi="宋体"/>
                <w:color w:val="auto"/>
                <w:szCs w:val="21"/>
                <w:highlight w:val="none"/>
              </w:rPr>
              <w:t>方法一：</w:t>
            </w:r>
          </w:p>
          <w:p w14:paraId="11F1891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以进入第二阶段评审的有效投标文件的最低评标价为评标基准价。评标价等于评标基准价的得满分，每高1%的所扣分值不少于0.6分。偏离不足1%的，按照插入法计算得分。</w:t>
            </w:r>
          </w:p>
          <w:p w14:paraId="40263639">
            <w:pPr>
              <w:spacing w:line="400" w:lineRule="exact"/>
              <w:rPr>
                <w:rFonts w:ascii="宋体" w:hAnsi="宋体"/>
                <w:color w:val="auto"/>
                <w:szCs w:val="21"/>
                <w:highlight w:val="none"/>
              </w:rPr>
            </w:pPr>
            <w:r>
              <w:rPr>
                <w:rFonts w:hint="eastAsia" w:ascii="宋体" w:hAnsi="宋体"/>
                <w:color w:val="auto"/>
                <w:szCs w:val="21"/>
                <w:highlight w:val="none"/>
                <w:lang w:eastAsia="zh-CN" w:bidi="ar"/>
              </w:rPr>
              <w:t>☑</w:t>
            </w:r>
            <w:r>
              <w:rPr>
                <w:rFonts w:hint="eastAsia" w:ascii="宋体" w:hAnsi="宋体"/>
                <w:color w:val="auto"/>
                <w:szCs w:val="21"/>
                <w:highlight w:val="none"/>
              </w:rPr>
              <w:t>方法二：</w:t>
            </w:r>
          </w:p>
          <w:p w14:paraId="50BC477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以进入第二阶段评审的有效投标文件的评标价进行算术平均，该平均值下浮的具体数值从 3%、3.5%、4%、4.5%四个数值中在开标时随机抽取，由算术平均值和下浮抽取的数值计算得到的结果为评标基准价。评标价等于评标基准价的得满分；每低于评标基准价 1%扣 0.1 分；每高于评标基准价 1%扣 0.6 分。偏离不足 1%的，按照插入法计算得分。</w:t>
            </w:r>
          </w:p>
        </w:tc>
      </w:tr>
      <w:tr w14:paraId="3E4D2D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c>
          <w:tcPr>
            <w:tcW w:w="828" w:type="dxa"/>
            <w:vMerge w:val="continue"/>
            <w:tcBorders>
              <w:top w:val="single" w:color="auto" w:sz="4" w:space="0"/>
              <w:left w:val="single" w:color="auto" w:sz="12" w:space="0"/>
              <w:bottom w:val="single" w:color="auto" w:sz="4" w:space="0"/>
              <w:right w:val="single" w:color="auto" w:sz="4" w:space="0"/>
            </w:tcBorders>
            <w:noWrap w:val="0"/>
            <w:vAlign w:val="center"/>
          </w:tcPr>
          <w:p w14:paraId="6426413E">
            <w:pPr>
              <w:spacing w:line="400" w:lineRule="exact"/>
              <w:jc w:val="center"/>
              <w:rPr>
                <w:rFonts w:ascii="宋体" w:hAnsi="宋体"/>
                <w:color w:val="auto"/>
                <w:szCs w:val="21"/>
                <w:highlight w:val="none"/>
              </w:rPr>
            </w:pPr>
          </w:p>
        </w:tc>
        <w:tc>
          <w:tcPr>
            <w:tcW w:w="97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43813F2">
            <w:pPr>
              <w:spacing w:line="400" w:lineRule="exact"/>
              <w:jc w:val="center"/>
              <w:rPr>
                <w:rFonts w:ascii="宋体" w:hAnsi="宋体"/>
                <w:color w:val="auto"/>
                <w:szCs w:val="21"/>
                <w:highlight w:val="none"/>
              </w:rPr>
            </w:pP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14:paraId="539F0D4C">
            <w:pPr>
              <w:spacing w:line="400" w:lineRule="exact"/>
              <w:rPr>
                <w:rFonts w:ascii="宋体" w:hAnsi="宋体"/>
                <w:color w:val="auto"/>
                <w:szCs w:val="21"/>
                <w:highlight w:val="none"/>
              </w:rPr>
            </w:pPr>
            <w:r>
              <w:rPr>
                <w:rFonts w:hint="eastAsia" w:ascii="宋体" w:hAnsi="宋体"/>
                <w:color w:val="auto"/>
                <w:szCs w:val="21"/>
                <w:highlight w:val="none"/>
              </w:rPr>
              <w:t>投标报价合理性（2 分）</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46A49845">
            <w:pPr>
              <w:spacing w:line="440" w:lineRule="exact"/>
              <w:rPr>
                <w:color w:val="auto"/>
                <w:szCs w:val="21"/>
                <w:highlight w:val="none"/>
              </w:rPr>
            </w:pPr>
            <w:r>
              <w:rPr>
                <w:rFonts w:hint="eastAsia"/>
                <w:color w:val="auto"/>
                <w:szCs w:val="21"/>
                <w:highlight w:val="none"/>
                <w:lang w:eastAsia="zh-CN"/>
              </w:rPr>
              <w:t>1.</w:t>
            </w:r>
            <w:r>
              <w:rPr>
                <w:rFonts w:hint="eastAsia"/>
                <w:color w:val="auto"/>
                <w:szCs w:val="21"/>
                <w:highlight w:val="none"/>
              </w:rPr>
              <w:t>工程总承包报价是否与招标范围相一致；</w:t>
            </w:r>
          </w:p>
          <w:p w14:paraId="33B26C4F">
            <w:pPr>
              <w:spacing w:line="440" w:lineRule="exact"/>
              <w:rPr>
                <w:color w:val="auto"/>
                <w:szCs w:val="21"/>
                <w:highlight w:val="none"/>
              </w:rPr>
            </w:pPr>
            <w:r>
              <w:rPr>
                <w:rFonts w:hint="eastAsia"/>
                <w:color w:val="auto"/>
                <w:szCs w:val="21"/>
                <w:highlight w:val="none"/>
                <w:lang w:eastAsia="zh-CN"/>
              </w:rPr>
              <w:t>2.</w:t>
            </w:r>
            <w:r>
              <w:rPr>
                <w:rFonts w:hint="eastAsia"/>
                <w:color w:val="auto"/>
                <w:szCs w:val="21"/>
                <w:highlight w:val="none"/>
              </w:rPr>
              <w:t>工程总承包报价是否与投标方案设计文件相匹配；</w:t>
            </w:r>
          </w:p>
          <w:p w14:paraId="068D619D">
            <w:pPr>
              <w:spacing w:line="440" w:lineRule="exact"/>
              <w:rPr>
                <w:color w:val="auto"/>
                <w:szCs w:val="21"/>
                <w:highlight w:val="none"/>
              </w:rPr>
            </w:pPr>
            <w:r>
              <w:rPr>
                <w:rFonts w:hint="eastAsia"/>
                <w:color w:val="auto"/>
                <w:szCs w:val="21"/>
                <w:highlight w:val="none"/>
                <w:lang w:eastAsia="zh-CN"/>
              </w:rPr>
              <w:t>3.</w:t>
            </w:r>
            <w:r>
              <w:rPr>
                <w:rFonts w:hint="eastAsia"/>
                <w:color w:val="auto"/>
                <w:szCs w:val="21"/>
                <w:highlight w:val="none"/>
              </w:rPr>
              <w:t>工程总承包报价是否与投标项目管理组织方案相匹配；</w:t>
            </w:r>
          </w:p>
          <w:p w14:paraId="2F6D22F1">
            <w:pPr>
              <w:spacing w:line="400" w:lineRule="exact"/>
              <w:rPr>
                <w:rFonts w:hint="eastAsia"/>
                <w:color w:val="auto"/>
                <w:szCs w:val="21"/>
                <w:highlight w:val="none"/>
              </w:rPr>
            </w:pPr>
            <w:r>
              <w:rPr>
                <w:rFonts w:hint="eastAsia"/>
                <w:color w:val="auto"/>
                <w:szCs w:val="21"/>
                <w:highlight w:val="none"/>
                <w:lang w:eastAsia="zh-CN"/>
              </w:rPr>
              <w:t>4.</w:t>
            </w:r>
            <w:r>
              <w:rPr>
                <w:rFonts w:hint="eastAsia"/>
                <w:color w:val="auto"/>
                <w:szCs w:val="21"/>
                <w:highlight w:val="none"/>
              </w:rPr>
              <w:t>工程总承包报价中的风险金计取是否明确、合理。</w:t>
            </w:r>
          </w:p>
          <w:p w14:paraId="18A12BC9">
            <w:pPr>
              <w:spacing w:line="400" w:lineRule="exact"/>
              <w:rPr>
                <w:rFonts w:hint="eastAsia"/>
                <w:color w:val="auto"/>
                <w:szCs w:val="21"/>
                <w:highlight w:val="none"/>
              </w:rPr>
            </w:pPr>
            <w:r>
              <w:rPr>
                <w:rFonts w:hint="eastAsia"/>
                <w:color w:val="auto"/>
                <w:szCs w:val="21"/>
                <w:highlight w:val="none"/>
              </w:rPr>
              <w:t>较好得1-2分，一般得0.5-1分，较差得0-0.5分</w:t>
            </w:r>
          </w:p>
        </w:tc>
      </w:tr>
      <w:tr w14:paraId="6E1B06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c>
          <w:tcPr>
            <w:tcW w:w="828" w:type="dxa"/>
            <w:vMerge w:val="continue"/>
            <w:tcBorders>
              <w:top w:val="single" w:color="auto" w:sz="4" w:space="0"/>
              <w:left w:val="single" w:color="auto" w:sz="12" w:space="0"/>
              <w:bottom w:val="single" w:color="auto" w:sz="4" w:space="0"/>
              <w:right w:val="single" w:color="auto" w:sz="4" w:space="0"/>
            </w:tcBorders>
            <w:noWrap w:val="0"/>
            <w:vAlign w:val="center"/>
          </w:tcPr>
          <w:p w14:paraId="2BC27D39">
            <w:pPr>
              <w:spacing w:line="400" w:lineRule="exact"/>
              <w:jc w:val="center"/>
              <w:rPr>
                <w:rFonts w:ascii="宋体" w:hAnsi="宋体"/>
                <w:color w:val="auto"/>
                <w:szCs w:val="21"/>
                <w:highlight w:val="none"/>
              </w:rPr>
            </w:pPr>
          </w:p>
        </w:tc>
        <w:tc>
          <w:tcPr>
            <w:tcW w:w="97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ED3560C">
            <w:pPr>
              <w:spacing w:line="400" w:lineRule="exact"/>
              <w:jc w:val="center"/>
              <w:rPr>
                <w:rFonts w:ascii="宋体" w:hAnsi="宋体"/>
                <w:color w:val="auto"/>
                <w:szCs w:val="21"/>
                <w:highlight w:val="none"/>
              </w:rPr>
            </w:pPr>
          </w:p>
        </w:tc>
        <w:tc>
          <w:tcPr>
            <w:tcW w:w="6899" w:type="dxa"/>
            <w:gridSpan w:val="3"/>
            <w:tcBorders>
              <w:top w:val="single" w:color="auto" w:sz="4" w:space="0"/>
              <w:left w:val="single" w:color="auto" w:sz="4" w:space="0"/>
              <w:bottom w:val="single" w:color="auto" w:sz="4" w:space="0"/>
              <w:right w:val="single" w:color="auto" w:sz="12" w:space="0"/>
            </w:tcBorders>
            <w:noWrap w:val="0"/>
            <w:vAlign w:val="center"/>
          </w:tcPr>
          <w:p w14:paraId="0AC30B39">
            <w:pPr>
              <w:spacing w:line="400" w:lineRule="exact"/>
              <w:rPr>
                <w:rFonts w:ascii="宋体" w:hAnsi="宋体"/>
                <w:color w:val="auto"/>
                <w:szCs w:val="21"/>
                <w:highlight w:val="none"/>
              </w:rPr>
            </w:pPr>
            <w:r>
              <w:rPr>
                <w:rFonts w:hint="eastAsia" w:ascii="宋体" w:hAnsi="宋体"/>
                <w:color w:val="auto"/>
                <w:szCs w:val="21"/>
                <w:highlight w:val="none"/>
              </w:rPr>
              <w:t>说明：</w:t>
            </w:r>
          </w:p>
          <w:p w14:paraId="6AFB9416">
            <w:pPr>
              <w:spacing w:line="400" w:lineRule="exact"/>
              <w:rPr>
                <w:rFonts w:ascii="宋体" w:hAnsi="宋体"/>
                <w:color w:val="auto"/>
                <w:szCs w:val="21"/>
                <w:highlight w:val="none"/>
              </w:rPr>
            </w:pPr>
            <w:r>
              <w:rPr>
                <w:rFonts w:hint="eastAsia" w:ascii="宋体" w:hAnsi="宋体"/>
                <w:color w:val="auto"/>
                <w:szCs w:val="21"/>
                <w:highlight w:val="none"/>
              </w:rPr>
              <w:t>1.评标价指经澄清、补正和修正算术计算错误的投标报价；</w:t>
            </w:r>
          </w:p>
          <w:p w14:paraId="5D03580A">
            <w:pPr>
              <w:spacing w:line="400" w:lineRule="exact"/>
              <w:rPr>
                <w:rFonts w:ascii="宋体" w:hAnsi="宋体"/>
                <w:color w:val="auto"/>
                <w:szCs w:val="21"/>
                <w:highlight w:val="none"/>
              </w:rPr>
            </w:pPr>
            <w:r>
              <w:rPr>
                <w:rFonts w:hint="eastAsia" w:ascii="宋体" w:hAnsi="宋体"/>
                <w:color w:val="auto"/>
                <w:szCs w:val="21"/>
                <w:highlight w:val="none"/>
              </w:rPr>
              <w:t>2.有效投标文件是指未被评标委员会判定为无效标的投标文件。</w:t>
            </w:r>
          </w:p>
        </w:tc>
      </w:tr>
      <w:tr w14:paraId="2D4C99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c>
          <w:tcPr>
            <w:tcW w:w="828" w:type="dxa"/>
            <w:vMerge w:val="restart"/>
            <w:tcBorders>
              <w:top w:val="single" w:color="auto" w:sz="4" w:space="0"/>
              <w:left w:val="single" w:color="auto" w:sz="12" w:space="0"/>
              <w:bottom w:val="single" w:color="auto" w:sz="4" w:space="0"/>
              <w:right w:val="single" w:color="auto" w:sz="4" w:space="0"/>
            </w:tcBorders>
            <w:noWrap w:val="0"/>
            <w:vAlign w:val="center"/>
          </w:tcPr>
          <w:p w14:paraId="57613A3F">
            <w:pPr>
              <w:spacing w:line="400" w:lineRule="exact"/>
              <w:jc w:val="center"/>
              <w:rPr>
                <w:rFonts w:ascii="宋体" w:hAnsi="宋体"/>
                <w:color w:val="auto"/>
                <w:szCs w:val="21"/>
                <w:highlight w:val="none"/>
              </w:rPr>
            </w:pPr>
            <w:r>
              <w:rPr>
                <w:rFonts w:hint="eastAsia" w:ascii="宋体" w:hAnsi="宋体"/>
                <w:color w:val="auto"/>
                <w:szCs w:val="21"/>
                <w:highlight w:val="none"/>
              </w:rPr>
              <w:t>2.2.4</w:t>
            </w:r>
            <w:r>
              <w:rPr>
                <w:rFonts w:hint="eastAsia" w:ascii="宋体" w:hAnsi="宋体"/>
                <w:color w:val="auto"/>
                <w:szCs w:val="21"/>
                <w:highlight w:val="none"/>
                <w:lang w:eastAsia="zh-CN"/>
              </w:rPr>
              <w:t>(</w:t>
            </w:r>
            <w:r>
              <w:rPr>
                <w:rFonts w:hint="eastAsia" w:ascii="宋体" w:hAnsi="宋体"/>
                <w:color w:val="auto"/>
                <w:szCs w:val="21"/>
                <w:highlight w:val="none"/>
              </w:rPr>
              <w:t>3</w:t>
            </w:r>
            <w:r>
              <w:rPr>
                <w:rFonts w:hint="eastAsia" w:ascii="宋体" w:hAnsi="宋体"/>
                <w:color w:val="auto"/>
                <w:szCs w:val="21"/>
                <w:highlight w:val="none"/>
                <w:lang w:eastAsia="zh-CN"/>
              </w:rPr>
              <w:t>)</w:t>
            </w:r>
          </w:p>
        </w:tc>
        <w:tc>
          <w:tcPr>
            <w:tcW w:w="97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0CAB8F9">
            <w:pPr>
              <w:spacing w:line="400" w:lineRule="exact"/>
              <w:jc w:val="center"/>
              <w:rPr>
                <w:rFonts w:ascii="宋体" w:hAnsi="宋体"/>
                <w:color w:val="auto"/>
                <w:szCs w:val="21"/>
                <w:highlight w:val="none"/>
              </w:rPr>
            </w:pPr>
            <w:r>
              <w:rPr>
                <w:rFonts w:hint="eastAsia" w:ascii="宋体" w:hAnsi="宋体"/>
                <w:color w:val="auto"/>
                <w:szCs w:val="21"/>
                <w:highlight w:val="none"/>
              </w:rPr>
              <w:t>项目管理组织方案（</w:t>
            </w:r>
            <w:r>
              <w:rPr>
                <w:rFonts w:hint="eastAsia" w:ascii="宋体" w:hAnsi="宋体"/>
                <w:color w:val="auto"/>
                <w:szCs w:val="21"/>
                <w:highlight w:val="none"/>
                <w:lang w:val="en-US" w:eastAsia="zh-CN"/>
              </w:rPr>
              <w:t>6</w:t>
            </w:r>
            <w:r>
              <w:rPr>
                <w:rFonts w:hint="eastAsia" w:ascii="宋体" w:hAnsi="宋体"/>
                <w:color w:val="auto"/>
                <w:szCs w:val="21"/>
                <w:highlight w:val="none"/>
              </w:rPr>
              <w:t>分）</w:t>
            </w: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14:paraId="2DDE7372">
            <w:pPr>
              <w:spacing w:line="400" w:lineRule="exac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rPr>
              <w:t>总体概述（2分）</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010412EA">
            <w:pPr>
              <w:spacing w:line="400" w:lineRule="exact"/>
              <w:rPr>
                <w:rFonts w:hint="eastAsia"/>
                <w:color w:val="auto"/>
                <w:szCs w:val="21"/>
                <w:highlight w:val="none"/>
              </w:rPr>
            </w:pPr>
            <w:r>
              <w:rPr>
                <w:rFonts w:hint="eastAsia"/>
                <w:color w:val="auto"/>
                <w:szCs w:val="21"/>
                <w:highlight w:val="none"/>
              </w:rPr>
              <w:t>对工程总承包的总体设想、组织形式、各项管理目标及控制措施、设计与施工的协调措施等内容进行评分。</w:t>
            </w:r>
          </w:p>
          <w:p w14:paraId="2ED77652">
            <w:pPr>
              <w:spacing w:line="400" w:lineRule="exact"/>
              <w:rPr>
                <w:rFonts w:hint="eastAsia"/>
                <w:color w:val="auto"/>
                <w:szCs w:val="21"/>
                <w:highlight w:val="none"/>
              </w:rPr>
            </w:pPr>
            <w:r>
              <w:rPr>
                <w:rFonts w:hint="eastAsia"/>
                <w:color w:val="auto"/>
                <w:szCs w:val="21"/>
                <w:highlight w:val="none"/>
              </w:rPr>
              <w:t>组织合理、措施完整得</w:t>
            </w:r>
            <w:r>
              <w:rPr>
                <w:color w:val="auto"/>
                <w:szCs w:val="21"/>
                <w:highlight w:val="none"/>
              </w:rPr>
              <w:t>1.8</w:t>
            </w:r>
            <w:r>
              <w:rPr>
                <w:rFonts w:hint="eastAsia"/>
                <w:color w:val="auto"/>
                <w:szCs w:val="21"/>
                <w:highlight w:val="none"/>
              </w:rPr>
              <w:t>-2分，一般得</w:t>
            </w:r>
            <w:r>
              <w:rPr>
                <w:color w:val="auto"/>
                <w:szCs w:val="21"/>
                <w:highlight w:val="none"/>
              </w:rPr>
              <w:t>1.6</w:t>
            </w:r>
            <w:r>
              <w:rPr>
                <w:rFonts w:hint="eastAsia"/>
                <w:color w:val="auto"/>
                <w:szCs w:val="21"/>
                <w:highlight w:val="none"/>
              </w:rPr>
              <w:t>-1.</w:t>
            </w:r>
            <w:r>
              <w:rPr>
                <w:color w:val="auto"/>
                <w:szCs w:val="21"/>
                <w:highlight w:val="none"/>
              </w:rPr>
              <w:t>8</w:t>
            </w:r>
            <w:r>
              <w:rPr>
                <w:rFonts w:hint="eastAsia"/>
                <w:color w:val="auto"/>
                <w:szCs w:val="21"/>
                <w:highlight w:val="none"/>
              </w:rPr>
              <w:t>分，较差得1.4-1</w:t>
            </w:r>
            <w:r>
              <w:rPr>
                <w:color w:val="auto"/>
                <w:szCs w:val="21"/>
                <w:highlight w:val="none"/>
              </w:rPr>
              <w:t>.6</w:t>
            </w:r>
            <w:r>
              <w:rPr>
                <w:rFonts w:hint="eastAsia"/>
                <w:color w:val="auto"/>
                <w:szCs w:val="21"/>
                <w:highlight w:val="none"/>
              </w:rPr>
              <w:t>分，未提供不得分。</w:t>
            </w:r>
          </w:p>
        </w:tc>
      </w:tr>
      <w:tr w14:paraId="23112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c>
          <w:tcPr>
            <w:tcW w:w="828" w:type="dxa"/>
            <w:vMerge w:val="continue"/>
            <w:tcBorders>
              <w:top w:val="single" w:color="auto" w:sz="4" w:space="0"/>
              <w:left w:val="single" w:color="auto" w:sz="12" w:space="0"/>
              <w:bottom w:val="single" w:color="auto" w:sz="4" w:space="0"/>
              <w:right w:val="single" w:color="auto" w:sz="4" w:space="0"/>
            </w:tcBorders>
            <w:noWrap w:val="0"/>
            <w:vAlign w:val="center"/>
          </w:tcPr>
          <w:p w14:paraId="7E935919">
            <w:pPr>
              <w:spacing w:line="400" w:lineRule="exact"/>
              <w:jc w:val="center"/>
              <w:rPr>
                <w:rFonts w:ascii="宋体" w:hAnsi="宋体"/>
                <w:color w:val="auto"/>
                <w:szCs w:val="21"/>
                <w:highlight w:val="none"/>
              </w:rPr>
            </w:pPr>
          </w:p>
        </w:tc>
        <w:tc>
          <w:tcPr>
            <w:tcW w:w="97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9F61D79">
            <w:pPr>
              <w:spacing w:line="400" w:lineRule="exact"/>
              <w:jc w:val="center"/>
              <w:rPr>
                <w:rFonts w:ascii="宋体" w:hAnsi="宋体"/>
                <w:color w:val="auto"/>
                <w:szCs w:val="21"/>
                <w:highlight w:val="none"/>
              </w:rPr>
            </w:pP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14:paraId="120F3FF1">
            <w:pPr>
              <w:spacing w:line="400" w:lineRule="exact"/>
              <w:rPr>
                <w:rFonts w:ascii="宋体" w:hAnsi="宋体"/>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设计管理方案（1分）</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3688B715">
            <w:pPr>
              <w:spacing w:line="400" w:lineRule="exact"/>
              <w:rPr>
                <w:rFonts w:hint="eastAsia"/>
                <w:color w:val="auto"/>
                <w:szCs w:val="21"/>
                <w:highlight w:val="none"/>
              </w:rPr>
            </w:pPr>
            <w:r>
              <w:rPr>
                <w:rFonts w:hint="eastAsia"/>
                <w:color w:val="auto"/>
                <w:szCs w:val="21"/>
                <w:highlight w:val="none"/>
              </w:rPr>
              <w:t>对设计执行计划、设计组织实施方案、设计控制措施、设计收尾等内容进行评分。</w:t>
            </w:r>
          </w:p>
          <w:p w14:paraId="75BE1409">
            <w:pPr>
              <w:spacing w:line="400" w:lineRule="exact"/>
              <w:rPr>
                <w:rFonts w:hint="eastAsia"/>
                <w:color w:val="auto"/>
                <w:szCs w:val="21"/>
                <w:highlight w:val="none"/>
              </w:rPr>
            </w:pPr>
            <w:r>
              <w:rPr>
                <w:rFonts w:hint="eastAsia"/>
                <w:color w:val="auto"/>
                <w:szCs w:val="21"/>
                <w:highlight w:val="none"/>
              </w:rPr>
              <w:t>措施完整、方案合理、计划可行得0.9-1分，较合理得0.8-0.9分，一般得0.7-0.8分，未提供不得分。</w:t>
            </w:r>
          </w:p>
        </w:tc>
      </w:tr>
      <w:tr w14:paraId="62AAE5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c>
          <w:tcPr>
            <w:tcW w:w="828" w:type="dxa"/>
            <w:vMerge w:val="continue"/>
            <w:tcBorders>
              <w:top w:val="single" w:color="auto" w:sz="4" w:space="0"/>
              <w:left w:val="single" w:color="auto" w:sz="12" w:space="0"/>
              <w:bottom w:val="single" w:color="auto" w:sz="4" w:space="0"/>
              <w:right w:val="single" w:color="auto" w:sz="4" w:space="0"/>
            </w:tcBorders>
            <w:noWrap w:val="0"/>
            <w:vAlign w:val="center"/>
          </w:tcPr>
          <w:p w14:paraId="4E41233C">
            <w:pPr>
              <w:spacing w:line="400" w:lineRule="exact"/>
              <w:jc w:val="center"/>
              <w:rPr>
                <w:rFonts w:ascii="宋体" w:hAnsi="宋体"/>
                <w:color w:val="auto"/>
                <w:szCs w:val="21"/>
                <w:highlight w:val="none"/>
              </w:rPr>
            </w:pPr>
          </w:p>
        </w:tc>
        <w:tc>
          <w:tcPr>
            <w:tcW w:w="97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B5D8D67">
            <w:pPr>
              <w:spacing w:line="400" w:lineRule="exact"/>
              <w:jc w:val="center"/>
              <w:rPr>
                <w:rFonts w:ascii="宋体" w:hAnsi="宋体"/>
                <w:color w:val="auto"/>
                <w:szCs w:val="21"/>
                <w:highlight w:val="none"/>
              </w:rPr>
            </w:pP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14:paraId="1F63DB00">
            <w:pPr>
              <w:spacing w:line="400" w:lineRule="exac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施工管理方案（2分）</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5979FFB4">
            <w:pPr>
              <w:spacing w:line="400" w:lineRule="exact"/>
              <w:rPr>
                <w:rFonts w:hint="eastAsia"/>
                <w:color w:val="auto"/>
                <w:szCs w:val="21"/>
                <w:highlight w:val="none"/>
              </w:rPr>
            </w:pPr>
            <w:r>
              <w:rPr>
                <w:rFonts w:hint="eastAsia"/>
                <w:color w:val="auto"/>
                <w:szCs w:val="21"/>
                <w:highlight w:val="none"/>
              </w:rPr>
              <w:t>对施工执行计划、施工进度控制、施工费用控制、施工质量控制、施工安全管理、施工现场管理、施工变更管理等内容进行评分。</w:t>
            </w:r>
          </w:p>
          <w:p w14:paraId="2CEE1087">
            <w:pPr>
              <w:spacing w:line="400" w:lineRule="exact"/>
              <w:rPr>
                <w:rFonts w:hint="eastAsia"/>
                <w:color w:val="auto"/>
                <w:szCs w:val="21"/>
                <w:highlight w:val="none"/>
              </w:rPr>
            </w:pPr>
            <w:r>
              <w:rPr>
                <w:rFonts w:hint="eastAsia"/>
                <w:color w:val="auto"/>
                <w:szCs w:val="21"/>
                <w:highlight w:val="none"/>
              </w:rPr>
              <w:t>管理方案全面、计划可行得1.8-2分，一般得1.6-1.8分，较差得1.4-1.6分，未提供不得分。</w:t>
            </w:r>
          </w:p>
        </w:tc>
      </w:tr>
      <w:tr w14:paraId="3F03E7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c>
          <w:tcPr>
            <w:tcW w:w="828" w:type="dxa"/>
            <w:vMerge w:val="continue"/>
            <w:tcBorders>
              <w:top w:val="single" w:color="auto" w:sz="4" w:space="0"/>
              <w:left w:val="single" w:color="auto" w:sz="12" w:space="0"/>
              <w:bottom w:val="single" w:color="auto" w:sz="4" w:space="0"/>
              <w:right w:val="single" w:color="auto" w:sz="4" w:space="0"/>
            </w:tcBorders>
            <w:noWrap w:val="0"/>
            <w:vAlign w:val="center"/>
          </w:tcPr>
          <w:p w14:paraId="2A5F8528">
            <w:pPr>
              <w:spacing w:line="400" w:lineRule="exact"/>
              <w:jc w:val="center"/>
              <w:rPr>
                <w:rFonts w:ascii="宋体" w:hAnsi="宋体"/>
                <w:color w:val="auto"/>
                <w:szCs w:val="21"/>
                <w:highlight w:val="none"/>
              </w:rPr>
            </w:pPr>
          </w:p>
        </w:tc>
        <w:tc>
          <w:tcPr>
            <w:tcW w:w="97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6E14E5F">
            <w:pPr>
              <w:spacing w:line="400" w:lineRule="exact"/>
              <w:jc w:val="center"/>
              <w:rPr>
                <w:rFonts w:ascii="宋体" w:hAnsi="宋体"/>
                <w:color w:val="auto"/>
                <w:szCs w:val="21"/>
                <w:highlight w:val="none"/>
              </w:rPr>
            </w:pP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14:paraId="31F57296">
            <w:pPr>
              <w:spacing w:line="400" w:lineRule="exac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采购管理方案（1分）</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10C07F15">
            <w:pPr>
              <w:spacing w:line="400" w:lineRule="exact"/>
              <w:rPr>
                <w:rFonts w:hint="eastAsia"/>
                <w:color w:val="auto"/>
                <w:szCs w:val="21"/>
                <w:highlight w:val="none"/>
              </w:rPr>
            </w:pPr>
            <w:r>
              <w:rPr>
                <w:rFonts w:hint="eastAsia"/>
                <w:color w:val="auto"/>
                <w:szCs w:val="21"/>
                <w:highlight w:val="none"/>
              </w:rPr>
              <w:t>对采购工作程序、采购执行计划、采买、催交与检验、运输与交付、采购变更管理、仓储管理等内容进行评分。</w:t>
            </w:r>
          </w:p>
          <w:p w14:paraId="0BD8EF9D">
            <w:pPr>
              <w:spacing w:line="400" w:lineRule="exact"/>
              <w:rPr>
                <w:rFonts w:hint="eastAsia"/>
                <w:color w:val="auto"/>
                <w:szCs w:val="21"/>
                <w:highlight w:val="none"/>
              </w:rPr>
            </w:pPr>
            <w:r>
              <w:rPr>
                <w:rFonts w:hint="eastAsia"/>
                <w:color w:val="auto"/>
                <w:szCs w:val="21"/>
                <w:highlight w:val="none"/>
              </w:rPr>
              <w:t>管理方案全面、计划可行得0.9-1分，较合理得0.8-0.9分，一般得0.7-0.8分，未提供不得分。</w:t>
            </w:r>
          </w:p>
        </w:tc>
      </w:tr>
      <w:tr w14:paraId="58C397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c>
          <w:tcPr>
            <w:tcW w:w="828" w:type="dxa"/>
            <w:vMerge w:val="continue"/>
            <w:tcBorders>
              <w:top w:val="single" w:color="auto" w:sz="4" w:space="0"/>
              <w:left w:val="single" w:color="auto" w:sz="12" w:space="0"/>
              <w:bottom w:val="single" w:color="auto" w:sz="4" w:space="0"/>
              <w:right w:val="single" w:color="auto" w:sz="4" w:space="0"/>
            </w:tcBorders>
            <w:noWrap w:val="0"/>
            <w:vAlign w:val="center"/>
          </w:tcPr>
          <w:p w14:paraId="6CCCC86B">
            <w:pPr>
              <w:spacing w:line="400" w:lineRule="exact"/>
              <w:jc w:val="center"/>
              <w:rPr>
                <w:rFonts w:ascii="宋体" w:hAnsi="宋体"/>
                <w:color w:val="auto"/>
                <w:szCs w:val="21"/>
                <w:highlight w:val="none"/>
              </w:rPr>
            </w:pPr>
          </w:p>
        </w:tc>
        <w:tc>
          <w:tcPr>
            <w:tcW w:w="97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1C6D838">
            <w:pPr>
              <w:spacing w:line="400" w:lineRule="exact"/>
              <w:jc w:val="center"/>
              <w:rPr>
                <w:rFonts w:ascii="宋体" w:hAnsi="宋体"/>
                <w:color w:val="auto"/>
                <w:szCs w:val="21"/>
                <w:highlight w:val="none"/>
              </w:rPr>
            </w:pPr>
          </w:p>
        </w:tc>
        <w:tc>
          <w:tcPr>
            <w:tcW w:w="6899" w:type="dxa"/>
            <w:gridSpan w:val="3"/>
            <w:tcBorders>
              <w:top w:val="single" w:color="auto" w:sz="4" w:space="0"/>
              <w:left w:val="single" w:color="auto" w:sz="4" w:space="0"/>
              <w:bottom w:val="single" w:color="auto" w:sz="4" w:space="0"/>
              <w:right w:val="single" w:color="auto" w:sz="12" w:space="0"/>
            </w:tcBorders>
            <w:noWrap w:val="0"/>
            <w:vAlign w:val="center"/>
          </w:tcPr>
          <w:p w14:paraId="217811B1">
            <w:pPr>
              <w:spacing w:line="400" w:lineRule="exact"/>
              <w:rPr>
                <w:rFonts w:ascii="宋体" w:hAnsi="宋体"/>
                <w:color w:val="auto"/>
                <w:szCs w:val="21"/>
                <w:highlight w:val="none"/>
              </w:rPr>
            </w:pPr>
            <w:r>
              <w:rPr>
                <w:rFonts w:hint="eastAsia" w:ascii="宋体" w:hAnsi="宋体"/>
                <w:color w:val="auto"/>
                <w:szCs w:val="21"/>
                <w:highlight w:val="none"/>
              </w:rPr>
              <w:t>注：1、招标人可根据项目的实际情况选择增加上述各评分因素，但“评审项”分值不得调整；也可在招标文件中细化明确评分标准的内容，但一般不得突破各评分因素的规定分值。</w:t>
            </w:r>
          </w:p>
          <w:p w14:paraId="21107AF6">
            <w:pPr>
              <w:spacing w:line="400" w:lineRule="exact"/>
              <w:rPr>
                <w:rFonts w:ascii="宋体" w:hAnsi="宋体"/>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项目管理组织方案总篇幅不超过100页，每超过1页扣0.02分，最多扣</w:t>
            </w:r>
            <w:r>
              <w:rPr>
                <w:rFonts w:hint="eastAsia" w:ascii="宋体" w:hAnsi="宋体"/>
                <w:color w:val="auto"/>
                <w:szCs w:val="21"/>
                <w:highlight w:val="none"/>
                <w:lang w:val="en-US" w:eastAsia="zh-CN"/>
              </w:rPr>
              <w:t>5</w:t>
            </w:r>
            <w:r>
              <w:rPr>
                <w:rFonts w:hint="eastAsia" w:ascii="宋体" w:hAnsi="宋体"/>
                <w:color w:val="auto"/>
                <w:szCs w:val="21"/>
                <w:highlight w:val="none"/>
              </w:rPr>
              <w:t>分。</w:t>
            </w:r>
          </w:p>
          <w:p w14:paraId="5931F696">
            <w:pPr>
              <w:spacing w:line="400" w:lineRule="exac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项目管理组织方案各评分点得分应当取所有技术标评委评分中分别去掉一个最高和最低评分后的平均值为最终得分。项目管理组织方案中（项目管理机构评分点除外）除缺少相应内容的评审要点不得分外，</w:t>
            </w:r>
            <w:r>
              <w:rPr>
                <w:rFonts w:hint="eastAsia" w:ascii="宋体" w:hAnsi="宋体"/>
                <w:color w:val="auto"/>
                <w:szCs w:val="21"/>
                <w:highlight w:val="none"/>
                <w:lang w:eastAsia="zh-CN"/>
              </w:rPr>
              <w:t>其他</w:t>
            </w:r>
            <w:r>
              <w:rPr>
                <w:rFonts w:hint="eastAsia" w:ascii="宋体" w:hAnsi="宋体"/>
                <w:color w:val="auto"/>
                <w:szCs w:val="21"/>
                <w:highlight w:val="none"/>
              </w:rPr>
              <w:t>各项评审要点得分不应低于该评审要点满分的70%。</w:t>
            </w:r>
          </w:p>
        </w:tc>
      </w:tr>
      <w:tr w14:paraId="1BDD4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c>
          <w:tcPr>
            <w:tcW w:w="828" w:type="dxa"/>
            <w:tcBorders>
              <w:top w:val="single" w:color="auto" w:sz="4" w:space="0"/>
              <w:left w:val="single" w:color="auto" w:sz="12" w:space="0"/>
              <w:bottom w:val="single" w:color="auto" w:sz="4" w:space="0"/>
              <w:right w:val="single" w:color="auto" w:sz="4" w:space="0"/>
            </w:tcBorders>
            <w:noWrap w:val="0"/>
            <w:vAlign w:val="center"/>
          </w:tcPr>
          <w:p w14:paraId="2BB0CCA7">
            <w:pPr>
              <w:spacing w:line="400" w:lineRule="exact"/>
              <w:jc w:val="center"/>
              <w:rPr>
                <w:rFonts w:hint="eastAsia" w:ascii="宋体" w:hAnsi="宋体"/>
                <w:color w:val="auto"/>
                <w:szCs w:val="21"/>
                <w:highlight w:val="none"/>
              </w:rPr>
            </w:pPr>
            <w:r>
              <w:rPr>
                <w:rFonts w:hint="eastAsia" w:ascii="宋体" w:hAnsi="宋体"/>
                <w:color w:val="auto"/>
                <w:szCs w:val="21"/>
                <w:highlight w:val="none"/>
              </w:rPr>
              <w:t>2.2.4</w:t>
            </w:r>
            <w:r>
              <w:rPr>
                <w:rFonts w:hint="eastAsia" w:ascii="宋体" w:hAnsi="宋体"/>
                <w:color w:val="auto"/>
                <w:szCs w:val="21"/>
                <w:highlight w:val="none"/>
                <w:lang w:eastAsia="zh-CN"/>
              </w:rPr>
              <w:t>(</w:t>
            </w:r>
            <w:r>
              <w:rPr>
                <w:rFonts w:hint="eastAsia" w:ascii="宋体" w:hAnsi="宋体"/>
                <w:color w:val="auto"/>
                <w:szCs w:val="21"/>
                <w:highlight w:val="none"/>
              </w:rPr>
              <w:t>4</w:t>
            </w:r>
            <w:r>
              <w:rPr>
                <w:rFonts w:hint="eastAsia" w:ascii="宋体" w:hAnsi="宋体"/>
                <w:color w:val="auto"/>
                <w:szCs w:val="21"/>
                <w:highlight w:val="none"/>
                <w:lang w:eastAsia="zh-CN"/>
              </w:rPr>
              <w:t>)</w:t>
            </w:r>
          </w:p>
        </w:tc>
        <w:tc>
          <w:tcPr>
            <w:tcW w:w="973" w:type="dxa"/>
            <w:gridSpan w:val="2"/>
            <w:tcBorders>
              <w:top w:val="single" w:color="auto" w:sz="4" w:space="0"/>
              <w:left w:val="single" w:color="auto" w:sz="4" w:space="0"/>
              <w:bottom w:val="single" w:color="auto" w:sz="4" w:space="0"/>
              <w:right w:val="single" w:color="auto" w:sz="4" w:space="0"/>
            </w:tcBorders>
            <w:noWrap w:val="0"/>
            <w:vAlign w:val="center"/>
          </w:tcPr>
          <w:p w14:paraId="15FC6A92">
            <w:pPr>
              <w:spacing w:line="400" w:lineRule="exact"/>
              <w:jc w:val="center"/>
              <w:rPr>
                <w:rFonts w:hint="eastAsia" w:ascii="宋体" w:hAnsi="宋体"/>
                <w:color w:val="auto"/>
                <w:szCs w:val="21"/>
                <w:highlight w:val="none"/>
              </w:rPr>
            </w:pPr>
            <w:r>
              <w:rPr>
                <w:rFonts w:hint="eastAsia" w:ascii="宋体" w:hAnsi="宋体"/>
                <w:color w:val="auto"/>
                <w:szCs w:val="21"/>
                <w:highlight w:val="none"/>
              </w:rPr>
              <w:t>项目管理机构（3分）</w:t>
            </w:r>
          </w:p>
        </w:tc>
        <w:tc>
          <w:tcPr>
            <w:tcW w:w="6899" w:type="dxa"/>
            <w:gridSpan w:val="3"/>
            <w:tcBorders>
              <w:top w:val="single" w:color="auto" w:sz="4" w:space="0"/>
              <w:left w:val="single" w:color="auto" w:sz="4" w:space="0"/>
              <w:bottom w:val="single" w:color="auto" w:sz="4" w:space="0"/>
              <w:right w:val="single" w:color="auto" w:sz="12" w:space="0"/>
            </w:tcBorders>
            <w:noWrap w:val="0"/>
            <w:vAlign w:val="center"/>
          </w:tcPr>
          <w:p w14:paraId="50844B21">
            <w:pPr>
              <w:spacing w:line="400" w:lineRule="exact"/>
              <w:rPr>
                <w:rFonts w:ascii="宋体" w:hAnsi="宋体"/>
                <w:color w:val="auto"/>
                <w:szCs w:val="21"/>
                <w:highlight w:val="none"/>
              </w:rPr>
            </w:pPr>
            <w:r>
              <w:rPr>
                <w:rFonts w:hint="eastAsia" w:ascii="宋体" w:hAnsi="宋体"/>
                <w:color w:val="auto"/>
                <w:szCs w:val="21"/>
                <w:highlight w:val="none"/>
              </w:rPr>
              <w:t>1、项目组其他主要设计人员配备齐全(规划专业工程师1名、结构工程师1名、给排水工程师1名、电气工程师1名、暖通工程师1名、造价工程师1名</w:t>
            </w:r>
            <w:r>
              <w:rPr>
                <w:rFonts w:hint="eastAsia" w:ascii="宋体" w:hAnsi="宋体"/>
                <w:color w:val="auto"/>
                <w:szCs w:val="21"/>
                <w:highlight w:val="none"/>
                <w:lang w:val="en-US" w:eastAsia="zh-CN"/>
              </w:rPr>
              <w:t>)</w:t>
            </w:r>
            <w:r>
              <w:rPr>
                <w:rFonts w:hint="eastAsia" w:ascii="宋体" w:hAnsi="宋体"/>
                <w:color w:val="auto"/>
                <w:szCs w:val="21"/>
                <w:highlight w:val="none"/>
              </w:rPr>
              <w:t>具有相关专业的注册执业资格证书且具备高级技术职称。每1人满足要求得0.5分，本项最高3分。一人多证的情况下，不重复得分。以上人员要求提供相关证书原件扫描件及投标人近三个月（2025年</w:t>
            </w:r>
            <w:r>
              <w:rPr>
                <w:rFonts w:hint="eastAsia" w:ascii="宋体" w:hAnsi="宋体"/>
                <w:color w:val="auto"/>
                <w:szCs w:val="21"/>
                <w:highlight w:val="none"/>
                <w:lang w:val="en-US" w:eastAsia="zh-CN"/>
              </w:rPr>
              <w:t>11</w:t>
            </w:r>
            <w:r>
              <w:rPr>
                <w:rFonts w:hint="eastAsia" w:ascii="宋体" w:hAnsi="宋体"/>
                <w:color w:val="auto"/>
                <w:szCs w:val="21"/>
                <w:highlight w:val="none"/>
              </w:rPr>
              <w:t>月至202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1</w:t>
            </w:r>
            <w:r>
              <w:rPr>
                <w:rFonts w:hint="eastAsia" w:ascii="宋体" w:hAnsi="宋体"/>
                <w:color w:val="auto"/>
                <w:szCs w:val="21"/>
                <w:highlight w:val="none"/>
              </w:rPr>
              <w:t>月）任意一个月为其缴纳的养老保险证明，否则不计分（应提供由劳动部门出具的养老保险证明;如当地社保管理部门明确的最大查询期与招标文件规定的月份不一致时，须提供社保管理部门的文件规定;已退休人员提供退休证明，高等院校、科研机构、军事管理等部门从事工程设计、施工的技术人员不能提供养老保险缴纳证明的，由所在单位上级人事主管部门提供相应的证明材料），一人多证的情况下不重复得分。</w:t>
            </w:r>
          </w:p>
        </w:tc>
      </w:tr>
      <w:tr w14:paraId="3B34644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57" w:type="dxa"/>
            <w:left w:w="108" w:type="dxa"/>
            <w:bottom w:w="57" w:type="dxa"/>
            <w:right w:w="108" w:type="dxa"/>
          </w:tblCellMar>
        </w:tblPrEx>
        <w:tc>
          <w:tcPr>
            <w:tcW w:w="8700" w:type="dxa"/>
            <w:gridSpan w:val="6"/>
            <w:tcBorders>
              <w:top w:val="single" w:color="auto" w:sz="4" w:space="0"/>
              <w:left w:val="single" w:color="auto" w:sz="12" w:space="0"/>
              <w:bottom w:val="single" w:color="auto" w:sz="4" w:space="0"/>
              <w:right w:val="single" w:color="auto" w:sz="12" w:space="0"/>
            </w:tcBorders>
            <w:noWrap w:val="0"/>
            <w:vAlign w:val="center"/>
          </w:tcPr>
          <w:p w14:paraId="01FF7CA1">
            <w:pPr>
              <w:spacing w:line="400" w:lineRule="exact"/>
              <w:jc w:val="center"/>
              <w:rPr>
                <w:rFonts w:hint="default" w:eastAsia="黑体"/>
                <w:b/>
                <w:bCs/>
                <w:color w:val="auto"/>
                <w:highlight w:val="none"/>
                <w:lang w:val="en-US" w:eastAsia="zh-CN"/>
              </w:rPr>
            </w:pPr>
            <w:r>
              <w:rPr>
                <w:rFonts w:hint="eastAsia" w:ascii="黑体" w:hAnsi="黑体" w:eastAsia="黑体"/>
                <w:b/>
                <w:bCs/>
                <w:color w:val="auto"/>
                <w:sz w:val="24"/>
                <w:highlight w:val="none"/>
                <w:lang w:val="en-US" w:eastAsia="zh-CN"/>
              </w:rPr>
              <w:t>评标的其他要求</w:t>
            </w:r>
          </w:p>
        </w:tc>
      </w:tr>
      <w:tr w14:paraId="2465F3F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57" w:type="dxa"/>
            <w:left w:w="108" w:type="dxa"/>
            <w:bottom w:w="57" w:type="dxa"/>
            <w:right w:w="108" w:type="dxa"/>
          </w:tblCellMar>
        </w:tblPrEx>
        <w:tc>
          <w:tcPr>
            <w:tcW w:w="1943" w:type="dxa"/>
            <w:gridSpan w:val="4"/>
            <w:tcBorders>
              <w:top w:val="single" w:color="auto" w:sz="4" w:space="0"/>
              <w:left w:val="single" w:color="auto" w:sz="12" w:space="0"/>
              <w:bottom w:val="single" w:color="auto" w:sz="4" w:space="0"/>
              <w:right w:val="single" w:color="auto" w:sz="4" w:space="0"/>
            </w:tcBorders>
            <w:shd w:val="clear" w:color="auto" w:fill="E8E8E8"/>
            <w:noWrap w:val="0"/>
            <w:vAlign w:val="center"/>
          </w:tcPr>
          <w:p w14:paraId="627D669F">
            <w:pPr>
              <w:spacing w:line="440" w:lineRule="exact"/>
              <w:jc w:val="center"/>
              <w:rPr>
                <w:b/>
                <w:color w:val="auto"/>
                <w:szCs w:val="21"/>
                <w:highlight w:val="none"/>
              </w:rPr>
            </w:pPr>
            <w:r>
              <w:rPr>
                <w:rFonts w:hint="eastAsia"/>
                <w:b/>
                <w:color w:val="auto"/>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shd w:val="clear" w:color="auto" w:fill="E8E8E8"/>
            <w:noWrap w:val="0"/>
            <w:vAlign w:val="center"/>
          </w:tcPr>
          <w:p w14:paraId="40E2195E">
            <w:pPr>
              <w:spacing w:line="440" w:lineRule="exact"/>
              <w:jc w:val="center"/>
              <w:rPr>
                <w:b/>
                <w:color w:val="auto"/>
                <w:szCs w:val="21"/>
                <w:highlight w:val="none"/>
              </w:rPr>
            </w:pPr>
            <w:r>
              <w:rPr>
                <w:rFonts w:hint="eastAsia"/>
                <w:b/>
                <w:color w:val="auto"/>
                <w:szCs w:val="21"/>
                <w:highlight w:val="none"/>
              </w:rPr>
              <w:t>条 款 内 容</w:t>
            </w:r>
          </w:p>
        </w:tc>
        <w:tc>
          <w:tcPr>
            <w:tcW w:w="4489" w:type="dxa"/>
            <w:tcBorders>
              <w:top w:val="single" w:color="auto" w:sz="4" w:space="0"/>
              <w:left w:val="single" w:color="auto" w:sz="4" w:space="0"/>
              <w:bottom w:val="single" w:color="auto" w:sz="4" w:space="0"/>
              <w:right w:val="single" w:color="auto" w:sz="12" w:space="0"/>
            </w:tcBorders>
            <w:shd w:val="clear" w:color="auto" w:fill="E8E8E8"/>
            <w:noWrap w:val="0"/>
            <w:vAlign w:val="center"/>
          </w:tcPr>
          <w:p w14:paraId="40F6B895">
            <w:pPr>
              <w:spacing w:line="440" w:lineRule="exact"/>
              <w:jc w:val="center"/>
              <w:rPr>
                <w:rFonts w:hint="eastAsia"/>
                <w:b/>
                <w:color w:val="auto"/>
                <w:szCs w:val="21"/>
                <w:highlight w:val="none"/>
              </w:rPr>
            </w:pPr>
            <w:r>
              <w:rPr>
                <w:rFonts w:hint="eastAsia"/>
                <w:b/>
                <w:color w:val="auto"/>
                <w:szCs w:val="21"/>
                <w:highlight w:val="none"/>
              </w:rPr>
              <w:t>评分/评审标准</w:t>
            </w:r>
          </w:p>
        </w:tc>
      </w:tr>
      <w:tr w14:paraId="4C41007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57" w:type="dxa"/>
            <w:left w:w="108" w:type="dxa"/>
            <w:bottom w:w="57" w:type="dxa"/>
            <w:right w:w="108" w:type="dxa"/>
          </w:tblCellMar>
        </w:tblPrEx>
        <w:tc>
          <w:tcPr>
            <w:tcW w:w="1943" w:type="dxa"/>
            <w:gridSpan w:val="4"/>
            <w:tcBorders>
              <w:top w:val="single" w:color="auto" w:sz="4" w:space="0"/>
              <w:left w:val="single" w:color="auto" w:sz="12" w:space="0"/>
              <w:bottom w:val="single" w:color="auto" w:sz="4" w:space="0"/>
              <w:right w:val="single" w:color="auto" w:sz="4" w:space="0"/>
            </w:tcBorders>
            <w:noWrap w:val="0"/>
            <w:vAlign w:val="center"/>
          </w:tcPr>
          <w:p w14:paraId="22F2E6B9">
            <w:pPr>
              <w:spacing w:line="400" w:lineRule="exact"/>
              <w:jc w:val="center"/>
              <w:rPr>
                <w:rFonts w:hint="eastAsia" w:ascii="宋体" w:hAnsi="宋体" w:eastAsia="宋体"/>
                <w:color w:val="auto"/>
                <w:highlight w:val="none"/>
                <w:lang w:val="en-US" w:eastAsia="zh-CN"/>
              </w:rPr>
            </w:pPr>
            <w:r>
              <w:rPr>
                <w:rFonts w:hint="eastAsia" w:ascii="宋体" w:hAnsi="宋体"/>
                <w:color w:val="auto"/>
                <w:highlight w:val="none"/>
              </w:rPr>
              <w:t>4.1.</w:t>
            </w:r>
            <w:r>
              <w:rPr>
                <w:rFonts w:hint="eastAsia" w:ascii="宋体" w:hAnsi="宋体"/>
                <w:color w:val="auto"/>
                <w:highlight w:val="none"/>
                <w:lang w:val="en-US" w:eastAsia="zh-CN"/>
              </w:rPr>
              <w:t>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ECBC462">
            <w:pPr>
              <w:spacing w:line="400" w:lineRule="exact"/>
              <w:rPr>
                <w:rFonts w:hint="eastAsia" w:eastAsia="宋体"/>
                <w:color w:val="auto"/>
                <w:highlight w:val="none"/>
                <w:lang w:eastAsia="zh-CN"/>
              </w:rPr>
            </w:pPr>
            <w:r>
              <w:rPr>
                <w:rFonts w:hint="eastAsia"/>
                <w:color w:val="auto"/>
                <w:highlight w:val="none"/>
              </w:rPr>
              <w:t>设计文件合格</w:t>
            </w:r>
            <w:r>
              <w:rPr>
                <w:rFonts w:hint="eastAsia"/>
                <w:color w:val="auto"/>
                <w:highlight w:val="none"/>
                <w:lang w:val="en-US" w:eastAsia="zh-CN"/>
              </w:rPr>
              <w:t>分</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7264FF8B">
            <w:pPr>
              <w:spacing w:line="400" w:lineRule="exact"/>
              <w:jc w:val="left"/>
              <w:rPr>
                <w:rFonts w:hint="eastAsia"/>
                <w:color w:val="auto"/>
                <w:highlight w:val="none"/>
              </w:rPr>
            </w:pPr>
            <w:r>
              <w:rPr>
                <w:rFonts w:hint="eastAsia"/>
                <w:color w:val="auto"/>
                <w:highlight w:val="none"/>
              </w:rPr>
              <w:t>合格分：</w:t>
            </w:r>
            <w:r>
              <w:rPr>
                <w:rFonts w:hint="eastAsia"/>
                <w:color w:val="auto"/>
                <w:highlight w:val="none"/>
                <w:u w:val="single"/>
                <w:lang w:val="en-US" w:eastAsia="zh-CN"/>
              </w:rPr>
              <w:t>21</w:t>
            </w:r>
            <w:r>
              <w:rPr>
                <w:rFonts w:hint="eastAsia"/>
                <w:color w:val="auto"/>
                <w:highlight w:val="none"/>
              </w:rPr>
              <w:t>（不少于</w:t>
            </w:r>
            <w:r>
              <w:rPr>
                <w:rFonts w:hint="eastAsia"/>
                <w:color w:val="auto"/>
                <w:highlight w:val="none"/>
                <w:lang w:val="en-US" w:eastAsia="zh-CN"/>
              </w:rPr>
              <w:t>设计文件总分值的</w:t>
            </w:r>
            <w:r>
              <w:rPr>
                <w:rFonts w:hint="eastAsia"/>
                <w:color w:val="auto"/>
                <w:highlight w:val="none"/>
              </w:rPr>
              <w:t>60%）</w:t>
            </w:r>
          </w:p>
        </w:tc>
      </w:tr>
      <w:tr w14:paraId="0ECFD80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57" w:type="dxa"/>
            <w:left w:w="108" w:type="dxa"/>
            <w:bottom w:w="57" w:type="dxa"/>
            <w:right w:w="108" w:type="dxa"/>
          </w:tblCellMar>
        </w:tblPrEx>
        <w:tc>
          <w:tcPr>
            <w:tcW w:w="1943" w:type="dxa"/>
            <w:gridSpan w:val="4"/>
            <w:tcBorders>
              <w:top w:val="single" w:color="auto" w:sz="4" w:space="0"/>
              <w:left w:val="single" w:color="auto" w:sz="12" w:space="0"/>
              <w:bottom w:val="single" w:color="auto" w:sz="4" w:space="0"/>
              <w:right w:val="single" w:color="auto" w:sz="4" w:space="0"/>
            </w:tcBorders>
            <w:noWrap w:val="0"/>
            <w:vAlign w:val="center"/>
          </w:tcPr>
          <w:p w14:paraId="7D905CED">
            <w:pPr>
              <w:spacing w:line="400" w:lineRule="exact"/>
              <w:jc w:val="center"/>
              <w:rPr>
                <w:rFonts w:hint="eastAsia" w:ascii="宋体" w:hAnsi="宋体" w:eastAsia="宋体"/>
                <w:color w:val="auto"/>
                <w:highlight w:val="none"/>
                <w:lang w:val="en-US" w:eastAsia="zh-CN"/>
              </w:rPr>
            </w:pPr>
            <w:r>
              <w:rPr>
                <w:rFonts w:hint="eastAsia" w:ascii="宋体" w:hAnsi="宋体"/>
                <w:color w:val="auto"/>
                <w:highlight w:val="none"/>
              </w:rPr>
              <w:t>4.1.</w:t>
            </w:r>
            <w:r>
              <w:rPr>
                <w:rFonts w:hint="eastAsia" w:ascii="宋体" w:hAnsi="宋体"/>
                <w:color w:val="auto"/>
                <w:highlight w:val="none"/>
                <w:lang w:val="en-US" w:eastAsia="zh-CN"/>
              </w:rPr>
              <w:t>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985686B">
            <w:pPr>
              <w:spacing w:line="400" w:lineRule="exact"/>
              <w:rPr>
                <w:rFonts w:hint="eastAsia" w:eastAsia="宋体"/>
                <w:color w:val="auto"/>
                <w:highlight w:val="none"/>
                <w:lang w:val="en-US" w:eastAsia="zh-CN"/>
              </w:rPr>
            </w:pPr>
            <w:r>
              <w:rPr>
                <w:rFonts w:hint="eastAsia"/>
                <w:color w:val="auto"/>
                <w:highlight w:val="none"/>
              </w:rPr>
              <w:t>择优进入第二阶段评审</w:t>
            </w:r>
            <w:r>
              <w:rPr>
                <w:rFonts w:hint="eastAsia"/>
                <w:color w:val="auto"/>
                <w:highlight w:val="none"/>
                <w:lang w:val="en-US" w:eastAsia="zh-CN"/>
              </w:rPr>
              <w:t>数量</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4DAD4244">
            <w:pPr>
              <w:widowControl/>
              <w:numPr>
                <w:ilvl w:val="0"/>
                <w:numId w:val="0"/>
              </w:numPr>
              <w:shd w:val="clear" w:color="auto" w:fill="auto"/>
              <w:spacing w:line="400" w:lineRule="exact"/>
              <w:jc w:val="left"/>
              <w:rPr>
                <w:rFonts w:hint="eastAsia"/>
                <w:color w:val="auto"/>
                <w:highlight w:val="none"/>
              </w:rPr>
            </w:pPr>
            <w:r>
              <w:rPr>
                <w:rFonts w:hint="eastAsia"/>
                <w:color w:val="auto"/>
                <w:highlight w:val="none"/>
                <w:lang w:val="en-US" w:eastAsia="zh-CN"/>
              </w:rPr>
              <w:t>在</w:t>
            </w:r>
            <w:r>
              <w:rPr>
                <w:rFonts w:hint="eastAsia"/>
                <w:color w:val="auto"/>
                <w:highlight w:val="none"/>
              </w:rPr>
              <w:t>设计文件</w:t>
            </w:r>
            <w:r>
              <w:rPr>
                <w:rFonts w:hint="eastAsia"/>
                <w:color w:val="auto"/>
                <w:highlight w:val="none"/>
                <w:lang w:val="en-US" w:eastAsia="zh-CN"/>
              </w:rPr>
              <w:t>评审</w:t>
            </w:r>
            <w:r>
              <w:rPr>
                <w:rFonts w:hint="eastAsia"/>
                <w:color w:val="auto"/>
                <w:highlight w:val="none"/>
              </w:rPr>
              <w:t>合格</w:t>
            </w:r>
            <w:r>
              <w:rPr>
                <w:rFonts w:hint="eastAsia"/>
                <w:color w:val="auto"/>
                <w:highlight w:val="none"/>
                <w:lang w:val="en-US" w:eastAsia="zh-CN"/>
              </w:rPr>
              <w:t>的前提下，第一阶段汇总得分</w:t>
            </w:r>
            <w:r>
              <w:rPr>
                <w:rFonts w:hint="eastAsia"/>
                <w:color w:val="auto"/>
                <w:highlight w:val="none"/>
              </w:rPr>
              <w:t>排名前</w:t>
            </w:r>
            <w:r>
              <w:rPr>
                <w:rFonts w:hint="eastAsia"/>
                <w:color w:val="auto"/>
                <w:highlight w:val="none"/>
                <w:u w:val="single"/>
                <w:lang w:val="en-US" w:eastAsia="zh-CN"/>
              </w:rPr>
              <w:t>5</w:t>
            </w:r>
            <w:r>
              <w:rPr>
                <w:rFonts w:hint="eastAsia"/>
                <w:color w:val="auto"/>
                <w:highlight w:val="none"/>
              </w:rPr>
              <w:t>名</w:t>
            </w:r>
          </w:p>
          <w:p w14:paraId="7C785952">
            <w:pPr>
              <w:widowControl/>
              <w:numPr>
                <w:ilvl w:val="0"/>
                <w:numId w:val="0"/>
              </w:numPr>
              <w:shd w:val="clear" w:color="auto" w:fill="auto"/>
              <w:spacing w:line="400" w:lineRule="exact"/>
              <w:jc w:val="left"/>
              <w:rPr>
                <w:rFonts w:hint="eastAsia"/>
                <w:color w:val="auto"/>
                <w:highlight w:val="none"/>
              </w:rPr>
            </w:pPr>
            <w:r>
              <w:rPr>
                <w:rFonts w:hint="eastAsia" w:ascii="Times New Roman" w:hAnsi="Times New Roman" w:eastAsia="宋体" w:cs="Times New Roman"/>
                <w:color w:val="auto"/>
                <w:sz w:val="21"/>
                <w:szCs w:val="24"/>
                <w:highlight w:val="none"/>
                <w:lang w:val="en-US" w:eastAsia="zh-CN"/>
              </w:rPr>
              <w:t>评标结束</w:t>
            </w:r>
            <w:r>
              <w:rPr>
                <w:rFonts w:hint="eastAsia" w:ascii="Times New Roman" w:hAnsi="Times New Roman" w:eastAsia="宋体" w:cs="Times New Roman"/>
                <w:color w:val="auto"/>
                <w:sz w:val="21"/>
                <w:szCs w:val="24"/>
                <w:highlight w:val="none"/>
                <w:lang w:eastAsia="zh-CN"/>
              </w:rPr>
              <w:t>后，</w:t>
            </w:r>
            <w:r>
              <w:rPr>
                <w:rFonts w:hint="eastAsia" w:ascii="Times New Roman" w:hAnsi="Times New Roman" w:eastAsia="宋体" w:cs="Times New Roman"/>
                <w:color w:val="auto"/>
                <w:sz w:val="21"/>
                <w:szCs w:val="24"/>
                <w:highlight w:val="none"/>
                <w:lang w:val="en-US" w:eastAsia="zh-CN"/>
              </w:rPr>
              <w:t>除确认存在评审或计算错误外，进入第二阶段的投标人不因其他任何情形而改变。</w:t>
            </w:r>
          </w:p>
        </w:tc>
      </w:tr>
      <w:tr w14:paraId="4DCB3A9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57" w:type="dxa"/>
            <w:left w:w="108" w:type="dxa"/>
            <w:bottom w:w="57" w:type="dxa"/>
            <w:right w:w="108" w:type="dxa"/>
          </w:tblCellMar>
        </w:tblPrEx>
        <w:tc>
          <w:tcPr>
            <w:tcW w:w="1943" w:type="dxa"/>
            <w:gridSpan w:val="4"/>
            <w:tcBorders>
              <w:top w:val="single" w:color="auto" w:sz="4" w:space="0"/>
              <w:left w:val="single" w:color="auto" w:sz="12" w:space="0"/>
              <w:bottom w:val="single" w:color="auto" w:sz="4" w:space="0"/>
              <w:right w:val="single" w:color="auto" w:sz="4" w:space="0"/>
            </w:tcBorders>
            <w:noWrap w:val="0"/>
            <w:vAlign w:val="center"/>
          </w:tcPr>
          <w:p w14:paraId="2A540D37">
            <w:pPr>
              <w:spacing w:line="400" w:lineRule="exact"/>
              <w:jc w:val="center"/>
              <w:rPr>
                <w:rFonts w:hint="eastAsia" w:ascii="宋体" w:hAnsi="宋体" w:eastAsia="宋体"/>
                <w:color w:val="auto"/>
                <w:highlight w:val="none"/>
                <w:lang w:eastAsia="zh-CN"/>
              </w:rPr>
            </w:pPr>
            <w:r>
              <w:rPr>
                <w:rFonts w:hint="eastAsia" w:ascii="宋体" w:hAnsi="宋体"/>
                <w:color w:val="auto"/>
                <w:highlight w:val="none"/>
              </w:rPr>
              <w:t>4.1.</w:t>
            </w:r>
            <w:r>
              <w:rPr>
                <w:rFonts w:hint="eastAsia" w:ascii="宋体" w:hAnsi="宋体"/>
                <w:color w:val="auto"/>
                <w:highlight w:val="none"/>
                <w:lang w:val="en-US" w:eastAsia="zh-CN"/>
              </w:rPr>
              <w:t>4</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233913B">
            <w:pPr>
              <w:spacing w:line="400" w:lineRule="exact"/>
              <w:rPr>
                <w:color w:val="auto"/>
                <w:highlight w:val="none"/>
              </w:rPr>
            </w:pPr>
            <w:r>
              <w:rPr>
                <w:rFonts w:hint="eastAsia"/>
                <w:color w:val="auto"/>
                <w:highlight w:val="none"/>
                <w:lang w:val="en-US" w:eastAsia="zh-CN"/>
              </w:rPr>
              <w:t>第一阶段</w:t>
            </w:r>
            <w:r>
              <w:rPr>
                <w:rFonts w:hint="eastAsia"/>
                <w:color w:val="auto"/>
                <w:highlight w:val="none"/>
                <w:lang w:eastAsia="zh-CN"/>
              </w:rPr>
              <w:t>汇总得分</w:t>
            </w:r>
            <w:r>
              <w:rPr>
                <w:rFonts w:hint="eastAsia"/>
                <w:color w:val="auto"/>
                <w:highlight w:val="none"/>
              </w:rPr>
              <w:t>是否带入第二阶段</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17DE79B3">
            <w:pPr>
              <w:spacing w:line="400" w:lineRule="exact"/>
              <w:jc w:val="left"/>
              <w:rPr>
                <w:color w:val="auto"/>
                <w:highlight w:val="none"/>
              </w:rPr>
            </w:pPr>
            <w:r>
              <w:rPr>
                <w:rFonts w:hint="eastAsia"/>
                <w:color w:val="auto"/>
                <w:highlight w:val="none"/>
                <w:lang w:eastAsia="zh-CN"/>
              </w:rPr>
              <w:t>☑</w:t>
            </w:r>
            <w:r>
              <w:rPr>
                <w:rFonts w:hint="eastAsia"/>
                <w:color w:val="auto"/>
                <w:highlight w:val="none"/>
              </w:rPr>
              <w:t>带入□不带入</w:t>
            </w:r>
          </w:p>
        </w:tc>
      </w:tr>
      <w:tr w14:paraId="5678FFC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57" w:type="dxa"/>
            <w:left w:w="108" w:type="dxa"/>
            <w:bottom w:w="57" w:type="dxa"/>
            <w:right w:w="108" w:type="dxa"/>
          </w:tblCellMar>
        </w:tblPrEx>
        <w:tc>
          <w:tcPr>
            <w:tcW w:w="8700" w:type="dxa"/>
            <w:gridSpan w:val="6"/>
            <w:tcBorders>
              <w:top w:val="single" w:color="auto" w:sz="4" w:space="0"/>
              <w:left w:val="single" w:color="auto" w:sz="12" w:space="0"/>
              <w:bottom w:val="single" w:color="auto" w:sz="4" w:space="0"/>
              <w:right w:val="single" w:color="auto" w:sz="12" w:space="0"/>
            </w:tcBorders>
            <w:noWrap w:val="0"/>
            <w:vAlign w:val="center"/>
          </w:tcPr>
          <w:p w14:paraId="53129F83">
            <w:pPr>
              <w:spacing w:line="400" w:lineRule="exact"/>
              <w:jc w:val="center"/>
              <w:rPr>
                <w:color w:val="auto"/>
                <w:sz w:val="24"/>
                <w:highlight w:val="none"/>
              </w:rPr>
            </w:pPr>
            <w:r>
              <w:rPr>
                <w:rFonts w:hint="eastAsia" w:ascii="宋体" w:hAnsi="宋体"/>
                <w:b/>
                <w:bCs/>
                <w:color w:val="auto"/>
                <w:sz w:val="24"/>
                <w:highlight w:val="none"/>
              </w:rPr>
              <w:t>定标程序</w:t>
            </w:r>
          </w:p>
        </w:tc>
      </w:tr>
      <w:tr w14:paraId="62C0027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57" w:type="dxa"/>
            <w:left w:w="108" w:type="dxa"/>
            <w:bottom w:w="57" w:type="dxa"/>
            <w:right w:w="108" w:type="dxa"/>
          </w:tblCellMar>
        </w:tblPrEx>
        <w:tc>
          <w:tcPr>
            <w:tcW w:w="1943" w:type="dxa"/>
            <w:gridSpan w:val="4"/>
            <w:tcBorders>
              <w:top w:val="single" w:color="auto" w:sz="4" w:space="0"/>
              <w:left w:val="single" w:color="auto" w:sz="12" w:space="0"/>
              <w:bottom w:val="single" w:color="auto" w:sz="4" w:space="0"/>
              <w:right w:val="single" w:color="auto" w:sz="4" w:space="0"/>
            </w:tcBorders>
            <w:shd w:val="clear" w:color="auto" w:fill="E8E8E8"/>
            <w:noWrap w:val="0"/>
            <w:vAlign w:val="center"/>
          </w:tcPr>
          <w:p w14:paraId="6A585AB8">
            <w:pPr>
              <w:spacing w:line="400" w:lineRule="exact"/>
              <w:jc w:val="center"/>
              <w:rPr>
                <w:b/>
                <w:bCs/>
                <w:color w:val="auto"/>
                <w:highlight w:val="none"/>
              </w:rPr>
            </w:pPr>
            <w:r>
              <w:rPr>
                <w:rFonts w:hint="eastAsia"/>
                <w:b/>
                <w:bCs/>
                <w:color w:val="auto"/>
                <w:highlight w:val="none"/>
              </w:rPr>
              <w:t>条款号</w:t>
            </w:r>
          </w:p>
        </w:tc>
        <w:tc>
          <w:tcPr>
            <w:tcW w:w="2268" w:type="dxa"/>
            <w:tcBorders>
              <w:top w:val="single" w:color="auto" w:sz="4" w:space="0"/>
              <w:left w:val="single" w:color="auto" w:sz="4" w:space="0"/>
              <w:bottom w:val="single" w:color="auto" w:sz="4" w:space="0"/>
              <w:right w:val="single" w:color="auto" w:sz="4" w:space="0"/>
            </w:tcBorders>
            <w:shd w:val="clear" w:color="auto" w:fill="E8E8E8"/>
            <w:noWrap w:val="0"/>
            <w:vAlign w:val="center"/>
          </w:tcPr>
          <w:p w14:paraId="4E99E5B0">
            <w:pPr>
              <w:spacing w:line="400" w:lineRule="exact"/>
              <w:jc w:val="center"/>
              <w:rPr>
                <w:b/>
                <w:bCs/>
                <w:color w:val="auto"/>
                <w:highlight w:val="none"/>
              </w:rPr>
            </w:pPr>
            <w:r>
              <w:rPr>
                <w:rFonts w:hint="eastAsia"/>
                <w:b/>
                <w:bCs/>
                <w:color w:val="auto"/>
                <w:highlight w:val="none"/>
              </w:rPr>
              <w:t>条 款 内 容</w:t>
            </w:r>
          </w:p>
        </w:tc>
        <w:tc>
          <w:tcPr>
            <w:tcW w:w="4489" w:type="dxa"/>
            <w:tcBorders>
              <w:top w:val="single" w:color="auto" w:sz="4" w:space="0"/>
              <w:left w:val="single" w:color="auto" w:sz="4" w:space="0"/>
              <w:bottom w:val="single" w:color="auto" w:sz="4" w:space="0"/>
              <w:right w:val="single" w:color="auto" w:sz="12" w:space="0"/>
            </w:tcBorders>
            <w:shd w:val="clear" w:color="auto" w:fill="E8E8E8"/>
            <w:noWrap w:val="0"/>
            <w:vAlign w:val="center"/>
          </w:tcPr>
          <w:p w14:paraId="7B582C6B">
            <w:pPr>
              <w:spacing w:line="400" w:lineRule="exact"/>
              <w:jc w:val="center"/>
              <w:rPr>
                <w:rFonts w:hint="eastAsia"/>
                <w:b/>
                <w:bCs/>
                <w:color w:val="auto"/>
                <w:highlight w:val="none"/>
              </w:rPr>
            </w:pPr>
            <w:r>
              <w:rPr>
                <w:rFonts w:hint="eastAsia"/>
                <w:b/>
                <w:bCs/>
                <w:color w:val="auto"/>
                <w:highlight w:val="none"/>
              </w:rPr>
              <w:t>评 审 标 准</w:t>
            </w:r>
          </w:p>
        </w:tc>
      </w:tr>
      <w:tr w14:paraId="7D45F18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57" w:type="dxa"/>
            <w:left w:w="108" w:type="dxa"/>
            <w:bottom w:w="57" w:type="dxa"/>
            <w:right w:w="108" w:type="dxa"/>
          </w:tblCellMar>
        </w:tblPrEx>
        <w:tc>
          <w:tcPr>
            <w:tcW w:w="1943" w:type="dxa"/>
            <w:gridSpan w:val="4"/>
            <w:tcBorders>
              <w:top w:val="single" w:color="auto" w:sz="4" w:space="0"/>
              <w:left w:val="single" w:color="auto" w:sz="12" w:space="0"/>
              <w:bottom w:val="single" w:color="auto" w:sz="4" w:space="0"/>
              <w:right w:val="single" w:color="auto" w:sz="4" w:space="0"/>
            </w:tcBorders>
            <w:noWrap w:val="0"/>
            <w:vAlign w:val="center"/>
          </w:tcPr>
          <w:p w14:paraId="707CB7F5">
            <w:pPr>
              <w:spacing w:line="400" w:lineRule="exact"/>
              <w:jc w:val="center"/>
              <w:rPr>
                <w:rFonts w:ascii="宋体" w:hAnsi="宋体"/>
                <w:color w:val="auto"/>
                <w:szCs w:val="21"/>
                <w:highlight w:val="none"/>
              </w:rPr>
            </w:pPr>
            <w:r>
              <w:rPr>
                <w:rFonts w:hint="eastAsia" w:ascii="宋体" w:hAnsi="宋体"/>
                <w:color w:val="auto"/>
                <w:highlight w:val="none"/>
              </w:rPr>
              <w:t>5.1.1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DE26C54">
            <w:pPr>
              <w:spacing w:line="400" w:lineRule="exact"/>
              <w:rPr>
                <w:color w:val="auto"/>
                <w:highlight w:val="none"/>
              </w:rPr>
            </w:pPr>
            <w:r>
              <w:rPr>
                <w:rFonts w:hint="eastAsia"/>
                <w:color w:val="auto"/>
                <w:highlight w:val="none"/>
              </w:rPr>
              <w:t>定标委员会人数</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0E6229BD">
            <w:pPr>
              <w:spacing w:line="400" w:lineRule="exact"/>
              <w:jc w:val="both"/>
              <w:rPr>
                <w:rFonts w:hint="eastAsia"/>
                <w:color w:val="auto"/>
                <w:highlight w:val="none"/>
              </w:rPr>
            </w:pPr>
            <w:r>
              <w:rPr>
                <w:rFonts w:hint="eastAsia"/>
                <w:color w:val="auto"/>
                <w:highlight w:val="none"/>
              </w:rPr>
              <w:t>1、定标工作由招标人组建的定标委员会负责，定标委员会成员人数为7人。</w:t>
            </w:r>
          </w:p>
          <w:p w14:paraId="0F6093F0">
            <w:pPr>
              <w:spacing w:line="400" w:lineRule="exact"/>
              <w:jc w:val="both"/>
              <w:rPr>
                <w:rFonts w:hint="eastAsia"/>
                <w:color w:val="auto"/>
                <w:highlight w:val="none"/>
              </w:rPr>
            </w:pPr>
            <w:r>
              <w:rPr>
                <w:rFonts w:hint="eastAsia"/>
                <w:color w:val="auto"/>
                <w:highlight w:val="none"/>
              </w:rPr>
              <w:t>2、定标委员会由招标人自主组建。定标委员会成员不得与投标人有利害关系，招标人单位人员不少于成员总数的三分之二。</w:t>
            </w:r>
          </w:p>
          <w:p w14:paraId="4A8CC064">
            <w:pPr>
              <w:spacing w:line="400" w:lineRule="exact"/>
              <w:jc w:val="both"/>
              <w:rPr>
                <w:rFonts w:hint="eastAsia"/>
                <w:color w:val="auto"/>
                <w:highlight w:val="none"/>
              </w:rPr>
            </w:pPr>
            <w:r>
              <w:rPr>
                <w:rFonts w:hint="eastAsia"/>
                <w:color w:val="auto"/>
                <w:highlight w:val="none"/>
              </w:rPr>
              <w:t>3、定标委员会应当在定标会上推荐定标组长，招标人（不含代理机构）的法定代表人或者主要负责人参加定标委员会的，由其直接担任定标委员会组长。</w:t>
            </w:r>
          </w:p>
          <w:p w14:paraId="72976832">
            <w:pPr>
              <w:spacing w:line="400" w:lineRule="exact"/>
              <w:jc w:val="both"/>
              <w:rPr>
                <w:color w:val="auto"/>
                <w:highlight w:val="none"/>
              </w:rPr>
            </w:pPr>
            <w:r>
              <w:rPr>
                <w:rFonts w:hint="eastAsia"/>
                <w:color w:val="auto"/>
                <w:highlight w:val="none"/>
              </w:rPr>
              <w:t>4、招标人组建3人监督小组，监督小组对招标投标活动全过程进行监督，有权就定标委员会违反定标规则的行为进行质询</w:t>
            </w:r>
          </w:p>
        </w:tc>
      </w:tr>
      <w:tr w14:paraId="2941D98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57" w:type="dxa"/>
            <w:left w:w="108" w:type="dxa"/>
            <w:bottom w:w="57" w:type="dxa"/>
            <w:right w:w="108" w:type="dxa"/>
          </w:tblCellMar>
        </w:tblPrEx>
        <w:tc>
          <w:tcPr>
            <w:tcW w:w="1943" w:type="dxa"/>
            <w:gridSpan w:val="4"/>
            <w:tcBorders>
              <w:top w:val="single" w:color="auto" w:sz="4" w:space="0"/>
              <w:left w:val="single" w:color="auto" w:sz="12" w:space="0"/>
              <w:bottom w:val="single" w:color="auto" w:sz="4" w:space="0"/>
              <w:right w:val="single" w:color="auto" w:sz="4" w:space="0"/>
            </w:tcBorders>
            <w:noWrap w:val="0"/>
            <w:vAlign w:val="center"/>
          </w:tcPr>
          <w:p w14:paraId="5B27C0B9">
            <w:pPr>
              <w:jc w:val="center"/>
              <w:rPr>
                <w:rFonts w:hint="eastAsia" w:ascii="宋体" w:hAnsi="宋体"/>
                <w:color w:val="auto"/>
                <w:highlight w:val="none"/>
              </w:rPr>
            </w:pPr>
            <w:r>
              <w:rPr>
                <w:rFonts w:hint="eastAsia" w:ascii="宋体" w:hAnsi="宋体"/>
                <w:color w:val="auto"/>
                <w:highlight w:val="none"/>
              </w:rPr>
              <w:t>5.2.1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2AFA8FB">
            <w:pPr>
              <w:spacing w:line="400" w:lineRule="exact"/>
              <w:rPr>
                <w:rFonts w:hint="eastAsia"/>
                <w:color w:val="auto"/>
                <w:highlight w:val="none"/>
              </w:rPr>
            </w:pPr>
            <w:r>
              <w:rPr>
                <w:rFonts w:hint="eastAsia"/>
                <w:color w:val="auto"/>
                <w:highlight w:val="none"/>
              </w:rPr>
              <w:t>定标标准</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1ABAEA88">
            <w:pPr>
              <w:spacing w:line="400" w:lineRule="exact"/>
              <w:jc w:val="left"/>
              <w:rPr>
                <w:rFonts w:hint="eastAsia"/>
                <w:color w:val="auto"/>
                <w:highlight w:val="none"/>
              </w:rPr>
            </w:pPr>
            <w:r>
              <w:rPr>
                <w:rFonts w:hint="eastAsia"/>
                <w:color w:val="auto"/>
                <w:highlight w:val="none"/>
              </w:rPr>
              <w:t>（1）设计契合程度</w:t>
            </w:r>
          </w:p>
          <w:p w14:paraId="7894A2AA">
            <w:pPr>
              <w:spacing w:line="400" w:lineRule="exact"/>
              <w:jc w:val="left"/>
              <w:rPr>
                <w:rFonts w:hint="eastAsia"/>
                <w:color w:val="auto"/>
                <w:highlight w:val="none"/>
              </w:rPr>
            </w:pPr>
            <w:r>
              <w:rPr>
                <w:rFonts w:hint="eastAsia"/>
                <w:color w:val="auto"/>
                <w:highlight w:val="none"/>
              </w:rPr>
              <w:t>方案设计文件与招标文件要求的设计深度及设计任务书的契合程度。</w:t>
            </w:r>
          </w:p>
          <w:p w14:paraId="6FB69813">
            <w:pPr>
              <w:spacing w:line="400" w:lineRule="exact"/>
              <w:jc w:val="left"/>
              <w:rPr>
                <w:rFonts w:hint="eastAsia"/>
                <w:color w:val="auto"/>
                <w:highlight w:val="none"/>
              </w:rPr>
            </w:pPr>
            <w:r>
              <w:rPr>
                <w:rFonts w:hint="eastAsia"/>
                <w:color w:val="auto"/>
                <w:highlight w:val="none"/>
              </w:rPr>
              <w:t>（2）项目负责人答辩</w:t>
            </w:r>
          </w:p>
          <w:p w14:paraId="2A7FC88C">
            <w:pPr>
              <w:spacing w:line="400" w:lineRule="exact"/>
              <w:jc w:val="left"/>
              <w:rPr>
                <w:rFonts w:hint="eastAsia"/>
                <w:color w:val="auto"/>
                <w:highlight w:val="none"/>
              </w:rPr>
            </w:pPr>
            <w:r>
              <w:rPr>
                <w:rFonts w:hint="eastAsia"/>
                <w:color w:val="auto"/>
                <w:highlight w:val="none"/>
              </w:rPr>
              <w:t>定标委员会根据工程项目情况现场拟定答辩题，采用明标书面答题的形式进行，各定标候选人拟派项目负责人在规定时间内现场书面作答, 定标委员会根据各定标候选人拟派项目负责人的回答进行横向比较。拟派项目负责人未按时到达指定地点参加答辩的，视为自动放弃答辩。</w:t>
            </w:r>
          </w:p>
          <w:p w14:paraId="1434470E">
            <w:pPr>
              <w:spacing w:line="400" w:lineRule="exact"/>
              <w:jc w:val="left"/>
              <w:rPr>
                <w:rFonts w:hint="eastAsia"/>
                <w:color w:val="auto"/>
                <w:highlight w:val="none"/>
              </w:rPr>
            </w:pPr>
            <w:r>
              <w:rPr>
                <w:rFonts w:hint="eastAsia"/>
                <w:color w:val="auto"/>
                <w:highlight w:val="none"/>
              </w:rPr>
              <w:t>（3）在同等条件下，择优的相对标准有以下几个方面：</w:t>
            </w:r>
          </w:p>
          <w:p w14:paraId="0720FD48">
            <w:pPr>
              <w:spacing w:line="400" w:lineRule="exact"/>
              <w:jc w:val="left"/>
              <w:rPr>
                <w:rFonts w:hint="eastAsia"/>
                <w:color w:val="auto"/>
                <w:highlight w:val="none"/>
              </w:rPr>
            </w:pPr>
            <w:r>
              <w:rPr>
                <w:rFonts w:hint="eastAsia"/>
                <w:color w:val="auto"/>
                <w:highlight w:val="none"/>
              </w:rPr>
              <w:t>①方案设计文件与招标项目契合程度高的优于契合程度低的；</w:t>
            </w:r>
          </w:p>
          <w:p w14:paraId="08F24716">
            <w:pPr>
              <w:spacing w:line="400" w:lineRule="exact"/>
              <w:jc w:val="left"/>
              <w:rPr>
                <w:rFonts w:hint="eastAsia"/>
                <w:color w:val="auto"/>
                <w:highlight w:val="none"/>
              </w:rPr>
            </w:pPr>
            <w:r>
              <w:rPr>
                <w:rFonts w:hint="eastAsia"/>
                <w:color w:val="auto"/>
                <w:highlight w:val="none"/>
              </w:rPr>
              <w:t>②项目负责人答辩质量好的、内容全面的优于答辩质量不好、内容不全面的。</w:t>
            </w:r>
          </w:p>
        </w:tc>
      </w:tr>
      <w:tr w14:paraId="484CC25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57" w:type="dxa"/>
            <w:left w:w="108" w:type="dxa"/>
            <w:bottom w:w="57" w:type="dxa"/>
            <w:right w:w="108" w:type="dxa"/>
          </w:tblCellMar>
        </w:tblPrEx>
        <w:tc>
          <w:tcPr>
            <w:tcW w:w="1943" w:type="dxa"/>
            <w:gridSpan w:val="4"/>
            <w:tcBorders>
              <w:top w:val="single" w:color="auto" w:sz="4" w:space="0"/>
              <w:left w:val="single" w:color="auto" w:sz="12" w:space="0"/>
              <w:bottom w:val="single" w:color="auto" w:sz="4" w:space="0"/>
              <w:right w:val="single" w:color="auto" w:sz="4" w:space="0"/>
            </w:tcBorders>
            <w:noWrap w:val="0"/>
            <w:vAlign w:val="center"/>
          </w:tcPr>
          <w:p w14:paraId="13B18DFB">
            <w:pPr>
              <w:jc w:val="center"/>
              <w:rPr>
                <w:rFonts w:ascii="宋体" w:hAnsi="宋体"/>
                <w:color w:val="auto"/>
                <w:szCs w:val="21"/>
                <w:highlight w:val="none"/>
              </w:rPr>
            </w:pPr>
            <w:r>
              <w:rPr>
                <w:rFonts w:hint="eastAsia" w:ascii="宋体" w:hAnsi="宋体"/>
                <w:color w:val="auto"/>
                <w:highlight w:val="none"/>
              </w:rPr>
              <w:t>5.3.1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8332A1C">
            <w:pPr>
              <w:spacing w:line="400" w:lineRule="exact"/>
              <w:rPr>
                <w:color w:val="auto"/>
                <w:highlight w:val="none"/>
              </w:rPr>
            </w:pPr>
            <w:r>
              <w:rPr>
                <w:rFonts w:hint="eastAsia"/>
                <w:color w:val="auto"/>
                <w:highlight w:val="none"/>
              </w:rPr>
              <w:t>定标方法</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33FE1A0B">
            <w:pPr>
              <w:autoSpaceDE w:val="0"/>
              <w:autoSpaceDN w:val="0"/>
              <w:spacing w:line="400" w:lineRule="exact"/>
              <w:rPr>
                <w:rFonts w:hint="eastAsia"/>
                <w:color w:val="auto"/>
                <w:highlight w:val="none"/>
              </w:rPr>
            </w:pPr>
            <w:r>
              <w:rPr>
                <w:rFonts w:hint="eastAsia"/>
                <w:color w:val="auto"/>
                <w:highlight w:val="none"/>
                <w:lang w:eastAsia="zh-CN"/>
              </w:rPr>
              <w:t>☑</w:t>
            </w:r>
            <w:r>
              <w:rPr>
                <w:rFonts w:hint="eastAsia"/>
                <w:color w:val="auto"/>
                <w:highlight w:val="none"/>
              </w:rPr>
              <w:t xml:space="preserve"> 票决法：定标委员会成员根据定标标准对各中标候选人进行评价比较后</w:t>
            </w:r>
            <w:r>
              <w:rPr>
                <w:rFonts w:hint="eastAsia"/>
                <w:snapToGrid w:val="0"/>
                <w:color w:val="auto"/>
                <w:kern w:val="32"/>
                <w:szCs w:val="20"/>
                <w:highlight w:val="none"/>
              </w:rPr>
              <w:t>记名</w:t>
            </w:r>
            <w:r>
              <w:rPr>
                <w:rFonts w:hint="eastAsia"/>
                <w:color w:val="auto"/>
                <w:highlight w:val="none"/>
              </w:rPr>
              <w:t>票决，并确定得票数最多的为中标人；当得票数相同无法确定中标人时，应当对得票数相同的单位再次票决。</w:t>
            </w:r>
          </w:p>
          <w:p w14:paraId="1F0BA232">
            <w:pPr>
              <w:spacing w:line="400" w:lineRule="exact"/>
              <w:rPr>
                <w:color w:val="auto"/>
                <w:highlight w:val="none"/>
              </w:rPr>
            </w:pPr>
            <w:r>
              <w:rPr>
                <w:rFonts w:hint="eastAsia"/>
                <w:color w:val="auto"/>
                <w:highlight w:val="none"/>
              </w:rPr>
              <w:t>□ 集体议事法：由定标委员会根据定标标准对各中标候选人进行集体商议，成员各自发表评价意见，最终由定标委员会负责人确定中标人。</w:t>
            </w:r>
          </w:p>
        </w:tc>
      </w:tr>
      <w:tr w14:paraId="3C7450F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57" w:type="dxa"/>
            <w:left w:w="108" w:type="dxa"/>
            <w:bottom w:w="57" w:type="dxa"/>
            <w:right w:w="108" w:type="dxa"/>
          </w:tblCellMar>
        </w:tblPrEx>
        <w:tc>
          <w:tcPr>
            <w:tcW w:w="1943" w:type="dxa"/>
            <w:gridSpan w:val="4"/>
            <w:tcBorders>
              <w:top w:val="single" w:color="auto" w:sz="4" w:space="0"/>
              <w:left w:val="single" w:color="auto" w:sz="12" w:space="0"/>
              <w:bottom w:val="single" w:color="auto" w:sz="4" w:space="0"/>
              <w:right w:val="single" w:color="auto" w:sz="4" w:space="0"/>
            </w:tcBorders>
            <w:noWrap w:val="0"/>
            <w:vAlign w:val="center"/>
          </w:tcPr>
          <w:p w14:paraId="1D3D9FB0">
            <w:pPr>
              <w:jc w:val="center"/>
              <w:rPr>
                <w:rFonts w:hint="eastAsia" w:ascii="宋体" w:hAnsi="宋体"/>
                <w:color w:val="auto"/>
                <w:highlight w:val="none"/>
              </w:rPr>
            </w:pPr>
            <w:r>
              <w:rPr>
                <w:rFonts w:hint="eastAsia" w:ascii="宋体" w:hAnsi="宋体"/>
              </w:rPr>
              <w:t>5.3.2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D884EBC">
            <w:pPr>
              <w:spacing w:line="400" w:lineRule="exact"/>
              <w:rPr>
                <w:rFonts w:hint="eastAsia"/>
                <w:color w:val="auto"/>
                <w:highlight w:val="none"/>
              </w:rPr>
            </w:pPr>
            <w:r>
              <w:rPr>
                <w:rFonts w:hint="eastAsia"/>
                <w:color w:val="auto"/>
                <w:highlight w:val="none"/>
              </w:rPr>
              <w:t>采用“评定分离”法时：评标结果（定标候选人）公示</w:t>
            </w:r>
          </w:p>
        </w:tc>
        <w:tc>
          <w:tcPr>
            <w:tcW w:w="4489" w:type="dxa"/>
            <w:tcBorders>
              <w:top w:val="single" w:color="auto" w:sz="4" w:space="0"/>
              <w:left w:val="single" w:color="auto" w:sz="4" w:space="0"/>
              <w:bottom w:val="single" w:color="auto" w:sz="4" w:space="0"/>
              <w:right w:val="single" w:color="auto" w:sz="12" w:space="0"/>
            </w:tcBorders>
            <w:noWrap w:val="0"/>
            <w:vAlign w:val="center"/>
          </w:tcPr>
          <w:p w14:paraId="3DFEBFDD">
            <w:pPr>
              <w:spacing w:line="400" w:lineRule="exact"/>
              <w:rPr>
                <w:rFonts w:hint="eastAsia"/>
                <w:color w:val="auto"/>
                <w:highlight w:val="none"/>
              </w:rPr>
            </w:pPr>
            <w:r>
              <w:rPr>
                <w:rFonts w:hint="eastAsia"/>
                <w:color w:val="auto"/>
                <w:highlight w:val="none"/>
              </w:rPr>
              <w:t>定标候选人数量：</w:t>
            </w:r>
            <w:r>
              <w:rPr>
                <w:rFonts w:hint="eastAsia"/>
                <w:color w:val="auto"/>
                <w:highlight w:val="none"/>
                <w:lang w:val="en-US" w:eastAsia="zh-CN"/>
              </w:rPr>
              <w:t>5</w:t>
            </w:r>
            <w:r>
              <w:rPr>
                <w:rFonts w:hint="eastAsia"/>
                <w:color w:val="auto"/>
                <w:highlight w:val="none"/>
              </w:rPr>
              <w:t>，少于</w:t>
            </w:r>
            <w:r>
              <w:rPr>
                <w:rFonts w:hint="eastAsia"/>
                <w:color w:val="auto"/>
                <w:highlight w:val="none"/>
                <w:lang w:val="en-US" w:eastAsia="zh-CN"/>
              </w:rPr>
              <w:t>5</w:t>
            </w:r>
            <w:r>
              <w:rPr>
                <w:rFonts w:hint="eastAsia"/>
                <w:color w:val="auto"/>
                <w:highlight w:val="none"/>
              </w:rPr>
              <w:t>名的则全部进入。</w:t>
            </w:r>
          </w:p>
          <w:p w14:paraId="0ADED475">
            <w:pPr>
              <w:spacing w:line="400" w:lineRule="exact"/>
              <w:rPr>
                <w:rFonts w:hint="eastAsia"/>
                <w:color w:val="auto"/>
                <w:highlight w:val="none"/>
              </w:rPr>
            </w:pPr>
            <w:r>
              <w:rPr>
                <w:rFonts w:hint="eastAsia"/>
                <w:color w:val="auto"/>
                <w:highlight w:val="none"/>
              </w:rPr>
              <w:t>异议成立，取消相应定标候选</w:t>
            </w:r>
            <w:bookmarkStart w:id="95" w:name="_GoBack"/>
            <w:bookmarkEnd w:id="95"/>
            <w:r>
              <w:rPr>
                <w:rFonts w:hint="eastAsia"/>
                <w:color w:val="auto"/>
                <w:highlight w:val="none"/>
              </w:rPr>
              <w:t>人资格后：</w:t>
            </w:r>
          </w:p>
          <w:p w14:paraId="100599FF">
            <w:pPr>
              <w:spacing w:line="400" w:lineRule="exact"/>
              <w:rPr>
                <w:rFonts w:hint="eastAsia"/>
                <w:color w:val="auto"/>
                <w:highlight w:val="none"/>
              </w:rPr>
            </w:pPr>
            <w:r>
              <w:rPr>
                <w:rFonts w:hint="eastAsia"/>
                <w:color w:val="auto"/>
                <w:highlight w:val="none"/>
              </w:rPr>
              <w:t>☑继续定标</w:t>
            </w:r>
          </w:p>
          <w:p w14:paraId="76AFED2E">
            <w:pPr>
              <w:spacing w:line="400" w:lineRule="exact"/>
              <w:rPr>
                <w:rFonts w:hint="eastAsia"/>
                <w:color w:val="auto"/>
                <w:highlight w:val="none"/>
              </w:rPr>
            </w:pPr>
            <w:r>
              <w:rPr>
                <w:rFonts w:hint="eastAsia"/>
                <w:color w:val="auto"/>
                <w:highlight w:val="none"/>
              </w:rPr>
              <w:t>□组织原评标委员会重新评审补充推荐定标候选人</w:t>
            </w:r>
          </w:p>
        </w:tc>
      </w:tr>
      <w:tr w14:paraId="3244DA9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57" w:type="dxa"/>
            <w:left w:w="108" w:type="dxa"/>
            <w:bottom w:w="57" w:type="dxa"/>
            <w:right w:w="108" w:type="dxa"/>
          </w:tblCellMar>
        </w:tblPrEx>
        <w:tc>
          <w:tcPr>
            <w:tcW w:w="1943" w:type="dxa"/>
            <w:gridSpan w:val="4"/>
            <w:tcBorders>
              <w:top w:val="single" w:color="auto" w:sz="4" w:space="0"/>
              <w:left w:val="single" w:color="auto" w:sz="12" w:space="0"/>
              <w:bottom w:val="single" w:color="auto" w:sz="12" w:space="0"/>
              <w:right w:val="single" w:color="auto" w:sz="4" w:space="0"/>
            </w:tcBorders>
            <w:noWrap w:val="0"/>
            <w:vAlign w:val="center"/>
          </w:tcPr>
          <w:p w14:paraId="427E97C7">
            <w:pPr>
              <w:jc w:val="center"/>
              <w:rPr>
                <w:rFonts w:hint="default" w:ascii="宋体" w:hAnsi="宋体" w:eastAsia="宋体"/>
                <w:lang w:val="en-US" w:eastAsia="zh-CN"/>
              </w:rPr>
            </w:pPr>
            <w:r>
              <w:rPr>
                <w:rFonts w:hint="eastAsia" w:ascii="宋体" w:hAnsi="宋体"/>
                <w:lang w:val="en-US" w:eastAsia="zh-CN"/>
              </w:rPr>
              <w:t>5.3.3</w:t>
            </w:r>
          </w:p>
        </w:tc>
        <w:tc>
          <w:tcPr>
            <w:tcW w:w="2268" w:type="dxa"/>
            <w:tcBorders>
              <w:top w:val="single" w:color="auto" w:sz="4" w:space="0"/>
              <w:left w:val="single" w:color="auto" w:sz="4" w:space="0"/>
              <w:bottom w:val="single" w:color="auto" w:sz="12" w:space="0"/>
              <w:right w:val="single" w:color="auto" w:sz="4" w:space="0"/>
            </w:tcBorders>
            <w:noWrap w:val="0"/>
            <w:vAlign w:val="center"/>
          </w:tcPr>
          <w:p w14:paraId="5104EFAA">
            <w:pPr>
              <w:spacing w:line="400" w:lineRule="exact"/>
              <w:rPr>
                <w:rFonts w:hint="eastAsia"/>
                <w:color w:val="auto"/>
                <w:highlight w:val="none"/>
              </w:rPr>
            </w:pPr>
            <w:r>
              <w:rPr>
                <w:rFonts w:hint="eastAsia"/>
                <w:color w:val="auto"/>
                <w:highlight w:val="none"/>
              </w:rPr>
              <w:t>竞争性判断</w:t>
            </w:r>
          </w:p>
        </w:tc>
        <w:tc>
          <w:tcPr>
            <w:tcW w:w="4489" w:type="dxa"/>
            <w:tcBorders>
              <w:top w:val="single" w:color="auto" w:sz="4" w:space="0"/>
              <w:left w:val="single" w:color="auto" w:sz="4" w:space="0"/>
              <w:bottom w:val="single" w:color="auto" w:sz="12" w:space="0"/>
              <w:right w:val="single" w:color="auto" w:sz="12" w:space="0"/>
            </w:tcBorders>
            <w:noWrap w:val="0"/>
            <w:vAlign w:val="center"/>
          </w:tcPr>
          <w:p w14:paraId="41B94E88">
            <w:pPr>
              <w:spacing w:line="400" w:lineRule="exact"/>
              <w:rPr>
                <w:rFonts w:hint="eastAsia"/>
                <w:color w:val="auto"/>
                <w:highlight w:val="none"/>
              </w:rPr>
            </w:pPr>
            <w:r>
              <w:rPr>
                <w:rFonts w:hint="eastAsia"/>
                <w:color w:val="auto"/>
                <w:highlight w:val="none"/>
              </w:rPr>
              <w:t>授权评标委员会作出竞争性判断：</w:t>
            </w:r>
          </w:p>
          <w:p w14:paraId="637D1290">
            <w:pPr>
              <w:spacing w:line="400" w:lineRule="exact"/>
              <w:rPr>
                <w:rFonts w:hint="eastAsia"/>
                <w:color w:val="auto"/>
                <w:highlight w:val="none"/>
              </w:rPr>
            </w:pPr>
            <w:r>
              <w:rPr>
                <w:rFonts w:hint="eastAsia"/>
                <w:color w:val="auto"/>
                <w:highlight w:val="none"/>
              </w:rPr>
              <w:t>☑是竞争性判断方式：由评标委员会投票表决是否具有竞争性</w:t>
            </w:r>
          </w:p>
          <w:p w14:paraId="11FC0D45">
            <w:pPr>
              <w:spacing w:line="400" w:lineRule="exact"/>
              <w:rPr>
                <w:rFonts w:hint="eastAsia"/>
                <w:color w:val="auto"/>
                <w:highlight w:val="none"/>
              </w:rPr>
            </w:pPr>
            <w:r>
              <w:rPr>
                <w:rFonts w:hint="eastAsia"/>
                <w:color w:val="auto"/>
                <w:highlight w:val="none"/>
              </w:rPr>
              <w:t>□否</w:t>
            </w:r>
          </w:p>
        </w:tc>
      </w:tr>
    </w:tbl>
    <w:p w14:paraId="5AA2EA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14998"/>
    <w:rsid w:val="0CAF522B"/>
    <w:rsid w:val="251365A1"/>
    <w:rsid w:val="5D714998"/>
    <w:rsid w:val="791E3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tabs>
        <w:tab w:val="right" w:leader="dot" w:pos="8795"/>
      </w:tabs>
      <w:spacing w:beforeAutospacing="0" w:afterAutospacing="0" w:line="360" w:lineRule="auto"/>
      <w:ind w:left="0"/>
    </w:pPr>
    <w:rPr>
      <w:rFonts w:ascii="宋体" w:hAnsi="宋体" w:eastAsia="宋体" w:cs="宋体"/>
      <w:snapToGrid w:val="0"/>
      <w:color w:val="000000"/>
      <w:kern w:val="0"/>
      <w:lang w:eastAsia="en-US"/>
    </w:rPr>
  </w:style>
  <w:style w:type="paragraph" w:styleId="3">
    <w:name w:val="heading 2"/>
    <w:basedOn w:val="1"/>
    <w:next w:val="1"/>
    <w:qFormat/>
    <w:uiPriority w:val="0"/>
    <w:pPr>
      <w:keepNext/>
      <w:keepLines/>
      <w:spacing w:line="360" w:lineRule="auto"/>
      <w:outlineLvl w:val="1"/>
    </w:pPr>
    <w:rPr>
      <w:rFonts w:ascii="Arial" w:hAnsi="Arial" w:eastAsia="宋体"/>
      <w:b/>
      <w:bCs/>
      <w:sz w:val="28"/>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4389</Words>
  <Characters>4735</Characters>
  <Lines>0</Lines>
  <Paragraphs>0</Paragraphs>
  <TotalTime>10</TotalTime>
  <ScaleCrop>false</ScaleCrop>
  <LinksUpToDate>false</LinksUpToDate>
  <CharactersWithSpaces>4782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2026-02-10T03:09:00Z</dcterms:created>
  <dc:creator>sun</dc:creator>
  <cp:lastModifiedBy>sun</cp:lastModifiedBy>
  <dcterms:modified xsi:type="dcterms:W3CDTF">2026-02-25T02:09:42Z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07CFC58A2DB84D628B333331FDDA3027_11</vt:lpwstr>
  </property>
  <property fmtid="{D5CDD505-2E9C-101B-9397-08002B2CF9AE}" pid="4" name="KSOTemplateDocerSaveRecord">
    <vt:lpwstr>eyJoZGlkIjoiYzExYjM4MjFlYjAxMTYxYWY2MzZkN2YyMGE3ODYwNTIiLCJ1c2VySWQiOiI4ODQ4MjQxIn0=</vt:lpwstr>
  </property>
</Properties>
</file>