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ind w:right="-20"/>
        <w:jc w:val="center"/>
        <w:rPr>
          <w:rFonts w:ascii="Arial Unicode MS" w:eastAsia="Arial Unicode MS" w:cs="Arial Unicode MS"/>
          <w:b/>
          <w:spacing w:val="2"/>
          <w:w w:val="99"/>
          <w:sz w:val="52"/>
          <w:szCs w:val="52"/>
        </w:rPr>
      </w:pPr>
      <w:r>
        <w:rPr>
          <w:rFonts w:ascii="Arial Unicode MS" w:eastAsia="Arial Unicode MS" w:cs="Arial Unicode MS"/>
          <w:b/>
          <w:spacing w:val="2"/>
          <w:w w:val="99"/>
          <w:sz w:val="52"/>
          <w:szCs w:val="52"/>
          <w:lang w:eastAsia="zh-CN"/>
        </w:rPr>
        <w:drawing>
          <wp:anchor distT="0" distB="0" distL="114300" distR="114300" simplePos="0" relativeHeight="251659264" behindDoc="1" locked="0" layoutInCell="1" allowOverlap="1">
            <wp:simplePos x="0" y="0"/>
            <wp:positionH relativeFrom="column">
              <wp:posOffset>2009140</wp:posOffset>
            </wp:positionH>
            <wp:positionV relativeFrom="paragraph">
              <wp:posOffset>20320</wp:posOffset>
            </wp:positionV>
            <wp:extent cx="1596390" cy="1438275"/>
            <wp:effectExtent l="0" t="0" r="3810" b="9525"/>
            <wp:wrapTight wrapText="bothSides">
              <wp:wrapPolygon>
                <wp:start x="7475" y="0"/>
                <wp:lineTo x="2320" y="4577"/>
                <wp:lineTo x="1031" y="6294"/>
                <wp:lineTo x="0" y="8297"/>
                <wp:lineTo x="0" y="15163"/>
                <wp:lineTo x="1289" y="18310"/>
                <wp:lineTo x="1289" y="18596"/>
                <wp:lineTo x="5155" y="21457"/>
                <wp:lineTo x="5671" y="21457"/>
                <wp:lineTo x="11341" y="21457"/>
                <wp:lineTo x="12115" y="21457"/>
                <wp:lineTo x="15465" y="18882"/>
                <wp:lineTo x="17527" y="14305"/>
                <wp:lineTo x="17527" y="13732"/>
                <wp:lineTo x="21394" y="12016"/>
                <wp:lineTo x="21394" y="8869"/>
                <wp:lineTo x="14950" y="4577"/>
                <wp:lineTo x="9537" y="0"/>
                <wp:lineTo x="7475"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autoSpaceDE w:val="0"/>
        <w:autoSpaceDN w:val="0"/>
        <w:spacing w:before="120" w:after="120"/>
        <w:ind w:right="-20"/>
        <w:jc w:val="center"/>
        <w:rPr>
          <w:rFonts w:ascii="Arial Unicode MS" w:eastAsia="Arial Unicode MS" w:cs="Arial Unicode MS"/>
          <w:b/>
          <w:spacing w:val="2"/>
          <w:w w:val="99"/>
          <w:sz w:val="52"/>
          <w:szCs w:val="52"/>
        </w:rPr>
      </w:pPr>
    </w:p>
    <w:p>
      <w:pPr>
        <w:autoSpaceDE w:val="0"/>
        <w:autoSpaceDN w:val="0"/>
        <w:spacing w:before="120" w:after="120"/>
        <w:ind w:right="-20"/>
        <w:jc w:val="center"/>
        <w:rPr>
          <w:rFonts w:ascii="微软雅黑" w:hAnsi="微软雅黑" w:eastAsia="微软雅黑" w:cs="Arial Unicode MS"/>
          <w:b/>
          <w:spacing w:val="2"/>
          <w:w w:val="99"/>
          <w:sz w:val="52"/>
          <w:szCs w:val="52"/>
        </w:rPr>
      </w:pPr>
    </w:p>
    <w:p>
      <w:pPr>
        <w:jc w:val="center"/>
        <w:rPr>
          <w:rFonts w:hint="eastAsia" w:ascii="微软雅黑" w:hAnsi="微软雅黑" w:eastAsia="微软雅黑" w:cs="Arial Unicode MS"/>
          <w:color w:val="auto"/>
          <w:spacing w:val="2"/>
          <w:w w:val="99"/>
          <w:sz w:val="52"/>
          <w:szCs w:val="52"/>
          <w:lang w:eastAsia="zh-CN"/>
        </w:rPr>
      </w:pPr>
      <w:r>
        <w:rPr>
          <w:rFonts w:hint="eastAsia" w:ascii="微软雅黑" w:hAnsi="微软雅黑" w:eastAsia="微软雅黑" w:cs="Arial Unicode MS"/>
          <w:color w:val="auto"/>
          <w:spacing w:val="2"/>
          <w:w w:val="99"/>
          <w:sz w:val="52"/>
          <w:szCs w:val="52"/>
          <w:lang w:eastAsia="zh-CN"/>
        </w:rPr>
        <w:t>中海油能源发展股份有限公司</w:t>
      </w:r>
    </w:p>
    <w:p>
      <w:pPr>
        <w:jc w:val="center"/>
        <w:rPr>
          <w:rFonts w:hint="eastAsia" w:ascii="微软雅黑" w:hAnsi="微软雅黑" w:eastAsia="微软雅黑" w:cs="Arial Unicode MS"/>
          <w:spacing w:val="2"/>
          <w:w w:val="99"/>
          <w:sz w:val="52"/>
          <w:szCs w:val="52"/>
          <w:u w:val="single"/>
          <w:lang w:val="en-US" w:eastAsia="zh-CN"/>
        </w:rPr>
      </w:pPr>
    </w:p>
    <w:p>
      <w:pPr>
        <w:jc w:val="center"/>
        <w:rPr>
          <w:rFonts w:ascii="微软雅黑" w:hAnsi="微软雅黑" w:eastAsia="微软雅黑" w:cs="Arial Unicode MS"/>
          <w:spacing w:val="2"/>
          <w:w w:val="99"/>
          <w:sz w:val="52"/>
          <w:szCs w:val="52"/>
          <w:highlight w:val="none"/>
          <w:u w:val="single"/>
          <w:lang w:eastAsia="zh-CN"/>
        </w:rPr>
      </w:pPr>
      <w:bookmarkStart w:id="0" w:name="OLE_LINK1"/>
      <w:r>
        <w:rPr>
          <w:rFonts w:hint="eastAsia" w:ascii="微软雅黑" w:hAnsi="微软雅黑" w:eastAsia="微软雅黑" w:cs="Arial Unicode MS"/>
          <w:spacing w:val="2"/>
          <w:w w:val="99"/>
          <w:sz w:val="52"/>
          <w:szCs w:val="52"/>
          <w:highlight w:val="none"/>
          <w:u w:val="single"/>
          <w:lang w:val="en-US" w:eastAsia="zh-CN"/>
        </w:rPr>
        <w:t>油气回收装置及空压机检维修服务</w:t>
      </w:r>
    </w:p>
    <w:bookmarkEnd w:id="0"/>
    <w:p>
      <w:pPr>
        <w:jc w:val="center"/>
        <w:rPr>
          <w:rFonts w:ascii="微软雅黑" w:hAnsi="微软雅黑" w:eastAsia="微软雅黑" w:cs="Arial Unicode MS"/>
          <w:b/>
          <w:spacing w:val="2"/>
          <w:w w:val="99"/>
          <w:sz w:val="52"/>
          <w:szCs w:val="52"/>
          <w:lang w:eastAsia="zh-CN"/>
        </w:rPr>
      </w:pPr>
      <w:r>
        <w:rPr>
          <w:rFonts w:hint="eastAsia" w:ascii="微软雅黑" w:hAnsi="微软雅黑" w:eastAsia="微软雅黑" w:cs="Arial Unicode MS"/>
          <w:b/>
          <w:spacing w:val="2"/>
          <w:w w:val="99"/>
          <w:sz w:val="52"/>
          <w:szCs w:val="52"/>
          <w:lang w:eastAsia="zh-CN"/>
        </w:rPr>
        <w:t>采购技术要求书</w:t>
      </w:r>
    </w:p>
    <w:p>
      <w:pPr>
        <w:jc w:val="center"/>
        <w:rPr>
          <w:rFonts w:ascii="微软雅黑" w:hAnsi="微软雅黑" w:eastAsia="微软雅黑" w:cs="Arial Unicode MS"/>
          <w:b/>
          <w:spacing w:val="2"/>
          <w:w w:val="99"/>
          <w:sz w:val="52"/>
          <w:szCs w:val="52"/>
          <w:lang w:eastAsia="zh-CN"/>
        </w:rPr>
      </w:pPr>
    </w:p>
    <w:p>
      <w:pPr>
        <w:pStyle w:val="3"/>
        <w:rPr>
          <w:rFonts w:ascii="微软雅黑" w:hAnsi="微软雅黑" w:eastAsia="微软雅黑" w:cs="Arial Unicode MS"/>
          <w:b/>
          <w:color w:val="000000"/>
          <w:w w:val="99"/>
          <w:sz w:val="44"/>
          <w:szCs w:val="44"/>
        </w:rPr>
      </w:pPr>
    </w:p>
    <w:p>
      <w:pPr>
        <w:rPr>
          <w:rFonts w:ascii="微软雅黑" w:hAnsi="微软雅黑" w:eastAsia="微软雅黑" w:cs="Arial Unicode MS"/>
          <w:b/>
          <w:color w:val="000000"/>
          <w:w w:val="99"/>
          <w:sz w:val="44"/>
          <w:szCs w:val="44"/>
        </w:rPr>
      </w:pPr>
    </w:p>
    <w:p>
      <w:pPr>
        <w:pStyle w:val="2"/>
      </w:pPr>
    </w:p>
    <w:p>
      <w:pPr>
        <w:autoSpaceDE w:val="0"/>
        <w:autoSpaceDN w:val="0"/>
        <w:spacing w:before="120" w:after="120" w:line="72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编制：</w:t>
      </w:r>
      <w:r>
        <w:rPr>
          <w:rFonts w:hint="eastAsia" w:ascii="Arial Unicode MS" w:eastAsia="Arial Unicode MS" w:cs="Arial Unicode MS"/>
          <w:spacing w:val="2"/>
          <w:w w:val="99"/>
          <w:sz w:val="36"/>
          <w:szCs w:val="36"/>
          <w:u w:val="single"/>
          <w:lang w:eastAsia="zh-CN"/>
        </w:rPr>
        <w:t xml:space="preserve">                </w:t>
      </w:r>
    </w:p>
    <w:p>
      <w:pPr>
        <w:pStyle w:val="6"/>
        <w:keepNext w:val="0"/>
        <w:keepLines w:val="0"/>
        <w:widowControl/>
        <w:suppressLineNumbers w:val="0"/>
        <w:spacing w:before="0" w:beforeAutospacing="0" w:after="0" w:afterAutospacing="0"/>
        <w:ind w:left="0" w:right="0" w:firstLine="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审核：</w:t>
      </w:r>
      <w:r>
        <w:rPr>
          <w:rFonts w:hint="eastAsia" w:ascii="Arial Unicode MS" w:eastAsia="Arial Unicode MS" w:cs="Arial Unicode MS"/>
          <w:spacing w:val="2"/>
          <w:w w:val="99"/>
          <w:sz w:val="36"/>
          <w:szCs w:val="36"/>
          <w:u w:val="single"/>
          <w:lang w:eastAsia="zh-CN"/>
        </w:rPr>
        <w:t xml:space="preserve">                </w:t>
      </w:r>
    </w:p>
    <w:p>
      <w:pPr>
        <w:autoSpaceDE w:val="0"/>
        <w:autoSpaceDN w:val="0"/>
        <w:spacing w:before="120" w:after="120" w:line="72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批准：</w:t>
      </w:r>
      <w:r>
        <w:rPr>
          <w:rFonts w:hint="eastAsia" w:ascii="Arial Unicode MS" w:eastAsia="Arial Unicode MS" w:cs="Arial Unicode MS"/>
          <w:spacing w:val="2"/>
          <w:w w:val="99"/>
          <w:sz w:val="36"/>
          <w:szCs w:val="36"/>
          <w:u w:val="single"/>
          <w:lang w:eastAsia="zh-CN"/>
        </w:rPr>
        <w:t xml:space="preserve">                </w:t>
      </w:r>
      <w:r>
        <w:rPr>
          <w:rFonts w:hint="eastAsia" w:ascii="Arial Unicode MS" w:eastAsia="Arial Unicode MS" w:cs="Arial Unicode MS"/>
          <w:spacing w:val="2"/>
          <w:w w:val="99"/>
          <w:sz w:val="36"/>
          <w:szCs w:val="36"/>
          <w:lang w:eastAsia="zh-CN"/>
        </w:rPr>
        <w:t xml:space="preserve"> </w:t>
      </w:r>
    </w:p>
    <w:p>
      <w:pPr>
        <w:widowControl/>
        <w:rPr>
          <w:rFonts w:ascii="微软雅黑" w:hAnsi="微软雅黑" w:eastAsia="微软雅黑"/>
          <w:b/>
          <w:bCs/>
          <w:color w:val="FF0000"/>
          <w:lang w:eastAsia="zh-CN"/>
        </w:rPr>
      </w:pPr>
      <w:r>
        <w:rPr>
          <w:b/>
          <w:sz w:val="32"/>
          <w:szCs w:val="32"/>
          <w:lang w:eastAsia="zh-CN"/>
        </w:rPr>
        <w:br w:type="page"/>
      </w:r>
    </w:p>
    <w:p>
      <w:pPr>
        <w:spacing w:before="4" w:line="120" w:lineRule="exact"/>
        <w:rPr>
          <w:rFonts w:ascii="微软雅黑" w:hAnsi="微软雅黑" w:eastAsia="微软雅黑"/>
          <w:sz w:val="12"/>
          <w:szCs w:val="12"/>
          <w:lang w:eastAsia="zh-CN"/>
        </w:rPr>
      </w:pPr>
    </w:p>
    <w:p>
      <w:pPr>
        <w:pStyle w:val="3"/>
      </w:pPr>
      <w:bookmarkStart w:id="1" w:name="_Toc13248927"/>
      <w:bookmarkStart w:id="2" w:name="_Toc13249324"/>
      <w:r>
        <w:t>一、</w:t>
      </w:r>
      <w:r>
        <w:rPr>
          <w:rFonts w:hint="eastAsia"/>
          <w:lang w:val="en-US" w:eastAsia="zh-CN"/>
        </w:rPr>
        <w:t>需求</w:t>
      </w:r>
      <w:r>
        <w:t>概况</w:t>
      </w:r>
      <w:bookmarkEnd w:id="1"/>
      <w:bookmarkEnd w:id="2"/>
    </w:p>
    <w:p>
      <w:pPr>
        <w:spacing w:before="2" w:line="100" w:lineRule="exact"/>
        <w:rPr>
          <w:rFonts w:ascii="微软雅黑" w:hAnsi="微软雅黑" w:eastAsia="微软雅黑"/>
          <w:sz w:val="10"/>
          <w:szCs w:val="10"/>
          <w:lang w:eastAsia="zh-CN"/>
        </w:rPr>
      </w:pPr>
    </w:p>
    <w:p>
      <w:pPr>
        <w:ind w:right="-26" w:rightChars="-12" w:firstLine="420" w:firstLineChars="20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海洋石油阳江实业有限公司油气回收装置是重要的安全环保设备，用于回收</w:t>
      </w:r>
      <w:r>
        <w:rPr>
          <w:rFonts w:hint="eastAsia" w:ascii="微软雅黑" w:hAnsi="微软雅黑" w:eastAsia="微软雅黑" w:cs="微软雅黑"/>
          <w:sz w:val="21"/>
          <w:szCs w:val="21"/>
          <w:lang w:val="en-US" w:eastAsia="zh-CN"/>
        </w:rPr>
        <w:t>处置汽油</w:t>
      </w:r>
      <w:r>
        <w:rPr>
          <w:rFonts w:hint="eastAsia" w:ascii="微软雅黑" w:hAnsi="微软雅黑" w:eastAsia="微软雅黑" w:cs="微软雅黑"/>
          <w:sz w:val="21"/>
          <w:szCs w:val="21"/>
          <w:lang w:eastAsia="zh-CN"/>
        </w:rPr>
        <w:t>装车过程中挥发的油气。</w:t>
      </w:r>
      <w:r>
        <w:rPr>
          <w:rFonts w:hint="eastAsia" w:ascii="微软雅黑" w:hAnsi="微软雅黑" w:eastAsia="微软雅黑" w:cs="微软雅黑"/>
          <w:sz w:val="21"/>
          <w:szCs w:val="21"/>
          <w:lang w:val="en-US" w:eastAsia="zh-CN"/>
        </w:rPr>
        <w:t>油气回收</w:t>
      </w:r>
      <w:r>
        <w:rPr>
          <w:rFonts w:hint="eastAsia" w:ascii="微软雅黑" w:hAnsi="微软雅黑" w:eastAsia="微软雅黑" w:cs="微软雅黑"/>
          <w:sz w:val="21"/>
          <w:szCs w:val="21"/>
          <w:lang w:eastAsia="zh-CN"/>
        </w:rPr>
        <w:t>装置</w:t>
      </w:r>
      <w:r>
        <w:rPr>
          <w:rFonts w:hint="eastAsia" w:ascii="微软雅黑" w:hAnsi="微软雅黑" w:eastAsia="微软雅黑" w:cs="微软雅黑"/>
          <w:sz w:val="21"/>
          <w:szCs w:val="21"/>
          <w:lang w:val="en-US" w:eastAsia="zh-CN"/>
        </w:rPr>
        <w:t>2012年6月建成投运至今，目前装置部分阀门和仪表出现异常故障率高，</w:t>
      </w:r>
      <w:r>
        <w:rPr>
          <w:rFonts w:hint="eastAsia" w:ascii="微软雅黑" w:hAnsi="微软雅黑" w:eastAsia="微软雅黑" w:cs="微软雅黑"/>
          <w:sz w:val="21"/>
          <w:szCs w:val="21"/>
          <w:lang w:eastAsia="zh-CN"/>
        </w:rPr>
        <w:t>运行吸附效果明显下降，</w:t>
      </w:r>
      <w:r>
        <w:rPr>
          <w:rFonts w:hint="eastAsia" w:ascii="微软雅黑" w:hAnsi="微软雅黑" w:eastAsia="微软雅黑" w:cs="微软雅黑"/>
          <w:sz w:val="21"/>
          <w:szCs w:val="21"/>
          <w:lang w:val="en-US" w:eastAsia="zh-CN"/>
        </w:rPr>
        <w:t>运行处理效果不稳定，为提升库区汽油装车时油气回收装置运行处理效果，保证发油装车满足《储油库大气污染物排放标准》的环保</w:t>
      </w:r>
      <w:r>
        <w:rPr>
          <w:rFonts w:hint="eastAsia" w:ascii="微软雅黑" w:hAnsi="微软雅黑" w:eastAsia="微软雅黑" w:cs="微软雅黑"/>
          <w:sz w:val="21"/>
          <w:szCs w:val="21"/>
          <w:lang w:eastAsia="zh-CN"/>
        </w:rPr>
        <w:t>要求，</w:t>
      </w:r>
      <w:r>
        <w:rPr>
          <w:rFonts w:hint="eastAsia" w:ascii="微软雅黑" w:hAnsi="微软雅黑" w:eastAsia="微软雅黑" w:cs="微软雅黑"/>
          <w:sz w:val="21"/>
          <w:szCs w:val="21"/>
          <w:lang w:val="en-US" w:eastAsia="zh-CN"/>
        </w:rPr>
        <w:t>计划对</w:t>
      </w:r>
      <w:r>
        <w:rPr>
          <w:rFonts w:hint="eastAsia" w:ascii="微软雅黑" w:hAnsi="微软雅黑" w:eastAsia="微软雅黑" w:cs="微软雅黑"/>
          <w:sz w:val="21"/>
          <w:szCs w:val="21"/>
          <w:lang w:eastAsia="zh-CN"/>
        </w:rPr>
        <w:t>油气回收装置</w:t>
      </w:r>
      <w:r>
        <w:rPr>
          <w:rFonts w:hint="eastAsia" w:ascii="微软雅黑" w:hAnsi="微软雅黑" w:eastAsia="微软雅黑" w:cs="微软雅黑"/>
          <w:sz w:val="21"/>
          <w:szCs w:val="21"/>
          <w:lang w:val="en-US" w:eastAsia="zh-CN"/>
        </w:rPr>
        <w:t>进行包括更换</w:t>
      </w:r>
      <w:r>
        <w:rPr>
          <w:rFonts w:hint="eastAsia" w:ascii="微软雅黑" w:hAnsi="微软雅黑" w:eastAsia="微软雅黑" w:cs="微软雅黑"/>
          <w:sz w:val="21"/>
          <w:szCs w:val="21"/>
          <w:lang w:eastAsia="zh-CN"/>
        </w:rPr>
        <w:t>吸附罐活性</w:t>
      </w:r>
      <w:r>
        <w:rPr>
          <w:rFonts w:hint="eastAsia" w:ascii="微软雅黑" w:hAnsi="微软雅黑" w:eastAsia="微软雅黑" w:cs="微软雅黑"/>
          <w:sz w:val="21"/>
          <w:szCs w:val="21"/>
          <w:lang w:val="en-US" w:eastAsia="zh-CN"/>
        </w:rPr>
        <w:t>炭等全面检维修工作。</w:t>
      </w:r>
    </w:p>
    <w:p>
      <w:pPr>
        <w:ind w:right="-26" w:rightChars="-12" w:firstLine="420" w:firstLineChars="2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另外库区控制阀门用辅助仪表风系统两台螺杆式空气压缩机2021年维保至今已有四年，近期出现故障报警率高，经过现场检查部分仪表配件老化，干燥效果差，储气罐出现排出水份，是气动切断阀门故障原因之一，</w:t>
      </w:r>
      <w:r>
        <w:rPr>
          <w:rFonts w:hint="eastAsia" w:ascii="微软雅黑" w:hAnsi="微软雅黑" w:eastAsia="微软雅黑" w:cs="微软雅黑"/>
          <w:sz w:val="21"/>
          <w:szCs w:val="21"/>
          <w:lang w:eastAsia="zh-CN"/>
        </w:rPr>
        <w:t>为了保证库</w:t>
      </w:r>
      <w:r>
        <w:rPr>
          <w:rFonts w:hint="eastAsia" w:ascii="微软雅黑" w:hAnsi="微软雅黑" w:eastAsia="微软雅黑" w:cs="微软雅黑"/>
          <w:sz w:val="21"/>
          <w:szCs w:val="21"/>
          <w:lang w:val="en-US" w:eastAsia="zh-CN"/>
        </w:rPr>
        <w:t>区正常供应合格仪表风，现计划对两台</w:t>
      </w:r>
      <w:r>
        <w:rPr>
          <w:rFonts w:hint="eastAsia" w:ascii="微软雅黑" w:hAnsi="微软雅黑" w:eastAsia="微软雅黑" w:cs="微软雅黑"/>
          <w:sz w:val="21"/>
          <w:szCs w:val="21"/>
          <w:lang w:eastAsia="zh-CN"/>
        </w:rPr>
        <w:t>螺杆式空压机</w:t>
      </w:r>
      <w:r>
        <w:rPr>
          <w:rFonts w:hint="eastAsia" w:ascii="微软雅黑" w:hAnsi="微软雅黑" w:eastAsia="微软雅黑" w:cs="微软雅黑"/>
          <w:sz w:val="21"/>
          <w:szCs w:val="21"/>
          <w:lang w:val="en-US" w:eastAsia="zh-CN"/>
        </w:rPr>
        <w:t>全面检维修工作。</w:t>
      </w:r>
    </w:p>
    <w:p>
      <w:pPr>
        <w:ind w:right="-26" w:rightChars="-12" w:firstLine="420" w:firstLineChars="200"/>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综上所述，</w:t>
      </w:r>
      <w:r>
        <w:rPr>
          <w:rFonts w:hint="eastAsia" w:ascii="微软雅黑" w:hAnsi="微软雅黑" w:eastAsia="微软雅黑" w:cs="微软雅黑"/>
          <w:sz w:val="21"/>
          <w:szCs w:val="21"/>
          <w:lang w:eastAsia="zh-CN"/>
        </w:rPr>
        <w:t>特</w:t>
      </w:r>
      <w:r>
        <w:rPr>
          <w:rFonts w:hint="eastAsia" w:ascii="微软雅黑" w:hAnsi="微软雅黑" w:eastAsia="微软雅黑" w:cs="微软雅黑"/>
          <w:sz w:val="21"/>
          <w:szCs w:val="21"/>
          <w:lang w:val="en-US" w:eastAsia="zh-CN"/>
        </w:rPr>
        <w:t>申请本次库区油气回收装置及空压机检维修服务立项</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lang w:val="en-US" w:eastAsia="zh-CN"/>
        </w:rPr>
        <w:t xml:space="preserve">   </w:t>
      </w:r>
    </w:p>
    <w:p>
      <w:pPr>
        <w:pStyle w:val="3"/>
        <w:keepNext w:val="0"/>
        <w:keepLines w:val="0"/>
        <w:pageBreakBefore w:val="0"/>
        <w:widowControl w:val="0"/>
        <w:kinsoku/>
        <w:wordWrap/>
        <w:overflowPunct/>
        <w:topLinePunct w:val="0"/>
        <w:autoSpaceDE/>
        <w:autoSpaceDN/>
        <w:bidi w:val="0"/>
        <w:adjustRightInd/>
        <w:snapToGrid/>
        <w:spacing w:before="313" w:beforeLines="100"/>
        <w:textAlignment w:val="auto"/>
        <w:rPr>
          <w:rFonts w:hint="eastAsia" w:ascii="微软雅黑" w:hAnsi="微软雅黑" w:eastAsia="微软雅黑" w:cs="微软雅黑"/>
        </w:rPr>
      </w:pPr>
      <w:bookmarkStart w:id="3" w:name="_Toc13248928"/>
      <w:bookmarkStart w:id="4" w:name="_Toc13249325"/>
      <w:r>
        <w:rPr>
          <w:rFonts w:hint="eastAsia" w:ascii="微软雅黑" w:hAnsi="微软雅黑" w:eastAsia="微软雅黑" w:cs="微软雅黑"/>
        </w:rPr>
        <w:t>二、服务内容和范围</w:t>
      </w:r>
      <w:bookmarkEnd w:id="3"/>
      <w:bookmarkEnd w:id="4"/>
      <w:bookmarkStart w:id="7" w:name="_GoBack"/>
      <w:bookmarkEnd w:id="7"/>
    </w:p>
    <w:p>
      <w:pPr>
        <w:ind w:right="-26" w:rightChars="-12" w:firstLine="210" w:firstLineChars="1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1、服务内容 ：海洋石油阳江实业有限公司库区油气回收装置及空压机检维修服务。</w:t>
      </w:r>
    </w:p>
    <w:p>
      <w:pPr>
        <w:ind w:right="-26" w:rightChars="-12" w:firstLine="210" w:firstLineChars="10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2、工作量清单：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b/>
          <w:bCs/>
          <w:kern w:val="0"/>
          <w:sz w:val="21"/>
          <w:szCs w:val="21"/>
          <w:lang w:val="en-US" w:eastAsia="zh-CN" w:bidi="ar-SA"/>
        </w:rPr>
      </w:pPr>
      <w:r>
        <w:rPr>
          <w:rFonts w:hint="eastAsia" w:ascii="微软雅黑" w:hAnsi="微软雅黑" w:eastAsia="微软雅黑" w:cs="微软雅黑"/>
          <w:b/>
          <w:bCs/>
          <w:kern w:val="0"/>
          <w:sz w:val="21"/>
          <w:szCs w:val="21"/>
          <w:lang w:val="en-US" w:eastAsia="zh-CN" w:bidi="ar-SA"/>
        </w:rPr>
        <w:t>2.1 卸出吸附罐活性炭并袋装放置厂区危废间（5.0吨）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（1）停机检维修工艺操作甲方进行工艺操作。</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（2）搭设脚手架。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（3）活性炭卸出前需进行隔离、开盖、通风降温，全过程做好可燃气体检测。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（4）活性炭卸出过程中需确保无泄漏，避免对环境造成污染。</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（5）卸出的活性炭需使用符合危废包装标准的容器进行袋装，确保密封性。</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kern w:val="0"/>
          <w:sz w:val="21"/>
          <w:szCs w:val="21"/>
          <w:lang w:val="en-US" w:eastAsia="zh-CN" w:bidi="ar-SA"/>
        </w:rPr>
      </w:pP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kern w:val="0"/>
          <w:sz w:val="21"/>
          <w:szCs w:val="21"/>
          <w:lang w:val="en-US" w:eastAsia="zh-CN" w:bidi="ar-SA"/>
        </w:rPr>
      </w:pP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b/>
          <w:bCs/>
          <w:kern w:val="0"/>
          <w:sz w:val="21"/>
          <w:szCs w:val="21"/>
          <w:lang w:val="en-US" w:eastAsia="zh-CN" w:bidi="ar-SA"/>
        </w:rPr>
      </w:pPr>
      <w:r>
        <w:rPr>
          <w:rFonts w:hint="eastAsia" w:ascii="微软雅黑" w:hAnsi="微软雅黑" w:eastAsia="微软雅黑" w:cs="微软雅黑"/>
          <w:b/>
          <w:bCs/>
          <w:kern w:val="0"/>
          <w:sz w:val="21"/>
          <w:szCs w:val="21"/>
          <w:lang w:val="en-US" w:eastAsia="zh-CN" w:bidi="ar-SA"/>
        </w:rPr>
        <w:t>2.2 装填新购置活性炭（5.0吨）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highlight w:val="none"/>
          <w:lang w:val="en-US" w:eastAsia="zh-CN"/>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（1）新购置</w:t>
      </w:r>
      <w:r>
        <w:rPr>
          <w:rFonts w:hint="eastAsia" w:ascii="微软雅黑" w:hAnsi="微软雅黑" w:eastAsia="微软雅黑" w:cs="微软雅黑"/>
          <w:lang w:val="en-US" w:eastAsia="zh-CN"/>
        </w:rPr>
        <w:t>活性炭需满足以下指标要求，并出具出厂检测报告，</w:t>
      </w:r>
      <w:r>
        <w:rPr>
          <w:rFonts w:hint="eastAsia" w:ascii="微软雅黑" w:hAnsi="微软雅黑" w:eastAsia="微软雅黑" w:cs="微软雅黑"/>
          <w:highlight w:val="none"/>
          <w:lang w:val="en-US" w:eastAsia="zh-CN"/>
        </w:rPr>
        <w:t>同时需由乙方委托第三方对新购置的活性炭进行现场抽样检测验证。</w:t>
      </w:r>
    </w:p>
    <w:tbl>
      <w:tblPr>
        <w:tblStyle w:val="8"/>
        <w:tblW w:w="9143" w:type="dxa"/>
        <w:tblInd w:w="-2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9"/>
        <w:gridCol w:w="2131"/>
        <w:gridCol w:w="5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pPr>
              <w:pStyle w:val="4"/>
              <w:bidi w:val="0"/>
              <w:rPr>
                <w:rFonts w:hint="default"/>
                <w:b/>
                <w:bCs/>
                <w:sz w:val="24"/>
                <w:szCs w:val="24"/>
                <w:lang w:val="en-US" w:eastAsia="zh-CN"/>
              </w:rPr>
            </w:pPr>
            <w:r>
              <w:rPr>
                <w:rFonts w:hint="eastAsia"/>
                <w:b/>
                <w:bCs/>
                <w:sz w:val="24"/>
                <w:szCs w:val="24"/>
                <w:lang w:val="en-US" w:eastAsia="zh-CN"/>
              </w:rPr>
              <w:t>参数</w:t>
            </w:r>
          </w:p>
        </w:tc>
        <w:tc>
          <w:tcPr>
            <w:tcW w:w="2131" w:type="dxa"/>
          </w:tcPr>
          <w:p>
            <w:pPr>
              <w:pStyle w:val="4"/>
              <w:bidi w:val="0"/>
              <w:rPr>
                <w:rFonts w:hint="default"/>
                <w:b/>
                <w:bCs/>
                <w:sz w:val="24"/>
                <w:szCs w:val="24"/>
                <w:lang w:val="en-US" w:eastAsia="zh-CN"/>
              </w:rPr>
            </w:pPr>
            <w:r>
              <w:rPr>
                <w:rFonts w:hint="eastAsia"/>
                <w:b/>
                <w:bCs/>
                <w:sz w:val="24"/>
                <w:szCs w:val="24"/>
                <w:lang w:val="en-US" w:eastAsia="zh-CN"/>
              </w:rPr>
              <w:t>指标</w:t>
            </w:r>
          </w:p>
        </w:tc>
        <w:tc>
          <w:tcPr>
            <w:tcW w:w="5143" w:type="dxa"/>
          </w:tcPr>
          <w:p>
            <w:pPr>
              <w:pStyle w:val="4"/>
              <w:bidi w:val="0"/>
              <w:rPr>
                <w:rFonts w:hint="default"/>
                <w:b/>
                <w:bCs/>
                <w:sz w:val="24"/>
                <w:szCs w:val="24"/>
                <w:lang w:val="en-US" w:eastAsia="zh-CN"/>
              </w:rPr>
            </w:pPr>
            <w:r>
              <w:rPr>
                <w:rFonts w:hint="eastAsia"/>
                <w:b/>
                <w:bCs/>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shd w:val="clear" w:color="auto" w:fill="auto"/>
            <w:vAlign w:val="top"/>
          </w:tcPr>
          <w:p>
            <w:pPr>
              <w:pStyle w:val="4"/>
              <w:bidi w:val="0"/>
              <w:ind w:left="0" w:leftChars="0" w:firstLine="0" w:firstLineChars="0"/>
              <w:jc w:val="center"/>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lang w:val="en-US" w:eastAsia="zh-CN"/>
              </w:rPr>
              <w:t>碘值</w:t>
            </w:r>
          </w:p>
        </w:tc>
        <w:tc>
          <w:tcPr>
            <w:tcW w:w="2131" w:type="dxa"/>
            <w:shd w:val="clear" w:color="auto" w:fill="auto"/>
            <w:vAlign w:val="top"/>
          </w:tcPr>
          <w:p>
            <w:pPr>
              <w:pStyle w:val="4"/>
              <w:bidi w:val="0"/>
              <w:ind w:firstLine="420" w:firstLineChars="200"/>
              <w:jc w:val="both"/>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lang w:val="en-US" w:eastAsia="zh-CN"/>
              </w:rPr>
              <w:t>≥1200mg/g</w:t>
            </w:r>
          </w:p>
        </w:tc>
        <w:tc>
          <w:tcPr>
            <w:tcW w:w="5143" w:type="dxa"/>
            <w:shd w:val="clear" w:color="auto" w:fill="auto"/>
            <w:vAlign w:val="top"/>
          </w:tcPr>
          <w:p>
            <w:pPr>
              <w:pStyle w:val="4"/>
              <w:bidi w:val="0"/>
              <w:ind w:left="0" w:leftChars="0" w:firstLine="420" w:firstLineChars="200"/>
              <w:jc w:val="left"/>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rPr>
              <w:t>衡量对小分子吸附能力的重要指标‌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shd w:val="clear" w:color="auto" w:fill="auto"/>
            <w:vAlign w:val="top"/>
          </w:tcPr>
          <w:p>
            <w:pPr>
              <w:pStyle w:val="4"/>
              <w:bidi w:val="0"/>
              <w:ind w:left="0" w:leftChars="0" w:firstLine="0" w:firstLineChars="0"/>
              <w:jc w:val="center"/>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lang w:val="en-US" w:eastAsia="zh-CN"/>
              </w:rPr>
              <w:t>四氯化碳吸附率</w:t>
            </w:r>
          </w:p>
        </w:tc>
        <w:tc>
          <w:tcPr>
            <w:tcW w:w="2131" w:type="dxa"/>
            <w:shd w:val="clear" w:color="auto" w:fill="auto"/>
            <w:vAlign w:val="top"/>
          </w:tcPr>
          <w:p>
            <w:pPr>
              <w:pStyle w:val="4"/>
              <w:bidi w:val="0"/>
              <w:ind w:firstLine="420" w:firstLineChars="200"/>
              <w:jc w:val="both"/>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lang w:val="en-US" w:eastAsia="zh-CN"/>
              </w:rPr>
              <w:t>≥90%</w:t>
            </w:r>
          </w:p>
        </w:tc>
        <w:tc>
          <w:tcPr>
            <w:tcW w:w="5143" w:type="dxa"/>
            <w:shd w:val="clear" w:color="auto" w:fill="auto"/>
            <w:vAlign w:val="top"/>
          </w:tcPr>
          <w:p>
            <w:pPr>
              <w:pStyle w:val="4"/>
              <w:bidi w:val="0"/>
              <w:ind w:left="0" w:leftChars="0" w:firstLine="420" w:firstLineChars="200"/>
              <w:jc w:val="left"/>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rPr>
              <w:t>衡量活性炭对</w:t>
            </w:r>
            <w:r>
              <w:rPr>
                <w:rFonts w:hint="eastAsia" w:ascii="微软雅黑" w:hAnsi="微软雅黑" w:eastAsia="微软雅黑" w:cs="微软雅黑"/>
                <w:lang w:val="en-US" w:eastAsia="zh-CN"/>
              </w:rPr>
              <w:t>挥发性有机物（VOCs)</w:t>
            </w:r>
            <w:r>
              <w:rPr>
                <w:rFonts w:hint="eastAsia" w:ascii="微软雅黑" w:hAnsi="微软雅黑" w:eastAsia="微软雅黑" w:cs="微软雅黑"/>
              </w:rPr>
              <w:t>的吸附能力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shd w:val="clear" w:color="auto" w:fill="auto"/>
            <w:vAlign w:val="top"/>
          </w:tcPr>
          <w:p>
            <w:pPr>
              <w:pStyle w:val="4"/>
              <w:bidi w:val="0"/>
              <w:ind w:left="0" w:leftChars="0" w:firstLine="0" w:firstLineChars="0"/>
              <w:jc w:val="center"/>
              <w:rPr>
                <w:rFonts w:hint="eastAsia" w:ascii="微软雅黑" w:hAnsi="微软雅黑" w:eastAsia="微软雅黑" w:cs="微软雅黑"/>
                <w:color w:val="auto"/>
                <w:kern w:val="0"/>
                <w:sz w:val="21"/>
                <w:szCs w:val="21"/>
                <w:highlight w:val="none"/>
                <w:lang w:val="en-US" w:eastAsia="zh-CN" w:bidi="ar-SA"/>
              </w:rPr>
            </w:pPr>
            <w:r>
              <w:rPr>
                <w:rFonts w:hint="eastAsia" w:ascii="微软雅黑" w:hAnsi="微软雅黑" w:eastAsia="微软雅黑" w:cs="微软雅黑"/>
                <w:color w:val="auto"/>
                <w:highlight w:val="none"/>
                <w:lang w:val="en-US" w:eastAsia="zh-CN"/>
              </w:rPr>
              <w:t>丁烷工作容量</w:t>
            </w:r>
          </w:p>
        </w:tc>
        <w:tc>
          <w:tcPr>
            <w:tcW w:w="2131" w:type="dxa"/>
            <w:shd w:val="clear" w:color="auto" w:fill="auto"/>
            <w:vAlign w:val="top"/>
          </w:tcPr>
          <w:p>
            <w:pPr>
              <w:pStyle w:val="4"/>
              <w:bidi w:val="0"/>
              <w:ind w:firstLine="420" w:firstLineChars="200"/>
              <w:jc w:val="both"/>
              <w:rPr>
                <w:rFonts w:hint="eastAsia" w:ascii="微软雅黑" w:hAnsi="微软雅黑" w:eastAsia="微软雅黑" w:cs="微软雅黑"/>
                <w:color w:val="auto"/>
                <w:kern w:val="0"/>
                <w:sz w:val="21"/>
                <w:szCs w:val="21"/>
                <w:highlight w:val="none"/>
                <w:lang w:val="en-US" w:eastAsia="zh-CN" w:bidi="ar-SA"/>
              </w:rPr>
            </w:pPr>
            <w:r>
              <w:rPr>
                <w:rFonts w:hint="eastAsia" w:ascii="微软雅黑" w:hAnsi="微软雅黑" w:eastAsia="微软雅黑" w:cs="微软雅黑"/>
                <w:color w:val="auto"/>
                <w:highlight w:val="none"/>
                <w:lang w:val="en-US" w:eastAsia="zh-CN"/>
              </w:rPr>
              <w:t>≥12.5g/100mL</w:t>
            </w:r>
          </w:p>
        </w:tc>
        <w:tc>
          <w:tcPr>
            <w:tcW w:w="5143" w:type="dxa"/>
            <w:shd w:val="clear" w:color="auto" w:fill="auto"/>
            <w:vAlign w:val="top"/>
          </w:tcPr>
          <w:p>
            <w:pPr>
              <w:pStyle w:val="4"/>
              <w:bidi w:val="0"/>
              <w:ind w:left="0" w:leftChars="0" w:firstLine="420" w:firstLineChars="200"/>
              <w:jc w:val="left"/>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衡量动态吸附过程中，饱和吸附量和解吸后残留量之差，反映活性炭在循环使用中的有效吸附能力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shd w:val="clear" w:color="auto" w:fill="auto"/>
            <w:vAlign w:val="top"/>
          </w:tcPr>
          <w:p>
            <w:pPr>
              <w:pStyle w:val="4"/>
              <w:bidi w:val="0"/>
              <w:ind w:left="0" w:leftChars="0" w:firstLine="0" w:firstLineChars="0"/>
              <w:jc w:val="center"/>
              <w:rPr>
                <w:rFonts w:hint="default" w:ascii="微软雅黑" w:hAnsi="微软雅黑" w:eastAsia="微软雅黑" w:cs="微软雅黑"/>
                <w:color w:val="auto"/>
                <w:kern w:val="0"/>
                <w:sz w:val="21"/>
                <w:szCs w:val="21"/>
                <w:highlight w:val="none"/>
                <w:lang w:val="en-US" w:eastAsia="zh-CN" w:bidi="ar-SA"/>
              </w:rPr>
            </w:pPr>
            <w:r>
              <w:rPr>
                <w:rFonts w:hint="eastAsia" w:ascii="微软雅黑" w:hAnsi="微软雅黑" w:eastAsia="微软雅黑" w:cs="微软雅黑"/>
                <w:color w:val="auto"/>
                <w:highlight w:val="none"/>
                <w:lang w:val="en-US" w:eastAsia="zh-CN"/>
              </w:rPr>
              <w:t>正丁烷吸附容量</w:t>
            </w:r>
          </w:p>
        </w:tc>
        <w:tc>
          <w:tcPr>
            <w:tcW w:w="2131" w:type="dxa"/>
            <w:shd w:val="clear" w:color="auto" w:fill="auto"/>
            <w:vAlign w:val="top"/>
          </w:tcPr>
          <w:p>
            <w:pPr>
              <w:pStyle w:val="4"/>
              <w:bidi w:val="0"/>
              <w:ind w:firstLine="420" w:firstLineChars="200"/>
              <w:jc w:val="both"/>
              <w:rPr>
                <w:rFonts w:hint="eastAsia"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lang w:val="en-US" w:eastAsia="zh-CN"/>
              </w:rPr>
              <w:t>≥0.1g/mL</w:t>
            </w:r>
          </w:p>
        </w:tc>
        <w:tc>
          <w:tcPr>
            <w:tcW w:w="5143" w:type="dxa"/>
            <w:shd w:val="clear" w:color="auto" w:fill="auto"/>
            <w:vAlign w:val="top"/>
          </w:tcPr>
          <w:p>
            <w:pPr>
              <w:pStyle w:val="4"/>
              <w:bidi w:val="0"/>
              <w:ind w:left="0" w:leftChars="0" w:firstLine="420" w:firstLineChars="200"/>
              <w:jc w:val="left"/>
              <w:rPr>
                <w:rFonts w:hint="default"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highlight w:val="none"/>
                <w:lang w:val="en-US" w:eastAsia="zh-CN"/>
              </w:rPr>
              <w:t>衡量活性炭在静态条件下对正丁烷的最大吸附量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shd w:val="clear" w:color="auto" w:fill="auto"/>
            <w:vAlign w:val="top"/>
          </w:tcPr>
          <w:p>
            <w:pPr>
              <w:pStyle w:val="4"/>
              <w:bidi w:val="0"/>
              <w:ind w:left="0" w:leftChars="0" w:firstLine="0" w:firstLineChars="0"/>
              <w:jc w:val="center"/>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丁烷脱附率</w:t>
            </w:r>
          </w:p>
        </w:tc>
        <w:tc>
          <w:tcPr>
            <w:tcW w:w="2131" w:type="dxa"/>
            <w:shd w:val="clear" w:color="auto" w:fill="auto"/>
            <w:vAlign w:val="top"/>
          </w:tcPr>
          <w:p>
            <w:pPr>
              <w:pStyle w:val="4"/>
              <w:bidi w:val="0"/>
              <w:ind w:firstLine="420" w:firstLineChars="200"/>
              <w:jc w:val="both"/>
              <w:rPr>
                <w:rFonts w:hint="eastAsia" w:ascii="微软雅黑" w:hAnsi="微软雅黑" w:eastAsia="微软雅黑" w:cs="微软雅黑"/>
                <w:highlight w:val="none"/>
                <w:lang w:val="en-US" w:eastAsia="zh-CN"/>
              </w:rPr>
            </w:pPr>
            <w:r>
              <w:rPr>
                <w:rFonts w:hint="eastAsia" w:ascii="微软雅黑" w:hAnsi="微软雅黑" w:eastAsia="微软雅黑" w:cs="微软雅黑"/>
                <w:lang w:val="en-US" w:eastAsia="zh-CN"/>
              </w:rPr>
              <w:t>≥90%</w:t>
            </w:r>
          </w:p>
        </w:tc>
        <w:tc>
          <w:tcPr>
            <w:tcW w:w="5143" w:type="dxa"/>
            <w:shd w:val="clear" w:color="auto" w:fill="auto"/>
            <w:vAlign w:val="top"/>
          </w:tcPr>
          <w:p>
            <w:pPr>
              <w:pStyle w:val="4"/>
              <w:bidi w:val="0"/>
              <w:ind w:left="0" w:leftChars="0" w:firstLine="420" w:firstLineChars="200"/>
              <w:jc w:val="left"/>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衡量活性炭在脱附过程中的效率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shd w:val="clear" w:color="auto" w:fill="auto"/>
            <w:vAlign w:val="top"/>
          </w:tcPr>
          <w:p>
            <w:pPr>
              <w:pStyle w:val="4"/>
              <w:bidi w:val="0"/>
              <w:ind w:left="0" w:leftChars="0" w:firstLine="0" w:firstLineChars="0"/>
              <w:jc w:val="center"/>
              <w:rPr>
                <w:rFonts w:hint="default" w:ascii="微软雅黑" w:hAnsi="微软雅黑" w:eastAsia="微软雅黑" w:cs="微软雅黑"/>
                <w:kern w:val="0"/>
                <w:sz w:val="21"/>
                <w:szCs w:val="21"/>
                <w:lang w:val="en-US" w:eastAsia="zh-CN" w:bidi="ar-SA"/>
              </w:rPr>
            </w:pPr>
            <w:r>
              <w:rPr>
                <w:rFonts w:hint="eastAsia" w:ascii="微软雅黑" w:hAnsi="微软雅黑" w:eastAsia="微软雅黑" w:cs="微软雅黑"/>
                <w:kern w:val="0"/>
                <w:sz w:val="21"/>
                <w:szCs w:val="21"/>
                <w:lang w:val="en-US" w:eastAsia="zh-CN" w:bidi="ar-SA"/>
              </w:rPr>
              <w:t>笨吸附率</w:t>
            </w:r>
          </w:p>
        </w:tc>
        <w:tc>
          <w:tcPr>
            <w:tcW w:w="2131" w:type="dxa"/>
            <w:shd w:val="clear" w:color="auto" w:fill="auto"/>
            <w:vAlign w:val="top"/>
          </w:tcPr>
          <w:p>
            <w:pPr>
              <w:pStyle w:val="4"/>
              <w:bidi w:val="0"/>
              <w:ind w:firstLine="420" w:firstLineChars="20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≥400mg/g</w:t>
            </w:r>
          </w:p>
        </w:tc>
        <w:tc>
          <w:tcPr>
            <w:tcW w:w="5143" w:type="dxa"/>
            <w:shd w:val="clear" w:color="auto" w:fill="auto"/>
            <w:vAlign w:val="top"/>
          </w:tcPr>
          <w:p>
            <w:pPr>
              <w:pStyle w:val="4"/>
              <w:bidi w:val="0"/>
              <w:ind w:left="0" w:leftChars="0" w:firstLine="420" w:firstLineChars="200"/>
              <w:jc w:val="left"/>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rPr>
              <w:t>衡量</w:t>
            </w:r>
            <w:r>
              <w:rPr>
                <w:rFonts w:hint="eastAsia" w:ascii="微软雅黑" w:hAnsi="微软雅黑" w:eastAsia="微软雅黑" w:cs="微软雅黑"/>
                <w:lang w:val="en-US" w:eastAsia="zh-CN"/>
              </w:rPr>
              <w:t>对油气苯的吸附能力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shd w:val="clear" w:color="auto" w:fill="auto"/>
            <w:vAlign w:val="top"/>
          </w:tcPr>
          <w:p>
            <w:pPr>
              <w:pStyle w:val="4"/>
              <w:bidi w:val="0"/>
              <w:ind w:left="0" w:leftChars="0" w:firstLine="0" w:firstLineChars="0"/>
              <w:jc w:val="center"/>
              <w:rPr>
                <w:rFonts w:hint="default" w:ascii="微软雅黑" w:hAnsi="微软雅黑" w:eastAsia="微软雅黑" w:cs="微软雅黑"/>
                <w:kern w:val="0"/>
                <w:sz w:val="21"/>
                <w:szCs w:val="21"/>
                <w:lang w:val="en-US" w:eastAsia="zh-CN" w:bidi="ar-SA"/>
              </w:rPr>
            </w:pPr>
            <w:r>
              <w:rPr>
                <w:rFonts w:hint="eastAsia" w:ascii="微软雅黑" w:hAnsi="微软雅黑" w:eastAsia="微软雅黑" w:cs="微软雅黑"/>
                <w:kern w:val="0"/>
                <w:sz w:val="21"/>
                <w:szCs w:val="21"/>
                <w:lang w:val="en-US" w:eastAsia="zh-CN" w:bidi="ar-SA"/>
              </w:rPr>
              <w:t>甲苯吸附率</w:t>
            </w:r>
          </w:p>
        </w:tc>
        <w:tc>
          <w:tcPr>
            <w:tcW w:w="2131" w:type="dxa"/>
            <w:shd w:val="clear" w:color="auto" w:fill="auto"/>
            <w:vAlign w:val="top"/>
          </w:tcPr>
          <w:p>
            <w:pPr>
              <w:pStyle w:val="4"/>
              <w:bidi w:val="0"/>
              <w:ind w:firstLine="420" w:firstLineChars="20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≥300mg/g</w:t>
            </w:r>
          </w:p>
        </w:tc>
        <w:tc>
          <w:tcPr>
            <w:tcW w:w="5143" w:type="dxa"/>
            <w:shd w:val="clear" w:color="auto" w:fill="auto"/>
            <w:vAlign w:val="top"/>
          </w:tcPr>
          <w:p>
            <w:pPr>
              <w:pStyle w:val="4"/>
              <w:bidi w:val="0"/>
              <w:ind w:left="0" w:leftChars="0" w:firstLine="420" w:firstLineChars="200"/>
              <w:jc w:val="left"/>
              <w:rPr>
                <w:rFonts w:hint="eastAsia" w:ascii="微软雅黑" w:hAnsi="微软雅黑" w:eastAsia="微软雅黑" w:cs="微软雅黑"/>
              </w:rPr>
            </w:pPr>
            <w:r>
              <w:rPr>
                <w:rFonts w:hint="eastAsia" w:ascii="微软雅黑" w:hAnsi="微软雅黑" w:eastAsia="微软雅黑" w:cs="微软雅黑"/>
              </w:rPr>
              <w:t>衡量</w:t>
            </w:r>
            <w:r>
              <w:rPr>
                <w:rFonts w:hint="eastAsia" w:ascii="微软雅黑" w:hAnsi="微软雅黑" w:eastAsia="微软雅黑" w:cs="微软雅黑"/>
                <w:lang w:val="en-US" w:eastAsia="zh-CN"/>
              </w:rPr>
              <w:t>对油气甲苯的吸附能力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pPr>
              <w:pStyle w:val="4"/>
              <w:bidi w:val="0"/>
              <w:ind w:left="0" w:leftChars="0" w:firstLine="0" w:firstLine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灰分</w:t>
            </w:r>
          </w:p>
        </w:tc>
        <w:tc>
          <w:tcPr>
            <w:tcW w:w="2131" w:type="dxa"/>
          </w:tcPr>
          <w:p>
            <w:pPr>
              <w:pStyle w:val="4"/>
              <w:bidi w:val="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≤6%</w:t>
            </w:r>
          </w:p>
        </w:tc>
        <w:tc>
          <w:tcPr>
            <w:tcW w:w="5143" w:type="dxa"/>
          </w:tcPr>
          <w:p>
            <w:pPr>
              <w:pStyle w:val="4"/>
              <w:bidi w:val="0"/>
              <w:ind w:left="0" w:leftChars="0"/>
              <w:jc w:val="left"/>
              <w:rPr>
                <w:rFonts w:hint="eastAsia" w:ascii="微软雅黑" w:hAnsi="微软雅黑" w:eastAsia="微软雅黑" w:cs="微软雅黑"/>
                <w:lang w:val="en-US" w:eastAsia="zh-CN"/>
              </w:rPr>
            </w:pPr>
            <w:r>
              <w:rPr>
                <w:rFonts w:hint="eastAsia" w:ascii="微软雅黑" w:hAnsi="微软雅黑" w:eastAsia="微软雅黑" w:cs="微软雅黑"/>
              </w:rPr>
              <w:t>衡量活性炭原料质量的重要指标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pPr>
              <w:pStyle w:val="4"/>
              <w:bidi w:val="0"/>
              <w:ind w:left="0" w:leftChars="0" w:firstLine="0" w:firstLine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水分</w:t>
            </w:r>
          </w:p>
        </w:tc>
        <w:tc>
          <w:tcPr>
            <w:tcW w:w="2131" w:type="dxa"/>
          </w:tcPr>
          <w:p>
            <w:pPr>
              <w:pStyle w:val="4"/>
              <w:bidi w:val="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5143" w:type="dxa"/>
          </w:tcPr>
          <w:p>
            <w:pPr>
              <w:pStyle w:val="4"/>
              <w:bidi w:val="0"/>
              <w:ind w:left="0" w:left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影响活性炭的使用效果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pPr>
              <w:pStyle w:val="4"/>
              <w:bidi w:val="0"/>
              <w:ind w:left="0" w:leftChars="0" w:firstLine="0" w:firstLine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堆积密度</w:t>
            </w:r>
          </w:p>
        </w:tc>
        <w:tc>
          <w:tcPr>
            <w:tcW w:w="2131" w:type="dxa"/>
          </w:tcPr>
          <w:p>
            <w:pPr>
              <w:pStyle w:val="4"/>
              <w:bidi w:val="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400-450kg/m³</w:t>
            </w:r>
          </w:p>
        </w:tc>
        <w:tc>
          <w:tcPr>
            <w:tcW w:w="5143" w:type="dxa"/>
          </w:tcPr>
          <w:p>
            <w:pPr>
              <w:pStyle w:val="4"/>
              <w:bidi w:val="0"/>
              <w:ind w:left="0" w:leftChars="0"/>
              <w:jc w:val="left"/>
              <w:rPr>
                <w:rFonts w:hint="eastAsia" w:ascii="微软雅黑" w:hAnsi="微软雅黑" w:eastAsia="微软雅黑" w:cs="微软雅黑"/>
                <w:lang w:val="en-US" w:eastAsia="zh-CN"/>
              </w:rPr>
            </w:pPr>
            <w:r>
              <w:rPr>
                <w:rFonts w:hint="eastAsia" w:ascii="微软雅黑" w:hAnsi="微软雅黑" w:eastAsia="微软雅黑" w:cs="微软雅黑"/>
              </w:rPr>
              <w:t>衡量装填效率的重要参数‌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869" w:type="dxa"/>
          </w:tcPr>
          <w:p>
            <w:pPr>
              <w:pStyle w:val="4"/>
              <w:bidi w:val="0"/>
              <w:ind w:left="0" w:leftChars="0" w:firstLine="0" w:firstLine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颗粒强度</w:t>
            </w:r>
          </w:p>
        </w:tc>
        <w:tc>
          <w:tcPr>
            <w:tcW w:w="2131" w:type="dxa"/>
          </w:tcPr>
          <w:p>
            <w:pPr>
              <w:pStyle w:val="4"/>
              <w:bidi w:val="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≥95%</w:t>
            </w:r>
          </w:p>
        </w:tc>
        <w:tc>
          <w:tcPr>
            <w:tcW w:w="5143" w:type="dxa"/>
          </w:tcPr>
          <w:p>
            <w:pPr>
              <w:pStyle w:val="4"/>
              <w:keepNext w:val="0"/>
              <w:keepLines w:val="0"/>
              <w:pageBreakBefore w:val="0"/>
              <w:widowControl w:val="0"/>
              <w:kinsoku/>
              <w:wordWrap/>
              <w:overflowPunct/>
              <w:topLinePunct w:val="0"/>
              <w:autoSpaceDE/>
              <w:autoSpaceDN/>
              <w:bidi w:val="0"/>
              <w:adjustRightInd/>
              <w:snapToGrid/>
              <w:spacing w:line="400" w:lineRule="exact"/>
              <w:ind w:left="220" w:leftChars="100" w:firstLine="210" w:firstLineChars="100"/>
              <w:jc w:val="left"/>
              <w:textAlignment w:val="auto"/>
              <w:rPr>
                <w:rFonts w:hint="eastAsia" w:ascii="微软雅黑" w:hAnsi="微软雅黑" w:eastAsia="微软雅黑" w:cs="微软雅黑"/>
                <w:lang w:val="en-US" w:eastAsia="zh-CN"/>
              </w:rPr>
            </w:pPr>
            <w:r>
              <w:rPr>
                <w:rFonts w:hint="eastAsia" w:ascii="微软雅黑" w:hAnsi="微软雅黑" w:eastAsia="微软雅黑" w:cs="微软雅黑"/>
              </w:rPr>
              <w:t>反映活性炭的机械性能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pPr>
              <w:pStyle w:val="4"/>
              <w:bidi w:val="0"/>
              <w:ind w:left="0" w:leftChars="0" w:firstLine="0" w:firstLine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比表面积</w:t>
            </w:r>
          </w:p>
        </w:tc>
        <w:tc>
          <w:tcPr>
            <w:tcW w:w="2131" w:type="dxa"/>
          </w:tcPr>
          <w:p>
            <w:pPr>
              <w:pStyle w:val="4"/>
              <w:bidi w:val="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≥1400㎡/g</w:t>
            </w:r>
          </w:p>
        </w:tc>
        <w:tc>
          <w:tcPr>
            <w:tcW w:w="5143" w:type="dxa"/>
          </w:tcPr>
          <w:p>
            <w:pPr>
              <w:pStyle w:val="4"/>
              <w:bidi w:val="0"/>
              <w:ind w:left="0" w:left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衡量活性炭吸附性能的重要参数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pPr>
              <w:pStyle w:val="4"/>
              <w:bidi w:val="0"/>
              <w:ind w:left="0" w:leftChars="0" w:firstLine="0" w:firstLineChars="0"/>
              <w:jc w:val="cente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着火点</w:t>
            </w:r>
          </w:p>
        </w:tc>
        <w:tc>
          <w:tcPr>
            <w:tcW w:w="2131" w:type="dxa"/>
          </w:tcPr>
          <w:p>
            <w:pPr>
              <w:pStyle w:val="4"/>
              <w:bidi w:val="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≥300℃</w:t>
            </w:r>
          </w:p>
        </w:tc>
        <w:tc>
          <w:tcPr>
            <w:tcW w:w="5143" w:type="dxa"/>
          </w:tcPr>
          <w:p>
            <w:pPr>
              <w:pStyle w:val="4"/>
              <w:bidi w:val="0"/>
              <w:ind w:left="0" w:leftChars="0"/>
              <w:jc w:val="left"/>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活性炭碳需具有高燃点以避免自燃风险</w:t>
            </w:r>
          </w:p>
        </w:tc>
      </w:tr>
    </w:tbl>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left"/>
        <w:textAlignment w:val="auto"/>
        <w:rPr>
          <w:rFonts w:hint="eastAsia" w:ascii="微软雅黑" w:hAnsi="微软雅黑" w:eastAsia="微软雅黑" w:cs="微软雅黑"/>
          <w:lang w:val="en-US" w:eastAsia="zh-CN"/>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（2）</w:t>
      </w:r>
      <w:r>
        <w:rPr>
          <w:rFonts w:hint="eastAsia" w:ascii="微软雅黑" w:hAnsi="微软雅黑" w:eastAsia="微软雅黑" w:cs="微软雅黑"/>
          <w:lang w:val="en-US" w:eastAsia="zh-CN"/>
        </w:rPr>
        <w:t>活性炭装填</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right="119" w:rightChars="0" w:firstLine="420" w:firstLineChars="200"/>
        <w:jc w:val="both"/>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①装填前清理吸附罐内残留物，检查筛板完好性（孔径≤3mm）。</w:t>
      </w:r>
    </w:p>
    <w:p>
      <w:pPr>
        <w:ind w:firstLine="420" w:firstLineChars="200"/>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kern w:val="0"/>
          <w:sz w:val="21"/>
          <w:szCs w:val="21"/>
          <w:lang w:val="en-US" w:eastAsia="zh-CN" w:bidi="ar-SA"/>
        </w:rPr>
        <w:t>②分层装填（每层厚度≤50cm），确保装填均匀，机械振动至密度400-450kg/m³。</w:t>
      </w:r>
    </w:p>
    <w:p>
      <w:pPr>
        <w:pStyle w:val="10"/>
        <w:ind w:firstLine="420" w:firstLineChars="200"/>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kern w:val="0"/>
          <w:sz w:val="21"/>
          <w:szCs w:val="21"/>
          <w:lang w:val="en-US" w:eastAsia="zh-CN" w:bidi="ar-SA"/>
        </w:rPr>
        <w:t>③</w:t>
      </w:r>
      <w:r>
        <w:rPr>
          <w:rFonts w:hint="eastAsia" w:ascii="微软雅黑" w:hAnsi="微软雅黑" w:eastAsia="微软雅黑" w:cs="微软雅黑"/>
          <w:kern w:val="0"/>
          <w:sz w:val="21"/>
          <w:szCs w:val="21"/>
          <w:highlight w:val="none"/>
          <w:lang w:val="en-US" w:eastAsia="zh-CN" w:bidi="ar-SA"/>
        </w:rPr>
        <w:t>装填完成后，对吸附罐进行严格的气密性测试。测试压力为 0.05MPa，保压时间 30min，期间吸附罐的泄漏率应≤0.1%。若发现泄漏，需及时查找泄漏点并进行修复，修复后重新进行气密性测试，直至合格。</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b/>
          <w:bCs/>
          <w:kern w:val="0"/>
          <w:sz w:val="21"/>
          <w:szCs w:val="21"/>
          <w:lang w:val="en-US" w:eastAsia="zh-CN" w:bidi="ar-SA"/>
        </w:rPr>
      </w:pPr>
      <w:r>
        <w:rPr>
          <w:rFonts w:hint="eastAsia" w:ascii="微软雅黑" w:hAnsi="微软雅黑" w:eastAsia="微软雅黑" w:cs="微软雅黑"/>
          <w:b/>
          <w:bCs/>
          <w:kern w:val="0"/>
          <w:sz w:val="21"/>
          <w:szCs w:val="21"/>
          <w:highlight w:val="none"/>
          <w:lang w:val="en-US" w:eastAsia="zh-CN" w:bidi="ar-SA"/>
        </w:rPr>
        <w:t xml:space="preserve">2.3 </w:t>
      </w:r>
      <w:r>
        <w:rPr>
          <w:rFonts w:hint="eastAsia" w:ascii="微软雅黑" w:hAnsi="微软雅黑" w:eastAsia="微软雅黑" w:cs="微软雅黑"/>
          <w:b/>
          <w:bCs/>
          <w:kern w:val="0"/>
          <w:sz w:val="21"/>
          <w:szCs w:val="21"/>
          <w:lang w:val="en-US" w:eastAsia="zh-CN" w:bidi="ar-SA"/>
        </w:rPr>
        <w:t>对新装填的活性炭进行钝化处理。</w:t>
      </w:r>
    </w:p>
    <w:p>
      <w:pPr>
        <w:ind w:firstLine="210" w:firstLineChars="100"/>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1）开始时所有的阀门处于关闭状态，打开一个再生阀，将活性炭床抽真空，当活性炭床的空气都被排出，并且真空泵接近绝对真空时，手动关闭再生阀，并按下紧急停车按钮，这时可以检查系统是否存在泄露。</w:t>
      </w:r>
    </w:p>
    <w:p>
      <w:pPr>
        <w:keepNext w:val="0"/>
        <w:keepLines w:val="0"/>
        <w:pageBreakBefore w:val="0"/>
        <w:widowControl w:val="0"/>
        <w:kinsoku/>
        <w:wordWrap/>
        <w:overflowPunct/>
        <w:topLinePunct w:val="0"/>
        <w:autoSpaceDE/>
        <w:autoSpaceDN/>
        <w:bidi w:val="0"/>
        <w:adjustRightInd/>
        <w:spacing w:line="360" w:lineRule="auto"/>
        <w:ind w:firstLine="210" w:firstLineChars="1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（2）</w:t>
      </w:r>
      <w:r>
        <w:rPr>
          <w:rFonts w:hint="eastAsia" w:ascii="微软雅黑" w:hAnsi="微软雅黑" w:eastAsia="微软雅黑" w:cs="微软雅黑"/>
          <w:sz w:val="21"/>
          <w:szCs w:val="21"/>
          <w:lang w:val="en-US" w:eastAsia="zh-CN"/>
        </w:rPr>
        <w:t>通过上位机，访问参数设定画面，设定活性炭钝化时间，将程序置于“钝化”状态，该按钮将会忽略所有活性炭床阀门（2个进气阀、2 个放空阀、2 个再生阀）的执行机构故障和活性炭床温度高故障，这样将允许活性炭床的循环。其他的故障保护仍然会起作用，也就是说当吸收塔液位高、紧急停车等情况出现时装置仍然会停车。</w:t>
      </w:r>
    </w:p>
    <w:p>
      <w:pPr>
        <w:pStyle w:val="2"/>
        <w:keepNext w:val="0"/>
        <w:keepLines w:val="0"/>
        <w:pageBreakBefore w:val="0"/>
        <w:widowControl w:val="0"/>
        <w:kinsoku/>
        <w:wordWrap/>
        <w:overflowPunct/>
        <w:topLinePunct w:val="0"/>
        <w:autoSpaceDE/>
        <w:autoSpaceDN/>
        <w:bidi w:val="0"/>
        <w:adjustRightInd/>
        <w:spacing w:line="360" w:lineRule="auto"/>
        <w:ind w:firstLine="210" w:firstLineChars="100"/>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kern w:val="0"/>
          <w:sz w:val="21"/>
          <w:szCs w:val="21"/>
          <w:lang w:val="en-US" w:eastAsia="zh-CN" w:bidi="ar-SA"/>
        </w:rPr>
        <w:t>（3）在检查完泄露后，通过吸附罐底部的放气口向活性炭床注入氮气，当活性炭床的压力接近大气压时，向系统的其余部分注入氮气，将吸收塔中的大部分空气置换为氮气，检测罐内含氧量≦3%。</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210" w:firstLineChars="100"/>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kern w:val="0"/>
          <w:sz w:val="21"/>
          <w:szCs w:val="21"/>
          <w:lang w:val="en-US" w:eastAsia="zh-CN" w:bidi="ar-SA"/>
        </w:rPr>
        <w:t>（4）开始活性炭床的循环。改变阀门的开关位置开始循环，所有放空阀处于开启位置，入口阀一个关闭，另一个开启，再生阀一个关闭，一个开启，再生阀开启的活性炭床的入口阀应当是关闭的，这样可以构成气体的循环，注意再生阀的开度，要保证在循环过程中真空泵电机的电流不超过铭牌上所标识的电流。</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03"/>
        <w:textAlignment w:val="auto"/>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kern w:val="0"/>
          <w:sz w:val="21"/>
          <w:szCs w:val="21"/>
          <w:lang w:val="en-US" w:eastAsia="zh-CN" w:bidi="ar-SA"/>
        </w:rPr>
        <w:t>（5）</w:t>
      </w: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钝化处理：启动装置，在上位软件将系统切换至停止位置，按下复位按钮，清除所有的故障，然后将进入钝化程序，系统此时会启动起来，装置启动以后，巡视装置，确认吸收塔的压力正常，进入装置汽油流量正常，吸收塔的压力将影响汽油返回泵的工作能力。循环运行至少15小时后，改变循环方向再运行15小时；当活性炭床的温度接近环境温度或装置内汽油温度时，活性炭床预处理就成功地完成。</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403"/>
        <w:textAlignment w:val="auto"/>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6）完成了活性炭床循环后，在上位软件将系统置于“自动”位置，然后启动装置，阀门动作，准备向一个活性炭床通入油气，当吸附量达到设定值时，汽油供给和返回阀门开启后，汽油供给和返回泵开始运行，接着真空泵开始运行，系统进入正常的周期循环操作。</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微软雅黑"/>
          <w:b/>
          <w:bCs/>
          <w:kern w:val="0"/>
          <w:sz w:val="21"/>
          <w:szCs w:val="21"/>
          <w:lang w:val="en-US" w:eastAsia="zh-CN" w:bidi="ar-SA"/>
        </w:rPr>
      </w:pPr>
      <w:r>
        <w:rPr>
          <w:rFonts w:hint="eastAsia" w:ascii="微软雅黑" w:hAnsi="微软雅黑" w:eastAsia="微软雅黑" w:cs="微软雅黑"/>
          <w:b/>
          <w:bCs/>
          <w:kern w:val="0"/>
          <w:sz w:val="21"/>
          <w:szCs w:val="21"/>
          <w:lang w:val="en-US" w:eastAsia="zh-CN" w:bidi="ar-SA"/>
        </w:rPr>
        <w:t>2.4对现场仪表检测维修保养，更换主要控制阀门及部分老旧仪表。</w:t>
      </w:r>
    </w:p>
    <w:p>
      <w:pPr>
        <w:ind w:firstLine="210" w:firstLineChars="100"/>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（1）排查对装置内的电动阀门、流量计、温度计、压力变送器、等易老化配件进行全面检查评估，根据部件的磨损程度、使用年限及性能指标进行评估更换。</w:t>
      </w:r>
    </w:p>
    <w:p>
      <w:pPr>
        <w:ind w:firstLine="210" w:firstLineChars="100"/>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（2）仪表检测和校准：</w:t>
      </w:r>
    </w:p>
    <w:p>
      <w:pPr>
        <w:ind w:firstLine="210" w:firstLineChars="100"/>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①压力变送器：校准压力变送器时，需确保其精度达到 ±0.5% FS。校准范围应全面覆盖 - 0.1MPa ~ 0.3MPa，涵盖装置正常运行及可能出现的异常压力范围。</w:t>
      </w:r>
    </w:p>
    <w:p>
      <w:pPr>
        <w:ind w:firstLine="210" w:firstLineChars="100"/>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②温度传感器：温度传感器的精度要求为 ±0.5℃，校准点应包含 - 20℃、40℃、60℃等关键温度点，以确保在装置运行的不同温度条件下，温度检测的准确性。</w:t>
      </w:r>
    </w:p>
    <w:p>
      <w:pPr>
        <w:ind w:firstLine="210" w:firstLineChars="100"/>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③流量计：精度要求：流量计的精度应达到 ±1% 的满量程（FS），校准范围：校准范围应全面覆盖装置正常运行时的流量范围。</w:t>
      </w:r>
    </w:p>
    <w:p>
      <w:pPr>
        <w:pStyle w:val="2"/>
        <w:rPr>
          <w:rFonts w:hint="eastAsia" w:ascii="微软雅黑" w:hAnsi="微软雅黑" w:eastAsia="微软雅黑" w:cs="微软雅黑"/>
          <w:lang w:val="en-US" w:eastAsia="zh-CN"/>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 xml:space="preserve">   （3）电动控制球阀检查：</w:t>
      </w:r>
    </w:p>
    <w:p>
      <w:pPr>
        <w:pStyle w:val="10"/>
        <w:ind w:firstLine="420" w:firstLineChars="200"/>
        <w:rPr>
          <w:rFonts w:hint="eastAsia" w:ascii="微软雅黑" w:hAnsi="微软雅黑" w:eastAsia="微软雅黑" w:cs="微软雅黑"/>
          <w:lang w:val="en-US" w:eastAsia="zh-CN"/>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外观检查：检查电动球阀外观的完整性，包括阀体、阀盖、阀杆、执行机构等部件是否有明显的损坏、变形或腐蚀现象，表面不应有砂眼、裂纹、疏松、非金属夹杂等影响强度和密封性的缺陷；阀门密封表面不应有裂痕、气孔等缺陷。打开和关闭试验：测试电动球阀的操作性能，包括打开和关闭的顺畅程度、阀门的动作时间等。阀门应能灵活启闭，无卡阻现象，动作时间应符合设计要求。</w:t>
      </w:r>
    </w:p>
    <w:p>
      <w:pPr>
        <w:ind w:firstLine="210" w:firstLineChars="100"/>
        <w:rPr>
          <w:rFonts w:hint="eastAsia" w:ascii="微软雅黑" w:hAnsi="微软雅黑" w:eastAsia="微软雅黑" w:cs="微软雅黑"/>
          <w:lang w:val="en-US" w:eastAsia="zh-CN"/>
        </w:rPr>
      </w:pP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（4）</w:t>
      </w:r>
      <w:r>
        <w:rPr>
          <w:rFonts w:hint="eastAsia" w:ascii="微软雅黑" w:hAnsi="微软雅黑" w:eastAsia="微软雅黑" w:cs="微软雅黑"/>
          <w:kern w:val="0"/>
          <w:sz w:val="21"/>
          <w:szCs w:val="21"/>
          <w:lang w:val="en-US" w:eastAsia="zh-CN" w:bidi="ar-SA"/>
        </w:rPr>
        <w:t>更换一批主要控制阀门及部分老旧仪表，</w:t>
      </w:r>
      <w:r>
        <w:rPr>
          <w:rFonts w:hint="eastAsia" w:ascii="微软雅黑" w:hAnsi="微软雅黑" w:eastAsia="微软雅黑" w:cs="微软雅黑"/>
          <w:color w:val="000000" w:themeColor="text1"/>
          <w:kern w:val="0"/>
          <w:sz w:val="21"/>
          <w:szCs w:val="21"/>
          <w:highlight w:val="none"/>
          <w:lang w:val="en-US" w:eastAsia="zh-CN" w:bidi="ar-SA"/>
          <w14:textFill>
            <w14:solidFill>
              <w14:schemeClr w14:val="tx1"/>
            </w14:solidFill>
          </w14:textFill>
        </w:rPr>
        <w:t>具体见资源配置计划材料表。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b/>
          <w:bCs/>
          <w:kern w:val="0"/>
          <w:sz w:val="21"/>
          <w:szCs w:val="21"/>
          <w:lang w:val="en-US" w:eastAsia="zh-CN" w:bidi="ar-SA"/>
        </w:rPr>
      </w:pPr>
      <w:r>
        <w:rPr>
          <w:rFonts w:hint="eastAsia" w:ascii="微软雅黑" w:hAnsi="微软雅黑" w:eastAsia="微软雅黑" w:cstheme="minorBidi"/>
          <w:b/>
          <w:bCs/>
          <w:kern w:val="0"/>
          <w:sz w:val="21"/>
          <w:szCs w:val="21"/>
          <w:lang w:val="en-US" w:eastAsia="zh-CN" w:bidi="ar-SA"/>
        </w:rPr>
        <w:t>2.5油气回收装置真空泵油冷改水冷。</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（1）对原有真空泵油冷管道进行拆卸及盲板封堵。</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（2）从库区冷却水循环回出口管道接入，冷却后回水至冷却水池，采用埋地敷设至原有真空泵冷却水进出口，埋地开挖深度500mm，开挖区域为沙土，完工后原状沙土恢复。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（3）冷却管道采用DN25镀锌管道，暗埋管道需提前刷两道环氧富锌底漆+环氧云铁中间漆+沥青漆；明装管道刷两道防锈底漆+环氧云铁中间漆+聚氨酯面漆。</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（4）改造后性能测试：改造完成后，对真空泵进行性能测试。在环境温度为 35℃时，真空泵油温应≤60℃，以保证真空泵的正常运行温度。测试过程中，记录真空泵的油温、真空度、运行电流等参数，持续测试时间不少于 8 小时，观察真空泵的运行稳定性和性能指标是否满足要求。</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b/>
          <w:bCs/>
          <w:kern w:val="0"/>
          <w:sz w:val="21"/>
          <w:szCs w:val="21"/>
          <w:lang w:val="en-US" w:eastAsia="zh-CN" w:bidi="ar-SA"/>
        </w:rPr>
      </w:pPr>
      <w:r>
        <w:rPr>
          <w:rFonts w:hint="eastAsia" w:ascii="微软雅黑" w:hAnsi="微软雅黑" w:eastAsia="微软雅黑" w:cstheme="minorBidi"/>
          <w:b/>
          <w:bCs/>
          <w:kern w:val="0"/>
          <w:sz w:val="21"/>
          <w:szCs w:val="21"/>
          <w:lang w:val="en-US" w:eastAsia="zh-CN" w:bidi="ar-SA"/>
        </w:rPr>
        <w:t>2.6更换老旧的防爆电动机、防爆引风机。</w:t>
      </w: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right="121" w:rightChars="55" w:firstLine="210" w:firstLineChars="100"/>
        <w:textAlignment w:val="auto"/>
        <w:rPr>
          <w:rFonts w:hint="eastAsia" w:cs="Microsoft YaHei UI"/>
          <w:color w:val="000000"/>
          <w:lang w:eastAsia="zh-CN" w:bidi="ar"/>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1</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Microsoft YaHei UI"/>
          <w:color w:val="000000"/>
          <w:lang w:eastAsia="zh-CN" w:bidi="ar"/>
        </w:rPr>
        <w:t>购置并安装</w:t>
      </w:r>
      <w:r>
        <w:rPr>
          <w:rFonts w:hint="eastAsia" w:cs="Microsoft YaHei UI"/>
          <w:color w:val="000000"/>
          <w:lang w:val="en-US" w:eastAsia="zh-CN" w:bidi="ar"/>
        </w:rPr>
        <w:t>2</w:t>
      </w:r>
      <w:r>
        <w:rPr>
          <w:rFonts w:hint="eastAsia" w:cs="Microsoft YaHei UI"/>
          <w:color w:val="000000"/>
          <w:lang w:eastAsia="zh-CN" w:bidi="ar"/>
        </w:rPr>
        <w:t>台新电动机</w:t>
      </w:r>
      <w:r>
        <w:rPr>
          <w:rFonts w:hint="eastAsia" w:cs="Microsoft YaHei UI"/>
          <w:color w:val="000000"/>
          <w:lang w:val="en-US" w:eastAsia="zh-CN" w:bidi="ar"/>
        </w:rPr>
        <w:t>和1台引风机</w:t>
      </w:r>
      <w:r>
        <w:rPr>
          <w:rFonts w:hint="eastAsia" w:cs="Microsoft YaHei UI"/>
          <w:color w:val="000000"/>
          <w:lang w:eastAsia="zh-CN" w:bidi="ar"/>
        </w:rPr>
        <w:t>，具体参数</w:t>
      </w:r>
      <w:r>
        <w:rPr>
          <w:rFonts w:hint="eastAsia" w:cs="Microsoft YaHei UI"/>
          <w:b/>
          <w:bCs/>
          <w:color w:val="0000FF"/>
          <w:lang w:val="en-US" w:eastAsia="zh-CN" w:bidi="ar"/>
        </w:rPr>
        <w:t>见</w:t>
      </w:r>
      <w:r>
        <w:rPr>
          <w:rFonts w:hint="eastAsia" w:ascii="Microsoft YaHei UI" w:hAnsi="Microsoft YaHei UI" w:eastAsia="Microsoft YaHei UI" w:cstheme="minorBidi"/>
          <w:b/>
          <w:bCs/>
          <w:color w:val="0000FF"/>
          <w:kern w:val="0"/>
          <w:sz w:val="21"/>
          <w:szCs w:val="21"/>
          <w:highlight w:val="none"/>
          <w:lang w:val="en-US" w:eastAsia="zh-CN" w:bidi="ar-SA"/>
        </w:rPr>
        <w:t>资源配置计划材料表</w:t>
      </w:r>
      <w:r>
        <w:rPr>
          <w:rFonts w:hint="eastAsia" w:cs="Microsoft YaHei UI"/>
          <w:b/>
          <w:bCs/>
          <w:color w:val="0000FF"/>
          <w:lang w:eastAsia="zh-CN" w:bidi="ar"/>
        </w:rPr>
        <w:t>。</w:t>
      </w: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right="121" w:rightChars="55" w:firstLine="210" w:firstLineChars="100"/>
        <w:textAlignment w:val="auto"/>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2</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）拆除原有</w:t>
      </w:r>
      <w:r>
        <w:rPr>
          <w:rFonts w:hint="eastAsia" w:cs="Microsoft YaHei UI"/>
          <w:color w:val="000000"/>
          <w:lang w:val="en-US" w:eastAsia="zh-CN" w:bidi="ar"/>
        </w:rPr>
        <w:t>2</w:t>
      </w:r>
      <w:r>
        <w:rPr>
          <w:rFonts w:hint="eastAsia" w:cs="Microsoft YaHei UI"/>
          <w:color w:val="000000"/>
          <w:lang w:eastAsia="zh-CN" w:bidi="ar"/>
        </w:rPr>
        <w:t>台新电动机</w:t>
      </w:r>
      <w:r>
        <w:rPr>
          <w:rFonts w:hint="eastAsia" w:cs="Microsoft YaHei UI"/>
          <w:color w:val="000000"/>
          <w:lang w:val="en-US" w:eastAsia="zh-CN" w:bidi="ar"/>
        </w:rPr>
        <w:t>和1台引风机</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，并搬运至附近维修库房。</w:t>
      </w: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right="121" w:rightChars="55" w:firstLine="210" w:firstLineChars="100"/>
        <w:textAlignment w:val="auto"/>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3</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2台电动机</w:t>
      </w:r>
      <w:r>
        <w:rPr>
          <w:rFonts w:hint="eastAsia" w:cs="Microsoft YaHei UI"/>
          <w:color w:val="000000"/>
          <w:lang w:val="en-US" w:eastAsia="zh-CN" w:bidi="ar"/>
        </w:rPr>
        <w:t>和1台引风机</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安装及与配套</w:t>
      </w:r>
      <w:r>
        <w:rPr>
          <w:rFonts w:hint="eastAsia" w:cstheme="minorBidi"/>
          <w:color w:val="000000" w:themeColor="text1"/>
          <w:kern w:val="0"/>
          <w:sz w:val="21"/>
          <w:szCs w:val="21"/>
          <w:highlight w:val="none"/>
          <w:lang w:val="en-US" w:eastAsia="zh-CN" w:bidi="ar-SA"/>
          <w14:textFill>
            <w14:solidFill>
              <w14:schemeClr w14:val="tx1"/>
            </w14:solidFill>
          </w14:textFill>
        </w:rPr>
        <w:t>泵体</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的整体调试。</w:t>
      </w: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right="121" w:rightChars="55" w:firstLine="210" w:firstLineChars="100"/>
        <w:textAlignment w:val="auto"/>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4</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Microsoft YaHei UI"/>
          <w:color w:val="000000"/>
          <w:lang w:val="en-US" w:eastAsia="zh-CN" w:bidi="ar"/>
        </w:rPr>
        <w:t>2</w:t>
      </w:r>
      <w:r>
        <w:rPr>
          <w:rFonts w:hint="eastAsia" w:cs="Microsoft YaHei UI"/>
          <w:color w:val="000000"/>
          <w:lang w:eastAsia="zh-CN" w:bidi="ar"/>
        </w:rPr>
        <w:t>台新电动机</w:t>
      </w:r>
      <w:r>
        <w:rPr>
          <w:rFonts w:hint="eastAsia" w:cs="Microsoft YaHei UI"/>
          <w:color w:val="000000"/>
          <w:lang w:val="en-US" w:eastAsia="zh-CN" w:bidi="ar"/>
        </w:rPr>
        <w:t>和1台引风机</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基座的除锈刷漆保养。</w:t>
      </w:r>
    </w:p>
    <w:p>
      <w:pPr>
        <w:pStyle w:val="4"/>
        <w:keepNext w:val="0"/>
        <w:keepLines w:val="0"/>
        <w:pageBreakBefore w:val="0"/>
        <w:widowControl w:val="0"/>
        <w:kinsoku/>
        <w:wordWrap/>
        <w:overflowPunct/>
        <w:topLinePunct w:val="0"/>
        <w:autoSpaceDE/>
        <w:autoSpaceDN/>
        <w:bidi w:val="0"/>
        <w:adjustRightInd/>
        <w:snapToGrid/>
        <w:spacing w:line="360" w:lineRule="auto"/>
        <w:ind w:right="121" w:rightChars="55" w:firstLine="210" w:firstLineChars="100"/>
        <w:jc w:val="left"/>
        <w:textAlignment w:val="auto"/>
        <w:rPr>
          <w:rFonts w:hint="eastAsia" w:ascii="微软雅黑" w:hAnsi="微软雅黑" w:eastAsia="微软雅黑" w:cs="微软雅黑"/>
          <w:sz w:val="22"/>
          <w:szCs w:val="22"/>
          <w:lang w:eastAsia="zh-CN"/>
        </w:rPr>
      </w:pPr>
      <w:r>
        <w:rPr>
          <w:rFonts w:hint="eastAsia" w:cstheme="minorBidi"/>
          <w:color w:val="000000" w:themeColor="text1"/>
          <w:kern w:val="0"/>
          <w:sz w:val="21"/>
          <w:szCs w:val="21"/>
          <w:highlight w:val="none"/>
          <w:lang w:val="en-US" w:eastAsia="zh-CN" w:bidi="ar-SA"/>
          <w14:textFill>
            <w14:solidFill>
              <w14:schemeClr w14:val="tx1"/>
            </w14:solidFill>
          </w14:textFill>
        </w:rPr>
        <w:t>（5）电动机</w:t>
      </w:r>
      <w:r>
        <w:rPr>
          <w:rFonts w:hint="eastAsia"/>
          <w:sz w:val="22"/>
          <w:szCs w:val="22"/>
          <w:lang w:eastAsia="zh-CN"/>
        </w:rPr>
        <w:t>需取得防爆合格证、3C认证、产品认证证明、出厂检验报告，</w:t>
      </w:r>
      <w:r>
        <w:rPr>
          <w:rFonts w:hint="eastAsia" w:ascii="微软雅黑" w:hAnsi="微软雅黑" w:eastAsia="微软雅黑" w:cs="微软雅黑"/>
          <w:sz w:val="22"/>
          <w:szCs w:val="22"/>
          <w:lang w:eastAsia="zh-CN"/>
        </w:rPr>
        <w:t>能效等级：二级（执行标准：GB 18613-2020）。</w:t>
      </w:r>
    </w:p>
    <w:p>
      <w:pPr>
        <w:pStyle w:val="4"/>
        <w:keepNext w:val="0"/>
        <w:keepLines w:val="0"/>
        <w:pageBreakBefore w:val="0"/>
        <w:widowControl w:val="0"/>
        <w:kinsoku/>
        <w:wordWrap/>
        <w:overflowPunct/>
        <w:topLinePunct w:val="0"/>
        <w:autoSpaceDE/>
        <w:autoSpaceDN/>
        <w:bidi w:val="0"/>
        <w:adjustRightInd/>
        <w:snapToGrid/>
        <w:spacing w:line="360" w:lineRule="auto"/>
        <w:ind w:right="121" w:rightChars="55" w:firstLine="210" w:firstLineChars="100"/>
        <w:jc w:val="left"/>
        <w:textAlignment w:val="auto"/>
        <w:rPr>
          <w:rFonts w:hint="eastAsia" w:cstheme="minorBidi"/>
          <w:color w:val="000000" w:themeColor="text1"/>
          <w:kern w:val="0"/>
          <w:sz w:val="21"/>
          <w:szCs w:val="21"/>
          <w:highlight w:val="none"/>
          <w:lang w:val="en-US" w:eastAsia="zh-CN" w:bidi="ar-SA"/>
          <w14:textFill>
            <w14:solidFill>
              <w14:schemeClr w14:val="tx1"/>
            </w14:solidFill>
          </w14:textFill>
        </w:rPr>
      </w:pPr>
      <w:r>
        <w:rPr>
          <w:rFonts w:hint="eastAsia" w:cstheme="minorBidi"/>
          <w:color w:val="000000" w:themeColor="text1"/>
          <w:kern w:val="0"/>
          <w:sz w:val="21"/>
          <w:szCs w:val="21"/>
          <w:highlight w:val="none"/>
          <w:lang w:val="en-US" w:eastAsia="zh-CN" w:bidi="ar-SA"/>
          <w14:textFill>
            <w14:solidFill>
              <w14:schemeClr w14:val="tx1"/>
            </w14:solidFill>
          </w14:textFill>
        </w:rPr>
        <w:t>（6）引风机风量计量及全压要求与原设计相匹配，</w:t>
      </w:r>
      <w:r>
        <w:rPr>
          <w:rFonts w:hint="eastAsia"/>
          <w:sz w:val="22"/>
          <w:szCs w:val="22"/>
          <w:lang w:eastAsia="zh-CN"/>
        </w:rPr>
        <w:t>需取得防爆合格证、3C认证、产品认证证明、出厂检验报告。</w:t>
      </w:r>
      <w:r>
        <w:rPr>
          <w:rFonts w:hint="eastAsia" w:ascii="微软雅黑" w:hAnsi="微软雅黑" w:eastAsia="微软雅黑" w:cs="微软雅黑"/>
          <w:sz w:val="22"/>
          <w:szCs w:val="22"/>
          <w:lang w:eastAsia="zh-CN"/>
        </w:rPr>
        <w:t>能效等级：二级（执行标准：GB 1</w:t>
      </w:r>
      <w:r>
        <w:rPr>
          <w:rFonts w:hint="eastAsia" w:ascii="微软雅黑" w:hAnsi="微软雅黑" w:eastAsia="微软雅黑" w:cs="微软雅黑"/>
          <w:sz w:val="22"/>
          <w:szCs w:val="22"/>
          <w:lang w:val="en-US" w:eastAsia="zh-CN"/>
        </w:rPr>
        <w:t>9761</w:t>
      </w:r>
      <w:r>
        <w:rPr>
          <w:rFonts w:hint="eastAsia" w:ascii="微软雅黑" w:hAnsi="微软雅黑" w:eastAsia="微软雅黑" w:cs="微软雅黑"/>
          <w:sz w:val="22"/>
          <w:szCs w:val="22"/>
          <w:lang w:eastAsia="zh-CN"/>
        </w:rPr>
        <w:t>-2020），</w:t>
      </w:r>
      <w:r>
        <w:rPr>
          <w:rFonts w:hint="eastAsia" w:ascii="微软雅黑" w:hAnsi="微软雅黑" w:eastAsia="微软雅黑" w:cs="微软雅黑"/>
          <w:sz w:val="22"/>
          <w:szCs w:val="22"/>
          <w:lang w:val="en-US" w:eastAsia="zh-CN"/>
        </w:rPr>
        <w:t>叶轮和壳体采用304不锈钢，避免摩擦火花，轴承密封防油气渗入。</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left="66" w:leftChars="30" w:right="119" w:rightChars="0" w:firstLine="210" w:firstLineChars="100"/>
        <w:jc w:val="both"/>
        <w:textAlignment w:val="auto"/>
        <w:rPr>
          <w:rFonts w:hint="eastAsia" w:ascii="微软雅黑" w:hAnsi="微软雅黑" w:eastAsia="微软雅黑" w:cstheme="minorBidi"/>
          <w:b/>
          <w:bCs/>
          <w:kern w:val="0"/>
          <w:sz w:val="21"/>
          <w:szCs w:val="21"/>
          <w:lang w:val="en-US" w:eastAsia="zh-CN" w:bidi="ar-SA"/>
        </w:rPr>
      </w:pPr>
      <w:r>
        <w:rPr>
          <w:rFonts w:hint="eastAsia" w:ascii="微软雅黑" w:hAnsi="微软雅黑" w:eastAsia="微软雅黑" w:cstheme="minorBidi"/>
          <w:b/>
          <w:bCs/>
          <w:kern w:val="0"/>
          <w:sz w:val="21"/>
          <w:szCs w:val="21"/>
          <w:lang w:val="en-US" w:eastAsia="zh-CN" w:bidi="ar-SA"/>
        </w:rPr>
        <w:t>2.7回收系统总管增设爆轰阻火器，预留废气在线监测接口。</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1</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ascii="微软雅黑" w:hAnsi="微软雅黑" w:eastAsia="微软雅黑" w:cstheme="minorBidi"/>
          <w:kern w:val="0"/>
          <w:sz w:val="21"/>
          <w:szCs w:val="21"/>
          <w:lang w:val="en-US" w:eastAsia="zh-CN" w:bidi="ar-SA"/>
        </w:rPr>
        <w:t>《油气回收处理设 施技术标准》（ GB/T 50759-2022 ） 第 5.1.3 条，油气收集系统与装车鹤管和气相臂连接管道上应设爆轰型阻火器：</w:t>
      </w:r>
    </w:p>
    <w:p>
      <w:pPr>
        <w:numPr>
          <w:ilvl w:val="0"/>
          <w:numId w:val="0"/>
        </w:numPr>
        <w:ind w:firstLine="630" w:firstLineChars="300"/>
        <w:rPr>
          <w:rFonts w:hint="eastAsia" w:ascii="微软雅黑" w:hAnsi="微软雅黑" w:eastAsia="微软雅黑" w:cstheme="minorBidi"/>
          <w:kern w:val="0"/>
          <w:sz w:val="21"/>
          <w:szCs w:val="21"/>
          <w:lang w:val="en-US" w:eastAsia="zh-CN" w:bidi="ar-SA"/>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①</w:t>
      </w:r>
      <w:r>
        <w:rPr>
          <w:rFonts w:hint="eastAsia" w:ascii="微软雅黑" w:hAnsi="微软雅黑" w:eastAsia="微软雅黑" w:cstheme="minorBidi"/>
          <w:kern w:val="0"/>
          <w:sz w:val="21"/>
          <w:szCs w:val="21"/>
          <w:lang w:val="en-US" w:eastAsia="zh-CN" w:bidi="ar-SA"/>
        </w:rPr>
        <w:t>类型：排放口需增设阻爆轰型阻火器，依据</w:t>
      </w:r>
      <w:r>
        <w:rPr>
          <w:rFonts w:hint="eastAsia" w:ascii="微软雅黑" w:hAnsi="微软雅黑" w:eastAsia="微软雅黑" w:cstheme="minorBidi"/>
          <w:kern w:val="0"/>
          <w:sz w:val="21"/>
          <w:szCs w:val="21"/>
          <w:highlight w:val="none"/>
          <w:lang w:val="en-US" w:eastAsia="zh-CN" w:bidi="ar-SA"/>
        </w:rPr>
        <w:t xml:space="preserve"> GB/T 13347 - 2010 </w:t>
      </w:r>
      <w:r>
        <w:rPr>
          <w:rFonts w:hint="eastAsia" w:ascii="微软雅黑" w:hAnsi="微软雅黑" w:eastAsia="微软雅黑"/>
          <w:highlight w:val="none"/>
          <w:lang w:eastAsia="zh-CN"/>
        </w:rPr>
        <w:t>《石油气体管道阻火器》、</w:t>
      </w:r>
      <w:r>
        <w:rPr>
          <w:rFonts w:hint="eastAsia" w:ascii="微软雅黑" w:hAnsi="微软雅黑" w:eastAsia="微软雅黑" w:cstheme="minorBidi"/>
          <w:kern w:val="0"/>
          <w:sz w:val="21"/>
          <w:szCs w:val="21"/>
          <w:lang w:val="en-US" w:eastAsia="zh-CN" w:bidi="ar-SA"/>
        </w:rPr>
        <w:t>《石油化工石油气  管道阻火器选用、检  验 及 验 收 标 准 》 （ SH/T 3413-2019）标准，阻火器压降应≤500Pa，阻火速度应≥1600m/s，能够有效阻止爆轰火焰的传播，耐压≥1.6MPa。</w:t>
      </w:r>
    </w:p>
    <w:p>
      <w:pPr>
        <w:numPr>
          <w:ilvl w:val="0"/>
          <w:numId w:val="0"/>
        </w:numPr>
        <w:ind w:firstLine="630" w:firstLineChars="300"/>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②安装位置：在回收系统总管进入装置前安装 ，且阻火器与吸附罐的间距应≤0.5m，以确保在发生异常情况时能够及时阻止火焰传播 。</w:t>
      </w:r>
    </w:p>
    <w:p>
      <w:pPr>
        <w:numPr>
          <w:ilvl w:val="0"/>
          <w:numId w:val="0"/>
        </w:numPr>
        <w:ind w:firstLine="630" w:firstLineChars="300"/>
        <w:rPr>
          <w:rFonts w:hint="default"/>
          <w:sz w:val="21"/>
          <w:szCs w:val="21"/>
          <w:lang w:val="en-US" w:eastAsia="zh-CN"/>
        </w:rPr>
      </w:pPr>
      <w:r>
        <w:rPr>
          <w:rFonts w:hint="default" w:ascii="Calibri" w:hAnsi="Calibri" w:cs="Calibri"/>
          <w:sz w:val="21"/>
          <w:szCs w:val="21"/>
          <w:lang w:val="en-US" w:eastAsia="zh-CN"/>
        </w:rPr>
        <w:t>③</w:t>
      </w:r>
      <w:r>
        <w:rPr>
          <w:rFonts w:hint="eastAsia" w:ascii="微软雅黑" w:hAnsi="微软雅黑" w:eastAsia="微软雅黑" w:cstheme="minorBidi"/>
          <w:kern w:val="0"/>
          <w:sz w:val="21"/>
          <w:szCs w:val="21"/>
          <w:lang w:val="en-US" w:eastAsia="zh-CN" w:bidi="ar-SA"/>
        </w:rPr>
        <w:t>安装爆轰型阻火器后，不能降低原油气回收管道的设计处置能力。</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2</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）监测接口：</w:t>
      </w:r>
    </w:p>
    <w:p>
      <w:pPr>
        <w:ind w:left="627" w:leftChars="285" w:firstLine="0" w:firstLineChars="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①在油气回收装置进口及排放出口预留标准的废气在线监测接口（高度大于1.5m）。②法兰接口DN80 PN16，配盲板，采样管采用不锈钢 316L 材质，内径≥6mm。</w:t>
      </w:r>
    </w:p>
    <w:p>
      <w:pPr>
        <w:ind w:firstLine="630" w:firstLineChars="300"/>
        <w:rPr>
          <w:rFonts w:hint="default"/>
          <w:lang w:val="en-US" w:eastAsia="zh-CN"/>
        </w:rPr>
      </w:pPr>
      <w:r>
        <w:rPr>
          <w:rFonts w:hint="default" w:ascii="Calibri" w:hAnsi="Calibri" w:cs="Calibri"/>
          <w:sz w:val="21"/>
          <w:szCs w:val="21"/>
          <w:lang w:val="en-US" w:eastAsia="zh-CN"/>
        </w:rPr>
        <w:t>③</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配备便携式VOC气体检测仪，能与监测接口中快速连接，实现VOC抽检监测功能，可随时装置对现场各个检测点实现VOC抽检监测。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b/>
          <w:bCs/>
          <w:kern w:val="0"/>
          <w:sz w:val="21"/>
          <w:szCs w:val="21"/>
          <w:lang w:val="en-US" w:eastAsia="zh-CN" w:bidi="ar-SA"/>
        </w:rPr>
      </w:pPr>
      <w:r>
        <w:rPr>
          <w:rFonts w:hint="eastAsia" w:ascii="微软雅黑" w:hAnsi="微软雅黑" w:eastAsia="微软雅黑" w:cstheme="minorBidi"/>
          <w:b/>
          <w:bCs/>
          <w:kern w:val="0"/>
          <w:sz w:val="21"/>
          <w:szCs w:val="21"/>
          <w:lang w:val="en-US" w:eastAsia="zh-CN" w:bidi="ar-SA"/>
        </w:rPr>
        <w:t>2.8更换主机和显示屏、更新组态软件管理系统。</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1</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）新主机和显示屏必须与配套的PLC控制系统及其他设备完全兼容，确保稳定运行。</w:t>
      </w:r>
    </w:p>
    <w:p>
      <w:pPr>
        <w:ind w:firstLine="210" w:firstLineChars="100"/>
        <w:rPr>
          <w:rFonts w:hint="eastAsia"/>
          <w:lang w:val="en-US" w:eastAsia="zh-CN"/>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2</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）主机需支持主流的工业自动化软件，如西门子TIA Portal、Rockwell Studio 5000等，并能与PLC通信模块（如以太网模块、Profibus模块）正常通信。</w:t>
      </w:r>
    </w:p>
    <w:p>
      <w:pPr>
        <w:ind w:firstLine="210" w:firstLineChars="100"/>
        <w:rPr>
          <w:rFonts w:hint="eastAsia"/>
          <w:lang w:val="en-US" w:eastAsia="zh-CN"/>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3</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）主机具体配置要求：①处理器：英特尔酷睿i7或更高性能处理器，确保系统具备强大的计算能力，能够快速处理复杂的自动化控制任务。 ②内存：至少16GB DDR4内存，支持多任务操作和大型项目运行，可根据需求扩展至32GB。③存储：2TB硬盘（SSD），提供快速的读写速度和高可靠性，确保系统启动和数据存储的高效性。④操作系统：预装正版Windows 11操作系统，支持工业自动化软件的运行。⑤I/O接口：至少4个USB 3.0接口、2个串口（RS232/RS485）、2个以太网口（10/100/1000Mbps），支持多种设备连接。⑥显卡：独立显卡，支持至少1920x1080分辨率的显示输出，确保良好的图形显示效果。</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4</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）显示屏具体配置要求： ①尺寸：15英寸或更大，支持高分辨率显示（至少1920x1080），确保操作界面清晰可见。②接口：支持多种接口类型，如HDMI、VGA、USB等，方便与主机或其他设备连接。③防护等级：IP65或更高，具备良好的防尘防水能力，适应工业环境。</w:t>
      </w:r>
    </w:p>
    <w:p>
      <w:pPr>
        <w:ind w:firstLine="210" w:firstLineChars="1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5</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）检查维护PLC控制器与主机的通讯线中，保证通讯模块应支持 PROFINET、Modbus RTU 双协议，通讯速率≥100Mbps，确保系统能够与其他设备进行高效、稳定的通讯。PROFINET 协议适用于高速、实时性要求高的通讯场景，Modbus RTU 协议则具有广泛的兼容性，可与多种设备进行连接。</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6</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）组态软件：采用 WinCC V7.5 或同类功能强大的组态软件，该软件应支持历史数据存储，存储时间不少于 2 年，以便对装置的运行数据进行长期记录和分析。同时，具备趋势分析功能，能够直观地展示装置运行参数的变化趋势，为故障诊断和性能优化提供依据。</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b/>
          <w:bCs/>
          <w:kern w:val="0"/>
          <w:sz w:val="21"/>
          <w:szCs w:val="21"/>
          <w:lang w:val="en-US" w:eastAsia="zh-CN" w:bidi="ar-SA"/>
        </w:rPr>
      </w:pPr>
      <w:r>
        <w:rPr>
          <w:rFonts w:hint="eastAsia" w:ascii="微软雅黑" w:hAnsi="微软雅黑" w:eastAsia="微软雅黑" w:cstheme="minorBidi"/>
          <w:b/>
          <w:bCs/>
          <w:kern w:val="0"/>
          <w:sz w:val="21"/>
          <w:szCs w:val="21"/>
          <w:lang w:val="en-US" w:eastAsia="zh-CN" w:bidi="ar-SA"/>
        </w:rPr>
        <w:t>2.9优化真空再生处理流程，对系统重新编程及组态调试。</w:t>
      </w:r>
    </w:p>
    <w:p>
      <w:pPr>
        <w:numPr>
          <w:ilvl w:val="0"/>
          <w:numId w:val="1"/>
        </w:num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优化再生</w:t>
      </w:r>
      <w:r>
        <w:rPr>
          <w:rFonts w:hint="eastAsia" w:ascii="微软雅黑" w:hAnsi="微软雅黑" w:eastAsia="微软雅黑" w:cstheme="minorBidi"/>
          <w:kern w:val="0"/>
          <w:sz w:val="21"/>
          <w:szCs w:val="21"/>
          <w:lang w:val="en-US" w:eastAsia="zh-CN" w:bidi="ar-SA"/>
        </w:rPr>
        <w:t>处理流程</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①碳床通过真空泵系统排出碳床空隙空间中的油气。②随着床上的压力继续下降，它达到了一个水平碳氢化合物开始从活性炭表面解吸。在这个阶段，大部分碳氢化合物被去除。③将少量（环境）吹扫空气引入碳床容器，使空气流过碳床，以帮助去除剩余的碳氢化合物，从而完成再生过程。根据该再生工艺编制控制程序。</w:t>
      </w:r>
    </w:p>
    <w:p>
      <w:pPr>
        <w:numPr>
          <w:ilvl w:val="0"/>
          <w:numId w:val="1"/>
        </w:numPr>
        <w:ind w:firstLine="210" w:firstLineChars="1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增设一个深度再生处理流程，没有装车作业时可定期手动选择切换运行，提高活性炭的脱附效果。</w:t>
      </w:r>
    </w:p>
    <w:p>
      <w:pPr>
        <w:ind w:firstLine="210" w:firstLineChars="1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（3）根据优化后的工艺参数对 PLC 控制系统程序进行编写，确保再生过程自动控制的准确性和稳定性。同时，对上位机监控系统进行组态调试，实时显示再生过程的关键参数和设备运行状态，设置参数超限报警功能，便于操作人员及时掌握再生过程情况。</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（4）组态调试后的系统要求：</w:t>
      </w:r>
    </w:p>
    <w:p>
      <w:pPr>
        <w:pStyle w:val="4"/>
        <w:spacing w:line="257" w:lineRule="auto"/>
        <w:ind w:right="121" w:rightChars="55" w:firstLine="420" w:firstLineChars="200"/>
        <w:rPr>
          <w:rFonts w:hint="eastAsia"/>
          <w:lang w:eastAsia="zh-CN"/>
        </w:rPr>
      </w:pPr>
      <w:r>
        <w:rPr>
          <w:rFonts w:hint="eastAsia"/>
          <w:lang w:eastAsia="zh-CN"/>
        </w:rPr>
        <w:t>1）具有自身故障诊断、报警记忆功能。自动检测系统执行部件状态（机泵、电动阀》并诊断，发现故障立即报警或修复，并在组态界面上显示报警信息，系统记录报警。</w:t>
      </w:r>
    </w:p>
    <w:p>
      <w:pPr>
        <w:pStyle w:val="4"/>
        <w:spacing w:line="257" w:lineRule="auto"/>
        <w:ind w:right="121" w:rightChars="55" w:firstLine="420" w:firstLineChars="200"/>
        <w:rPr>
          <w:rFonts w:hint="eastAsia"/>
          <w:lang w:eastAsia="zh-CN"/>
        </w:rPr>
      </w:pPr>
      <w:r>
        <w:rPr>
          <w:rFonts w:hint="eastAsia"/>
          <w:lang w:eastAsia="zh-CN"/>
        </w:rPr>
        <w:t>2）具有实时参数测量、显示及记忆功能。能实时测量、显示并记录装置液位、温度、压力、流量、浓度等参数。记录应保存两年以上。</w:t>
      </w:r>
    </w:p>
    <w:p>
      <w:pPr>
        <w:pStyle w:val="4"/>
        <w:spacing w:line="257" w:lineRule="auto"/>
        <w:ind w:right="121" w:rightChars="55" w:firstLine="420" w:firstLineChars="200"/>
        <w:rPr>
          <w:rFonts w:hint="eastAsia"/>
          <w:lang w:eastAsia="zh-CN"/>
        </w:rPr>
      </w:pPr>
      <w:r>
        <w:rPr>
          <w:rFonts w:hint="eastAsia"/>
          <w:lang w:val="en-US" w:eastAsia="zh-CN"/>
        </w:rPr>
        <w:t>3</w:t>
      </w:r>
      <w:r>
        <w:rPr>
          <w:rFonts w:hint="eastAsia"/>
          <w:lang w:eastAsia="zh-CN"/>
        </w:rPr>
        <w:t>）具有联锁功能。温度、压力、高低液位软硬报警、联锁停车、自动调节液位。</w:t>
      </w:r>
    </w:p>
    <w:p>
      <w:pPr>
        <w:pStyle w:val="4"/>
        <w:spacing w:line="257" w:lineRule="auto"/>
        <w:ind w:right="121" w:rightChars="55" w:firstLine="420" w:firstLineChars="200"/>
        <w:rPr>
          <w:rFonts w:hint="eastAsia"/>
          <w:lang w:eastAsia="zh-CN"/>
        </w:rPr>
      </w:pPr>
      <w:r>
        <w:rPr>
          <w:rFonts w:hint="eastAsia"/>
          <w:lang w:val="en-US" w:eastAsia="zh-CN"/>
        </w:rPr>
        <w:t>4</w:t>
      </w:r>
      <w:r>
        <w:rPr>
          <w:rFonts w:hint="eastAsia"/>
          <w:lang w:eastAsia="zh-CN"/>
        </w:rPr>
        <w:t>）具有查询功能、能查询每天参数的运行状况及报警信息。</w:t>
      </w:r>
    </w:p>
    <w:p>
      <w:pPr>
        <w:pStyle w:val="4"/>
        <w:spacing w:line="257" w:lineRule="auto"/>
        <w:ind w:right="121" w:rightChars="55" w:firstLine="420" w:firstLineChars="200"/>
        <w:rPr>
          <w:rFonts w:hint="eastAsia"/>
          <w:lang w:eastAsia="zh-CN"/>
        </w:rPr>
      </w:pPr>
      <w:r>
        <w:rPr>
          <w:rFonts w:hint="eastAsia"/>
          <w:lang w:val="en-US" w:eastAsia="zh-CN"/>
        </w:rPr>
        <w:t>5</w:t>
      </w:r>
      <w:r>
        <w:rPr>
          <w:rFonts w:hint="eastAsia"/>
          <w:lang w:eastAsia="zh-CN"/>
        </w:rPr>
        <w:t>）具有失电数据保护功能。失电时，数据不丢失，储存的程序和储存的内容不发生变化，恢复供电时，数据与掉电前应保持一致。</w:t>
      </w:r>
    </w:p>
    <w:p>
      <w:pPr>
        <w:ind w:firstLine="420" w:firstLineChars="2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（5）完成组态后系统检测。</w:t>
      </w:r>
    </w:p>
    <w:p>
      <w:pPr>
        <w:ind w:firstLine="420" w:firstLineChars="2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对 PLC 控制器进行全面的功能测试。测试内容包括输入输出信号响应时间，要求响应时间≤50ms，以确保系统能够快速准确地对各类信号做出反应。对 PLC 程序逻辑进行严格审查，确保其符合 GB/T 50759 - 2022 等相关标准要求，重点验证吸附 - 脱附切换逻辑的准确性和可靠性，以及浓度超限联锁停机功能的有效性。在测试过程中，需模拟各种异常工况，检验系统的稳定性和可靠性，并详细记录测试数据和结果。</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b/>
          <w:bCs/>
          <w:kern w:val="0"/>
          <w:sz w:val="21"/>
          <w:szCs w:val="21"/>
          <w:lang w:val="en-US" w:eastAsia="zh-CN" w:bidi="ar-SA"/>
        </w:rPr>
      </w:pPr>
      <w:r>
        <w:rPr>
          <w:rFonts w:hint="eastAsia" w:ascii="微软雅黑" w:hAnsi="微软雅黑" w:eastAsia="微软雅黑" w:cstheme="minorBidi"/>
          <w:b/>
          <w:bCs/>
          <w:kern w:val="0"/>
          <w:sz w:val="21"/>
          <w:szCs w:val="21"/>
          <w:lang w:val="en-US" w:eastAsia="zh-CN" w:bidi="ar-SA"/>
        </w:rPr>
        <w:t>2.10 吸附罐、吸收罐、阀门、管线除锈刷漆及标识。</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1</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）除锈要求</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采用喷砂除锈工艺，除锈等级达到 Sa2.5 级（GB/T 8923.1 - 2011），彻底清除金属表面的铁锈、氧化皮、油污等杂质。对于无法进行喷砂处理的部位，可采用手工或动力工具除锈，除锈等级达到 St3 级。</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（2）防腐涂装</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：除锈完成后，在 4 小时内进行底漆涂装，防止金属表面再次生锈。底漆采用环氧富锌底漆，干膜厚度≥80μm；中间漆采用环氧云铁中间漆，干膜厚度≥100μm；面漆采用聚氨酯面漆，干膜厚度≥80μm</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p>
    <w:p>
      <w:pPr>
        <w:ind w:firstLine="210" w:firstLineChars="1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（3）标识要求</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：按照《工业管道的基本识别色、识别符号和安全标识》（GB 7231 - 2003）及相关标准，对管道进行标识。</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left="66" w:leftChars="30" w:right="119" w:rightChars="0" w:firstLine="210" w:firstLineChars="100"/>
        <w:jc w:val="both"/>
        <w:textAlignment w:val="auto"/>
        <w:rPr>
          <w:rFonts w:hint="eastAsia" w:ascii="微软雅黑" w:hAnsi="微软雅黑" w:eastAsia="微软雅黑" w:cstheme="minorBidi"/>
          <w:b/>
          <w:bCs/>
          <w:kern w:val="0"/>
          <w:sz w:val="21"/>
          <w:szCs w:val="21"/>
          <w:lang w:val="en-US" w:eastAsia="zh-CN" w:bidi="ar-SA"/>
        </w:rPr>
      </w:pPr>
      <w:r>
        <w:rPr>
          <w:rFonts w:hint="eastAsia" w:ascii="微软雅黑" w:hAnsi="微软雅黑" w:eastAsia="微软雅黑" w:cstheme="minorBidi"/>
          <w:b/>
          <w:bCs/>
          <w:kern w:val="0"/>
          <w:sz w:val="21"/>
          <w:szCs w:val="21"/>
          <w:lang w:val="en-US" w:eastAsia="zh-CN" w:bidi="ar-SA"/>
        </w:rPr>
        <w:t>2.11两台螺杆式空压机全面检测保养。</w:t>
      </w:r>
    </w:p>
    <w:p>
      <w:pPr>
        <w:ind w:firstLine="210" w:firstLineChars="1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cstheme="minorBidi"/>
          <w:color w:val="000000" w:themeColor="text1"/>
          <w:kern w:val="0"/>
          <w:sz w:val="21"/>
          <w:szCs w:val="21"/>
          <w:highlight w:val="none"/>
          <w:lang w:val="en-US" w:eastAsia="zh-CN" w:bidi="ar-SA"/>
          <w14:textFill>
            <w14:solidFill>
              <w14:schemeClr w14:val="tx1"/>
            </w14:solidFill>
          </w14:textFill>
        </w:rPr>
        <w:t>1</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检测内容：对空压机的主机、电机、油气分离器、冷却器、安全阀、压力表、温控阀、电磁阀等部件进行全面检查。检查主机转子磨损情况、间隙是否符合要求；电机绝缘电阻、绕组直流电阻是否正常；油气分离器压差是否超限，滤芯是否堵塞；冷却器换热效果，是否存在结垢、泄漏；安全阀、压力表是否在有效期内，动作是否灵敏可靠；温控阀、电磁阀等控制元件的工作状态是否正常。​</w:t>
      </w:r>
    </w:p>
    <w:p>
      <w:pPr>
        <w:ind w:firstLine="210" w:firstLineChars="1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（2）</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保养要求：根据设备使用说明书和实际运行情况，更换空压机油、油气分离器滤芯、空气滤芯、油滤芯等消耗品。对设备进行清洁，清除内部积油、积碳、灰尘等杂质，对设备表面进行防锈处理。保养完成后对空压机进行试运行，检查设备运行声音、振动、压力、温度等参数是否正常。</w:t>
      </w:r>
    </w:p>
    <w:p>
      <w:pPr>
        <w:ind w:firstLine="210" w:firstLineChars="100"/>
        <w:rPr>
          <w:rFonts w:hint="eastAsia" w:ascii="Microsoft YaHei UI" w:hAnsi="Microsoft YaHei UI" w:eastAsia="Microsoft YaHei UI" w:cstheme="minorBidi"/>
          <w:b/>
          <w:bCs/>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b/>
          <w:bCs/>
          <w:color w:val="000000" w:themeColor="text1"/>
          <w:kern w:val="0"/>
          <w:sz w:val="21"/>
          <w:szCs w:val="21"/>
          <w:highlight w:val="none"/>
          <w:lang w:val="en-US" w:eastAsia="zh-CN" w:bidi="ar-SA"/>
          <w14:textFill>
            <w14:solidFill>
              <w14:schemeClr w14:val="tx1"/>
            </w14:solidFill>
          </w14:textFill>
        </w:rPr>
        <w:t>2.12更换两台螺杆式空压机故障老化材料一批。</w:t>
      </w:r>
    </w:p>
    <w:p>
      <w:pPr>
        <w:ind w:firstLine="210" w:firstLineChars="100"/>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（1）阀类部件</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：进气阀、</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压力平衡阀</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、安全阀等，如存在密封不严、动作不灵活、开启压力异常等故障，需进行更换。</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其他部件</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消音器、</w:t>
      </w:r>
      <w:r>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温度传感器、压力传感器等仪表出现测量不准确或老化影响空压机正常运行的部件。</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具体参数详材料要求。</w:t>
      </w:r>
    </w:p>
    <w:p>
      <w:pPr>
        <w:ind w:firstLine="210" w:firstLineChars="100"/>
        <w:rPr>
          <w:rFonts w:hint="eastAsia"/>
          <w:lang w:val="en-US" w:eastAsia="zh-CN"/>
        </w:rPr>
      </w:pP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（2）干燥机内的干燥球性能退化，产生的水汽引起末端紧急切断阀故障频发，需更换，具体参数详材料要求。</w:t>
      </w:r>
    </w:p>
    <w:p>
      <w:pPr>
        <w:pStyle w:val="4"/>
        <w:spacing w:line="257" w:lineRule="auto"/>
        <w:ind w:right="121" w:rightChars="55" w:firstLine="199" w:firstLineChars="95"/>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3、服务地点：海洋石油阳江实业有限公司/广东省阳江市阳江港沿港大道30号。</w:t>
      </w:r>
    </w:p>
    <w:p>
      <w:pPr>
        <w:pStyle w:val="4"/>
        <w:spacing w:line="257" w:lineRule="auto"/>
        <w:ind w:right="121" w:rightChars="55" w:firstLine="199" w:firstLineChars="95"/>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4、服务期限：合同签定后75日内完成服务工作。</w:t>
      </w:r>
    </w:p>
    <w:p>
      <w:pPr>
        <w:pStyle w:val="3"/>
      </w:pPr>
      <w:bookmarkStart w:id="5" w:name="_Toc13249326"/>
      <w:bookmarkStart w:id="6" w:name="_Toc13248929"/>
      <w:r>
        <w:t>三、执行标准</w:t>
      </w:r>
      <w:r>
        <w:rPr>
          <w:rFonts w:hint="eastAsia"/>
        </w:rPr>
        <w:t>/规范</w:t>
      </w:r>
    </w:p>
    <w:p>
      <w:pPr>
        <w:pStyle w:val="4"/>
        <w:spacing w:line="257" w:lineRule="auto"/>
        <w:ind w:left="220" w:right="122" w:firstLine="63" w:firstLineChars="30"/>
        <w:rPr>
          <w:rFonts w:hint="eastAsia" w:ascii="微软雅黑" w:hAnsi="微软雅黑" w:eastAsia="微软雅黑"/>
          <w:lang w:eastAsia="zh-CN"/>
        </w:rPr>
      </w:pPr>
      <w:r>
        <w:rPr>
          <w:rFonts w:hint="eastAsia" w:ascii="微软雅黑" w:hAnsi="微软雅黑" w:eastAsia="微软雅黑"/>
          <w:lang w:eastAsia="zh-CN"/>
        </w:rPr>
        <w:t>1、</w:t>
      </w:r>
      <w:r>
        <w:rPr>
          <w:rFonts w:ascii="微软雅黑" w:hAnsi="微软雅黑" w:eastAsia="微软雅黑"/>
          <w:lang w:eastAsia="zh-CN"/>
        </w:rPr>
        <w:t>GB</w:t>
      </w:r>
      <w:r>
        <w:rPr>
          <w:rFonts w:hint="eastAsia" w:ascii="微软雅黑" w:hAnsi="微软雅黑" w:eastAsia="微软雅黑"/>
          <w:lang w:val="en-US" w:eastAsia="zh-CN"/>
        </w:rPr>
        <w:t xml:space="preserve"> </w:t>
      </w:r>
      <w:r>
        <w:rPr>
          <w:rFonts w:ascii="微软雅黑" w:hAnsi="微软雅黑" w:eastAsia="微软雅黑"/>
          <w:lang w:eastAsia="zh-CN"/>
        </w:rPr>
        <w:t>20950</w:t>
      </w:r>
      <w:r>
        <w:rPr>
          <w:rFonts w:hint="eastAsia" w:ascii="微软雅黑" w:hAnsi="微软雅黑" w:eastAsia="微软雅黑"/>
          <w:lang w:eastAsia="zh-CN"/>
        </w:rPr>
        <w:t xml:space="preserve">-2020《储油库大气污染物排放标准》 </w:t>
      </w:r>
    </w:p>
    <w:p>
      <w:pPr>
        <w:pStyle w:val="4"/>
        <w:spacing w:line="257" w:lineRule="auto"/>
        <w:ind w:left="220" w:right="122" w:firstLine="63" w:firstLineChars="30"/>
        <w:rPr>
          <w:rFonts w:hint="eastAsia" w:ascii="微软雅黑" w:hAnsi="微软雅黑" w:eastAsia="微软雅黑"/>
          <w:lang w:eastAsia="zh-CN"/>
        </w:rPr>
      </w:pPr>
      <w:r>
        <w:rPr>
          <w:rFonts w:hint="eastAsia" w:ascii="微软雅黑" w:hAnsi="微软雅黑" w:eastAsia="微软雅黑"/>
          <w:lang w:val="en-US" w:eastAsia="zh-CN"/>
        </w:rPr>
        <w:t>2、</w:t>
      </w:r>
      <w:r>
        <w:rPr>
          <w:rFonts w:ascii="微软雅黑" w:hAnsi="微软雅黑" w:eastAsia="微软雅黑"/>
          <w:lang w:eastAsia="zh-CN"/>
        </w:rPr>
        <w:t>GB/T</w:t>
      </w:r>
      <w:r>
        <w:rPr>
          <w:rFonts w:hint="eastAsia" w:ascii="微软雅黑" w:hAnsi="微软雅黑" w:eastAsia="微软雅黑"/>
          <w:lang w:val="en-US" w:eastAsia="zh-CN"/>
        </w:rPr>
        <w:t xml:space="preserve"> </w:t>
      </w:r>
      <w:r>
        <w:rPr>
          <w:rFonts w:ascii="微软雅黑" w:hAnsi="微软雅黑" w:eastAsia="微软雅黑"/>
          <w:lang w:eastAsia="zh-CN"/>
        </w:rPr>
        <w:t>50759</w:t>
      </w:r>
      <w:r>
        <w:rPr>
          <w:rFonts w:hint="eastAsia" w:ascii="微软雅黑" w:hAnsi="微软雅黑" w:eastAsia="微软雅黑"/>
          <w:lang w:eastAsia="zh-CN"/>
        </w:rPr>
        <w:t>-2022《油气回收处理设施技术标准》</w:t>
      </w:r>
      <w:r>
        <w:rPr>
          <w:rFonts w:hint="eastAsia" w:ascii="微软雅黑" w:hAnsi="微软雅黑" w:eastAsia="微软雅黑"/>
          <w:lang w:val="en-US" w:eastAsia="zh-CN"/>
        </w:rPr>
        <w:t xml:space="preserve"> </w:t>
      </w:r>
    </w:p>
    <w:p>
      <w:pPr>
        <w:pStyle w:val="4"/>
        <w:spacing w:line="257" w:lineRule="auto"/>
        <w:ind w:left="220" w:right="122" w:firstLine="63" w:firstLineChars="30"/>
        <w:rPr>
          <w:rFonts w:hint="eastAsia" w:ascii="微软雅黑" w:hAnsi="微软雅黑" w:eastAsia="微软雅黑"/>
          <w:lang w:eastAsia="zh-CN"/>
        </w:rPr>
      </w:pPr>
      <w:r>
        <w:rPr>
          <w:rFonts w:hint="eastAsia" w:ascii="微软雅黑" w:hAnsi="微软雅黑" w:eastAsia="微软雅黑"/>
          <w:lang w:val="en-US" w:eastAsia="zh-CN"/>
        </w:rPr>
        <w:t>3、</w:t>
      </w:r>
      <w:r>
        <w:rPr>
          <w:rFonts w:hint="eastAsia" w:ascii="微软雅黑" w:hAnsi="微软雅黑" w:eastAsia="微软雅黑"/>
          <w:lang w:eastAsia="zh-CN"/>
        </w:rPr>
        <w:t>GB/T</w:t>
      </w:r>
      <w:r>
        <w:rPr>
          <w:rFonts w:hint="eastAsia" w:ascii="微软雅黑" w:hAnsi="微软雅黑" w:eastAsia="微软雅黑"/>
          <w:lang w:val="en-US" w:eastAsia="zh-CN"/>
        </w:rPr>
        <w:t xml:space="preserve"> </w:t>
      </w:r>
      <w:r>
        <w:rPr>
          <w:rFonts w:hint="eastAsia" w:ascii="微软雅黑" w:hAnsi="微软雅黑" w:eastAsia="微软雅黑"/>
          <w:lang w:eastAsia="zh-CN"/>
        </w:rPr>
        <w:t xml:space="preserve">35579-2017《油气回收装置通用技术条件》 </w:t>
      </w:r>
    </w:p>
    <w:p>
      <w:pPr>
        <w:pStyle w:val="4"/>
        <w:spacing w:line="257" w:lineRule="auto"/>
        <w:ind w:left="220" w:right="122" w:firstLine="63" w:firstLineChars="30"/>
        <w:rPr>
          <w:rFonts w:hint="eastAsia" w:ascii="微软雅黑" w:hAnsi="微软雅黑" w:eastAsia="微软雅黑"/>
          <w:lang w:val="en-US" w:eastAsia="zh-CN"/>
        </w:rPr>
      </w:pPr>
    </w:p>
    <w:p>
      <w:pPr>
        <w:pStyle w:val="4"/>
        <w:spacing w:line="257" w:lineRule="auto"/>
        <w:ind w:left="220" w:right="122" w:firstLine="63" w:firstLineChars="30"/>
        <w:rPr>
          <w:rFonts w:hint="eastAsia" w:ascii="微软雅黑" w:hAnsi="微软雅黑" w:eastAsia="微软雅黑"/>
          <w:lang w:val="en-US" w:eastAsia="zh-CN"/>
        </w:rPr>
      </w:pPr>
      <w:r>
        <w:rPr>
          <w:rFonts w:hint="eastAsia" w:ascii="微软雅黑" w:hAnsi="微软雅黑" w:eastAsia="微软雅黑"/>
          <w:lang w:val="en-US" w:eastAsia="zh-CN"/>
        </w:rPr>
        <w:t>4、</w:t>
      </w:r>
      <w:r>
        <w:rPr>
          <w:rFonts w:hint="eastAsia" w:ascii="微软雅黑" w:hAnsi="微软雅黑" w:eastAsia="微软雅黑"/>
          <w:lang w:eastAsia="zh-CN"/>
        </w:rPr>
        <w:t>SH/T</w:t>
      </w:r>
      <w:r>
        <w:rPr>
          <w:rFonts w:hint="eastAsia" w:ascii="微软雅黑" w:hAnsi="微软雅黑" w:eastAsia="微软雅黑"/>
          <w:lang w:val="en-US" w:eastAsia="zh-CN"/>
        </w:rPr>
        <w:t xml:space="preserve"> </w:t>
      </w:r>
      <w:r>
        <w:rPr>
          <w:rFonts w:hint="eastAsia" w:ascii="微软雅黑" w:hAnsi="微软雅黑" w:eastAsia="微软雅黑"/>
          <w:lang w:eastAsia="zh-CN"/>
        </w:rPr>
        <w:t xml:space="preserve">3097-2017《石油化工静电接地设计规范》 </w:t>
      </w:r>
    </w:p>
    <w:p>
      <w:pPr>
        <w:pStyle w:val="4"/>
        <w:spacing w:line="257" w:lineRule="auto"/>
        <w:ind w:left="220" w:right="122" w:firstLine="63" w:firstLineChars="30"/>
        <w:rPr>
          <w:rFonts w:hint="default" w:ascii="微软雅黑" w:hAnsi="微软雅黑" w:eastAsia="微软雅黑"/>
          <w:lang w:val="en-US" w:eastAsia="zh-CN"/>
        </w:rPr>
      </w:pPr>
      <w:r>
        <w:rPr>
          <w:rFonts w:hint="eastAsia" w:ascii="微软雅黑" w:hAnsi="微软雅黑" w:eastAsia="微软雅黑"/>
          <w:lang w:val="en-US" w:eastAsia="zh-CN"/>
        </w:rPr>
        <w:t>5、</w:t>
      </w:r>
      <w:r>
        <w:rPr>
          <w:rFonts w:hint="eastAsia" w:ascii="微软雅黑" w:hAnsi="微软雅黑" w:eastAsia="微软雅黑"/>
          <w:lang w:eastAsia="zh-CN"/>
        </w:rPr>
        <w:t>GB/T</w:t>
      </w:r>
      <w:r>
        <w:rPr>
          <w:rFonts w:hint="eastAsia" w:ascii="微软雅黑" w:hAnsi="微软雅黑" w:eastAsia="微软雅黑"/>
          <w:lang w:val="en-US" w:eastAsia="zh-CN"/>
        </w:rPr>
        <w:t xml:space="preserve"> 55342-2024《燃油蒸发排放系统活性炭通用要求》</w:t>
      </w:r>
    </w:p>
    <w:p>
      <w:pPr>
        <w:pStyle w:val="4"/>
        <w:spacing w:line="257" w:lineRule="auto"/>
        <w:ind w:left="220" w:right="122" w:firstLine="63" w:firstLineChars="30"/>
        <w:rPr>
          <w:rFonts w:hint="default" w:ascii="微软雅黑" w:hAnsi="微软雅黑" w:eastAsia="微软雅黑"/>
          <w:lang w:val="en-US" w:eastAsia="zh-CN"/>
        </w:rPr>
      </w:pPr>
      <w:r>
        <w:rPr>
          <w:rFonts w:hint="eastAsia" w:ascii="微软雅黑" w:hAnsi="微软雅黑" w:eastAsia="微软雅黑"/>
          <w:lang w:val="en-US" w:eastAsia="zh-CN"/>
        </w:rPr>
        <w:t>6、HJ 2026-2013《吸附法工业有机废气治理工程技术规范》</w:t>
      </w:r>
    </w:p>
    <w:p>
      <w:pPr>
        <w:pStyle w:val="4"/>
        <w:spacing w:line="257" w:lineRule="auto"/>
        <w:ind w:left="220" w:right="122" w:firstLine="63" w:firstLineChars="30"/>
        <w:rPr>
          <w:rFonts w:hint="eastAsia" w:ascii="微软雅黑" w:hAnsi="微软雅黑" w:eastAsia="微软雅黑"/>
          <w:lang w:eastAsia="zh-CN"/>
        </w:rPr>
      </w:pPr>
      <w:r>
        <w:rPr>
          <w:rFonts w:hint="eastAsia" w:ascii="微软雅黑" w:hAnsi="微软雅黑" w:eastAsia="微软雅黑"/>
          <w:lang w:val="en-US" w:eastAsia="zh-CN"/>
        </w:rPr>
        <w:t>7、</w:t>
      </w:r>
      <w:r>
        <w:rPr>
          <w:rFonts w:hint="eastAsia" w:ascii="微软雅黑" w:hAnsi="微软雅黑" w:eastAsia="微软雅黑"/>
          <w:lang w:eastAsia="zh-CN"/>
        </w:rPr>
        <w:t>GB</w:t>
      </w:r>
      <w:r>
        <w:rPr>
          <w:rFonts w:hint="eastAsia" w:ascii="微软雅黑" w:hAnsi="微软雅黑" w:eastAsia="微软雅黑"/>
          <w:lang w:val="en-US" w:eastAsia="zh-CN"/>
        </w:rPr>
        <w:t xml:space="preserve"> 5908</w:t>
      </w:r>
      <w:r>
        <w:rPr>
          <w:rFonts w:hint="eastAsia" w:ascii="微软雅黑" w:hAnsi="微软雅黑" w:eastAsia="微软雅黑"/>
          <w:lang w:eastAsia="zh-CN"/>
        </w:rPr>
        <w:t>-20</w:t>
      </w:r>
      <w:r>
        <w:rPr>
          <w:rFonts w:hint="eastAsia" w:ascii="微软雅黑" w:hAnsi="微软雅黑" w:eastAsia="微软雅黑"/>
          <w:lang w:val="en-US" w:eastAsia="zh-CN"/>
        </w:rPr>
        <w:t>24</w:t>
      </w:r>
      <w:r>
        <w:rPr>
          <w:rFonts w:hint="eastAsia" w:ascii="微软雅黑" w:hAnsi="微软雅黑" w:eastAsia="微软雅黑"/>
          <w:lang w:eastAsia="zh-CN"/>
        </w:rPr>
        <w:t xml:space="preserve">《阻火器》 </w:t>
      </w:r>
    </w:p>
    <w:p>
      <w:pPr>
        <w:pStyle w:val="4"/>
        <w:spacing w:line="257" w:lineRule="auto"/>
        <w:ind w:left="220" w:right="122" w:firstLine="63" w:firstLineChars="30"/>
        <w:jc w:val="left"/>
        <w:rPr>
          <w:rFonts w:hint="default" w:ascii="微软雅黑" w:hAnsi="微软雅黑" w:eastAsia="微软雅黑"/>
          <w:lang w:val="en-US" w:eastAsia="zh-CN"/>
        </w:rPr>
      </w:pPr>
      <w:r>
        <w:rPr>
          <w:rFonts w:hint="eastAsia" w:ascii="微软雅黑" w:hAnsi="微软雅黑" w:eastAsia="微软雅黑"/>
          <w:lang w:val="en-US" w:eastAsia="zh-CN"/>
        </w:rPr>
        <w:t>8、SH/T 3413-2019</w:t>
      </w:r>
      <w:r>
        <w:rPr>
          <w:rFonts w:hint="eastAsia" w:ascii="微软雅黑" w:hAnsi="微软雅黑" w:eastAsia="微软雅黑" w:cstheme="minorBidi"/>
          <w:kern w:val="0"/>
          <w:sz w:val="21"/>
          <w:szCs w:val="21"/>
          <w:lang w:val="en-US" w:eastAsia="zh-CN" w:bidi="ar-SA"/>
        </w:rPr>
        <w:t>《</w:t>
      </w:r>
      <w:r>
        <w:rPr>
          <w:rFonts w:hint="eastAsia" w:ascii="微软雅黑" w:hAnsi="微软雅黑" w:eastAsia="微软雅黑"/>
          <w:lang w:val="en-US" w:eastAsia="zh-CN"/>
        </w:rPr>
        <w:t>石油化工石油气管道阻火器选用、检验及验收标准》</w:t>
      </w:r>
    </w:p>
    <w:p>
      <w:pPr>
        <w:pStyle w:val="4"/>
        <w:spacing w:line="257" w:lineRule="auto"/>
        <w:ind w:left="220" w:right="122" w:firstLine="63" w:firstLineChars="30"/>
        <w:rPr>
          <w:lang w:eastAsia="zh-CN"/>
        </w:rPr>
      </w:pPr>
      <w:r>
        <w:rPr>
          <w:rFonts w:hint="eastAsia" w:ascii="微软雅黑" w:hAnsi="微软雅黑" w:eastAsia="微软雅黑"/>
          <w:lang w:val="en-US" w:eastAsia="zh-CN"/>
        </w:rPr>
        <w:t>9、</w:t>
      </w:r>
      <w:r>
        <w:rPr>
          <w:lang w:eastAsia="zh-CN"/>
        </w:rPr>
        <w:t>GB 18613-2020《电动机能效限定值及能效等级》</w:t>
      </w:r>
    </w:p>
    <w:p>
      <w:pPr>
        <w:pStyle w:val="4"/>
        <w:spacing w:line="257" w:lineRule="auto"/>
        <w:ind w:left="220" w:right="122" w:firstLine="63" w:firstLineChars="30"/>
        <w:rPr>
          <w:rFonts w:hint="eastAsia"/>
        </w:rPr>
      </w:pPr>
      <w:r>
        <w:rPr>
          <w:rFonts w:hint="eastAsia"/>
          <w:lang w:val="en-US" w:eastAsia="zh-CN"/>
        </w:rPr>
        <w:t>10、S</w:t>
      </w:r>
      <w:r>
        <w:rPr>
          <w:rFonts w:hint="eastAsia"/>
        </w:rPr>
        <w:t>H/T 3005</w:t>
      </w:r>
      <w:r>
        <w:rPr>
          <w:rFonts w:hint="eastAsia"/>
          <w:lang w:val="en-US" w:eastAsia="zh-CN"/>
        </w:rPr>
        <w:t>-2016</w:t>
      </w:r>
      <w:r>
        <w:rPr>
          <w:rFonts w:hint="eastAsia"/>
        </w:rPr>
        <w:t>《石油化工自动化仪表选型设计规范》</w:t>
      </w:r>
    </w:p>
    <w:p>
      <w:pPr>
        <w:pStyle w:val="4"/>
        <w:spacing w:line="257" w:lineRule="auto"/>
        <w:ind w:left="220" w:right="122" w:firstLine="63" w:firstLineChars="30"/>
        <w:rPr>
          <w:rFonts w:hint="eastAsia" w:cstheme="minorBidi"/>
          <w:color w:val="000000" w:themeColor="text1"/>
          <w:kern w:val="0"/>
          <w:sz w:val="21"/>
          <w:szCs w:val="21"/>
          <w:highlight w:val="none"/>
          <w:lang w:val="en-US" w:eastAsia="zh-CN" w:bidi="ar-SA"/>
          <w14:textFill>
            <w14:solidFill>
              <w14:schemeClr w14:val="tx1"/>
            </w14:solidFill>
          </w14:textFill>
        </w:rPr>
      </w:pPr>
      <w:r>
        <w:rPr>
          <w:rFonts w:hint="eastAsia"/>
          <w:lang w:val="en-US" w:eastAsia="zh-CN"/>
        </w:rPr>
        <w:t>11、</w:t>
      </w:r>
      <w:r>
        <w:rPr>
          <w:rFonts w:hint="eastAsia"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t>GB/T 8923.1 - 2011</w:t>
      </w:r>
      <w:r>
        <w:rPr>
          <w:rFonts w:hint="eastAsia" w:cstheme="minorBidi"/>
          <w:color w:val="000000" w:themeColor="text1"/>
          <w:kern w:val="0"/>
          <w:sz w:val="21"/>
          <w:szCs w:val="21"/>
          <w:highlight w:val="none"/>
          <w:lang w:val="en-US" w:eastAsia="zh-CN" w:bidi="ar-SA"/>
          <w14:textFill>
            <w14:solidFill>
              <w14:schemeClr w14:val="tx1"/>
            </w14:solidFill>
          </w14:textFill>
        </w:rPr>
        <w:t>《涂覆涂料前刚才表面处理 表面清洁度的目视评定 第1部分》</w:t>
      </w:r>
    </w:p>
    <w:p>
      <w:pPr>
        <w:pStyle w:val="3"/>
      </w:pPr>
      <w:r>
        <w:rPr>
          <w:rFonts w:hint="eastAsia"/>
        </w:rPr>
        <w:t>四、服务要求</w:t>
      </w:r>
    </w:p>
    <w:p>
      <w:pPr>
        <w:pStyle w:val="4"/>
        <w:keepNext w:val="0"/>
        <w:keepLines w:val="0"/>
        <w:pageBreakBefore w:val="0"/>
        <w:widowControl w:val="0"/>
        <w:kinsoku/>
        <w:wordWrap/>
        <w:overflowPunct/>
        <w:topLinePunct w:val="0"/>
        <w:autoSpaceDE/>
        <w:autoSpaceDN/>
        <w:bidi w:val="0"/>
        <w:adjustRightInd/>
        <w:snapToGrid/>
        <w:spacing w:line="660" w:lineRule="exact"/>
        <w:ind w:left="0" w:leftChars="0" w:right="122" w:firstLine="210" w:firstLineChars="100"/>
        <w:textAlignment w:val="auto"/>
        <w:rPr>
          <w:rFonts w:hint="eastAsia"/>
          <w:highlight w:val="none"/>
          <w:lang w:eastAsia="zh-CN"/>
        </w:rPr>
      </w:pPr>
      <w:r>
        <w:rPr>
          <w:rFonts w:hint="eastAsia"/>
          <w:highlight w:val="none"/>
          <w:lang w:eastAsia="zh-CN"/>
        </w:rPr>
        <w:t>1、</w:t>
      </w:r>
      <w:r>
        <w:rPr>
          <w:highlight w:val="none"/>
          <w:lang w:eastAsia="zh-CN"/>
        </w:rPr>
        <w:t>设计</w:t>
      </w:r>
      <w:r>
        <w:rPr>
          <w:rFonts w:hint="eastAsia"/>
          <w:highlight w:val="none"/>
          <w:lang w:eastAsia="zh-CN"/>
        </w:rPr>
        <w:t>/施工方案要求：</w:t>
      </w:r>
    </w:p>
    <w:p>
      <w:pPr>
        <w:pStyle w:val="4"/>
        <w:keepNext w:val="0"/>
        <w:keepLines w:val="0"/>
        <w:pageBreakBefore w:val="0"/>
        <w:widowControl w:val="0"/>
        <w:kinsoku/>
        <w:wordWrap/>
        <w:overflowPunct/>
        <w:topLinePunct w:val="0"/>
        <w:autoSpaceDE/>
        <w:autoSpaceDN/>
        <w:bidi w:val="0"/>
        <w:adjustRightInd/>
        <w:snapToGrid/>
        <w:spacing w:line="660" w:lineRule="exact"/>
        <w:ind w:right="121" w:rightChars="55" w:firstLine="199" w:firstLineChars="95"/>
        <w:textAlignment w:val="auto"/>
        <w:rPr>
          <w:rFonts w:hint="eastAsia"/>
          <w:lang w:eastAsia="zh-CN"/>
        </w:rPr>
      </w:pPr>
      <w:r>
        <w:rPr>
          <w:rFonts w:hint="eastAsia"/>
          <w:lang w:eastAsia="zh-CN"/>
        </w:rPr>
        <w:t>1.1技术标书需提供初步整改技术方案，包括且不限于：作业单位和人员资质、作业方案、人员配置、机具材料清单、作业风险分析、风险削减措施、健康安全环保措施、质量保证措施、工期计划、应急计划、乙方HSE资格预审表等。</w:t>
      </w:r>
    </w:p>
    <w:p>
      <w:pPr>
        <w:pStyle w:val="4"/>
        <w:keepNext w:val="0"/>
        <w:keepLines w:val="0"/>
        <w:pageBreakBefore w:val="0"/>
        <w:widowControl w:val="0"/>
        <w:kinsoku/>
        <w:wordWrap/>
        <w:overflowPunct/>
        <w:topLinePunct w:val="0"/>
        <w:autoSpaceDE/>
        <w:autoSpaceDN/>
        <w:bidi w:val="0"/>
        <w:adjustRightInd/>
        <w:snapToGrid/>
        <w:spacing w:line="660" w:lineRule="exact"/>
        <w:ind w:right="121" w:rightChars="55" w:firstLine="199" w:firstLineChars="95"/>
        <w:textAlignment w:val="auto"/>
        <w:rPr>
          <w:rFonts w:hint="eastAsia"/>
          <w:lang w:eastAsia="zh-CN"/>
        </w:rPr>
      </w:pPr>
      <w:r>
        <w:rPr>
          <w:rFonts w:hint="eastAsia"/>
          <w:lang w:eastAsia="zh-CN"/>
        </w:rPr>
        <w:t>1.2施工作业前乙方应提供经甲方审核批准的终版施工方案和应急计划。</w:t>
      </w:r>
    </w:p>
    <w:p>
      <w:pPr>
        <w:pStyle w:val="4"/>
        <w:keepNext w:val="0"/>
        <w:keepLines w:val="0"/>
        <w:pageBreakBefore w:val="0"/>
        <w:widowControl w:val="0"/>
        <w:kinsoku/>
        <w:wordWrap/>
        <w:overflowPunct/>
        <w:topLinePunct w:val="0"/>
        <w:autoSpaceDE/>
        <w:autoSpaceDN/>
        <w:bidi w:val="0"/>
        <w:adjustRightInd/>
        <w:snapToGrid/>
        <w:spacing w:line="660" w:lineRule="exact"/>
        <w:ind w:right="121" w:rightChars="55" w:firstLine="199" w:firstLineChars="95"/>
        <w:textAlignment w:val="auto"/>
        <w:rPr>
          <w:rFonts w:hint="eastAsia"/>
          <w:lang w:eastAsia="zh-CN"/>
        </w:rPr>
      </w:pPr>
      <w:r>
        <w:rPr>
          <w:rFonts w:hint="eastAsia"/>
          <w:lang w:eastAsia="zh-CN"/>
        </w:rPr>
        <w:t>1.</w:t>
      </w:r>
      <w:r>
        <w:rPr>
          <w:rFonts w:hint="eastAsia"/>
          <w:lang w:val="en-US" w:eastAsia="zh-CN"/>
        </w:rPr>
        <w:t>3</w:t>
      </w:r>
      <w:r>
        <w:rPr>
          <w:rFonts w:hint="eastAsia"/>
          <w:lang w:eastAsia="zh-CN"/>
        </w:rPr>
        <w:t>投标单位需充分考虑作业场所的危险化学品储存装卸场所的安全作业特性、作业区域的气候条件、重大活动和重大节假日等各类可能会影响项目开展的因素，并作出合理的计划或做出相应的应对措施，相关影响将不作为项目执行工期异常的依据。</w:t>
      </w:r>
    </w:p>
    <w:p>
      <w:pPr>
        <w:pStyle w:val="4"/>
        <w:keepNext w:val="0"/>
        <w:keepLines w:val="0"/>
        <w:pageBreakBefore w:val="0"/>
        <w:widowControl w:val="0"/>
        <w:kinsoku/>
        <w:wordWrap/>
        <w:overflowPunct/>
        <w:topLinePunct w:val="0"/>
        <w:autoSpaceDE/>
        <w:autoSpaceDN/>
        <w:bidi w:val="0"/>
        <w:adjustRightInd/>
        <w:snapToGrid/>
        <w:spacing w:line="500" w:lineRule="exact"/>
        <w:ind w:right="121" w:rightChars="55" w:firstLine="210" w:firstLineChars="100"/>
        <w:textAlignment w:val="auto"/>
        <w:rPr>
          <w:rFonts w:hint="eastAsia"/>
          <w:highlight w:val="none"/>
          <w:lang w:val="en-US" w:eastAsia="zh-CN"/>
        </w:rPr>
      </w:pPr>
      <w:r>
        <w:rPr>
          <w:rFonts w:hint="eastAsia"/>
          <w:highlight w:val="none"/>
          <w:lang w:val="en-US" w:eastAsia="zh-CN"/>
        </w:rPr>
        <w:t>2</w:t>
      </w:r>
      <w:r>
        <w:rPr>
          <w:rFonts w:hint="eastAsia"/>
          <w:highlight w:val="none"/>
          <w:lang w:eastAsia="zh-CN"/>
        </w:rPr>
        <w:t>、</w:t>
      </w:r>
      <w:r>
        <w:rPr>
          <w:highlight w:val="none"/>
          <w:lang w:eastAsia="zh-CN"/>
        </w:rPr>
        <w:t>服务具体要求</w:t>
      </w:r>
      <w:r>
        <w:rPr>
          <w:rFonts w:hint="eastAsia"/>
          <w:highlight w:val="none"/>
          <w:lang w:eastAsia="zh-CN"/>
        </w:rPr>
        <w:t>：</w:t>
      </w:r>
      <w:r>
        <w:rPr>
          <w:rFonts w:hint="eastAsia"/>
          <w:highlight w:val="none"/>
          <w:lang w:val="en-US" w:eastAsia="zh-CN"/>
        </w:rPr>
        <w:t xml:space="preserve">   </w:t>
      </w:r>
    </w:p>
    <w:p>
      <w:pPr>
        <w:pStyle w:val="4"/>
        <w:spacing w:line="257" w:lineRule="auto"/>
        <w:ind w:right="121" w:rightChars="55" w:firstLine="210" w:firstLineChars="100"/>
        <w:rPr>
          <w:rFonts w:hint="eastAsia"/>
          <w:lang w:eastAsia="zh-CN"/>
        </w:rPr>
      </w:pPr>
      <w:r>
        <w:rPr>
          <w:rFonts w:hint="eastAsia" w:ascii="微软雅黑" w:hAnsi="微软雅黑" w:eastAsia="微软雅黑"/>
          <w:lang w:val="en-US" w:eastAsia="zh-CN"/>
        </w:rPr>
        <w:t xml:space="preserve">2.1 </w:t>
      </w:r>
      <w:r>
        <w:rPr>
          <w:rFonts w:hint="eastAsia"/>
          <w:lang w:eastAsia="zh-CN"/>
        </w:rPr>
        <w:t>人员要求：</w:t>
      </w:r>
    </w:p>
    <w:p>
      <w:pPr>
        <w:pStyle w:val="4"/>
        <w:spacing w:line="257" w:lineRule="auto"/>
        <w:ind w:right="121" w:rightChars="55" w:firstLine="210" w:firstLineChars="100"/>
        <w:rPr>
          <w:rFonts w:hint="eastAsia"/>
          <w:lang w:eastAsia="zh-CN"/>
        </w:rPr>
      </w:pPr>
      <w:r>
        <w:rPr>
          <w:rFonts w:hint="eastAsia"/>
          <w:lang w:eastAsia="zh-CN"/>
        </w:rPr>
        <w:t>1）乙方提供的人员证件要求：①安全监护人员特殊持证：安全员C证；②涉及的特种作业人员特殊持证：电工、焊工、仪表工等。③提供的所有证件必须在有效期限内。</w:t>
      </w:r>
    </w:p>
    <w:p>
      <w:pPr>
        <w:pStyle w:val="4"/>
        <w:spacing w:line="257" w:lineRule="auto"/>
        <w:ind w:right="121" w:rightChars="55" w:firstLine="210" w:firstLineChars="100"/>
        <w:rPr>
          <w:rFonts w:hint="eastAsia"/>
          <w:lang w:eastAsia="zh-CN"/>
        </w:rPr>
      </w:pPr>
      <w:r>
        <w:rPr>
          <w:rFonts w:hint="eastAsia"/>
          <w:lang w:eastAsia="zh-CN"/>
        </w:rPr>
        <w:t>2）人员年龄要求：19-5</w:t>
      </w:r>
      <w:r>
        <w:rPr>
          <w:rFonts w:hint="eastAsia"/>
          <w:lang w:val="en-US" w:eastAsia="zh-CN"/>
        </w:rPr>
        <w:t>5</w:t>
      </w:r>
      <w:r>
        <w:rPr>
          <w:rFonts w:hint="eastAsia"/>
          <w:lang w:eastAsia="zh-CN"/>
        </w:rPr>
        <w:t>周岁内</w:t>
      </w:r>
      <w:r>
        <w:rPr>
          <w:rFonts w:hint="eastAsia"/>
          <w:lang w:val="en-US" w:eastAsia="zh-CN"/>
        </w:rPr>
        <w:t>.</w:t>
      </w:r>
    </w:p>
    <w:p>
      <w:pPr>
        <w:pStyle w:val="4"/>
        <w:spacing w:line="257" w:lineRule="auto"/>
        <w:ind w:right="121" w:rightChars="55" w:firstLine="210" w:firstLineChars="100"/>
        <w:rPr>
          <w:rFonts w:hint="eastAsia"/>
          <w:lang w:eastAsia="zh-CN"/>
        </w:rPr>
      </w:pPr>
      <w:r>
        <w:rPr>
          <w:rFonts w:hint="eastAsia"/>
          <w:lang w:eastAsia="zh-CN"/>
        </w:rPr>
        <w:t>3）乙方提供的作业人员健康证明或体验报告，证明无癫痫、高血压、心脏病等身体不适宜本行业作业的症状疾病。</w:t>
      </w:r>
    </w:p>
    <w:p>
      <w:pPr>
        <w:pStyle w:val="4"/>
        <w:spacing w:line="257" w:lineRule="auto"/>
        <w:ind w:right="121" w:rightChars="55" w:firstLine="210" w:firstLineChars="100"/>
        <w:rPr>
          <w:rFonts w:hint="eastAsia"/>
          <w:lang w:eastAsia="zh-CN"/>
        </w:rPr>
      </w:pPr>
      <w:r>
        <w:rPr>
          <w:rFonts w:hint="eastAsia"/>
          <w:lang w:eastAsia="zh-CN"/>
        </w:rPr>
        <w:t>4）乙方作业人员必须自带符合中海油体系要求的劳动保护用品（包含但不限于安全帽、防护眼镜、防静电工服、防穿刺挤压工鞋、劳保手套、降噪耳塞等）。</w:t>
      </w:r>
    </w:p>
    <w:p>
      <w:pPr>
        <w:pStyle w:val="4"/>
        <w:spacing w:line="257" w:lineRule="auto"/>
        <w:ind w:right="121" w:rightChars="55" w:firstLine="210" w:firstLineChars="100"/>
        <w:rPr>
          <w:rFonts w:hint="eastAsia"/>
          <w:lang w:eastAsia="zh-CN"/>
        </w:rPr>
      </w:pPr>
      <w:r>
        <w:rPr>
          <w:rFonts w:hint="eastAsia" w:ascii="微软雅黑" w:hAnsi="微软雅黑" w:eastAsia="微软雅黑"/>
          <w:lang w:val="en-US" w:eastAsia="zh-CN"/>
        </w:rPr>
        <w:t xml:space="preserve">2.2 </w:t>
      </w:r>
      <w:r>
        <w:rPr>
          <w:rFonts w:hint="eastAsia"/>
          <w:lang w:eastAsia="zh-CN"/>
        </w:rPr>
        <w:t>HSE要求：</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乙方所有在甲方油气库内进行的全部作业过程，必须遵守甲方HSE管理规定要求。</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乙方做好现场检验作业过程安全风险分析，落实有关防控措施。</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乙方遵守油气库防火防爆安全管理规定。</w:t>
      </w:r>
    </w:p>
    <w:p>
      <w:pPr>
        <w:pStyle w:val="4"/>
        <w:numPr>
          <w:ilvl w:val="0"/>
          <w:numId w:val="2"/>
        </w:numPr>
        <w:spacing w:line="257" w:lineRule="auto"/>
        <w:ind w:left="220" w:leftChars="0" w:right="121" w:rightChars="55" w:firstLine="0" w:firstLineChars="0"/>
        <w:rPr>
          <w:rFonts w:hint="eastAsia"/>
          <w:lang w:val="en-US" w:eastAsia="zh-CN"/>
        </w:rPr>
      </w:pPr>
      <w:r>
        <w:rPr>
          <w:rFonts w:hint="eastAsia"/>
          <w:color w:val="000000" w:themeColor="text1"/>
          <w:highlight w:val="none"/>
          <w:lang w:val="en-US" w:eastAsia="zh-CN"/>
          <w14:textFill>
            <w14:solidFill>
              <w14:schemeClr w14:val="tx1"/>
            </w14:solidFill>
          </w14:textFill>
        </w:rPr>
        <w:t>施工方案须包括《扬尘污染防治方案》，涉及物料堆放、物料运输、防锈打磨作业等列出扬尘污染防治措施和个人防护措施。</w:t>
      </w:r>
    </w:p>
    <w:p>
      <w:pPr>
        <w:pStyle w:val="4"/>
        <w:numPr>
          <w:ilvl w:val="0"/>
          <w:numId w:val="2"/>
        </w:numPr>
        <w:spacing w:line="257" w:lineRule="auto"/>
        <w:ind w:left="220" w:leftChars="0" w:right="121" w:rightChars="55" w:firstLine="0" w:firstLineChars="0"/>
        <w:rPr>
          <w:rFonts w:hint="default"/>
          <w:lang w:val="en-US" w:eastAsia="zh-CN"/>
        </w:rPr>
      </w:pPr>
      <w:r>
        <w:rPr>
          <w:rFonts w:hint="eastAsia"/>
          <w:color w:val="000000" w:themeColor="text1"/>
          <w:highlight w:val="none"/>
          <w:lang w:val="en-US" w:eastAsia="zh-CN"/>
          <w14:textFill>
            <w14:solidFill>
              <w14:schemeClr w14:val="tx1"/>
            </w14:solidFill>
          </w14:textFill>
        </w:rPr>
        <w:t>施工方案须包括《噪声污染防治措施》，如选用低噪声设备、工艺优化、搭建临时隔音围挡、作业时间管控、个体防护措施等。</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施工方案须包括乙方现场事故事件应急处置流程、应急组织机构及职责，内容应包括火灾爆炸、高空、触电、中毒窒息、物体打击、紧急救护、防台防汛、环境保护、职业健康等。</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施工方案须包括乙方现场安全管理机构及职责和要求，现场有相应持证安全管理人员、特种作业持证上岗。</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乙方须为所有管理和施工作业人员购买安全生产责任保险。</w:t>
      </w:r>
    </w:p>
    <w:p>
      <w:pPr>
        <w:pStyle w:val="4"/>
        <w:numPr>
          <w:ilvl w:val="0"/>
          <w:numId w:val="2"/>
        </w:numPr>
        <w:spacing w:line="257" w:lineRule="auto"/>
        <w:ind w:left="220" w:leftChars="0" w:right="121" w:rightChars="55" w:firstLine="0" w:firstLineChars="0"/>
        <w:rPr>
          <w:rFonts w:hint="eastAsia"/>
          <w:lang w:val="en-US" w:eastAsia="zh-CN"/>
        </w:rPr>
      </w:pPr>
      <w:r>
        <w:rPr>
          <w:rFonts w:hint="eastAsia"/>
          <w:color w:val="000000" w:themeColor="text1"/>
          <w:highlight w:val="none"/>
          <w:lang w:val="en-US" w:eastAsia="zh-CN"/>
          <w14:textFill>
            <w14:solidFill>
              <w14:schemeClr w14:val="tx1"/>
            </w14:solidFill>
          </w14:textFill>
        </w:rPr>
        <w:t>所涉及到的施工工器具、施工设备设施要有台帐，涉及到强检的都须有对应的检测合格报告、在施工期有效期内。</w:t>
      </w:r>
    </w:p>
    <w:p>
      <w:pPr>
        <w:pStyle w:val="4"/>
        <w:numPr>
          <w:ilvl w:val="0"/>
          <w:numId w:val="2"/>
        </w:numPr>
        <w:spacing w:line="257" w:lineRule="auto"/>
        <w:ind w:left="220" w:leftChars="0" w:right="121" w:rightChars="55" w:firstLine="0" w:firstLineChars="0"/>
        <w:rPr>
          <w:rFonts w:hint="eastAsia"/>
          <w:lang w:val="en-US" w:eastAsia="zh-CN"/>
        </w:rPr>
      </w:pPr>
      <w:r>
        <w:rPr>
          <w:rFonts w:hint="eastAsia"/>
          <w:color w:val="000000" w:themeColor="text1"/>
          <w:highlight w:val="none"/>
          <w:lang w:val="en-US" w:eastAsia="zh-CN"/>
          <w14:textFill>
            <w14:solidFill>
              <w14:schemeClr w14:val="tx1"/>
            </w14:solidFill>
          </w14:textFill>
        </w:rPr>
        <w:t>施工方案须包括施工区域四周设置固定的安全警示带、警示标语等管理要求。</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乙方须对施工剩余材料、耗材的边角料、废料、包装袋/箱/桶等集中回收清运处理，保持施工场地整洁，到工完料净场地清。</w:t>
      </w:r>
    </w:p>
    <w:p>
      <w:pPr>
        <w:pStyle w:val="4"/>
        <w:numPr>
          <w:ilvl w:val="0"/>
          <w:numId w:val="2"/>
        </w:numPr>
        <w:spacing w:line="257" w:lineRule="auto"/>
        <w:ind w:left="220" w:leftChars="0" w:right="121" w:rightChars="55"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乙方落实高风险作业安全措施，整个工程期间杜绝死亡及重伤及事故及轻伤事故。</w:t>
      </w:r>
    </w:p>
    <w:p>
      <w:pPr>
        <w:pStyle w:val="4"/>
        <w:keepNext w:val="0"/>
        <w:keepLines w:val="0"/>
        <w:pageBreakBefore w:val="0"/>
        <w:widowControl w:val="0"/>
        <w:kinsoku/>
        <w:wordWrap/>
        <w:overflowPunct/>
        <w:topLinePunct w:val="0"/>
        <w:autoSpaceDE/>
        <w:autoSpaceDN/>
        <w:bidi w:val="0"/>
        <w:adjustRightInd/>
        <w:snapToGrid/>
        <w:spacing w:line="500" w:lineRule="exact"/>
        <w:ind w:right="121" w:rightChars="55" w:firstLine="210" w:firstLineChars="100"/>
        <w:textAlignment w:val="auto"/>
        <w:rPr>
          <w:rFonts w:hint="eastAsia"/>
          <w:lang w:eastAsia="zh-CN"/>
        </w:rPr>
      </w:pPr>
      <w:r>
        <w:rPr>
          <w:rFonts w:hint="eastAsia"/>
          <w:highlight w:val="none"/>
          <w:lang w:val="en-US" w:eastAsia="zh-CN"/>
        </w:rPr>
        <w:t>3、</w:t>
      </w:r>
      <w:r>
        <w:rPr>
          <w:lang w:eastAsia="zh-CN"/>
        </w:rPr>
        <w:t>工作界面要求</w:t>
      </w:r>
      <w:r>
        <w:rPr>
          <w:rFonts w:hint="eastAsia"/>
          <w:lang w:eastAsia="zh-CN"/>
        </w:rPr>
        <w:t>：</w:t>
      </w:r>
    </w:p>
    <w:p>
      <w:pPr>
        <w:pStyle w:val="4"/>
        <w:numPr>
          <w:ilvl w:val="0"/>
          <w:numId w:val="0"/>
        </w:numPr>
        <w:spacing w:line="257" w:lineRule="auto"/>
        <w:ind w:right="121" w:rightChars="55" w:firstLine="420" w:firstLineChars="20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3.1 甲方：</w:t>
      </w:r>
    </w:p>
    <w:p>
      <w:pPr>
        <w:pStyle w:val="4"/>
        <w:spacing w:line="257" w:lineRule="auto"/>
        <w:ind w:right="121" w:rightChars="55" w:firstLine="409" w:firstLineChars="195"/>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项目施工期间全面组织、协调和监督工作；</w:t>
      </w:r>
    </w:p>
    <w:p>
      <w:pPr>
        <w:pStyle w:val="4"/>
        <w:spacing w:line="257" w:lineRule="auto"/>
        <w:ind w:right="121" w:rightChars="55" w:firstLine="409" w:firstLineChars="195"/>
        <w:rPr>
          <w:rFonts w:hint="default"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2）入场安全教育、技术交底；</w:t>
      </w:r>
    </w:p>
    <w:p>
      <w:pPr>
        <w:pStyle w:val="4"/>
        <w:spacing w:line="257" w:lineRule="auto"/>
        <w:ind w:right="121" w:rightChars="55" w:firstLine="409" w:firstLineChars="195"/>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3）公共资源的配合落实；</w:t>
      </w:r>
    </w:p>
    <w:p>
      <w:pPr>
        <w:pStyle w:val="4"/>
        <w:spacing w:line="257" w:lineRule="auto"/>
        <w:ind w:right="121" w:rightChars="55" w:firstLine="409" w:firstLineChars="195"/>
        <w:rPr>
          <w:rFonts w:hint="eastAsia"/>
          <w:color w:val="000000" w:themeColor="text1"/>
          <w:highlight w:val="none"/>
          <w:lang w:val="en-US" w:eastAsia="zh-CN"/>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4）项目的现场验收；</w:t>
      </w:r>
    </w:p>
    <w:p>
      <w:pPr>
        <w:pStyle w:val="4"/>
        <w:numPr>
          <w:ilvl w:val="0"/>
          <w:numId w:val="0"/>
        </w:numPr>
        <w:spacing w:line="257" w:lineRule="auto"/>
        <w:ind w:right="121" w:rightChars="55" w:firstLine="420" w:firstLineChars="20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3.2 乙方：</w:t>
      </w:r>
    </w:p>
    <w:p>
      <w:pPr>
        <w:pStyle w:val="4"/>
        <w:spacing w:line="257" w:lineRule="auto"/>
        <w:ind w:right="121" w:rightChars="55" w:firstLine="409" w:firstLineChars="195"/>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1）施工方案的编制；</w:t>
      </w:r>
    </w:p>
    <w:p>
      <w:pPr>
        <w:pStyle w:val="4"/>
        <w:spacing w:line="257" w:lineRule="auto"/>
        <w:ind w:right="121" w:rightChars="55" w:firstLine="409" w:firstLineChars="195"/>
        <w:rPr>
          <w:rFonts w:hint="default"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2）完成工作量清单内所有工作内容；</w:t>
      </w:r>
    </w:p>
    <w:p>
      <w:pPr>
        <w:pStyle w:val="4"/>
        <w:spacing w:line="257" w:lineRule="auto"/>
        <w:ind w:right="121" w:rightChars="55" w:firstLine="409" w:firstLineChars="195"/>
        <w:rPr>
          <w:rFonts w:hint="default"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3）提供项目所需的设备机具、材料耗材，并提供相关质量证书；</w:t>
      </w:r>
    </w:p>
    <w:p>
      <w:pPr>
        <w:pStyle w:val="4"/>
        <w:spacing w:line="257" w:lineRule="auto"/>
        <w:ind w:right="121" w:rightChars="55" w:firstLine="409" w:firstLineChars="195"/>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4）提供项目实施过程中技术负责人、安全管理人员与操作人员；</w:t>
      </w:r>
    </w:p>
    <w:p>
      <w:pPr>
        <w:numPr>
          <w:ilvl w:val="0"/>
          <w:numId w:val="0"/>
        </w:numPr>
        <w:ind w:firstLine="420" w:firstLineChars="200"/>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5）乙方主要项目人员应为乙方员工，并需提供社保购买凭证；</w:t>
      </w:r>
    </w:p>
    <w:p>
      <w:pPr>
        <w:numPr>
          <w:ilvl w:val="0"/>
          <w:numId w:val="0"/>
        </w:numPr>
        <w:ind w:firstLine="420" w:firstLineChars="200"/>
        <w:rPr>
          <w:rFonts w:hint="default" w:ascii="Microsoft YaHei UI" w:hAnsi="Microsoft YaHei UI" w:eastAsia="Microsoft YaHei UI" w:cstheme="minorBidi"/>
          <w:color w:val="000000" w:themeColor="text1"/>
          <w:kern w:val="0"/>
          <w:sz w:val="21"/>
          <w:szCs w:val="21"/>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1"/>
          <w:szCs w:val="21"/>
          <w:highlight w:val="none"/>
          <w:lang w:val="en-US" w:eastAsia="zh-CN" w:bidi="ar-SA"/>
          <w14:textFill>
            <w14:solidFill>
              <w14:schemeClr w14:val="tx1"/>
            </w14:solidFill>
          </w14:textFill>
        </w:rPr>
        <w:t>6）乙方应提供与入场人员清单一致的安全生产责任保险。</w:t>
      </w:r>
    </w:p>
    <w:p>
      <w:pPr>
        <w:pStyle w:val="4"/>
        <w:numPr>
          <w:ilvl w:val="0"/>
          <w:numId w:val="0"/>
        </w:numPr>
        <w:spacing w:line="257" w:lineRule="auto"/>
        <w:ind w:leftChars="95" w:right="121" w:rightChars="55"/>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lang w:eastAsia="zh-CN"/>
          <w14:textFill>
            <w14:solidFill>
              <w14:schemeClr w14:val="tx1"/>
            </w14:solidFill>
          </w14:textFill>
        </w:rPr>
        <w:t>保密要求：</w:t>
      </w:r>
    </w:p>
    <w:p>
      <w:pPr>
        <w:tabs>
          <w:tab w:val="left" w:pos="709"/>
        </w:tabs>
        <w:adjustRightInd w:val="0"/>
        <w:snapToGrid w:val="0"/>
        <w:spacing w:before="93" w:beforeLines="30" w:after="93" w:afterLines="30" w:line="360" w:lineRule="auto"/>
        <w:ind w:firstLine="420" w:firstLineChars="200"/>
        <w:rPr>
          <w:color w:val="000000" w:themeColor="text1"/>
          <w:highlight w:val="none"/>
          <w:lang w:eastAsia="zh-CN"/>
          <w14:textFill>
            <w14:solidFill>
              <w14:schemeClr w14:val="tx1"/>
            </w14:solidFill>
          </w14:textFill>
        </w:rPr>
      </w:pP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除非法律法规、政府机关另行强制要求，未经甲方事先书面同意，乙方不得将甲方保密信息披露给任何第三方，亦不得将该等信息用于与本合同无关的用途。保密信息包括但不限于：本合同内容；甲方提供的与本合同有关的任何技术信息、图纸、资料等；</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甲</w:t>
      </w:r>
      <w:r>
        <w:rPr>
          <w:rFonts w:hint="eastAsia" w:ascii="微软雅黑" w:hAnsi="微软雅黑" w:eastAsia="微软雅黑" w:cs="微软雅黑"/>
          <w:color w:val="000000" w:themeColor="text1"/>
          <w:sz w:val="21"/>
          <w:szCs w:val="21"/>
          <w:highlight w:val="none"/>
          <w:lang w:eastAsia="zh-CN"/>
          <w14:textFill>
            <w14:solidFill>
              <w14:schemeClr w14:val="tx1"/>
            </w14:solidFill>
          </w14:textFill>
        </w:rPr>
        <w:t>方提供的或乙方获得的与项目有关的任何技术和商务信息。</w:t>
      </w:r>
    </w:p>
    <w:p>
      <w:pPr>
        <w:pStyle w:val="4"/>
        <w:numPr>
          <w:ilvl w:val="0"/>
          <w:numId w:val="3"/>
        </w:numPr>
        <w:spacing w:line="257" w:lineRule="auto"/>
        <w:ind w:left="0" w:leftChars="0" w:right="121" w:rightChars="55" w:firstLine="199" w:firstLineChars="95"/>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培训要求：</w:t>
      </w:r>
    </w:p>
    <w:p>
      <w:pPr>
        <w:pStyle w:val="4"/>
        <w:numPr>
          <w:ilvl w:val="0"/>
          <w:numId w:val="4"/>
        </w:numPr>
        <w:spacing w:line="360" w:lineRule="auto"/>
        <w:ind w:right="121" w:rightChars="55" w:firstLineChars="0"/>
        <w:rPr>
          <w:rFonts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color w:val="000000" w:themeColor="text1"/>
          <w:highlight w:val="none"/>
          <w:lang w:eastAsia="zh-CN"/>
          <w14:textFill>
            <w14:solidFill>
              <w14:schemeClr w14:val="tx1"/>
            </w14:solidFill>
          </w14:textFill>
        </w:rPr>
        <w:t>乙方的所有人员必须经过甲方的施工安全培训，并且了解作业存在的安全风险，熟知掌握存在风险的预控措施。</w:t>
      </w:r>
    </w:p>
    <w:p>
      <w:pPr>
        <w:pStyle w:val="4"/>
        <w:numPr>
          <w:ilvl w:val="0"/>
          <w:numId w:val="4"/>
        </w:numPr>
        <w:spacing w:line="360" w:lineRule="auto"/>
        <w:ind w:right="121" w:rightChars="55" w:firstLineChars="0"/>
        <w:rPr>
          <w:rFonts w:hint="eastAsia"/>
          <w:color w:val="000000" w:themeColor="text1"/>
          <w:highlight w:val="none"/>
          <w:lang w:eastAsia="zh-CN"/>
          <w14:textFill>
            <w14:solidFill>
              <w14:schemeClr w14:val="tx1"/>
            </w14:solidFill>
          </w14:textFill>
        </w:rPr>
      </w:pPr>
      <w:r>
        <w:rPr>
          <w:rFonts w:hint="eastAsia" w:ascii="微软雅黑" w:hAnsi="微软雅黑" w:eastAsia="微软雅黑" w:cs="微软雅黑"/>
          <w:color w:val="000000" w:themeColor="text1"/>
          <w:highlight w:val="none"/>
          <w:lang w:val="en-US" w:eastAsia="zh-CN"/>
          <w14:textFill>
            <w14:solidFill>
              <w14:schemeClr w14:val="tx1"/>
            </w14:solidFill>
          </w14:textFill>
        </w:rPr>
        <w:t>乙方</w:t>
      </w:r>
      <w:r>
        <w:rPr>
          <w:rFonts w:hint="eastAsia" w:ascii="微软雅黑" w:hAnsi="微软雅黑" w:eastAsia="微软雅黑" w:cs="微软雅黑"/>
          <w:color w:val="000000" w:themeColor="text1"/>
          <w:highlight w:val="none"/>
          <w:lang w:eastAsia="zh-CN"/>
          <w14:textFill>
            <w14:solidFill>
              <w14:schemeClr w14:val="tx1"/>
            </w14:solidFill>
          </w14:textFill>
        </w:rPr>
        <w:t>作业</w:t>
      </w:r>
      <w:r>
        <w:rPr>
          <w:rFonts w:hint="eastAsia" w:ascii="微软雅黑" w:hAnsi="微软雅黑" w:eastAsia="微软雅黑" w:cs="微软雅黑"/>
          <w:color w:val="000000" w:themeColor="text1"/>
          <w:highlight w:val="none"/>
          <w:lang w:val="en-US" w:eastAsia="zh-CN"/>
          <w14:textFill>
            <w14:solidFill>
              <w14:schemeClr w14:val="tx1"/>
            </w14:solidFill>
          </w14:textFill>
        </w:rPr>
        <w:t>全过程</w:t>
      </w:r>
      <w:r>
        <w:rPr>
          <w:rFonts w:hint="eastAsia" w:ascii="微软雅黑" w:hAnsi="微软雅黑" w:eastAsia="微软雅黑" w:cs="微软雅黑"/>
          <w:color w:val="000000" w:themeColor="text1"/>
          <w:highlight w:val="none"/>
          <w:lang w:eastAsia="zh-CN"/>
          <w14:textFill>
            <w14:solidFill>
              <w14:schemeClr w14:val="tx1"/>
            </w14:solidFill>
          </w14:textFill>
        </w:rPr>
        <w:t>接受设施</w:t>
      </w:r>
      <w:r>
        <w:rPr>
          <w:rFonts w:hint="eastAsia" w:ascii="微软雅黑" w:hAnsi="微软雅黑" w:eastAsia="微软雅黑" w:cs="微软雅黑"/>
          <w:color w:val="000000" w:themeColor="text1"/>
          <w:highlight w:val="none"/>
          <w:lang w:val="en-US" w:eastAsia="zh-CN"/>
          <w14:textFill>
            <w14:solidFill>
              <w14:schemeClr w14:val="tx1"/>
            </w14:solidFill>
          </w14:textFill>
        </w:rPr>
        <w:t>甲方</w:t>
      </w:r>
      <w:r>
        <w:rPr>
          <w:rFonts w:hint="eastAsia" w:ascii="微软雅黑" w:hAnsi="微软雅黑" w:eastAsia="微软雅黑" w:cs="微软雅黑"/>
          <w:color w:val="000000" w:themeColor="text1"/>
          <w:highlight w:val="none"/>
          <w:lang w:eastAsia="zh-CN"/>
          <w14:textFill>
            <w14:solidFill>
              <w14:schemeClr w14:val="tx1"/>
            </w14:solidFill>
          </w14:textFill>
        </w:rPr>
        <w:t>关于项目的安全培训、应急演练。</w:t>
      </w:r>
    </w:p>
    <w:p>
      <w:pPr>
        <w:pStyle w:val="4"/>
        <w:numPr>
          <w:ilvl w:val="0"/>
          <w:numId w:val="4"/>
        </w:numPr>
        <w:spacing w:line="360" w:lineRule="auto"/>
        <w:ind w:right="121" w:rightChars="55" w:firstLineChars="0"/>
        <w:rPr>
          <w:rFonts w:hint="default" w:ascii="微软雅黑" w:hAnsi="微软雅黑" w:eastAsia="微软雅黑" w:cstheme="minorBidi"/>
          <w:sz w:val="21"/>
          <w:szCs w:val="21"/>
          <w:lang w:val="en-US" w:eastAsia="zh-CN"/>
        </w:rPr>
      </w:pPr>
      <w:r>
        <w:rPr>
          <w:rFonts w:hint="eastAsia" w:ascii="微软雅黑" w:hAnsi="微软雅黑" w:eastAsia="微软雅黑" w:cs="微软雅黑"/>
          <w:color w:val="000000" w:themeColor="text1"/>
          <w:highlight w:val="none"/>
          <w:lang w:val="en-US" w:eastAsia="zh-CN"/>
          <w14:textFill>
            <w14:solidFill>
              <w14:schemeClr w14:val="tx1"/>
            </w14:solidFill>
          </w14:textFill>
        </w:rPr>
        <w:t>乙方在项目完工后免费对甲方操作人员进行现场技术培训（包括设备操作和维修培训），以便甲方操作人员熟练掌握该设备的操作和维护使用。</w:t>
      </w:r>
    </w:p>
    <w:p>
      <w:pPr>
        <w:pStyle w:val="4"/>
        <w:numPr>
          <w:ilvl w:val="0"/>
          <w:numId w:val="4"/>
        </w:numPr>
        <w:spacing w:line="360" w:lineRule="auto"/>
        <w:ind w:right="121" w:rightChars="55" w:firstLineChars="0"/>
        <w:rPr>
          <w:rFonts w:hint="eastAsia"/>
          <w:color w:val="000000" w:themeColor="text1"/>
          <w:highlight w:val="none"/>
          <w:lang w:eastAsia="zh-CN"/>
          <w14:textFill>
            <w14:solidFill>
              <w14:schemeClr w14:val="tx1"/>
            </w14:solidFill>
          </w14:textFill>
        </w:rPr>
      </w:pPr>
      <w:r>
        <w:rPr>
          <w:rFonts w:hint="eastAsia" w:ascii="微软雅黑" w:hAnsi="微软雅黑" w:eastAsia="微软雅黑" w:cstheme="minorBidi"/>
          <w:kern w:val="0"/>
          <w:sz w:val="21"/>
          <w:szCs w:val="21"/>
          <w:lang w:val="en-US" w:eastAsia="zh-CN" w:bidi="ar-SA"/>
        </w:rPr>
        <w:t>根据检修情况，修订油气回收装置使用指导书，总结补充本次检修施工作业内容。</w:t>
      </w:r>
    </w:p>
    <w:p>
      <w:pPr>
        <w:pStyle w:val="3"/>
        <w:rPr>
          <w:rFonts w:ascii="微软雅黑" w:hAnsi="微软雅黑" w:eastAsia="微软雅黑"/>
          <w:bCs/>
        </w:rPr>
      </w:pPr>
      <w:r>
        <w:rPr>
          <w:rFonts w:hint="eastAsia"/>
        </w:rPr>
        <w:t>五、</w:t>
      </w:r>
      <w:r>
        <w:rPr>
          <w:rFonts w:hint="eastAsia" w:ascii="微软雅黑" w:hAnsi="微软雅黑" w:eastAsia="微软雅黑"/>
          <w:bCs/>
        </w:rPr>
        <w:t>配备资源</w:t>
      </w:r>
      <w:r>
        <w:rPr>
          <w:rFonts w:ascii="微软雅黑" w:hAnsi="微软雅黑" w:eastAsia="微软雅黑"/>
          <w:bCs/>
        </w:rPr>
        <w:t>要求</w:t>
      </w:r>
    </w:p>
    <w:p>
      <w:pPr>
        <w:pStyle w:val="4"/>
        <w:spacing w:line="257" w:lineRule="auto"/>
        <w:ind w:left="0" w:leftChars="0" w:right="121" w:rightChars="55" w:firstLine="210" w:firstLineChars="100"/>
        <w:rPr>
          <w:rFonts w:hint="eastAsia"/>
          <w:color w:val="auto"/>
          <w:highlight w:val="none"/>
          <w:lang w:eastAsia="zh-CN"/>
        </w:rPr>
      </w:pPr>
      <w:r>
        <w:rPr>
          <w:rFonts w:hint="eastAsia"/>
          <w:color w:val="auto"/>
          <w:highlight w:val="none"/>
          <w:lang w:eastAsia="zh-CN"/>
        </w:rPr>
        <w:t>1、</w:t>
      </w:r>
      <w:r>
        <w:rPr>
          <w:color w:val="auto"/>
          <w:highlight w:val="none"/>
          <w:lang w:eastAsia="zh-CN"/>
        </w:rPr>
        <w:t xml:space="preserve"> </w:t>
      </w:r>
      <w:r>
        <w:rPr>
          <w:rFonts w:hint="eastAsia"/>
          <w:color w:val="auto"/>
          <w:highlight w:val="none"/>
          <w:lang w:eastAsia="zh-CN"/>
        </w:rPr>
        <w:t>机具要求：</w:t>
      </w:r>
    </w:p>
    <w:p>
      <w:pPr>
        <w:pStyle w:val="4"/>
        <w:spacing w:line="257" w:lineRule="auto"/>
        <w:ind w:left="0" w:leftChars="0" w:right="121" w:rightChars="55" w:firstLine="420" w:firstLineChars="2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乙方根据甲方工作清单，严格按国家、行业要求提供符合规范要求的相关作业机具。相关机具在进入甲方作业现场前，乙方应提交机具清单，并经甲方安全、技术管理人员检查验收合格，方可进入作业现场进行使用。</w:t>
      </w:r>
    </w:p>
    <w:p>
      <w:pPr>
        <w:pStyle w:val="4"/>
        <w:spacing w:line="257" w:lineRule="auto"/>
        <w:ind w:left="0" w:leftChars="0" w:right="121" w:rightChars="55" w:firstLine="420"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（2）使用的设备、仪器和工具如属于强检或标定的，必须在有效的检定或校准期内。</w:t>
      </w:r>
    </w:p>
    <w:p>
      <w:pPr>
        <w:pStyle w:val="4"/>
        <w:spacing w:line="257" w:lineRule="auto"/>
        <w:ind w:left="0" w:leftChars="0" w:right="121" w:rightChars="55" w:firstLine="210" w:firstLineChars="100"/>
        <w:rPr>
          <w:rFonts w:hint="eastAsia"/>
          <w:color w:val="auto"/>
          <w:highlight w:val="none"/>
          <w:lang w:val="en-US" w:eastAsia="zh-CN"/>
        </w:rPr>
      </w:pPr>
      <w:r>
        <w:rPr>
          <w:rFonts w:hint="eastAsia"/>
          <w:color w:val="auto"/>
          <w:highlight w:val="none"/>
          <w:lang w:val="en-US" w:eastAsia="zh-CN"/>
        </w:rPr>
        <w:t>防爆区内使用的工具必须是防爆工具，具体工器具如下（包括但不限于）：</w:t>
      </w:r>
    </w:p>
    <w:tbl>
      <w:tblPr>
        <w:tblStyle w:val="7"/>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2900"/>
        <w:gridCol w:w="1225"/>
        <w:gridCol w:w="160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8"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序号</w:t>
            </w:r>
          </w:p>
        </w:tc>
        <w:tc>
          <w:tcPr>
            <w:tcW w:w="2900"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名称</w:t>
            </w:r>
          </w:p>
        </w:tc>
        <w:tc>
          <w:tcPr>
            <w:tcW w:w="1225"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单位</w:t>
            </w:r>
          </w:p>
        </w:tc>
        <w:tc>
          <w:tcPr>
            <w:tcW w:w="1600"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数量</w:t>
            </w:r>
          </w:p>
        </w:tc>
        <w:tc>
          <w:tcPr>
            <w:tcW w:w="16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8"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1</w:t>
            </w:r>
          </w:p>
        </w:tc>
        <w:tc>
          <w:tcPr>
            <w:tcW w:w="29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防爆工具</w:t>
            </w:r>
          </w:p>
        </w:tc>
        <w:tc>
          <w:tcPr>
            <w:tcW w:w="1225"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套</w:t>
            </w:r>
          </w:p>
        </w:tc>
        <w:tc>
          <w:tcPr>
            <w:tcW w:w="16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w:t>
            </w:r>
          </w:p>
        </w:tc>
        <w:tc>
          <w:tcPr>
            <w:tcW w:w="1600" w:type="dxa"/>
            <w:vAlign w:val="center"/>
          </w:tcPr>
          <w:p>
            <w:pPr>
              <w:widowControl/>
              <w:ind w:left="0" w:leftChars="0"/>
              <w:jc w:val="left"/>
              <w:rPr>
                <w:rFonts w:hint="eastAsia" w:ascii="微软雅黑" w:hAnsi="微软雅黑" w:eastAsia="微软雅黑"/>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68"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2</w:t>
            </w:r>
          </w:p>
        </w:tc>
        <w:tc>
          <w:tcPr>
            <w:tcW w:w="2900"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气体检测仪</w:t>
            </w:r>
          </w:p>
        </w:tc>
        <w:tc>
          <w:tcPr>
            <w:tcW w:w="1225"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台</w:t>
            </w:r>
          </w:p>
        </w:tc>
        <w:tc>
          <w:tcPr>
            <w:tcW w:w="16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2</w:t>
            </w:r>
          </w:p>
        </w:tc>
        <w:tc>
          <w:tcPr>
            <w:tcW w:w="1600" w:type="dxa"/>
            <w:vAlign w:val="center"/>
          </w:tcPr>
          <w:p>
            <w:pPr>
              <w:widowControl/>
              <w:ind w:left="0" w:leftChars="0"/>
              <w:jc w:val="left"/>
              <w:rPr>
                <w:rFonts w:hint="eastAsia" w:ascii="微软雅黑" w:hAnsi="微软雅黑" w:eastAsia="微软雅黑"/>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68"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3</w:t>
            </w:r>
          </w:p>
        </w:tc>
        <w:tc>
          <w:tcPr>
            <w:tcW w:w="2900"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防毒口罩</w:t>
            </w:r>
          </w:p>
        </w:tc>
        <w:tc>
          <w:tcPr>
            <w:tcW w:w="1225"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批</w:t>
            </w:r>
          </w:p>
        </w:tc>
        <w:tc>
          <w:tcPr>
            <w:tcW w:w="16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w:t>
            </w:r>
          </w:p>
        </w:tc>
        <w:tc>
          <w:tcPr>
            <w:tcW w:w="1600" w:type="dxa"/>
            <w:vAlign w:val="center"/>
          </w:tcPr>
          <w:p>
            <w:pPr>
              <w:widowControl/>
              <w:ind w:left="0" w:leftChars="0"/>
              <w:jc w:val="left"/>
              <w:rPr>
                <w:rFonts w:hint="eastAsia" w:ascii="微软雅黑" w:hAnsi="微软雅黑" w:eastAsia="微软雅黑"/>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68"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4</w:t>
            </w:r>
          </w:p>
        </w:tc>
        <w:tc>
          <w:tcPr>
            <w:tcW w:w="29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安全带</w:t>
            </w:r>
          </w:p>
        </w:tc>
        <w:tc>
          <w:tcPr>
            <w:tcW w:w="1225"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套</w:t>
            </w:r>
          </w:p>
        </w:tc>
        <w:tc>
          <w:tcPr>
            <w:tcW w:w="16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4</w:t>
            </w:r>
          </w:p>
        </w:tc>
        <w:tc>
          <w:tcPr>
            <w:tcW w:w="1600" w:type="dxa"/>
            <w:vAlign w:val="center"/>
          </w:tcPr>
          <w:p>
            <w:pPr>
              <w:widowControl/>
              <w:ind w:left="0" w:leftChars="0"/>
              <w:jc w:val="left"/>
              <w:rPr>
                <w:rFonts w:hint="eastAsia" w:ascii="微软雅黑" w:hAnsi="微软雅黑" w:eastAsia="微软雅黑"/>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68"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5</w:t>
            </w:r>
          </w:p>
        </w:tc>
        <w:tc>
          <w:tcPr>
            <w:tcW w:w="2900"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防爆配电箱</w:t>
            </w:r>
          </w:p>
        </w:tc>
        <w:tc>
          <w:tcPr>
            <w:tcW w:w="1225"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台</w:t>
            </w:r>
          </w:p>
        </w:tc>
        <w:tc>
          <w:tcPr>
            <w:tcW w:w="16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w:t>
            </w:r>
          </w:p>
        </w:tc>
        <w:tc>
          <w:tcPr>
            <w:tcW w:w="1600" w:type="dxa"/>
            <w:vAlign w:val="center"/>
          </w:tcPr>
          <w:p>
            <w:pPr>
              <w:widowControl/>
              <w:ind w:left="0" w:leftChars="0"/>
              <w:jc w:val="left"/>
              <w:rPr>
                <w:rFonts w:hint="default" w:ascii="微软雅黑" w:hAnsi="微软雅黑" w:eastAsia="微软雅黑"/>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68"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6</w:t>
            </w:r>
          </w:p>
        </w:tc>
        <w:tc>
          <w:tcPr>
            <w:tcW w:w="2900"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各类手持工器具</w:t>
            </w:r>
          </w:p>
        </w:tc>
        <w:tc>
          <w:tcPr>
            <w:tcW w:w="1225" w:type="dxa"/>
            <w:vAlign w:val="center"/>
          </w:tcPr>
          <w:p>
            <w:pPr>
              <w:widowControl/>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套</w:t>
            </w:r>
          </w:p>
        </w:tc>
        <w:tc>
          <w:tcPr>
            <w:tcW w:w="1600" w:type="dxa"/>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w:t>
            </w:r>
          </w:p>
        </w:tc>
        <w:tc>
          <w:tcPr>
            <w:tcW w:w="1600" w:type="dxa"/>
            <w:vAlign w:val="center"/>
          </w:tcPr>
          <w:p>
            <w:pPr>
              <w:widowControl/>
              <w:ind w:left="0" w:leftChars="0"/>
              <w:jc w:val="left"/>
              <w:rPr>
                <w:rFonts w:hint="eastAsia" w:ascii="微软雅黑" w:hAnsi="微软雅黑" w:eastAsia="微软雅黑"/>
                <w:sz w:val="21"/>
                <w:szCs w:val="21"/>
                <w:lang w:val="en-US" w:eastAsia="zh-CN"/>
              </w:rPr>
            </w:pPr>
          </w:p>
        </w:tc>
      </w:tr>
    </w:tbl>
    <w:p>
      <w:pPr>
        <w:pStyle w:val="4"/>
        <w:spacing w:line="257" w:lineRule="auto"/>
        <w:ind w:left="0" w:leftChars="0" w:right="121" w:rightChars="55" w:firstLine="210" w:firstLineChars="100"/>
        <w:rPr>
          <w:rFonts w:hint="eastAsia"/>
          <w:color w:val="auto"/>
          <w:highlight w:val="none"/>
          <w:lang w:val="en-US" w:eastAsia="zh-CN"/>
        </w:rPr>
      </w:pPr>
    </w:p>
    <w:p>
      <w:pPr>
        <w:pStyle w:val="4"/>
        <w:keepNext w:val="0"/>
        <w:keepLines w:val="0"/>
        <w:pageBreakBefore w:val="0"/>
        <w:widowControl w:val="0"/>
        <w:numPr>
          <w:ilvl w:val="0"/>
          <w:numId w:val="5"/>
        </w:numPr>
        <w:kinsoku/>
        <w:wordWrap/>
        <w:overflowPunct/>
        <w:topLinePunct w:val="0"/>
        <w:autoSpaceDE/>
        <w:autoSpaceDN/>
        <w:bidi w:val="0"/>
        <w:adjustRightInd/>
        <w:snapToGrid/>
        <w:spacing w:line="460" w:lineRule="exact"/>
        <w:ind w:left="210" w:leftChars="0" w:right="121" w:rightChars="55" w:firstLine="0" w:firstLineChars="0"/>
        <w:textAlignment w:val="auto"/>
        <w:rPr>
          <w:rFonts w:hint="eastAsia"/>
          <w:color w:val="auto"/>
          <w:highlight w:val="none"/>
          <w:lang w:eastAsia="zh-CN"/>
        </w:rPr>
      </w:pPr>
      <w:r>
        <w:rPr>
          <w:rFonts w:hint="eastAsia"/>
          <w:color w:val="auto"/>
          <w:highlight w:val="none"/>
          <w:lang w:val="en-US" w:eastAsia="zh-CN"/>
        </w:rPr>
        <w:t>材料</w:t>
      </w:r>
      <w:r>
        <w:rPr>
          <w:rFonts w:hint="eastAsia"/>
          <w:color w:val="auto"/>
          <w:highlight w:val="none"/>
          <w:lang w:eastAsia="zh-CN"/>
        </w:rPr>
        <w:t>要求</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460" w:lineRule="exact"/>
        <w:ind w:left="210" w:leftChars="0" w:right="121" w:rightChars="55"/>
        <w:textAlignment w:val="auto"/>
        <w:rPr>
          <w:rFonts w:hint="eastAsia"/>
          <w:color w:val="auto"/>
          <w:highlight w:val="none"/>
          <w:lang w:eastAsia="zh-CN"/>
        </w:rPr>
      </w:pPr>
      <w:r>
        <w:rPr>
          <w:rFonts w:hint="eastAsia"/>
          <w:color w:val="auto"/>
          <w:highlight w:val="none"/>
          <w:lang w:val="en-US" w:eastAsia="zh-CN"/>
        </w:rPr>
        <w:t>2.1油气回收装置材料</w:t>
      </w:r>
      <w:r>
        <w:rPr>
          <w:rFonts w:hint="eastAsia"/>
          <w:color w:val="auto"/>
          <w:highlight w:val="none"/>
          <w:lang w:eastAsia="zh-CN"/>
        </w:rPr>
        <w:t>（</w:t>
      </w:r>
      <w:r>
        <w:rPr>
          <w:rFonts w:hint="eastAsia"/>
          <w:color w:val="000000" w:themeColor="text1"/>
          <w:highlight w:val="none"/>
          <w:lang w:val="en-US" w:eastAsia="zh-CN"/>
          <w14:textFill>
            <w14:solidFill>
              <w14:schemeClr w14:val="tx1"/>
            </w14:solidFill>
          </w14:textFill>
        </w:rPr>
        <w:t>包括但不限于</w:t>
      </w:r>
      <w:r>
        <w:rPr>
          <w:rFonts w:hint="eastAsia"/>
          <w:color w:val="000000" w:themeColor="text1"/>
          <w:highlight w:val="none"/>
          <w:lang w:eastAsia="zh-CN"/>
          <w14:textFill>
            <w14:solidFill>
              <w14:schemeClr w14:val="tx1"/>
            </w14:solidFill>
          </w14:textFill>
        </w:rPr>
        <w:t>）：</w:t>
      </w:r>
    </w:p>
    <w:tbl>
      <w:tblPr>
        <w:tblStyle w:val="7"/>
        <w:tblW w:w="8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842"/>
        <w:gridCol w:w="2934"/>
        <w:gridCol w:w="1142"/>
        <w:gridCol w:w="677"/>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序号</w:t>
            </w:r>
          </w:p>
        </w:tc>
        <w:tc>
          <w:tcPr>
            <w:tcW w:w="1842"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名称</w:t>
            </w:r>
          </w:p>
        </w:tc>
        <w:tc>
          <w:tcPr>
            <w:tcW w:w="2934"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型号/参数</w:t>
            </w:r>
          </w:p>
        </w:tc>
        <w:tc>
          <w:tcPr>
            <w:tcW w:w="1142"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单位</w:t>
            </w:r>
          </w:p>
        </w:tc>
        <w:tc>
          <w:tcPr>
            <w:tcW w:w="677"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数量</w:t>
            </w:r>
          </w:p>
        </w:tc>
        <w:tc>
          <w:tcPr>
            <w:tcW w:w="1168"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exact"/>
        </w:trPr>
        <w:tc>
          <w:tcPr>
            <w:tcW w:w="778"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1</w:t>
            </w:r>
          </w:p>
        </w:tc>
        <w:tc>
          <w:tcPr>
            <w:tcW w:w="1842" w:type="dxa"/>
            <w:shd w:val="clear" w:color="auto" w:fill="auto"/>
            <w:vAlign w:val="center"/>
          </w:tcPr>
          <w:p>
            <w:pPr>
              <w:widowControl/>
              <w:ind w:left="0" w:leftChars="0"/>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质量流量计</w:t>
            </w:r>
          </w:p>
        </w:tc>
        <w:tc>
          <w:tcPr>
            <w:tcW w:w="2934" w:type="dxa"/>
            <w:shd w:val="clear" w:color="auto" w:fill="auto"/>
            <w:vAlign w:val="center"/>
          </w:tcPr>
          <w:p>
            <w:pPr>
              <w:pStyle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原型号：HQ系列，</w:t>
            </w:r>
          </w:p>
          <w:p>
            <w:pPr>
              <w:pStyle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流量：0-300m³/h</w:t>
            </w:r>
          </w:p>
          <w:p>
            <w:pPr>
              <w:pStyle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精度等级：0.2</w:t>
            </w:r>
          </w:p>
          <w:p>
            <w:pPr>
              <w:pStyle w:val="2"/>
              <w:rPr>
                <w:rFonts w:hint="default"/>
                <w:sz w:val="21"/>
                <w:szCs w:val="21"/>
                <w:lang w:val="en-US" w:eastAsia="zh-CN"/>
              </w:rPr>
            </w:pPr>
            <w:r>
              <w:rPr>
                <w:rFonts w:hint="eastAsia" w:ascii="微软雅黑" w:hAnsi="微软雅黑" w:eastAsia="微软雅黑" w:cs="微软雅黑"/>
                <w:sz w:val="21"/>
                <w:szCs w:val="21"/>
                <w:lang w:val="en-US" w:eastAsia="zh-CN"/>
              </w:rPr>
              <w:t>具有远传功能</w:t>
            </w:r>
          </w:p>
        </w:tc>
        <w:tc>
          <w:tcPr>
            <w:tcW w:w="1142"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677"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3</w:t>
            </w:r>
          </w:p>
        </w:tc>
        <w:tc>
          <w:tcPr>
            <w:tcW w:w="116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cs="微软雅黑"/>
                <w:kern w:val="0"/>
                <w:sz w:val="21"/>
                <w:szCs w:val="21"/>
                <w:lang w:val="en-US" w:eastAsia="zh-CN" w:bidi="ar-SA"/>
              </w:rPr>
              <w:t>需匹配现场安全条件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exact"/>
        </w:trPr>
        <w:tc>
          <w:tcPr>
            <w:tcW w:w="778"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2</w:t>
            </w:r>
          </w:p>
        </w:tc>
        <w:tc>
          <w:tcPr>
            <w:tcW w:w="1842" w:type="dxa"/>
            <w:shd w:val="clear" w:color="auto" w:fill="auto"/>
            <w:vAlign w:val="center"/>
          </w:tcPr>
          <w:p>
            <w:pPr>
              <w:widowControl/>
              <w:ind w:left="0" w:leftChars="0"/>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双金属温度计</w:t>
            </w:r>
          </w:p>
        </w:tc>
        <w:tc>
          <w:tcPr>
            <w:tcW w:w="2934" w:type="dxa"/>
            <w:shd w:val="clear" w:color="auto" w:fill="auto"/>
            <w:vAlign w:val="center"/>
          </w:tcPr>
          <w:p>
            <w:pPr>
              <w:pStyle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原型号：WSS-401</w:t>
            </w:r>
          </w:p>
          <w:p>
            <w:pPr>
              <w:pStyle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范围：0-100°C</w:t>
            </w:r>
          </w:p>
          <w:p>
            <w:pPr>
              <w:pStyle w:val="2"/>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精度等级：1.5</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sz w:val="21"/>
                <w:szCs w:val="21"/>
                <w:lang w:val="en-US" w:eastAsia="zh-CN"/>
              </w:rPr>
              <w:t>具有远传功能</w:t>
            </w:r>
          </w:p>
        </w:tc>
        <w:tc>
          <w:tcPr>
            <w:tcW w:w="1142"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677"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6</w:t>
            </w:r>
          </w:p>
        </w:tc>
        <w:tc>
          <w:tcPr>
            <w:tcW w:w="116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sz w:val="21"/>
                <w:szCs w:val="21"/>
                <w:lang w:val="en-US" w:eastAsia="zh-CN"/>
              </w:rPr>
            </w:pPr>
            <w:r>
              <w:rPr>
                <w:rFonts w:hint="eastAsia" w:ascii="微软雅黑" w:hAnsi="微软雅黑" w:eastAsia="微软雅黑" w:cs="微软雅黑"/>
                <w:kern w:val="0"/>
                <w:sz w:val="21"/>
                <w:szCs w:val="21"/>
                <w:lang w:val="en-US" w:eastAsia="zh-CN" w:bidi="ar-SA"/>
              </w:rPr>
              <w:t>需匹配现场安全条件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exact"/>
        </w:trPr>
        <w:tc>
          <w:tcPr>
            <w:tcW w:w="778"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3</w:t>
            </w:r>
          </w:p>
        </w:tc>
        <w:tc>
          <w:tcPr>
            <w:tcW w:w="1842" w:type="dxa"/>
            <w:shd w:val="clear" w:color="auto" w:fill="auto"/>
            <w:vAlign w:val="center"/>
          </w:tcPr>
          <w:p>
            <w:pPr>
              <w:widowControl/>
              <w:ind w:left="0" w:leftChars="0"/>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电动球阀</w:t>
            </w:r>
          </w:p>
        </w:tc>
        <w:tc>
          <w:tcPr>
            <w:tcW w:w="293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型号</w:t>
            </w:r>
            <w:r>
              <w:rPr>
                <w:rFonts w:hint="eastAsia" w:ascii="微软雅黑" w:hAnsi="微软雅黑" w:eastAsia="微软雅黑" w:cs="微软雅黑"/>
                <w:sz w:val="21"/>
                <w:szCs w:val="21"/>
                <w:lang w:eastAsia="zh-CN"/>
              </w:rPr>
              <w:t>DN150</w:t>
            </w:r>
            <w:r>
              <w:rPr>
                <w:rFonts w:hint="eastAsia" w:ascii="微软雅黑" w:hAnsi="微软雅黑" w:eastAsia="微软雅黑" w:cs="微软雅黑"/>
                <w:sz w:val="21"/>
                <w:szCs w:val="21"/>
                <w:lang w:val="en-US" w:eastAsia="zh-CN"/>
              </w:rPr>
              <w:t>PN16,</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sz w:val="21"/>
                <w:szCs w:val="21"/>
                <w:lang w:val="en-US" w:eastAsia="zh-CN"/>
              </w:rPr>
              <w:t>尺寸：长度395mm,法兰外径240mm,中心孔40mm,8孔</w:t>
            </w:r>
          </w:p>
        </w:tc>
        <w:tc>
          <w:tcPr>
            <w:tcW w:w="1142"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677"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4</w:t>
            </w:r>
          </w:p>
        </w:tc>
        <w:tc>
          <w:tcPr>
            <w:tcW w:w="116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cs="微软雅黑"/>
                <w:kern w:val="0"/>
                <w:sz w:val="21"/>
                <w:szCs w:val="21"/>
                <w:lang w:val="en-US" w:eastAsia="zh-CN" w:bidi="ar-SA"/>
              </w:rPr>
              <w:t>需匹配现场安全条件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exact"/>
        </w:trPr>
        <w:tc>
          <w:tcPr>
            <w:tcW w:w="778"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4</w:t>
            </w:r>
          </w:p>
        </w:tc>
        <w:tc>
          <w:tcPr>
            <w:tcW w:w="1842" w:type="dxa"/>
            <w:shd w:val="clear" w:color="auto" w:fill="auto"/>
            <w:vAlign w:val="center"/>
          </w:tcPr>
          <w:p>
            <w:pPr>
              <w:widowControl/>
              <w:ind w:left="0" w:leftChars="0"/>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电动球阀</w:t>
            </w:r>
          </w:p>
        </w:tc>
        <w:tc>
          <w:tcPr>
            <w:tcW w:w="293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型号</w:t>
            </w:r>
            <w:r>
              <w:rPr>
                <w:rFonts w:hint="eastAsia" w:ascii="微软雅黑" w:hAnsi="微软雅黑" w:eastAsia="微软雅黑" w:cs="微软雅黑"/>
                <w:sz w:val="21"/>
                <w:szCs w:val="21"/>
                <w:lang w:eastAsia="zh-CN"/>
              </w:rPr>
              <w:t>DN1</w:t>
            </w:r>
            <w:r>
              <w:rPr>
                <w:rFonts w:hint="eastAsia" w:ascii="微软雅黑" w:hAnsi="微软雅黑" w:eastAsia="微软雅黑" w:cs="微软雅黑"/>
                <w:sz w:val="21"/>
                <w:szCs w:val="21"/>
                <w:lang w:val="en-US" w:eastAsia="zh-CN"/>
              </w:rPr>
              <w:t>0</w:t>
            </w:r>
            <w:r>
              <w:rPr>
                <w:rFonts w:hint="eastAsia" w:ascii="微软雅黑" w:hAnsi="微软雅黑" w:eastAsia="微软雅黑" w:cs="微软雅黑"/>
                <w:sz w:val="21"/>
                <w:szCs w:val="21"/>
                <w:lang w:eastAsia="zh-CN"/>
              </w:rPr>
              <w:t>0</w:t>
            </w:r>
            <w:r>
              <w:rPr>
                <w:rFonts w:hint="eastAsia" w:ascii="微软雅黑" w:hAnsi="微软雅黑" w:eastAsia="微软雅黑" w:cs="微软雅黑"/>
                <w:sz w:val="21"/>
                <w:szCs w:val="21"/>
                <w:lang w:val="en-US" w:eastAsia="zh-CN"/>
              </w:rPr>
              <w:t>PN16,</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sz w:val="21"/>
                <w:szCs w:val="21"/>
                <w:lang w:val="en-US" w:eastAsia="zh-CN"/>
              </w:rPr>
              <w:t>尺寸：长度230mm,法兰外径230mm,中心孔205mm,4孔</w:t>
            </w:r>
          </w:p>
        </w:tc>
        <w:tc>
          <w:tcPr>
            <w:tcW w:w="1142"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677"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2</w:t>
            </w:r>
          </w:p>
        </w:tc>
        <w:tc>
          <w:tcPr>
            <w:tcW w:w="116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sz w:val="21"/>
                <w:szCs w:val="21"/>
                <w:lang w:val="en-US" w:eastAsia="zh-CN"/>
              </w:rPr>
            </w:pPr>
            <w:r>
              <w:rPr>
                <w:rFonts w:hint="eastAsia" w:ascii="微软雅黑" w:hAnsi="微软雅黑" w:eastAsia="微软雅黑" w:cs="微软雅黑"/>
                <w:kern w:val="0"/>
                <w:sz w:val="21"/>
                <w:szCs w:val="21"/>
                <w:lang w:val="en-US" w:eastAsia="zh-CN" w:bidi="ar-SA"/>
              </w:rPr>
              <w:t>需匹配现场安全条件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9" w:hRule="exact"/>
        </w:trPr>
        <w:tc>
          <w:tcPr>
            <w:tcW w:w="778"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5</w:t>
            </w:r>
          </w:p>
        </w:tc>
        <w:tc>
          <w:tcPr>
            <w:tcW w:w="1842" w:type="dxa"/>
            <w:shd w:val="clear" w:color="auto" w:fill="auto"/>
            <w:vAlign w:val="center"/>
          </w:tcPr>
          <w:p>
            <w:pPr>
              <w:ind w:left="0" w:leftChars="0"/>
              <w:jc w:val="center"/>
              <w:rPr>
                <w:rFonts w:hint="default" w:ascii="微软雅黑" w:hAnsi="微软雅黑" w:eastAsia="微软雅黑"/>
                <w:sz w:val="21"/>
                <w:szCs w:val="21"/>
                <w:lang w:val="en-US" w:eastAsia="zh-CN"/>
              </w:rPr>
            </w:pPr>
            <w:r>
              <w:rPr>
                <w:rFonts w:hint="eastAsia" w:ascii="微软雅黑" w:hAnsi="微软雅黑" w:eastAsia="微软雅黑" w:cstheme="minorBidi"/>
                <w:kern w:val="0"/>
                <w:sz w:val="21"/>
                <w:szCs w:val="21"/>
                <w:lang w:val="en-US" w:eastAsia="zh-CN" w:bidi="ar-SA"/>
              </w:rPr>
              <w:t>压力变送器</w:t>
            </w:r>
          </w:p>
        </w:tc>
        <w:tc>
          <w:tcPr>
            <w:tcW w:w="2934" w:type="dxa"/>
            <w:shd w:val="clear" w:color="auto" w:fill="auto"/>
            <w:vAlign w:val="center"/>
          </w:tcPr>
          <w:p>
            <w:pPr>
              <w:pStyle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原型号：3051TA1A2B21AB4K5M5</w:t>
            </w:r>
          </w:p>
          <w:p>
            <w:pPr>
              <w:pStyle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范围绝对值：0～0.207MPa</w:t>
            </w:r>
          </w:p>
          <w:p>
            <w:pPr>
              <w:pStyle w:val="2"/>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精度等级：0.075Fs</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具有远传功能</w:t>
            </w:r>
          </w:p>
        </w:tc>
        <w:tc>
          <w:tcPr>
            <w:tcW w:w="1142"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677"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2</w:t>
            </w:r>
          </w:p>
        </w:tc>
        <w:tc>
          <w:tcPr>
            <w:tcW w:w="116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sz w:val="21"/>
                <w:szCs w:val="21"/>
                <w:lang w:val="en-US" w:eastAsia="zh-CN"/>
              </w:rPr>
            </w:pPr>
            <w:r>
              <w:rPr>
                <w:rFonts w:hint="eastAsia" w:ascii="微软雅黑" w:hAnsi="微软雅黑" w:eastAsia="微软雅黑" w:cs="微软雅黑"/>
                <w:kern w:val="0"/>
                <w:sz w:val="21"/>
                <w:szCs w:val="21"/>
                <w:lang w:val="en-US" w:eastAsia="zh-CN" w:bidi="ar-SA"/>
              </w:rPr>
              <w:t>需匹配现场安全条件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8" w:hRule="exact"/>
        </w:trPr>
        <w:tc>
          <w:tcPr>
            <w:tcW w:w="778"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6</w:t>
            </w:r>
          </w:p>
        </w:tc>
        <w:tc>
          <w:tcPr>
            <w:tcW w:w="1842" w:type="dxa"/>
            <w:shd w:val="clear" w:color="auto" w:fill="auto"/>
            <w:vAlign w:val="center"/>
          </w:tcPr>
          <w:p>
            <w:pPr>
              <w:pStyle w:val="4"/>
              <w:spacing w:line="380" w:lineRule="exact"/>
              <w:ind w:right="121" w:rightChars="55" w:firstLine="0" w:firstLineChars="0"/>
              <w:jc w:val="center"/>
              <w:rPr>
                <w:rFonts w:hint="eastAsia" w:ascii="微软雅黑" w:hAnsi="微软雅黑" w:eastAsia="微软雅黑"/>
                <w:sz w:val="21"/>
                <w:szCs w:val="21"/>
                <w:lang w:eastAsia="zh-CN"/>
              </w:rPr>
            </w:pPr>
            <w:r>
              <w:rPr>
                <w:rFonts w:hint="eastAsia" w:ascii="微软雅黑" w:hAnsi="微软雅黑" w:eastAsia="微软雅黑"/>
                <w:sz w:val="21"/>
                <w:szCs w:val="21"/>
                <w:lang w:eastAsia="zh-CN"/>
              </w:rPr>
              <w:t>电动机</w:t>
            </w:r>
          </w:p>
          <w:p>
            <w:pPr>
              <w:pStyle w:val="4"/>
              <w:spacing w:line="380" w:lineRule="exact"/>
              <w:ind w:right="121" w:rightChars="55" w:firstLine="0" w:firstLineChars="0"/>
              <w:jc w:val="center"/>
              <w:rPr>
                <w:rFonts w:hint="default" w:ascii="微软雅黑" w:hAnsi="微软雅黑" w:eastAsia="微软雅黑"/>
                <w:sz w:val="21"/>
                <w:szCs w:val="21"/>
                <w:lang w:val="en-US" w:eastAsia="zh-CN"/>
              </w:rPr>
            </w:pPr>
          </w:p>
        </w:tc>
        <w:tc>
          <w:tcPr>
            <w:tcW w:w="2934" w:type="dxa"/>
            <w:shd w:val="clear" w:color="auto" w:fill="auto"/>
            <w:vAlign w:val="center"/>
          </w:tcPr>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原电动机型号：MAK132SB-2</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新购置电动机性能需满足的设计参数：</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功率：</w:t>
            </w:r>
            <w:r>
              <w:rPr>
                <w:rFonts w:hint="eastAsia" w:ascii="微软雅黑" w:hAnsi="微软雅黑" w:eastAsia="微软雅黑" w:cs="微软雅黑"/>
                <w:sz w:val="21"/>
                <w:szCs w:val="21"/>
                <w:lang w:val="en-US" w:eastAsia="zh-CN"/>
              </w:rPr>
              <w:t>7.5</w:t>
            </w:r>
            <w:r>
              <w:rPr>
                <w:rFonts w:hint="eastAsia" w:ascii="微软雅黑" w:hAnsi="微软雅黑" w:eastAsia="微软雅黑" w:cs="微软雅黑"/>
                <w:sz w:val="21"/>
                <w:szCs w:val="21"/>
                <w:lang w:eastAsia="zh-CN"/>
              </w:rPr>
              <w:t>KW</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 xml:space="preserve">电压：380V  </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转速：2888r/min</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能效等级：二级（执行标准：GB 18613-2020）</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防爆等级：Ex d ⅡB T4</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防护等级：IP</w:t>
            </w:r>
            <w:r>
              <w:rPr>
                <w:rFonts w:hint="eastAsia" w:ascii="微软雅黑" w:hAnsi="微软雅黑" w:eastAsia="微软雅黑" w:cs="微软雅黑"/>
                <w:sz w:val="21"/>
                <w:szCs w:val="21"/>
                <w:lang w:val="en-US" w:eastAsia="zh-CN"/>
              </w:rPr>
              <w:t>66</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绝缘等级：F级</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sz w:val="21"/>
                <w:szCs w:val="21"/>
                <w:lang w:eastAsia="zh-CN"/>
              </w:rPr>
              <w:t>安装方式：B3</w:t>
            </w:r>
          </w:p>
        </w:tc>
        <w:tc>
          <w:tcPr>
            <w:tcW w:w="1142"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sz w:val="21"/>
                <w:szCs w:val="21"/>
                <w:lang w:eastAsia="zh-CN"/>
              </w:rPr>
              <w:t>台</w:t>
            </w:r>
          </w:p>
        </w:tc>
        <w:tc>
          <w:tcPr>
            <w:tcW w:w="677" w:type="dxa"/>
            <w:shd w:val="clear" w:color="auto" w:fill="auto"/>
            <w:vAlign w:val="center"/>
          </w:tcPr>
          <w:p>
            <w:pPr>
              <w:rPr>
                <w:rFonts w:hint="default" w:ascii="微软雅黑" w:hAnsi="微软雅黑" w:eastAsia="微软雅黑" w:cstheme="minorBidi"/>
                <w:kern w:val="0"/>
                <w:sz w:val="21"/>
                <w:szCs w:val="21"/>
                <w:lang w:val="en-US" w:eastAsia="zh-CN" w:bidi="ar-SA"/>
              </w:rPr>
            </w:pPr>
            <w:r>
              <w:rPr>
                <w:rFonts w:hint="eastAsia"/>
                <w:sz w:val="21"/>
                <w:szCs w:val="21"/>
                <w:lang w:eastAsia="zh-CN"/>
              </w:rPr>
              <w:t>1</w:t>
            </w:r>
          </w:p>
        </w:tc>
        <w:tc>
          <w:tcPr>
            <w:tcW w:w="1168" w:type="dxa"/>
            <w:shd w:val="clear" w:color="auto" w:fill="auto"/>
            <w:vAlign w:val="center"/>
          </w:tcPr>
          <w:p>
            <w:pPr>
              <w:rPr>
                <w:rFonts w:hint="eastAsia"/>
                <w:sz w:val="21"/>
                <w:szCs w:val="21"/>
                <w:lang w:eastAsia="zh-CN"/>
              </w:rPr>
            </w:pPr>
            <w:r>
              <w:rPr>
                <w:rFonts w:hint="eastAsia"/>
                <w:sz w:val="21"/>
                <w:szCs w:val="21"/>
                <w:lang w:eastAsia="zh-CN"/>
              </w:rPr>
              <w:t>需取得防爆合格证、3C认证、产品认证证明、出厂检验报告。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4" w:hRule="exact"/>
        </w:trPr>
        <w:tc>
          <w:tcPr>
            <w:tcW w:w="778"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7</w:t>
            </w:r>
          </w:p>
        </w:tc>
        <w:tc>
          <w:tcPr>
            <w:tcW w:w="1842" w:type="dxa"/>
            <w:shd w:val="clear" w:color="auto" w:fill="auto"/>
            <w:vAlign w:val="center"/>
          </w:tcPr>
          <w:p>
            <w:pPr>
              <w:pStyle w:val="4"/>
              <w:spacing w:line="380" w:lineRule="exact"/>
              <w:ind w:right="121" w:rightChars="55" w:firstLine="0" w:firstLineChars="0"/>
              <w:jc w:val="center"/>
              <w:rPr>
                <w:rFonts w:hint="eastAsia" w:ascii="微软雅黑" w:hAnsi="微软雅黑" w:eastAsia="微软雅黑"/>
                <w:sz w:val="21"/>
                <w:szCs w:val="21"/>
                <w:lang w:eastAsia="zh-CN"/>
              </w:rPr>
            </w:pPr>
            <w:r>
              <w:rPr>
                <w:rFonts w:hint="eastAsia" w:ascii="微软雅黑" w:hAnsi="微软雅黑" w:eastAsia="微软雅黑"/>
                <w:sz w:val="21"/>
                <w:szCs w:val="21"/>
                <w:lang w:eastAsia="zh-CN"/>
              </w:rPr>
              <w:t>电动机</w:t>
            </w:r>
          </w:p>
          <w:p>
            <w:pPr>
              <w:jc w:val="center"/>
              <w:rPr>
                <w:rFonts w:hint="default" w:ascii="微软雅黑" w:hAnsi="微软雅黑" w:eastAsia="微软雅黑" w:cstheme="minorBidi"/>
                <w:kern w:val="0"/>
                <w:sz w:val="21"/>
                <w:szCs w:val="21"/>
                <w:lang w:val="en-US" w:eastAsia="zh-CN" w:bidi="ar-SA"/>
              </w:rPr>
            </w:pPr>
          </w:p>
        </w:tc>
        <w:tc>
          <w:tcPr>
            <w:tcW w:w="2934" w:type="dxa"/>
            <w:shd w:val="clear" w:color="auto" w:fill="auto"/>
            <w:vAlign w:val="center"/>
          </w:tcPr>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原电动型号：MAK90L-2</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新购置电动机性能需满足的设计参数：</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功率：</w:t>
            </w:r>
            <w:r>
              <w:rPr>
                <w:rFonts w:hint="eastAsia" w:ascii="微软雅黑" w:hAnsi="微软雅黑" w:eastAsia="微软雅黑" w:cs="微软雅黑"/>
                <w:sz w:val="21"/>
                <w:szCs w:val="21"/>
                <w:lang w:val="en-US" w:eastAsia="zh-CN"/>
              </w:rPr>
              <w:t>2.2</w:t>
            </w:r>
            <w:r>
              <w:rPr>
                <w:rFonts w:hint="eastAsia" w:ascii="微软雅黑" w:hAnsi="微软雅黑" w:eastAsia="微软雅黑" w:cs="微软雅黑"/>
                <w:sz w:val="21"/>
                <w:szCs w:val="21"/>
                <w:lang w:eastAsia="zh-CN"/>
              </w:rPr>
              <w:t xml:space="preserve">KW  </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 xml:space="preserve">电压：380V  </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转速：2</w:t>
            </w:r>
            <w:r>
              <w:rPr>
                <w:rFonts w:hint="eastAsia" w:ascii="微软雅黑" w:hAnsi="微软雅黑" w:eastAsia="微软雅黑" w:cs="微软雅黑"/>
                <w:sz w:val="21"/>
                <w:szCs w:val="21"/>
                <w:lang w:val="en-US" w:eastAsia="zh-CN"/>
              </w:rPr>
              <w:t>980</w:t>
            </w:r>
            <w:r>
              <w:rPr>
                <w:rFonts w:hint="eastAsia" w:ascii="微软雅黑" w:hAnsi="微软雅黑" w:eastAsia="微软雅黑" w:cs="微软雅黑"/>
                <w:sz w:val="21"/>
                <w:szCs w:val="21"/>
                <w:lang w:eastAsia="zh-CN"/>
              </w:rPr>
              <w:t>r/min</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能效等级：二级（执行标准：GB 18613-2020）</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防爆等级：Ex d ⅡB T4</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防护等级：IP</w:t>
            </w:r>
            <w:r>
              <w:rPr>
                <w:rFonts w:hint="eastAsia" w:ascii="微软雅黑" w:hAnsi="微软雅黑" w:eastAsia="微软雅黑" w:cs="微软雅黑"/>
                <w:sz w:val="21"/>
                <w:szCs w:val="21"/>
                <w:lang w:val="en-US" w:eastAsia="zh-CN"/>
              </w:rPr>
              <w:t>66</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绝缘等级：F级</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sz w:val="21"/>
                <w:szCs w:val="21"/>
                <w:lang w:eastAsia="zh-CN"/>
              </w:rPr>
              <w:t>安装方式：B3</w:t>
            </w:r>
          </w:p>
        </w:tc>
        <w:tc>
          <w:tcPr>
            <w:tcW w:w="1142"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sz w:val="21"/>
                <w:szCs w:val="21"/>
                <w:lang w:eastAsia="zh-CN"/>
              </w:rPr>
              <w:t>台</w:t>
            </w:r>
          </w:p>
        </w:tc>
        <w:tc>
          <w:tcPr>
            <w:tcW w:w="677" w:type="dxa"/>
            <w:shd w:val="clear" w:color="auto" w:fill="auto"/>
            <w:vAlign w:val="center"/>
          </w:tcPr>
          <w:p>
            <w:pPr>
              <w:rPr>
                <w:rFonts w:hint="default" w:ascii="微软雅黑" w:hAnsi="微软雅黑" w:eastAsia="微软雅黑" w:cstheme="minorBidi"/>
                <w:kern w:val="0"/>
                <w:sz w:val="21"/>
                <w:szCs w:val="21"/>
                <w:lang w:val="en-US" w:eastAsia="zh-CN" w:bidi="ar-SA"/>
              </w:rPr>
            </w:pPr>
            <w:r>
              <w:rPr>
                <w:rFonts w:hint="eastAsia"/>
                <w:sz w:val="21"/>
                <w:szCs w:val="21"/>
                <w:lang w:eastAsia="zh-CN"/>
              </w:rPr>
              <w:t>1</w:t>
            </w:r>
          </w:p>
        </w:tc>
        <w:tc>
          <w:tcPr>
            <w:tcW w:w="1168" w:type="dxa"/>
            <w:shd w:val="clear" w:color="auto" w:fill="auto"/>
            <w:vAlign w:val="center"/>
          </w:tcPr>
          <w:p>
            <w:pPr>
              <w:rPr>
                <w:rFonts w:hint="eastAsia"/>
                <w:sz w:val="21"/>
                <w:szCs w:val="21"/>
                <w:lang w:eastAsia="zh-CN"/>
              </w:rPr>
            </w:pPr>
            <w:r>
              <w:rPr>
                <w:rFonts w:hint="eastAsia"/>
                <w:sz w:val="21"/>
                <w:szCs w:val="21"/>
                <w:lang w:eastAsia="zh-CN"/>
              </w:rPr>
              <w:t>需取得3C认证、产品认证证明、出厂检验报告。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3" w:hRule="exact"/>
        </w:trPr>
        <w:tc>
          <w:tcPr>
            <w:tcW w:w="778" w:type="dxa"/>
            <w:shd w:val="clear" w:color="auto" w:fill="auto"/>
            <w:vAlign w:val="center"/>
          </w:tcPr>
          <w:p>
            <w:pPr>
              <w:spacing w:line="360" w:lineRule="auto"/>
              <w:jc w:val="center"/>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8</w:t>
            </w:r>
          </w:p>
        </w:tc>
        <w:tc>
          <w:tcPr>
            <w:tcW w:w="1842" w:type="dxa"/>
            <w:shd w:val="clear" w:color="auto" w:fill="auto"/>
            <w:vAlign w:val="center"/>
          </w:tcPr>
          <w:p>
            <w:pPr>
              <w:pStyle w:val="4"/>
              <w:spacing w:line="380" w:lineRule="exact"/>
              <w:ind w:right="121" w:rightChars="55" w:firstLine="0" w:firstLineChars="0"/>
              <w:jc w:val="center"/>
              <w:rPr>
                <w:rFonts w:hint="eastAsia" w:ascii="微软雅黑" w:hAnsi="微软雅黑" w:eastAsia="微软雅黑"/>
                <w:sz w:val="21"/>
                <w:szCs w:val="21"/>
                <w:lang w:eastAsia="zh-CN"/>
              </w:rPr>
            </w:pPr>
            <w:r>
              <w:rPr>
                <w:rFonts w:hint="eastAsia" w:ascii="微软雅黑" w:hAnsi="微软雅黑" w:eastAsia="微软雅黑"/>
                <w:sz w:val="21"/>
                <w:szCs w:val="21"/>
                <w:lang w:eastAsia="zh-CN"/>
              </w:rPr>
              <w:t>电动机</w:t>
            </w:r>
          </w:p>
          <w:p>
            <w:pPr>
              <w:jc w:val="center"/>
              <w:rPr>
                <w:rFonts w:hint="default" w:ascii="微软雅黑" w:hAnsi="微软雅黑" w:eastAsia="微软雅黑" w:cstheme="minorBidi"/>
                <w:kern w:val="0"/>
                <w:sz w:val="21"/>
                <w:szCs w:val="21"/>
                <w:lang w:val="en-US" w:eastAsia="zh-CN" w:bidi="ar-SA"/>
              </w:rPr>
            </w:pPr>
          </w:p>
        </w:tc>
        <w:tc>
          <w:tcPr>
            <w:tcW w:w="2934" w:type="dxa"/>
            <w:shd w:val="clear" w:color="auto" w:fill="auto"/>
            <w:vAlign w:val="center"/>
          </w:tcPr>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jc w:val="left"/>
              <w:textAlignment w:val="auto"/>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原电动型号：</w:t>
            </w:r>
            <w:r>
              <w:rPr>
                <w:rFonts w:hint="eastAsia" w:ascii="微软雅黑" w:hAnsi="微软雅黑" w:eastAsia="微软雅黑" w:cs="微软雅黑"/>
                <w:sz w:val="21"/>
                <w:szCs w:val="21"/>
                <w:lang w:val="en-US" w:eastAsia="zh-CN"/>
              </w:rPr>
              <w:t>YB2-160M2-2W</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新购置电动机性能需满足的设计参数：</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功率：</w:t>
            </w:r>
            <w:r>
              <w:rPr>
                <w:rFonts w:hint="eastAsia" w:ascii="微软雅黑" w:hAnsi="微软雅黑" w:eastAsia="微软雅黑" w:cs="微软雅黑"/>
                <w:sz w:val="21"/>
                <w:szCs w:val="21"/>
                <w:lang w:val="en-US" w:eastAsia="zh-CN"/>
              </w:rPr>
              <w:t>15</w:t>
            </w:r>
            <w:r>
              <w:rPr>
                <w:rFonts w:hint="eastAsia" w:ascii="微软雅黑" w:hAnsi="微软雅黑" w:eastAsia="微软雅黑" w:cs="微软雅黑"/>
                <w:sz w:val="21"/>
                <w:szCs w:val="21"/>
                <w:lang w:eastAsia="zh-CN"/>
              </w:rPr>
              <w:t xml:space="preserve">KW  </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 xml:space="preserve">电压：380V  </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转速：2</w:t>
            </w:r>
            <w:r>
              <w:rPr>
                <w:rFonts w:hint="eastAsia" w:ascii="微软雅黑" w:hAnsi="微软雅黑" w:eastAsia="微软雅黑" w:cs="微软雅黑"/>
                <w:sz w:val="21"/>
                <w:szCs w:val="21"/>
                <w:lang w:val="en-US" w:eastAsia="zh-CN"/>
              </w:rPr>
              <w:t>930</w:t>
            </w:r>
            <w:r>
              <w:rPr>
                <w:rFonts w:hint="eastAsia" w:ascii="微软雅黑" w:hAnsi="微软雅黑" w:eastAsia="微软雅黑" w:cs="微软雅黑"/>
                <w:sz w:val="21"/>
                <w:szCs w:val="21"/>
                <w:lang w:eastAsia="zh-CN"/>
              </w:rPr>
              <w:t>r/min</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能效等级：二级（执行标准：GB 18613-2020）</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防爆等级：Ex d ⅡB T4</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防护等级：IP</w:t>
            </w:r>
            <w:r>
              <w:rPr>
                <w:rFonts w:hint="eastAsia" w:ascii="微软雅黑" w:hAnsi="微软雅黑" w:eastAsia="微软雅黑" w:cs="微软雅黑"/>
                <w:sz w:val="21"/>
                <w:szCs w:val="21"/>
                <w:lang w:val="en-US" w:eastAsia="zh-CN"/>
              </w:rPr>
              <w:t>66</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绝缘等级：F级</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kern w:val="0"/>
                <w:sz w:val="21"/>
                <w:szCs w:val="21"/>
                <w:lang w:val="en-US" w:eastAsia="zh-CN" w:bidi="ar-SA"/>
              </w:rPr>
            </w:pPr>
            <w:r>
              <w:rPr>
                <w:rFonts w:hint="eastAsia" w:ascii="微软雅黑" w:hAnsi="微软雅黑" w:eastAsia="微软雅黑" w:cs="微软雅黑"/>
                <w:sz w:val="21"/>
                <w:szCs w:val="21"/>
                <w:lang w:eastAsia="zh-CN"/>
              </w:rPr>
              <w:t>安装方式：B3</w:t>
            </w:r>
          </w:p>
        </w:tc>
        <w:tc>
          <w:tcPr>
            <w:tcW w:w="1142"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sz w:val="21"/>
                <w:szCs w:val="21"/>
                <w:lang w:eastAsia="zh-CN"/>
              </w:rPr>
              <w:t>台</w:t>
            </w:r>
          </w:p>
        </w:tc>
        <w:tc>
          <w:tcPr>
            <w:tcW w:w="677" w:type="dxa"/>
            <w:shd w:val="clear" w:color="auto" w:fill="auto"/>
            <w:vAlign w:val="center"/>
          </w:tcPr>
          <w:p>
            <w:pPr>
              <w:rPr>
                <w:rFonts w:hint="eastAsia" w:ascii="微软雅黑" w:hAnsi="微软雅黑" w:eastAsia="微软雅黑" w:cstheme="minorBidi"/>
                <w:kern w:val="0"/>
                <w:sz w:val="21"/>
                <w:szCs w:val="21"/>
                <w:lang w:val="en-US" w:eastAsia="zh-CN" w:bidi="ar-SA"/>
              </w:rPr>
            </w:pPr>
            <w:r>
              <w:rPr>
                <w:rFonts w:hint="eastAsia"/>
                <w:sz w:val="21"/>
                <w:szCs w:val="21"/>
                <w:lang w:eastAsia="zh-CN"/>
              </w:rPr>
              <w:t>1</w:t>
            </w:r>
          </w:p>
        </w:tc>
        <w:tc>
          <w:tcPr>
            <w:tcW w:w="1168" w:type="dxa"/>
            <w:shd w:val="clear" w:color="auto" w:fill="auto"/>
            <w:vAlign w:val="center"/>
          </w:tcPr>
          <w:p>
            <w:pPr>
              <w:rPr>
                <w:rFonts w:hint="eastAsia" w:asciiTheme="minorHAnsi" w:hAnsiTheme="minorHAnsi" w:eastAsiaTheme="minorEastAsia" w:cstheme="minorBidi"/>
                <w:kern w:val="0"/>
                <w:sz w:val="21"/>
                <w:szCs w:val="21"/>
                <w:lang w:val="en-US" w:eastAsia="zh-CN" w:bidi="ar-SA"/>
              </w:rPr>
            </w:pPr>
            <w:r>
              <w:rPr>
                <w:rFonts w:hint="eastAsia"/>
                <w:sz w:val="21"/>
                <w:szCs w:val="21"/>
                <w:lang w:eastAsia="zh-CN"/>
              </w:rPr>
              <w:t>需取得3C认证、产品认证证明、出厂检验报告。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6" w:hRule="exact"/>
        </w:trPr>
        <w:tc>
          <w:tcPr>
            <w:tcW w:w="778" w:type="dxa"/>
            <w:shd w:val="clear" w:color="auto" w:fill="auto"/>
            <w:vAlign w:val="center"/>
          </w:tcPr>
          <w:p>
            <w:pPr>
              <w:spacing w:line="360" w:lineRule="auto"/>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9</w:t>
            </w:r>
          </w:p>
        </w:tc>
        <w:tc>
          <w:tcPr>
            <w:tcW w:w="1842"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引风机</w:t>
            </w:r>
          </w:p>
        </w:tc>
        <w:tc>
          <w:tcPr>
            <w:tcW w:w="2934" w:type="dxa"/>
            <w:shd w:val="clear" w:color="auto" w:fill="auto"/>
            <w:vAlign w:val="center"/>
          </w:tcPr>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原</w:t>
            </w:r>
            <w:r>
              <w:rPr>
                <w:rFonts w:hint="eastAsia" w:ascii="微软雅黑" w:hAnsi="微软雅黑" w:eastAsia="微软雅黑" w:cs="微软雅黑"/>
                <w:sz w:val="21"/>
                <w:szCs w:val="21"/>
                <w:lang w:val="en-US" w:eastAsia="zh-CN"/>
              </w:rPr>
              <w:t>引风</w:t>
            </w:r>
            <w:r>
              <w:rPr>
                <w:rFonts w:hint="eastAsia" w:ascii="微软雅黑" w:hAnsi="微软雅黑" w:eastAsia="微软雅黑" w:cs="微软雅黑"/>
                <w:sz w:val="21"/>
                <w:szCs w:val="21"/>
                <w:lang w:eastAsia="zh-CN"/>
              </w:rPr>
              <w:t>机型号：</w:t>
            </w:r>
            <w:r>
              <w:rPr>
                <w:rFonts w:hint="eastAsia" w:ascii="微软雅黑" w:hAnsi="微软雅黑" w:eastAsia="微软雅黑" w:cs="微软雅黑"/>
                <w:sz w:val="21"/>
                <w:szCs w:val="21"/>
                <w:lang w:val="en-US" w:eastAsia="zh-CN"/>
              </w:rPr>
              <w:t xml:space="preserve">TB-125 </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新购置</w:t>
            </w:r>
            <w:r>
              <w:rPr>
                <w:rFonts w:hint="eastAsia" w:ascii="微软雅黑" w:hAnsi="微软雅黑" w:eastAsia="微软雅黑" w:cs="微软雅黑"/>
                <w:sz w:val="21"/>
                <w:szCs w:val="21"/>
                <w:lang w:val="en-US" w:eastAsia="zh-CN"/>
              </w:rPr>
              <w:t>引风</w:t>
            </w:r>
            <w:r>
              <w:rPr>
                <w:rFonts w:hint="eastAsia" w:ascii="微软雅黑" w:hAnsi="微软雅黑" w:eastAsia="微软雅黑" w:cs="微软雅黑"/>
                <w:sz w:val="21"/>
                <w:szCs w:val="21"/>
                <w:lang w:eastAsia="zh-CN"/>
              </w:rPr>
              <w:t>机性能需满足的设计参数：</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功率：</w:t>
            </w:r>
            <w:r>
              <w:rPr>
                <w:rFonts w:hint="eastAsia" w:ascii="微软雅黑" w:hAnsi="微软雅黑" w:eastAsia="微软雅黑" w:cs="微软雅黑"/>
                <w:sz w:val="21"/>
                <w:szCs w:val="21"/>
                <w:lang w:val="en-US" w:eastAsia="zh-CN"/>
              </w:rPr>
              <w:t>3</w:t>
            </w:r>
            <w:r>
              <w:rPr>
                <w:rFonts w:hint="eastAsia" w:ascii="微软雅黑" w:hAnsi="微软雅黑" w:eastAsia="微软雅黑" w:cs="微软雅黑"/>
                <w:sz w:val="21"/>
                <w:szCs w:val="21"/>
                <w:lang w:eastAsia="zh-CN"/>
              </w:rPr>
              <w:t xml:space="preserve">KW  电压：380V </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转速</w:t>
            </w:r>
            <w:r>
              <w:rPr>
                <w:rFonts w:hint="eastAsia" w:ascii="微软雅黑" w:hAnsi="微软雅黑" w:eastAsia="微软雅黑" w:cs="微软雅黑"/>
                <w:sz w:val="21"/>
                <w:szCs w:val="21"/>
                <w:lang w:eastAsia="zh-CN"/>
              </w:rPr>
              <w:t xml:space="preserve"> ：</w:t>
            </w:r>
            <w:r>
              <w:rPr>
                <w:rFonts w:hint="eastAsia" w:ascii="微软雅黑" w:hAnsi="微软雅黑" w:eastAsia="微软雅黑" w:cs="微软雅黑"/>
                <w:sz w:val="21"/>
                <w:szCs w:val="21"/>
                <w:lang w:val="en-US" w:eastAsia="zh-CN"/>
              </w:rPr>
              <w:t>2800</w:t>
            </w:r>
            <w:r>
              <w:rPr>
                <w:rFonts w:hint="eastAsia" w:ascii="微软雅黑" w:hAnsi="微软雅黑" w:eastAsia="微软雅黑" w:cs="微软雅黑"/>
                <w:sz w:val="21"/>
                <w:szCs w:val="21"/>
                <w:lang w:eastAsia="zh-CN"/>
              </w:rPr>
              <w:t>r/min</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风量</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35m³</w:t>
            </w:r>
            <w:r>
              <w:rPr>
                <w:rFonts w:hint="eastAsia" w:ascii="微软雅黑" w:hAnsi="微软雅黑" w:eastAsia="微软雅黑" w:cs="微软雅黑"/>
                <w:sz w:val="21"/>
                <w:szCs w:val="21"/>
                <w:lang w:eastAsia="zh-CN"/>
              </w:rPr>
              <w:t>/min</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能效等级：二级（执行标准：GB 19761-2020）</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防爆等级：Ex d ⅡB T4</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防护等级：IP</w:t>
            </w:r>
            <w:r>
              <w:rPr>
                <w:rFonts w:hint="eastAsia" w:ascii="微软雅黑" w:hAnsi="微软雅黑" w:eastAsia="微软雅黑" w:cs="微软雅黑"/>
                <w:sz w:val="21"/>
                <w:szCs w:val="21"/>
                <w:lang w:val="en-US" w:eastAsia="zh-CN"/>
              </w:rPr>
              <w:t>66</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绝缘等级：F级</w:t>
            </w:r>
          </w:p>
          <w:p>
            <w:pPr>
              <w:pStyle w:val="4"/>
              <w:keepNext w:val="0"/>
              <w:keepLines w:val="0"/>
              <w:pageBreakBefore w:val="0"/>
              <w:widowControl w:val="0"/>
              <w:kinsoku/>
              <w:wordWrap/>
              <w:overflowPunct/>
              <w:topLinePunct w:val="0"/>
              <w:autoSpaceDE/>
              <w:autoSpaceDN/>
              <w:bidi w:val="0"/>
              <w:adjustRightInd/>
              <w:snapToGrid/>
              <w:spacing w:line="400" w:lineRule="exact"/>
              <w:ind w:right="121" w:rightChars="55" w:firstLine="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安装方式：B3</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0"/>
                <w:sz w:val="21"/>
                <w:szCs w:val="21"/>
                <w:lang w:val="en-US" w:eastAsia="zh-CN" w:bidi="ar-SA"/>
              </w:rPr>
            </w:pPr>
          </w:p>
        </w:tc>
        <w:tc>
          <w:tcPr>
            <w:tcW w:w="1142" w:type="dxa"/>
            <w:shd w:val="clear" w:color="auto" w:fill="auto"/>
            <w:vAlign w:val="center"/>
          </w:tcPr>
          <w:p>
            <w:pPr>
              <w:jc w:val="center"/>
              <w:rPr>
                <w:rFonts w:hint="default" w:ascii="微软雅黑" w:hAnsi="微软雅黑" w:eastAsia="微软雅黑"/>
                <w:sz w:val="21"/>
                <w:szCs w:val="21"/>
                <w:lang w:val="en-US" w:eastAsia="zh-CN"/>
              </w:rPr>
            </w:pPr>
            <w:r>
              <w:rPr>
                <w:rFonts w:hint="eastAsia"/>
                <w:sz w:val="21"/>
                <w:szCs w:val="21"/>
                <w:lang w:eastAsia="zh-CN"/>
              </w:rPr>
              <w:t>台</w:t>
            </w:r>
          </w:p>
        </w:tc>
        <w:tc>
          <w:tcPr>
            <w:tcW w:w="677" w:type="dxa"/>
            <w:shd w:val="clear" w:color="auto" w:fill="auto"/>
            <w:vAlign w:val="center"/>
          </w:tcPr>
          <w:p>
            <w:pPr>
              <w:rPr>
                <w:rFonts w:hint="default" w:ascii="微软雅黑" w:hAnsi="微软雅黑" w:eastAsia="微软雅黑"/>
                <w:sz w:val="21"/>
                <w:szCs w:val="21"/>
                <w:lang w:val="en-US" w:eastAsia="zh-CN"/>
              </w:rPr>
            </w:pPr>
            <w:r>
              <w:rPr>
                <w:rFonts w:hint="eastAsia"/>
                <w:sz w:val="21"/>
                <w:szCs w:val="21"/>
                <w:lang w:eastAsia="zh-CN"/>
              </w:rPr>
              <w:t>1</w:t>
            </w:r>
          </w:p>
        </w:tc>
        <w:tc>
          <w:tcPr>
            <w:tcW w:w="1168" w:type="dxa"/>
            <w:shd w:val="clear" w:color="auto" w:fill="auto"/>
            <w:vAlign w:val="center"/>
          </w:tcPr>
          <w:p>
            <w:pPr>
              <w:rPr>
                <w:rFonts w:hint="eastAsia"/>
                <w:sz w:val="21"/>
                <w:szCs w:val="21"/>
                <w:lang w:eastAsia="zh-CN"/>
              </w:rPr>
            </w:pPr>
            <w:r>
              <w:rPr>
                <w:rFonts w:hint="eastAsia"/>
                <w:sz w:val="21"/>
                <w:szCs w:val="21"/>
                <w:lang w:eastAsia="zh-CN"/>
              </w:rPr>
              <w:t>需取得防爆合格证、3C认证、产品认证证明、出厂检验报告。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exact"/>
        </w:trPr>
        <w:tc>
          <w:tcPr>
            <w:tcW w:w="778"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10</w:t>
            </w:r>
          </w:p>
        </w:tc>
        <w:tc>
          <w:tcPr>
            <w:tcW w:w="184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爆轰阻火器</w:t>
            </w:r>
          </w:p>
        </w:tc>
        <w:tc>
          <w:tcPr>
            <w:tcW w:w="293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阻火器压降应≤500Pa，阻火速度应≥1600m/s，能够有效阻止爆轰火焰的传播；耐压≥1.6MPa</w:t>
            </w:r>
          </w:p>
        </w:tc>
        <w:tc>
          <w:tcPr>
            <w:tcW w:w="114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台</w:t>
            </w:r>
          </w:p>
        </w:tc>
        <w:tc>
          <w:tcPr>
            <w:tcW w:w="6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3</w:t>
            </w:r>
          </w:p>
        </w:tc>
        <w:tc>
          <w:tcPr>
            <w:tcW w:w="116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不能降低原设计处置能力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8" w:hRule="exact"/>
        </w:trPr>
        <w:tc>
          <w:tcPr>
            <w:tcW w:w="778"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11</w:t>
            </w:r>
          </w:p>
        </w:tc>
        <w:tc>
          <w:tcPr>
            <w:tcW w:w="184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便携式VOC气体检测仪</w:t>
            </w:r>
          </w:p>
        </w:tc>
        <w:tc>
          <w:tcPr>
            <w:tcW w:w="293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国家防爆中心认证，高强度ABS防爆防滑外壳、真空泵吸入式、防护等级IP66以上、可定制、检测气体范围0-1000PPM</w:t>
            </w:r>
          </w:p>
        </w:tc>
        <w:tc>
          <w:tcPr>
            <w:tcW w:w="114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台</w:t>
            </w:r>
          </w:p>
        </w:tc>
        <w:tc>
          <w:tcPr>
            <w:tcW w:w="67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w:t>
            </w:r>
          </w:p>
        </w:tc>
        <w:tc>
          <w:tcPr>
            <w:tcW w:w="116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sz w:val="21"/>
                <w:szCs w:val="21"/>
                <w:lang w:val="en-US" w:eastAsia="zh-CN"/>
              </w:rPr>
            </w:pPr>
          </w:p>
        </w:tc>
      </w:tr>
    </w:tbl>
    <w:p>
      <w:pPr>
        <w:pStyle w:val="4"/>
        <w:numPr>
          <w:ilvl w:val="0"/>
          <w:numId w:val="0"/>
        </w:numPr>
        <w:spacing w:line="257" w:lineRule="auto"/>
        <w:ind w:left="210" w:leftChars="0" w:right="121" w:rightChars="55"/>
        <w:rPr>
          <w:rFonts w:hint="eastAsia"/>
          <w:color w:val="auto"/>
          <w:highlight w:val="none"/>
          <w:lang w:eastAsia="zh-CN"/>
        </w:rPr>
      </w:pPr>
      <w:r>
        <w:rPr>
          <w:rFonts w:hint="eastAsia"/>
          <w:color w:val="auto"/>
          <w:highlight w:val="none"/>
          <w:lang w:val="en-US" w:eastAsia="zh-CN"/>
        </w:rPr>
        <w:t>2.2空压机材料</w:t>
      </w:r>
      <w:r>
        <w:rPr>
          <w:rFonts w:hint="eastAsia"/>
          <w:color w:val="auto"/>
          <w:highlight w:val="none"/>
          <w:lang w:eastAsia="zh-CN"/>
        </w:rPr>
        <w:t>（</w:t>
      </w:r>
      <w:r>
        <w:rPr>
          <w:rFonts w:hint="eastAsia"/>
          <w:color w:val="000000" w:themeColor="text1"/>
          <w:highlight w:val="none"/>
          <w:lang w:val="en-US" w:eastAsia="zh-CN"/>
          <w14:textFill>
            <w14:solidFill>
              <w14:schemeClr w14:val="tx1"/>
            </w14:solidFill>
          </w14:textFill>
        </w:rPr>
        <w:t>包括但不限于</w:t>
      </w:r>
      <w:r>
        <w:rPr>
          <w:rFonts w:hint="eastAsia"/>
          <w:color w:val="000000" w:themeColor="text1"/>
          <w:highlight w:val="none"/>
          <w:lang w:eastAsia="zh-CN"/>
          <w14:textFill>
            <w14:solidFill>
              <w14:schemeClr w14:val="tx1"/>
            </w14:solidFill>
          </w14:textFill>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2302"/>
        <w:gridCol w:w="3127"/>
        <w:gridCol w:w="1095"/>
        <w:gridCol w:w="1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9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微软雅黑" w:hAnsi="微软雅黑" w:eastAsia="微软雅黑"/>
                <w:sz w:val="21"/>
                <w:szCs w:val="21"/>
              </w:rPr>
            </w:pPr>
            <w:r>
              <w:rPr>
                <w:rFonts w:hint="eastAsia" w:ascii="微软雅黑" w:hAnsi="微软雅黑" w:eastAsia="微软雅黑"/>
                <w:sz w:val="21"/>
                <w:szCs w:val="21"/>
              </w:rPr>
              <w:t>序号</w:t>
            </w:r>
          </w:p>
        </w:tc>
        <w:tc>
          <w:tcPr>
            <w:tcW w:w="23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微软雅黑" w:hAnsi="微软雅黑" w:eastAsia="微软雅黑"/>
                <w:sz w:val="21"/>
                <w:szCs w:val="21"/>
              </w:rPr>
            </w:pPr>
            <w:r>
              <w:rPr>
                <w:rFonts w:hint="eastAsia" w:ascii="微软雅黑" w:hAnsi="微软雅黑" w:eastAsia="微软雅黑"/>
                <w:sz w:val="21"/>
                <w:szCs w:val="21"/>
              </w:rPr>
              <w:t>名称</w:t>
            </w:r>
          </w:p>
        </w:tc>
        <w:tc>
          <w:tcPr>
            <w:tcW w:w="31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微软雅黑" w:hAnsi="微软雅黑" w:eastAsia="微软雅黑"/>
                <w:sz w:val="21"/>
                <w:szCs w:val="21"/>
              </w:rPr>
            </w:pPr>
            <w:r>
              <w:rPr>
                <w:rFonts w:hint="eastAsia" w:ascii="微软雅黑" w:hAnsi="微软雅黑" w:eastAsia="微软雅黑"/>
                <w:sz w:val="21"/>
                <w:szCs w:val="21"/>
              </w:rPr>
              <w:t>型号/参数</w:t>
            </w:r>
          </w:p>
        </w:tc>
        <w:tc>
          <w:tcPr>
            <w:tcW w:w="109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微软雅黑" w:hAnsi="微软雅黑" w:eastAsia="微软雅黑"/>
                <w:sz w:val="21"/>
                <w:szCs w:val="21"/>
              </w:rPr>
            </w:pPr>
            <w:r>
              <w:rPr>
                <w:rFonts w:hint="eastAsia" w:ascii="微软雅黑" w:hAnsi="微软雅黑" w:eastAsia="微软雅黑"/>
                <w:sz w:val="21"/>
                <w:szCs w:val="21"/>
              </w:rPr>
              <w:t>单位</w:t>
            </w:r>
          </w:p>
        </w:tc>
        <w:tc>
          <w:tcPr>
            <w:tcW w:w="119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微软雅黑" w:hAnsi="微软雅黑" w:eastAsia="微软雅黑"/>
                <w:sz w:val="21"/>
                <w:szCs w:val="21"/>
              </w:rPr>
            </w:pPr>
            <w:r>
              <w:rPr>
                <w:rFonts w:hint="eastAsia" w:ascii="微软雅黑" w:hAnsi="微软雅黑" w:eastAsia="微软雅黑"/>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1</w:t>
            </w:r>
          </w:p>
        </w:tc>
        <w:tc>
          <w:tcPr>
            <w:tcW w:w="2302" w:type="dxa"/>
            <w:shd w:val="clear" w:color="auto" w:fill="auto"/>
            <w:vAlign w:val="center"/>
          </w:tcPr>
          <w:p>
            <w:pPr>
              <w:widowControl/>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空气滤芯</w:t>
            </w:r>
          </w:p>
        </w:tc>
        <w:tc>
          <w:tcPr>
            <w:tcW w:w="3127"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2116040177（4m³/min）</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2</w:t>
            </w:r>
          </w:p>
        </w:tc>
        <w:tc>
          <w:tcPr>
            <w:tcW w:w="2302" w:type="dxa"/>
            <w:shd w:val="clear" w:color="auto" w:fill="auto"/>
            <w:vAlign w:val="center"/>
          </w:tcPr>
          <w:p>
            <w:pPr>
              <w:widowControl/>
              <w:ind w:left="0" w:leftChars="0"/>
              <w:jc w:val="left"/>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机油过滤器</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2605531450</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3</w:t>
            </w:r>
          </w:p>
        </w:tc>
        <w:tc>
          <w:tcPr>
            <w:tcW w:w="2302" w:type="dxa"/>
            <w:shd w:val="clear" w:color="auto" w:fill="auto"/>
            <w:vAlign w:val="center"/>
          </w:tcPr>
          <w:p>
            <w:pPr>
              <w:widowControl/>
              <w:ind w:left="0" w:leftChars="0"/>
              <w:jc w:val="left"/>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油细分离器</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2116010143（7.0m³/min）</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4</w:t>
            </w:r>
          </w:p>
        </w:tc>
        <w:tc>
          <w:tcPr>
            <w:tcW w:w="2302" w:type="dxa"/>
            <w:shd w:val="clear" w:color="auto" w:fill="auto"/>
            <w:vAlign w:val="center"/>
          </w:tcPr>
          <w:p>
            <w:pPr>
              <w:widowControl/>
              <w:ind w:left="0" w:leftChars="0"/>
              <w:jc w:val="left"/>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冷却液（20L/桶</w:t>
            </w:r>
            <w:r>
              <w:rPr>
                <w:rFonts w:hint="eastAsia"/>
                <w:lang w:eastAsia="zh-CN"/>
              </w:rPr>
              <w:t>）</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2100050232</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桶</w:t>
            </w:r>
          </w:p>
        </w:tc>
        <w:tc>
          <w:tcPr>
            <w:tcW w:w="1196"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5</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温控阀（热控阀）</w:t>
            </w:r>
          </w:p>
        </w:tc>
        <w:tc>
          <w:tcPr>
            <w:tcW w:w="3127" w:type="dxa"/>
            <w:shd w:val="clear" w:color="auto" w:fill="auto"/>
            <w:vAlign w:val="center"/>
          </w:tcPr>
          <w:p>
            <w:pPr>
              <w:jc w:val="center"/>
              <w:rPr>
                <w:rFonts w:hint="default" w:ascii="微软雅黑" w:hAnsi="微软雅黑" w:eastAsia="微软雅黑"/>
                <w:sz w:val="21"/>
                <w:szCs w:val="21"/>
                <w:lang w:val="en-US" w:eastAsia="zh-CN"/>
              </w:rPr>
            </w:pPr>
            <w:r>
              <w:rPr>
                <w:rFonts w:hint="default" w:ascii="微软雅黑" w:hAnsi="微软雅黑" w:eastAsia="微软雅黑"/>
                <w:sz w:val="21"/>
                <w:szCs w:val="21"/>
                <w:lang w:val="en-US" w:eastAsia="zh-CN"/>
              </w:rPr>
              <w:t>CTV-25T</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6</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default" w:ascii="微软雅黑" w:hAnsi="微软雅黑" w:eastAsia="微软雅黑"/>
                <w:sz w:val="21"/>
                <w:szCs w:val="21"/>
                <w:lang w:val="en-US" w:eastAsia="zh-CN"/>
              </w:rPr>
              <w:t>活塞式进气阀</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DN50</w:t>
            </w:r>
          </w:p>
        </w:tc>
        <w:tc>
          <w:tcPr>
            <w:tcW w:w="1095"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个</w:t>
            </w:r>
          </w:p>
        </w:tc>
        <w:tc>
          <w:tcPr>
            <w:tcW w:w="1196"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7</w:t>
            </w:r>
          </w:p>
        </w:tc>
        <w:tc>
          <w:tcPr>
            <w:tcW w:w="2302" w:type="dxa"/>
            <w:shd w:val="clear" w:color="auto" w:fill="auto"/>
            <w:vAlign w:val="center"/>
          </w:tcPr>
          <w:p>
            <w:pPr>
              <w:ind w:left="0" w:leftChars="0"/>
              <w:jc w:val="left"/>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前置过滤网</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default" w:ascii="微软雅黑" w:hAnsi="微软雅黑" w:eastAsia="微软雅黑" w:cstheme="minorBidi"/>
                <w:kern w:val="0"/>
                <w:sz w:val="21"/>
                <w:szCs w:val="21"/>
                <w:lang w:val="en-US" w:eastAsia="zh-CN" w:bidi="ar-SA"/>
              </w:rPr>
              <w:t>SA15~22A</w:t>
            </w:r>
          </w:p>
        </w:tc>
        <w:tc>
          <w:tcPr>
            <w:tcW w:w="1095"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个</w:t>
            </w:r>
          </w:p>
        </w:tc>
        <w:tc>
          <w:tcPr>
            <w:tcW w:w="1196"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ascii="微软雅黑" w:hAnsi="微软雅黑" w:eastAsia="微软雅黑"/>
                <w:sz w:val="21"/>
                <w:szCs w:val="21"/>
              </w:rPr>
              <w:t>8</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default" w:ascii="微软雅黑" w:hAnsi="微软雅黑" w:eastAsia="微软雅黑"/>
                <w:sz w:val="21"/>
                <w:szCs w:val="21"/>
                <w:lang w:val="en-US" w:eastAsia="zh-CN"/>
              </w:rPr>
              <w:t>通风过滤网组</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default" w:ascii="微软雅黑" w:hAnsi="微软雅黑" w:eastAsia="微软雅黑" w:cstheme="minorBidi"/>
                <w:kern w:val="0"/>
                <w:sz w:val="21"/>
                <w:szCs w:val="21"/>
                <w:lang w:val="en-US" w:eastAsia="zh-CN" w:bidi="ar-SA"/>
              </w:rPr>
              <w:t>ZL-804</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ascii="微软雅黑" w:hAnsi="微软雅黑" w:eastAsia="微软雅黑"/>
                <w:sz w:val="21"/>
                <w:szCs w:val="21"/>
              </w:rPr>
            </w:pPr>
            <w:r>
              <w:rPr>
                <w:rFonts w:hint="eastAsia" w:ascii="微软雅黑" w:hAnsi="微软雅黑" w:eastAsia="微软雅黑"/>
                <w:sz w:val="21"/>
                <w:szCs w:val="21"/>
              </w:rPr>
              <w:t>9</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电磁阀</w:t>
            </w:r>
          </w:p>
        </w:tc>
        <w:tc>
          <w:tcPr>
            <w:tcW w:w="3127"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1/8",15bar,220V,50Hz,2位3向</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10</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电磁阀（干燥机）</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R0927400</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11</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压力维持阀</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SA22~37A</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12</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超级吸附球</w:t>
            </w:r>
          </w:p>
        </w:tc>
        <w:tc>
          <w:tcPr>
            <w:tcW w:w="3127"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A型</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kg</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13</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消音器</w:t>
            </w:r>
          </w:p>
        </w:tc>
        <w:tc>
          <w:tcPr>
            <w:tcW w:w="3127" w:type="dxa"/>
            <w:shd w:val="clear" w:color="auto" w:fill="auto"/>
            <w:vAlign w:val="center"/>
          </w:tcPr>
          <w:p>
            <w:pPr>
              <w:jc w:val="center"/>
              <w:rPr>
                <w:rFonts w:hint="default" w:ascii="华文楷体" w:hAnsi="华文楷体" w:eastAsia="华文楷体" w:cs="华文楷体"/>
                <w:sz w:val="21"/>
                <w:szCs w:val="21"/>
                <w:lang w:val="en-US" w:eastAsia="zh-CN"/>
              </w:rPr>
            </w:pPr>
            <w:r>
              <w:rPr>
                <w:rFonts w:hint="eastAsia" w:ascii="微软雅黑" w:hAnsi="微软雅黑" w:eastAsia="微软雅黑" w:cstheme="minorBidi"/>
                <w:kern w:val="0"/>
                <w:sz w:val="21"/>
                <w:szCs w:val="21"/>
                <w:lang w:val="en-US" w:eastAsia="zh-CN" w:bidi="ar-SA"/>
              </w:rPr>
              <w:t>XY-10</w:t>
            </w:r>
          </w:p>
        </w:tc>
        <w:tc>
          <w:tcPr>
            <w:tcW w:w="1095"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14</w:t>
            </w:r>
          </w:p>
        </w:tc>
        <w:tc>
          <w:tcPr>
            <w:tcW w:w="2302" w:type="dxa"/>
            <w:shd w:val="clear" w:color="auto" w:fill="auto"/>
            <w:vAlign w:val="center"/>
          </w:tcPr>
          <w:p>
            <w:pPr>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过滤器（排水）</w:t>
            </w:r>
          </w:p>
        </w:tc>
        <w:tc>
          <w:tcPr>
            <w:tcW w:w="3127"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HFIIA004</w:t>
            </w:r>
          </w:p>
        </w:tc>
        <w:tc>
          <w:tcPr>
            <w:tcW w:w="1095"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个</w:t>
            </w:r>
          </w:p>
        </w:tc>
        <w:tc>
          <w:tcPr>
            <w:tcW w:w="1196" w:type="dxa"/>
            <w:shd w:val="clear" w:color="auto" w:fill="auto"/>
            <w:vAlign w:val="center"/>
          </w:tcPr>
          <w:p>
            <w:pPr>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15</w:t>
            </w:r>
          </w:p>
        </w:tc>
        <w:tc>
          <w:tcPr>
            <w:tcW w:w="2302" w:type="dxa"/>
            <w:shd w:val="clear" w:color="auto" w:fill="auto"/>
            <w:vAlign w:val="center"/>
          </w:tcPr>
          <w:p>
            <w:pPr>
              <w:ind w:left="0" w:leftChars="0"/>
              <w:jc w:val="left"/>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油管</w:t>
            </w:r>
          </w:p>
        </w:tc>
        <w:tc>
          <w:tcPr>
            <w:tcW w:w="3127" w:type="dxa"/>
            <w:shd w:val="clear" w:color="auto" w:fill="auto"/>
            <w:vAlign w:val="center"/>
          </w:tcPr>
          <w:p>
            <w:pPr>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EN853-15N-5/8 DN16</w:t>
            </w:r>
          </w:p>
        </w:tc>
        <w:tc>
          <w:tcPr>
            <w:tcW w:w="1095"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条</w:t>
            </w:r>
          </w:p>
        </w:tc>
        <w:tc>
          <w:tcPr>
            <w:tcW w:w="1196"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796" w:type="dxa"/>
            <w:shd w:val="clear" w:color="auto" w:fill="auto"/>
            <w:vAlign w:val="center"/>
          </w:tcPr>
          <w:p>
            <w:pPr>
              <w:spacing w:line="360" w:lineRule="auto"/>
              <w:jc w:val="center"/>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16</w:t>
            </w:r>
          </w:p>
        </w:tc>
        <w:tc>
          <w:tcPr>
            <w:tcW w:w="2302" w:type="dxa"/>
            <w:shd w:val="clear" w:color="auto" w:fill="auto"/>
            <w:vAlign w:val="center"/>
          </w:tcPr>
          <w:p>
            <w:pPr>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油管</w:t>
            </w:r>
          </w:p>
        </w:tc>
        <w:tc>
          <w:tcPr>
            <w:tcW w:w="3127" w:type="dxa"/>
            <w:shd w:val="clear" w:color="auto" w:fill="auto"/>
            <w:vAlign w:val="center"/>
          </w:tcPr>
          <w:p>
            <w:pPr>
              <w:ind w:left="0" w:leftChars="0"/>
              <w:jc w:val="left"/>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EN853-15N-5/8 DN16</w:t>
            </w:r>
          </w:p>
        </w:tc>
        <w:tc>
          <w:tcPr>
            <w:tcW w:w="1095" w:type="dxa"/>
            <w:shd w:val="clear" w:color="auto" w:fill="auto"/>
            <w:vAlign w:val="center"/>
          </w:tcPr>
          <w:p>
            <w:pPr>
              <w:jc w:val="center"/>
              <w:rPr>
                <w:rFonts w:hint="eastAsia" w:ascii="微软雅黑" w:hAnsi="微软雅黑" w:eastAsia="微软雅黑" w:cstheme="minorBidi"/>
                <w:kern w:val="0"/>
                <w:sz w:val="21"/>
                <w:szCs w:val="21"/>
                <w:lang w:val="en-US" w:eastAsia="zh-CN" w:bidi="ar-SA"/>
              </w:rPr>
            </w:pPr>
            <w:r>
              <w:rPr>
                <w:rFonts w:hint="eastAsia" w:ascii="微软雅黑" w:hAnsi="微软雅黑" w:eastAsia="微软雅黑"/>
                <w:sz w:val="21"/>
                <w:szCs w:val="21"/>
                <w:lang w:val="en-US" w:eastAsia="zh-CN"/>
              </w:rPr>
              <w:t>条</w:t>
            </w:r>
          </w:p>
        </w:tc>
        <w:tc>
          <w:tcPr>
            <w:tcW w:w="1196" w:type="dxa"/>
            <w:shd w:val="clear" w:color="auto" w:fill="auto"/>
            <w:vAlign w:val="center"/>
          </w:tcPr>
          <w:p>
            <w:pPr>
              <w:jc w:val="center"/>
              <w:rPr>
                <w:rFonts w:hint="default" w:ascii="微软雅黑" w:hAnsi="微软雅黑" w:eastAsia="微软雅黑" w:cstheme="minorBidi"/>
                <w:kern w:val="0"/>
                <w:sz w:val="21"/>
                <w:szCs w:val="21"/>
                <w:lang w:val="en-US" w:eastAsia="zh-CN" w:bidi="ar-SA"/>
              </w:rPr>
            </w:pPr>
            <w:r>
              <w:rPr>
                <w:rFonts w:hint="eastAsia" w:ascii="微软雅黑" w:hAnsi="微软雅黑" w:eastAsia="微软雅黑" w:cstheme="minorBidi"/>
                <w:kern w:val="0"/>
                <w:sz w:val="21"/>
                <w:szCs w:val="21"/>
                <w:lang w:val="en-US" w:eastAsia="zh-CN" w:bidi="ar-SA"/>
              </w:rPr>
              <w:t>2</w:t>
            </w:r>
          </w:p>
        </w:tc>
      </w:tr>
    </w:tbl>
    <w:p>
      <w:pPr>
        <w:pStyle w:val="4"/>
        <w:numPr>
          <w:ilvl w:val="0"/>
          <w:numId w:val="6"/>
        </w:numPr>
        <w:spacing w:line="257" w:lineRule="auto"/>
        <w:ind w:left="0" w:leftChars="0" w:right="121" w:rightChars="55" w:firstLine="210" w:firstLineChars="100"/>
        <w:rPr>
          <w:rFonts w:hint="eastAsia"/>
          <w:color w:val="auto"/>
          <w:highlight w:val="none"/>
          <w:lang w:eastAsia="zh-CN"/>
        </w:rPr>
      </w:pPr>
      <w:r>
        <w:rPr>
          <w:rFonts w:hint="eastAsia"/>
          <w:color w:val="auto"/>
          <w:highlight w:val="none"/>
          <w:lang w:eastAsia="zh-CN"/>
        </w:rPr>
        <w:t>人员要求：</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1448"/>
        <w:gridCol w:w="841"/>
        <w:gridCol w:w="5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03" w:type="dxa"/>
            <w:vAlign w:val="top"/>
          </w:tcPr>
          <w:p>
            <w:pPr>
              <w:pStyle w:val="4"/>
              <w:spacing w:line="257" w:lineRule="auto"/>
              <w:ind w:right="121" w:rightChars="55" w:firstLine="0" w:firstLineChars="0"/>
              <w:jc w:val="center"/>
              <w:rPr>
                <w:rFonts w:hint="eastAsia"/>
                <w:lang w:eastAsia="zh-CN"/>
              </w:rPr>
            </w:pPr>
            <w:r>
              <w:rPr>
                <w:rFonts w:hint="eastAsia"/>
                <w:lang w:eastAsia="zh-CN"/>
              </w:rPr>
              <w:t>序号</w:t>
            </w:r>
          </w:p>
        </w:tc>
        <w:tc>
          <w:tcPr>
            <w:tcW w:w="1448" w:type="dxa"/>
            <w:vAlign w:val="top"/>
          </w:tcPr>
          <w:p>
            <w:pPr>
              <w:pStyle w:val="4"/>
              <w:spacing w:line="257" w:lineRule="auto"/>
              <w:ind w:right="121" w:rightChars="55" w:firstLine="0" w:firstLineChars="0"/>
              <w:jc w:val="center"/>
              <w:rPr>
                <w:rFonts w:hint="eastAsia"/>
                <w:lang w:eastAsia="zh-CN"/>
              </w:rPr>
            </w:pPr>
            <w:r>
              <w:rPr>
                <w:rFonts w:hint="eastAsia"/>
                <w:lang w:eastAsia="zh-CN"/>
              </w:rPr>
              <w:t>工程类别</w:t>
            </w:r>
          </w:p>
        </w:tc>
        <w:tc>
          <w:tcPr>
            <w:tcW w:w="841" w:type="dxa"/>
            <w:vAlign w:val="top"/>
          </w:tcPr>
          <w:p>
            <w:pPr>
              <w:pStyle w:val="4"/>
              <w:spacing w:line="257" w:lineRule="auto"/>
              <w:ind w:right="121" w:rightChars="55" w:firstLine="0" w:firstLineChars="0"/>
              <w:jc w:val="center"/>
              <w:rPr>
                <w:rFonts w:hint="eastAsia"/>
                <w:lang w:eastAsia="zh-CN"/>
              </w:rPr>
            </w:pPr>
            <w:r>
              <w:rPr>
                <w:rFonts w:hint="eastAsia"/>
                <w:lang w:eastAsia="zh-CN"/>
              </w:rPr>
              <w:t>人数</w:t>
            </w:r>
          </w:p>
        </w:tc>
        <w:tc>
          <w:tcPr>
            <w:tcW w:w="5430" w:type="dxa"/>
            <w:vAlign w:val="top"/>
          </w:tcPr>
          <w:p>
            <w:pPr>
              <w:pStyle w:val="4"/>
              <w:spacing w:line="257" w:lineRule="auto"/>
              <w:ind w:right="121" w:rightChars="55" w:firstLine="0" w:firstLineChars="0"/>
              <w:rPr>
                <w:rFonts w:hint="eastAsia"/>
                <w:lang w:eastAsia="zh-CN"/>
              </w:rPr>
            </w:pPr>
            <w:r>
              <w:rPr>
                <w:rFonts w:hint="eastAsia"/>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03" w:type="dxa"/>
            <w:vAlign w:val="top"/>
          </w:tcPr>
          <w:p>
            <w:pPr>
              <w:pStyle w:val="4"/>
              <w:spacing w:line="257" w:lineRule="auto"/>
              <w:ind w:right="121" w:rightChars="55" w:firstLine="0" w:firstLineChars="0"/>
              <w:jc w:val="center"/>
              <w:rPr>
                <w:rFonts w:hint="eastAsia"/>
                <w:lang w:eastAsia="zh-CN"/>
              </w:rPr>
            </w:pPr>
            <w:r>
              <w:rPr>
                <w:rFonts w:hint="eastAsia"/>
                <w:lang w:eastAsia="zh-CN"/>
              </w:rPr>
              <w:t>1</w:t>
            </w:r>
          </w:p>
        </w:tc>
        <w:tc>
          <w:tcPr>
            <w:tcW w:w="1448" w:type="dxa"/>
            <w:vAlign w:val="top"/>
          </w:tcPr>
          <w:p>
            <w:pPr>
              <w:pStyle w:val="4"/>
              <w:spacing w:line="257" w:lineRule="auto"/>
              <w:ind w:right="121" w:rightChars="55" w:firstLine="0" w:firstLineChars="0"/>
              <w:jc w:val="center"/>
              <w:rPr>
                <w:rFonts w:hint="eastAsia"/>
                <w:lang w:eastAsia="zh-CN"/>
              </w:rPr>
            </w:pPr>
            <w:r>
              <w:rPr>
                <w:rFonts w:hint="eastAsia"/>
                <w:lang w:eastAsia="zh-CN"/>
              </w:rPr>
              <w:t>项目经理</w:t>
            </w:r>
          </w:p>
        </w:tc>
        <w:tc>
          <w:tcPr>
            <w:tcW w:w="841" w:type="dxa"/>
            <w:vAlign w:val="top"/>
          </w:tcPr>
          <w:p>
            <w:pPr>
              <w:pStyle w:val="4"/>
              <w:spacing w:line="257" w:lineRule="auto"/>
              <w:ind w:right="121" w:rightChars="55" w:firstLine="0" w:firstLineChars="0"/>
              <w:jc w:val="center"/>
              <w:rPr>
                <w:rFonts w:hint="eastAsia"/>
                <w:lang w:eastAsia="zh-CN"/>
              </w:rPr>
            </w:pPr>
            <w:r>
              <w:rPr>
                <w:rFonts w:hint="eastAsia"/>
                <w:lang w:eastAsia="zh-CN"/>
              </w:rPr>
              <w:t>1</w:t>
            </w:r>
          </w:p>
        </w:tc>
        <w:tc>
          <w:tcPr>
            <w:tcW w:w="5430" w:type="dxa"/>
            <w:vAlign w:val="top"/>
          </w:tcPr>
          <w:p>
            <w:pPr>
              <w:pStyle w:val="4"/>
              <w:spacing w:line="257" w:lineRule="auto"/>
              <w:ind w:right="121" w:rightChars="55" w:firstLine="0" w:firstLineChars="0"/>
              <w:rPr>
                <w:rFonts w:hint="eastAsia"/>
                <w:lang w:eastAsia="zh-CN"/>
              </w:rPr>
            </w:pPr>
            <w:r>
              <w:rPr>
                <w:rFonts w:hint="eastAsia"/>
                <w:lang w:eastAsia="zh-CN"/>
              </w:rPr>
              <w:t>具备</w:t>
            </w:r>
            <w:r>
              <w:rPr>
                <w:rFonts w:hint="eastAsia"/>
                <w:lang w:val="en-US" w:eastAsia="zh-CN"/>
              </w:rPr>
              <w:t>二</w:t>
            </w:r>
            <w:r>
              <w:rPr>
                <w:rFonts w:hint="eastAsia"/>
                <w:lang w:eastAsia="zh-CN"/>
              </w:rPr>
              <w:t>级注册建造师资格或环保类副高级及以上职称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03" w:type="dxa"/>
            <w:vAlign w:val="top"/>
          </w:tcPr>
          <w:p>
            <w:pPr>
              <w:pStyle w:val="4"/>
              <w:spacing w:line="257" w:lineRule="auto"/>
              <w:ind w:right="121" w:rightChars="55" w:firstLine="0" w:firstLineChars="0"/>
              <w:jc w:val="center"/>
              <w:rPr>
                <w:rFonts w:hint="eastAsia"/>
                <w:lang w:eastAsia="zh-CN"/>
              </w:rPr>
            </w:pPr>
            <w:r>
              <w:rPr>
                <w:rFonts w:hint="eastAsia"/>
                <w:lang w:eastAsia="zh-CN"/>
              </w:rPr>
              <w:t>2</w:t>
            </w:r>
          </w:p>
        </w:tc>
        <w:tc>
          <w:tcPr>
            <w:tcW w:w="1448" w:type="dxa"/>
            <w:vAlign w:val="top"/>
          </w:tcPr>
          <w:p>
            <w:pPr>
              <w:pStyle w:val="4"/>
              <w:spacing w:line="257" w:lineRule="auto"/>
              <w:ind w:right="121" w:rightChars="55" w:firstLine="0" w:firstLineChars="0"/>
              <w:jc w:val="center"/>
              <w:rPr>
                <w:rFonts w:hint="eastAsia"/>
                <w:lang w:eastAsia="zh-CN"/>
              </w:rPr>
            </w:pPr>
            <w:r>
              <w:rPr>
                <w:rFonts w:hint="eastAsia"/>
                <w:lang w:eastAsia="zh-CN"/>
              </w:rPr>
              <w:t>技术负责人</w:t>
            </w:r>
          </w:p>
        </w:tc>
        <w:tc>
          <w:tcPr>
            <w:tcW w:w="841" w:type="dxa"/>
            <w:vAlign w:val="top"/>
          </w:tcPr>
          <w:p>
            <w:pPr>
              <w:pStyle w:val="4"/>
              <w:spacing w:line="257" w:lineRule="auto"/>
              <w:ind w:right="121" w:rightChars="55" w:firstLine="0" w:firstLineChars="0"/>
              <w:jc w:val="center"/>
              <w:rPr>
                <w:rFonts w:hint="eastAsia"/>
                <w:lang w:eastAsia="zh-CN"/>
              </w:rPr>
            </w:pPr>
            <w:r>
              <w:rPr>
                <w:rFonts w:hint="eastAsia"/>
                <w:lang w:eastAsia="zh-CN"/>
              </w:rPr>
              <w:t>1</w:t>
            </w:r>
          </w:p>
        </w:tc>
        <w:tc>
          <w:tcPr>
            <w:tcW w:w="5430" w:type="dxa"/>
            <w:vAlign w:val="top"/>
          </w:tcPr>
          <w:p>
            <w:pPr>
              <w:pStyle w:val="4"/>
              <w:spacing w:line="257" w:lineRule="auto"/>
              <w:ind w:right="121" w:rightChars="55" w:firstLine="0" w:firstLineChars="0"/>
              <w:rPr>
                <w:rFonts w:hint="eastAsia"/>
                <w:lang w:eastAsia="zh-CN"/>
              </w:rPr>
            </w:pPr>
            <w:r>
              <w:rPr>
                <w:rFonts w:hint="eastAsia"/>
                <w:lang w:eastAsia="zh-CN"/>
              </w:rPr>
              <w:t>具有工程序列中级及以上职称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03" w:type="dxa"/>
            <w:vAlign w:val="top"/>
          </w:tcPr>
          <w:p>
            <w:pPr>
              <w:pStyle w:val="4"/>
              <w:spacing w:line="257" w:lineRule="auto"/>
              <w:ind w:right="121" w:rightChars="55" w:firstLine="0" w:firstLineChars="0"/>
              <w:jc w:val="center"/>
              <w:rPr>
                <w:rFonts w:hint="eastAsia"/>
                <w:lang w:eastAsia="zh-CN"/>
              </w:rPr>
            </w:pPr>
            <w:r>
              <w:rPr>
                <w:rFonts w:hint="eastAsia"/>
                <w:lang w:eastAsia="zh-CN"/>
              </w:rPr>
              <w:t>3</w:t>
            </w:r>
          </w:p>
        </w:tc>
        <w:tc>
          <w:tcPr>
            <w:tcW w:w="1448" w:type="dxa"/>
            <w:vAlign w:val="top"/>
          </w:tcPr>
          <w:p>
            <w:pPr>
              <w:pStyle w:val="4"/>
              <w:spacing w:line="257" w:lineRule="auto"/>
              <w:ind w:right="121" w:rightChars="55" w:firstLine="0" w:firstLineChars="0"/>
              <w:jc w:val="center"/>
              <w:rPr>
                <w:rFonts w:hint="eastAsia"/>
                <w:lang w:eastAsia="zh-CN"/>
              </w:rPr>
            </w:pPr>
            <w:r>
              <w:rPr>
                <w:rFonts w:hint="eastAsia"/>
                <w:lang w:eastAsia="zh-CN"/>
              </w:rPr>
              <w:t>安全员</w:t>
            </w:r>
          </w:p>
        </w:tc>
        <w:tc>
          <w:tcPr>
            <w:tcW w:w="841" w:type="dxa"/>
            <w:vAlign w:val="top"/>
          </w:tcPr>
          <w:p>
            <w:pPr>
              <w:pStyle w:val="4"/>
              <w:spacing w:line="257" w:lineRule="auto"/>
              <w:ind w:right="121" w:rightChars="55" w:firstLine="0" w:firstLineChars="0"/>
              <w:jc w:val="center"/>
              <w:rPr>
                <w:rFonts w:hint="eastAsia"/>
                <w:lang w:eastAsia="zh-CN"/>
              </w:rPr>
            </w:pPr>
            <w:r>
              <w:rPr>
                <w:rFonts w:hint="eastAsia"/>
                <w:lang w:eastAsia="zh-CN"/>
              </w:rPr>
              <w:t>1</w:t>
            </w:r>
          </w:p>
        </w:tc>
        <w:tc>
          <w:tcPr>
            <w:tcW w:w="5430" w:type="dxa"/>
            <w:vAlign w:val="top"/>
          </w:tcPr>
          <w:p>
            <w:pPr>
              <w:pStyle w:val="4"/>
              <w:spacing w:line="257" w:lineRule="auto"/>
              <w:ind w:right="121" w:rightChars="55" w:firstLine="0" w:firstLineChars="0"/>
              <w:rPr>
                <w:rFonts w:hint="eastAsia"/>
                <w:lang w:eastAsia="zh-CN"/>
              </w:rPr>
            </w:pPr>
            <w:r>
              <w:rPr>
                <w:rFonts w:hint="eastAsia"/>
                <w:lang w:eastAsia="zh-CN"/>
              </w:rPr>
              <w:t>具有专职安全生产管理人员安全生产合格证书（C类）</w:t>
            </w:r>
          </w:p>
        </w:tc>
      </w:tr>
    </w:tbl>
    <w:p>
      <w:pPr>
        <w:pStyle w:val="4"/>
        <w:spacing w:line="257" w:lineRule="auto"/>
        <w:ind w:left="0" w:leftChars="0" w:right="121" w:rightChars="55" w:firstLine="210" w:firstLineChars="100"/>
        <w:rPr>
          <w:color w:val="FF0000"/>
          <w:lang w:eastAsia="zh-CN"/>
        </w:rPr>
      </w:pPr>
      <w:r>
        <w:rPr>
          <w:rFonts w:hint="eastAsia"/>
          <w:color w:val="auto"/>
          <w:lang w:val="en-US" w:eastAsia="zh-CN"/>
        </w:rPr>
        <w:t>4</w:t>
      </w:r>
      <w:r>
        <w:rPr>
          <w:rFonts w:hint="eastAsia"/>
          <w:color w:val="auto"/>
          <w:lang w:eastAsia="zh-CN"/>
        </w:rPr>
        <w:t>、</w:t>
      </w:r>
      <w:r>
        <w:rPr>
          <w:rFonts w:hint="eastAsia"/>
          <w:color w:val="auto"/>
          <w:lang w:val="en-US" w:eastAsia="zh-CN"/>
        </w:rPr>
        <w:t xml:space="preserve"> </w:t>
      </w:r>
      <w:r>
        <w:rPr>
          <w:rFonts w:hint="eastAsia"/>
          <w:color w:val="auto"/>
          <w:lang w:eastAsia="zh-CN"/>
        </w:rPr>
        <w:t>场地要求：</w:t>
      </w:r>
      <w:r>
        <w:rPr>
          <w:rFonts w:hint="eastAsia"/>
          <w:color w:val="auto"/>
          <w:highlight w:val="none"/>
          <w:lang w:val="en-US" w:eastAsia="zh-CN"/>
        </w:rPr>
        <w:t>施工现工具摆放整齐</w:t>
      </w:r>
      <w:r>
        <w:rPr>
          <w:rFonts w:hint="eastAsia"/>
          <w:highlight w:val="none"/>
          <w:lang w:val="en-US" w:eastAsia="zh-CN"/>
        </w:rPr>
        <w:t>，并做好现场监护和警戒。</w:t>
      </w:r>
    </w:p>
    <w:p>
      <w:pPr>
        <w:pStyle w:val="5"/>
        <w:ind w:left="0"/>
        <w:outlineLvl w:val="0"/>
        <w:rPr>
          <w:rFonts w:ascii="微软雅黑" w:hAnsi="微软雅黑" w:eastAsia="微软雅黑"/>
          <w:bCs/>
          <w:sz w:val="32"/>
          <w:szCs w:val="32"/>
        </w:rPr>
      </w:pPr>
      <w:r>
        <w:rPr>
          <w:rFonts w:hint="eastAsia" w:ascii="微软雅黑" w:hAnsi="微软雅黑" w:eastAsia="微软雅黑"/>
          <w:bCs/>
          <w:sz w:val="32"/>
          <w:szCs w:val="32"/>
        </w:rPr>
        <w:t>六、服务进度跟踪</w:t>
      </w:r>
    </w:p>
    <w:p>
      <w:pPr>
        <w:pStyle w:val="4"/>
        <w:spacing w:line="257" w:lineRule="auto"/>
        <w:ind w:right="121" w:rightChars="55" w:firstLine="210" w:firstLineChars="100"/>
        <w:rPr>
          <w:rFonts w:hint="default"/>
          <w:lang w:val="en-US" w:eastAsia="zh-CN"/>
        </w:rPr>
      </w:pPr>
      <w:r>
        <w:rPr>
          <w:rFonts w:hint="eastAsia"/>
          <w:lang w:eastAsia="zh-CN"/>
        </w:rPr>
        <w:t>1、合同签定后，</w:t>
      </w:r>
      <w:r>
        <w:rPr>
          <w:rFonts w:hint="eastAsia"/>
          <w:lang w:val="en-US" w:eastAsia="zh-CN"/>
        </w:rPr>
        <w:t>75日</w:t>
      </w:r>
      <w:r>
        <w:rPr>
          <w:rFonts w:hint="eastAsia"/>
          <w:lang w:eastAsia="zh-CN"/>
        </w:rPr>
        <w:t>内完成</w:t>
      </w:r>
      <w:r>
        <w:rPr>
          <w:rFonts w:hint="eastAsia"/>
          <w:lang w:val="en-US" w:eastAsia="zh-CN"/>
        </w:rPr>
        <w:t>服务工作</w:t>
      </w:r>
      <w:r>
        <w:rPr>
          <w:rFonts w:hint="eastAsia"/>
          <w:lang w:eastAsia="zh-CN"/>
        </w:rPr>
        <w:t>。</w:t>
      </w:r>
    </w:p>
    <w:p>
      <w:pPr>
        <w:pStyle w:val="5"/>
        <w:ind w:left="0"/>
        <w:outlineLvl w:val="0"/>
        <w:rPr>
          <w:rFonts w:ascii="微软雅黑" w:hAnsi="微软雅黑" w:eastAsia="微软雅黑" w:cs="微软雅黑"/>
          <w:sz w:val="32"/>
          <w:szCs w:val="32"/>
        </w:rPr>
      </w:pPr>
      <w:r>
        <w:rPr>
          <w:rFonts w:hint="eastAsia" w:ascii="微软雅黑" w:hAnsi="微软雅黑" w:eastAsia="微软雅黑" w:cs="微软雅黑"/>
          <w:sz w:val="32"/>
          <w:szCs w:val="32"/>
        </w:rPr>
        <w:t>七、服务及验收标准</w:t>
      </w:r>
    </w:p>
    <w:p>
      <w:pPr>
        <w:pStyle w:val="3"/>
        <w:spacing w:line="240" w:lineRule="auto"/>
        <w:ind w:firstLine="210" w:firstLineChars="100"/>
        <w:jc w:val="both"/>
        <w:rPr>
          <w:rFonts w:hint="eastAsia" w:ascii="微软雅黑" w:hAnsi="微软雅黑" w:eastAsia="微软雅黑" w:cs="微软雅黑"/>
          <w:spacing w:val="0"/>
          <w:sz w:val="21"/>
          <w:szCs w:val="21"/>
        </w:rPr>
      </w:pPr>
      <w:r>
        <w:rPr>
          <w:rFonts w:ascii="微软雅黑" w:hAnsi="微软雅黑" w:eastAsia="微软雅黑" w:cs="微软雅黑"/>
          <w:spacing w:val="0"/>
          <w:sz w:val="21"/>
          <w:szCs w:val="21"/>
        </w:rPr>
        <w:t>1</w:t>
      </w:r>
      <w:r>
        <w:rPr>
          <w:rFonts w:hint="eastAsia" w:ascii="微软雅黑" w:hAnsi="微软雅黑" w:eastAsia="微软雅黑" w:cs="微软雅黑"/>
          <w:spacing w:val="0"/>
          <w:sz w:val="21"/>
          <w:szCs w:val="21"/>
        </w:rPr>
        <w:t>、验收形式：分阶段验收</w:t>
      </w:r>
    </w:p>
    <w:p>
      <w:pPr>
        <w:ind w:firstLine="210" w:firstLineChars="10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到货验收：设备到达甲方安装现场后，买卖双方共同对设备按照装箱清单进行检查验收，由业主指定代表、卖方进行签字确认。</w:t>
      </w:r>
    </w:p>
    <w:p>
      <w:pPr>
        <w:ind w:firstLine="210" w:firstLineChars="10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最终验收：装置安装完成</w:t>
      </w:r>
      <w:r>
        <w:rPr>
          <w:rFonts w:hint="eastAsia" w:ascii="微软雅黑" w:hAnsi="微软雅黑" w:eastAsia="微软雅黑" w:cs="微软雅黑"/>
          <w:sz w:val="21"/>
          <w:szCs w:val="21"/>
          <w:lang w:val="en-US" w:eastAsia="zh-CN"/>
        </w:rPr>
        <w:t>及</w:t>
      </w:r>
      <w:r>
        <w:rPr>
          <w:rFonts w:hint="eastAsia" w:ascii="微软雅黑" w:hAnsi="微软雅黑" w:eastAsia="微软雅黑" w:cs="微软雅黑"/>
          <w:sz w:val="21"/>
          <w:szCs w:val="21"/>
          <w:lang w:eastAsia="zh-CN"/>
        </w:rPr>
        <w:t>调试，</w:t>
      </w:r>
      <w:r>
        <w:rPr>
          <w:rFonts w:hint="eastAsia" w:ascii="微软雅黑" w:hAnsi="微软雅黑" w:eastAsia="微软雅黑" w:cs="微软雅黑"/>
          <w:sz w:val="21"/>
          <w:szCs w:val="21"/>
          <w:lang w:val="en-US" w:eastAsia="zh-CN"/>
        </w:rPr>
        <w:t>并</w:t>
      </w:r>
      <w:r>
        <w:rPr>
          <w:rFonts w:hint="eastAsia" w:ascii="微软雅黑" w:hAnsi="微软雅黑" w:eastAsia="微软雅黑" w:cs="微软雅黑"/>
          <w:sz w:val="21"/>
          <w:szCs w:val="21"/>
          <w:lang w:eastAsia="zh-CN"/>
        </w:rPr>
        <w:t>由第三方检测公司，对设备进出口油气浓度进行检测，满足</w:t>
      </w:r>
      <w:r>
        <w:rPr>
          <w:rFonts w:hint="eastAsia" w:ascii="微软雅黑" w:hAnsi="微软雅黑" w:eastAsia="微软雅黑" w:cs="微软雅黑"/>
          <w:sz w:val="21"/>
          <w:szCs w:val="21"/>
          <w:lang w:val="en-US" w:eastAsia="zh-CN"/>
        </w:rPr>
        <w:t>技术要求</w:t>
      </w:r>
      <w:r>
        <w:rPr>
          <w:rFonts w:hint="eastAsia" w:ascii="微软雅黑" w:hAnsi="微软雅黑" w:eastAsia="微软雅黑" w:cs="微软雅黑"/>
          <w:sz w:val="21"/>
          <w:szCs w:val="21"/>
          <w:lang w:eastAsia="zh-CN"/>
        </w:rPr>
        <w:t>后由业主指定代表、乙方进行签字确认。</w:t>
      </w:r>
    </w:p>
    <w:p>
      <w:pPr>
        <w:pStyle w:val="2"/>
        <w:spacing w:line="360" w:lineRule="auto"/>
        <w:rPr>
          <w:lang w:eastAsia="zh-CN"/>
        </w:rPr>
      </w:pPr>
      <w:r>
        <w:rPr>
          <w:rFonts w:hint="eastAsia" w:ascii="微软雅黑" w:hAnsi="微软雅黑" w:eastAsia="微软雅黑" w:cs="微软雅黑"/>
          <w:sz w:val="21"/>
          <w:szCs w:val="21"/>
          <w:lang w:eastAsia="zh-CN"/>
        </w:rPr>
        <w:t>2、如验收过程中出现工作存在任何缺陷、缺漏，乙方应根据甲方要求，立即采取一切必要、合理的补救措施排除该等缺陷、疏漏。乙方应承担因此发生的一切费用。</w:t>
      </w:r>
    </w:p>
    <w:p>
      <w:pPr>
        <w:pStyle w:val="4"/>
        <w:spacing w:line="257" w:lineRule="auto"/>
        <w:ind w:right="121" w:rightChars="55" w:firstLine="283" w:firstLineChars="135"/>
        <w:rPr>
          <w:rFonts w:hint="eastAsia" w:eastAsia="微软雅黑"/>
          <w:lang w:eastAsia="zh-CN"/>
        </w:rPr>
      </w:pPr>
      <w:r>
        <w:rPr>
          <w:rFonts w:hint="eastAsia"/>
          <w:lang w:eastAsia="zh-CN"/>
        </w:rPr>
        <w:t>1、服务标准：</w:t>
      </w:r>
      <w:r>
        <w:rPr>
          <w:rFonts w:hint="eastAsia" w:ascii="微软雅黑" w:hAnsi="微软雅黑" w:eastAsia="微软雅黑" w:cs="微软雅黑"/>
          <w:sz w:val="21"/>
          <w:szCs w:val="21"/>
        </w:rPr>
        <w:t>按服务进度要求完成</w:t>
      </w:r>
      <w:r>
        <w:rPr>
          <w:rFonts w:hint="eastAsia" w:ascii="微软雅黑" w:hAnsi="微软雅黑" w:eastAsia="微软雅黑" w:cs="微软雅黑"/>
          <w:sz w:val="21"/>
          <w:szCs w:val="21"/>
          <w:lang w:eastAsia="zh-CN"/>
        </w:rPr>
        <w:t>。</w:t>
      </w:r>
    </w:p>
    <w:p>
      <w:pPr>
        <w:pStyle w:val="3"/>
        <w:spacing w:line="240" w:lineRule="auto"/>
        <w:ind w:left="284" w:leftChars="129"/>
        <w:jc w:val="both"/>
        <w:rPr>
          <w:rFonts w:hint="default" w:eastAsia="微软雅黑"/>
          <w:color w:val="auto"/>
          <w:lang w:val="en-US" w:eastAsia="zh-CN"/>
        </w:rPr>
      </w:pPr>
      <w:r>
        <w:rPr>
          <w:rFonts w:hint="eastAsia"/>
          <w:sz w:val="21"/>
          <w:szCs w:val="21"/>
          <w:lang w:eastAsia="zh-CN"/>
        </w:rPr>
        <w:t>2、验收标准：</w:t>
      </w:r>
      <w:r>
        <w:rPr>
          <w:rFonts w:hint="eastAsia"/>
          <w:sz w:val="21"/>
          <w:szCs w:val="21"/>
          <w:lang w:val="en-US" w:eastAsia="zh-CN"/>
        </w:rPr>
        <w:t>①油气回收装置：完工</w:t>
      </w:r>
      <w:r>
        <w:rPr>
          <w:rFonts w:hint="eastAsia" w:ascii="微软雅黑" w:hAnsi="微软雅黑" w:eastAsia="微软雅黑"/>
          <w:sz w:val="21"/>
          <w:szCs w:val="21"/>
        </w:rPr>
        <w:t>后</w:t>
      </w:r>
      <w:r>
        <w:rPr>
          <w:rFonts w:hint="eastAsia" w:ascii="微软雅黑" w:hAnsi="微软雅黑" w:eastAsia="微软雅黑" w:cs="微软雅黑"/>
          <w:sz w:val="21"/>
          <w:szCs w:val="21"/>
        </w:rPr>
        <w:t>任何时刻的尾</w:t>
      </w:r>
      <w:r>
        <w:rPr>
          <w:rFonts w:hint="eastAsia" w:ascii="微软雅黑" w:hAnsi="微软雅黑" w:eastAsia="微软雅黑"/>
          <w:sz w:val="21"/>
          <w:szCs w:val="21"/>
        </w:rPr>
        <w:t>气浓度低于</w:t>
      </w:r>
      <w:r>
        <w:rPr>
          <w:rFonts w:hint="eastAsia" w:ascii="微软雅黑" w:hAnsi="微软雅黑" w:eastAsia="微软雅黑" w:cs="微软雅黑"/>
          <w:sz w:val="21"/>
          <w:szCs w:val="21"/>
        </w:rPr>
        <w:t>NMHC ≤ 2</w:t>
      </w:r>
      <w:r>
        <w:rPr>
          <w:rFonts w:hint="eastAsia" w:ascii="微软雅黑" w:hAnsi="微软雅黑" w:eastAsia="微软雅黑" w:cs="微软雅黑"/>
          <w:sz w:val="21"/>
          <w:szCs w:val="21"/>
          <w:lang w:val="en-US" w:eastAsia="zh-CN"/>
        </w:rPr>
        <w:t>0</w:t>
      </w:r>
      <w:r>
        <w:rPr>
          <w:rFonts w:hint="eastAsia" w:ascii="微软雅黑" w:hAnsi="微软雅黑" w:eastAsia="微软雅黑" w:cs="微软雅黑"/>
          <w:sz w:val="21"/>
          <w:szCs w:val="21"/>
        </w:rPr>
        <w:t>g/</w:t>
      </w:r>
      <w:r>
        <w:rPr>
          <w:rFonts w:hint="eastAsia" w:ascii="微软雅黑" w:hAnsi="微软雅黑" w:eastAsia="微软雅黑" w:cs="微软雅黑"/>
          <w:sz w:val="21"/>
          <w:szCs w:val="21"/>
          <w:lang w:val="en-US" w:eastAsia="zh-CN"/>
        </w:rPr>
        <w:t>m³</w:t>
      </w:r>
      <w:r>
        <w:rPr>
          <w:rFonts w:hint="eastAsia" w:ascii="微软雅黑" w:hAnsi="微软雅黑" w:eastAsia="微软雅黑" w:cs="微软雅黑"/>
          <w:sz w:val="21"/>
          <w:szCs w:val="21"/>
        </w:rPr>
        <w:t>排</w:t>
      </w:r>
      <w:r>
        <w:rPr>
          <w:rFonts w:hint="eastAsia" w:ascii="微软雅黑" w:hAnsi="微软雅黑" w:eastAsia="微软雅黑"/>
          <w:sz w:val="21"/>
          <w:szCs w:val="21"/>
        </w:rPr>
        <w:t>放标准要求</w:t>
      </w:r>
      <w:r>
        <w:rPr>
          <w:rFonts w:hint="eastAsia" w:ascii="微软雅黑" w:hAnsi="微软雅黑" w:eastAsia="微软雅黑"/>
          <w:sz w:val="21"/>
          <w:szCs w:val="21"/>
          <w:lang w:eastAsia="zh-CN"/>
        </w:rPr>
        <w:t>，</w:t>
      </w:r>
      <w:r>
        <w:rPr>
          <w:rFonts w:hint="eastAsia" w:ascii="微软雅黑" w:hAnsi="微软雅黑" w:eastAsia="微软雅黑" w:cs="微软雅黑"/>
          <w:color w:val="auto"/>
          <w:sz w:val="21"/>
          <w:szCs w:val="21"/>
          <w:lang w:val="en-US" w:eastAsia="zh-CN"/>
        </w:rPr>
        <w:t>处理效率不低于95%，</w:t>
      </w:r>
      <w:r>
        <w:rPr>
          <w:rFonts w:hint="eastAsia" w:ascii="微软雅黑" w:hAnsi="微软雅黑" w:eastAsia="微软雅黑" w:cs="微软雅黑"/>
          <w:color w:val="auto"/>
          <w:sz w:val="21"/>
          <w:szCs w:val="21"/>
        </w:rPr>
        <w:t>且符合地方政府环保要求。</w:t>
      </w:r>
      <w:r>
        <w:rPr>
          <w:rFonts w:hint="eastAsia" w:ascii="微软雅黑" w:hAnsi="微软雅黑" w:eastAsia="微软雅黑" w:cs="微软雅黑"/>
          <w:color w:val="auto"/>
          <w:sz w:val="21"/>
          <w:szCs w:val="21"/>
          <w:lang w:val="en-US" w:eastAsia="zh-CN"/>
        </w:rPr>
        <w:t>②空压机：更换配件规格型号数量于清单一致，设备运行平稳，压力正常，无漏油无异响。</w:t>
      </w:r>
    </w:p>
    <w:p>
      <w:pPr>
        <w:pStyle w:val="3"/>
        <w:numPr>
          <w:ilvl w:val="0"/>
          <w:numId w:val="0"/>
        </w:numPr>
        <w:spacing w:line="240" w:lineRule="auto"/>
        <w:ind w:firstLine="214" w:firstLineChars="100"/>
        <w:jc w:val="both"/>
        <w:rPr>
          <w:rFonts w:hint="eastAsia" w:ascii="微软雅黑" w:hAnsi="微软雅黑" w:eastAsia="微软雅黑" w:cs="微软雅黑"/>
          <w:spacing w:val="0"/>
          <w:sz w:val="21"/>
          <w:szCs w:val="21"/>
          <w:lang w:eastAsia="zh-CN"/>
        </w:rPr>
      </w:pPr>
      <w:r>
        <w:rPr>
          <w:rFonts w:hint="eastAsia"/>
          <w:sz w:val="21"/>
          <w:szCs w:val="21"/>
          <w:lang w:val="en-US" w:eastAsia="zh-CN"/>
        </w:rPr>
        <w:t>3</w:t>
      </w:r>
      <w:r>
        <w:rPr>
          <w:rFonts w:hint="eastAsia"/>
          <w:sz w:val="21"/>
          <w:szCs w:val="21"/>
          <w:lang w:eastAsia="zh-CN"/>
        </w:rPr>
        <w:t>、</w:t>
      </w:r>
      <w:r>
        <w:rPr>
          <w:rFonts w:hint="eastAsia" w:ascii="微软雅黑" w:hAnsi="微软雅黑" w:eastAsia="微软雅黑" w:cs="微软雅黑"/>
          <w:color w:val="auto"/>
          <w:spacing w:val="0"/>
          <w:sz w:val="21"/>
          <w:szCs w:val="21"/>
        </w:rPr>
        <w:t>完工资料：</w:t>
      </w:r>
      <w:r>
        <w:rPr>
          <w:rFonts w:hint="eastAsia" w:ascii="微软雅黑" w:hAnsi="微软雅黑" w:eastAsia="微软雅黑" w:cs="微软雅黑"/>
          <w:spacing w:val="0"/>
          <w:sz w:val="21"/>
          <w:szCs w:val="21"/>
        </w:rPr>
        <w:t>纸质版完工报告3份，电子扫描版1份（完工报告包括不限于：项目开工申报资料、材料出厂合格证书、检验证书、设计图纸及参数程序、设备出厂检验合格证书、施工过程资料、设备使用说明书、维保手册、调试记录等）</w:t>
      </w:r>
      <w:r>
        <w:rPr>
          <w:rFonts w:hint="eastAsia" w:ascii="微软雅黑" w:hAnsi="微软雅黑" w:eastAsia="微软雅黑" w:cs="微软雅黑"/>
          <w:spacing w:val="0"/>
          <w:sz w:val="21"/>
          <w:szCs w:val="21"/>
          <w:lang w:eastAsia="zh-CN"/>
        </w:rPr>
        <w:t>。</w:t>
      </w:r>
    </w:p>
    <w:p>
      <w:pPr>
        <w:rPr>
          <w:rFonts w:hint="eastAsia" w:ascii="微软雅黑" w:hAnsi="微软雅黑" w:eastAsia="微软雅黑" w:cs="微软雅黑"/>
          <w:spacing w:val="0"/>
          <w:sz w:val="21"/>
          <w:szCs w:val="21"/>
          <w:lang w:eastAsia="zh-CN"/>
        </w:rPr>
      </w:pPr>
    </w:p>
    <w:p>
      <w:pPr>
        <w:pStyle w:val="2"/>
        <w:rPr>
          <w:rFonts w:hint="eastAsia"/>
          <w:lang w:eastAsia="zh-CN"/>
        </w:rPr>
      </w:pPr>
    </w:p>
    <w:p>
      <w:pPr>
        <w:pStyle w:val="5"/>
        <w:ind w:left="0"/>
        <w:outlineLvl w:val="0"/>
        <w:rPr>
          <w:rFonts w:ascii="微软雅黑" w:hAnsi="微软雅黑" w:eastAsia="微软雅黑"/>
          <w:bCs/>
          <w:sz w:val="32"/>
          <w:szCs w:val="32"/>
        </w:rPr>
      </w:pPr>
      <w:r>
        <w:rPr>
          <w:rFonts w:hint="eastAsia" w:ascii="微软雅黑" w:hAnsi="微软雅黑" w:eastAsia="微软雅黑"/>
          <w:bCs/>
          <w:sz w:val="32"/>
          <w:szCs w:val="32"/>
        </w:rPr>
        <w:t>八、质量保证</w:t>
      </w:r>
    </w:p>
    <w:p>
      <w:pPr>
        <w:pStyle w:val="3"/>
        <w:numPr>
          <w:ilvl w:val="0"/>
          <w:numId w:val="7"/>
        </w:numPr>
        <w:spacing w:line="240" w:lineRule="auto"/>
        <w:jc w:val="both"/>
        <w:rPr>
          <w:rFonts w:ascii="微软雅黑" w:hAnsi="微软雅黑" w:eastAsia="微软雅黑"/>
          <w:color w:val="000000" w:themeColor="text1"/>
          <w:sz w:val="21"/>
          <w:szCs w:val="21"/>
          <w14:textFill>
            <w14:solidFill>
              <w14:schemeClr w14:val="tx1"/>
            </w14:solidFill>
          </w14:textFill>
        </w:rPr>
      </w:pPr>
      <w:r>
        <w:rPr>
          <w:rFonts w:hint="eastAsia" w:ascii="微软雅黑" w:hAnsi="微软雅黑" w:eastAsia="微软雅黑"/>
          <w:color w:val="000000" w:themeColor="text1"/>
          <w:sz w:val="21"/>
          <w:szCs w:val="21"/>
          <w14:textFill>
            <w14:solidFill>
              <w14:schemeClr w14:val="tx1"/>
            </w14:solidFill>
          </w14:textFill>
        </w:rPr>
        <w:t>质保期时间、质保金要求；</w:t>
      </w:r>
      <w:r>
        <w:rPr>
          <w:rFonts w:hint="eastAsia" w:ascii="微软雅黑" w:hAnsi="微软雅黑" w:eastAsia="微软雅黑"/>
          <w:color w:val="000000" w:themeColor="text1"/>
          <w:sz w:val="21"/>
          <w:szCs w:val="21"/>
          <w:lang w:val="en-US" w:eastAsia="zh-CN"/>
          <w14:textFill>
            <w14:solidFill>
              <w14:schemeClr w14:val="tx1"/>
            </w14:solidFill>
          </w14:textFill>
        </w:rPr>
        <w:t>质保期12个月，质保金5%。</w:t>
      </w:r>
    </w:p>
    <w:p>
      <w:pPr>
        <w:pStyle w:val="12"/>
        <w:numPr>
          <w:ilvl w:val="0"/>
          <w:numId w:val="7"/>
        </w:numPr>
        <w:spacing w:before="120" w:after="120"/>
        <w:outlineLvl w:val="0"/>
        <w:rPr>
          <w:rFonts w:ascii="微软雅黑" w:hAnsi="微软雅黑" w:eastAsia="微软雅黑" w:cstheme="minorBidi"/>
          <w:sz w:val="21"/>
          <w:szCs w:val="21"/>
        </w:rPr>
      </w:pPr>
      <w:r>
        <w:rPr>
          <w:rFonts w:hint="eastAsia" w:ascii="微软雅黑" w:hAnsi="微软雅黑" w:eastAsia="微软雅黑" w:cstheme="minorBidi"/>
          <w:color w:val="000000" w:themeColor="text1"/>
          <w:spacing w:val="2"/>
          <w:kern w:val="0"/>
          <w:sz w:val="21"/>
          <w:szCs w:val="21"/>
          <w:lang w:val="en-US" w:eastAsia="zh-CN" w:bidi="ar-SA"/>
          <w14:textFill>
            <w14:solidFill>
              <w14:schemeClr w14:val="tx1"/>
            </w14:solidFill>
          </w14:textFill>
        </w:rPr>
        <w:t>质保期内服务：①提供设备安装、调试，现场指导操作，技术咨询。②设备验收合格后一年内，由于设备制造和安装质量造成的损坏，负责“三包”。③在质保期内，因设备质量问题或接线故障而造成的设备损坏或不能正常使用时，及时无偿修理或更换。④其余按合同约定。</w:t>
      </w:r>
    </w:p>
    <w:p>
      <w:pPr>
        <w:pStyle w:val="12"/>
        <w:numPr>
          <w:ilvl w:val="0"/>
          <w:numId w:val="7"/>
        </w:numPr>
        <w:spacing w:before="120" w:after="120"/>
        <w:outlineLvl w:val="0"/>
        <w:rPr>
          <w:rFonts w:hint="eastAsia" w:ascii="微软雅黑" w:hAnsi="微软雅黑" w:eastAsia="微软雅黑" w:cstheme="minorBidi"/>
          <w:color w:val="000000" w:themeColor="text1"/>
          <w:spacing w:val="2"/>
          <w:kern w:val="0"/>
          <w:sz w:val="21"/>
          <w:szCs w:val="21"/>
          <w:lang w:val="en-US" w:eastAsia="zh-CN" w:bidi="ar-SA"/>
          <w14:textFill>
            <w14:solidFill>
              <w14:schemeClr w14:val="tx1"/>
            </w14:solidFill>
          </w14:textFill>
        </w:rPr>
      </w:pPr>
      <w:r>
        <w:rPr>
          <w:rFonts w:hint="eastAsia" w:ascii="微软雅黑" w:hAnsi="微软雅黑" w:eastAsia="微软雅黑" w:cstheme="minorBidi"/>
          <w:sz w:val="21"/>
          <w:szCs w:val="21"/>
        </w:rPr>
        <w:t>质保期内出现问</w:t>
      </w:r>
      <w:r>
        <w:rPr>
          <w:rFonts w:hint="eastAsia" w:ascii="微软雅黑" w:hAnsi="微软雅黑" w:eastAsia="微软雅黑" w:cstheme="minorBidi"/>
          <w:color w:val="000000" w:themeColor="text1"/>
          <w:spacing w:val="2"/>
          <w:kern w:val="0"/>
          <w:sz w:val="21"/>
          <w:szCs w:val="21"/>
          <w:lang w:val="en-US" w:eastAsia="zh-CN" w:bidi="ar-SA"/>
          <w14:textFill>
            <w14:solidFill>
              <w14:schemeClr w14:val="tx1"/>
            </w14:solidFill>
          </w14:textFill>
        </w:rPr>
        <w:t>题处理方案：①油气回收装置运行出现问题时，在接到甲方通知后1小时内给予答复，并</w:t>
      </w:r>
      <w:r>
        <w:rPr>
          <w:rFonts w:hint="eastAsia" w:ascii="微软雅黑" w:hAnsi="微软雅黑" w:eastAsia="微软雅黑" w:cstheme="minorBidi"/>
          <w:kern w:val="0"/>
          <w:sz w:val="21"/>
          <w:szCs w:val="21"/>
          <w:lang w:val="en-US" w:eastAsia="zh-CN" w:bidi="ar-SA"/>
        </w:rPr>
        <w:t>安排专业技术人员，随时进行远程技术指导工作，解决现场操维过程出现的问题。②若后期运行过程中出现第三方检测指标异常，又无法远程指导解决时，安排专人24小时到达库区现场，提供1 年内无偿响应现场服务，直至排除检测指标异常的情况。</w:t>
      </w:r>
    </w:p>
    <w:p>
      <w:pPr>
        <w:pStyle w:val="12"/>
        <w:numPr>
          <w:ilvl w:val="0"/>
          <w:numId w:val="7"/>
        </w:numPr>
        <w:spacing w:before="120" w:after="120"/>
        <w:ind w:left="502" w:leftChars="0" w:hanging="360" w:firstLineChars="0"/>
        <w:outlineLvl w:val="0"/>
        <w:rPr>
          <w:rFonts w:hint="eastAsia" w:ascii="微软雅黑" w:hAnsi="微软雅黑" w:eastAsia="微软雅黑" w:cstheme="minorBidi"/>
          <w:sz w:val="21"/>
          <w:szCs w:val="21"/>
          <w:lang w:val="en-US" w:eastAsia="zh-CN"/>
        </w:rPr>
      </w:pPr>
      <w:r>
        <w:rPr>
          <w:rFonts w:hint="eastAsia" w:ascii="微软雅黑" w:hAnsi="微软雅黑" w:eastAsia="微软雅黑" w:cstheme="minorBidi"/>
          <w:sz w:val="21"/>
          <w:szCs w:val="21"/>
        </w:rPr>
        <w:t>违约责任要求</w:t>
      </w:r>
      <w:r>
        <w:rPr>
          <w:rFonts w:hint="eastAsia" w:ascii="微软雅黑" w:hAnsi="微软雅黑" w:eastAsia="微软雅黑" w:cstheme="minorBidi"/>
          <w:sz w:val="21"/>
          <w:szCs w:val="21"/>
          <w:lang w:eastAsia="zh-CN"/>
        </w:rPr>
        <w:t>：</w:t>
      </w:r>
      <w:r>
        <w:rPr>
          <w:rFonts w:hint="eastAsia" w:ascii="微软雅黑" w:hAnsi="微软雅黑" w:eastAsia="微软雅黑" w:cstheme="minorBidi"/>
          <w:sz w:val="21"/>
          <w:szCs w:val="21"/>
          <w:lang w:val="en-US" w:eastAsia="zh-CN"/>
        </w:rPr>
        <w:t>按合同约定。</w:t>
      </w:r>
    </w:p>
    <w:p>
      <w:pPr>
        <w:pStyle w:val="12"/>
        <w:spacing w:before="120" w:after="120"/>
        <w:outlineLvl w:val="0"/>
        <w:rPr>
          <w:rFonts w:ascii="微软雅黑" w:hAnsi="微软雅黑" w:eastAsia="微软雅黑" w:cs="Times New Roman"/>
          <w:bCs/>
          <w:color w:val="auto"/>
          <w:sz w:val="32"/>
          <w:szCs w:val="32"/>
        </w:rPr>
      </w:pPr>
      <w:r>
        <w:rPr>
          <w:rFonts w:hint="eastAsia" w:ascii="微软雅黑" w:hAnsi="微软雅黑" w:eastAsia="微软雅黑" w:cs="Times New Roman"/>
          <w:bCs/>
          <w:color w:val="auto"/>
          <w:sz w:val="32"/>
          <w:szCs w:val="32"/>
        </w:rPr>
        <w:t>九、其他要求</w:t>
      </w:r>
    </w:p>
    <w:p>
      <w:pPr>
        <w:pStyle w:val="4"/>
        <w:spacing w:line="257" w:lineRule="auto"/>
        <w:ind w:right="121" w:rightChars="55" w:firstLine="199" w:firstLineChars="95"/>
        <w:rPr>
          <w:rFonts w:hint="eastAsia"/>
          <w:lang w:val="en-US" w:eastAsia="zh-CN"/>
        </w:rPr>
      </w:pPr>
      <w:r>
        <w:rPr>
          <w:rFonts w:hint="eastAsia"/>
          <w:lang w:eastAsia="zh-CN"/>
        </w:rPr>
        <w:t>1、</w:t>
      </w:r>
      <w:r>
        <w:rPr>
          <w:lang w:eastAsia="zh-CN"/>
        </w:rPr>
        <w:t>技术联系人</w:t>
      </w:r>
      <w:r>
        <w:rPr>
          <w:rFonts w:hint="eastAsia"/>
          <w:lang w:eastAsia="zh-CN"/>
        </w:rPr>
        <w:t>：</w:t>
      </w:r>
      <w:bookmarkEnd w:id="5"/>
      <w:bookmarkEnd w:id="6"/>
      <w:r>
        <w:rPr>
          <w:rFonts w:hint="eastAsia"/>
          <w:lang w:val="en-US" w:eastAsia="zh-CN"/>
        </w:rPr>
        <w:t>黄昌庭  13602376097</w:t>
      </w:r>
    </w:p>
    <w:p>
      <w:pPr>
        <w:pStyle w:val="4"/>
        <w:spacing w:line="257" w:lineRule="auto"/>
        <w:ind w:right="121" w:rightChars="55" w:firstLine="199" w:firstLineChars="95"/>
        <w:rPr>
          <w:lang w:eastAsia="zh-CN"/>
        </w:rPr>
      </w:pPr>
      <w:r>
        <w:rPr>
          <w:rFonts w:hint="eastAsia"/>
          <w:lang w:eastAsia="zh-CN"/>
        </w:rPr>
        <w:t>2、</w:t>
      </w:r>
      <w:r>
        <w:rPr>
          <w:lang w:eastAsia="zh-CN"/>
        </w:rPr>
        <w:t>付款方式</w:t>
      </w:r>
      <w:r>
        <w:rPr>
          <w:rFonts w:hint="eastAsia"/>
          <w:lang w:eastAsia="zh-CN"/>
        </w:rPr>
        <w:t>：</w:t>
      </w:r>
      <w:r>
        <w:rPr>
          <w:rFonts w:hint="eastAsia" w:ascii="微软雅黑" w:hAnsi="微软雅黑" w:eastAsia="微软雅黑"/>
          <w:lang w:eastAsia="zh-CN"/>
        </w:rPr>
        <w:t>银行电汇</w:t>
      </w:r>
    </w:p>
    <w:p>
      <w:pPr>
        <w:pStyle w:val="4"/>
        <w:spacing w:line="257" w:lineRule="auto"/>
        <w:ind w:right="121" w:rightChars="55" w:firstLine="199" w:firstLineChars="95"/>
        <w:rPr>
          <w:lang w:eastAsia="zh-CN"/>
        </w:rPr>
      </w:pPr>
      <w:r>
        <w:rPr>
          <w:rFonts w:hint="eastAsia"/>
          <w:lang w:eastAsia="zh-CN"/>
        </w:rPr>
        <w:t>3、付款周期要求，接到发票45</w:t>
      </w:r>
      <w:r>
        <w:rPr>
          <w:rFonts w:hint="eastAsia"/>
          <w:lang w:val="en-US" w:eastAsia="zh-CN"/>
        </w:rPr>
        <w:t>日</w:t>
      </w:r>
      <w:r>
        <w:rPr>
          <w:rFonts w:hint="eastAsia"/>
          <w:lang w:eastAsia="zh-CN"/>
        </w:rPr>
        <w:t>内付款</w:t>
      </w:r>
    </w:p>
    <w:p>
      <w:pPr>
        <w:pStyle w:val="4"/>
        <w:spacing w:line="257" w:lineRule="auto"/>
        <w:ind w:right="121" w:rightChars="55" w:firstLine="199" w:firstLineChars="95"/>
        <w:rPr>
          <w:rFonts w:hint="eastAsia"/>
          <w:lang w:val="en-US" w:eastAsia="zh-CN"/>
        </w:rPr>
      </w:pPr>
      <w:r>
        <w:rPr>
          <w:rFonts w:hint="eastAsia"/>
          <w:lang w:eastAsia="zh-CN"/>
        </w:rPr>
        <w:t>4、</w:t>
      </w:r>
      <w:r>
        <w:rPr>
          <w:lang w:eastAsia="zh-CN"/>
        </w:rPr>
        <w:t>结算方式</w:t>
      </w:r>
      <w:r>
        <w:rPr>
          <w:rFonts w:hint="eastAsia"/>
          <w:lang w:eastAsia="zh-CN"/>
        </w:rPr>
        <w:t>：服务完工验收后，进行结算、</w:t>
      </w:r>
      <w:r>
        <w:rPr>
          <w:rFonts w:hint="eastAsia"/>
          <w:lang w:val="en-US" w:eastAsia="zh-CN"/>
        </w:rPr>
        <w:t>付款</w:t>
      </w:r>
    </w:p>
    <w:p>
      <w:pPr>
        <w:autoSpaceDE w:val="0"/>
        <w:autoSpaceDN w:val="0"/>
        <w:spacing w:before="120" w:after="120"/>
        <w:ind w:right="-20"/>
        <w:jc w:val="center"/>
        <w:rPr>
          <w:rFonts w:ascii="Arial Unicode MS" w:eastAsia="Arial Unicode MS" w:cs="Arial Unicode MS"/>
          <w:b/>
          <w:spacing w:val="2"/>
          <w:w w:val="99"/>
          <w:sz w:val="52"/>
          <w:szCs w:val="5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A9706"/>
    <w:multiLevelType w:val="singleLevel"/>
    <w:tmpl w:val="85AA9706"/>
    <w:lvl w:ilvl="0" w:tentative="0">
      <w:start w:val="1"/>
      <w:numFmt w:val="decimal"/>
      <w:suff w:val="nothing"/>
      <w:lvlText w:val="（%1）"/>
      <w:lvlJc w:val="left"/>
    </w:lvl>
  </w:abstractNum>
  <w:abstractNum w:abstractNumId="1">
    <w:nsid w:val="E0EB0BBE"/>
    <w:multiLevelType w:val="singleLevel"/>
    <w:tmpl w:val="E0EB0BBE"/>
    <w:lvl w:ilvl="0" w:tentative="0">
      <w:start w:val="1"/>
      <w:numFmt w:val="decimal"/>
      <w:suff w:val="nothing"/>
      <w:lvlText w:val="%1）"/>
      <w:lvlJc w:val="left"/>
      <w:pPr>
        <w:ind w:left="220" w:firstLine="0"/>
      </w:pPr>
    </w:lvl>
  </w:abstractNum>
  <w:abstractNum w:abstractNumId="2">
    <w:nsid w:val="23541C4F"/>
    <w:multiLevelType w:val="singleLevel"/>
    <w:tmpl w:val="23541C4F"/>
    <w:lvl w:ilvl="0" w:tentative="0">
      <w:start w:val="3"/>
      <w:numFmt w:val="decimal"/>
      <w:suff w:val="space"/>
      <w:lvlText w:val="%1、"/>
      <w:lvlJc w:val="left"/>
    </w:lvl>
  </w:abstractNum>
  <w:abstractNum w:abstractNumId="3">
    <w:nsid w:val="3A67B300"/>
    <w:multiLevelType w:val="singleLevel"/>
    <w:tmpl w:val="3A67B300"/>
    <w:lvl w:ilvl="0" w:tentative="0">
      <w:start w:val="5"/>
      <w:numFmt w:val="decimal"/>
      <w:suff w:val="nothing"/>
      <w:lvlText w:val="%1、"/>
      <w:lvlJc w:val="left"/>
    </w:lvl>
  </w:abstractNum>
  <w:abstractNum w:abstractNumId="4">
    <w:nsid w:val="3DD71534"/>
    <w:multiLevelType w:val="multilevel"/>
    <w:tmpl w:val="3DD71534"/>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
    <w:nsid w:val="51E9158D"/>
    <w:multiLevelType w:val="multilevel"/>
    <w:tmpl w:val="51E9158D"/>
    <w:lvl w:ilvl="0" w:tentative="0">
      <w:start w:val="1"/>
      <w:numFmt w:val="decimal"/>
      <w:lvlText w:val="%1、"/>
      <w:lvlJc w:val="left"/>
      <w:pPr>
        <w:ind w:left="502" w:hanging="360"/>
      </w:pPr>
      <w:rPr>
        <w:rFonts w:hint="default" w:cs="微软雅黑"/>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6">
    <w:nsid w:val="71858293"/>
    <w:multiLevelType w:val="singleLevel"/>
    <w:tmpl w:val="71858293"/>
    <w:lvl w:ilvl="0" w:tentative="0">
      <w:start w:val="2"/>
      <w:numFmt w:val="decimal"/>
      <w:suff w:val="space"/>
      <w:lvlText w:val="%1、"/>
      <w:lvlJc w:val="left"/>
      <w:pPr>
        <w:ind w:left="210" w:leftChars="0" w:firstLine="0" w:firstLineChars="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056C4"/>
    <w:rsid w:val="08113FA8"/>
    <w:rsid w:val="0CFE7374"/>
    <w:rsid w:val="19842B65"/>
    <w:rsid w:val="25DF7546"/>
    <w:rsid w:val="26573926"/>
    <w:rsid w:val="2E3D3EF2"/>
    <w:rsid w:val="3330600C"/>
    <w:rsid w:val="35055E8C"/>
    <w:rsid w:val="4174482B"/>
    <w:rsid w:val="50405E70"/>
    <w:rsid w:val="50682843"/>
    <w:rsid w:val="58E3352F"/>
    <w:rsid w:val="5B0069DA"/>
    <w:rsid w:val="6104413C"/>
    <w:rsid w:val="6FF345CA"/>
    <w:rsid w:val="7090006E"/>
    <w:rsid w:val="72A304D0"/>
    <w:rsid w:val="72D83B4F"/>
    <w:rsid w:val="766C435E"/>
    <w:rsid w:val="7A1A121E"/>
    <w:rsid w:val="7AC659D8"/>
    <w:rsid w:val="7C0B0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kern w:val="0"/>
      <w:sz w:val="22"/>
      <w:szCs w:val="22"/>
      <w:lang w:val="en-US" w:eastAsia="en-US" w:bidi="ar-SA"/>
    </w:rPr>
  </w:style>
  <w:style w:type="paragraph" w:styleId="3">
    <w:name w:val="heading 2"/>
    <w:basedOn w:val="1"/>
    <w:next w:val="1"/>
    <w:qFormat/>
    <w:uiPriority w:val="1"/>
    <w:pPr>
      <w:spacing w:line="479" w:lineRule="exact"/>
      <w:outlineLvl w:val="1"/>
    </w:pPr>
    <w:rPr>
      <w:rFonts w:ascii="Microsoft YaHei UI" w:hAnsi="Microsoft YaHei UI" w:eastAsia="Microsoft YaHei UI"/>
      <w:spacing w:val="2"/>
      <w:sz w:val="32"/>
      <w:szCs w:val="32"/>
      <w:lang w:eastAsia="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pPr>
    <w:rPr>
      <w:sz w:val="18"/>
      <w:szCs w:val="18"/>
    </w:rPr>
  </w:style>
  <w:style w:type="paragraph" w:styleId="4">
    <w:name w:val="Body Text"/>
    <w:basedOn w:val="1"/>
    <w:qFormat/>
    <w:uiPriority w:val="1"/>
    <w:pPr>
      <w:ind w:firstLine="200" w:firstLineChars="200"/>
      <w:jc w:val="both"/>
    </w:pPr>
    <w:rPr>
      <w:rFonts w:ascii="Microsoft YaHei UI" w:hAnsi="Microsoft YaHei UI" w:eastAsia="Microsoft YaHei UI"/>
      <w:sz w:val="21"/>
      <w:szCs w:val="21"/>
    </w:rPr>
  </w:style>
  <w:style w:type="paragraph" w:styleId="5">
    <w:name w:val="toc 3"/>
    <w:basedOn w:val="1"/>
    <w:next w:val="1"/>
    <w:unhideWhenUsed/>
    <w:qFormat/>
    <w:uiPriority w:val="39"/>
    <w:pPr>
      <w:widowControl/>
      <w:spacing w:after="100" w:line="259" w:lineRule="auto"/>
      <w:ind w:left="440"/>
    </w:pPr>
    <w:rPr>
      <w:rFonts w:cs="Times New Roman"/>
      <w:lang w:eastAsia="zh-CN"/>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BodyText1I"/>
    <w:basedOn w:val="11"/>
    <w:qFormat/>
    <w:uiPriority w:val="0"/>
    <w:pPr>
      <w:ind w:firstLine="420" w:firstLineChars="100"/>
    </w:pPr>
  </w:style>
  <w:style w:type="paragraph" w:customStyle="1" w:styleId="11">
    <w:name w:val="BodyText"/>
    <w:basedOn w:val="1"/>
    <w:qFormat/>
    <w:uiPriority w:val="0"/>
    <w:pPr>
      <w:spacing w:after="120"/>
    </w:pPr>
  </w:style>
  <w:style w:type="paragraph" w:customStyle="1" w:styleId="12">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10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2025-05-11T03:08:00Z</dcterms:created>
  <dc:creator>huangcht4</dc:creator>
  <cp:lastModifiedBy>安全锋</cp:lastModifiedBy>
  <cp:lastPrinted>2025-06-18T07:47:00Z</cp:lastPrinted>
  <dcterms:modified xsi:type="dcterms:W3CDTF">2025-06-30T06:17:12Z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A25B2FFE97344A9BB4F311D76A39534A</vt:lpwstr>
  </property>
</Properties>
</file>