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2"/>
          <w:szCs w:val="40"/>
          <w:lang w:eastAsia="zh-CN"/>
        </w:rPr>
        <w:t>遵义市汇川区教育体育局增班学校教学设备采购项目（智慧黑板）</w:t>
      </w:r>
      <w:r>
        <w:rPr>
          <w:rFonts w:hint="eastAsia" w:ascii="仿宋" w:hAnsi="仿宋" w:eastAsia="仿宋" w:cs="仿宋"/>
          <w:b/>
          <w:bCs/>
          <w:sz w:val="36"/>
          <w:szCs w:val="44"/>
          <w:lang w:eastAsia="zh-CN"/>
        </w:rPr>
        <w:t>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2"/>
        </w:numPr>
        <w:jc w:val="both"/>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申请人的基本资格要求：</w:t>
      </w:r>
    </w:p>
    <w:p w14:paraId="00697E5D">
      <w:pPr>
        <w:pStyle w:val="11"/>
        <w:spacing w:line="360" w:lineRule="auto"/>
        <w:rPr>
          <w:rFonts w:hint="eastAsia"/>
          <w:color w:val="000000"/>
          <w:sz w:val="24"/>
          <w:szCs w:val="24"/>
        </w:rPr>
      </w:pPr>
      <w:r>
        <w:rPr>
          <w:rFonts w:hint="eastAsia"/>
          <w:color w:val="000000"/>
          <w:sz w:val="24"/>
          <w:szCs w:val="24"/>
        </w:rPr>
        <w:t>（1）具有独立承担民事责任的能力：提供合法有效的统一社会信用代码营业执照复印件（事业单位提供事业单位法人证书复印件，自然人应提供身份证复印件）；</w:t>
      </w:r>
    </w:p>
    <w:p w14:paraId="36A25C38">
      <w:pPr>
        <w:spacing w:line="360" w:lineRule="auto"/>
        <w:rPr>
          <w:rFonts w:hint="eastAsia" w:ascii="宋体" w:hAnsi="宋体" w:cs="宋体"/>
          <w:color w:val="000000"/>
          <w:kern w:val="0"/>
          <w:sz w:val="24"/>
        </w:rPr>
      </w:pPr>
      <w:r>
        <w:rPr>
          <w:rFonts w:hint="eastAsia" w:ascii="宋体" w:hAnsi="宋体" w:cs="宋体"/>
          <w:color w:val="000000"/>
          <w:kern w:val="0"/>
          <w:sz w:val="24"/>
        </w:rPr>
        <w:t>（2）有依法缴纳社会保险及税收的良好记录：</w:t>
      </w:r>
    </w:p>
    <w:p w14:paraId="72452F94">
      <w:pPr>
        <w:spacing w:line="360" w:lineRule="auto"/>
        <w:rPr>
          <w:rFonts w:hint="eastAsia" w:ascii="宋体" w:hAnsi="宋体" w:cs="宋体"/>
          <w:color w:val="000000"/>
          <w:kern w:val="0"/>
          <w:sz w:val="24"/>
        </w:rPr>
      </w:pPr>
      <w:r>
        <w:rPr>
          <w:rFonts w:hint="eastAsia" w:ascii="宋体" w:hAnsi="宋体" w:cs="宋体"/>
          <w:color w:val="000000"/>
          <w:kern w:val="0"/>
          <w:sz w:val="24"/>
        </w:rPr>
        <w:t>①缴纳社会保险证明资料：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r>
        <w:rPr>
          <w:rFonts w:hint="eastAsia" w:ascii="宋体" w:hAnsi="宋体" w:cs="宋体"/>
          <w:color w:val="000000"/>
          <w:kern w:val="0"/>
          <w:sz w:val="24"/>
        </w:rPr>
        <w:br w:type="textWrapping"/>
      </w:r>
      <w:r>
        <w:rPr>
          <w:rFonts w:hint="eastAsia" w:ascii="宋体" w:hAnsi="宋体" w:cs="宋体"/>
          <w:color w:val="000000"/>
          <w:kern w:val="0"/>
          <w:sz w:val="24"/>
        </w:rPr>
        <w:t>②缴纳税收证明资料:2025年至投标截止时间前任意三个月依法缴纳税收的证明（纳税凭证复印件），或者委托他人缴纳的委托代办协议和2025年至投标截止时间前任意三个月的缴纳证明（收据复印件），或者法定征收机关出具的依法免缴税收的证明复印件或扫描件；</w:t>
      </w:r>
    </w:p>
    <w:p w14:paraId="5CFE55B2">
      <w:pPr>
        <w:spacing w:line="360" w:lineRule="auto"/>
        <w:rPr>
          <w:rFonts w:hint="eastAsia" w:ascii="宋体" w:hAnsi="宋体" w:cs="宋体"/>
          <w:color w:val="000000"/>
          <w:kern w:val="0"/>
          <w:sz w:val="24"/>
        </w:rPr>
      </w:pPr>
      <w:r>
        <w:rPr>
          <w:rFonts w:hint="eastAsia" w:ascii="宋体" w:hAnsi="宋体" w:cs="宋体"/>
          <w:color w:val="000000"/>
          <w:kern w:val="0"/>
          <w:sz w:val="24"/>
        </w:rPr>
        <w:t>（3）法定代表人参加投标的提供法定代表人身份证明原件及身份证</w:t>
      </w:r>
      <w:r>
        <w:rPr>
          <w:rFonts w:hint="eastAsia" w:ascii="宋体" w:hAnsi="宋体" w:cs="宋体"/>
          <w:color w:val="000000"/>
          <w:sz w:val="24"/>
        </w:rPr>
        <w:t>复印件或扫描件</w:t>
      </w:r>
      <w:r>
        <w:rPr>
          <w:rFonts w:hint="eastAsia" w:ascii="宋体" w:hAnsi="宋体" w:cs="宋体"/>
          <w:color w:val="000000"/>
          <w:kern w:val="0"/>
          <w:sz w:val="24"/>
        </w:rPr>
        <w:t>，法定代表人授权他人参加投标的提供法定代表人授权委托书原件及授权代理人身份证复印件（格式见响应文件组成），自然人提交身份证复印件。</w:t>
      </w:r>
    </w:p>
    <w:p w14:paraId="4C5EC3FF">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（4）具有良好的商业信誉和健全的财务会计制度：提供2024年度的经第三方审计的审计报告复印件或近期（投标截止时间前三个月内）的基本开户银行出具的资信证明复印件。</w:t>
      </w:r>
    </w:p>
    <w:p w14:paraId="5F30E8A4">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（5）具有履行合同所必需的设备和专业技术能力：提供承诺函（格式自拟）；</w:t>
      </w:r>
    </w:p>
    <w:p w14:paraId="2A20F942">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 xml:space="preserve">（6）参加政府采购活动前三年内，在经营活动中没有重大违法记录：提供参加采购活动前三年内在经营活动中没有重大违法记录的书面声明。 </w:t>
      </w:r>
    </w:p>
    <w:p w14:paraId="32C7984A">
      <w:pPr>
        <w:widowControl/>
        <w:spacing w:line="360" w:lineRule="auto"/>
        <w:jc w:val="left"/>
        <w:rPr>
          <w:rFonts w:hint="eastAsia" w:ascii="宋体" w:hAnsi="宋体" w:cs="宋体"/>
          <w:kern w:val="0"/>
          <w:sz w:val="24"/>
        </w:rPr>
      </w:pPr>
      <w:r>
        <w:rPr>
          <w:rFonts w:hint="eastAsia" w:ascii="宋体" w:hAnsi="宋体" w:cs="宋体"/>
          <w:color w:val="000000"/>
          <w:kern w:val="0"/>
          <w:sz w:val="24"/>
        </w:rPr>
        <w:t>（7）</w:t>
      </w:r>
      <w:r>
        <w:rPr>
          <w:rFonts w:hint="eastAsia" w:ascii="宋体" w:hAnsi="宋体" w:cs="宋体"/>
          <w:kern w:val="0"/>
          <w:sz w:val="24"/>
        </w:rPr>
        <w:t>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采购代理机构根据投标人投标报名信息，依次在“信用中国”网站查询投标人信用信息，如果投标人被列入失信名单，投标文件视为无效，采购代理机构将依据查询信息报送评标委员会。</w:t>
      </w:r>
    </w:p>
    <w:p w14:paraId="6717228A">
      <w:pPr>
        <w:widowControl/>
        <w:spacing w:line="360" w:lineRule="auto"/>
        <w:jc w:val="left"/>
        <w:rPr>
          <w:rFonts w:ascii="宋体" w:hAnsi="宋体" w:cs="宋体"/>
          <w:kern w:val="0"/>
          <w:sz w:val="24"/>
        </w:rPr>
      </w:pPr>
      <w:r>
        <w:rPr>
          <w:rFonts w:hint="eastAsia" w:ascii="宋体" w:hAnsi="宋体" w:cs="宋体"/>
          <w:kern w:val="0"/>
          <w:sz w:val="24"/>
        </w:rPr>
        <w:t>2、特定资格要求：无</w:t>
      </w:r>
    </w:p>
    <w:p w14:paraId="6AA958B9">
      <w:pPr>
        <w:spacing w:line="360" w:lineRule="auto"/>
        <w:rPr>
          <w:rFonts w:hint="eastAsia" w:ascii="宋体" w:hAnsi="宋体" w:cs="宋体"/>
          <w:color w:val="000000"/>
          <w:sz w:val="24"/>
        </w:rPr>
      </w:pPr>
      <w:r>
        <w:rPr>
          <w:rFonts w:hint="eastAsia" w:ascii="宋体" w:hAnsi="宋体" w:cs="宋体"/>
          <w:color w:val="000000"/>
          <w:sz w:val="24"/>
        </w:rPr>
        <w:t>三、政府采购需要落实的政策：</w:t>
      </w:r>
    </w:p>
    <w:p w14:paraId="56CC225C">
      <w:pPr>
        <w:pStyle w:val="3"/>
        <w:spacing w:line="360" w:lineRule="auto"/>
        <w:ind w:firstLine="480" w:firstLineChars="200"/>
        <w:jc w:val="both"/>
        <w:rPr>
          <w:rFonts w:hint="eastAsia" w:ascii="宋体" w:hAnsi="宋体" w:cs="宋体"/>
          <w:color w:val="000000"/>
          <w:sz w:val="24"/>
          <w:u w:val="single"/>
        </w:rPr>
      </w:pPr>
      <w:r>
        <w:rPr>
          <w:rFonts w:hint="eastAsia" w:ascii="宋体" w:hAnsi="宋体" w:cs="宋体"/>
          <w:color w:val="000000"/>
          <w:sz w:val="24"/>
          <w:u w:val="single"/>
        </w:rPr>
        <w:t>1、根据《遵义市财政局关于印发 &lt;政府采购营商环境整改提升工作方案&gt;》 （遵财采〔2022〕17号）、《遵义市财政局关于转发&lt;关于进一步加大政府采购支持中小企业力度的通知&gt;的通知》（遵财采〔2022〕37号）文件规定，采购预算中面向中小微企业预留的采购项目，开展采购活动时不收取投标保证金。采购项目中标企业为小微企业（享受小微企业政策的）的，该项目不收取履约保证金。</w:t>
      </w:r>
    </w:p>
    <w:p w14:paraId="1578749C">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2、根据《遵义市财政局关于转发&lt;关于进一步加大政府采购支持中小企业力度的通知&gt;的通知》（遵财采〔2022〕37号）文件规定，对未预留份额专门面向中小企业采购的产品或服务的价格给予20%的扣除，大中型企业与小微企业组成联合体或者大中型企业向小微企业分包的价格给予4%的扣除，用扣除后的价格参与评审，但须提供《中小企业声明函》。</w:t>
      </w:r>
    </w:p>
    <w:p w14:paraId="54E8C233">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3、根据《遵义市财政局关于印发&lt;政府采购营商环境整改提升工作方案&gt; 》（遵财采〔2022〕17号）、《遵义市财政局关于转发&lt;关于进一步加大政府采购支持中小企业力度的通知&gt;的通知》（遵财采〔2022〕37号）文件规定,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w:t>
      </w:r>
    </w:p>
    <w:p w14:paraId="4926EAB3">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16B6E85E">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04F74A7B">
      <w:pPr>
        <w:spacing w:line="360" w:lineRule="auto"/>
        <w:rPr>
          <w:rFonts w:hint="eastAsia" w:ascii="宋体" w:hAnsi="宋体" w:cs="宋体"/>
          <w:color w:val="000000"/>
          <w:sz w:val="24"/>
          <w:u w:val="single"/>
        </w:rPr>
      </w:pPr>
      <w:r>
        <w:rPr>
          <w:rFonts w:hint="eastAsia" w:ascii="宋体" w:hAnsi="宋体" w:cs="宋体"/>
          <w:color w:val="000000"/>
          <w:sz w:val="24"/>
          <w:u w:val="single"/>
        </w:rPr>
        <w:t xml:space="preserve">  6、根据《遵义市财政局关于印发&lt;政府采购营商环境整改提升工作方案&gt;》（遵财采〔2022〕17号）、《遵义市财政局关于转发&lt;关于进一步加大政府采购支持中小企业力度的通知&gt;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p>
    <w:p w14:paraId="243D08CE">
      <w:pPr>
        <w:spacing w:line="360" w:lineRule="auto"/>
        <w:ind w:firstLine="480" w:firstLineChars="200"/>
        <w:rPr>
          <w:rFonts w:hint="eastAsia" w:ascii="宋体" w:hAnsi="宋体" w:eastAsia="宋体" w:cs="宋体"/>
          <w:color w:val="000000"/>
          <w:kern w:val="2"/>
          <w:sz w:val="24"/>
          <w:szCs w:val="24"/>
          <w:highlight w:val="none"/>
          <w:u w:val="single"/>
          <w:lang w:val="en-US" w:eastAsia="zh-CN" w:bidi="ar-SA"/>
        </w:rPr>
      </w:pPr>
      <w:r>
        <w:rPr>
          <w:rFonts w:hint="eastAsia" w:cs="宋体"/>
          <w:color w:val="000000"/>
          <w:kern w:val="2"/>
          <w:sz w:val="24"/>
          <w:szCs w:val="24"/>
          <w:highlight w:val="none"/>
          <w:u w:val="single"/>
          <w:lang w:val="en-US" w:eastAsia="zh-CN" w:bidi="ar-SA"/>
        </w:rPr>
        <w:t>7、</w:t>
      </w:r>
      <w:r>
        <w:rPr>
          <w:rFonts w:hint="eastAsia" w:ascii="宋体" w:hAnsi="宋体" w:eastAsia="宋体" w:cs="宋体"/>
          <w:color w:val="000000"/>
          <w:kern w:val="2"/>
          <w:sz w:val="24"/>
          <w:szCs w:val="24"/>
          <w:highlight w:val="none"/>
          <w:u w:val="single"/>
          <w:lang w:val="en-US" w:eastAsia="zh-CN" w:bidi="ar-SA"/>
        </w:rPr>
        <w:t>本项目不专门面向中小微企业采购，是属于适宜中小微型企业的采购项目（中小企业预留份额：40%，其中小微企业占60%），允许中小微企业制造（生产）的产品参与投标，中小微企业需出具中小企业声明函；中小微企业的分类标准按照工信部、统计局、发改委、财政部四部委印发中小企业划型标准规定的通知（工信部联企业〔2011〕300号）文件执行。</w:t>
      </w:r>
    </w:p>
    <w:p w14:paraId="404B44F3">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65FBE72F">
      <w:pPr>
        <w:numPr>
          <w:ilvl w:val="0"/>
          <w:numId w:val="0"/>
        </w:numPr>
        <w:jc w:val="both"/>
        <w:rPr>
          <w:rFonts w:hint="eastAsia" w:ascii="仿宋" w:hAnsi="仿宋" w:eastAsia="仿宋" w:cs="仿宋"/>
          <w:b/>
          <w:bCs/>
          <w:sz w:val="32"/>
          <w:szCs w:val="40"/>
          <w:lang w:eastAsia="zh-CN"/>
        </w:rPr>
      </w:pPr>
    </w:p>
    <w:p w14:paraId="49C99184">
      <w:pPr>
        <w:numPr>
          <w:ilvl w:val="0"/>
          <w:numId w:val="0"/>
        </w:numPr>
        <w:jc w:val="both"/>
        <w:rPr>
          <w:rFonts w:hint="eastAsia" w:ascii="仿宋" w:hAnsi="仿宋" w:eastAsia="仿宋" w:cs="仿宋"/>
          <w:b/>
          <w:bCs/>
          <w:sz w:val="32"/>
          <w:szCs w:val="40"/>
          <w:lang w:eastAsia="zh-CN"/>
        </w:rPr>
      </w:pPr>
    </w:p>
    <w:p w14:paraId="1C4724C0">
      <w:pPr>
        <w:numPr>
          <w:ilvl w:val="0"/>
          <w:numId w:val="0"/>
        </w:numPr>
        <w:jc w:val="both"/>
        <w:rPr>
          <w:rFonts w:hint="eastAsia" w:ascii="仿宋" w:hAnsi="仿宋" w:eastAsia="仿宋" w:cs="仿宋"/>
          <w:b/>
          <w:bCs/>
          <w:sz w:val="32"/>
          <w:szCs w:val="40"/>
          <w:lang w:eastAsia="zh-CN"/>
        </w:rPr>
      </w:pPr>
    </w:p>
    <w:p w14:paraId="58334167">
      <w:pPr>
        <w:numPr>
          <w:ilvl w:val="0"/>
          <w:numId w:val="0"/>
        </w:numPr>
        <w:jc w:val="both"/>
        <w:rPr>
          <w:rFonts w:hint="eastAsia" w:ascii="仿宋" w:hAnsi="仿宋" w:eastAsia="仿宋" w:cs="仿宋"/>
          <w:b/>
          <w:bCs/>
          <w:sz w:val="32"/>
          <w:szCs w:val="40"/>
          <w:lang w:eastAsia="zh-CN"/>
        </w:rPr>
      </w:pPr>
    </w:p>
    <w:p w14:paraId="42943246">
      <w:pPr>
        <w:numPr>
          <w:ilvl w:val="0"/>
          <w:numId w:val="0"/>
        </w:numPr>
        <w:jc w:val="both"/>
        <w:rPr>
          <w:rFonts w:hint="eastAsia" w:ascii="仿宋" w:hAnsi="仿宋" w:eastAsia="仿宋" w:cs="仿宋"/>
          <w:b/>
          <w:bCs/>
          <w:sz w:val="32"/>
          <w:szCs w:val="40"/>
          <w:lang w:eastAsia="zh-CN"/>
        </w:rPr>
      </w:pPr>
    </w:p>
    <w:p w14:paraId="09461CA2">
      <w:pPr>
        <w:numPr>
          <w:ilvl w:val="0"/>
          <w:numId w:val="0"/>
        </w:numPr>
        <w:jc w:val="both"/>
        <w:rPr>
          <w:rFonts w:hint="eastAsia" w:ascii="仿宋" w:hAnsi="仿宋" w:eastAsia="仿宋" w:cs="仿宋"/>
          <w:b/>
          <w:bCs/>
          <w:sz w:val="32"/>
          <w:szCs w:val="40"/>
          <w:lang w:eastAsia="zh-CN"/>
        </w:rPr>
      </w:pPr>
    </w:p>
    <w:p w14:paraId="1F6E356A">
      <w:pPr>
        <w:numPr>
          <w:ilvl w:val="0"/>
          <w:numId w:val="0"/>
        </w:numPr>
        <w:jc w:val="both"/>
        <w:rPr>
          <w:rFonts w:hint="eastAsia" w:ascii="仿宋" w:hAnsi="仿宋" w:eastAsia="仿宋" w:cs="仿宋"/>
          <w:b/>
          <w:bCs/>
          <w:sz w:val="32"/>
          <w:szCs w:val="40"/>
          <w:lang w:eastAsia="zh-CN"/>
        </w:rPr>
      </w:pPr>
    </w:p>
    <w:p w14:paraId="72D75F78">
      <w:pPr>
        <w:numPr>
          <w:ilvl w:val="0"/>
          <w:numId w:val="0"/>
        </w:numPr>
        <w:jc w:val="both"/>
        <w:rPr>
          <w:rFonts w:hint="eastAsia" w:ascii="仿宋" w:hAnsi="仿宋" w:eastAsia="仿宋" w:cs="仿宋"/>
          <w:b/>
          <w:bCs/>
          <w:sz w:val="32"/>
          <w:szCs w:val="40"/>
          <w:lang w:eastAsia="zh-CN"/>
        </w:rPr>
      </w:pPr>
    </w:p>
    <w:p w14:paraId="7990826E">
      <w:pPr>
        <w:numPr>
          <w:ilvl w:val="0"/>
          <w:numId w:val="0"/>
        </w:numPr>
        <w:jc w:val="both"/>
        <w:rPr>
          <w:rFonts w:hint="eastAsia" w:ascii="仿宋" w:hAnsi="仿宋" w:eastAsia="仿宋" w:cs="仿宋"/>
          <w:b/>
          <w:bCs/>
          <w:sz w:val="32"/>
          <w:szCs w:val="40"/>
          <w:lang w:eastAsia="zh-CN"/>
        </w:rPr>
      </w:pPr>
    </w:p>
    <w:p w14:paraId="05EE494F">
      <w:pPr>
        <w:numPr>
          <w:ilvl w:val="0"/>
          <w:numId w:val="0"/>
        </w:numPr>
        <w:jc w:val="both"/>
        <w:rPr>
          <w:rFonts w:hint="eastAsia" w:ascii="仿宋" w:hAnsi="仿宋" w:eastAsia="仿宋" w:cs="仿宋"/>
          <w:b/>
          <w:bCs/>
          <w:sz w:val="32"/>
          <w:szCs w:val="40"/>
          <w:lang w:eastAsia="zh-CN"/>
        </w:rPr>
      </w:pPr>
    </w:p>
    <w:p w14:paraId="25C80E14">
      <w:pPr>
        <w:numPr>
          <w:ilvl w:val="0"/>
          <w:numId w:val="3"/>
        </w:numPr>
        <w:spacing w:line="480" w:lineRule="auto"/>
        <w:ind w:leftChars="0"/>
        <w:jc w:val="left"/>
        <w:rPr>
          <w:rFonts w:hint="eastAsia" w:ascii="宋体" w:hAnsi="宋体" w:cs="宋体"/>
          <w:b/>
          <w:bCs/>
          <w:kern w:val="0"/>
          <w:sz w:val="28"/>
          <w:szCs w:val="28"/>
          <w:lang w:bidi="ar"/>
        </w:rPr>
      </w:pPr>
      <w:r>
        <w:rPr>
          <w:rFonts w:hint="eastAsia" w:ascii="楷体" w:hAnsi="楷体" w:eastAsia="楷体" w:cs="楷体"/>
          <w:b/>
          <w:bCs/>
          <w:sz w:val="32"/>
          <w:szCs w:val="40"/>
          <w:lang w:val="en-US" w:eastAsia="zh-CN"/>
        </w:rPr>
        <w:t>技术参数（具体以采购公告为准）</w:t>
      </w:r>
    </w:p>
    <w:p w14:paraId="4E86657A">
      <w:pPr>
        <w:numPr>
          <w:ilvl w:val="0"/>
          <w:numId w:val="4"/>
        </w:numPr>
        <w:spacing w:line="480" w:lineRule="auto"/>
        <w:jc w:val="left"/>
        <w:rPr>
          <w:rFonts w:hint="eastAsia" w:ascii="宋体" w:hAnsi="宋体" w:cs="宋体"/>
          <w:b/>
          <w:bCs/>
          <w:kern w:val="0"/>
          <w:sz w:val="28"/>
          <w:szCs w:val="28"/>
          <w:lang w:bidi="ar"/>
        </w:rPr>
      </w:pPr>
      <w:r>
        <w:rPr>
          <w:rFonts w:hint="eastAsia" w:ascii="宋体" w:hAnsi="宋体" w:cs="宋体"/>
          <w:b/>
          <w:bCs/>
          <w:kern w:val="0"/>
          <w:sz w:val="28"/>
          <w:szCs w:val="28"/>
          <w:lang w:bidi="ar"/>
        </w:rPr>
        <w:t>产品清单及技术参数：</w:t>
      </w:r>
    </w:p>
    <w:tbl>
      <w:tblPr>
        <w:tblStyle w:val="12"/>
        <w:tblW w:w="9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212"/>
        <w:gridCol w:w="6480"/>
        <w:gridCol w:w="795"/>
        <w:gridCol w:w="705"/>
      </w:tblGrid>
      <w:tr w14:paraId="349E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64"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090D5B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43C5F6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480"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656571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技术规格</w:t>
            </w:r>
          </w:p>
        </w:tc>
        <w:tc>
          <w:tcPr>
            <w:tcW w:w="795"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5553D6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155FD7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500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40EEB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3AE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86寸智慧黑板教学一体机</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14:paraId="2FB137F1">
            <w:pPr>
              <w:keepNext w:val="0"/>
              <w:keepLines w:val="0"/>
              <w:widowControl/>
              <w:numPr>
                <w:ilvl w:val="0"/>
                <w:numId w:val="5"/>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1、整机采用三拼接平面一体化设计，外观简洁。整机屏幕边缘采用金属圆角包边防护，整机背板采用金属材质，有效屏蔽内部电路器件辐射；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2、整机屏幕采用86英寸 UHD超高清LED 液晶屏，显示比例16:9；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3、整机主屏幕采用钢化玻璃，书写顺滑，具有防眩光功能；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4、整机采用电容触控方式，主屏和副板三拼接平面一体化；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二、整机设计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1、整机为双系统设计，嵌入式安卓操作系统版本为Android14；安卓系统ram≥4G；rom≥32G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2、整机视网膜蓝光危害（蓝光加权辐射亮度LB）满足IEC 62471标准，LB限值范围≤0.2（蓝光危害最大状况下）。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3、具有独立扩声系统，可实现单独听功能，在关闭显示部分的待机情况下仍可将接入的多媒体信号混音后通过设备内置音箱播出实现扩声功能，轻触显示部分可点亮屏幕；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4、整机色域覆盖率（NTSC）≥85%，整机支持色彩空间可选，包含标准模式和sRGB/DCI-P3/Display-P3/AdobeRGB/BT.2020模式，在sRGB模式下可做到高色准△E≤1.5；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6、整机无需外接无线网卡，在Windows系统下可实现Wi-Fi无线上网连接、AP无线热点发射和BT蓝牙连接功能。在Windows系统下接入无线网络，切换到嵌入式Android系统下可直接实现无线上网功能，不需手动重复设置。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7、整机屏幕分辨率3840×2160，屏幕显示灰度分辨等级达到256及以上灰阶；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内置2.2声道音响，前朝向额定15W中高音扬声器2个，后朝向额定15W低音扬声器2个，额定总功率≥60W，谐振频率低于300Hz。整机内置扬声器采用针孔发声技术，喇叭采用槽式开口设计。整机支持高级音效设置，可以调节左右声道平衡；</w:t>
            </w:r>
          </w:p>
          <w:p w14:paraId="47EAC1DC">
            <w:pPr>
              <w:keepNext w:val="0"/>
              <w:keepLines w:val="0"/>
              <w:widowControl/>
              <w:numPr>
                <w:ilvl w:val="0"/>
                <w:numId w:val="6"/>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10、整机具备供电保护模块，能够检测内置电脑是否插好在位，在内置电脑未在位的情况下，内置电脑无法上电工作。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慧黑板具备可单侧或双侧显示的快捷键功能，支持设置开启/关闭或自动显隐，至少具备以下功能：打开白板软件、屏幕批注、前翻页、后翻页、回到桌面、关闭窗口、自定义等，方便教师快捷操作，满足教学应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13、支持手机NFC下载软件、WiFi连接、自动投屏；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内置蓝牙模块，黑板在安卓和Windows系统下均可由该模块实现外部蓝牙设备的连接和数据传输，支持2.4GHz和5GHz双频WiFi，支持蓝牙5.2，内置蓝牙模块工作距离至少12米；Wi-Fi和AP热点工作距离≥15m，AP热点支持50个以上用户终端在线网络连接。</w:t>
            </w:r>
          </w:p>
          <w:p w14:paraId="41852AED">
            <w:pPr>
              <w:keepNext w:val="0"/>
              <w:keepLines w:val="0"/>
              <w:widowControl/>
              <w:numPr>
                <w:ilvl w:val="0"/>
                <w:numId w:val="7"/>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为适应未来无线网络发展，无需更换设备，智慧黑板整机支持Wi-Fi 6版本，Wi-Fi制式支持802.11 a/b/g/n/ac/ax，整机内置无线网络模块，PC模块无任何外接或转接天线、网卡可同时实现Wi-Fi无线上网连接和AP无线热点发射。Wi-Fi和AP热点均支持双频2.4G &amp; 5G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16、整机支持Windows及安卓双系统下50点触控。</w:t>
            </w:r>
          </w:p>
          <w:p w14:paraId="7A965D9D">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整机内置非独立的高清摄像头，采用内置摄像头、麦克风，无需外接线材连接和任何可见外接线材及模块化拼接痕迹，不占用整机设备端口。整机内置宽广角摄像头，真实像素≥1600万，对角线角度≥140°，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具备摄像头工作指示灯，摄像头运行时，有指示灯提示。整机内置摄像头（非外扩）支持扫码功能，PC通道下可通过视频展台软件调用摄像头进行二维码扫码识别。</w:t>
            </w:r>
          </w:p>
          <w:p w14:paraId="0EC6C770">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18、左右副板、推拉副板均可实现磁吸功能。</w:t>
            </w:r>
          </w:p>
          <w:p w14:paraId="453644ED">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19、高强度推拉副板厚度≤7mm，推拉副板与主屏段差≤ 4.2mm。</w:t>
            </w:r>
          </w:p>
          <w:p w14:paraId="02A66478">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三、主要功能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1、当整机处于黑暗环境中并无人操作，1分钟后整机将可以自动进入熄屏模式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2、整机内置专业硬件自检维护工具（非第三方工具），支持对触摸框和PC模块进行检测，并针对不同模块给出问题代码提示。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支持半屏模式，将Windows显示画面上半部分下拉到屏幕下半部分显示，此时可以正常触控操作Windows系统，点击非Windows显示画面区域（屏幕上半部分），可退出该模式。在HDMI、Android以及Windows信号源模式下，整机屏幕支持手势下移实现半屏显示，半屏模式不少于4种，半屏显示时可通过点击上方屏幕返回全屏。窗口下移支持多种下移方式，涵盖左下角、右下角，底部居中等多种下移模式。下移同时可做到整屏缩小，画面完整、无任何画面裁剪且触控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4、Android系统下，互动白板支持对已经书写的笔迹和形状的颜色进行更换。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5、开关机设置：整机本地支持自定义设置开机时间和关机时间，组数不少于5组，无需网络环境即可实现。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7、整机处于非内置PC通道下，支持调用屏幕快捷键一键回到PC通道。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8、整机全通道侧边栏快捷菜单中支持切换智能息屏、纸质护眼模式、经典护眼模式、自动亮度模式，并可调节音量、亮度。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安卓和全部外接全部通道（HDMI、type-C、ops等）下侧边栏支持通过扫描二维码加入班级，老师可设置题型，学生回答后提交，教师可查看正确率比例并进行讲解。可随机抽选、实时弹幕，管理当前班级成员，导出学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10、为方便教学，双系统具有智能手势开关黑板背光功能、双系统一键切换、双系统共享USB接口、HDMI输出共享、双系统网络共享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11、整机全通道侧边栏快捷菜单中应用软件可进行实时切换并打开，无需退出当前全屏模式的应用软件再选择更换。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★14、整机嵌入式系统支持视力检测，学生站在距离屏幕的一定距离，可通过遥控器、手势识别两种方式标识方向，测试完成后可直接生成视力检测结果，并可建立学生视力档案，对学生视力情况进行管理；</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AB25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880F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0EB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1969D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E274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OPS插拔式电脑</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14:paraId="339D5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采用插拔式电脑模块架构，针脚数为 80Pin，屏体与插拔式电脑无单独接线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处理器：不低于Intel Corei5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内存：不低于8G DDR4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硬盘：不低于256G SSD 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支持系统还原保护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为保证足够的信号强度，内置网卡：10M/100M/1000M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CCC认证</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7566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F622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4EA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7"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7420B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992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智能教学软件</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14:paraId="6E7B22F4">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教学软件为备授课一体客户端，同时具备备课模式和授课模式，在软件安装完成后可自有切换备课和授课模式，方便在不同场景下使用；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2.教学软件可支持教师自主注册账号，可使用账号密码登录或使用微信扫码绑定账号完成登录，支持解绑账号与微信号关系进行重新绑定；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学软件需为教师提供免费的20G云存储空间，无需完成额外任务即可获取，教师容量达到使用上限时可支持最大扩展到200G，教师可在个人网盘中上传存储教学资源，资源格式包含：ppt、word、pdf、图片、音视频；支持拖动本地课件素材至网盘区域实现资源上传，支持移动调整文件及文件夹的层级，支持对文件进行重命名、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4.提供校本资源库功能，方便教师一键将网盘资源分享至校本资源，支持在校本资源上传课件素材，课件素材需关联到对应的教材章节，支持将课件资源一键分享给其他教师；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★5.支持提供PPT 、WPS插件，同时支持原生 Office、WPS 环境下备课，教师可将课件内容一键上传更新至教师云空间，方便在授课时直接下载使用云端资源；</w:t>
            </w:r>
          </w:p>
          <w:p w14:paraId="7BC7DB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第三方网页资源导入，提供不少于16个学科常用网站推荐，方便教师快捷进入常用教学网站，支持教师检索到的相关教学内容一键插入PPT，在授课过程中网页资源可直接播放使用，支持网页中音视频内容直接播放。</w:t>
            </w:r>
          </w:p>
          <w:p w14:paraId="699F0B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插入音频、视频，并支持在PPT中对音频、视频进行打点，对打点内容进行重命名，支持在PPT播放状态下快速点击标记点，自动跳转至标记点；8.支持提供按学段学科、教材版本、册别、章节提供优质课件资源，可支持在线预览课件资源，支持将优质课件一键下载插入到PPT课件中，并进行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9.支持提供按学段学科、教材版本、册别、章节或学段学科、知识点提供优质试题资源，可将试题资源一键插入PPT课件中，支持在授课过程中将题干和答案解析进行分步展示，可支持放大、缩小试题内容；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提供汉字教学资源，将汉字一键插入到PPT课件中，可预览播放汉字教学内容，支持在PPT课件中查看拼音并对拼音进行点播，支持分步或连续步骤查看汉字笔顺，支持查看汉字的释义、组词内容、笔画数、偏旁部首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提供古诗词教学资源，按教材册别、作者朝代筛选查找古诗词内容，支持将古诗词一键插入到PPT课件中，并在授课过程中打开PPT查看古诗词原文、背景、作者、释义、赏析等内容，提供古诗词原文朗读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12.支持提供汉语拼音教学功能，教师可在四线格中输入或者选择声母、韵母或整体认读拼音字母，可匹配出正确的四声调读音，可支持读音发音，可在授课时进行拼音字母修改扩展教学；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教师快速制作化学方程式，并将化学方程式一键插入到当前正在制作的PPT中，软件预设初高中常用化学方程式，支持模糊匹配，方便快速选择匹配的化学方程式并一键插入到PPT中，插入PPT中可支持再次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15.提供物理化学教学所用的实验器材素材，支持选择多个素材一键插入到PPT中；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16.提供英语26个英文字母卡片素材，素材包含26个英文字在四线三格中的大小写、笔顺、含有该字母的样例单词及示意图，支持多选素材一键插入到PPT中；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17.支持不少于6种形式的互动游戏，每种互动游戏支持多种模板供教师选择，支持教师自定义背景，直接选择并输入相应内容即可生成互动游戏，支持一键插入课件 PPT，并在PPT中进行动画互动；互动游戏可独立保存至教师个人网盘，教师随时调用已制作好的游戏；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基于PPT的思维导图，至少支持3种及以上的主题模板，并支持修改背景颜色、字体格式、字体大小及字号，并支持在思维导图中插入视频、图片、音频多媒体文件，支持一键插入PPT课件，保存插入时的状态，并可在授课过程中打开PPT进行逐级或逐个的展示播放，支持在播放中移动思维导图，支持展开收起思维导图节点，支持放大缩小思维导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教学软件支持本地打开或在线下载个人网盘、校本资源库资源进行教学课件播放，实现PPT的原生态播放；支持PPT文档手势识别（多指放大、滑动翻页、缩略图），播放过程中可实现自由批注与笔迹内容同步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21.支持白板教学，提供个性化主题模板（拼音田字格、田字格、米字格、四线格、五线谱、黑板、白板、灰板）；支持在白板任意位置进行原笔迹书写、自由批注、擦除、拖动功能，支持手势按压擦除笔迹；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22.支持不少于 10 点同时书写，满足多人同时书写；提供不少于3种笔型，自带笔锋，支持自由选择笔颜色和粗细；支持手势按压擦除；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23.支持任意教学环境下（白板讲解、PPT讲解、视频播放等）全屏原笔迹书写、标注功能，笔迹需跟随页面切换，提供至少3种画笔类型，每种画笔支持四种粗细及自定义颜色，笔迹流畅并自带笔锋；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在当前白板页面通过双指拖动的方式实现无限板书的功能，支持白板讲解和笔迹留存功能，白板页面支持5倍拓展，支持新建≥20页白板内容，并可对白板内容进行擦除、区域擦除、一键清空、撤销上一步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提供几何图形教学工具，预设线段、虚线、角、三角形、矩形、平行四边形、梯形、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提供尺规工具，包含直尺、等腰直角三角尺、细长三角尺、圆规、量角器，可模拟现实场景在白板上快捷绘制线段、图形，显示出绘制长度刻度、角度参数，支持对尺规工具放大缩小及旋转，并实时显示旋转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28.支持立体图形功能，包含正方体和圆柱，支持针对立方体进行360°旋转，支持对立方体面进行填充，支持选择多种不同展开样式针对立方体进行展开效果，展开后可快速复原；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聚焦功能，聚焦框可选择需要重点查看的区域，对框选区域进行放大、关灯、全屏；框选区域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32.支持任何界面一键返回桌面，支持自由切换课件、桌面、白板及电子教材内容。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33.支持进行微信拍照讲评学生作业、试卷、图片、成果、问题。支持在同一个软件中无需下载其他APP，使用微信扫码即可拍照上传。支持现场拍照和从图库调取图片讲解，并且可旋转图片。支持不少于 10 张图片同屏展现，并支持对图片进行放大、缩小、旋转、全屏放大操作，支持对展现内容原笔迹手写批注。</w:t>
            </w:r>
          </w:p>
          <w:p w14:paraId="4E20C8D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支持高拍仪功能，无需单独安装高拍仪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35.支持课堂互动活动，支持教师选择所教班级学生进行随机点名；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36.为打造良好的软件运行环境，支持对当前设备的office版本及状态、网络进行检测，返回检测结果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37.同时支持安卓、ios移动客户端一键扫码连接大屏，实现投屏授课功能，支持教师利用手机移动设备在教室任意位置对智能交互一体机上的 PPT 课件进行翻页控制，支持远程将个人网盘资源推送至大屏并遥控PPT，支持PPT板书批注及清空笔迹，同时支持微信扫码拍照上传及移动客户端拍照上传，支持将移动端摄像头画面实时同步至大屏并根据手机摆放方向自动旋屏展示，支持将手机桌面同步投屏至大屏上，并支持切换窗口模式，自由调整窗口大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0537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B99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015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64BC9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5D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音箱扩音系统（有源音箱）</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14:paraId="2D2F9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功率≥2*50W；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喇叭单元 ≥6.5" 低音 ≥1" 高音</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3566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7C0C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6D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5EAFA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8532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班班通/视频展台</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14:paraId="19A7016F">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设备应采用壁挂式安装方式，壁挂箱体采用铝合金外壳，美观耐用，四周无锐角无利边设计。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2.设备具有折叠开合式托板，托板展开后可调节为A3或A4面积。</w:t>
            </w:r>
          </w:p>
          <w:p w14:paraId="25BB738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 USB 高速接口，单根 USB 线实现供电、高清数据传输；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4.USB线缆支持左、右、底部出线，适应不同位置安装需求；</w:t>
            </w:r>
          </w:p>
          <w:p w14:paraId="673B3127">
            <w:pPr>
              <w:keepNext w:val="0"/>
              <w:keepLines w:val="0"/>
              <w:widowControl/>
              <w:numPr>
                <w:ilvl w:val="0"/>
                <w:numId w:val="1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设备应配有不少于10颗补光灯，支持三档调节触摸开关，补光灯色温不小于5000K。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6.具备全向MIC，可录制10米以内的声音。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7.具备不少于2个USB-Type C接口，支持即插即用。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8.支持不少于6个功能按键，分别为补光灯调节、A3/A4切换、放大、缩小、拍照、逆时针旋转90°。</w:t>
            </w:r>
          </w:p>
          <w:p w14:paraId="14FCECDF">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具备设备工作指示灯，当音视频取流时指示灯常亮，音视频不取流时指示灯灭。</w:t>
            </w:r>
          </w:p>
          <w:p w14:paraId="5071191C">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支持抬杆自动出图，在抬起摇臂时自动显示视频画面。</w:t>
            </w:r>
          </w:p>
          <w:p w14:paraId="5D46F71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11.支持A3/A4自动切换：在开盖状态下，根据展台的拓展板是否打开，自动切换匹配A3/A4大小的视频画面分辨率。整机采用高清摄像头设计，不小于800万像素定焦镜头。</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8135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907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7B76112">
      <w:pPr>
        <w:spacing w:line="360" w:lineRule="auto"/>
        <w:jc w:val="left"/>
        <w:rPr>
          <w:rFonts w:hint="eastAsia" w:ascii="宋体" w:hAnsi="宋体" w:cs="宋体"/>
          <w:b/>
          <w:sz w:val="24"/>
        </w:rPr>
      </w:pPr>
      <w:r>
        <w:rPr>
          <w:rFonts w:hint="eastAsia" w:ascii="宋体" w:hAnsi="宋体" w:cs="宋体"/>
          <w:b/>
          <w:bCs/>
          <w:sz w:val="24"/>
        </w:rPr>
        <w:t>二、</w:t>
      </w:r>
      <w:r>
        <w:rPr>
          <w:rFonts w:hint="eastAsia" w:ascii="宋体" w:hAnsi="宋体" w:cs="宋体"/>
          <w:b/>
          <w:sz w:val="24"/>
        </w:rPr>
        <w:t xml:space="preserve"> 商务要求及说明</w:t>
      </w:r>
    </w:p>
    <w:p w14:paraId="6F825305">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1、供货范围</w:t>
      </w:r>
    </w:p>
    <w:p w14:paraId="73E32F3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1.1数量</w:t>
      </w:r>
      <w:r>
        <w:rPr>
          <w:rFonts w:hint="eastAsia" w:ascii="宋体" w:hAnsi="宋体" w:cs="宋体"/>
          <w:sz w:val="24"/>
          <w:lang w:eastAsia="zh-Hans"/>
        </w:rPr>
        <w:t>：</w:t>
      </w:r>
      <w:r>
        <w:rPr>
          <w:rFonts w:hint="eastAsia" w:ascii="宋体" w:hAnsi="宋体" w:cs="宋体"/>
          <w:sz w:val="24"/>
        </w:rPr>
        <w:t>详见采购需求部分要求</w:t>
      </w:r>
    </w:p>
    <w:p w14:paraId="201FF5B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1.2招标文件技术参数中的货物运输等相关服务。</w:t>
      </w:r>
    </w:p>
    <w:p w14:paraId="079F4BE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1.3中标人负责其派出的工作人员的人身意外保险。</w:t>
      </w:r>
    </w:p>
    <w:p w14:paraId="671F5B0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1.4 质量标准：符合国家产品的有关质量标准。</w:t>
      </w:r>
    </w:p>
    <w:p w14:paraId="038E4996">
      <w:pPr>
        <w:adjustRightInd w:val="0"/>
        <w:snapToGrid w:val="0"/>
        <w:spacing w:line="360" w:lineRule="auto"/>
        <w:ind w:left="502" w:leftChars="228"/>
        <w:jc w:val="left"/>
        <w:rPr>
          <w:rFonts w:hint="eastAsia" w:ascii="宋体" w:hAnsi="宋体" w:cs="宋体"/>
          <w:sz w:val="24"/>
        </w:rPr>
      </w:pPr>
      <w:r>
        <w:rPr>
          <w:rFonts w:hint="eastAsia" w:ascii="宋体" w:hAnsi="宋体" w:cs="宋体"/>
          <w:sz w:val="24"/>
        </w:rPr>
        <w:t>1.5验收：拟中标人须在合同签订后到采购人处对所投产品进行技术验证。所投产品不能完全满足以上要求的视为不合格，将取消其成交资格，且对拟中标人进行处罚和追究相关责任，并纳入政府采购黑名单。</w:t>
      </w:r>
    </w:p>
    <w:p w14:paraId="76454F3A">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 质保期：一年</w:t>
      </w:r>
    </w:p>
    <w:p w14:paraId="474E38FB">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3. 售后服务</w:t>
      </w:r>
    </w:p>
    <w:p w14:paraId="0CD07C85">
      <w:pPr>
        <w:spacing w:line="360" w:lineRule="auto"/>
        <w:ind w:firstLine="480" w:firstLineChars="200"/>
        <w:jc w:val="left"/>
        <w:rPr>
          <w:rFonts w:hint="eastAsia" w:ascii="宋体" w:hAnsi="宋体" w:cs="宋体"/>
          <w:sz w:val="24"/>
        </w:rPr>
      </w:pPr>
      <w:r>
        <w:rPr>
          <w:rFonts w:hint="eastAsia" w:ascii="宋体" w:hAnsi="宋体" w:cs="宋体"/>
          <w:sz w:val="24"/>
        </w:rPr>
        <w:t>3.1  售后</w:t>
      </w:r>
      <w:r>
        <w:rPr>
          <w:rFonts w:hint="eastAsia" w:ascii="宋体" w:hAnsi="宋体" w:cs="宋体"/>
          <w:sz w:val="24"/>
          <w:lang w:eastAsia="zh-Hans"/>
        </w:rPr>
        <w:t>服务：24小时电话售后服务支持，设备故障后需售后服务人员现场处理，涉及到维修需在1周内完成</w:t>
      </w:r>
      <w:r>
        <w:rPr>
          <w:rFonts w:hint="eastAsia" w:ascii="宋体" w:hAnsi="宋体" w:cs="宋体"/>
          <w:sz w:val="24"/>
        </w:rPr>
        <w:t>，若维修周期超过一周，需提供备用机以保证采购单位工作正常开展。</w:t>
      </w:r>
    </w:p>
    <w:p w14:paraId="1EAF829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3.2  在质保期内，如有制造质量问题或技术缺陷造成设备故障或损坏，中标人须予以免费整体更换相应设备，以保证采购单位工作正常开展。</w:t>
      </w:r>
    </w:p>
    <w:p w14:paraId="54813D70">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3.3  培训：中标人应按采购人要求免费提供安装前技术指导和系统调试时的现场指导，按采购人要求进行调试和验收。且免费培训2名操作管理和维护人员，要达到熟练掌握产品性能，能及时排除一般故障的程度，并提供其他一切所必须的技术支持。</w:t>
      </w:r>
    </w:p>
    <w:p w14:paraId="32A8CF53">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3.4  定期巡检：产品交付使用后，中标人负责每半年要深入产品使用单位进行一次巡检服务，巡检服务情况报业主备查。</w:t>
      </w:r>
    </w:p>
    <w:p w14:paraId="14D64F47">
      <w:pPr>
        <w:adjustRightInd w:val="0"/>
        <w:snapToGrid w:val="0"/>
        <w:spacing w:line="360" w:lineRule="auto"/>
        <w:ind w:firstLine="480" w:firstLineChars="200"/>
        <w:jc w:val="left"/>
        <w:rPr>
          <w:rFonts w:hint="eastAsia" w:ascii="宋体" w:hAnsi="宋体" w:cs="宋体"/>
          <w:sz w:val="24"/>
          <w:lang w:eastAsia="zh-Hans"/>
        </w:rPr>
      </w:pPr>
      <w:r>
        <w:rPr>
          <w:rFonts w:hint="eastAsia" w:ascii="宋体" w:hAnsi="宋体" w:cs="宋体"/>
          <w:sz w:val="24"/>
        </w:rPr>
        <w:t xml:space="preserve">3.5  </w:t>
      </w:r>
      <w:r>
        <w:rPr>
          <w:rFonts w:hint="eastAsia" w:ascii="宋体" w:hAnsi="宋体" w:cs="宋体"/>
          <w:sz w:val="24"/>
          <w:lang w:eastAsia="zh-Hans"/>
        </w:rPr>
        <w:t>安全</w:t>
      </w:r>
      <w:r>
        <w:rPr>
          <w:rFonts w:hint="eastAsia" w:ascii="宋体" w:hAnsi="宋体" w:cs="宋体"/>
          <w:sz w:val="24"/>
        </w:rPr>
        <w:t>要求</w:t>
      </w:r>
      <w:r>
        <w:rPr>
          <w:rFonts w:hint="eastAsia" w:ascii="宋体" w:hAnsi="宋体" w:cs="宋体"/>
          <w:sz w:val="24"/>
          <w:lang w:eastAsia="zh-Hans"/>
        </w:rPr>
        <w:t>：设备需要满足使用人员安全、用电安全等条件。</w:t>
      </w:r>
    </w:p>
    <w:p w14:paraId="30F63949">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4. 交货期及地点</w:t>
      </w:r>
    </w:p>
    <w:p w14:paraId="208D424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4.1 交货期：20日历天（2025年8月25日前）</w:t>
      </w:r>
    </w:p>
    <w:p w14:paraId="144DF745">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4.2 交货地点：采购人指定地点。</w:t>
      </w:r>
    </w:p>
    <w:p w14:paraId="1E10D3AF">
      <w:pPr>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4.3 交货方式：中标人负责货物的运输、保管、安装调试直至验收合格。</w:t>
      </w:r>
    </w:p>
    <w:p w14:paraId="09121E52">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5. 结算方法</w:t>
      </w:r>
    </w:p>
    <w:p w14:paraId="29A9B77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5.1付款方式：项目验收合格后支付合同金额的95%，余下合同金额的5%待验收合格满一年后无息支付</w:t>
      </w:r>
      <w:bookmarkStart w:id="0" w:name="_GoBack"/>
      <w:bookmarkEnd w:id="0"/>
      <w:r>
        <w:rPr>
          <w:rFonts w:hint="eastAsia" w:ascii="宋体" w:hAnsi="宋体" w:cs="宋体"/>
          <w:sz w:val="24"/>
        </w:rPr>
        <w:t>。</w:t>
      </w:r>
    </w:p>
    <w:p w14:paraId="19BF383B">
      <w:pPr>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6. 项目其他要求</w:t>
      </w:r>
    </w:p>
    <w:p w14:paraId="77FC38DA">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6.1 本项目采用费用包干方式建设，投标人应根据项目要求和现场情况，详细列明项目所需的设备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p>
    <w:p w14:paraId="7EB8E59E">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7.其他：本项目未尽事宜，由双方合同中协商解决。</w:t>
      </w:r>
    </w:p>
    <w:p w14:paraId="29DF8C66">
      <w:pPr>
        <w:pStyle w:val="19"/>
        <w:numPr>
          <w:ilvl w:val="0"/>
          <w:numId w:val="0"/>
        </w:numPr>
        <w:spacing w:before="156" w:beforeLines="50" w:after="156" w:afterLines="50" w:line="360" w:lineRule="auto"/>
        <w:jc w:val="both"/>
        <w:rPr>
          <w:rFonts w:hint="eastAsia" w:ascii="宋体" w:hAnsi="宋体" w:cs="宋体"/>
          <w:b/>
          <w:bCs/>
          <w:color w:val="auto"/>
          <w:sz w:val="24"/>
          <w:szCs w:val="24"/>
        </w:rPr>
      </w:pPr>
      <w:r>
        <w:rPr>
          <w:rFonts w:hint="eastAsia" w:ascii="宋体" w:hAnsi="宋体" w:cs="宋体"/>
          <w:b/>
          <w:bCs/>
          <w:color w:val="auto"/>
          <w:sz w:val="24"/>
          <w:szCs w:val="24"/>
        </w:rPr>
        <w:t>注：对于上述项目商务要求，均属于投标人实质性响应条款，投标人须完全满足，且应在投标文件中作出响应并予以承诺及说明，否则投标无效。</w:t>
      </w:r>
    </w:p>
    <w:p w14:paraId="36452821">
      <w:pPr>
        <w:pStyle w:val="14"/>
        <w:rPr>
          <w:rFonts w:hint="eastAsia"/>
          <w:lang w:eastAsia="zh-CN"/>
        </w:rPr>
      </w:pPr>
    </w:p>
    <w:p w14:paraId="23EE11E1">
      <w:pPr>
        <w:pStyle w:val="14"/>
        <w:rPr>
          <w:rFonts w:hint="eastAsia"/>
          <w:lang w:eastAsia="zh-CN"/>
        </w:rPr>
      </w:pPr>
    </w:p>
    <w:p w14:paraId="707D1FCC">
      <w:pPr>
        <w:pStyle w:val="14"/>
        <w:rPr>
          <w:rFonts w:hint="eastAsia"/>
          <w:lang w:eastAsia="zh-CN"/>
        </w:rPr>
      </w:pPr>
    </w:p>
    <w:p w14:paraId="4103E9C3">
      <w:pPr>
        <w:pStyle w:val="14"/>
        <w:rPr>
          <w:rFonts w:hint="eastAsia"/>
          <w:lang w:eastAsia="zh-CN"/>
        </w:rPr>
      </w:pPr>
    </w:p>
    <w:p w14:paraId="43A7D4FB">
      <w:pPr>
        <w:pStyle w:val="14"/>
        <w:rPr>
          <w:rFonts w:hint="eastAsia"/>
          <w:lang w:eastAsia="zh-CN"/>
        </w:rPr>
      </w:pPr>
    </w:p>
    <w:p w14:paraId="740B4631">
      <w:pPr>
        <w:pStyle w:val="14"/>
        <w:rPr>
          <w:rFonts w:hint="eastAsia"/>
          <w:lang w:eastAsia="zh-CN"/>
        </w:rPr>
      </w:pPr>
    </w:p>
    <w:p w14:paraId="098A1CB9">
      <w:pPr>
        <w:pStyle w:val="14"/>
        <w:rPr>
          <w:rFonts w:hint="eastAsia"/>
          <w:lang w:eastAsia="zh-CN"/>
        </w:rPr>
      </w:pPr>
    </w:p>
    <w:p w14:paraId="7BCCBA1E">
      <w:pPr>
        <w:pStyle w:val="14"/>
        <w:rPr>
          <w:rFonts w:hint="eastAsia"/>
          <w:lang w:eastAsia="zh-CN"/>
        </w:rPr>
      </w:pPr>
    </w:p>
    <w:p w14:paraId="47384F52">
      <w:pPr>
        <w:pStyle w:val="14"/>
        <w:rPr>
          <w:rFonts w:hint="eastAsia"/>
          <w:lang w:eastAsia="zh-CN"/>
        </w:rPr>
      </w:pPr>
    </w:p>
    <w:p w14:paraId="0120FB8C">
      <w:pPr>
        <w:pStyle w:val="14"/>
        <w:rPr>
          <w:rFonts w:hint="eastAsia"/>
          <w:lang w:eastAsia="zh-CN"/>
        </w:rPr>
      </w:pPr>
    </w:p>
    <w:p w14:paraId="09548413">
      <w:pPr>
        <w:pStyle w:val="14"/>
        <w:rPr>
          <w:rFonts w:hint="eastAsia"/>
          <w:lang w:eastAsia="zh-CN"/>
        </w:rPr>
      </w:pPr>
    </w:p>
    <w:p w14:paraId="58AA054F">
      <w:pPr>
        <w:pStyle w:val="14"/>
        <w:rPr>
          <w:rFonts w:hint="eastAsia"/>
          <w:lang w:eastAsia="zh-CN"/>
        </w:rPr>
      </w:pPr>
    </w:p>
    <w:p w14:paraId="34D4D940">
      <w:pPr>
        <w:pStyle w:val="14"/>
        <w:rPr>
          <w:rFonts w:hint="eastAsia"/>
          <w:lang w:eastAsia="zh-CN"/>
        </w:rPr>
      </w:pPr>
    </w:p>
    <w:p w14:paraId="05615209">
      <w:pPr>
        <w:pStyle w:val="14"/>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具体以采购公告为准</w:t>
      </w:r>
      <w:r>
        <w:rPr>
          <w:rFonts w:hint="eastAsia" w:ascii="仿宋" w:hAnsi="仿宋" w:eastAsia="仿宋" w:cs="仿宋"/>
          <w:b/>
          <w:bCs/>
          <w:color w:val="auto"/>
          <w:sz w:val="36"/>
          <w:szCs w:val="36"/>
          <w:lang w:eastAsia="zh-CN"/>
        </w:rPr>
        <w:t>）</w:t>
      </w:r>
      <w:r>
        <w:rPr>
          <w:rFonts w:hint="eastAsia" w:ascii="楷体" w:hAnsi="楷体" w:eastAsia="楷体" w:cs="楷体"/>
          <w:b/>
          <w:bCs/>
          <w:sz w:val="32"/>
          <w:szCs w:val="40"/>
          <w:lang w:val="en-US" w:eastAsia="zh-CN"/>
        </w:rPr>
        <w:t>：</w:t>
      </w:r>
    </w:p>
    <w:p w14:paraId="2A3E84F7">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1. 总则</w:t>
      </w:r>
    </w:p>
    <w:p w14:paraId="39031B10">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1.1 评标办法 </w:t>
      </w:r>
    </w:p>
    <w:p w14:paraId="394271B0">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本项目采用综合评分法进行评审。 </w:t>
      </w:r>
    </w:p>
    <w:p w14:paraId="78DA4A49">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综合评分法，是指在满足采购文件实质性要求的前提下，评标专家按照采购文件中规定的各项评审因素及其分值进行综合评分后，以评分从高到低的顺序推荐1至3家投标人作为中标候选投标人的评标方法。 </w:t>
      </w:r>
    </w:p>
    <w:p w14:paraId="7C993CA4">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1.2 评分因素 </w:t>
      </w:r>
    </w:p>
    <w:p w14:paraId="205A5525">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评分的主要因素分为价格因素、技术因素（如服务方案、服务响应等）和商务因素（如服务保障、相关业绩等）。评分因素详见评分表。评标分值保留至两位小数。评标时，评标专家依照评分表对每个有效投标人的投标文件进行独立评审、打分。 </w:t>
      </w:r>
    </w:p>
    <w:p w14:paraId="21F09BF3">
      <w:pPr>
        <w:pStyle w:val="7"/>
        <w:numPr>
          <w:ilvl w:val="0"/>
          <w:numId w:val="12"/>
        </w:numPr>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初步评审标准如下：</w:t>
      </w:r>
    </w:p>
    <w:tbl>
      <w:tblPr>
        <w:tblStyle w:val="1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58"/>
        <w:gridCol w:w="2258"/>
        <w:gridCol w:w="5804"/>
      </w:tblGrid>
      <w:tr w14:paraId="546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5" w:type="dxa"/>
            <w:noWrap w:val="0"/>
            <w:vAlign w:val="top"/>
          </w:tcPr>
          <w:p w14:paraId="4004E801">
            <w:pPr>
              <w:pStyle w:val="15"/>
              <w:spacing w:before="70" w:line="360" w:lineRule="auto"/>
              <w:ind w:right="157"/>
              <w:jc w:val="center"/>
              <w:rPr>
                <w:rFonts w:hint="eastAsia"/>
                <w:color w:val="000000"/>
                <w:sz w:val="24"/>
              </w:rPr>
            </w:pPr>
            <w:r>
              <w:rPr>
                <w:rFonts w:hint="eastAsia"/>
                <w:color w:val="000000"/>
                <w:sz w:val="24"/>
              </w:rPr>
              <w:t>序号</w:t>
            </w:r>
          </w:p>
        </w:tc>
        <w:tc>
          <w:tcPr>
            <w:tcW w:w="1258" w:type="dxa"/>
            <w:noWrap w:val="0"/>
            <w:vAlign w:val="top"/>
          </w:tcPr>
          <w:p w14:paraId="621FEED0">
            <w:pPr>
              <w:pStyle w:val="15"/>
              <w:spacing w:before="70" w:line="360" w:lineRule="auto"/>
              <w:ind w:right="157"/>
              <w:jc w:val="center"/>
              <w:rPr>
                <w:rFonts w:hint="eastAsia"/>
                <w:color w:val="000000"/>
                <w:sz w:val="24"/>
              </w:rPr>
            </w:pPr>
            <w:r>
              <w:rPr>
                <w:rFonts w:hint="eastAsia"/>
                <w:color w:val="000000"/>
                <w:sz w:val="24"/>
              </w:rPr>
              <w:t>审查项目</w:t>
            </w:r>
          </w:p>
        </w:tc>
        <w:tc>
          <w:tcPr>
            <w:tcW w:w="2258" w:type="dxa"/>
            <w:noWrap w:val="0"/>
            <w:vAlign w:val="top"/>
          </w:tcPr>
          <w:p w14:paraId="00F13AB7">
            <w:pPr>
              <w:pStyle w:val="15"/>
              <w:spacing w:before="70" w:line="360" w:lineRule="auto"/>
              <w:ind w:left="578"/>
              <w:jc w:val="left"/>
              <w:rPr>
                <w:rFonts w:hint="eastAsia"/>
                <w:color w:val="000000"/>
                <w:sz w:val="24"/>
              </w:rPr>
            </w:pPr>
            <w:r>
              <w:rPr>
                <w:rFonts w:hint="eastAsia"/>
                <w:color w:val="000000"/>
                <w:sz w:val="24"/>
              </w:rPr>
              <w:t>评审因素</w:t>
            </w:r>
          </w:p>
        </w:tc>
        <w:tc>
          <w:tcPr>
            <w:tcW w:w="5804" w:type="dxa"/>
            <w:noWrap w:val="0"/>
            <w:vAlign w:val="top"/>
          </w:tcPr>
          <w:p w14:paraId="4BB0152A">
            <w:pPr>
              <w:pStyle w:val="15"/>
              <w:spacing w:before="70" w:line="360" w:lineRule="auto"/>
              <w:ind w:left="2400" w:right="2242"/>
              <w:jc w:val="left"/>
              <w:rPr>
                <w:rFonts w:hint="eastAsia"/>
                <w:color w:val="000000"/>
                <w:sz w:val="24"/>
              </w:rPr>
            </w:pPr>
            <w:r>
              <w:rPr>
                <w:rFonts w:hint="eastAsia"/>
                <w:color w:val="000000"/>
                <w:sz w:val="24"/>
              </w:rPr>
              <w:t>评审标准</w:t>
            </w:r>
          </w:p>
        </w:tc>
      </w:tr>
      <w:tr w14:paraId="5831277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71965D9A">
            <w:pPr>
              <w:pStyle w:val="15"/>
              <w:spacing w:line="360" w:lineRule="auto"/>
              <w:ind w:left="14" w:right="-90" w:rightChars="-41" w:hanging="14" w:hangingChars="6"/>
              <w:jc w:val="center"/>
              <w:rPr>
                <w:rFonts w:hint="eastAsia"/>
                <w:color w:val="000000"/>
                <w:sz w:val="24"/>
                <w:lang w:val="en-US"/>
              </w:rPr>
            </w:pPr>
          </w:p>
          <w:p w14:paraId="7DAC9177">
            <w:pPr>
              <w:pStyle w:val="15"/>
              <w:spacing w:line="360" w:lineRule="auto"/>
              <w:ind w:left="14" w:right="-90" w:rightChars="-41" w:hanging="14" w:hangingChars="6"/>
              <w:jc w:val="center"/>
              <w:rPr>
                <w:rFonts w:hint="eastAsia"/>
                <w:color w:val="000000"/>
                <w:sz w:val="24"/>
                <w:lang w:val="en-US"/>
              </w:rPr>
            </w:pPr>
          </w:p>
          <w:p w14:paraId="3CF85C77">
            <w:pPr>
              <w:pStyle w:val="15"/>
              <w:spacing w:line="360" w:lineRule="auto"/>
              <w:ind w:left="14" w:right="-90" w:rightChars="-41" w:hanging="14" w:hangingChars="6"/>
              <w:jc w:val="center"/>
              <w:rPr>
                <w:rFonts w:hint="eastAsia"/>
                <w:color w:val="000000"/>
                <w:sz w:val="24"/>
                <w:lang w:val="en-US"/>
              </w:rPr>
            </w:pPr>
          </w:p>
          <w:p w14:paraId="7F84E6AF">
            <w:pPr>
              <w:pStyle w:val="15"/>
              <w:spacing w:line="360" w:lineRule="auto"/>
              <w:ind w:left="14" w:right="-90" w:rightChars="-41" w:hanging="14" w:hangingChars="6"/>
              <w:jc w:val="center"/>
              <w:rPr>
                <w:rFonts w:hint="eastAsia"/>
                <w:color w:val="000000"/>
                <w:sz w:val="24"/>
                <w:lang w:val="en-US"/>
              </w:rPr>
            </w:pPr>
          </w:p>
          <w:p w14:paraId="389D87B9">
            <w:pPr>
              <w:pStyle w:val="15"/>
              <w:spacing w:line="360" w:lineRule="auto"/>
              <w:ind w:left="14" w:right="-90" w:rightChars="-41" w:hanging="14" w:hangingChars="6"/>
              <w:jc w:val="center"/>
              <w:rPr>
                <w:rFonts w:hint="eastAsia"/>
                <w:color w:val="000000"/>
                <w:sz w:val="24"/>
                <w:lang w:val="en-US"/>
              </w:rPr>
            </w:pPr>
          </w:p>
          <w:p w14:paraId="07E84D8D">
            <w:pPr>
              <w:pStyle w:val="15"/>
              <w:spacing w:line="360" w:lineRule="auto"/>
              <w:ind w:left="14" w:right="-90" w:rightChars="-41" w:hanging="14" w:hangingChars="6"/>
              <w:jc w:val="center"/>
              <w:rPr>
                <w:rFonts w:hint="eastAsia"/>
                <w:color w:val="000000"/>
                <w:sz w:val="24"/>
                <w:lang w:val="en-US"/>
              </w:rPr>
            </w:pPr>
          </w:p>
          <w:p w14:paraId="1CBF88A0">
            <w:pPr>
              <w:pStyle w:val="15"/>
              <w:spacing w:line="360" w:lineRule="auto"/>
              <w:ind w:left="14" w:right="-90" w:rightChars="-41" w:hanging="14" w:hangingChars="6"/>
              <w:jc w:val="center"/>
              <w:rPr>
                <w:rFonts w:hint="eastAsia"/>
                <w:color w:val="000000"/>
                <w:sz w:val="24"/>
                <w:lang w:val="en-US"/>
              </w:rPr>
            </w:pPr>
          </w:p>
          <w:p w14:paraId="7E04551C">
            <w:pPr>
              <w:pStyle w:val="15"/>
              <w:spacing w:line="360" w:lineRule="auto"/>
              <w:ind w:left="14" w:right="-90" w:rightChars="-41" w:hanging="14" w:hangingChars="6"/>
              <w:jc w:val="center"/>
              <w:rPr>
                <w:rFonts w:hint="eastAsia"/>
                <w:color w:val="000000"/>
                <w:sz w:val="24"/>
                <w:lang w:val="en-US"/>
              </w:rPr>
            </w:pPr>
          </w:p>
          <w:p w14:paraId="7CA6BF82">
            <w:pPr>
              <w:pStyle w:val="15"/>
              <w:spacing w:line="360" w:lineRule="auto"/>
              <w:ind w:left="14" w:right="-90" w:rightChars="-41" w:hanging="14" w:hangingChars="6"/>
              <w:jc w:val="center"/>
              <w:rPr>
                <w:rFonts w:hint="eastAsia"/>
                <w:color w:val="000000"/>
                <w:sz w:val="24"/>
                <w:lang w:val="en-US"/>
              </w:rPr>
            </w:pPr>
            <w:r>
              <w:rPr>
                <w:rFonts w:hint="eastAsia"/>
                <w:color w:val="000000"/>
                <w:sz w:val="24"/>
                <w:lang w:val="en-US"/>
              </w:rPr>
              <w:t>1</w:t>
            </w:r>
          </w:p>
        </w:tc>
        <w:tc>
          <w:tcPr>
            <w:tcW w:w="1258" w:type="dxa"/>
            <w:vMerge w:val="restart"/>
            <w:tcBorders>
              <w:top w:val="single" w:color="auto" w:sz="4" w:space="0"/>
              <w:left w:val="single" w:color="auto" w:sz="4" w:space="0"/>
              <w:right w:val="single" w:color="auto" w:sz="4" w:space="0"/>
            </w:tcBorders>
            <w:noWrap w:val="0"/>
            <w:vAlign w:val="center"/>
          </w:tcPr>
          <w:p w14:paraId="77F32A1C">
            <w:pPr>
              <w:pStyle w:val="15"/>
              <w:spacing w:line="360" w:lineRule="auto"/>
              <w:jc w:val="center"/>
              <w:rPr>
                <w:rFonts w:hint="eastAsia"/>
                <w:color w:val="000000"/>
                <w:sz w:val="24"/>
              </w:rPr>
            </w:pPr>
          </w:p>
          <w:p w14:paraId="323384E3">
            <w:pPr>
              <w:pStyle w:val="15"/>
              <w:spacing w:line="360" w:lineRule="auto"/>
              <w:jc w:val="center"/>
              <w:rPr>
                <w:rFonts w:hint="eastAsia"/>
                <w:color w:val="000000"/>
                <w:sz w:val="24"/>
              </w:rPr>
            </w:pPr>
          </w:p>
          <w:p w14:paraId="2D59D0A0">
            <w:pPr>
              <w:pStyle w:val="15"/>
              <w:spacing w:line="360" w:lineRule="auto"/>
              <w:jc w:val="center"/>
              <w:rPr>
                <w:rFonts w:hint="eastAsia"/>
                <w:color w:val="000000"/>
                <w:sz w:val="24"/>
              </w:rPr>
            </w:pPr>
          </w:p>
          <w:p w14:paraId="707C5561">
            <w:pPr>
              <w:pStyle w:val="15"/>
              <w:spacing w:before="4" w:line="360" w:lineRule="auto"/>
              <w:jc w:val="center"/>
              <w:rPr>
                <w:rFonts w:hint="eastAsia"/>
                <w:color w:val="000000"/>
                <w:sz w:val="24"/>
              </w:rPr>
            </w:pPr>
          </w:p>
          <w:p w14:paraId="06BA3850">
            <w:pPr>
              <w:pStyle w:val="15"/>
              <w:spacing w:line="360" w:lineRule="auto"/>
              <w:ind w:left="174"/>
              <w:jc w:val="center"/>
              <w:rPr>
                <w:rFonts w:hint="eastAsia"/>
                <w:color w:val="000000"/>
                <w:sz w:val="24"/>
              </w:rPr>
            </w:pPr>
          </w:p>
          <w:p w14:paraId="3A6CD823">
            <w:pPr>
              <w:pStyle w:val="15"/>
              <w:spacing w:line="360" w:lineRule="auto"/>
              <w:ind w:left="174"/>
              <w:jc w:val="center"/>
              <w:rPr>
                <w:rFonts w:hint="eastAsia"/>
                <w:color w:val="000000"/>
                <w:sz w:val="24"/>
              </w:rPr>
            </w:pPr>
          </w:p>
          <w:p w14:paraId="385657B5">
            <w:pPr>
              <w:pStyle w:val="15"/>
              <w:spacing w:line="360" w:lineRule="auto"/>
              <w:ind w:left="174"/>
              <w:jc w:val="center"/>
              <w:rPr>
                <w:rFonts w:hint="eastAsia"/>
                <w:color w:val="000000"/>
                <w:sz w:val="24"/>
              </w:rPr>
            </w:pPr>
          </w:p>
          <w:p w14:paraId="498876F5">
            <w:pPr>
              <w:pStyle w:val="15"/>
              <w:spacing w:line="360" w:lineRule="auto"/>
              <w:jc w:val="center"/>
              <w:rPr>
                <w:rFonts w:hint="eastAsia"/>
                <w:color w:val="000000"/>
                <w:sz w:val="24"/>
              </w:rPr>
            </w:pPr>
          </w:p>
          <w:p w14:paraId="2AC23122">
            <w:pPr>
              <w:pStyle w:val="15"/>
              <w:spacing w:line="360" w:lineRule="auto"/>
              <w:ind w:left="14" w:right="-90" w:rightChars="-41" w:hanging="14" w:hangingChars="6"/>
              <w:jc w:val="center"/>
              <w:rPr>
                <w:rFonts w:hint="eastAsia"/>
                <w:color w:val="000000"/>
                <w:sz w:val="24"/>
              </w:rPr>
            </w:pPr>
            <w:r>
              <w:rPr>
                <w:rFonts w:hint="eastAsia"/>
                <w:color w:val="000000"/>
                <w:sz w:val="24"/>
              </w:rPr>
              <w:t>资格性检查</w:t>
            </w: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B2AAB0C">
            <w:pPr>
              <w:pStyle w:val="15"/>
              <w:spacing w:line="360" w:lineRule="auto"/>
              <w:ind w:right="127"/>
              <w:jc w:val="center"/>
              <w:rPr>
                <w:rFonts w:hint="eastAsia"/>
                <w:sz w:val="24"/>
              </w:rPr>
            </w:pPr>
            <w:r>
              <w:rPr>
                <w:rFonts w:hint="eastAsia"/>
                <w:kern w:val="0"/>
                <w:sz w:val="24"/>
              </w:rPr>
              <w:t>具有独立承担民事责任的能力</w:t>
            </w:r>
          </w:p>
        </w:tc>
        <w:tc>
          <w:tcPr>
            <w:tcW w:w="5804" w:type="dxa"/>
            <w:tcBorders>
              <w:top w:val="single" w:color="000000" w:sz="6" w:space="0"/>
              <w:left w:val="single" w:color="000000" w:sz="6" w:space="0"/>
              <w:bottom w:val="single" w:color="000000" w:sz="6" w:space="0"/>
            </w:tcBorders>
            <w:noWrap w:val="0"/>
            <w:vAlign w:val="center"/>
          </w:tcPr>
          <w:p w14:paraId="0BBC5334">
            <w:pPr>
              <w:pStyle w:val="15"/>
              <w:spacing w:line="360" w:lineRule="auto"/>
              <w:ind w:left="86" w:right="50"/>
              <w:jc w:val="left"/>
              <w:rPr>
                <w:rFonts w:hint="eastAsia"/>
                <w:sz w:val="24"/>
              </w:rPr>
            </w:pPr>
            <w:r>
              <w:rPr>
                <w:rFonts w:hint="eastAsia"/>
                <w:sz w:val="24"/>
              </w:rPr>
              <w:t>提供合法有效的统一社会信用代码营业执照复印件（事业单位提供事业单位法人证书复印件，自然人应提供身份证复印件）；</w:t>
            </w:r>
          </w:p>
        </w:tc>
      </w:tr>
      <w:tr w14:paraId="30E32CD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764FC36C">
            <w:pPr>
              <w:pStyle w:val="15"/>
              <w:spacing w:line="360" w:lineRule="auto"/>
              <w:ind w:left="14" w:right="-90" w:rightChars="-41" w:hanging="14" w:hangingChars="6"/>
              <w:jc w:val="center"/>
              <w:rPr>
                <w:rFonts w:hint="eastAsia"/>
                <w:color w:val="000000"/>
                <w:sz w:val="24"/>
                <w:lang w:val="en-US"/>
              </w:rPr>
            </w:pPr>
          </w:p>
        </w:tc>
        <w:tc>
          <w:tcPr>
            <w:tcW w:w="1258" w:type="dxa"/>
            <w:vMerge w:val="continue"/>
            <w:tcBorders>
              <w:left w:val="single" w:color="auto" w:sz="4" w:space="0"/>
              <w:right w:val="single" w:color="auto" w:sz="4" w:space="0"/>
            </w:tcBorders>
            <w:noWrap w:val="0"/>
            <w:vAlign w:val="center"/>
          </w:tcPr>
          <w:p w14:paraId="78843517">
            <w:pPr>
              <w:pStyle w:val="15"/>
              <w:spacing w:line="360" w:lineRule="auto"/>
              <w:ind w:left="14" w:right="-90" w:rightChars="-41" w:hanging="14" w:hangingChars="6"/>
              <w:jc w:val="center"/>
              <w:rPr>
                <w:rFonts w:hint="eastAsia"/>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409E378C">
            <w:pPr>
              <w:pStyle w:val="15"/>
              <w:spacing w:line="360" w:lineRule="auto"/>
              <w:ind w:right="127"/>
              <w:jc w:val="center"/>
              <w:rPr>
                <w:rFonts w:hint="eastAsia"/>
                <w:kern w:val="0"/>
                <w:sz w:val="24"/>
              </w:rPr>
            </w:pPr>
            <w:r>
              <w:rPr>
                <w:rFonts w:hint="eastAsia"/>
                <w:kern w:val="0"/>
                <w:sz w:val="24"/>
              </w:rPr>
              <w:t>授权书及法人身份证明文件</w:t>
            </w:r>
          </w:p>
        </w:tc>
        <w:tc>
          <w:tcPr>
            <w:tcW w:w="5804" w:type="dxa"/>
            <w:tcBorders>
              <w:top w:val="single" w:color="000000" w:sz="6" w:space="0"/>
              <w:left w:val="single" w:color="000000" w:sz="6" w:space="0"/>
              <w:bottom w:val="single" w:color="000000" w:sz="6" w:space="0"/>
            </w:tcBorders>
            <w:noWrap w:val="0"/>
            <w:vAlign w:val="center"/>
          </w:tcPr>
          <w:p w14:paraId="5A772959">
            <w:pPr>
              <w:spacing w:line="360" w:lineRule="auto"/>
              <w:rPr>
                <w:rFonts w:hint="eastAsia" w:ascii="宋体" w:hAnsi="宋体" w:cs="宋体"/>
                <w:sz w:val="24"/>
              </w:rPr>
            </w:pPr>
            <w:r>
              <w:rPr>
                <w:rFonts w:hint="eastAsia" w:ascii="宋体" w:hAnsi="宋体" w:cs="宋体"/>
                <w:color w:val="000000"/>
                <w:kern w:val="0"/>
                <w:sz w:val="24"/>
              </w:rPr>
              <w:t>法定代表人参加投标的提供法定代表人身份证明原件及身份证</w:t>
            </w:r>
            <w:r>
              <w:rPr>
                <w:rFonts w:hint="eastAsia" w:ascii="宋体" w:hAnsi="宋体" w:cs="宋体"/>
                <w:color w:val="000000"/>
                <w:sz w:val="24"/>
              </w:rPr>
              <w:t>复印件或扫描件</w:t>
            </w:r>
            <w:r>
              <w:rPr>
                <w:rFonts w:hint="eastAsia" w:ascii="宋体" w:hAnsi="宋体" w:cs="宋体"/>
                <w:color w:val="000000"/>
                <w:kern w:val="0"/>
                <w:sz w:val="24"/>
              </w:rPr>
              <w:t>，法定代表人授权他人参加投标的提供法定代表人授权委托书原件及授权代理人身份证复印件（格式见响应文件组成），自然人提交身份证复印件。</w:t>
            </w:r>
          </w:p>
        </w:tc>
      </w:tr>
      <w:tr w14:paraId="48597400">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4961F383">
            <w:pPr>
              <w:pStyle w:val="15"/>
              <w:spacing w:line="360" w:lineRule="auto"/>
              <w:ind w:left="14" w:right="-90" w:rightChars="-41" w:hanging="14" w:hangingChars="6"/>
              <w:jc w:val="center"/>
              <w:rPr>
                <w:rFonts w:hint="eastAsia"/>
                <w:color w:val="000000"/>
                <w:sz w:val="24"/>
                <w:lang w:val="en-US"/>
              </w:rPr>
            </w:pPr>
          </w:p>
        </w:tc>
        <w:tc>
          <w:tcPr>
            <w:tcW w:w="1258" w:type="dxa"/>
            <w:vMerge w:val="continue"/>
            <w:tcBorders>
              <w:left w:val="single" w:color="auto" w:sz="4" w:space="0"/>
              <w:right w:val="single" w:color="auto" w:sz="4" w:space="0"/>
            </w:tcBorders>
            <w:noWrap w:val="0"/>
            <w:vAlign w:val="center"/>
          </w:tcPr>
          <w:p w14:paraId="7E937283">
            <w:pPr>
              <w:pStyle w:val="15"/>
              <w:spacing w:line="360" w:lineRule="auto"/>
              <w:ind w:left="14" w:right="-90" w:rightChars="-41" w:hanging="14" w:hangingChars="6"/>
              <w:jc w:val="center"/>
              <w:rPr>
                <w:rFonts w:hint="eastAsia"/>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017B594">
            <w:pPr>
              <w:pStyle w:val="15"/>
              <w:spacing w:line="360" w:lineRule="auto"/>
              <w:ind w:right="127"/>
              <w:jc w:val="center"/>
              <w:rPr>
                <w:rFonts w:hint="eastAsia"/>
                <w:kern w:val="0"/>
                <w:sz w:val="24"/>
              </w:rPr>
            </w:pPr>
            <w:r>
              <w:rPr>
                <w:rFonts w:hint="eastAsia"/>
                <w:kern w:val="0"/>
                <w:sz w:val="24"/>
              </w:rPr>
              <w:t>依法缴纳社会保险证明资料</w:t>
            </w:r>
          </w:p>
        </w:tc>
        <w:tc>
          <w:tcPr>
            <w:tcW w:w="5804" w:type="dxa"/>
            <w:tcBorders>
              <w:top w:val="single" w:color="000000" w:sz="6" w:space="0"/>
              <w:left w:val="single" w:color="000000" w:sz="6" w:space="0"/>
              <w:bottom w:val="single" w:color="000000" w:sz="6" w:space="0"/>
            </w:tcBorders>
            <w:noWrap w:val="0"/>
            <w:vAlign w:val="center"/>
          </w:tcPr>
          <w:p w14:paraId="4A7CBCE7">
            <w:pPr>
              <w:spacing w:line="360" w:lineRule="auto"/>
              <w:rPr>
                <w:rFonts w:hint="eastAsia" w:ascii="宋体" w:hAnsi="宋体" w:cs="宋体"/>
                <w:color w:val="000000"/>
                <w:kern w:val="0"/>
                <w:sz w:val="24"/>
              </w:rPr>
            </w:pPr>
            <w:r>
              <w:rPr>
                <w:rFonts w:hint="eastAsia" w:ascii="宋体" w:hAnsi="宋体" w:cs="宋体"/>
                <w:kern w:val="0"/>
                <w:sz w:val="24"/>
              </w:rPr>
              <w:t>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p>
        </w:tc>
      </w:tr>
      <w:tr w14:paraId="48ECB6A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88" w:hRule="atLeast"/>
          <w:jc w:val="center"/>
        </w:trPr>
        <w:tc>
          <w:tcPr>
            <w:tcW w:w="735" w:type="dxa"/>
            <w:vMerge w:val="continue"/>
            <w:tcBorders>
              <w:left w:val="single" w:color="auto" w:sz="4" w:space="0"/>
              <w:right w:val="single" w:color="auto" w:sz="4" w:space="0"/>
            </w:tcBorders>
            <w:noWrap w:val="0"/>
            <w:vAlign w:val="top"/>
          </w:tcPr>
          <w:p w14:paraId="309DC517">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516C6DC">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B522D11">
            <w:pPr>
              <w:pStyle w:val="15"/>
              <w:spacing w:before="5" w:line="360" w:lineRule="auto"/>
              <w:ind w:left="155" w:right="127"/>
              <w:jc w:val="center"/>
              <w:rPr>
                <w:rFonts w:hint="eastAsia"/>
                <w:sz w:val="24"/>
              </w:rPr>
            </w:pPr>
            <w:r>
              <w:rPr>
                <w:rFonts w:hint="eastAsia"/>
                <w:kern w:val="0"/>
                <w:sz w:val="24"/>
              </w:rPr>
              <w:t>依法缴纳税收证明资料</w:t>
            </w:r>
          </w:p>
        </w:tc>
        <w:tc>
          <w:tcPr>
            <w:tcW w:w="5804" w:type="dxa"/>
            <w:tcBorders>
              <w:top w:val="single" w:color="000000" w:sz="6" w:space="0"/>
              <w:left w:val="single" w:color="000000" w:sz="6" w:space="0"/>
              <w:bottom w:val="single" w:color="000000" w:sz="6" w:space="0"/>
            </w:tcBorders>
            <w:noWrap w:val="0"/>
            <w:vAlign w:val="top"/>
          </w:tcPr>
          <w:p w14:paraId="79A48BD3">
            <w:pPr>
              <w:pStyle w:val="15"/>
              <w:spacing w:before="155" w:line="360" w:lineRule="auto"/>
              <w:ind w:right="50"/>
              <w:jc w:val="left"/>
              <w:rPr>
                <w:rFonts w:hint="eastAsia"/>
                <w:sz w:val="24"/>
              </w:rPr>
            </w:pPr>
            <w:r>
              <w:rPr>
                <w:rFonts w:hint="eastAsia"/>
                <w:kern w:val="0"/>
                <w:sz w:val="24"/>
              </w:rPr>
              <w:t>202</w:t>
            </w:r>
            <w:r>
              <w:rPr>
                <w:rFonts w:hint="eastAsia"/>
                <w:kern w:val="0"/>
                <w:sz w:val="24"/>
                <w:lang w:val="en-US"/>
              </w:rPr>
              <w:t>5</w:t>
            </w:r>
            <w:r>
              <w:rPr>
                <w:rFonts w:hint="eastAsia"/>
                <w:kern w:val="0"/>
                <w:sz w:val="24"/>
              </w:rPr>
              <w:t>年至投标截止时间前任意三个月依法缴纳税收的证明（纳税凭证复印件），或者委托他人缴纳的委托代办协议和202</w:t>
            </w:r>
            <w:r>
              <w:rPr>
                <w:rFonts w:hint="eastAsia"/>
                <w:kern w:val="0"/>
                <w:sz w:val="24"/>
                <w:lang w:val="en-US"/>
              </w:rPr>
              <w:t>5</w:t>
            </w:r>
            <w:r>
              <w:rPr>
                <w:rFonts w:hint="eastAsia"/>
                <w:kern w:val="0"/>
                <w:sz w:val="24"/>
              </w:rPr>
              <w:t>年至投标截止时间前任意三个月的缴纳证明（收据复印件），或者法定征收机关出具的依法免缴税收的证明复印件或扫描件；</w:t>
            </w:r>
          </w:p>
        </w:tc>
      </w:tr>
      <w:tr w14:paraId="0E79DB4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42" w:hRule="atLeast"/>
          <w:jc w:val="center"/>
        </w:trPr>
        <w:tc>
          <w:tcPr>
            <w:tcW w:w="735" w:type="dxa"/>
            <w:vMerge w:val="continue"/>
            <w:tcBorders>
              <w:left w:val="single" w:color="auto" w:sz="4" w:space="0"/>
              <w:right w:val="single" w:color="auto" w:sz="4" w:space="0"/>
            </w:tcBorders>
            <w:noWrap w:val="0"/>
            <w:vAlign w:val="top"/>
          </w:tcPr>
          <w:p w14:paraId="6CAE3F48">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7204072F">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84B755E">
            <w:pPr>
              <w:pStyle w:val="15"/>
              <w:spacing w:line="360" w:lineRule="auto"/>
              <w:ind w:right="127"/>
              <w:jc w:val="center"/>
              <w:rPr>
                <w:rFonts w:hint="eastAsia"/>
                <w:sz w:val="24"/>
              </w:rPr>
            </w:pPr>
            <w:r>
              <w:rPr>
                <w:rFonts w:hint="eastAsia"/>
                <w:kern w:val="0"/>
                <w:sz w:val="24"/>
              </w:rPr>
              <w:t>具有良好的商业信誉和健全的财务会计制度</w:t>
            </w:r>
          </w:p>
        </w:tc>
        <w:tc>
          <w:tcPr>
            <w:tcW w:w="5804" w:type="dxa"/>
            <w:tcBorders>
              <w:top w:val="single" w:color="000000" w:sz="6" w:space="0"/>
              <w:left w:val="single" w:color="000000" w:sz="6" w:space="0"/>
              <w:bottom w:val="single" w:color="000000" w:sz="6" w:space="0"/>
            </w:tcBorders>
            <w:noWrap w:val="0"/>
            <w:vAlign w:val="center"/>
          </w:tcPr>
          <w:p w14:paraId="136D5339">
            <w:pPr>
              <w:widowControl/>
              <w:spacing w:line="360" w:lineRule="auto"/>
              <w:jc w:val="left"/>
              <w:rPr>
                <w:rFonts w:hint="eastAsia" w:ascii="宋体" w:hAnsi="宋体" w:cs="宋体"/>
                <w:sz w:val="24"/>
              </w:rPr>
            </w:pPr>
            <w:r>
              <w:rPr>
                <w:rFonts w:hint="eastAsia" w:ascii="宋体" w:hAnsi="宋体" w:cs="宋体"/>
                <w:sz w:val="24"/>
              </w:rPr>
              <w:t>提供2024年度的经第三方审计的审计报告复印件或近期（投标截止时间前三个月内）的基本开户银行出具的资信证明复印件</w:t>
            </w:r>
          </w:p>
        </w:tc>
      </w:tr>
      <w:tr w14:paraId="62816A8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62E54DEE">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2CAAB37">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2AC860A">
            <w:pPr>
              <w:pStyle w:val="15"/>
              <w:spacing w:line="360" w:lineRule="auto"/>
              <w:ind w:right="127"/>
              <w:jc w:val="left"/>
              <w:rPr>
                <w:rFonts w:hint="eastAsia"/>
                <w:sz w:val="24"/>
              </w:rPr>
            </w:pPr>
            <w:r>
              <w:rPr>
                <w:rFonts w:hint="eastAsia"/>
                <w:kern w:val="0"/>
                <w:sz w:val="24"/>
              </w:rPr>
              <w:t>具有履行合同所必需的设备和专业技术能力</w:t>
            </w:r>
          </w:p>
        </w:tc>
        <w:tc>
          <w:tcPr>
            <w:tcW w:w="5804" w:type="dxa"/>
            <w:tcBorders>
              <w:top w:val="single" w:color="000000" w:sz="6" w:space="0"/>
              <w:left w:val="single" w:color="000000" w:sz="6" w:space="0"/>
              <w:bottom w:val="single" w:color="000000" w:sz="6" w:space="0"/>
            </w:tcBorders>
            <w:noWrap w:val="0"/>
            <w:vAlign w:val="center"/>
          </w:tcPr>
          <w:p w14:paraId="2A289F9B">
            <w:pPr>
              <w:pStyle w:val="15"/>
              <w:spacing w:line="360" w:lineRule="auto"/>
              <w:ind w:right="50"/>
              <w:jc w:val="left"/>
              <w:rPr>
                <w:rFonts w:hint="eastAsia"/>
                <w:sz w:val="24"/>
              </w:rPr>
            </w:pPr>
            <w:r>
              <w:rPr>
                <w:rFonts w:hint="eastAsia"/>
                <w:kern w:val="0"/>
                <w:sz w:val="24"/>
              </w:rPr>
              <w:t>提供承诺函（格式自拟）；</w:t>
            </w:r>
          </w:p>
        </w:tc>
      </w:tr>
      <w:tr w14:paraId="4C99EB2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3AA14F5B">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1DF5D020">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737AF94E">
            <w:pPr>
              <w:pStyle w:val="15"/>
              <w:spacing w:line="360" w:lineRule="auto"/>
              <w:ind w:right="127"/>
              <w:jc w:val="left"/>
              <w:rPr>
                <w:rFonts w:hint="eastAsia"/>
                <w:kern w:val="0"/>
                <w:sz w:val="24"/>
              </w:rPr>
            </w:pPr>
            <w:r>
              <w:rPr>
                <w:rFonts w:hint="eastAsia"/>
                <w:kern w:val="0"/>
                <w:sz w:val="24"/>
              </w:rPr>
              <w:t>参加政府采购活动前三年内，在经营活动中没有重大违法记录</w:t>
            </w:r>
          </w:p>
        </w:tc>
        <w:tc>
          <w:tcPr>
            <w:tcW w:w="5804" w:type="dxa"/>
            <w:tcBorders>
              <w:top w:val="single" w:color="000000" w:sz="6" w:space="0"/>
              <w:left w:val="single" w:color="000000" w:sz="6" w:space="0"/>
              <w:bottom w:val="single" w:color="000000" w:sz="6" w:space="0"/>
            </w:tcBorders>
            <w:noWrap w:val="0"/>
            <w:vAlign w:val="center"/>
          </w:tcPr>
          <w:p w14:paraId="2AEFADB5">
            <w:pPr>
              <w:pStyle w:val="15"/>
              <w:spacing w:line="360" w:lineRule="auto"/>
              <w:ind w:right="50"/>
              <w:jc w:val="left"/>
              <w:rPr>
                <w:rFonts w:hint="eastAsia"/>
                <w:kern w:val="0"/>
                <w:sz w:val="24"/>
              </w:rPr>
            </w:pPr>
            <w:r>
              <w:rPr>
                <w:rFonts w:hint="eastAsia"/>
                <w:kern w:val="0"/>
                <w:sz w:val="24"/>
              </w:rPr>
              <w:t>提供参加采购活动前三年内在经营活动中没有重大违法记录的书面声明</w:t>
            </w:r>
          </w:p>
        </w:tc>
      </w:tr>
      <w:tr w14:paraId="2979B7F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861" w:hRule="atLeast"/>
          <w:jc w:val="center"/>
        </w:trPr>
        <w:tc>
          <w:tcPr>
            <w:tcW w:w="735" w:type="dxa"/>
            <w:vMerge w:val="continue"/>
            <w:tcBorders>
              <w:left w:val="single" w:color="auto" w:sz="4" w:space="0"/>
              <w:right w:val="single" w:color="auto" w:sz="4" w:space="0"/>
            </w:tcBorders>
            <w:noWrap w:val="0"/>
            <w:vAlign w:val="top"/>
          </w:tcPr>
          <w:p w14:paraId="17DC70D4">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1E7D2FA1">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461DFE2">
            <w:pPr>
              <w:pStyle w:val="15"/>
              <w:spacing w:line="360" w:lineRule="auto"/>
              <w:ind w:right="127"/>
              <w:jc w:val="left"/>
              <w:rPr>
                <w:rFonts w:hint="eastAsia"/>
                <w:sz w:val="24"/>
              </w:rPr>
            </w:pPr>
            <w:r>
              <w:rPr>
                <w:rFonts w:hint="eastAsia"/>
                <w:sz w:val="24"/>
              </w:rPr>
              <w:t>诚信资格要求</w:t>
            </w:r>
          </w:p>
        </w:tc>
        <w:tc>
          <w:tcPr>
            <w:tcW w:w="5804" w:type="dxa"/>
            <w:tcBorders>
              <w:top w:val="single" w:color="000000" w:sz="6" w:space="0"/>
              <w:left w:val="single" w:color="000000" w:sz="6" w:space="0"/>
              <w:bottom w:val="single" w:color="000000" w:sz="6" w:space="0"/>
            </w:tcBorders>
            <w:noWrap w:val="0"/>
            <w:vAlign w:val="center"/>
          </w:tcPr>
          <w:p w14:paraId="632A0DBF">
            <w:pPr>
              <w:pStyle w:val="15"/>
              <w:spacing w:line="360" w:lineRule="auto"/>
              <w:ind w:right="50"/>
              <w:jc w:val="left"/>
              <w:rPr>
                <w:rFonts w:hint="eastAsia"/>
                <w:sz w:val="24"/>
              </w:rPr>
            </w:pPr>
            <w:r>
              <w:rPr>
                <w:rFonts w:hint="eastAsia"/>
                <w:sz w:val="24"/>
              </w:rPr>
              <w:t>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p>
        </w:tc>
      </w:tr>
      <w:tr w14:paraId="44E560A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79"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26F01283">
            <w:pPr>
              <w:pStyle w:val="15"/>
              <w:spacing w:before="157" w:line="360" w:lineRule="auto"/>
              <w:jc w:val="center"/>
              <w:rPr>
                <w:rFonts w:hint="eastAsia"/>
                <w:color w:val="000000"/>
                <w:sz w:val="24"/>
                <w:lang w:val="en-US"/>
              </w:rPr>
            </w:pPr>
            <w:r>
              <w:rPr>
                <w:rFonts w:hint="eastAsia"/>
                <w:color w:val="000000"/>
                <w:sz w:val="24"/>
                <w:lang w:val="en-US"/>
              </w:rPr>
              <w:t>2</w:t>
            </w:r>
          </w:p>
        </w:tc>
        <w:tc>
          <w:tcPr>
            <w:tcW w:w="1258" w:type="dxa"/>
            <w:vMerge w:val="restart"/>
            <w:tcBorders>
              <w:top w:val="single" w:color="auto" w:sz="4" w:space="0"/>
              <w:left w:val="single" w:color="auto" w:sz="4" w:space="0"/>
              <w:right w:val="single" w:color="auto" w:sz="4" w:space="0"/>
            </w:tcBorders>
            <w:noWrap w:val="0"/>
            <w:vAlign w:val="center"/>
          </w:tcPr>
          <w:p w14:paraId="6F8C6546">
            <w:pPr>
              <w:pStyle w:val="15"/>
              <w:spacing w:line="360" w:lineRule="auto"/>
              <w:jc w:val="center"/>
              <w:rPr>
                <w:rFonts w:hint="eastAsia"/>
                <w:color w:val="000000"/>
                <w:sz w:val="24"/>
              </w:rPr>
            </w:pPr>
          </w:p>
          <w:p w14:paraId="47FA992E">
            <w:pPr>
              <w:pStyle w:val="15"/>
              <w:spacing w:line="360" w:lineRule="auto"/>
              <w:jc w:val="center"/>
              <w:rPr>
                <w:rFonts w:hint="eastAsia"/>
                <w:color w:val="000000"/>
                <w:sz w:val="24"/>
              </w:rPr>
            </w:pPr>
          </w:p>
          <w:p w14:paraId="0D40B048">
            <w:pPr>
              <w:pStyle w:val="15"/>
              <w:spacing w:line="360" w:lineRule="auto"/>
              <w:jc w:val="center"/>
              <w:rPr>
                <w:rFonts w:hint="eastAsia"/>
                <w:color w:val="000000"/>
                <w:sz w:val="24"/>
              </w:rPr>
            </w:pPr>
          </w:p>
          <w:p w14:paraId="622F3DD9">
            <w:pPr>
              <w:pStyle w:val="15"/>
              <w:spacing w:line="360" w:lineRule="auto"/>
              <w:jc w:val="center"/>
              <w:rPr>
                <w:rFonts w:hint="eastAsia"/>
                <w:color w:val="000000"/>
                <w:sz w:val="24"/>
              </w:rPr>
            </w:pPr>
          </w:p>
          <w:p w14:paraId="48E930DF">
            <w:pPr>
              <w:pStyle w:val="15"/>
              <w:spacing w:line="360" w:lineRule="auto"/>
              <w:jc w:val="center"/>
              <w:rPr>
                <w:rFonts w:hint="eastAsia"/>
                <w:color w:val="000000"/>
                <w:sz w:val="24"/>
              </w:rPr>
            </w:pPr>
          </w:p>
          <w:p w14:paraId="7414287A">
            <w:pPr>
              <w:pStyle w:val="15"/>
              <w:spacing w:before="157" w:line="360" w:lineRule="auto"/>
              <w:jc w:val="center"/>
              <w:rPr>
                <w:rFonts w:hint="eastAsia"/>
                <w:color w:val="000000"/>
                <w:sz w:val="24"/>
                <w:lang w:val="en-US"/>
              </w:rPr>
            </w:pPr>
            <w:r>
              <w:rPr>
                <w:rFonts w:hint="eastAsia"/>
                <w:color w:val="000000"/>
                <w:sz w:val="24"/>
                <w:lang w:val="en-US"/>
              </w:rPr>
              <w:t>实质性响应评审</w:t>
            </w: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0E5DCAFE">
            <w:pPr>
              <w:pStyle w:val="15"/>
              <w:spacing w:line="360" w:lineRule="auto"/>
              <w:ind w:right="127"/>
              <w:jc w:val="center"/>
              <w:rPr>
                <w:rFonts w:hint="eastAsia"/>
                <w:color w:val="000000"/>
                <w:sz w:val="24"/>
              </w:rPr>
            </w:pPr>
          </w:p>
          <w:p w14:paraId="40D10582">
            <w:pPr>
              <w:pStyle w:val="15"/>
              <w:spacing w:line="360" w:lineRule="auto"/>
              <w:ind w:right="127"/>
              <w:jc w:val="center"/>
              <w:rPr>
                <w:rFonts w:hint="eastAsia"/>
                <w:color w:val="000000"/>
                <w:sz w:val="24"/>
              </w:rPr>
            </w:pPr>
            <w:r>
              <w:rPr>
                <w:rFonts w:hint="eastAsia"/>
                <w:color w:val="000000"/>
                <w:sz w:val="24"/>
              </w:rPr>
              <w:t>投标人名称</w:t>
            </w:r>
          </w:p>
        </w:tc>
        <w:tc>
          <w:tcPr>
            <w:tcW w:w="5804" w:type="dxa"/>
            <w:tcBorders>
              <w:top w:val="single" w:color="000000" w:sz="6" w:space="0"/>
              <w:left w:val="single" w:color="000000" w:sz="6" w:space="0"/>
              <w:bottom w:val="single" w:color="000000" w:sz="6" w:space="0"/>
            </w:tcBorders>
            <w:noWrap w:val="0"/>
            <w:vAlign w:val="top"/>
          </w:tcPr>
          <w:p w14:paraId="2B62D63D">
            <w:pPr>
              <w:pStyle w:val="15"/>
              <w:spacing w:before="23" w:line="360" w:lineRule="auto"/>
              <w:ind w:left="525" w:right="31" w:hanging="411"/>
              <w:rPr>
                <w:rFonts w:hint="eastAsia"/>
                <w:color w:val="000000"/>
                <w:sz w:val="24"/>
              </w:rPr>
            </w:pPr>
            <w:r>
              <w:rPr>
                <w:rFonts w:hint="eastAsia"/>
                <w:color w:val="000000"/>
                <w:sz w:val="24"/>
              </w:rPr>
              <w:t>与三证合一的营业执照上的名称一致，不一致的应有工商行政管理部门出具的变更证明</w:t>
            </w:r>
          </w:p>
        </w:tc>
      </w:tr>
      <w:tr w14:paraId="5B0541B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469" w:hRule="atLeast"/>
          <w:jc w:val="center"/>
        </w:trPr>
        <w:tc>
          <w:tcPr>
            <w:tcW w:w="735" w:type="dxa"/>
            <w:vMerge w:val="continue"/>
            <w:tcBorders>
              <w:left w:val="single" w:color="auto" w:sz="4" w:space="0"/>
              <w:right w:val="single" w:color="auto" w:sz="4" w:space="0"/>
            </w:tcBorders>
            <w:noWrap w:val="0"/>
            <w:vAlign w:val="top"/>
          </w:tcPr>
          <w:p w14:paraId="52314E08">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32785F15">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647C052A">
            <w:pPr>
              <w:pStyle w:val="15"/>
              <w:spacing w:line="360" w:lineRule="auto"/>
              <w:ind w:left="156" w:right="127"/>
              <w:jc w:val="center"/>
              <w:rPr>
                <w:rFonts w:hint="eastAsia"/>
                <w:color w:val="000000"/>
                <w:sz w:val="24"/>
              </w:rPr>
            </w:pPr>
            <w:r>
              <w:rPr>
                <w:rFonts w:hint="eastAsia"/>
                <w:color w:val="000000"/>
                <w:sz w:val="24"/>
              </w:rPr>
              <w:t>投标文件签字盖章</w:t>
            </w:r>
          </w:p>
        </w:tc>
        <w:tc>
          <w:tcPr>
            <w:tcW w:w="5804" w:type="dxa"/>
            <w:tcBorders>
              <w:top w:val="single" w:color="000000" w:sz="6" w:space="0"/>
              <w:left w:val="single" w:color="000000" w:sz="6" w:space="0"/>
              <w:bottom w:val="single" w:color="000000" w:sz="6" w:space="0"/>
            </w:tcBorders>
            <w:noWrap w:val="0"/>
            <w:vAlign w:val="center"/>
          </w:tcPr>
          <w:p w14:paraId="5D6C5D68">
            <w:pPr>
              <w:pStyle w:val="15"/>
              <w:spacing w:line="360" w:lineRule="auto"/>
              <w:ind w:right="50"/>
              <w:jc w:val="center"/>
              <w:rPr>
                <w:rFonts w:hint="eastAsia"/>
                <w:color w:val="000000"/>
                <w:sz w:val="24"/>
              </w:rPr>
            </w:pPr>
            <w:r>
              <w:rPr>
                <w:rFonts w:hint="eastAsia"/>
                <w:color w:val="000000"/>
                <w:sz w:val="24"/>
              </w:rPr>
              <w:t>符合招标文件要求</w:t>
            </w:r>
          </w:p>
        </w:tc>
      </w:tr>
      <w:tr w14:paraId="59DC6066">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288" w:hRule="atLeast"/>
          <w:jc w:val="center"/>
        </w:trPr>
        <w:tc>
          <w:tcPr>
            <w:tcW w:w="735" w:type="dxa"/>
            <w:vMerge w:val="continue"/>
            <w:tcBorders>
              <w:left w:val="single" w:color="auto" w:sz="4" w:space="0"/>
              <w:right w:val="single" w:color="auto" w:sz="4" w:space="0"/>
            </w:tcBorders>
            <w:noWrap w:val="0"/>
            <w:vAlign w:val="top"/>
          </w:tcPr>
          <w:p w14:paraId="20D29BDA">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749EDDD6">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6B6DCE48">
            <w:pPr>
              <w:pStyle w:val="15"/>
              <w:spacing w:line="360" w:lineRule="auto"/>
              <w:rPr>
                <w:rFonts w:hint="eastAsia"/>
                <w:color w:val="000000"/>
                <w:sz w:val="24"/>
              </w:rPr>
            </w:pPr>
          </w:p>
          <w:p w14:paraId="2DB05167">
            <w:pPr>
              <w:pStyle w:val="15"/>
              <w:spacing w:line="360" w:lineRule="auto"/>
              <w:ind w:right="127" w:firstLine="240" w:firstLineChars="100"/>
              <w:rPr>
                <w:rFonts w:hint="eastAsia"/>
                <w:color w:val="000000"/>
                <w:sz w:val="24"/>
              </w:rPr>
            </w:pPr>
            <w:r>
              <w:rPr>
                <w:rFonts w:hint="eastAsia"/>
                <w:color w:val="000000"/>
                <w:sz w:val="24"/>
              </w:rPr>
              <w:t>投标报价有效性</w:t>
            </w:r>
          </w:p>
        </w:tc>
        <w:tc>
          <w:tcPr>
            <w:tcW w:w="5804" w:type="dxa"/>
            <w:tcBorders>
              <w:top w:val="single" w:color="000000" w:sz="6" w:space="0"/>
              <w:left w:val="single" w:color="000000" w:sz="6" w:space="0"/>
              <w:bottom w:val="single" w:color="000000" w:sz="6" w:space="0"/>
            </w:tcBorders>
            <w:noWrap w:val="0"/>
            <w:vAlign w:val="top"/>
          </w:tcPr>
          <w:p w14:paraId="369BE9C4">
            <w:pPr>
              <w:pStyle w:val="15"/>
              <w:spacing w:before="152" w:line="360" w:lineRule="auto"/>
              <w:ind w:left="92" w:right="50"/>
              <w:jc w:val="center"/>
              <w:rPr>
                <w:rFonts w:hint="eastAsia"/>
                <w:color w:val="000000"/>
                <w:sz w:val="24"/>
              </w:rPr>
            </w:pPr>
            <w:r>
              <w:rPr>
                <w:rFonts w:hint="eastAsia"/>
                <w:color w:val="000000"/>
                <w:sz w:val="24"/>
              </w:rPr>
              <w:t>只能有一个投标报价，投标文件未提供选择性报价或有两个以上（含两个）投标报价，且未超过</w:t>
            </w:r>
          </w:p>
          <w:p w14:paraId="7E287D27">
            <w:pPr>
              <w:pStyle w:val="15"/>
              <w:spacing w:before="4" w:line="360" w:lineRule="auto"/>
              <w:ind w:left="89" w:right="50"/>
              <w:jc w:val="center"/>
              <w:rPr>
                <w:rFonts w:hint="eastAsia"/>
                <w:color w:val="000000"/>
                <w:sz w:val="24"/>
              </w:rPr>
            </w:pPr>
            <w:r>
              <w:rPr>
                <w:rFonts w:hint="eastAsia"/>
                <w:color w:val="000000"/>
                <w:sz w:val="24"/>
              </w:rPr>
              <w:t>最高投标限价</w:t>
            </w:r>
          </w:p>
        </w:tc>
      </w:tr>
      <w:tr w14:paraId="3E7AA632">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B5C2A41">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2BD687B0">
            <w:pPr>
              <w:spacing w:line="360" w:lineRule="auto"/>
              <w:rPr>
                <w:rFonts w:hint="eastAsia" w:ascii="宋体" w:hAnsi="宋体" w:cs="宋体"/>
                <w:color w:val="000000"/>
                <w:sz w:val="24"/>
              </w:rPr>
            </w:pPr>
          </w:p>
        </w:tc>
        <w:tc>
          <w:tcPr>
            <w:tcW w:w="2258" w:type="dxa"/>
            <w:noWrap w:val="0"/>
            <w:vAlign w:val="center"/>
          </w:tcPr>
          <w:p w14:paraId="58BB23C6">
            <w:pPr>
              <w:pStyle w:val="15"/>
              <w:spacing w:before="139" w:line="360" w:lineRule="auto"/>
              <w:jc w:val="center"/>
              <w:rPr>
                <w:rFonts w:hint="eastAsia"/>
                <w:color w:val="000000"/>
                <w:sz w:val="24"/>
              </w:rPr>
            </w:pPr>
            <w:r>
              <w:rPr>
                <w:rFonts w:hint="eastAsia"/>
                <w:color w:val="000000"/>
                <w:sz w:val="24"/>
                <w:lang w:val="en-US"/>
              </w:rPr>
              <w:t>报价在限价以内</w:t>
            </w:r>
          </w:p>
        </w:tc>
        <w:tc>
          <w:tcPr>
            <w:tcW w:w="5804" w:type="dxa"/>
            <w:noWrap w:val="0"/>
            <w:vAlign w:val="center"/>
          </w:tcPr>
          <w:p w14:paraId="6DDC2EB6">
            <w:pPr>
              <w:pStyle w:val="15"/>
              <w:spacing w:before="139" w:line="360" w:lineRule="auto"/>
              <w:ind w:left="106"/>
              <w:jc w:val="left"/>
              <w:rPr>
                <w:rFonts w:hint="eastAsia"/>
                <w:color w:val="000000"/>
                <w:sz w:val="24"/>
                <w:lang w:val="en-US"/>
              </w:rPr>
            </w:pPr>
            <w:r>
              <w:rPr>
                <w:rFonts w:hint="eastAsia"/>
                <w:color w:val="000000"/>
                <w:sz w:val="24"/>
              </w:rPr>
              <w:t>投标报价不得超过拦标价</w:t>
            </w:r>
          </w:p>
        </w:tc>
      </w:tr>
      <w:tr w14:paraId="14EFDFA7">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F57F4D7">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2E257B7D">
            <w:pPr>
              <w:spacing w:line="360" w:lineRule="auto"/>
              <w:rPr>
                <w:rFonts w:hint="eastAsia" w:ascii="宋体" w:hAnsi="宋体" w:cs="宋体"/>
                <w:color w:val="000000"/>
                <w:sz w:val="24"/>
              </w:rPr>
            </w:pPr>
          </w:p>
        </w:tc>
        <w:tc>
          <w:tcPr>
            <w:tcW w:w="2258" w:type="dxa"/>
            <w:noWrap w:val="0"/>
            <w:vAlign w:val="center"/>
          </w:tcPr>
          <w:p w14:paraId="6D087DA7">
            <w:pPr>
              <w:pStyle w:val="15"/>
              <w:spacing w:before="1" w:line="360" w:lineRule="auto"/>
              <w:jc w:val="center"/>
              <w:rPr>
                <w:rFonts w:hint="eastAsia"/>
                <w:sz w:val="24"/>
              </w:rPr>
            </w:pPr>
            <w:r>
              <w:rPr>
                <w:rFonts w:hint="eastAsia"/>
                <w:sz w:val="24"/>
              </w:rPr>
              <w:t>交货期</w:t>
            </w:r>
          </w:p>
        </w:tc>
        <w:tc>
          <w:tcPr>
            <w:tcW w:w="5804" w:type="dxa"/>
            <w:noWrap w:val="0"/>
            <w:vAlign w:val="center"/>
          </w:tcPr>
          <w:p w14:paraId="319AA4EE">
            <w:pPr>
              <w:pStyle w:val="15"/>
              <w:spacing w:line="360" w:lineRule="auto"/>
              <w:jc w:val="left"/>
              <w:rPr>
                <w:rFonts w:hint="eastAsia"/>
                <w:sz w:val="24"/>
                <w:lang w:val="en-US"/>
              </w:rPr>
            </w:pPr>
            <w:r>
              <w:rPr>
                <w:rFonts w:hint="eastAsia"/>
                <w:sz w:val="24"/>
              </w:rPr>
              <w:t>20日历天（2025年8月25日前）</w:t>
            </w:r>
          </w:p>
        </w:tc>
      </w:tr>
      <w:tr w14:paraId="4A39279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8E87D5D">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FD0CEC3">
            <w:pPr>
              <w:spacing w:line="360" w:lineRule="auto"/>
              <w:rPr>
                <w:rFonts w:hint="eastAsia" w:ascii="宋体" w:hAnsi="宋体" w:cs="宋体"/>
                <w:color w:val="000000"/>
                <w:sz w:val="24"/>
              </w:rPr>
            </w:pPr>
          </w:p>
        </w:tc>
        <w:tc>
          <w:tcPr>
            <w:tcW w:w="2258" w:type="dxa"/>
            <w:noWrap w:val="0"/>
            <w:vAlign w:val="center"/>
          </w:tcPr>
          <w:p w14:paraId="7009A37D">
            <w:pPr>
              <w:pStyle w:val="15"/>
              <w:spacing w:before="1" w:line="360" w:lineRule="auto"/>
              <w:jc w:val="center"/>
              <w:rPr>
                <w:rFonts w:hint="eastAsia"/>
                <w:sz w:val="24"/>
              </w:rPr>
            </w:pPr>
            <w:r>
              <w:rPr>
                <w:rFonts w:hint="eastAsia"/>
                <w:sz w:val="24"/>
              </w:rPr>
              <w:t>投标范围</w:t>
            </w:r>
          </w:p>
        </w:tc>
        <w:tc>
          <w:tcPr>
            <w:tcW w:w="5804" w:type="dxa"/>
            <w:noWrap w:val="0"/>
            <w:vAlign w:val="center"/>
          </w:tcPr>
          <w:p w14:paraId="002FF039">
            <w:pPr>
              <w:pStyle w:val="15"/>
              <w:spacing w:line="360" w:lineRule="auto"/>
              <w:jc w:val="left"/>
              <w:rPr>
                <w:rFonts w:hint="eastAsia"/>
                <w:sz w:val="24"/>
              </w:rPr>
            </w:pPr>
            <w:r>
              <w:rPr>
                <w:rFonts w:hint="eastAsia"/>
                <w:sz w:val="24"/>
                <w:lang w:val="en-US"/>
              </w:rPr>
              <w:t>详见采购清单</w:t>
            </w:r>
          </w:p>
        </w:tc>
      </w:tr>
      <w:tr w14:paraId="2A30394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2CB0054">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52C18521">
            <w:pPr>
              <w:spacing w:line="360" w:lineRule="auto"/>
              <w:rPr>
                <w:rFonts w:hint="eastAsia" w:ascii="宋体" w:hAnsi="宋体" w:cs="宋体"/>
                <w:color w:val="000000"/>
                <w:sz w:val="24"/>
              </w:rPr>
            </w:pPr>
          </w:p>
        </w:tc>
        <w:tc>
          <w:tcPr>
            <w:tcW w:w="2258" w:type="dxa"/>
            <w:noWrap w:val="0"/>
            <w:vAlign w:val="center"/>
          </w:tcPr>
          <w:p w14:paraId="28ECFBBF">
            <w:pPr>
              <w:pStyle w:val="15"/>
              <w:spacing w:before="1" w:line="360" w:lineRule="auto"/>
              <w:jc w:val="center"/>
              <w:rPr>
                <w:rFonts w:hint="eastAsia"/>
                <w:sz w:val="24"/>
              </w:rPr>
            </w:pPr>
            <w:r>
              <w:rPr>
                <w:rFonts w:hint="eastAsia"/>
                <w:sz w:val="24"/>
              </w:rPr>
              <w:t>投标有效期</w:t>
            </w:r>
          </w:p>
        </w:tc>
        <w:tc>
          <w:tcPr>
            <w:tcW w:w="5804" w:type="dxa"/>
            <w:noWrap w:val="0"/>
            <w:vAlign w:val="center"/>
          </w:tcPr>
          <w:p w14:paraId="03EDCA86">
            <w:pPr>
              <w:pStyle w:val="15"/>
              <w:spacing w:line="360" w:lineRule="auto"/>
              <w:ind w:left="106"/>
              <w:jc w:val="left"/>
              <w:rPr>
                <w:rFonts w:hint="eastAsia"/>
                <w:sz w:val="24"/>
              </w:rPr>
            </w:pPr>
            <w:r>
              <w:rPr>
                <w:rFonts w:hint="eastAsia"/>
                <w:sz w:val="24"/>
                <w:lang w:val="en-US"/>
              </w:rPr>
              <w:t>90天</w:t>
            </w:r>
          </w:p>
        </w:tc>
      </w:tr>
      <w:tr w14:paraId="1A44F0D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3D535283">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33EE66BF">
            <w:pPr>
              <w:spacing w:line="360" w:lineRule="auto"/>
              <w:rPr>
                <w:rFonts w:hint="eastAsia" w:ascii="宋体" w:hAnsi="宋体" w:cs="宋体"/>
                <w:color w:val="000000"/>
                <w:sz w:val="24"/>
              </w:rPr>
            </w:pPr>
          </w:p>
        </w:tc>
        <w:tc>
          <w:tcPr>
            <w:tcW w:w="2258" w:type="dxa"/>
            <w:noWrap w:val="0"/>
            <w:vAlign w:val="center"/>
          </w:tcPr>
          <w:p w14:paraId="3B312D1C">
            <w:pPr>
              <w:pStyle w:val="15"/>
              <w:spacing w:before="1" w:line="360" w:lineRule="auto"/>
              <w:jc w:val="center"/>
              <w:rPr>
                <w:rFonts w:hint="eastAsia"/>
                <w:sz w:val="24"/>
              </w:rPr>
            </w:pPr>
            <w:r>
              <w:rPr>
                <w:rFonts w:hint="eastAsia"/>
                <w:sz w:val="24"/>
              </w:rPr>
              <w:t>付款方式</w:t>
            </w:r>
          </w:p>
        </w:tc>
        <w:tc>
          <w:tcPr>
            <w:tcW w:w="5804" w:type="dxa"/>
            <w:noWrap w:val="0"/>
            <w:vAlign w:val="top"/>
          </w:tcPr>
          <w:p w14:paraId="1196029A">
            <w:pPr>
              <w:pStyle w:val="15"/>
              <w:spacing w:line="360" w:lineRule="auto"/>
              <w:jc w:val="left"/>
              <w:rPr>
                <w:rFonts w:hint="eastAsia"/>
                <w:sz w:val="24"/>
                <w:lang w:val="en-US"/>
              </w:rPr>
            </w:pPr>
            <w:r>
              <w:rPr>
                <w:rFonts w:hint="eastAsia"/>
                <w:kern w:val="0"/>
                <w:sz w:val="24"/>
                <w:lang w:val="en-US"/>
              </w:rPr>
              <w:t>设备使用半年后组织验收，验收合格后支付合同金额的95%，余下合同金额的5%待验收满一年后无息支付。</w:t>
            </w:r>
          </w:p>
        </w:tc>
      </w:tr>
    </w:tbl>
    <w:p w14:paraId="387307E6">
      <w:pPr>
        <w:numPr>
          <w:ilvl w:val="0"/>
          <w:numId w:val="13"/>
        </w:numPr>
        <w:spacing w:line="360" w:lineRule="auto"/>
        <w:rPr>
          <w:rFonts w:hint="eastAsia" w:ascii="宋体" w:hAnsi="宋体" w:cs="宋体"/>
        </w:rPr>
      </w:pPr>
      <w:r>
        <w:rPr>
          <w:rFonts w:hint="eastAsia" w:ascii="宋体" w:hAnsi="宋体" w:cs="宋体"/>
          <w:color w:val="000000"/>
          <w:sz w:val="24"/>
          <w:szCs w:val="21"/>
        </w:rPr>
        <w:t>详细评审评分标准</w:t>
      </w:r>
    </w:p>
    <w:tbl>
      <w:tblPr>
        <w:tblStyle w:val="12"/>
        <w:tblpPr w:leftFromText="180" w:rightFromText="180" w:vertAnchor="text" w:horzAnchor="page" w:tblpX="935" w:tblpY="-275"/>
        <w:tblOverlap w:val="never"/>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35"/>
        <w:gridCol w:w="1110"/>
        <w:gridCol w:w="7650"/>
        <w:gridCol w:w="780"/>
      </w:tblGrid>
      <w:tr w14:paraId="704D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5" w:hRule="exact"/>
          <w:jc w:val="center"/>
        </w:trPr>
        <w:tc>
          <w:tcPr>
            <w:tcW w:w="435" w:type="dxa"/>
            <w:noWrap w:val="0"/>
            <w:vAlign w:val="center"/>
          </w:tcPr>
          <w:p w14:paraId="6F3D0A85">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110" w:type="dxa"/>
            <w:noWrap w:val="0"/>
            <w:vAlign w:val="center"/>
          </w:tcPr>
          <w:p w14:paraId="185A4665">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评审项目</w:t>
            </w:r>
          </w:p>
        </w:tc>
        <w:tc>
          <w:tcPr>
            <w:tcW w:w="7650" w:type="dxa"/>
            <w:noWrap w:val="0"/>
            <w:vAlign w:val="center"/>
          </w:tcPr>
          <w:p w14:paraId="008B4D26">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详细评分标准</w:t>
            </w:r>
          </w:p>
        </w:tc>
        <w:tc>
          <w:tcPr>
            <w:tcW w:w="780" w:type="dxa"/>
            <w:noWrap w:val="0"/>
            <w:vAlign w:val="center"/>
          </w:tcPr>
          <w:p w14:paraId="4D24C1A8">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分值</w:t>
            </w:r>
          </w:p>
        </w:tc>
      </w:tr>
      <w:tr w14:paraId="0EB5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8" w:hRule="exact"/>
          <w:jc w:val="center"/>
        </w:trPr>
        <w:tc>
          <w:tcPr>
            <w:tcW w:w="9975" w:type="dxa"/>
            <w:gridSpan w:val="4"/>
            <w:noWrap w:val="0"/>
            <w:vAlign w:val="center"/>
          </w:tcPr>
          <w:p w14:paraId="19E04C76">
            <w:pPr>
              <w:adjustRightInd w:val="0"/>
              <w:snapToGrid w:val="0"/>
              <w:spacing w:line="360" w:lineRule="auto"/>
              <w:rPr>
                <w:rFonts w:hint="eastAsia" w:ascii="宋体" w:hAnsi="宋体" w:cs="宋体"/>
                <w:color w:val="000000"/>
                <w:sz w:val="24"/>
              </w:rPr>
            </w:pPr>
            <w:r>
              <w:rPr>
                <w:rFonts w:hint="eastAsia" w:ascii="宋体" w:hAnsi="宋体" w:cs="宋体"/>
                <w:b/>
                <w:bCs/>
                <w:color w:val="000000"/>
                <w:sz w:val="24"/>
              </w:rPr>
              <w:t>（一）投标报价30分</w:t>
            </w:r>
          </w:p>
        </w:tc>
      </w:tr>
      <w:tr w14:paraId="71BA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33" w:hRule="exact"/>
          <w:jc w:val="center"/>
        </w:trPr>
        <w:tc>
          <w:tcPr>
            <w:tcW w:w="435" w:type="dxa"/>
            <w:noWrap w:val="0"/>
            <w:vAlign w:val="center"/>
          </w:tcPr>
          <w:p w14:paraId="10BABD4A">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110" w:type="dxa"/>
            <w:noWrap w:val="0"/>
            <w:vAlign w:val="center"/>
          </w:tcPr>
          <w:p w14:paraId="0EF46FF4">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投标报价</w:t>
            </w:r>
          </w:p>
        </w:tc>
        <w:tc>
          <w:tcPr>
            <w:tcW w:w="7650" w:type="dxa"/>
            <w:noWrap w:val="0"/>
            <w:vAlign w:val="center"/>
          </w:tcPr>
          <w:p w14:paraId="06B90FB3">
            <w:pPr>
              <w:adjustRightInd w:val="0"/>
              <w:snapToGrid w:val="0"/>
              <w:spacing w:line="360" w:lineRule="auto"/>
              <w:rPr>
                <w:rFonts w:hint="eastAsia" w:ascii="宋体" w:hAnsi="宋体" w:cs="宋体"/>
                <w:sz w:val="24"/>
              </w:rPr>
            </w:pPr>
            <w:r>
              <w:rPr>
                <w:rFonts w:hint="eastAsia" w:ascii="宋体" w:hAnsi="宋体" w:cs="宋体"/>
                <w:color w:val="000000"/>
                <w:sz w:val="24"/>
              </w:rPr>
              <w:t>满足招标文件要求且投标价格最</w:t>
            </w:r>
            <w:r>
              <w:rPr>
                <w:rFonts w:hint="eastAsia" w:ascii="宋体" w:hAnsi="宋体" w:cs="宋体"/>
                <w:sz w:val="24"/>
              </w:rPr>
              <w:t>低的投标报价为评标基准价（但不得低于产品成本价），其投标人的报价分为最高分30分。其他投标人的报价分按以下公式计算：报价得分=(评标基准价／投标人报价)×30。</w:t>
            </w:r>
          </w:p>
          <w:p w14:paraId="72281FD1">
            <w:pPr>
              <w:adjustRightInd w:val="0"/>
              <w:snapToGrid w:val="0"/>
              <w:spacing w:line="360" w:lineRule="auto"/>
              <w:rPr>
                <w:rFonts w:hint="eastAsia" w:ascii="宋体" w:hAnsi="宋体" w:cs="宋体"/>
                <w:sz w:val="24"/>
              </w:rPr>
            </w:pPr>
            <w:r>
              <w:rPr>
                <w:rFonts w:hint="eastAsia" w:ascii="宋体" w:hAnsi="宋体" w:cs="宋体"/>
                <w:sz w:val="24"/>
              </w:rPr>
              <w:t xml:space="preserve">备注：1、评标基准价为满足招标文件要求且经评审投标价 </w:t>
            </w:r>
          </w:p>
          <w:p w14:paraId="748C8978">
            <w:pPr>
              <w:adjustRightInd w:val="0"/>
              <w:snapToGrid w:val="0"/>
              <w:spacing w:line="360" w:lineRule="auto"/>
              <w:rPr>
                <w:rFonts w:hint="eastAsia" w:ascii="宋体" w:hAnsi="宋体" w:cs="宋体"/>
                <w:sz w:val="24"/>
              </w:rPr>
            </w:pPr>
            <w:r>
              <w:rPr>
                <w:rFonts w:hint="eastAsia" w:ascii="宋体" w:hAnsi="宋体" w:cs="宋体"/>
                <w:sz w:val="24"/>
              </w:rPr>
              <w:t xml:space="preserve">格最低的投标报价； </w:t>
            </w:r>
          </w:p>
          <w:p w14:paraId="352DAFDF">
            <w:pPr>
              <w:adjustRightInd w:val="0"/>
              <w:snapToGrid w:val="0"/>
              <w:spacing w:line="360" w:lineRule="auto"/>
              <w:rPr>
                <w:rFonts w:hint="eastAsia" w:ascii="宋体" w:hAnsi="宋体" w:cs="宋体"/>
                <w:sz w:val="24"/>
              </w:rPr>
            </w:pPr>
            <w:r>
              <w:rPr>
                <w:rFonts w:hint="eastAsia" w:ascii="宋体" w:hAnsi="宋体" w:cs="宋体"/>
                <w:sz w:val="24"/>
              </w:rPr>
              <w:t xml:space="preserve">2、得分取两位小数点，第三位四舍五入。 </w:t>
            </w:r>
          </w:p>
          <w:p w14:paraId="5F1D4565">
            <w:pPr>
              <w:adjustRightInd w:val="0"/>
              <w:snapToGrid w:val="0"/>
              <w:spacing w:line="360" w:lineRule="auto"/>
              <w:rPr>
                <w:rFonts w:hint="eastAsia" w:ascii="宋体" w:hAnsi="宋体" w:cs="宋体"/>
                <w:color w:val="000000"/>
                <w:sz w:val="24"/>
              </w:rPr>
            </w:pPr>
            <w:r>
              <w:rPr>
                <w:rFonts w:hint="eastAsia" w:ascii="宋体" w:hAnsi="宋体" w:cs="宋体"/>
                <w:sz w:val="24"/>
              </w:rPr>
              <w:t>3、注：投标人的报价，若经评标委员会认定低于成本价评审。评标委员会可要求投标人提供相关证明材料，以说明该报价未低于成本。如递交的证明材料（包含但</w:t>
            </w:r>
            <w:r>
              <w:rPr>
                <w:rFonts w:hint="eastAsia" w:ascii="宋体" w:hAnsi="宋体" w:cs="宋体"/>
                <w:color w:val="000000"/>
                <w:sz w:val="24"/>
              </w:rPr>
              <w:t xml:space="preserve">不限于制造原材料成本、专利费、运输费、人工工资、税金等，并结合公司历年财务报表，盈亏情况，债务抵押情况等足以说明的书面报告）经评审不足以说明或未递交证明材料，则该投标人的报价视为低于成本报价，该投标人报价视为无效报价，且评审得分为0分。（证明材料需在规定时间10分钟内提供，若提供不出，视为恶意竞标，作废标处理。） </w:t>
            </w:r>
          </w:p>
          <w:p w14:paraId="0F3B9002">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4、对未预留份额专门面向中小企业采购的产品或服务的价格给予20%的扣除，大中型企业与小微企业组成联合体或者大中型企业向小微企业分包的价格给予4%的扣除，用扣除后的价格参与评审，但须提供《中小企业声明函》</w:t>
            </w:r>
          </w:p>
        </w:tc>
        <w:tc>
          <w:tcPr>
            <w:tcW w:w="780" w:type="dxa"/>
            <w:noWrap w:val="0"/>
            <w:vAlign w:val="center"/>
          </w:tcPr>
          <w:p w14:paraId="282E2196">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30分</w:t>
            </w:r>
          </w:p>
        </w:tc>
      </w:tr>
      <w:tr w14:paraId="73B3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9975" w:type="dxa"/>
            <w:gridSpan w:val="4"/>
            <w:tcBorders>
              <w:bottom w:val="single" w:color="auto" w:sz="4" w:space="0"/>
            </w:tcBorders>
            <w:noWrap w:val="0"/>
            <w:vAlign w:val="center"/>
          </w:tcPr>
          <w:p w14:paraId="634B9545">
            <w:p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（二）技术部分30分</w:t>
            </w:r>
          </w:p>
        </w:tc>
      </w:tr>
      <w:tr w14:paraId="094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50" w:hRule="exact"/>
          <w:jc w:val="center"/>
        </w:trPr>
        <w:tc>
          <w:tcPr>
            <w:tcW w:w="435" w:type="dxa"/>
            <w:tcBorders>
              <w:top w:val="single" w:color="auto" w:sz="4" w:space="0"/>
              <w:left w:val="single" w:color="auto" w:sz="4" w:space="0"/>
              <w:bottom w:val="single" w:color="auto" w:sz="4" w:space="0"/>
            </w:tcBorders>
            <w:noWrap w:val="0"/>
            <w:vAlign w:val="center"/>
          </w:tcPr>
          <w:p w14:paraId="1622B0C7">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10" w:type="dxa"/>
            <w:tcBorders>
              <w:top w:val="single" w:color="auto" w:sz="4" w:space="0"/>
              <w:bottom w:val="single" w:color="auto" w:sz="4" w:space="0"/>
            </w:tcBorders>
            <w:noWrap w:val="0"/>
            <w:vAlign w:val="center"/>
          </w:tcPr>
          <w:p w14:paraId="5BCC000E">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技术要求</w:t>
            </w:r>
          </w:p>
        </w:tc>
        <w:tc>
          <w:tcPr>
            <w:tcW w:w="7650" w:type="dxa"/>
            <w:tcBorders>
              <w:top w:val="single" w:color="auto" w:sz="4" w:space="0"/>
              <w:bottom w:val="single" w:color="auto" w:sz="4" w:space="0"/>
            </w:tcBorders>
            <w:noWrap w:val="0"/>
            <w:vAlign w:val="center"/>
          </w:tcPr>
          <w:p w14:paraId="3E375F2E">
            <w:pPr>
              <w:adjustRightInd w:val="0"/>
              <w:snapToGrid w:val="0"/>
              <w:spacing w:line="360" w:lineRule="auto"/>
              <w:rPr>
                <w:rFonts w:hint="eastAsia" w:ascii="宋体" w:hAnsi="宋体" w:cs="宋体"/>
                <w:color w:val="auto"/>
                <w:sz w:val="24"/>
              </w:rPr>
            </w:pPr>
            <w:r>
              <w:rPr>
                <w:rFonts w:hint="eastAsia" w:ascii="宋体" w:hAnsi="宋体" w:cs="宋体"/>
                <w:color w:val="auto"/>
                <w:sz w:val="24"/>
              </w:rPr>
              <w:t>根据招标文件中的技术参数进行评比：满分（30分）</w:t>
            </w:r>
          </w:p>
          <w:p w14:paraId="069A80E8">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技术参数完全满足采购文件要求得30分</w:t>
            </w:r>
          </w:p>
          <w:p w14:paraId="365A7697">
            <w:pPr>
              <w:adjustRightInd w:val="0"/>
              <w:snapToGrid w:val="0"/>
              <w:spacing w:line="360" w:lineRule="auto"/>
              <w:rPr>
                <w:rFonts w:hint="eastAsia" w:ascii="宋体" w:hAnsi="宋体" w:cs="宋体"/>
                <w:color w:val="auto"/>
                <w:sz w:val="24"/>
              </w:rPr>
            </w:pPr>
            <w:r>
              <w:rPr>
                <w:rFonts w:hint="eastAsia" w:ascii="宋体" w:hAnsi="宋体" w:cs="宋体"/>
                <w:color w:val="auto"/>
                <w:sz w:val="24"/>
              </w:rPr>
              <w:t>1、加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color w:val="auto"/>
                <w:sz w:val="24"/>
                <w:lang w:val="en-US" w:eastAsia="zh-CN"/>
              </w:rPr>
              <w:t>部分</w:t>
            </w:r>
            <w:r>
              <w:rPr>
                <w:rFonts w:hint="eastAsia" w:ascii="宋体" w:hAnsi="宋体" w:cs="宋体"/>
                <w:color w:val="auto"/>
                <w:sz w:val="24"/>
              </w:rPr>
              <w:t>技术参数，每有一项负偏离扣1分，累计扣完为0分止。2、非加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rPr>
              <w:t>部分技术参数，每有一项负偏离扣</w:t>
            </w:r>
            <w:r>
              <w:rPr>
                <w:rFonts w:hint="eastAsia" w:ascii="宋体" w:hAnsi="宋体" w:cs="宋体"/>
                <w:color w:val="auto"/>
                <w:sz w:val="24"/>
                <w:lang w:val="en-US" w:eastAsia="zh-CN"/>
              </w:rPr>
              <w:t>0.5</w:t>
            </w:r>
            <w:r>
              <w:rPr>
                <w:rFonts w:hint="eastAsia" w:ascii="宋体" w:hAnsi="宋体" w:cs="宋体"/>
                <w:color w:val="auto"/>
                <w:sz w:val="24"/>
              </w:rPr>
              <w:t>分，累计扣完为0分止。注：投标响应文件必须按招标文件采购清单要求提供所投产品详细技术参数资料，偏离情况填写“技术参数响应偏离表”，有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rPr>
              <w:t>部分必须提供技术资料（提供技术参数证明材料，如生产厂家的技术说明书或最新印刷的产品彩页等作为佐证材料，不提供不得分）</w:t>
            </w:r>
          </w:p>
        </w:tc>
        <w:tc>
          <w:tcPr>
            <w:tcW w:w="780" w:type="dxa"/>
            <w:tcBorders>
              <w:top w:val="single" w:color="auto" w:sz="4" w:space="0"/>
              <w:bottom w:val="single" w:color="auto" w:sz="4" w:space="0"/>
              <w:right w:val="single" w:color="auto" w:sz="4" w:space="0"/>
            </w:tcBorders>
            <w:noWrap w:val="0"/>
            <w:vAlign w:val="center"/>
          </w:tcPr>
          <w:p w14:paraId="48C1EE8A">
            <w:pPr>
              <w:adjustRightInd w:val="0"/>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30分</w:t>
            </w:r>
          </w:p>
        </w:tc>
      </w:tr>
      <w:tr w14:paraId="1508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7" w:hRule="exact"/>
          <w:jc w:val="center"/>
        </w:trPr>
        <w:tc>
          <w:tcPr>
            <w:tcW w:w="9975" w:type="dxa"/>
            <w:gridSpan w:val="4"/>
            <w:tcBorders>
              <w:top w:val="single" w:color="auto" w:sz="4" w:space="0"/>
              <w:left w:val="single" w:color="auto" w:sz="4" w:space="0"/>
              <w:bottom w:val="single" w:color="auto" w:sz="4" w:space="0"/>
              <w:right w:val="single" w:color="auto" w:sz="4" w:space="0"/>
            </w:tcBorders>
            <w:noWrap w:val="0"/>
            <w:vAlign w:val="center"/>
          </w:tcPr>
          <w:p w14:paraId="2D51FC30">
            <w:pPr>
              <w:adjustRightInd w:val="0"/>
              <w:snapToGrid w:val="0"/>
              <w:spacing w:line="360" w:lineRule="auto"/>
              <w:rPr>
                <w:rFonts w:hint="eastAsia" w:ascii="宋体" w:hAnsi="宋体" w:cs="宋体"/>
                <w:color w:val="000000"/>
                <w:sz w:val="24"/>
              </w:rPr>
            </w:pPr>
            <w:r>
              <w:rPr>
                <w:rFonts w:hint="eastAsia" w:ascii="宋体" w:hAnsi="宋体" w:cs="宋体"/>
                <w:b/>
                <w:bCs/>
                <w:color w:val="000000"/>
                <w:sz w:val="24"/>
              </w:rPr>
              <w:t>（三）商务部分40分</w:t>
            </w:r>
          </w:p>
        </w:tc>
      </w:tr>
    </w:tbl>
    <w:p w14:paraId="46BA8A85">
      <w:pPr>
        <w:rPr>
          <w:rFonts w:hint="eastAsia" w:ascii="宋体" w:hAnsi="宋体" w:cs="宋体"/>
          <w:vanish/>
        </w:rPr>
      </w:pPr>
    </w:p>
    <w:tbl>
      <w:tblPr>
        <w:tblStyle w:val="1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52"/>
        <w:gridCol w:w="6114"/>
        <w:gridCol w:w="1025"/>
      </w:tblGrid>
      <w:tr w14:paraId="7C95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4" w:hRule="atLeast"/>
          <w:jc w:val="center"/>
        </w:trPr>
        <w:tc>
          <w:tcPr>
            <w:tcW w:w="849" w:type="dxa"/>
            <w:noWrap w:val="0"/>
            <w:vAlign w:val="center"/>
          </w:tcPr>
          <w:p w14:paraId="1C996E34">
            <w:pPr>
              <w:pStyle w:val="15"/>
              <w:spacing w:before="1" w:line="360" w:lineRule="auto"/>
              <w:ind w:right="-61"/>
              <w:jc w:val="center"/>
              <w:rPr>
                <w:rFonts w:hint="eastAsia"/>
                <w:bCs/>
                <w:color w:val="000000"/>
                <w:sz w:val="24"/>
                <w:lang w:val="en-US"/>
              </w:rPr>
            </w:pPr>
            <w:r>
              <w:rPr>
                <w:rFonts w:hint="eastAsia"/>
                <w:bCs/>
                <w:color w:val="000000"/>
                <w:sz w:val="24"/>
                <w:lang w:val="en-US"/>
              </w:rPr>
              <w:t>3</w:t>
            </w:r>
          </w:p>
        </w:tc>
        <w:tc>
          <w:tcPr>
            <w:tcW w:w="1852" w:type="dxa"/>
            <w:noWrap w:val="0"/>
            <w:vAlign w:val="top"/>
          </w:tcPr>
          <w:p w14:paraId="4AC9221C">
            <w:pPr>
              <w:pStyle w:val="15"/>
              <w:spacing w:line="360" w:lineRule="auto"/>
              <w:rPr>
                <w:rFonts w:hint="eastAsia"/>
                <w:bCs/>
                <w:color w:val="000000"/>
                <w:sz w:val="24"/>
              </w:rPr>
            </w:pPr>
          </w:p>
          <w:p w14:paraId="3AFE0DB5">
            <w:pPr>
              <w:pStyle w:val="15"/>
              <w:spacing w:line="360" w:lineRule="auto"/>
              <w:rPr>
                <w:rFonts w:hint="eastAsia"/>
                <w:bCs/>
                <w:color w:val="000000"/>
                <w:sz w:val="24"/>
              </w:rPr>
            </w:pPr>
          </w:p>
          <w:p w14:paraId="759C1FA8">
            <w:pPr>
              <w:pStyle w:val="15"/>
              <w:spacing w:before="1" w:line="360" w:lineRule="auto"/>
              <w:ind w:right="-61"/>
              <w:jc w:val="center"/>
              <w:rPr>
                <w:rFonts w:hint="eastAsia"/>
                <w:bCs/>
                <w:color w:val="000000"/>
                <w:sz w:val="24"/>
              </w:rPr>
            </w:pPr>
          </w:p>
          <w:p w14:paraId="1891ABAE">
            <w:pPr>
              <w:pStyle w:val="15"/>
              <w:spacing w:before="1" w:line="360" w:lineRule="auto"/>
              <w:ind w:right="-61"/>
              <w:jc w:val="center"/>
              <w:rPr>
                <w:rFonts w:hint="eastAsia"/>
                <w:bCs/>
                <w:color w:val="000000"/>
                <w:sz w:val="24"/>
              </w:rPr>
            </w:pPr>
          </w:p>
          <w:p w14:paraId="5E1AD2ED">
            <w:pPr>
              <w:pStyle w:val="15"/>
              <w:spacing w:before="1" w:line="360" w:lineRule="auto"/>
              <w:ind w:right="-61"/>
              <w:jc w:val="center"/>
              <w:rPr>
                <w:rFonts w:hint="eastAsia"/>
                <w:bCs/>
                <w:color w:val="000000"/>
                <w:sz w:val="24"/>
              </w:rPr>
            </w:pPr>
          </w:p>
          <w:p w14:paraId="22AA79AE">
            <w:pPr>
              <w:pStyle w:val="15"/>
              <w:spacing w:before="1" w:line="360" w:lineRule="auto"/>
              <w:ind w:right="-61"/>
              <w:jc w:val="center"/>
              <w:rPr>
                <w:rFonts w:hint="eastAsia"/>
                <w:bCs/>
                <w:color w:val="000000"/>
                <w:sz w:val="24"/>
              </w:rPr>
            </w:pPr>
          </w:p>
          <w:p w14:paraId="1736A94B">
            <w:pPr>
              <w:pStyle w:val="15"/>
              <w:spacing w:before="1" w:line="360" w:lineRule="auto"/>
              <w:ind w:right="-61"/>
              <w:jc w:val="center"/>
              <w:rPr>
                <w:rFonts w:hint="eastAsia"/>
                <w:bCs/>
                <w:color w:val="000000"/>
                <w:sz w:val="24"/>
              </w:rPr>
            </w:pPr>
            <w:r>
              <w:rPr>
                <w:rFonts w:hint="eastAsia"/>
                <w:bCs/>
                <w:color w:val="000000"/>
                <w:sz w:val="24"/>
              </w:rPr>
              <w:t>服务方案</w:t>
            </w:r>
          </w:p>
        </w:tc>
        <w:tc>
          <w:tcPr>
            <w:tcW w:w="6114" w:type="dxa"/>
            <w:noWrap w:val="0"/>
            <w:vAlign w:val="top"/>
          </w:tcPr>
          <w:p w14:paraId="6EEE9387">
            <w:pPr>
              <w:pStyle w:val="15"/>
              <w:spacing w:line="360" w:lineRule="auto"/>
              <w:ind w:right="95"/>
              <w:rPr>
                <w:rFonts w:hint="eastAsia"/>
                <w:color w:val="000000"/>
                <w:sz w:val="24"/>
              </w:rPr>
            </w:pPr>
            <w:r>
              <w:rPr>
                <w:rFonts w:hint="eastAsia"/>
                <w:color w:val="000000"/>
                <w:sz w:val="24"/>
                <w:lang w:val="en-US"/>
              </w:rPr>
              <w:t>投标人提供</w:t>
            </w:r>
            <w:r>
              <w:rPr>
                <w:rFonts w:hint="eastAsia"/>
                <w:color w:val="000000"/>
                <w:sz w:val="24"/>
              </w:rPr>
              <w:t>设备服务方案（包括</w:t>
            </w:r>
            <w:r>
              <w:rPr>
                <w:rFonts w:hint="eastAsia"/>
                <w:color w:val="000000"/>
                <w:sz w:val="24"/>
                <w:lang w:val="en-US"/>
              </w:rPr>
              <w:t>但不限于</w:t>
            </w:r>
            <w:r>
              <w:rPr>
                <w:rFonts w:hint="eastAsia"/>
                <w:color w:val="000000"/>
                <w:sz w:val="24"/>
              </w:rPr>
              <w:t>设备</w:t>
            </w:r>
            <w:r>
              <w:rPr>
                <w:rFonts w:hint="eastAsia"/>
                <w:color w:val="000000"/>
                <w:sz w:val="24"/>
                <w:lang w:val="en-US" w:eastAsia="zh-CN"/>
              </w:rPr>
              <w:t>安装</w:t>
            </w:r>
            <w:r>
              <w:rPr>
                <w:rFonts w:hint="eastAsia"/>
                <w:color w:val="000000"/>
                <w:sz w:val="24"/>
              </w:rPr>
              <w:t>调试、保修服务措施、保修服务标准</w:t>
            </w:r>
            <w:r>
              <w:rPr>
                <w:rFonts w:hint="eastAsia"/>
                <w:color w:val="000000"/>
                <w:spacing w:val="2"/>
                <w:sz w:val="24"/>
              </w:rPr>
              <w:t>、</w:t>
            </w:r>
            <w:r>
              <w:rPr>
                <w:rFonts w:hint="eastAsia"/>
                <w:color w:val="000000"/>
                <w:spacing w:val="2"/>
                <w:sz w:val="24"/>
                <w:lang w:val="en-US"/>
              </w:rPr>
              <w:t>应急预案、</w:t>
            </w:r>
            <w:r>
              <w:rPr>
                <w:rFonts w:hint="eastAsia"/>
                <w:bCs/>
                <w:color w:val="000000"/>
                <w:sz w:val="24"/>
                <w:lang w:val="en-US"/>
              </w:rPr>
              <w:t>设备操作培训方案、货物配送方案、质量保证方案</w:t>
            </w:r>
            <w:r>
              <w:rPr>
                <w:rFonts w:hint="eastAsia"/>
                <w:color w:val="000000"/>
                <w:spacing w:val="2"/>
                <w:sz w:val="24"/>
              </w:rPr>
              <w:t>等</w:t>
            </w:r>
            <w:r>
              <w:rPr>
                <w:rFonts w:hint="eastAsia"/>
                <w:color w:val="000000"/>
                <w:sz w:val="24"/>
              </w:rPr>
              <w:t>）</w:t>
            </w:r>
          </w:p>
          <w:p w14:paraId="150312A9">
            <w:pPr>
              <w:pStyle w:val="15"/>
              <w:spacing w:line="360" w:lineRule="auto"/>
              <w:ind w:right="95"/>
              <w:rPr>
                <w:rFonts w:hint="eastAsia"/>
                <w:sz w:val="24"/>
                <w:lang w:val="en-US"/>
              </w:rPr>
            </w:pPr>
            <w:r>
              <w:rPr>
                <w:rFonts w:hint="eastAsia"/>
                <w:sz w:val="24"/>
                <w:lang w:val="en-US"/>
              </w:rPr>
              <w:t xml:space="preserve">①方案制作完善、条例清晰、过程严谨、完全满足采购人项目需求的得10分； </w:t>
            </w:r>
          </w:p>
          <w:p w14:paraId="325C8FBD">
            <w:pPr>
              <w:pStyle w:val="15"/>
              <w:spacing w:line="360" w:lineRule="auto"/>
              <w:ind w:right="95"/>
              <w:rPr>
                <w:rFonts w:hint="eastAsia"/>
                <w:sz w:val="24"/>
                <w:lang w:val="en-US"/>
              </w:rPr>
            </w:pPr>
            <w:r>
              <w:rPr>
                <w:rFonts w:hint="eastAsia"/>
                <w:sz w:val="24"/>
                <w:lang w:val="en-US"/>
              </w:rPr>
              <w:t xml:space="preserve">②方案制作良好、条例比较清晰、过程比较严谨、能满足采购人项目需求的得7分； </w:t>
            </w:r>
          </w:p>
          <w:p w14:paraId="3D13D203">
            <w:pPr>
              <w:pStyle w:val="15"/>
              <w:spacing w:line="360" w:lineRule="auto"/>
              <w:ind w:right="95"/>
              <w:rPr>
                <w:rFonts w:hint="eastAsia"/>
                <w:sz w:val="24"/>
                <w:lang w:val="en-US"/>
              </w:rPr>
            </w:pPr>
            <w:r>
              <w:rPr>
                <w:rFonts w:hint="eastAsia"/>
                <w:sz w:val="24"/>
                <w:lang w:val="en-US"/>
              </w:rPr>
              <w:t>③案制作基本完善、条例基本清晰、过程较严谨、基本满足采购人项目需求的得5分；</w:t>
            </w:r>
          </w:p>
          <w:p w14:paraId="130DB2BC">
            <w:pPr>
              <w:pStyle w:val="15"/>
              <w:spacing w:line="360" w:lineRule="auto"/>
              <w:ind w:right="95"/>
              <w:rPr>
                <w:rFonts w:hint="eastAsia"/>
                <w:sz w:val="24"/>
                <w:lang w:val="en-US"/>
              </w:rPr>
            </w:pPr>
            <w:r>
              <w:rPr>
                <w:rFonts w:hint="eastAsia"/>
                <w:sz w:val="24"/>
                <w:lang w:val="en-US"/>
              </w:rPr>
              <w:t>④方案制作不完善、条例不清晰、过程不严谨、只能满足采购人部分项目需求的得2分；</w:t>
            </w:r>
          </w:p>
          <w:p w14:paraId="24606B90">
            <w:pPr>
              <w:pStyle w:val="15"/>
              <w:spacing w:line="360" w:lineRule="auto"/>
              <w:ind w:right="95"/>
              <w:rPr>
                <w:rFonts w:hint="eastAsia"/>
                <w:sz w:val="24"/>
                <w:lang w:val="en-US"/>
              </w:rPr>
            </w:pPr>
            <w:r>
              <w:rPr>
                <w:rFonts w:hint="eastAsia"/>
                <w:sz w:val="24"/>
                <w:lang w:val="en-US"/>
              </w:rPr>
              <w:t>⑤不提供方案的不得分。不提供方案不得分。</w:t>
            </w:r>
          </w:p>
        </w:tc>
        <w:tc>
          <w:tcPr>
            <w:tcW w:w="1025" w:type="dxa"/>
            <w:noWrap w:val="0"/>
            <w:vAlign w:val="top"/>
          </w:tcPr>
          <w:p w14:paraId="461CBD3B">
            <w:pPr>
              <w:pStyle w:val="15"/>
              <w:spacing w:line="360" w:lineRule="auto"/>
              <w:rPr>
                <w:rFonts w:hint="eastAsia"/>
                <w:b/>
                <w:color w:val="000000"/>
                <w:sz w:val="24"/>
              </w:rPr>
            </w:pPr>
          </w:p>
          <w:p w14:paraId="0B6CF0AB">
            <w:pPr>
              <w:pStyle w:val="15"/>
              <w:spacing w:line="360" w:lineRule="auto"/>
              <w:rPr>
                <w:rFonts w:hint="eastAsia"/>
                <w:b/>
                <w:color w:val="000000"/>
                <w:sz w:val="24"/>
              </w:rPr>
            </w:pPr>
          </w:p>
          <w:p w14:paraId="0AF9465D">
            <w:pPr>
              <w:pStyle w:val="15"/>
              <w:spacing w:line="360" w:lineRule="auto"/>
              <w:ind w:right="126"/>
              <w:jc w:val="center"/>
              <w:rPr>
                <w:rFonts w:hint="eastAsia"/>
                <w:b/>
                <w:color w:val="000000"/>
                <w:sz w:val="24"/>
                <w:lang w:val="en-US"/>
              </w:rPr>
            </w:pPr>
          </w:p>
          <w:p w14:paraId="53B8DE9A">
            <w:pPr>
              <w:pStyle w:val="15"/>
              <w:spacing w:line="360" w:lineRule="auto"/>
              <w:ind w:right="126"/>
              <w:jc w:val="center"/>
              <w:rPr>
                <w:rFonts w:hint="eastAsia"/>
                <w:b/>
                <w:color w:val="000000"/>
                <w:sz w:val="24"/>
                <w:lang w:val="en-US"/>
              </w:rPr>
            </w:pPr>
          </w:p>
          <w:p w14:paraId="23D75140">
            <w:pPr>
              <w:pStyle w:val="15"/>
              <w:spacing w:line="360" w:lineRule="auto"/>
              <w:ind w:right="126"/>
              <w:jc w:val="center"/>
              <w:rPr>
                <w:rFonts w:hint="eastAsia"/>
                <w:b/>
                <w:color w:val="000000"/>
                <w:sz w:val="24"/>
                <w:lang w:val="en-US"/>
              </w:rPr>
            </w:pPr>
          </w:p>
          <w:p w14:paraId="35D16A29">
            <w:pPr>
              <w:pStyle w:val="15"/>
              <w:spacing w:line="360" w:lineRule="auto"/>
              <w:ind w:right="126"/>
              <w:jc w:val="center"/>
              <w:rPr>
                <w:rFonts w:hint="eastAsia"/>
                <w:color w:val="000000"/>
                <w:spacing w:val="-4"/>
                <w:sz w:val="24"/>
                <w:lang w:val="en-US"/>
              </w:rPr>
            </w:pPr>
            <w:r>
              <w:rPr>
                <w:rFonts w:hint="eastAsia"/>
                <w:b/>
                <w:sz w:val="24"/>
                <w:lang w:val="en-US"/>
              </w:rPr>
              <w:t>10</w:t>
            </w:r>
            <w:r>
              <w:rPr>
                <w:rFonts w:hint="eastAsia"/>
                <w:b/>
                <w:sz w:val="24"/>
              </w:rPr>
              <w:t>分</w:t>
            </w:r>
          </w:p>
        </w:tc>
      </w:tr>
      <w:tr w14:paraId="0FD2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1A90D43C">
            <w:pPr>
              <w:pStyle w:val="15"/>
              <w:spacing w:before="167" w:line="360" w:lineRule="auto"/>
              <w:ind w:right="111"/>
              <w:jc w:val="center"/>
              <w:rPr>
                <w:bCs/>
                <w:color w:val="000000"/>
                <w:sz w:val="24"/>
                <w:lang w:val="en-US"/>
              </w:rPr>
            </w:pPr>
            <w:r>
              <w:rPr>
                <w:rFonts w:hint="eastAsia"/>
                <w:bCs/>
                <w:color w:val="000000"/>
                <w:sz w:val="24"/>
                <w:lang w:val="en-US"/>
              </w:rPr>
              <w:t>4</w:t>
            </w:r>
          </w:p>
        </w:tc>
        <w:tc>
          <w:tcPr>
            <w:tcW w:w="1852" w:type="dxa"/>
            <w:noWrap w:val="0"/>
            <w:vAlign w:val="top"/>
          </w:tcPr>
          <w:p w14:paraId="7B348B47">
            <w:pPr>
              <w:pStyle w:val="15"/>
              <w:spacing w:before="211" w:line="360" w:lineRule="auto"/>
              <w:ind w:right="129" w:firstLine="140"/>
              <w:jc w:val="left"/>
              <w:rPr>
                <w:rFonts w:hint="eastAsia"/>
                <w:bCs/>
                <w:color w:val="000000"/>
                <w:sz w:val="24"/>
              </w:rPr>
            </w:pPr>
          </w:p>
          <w:p w14:paraId="6C305A35">
            <w:pPr>
              <w:pStyle w:val="15"/>
              <w:spacing w:before="211" w:line="360" w:lineRule="auto"/>
              <w:ind w:right="129"/>
              <w:jc w:val="both"/>
              <w:rPr>
                <w:rFonts w:hint="eastAsia"/>
                <w:bCs/>
                <w:color w:val="000000"/>
                <w:sz w:val="24"/>
              </w:rPr>
            </w:pPr>
          </w:p>
          <w:p w14:paraId="77E9EBED">
            <w:pPr>
              <w:pStyle w:val="15"/>
              <w:spacing w:before="167" w:line="360" w:lineRule="auto"/>
              <w:ind w:right="111"/>
              <w:jc w:val="center"/>
              <w:rPr>
                <w:bCs/>
                <w:color w:val="000000"/>
                <w:sz w:val="24"/>
                <w:lang w:val="en-US"/>
              </w:rPr>
            </w:pPr>
            <w:r>
              <w:rPr>
                <w:rFonts w:hint="eastAsia"/>
                <w:bCs/>
                <w:color w:val="000000"/>
                <w:sz w:val="24"/>
                <w:lang w:val="en-US"/>
              </w:rPr>
              <w:t>样品及演示</w:t>
            </w:r>
          </w:p>
        </w:tc>
        <w:tc>
          <w:tcPr>
            <w:tcW w:w="6114" w:type="dxa"/>
            <w:noWrap w:val="0"/>
            <w:vAlign w:val="top"/>
          </w:tcPr>
          <w:p w14:paraId="712F22C3">
            <w:pPr>
              <w:pStyle w:val="15"/>
              <w:spacing w:line="360" w:lineRule="auto"/>
              <w:ind w:right="95"/>
              <w:rPr>
                <w:rFonts w:hint="eastAsia"/>
                <w:color w:val="000000"/>
                <w:sz w:val="24"/>
                <w:lang w:val="en-US"/>
              </w:rPr>
            </w:pPr>
            <w:r>
              <w:rPr>
                <w:rFonts w:hint="eastAsia"/>
                <w:color w:val="000000"/>
                <w:sz w:val="24"/>
                <w:lang w:val="en-US"/>
              </w:rPr>
              <w:t>投标人提供</w:t>
            </w:r>
            <w:r>
              <w:rPr>
                <w:rFonts w:hint="eastAsia"/>
                <w:color w:val="000000"/>
                <w:sz w:val="24"/>
              </w:rPr>
              <w:t>样品（智慧黑板），对样品综合</w:t>
            </w:r>
            <w:r>
              <w:rPr>
                <w:rFonts w:hint="eastAsia"/>
                <w:color w:val="000000"/>
                <w:sz w:val="24"/>
                <w:lang w:val="en-US"/>
              </w:rPr>
              <w:t>判断是否符合招标文件技术参数及要求，对样品的合理性、外观效果、制造工艺、质量等进行综合评分</w:t>
            </w:r>
            <w:r>
              <w:rPr>
                <w:rFonts w:hint="eastAsia"/>
                <w:color w:val="000000"/>
                <w:sz w:val="24"/>
              </w:rPr>
              <w:t>。</w:t>
            </w:r>
            <w:r>
              <w:rPr>
                <w:rFonts w:hint="eastAsia"/>
                <w:color w:val="000000"/>
                <w:sz w:val="24"/>
                <w:lang w:val="en-US"/>
              </w:rPr>
              <w:t>提供的样品满足或优于招标文件要求的得</w:t>
            </w:r>
            <w:r>
              <w:rPr>
                <w:rFonts w:hint="eastAsia"/>
                <w:color w:val="000000"/>
                <w:sz w:val="24"/>
                <w:lang w:val="en-US" w:eastAsia="zh-CN"/>
              </w:rPr>
              <w:t>2</w:t>
            </w:r>
            <w:r>
              <w:rPr>
                <w:rFonts w:hint="eastAsia"/>
                <w:color w:val="000000"/>
                <w:sz w:val="24"/>
                <w:lang w:val="en-US"/>
              </w:rPr>
              <w:t>分，提供不全或未提供不得分。</w:t>
            </w:r>
          </w:p>
          <w:p w14:paraId="1FC86B66">
            <w:pPr>
              <w:pStyle w:val="15"/>
              <w:spacing w:line="360" w:lineRule="auto"/>
              <w:ind w:right="95"/>
              <w:rPr>
                <w:rFonts w:hint="eastAsia"/>
                <w:color w:val="000000"/>
                <w:sz w:val="24"/>
                <w:lang w:val="en-US"/>
              </w:rPr>
            </w:pPr>
            <w:r>
              <w:rPr>
                <w:rFonts w:hint="eastAsia"/>
                <w:color w:val="000000"/>
                <w:sz w:val="24"/>
                <w:lang w:val="en-US"/>
              </w:rPr>
              <w:t>需现场演示，投标人自行搭建演示现场讲解，从演示内容完整性、合理性、满足采购人需求等方面进行综合评价。</w:t>
            </w:r>
          </w:p>
          <w:p w14:paraId="0690F617">
            <w:pPr>
              <w:pStyle w:val="15"/>
              <w:spacing w:line="360" w:lineRule="auto"/>
              <w:ind w:right="95"/>
              <w:rPr>
                <w:rFonts w:hint="eastAsia"/>
                <w:color w:val="000000"/>
                <w:sz w:val="24"/>
                <w:lang w:val="en-US"/>
              </w:rPr>
            </w:pPr>
            <w:r>
              <w:rPr>
                <w:rFonts w:hint="eastAsia"/>
                <w:color w:val="000000"/>
                <w:sz w:val="24"/>
                <w:lang w:val="en-US"/>
              </w:rPr>
              <w:t>阐述项目科学、合理、清晰详实、可行性强、实用性及可操作性强得</w:t>
            </w:r>
            <w:r>
              <w:rPr>
                <w:rFonts w:hint="eastAsia"/>
                <w:color w:val="000000"/>
                <w:sz w:val="24"/>
                <w:lang w:val="en-US" w:eastAsia="zh-CN"/>
              </w:rPr>
              <w:t>10</w:t>
            </w:r>
            <w:r>
              <w:rPr>
                <w:rFonts w:hint="eastAsia"/>
                <w:color w:val="000000"/>
                <w:sz w:val="24"/>
                <w:lang w:val="en-US"/>
              </w:rPr>
              <w:t>分；</w:t>
            </w:r>
          </w:p>
          <w:p w14:paraId="196033D3">
            <w:pPr>
              <w:pStyle w:val="15"/>
              <w:spacing w:line="360" w:lineRule="auto"/>
              <w:ind w:right="95"/>
              <w:rPr>
                <w:rFonts w:hint="eastAsia"/>
                <w:color w:val="000000"/>
                <w:sz w:val="24"/>
                <w:lang w:val="en-US"/>
              </w:rPr>
            </w:pPr>
            <w:r>
              <w:rPr>
                <w:color w:val="000000"/>
                <w:sz w:val="24"/>
                <w:lang w:val="en-US"/>
              </w:rPr>
              <w:t>阐述项目科学、合理、详实、可行性</w:t>
            </w:r>
            <w:r>
              <w:rPr>
                <w:rFonts w:hint="eastAsia"/>
                <w:color w:val="000000"/>
                <w:sz w:val="24"/>
                <w:lang w:val="en-US"/>
              </w:rPr>
              <w:t>较</w:t>
            </w:r>
            <w:r>
              <w:rPr>
                <w:color w:val="000000"/>
                <w:sz w:val="24"/>
                <w:lang w:val="en-US"/>
              </w:rPr>
              <w:t>强、实用性及可操作性</w:t>
            </w:r>
            <w:r>
              <w:rPr>
                <w:rFonts w:hint="eastAsia"/>
                <w:color w:val="000000"/>
                <w:sz w:val="24"/>
                <w:lang w:val="en-US"/>
              </w:rPr>
              <w:t>较</w:t>
            </w:r>
            <w:r>
              <w:rPr>
                <w:color w:val="000000"/>
                <w:sz w:val="24"/>
                <w:lang w:val="en-US"/>
              </w:rPr>
              <w:t>强</w:t>
            </w:r>
            <w:r>
              <w:rPr>
                <w:rFonts w:hint="eastAsia"/>
                <w:color w:val="000000"/>
                <w:sz w:val="24"/>
                <w:lang w:val="en-US"/>
              </w:rPr>
              <w:t>得</w:t>
            </w:r>
            <w:r>
              <w:rPr>
                <w:rFonts w:hint="eastAsia"/>
                <w:color w:val="000000"/>
                <w:sz w:val="24"/>
                <w:lang w:val="en-US" w:eastAsia="zh-CN"/>
              </w:rPr>
              <w:t>7</w:t>
            </w:r>
            <w:r>
              <w:rPr>
                <w:color w:val="000000"/>
                <w:sz w:val="24"/>
                <w:lang w:val="en-US"/>
              </w:rPr>
              <w:t>分</w:t>
            </w:r>
            <w:r>
              <w:rPr>
                <w:rFonts w:hint="eastAsia"/>
                <w:color w:val="000000"/>
                <w:sz w:val="24"/>
                <w:lang w:val="en-US"/>
              </w:rPr>
              <w:t>；</w:t>
            </w:r>
          </w:p>
          <w:p w14:paraId="0CC45F62">
            <w:pPr>
              <w:pStyle w:val="15"/>
              <w:spacing w:line="360" w:lineRule="auto"/>
              <w:ind w:right="95"/>
              <w:rPr>
                <w:rFonts w:hint="eastAsia"/>
                <w:color w:val="000000"/>
                <w:sz w:val="24"/>
                <w:lang w:val="en-US"/>
              </w:rPr>
            </w:pPr>
            <w:r>
              <w:rPr>
                <w:color w:val="000000"/>
                <w:sz w:val="24"/>
                <w:lang w:val="en-US"/>
              </w:rPr>
              <w:t>阐述项目科学、合理、可行性</w:t>
            </w:r>
            <w:r>
              <w:rPr>
                <w:rFonts w:hint="eastAsia"/>
                <w:color w:val="000000"/>
                <w:sz w:val="24"/>
                <w:lang w:val="en-US"/>
              </w:rPr>
              <w:t>一般</w:t>
            </w:r>
            <w:r>
              <w:rPr>
                <w:color w:val="000000"/>
                <w:sz w:val="24"/>
                <w:lang w:val="en-US"/>
              </w:rPr>
              <w:t>、实用性及可操作性</w:t>
            </w:r>
            <w:r>
              <w:rPr>
                <w:rFonts w:hint="eastAsia"/>
                <w:color w:val="000000"/>
                <w:sz w:val="24"/>
                <w:lang w:val="en-US"/>
              </w:rPr>
              <w:t>一般得</w:t>
            </w:r>
            <w:r>
              <w:rPr>
                <w:rFonts w:hint="eastAsia"/>
                <w:color w:val="000000"/>
                <w:sz w:val="24"/>
                <w:lang w:val="en-US" w:eastAsia="zh-CN"/>
              </w:rPr>
              <w:t>3</w:t>
            </w:r>
            <w:r>
              <w:rPr>
                <w:color w:val="000000"/>
                <w:sz w:val="24"/>
                <w:lang w:val="en-US"/>
              </w:rPr>
              <w:t>分</w:t>
            </w:r>
            <w:r>
              <w:rPr>
                <w:rFonts w:hint="eastAsia"/>
                <w:color w:val="000000"/>
                <w:sz w:val="24"/>
                <w:lang w:val="en-US"/>
              </w:rPr>
              <w:t>；</w:t>
            </w:r>
          </w:p>
          <w:p w14:paraId="0DABC9B5">
            <w:pPr>
              <w:pStyle w:val="15"/>
              <w:spacing w:line="360" w:lineRule="auto"/>
              <w:ind w:right="95"/>
              <w:rPr>
                <w:rFonts w:hint="eastAsia"/>
                <w:color w:val="000000"/>
                <w:sz w:val="24"/>
                <w:lang w:val="en-US"/>
              </w:rPr>
            </w:pPr>
            <w:r>
              <w:rPr>
                <w:color w:val="000000"/>
                <w:sz w:val="24"/>
                <w:lang w:val="en-US"/>
              </w:rPr>
              <w:t>阐述项目</w:t>
            </w:r>
            <w:r>
              <w:rPr>
                <w:rFonts w:hint="eastAsia"/>
                <w:color w:val="000000"/>
                <w:sz w:val="24"/>
                <w:lang w:val="en-US"/>
              </w:rPr>
              <w:t>不</w:t>
            </w:r>
            <w:r>
              <w:rPr>
                <w:color w:val="000000"/>
                <w:sz w:val="24"/>
                <w:lang w:val="en-US"/>
              </w:rPr>
              <w:t>科学、</w:t>
            </w:r>
            <w:r>
              <w:rPr>
                <w:rFonts w:hint="eastAsia"/>
                <w:color w:val="000000"/>
                <w:sz w:val="24"/>
                <w:lang w:val="en-US"/>
              </w:rPr>
              <w:t>不</w:t>
            </w:r>
            <w:r>
              <w:rPr>
                <w:color w:val="000000"/>
                <w:sz w:val="24"/>
                <w:lang w:val="en-US"/>
              </w:rPr>
              <w:t>合理、可行性</w:t>
            </w:r>
            <w:r>
              <w:rPr>
                <w:rFonts w:hint="eastAsia"/>
                <w:color w:val="000000"/>
                <w:sz w:val="24"/>
                <w:lang w:val="en-US"/>
              </w:rPr>
              <w:t>较差</w:t>
            </w:r>
            <w:r>
              <w:rPr>
                <w:color w:val="000000"/>
                <w:sz w:val="24"/>
                <w:lang w:val="en-US"/>
              </w:rPr>
              <w:t>、实用性及可操作性</w:t>
            </w:r>
            <w:r>
              <w:rPr>
                <w:rFonts w:hint="eastAsia"/>
                <w:color w:val="000000"/>
                <w:sz w:val="24"/>
                <w:lang w:val="en-US"/>
              </w:rPr>
              <w:t>较差得1</w:t>
            </w:r>
            <w:r>
              <w:rPr>
                <w:color w:val="000000"/>
                <w:sz w:val="24"/>
                <w:lang w:val="en-US"/>
              </w:rPr>
              <w:t>分</w:t>
            </w:r>
            <w:r>
              <w:rPr>
                <w:rFonts w:hint="eastAsia"/>
                <w:color w:val="000000"/>
                <w:sz w:val="24"/>
                <w:lang w:val="en-US"/>
              </w:rPr>
              <w:t>；</w:t>
            </w:r>
          </w:p>
          <w:p w14:paraId="7D79E855">
            <w:pPr>
              <w:pStyle w:val="15"/>
              <w:spacing w:line="360" w:lineRule="auto"/>
              <w:ind w:right="95"/>
              <w:rPr>
                <w:rFonts w:hint="eastAsia"/>
                <w:color w:val="000000"/>
                <w:sz w:val="24"/>
              </w:rPr>
            </w:pPr>
            <w:r>
              <w:rPr>
                <w:rFonts w:hint="eastAsia"/>
                <w:color w:val="000000"/>
                <w:sz w:val="24"/>
                <w:lang w:val="en-US"/>
              </w:rPr>
              <w:t>未阐述不得分。</w:t>
            </w:r>
          </w:p>
        </w:tc>
        <w:tc>
          <w:tcPr>
            <w:tcW w:w="1025" w:type="dxa"/>
            <w:noWrap w:val="0"/>
            <w:vAlign w:val="center"/>
          </w:tcPr>
          <w:p w14:paraId="2D16F5D4">
            <w:pPr>
              <w:pStyle w:val="15"/>
              <w:spacing w:before="1" w:line="360" w:lineRule="auto"/>
              <w:ind w:right="126"/>
              <w:jc w:val="center"/>
              <w:rPr>
                <w:rFonts w:hint="eastAsia"/>
                <w:color w:val="000000"/>
                <w:sz w:val="24"/>
              </w:rPr>
            </w:pPr>
            <w:r>
              <w:rPr>
                <w:rFonts w:hint="eastAsia"/>
                <w:b/>
                <w:color w:val="000000"/>
                <w:sz w:val="24"/>
                <w:lang w:val="en-US" w:eastAsia="zh-CN"/>
              </w:rPr>
              <w:t>12</w:t>
            </w:r>
            <w:r>
              <w:rPr>
                <w:rFonts w:hint="eastAsia"/>
                <w:b/>
                <w:color w:val="000000"/>
                <w:sz w:val="24"/>
              </w:rPr>
              <w:t>分</w:t>
            </w:r>
          </w:p>
        </w:tc>
      </w:tr>
      <w:tr w14:paraId="358E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328D81F2">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5</w:t>
            </w:r>
          </w:p>
        </w:tc>
        <w:tc>
          <w:tcPr>
            <w:tcW w:w="1852" w:type="dxa"/>
            <w:noWrap w:val="0"/>
            <w:vAlign w:val="center"/>
          </w:tcPr>
          <w:p w14:paraId="3703F0E7">
            <w:pPr>
              <w:pStyle w:val="15"/>
              <w:spacing w:line="360" w:lineRule="auto"/>
              <w:ind w:right="111"/>
              <w:jc w:val="center"/>
              <w:rPr>
                <w:rFonts w:hint="eastAsia"/>
                <w:bCs/>
                <w:color w:val="000000"/>
                <w:sz w:val="24"/>
              </w:rPr>
            </w:pPr>
            <w:r>
              <w:rPr>
                <w:rFonts w:hint="eastAsia"/>
                <w:bCs/>
                <w:color w:val="000000"/>
                <w:sz w:val="24"/>
              </w:rPr>
              <w:t>业绩</w:t>
            </w:r>
          </w:p>
        </w:tc>
        <w:tc>
          <w:tcPr>
            <w:tcW w:w="6114" w:type="dxa"/>
            <w:noWrap w:val="0"/>
            <w:vAlign w:val="center"/>
          </w:tcPr>
          <w:p w14:paraId="5CA1E6CA">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近三年（2023.7.1至今）投标人承担类似业绩。提供1个可得</w:t>
            </w:r>
            <w:r>
              <w:rPr>
                <w:rFonts w:hint="eastAsia" w:ascii="宋体" w:hAnsi="宋体" w:cs="宋体"/>
                <w:color w:val="000000"/>
                <w:sz w:val="24"/>
                <w:lang w:val="en-US" w:eastAsia="zh-CN"/>
              </w:rPr>
              <w:t>2</w:t>
            </w:r>
            <w:r>
              <w:rPr>
                <w:rFonts w:hint="eastAsia" w:ascii="宋体" w:hAnsi="宋体" w:cs="宋体"/>
                <w:color w:val="000000"/>
                <w:sz w:val="24"/>
              </w:rPr>
              <w:t>分,最高得6分。（提供项目合同复印件或中标通知书为准</w:t>
            </w:r>
          </w:p>
        </w:tc>
        <w:tc>
          <w:tcPr>
            <w:tcW w:w="1025" w:type="dxa"/>
            <w:noWrap w:val="0"/>
            <w:vAlign w:val="center"/>
          </w:tcPr>
          <w:p w14:paraId="5F5606A3">
            <w:pPr>
              <w:pStyle w:val="15"/>
              <w:spacing w:line="360" w:lineRule="auto"/>
              <w:ind w:right="126"/>
              <w:rPr>
                <w:rFonts w:hint="eastAsia"/>
                <w:color w:val="000000"/>
                <w:sz w:val="24"/>
                <w:lang w:val="en-US"/>
              </w:rPr>
            </w:pPr>
            <w:r>
              <w:rPr>
                <w:rFonts w:hint="eastAsia"/>
                <w:b/>
                <w:bCs/>
                <w:color w:val="000000"/>
                <w:sz w:val="24"/>
                <w:lang w:val="en-US"/>
              </w:rPr>
              <w:t>6分</w:t>
            </w:r>
          </w:p>
        </w:tc>
      </w:tr>
      <w:tr w14:paraId="561D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1B589847">
            <w:pPr>
              <w:pStyle w:val="15"/>
              <w:spacing w:line="360" w:lineRule="auto"/>
              <w:ind w:right="111"/>
              <w:jc w:val="center"/>
              <w:rPr>
                <w:rFonts w:hint="default"/>
                <w:bCs/>
                <w:color w:val="000000"/>
                <w:sz w:val="24"/>
                <w:lang w:val="en-US" w:eastAsia="zh-CN"/>
              </w:rPr>
            </w:pPr>
            <w:r>
              <w:rPr>
                <w:rFonts w:hint="eastAsia"/>
                <w:bCs/>
                <w:color w:val="000000"/>
                <w:sz w:val="24"/>
                <w:lang w:val="en-US" w:eastAsia="zh-CN"/>
              </w:rPr>
              <w:t>6</w:t>
            </w:r>
          </w:p>
        </w:tc>
        <w:tc>
          <w:tcPr>
            <w:tcW w:w="1852" w:type="dxa"/>
            <w:noWrap w:val="0"/>
            <w:vAlign w:val="center"/>
          </w:tcPr>
          <w:p w14:paraId="09BC2D3E">
            <w:pPr>
              <w:pStyle w:val="15"/>
              <w:spacing w:line="360" w:lineRule="auto"/>
              <w:ind w:right="111"/>
              <w:jc w:val="center"/>
              <w:rPr>
                <w:rFonts w:hint="default"/>
                <w:bCs/>
                <w:color w:val="000000"/>
                <w:sz w:val="24"/>
                <w:lang w:val="en-US" w:eastAsia="zh-CN"/>
              </w:rPr>
            </w:pPr>
            <w:r>
              <w:rPr>
                <w:rFonts w:hint="eastAsia"/>
                <w:bCs/>
                <w:color w:val="000000"/>
                <w:sz w:val="24"/>
                <w:lang w:val="en-US" w:eastAsia="zh-CN"/>
              </w:rPr>
              <w:t>企业实力</w:t>
            </w:r>
          </w:p>
        </w:tc>
        <w:tc>
          <w:tcPr>
            <w:tcW w:w="6114" w:type="dxa"/>
            <w:noWrap w:val="0"/>
            <w:vAlign w:val="center"/>
          </w:tcPr>
          <w:p w14:paraId="0413C2D0">
            <w:pPr>
              <w:numPr>
                <w:ilvl w:val="0"/>
                <w:numId w:val="14"/>
              </w:numPr>
              <w:adjustRightInd w:val="0"/>
              <w:snapToGrid w:val="0"/>
              <w:spacing w:line="400" w:lineRule="exact"/>
              <w:jc w:val="left"/>
              <w:rPr>
                <w:rFonts w:hint="eastAsia" w:ascii="宋体" w:hAnsi="宋体" w:cs="宋体"/>
                <w:sz w:val="24"/>
                <w:lang w:val="en-US" w:eastAsia="zh-CN"/>
              </w:rPr>
            </w:pPr>
            <w:r>
              <w:rPr>
                <w:rFonts w:hint="eastAsia" w:ascii="宋体" w:hAnsi="宋体" w:cs="宋体"/>
                <w:sz w:val="24"/>
                <w:lang w:val="en-US" w:eastAsia="zh-CN"/>
              </w:rPr>
              <w:t>投标供应商具备电子与智能化工程专业承包贰级及以上资质证书复印件，提供得2分。</w:t>
            </w:r>
          </w:p>
          <w:p w14:paraId="21E77685">
            <w:pPr>
              <w:numPr>
                <w:ilvl w:val="0"/>
                <w:numId w:val="14"/>
              </w:numPr>
              <w:adjustRightInd w:val="0"/>
              <w:snapToGrid w:val="0"/>
              <w:spacing w:line="400" w:lineRule="exact"/>
              <w:jc w:val="left"/>
              <w:rPr>
                <w:rFonts w:hint="default" w:ascii="宋体" w:hAnsi="宋体" w:cs="宋体"/>
                <w:sz w:val="24"/>
                <w:lang w:val="en-US" w:eastAsia="zh-CN"/>
              </w:rPr>
            </w:pPr>
            <w:r>
              <w:rPr>
                <w:rFonts w:hint="eastAsia" w:ascii="宋体" w:hAnsi="宋体" w:cs="宋体"/>
                <w:sz w:val="24"/>
                <w:lang w:val="en-US" w:eastAsia="zh-CN"/>
              </w:rPr>
              <w:t>为了保障本项目有序实施，投标人针对本项目成立工作团队，其中技术负责人同时具备智能建筑弱电系统项目经理证书和系统集成项目管理工程师证书得3分，不满足不得分。（人员需提供单位近三个月社保证明）。</w:t>
            </w:r>
          </w:p>
          <w:p w14:paraId="6647BD69">
            <w:pPr>
              <w:numPr>
                <w:ilvl w:val="0"/>
                <w:numId w:val="0"/>
              </w:numPr>
              <w:adjustRightInd w:val="0"/>
              <w:snapToGrid w:val="0"/>
              <w:spacing w:line="400" w:lineRule="exact"/>
              <w:jc w:val="left"/>
              <w:rPr>
                <w:rFonts w:hint="default" w:ascii="宋体" w:hAnsi="宋体" w:cs="宋体"/>
                <w:sz w:val="24"/>
                <w:lang w:val="en-US" w:eastAsia="zh-CN"/>
              </w:rPr>
            </w:pPr>
            <w:r>
              <w:rPr>
                <w:rFonts w:hint="eastAsia" w:ascii="宋体" w:hAnsi="宋体" w:cs="宋体"/>
                <w:sz w:val="24"/>
                <w:lang w:val="en-US" w:eastAsia="zh-CN"/>
              </w:rPr>
              <w:t>以上资料需提供相关证明材料加盖公章。</w:t>
            </w:r>
          </w:p>
        </w:tc>
        <w:tc>
          <w:tcPr>
            <w:tcW w:w="1025" w:type="dxa"/>
            <w:noWrap w:val="0"/>
            <w:vAlign w:val="center"/>
          </w:tcPr>
          <w:p w14:paraId="1001BEA8">
            <w:pPr>
              <w:pStyle w:val="15"/>
              <w:spacing w:line="360" w:lineRule="auto"/>
              <w:ind w:right="126"/>
              <w:rPr>
                <w:rFonts w:hint="default"/>
                <w:b/>
                <w:bCs/>
                <w:color w:val="000000"/>
                <w:sz w:val="24"/>
                <w:lang w:val="en-US" w:eastAsia="zh-CN"/>
              </w:rPr>
            </w:pPr>
            <w:r>
              <w:rPr>
                <w:rFonts w:hint="eastAsia"/>
                <w:b/>
                <w:bCs/>
                <w:color w:val="000000"/>
                <w:sz w:val="24"/>
                <w:lang w:val="en-US" w:eastAsia="zh-CN"/>
              </w:rPr>
              <w:t>5分</w:t>
            </w:r>
          </w:p>
        </w:tc>
      </w:tr>
      <w:tr w14:paraId="147E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53EDDEC0">
            <w:pPr>
              <w:pStyle w:val="15"/>
              <w:spacing w:line="360" w:lineRule="auto"/>
              <w:ind w:right="111"/>
              <w:jc w:val="center"/>
              <w:rPr>
                <w:rFonts w:hint="default"/>
                <w:bCs/>
                <w:color w:val="000000"/>
                <w:sz w:val="24"/>
                <w:lang w:val="en-US" w:eastAsia="zh-CN"/>
              </w:rPr>
            </w:pPr>
            <w:r>
              <w:rPr>
                <w:rFonts w:hint="eastAsia"/>
                <w:bCs/>
                <w:color w:val="000000"/>
                <w:sz w:val="24"/>
                <w:lang w:val="en-US" w:eastAsia="zh-CN"/>
              </w:rPr>
              <w:t>7</w:t>
            </w:r>
          </w:p>
        </w:tc>
        <w:tc>
          <w:tcPr>
            <w:tcW w:w="1852" w:type="dxa"/>
            <w:noWrap w:val="0"/>
            <w:vAlign w:val="center"/>
          </w:tcPr>
          <w:p w14:paraId="5A4E4F11">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售后服务</w:t>
            </w:r>
          </w:p>
        </w:tc>
        <w:tc>
          <w:tcPr>
            <w:tcW w:w="6114" w:type="dxa"/>
            <w:noWrap w:val="0"/>
            <w:vAlign w:val="center"/>
          </w:tcPr>
          <w:p w14:paraId="54BD4D25">
            <w:pPr>
              <w:numPr>
                <w:ilvl w:val="0"/>
                <w:numId w:val="0"/>
              </w:numPr>
              <w:adjustRightInd w:val="0"/>
              <w:snapToGrid w:val="0"/>
              <w:spacing w:line="400" w:lineRule="exact"/>
              <w:jc w:val="left"/>
              <w:rPr>
                <w:rFonts w:hint="default" w:ascii="宋体" w:hAnsi="宋体" w:cs="宋体"/>
                <w:sz w:val="24"/>
                <w:lang w:val="en-US" w:eastAsia="zh-CN"/>
              </w:rPr>
            </w:pPr>
            <w:r>
              <w:rPr>
                <w:rFonts w:hint="default" w:ascii="宋体" w:hAnsi="宋体" w:cs="宋体"/>
                <w:sz w:val="24"/>
                <w:lang w:val="en-US" w:eastAsia="zh-CN"/>
              </w:rPr>
              <w:t>投标供应商承诺产品出现故障或破损时，接到采购人通知后：</w:t>
            </w:r>
          </w:p>
          <w:p w14:paraId="4C51B4F6">
            <w:pPr>
              <w:numPr>
                <w:ilvl w:val="0"/>
                <w:numId w:val="0"/>
              </w:numPr>
              <w:adjustRightInd w:val="0"/>
              <w:snapToGrid w:val="0"/>
              <w:spacing w:line="400" w:lineRule="exact"/>
              <w:jc w:val="left"/>
              <w:rPr>
                <w:rFonts w:hint="default" w:ascii="宋体" w:hAnsi="宋体" w:cs="宋体"/>
                <w:sz w:val="24"/>
                <w:lang w:val="en-US" w:eastAsia="zh-CN"/>
              </w:rPr>
            </w:pPr>
            <w:r>
              <w:rPr>
                <w:rFonts w:hint="default" w:ascii="宋体" w:hAnsi="宋体" w:cs="宋体"/>
                <w:sz w:val="24"/>
                <w:lang w:val="en-US" w:eastAsia="zh-CN"/>
              </w:rPr>
              <w:t>在1小时以内到达现场维修或更换的得3分;</w:t>
            </w:r>
          </w:p>
          <w:p w14:paraId="28891308">
            <w:pPr>
              <w:numPr>
                <w:ilvl w:val="0"/>
                <w:numId w:val="0"/>
              </w:numPr>
              <w:adjustRightInd w:val="0"/>
              <w:snapToGrid w:val="0"/>
              <w:spacing w:line="400" w:lineRule="exact"/>
              <w:jc w:val="left"/>
              <w:rPr>
                <w:rFonts w:hint="default" w:ascii="宋体" w:hAnsi="宋体" w:cs="宋体"/>
                <w:sz w:val="24"/>
                <w:lang w:val="en-US" w:eastAsia="zh-CN"/>
              </w:rPr>
            </w:pPr>
            <w:r>
              <w:rPr>
                <w:rFonts w:hint="default" w:ascii="宋体" w:hAnsi="宋体" w:cs="宋体"/>
                <w:sz w:val="24"/>
                <w:lang w:val="en-US" w:eastAsia="zh-CN"/>
              </w:rPr>
              <w:t>在2小时以内到达现场维修或更换的得2分；</w:t>
            </w:r>
          </w:p>
          <w:p w14:paraId="4380F17B">
            <w:pPr>
              <w:numPr>
                <w:ilvl w:val="0"/>
                <w:numId w:val="0"/>
              </w:numPr>
              <w:adjustRightInd w:val="0"/>
              <w:snapToGrid w:val="0"/>
              <w:spacing w:line="400" w:lineRule="exact"/>
              <w:jc w:val="left"/>
              <w:rPr>
                <w:rFonts w:hint="default" w:ascii="宋体" w:hAnsi="宋体" w:cs="宋体"/>
                <w:sz w:val="24"/>
                <w:lang w:val="en-US" w:eastAsia="zh-CN"/>
              </w:rPr>
            </w:pPr>
            <w:r>
              <w:rPr>
                <w:rFonts w:hint="default" w:ascii="宋体" w:hAnsi="宋体" w:cs="宋体"/>
                <w:sz w:val="24"/>
                <w:lang w:val="en-US" w:eastAsia="zh-CN"/>
              </w:rPr>
              <w:t>在3小时以内到达现场维修或更换的得1分。</w:t>
            </w:r>
          </w:p>
          <w:p w14:paraId="100176B9">
            <w:pPr>
              <w:numPr>
                <w:ilvl w:val="0"/>
                <w:numId w:val="0"/>
              </w:numPr>
              <w:adjustRightInd w:val="0"/>
              <w:snapToGrid w:val="0"/>
              <w:spacing w:line="400" w:lineRule="exact"/>
              <w:jc w:val="left"/>
              <w:rPr>
                <w:rFonts w:hint="default" w:ascii="宋体" w:hAnsi="宋体" w:cs="宋体"/>
                <w:sz w:val="24"/>
                <w:lang w:val="en-US" w:eastAsia="zh-CN"/>
              </w:rPr>
            </w:pPr>
            <w:r>
              <w:rPr>
                <w:rFonts w:hint="default" w:ascii="宋体" w:hAnsi="宋体" w:cs="宋体"/>
                <w:sz w:val="24"/>
                <w:lang w:val="en-US" w:eastAsia="zh-CN"/>
              </w:rPr>
              <w:t>本项最高3分。(投标供应商自行承诺,不承诺不得分)。</w:t>
            </w:r>
          </w:p>
        </w:tc>
        <w:tc>
          <w:tcPr>
            <w:tcW w:w="1025" w:type="dxa"/>
            <w:noWrap w:val="0"/>
            <w:vAlign w:val="center"/>
          </w:tcPr>
          <w:p w14:paraId="625F25FF">
            <w:pPr>
              <w:pStyle w:val="15"/>
              <w:spacing w:line="360" w:lineRule="auto"/>
              <w:ind w:right="126"/>
              <w:rPr>
                <w:rFonts w:hint="default" w:eastAsia="宋体"/>
                <w:b/>
                <w:bCs/>
                <w:color w:val="000000"/>
                <w:sz w:val="24"/>
                <w:lang w:val="en-US" w:eastAsia="zh-CN"/>
              </w:rPr>
            </w:pPr>
            <w:r>
              <w:rPr>
                <w:rFonts w:hint="eastAsia"/>
                <w:b/>
                <w:bCs/>
                <w:color w:val="000000"/>
                <w:sz w:val="24"/>
                <w:lang w:val="en-US" w:eastAsia="zh-CN"/>
              </w:rPr>
              <w:t>3分</w:t>
            </w:r>
          </w:p>
        </w:tc>
      </w:tr>
      <w:tr w14:paraId="697C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3C59425B">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8</w:t>
            </w:r>
          </w:p>
        </w:tc>
        <w:tc>
          <w:tcPr>
            <w:tcW w:w="1852" w:type="dxa"/>
            <w:noWrap w:val="0"/>
            <w:vAlign w:val="center"/>
          </w:tcPr>
          <w:p w14:paraId="45EA3E74">
            <w:pPr>
              <w:pStyle w:val="15"/>
              <w:spacing w:line="360" w:lineRule="auto"/>
              <w:ind w:right="111"/>
              <w:jc w:val="center"/>
              <w:rPr>
                <w:bCs/>
                <w:color w:val="000000"/>
                <w:sz w:val="24"/>
                <w:lang w:val="en-US"/>
              </w:rPr>
            </w:pPr>
            <w:r>
              <w:rPr>
                <w:rFonts w:hint="eastAsia"/>
                <w:bCs/>
                <w:color w:val="000000"/>
                <w:sz w:val="24"/>
                <w:lang w:val="en-US"/>
              </w:rPr>
              <w:t>质保期</w:t>
            </w:r>
          </w:p>
        </w:tc>
        <w:tc>
          <w:tcPr>
            <w:tcW w:w="6114" w:type="dxa"/>
            <w:noWrap w:val="0"/>
            <w:vAlign w:val="center"/>
          </w:tcPr>
          <w:p w14:paraId="1D91D741">
            <w:pPr>
              <w:adjustRightInd w:val="0"/>
              <w:snapToGrid w:val="0"/>
              <w:spacing w:line="400" w:lineRule="exact"/>
              <w:jc w:val="left"/>
              <w:rPr>
                <w:rFonts w:hint="eastAsia" w:ascii="宋体" w:hAnsi="宋体" w:cs="宋体"/>
                <w:sz w:val="24"/>
              </w:rPr>
            </w:pPr>
            <w:r>
              <w:rPr>
                <w:rFonts w:hint="eastAsia" w:ascii="宋体" w:hAnsi="宋体" w:cs="宋体"/>
                <w:sz w:val="24"/>
              </w:rPr>
              <w:t>供应商对设备的质保期在满足基本要求的1年下，每延长半年加0.5分，此项最多加4分。</w:t>
            </w:r>
          </w:p>
          <w:p w14:paraId="4396E178">
            <w:pPr>
              <w:adjustRightInd w:val="0"/>
              <w:snapToGrid w:val="0"/>
              <w:spacing w:line="400" w:lineRule="exact"/>
              <w:jc w:val="left"/>
              <w:rPr>
                <w:rFonts w:ascii="宋体" w:hAnsi="宋体" w:cs="宋体"/>
                <w:color w:val="000000"/>
                <w:sz w:val="24"/>
              </w:rPr>
            </w:pPr>
            <w:r>
              <w:rPr>
                <w:rFonts w:hint="eastAsia" w:ascii="宋体" w:hAnsi="宋体" w:cs="宋体"/>
                <w:sz w:val="24"/>
              </w:rPr>
              <w:t>供应商需提供承诺函并加盖公章。不提供不得分。</w:t>
            </w:r>
          </w:p>
        </w:tc>
        <w:tc>
          <w:tcPr>
            <w:tcW w:w="1025" w:type="dxa"/>
            <w:noWrap w:val="0"/>
            <w:vAlign w:val="center"/>
          </w:tcPr>
          <w:p w14:paraId="3348AB44">
            <w:pPr>
              <w:pStyle w:val="15"/>
              <w:spacing w:line="360" w:lineRule="auto"/>
              <w:ind w:right="126"/>
              <w:rPr>
                <w:rFonts w:hint="eastAsia"/>
                <w:b/>
                <w:bCs/>
                <w:color w:val="000000"/>
                <w:sz w:val="24"/>
                <w:lang w:val="en-US"/>
              </w:rPr>
            </w:pPr>
            <w:r>
              <w:rPr>
                <w:rFonts w:hint="eastAsia"/>
                <w:b/>
                <w:bCs/>
                <w:color w:val="000000"/>
                <w:sz w:val="24"/>
                <w:lang w:val="en-US"/>
              </w:rPr>
              <w:t>4分</w:t>
            </w:r>
          </w:p>
        </w:tc>
      </w:tr>
      <w:tr w14:paraId="1879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0" w:type="dxa"/>
            <w:gridSpan w:val="4"/>
            <w:noWrap w:val="0"/>
            <w:vAlign w:val="center"/>
          </w:tcPr>
          <w:p w14:paraId="6849A452">
            <w:pPr>
              <w:pStyle w:val="15"/>
              <w:spacing w:line="360" w:lineRule="auto"/>
              <w:ind w:right="126"/>
              <w:jc w:val="left"/>
              <w:rPr>
                <w:rFonts w:hint="eastAsia"/>
                <w:b/>
                <w:bCs/>
                <w:color w:val="000000"/>
                <w:sz w:val="24"/>
                <w:lang w:val="en-US"/>
              </w:rPr>
            </w:pPr>
            <w:r>
              <w:rPr>
                <w:rFonts w:hint="eastAsia"/>
                <w:b/>
                <w:color w:val="000000"/>
                <w:sz w:val="24"/>
                <w:lang w:val="en-US"/>
              </w:rPr>
              <w:t>（四）政策加分（在总得分基础上加分）；满分5分</w:t>
            </w:r>
          </w:p>
        </w:tc>
      </w:tr>
      <w:tr w14:paraId="2DA5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6631AE18">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9</w:t>
            </w:r>
          </w:p>
        </w:tc>
        <w:tc>
          <w:tcPr>
            <w:tcW w:w="1852" w:type="dxa"/>
            <w:noWrap w:val="0"/>
            <w:vAlign w:val="center"/>
          </w:tcPr>
          <w:p w14:paraId="6337F90D">
            <w:pPr>
              <w:pStyle w:val="15"/>
              <w:spacing w:line="360" w:lineRule="auto"/>
              <w:ind w:right="111"/>
              <w:jc w:val="center"/>
              <w:rPr>
                <w:rFonts w:hint="eastAsia"/>
                <w:bCs/>
                <w:color w:val="000000"/>
                <w:sz w:val="24"/>
              </w:rPr>
            </w:pPr>
            <w:r>
              <w:rPr>
                <w:rFonts w:hint="eastAsia"/>
                <w:bCs/>
                <w:color w:val="000000"/>
                <w:sz w:val="24"/>
                <w:lang w:val="en-US"/>
              </w:rPr>
              <w:t>少数民族地区加分</w:t>
            </w:r>
          </w:p>
        </w:tc>
        <w:tc>
          <w:tcPr>
            <w:tcW w:w="6114" w:type="dxa"/>
            <w:noWrap w:val="0"/>
            <w:vAlign w:val="center"/>
          </w:tcPr>
          <w:p w14:paraId="52C386DB">
            <w:pPr>
              <w:pStyle w:val="15"/>
              <w:spacing w:before="4" w:line="360" w:lineRule="auto"/>
              <w:jc w:val="left"/>
              <w:rPr>
                <w:rFonts w:hint="eastAsia"/>
                <w:color w:val="000000"/>
                <w:sz w:val="24"/>
              </w:rPr>
            </w:pPr>
            <w:r>
              <w:rPr>
                <w:rFonts w:hint="eastAsia"/>
                <w:color w:val="000000"/>
                <w:sz w:val="24"/>
              </w:rPr>
              <w:t>对原产地在少数民族自治区和享受少数民族自治待遇的省份的投标主产品（不含附带产品）享受少数民族地区加分，得3分。</w:t>
            </w:r>
          </w:p>
          <w:p w14:paraId="41C6B60F">
            <w:pPr>
              <w:pStyle w:val="15"/>
              <w:spacing w:before="4" w:line="360" w:lineRule="auto"/>
              <w:jc w:val="left"/>
              <w:rPr>
                <w:rFonts w:hint="eastAsia"/>
                <w:sz w:val="24"/>
                <w:lang w:val="en-US"/>
              </w:rPr>
            </w:pPr>
            <w:r>
              <w:rPr>
                <w:rFonts w:hint="eastAsia"/>
                <w:color w:val="000000"/>
                <w:sz w:val="24"/>
              </w:rPr>
              <w:t>少数民族加分：根据贵州省财政厅黔财采【2017】6号文的相关要求，享受少数民族自治待遇的省份为：云南、贵州、青海。</w:t>
            </w:r>
          </w:p>
        </w:tc>
        <w:tc>
          <w:tcPr>
            <w:tcW w:w="1025" w:type="dxa"/>
            <w:noWrap w:val="0"/>
            <w:vAlign w:val="center"/>
          </w:tcPr>
          <w:p w14:paraId="29C6AB0E">
            <w:pPr>
              <w:pStyle w:val="15"/>
              <w:spacing w:line="360" w:lineRule="auto"/>
              <w:ind w:right="126"/>
              <w:jc w:val="center"/>
              <w:rPr>
                <w:rFonts w:hint="eastAsia"/>
                <w:b/>
                <w:bCs/>
                <w:color w:val="000000"/>
                <w:sz w:val="24"/>
                <w:lang w:val="en-US"/>
              </w:rPr>
            </w:pPr>
            <w:r>
              <w:rPr>
                <w:rFonts w:hint="eastAsia"/>
                <w:b/>
                <w:color w:val="000000"/>
                <w:sz w:val="24"/>
                <w:lang w:val="en-US"/>
              </w:rPr>
              <w:t>3分</w:t>
            </w:r>
          </w:p>
        </w:tc>
      </w:tr>
      <w:tr w14:paraId="26F2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4B75F5B8">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9</w:t>
            </w:r>
          </w:p>
        </w:tc>
        <w:tc>
          <w:tcPr>
            <w:tcW w:w="1852" w:type="dxa"/>
            <w:noWrap w:val="0"/>
            <w:vAlign w:val="center"/>
          </w:tcPr>
          <w:p w14:paraId="50355D91">
            <w:pPr>
              <w:pStyle w:val="15"/>
              <w:spacing w:line="360" w:lineRule="auto"/>
              <w:ind w:right="111"/>
              <w:jc w:val="center"/>
              <w:rPr>
                <w:rFonts w:hint="eastAsia"/>
                <w:bCs/>
                <w:color w:val="000000"/>
                <w:sz w:val="24"/>
              </w:rPr>
            </w:pPr>
            <w:r>
              <w:rPr>
                <w:rFonts w:hint="eastAsia"/>
                <w:bCs/>
                <w:color w:val="000000"/>
                <w:sz w:val="24"/>
                <w:lang w:val="en-US"/>
              </w:rPr>
              <w:t>节能环保加分</w:t>
            </w:r>
          </w:p>
        </w:tc>
        <w:tc>
          <w:tcPr>
            <w:tcW w:w="6114" w:type="dxa"/>
            <w:noWrap w:val="0"/>
            <w:vAlign w:val="center"/>
          </w:tcPr>
          <w:p w14:paraId="2D1CDE4E">
            <w:pPr>
              <w:pStyle w:val="15"/>
              <w:spacing w:before="4" w:line="360" w:lineRule="auto"/>
              <w:jc w:val="left"/>
              <w:rPr>
                <w:rFonts w:hint="eastAsia"/>
                <w:sz w:val="24"/>
                <w:lang w:val="en-US"/>
              </w:rPr>
            </w:pPr>
            <w:r>
              <w:rPr>
                <w:rFonts w:hint="eastAsia"/>
                <w:color w:val="000000"/>
                <w:sz w:val="24"/>
              </w:rPr>
              <w:t>对投标产品属于“节能产品清单”或“环保产品清单”有效期内中的产品（强制采购产品除外），在评审总得分的基础上每一项加 0.3 分；如投标产品同时属于“节能产品清单”和“环保产品清单”两个清单中产品的，每一项加 0.5 分，最高不得超过2分。</w:t>
            </w:r>
          </w:p>
        </w:tc>
        <w:tc>
          <w:tcPr>
            <w:tcW w:w="1025" w:type="dxa"/>
            <w:noWrap w:val="0"/>
            <w:vAlign w:val="center"/>
          </w:tcPr>
          <w:p w14:paraId="253D6171">
            <w:pPr>
              <w:pStyle w:val="15"/>
              <w:spacing w:line="360" w:lineRule="auto"/>
              <w:ind w:right="126"/>
              <w:jc w:val="center"/>
              <w:rPr>
                <w:rFonts w:hint="eastAsia"/>
                <w:b/>
                <w:bCs/>
                <w:color w:val="000000"/>
                <w:sz w:val="24"/>
                <w:lang w:val="en-US"/>
              </w:rPr>
            </w:pPr>
            <w:r>
              <w:rPr>
                <w:rFonts w:hint="eastAsia"/>
                <w:b/>
                <w:color w:val="000000"/>
                <w:sz w:val="24"/>
                <w:lang w:val="en-US"/>
              </w:rPr>
              <w:t>2分</w:t>
            </w:r>
          </w:p>
        </w:tc>
      </w:tr>
    </w:tbl>
    <w:p w14:paraId="5A8D6FA1">
      <w:pPr>
        <w:pStyle w:val="8"/>
        <w:spacing w:line="360" w:lineRule="auto"/>
        <w:rPr>
          <w:rFonts w:hint="eastAsia" w:ascii="宋体" w:hAnsi="宋体" w:cs="宋体"/>
        </w:rPr>
      </w:pPr>
    </w:p>
    <w:p w14:paraId="3453CD62">
      <w:pPr>
        <w:pStyle w:val="14"/>
        <w:rPr>
          <w:rFonts w:hint="eastAsia"/>
          <w:lang w:eastAsia="zh-CN"/>
        </w:rPr>
      </w:pPr>
    </w:p>
    <w:sectPr>
      <w:headerReference r:id="rId3" w:type="default"/>
      <w:footerReference r:id="rId4"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E16">
    <w:pPr>
      <w:pStyle w:val="9"/>
      <w:pBdr>
        <w:bottom w:val="none" w:color="auto" w:sz="0" w:space="1"/>
      </w:pBdr>
      <w:jc w:val="left"/>
      <w:rPr>
        <w:rFonts w:hint="eastAsia"/>
      </w:rPr>
    </w:pPr>
    <w:r>
      <w:rPr>
        <w:rFonts w:hint="eastAsia"/>
        <w:b/>
        <w:bCs/>
        <w:sz w:val="21"/>
        <w:szCs w:val="21"/>
      </w:rPr>
      <w:t xml:space="preserve">                                        </w:t>
    </w:r>
    <w:r>
      <w:rPr>
        <w:rFonts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D8CA"/>
    <w:multiLevelType w:val="singleLevel"/>
    <w:tmpl w:val="89ECD8CA"/>
    <w:lvl w:ilvl="0" w:tentative="0">
      <w:start w:val="1"/>
      <w:numFmt w:val="chineseCounting"/>
      <w:suff w:val="nothing"/>
      <w:lvlText w:val="%1、"/>
      <w:lvlJc w:val="left"/>
      <w:rPr>
        <w:rFonts w:hint="eastAsia"/>
      </w:rPr>
    </w:lvl>
  </w:abstractNum>
  <w:abstractNum w:abstractNumId="1">
    <w:nsid w:val="EF9336BE"/>
    <w:multiLevelType w:val="singleLevel"/>
    <w:tmpl w:val="EF9336BE"/>
    <w:lvl w:ilvl="0" w:tentative="0">
      <w:start w:val="1"/>
      <w:numFmt w:val="chineseCounting"/>
      <w:suff w:val="nothing"/>
      <w:lvlText w:val="%1、"/>
      <w:lvlJc w:val="left"/>
      <w:rPr>
        <w:rFonts w:hint="eastAsia"/>
      </w:rPr>
    </w:lvl>
  </w:abstractNum>
  <w:abstractNum w:abstractNumId="2">
    <w:nsid w:val="F417CB93"/>
    <w:multiLevelType w:val="singleLevel"/>
    <w:tmpl w:val="F417CB93"/>
    <w:lvl w:ilvl="0" w:tentative="0">
      <w:start w:val="1"/>
      <w:numFmt w:val="decimal"/>
      <w:suff w:val="nothing"/>
      <w:lvlText w:val="%1、"/>
      <w:lvlJc w:val="left"/>
    </w:lvl>
  </w:abstractNum>
  <w:abstractNum w:abstractNumId="3">
    <w:nsid w:val="FF63C0E5"/>
    <w:multiLevelType w:val="singleLevel"/>
    <w:tmpl w:val="FF63C0E5"/>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2"/>
      <w:numFmt w:val="decimal"/>
      <w:lvlText w:val="%1."/>
      <w:lvlJc w:val="left"/>
      <w:pPr>
        <w:tabs>
          <w:tab w:val="left" w:pos="312"/>
        </w:tabs>
      </w:pPr>
    </w:lvl>
  </w:abstractNum>
  <w:abstractNum w:abstractNumId="5">
    <w:nsid w:val="03978FAF"/>
    <w:multiLevelType w:val="singleLevel"/>
    <w:tmpl w:val="03978FAF"/>
    <w:lvl w:ilvl="0" w:tentative="0">
      <w:start w:val="1"/>
      <w:numFmt w:val="decimal"/>
      <w:lvlText w:val="%1."/>
      <w:lvlJc w:val="left"/>
      <w:pPr>
        <w:tabs>
          <w:tab w:val="left" w:pos="312"/>
        </w:tabs>
      </w:pPr>
    </w:lvl>
  </w:abstractNum>
  <w:abstractNum w:abstractNumId="6">
    <w:nsid w:val="04322F01"/>
    <w:multiLevelType w:val="singleLevel"/>
    <w:tmpl w:val="04322F01"/>
    <w:lvl w:ilvl="0" w:tentative="0">
      <w:start w:val="5"/>
      <w:numFmt w:val="decimal"/>
      <w:lvlText w:val="%1."/>
      <w:lvlJc w:val="left"/>
      <w:pPr>
        <w:tabs>
          <w:tab w:val="left" w:pos="312"/>
        </w:tabs>
      </w:pPr>
    </w:lvl>
  </w:abstractNum>
  <w:abstractNum w:abstractNumId="7">
    <w:nsid w:val="1424D4DE"/>
    <w:multiLevelType w:val="singleLevel"/>
    <w:tmpl w:val="1424D4DE"/>
    <w:lvl w:ilvl="0" w:tentative="0">
      <w:start w:val="2"/>
      <w:numFmt w:val="chineseCounting"/>
      <w:suff w:val="nothing"/>
      <w:lvlText w:val="%1、"/>
      <w:lvlJc w:val="left"/>
      <w:rPr>
        <w:rFonts w:hint="eastAsia"/>
      </w:rPr>
    </w:lvl>
  </w:abstractNum>
  <w:abstractNum w:abstractNumId="8">
    <w:nsid w:val="16D5BDA8"/>
    <w:multiLevelType w:val="singleLevel"/>
    <w:tmpl w:val="16D5BDA8"/>
    <w:lvl w:ilvl="0" w:tentative="0">
      <w:start w:val="9"/>
      <w:numFmt w:val="decimal"/>
      <w:suff w:val="nothing"/>
      <w:lvlText w:val="%1、"/>
      <w:lvlJc w:val="left"/>
    </w:lvl>
  </w:abstractNum>
  <w:abstractNum w:abstractNumId="9">
    <w:nsid w:val="1F0ACD8D"/>
    <w:multiLevelType w:val="singleLevel"/>
    <w:tmpl w:val="1F0ACD8D"/>
    <w:lvl w:ilvl="0" w:tentative="0">
      <w:start w:val="15"/>
      <w:numFmt w:val="decimal"/>
      <w:suff w:val="nothing"/>
      <w:lvlText w:val="%1、"/>
      <w:lvlJc w:val="left"/>
    </w:lvl>
  </w:abstractNum>
  <w:abstractNum w:abstractNumId="10">
    <w:nsid w:val="3681FF9B"/>
    <w:multiLevelType w:val="singleLevel"/>
    <w:tmpl w:val="3681FF9B"/>
    <w:lvl w:ilvl="0" w:tentative="0">
      <w:start w:val="1"/>
      <w:numFmt w:val="chineseCounting"/>
      <w:suff w:val="nothing"/>
      <w:lvlText w:val="%1、"/>
      <w:lvlJc w:val="left"/>
      <w:rPr>
        <w:rFonts w:hint="eastAsia"/>
      </w:rPr>
    </w:lvl>
  </w:abstractNum>
  <w:abstractNum w:abstractNumId="11">
    <w:nsid w:val="37823335"/>
    <w:multiLevelType w:val="singleLevel"/>
    <w:tmpl w:val="37823335"/>
    <w:lvl w:ilvl="0" w:tentative="0">
      <w:start w:val="1"/>
      <w:numFmt w:val="decimal"/>
      <w:lvlText w:val="%1."/>
      <w:lvlJc w:val="left"/>
      <w:pPr>
        <w:tabs>
          <w:tab w:val="left" w:pos="312"/>
        </w:tabs>
      </w:pPr>
    </w:lvl>
  </w:abstractNum>
  <w:abstractNum w:abstractNumId="12">
    <w:nsid w:val="44EB3F05"/>
    <w:multiLevelType w:val="multilevel"/>
    <w:tmpl w:val="44EB3F05"/>
    <w:lvl w:ilvl="0" w:tentative="0">
      <w:start w:val="1"/>
      <w:numFmt w:val="decimal"/>
      <w:pStyle w:val="19"/>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7320F956"/>
    <w:multiLevelType w:val="singleLevel"/>
    <w:tmpl w:val="7320F956"/>
    <w:lvl w:ilvl="0" w:tentative="0">
      <w:start w:val="9"/>
      <w:numFmt w:val="decimal"/>
      <w:lvlText w:val="%1."/>
      <w:lvlJc w:val="left"/>
      <w:pPr>
        <w:tabs>
          <w:tab w:val="left" w:pos="312"/>
        </w:tabs>
      </w:pPr>
    </w:lvl>
  </w:abstractNum>
  <w:num w:numId="1">
    <w:abstractNumId w:val="12"/>
  </w:num>
  <w:num w:numId="2">
    <w:abstractNumId w:val="10"/>
  </w:num>
  <w:num w:numId="3">
    <w:abstractNumId w:val="7"/>
  </w:num>
  <w:num w:numId="4">
    <w:abstractNumId w:val="1"/>
  </w:num>
  <w:num w:numId="5">
    <w:abstractNumId w:val="0"/>
  </w:num>
  <w:num w:numId="6">
    <w:abstractNumId w:val="8"/>
  </w:num>
  <w:num w:numId="7">
    <w:abstractNumId w:val="9"/>
  </w:num>
  <w:num w:numId="8">
    <w:abstractNumId w:val="11"/>
  </w:num>
  <w:num w:numId="9">
    <w:abstractNumId w:val="5"/>
  </w:num>
  <w:num w:numId="10">
    <w:abstractNumId w:val="6"/>
  </w:num>
  <w:num w:numId="11">
    <w:abstractNumId w:val="13"/>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74D481C"/>
    <w:rsid w:val="0D715EE6"/>
    <w:rsid w:val="12F8350B"/>
    <w:rsid w:val="15456CD8"/>
    <w:rsid w:val="18F91799"/>
    <w:rsid w:val="241A61E3"/>
    <w:rsid w:val="2D2F2542"/>
    <w:rsid w:val="33A0607D"/>
    <w:rsid w:val="37792DCD"/>
    <w:rsid w:val="37FF5834"/>
    <w:rsid w:val="40092FA2"/>
    <w:rsid w:val="43871532"/>
    <w:rsid w:val="4AED2163"/>
    <w:rsid w:val="4CA63DFC"/>
    <w:rsid w:val="4F7069F4"/>
    <w:rsid w:val="565B3649"/>
    <w:rsid w:val="569A6A77"/>
    <w:rsid w:val="57E76709"/>
    <w:rsid w:val="58D27BFC"/>
    <w:rsid w:val="5A9345FB"/>
    <w:rsid w:val="5BA652E6"/>
    <w:rsid w:val="6076356A"/>
    <w:rsid w:val="663369DB"/>
    <w:rsid w:val="69D34A43"/>
    <w:rsid w:val="6C5C32DF"/>
    <w:rsid w:val="71482881"/>
    <w:rsid w:val="71654217"/>
    <w:rsid w:val="75241B5F"/>
    <w:rsid w:val="77312AC7"/>
    <w:rsid w:val="77CD6F00"/>
    <w:rsid w:val="7985334C"/>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0"/>
    <w:pPr>
      <w:keepNext/>
      <w:jc w:val="center"/>
      <w:outlineLvl w:val="1"/>
    </w:pPr>
    <w:rPr>
      <w:rFonts w:ascii="Calibri" w:hAnsi="Calibri" w:eastAsia="宋体" w:cs="Times New Roman"/>
      <w:sz w:val="32"/>
    </w:rPr>
  </w:style>
  <w:style w:type="paragraph" w:styleId="4">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5">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rPr>
      <w:sz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styleId="11">
    <w:name w:val="Normal (Web)"/>
    <w:basedOn w:val="1"/>
    <w:qFormat/>
    <w:uiPriority w:val="0"/>
    <w:pPr>
      <w:widowControl/>
      <w:jc w:val="left"/>
    </w:pPr>
    <w:rPr>
      <w:rFonts w:ascii="宋体" w:hAnsi="宋体" w:eastAsia="宋体" w:cs="宋体"/>
      <w:kern w:val="0"/>
      <w:sz w:val="18"/>
      <w:szCs w:val="18"/>
    </w:rPr>
  </w:style>
  <w:style w:type="paragraph" w:customStyle="1" w:styleId="14">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styleId="16">
    <w:name w:val="List Paragraph"/>
    <w:basedOn w:val="1"/>
    <w:autoRedefine/>
    <w:qFormat/>
    <w:uiPriority w:val="1"/>
    <w:pPr>
      <w:ind w:left="117" w:hanging="242"/>
    </w:pPr>
    <w:rPr>
      <w:rFonts w:ascii="宋体" w:hAnsi="宋体" w:eastAsia="宋体" w:cs="宋体"/>
      <w:lang w:val="zh-CN" w:eastAsia="zh-CN" w:bidi="zh-CN"/>
    </w:rPr>
  </w:style>
  <w:style w:type="paragraph" w:customStyle="1" w:styleId="17">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8">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 w:type="paragraph" w:customStyle="1" w:styleId="19">
    <w:name w:val="T-标题1"/>
    <w:basedOn w:val="2"/>
    <w:qFormat/>
    <w:uiPriority w:val="0"/>
    <w:pPr>
      <w:numPr>
        <w:ilvl w:val="0"/>
        <w:numId w:val="1"/>
      </w:numPr>
      <w:spacing w:before="0" w:after="0"/>
    </w:pPr>
    <w:rPr>
      <w:rFonts w:hAnsi="微软雅黑"/>
      <w:color w:val="5B9BD5"/>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8905</Words>
  <Characters>9570</Characters>
  <Lines>0</Lines>
  <Paragraphs>0</Paragraphs>
  <TotalTime>0</TotalTime>
  <ScaleCrop>false</ScaleCrop>
  <LinksUpToDate>false</LinksUpToDate>
  <CharactersWithSpaces>9637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NTKO</cp:lastModifiedBy>
  <dcterms:modified xsi:type="dcterms:W3CDTF">2025-07-14T08:41:45Z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2F85F5EABBFC4E5DB693C5577A92DFBB_13</vt:lpwstr>
  </property>
  <property fmtid="{D5CDD505-2E9C-101B-9397-08002B2CF9AE}" pid="4" name="KSOTemplateDocerSaveRecord">
    <vt:lpwstr>eyJoZGlkIjoiMjQ0NjQxZTFhN2NjMGVmZjczYTYwNzNjY2NiOTdkNTAiLCJ1c2VySWQiOiIyNTQzODUxMzYifQ==</vt:lpwstr>
  </property>
</Properties>
</file>