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436A37">
      <w:pPr>
        <w:spacing w:line="360" w:lineRule="auto"/>
        <w:rPr>
          <w:rFonts w:ascii="黑体" w:hAnsi="Times New Roman" w:eastAsia="黑体" w:cs="Times New Roman"/>
          <w:b/>
          <w:bCs/>
          <w:color w:val="auto"/>
          <w:sz w:val="36"/>
          <w:szCs w:val="24"/>
          <w:highlight w:val="none"/>
        </w:rPr>
      </w:pPr>
    </w:p>
    <w:p w14:paraId="5CC955BD">
      <w:pPr>
        <w:spacing w:line="360" w:lineRule="auto"/>
        <w:ind w:left="1617" w:leftChars="286" w:hanging="1016"/>
        <w:jc w:val="center"/>
        <w:rPr>
          <w:rFonts w:ascii="黑体" w:hAnsi="Times New Roman" w:eastAsia="黑体" w:cs="Times New Roman"/>
          <w:b/>
          <w:bCs/>
          <w:color w:val="auto"/>
          <w:sz w:val="36"/>
          <w:szCs w:val="24"/>
          <w:highlight w:val="none"/>
        </w:rPr>
      </w:pPr>
    </w:p>
    <w:p w14:paraId="3BD01CFA">
      <w:pPr>
        <w:widowControl/>
        <w:jc w:val="center"/>
        <w:rPr>
          <w:rFonts w:hint="eastAsia" w:ascii="黑体" w:hAnsi="Times New Roman" w:eastAsia="黑体" w:cs="Times New Roman"/>
          <w:b/>
          <w:bCs/>
          <w:color w:val="auto"/>
          <w:sz w:val="48"/>
          <w:szCs w:val="48"/>
          <w:highlight w:val="none"/>
        </w:rPr>
      </w:pPr>
      <w:r>
        <w:rPr>
          <w:rFonts w:hint="eastAsia" w:ascii="黑体" w:hAnsi="Times New Roman" w:eastAsia="黑体" w:cs="Times New Roman"/>
          <w:b/>
          <w:bCs/>
          <w:color w:val="auto"/>
          <w:sz w:val="40"/>
          <w:szCs w:val="28"/>
          <w:highlight w:val="none"/>
        </w:rPr>
        <w:t xml:space="preserve"> </w:t>
      </w:r>
      <w:r>
        <w:rPr>
          <w:rFonts w:hint="eastAsia" w:ascii="黑体" w:hAnsi="Times New Roman" w:eastAsia="黑体" w:cs="Times New Roman"/>
          <w:b/>
          <w:bCs/>
          <w:color w:val="auto"/>
          <w:sz w:val="48"/>
          <w:szCs w:val="48"/>
          <w:highlight w:val="none"/>
        </w:rPr>
        <w:t xml:space="preserve">  海珠湿地绿谷项目</w:t>
      </w:r>
    </w:p>
    <w:p w14:paraId="6E84E9DB">
      <w:pPr>
        <w:widowControl/>
        <w:jc w:val="center"/>
        <w:rPr>
          <w:rFonts w:ascii="黑体" w:hAnsi="Times New Roman" w:eastAsia="黑体" w:cs="Times New Roman"/>
          <w:b/>
          <w:bCs/>
          <w:color w:val="auto"/>
          <w:sz w:val="48"/>
          <w:szCs w:val="48"/>
          <w:highlight w:val="none"/>
        </w:rPr>
      </w:pPr>
      <w:r>
        <w:rPr>
          <w:rFonts w:hint="eastAsia" w:ascii="黑体" w:hAnsi="Times New Roman" w:eastAsia="黑体" w:cs="Times New Roman"/>
          <w:b/>
          <w:bCs/>
          <w:color w:val="auto"/>
          <w:sz w:val="48"/>
          <w:szCs w:val="48"/>
          <w:highlight w:val="none"/>
          <w:lang w:val="en-US" w:eastAsia="zh-CN"/>
        </w:rPr>
        <w:t xml:space="preserve">  </w:t>
      </w:r>
      <w:r>
        <w:rPr>
          <w:rFonts w:hint="eastAsia" w:ascii="黑体" w:hAnsi="Times New Roman" w:eastAsia="黑体" w:cs="Times New Roman"/>
          <w:b/>
          <w:bCs/>
          <w:color w:val="auto"/>
          <w:sz w:val="48"/>
          <w:szCs w:val="48"/>
          <w:highlight w:val="none"/>
        </w:rPr>
        <w:t>设计任务书</w:t>
      </w:r>
    </w:p>
    <w:p w14:paraId="7D9E4890">
      <w:pPr>
        <w:spacing w:line="360" w:lineRule="auto"/>
        <w:jc w:val="center"/>
        <w:rPr>
          <w:rFonts w:ascii="黑体" w:hAnsi="Times New Roman" w:eastAsia="黑体" w:cs="Times New Roman"/>
          <w:b/>
          <w:bCs/>
          <w:color w:val="auto"/>
          <w:sz w:val="18"/>
          <w:szCs w:val="18"/>
          <w:highlight w:val="none"/>
        </w:rPr>
      </w:pPr>
      <w:r>
        <w:rPr>
          <w:rFonts w:hint="eastAsia" w:ascii="黑体" w:hAnsi="Times New Roman" w:eastAsia="黑体" w:cs="Times New Roman"/>
          <w:color w:val="auto"/>
          <w:sz w:val="18"/>
          <w:szCs w:val="18"/>
          <w:highlight w:val="none"/>
        </w:rPr>
        <w:t xml:space="preserve">     </w:t>
      </w:r>
    </w:p>
    <w:p w14:paraId="0328F578">
      <w:pPr>
        <w:spacing w:line="360" w:lineRule="auto"/>
        <w:ind w:left="1617" w:leftChars="286" w:hanging="1016"/>
        <w:jc w:val="center"/>
        <w:rPr>
          <w:rFonts w:ascii="黑体" w:hAnsi="Times New Roman" w:eastAsia="黑体" w:cs="Times New Roman"/>
          <w:b/>
          <w:bCs/>
          <w:color w:val="auto"/>
          <w:sz w:val="36"/>
          <w:szCs w:val="24"/>
          <w:highlight w:val="none"/>
        </w:rPr>
      </w:pPr>
    </w:p>
    <w:p w14:paraId="49A57FCC">
      <w:pPr>
        <w:spacing w:line="360" w:lineRule="auto"/>
        <w:ind w:left="1617" w:leftChars="286" w:hanging="1016"/>
        <w:rPr>
          <w:rFonts w:ascii="黑体" w:hAnsi="Times New Roman" w:eastAsia="黑体" w:cs="Times New Roman"/>
          <w:b/>
          <w:bCs/>
          <w:color w:val="auto"/>
          <w:sz w:val="36"/>
          <w:szCs w:val="24"/>
          <w:highlight w:val="none"/>
        </w:rPr>
      </w:pPr>
    </w:p>
    <w:p w14:paraId="63498E2E">
      <w:pPr>
        <w:spacing w:line="360" w:lineRule="auto"/>
        <w:ind w:left="1275" w:leftChars="286" w:hanging="674"/>
        <w:jc w:val="center"/>
        <w:rPr>
          <w:rFonts w:ascii="宋体" w:hAnsi="Times New Roman" w:eastAsia="宋体" w:cs="Times New Roman"/>
          <w:color w:val="auto"/>
          <w:sz w:val="24"/>
          <w:szCs w:val="24"/>
          <w:highlight w:val="none"/>
        </w:rPr>
      </w:pPr>
    </w:p>
    <w:p w14:paraId="6527B9EA">
      <w:pPr>
        <w:spacing w:line="360" w:lineRule="auto"/>
        <w:ind w:left="1275" w:leftChars="286" w:hanging="674"/>
        <w:jc w:val="center"/>
        <w:rPr>
          <w:rFonts w:hint="eastAsia" w:ascii="宋体" w:hAnsi="Times New Roman" w:eastAsia="宋体" w:cs="Times New Roman"/>
          <w:color w:val="auto"/>
          <w:sz w:val="24"/>
          <w:szCs w:val="24"/>
          <w:highlight w:val="none"/>
        </w:rPr>
      </w:pPr>
    </w:p>
    <w:p w14:paraId="4F3F5E43">
      <w:pPr>
        <w:spacing w:line="360" w:lineRule="auto"/>
        <w:ind w:left="1275" w:leftChars="286" w:hanging="674"/>
        <w:jc w:val="center"/>
        <w:rPr>
          <w:rFonts w:ascii="宋体" w:hAnsi="Times New Roman" w:eastAsia="宋体" w:cs="Times New Roman"/>
          <w:color w:val="auto"/>
          <w:sz w:val="24"/>
          <w:szCs w:val="24"/>
          <w:highlight w:val="none"/>
        </w:rPr>
      </w:pPr>
    </w:p>
    <w:p w14:paraId="32EC12DA">
      <w:pPr>
        <w:spacing w:line="360" w:lineRule="auto"/>
        <w:ind w:left="1275" w:leftChars="286" w:hanging="674"/>
        <w:jc w:val="center"/>
        <w:rPr>
          <w:rFonts w:ascii="宋体" w:hAnsi="Times New Roman" w:eastAsia="宋体" w:cs="Times New Roman"/>
          <w:color w:val="auto"/>
          <w:sz w:val="24"/>
          <w:szCs w:val="24"/>
          <w:highlight w:val="none"/>
        </w:rPr>
      </w:pPr>
    </w:p>
    <w:p w14:paraId="1BA72FAD">
      <w:pPr>
        <w:spacing w:line="360" w:lineRule="auto"/>
        <w:ind w:left="59" w:leftChars="28" w:firstLine="1303" w:firstLineChars="543"/>
        <w:rPr>
          <w:rFonts w:ascii="宋体" w:hAnsi="Times New Roman" w:eastAsia="宋体" w:cs="Times New Roman"/>
          <w:color w:val="auto"/>
          <w:sz w:val="24"/>
          <w:szCs w:val="24"/>
          <w:highlight w:val="none"/>
        </w:rPr>
      </w:pPr>
    </w:p>
    <w:p w14:paraId="70BF09EB">
      <w:pPr>
        <w:spacing w:line="360" w:lineRule="auto"/>
        <w:ind w:left="59" w:leftChars="28" w:firstLine="1303" w:firstLineChars="543"/>
        <w:rPr>
          <w:rFonts w:ascii="宋体" w:hAnsi="Times New Roman" w:eastAsia="宋体" w:cs="Times New Roman"/>
          <w:color w:val="auto"/>
          <w:sz w:val="24"/>
          <w:szCs w:val="24"/>
          <w:highlight w:val="none"/>
        </w:rPr>
      </w:pPr>
    </w:p>
    <w:p w14:paraId="456E4A08">
      <w:pPr>
        <w:spacing w:line="360" w:lineRule="auto"/>
        <w:ind w:left="59" w:leftChars="28" w:firstLine="1303" w:firstLineChars="543"/>
        <w:rPr>
          <w:rFonts w:ascii="宋体" w:hAnsi="Times New Roman" w:eastAsia="宋体" w:cs="Times New Roman"/>
          <w:color w:val="auto"/>
          <w:sz w:val="24"/>
          <w:szCs w:val="24"/>
          <w:highlight w:val="none"/>
        </w:rPr>
      </w:pPr>
    </w:p>
    <w:p w14:paraId="6D23E059">
      <w:pPr>
        <w:spacing w:line="360" w:lineRule="auto"/>
        <w:ind w:left="59" w:leftChars="28" w:firstLine="1303" w:firstLineChars="543"/>
        <w:rPr>
          <w:rFonts w:ascii="宋体" w:hAnsi="Times New Roman" w:eastAsia="宋体" w:cs="Times New Roman"/>
          <w:color w:val="auto"/>
          <w:sz w:val="24"/>
          <w:szCs w:val="24"/>
          <w:highlight w:val="none"/>
        </w:rPr>
      </w:pPr>
    </w:p>
    <w:p w14:paraId="79020C1B">
      <w:pPr>
        <w:spacing w:line="360" w:lineRule="auto"/>
        <w:ind w:left="59" w:leftChars="28" w:firstLine="1303" w:firstLineChars="543"/>
        <w:rPr>
          <w:rFonts w:ascii="宋体" w:hAnsi="Times New Roman" w:eastAsia="宋体" w:cs="Times New Roman"/>
          <w:color w:val="auto"/>
          <w:sz w:val="24"/>
          <w:szCs w:val="24"/>
          <w:highlight w:val="none"/>
        </w:rPr>
      </w:pPr>
    </w:p>
    <w:p w14:paraId="6B068E02">
      <w:pPr>
        <w:spacing w:line="360" w:lineRule="auto"/>
        <w:ind w:left="59" w:leftChars="28" w:firstLine="1303" w:firstLineChars="543"/>
        <w:rPr>
          <w:rFonts w:ascii="宋体" w:hAnsi="Times New Roman" w:eastAsia="宋体" w:cs="Times New Roman"/>
          <w:color w:val="auto"/>
          <w:sz w:val="24"/>
          <w:szCs w:val="24"/>
          <w:highlight w:val="none"/>
        </w:rPr>
      </w:pPr>
    </w:p>
    <w:p w14:paraId="594BC6E1">
      <w:pPr>
        <w:spacing w:line="360" w:lineRule="auto"/>
        <w:ind w:left="59" w:leftChars="28" w:firstLine="1303" w:firstLineChars="543"/>
        <w:rPr>
          <w:rFonts w:ascii="宋体" w:hAnsi="Times New Roman" w:eastAsia="宋体" w:cs="Times New Roman"/>
          <w:color w:val="auto"/>
          <w:sz w:val="24"/>
          <w:szCs w:val="24"/>
          <w:highlight w:val="none"/>
        </w:rPr>
      </w:pPr>
    </w:p>
    <w:p w14:paraId="0DB174D2">
      <w:pPr>
        <w:spacing w:line="360" w:lineRule="auto"/>
        <w:ind w:left="59" w:leftChars="28" w:firstLine="1303" w:firstLineChars="543"/>
        <w:rPr>
          <w:rFonts w:ascii="宋体" w:hAnsi="Times New Roman" w:eastAsia="宋体" w:cs="Times New Roman"/>
          <w:color w:val="auto"/>
          <w:sz w:val="24"/>
          <w:szCs w:val="24"/>
          <w:highlight w:val="none"/>
        </w:rPr>
      </w:pPr>
    </w:p>
    <w:p w14:paraId="631D09CB">
      <w:pPr>
        <w:spacing w:line="360" w:lineRule="auto"/>
        <w:ind w:left="59" w:leftChars="28" w:firstLine="1303" w:firstLineChars="543"/>
        <w:rPr>
          <w:rFonts w:ascii="宋体" w:hAnsi="Times New Roman" w:eastAsia="宋体" w:cs="Times New Roman"/>
          <w:color w:val="auto"/>
          <w:sz w:val="24"/>
          <w:szCs w:val="24"/>
          <w:highlight w:val="none"/>
        </w:rPr>
      </w:pPr>
    </w:p>
    <w:p w14:paraId="45AA5FF2">
      <w:pPr>
        <w:spacing w:line="360" w:lineRule="auto"/>
        <w:ind w:left="59" w:leftChars="28" w:firstLine="1303" w:firstLineChars="543"/>
        <w:rPr>
          <w:rFonts w:ascii="宋体" w:hAnsi="Times New Roman" w:eastAsia="宋体" w:cs="Times New Roman"/>
          <w:color w:val="auto"/>
          <w:sz w:val="24"/>
          <w:szCs w:val="24"/>
          <w:highlight w:val="none"/>
        </w:rPr>
      </w:pPr>
    </w:p>
    <w:p w14:paraId="3CBD1801">
      <w:pPr>
        <w:spacing w:line="360" w:lineRule="auto"/>
        <w:ind w:left="59" w:leftChars="28" w:firstLine="1303" w:firstLineChars="543"/>
        <w:rPr>
          <w:rFonts w:ascii="宋体" w:hAnsi="Times New Roman" w:eastAsia="宋体" w:cs="Times New Roman"/>
          <w:color w:val="auto"/>
          <w:sz w:val="24"/>
          <w:szCs w:val="24"/>
          <w:highlight w:val="none"/>
        </w:rPr>
      </w:pPr>
    </w:p>
    <w:p w14:paraId="68BF8A2D">
      <w:pPr>
        <w:spacing w:line="360" w:lineRule="auto"/>
        <w:ind w:left="59" w:leftChars="28" w:firstLine="1303" w:firstLineChars="543"/>
        <w:rPr>
          <w:rFonts w:ascii="宋体" w:hAnsi="Times New Roman" w:eastAsia="宋体" w:cs="Times New Roman"/>
          <w:color w:val="auto"/>
          <w:sz w:val="24"/>
          <w:szCs w:val="24"/>
          <w:highlight w:val="none"/>
        </w:rPr>
      </w:pPr>
    </w:p>
    <w:p w14:paraId="750E47E9">
      <w:pPr>
        <w:spacing w:line="360" w:lineRule="auto"/>
        <w:ind w:left="59" w:leftChars="28" w:firstLine="1303" w:firstLineChars="543"/>
        <w:rPr>
          <w:rFonts w:ascii="宋体" w:hAnsi="Times New Roman" w:eastAsia="宋体" w:cs="Times New Roman"/>
          <w:color w:val="auto"/>
          <w:sz w:val="24"/>
          <w:szCs w:val="24"/>
          <w:highlight w:val="none"/>
        </w:rPr>
      </w:pPr>
    </w:p>
    <w:p w14:paraId="2E44E00A">
      <w:pPr>
        <w:spacing w:line="360" w:lineRule="auto"/>
        <w:ind w:left="59" w:leftChars="28" w:firstLine="1303" w:firstLineChars="543"/>
        <w:rPr>
          <w:rFonts w:ascii="宋体" w:hAnsi="Times New Roman" w:eastAsia="宋体" w:cs="Times New Roman"/>
          <w:color w:val="auto"/>
          <w:sz w:val="24"/>
          <w:szCs w:val="24"/>
          <w:highlight w:val="none"/>
        </w:rPr>
      </w:pPr>
    </w:p>
    <w:p w14:paraId="247EE614">
      <w:pPr>
        <w:spacing w:line="360" w:lineRule="auto"/>
        <w:ind w:left="59" w:leftChars="28" w:firstLine="1303" w:firstLineChars="543"/>
        <w:rPr>
          <w:rFonts w:ascii="宋体" w:hAnsi="Times New Roman" w:eastAsia="宋体" w:cs="Times New Roman"/>
          <w:color w:val="auto"/>
          <w:sz w:val="24"/>
          <w:szCs w:val="24"/>
          <w:highlight w:val="none"/>
        </w:rPr>
      </w:pPr>
    </w:p>
    <w:p w14:paraId="0993CE5A">
      <w:pPr>
        <w:spacing w:line="360" w:lineRule="auto"/>
        <w:ind w:left="59" w:leftChars="28" w:firstLine="1303" w:firstLineChars="543"/>
        <w:rPr>
          <w:rFonts w:ascii="宋体" w:hAnsi="Times New Roman" w:eastAsia="宋体" w:cs="Times New Roman"/>
          <w:color w:val="auto"/>
          <w:sz w:val="24"/>
          <w:szCs w:val="24"/>
          <w:highlight w:val="none"/>
        </w:rPr>
      </w:pPr>
    </w:p>
    <w:p w14:paraId="4D6F03D3">
      <w:pPr>
        <w:spacing w:line="360" w:lineRule="auto"/>
        <w:ind w:left="658" w:hanging="658" w:hangingChars="273"/>
        <w:rPr>
          <w:rFonts w:ascii="宋体" w:hAnsi="Times New Roman" w:eastAsia="宋体" w:cs="Times New Roman"/>
          <w:b/>
          <w:bCs/>
          <w:color w:val="auto"/>
          <w:sz w:val="24"/>
          <w:szCs w:val="24"/>
          <w:highlight w:val="none"/>
        </w:rPr>
      </w:pPr>
      <w:r>
        <w:rPr>
          <w:rFonts w:hint="eastAsia" w:ascii="宋体" w:hAnsi="Times New Roman" w:eastAsia="宋体" w:cs="Times New Roman"/>
          <w:b/>
          <w:bCs/>
          <w:color w:val="auto"/>
          <w:sz w:val="24"/>
          <w:szCs w:val="24"/>
          <w:highlight w:val="none"/>
        </w:rPr>
        <w:t>目录</w:t>
      </w:r>
    </w:p>
    <w:p w14:paraId="79A4933F">
      <w:pPr>
        <w:spacing w:line="360" w:lineRule="auto"/>
        <w:ind w:left="658" w:hanging="658" w:hangingChars="273"/>
        <w:rPr>
          <w:rFonts w:ascii="宋体" w:hAnsi="Times New Roman" w:eastAsia="宋体" w:cs="Times New Roman"/>
          <w:b/>
          <w:bCs/>
          <w:color w:val="auto"/>
          <w:sz w:val="24"/>
          <w:szCs w:val="24"/>
          <w:highlight w:val="none"/>
        </w:rPr>
      </w:pPr>
      <w:r>
        <w:rPr>
          <w:rFonts w:hint="eastAsia" w:ascii="宋体" w:hAnsi="Times New Roman" w:eastAsia="宋体" w:cs="Times New Roman"/>
          <w:b/>
          <w:bCs/>
          <w:color w:val="auto"/>
          <w:sz w:val="24"/>
          <w:szCs w:val="24"/>
          <w:highlight w:val="none"/>
        </w:rPr>
        <w:t>一、项目概况</w:t>
      </w:r>
    </w:p>
    <w:p w14:paraId="4453A47B">
      <w:pPr>
        <w:spacing w:line="360" w:lineRule="auto"/>
        <w:ind w:left="655" w:hanging="655" w:hangingChars="273"/>
        <w:rPr>
          <w:rFonts w:ascii="宋体" w:hAnsi="Times New Roman" w:eastAsia="宋体" w:cs="Times New Roman"/>
          <w:color w:val="auto"/>
          <w:sz w:val="24"/>
          <w:szCs w:val="24"/>
          <w:highlight w:val="none"/>
        </w:rPr>
      </w:pPr>
      <w:r>
        <w:rPr>
          <w:rFonts w:hint="eastAsia" w:ascii="宋体" w:hAnsi="Times New Roman" w:eastAsia="宋体" w:cs="Times New Roman"/>
          <w:color w:val="auto"/>
          <w:sz w:val="24"/>
          <w:szCs w:val="24"/>
          <w:highlight w:val="none"/>
        </w:rPr>
        <w:t>1.1区位介绍</w:t>
      </w:r>
    </w:p>
    <w:p w14:paraId="17D96845">
      <w:pPr>
        <w:spacing w:line="360" w:lineRule="auto"/>
        <w:ind w:left="655" w:hanging="655" w:hangingChars="273"/>
        <w:rPr>
          <w:rFonts w:ascii="宋体" w:hAnsi="Times New Roman" w:eastAsia="宋体" w:cs="Times New Roman"/>
          <w:color w:val="auto"/>
          <w:sz w:val="24"/>
          <w:szCs w:val="24"/>
          <w:highlight w:val="none"/>
        </w:rPr>
      </w:pPr>
      <w:r>
        <w:rPr>
          <w:rFonts w:hint="eastAsia" w:ascii="宋体" w:hAnsi="Times New Roman" w:eastAsia="宋体" w:cs="Times New Roman"/>
          <w:color w:val="auto"/>
          <w:sz w:val="24"/>
          <w:szCs w:val="24"/>
          <w:highlight w:val="none"/>
        </w:rPr>
        <w:t>1.2用地范围</w:t>
      </w:r>
    </w:p>
    <w:p w14:paraId="791C1AC3">
      <w:pPr>
        <w:spacing w:line="360" w:lineRule="auto"/>
        <w:ind w:left="658" w:hanging="658" w:hangingChars="273"/>
        <w:rPr>
          <w:rFonts w:ascii="宋体" w:hAnsi="Times New Roman" w:eastAsia="宋体" w:cs="Times New Roman"/>
          <w:b/>
          <w:bCs/>
          <w:color w:val="auto"/>
          <w:sz w:val="24"/>
          <w:szCs w:val="24"/>
          <w:highlight w:val="none"/>
        </w:rPr>
      </w:pPr>
      <w:r>
        <w:rPr>
          <w:rFonts w:hint="eastAsia" w:ascii="宋体" w:hAnsi="Times New Roman" w:eastAsia="宋体" w:cs="Times New Roman"/>
          <w:b/>
          <w:bCs/>
          <w:color w:val="auto"/>
          <w:sz w:val="24"/>
          <w:szCs w:val="24"/>
          <w:highlight w:val="none"/>
        </w:rPr>
        <w:t>二、设计输入条件</w:t>
      </w:r>
    </w:p>
    <w:p w14:paraId="25A7334D">
      <w:pPr>
        <w:spacing w:line="360" w:lineRule="auto"/>
        <w:ind w:left="655" w:hanging="655" w:hangingChars="273"/>
        <w:rPr>
          <w:rFonts w:ascii="宋体" w:hAnsi="Times New Roman" w:eastAsia="宋体" w:cs="Times New Roman"/>
          <w:color w:val="auto"/>
          <w:sz w:val="24"/>
          <w:szCs w:val="24"/>
          <w:highlight w:val="none"/>
        </w:rPr>
      </w:pPr>
      <w:r>
        <w:rPr>
          <w:rFonts w:hint="eastAsia" w:ascii="宋体" w:hAnsi="Times New Roman" w:eastAsia="宋体" w:cs="Times New Roman"/>
          <w:color w:val="auto"/>
          <w:sz w:val="24"/>
          <w:szCs w:val="24"/>
          <w:highlight w:val="none"/>
        </w:rPr>
        <w:t>2.1用地规划指标</w:t>
      </w:r>
    </w:p>
    <w:p w14:paraId="361E32C5">
      <w:pPr>
        <w:spacing w:line="360" w:lineRule="auto"/>
        <w:ind w:left="655" w:hanging="655" w:hangingChars="273"/>
        <w:rPr>
          <w:rFonts w:ascii="宋体" w:hAnsi="Times New Roman" w:eastAsia="宋体" w:cs="Times New Roman"/>
          <w:color w:val="auto"/>
          <w:sz w:val="24"/>
          <w:szCs w:val="24"/>
          <w:highlight w:val="none"/>
        </w:rPr>
      </w:pPr>
      <w:r>
        <w:rPr>
          <w:rFonts w:hint="eastAsia" w:ascii="宋体" w:hAnsi="Times New Roman" w:eastAsia="宋体" w:cs="Times New Roman"/>
          <w:color w:val="auto"/>
          <w:sz w:val="24"/>
          <w:szCs w:val="24"/>
          <w:highlight w:val="none"/>
        </w:rPr>
        <w:t xml:space="preserve">2.2基础图纸资料 </w:t>
      </w:r>
    </w:p>
    <w:p w14:paraId="64548696">
      <w:pPr>
        <w:spacing w:line="360" w:lineRule="auto"/>
        <w:ind w:left="655" w:hanging="655" w:hangingChars="273"/>
        <w:rPr>
          <w:rFonts w:ascii="宋体" w:hAnsi="Times New Roman" w:eastAsia="宋体" w:cs="Times New Roman"/>
          <w:color w:val="auto"/>
          <w:sz w:val="24"/>
          <w:szCs w:val="24"/>
          <w:highlight w:val="none"/>
        </w:rPr>
      </w:pPr>
      <w:r>
        <w:rPr>
          <w:rFonts w:hint="eastAsia" w:ascii="宋体" w:hAnsi="Times New Roman" w:eastAsia="宋体" w:cs="Times New Roman"/>
          <w:color w:val="auto"/>
          <w:sz w:val="24"/>
          <w:szCs w:val="24"/>
          <w:highlight w:val="none"/>
        </w:rPr>
        <w:t>2.3规范和标准</w:t>
      </w:r>
    </w:p>
    <w:p w14:paraId="46B2846E">
      <w:pPr>
        <w:spacing w:line="360" w:lineRule="auto"/>
        <w:ind w:left="655" w:hanging="655" w:hangingChars="273"/>
        <w:rPr>
          <w:rFonts w:ascii="宋体" w:hAnsi="Times New Roman" w:eastAsia="宋体" w:cs="Times New Roman"/>
          <w:color w:val="auto"/>
          <w:sz w:val="24"/>
          <w:szCs w:val="24"/>
          <w:highlight w:val="none"/>
        </w:rPr>
      </w:pPr>
      <w:r>
        <w:rPr>
          <w:rFonts w:hint="eastAsia" w:ascii="宋体" w:hAnsi="Times New Roman" w:eastAsia="宋体" w:cs="Times New Roman"/>
          <w:color w:val="auto"/>
          <w:sz w:val="24"/>
          <w:szCs w:val="24"/>
          <w:highlight w:val="none"/>
        </w:rPr>
        <w:t>2.4项目定位报告</w:t>
      </w:r>
    </w:p>
    <w:p w14:paraId="0EC807D6">
      <w:pPr>
        <w:spacing w:line="360" w:lineRule="auto"/>
        <w:ind w:left="655" w:hanging="655" w:hangingChars="273"/>
        <w:rPr>
          <w:rFonts w:hint="eastAsia" w:ascii="宋体" w:hAnsi="Times New Roman" w:eastAsia="宋体" w:cs="Times New Roman"/>
          <w:color w:val="auto"/>
          <w:sz w:val="24"/>
          <w:szCs w:val="24"/>
          <w:highlight w:val="none"/>
        </w:rPr>
      </w:pPr>
      <w:r>
        <w:rPr>
          <w:rFonts w:hint="eastAsia" w:ascii="宋体" w:hAnsi="Times New Roman" w:eastAsia="宋体" w:cs="Times New Roman"/>
          <w:color w:val="auto"/>
          <w:sz w:val="24"/>
          <w:szCs w:val="24"/>
          <w:highlight w:val="none"/>
        </w:rPr>
        <w:t>2.5项目目标成本资料</w:t>
      </w:r>
    </w:p>
    <w:p w14:paraId="4A34A5E4">
      <w:pPr>
        <w:spacing w:line="360" w:lineRule="auto"/>
        <w:ind w:left="658" w:hanging="658" w:hangingChars="273"/>
        <w:rPr>
          <w:rFonts w:hint="eastAsia" w:ascii="宋体" w:hAnsi="Times New Roman" w:eastAsia="宋体" w:cs="Times New Roman"/>
          <w:b/>
          <w:bCs/>
          <w:color w:val="auto"/>
          <w:sz w:val="24"/>
          <w:szCs w:val="24"/>
          <w:highlight w:val="none"/>
          <w:lang w:val="en-US" w:eastAsia="zh-CN"/>
        </w:rPr>
      </w:pPr>
      <w:r>
        <w:rPr>
          <w:rFonts w:hint="eastAsia" w:ascii="宋体" w:hAnsi="Times New Roman" w:eastAsia="宋体" w:cs="Times New Roman"/>
          <w:b/>
          <w:bCs/>
          <w:color w:val="auto"/>
          <w:sz w:val="24"/>
          <w:szCs w:val="24"/>
          <w:highlight w:val="none"/>
          <w:lang w:val="en-US" w:eastAsia="zh-CN"/>
        </w:rPr>
        <w:t>三、设计合同范围及工作内容</w:t>
      </w:r>
    </w:p>
    <w:p w14:paraId="7CE28521">
      <w:pPr>
        <w:spacing w:line="360" w:lineRule="auto"/>
        <w:ind w:left="655" w:hanging="655" w:hangingChars="273"/>
        <w:rPr>
          <w:rFonts w:ascii="宋体" w:hAnsi="Times New Roman" w:eastAsia="宋体" w:cs="Times New Roman"/>
          <w:color w:val="auto"/>
          <w:sz w:val="24"/>
          <w:szCs w:val="24"/>
          <w:highlight w:val="none"/>
        </w:rPr>
      </w:pPr>
      <w:r>
        <w:rPr>
          <w:rFonts w:hint="eastAsia" w:ascii="宋体" w:hAnsi="Times New Roman" w:eastAsia="宋体" w:cs="Times New Roman"/>
          <w:color w:val="auto"/>
          <w:sz w:val="24"/>
          <w:szCs w:val="24"/>
          <w:highlight w:val="none"/>
        </w:rPr>
        <w:t>3.1本次设计服务范围</w:t>
      </w:r>
    </w:p>
    <w:p w14:paraId="10C1EDDA">
      <w:pPr>
        <w:spacing w:line="360" w:lineRule="auto"/>
        <w:ind w:left="655" w:hanging="655" w:hangingChars="273"/>
        <w:rPr>
          <w:rFonts w:hint="eastAsia" w:ascii="宋体" w:hAnsi="Times New Roman" w:eastAsia="宋体" w:cs="Times New Roman"/>
          <w:color w:val="auto"/>
          <w:sz w:val="24"/>
          <w:szCs w:val="24"/>
          <w:highlight w:val="none"/>
        </w:rPr>
      </w:pPr>
      <w:r>
        <w:rPr>
          <w:rFonts w:hint="eastAsia" w:ascii="宋体" w:hAnsi="Times New Roman" w:eastAsia="宋体" w:cs="Times New Roman"/>
          <w:color w:val="auto"/>
          <w:sz w:val="24"/>
          <w:szCs w:val="24"/>
          <w:highlight w:val="none"/>
        </w:rPr>
        <w:t>3.2工作内容</w:t>
      </w:r>
    </w:p>
    <w:p w14:paraId="4011DBAF">
      <w:pPr>
        <w:spacing w:line="360" w:lineRule="auto"/>
        <w:ind w:left="658" w:hanging="658" w:hangingChars="273"/>
        <w:rPr>
          <w:rFonts w:hint="eastAsia" w:ascii="宋体" w:hAnsi="Times New Roman" w:eastAsia="宋体" w:cs="Times New Roman"/>
          <w:b/>
          <w:bCs/>
          <w:color w:val="auto"/>
          <w:sz w:val="24"/>
          <w:szCs w:val="24"/>
          <w:highlight w:val="none"/>
          <w:lang w:val="en-US" w:eastAsia="zh-CN"/>
        </w:rPr>
      </w:pPr>
      <w:r>
        <w:rPr>
          <w:rFonts w:hint="eastAsia" w:ascii="宋体" w:hAnsi="Times New Roman" w:eastAsia="宋体" w:cs="Times New Roman"/>
          <w:b/>
          <w:bCs/>
          <w:color w:val="auto"/>
          <w:sz w:val="24"/>
          <w:szCs w:val="24"/>
          <w:highlight w:val="none"/>
          <w:lang w:val="en-US" w:eastAsia="zh-CN"/>
        </w:rPr>
        <w:t>四、工程设计范围、阶段与服务内容</w:t>
      </w:r>
    </w:p>
    <w:p w14:paraId="365499FE">
      <w:pPr>
        <w:spacing w:line="360" w:lineRule="auto"/>
        <w:ind w:left="658" w:hanging="658" w:hangingChars="273"/>
        <w:rPr>
          <w:rFonts w:hint="eastAsia" w:ascii="宋体" w:hAnsi="Times New Roman" w:eastAsia="宋体" w:cs="Times New Roman"/>
          <w:b/>
          <w:bCs/>
          <w:color w:val="auto"/>
          <w:sz w:val="24"/>
          <w:szCs w:val="24"/>
          <w:highlight w:val="none"/>
          <w:lang w:val="en-US" w:eastAsia="zh-CN"/>
        </w:rPr>
      </w:pPr>
      <w:r>
        <w:rPr>
          <w:rFonts w:hint="eastAsia" w:ascii="宋体" w:hAnsi="Times New Roman" w:eastAsia="宋体" w:cs="Times New Roman"/>
          <w:b/>
          <w:bCs/>
          <w:color w:val="auto"/>
          <w:sz w:val="24"/>
          <w:szCs w:val="24"/>
          <w:highlight w:val="none"/>
          <w:lang w:val="en-US" w:eastAsia="zh-CN"/>
        </w:rPr>
        <w:t>五、各阶段、各版次设计成果文件组成及要求</w:t>
      </w:r>
    </w:p>
    <w:p w14:paraId="6D221C5F">
      <w:pPr>
        <w:spacing w:line="360" w:lineRule="auto"/>
        <w:ind w:left="658" w:hanging="658" w:hangingChars="273"/>
        <w:rPr>
          <w:rFonts w:hint="eastAsia" w:ascii="宋体" w:hAnsi="Times New Roman" w:eastAsia="宋体" w:cs="Times New Roman"/>
          <w:b/>
          <w:bCs/>
          <w:color w:val="auto"/>
          <w:sz w:val="24"/>
          <w:szCs w:val="24"/>
          <w:highlight w:val="none"/>
          <w:lang w:val="en-US" w:eastAsia="zh-CN"/>
        </w:rPr>
      </w:pPr>
      <w:r>
        <w:rPr>
          <w:rFonts w:hint="eastAsia" w:ascii="宋体" w:hAnsi="Times New Roman" w:eastAsia="宋体" w:cs="Times New Roman"/>
          <w:b/>
          <w:bCs/>
          <w:color w:val="auto"/>
          <w:sz w:val="24"/>
          <w:szCs w:val="24"/>
          <w:highlight w:val="none"/>
          <w:lang w:val="en-US" w:eastAsia="zh-CN"/>
        </w:rPr>
        <w:t>六、设计错误分类</w:t>
      </w:r>
    </w:p>
    <w:p w14:paraId="59AE7131">
      <w:pPr>
        <w:spacing w:line="360" w:lineRule="auto"/>
        <w:ind w:left="655" w:hanging="655" w:hangingChars="273"/>
        <w:rPr>
          <w:rFonts w:ascii="宋体" w:hAnsi="Times New Roman" w:eastAsia="宋体" w:cs="Times New Roman"/>
          <w:color w:val="auto"/>
          <w:sz w:val="24"/>
          <w:szCs w:val="24"/>
          <w:highlight w:val="none"/>
        </w:rPr>
      </w:pPr>
    </w:p>
    <w:p w14:paraId="7DBB9F49">
      <w:pPr>
        <w:spacing w:line="360" w:lineRule="auto"/>
        <w:ind w:left="655" w:hanging="655" w:hangingChars="273"/>
        <w:rPr>
          <w:rFonts w:ascii="宋体" w:hAnsi="Times New Roman" w:eastAsia="宋体" w:cs="Times New Roman"/>
          <w:color w:val="auto"/>
          <w:sz w:val="24"/>
          <w:szCs w:val="24"/>
          <w:highlight w:val="none"/>
        </w:rPr>
      </w:pPr>
    </w:p>
    <w:p w14:paraId="29D9C9C7">
      <w:pPr>
        <w:spacing w:line="360" w:lineRule="auto"/>
        <w:ind w:left="655" w:hanging="655" w:hangingChars="273"/>
        <w:rPr>
          <w:rFonts w:ascii="宋体" w:hAnsi="Times New Roman" w:eastAsia="宋体" w:cs="Times New Roman"/>
          <w:color w:val="auto"/>
          <w:sz w:val="24"/>
          <w:szCs w:val="24"/>
          <w:highlight w:val="none"/>
        </w:rPr>
      </w:pPr>
    </w:p>
    <w:p w14:paraId="5EB43D1E">
      <w:pPr>
        <w:spacing w:line="360" w:lineRule="auto"/>
        <w:ind w:left="655" w:hanging="655" w:hangingChars="273"/>
        <w:rPr>
          <w:rFonts w:ascii="宋体" w:hAnsi="Times New Roman" w:eastAsia="宋体" w:cs="Times New Roman"/>
          <w:color w:val="auto"/>
          <w:sz w:val="24"/>
          <w:szCs w:val="24"/>
          <w:highlight w:val="none"/>
        </w:rPr>
      </w:pPr>
    </w:p>
    <w:p w14:paraId="7670F626">
      <w:pPr>
        <w:spacing w:line="360" w:lineRule="auto"/>
        <w:ind w:left="655" w:hanging="655" w:hangingChars="273"/>
        <w:rPr>
          <w:rFonts w:ascii="宋体" w:hAnsi="Times New Roman" w:eastAsia="宋体" w:cs="Times New Roman"/>
          <w:color w:val="auto"/>
          <w:sz w:val="24"/>
          <w:szCs w:val="24"/>
          <w:highlight w:val="none"/>
        </w:rPr>
      </w:pPr>
    </w:p>
    <w:p w14:paraId="01976E00">
      <w:pPr>
        <w:spacing w:line="360" w:lineRule="auto"/>
        <w:ind w:left="655" w:hanging="655" w:hangingChars="273"/>
        <w:rPr>
          <w:rFonts w:ascii="宋体" w:hAnsi="Times New Roman" w:eastAsia="宋体" w:cs="Times New Roman"/>
          <w:color w:val="auto"/>
          <w:sz w:val="24"/>
          <w:szCs w:val="24"/>
          <w:highlight w:val="none"/>
        </w:rPr>
      </w:pPr>
    </w:p>
    <w:p w14:paraId="53676712">
      <w:pPr>
        <w:spacing w:line="360" w:lineRule="auto"/>
        <w:ind w:left="655" w:hanging="655" w:hangingChars="273"/>
        <w:rPr>
          <w:rFonts w:ascii="宋体" w:hAnsi="Times New Roman" w:eastAsia="宋体" w:cs="Times New Roman"/>
          <w:color w:val="auto"/>
          <w:sz w:val="24"/>
          <w:szCs w:val="24"/>
          <w:highlight w:val="none"/>
        </w:rPr>
      </w:pPr>
    </w:p>
    <w:p w14:paraId="0B2C5357">
      <w:pPr>
        <w:spacing w:line="360" w:lineRule="auto"/>
        <w:ind w:left="655" w:hanging="655" w:hangingChars="273"/>
        <w:rPr>
          <w:rFonts w:ascii="宋体" w:hAnsi="Times New Roman" w:eastAsia="宋体" w:cs="Times New Roman"/>
          <w:color w:val="auto"/>
          <w:sz w:val="24"/>
          <w:szCs w:val="24"/>
          <w:highlight w:val="none"/>
        </w:rPr>
      </w:pPr>
    </w:p>
    <w:p w14:paraId="74F207E4">
      <w:pPr>
        <w:spacing w:line="360" w:lineRule="auto"/>
        <w:ind w:left="655" w:hanging="655" w:hangingChars="273"/>
        <w:rPr>
          <w:rFonts w:ascii="宋体" w:hAnsi="Times New Roman" w:eastAsia="宋体" w:cs="Times New Roman"/>
          <w:color w:val="auto"/>
          <w:sz w:val="24"/>
          <w:szCs w:val="24"/>
          <w:highlight w:val="none"/>
        </w:rPr>
      </w:pPr>
    </w:p>
    <w:p w14:paraId="0E116C5D">
      <w:pPr>
        <w:spacing w:line="360" w:lineRule="auto"/>
        <w:ind w:left="655" w:hanging="655" w:hangingChars="273"/>
        <w:rPr>
          <w:rFonts w:ascii="宋体" w:hAnsi="Times New Roman" w:eastAsia="宋体" w:cs="Times New Roman"/>
          <w:color w:val="auto"/>
          <w:sz w:val="24"/>
          <w:szCs w:val="24"/>
          <w:highlight w:val="none"/>
        </w:rPr>
      </w:pPr>
    </w:p>
    <w:p w14:paraId="3F4253CA">
      <w:pPr>
        <w:spacing w:line="360" w:lineRule="auto"/>
        <w:ind w:left="655" w:hanging="655" w:hangingChars="273"/>
        <w:rPr>
          <w:rFonts w:ascii="宋体" w:hAnsi="Times New Roman" w:eastAsia="宋体" w:cs="Times New Roman"/>
          <w:color w:val="auto"/>
          <w:sz w:val="24"/>
          <w:szCs w:val="24"/>
          <w:highlight w:val="none"/>
        </w:rPr>
      </w:pPr>
    </w:p>
    <w:p w14:paraId="136C8D9F">
      <w:pPr>
        <w:spacing w:line="360" w:lineRule="auto"/>
        <w:ind w:left="655" w:hanging="655" w:hangingChars="273"/>
        <w:rPr>
          <w:rFonts w:ascii="宋体" w:hAnsi="Times New Roman" w:eastAsia="宋体" w:cs="Times New Roman"/>
          <w:color w:val="auto"/>
          <w:sz w:val="24"/>
          <w:szCs w:val="24"/>
          <w:highlight w:val="none"/>
        </w:rPr>
      </w:pPr>
    </w:p>
    <w:p w14:paraId="453D48BB">
      <w:pPr>
        <w:spacing w:line="360" w:lineRule="auto"/>
        <w:ind w:left="655" w:hanging="655" w:hangingChars="273"/>
        <w:rPr>
          <w:rFonts w:ascii="宋体" w:hAnsi="Times New Roman" w:eastAsia="宋体" w:cs="Times New Roman"/>
          <w:color w:val="auto"/>
          <w:sz w:val="24"/>
          <w:szCs w:val="24"/>
          <w:highlight w:val="none"/>
        </w:rPr>
      </w:pPr>
    </w:p>
    <w:p w14:paraId="6B939770">
      <w:pPr>
        <w:spacing w:line="360" w:lineRule="auto"/>
        <w:ind w:left="655" w:hanging="655" w:hangingChars="273"/>
        <w:rPr>
          <w:rFonts w:hint="eastAsia" w:ascii="宋体" w:hAnsi="Times New Roman" w:eastAsia="宋体" w:cs="Times New Roman"/>
          <w:color w:val="auto"/>
          <w:sz w:val="24"/>
          <w:szCs w:val="24"/>
          <w:highlight w:val="none"/>
        </w:rPr>
      </w:pPr>
    </w:p>
    <w:p w14:paraId="6A657D30">
      <w:pPr>
        <w:spacing w:line="360" w:lineRule="auto"/>
        <w:ind w:left="655" w:hanging="655" w:hangingChars="273"/>
        <w:rPr>
          <w:rFonts w:ascii="宋体" w:hAnsi="Times New Roman" w:eastAsia="宋体" w:cs="Times New Roman"/>
          <w:color w:val="auto"/>
          <w:sz w:val="24"/>
          <w:szCs w:val="24"/>
          <w:highlight w:val="none"/>
        </w:rPr>
      </w:pPr>
    </w:p>
    <w:p w14:paraId="6D074E8E">
      <w:pPr>
        <w:spacing w:line="360" w:lineRule="auto"/>
        <w:ind w:left="658" w:hanging="658" w:hangingChars="273"/>
        <w:rPr>
          <w:rFonts w:ascii="宋体" w:hAnsi="Times New Roman" w:eastAsia="宋体" w:cs="Times New Roman"/>
          <w:b/>
          <w:bCs/>
          <w:color w:val="auto"/>
          <w:sz w:val="24"/>
          <w:szCs w:val="24"/>
          <w:highlight w:val="none"/>
        </w:rPr>
      </w:pPr>
      <w:r>
        <w:rPr>
          <w:rFonts w:hint="eastAsia" w:ascii="宋体" w:hAnsi="Times New Roman" w:eastAsia="宋体" w:cs="Times New Roman"/>
          <w:b/>
          <w:bCs/>
          <w:color w:val="auto"/>
          <w:sz w:val="24"/>
          <w:szCs w:val="24"/>
          <w:highlight w:val="none"/>
        </w:rPr>
        <w:t>一、项目概况</w:t>
      </w:r>
    </w:p>
    <w:p w14:paraId="1031D84D">
      <w:pPr>
        <w:spacing w:line="360" w:lineRule="auto"/>
        <w:ind w:left="658" w:hanging="658" w:hangingChars="273"/>
        <w:rPr>
          <w:rFonts w:ascii="宋体" w:hAnsi="Times New Roman" w:eastAsia="宋体" w:cs="Times New Roman"/>
          <w:color w:val="auto"/>
          <w:sz w:val="24"/>
          <w:szCs w:val="24"/>
          <w:highlight w:val="none"/>
        </w:rPr>
      </w:pPr>
      <w:r>
        <w:rPr>
          <w:rFonts w:hint="eastAsia" w:ascii="Times New Roman" w:hAnsi="Times New Roman" w:eastAsia="宋体" w:cs="Times New Roman"/>
          <w:b/>
          <w:bCs/>
          <w:color w:val="auto"/>
          <w:kern w:val="0"/>
          <w:sz w:val="24"/>
          <w:szCs w:val="24"/>
          <w:highlight w:val="none"/>
        </w:rPr>
        <w:t>1.1</w:t>
      </w:r>
      <w:r>
        <w:rPr>
          <w:rFonts w:hint="eastAsia" w:ascii="宋体" w:hAnsi="Times New Roman" w:eastAsia="宋体" w:cs="Times New Roman"/>
          <w:b/>
          <w:bCs/>
          <w:color w:val="auto"/>
          <w:sz w:val="24"/>
          <w:szCs w:val="24"/>
          <w:highlight w:val="none"/>
        </w:rPr>
        <w:t>区位介绍</w:t>
      </w:r>
    </w:p>
    <w:p w14:paraId="0FD77604">
      <w:pPr>
        <w:keepNext w:val="0"/>
        <w:keepLines w:val="0"/>
        <w:widowControl/>
        <w:suppressLineNumbers w:val="0"/>
        <w:ind w:firstLine="720" w:firstLineChars="300"/>
        <w:jc w:val="left"/>
        <w:rPr>
          <w:rFonts w:hint="eastAsia" w:ascii="宋体" w:hAnsi="Times New Roman" w:eastAsia="宋体" w:cs="Times New Roman"/>
          <w:color w:val="auto"/>
          <w:sz w:val="24"/>
          <w:szCs w:val="24"/>
          <w:highlight w:val="none"/>
        </w:rPr>
      </w:pPr>
      <w:r>
        <w:rPr>
          <w:rFonts w:hint="default" w:ascii="宋体" w:hAnsi="Times New Roman" w:eastAsia="宋体" w:cs="Times New Roman"/>
          <w:color w:val="auto"/>
          <w:sz w:val="24"/>
          <w:szCs w:val="24"/>
          <w:highlight w:val="none"/>
          <w:lang w:val="en-US" w:eastAsia="zh-CN"/>
        </w:rPr>
        <w:t>项目位于</w:t>
      </w:r>
      <w:r>
        <w:rPr>
          <w:rFonts w:hint="eastAsia" w:ascii="宋体" w:hAnsi="Times New Roman" w:eastAsia="宋体" w:cs="Times New Roman"/>
          <w:color w:val="auto"/>
          <w:sz w:val="24"/>
          <w:szCs w:val="24"/>
          <w:highlight w:val="none"/>
          <w:lang w:val="en-US" w:eastAsia="zh-CN"/>
        </w:rPr>
        <w:t>广州市</w:t>
      </w:r>
      <w:r>
        <w:rPr>
          <w:rFonts w:hint="default" w:ascii="宋体" w:hAnsi="Times New Roman" w:eastAsia="宋体" w:cs="Times New Roman"/>
          <w:color w:val="auto"/>
          <w:sz w:val="24"/>
          <w:szCs w:val="24"/>
          <w:highlight w:val="none"/>
          <w:lang w:val="en-US" w:eastAsia="zh-CN"/>
        </w:rPr>
        <w:t>海珠区广州大道南路新源街29号，地处新滘西路与广州大道南交汇处西南角。该项目距离海珠区政府约12公里，距离珠江新城核心区约6公里，距离琶洲西区约 5.5 公里，距离广州南站约 15 公里，距离白云机场约 43 公里。</w:t>
      </w:r>
      <w:r>
        <w:rPr>
          <w:rFonts w:hint="eastAsia" w:ascii="宋体" w:hAnsi="Times New Roman" w:eastAsia="宋体" w:cs="Times New Roman"/>
          <w:color w:val="auto"/>
          <w:sz w:val="24"/>
          <w:szCs w:val="24"/>
          <w:highlight w:val="none"/>
          <w:lang w:val="en-US" w:eastAsia="zh-CN"/>
        </w:rPr>
        <w:t>项目用地南向与海珠湿地上涌生态科学园隔河相望，尽享生态景观资源。</w:t>
      </w:r>
      <w:r>
        <w:rPr>
          <w:rFonts w:hint="eastAsia" w:ascii="宋体" w:hAnsi="Times New Roman" w:eastAsia="宋体" w:cs="Times New Roman"/>
          <w:color w:val="auto"/>
          <w:sz w:val="24"/>
          <w:szCs w:val="24"/>
          <w:highlight w:val="none"/>
        </w:rPr>
        <w:t>距离在建地铁11号线上涌公园站约500米。</w:t>
      </w:r>
    </w:p>
    <w:p w14:paraId="4D0B7785">
      <w:pPr>
        <w:widowControl/>
        <w:ind w:firstLine="480" w:firstLineChars="200"/>
        <w:jc w:val="left"/>
        <w:rPr>
          <w:rFonts w:ascii="宋体" w:hAnsi="Times New Roman" w:eastAsia="宋体" w:cs="Times New Roman"/>
          <w:color w:val="auto"/>
          <w:sz w:val="24"/>
          <w:szCs w:val="24"/>
          <w:highlight w:val="none"/>
        </w:rPr>
      </w:pPr>
    </w:p>
    <w:p w14:paraId="35ABF290">
      <w:pPr>
        <w:spacing w:line="360" w:lineRule="auto"/>
        <w:ind w:left="655" w:hanging="655" w:hangingChars="273"/>
        <w:rPr>
          <w:rFonts w:ascii="宋体" w:hAnsi="Times New Roman" w:eastAsia="宋体" w:cs="Times New Roman"/>
          <w:color w:val="auto"/>
          <w:sz w:val="24"/>
          <w:szCs w:val="24"/>
          <w:highlight w:val="none"/>
          <w:u w:val="single"/>
        </w:rPr>
      </w:pPr>
      <w:r>
        <w:rPr>
          <w:rFonts w:hint="eastAsia" w:ascii="宋体" w:hAnsi="Times New Roman" w:eastAsia="宋体" w:cs="Times New Roman"/>
          <w:color w:val="auto"/>
          <w:sz w:val="24"/>
          <w:szCs w:val="24"/>
          <w:highlight w:val="none"/>
          <w:u w:val="single"/>
        </w:rPr>
        <w:t>附：区位图</w:t>
      </w:r>
    </w:p>
    <w:p w14:paraId="4AFD62E4">
      <w:pPr>
        <w:spacing w:line="360" w:lineRule="auto"/>
        <w:ind w:left="573" w:hanging="573" w:hangingChars="273"/>
        <w:rPr>
          <w:rFonts w:ascii="宋体" w:hAnsi="Times New Roman" w:eastAsia="宋体" w:cs="Times New Roman"/>
          <w:color w:val="auto"/>
          <w:sz w:val="24"/>
          <w:szCs w:val="24"/>
          <w:highlight w:val="none"/>
        </w:rPr>
      </w:pPr>
      <w:r>
        <w:rPr>
          <w:color w:val="auto"/>
          <w:highlight w:val="none"/>
        </w:rPr>
        <w:drawing>
          <wp:inline distT="0" distB="0" distL="0" distR="0">
            <wp:extent cx="4832350" cy="3391535"/>
            <wp:effectExtent l="0" t="0" r="6350" b="1841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4832350" cy="3391535"/>
                    </a:xfrm>
                    <a:prstGeom prst="rect">
                      <a:avLst/>
                    </a:prstGeom>
                  </pic:spPr>
                </pic:pic>
              </a:graphicData>
            </a:graphic>
          </wp:inline>
        </w:drawing>
      </w:r>
    </w:p>
    <w:p w14:paraId="202C0B42">
      <w:pPr>
        <w:spacing w:line="360" w:lineRule="auto"/>
        <w:ind w:left="655" w:hanging="655" w:hangingChars="273"/>
        <w:rPr>
          <w:rFonts w:ascii="宋体" w:hAnsi="Times New Roman" w:eastAsia="宋体" w:cs="Times New Roman"/>
          <w:color w:val="auto"/>
          <w:sz w:val="24"/>
          <w:szCs w:val="24"/>
          <w:highlight w:val="none"/>
          <w:u w:val="single"/>
        </w:rPr>
      </w:pPr>
      <w:r>
        <w:rPr>
          <w:rFonts w:hint="eastAsia" w:ascii="宋体" w:hAnsi="Times New Roman" w:eastAsia="宋体" w:cs="Times New Roman"/>
          <w:color w:val="auto"/>
          <w:sz w:val="24"/>
          <w:szCs w:val="24"/>
          <w:highlight w:val="none"/>
          <w:u w:val="single"/>
        </w:rPr>
        <w:t>附：现状用地交通图</w:t>
      </w:r>
    </w:p>
    <w:p w14:paraId="6C8483A9">
      <w:pPr>
        <w:spacing w:line="360" w:lineRule="auto"/>
        <w:ind w:left="573" w:hanging="573" w:hangingChars="273"/>
        <w:rPr>
          <w:rFonts w:ascii="宋体" w:hAnsi="Times New Roman" w:eastAsia="宋体" w:cs="Times New Roman"/>
          <w:color w:val="auto"/>
          <w:sz w:val="24"/>
          <w:szCs w:val="24"/>
          <w:highlight w:val="none"/>
        </w:rPr>
      </w:pPr>
      <w:r>
        <w:rPr>
          <w:color w:val="auto"/>
          <w:highlight w:val="none"/>
        </w:rPr>
        <w:drawing>
          <wp:inline distT="0" distB="0" distL="0" distR="0">
            <wp:extent cx="4844415" cy="2531745"/>
            <wp:effectExtent l="0" t="0" r="13335" b="190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6"/>
                    <a:stretch>
                      <a:fillRect/>
                    </a:stretch>
                  </pic:blipFill>
                  <pic:spPr>
                    <a:xfrm>
                      <a:off x="0" y="0"/>
                      <a:ext cx="4844415" cy="2531745"/>
                    </a:xfrm>
                    <a:prstGeom prst="rect">
                      <a:avLst/>
                    </a:prstGeom>
                  </pic:spPr>
                </pic:pic>
              </a:graphicData>
            </a:graphic>
          </wp:inline>
        </w:drawing>
      </w:r>
    </w:p>
    <w:p w14:paraId="092E0541">
      <w:pPr>
        <w:pStyle w:val="9"/>
        <w:widowControl/>
        <w:spacing w:before="0" w:beforeAutospacing="0" w:after="0" w:afterAutospacing="0" w:line="360" w:lineRule="auto"/>
        <w:rPr>
          <w:b/>
          <w:bCs/>
          <w:color w:val="auto"/>
          <w:highlight w:val="none"/>
        </w:rPr>
      </w:pPr>
    </w:p>
    <w:p w14:paraId="3FA353CD">
      <w:pPr>
        <w:pStyle w:val="9"/>
        <w:widowControl/>
        <w:spacing w:before="0" w:beforeAutospacing="0" w:after="0" w:afterAutospacing="0" w:line="360" w:lineRule="auto"/>
        <w:rPr>
          <w:b/>
          <w:bCs/>
          <w:color w:val="auto"/>
          <w:highlight w:val="none"/>
        </w:rPr>
      </w:pPr>
      <w:r>
        <w:rPr>
          <w:rFonts w:hint="eastAsia"/>
          <w:b/>
          <w:bCs/>
          <w:color w:val="auto"/>
          <w:highlight w:val="none"/>
        </w:rPr>
        <w:t>1.2</w:t>
      </w:r>
      <w:r>
        <w:rPr>
          <w:b/>
          <w:bCs/>
          <w:color w:val="auto"/>
          <w:highlight w:val="none"/>
        </w:rPr>
        <w:t>用地范围</w:t>
      </w:r>
    </w:p>
    <w:p w14:paraId="705CCB88">
      <w:pPr>
        <w:widowControl/>
        <w:ind w:firstLine="480" w:firstLineChars="200"/>
        <w:jc w:val="left"/>
        <w:rPr>
          <w:rFonts w:ascii="宋体" w:hAnsi="Times New Roman" w:eastAsia="宋体" w:cs="Times New Roman"/>
          <w:color w:val="auto"/>
          <w:sz w:val="24"/>
          <w:szCs w:val="24"/>
          <w:highlight w:val="none"/>
        </w:rPr>
      </w:pPr>
      <w:r>
        <w:rPr>
          <w:rFonts w:hint="eastAsia" w:ascii="宋体" w:hAnsi="Times New Roman" w:eastAsia="宋体" w:cs="Times New Roman"/>
          <w:color w:val="auto"/>
          <w:sz w:val="24"/>
          <w:szCs w:val="24"/>
          <w:highlight w:val="none"/>
        </w:rPr>
        <w:t>地块用地呈菱形，场地内部较为平整，地块南北长约145米，东西面宽约120米，用地北侧与南侧紧邻规划绿地，东侧紧邻广通汽车市场，西侧临广州百安居建筑材料装饰有限公司；用地南侧面向杨湾涌及上涌果树公园，景色较好。用地北侧靠近新滘西路与广州大道南交叉口。</w:t>
      </w:r>
    </w:p>
    <w:p w14:paraId="43FF6AB0">
      <w:pPr>
        <w:pStyle w:val="9"/>
        <w:widowControl/>
        <w:spacing w:before="0" w:beforeAutospacing="0" w:after="0" w:afterAutospacing="0" w:line="360" w:lineRule="auto"/>
        <w:rPr>
          <w:rFonts w:hint="eastAsia"/>
          <w:color w:val="auto"/>
          <w:highlight w:val="none"/>
        </w:rPr>
      </w:pPr>
      <w:r>
        <w:rPr>
          <w:color w:val="auto"/>
          <w:highlight w:val="none"/>
          <w:u w:val="single"/>
        </w:rPr>
        <w:t>附：</w:t>
      </w:r>
      <w:r>
        <w:rPr>
          <w:rFonts w:hint="eastAsia"/>
          <w:color w:val="auto"/>
          <w:highlight w:val="none"/>
          <w:u w:val="single"/>
        </w:rPr>
        <w:t>地块周边现状环境图</w:t>
      </w:r>
    </w:p>
    <w:p w14:paraId="4E43AA9E">
      <w:pPr>
        <w:pStyle w:val="9"/>
        <w:widowControl/>
        <w:spacing w:before="0" w:beforeAutospacing="0" w:after="0" w:afterAutospacing="0" w:line="360" w:lineRule="auto"/>
        <w:rPr>
          <w:color w:val="auto"/>
          <w:highlight w:val="none"/>
        </w:rPr>
      </w:pPr>
      <w:r>
        <w:rPr>
          <w:color w:val="auto"/>
          <w:highlight w:val="none"/>
        </w:rPr>
        <w:drawing>
          <wp:inline distT="0" distB="0" distL="0" distR="0">
            <wp:extent cx="5274310" cy="3223260"/>
            <wp:effectExtent l="0" t="0" r="254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7"/>
                    <a:stretch>
                      <a:fillRect/>
                    </a:stretch>
                  </pic:blipFill>
                  <pic:spPr>
                    <a:xfrm>
                      <a:off x="0" y="0"/>
                      <a:ext cx="5274310" cy="3223260"/>
                    </a:xfrm>
                    <a:prstGeom prst="rect">
                      <a:avLst/>
                    </a:prstGeom>
                  </pic:spPr>
                </pic:pic>
              </a:graphicData>
            </a:graphic>
          </wp:inline>
        </w:drawing>
      </w:r>
    </w:p>
    <w:p w14:paraId="1B6820A7">
      <w:pPr>
        <w:pStyle w:val="9"/>
        <w:widowControl/>
        <w:spacing w:before="0" w:beforeAutospacing="0" w:after="0" w:afterAutospacing="0" w:line="360" w:lineRule="auto"/>
        <w:rPr>
          <w:color w:val="auto"/>
          <w:highlight w:val="none"/>
          <w:u w:val="single"/>
        </w:rPr>
      </w:pPr>
      <w:r>
        <w:rPr>
          <w:rFonts w:hint="eastAsia"/>
          <w:color w:val="auto"/>
          <w:highlight w:val="none"/>
          <w:u w:val="single"/>
        </w:rPr>
        <w:t>附：地块航拍现状附图</w:t>
      </w:r>
    </w:p>
    <w:p w14:paraId="329CE785">
      <w:pPr>
        <w:pStyle w:val="9"/>
        <w:widowControl/>
        <w:spacing w:before="0" w:beforeAutospacing="0" w:after="0" w:afterAutospacing="0" w:line="360" w:lineRule="auto"/>
        <w:rPr>
          <w:color w:val="auto"/>
          <w:highlight w:val="none"/>
        </w:rPr>
      </w:pPr>
      <w:r>
        <w:rPr>
          <w:color w:val="auto"/>
          <w:highlight w:val="none"/>
        </w:rPr>
        <w:drawing>
          <wp:inline distT="0" distB="0" distL="0" distR="0">
            <wp:extent cx="5274310" cy="3155950"/>
            <wp:effectExtent l="0" t="0" r="2540" b="635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8"/>
                    <a:stretch>
                      <a:fillRect/>
                    </a:stretch>
                  </pic:blipFill>
                  <pic:spPr>
                    <a:xfrm>
                      <a:off x="0" y="0"/>
                      <a:ext cx="5274310" cy="3155950"/>
                    </a:xfrm>
                    <a:prstGeom prst="rect">
                      <a:avLst/>
                    </a:prstGeom>
                  </pic:spPr>
                </pic:pic>
              </a:graphicData>
            </a:graphic>
          </wp:inline>
        </w:drawing>
      </w:r>
    </w:p>
    <w:p w14:paraId="427E612A">
      <w:pPr>
        <w:pStyle w:val="9"/>
        <w:widowControl/>
        <w:spacing w:before="0" w:beforeAutospacing="0" w:after="0" w:afterAutospacing="0" w:line="360" w:lineRule="auto"/>
        <w:rPr>
          <w:color w:val="auto"/>
          <w:highlight w:val="none"/>
        </w:rPr>
      </w:pPr>
    </w:p>
    <w:p w14:paraId="41A70AD3">
      <w:pPr>
        <w:pStyle w:val="9"/>
        <w:widowControl/>
        <w:spacing w:before="0" w:beforeAutospacing="0" w:after="0" w:afterAutospacing="0" w:line="360" w:lineRule="auto"/>
        <w:rPr>
          <w:color w:val="auto"/>
          <w:highlight w:val="none"/>
          <w:u w:val="single"/>
        </w:rPr>
      </w:pPr>
      <w:r>
        <w:rPr>
          <w:rFonts w:hint="eastAsia"/>
          <w:color w:val="auto"/>
          <w:highlight w:val="none"/>
          <w:u w:val="single"/>
        </w:rPr>
        <w:t>附：控规附图</w:t>
      </w:r>
    </w:p>
    <w:p w14:paraId="5C054633">
      <w:pPr>
        <w:pStyle w:val="9"/>
        <w:widowControl/>
        <w:spacing w:before="0" w:beforeAutospacing="0" w:after="0" w:afterAutospacing="0" w:line="360" w:lineRule="auto"/>
        <w:rPr>
          <w:color w:val="auto"/>
          <w:highlight w:val="none"/>
        </w:rPr>
      </w:pPr>
      <w:r>
        <w:rPr>
          <w:color w:val="auto"/>
          <w:highlight w:val="none"/>
        </w:rPr>
        <w:drawing>
          <wp:inline distT="0" distB="0" distL="0" distR="0">
            <wp:extent cx="5274310" cy="5178425"/>
            <wp:effectExtent l="0" t="0" r="2540" b="317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9"/>
                    <a:stretch>
                      <a:fillRect/>
                    </a:stretch>
                  </pic:blipFill>
                  <pic:spPr>
                    <a:xfrm>
                      <a:off x="0" y="0"/>
                      <a:ext cx="5274310" cy="5178425"/>
                    </a:xfrm>
                    <a:prstGeom prst="rect">
                      <a:avLst/>
                    </a:prstGeom>
                  </pic:spPr>
                </pic:pic>
              </a:graphicData>
            </a:graphic>
          </wp:inline>
        </w:drawing>
      </w:r>
    </w:p>
    <w:p w14:paraId="3F1296BE">
      <w:pPr>
        <w:pStyle w:val="9"/>
        <w:widowControl/>
        <w:spacing w:before="0" w:beforeAutospacing="0" w:after="0" w:afterAutospacing="0" w:line="360" w:lineRule="auto"/>
        <w:rPr>
          <w:rFonts w:hint="eastAsia"/>
          <w:color w:val="auto"/>
          <w:highlight w:val="none"/>
        </w:rPr>
      </w:pPr>
    </w:p>
    <w:p w14:paraId="5A703642">
      <w:pPr>
        <w:pStyle w:val="9"/>
        <w:widowControl/>
        <w:spacing w:before="0" w:beforeAutospacing="0" w:after="0" w:afterAutospacing="0" w:line="360" w:lineRule="auto"/>
        <w:rPr>
          <w:b/>
          <w:bCs/>
          <w:color w:val="auto"/>
          <w:highlight w:val="none"/>
        </w:rPr>
      </w:pPr>
      <w:r>
        <w:rPr>
          <w:rFonts w:hint="eastAsia"/>
          <w:b/>
          <w:bCs/>
          <w:color w:val="auto"/>
          <w:highlight w:val="none"/>
        </w:rPr>
        <w:t>二、设计输入条件</w:t>
      </w:r>
    </w:p>
    <w:p w14:paraId="33969AB5">
      <w:pPr>
        <w:pStyle w:val="9"/>
        <w:widowControl/>
        <w:spacing w:before="0" w:beforeAutospacing="0" w:after="0" w:afterAutospacing="0" w:line="360" w:lineRule="auto"/>
        <w:rPr>
          <w:b/>
          <w:bCs/>
          <w:color w:val="auto"/>
          <w:highlight w:val="none"/>
        </w:rPr>
      </w:pPr>
      <w:r>
        <w:rPr>
          <w:rFonts w:hint="eastAsia"/>
          <w:b/>
          <w:bCs/>
          <w:color w:val="auto"/>
          <w:highlight w:val="none"/>
        </w:rPr>
        <w:t>2.1用地规划指标</w:t>
      </w:r>
    </w:p>
    <w:p w14:paraId="78118A3F">
      <w:pPr>
        <w:pStyle w:val="9"/>
        <w:widowControl/>
        <w:spacing w:before="0" w:beforeAutospacing="0" w:after="0" w:afterAutospacing="0" w:line="360" w:lineRule="auto"/>
        <w:rPr>
          <w:rFonts w:hint="eastAsia"/>
          <w:color w:val="auto"/>
          <w:highlight w:val="none"/>
        </w:rPr>
      </w:pPr>
      <w:r>
        <w:rPr>
          <w:rFonts w:hint="eastAsia"/>
          <w:color w:val="auto"/>
          <w:highlight w:val="none"/>
        </w:rPr>
        <w:t>项目总用地面积：19544.52㎡。其中可建设用地（AH061308）13638.46㎡；道路用地面积642.95㎡；绿地用地面积5263.11㎡。</w:t>
      </w:r>
    </w:p>
    <w:p w14:paraId="7939ADBF">
      <w:pPr>
        <w:pStyle w:val="9"/>
        <w:widowControl/>
        <w:spacing w:before="0" w:beforeAutospacing="0" w:after="0" w:afterAutospacing="0" w:line="360" w:lineRule="auto"/>
        <w:rPr>
          <w:b/>
          <w:bCs/>
          <w:color w:val="auto"/>
          <w:highlight w:val="none"/>
        </w:rPr>
      </w:pPr>
      <w:r>
        <w:rPr>
          <w:rFonts w:hint="eastAsia"/>
          <w:b/>
          <w:bCs/>
          <w:color w:val="auto"/>
          <w:highlight w:val="none"/>
        </w:rPr>
        <w:t>AH061308地块</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35"/>
        <w:gridCol w:w="4287"/>
      </w:tblGrid>
      <w:tr w14:paraId="4C65A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5" w:type="dxa"/>
          </w:tcPr>
          <w:p w14:paraId="2EA04017">
            <w:pPr>
              <w:pStyle w:val="9"/>
              <w:widowControl/>
              <w:spacing w:before="0" w:beforeAutospacing="0" w:after="0" w:afterAutospacing="0" w:line="360" w:lineRule="auto"/>
              <w:rPr>
                <w:color w:val="auto"/>
                <w:highlight w:val="none"/>
              </w:rPr>
            </w:pPr>
            <w:r>
              <w:rPr>
                <w:rFonts w:hint="eastAsia"/>
                <w:color w:val="auto"/>
                <w:highlight w:val="none"/>
              </w:rPr>
              <w:t>地块编码</w:t>
            </w:r>
          </w:p>
        </w:tc>
        <w:tc>
          <w:tcPr>
            <w:tcW w:w="4287" w:type="dxa"/>
          </w:tcPr>
          <w:p w14:paraId="75C167AC">
            <w:pPr>
              <w:pStyle w:val="9"/>
              <w:widowControl/>
              <w:spacing w:before="0" w:beforeAutospacing="0" w:after="0" w:afterAutospacing="0" w:line="360" w:lineRule="auto"/>
              <w:rPr>
                <w:rFonts w:hint="eastAsia"/>
                <w:color w:val="auto"/>
                <w:highlight w:val="none"/>
              </w:rPr>
            </w:pPr>
            <w:r>
              <w:rPr>
                <w:rFonts w:hint="eastAsia"/>
                <w:color w:val="auto"/>
                <w:highlight w:val="none"/>
              </w:rPr>
              <w:t>AH061308</w:t>
            </w:r>
          </w:p>
        </w:tc>
      </w:tr>
      <w:tr w14:paraId="1B45A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5" w:type="dxa"/>
            <w:shd w:val="clear" w:color="auto" w:fill="auto"/>
          </w:tcPr>
          <w:p w14:paraId="25BB6CF8">
            <w:pPr>
              <w:pStyle w:val="9"/>
              <w:widowControl/>
              <w:spacing w:before="0" w:beforeAutospacing="0" w:after="0" w:afterAutospacing="0" w:line="360" w:lineRule="auto"/>
              <w:rPr>
                <w:color w:val="auto"/>
                <w:highlight w:val="none"/>
              </w:rPr>
            </w:pPr>
            <w:r>
              <w:rPr>
                <w:rFonts w:hint="eastAsia"/>
                <w:color w:val="auto"/>
                <w:highlight w:val="none"/>
              </w:rPr>
              <w:t>用地性质</w:t>
            </w:r>
          </w:p>
        </w:tc>
        <w:tc>
          <w:tcPr>
            <w:tcW w:w="4287" w:type="dxa"/>
            <w:shd w:val="clear" w:color="auto" w:fill="auto"/>
          </w:tcPr>
          <w:p w14:paraId="3A75CACC">
            <w:pPr>
              <w:pStyle w:val="9"/>
              <w:widowControl/>
              <w:spacing w:before="0" w:beforeAutospacing="0" w:after="0" w:afterAutospacing="0" w:line="360" w:lineRule="auto"/>
              <w:rPr>
                <w:color w:val="auto"/>
                <w:highlight w:val="none"/>
              </w:rPr>
            </w:pPr>
            <w:r>
              <w:rPr>
                <w:rFonts w:hint="eastAsia"/>
                <w:color w:val="auto"/>
                <w:highlight w:val="none"/>
              </w:rPr>
              <w:t>C2 商业用地</w:t>
            </w:r>
          </w:p>
        </w:tc>
      </w:tr>
      <w:tr w14:paraId="4880F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5" w:type="dxa"/>
          </w:tcPr>
          <w:p w14:paraId="749C6DF7">
            <w:pPr>
              <w:pStyle w:val="9"/>
              <w:widowControl/>
              <w:spacing w:before="0" w:beforeAutospacing="0" w:after="0" w:afterAutospacing="0" w:line="360" w:lineRule="auto"/>
              <w:rPr>
                <w:color w:val="auto"/>
                <w:highlight w:val="none"/>
              </w:rPr>
            </w:pPr>
            <w:r>
              <w:rPr>
                <w:rFonts w:hint="eastAsia"/>
                <w:color w:val="auto"/>
                <w:highlight w:val="none"/>
              </w:rPr>
              <w:t>总用地面积</w:t>
            </w:r>
          </w:p>
        </w:tc>
        <w:tc>
          <w:tcPr>
            <w:tcW w:w="4287" w:type="dxa"/>
          </w:tcPr>
          <w:p w14:paraId="04901800">
            <w:pPr>
              <w:pStyle w:val="9"/>
              <w:widowControl/>
              <w:spacing w:before="0" w:beforeAutospacing="0" w:after="0" w:afterAutospacing="0" w:line="360" w:lineRule="auto"/>
              <w:rPr>
                <w:color w:val="auto"/>
                <w:highlight w:val="none"/>
              </w:rPr>
            </w:pPr>
            <w:r>
              <w:rPr>
                <w:rFonts w:hint="eastAsia"/>
                <w:color w:val="auto"/>
                <w:highlight w:val="none"/>
              </w:rPr>
              <w:t>13638.46M²</w:t>
            </w:r>
          </w:p>
        </w:tc>
      </w:tr>
      <w:tr w14:paraId="3BAD3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5" w:type="dxa"/>
          </w:tcPr>
          <w:p w14:paraId="7E58F836">
            <w:pPr>
              <w:pStyle w:val="9"/>
              <w:widowControl/>
              <w:spacing w:before="0" w:beforeAutospacing="0" w:after="0" w:afterAutospacing="0" w:line="360" w:lineRule="auto"/>
              <w:rPr>
                <w:color w:val="auto"/>
                <w:highlight w:val="none"/>
              </w:rPr>
            </w:pPr>
            <w:r>
              <w:rPr>
                <w:rFonts w:hint="eastAsia"/>
                <w:color w:val="auto"/>
                <w:highlight w:val="none"/>
              </w:rPr>
              <w:t>容积率</w:t>
            </w:r>
          </w:p>
        </w:tc>
        <w:tc>
          <w:tcPr>
            <w:tcW w:w="4287" w:type="dxa"/>
          </w:tcPr>
          <w:p w14:paraId="725593F7">
            <w:pPr>
              <w:pStyle w:val="9"/>
              <w:widowControl/>
              <w:spacing w:before="0" w:beforeAutospacing="0" w:after="0" w:afterAutospacing="0" w:line="360" w:lineRule="auto"/>
              <w:rPr>
                <w:rFonts w:hint="eastAsia"/>
                <w:color w:val="auto"/>
                <w:highlight w:val="none"/>
              </w:rPr>
            </w:pPr>
            <w:r>
              <w:rPr>
                <w:rFonts w:hint="eastAsia"/>
                <w:color w:val="auto"/>
                <w:highlight w:val="none"/>
              </w:rPr>
              <w:t>≤2.0</w:t>
            </w:r>
          </w:p>
        </w:tc>
      </w:tr>
      <w:tr w14:paraId="31137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5" w:type="dxa"/>
          </w:tcPr>
          <w:p w14:paraId="0FBAC7CC">
            <w:pPr>
              <w:pStyle w:val="9"/>
              <w:widowControl/>
              <w:spacing w:before="0" w:beforeAutospacing="0" w:after="0" w:afterAutospacing="0" w:line="360" w:lineRule="auto"/>
              <w:rPr>
                <w:color w:val="auto"/>
                <w:highlight w:val="none"/>
              </w:rPr>
            </w:pPr>
            <w:r>
              <w:rPr>
                <w:rFonts w:hint="eastAsia"/>
                <w:color w:val="auto"/>
                <w:highlight w:val="none"/>
              </w:rPr>
              <w:t>建筑密度</w:t>
            </w:r>
          </w:p>
        </w:tc>
        <w:tc>
          <w:tcPr>
            <w:tcW w:w="4287" w:type="dxa"/>
          </w:tcPr>
          <w:p w14:paraId="11337CD9">
            <w:pPr>
              <w:pStyle w:val="9"/>
              <w:widowControl/>
              <w:spacing w:before="0" w:beforeAutospacing="0" w:after="0" w:afterAutospacing="0" w:line="360" w:lineRule="auto"/>
              <w:rPr>
                <w:color w:val="auto"/>
                <w:highlight w:val="none"/>
              </w:rPr>
            </w:pPr>
            <w:r>
              <w:rPr>
                <w:rFonts w:hint="eastAsia"/>
                <w:color w:val="auto"/>
                <w:highlight w:val="none"/>
              </w:rPr>
              <w:t>≤45%</w:t>
            </w:r>
          </w:p>
        </w:tc>
      </w:tr>
      <w:tr w14:paraId="60241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5" w:type="dxa"/>
          </w:tcPr>
          <w:p w14:paraId="14FDF382">
            <w:pPr>
              <w:widowControl/>
              <w:jc w:val="left"/>
              <w:rPr>
                <w:rFonts w:ascii="Times New Roman" w:hAnsi="Times New Roman" w:eastAsia="宋体" w:cs="Times New Roman"/>
                <w:color w:val="auto"/>
                <w:kern w:val="0"/>
                <w:sz w:val="24"/>
                <w:szCs w:val="24"/>
                <w:highlight w:val="none"/>
              </w:rPr>
            </w:pPr>
            <w:r>
              <w:rPr>
                <w:rFonts w:hint="eastAsia" w:ascii="Times New Roman" w:hAnsi="Times New Roman" w:eastAsia="宋体" w:cs="Times New Roman"/>
                <w:color w:val="auto"/>
                <w:kern w:val="0"/>
                <w:sz w:val="24"/>
                <w:szCs w:val="24"/>
                <w:highlight w:val="none"/>
              </w:rPr>
              <w:t xml:space="preserve">计算容积率建筑面积 </w:t>
            </w:r>
          </w:p>
        </w:tc>
        <w:tc>
          <w:tcPr>
            <w:tcW w:w="4287" w:type="dxa"/>
          </w:tcPr>
          <w:p w14:paraId="5056AEF8">
            <w:pPr>
              <w:widowControl/>
              <w:jc w:val="left"/>
              <w:rPr>
                <w:rFonts w:ascii="Times New Roman" w:hAnsi="Times New Roman" w:eastAsia="宋体" w:cs="Times New Roman"/>
                <w:color w:val="auto"/>
                <w:kern w:val="0"/>
                <w:sz w:val="24"/>
                <w:szCs w:val="24"/>
                <w:highlight w:val="none"/>
              </w:rPr>
            </w:pPr>
            <w:r>
              <w:rPr>
                <w:rFonts w:hint="eastAsia" w:ascii="Times New Roman" w:hAnsi="Times New Roman" w:eastAsia="宋体" w:cs="Times New Roman"/>
                <w:color w:val="auto"/>
                <w:kern w:val="0"/>
                <w:sz w:val="24"/>
                <w:szCs w:val="24"/>
                <w:highlight w:val="none"/>
              </w:rPr>
              <w:t>≤27276.94M²</w:t>
            </w:r>
          </w:p>
        </w:tc>
      </w:tr>
      <w:tr w14:paraId="1ABFB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5" w:type="dxa"/>
          </w:tcPr>
          <w:p w14:paraId="1B1CC1D4">
            <w:pPr>
              <w:pStyle w:val="9"/>
              <w:widowControl/>
              <w:spacing w:before="0" w:beforeAutospacing="0" w:after="0" w:afterAutospacing="0" w:line="360" w:lineRule="auto"/>
              <w:rPr>
                <w:color w:val="auto"/>
                <w:highlight w:val="none"/>
              </w:rPr>
            </w:pPr>
            <w:r>
              <w:rPr>
                <w:rFonts w:hint="eastAsia"/>
                <w:color w:val="auto"/>
                <w:highlight w:val="none"/>
              </w:rPr>
              <w:t>建筑高度</w:t>
            </w:r>
          </w:p>
        </w:tc>
        <w:tc>
          <w:tcPr>
            <w:tcW w:w="4287" w:type="dxa"/>
          </w:tcPr>
          <w:p w14:paraId="7ED43811">
            <w:pPr>
              <w:widowControl/>
              <w:jc w:val="left"/>
              <w:rPr>
                <w:rFonts w:hint="eastAsia" w:eastAsia="宋体"/>
                <w:color w:val="auto"/>
                <w:highlight w:val="none"/>
              </w:rPr>
            </w:pPr>
            <w:r>
              <w:rPr>
                <w:rFonts w:hint="eastAsia" w:eastAsia="宋体"/>
                <w:color w:val="auto"/>
                <w:highlight w:val="none"/>
              </w:rPr>
              <w:t>建筑限高≤15米</w:t>
            </w:r>
            <w:r>
              <w:rPr>
                <w:rFonts w:hint="eastAsia" w:ascii="Times New Roman" w:hAnsi="Times New Roman" w:eastAsia="宋体" w:cs="Times New Roman"/>
                <w:color w:val="auto"/>
                <w:kern w:val="0"/>
                <w:sz w:val="24"/>
                <w:szCs w:val="24"/>
                <w:highlight w:val="none"/>
              </w:rPr>
              <w:t>（建筑密度的10%以内的局部建筑不超过30米）</w:t>
            </w:r>
          </w:p>
        </w:tc>
      </w:tr>
      <w:tr w14:paraId="7A278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4235" w:type="dxa"/>
          </w:tcPr>
          <w:p w14:paraId="303606DC">
            <w:pPr>
              <w:pStyle w:val="9"/>
              <w:widowControl/>
              <w:spacing w:before="0" w:beforeAutospacing="0" w:after="0" w:afterAutospacing="0" w:line="360" w:lineRule="auto"/>
              <w:rPr>
                <w:color w:val="auto"/>
                <w:highlight w:val="none"/>
              </w:rPr>
            </w:pPr>
            <w:r>
              <w:rPr>
                <w:rFonts w:hint="eastAsia"/>
                <w:color w:val="auto"/>
                <w:highlight w:val="none"/>
              </w:rPr>
              <w:t>建筑间距</w:t>
            </w:r>
          </w:p>
        </w:tc>
        <w:tc>
          <w:tcPr>
            <w:tcW w:w="4287" w:type="dxa"/>
          </w:tcPr>
          <w:p w14:paraId="3EF81E20">
            <w:pPr>
              <w:pStyle w:val="9"/>
              <w:widowControl/>
              <w:spacing w:before="0" w:beforeAutospacing="0" w:after="0" w:afterAutospacing="0" w:line="360" w:lineRule="auto"/>
              <w:rPr>
                <w:color w:val="auto"/>
                <w:highlight w:val="none"/>
              </w:rPr>
            </w:pPr>
            <w:r>
              <w:rPr>
                <w:rFonts w:hint="eastAsia"/>
                <w:color w:val="auto"/>
                <w:highlight w:val="none"/>
              </w:rPr>
              <w:t>按照《广州市城乡规划技术规定》执行。城市设计有特殊规定的按 其执行。</w:t>
            </w:r>
          </w:p>
        </w:tc>
      </w:tr>
      <w:tr w14:paraId="31813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5" w:type="dxa"/>
          </w:tcPr>
          <w:p w14:paraId="27819555">
            <w:pPr>
              <w:pStyle w:val="9"/>
              <w:widowControl/>
              <w:spacing w:before="0" w:beforeAutospacing="0" w:after="0" w:afterAutospacing="0" w:line="360" w:lineRule="auto"/>
              <w:rPr>
                <w:color w:val="auto"/>
                <w:highlight w:val="none"/>
              </w:rPr>
            </w:pPr>
            <w:r>
              <w:rPr>
                <w:rFonts w:hint="eastAsia"/>
                <w:color w:val="auto"/>
                <w:highlight w:val="none"/>
              </w:rPr>
              <w:t>建筑退线要求</w:t>
            </w:r>
          </w:p>
          <w:p w14:paraId="425DF11D">
            <w:pPr>
              <w:pStyle w:val="9"/>
              <w:widowControl/>
              <w:spacing w:before="0" w:beforeAutospacing="0" w:after="0" w:afterAutospacing="0" w:line="360" w:lineRule="auto"/>
              <w:rPr>
                <w:color w:val="auto"/>
                <w:highlight w:val="none"/>
              </w:rPr>
            </w:pPr>
          </w:p>
        </w:tc>
        <w:tc>
          <w:tcPr>
            <w:tcW w:w="4287" w:type="dxa"/>
          </w:tcPr>
          <w:p w14:paraId="1D5634BF">
            <w:pPr>
              <w:pStyle w:val="9"/>
              <w:widowControl/>
              <w:spacing w:before="0" w:beforeAutospacing="0" w:after="0" w:afterAutospacing="0" w:line="360" w:lineRule="auto"/>
              <w:rPr>
                <w:color w:val="auto"/>
                <w:highlight w:val="none"/>
              </w:rPr>
            </w:pPr>
            <w:r>
              <w:rPr>
                <w:rFonts w:hint="eastAsia"/>
                <w:color w:val="auto"/>
                <w:highlight w:val="none"/>
              </w:rPr>
              <w:t>按照《广州市城乡规划技术规定》执行。城市设计有特殊规定的按其执行。</w:t>
            </w:r>
          </w:p>
        </w:tc>
      </w:tr>
      <w:tr w14:paraId="02C99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5" w:type="dxa"/>
          </w:tcPr>
          <w:p w14:paraId="12802F46">
            <w:pPr>
              <w:pStyle w:val="9"/>
              <w:widowControl/>
              <w:spacing w:before="0" w:beforeAutospacing="0" w:after="0" w:afterAutospacing="0" w:line="360" w:lineRule="auto"/>
              <w:rPr>
                <w:color w:val="auto"/>
                <w:highlight w:val="none"/>
              </w:rPr>
            </w:pPr>
            <w:r>
              <w:rPr>
                <w:rFonts w:hint="eastAsia"/>
                <w:color w:val="auto"/>
                <w:highlight w:val="none"/>
              </w:rPr>
              <w:t>绿地率</w:t>
            </w:r>
          </w:p>
        </w:tc>
        <w:tc>
          <w:tcPr>
            <w:tcW w:w="4287" w:type="dxa"/>
          </w:tcPr>
          <w:p w14:paraId="7384A21F">
            <w:pPr>
              <w:pStyle w:val="9"/>
              <w:widowControl/>
              <w:spacing w:before="0" w:beforeAutospacing="0" w:after="0" w:afterAutospacing="0" w:line="360" w:lineRule="auto"/>
              <w:rPr>
                <w:color w:val="auto"/>
                <w:highlight w:val="none"/>
              </w:rPr>
            </w:pPr>
            <w:r>
              <w:rPr>
                <w:rFonts w:hint="eastAsia"/>
                <w:color w:val="auto"/>
                <w:highlight w:val="none"/>
              </w:rPr>
              <w:t>≥30%</w:t>
            </w:r>
          </w:p>
        </w:tc>
      </w:tr>
      <w:tr w14:paraId="12130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5" w:type="dxa"/>
          </w:tcPr>
          <w:p w14:paraId="727C6466">
            <w:pPr>
              <w:pStyle w:val="9"/>
              <w:widowControl/>
              <w:spacing w:before="0" w:beforeAutospacing="0" w:after="0" w:afterAutospacing="0" w:line="360" w:lineRule="auto"/>
              <w:rPr>
                <w:color w:val="auto"/>
                <w:highlight w:val="none"/>
              </w:rPr>
            </w:pPr>
            <w:r>
              <w:rPr>
                <w:rFonts w:hint="eastAsia"/>
                <w:color w:val="auto"/>
                <w:highlight w:val="none"/>
              </w:rPr>
              <w:t>机动车泊位数</w:t>
            </w:r>
          </w:p>
        </w:tc>
        <w:tc>
          <w:tcPr>
            <w:tcW w:w="4287" w:type="dxa"/>
          </w:tcPr>
          <w:p w14:paraId="60903FF3">
            <w:pPr>
              <w:pStyle w:val="9"/>
              <w:widowControl/>
              <w:spacing w:before="0" w:beforeAutospacing="0" w:after="0" w:afterAutospacing="0" w:line="360" w:lineRule="auto"/>
              <w:rPr>
                <w:color w:val="auto"/>
                <w:highlight w:val="none"/>
              </w:rPr>
            </w:pPr>
            <w:r>
              <w:rPr>
                <w:rFonts w:hint="eastAsia"/>
                <w:color w:val="auto"/>
                <w:highlight w:val="none"/>
              </w:rPr>
              <w:t>按照《广州市建设项目停车配建指标规定》执行。城市设计有特殊规定的按其执行。</w:t>
            </w:r>
          </w:p>
        </w:tc>
      </w:tr>
      <w:tr w14:paraId="060BA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5" w:type="dxa"/>
          </w:tcPr>
          <w:p w14:paraId="396B062F">
            <w:pPr>
              <w:pStyle w:val="9"/>
              <w:widowControl/>
              <w:spacing w:before="0" w:beforeAutospacing="0" w:after="0" w:afterAutospacing="0" w:line="360" w:lineRule="auto"/>
              <w:rPr>
                <w:color w:val="auto"/>
                <w:highlight w:val="none"/>
              </w:rPr>
            </w:pPr>
            <w:r>
              <w:rPr>
                <w:rFonts w:hint="eastAsia"/>
                <w:color w:val="auto"/>
                <w:highlight w:val="none"/>
              </w:rPr>
              <w:t>公共服务设施</w:t>
            </w:r>
          </w:p>
        </w:tc>
        <w:tc>
          <w:tcPr>
            <w:tcW w:w="4287" w:type="dxa"/>
          </w:tcPr>
          <w:p w14:paraId="60E2BF3E">
            <w:pPr>
              <w:pStyle w:val="9"/>
              <w:widowControl/>
              <w:spacing w:before="0" w:beforeAutospacing="0" w:after="0" w:afterAutospacing="0" w:line="360" w:lineRule="auto"/>
              <w:rPr>
                <w:color w:val="auto"/>
                <w:highlight w:val="none"/>
              </w:rPr>
            </w:pPr>
            <w:r>
              <w:rPr>
                <w:rFonts w:hint="eastAsia"/>
                <w:color w:val="auto"/>
                <w:highlight w:val="none"/>
              </w:rPr>
              <w:t>公共厕所 （100㎡）</w:t>
            </w:r>
          </w:p>
        </w:tc>
      </w:tr>
      <w:tr w14:paraId="4A325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5" w:type="dxa"/>
          </w:tcPr>
          <w:p w14:paraId="39EC06B5">
            <w:pPr>
              <w:widowControl/>
              <w:jc w:val="left"/>
              <w:rPr>
                <w:rFonts w:ascii="Times New Roman" w:hAnsi="Times New Roman" w:eastAsia="宋体" w:cs="Times New Roman"/>
                <w:color w:val="auto"/>
                <w:kern w:val="0"/>
                <w:sz w:val="24"/>
                <w:szCs w:val="24"/>
                <w:highlight w:val="none"/>
              </w:rPr>
            </w:pPr>
            <w:r>
              <w:rPr>
                <w:rFonts w:hint="eastAsia" w:ascii="Times New Roman" w:hAnsi="Times New Roman" w:eastAsia="宋体" w:cs="Times New Roman"/>
                <w:color w:val="auto"/>
                <w:kern w:val="0"/>
                <w:sz w:val="24"/>
                <w:szCs w:val="24"/>
                <w:highlight w:val="none"/>
              </w:rPr>
              <w:t>市政公用设施</w:t>
            </w:r>
          </w:p>
        </w:tc>
        <w:tc>
          <w:tcPr>
            <w:tcW w:w="4287" w:type="dxa"/>
          </w:tcPr>
          <w:p w14:paraId="44D3B479">
            <w:pPr>
              <w:widowControl/>
              <w:jc w:val="left"/>
              <w:rPr>
                <w:rFonts w:hint="eastAsia" w:eastAsia="宋体"/>
                <w:color w:val="auto"/>
                <w:highlight w:val="none"/>
              </w:rPr>
            </w:pPr>
            <w:r>
              <w:rPr>
                <w:rFonts w:hint="eastAsia" w:ascii="Times New Roman" w:hAnsi="Times New Roman" w:eastAsia="宋体" w:cs="Times New Roman"/>
                <w:color w:val="auto"/>
                <w:kern w:val="0"/>
                <w:sz w:val="24"/>
                <w:szCs w:val="24"/>
                <w:highlight w:val="none"/>
              </w:rPr>
              <w:t>——</w:t>
            </w:r>
          </w:p>
        </w:tc>
      </w:tr>
      <w:tr w14:paraId="5D785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5" w:type="dxa"/>
          </w:tcPr>
          <w:p w14:paraId="47CB83A5">
            <w:pPr>
              <w:pStyle w:val="9"/>
              <w:widowControl/>
              <w:spacing w:before="0" w:beforeAutospacing="0" w:after="0" w:afterAutospacing="0" w:line="360" w:lineRule="auto"/>
              <w:rPr>
                <w:color w:val="auto"/>
                <w:highlight w:val="none"/>
              </w:rPr>
            </w:pPr>
            <w:r>
              <w:rPr>
                <w:rFonts w:hint="eastAsia"/>
                <w:color w:val="auto"/>
                <w:highlight w:val="none"/>
              </w:rPr>
              <w:t>备注</w:t>
            </w:r>
          </w:p>
        </w:tc>
        <w:tc>
          <w:tcPr>
            <w:tcW w:w="4287" w:type="dxa"/>
          </w:tcPr>
          <w:p w14:paraId="135D5F26">
            <w:pPr>
              <w:pStyle w:val="9"/>
              <w:widowControl/>
              <w:spacing w:before="0" w:beforeAutospacing="0" w:after="0" w:afterAutospacing="0" w:line="360" w:lineRule="auto"/>
              <w:rPr>
                <w:color w:val="auto"/>
                <w:highlight w:val="none"/>
              </w:rPr>
            </w:pPr>
            <w:r>
              <w:rPr>
                <w:rFonts w:hint="eastAsia"/>
                <w:color w:val="auto"/>
                <w:highlight w:val="none"/>
              </w:rPr>
              <w:t>1、该项目地块范围内如涉及古树名木及其后续资源，严格按照《广州市绿化条例》《广州市关于科学绿化的实施意见》等规定做好保护措施，具体管理要求以主管部门意见为准。</w:t>
            </w:r>
          </w:p>
          <w:p w14:paraId="3AA25C1E">
            <w:pPr>
              <w:pStyle w:val="9"/>
              <w:widowControl/>
              <w:spacing w:before="0" w:beforeAutospacing="0" w:after="0" w:afterAutospacing="0" w:line="360" w:lineRule="auto"/>
              <w:rPr>
                <w:color w:val="auto"/>
                <w:highlight w:val="none"/>
              </w:rPr>
            </w:pPr>
            <w:r>
              <w:rPr>
                <w:rFonts w:hint="eastAsia"/>
                <w:color w:val="auto"/>
                <w:highlight w:val="none"/>
              </w:rPr>
              <w:t>2、涉及海珠湿地保护范围的，严格按照《广州市湿地保护规定》等要求执行。</w:t>
            </w:r>
          </w:p>
          <w:p w14:paraId="5EFBC308">
            <w:pPr>
              <w:pStyle w:val="9"/>
              <w:widowControl/>
              <w:spacing w:before="0" w:beforeAutospacing="0" w:after="0" w:afterAutospacing="0" w:line="360" w:lineRule="auto"/>
              <w:rPr>
                <w:color w:val="auto"/>
                <w:highlight w:val="none"/>
              </w:rPr>
            </w:pPr>
            <w:r>
              <w:rPr>
                <w:rFonts w:hint="eastAsia"/>
                <w:color w:val="auto"/>
                <w:highlight w:val="none"/>
              </w:rPr>
              <w:t>3、居住用地内独立设置的市政公用设施和公共服务设施必须在规划地块建设总 量（不含上述市政公用设施和公共服务设施）完成 50% 前建设完毕，并取得规划条 件核实意见书。其中，垃圾压缩站、垃圾收集站、再生资源回收站（点）、变电 站、公共厕所、综合医院、消防站、派出所、燃气设施和燃气抢险点、公交首末 站、党群服务中心、雨水调蓄设施等设施应当先于住宅首期工程或者与其同时申请 建设工程规划许可证，并在住宅首期工程预售前先行验收，取得规划条件核实意见 书，城市更新改造的安置房项目经市政府批准的除外。</w:t>
            </w:r>
          </w:p>
          <w:p w14:paraId="0FDD0393">
            <w:pPr>
              <w:pStyle w:val="9"/>
              <w:widowControl/>
              <w:spacing w:before="0" w:beforeAutospacing="0" w:after="0" w:afterAutospacing="0" w:line="360" w:lineRule="auto"/>
              <w:rPr>
                <w:color w:val="auto"/>
                <w:highlight w:val="none"/>
              </w:rPr>
            </w:pPr>
            <w:r>
              <w:rPr>
                <w:rFonts w:hint="eastAsia"/>
                <w:color w:val="auto"/>
                <w:highlight w:val="none"/>
              </w:rPr>
              <w:t>4、用地范围内代征的城市道路、绿地需由建设单位统一实施后，无偿移交政 府相关主管部门管理。</w:t>
            </w:r>
          </w:p>
          <w:p w14:paraId="53B0A54D">
            <w:pPr>
              <w:pStyle w:val="9"/>
              <w:widowControl/>
              <w:spacing w:before="0" w:beforeAutospacing="0" w:after="0" w:afterAutospacing="0" w:line="360" w:lineRule="auto"/>
              <w:rPr>
                <w:rFonts w:hint="eastAsia"/>
                <w:color w:val="auto"/>
                <w:highlight w:val="none"/>
              </w:rPr>
            </w:pPr>
            <w:r>
              <w:rPr>
                <w:rFonts w:hint="eastAsia"/>
                <w:color w:val="auto"/>
                <w:highlight w:val="none"/>
              </w:rPr>
              <w:t>5、临近地块规划设置有一处 地块内设置有一处公共厕所，地块西侧规划设置有一 处公共厕所，地块北侧规划道路局部宽度约17米。 （明确表示建筑区划内以及区 划外直接相邻的市政规划道路位置及宽度、垃圾压缩站、变电站、公共厕所、综合 医院、社区卫生服务中心、卫生站、消防站、派出所、燃气供应站、公交首末站、 肉菜市场等配套设施的用途、具体位置、规模等内容），房地产开发企业销售商品 房时应以书面方式在销售现场显著位置给予公示。</w:t>
            </w:r>
          </w:p>
        </w:tc>
      </w:tr>
    </w:tbl>
    <w:p w14:paraId="4BACCF38">
      <w:pPr>
        <w:pStyle w:val="9"/>
        <w:widowControl/>
        <w:spacing w:before="0" w:beforeAutospacing="0" w:after="0" w:afterAutospacing="0" w:line="360" w:lineRule="auto"/>
        <w:rPr>
          <w:b/>
          <w:bCs/>
          <w:color w:val="auto"/>
          <w:highlight w:val="none"/>
        </w:rPr>
      </w:pPr>
    </w:p>
    <w:p w14:paraId="0350BDD8">
      <w:pPr>
        <w:pStyle w:val="9"/>
        <w:widowControl/>
        <w:spacing w:before="0" w:beforeAutospacing="0" w:after="0" w:afterAutospacing="0" w:line="360" w:lineRule="auto"/>
        <w:rPr>
          <w:color w:val="auto"/>
          <w:highlight w:val="none"/>
        </w:rPr>
      </w:pPr>
      <w:r>
        <w:rPr>
          <w:rFonts w:hint="eastAsia"/>
          <w:b/>
          <w:bCs/>
          <w:color w:val="auto"/>
          <w:highlight w:val="none"/>
        </w:rPr>
        <w:t>2.2基础图纸资料</w:t>
      </w:r>
      <w:r>
        <w:rPr>
          <w:rFonts w:hint="eastAsia"/>
          <w:color w:val="auto"/>
          <w:highlight w:val="none"/>
        </w:rPr>
        <w:t>（包括但不限于）：详附件</w:t>
      </w:r>
    </w:p>
    <w:p w14:paraId="57A0162E">
      <w:pPr>
        <w:pStyle w:val="9"/>
        <w:widowControl/>
        <w:spacing w:before="0" w:beforeAutospacing="0" w:after="0" w:afterAutospacing="0" w:line="360" w:lineRule="auto"/>
        <w:rPr>
          <w:color w:val="auto"/>
          <w:highlight w:val="none"/>
        </w:rPr>
      </w:pPr>
      <w:r>
        <w:rPr>
          <w:rFonts w:hint="eastAsia"/>
          <w:color w:val="auto"/>
          <w:highlight w:val="none"/>
        </w:rPr>
        <w:t>2.2.1   用地红线图；</w:t>
      </w:r>
    </w:p>
    <w:p w14:paraId="3228066F">
      <w:pPr>
        <w:pStyle w:val="9"/>
        <w:widowControl/>
        <w:spacing w:before="0" w:beforeAutospacing="0" w:after="0" w:afterAutospacing="0" w:line="360" w:lineRule="auto"/>
        <w:rPr>
          <w:color w:val="auto"/>
          <w:highlight w:val="none"/>
        </w:rPr>
      </w:pPr>
      <w:r>
        <w:rPr>
          <w:rFonts w:hint="eastAsia"/>
          <w:color w:val="auto"/>
          <w:highlight w:val="none"/>
        </w:rPr>
        <w:t>2.2.2   周边市政管网接口图；</w:t>
      </w:r>
    </w:p>
    <w:p w14:paraId="5375CC4C">
      <w:pPr>
        <w:pStyle w:val="9"/>
        <w:widowControl/>
        <w:spacing w:before="0" w:beforeAutospacing="0" w:after="0" w:afterAutospacing="0" w:line="360" w:lineRule="auto"/>
        <w:rPr>
          <w:color w:val="auto"/>
          <w:highlight w:val="none"/>
        </w:rPr>
      </w:pPr>
      <w:r>
        <w:rPr>
          <w:rFonts w:hint="eastAsia"/>
          <w:color w:val="auto"/>
          <w:highlight w:val="none"/>
        </w:rPr>
        <w:t>2.2.3   地质勘察报告；</w:t>
      </w:r>
    </w:p>
    <w:p w14:paraId="1047A327">
      <w:pPr>
        <w:pStyle w:val="9"/>
        <w:widowControl/>
        <w:spacing w:before="0" w:beforeAutospacing="0" w:after="0" w:afterAutospacing="0" w:line="360" w:lineRule="auto"/>
        <w:rPr>
          <w:rFonts w:hint="eastAsia"/>
          <w:color w:val="auto"/>
          <w:highlight w:val="none"/>
        </w:rPr>
      </w:pPr>
      <w:r>
        <w:rPr>
          <w:rFonts w:hint="eastAsia"/>
          <w:color w:val="auto"/>
          <w:highlight w:val="none"/>
        </w:rPr>
        <w:t xml:space="preserve">2.2.4   </w:t>
      </w:r>
      <w:r>
        <w:rPr>
          <w:rFonts w:hint="eastAsia"/>
          <w:color w:val="auto"/>
          <w:highlight w:val="none"/>
          <w:lang w:eastAsia="zh-CN"/>
        </w:rPr>
        <w:t>“</w:t>
      </w:r>
      <w:r>
        <w:rPr>
          <w:rFonts w:hint="eastAsia"/>
          <w:color w:val="auto"/>
          <w:highlight w:val="none"/>
          <w:lang w:val="en-US" w:eastAsia="zh-CN"/>
        </w:rPr>
        <w:t>用地清单</w:t>
      </w:r>
      <w:r>
        <w:rPr>
          <w:rFonts w:hint="eastAsia"/>
          <w:color w:val="auto"/>
          <w:highlight w:val="none"/>
          <w:lang w:eastAsia="zh-CN"/>
        </w:rPr>
        <w:t>”</w:t>
      </w:r>
      <w:r>
        <w:rPr>
          <w:rFonts w:hint="eastAsia"/>
          <w:color w:val="auto"/>
          <w:highlight w:val="none"/>
        </w:rPr>
        <w:t>等</w:t>
      </w:r>
      <w:r>
        <w:rPr>
          <w:rFonts w:hint="eastAsia"/>
          <w:color w:val="auto"/>
          <w:highlight w:val="none"/>
          <w:lang w:val="en-US" w:eastAsia="zh-CN"/>
        </w:rPr>
        <w:t>资料</w:t>
      </w:r>
      <w:r>
        <w:rPr>
          <w:rFonts w:hint="eastAsia"/>
          <w:color w:val="auto"/>
          <w:highlight w:val="none"/>
        </w:rPr>
        <w:t>；</w:t>
      </w:r>
    </w:p>
    <w:p w14:paraId="4E6B8317">
      <w:pPr>
        <w:pStyle w:val="9"/>
        <w:widowControl/>
        <w:spacing w:before="0" w:beforeAutospacing="0" w:after="0" w:afterAutospacing="0" w:line="360" w:lineRule="auto"/>
        <w:rPr>
          <w:rFonts w:hint="default" w:eastAsia="宋体"/>
          <w:color w:val="auto"/>
          <w:highlight w:val="none"/>
          <w:lang w:val="en-US" w:eastAsia="zh-CN"/>
        </w:rPr>
      </w:pPr>
      <w:r>
        <w:rPr>
          <w:rFonts w:hint="eastAsia"/>
          <w:color w:val="auto"/>
          <w:highlight w:val="none"/>
        </w:rPr>
        <w:t>2.2.</w:t>
      </w:r>
      <w:r>
        <w:rPr>
          <w:rFonts w:hint="eastAsia"/>
          <w:color w:val="auto"/>
          <w:highlight w:val="none"/>
          <w:lang w:val="en-US" w:eastAsia="zh-CN"/>
        </w:rPr>
        <w:t xml:space="preserve">5   </w:t>
      </w:r>
      <w:r>
        <w:rPr>
          <w:rFonts w:hint="eastAsia"/>
          <w:color w:val="auto"/>
          <w:highlight w:val="none"/>
          <w:lang w:val="en-US" w:eastAsia="zh-CN"/>
        </w:rPr>
        <w:t>科技园、</w:t>
      </w:r>
      <w:r>
        <w:rPr>
          <w:i w:val="0"/>
          <w:strike w:val="0"/>
          <w:color w:val="auto"/>
          <w:spacing w:val="0"/>
          <w:highlight w:val="none"/>
          <w:u w:val="none"/>
        </w:rPr>
        <w:t>瑶溪文投</w:t>
      </w:r>
      <w:r>
        <w:rPr>
          <w:rFonts w:hint="eastAsia"/>
          <w:i w:val="0"/>
          <w:strike w:val="0"/>
          <w:color w:val="auto"/>
          <w:spacing w:val="0"/>
          <w:highlight w:val="none"/>
          <w:u w:val="none"/>
        </w:rPr>
        <w:t>和合作方</w:t>
      </w:r>
      <w:r>
        <w:rPr>
          <w:rFonts w:hint="eastAsia"/>
          <w:color w:val="auto"/>
          <w:highlight w:val="none"/>
          <w:lang w:val="en-US" w:eastAsia="zh-CN"/>
        </w:rPr>
        <w:t>提供的酒店和商办顾问策划资料；</w:t>
      </w:r>
    </w:p>
    <w:p w14:paraId="1CCB8010">
      <w:pPr>
        <w:pStyle w:val="9"/>
        <w:widowControl/>
        <w:spacing w:before="0" w:beforeAutospacing="0" w:after="0" w:afterAutospacing="0" w:line="360" w:lineRule="auto"/>
        <w:rPr>
          <w:color w:val="auto"/>
          <w:highlight w:val="none"/>
        </w:rPr>
      </w:pPr>
      <w:r>
        <w:rPr>
          <w:rFonts w:hint="eastAsia"/>
          <w:b/>
          <w:bCs/>
          <w:color w:val="auto"/>
          <w:highlight w:val="none"/>
        </w:rPr>
        <w:t>2.3规范和标准</w:t>
      </w:r>
      <w:r>
        <w:rPr>
          <w:rFonts w:hint="eastAsia"/>
          <w:color w:val="auto"/>
          <w:highlight w:val="none"/>
        </w:rPr>
        <w:t>（包括但不限于）：详附件</w:t>
      </w:r>
    </w:p>
    <w:p w14:paraId="24E34A09">
      <w:pPr>
        <w:pStyle w:val="9"/>
        <w:widowControl/>
        <w:spacing w:before="0" w:beforeAutospacing="0" w:after="0" w:afterAutospacing="0" w:line="360" w:lineRule="auto"/>
        <w:rPr>
          <w:color w:val="auto"/>
          <w:highlight w:val="none"/>
        </w:rPr>
      </w:pPr>
      <w:r>
        <w:rPr>
          <w:rFonts w:hint="eastAsia"/>
          <w:color w:val="auto"/>
          <w:highlight w:val="none"/>
        </w:rPr>
        <w:t>2.3.1   民用建筑设计统一标准；</w:t>
      </w:r>
    </w:p>
    <w:p w14:paraId="751A72B6">
      <w:pPr>
        <w:pStyle w:val="9"/>
        <w:widowControl/>
        <w:spacing w:before="0" w:beforeAutospacing="0" w:after="0" w:afterAutospacing="0" w:line="360" w:lineRule="auto"/>
        <w:rPr>
          <w:color w:val="auto"/>
          <w:highlight w:val="none"/>
        </w:rPr>
      </w:pPr>
      <w:r>
        <w:rPr>
          <w:rFonts w:hint="eastAsia"/>
          <w:color w:val="auto"/>
          <w:highlight w:val="none"/>
        </w:rPr>
        <w:t>2.3.2   建筑设计防火规范；</w:t>
      </w:r>
    </w:p>
    <w:p w14:paraId="455DDE0D">
      <w:pPr>
        <w:pStyle w:val="9"/>
        <w:widowControl/>
        <w:spacing w:before="0" w:beforeAutospacing="0" w:after="0" w:afterAutospacing="0" w:line="360" w:lineRule="auto"/>
        <w:rPr>
          <w:color w:val="auto"/>
          <w:highlight w:val="none"/>
        </w:rPr>
      </w:pPr>
      <w:r>
        <w:rPr>
          <w:rFonts w:hint="eastAsia"/>
          <w:color w:val="auto"/>
          <w:highlight w:val="none"/>
        </w:rPr>
        <w:t>2.3.3   广州市建设工程消防设计、审查难点问题解答；</w:t>
      </w:r>
    </w:p>
    <w:p w14:paraId="2AAF0740">
      <w:pPr>
        <w:pStyle w:val="9"/>
        <w:widowControl/>
        <w:spacing w:before="0" w:beforeAutospacing="0" w:after="0" w:afterAutospacing="0" w:line="360" w:lineRule="auto"/>
        <w:rPr>
          <w:color w:val="auto"/>
          <w:highlight w:val="none"/>
        </w:rPr>
      </w:pPr>
      <w:r>
        <w:rPr>
          <w:rFonts w:hint="eastAsia"/>
          <w:color w:val="auto"/>
          <w:highlight w:val="none"/>
        </w:rPr>
        <w:t>2.3.4   广州市海珠城市建设发展集团有限公司相关设计标准和要求；</w:t>
      </w:r>
    </w:p>
    <w:p w14:paraId="6320F309">
      <w:pPr>
        <w:pStyle w:val="9"/>
        <w:widowControl/>
        <w:spacing w:before="0" w:beforeAutospacing="0" w:after="0" w:afterAutospacing="0" w:line="360" w:lineRule="auto"/>
        <w:rPr>
          <w:color w:val="auto"/>
          <w:highlight w:val="none"/>
          <w:u w:val="single"/>
        </w:rPr>
      </w:pPr>
    </w:p>
    <w:p w14:paraId="0F5296A3">
      <w:pPr>
        <w:pStyle w:val="9"/>
        <w:widowControl/>
        <w:spacing w:before="0" w:beforeAutospacing="0" w:after="0" w:afterAutospacing="0" w:line="360" w:lineRule="auto"/>
        <w:rPr>
          <w:color w:val="auto"/>
          <w:highlight w:val="none"/>
        </w:rPr>
      </w:pPr>
      <w:r>
        <w:rPr>
          <w:rFonts w:hint="eastAsia"/>
          <w:b/>
          <w:bCs/>
          <w:color w:val="auto"/>
          <w:highlight w:val="none"/>
        </w:rPr>
        <w:t>2.4项目定位报告</w:t>
      </w:r>
      <w:r>
        <w:rPr>
          <w:rFonts w:hint="eastAsia"/>
          <w:color w:val="auto"/>
          <w:highlight w:val="none"/>
        </w:rPr>
        <w:t>：</w:t>
      </w:r>
    </w:p>
    <w:p w14:paraId="748B670A">
      <w:pPr>
        <w:widowControl/>
        <w:numPr>
          <w:ilvl w:val="0"/>
          <w:numId w:val="0"/>
        </w:numPr>
        <w:jc w:val="left"/>
        <w:rPr>
          <w:rFonts w:ascii="Times New Roman" w:hAnsi="Times New Roman" w:eastAsia="宋体" w:cs="Times New Roman"/>
          <w:color w:val="auto"/>
          <w:kern w:val="0"/>
          <w:sz w:val="24"/>
          <w:szCs w:val="24"/>
          <w:highlight w:val="none"/>
        </w:rPr>
      </w:pPr>
      <w:r>
        <w:rPr>
          <w:rFonts w:hint="eastAsia" w:ascii="Times New Roman" w:hAnsi="Times New Roman" w:eastAsia="宋体" w:cs="Times New Roman"/>
          <w:b/>
          <w:bCs/>
          <w:color w:val="auto"/>
          <w:kern w:val="0"/>
          <w:sz w:val="24"/>
          <w:szCs w:val="24"/>
          <w:highlight w:val="none"/>
          <w:lang w:val="en-US" w:eastAsia="zh-CN"/>
        </w:rPr>
        <w:t>2.4.1</w:t>
      </w:r>
      <w:r>
        <w:rPr>
          <w:rFonts w:hint="eastAsia" w:ascii="Times New Roman" w:hAnsi="Times New Roman" w:eastAsia="宋体" w:cs="Times New Roman"/>
          <w:b/>
          <w:bCs/>
          <w:color w:val="auto"/>
          <w:kern w:val="0"/>
          <w:sz w:val="24"/>
          <w:szCs w:val="24"/>
          <w:highlight w:val="none"/>
        </w:rPr>
        <w:t>项目愿景：</w:t>
      </w:r>
    </w:p>
    <w:p w14:paraId="3D337729">
      <w:pPr>
        <w:widowControl/>
        <w:ind w:firstLine="480" w:firstLineChars="200"/>
        <w:jc w:val="left"/>
        <w:rPr>
          <w:rFonts w:ascii="Times New Roman" w:hAnsi="Times New Roman" w:eastAsia="宋体" w:cs="Times New Roman"/>
          <w:color w:val="auto"/>
          <w:kern w:val="0"/>
          <w:sz w:val="24"/>
          <w:szCs w:val="24"/>
          <w:highlight w:val="none"/>
        </w:rPr>
      </w:pPr>
      <w:r>
        <w:rPr>
          <w:rFonts w:hint="eastAsia" w:ascii="Times New Roman" w:hAnsi="Times New Roman" w:eastAsia="宋体" w:cs="Times New Roman"/>
          <w:color w:val="auto"/>
          <w:kern w:val="0"/>
          <w:sz w:val="24"/>
          <w:szCs w:val="24"/>
          <w:highlight w:val="none"/>
        </w:rPr>
        <w:t>发挥滨水湿地和区位优势，与环境结合，整合、发掘生态价值，提升差异化核心竞争力，打造上涌湿地新地标</w:t>
      </w:r>
    </w:p>
    <w:p w14:paraId="5B9DB546">
      <w:pPr>
        <w:widowControl/>
        <w:jc w:val="left"/>
        <w:rPr>
          <w:rFonts w:hint="eastAsia" w:ascii="Times New Roman" w:hAnsi="Times New Roman" w:eastAsia="宋体" w:cs="Times New Roman"/>
          <w:color w:val="auto"/>
          <w:kern w:val="0"/>
          <w:sz w:val="24"/>
          <w:szCs w:val="24"/>
          <w:highlight w:val="none"/>
        </w:rPr>
      </w:pPr>
    </w:p>
    <w:p w14:paraId="2F86A801">
      <w:pPr>
        <w:pStyle w:val="9"/>
        <w:widowControl/>
        <w:numPr>
          <w:ilvl w:val="0"/>
          <w:numId w:val="0"/>
        </w:numPr>
        <w:spacing w:before="0" w:beforeAutospacing="0" w:after="0" w:afterAutospacing="0" w:line="360" w:lineRule="auto"/>
        <w:rPr>
          <w:b/>
          <w:bCs/>
          <w:color w:val="auto"/>
          <w:highlight w:val="none"/>
        </w:rPr>
      </w:pPr>
      <w:r>
        <w:rPr>
          <w:rFonts w:hint="eastAsia"/>
          <w:b/>
          <w:bCs/>
          <w:color w:val="auto"/>
          <w:highlight w:val="none"/>
          <w:lang w:val="en-US" w:eastAsia="zh-CN"/>
        </w:rPr>
        <w:t>2.4.2</w:t>
      </w:r>
      <w:r>
        <w:rPr>
          <w:rFonts w:hint="eastAsia"/>
          <w:b/>
          <w:bCs/>
          <w:color w:val="auto"/>
          <w:highlight w:val="none"/>
        </w:rPr>
        <w:t>项目指标分配：</w:t>
      </w:r>
    </w:p>
    <w:p w14:paraId="3D5C9D0A">
      <w:pPr>
        <w:pStyle w:val="9"/>
        <w:widowControl/>
        <w:spacing w:before="0" w:beforeAutospacing="0" w:after="0" w:afterAutospacing="0" w:line="360" w:lineRule="auto"/>
        <w:rPr>
          <w:color w:val="auto"/>
          <w:highlight w:val="none"/>
          <w:u w:val="single"/>
        </w:rPr>
      </w:pPr>
      <w:r>
        <w:rPr>
          <w:rFonts w:hint="eastAsia"/>
          <w:color w:val="auto"/>
          <w:highlight w:val="none"/>
          <w:u w:val="single"/>
        </w:rPr>
        <w:t>总</w:t>
      </w:r>
      <w:r>
        <w:rPr>
          <w:rFonts w:hint="eastAsia"/>
          <w:color w:val="auto"/>
          <w:highlight w:val="none"/>
          <w:u w:val="single"/>
          <w:lang w:val="en-US" w:eastAsia="zh-CN"/>
        </w:rPr>
        <w:t>计容</w:t>
      </w:r>
      <w:r>
        <w:rPr>
          <w:rFonts w:hint="eastAsia"/>
          <w:color w:val="auto"/>
          <w:highlight w:val="none"/>
          <w:u w:val="single"/>
        </w:rPr>
        <w:t>建设量27276.94㎡，临杨湾涌一线建筑高度≤15米</w:t>
      </w:r>
      <w:r>
        <w:rPr>
          <w:rFonts w:hint="eastAsia" w:ascii="Times New Roman" w:hAnsi="Times New Roman" w:eastAsia="宋体" w:cs="Times New Roman"/>
          <w:color w:val="auto"/>
          <w:kern w:val="0"/>
          <w:sz w:val="24"/>
          <w:szCs w:val="24"/>
          <w:highlight w:val="none"/>
          <w:u w:val="single"/>
        </w:rPr>
        <w:t>（</w:t>
      </w:r>
      <w:r>
        <w:rPr>
          <w:rFonts w:hint="eastAsia" w:ascii="Times New Roman" w:hAnsi="Times New Roman" w:eastAsia="宋体" w:cs="Times New Roman"/>
          <w:color w:val="auto"/>
          <w:kern w:val="0"/>
          <w:sz w:val="24"/>
          <w:szCs w:val="24"/>
          <w:highlight w:val="none"/>
          <w:u w:val="single"/>
        </w:rPr>
        <w:t>建筑密度的10%以内的局部建筑不超过30</w:t>
      </w:r>
      <w:r>
        <w:rPr>
          <w:rFonts w:hint="eastAsia" w:ascii="Times New Roman" w:hAnsi="Times New Roman" w:eastAsia="宋体" w:cs="Times New Roman"/>
          <w:color w:val="auto"/>
          <w:kern w:val="0"/>
          <w:sz w:val="24"/>
          <w:szCs w:val="24"/>
          <w:highlight w:val="none"/>
          <w:u w:val="single"/>
        </w:rPr>
        <w:t>米）</w:t>
      </w:r>
      <w:r>
        <w:rPr>
          <w:rFonts w:hint="eastAsia"/>
          <w:color w:val="auto"/>
          <w:highlight w:val="none"/>
          <w:u w:val="single"/>
        </w:rPr>
        <w:t>。</w:t>
      </w:r>
    </w:p>
    <w:p w14:paraId="0B42216A">
      <w:pPr>
        <w:pStyle w:val="9"/>
        <w:widowControl/>
        <w:spacing w:before="0" w:beforeAutospacing="0" w:after="0" w:afterAutospacing="0" w:line="360" w:lineRule="auto"/>
        <w:rPr>
          <w:rFonts w:hint="eastAsia"/>
          <w:b/>
          <w:bCs/>
          <w:color w:val="auto"/>
          <w:highlight w:val="none"/>
        </w:rPr>
      </w:pPr>
    </w:p>
    <w:p w14:paraId="1BC4316E">
      <w:pPr>
        <w:pStyle w:val="9"/>
        <w:widowControl/>
        <w:numPr>
          <w:ilvl w:val="0"/>
          <w:numId w:val="0"/>
        </w:numPr>
        <w:spacing w:before="0" w:beforeAutospacing="0" w:after="0" w:afterAutospacing="0" w:line="360" w:lineRule="auto"/>
        <w:rPr>
          <w:b/>
          <w:bCs/>
          <w:color w:val="auto"/>
          <w:highlight w:val="none"/>
        </w:rPr>
      </w:pPr>
      <w:r>
        <w:rPr>
          <w:rFonts w:hint="eastAsia"/>
          <w:b/>
          <w:bCs/>
          <w:color w:val="auto"/>
          <w:highlight w:val="none"/>
          <w:lang w:val="en-US" w:eastAsia="zh-CN"/>
        </w:rPr>
        <w:t>2.4.3规划条件的其他</w:t>
      </w:r>
      <w:r>
        <w:rPr>
          <w:rFonts w:hint="eastAsia"/>
          <w:b/>
          <w:bCs/>
          <w:color w:val="auto"/>
          <w:highlight w:val="none"/>
        </w:rPr>
        <w:t>设计要求</w:t>
      </w:r>
    </w:p>
    <w:p w14:paraId="7DEB61AC">
      <w:pPr>
        <w:pStyle w:val="9"/>
        <w:widowControl/>
        <w:spacing w:before="0" w:beforeAutospacing="0" w:after="0" w:afterAutospacing="0" w:line="360" w:lineRule="auto"/>
        <w:rPr>
          <w:rFonts w:hint="eastAsia"/>
          <w:b/>
          <w:bCs/>
          <w:color w:val="auto"/>
          <w:highlight w:val="none"/>
        </w:rPr>
      </w:pPr>
      <w:bookmarkStart w:id="0" w:name="OLE_LINK1"/>
      <w:r>
        <w:rPr>
          <w:rFonts w:hint="eastAsia"/>
          <w:b/>
          <w:bCs/>
          <w:color w:val="auto"/>
          <w:highlight w:val="none"/>
        </w:rPr>
        <w:t>场地设计与外环境设计</w:t>
      </w:r>
    </w:p>
    <w:bookmarkEnd w:id="0"/>
    <w:p w14:paraId="2305400D">
      <w:pPr>
        <w:pStyle w:val="9"/>
        <w:widowControl/>
        <w:numPr>
          <w:ilvl w:val="0"/>
          <w:numId w:val="1"/>
        </w:numPr>
        <w:spacing w:before="0" w:beforeAutospacing="0" w:after="0" w:afterAutospacing="0" w:line="360" w:lineRule="auto"/>
        <w:rPr>
          <w:color w:val="auto"/>
          <w:highlight w:val="none"/>
        </w:rPr>
      </w:pPr>
      <w:r>
        <w:rPr>
          <w:rFonts w:hint="eastAsia"/>
          <w:color w:val="auto"/>
          <w:highlight w:val="none"/>
        </w:rPr>
        <w:t>应开展场地设计（含首层平面）、道路设计、步行系统设计。竖向设计应遵循自然地形，控制建筑室外地坪标 高，建筑室外地坪和周边道路人行道应持平或平缓对接。室外地坪标高满足 防洪及管线设置要求，与周边道路协调，地块与周边市政用地之间的高差应 在本地块内通过绿化护坡相衔接。建筑红线内应与红线外场地设计协调，保 证地块红线内外场地一体化。</w:t>
      </w:r>
    </w:p>
    <w:p w14:paraId="7E9EE258">
      <w:pPr>
        <w:pStyle w:val="9"/>
        <w:widowControl/>
        <w:numPr>
          <w:ilvl w:val="0"/>
          <w:numId w:val="1"/>
        </w:numPr>
        <w:spacing w:before="0" w:beforeAutospacing="0" w:after="0" w:afterAutospacing="0" w:line="360" w:lineRule="auto"/>
        <w:rPr>
          <w:color w:val="auto"/>
          <w:highlight w:val="none"/>
        </w:rPr>
      </w:pPr>
      <w:r>
        <w:rPr>
          <w:rFonts w:hint="eastAsia"/>
          <w:color w:val="auto"/>
          <w:highlight w:val="none"/>
        </w:rPr>
        <w:t>鼓励设置建筑公共开放空间；鼓励商场、办公等公共设施之间增加公 共连廊；鼓励住宅、商场、办公等建筑与公共服务设施、市政交通设施、城 市公共空间之间增加公共连廊；鼓励建筑物人行入口增设雨蓬；鼓励在建筑 场地内设置公共艺术环境小品；鼓励在地块内设置集中的低势绿地或雨水湿 地作为透水区。鼓励设置互连互通的立体公共空间。</w:t>
      </w:r>
    </w:p>
    <w:p w14:paraId="1D691265">
      <w:pPr>
        <w:pStyle w:val="9"/>
        <w:widowControl/>
        <w:numPr>
          <w:ilvl w:val="0"/>
          <w:numId w:val="1"/>
        </w:numPr>
        <w:spacing w:before="0" w:beforeAutospacing="0" w:after="0" w:afterAutospacing="0" w:line="360" w:lineRule="auto"/>
        <w:rPr>
          <w:color w:val="auto"/>
          <w:highlight w:val="none"/>
        </w:rPr>
      </w:pPr>
      <w:r>
        <w:rPr>
          <w:rFonts w:hint="eastAsia"/>
          <w:color w:val="auto"/>
          <w:highlight w:val="none"/>
        </w:rPr>
        <w:t>应开展精细无障碍设计，满足安全、舒适的运行要求。场地与建筑的 无障碍设计须满足《无障碍设计规范》（GB50763-2012）的相关要求。</w:t>
      </w:r>
    </w:p>
    <w:p w14:paraId="6A137E32">
      <w:pPr>
        <w:pStyle w:val="9"/>
        <w:widowControl/>
        <w:numPr>
          <w:ilvl w:val="0"/>
          <w:numId w:val="1"/>
        </w:numPr>
        <w:spacing w:before="0" w:beforeAutospacing="0" w:after="0" w:afterAutospacing="0" w:line="360" w:lineRule="auto"/>
        <w:rPr>
          <w:color w:val="auto"/>
          <w:highlight w:val="none"/>
        </w:rPr>
      </w:pPr>
      <w:r>
        <w:rPr>
          <w:rFonts w:hint="eastAsia"/>
          <w:color w:val="auto"/>
          <w:highlight w:val="none"/>
        </w:rPr>
        <w:t>建筑景观照明设施应控制外溢光和杂散光，避免对室内活动干扰，减 少环境光污染。</w:t>
      </w:r>
    </w:p>
    <w:p w14:paraId="2A434663">
      <w:pPr>
        <w:pStyle w:val="9"/>
        <w:widowControl/>
        <w:numPr>
          <w:ilvl w:val="0"/>
          <w:numId w:val="1"/>
        </w:numPr>
        <w:spacing w:before="0" w:beforeAutospacing="0" w:after="0" w:afterAutospacing="0" w:line="360" w:lineRule="auto"/>
        <w:rPr>
          <w:color w:val="auto"/>
          <w:highlight w:val="none"/>
        </w:rPr>
      </w:pPr>
      <w:r>
        <w:rPr>
          <w:rFonts w:hint="eastAsia"/>
          <w:color w:val="auto"/>
          <w:highlight w:val="none"/>
        </w:rPr>
        <w:t>鼓励在建筑场地内设置公共艺术环境小品；应符合已批准的城市设计 关于公共艺术的要求。建筑红线内应与红线外场地设计协调，保证地块红线 内外场地一体化。</w:t>
      </w:r>
    </w:p>
    <w:p w14:paraId="25FCBF65">
      <w:pPr>
        <w:pStyle w:val="9"/>
        <w:widowControl/>
        <w:tabs>
          <w:tab w:val="left" w:pos="312"/>
        </w:tabs>
        <w:spacing w:before="0" w:beforeAutospacing="0" w:after="0" w:afterAutospacing="0" w:line="360" w:lineRule="auto"/>
        <w:rPr>
          <w:rFonts w:hint="eastAsia"/>
          <w:color w:val="auto"/>
          <w:highlight w:val="none"/>
        </w:rPr>
      </w:pPr>
    </w:p>
    <w:p w14:paraId="50FF392E">
      <w:pPr>
        <w:pStyle w:val="9"/>
        <w:widowControl/>
        <w:spacing w:before="0" w:beforeAutospacing="0" w:after="0" w:afterAutospacing="0" w:line="360" w:lineRule="auto"/>
        <w:rPr>
          <w:rFonts w:hint="eastAsia"/>
          <w:b/>
          <w:bCs/>
          <w:color w:val="auto"/>
          <w:highlight w:val="none"/>
        </w:rPr>
      </w:pPr>
      <w:r>
        <w:rPr>
          <w:rFonts w:hint="eastAsia"/>
          <w:b/>
          <w:bCs/>
          <w:color w:val="auto"/>
          <w:highlight w:val="none"/>
        </w:rPr>
        <w:t>建筑设计</w:t>
      </w:r>
    </w:p>
    <w:p w14:paraId="0567D3C9">
      <w:pPr>
        <w:pStyle w:val="9"/>
        <w:widowControl/>
        <w:numPr>
          <w:ilvl w:val="0"/>
          <w:numId w:val="2"/>
        </w:numPr>
        <w:spacing w:before="0" w:beforeAutospacing="0" w:after="0" w:afterAutospacing="0" w:line="360" w:lineRule="auto"/>
        <w:rPr>
          <w:color w:val="auto"/>
          <w:highlight w:val="none"/>
        </w:rPr>
      </w:pPr>
      <w:r>
        <w:rPr>
          <w:rFonts w:hint="eastAsia"/>
          <w:color w:val="auto"/>
          <w:highlight w:val="none"/>
        </w:rPr>
        <w:t>本项目位于总体城市设计划定的“五边四廊四区”城市设计重点地 区，应参照其管控要求执行。其中珠江景观带三个十公里的临江一线建筑 （指未审批地块主导功能建筑），高度应控制在60 米以下，形成前低后高的 滨水建筑形态。</w:t>
      </w:r>
    </w:p>
    <w:p w14:paraId="0551F581">
      <w:pPr>
        <w:pStyle w:val="9"/>
        <w:widowControl/>
        <w:numPr>
          <w:ilvl w:val="0"/>
          <w:numId w:val="2"/>
        </w:numPr>
        <w:spacing w:before="0" w:beforeAutospacing="0" w:after="0" w:afterAutospacing="0" w:line="360" w:lineRule="auto"/>
        <w:rPr>
          <w:color w:val="auto"/>
          <w:highlight w:val="none"/>
        </w:rPr>
      </w:pPr>
      <w:r>
        <w:rPr>
          <w:rFonts w:hint="eastAsia"/>
          <w:color w:val="auto"/>
          <w:highlight w:val="none"/>
        </w:rPr>
        <w:t>建筑设计方案应有利于周边地区环境价值的提升，体现品质化、精细 化设计。建筑单体风貌应服从群体风貌要求，与建筑群体风貌协调。多栋建 筑组成建筑群时应高低错落。</w:t>
      </w:r>
    </w:p>
    <w:p w14:paraId="34142B28">
      <w:pPr>
        <w:pStyle w:val="9"/>
        <w:widowControl/>
        <w:numPr>
          <w:ilvl w:val="0"/>
          <w:numId w:val="2"/>
        </w:numPr>
        <w:spacing w:before="0" w:beforeAutospacing="0" w:after="0" w:afterAutospacing="0" w:line="360" w:lineRule="auto"/>
        <w:rPr>
          <w:color w:val="auto"/>
          <w:highlight w:val="none"/>
        </w:rPr>
      </w:pPr>
      <w:r>
        <w:rPr>
          <w:rFonts w:hint="eastAsia"/>
          <w:color w:val="auto"/>
          <w:highlight w:val="none"/>
        </w:rPr>
        <w:t>原则上临湖泊等自然水面、绿地、广场、山体等开敞空间以及文保单 位、历史建筑的建筑单体应按前低后高原则控制建筑高度，其中一线建筑高 度原则上应少于建筑退让开敞空间和保护建筑的距离，并严格控制建筑物的 面宽。</w:t>
      </w:r>
    </w:p>
    <w:p w14:paraId="55FC537F">
      <w:pPr>
        <w:pStyle w:val="9"/>
        <w:widowControl/>
        <w:numPr>
          <w:ilvl w:val="0"/>
          <w:numId w:val="2"/>
        </w:numPr>
        <w:spacing w:before="0" w:beforeAutospacing="0" w:after="0" w:afterAutospacing="0" w:line="360" w:lineRule="auto"/>
        <w:rPr>
          <w:color w:val="auto"/>
          <w:highlight w:val="none"/>
        </w:rPr>
      </w:pPr>
      <w:r>
        <w:rPr>
          <w:rFonts w:hint="eastAsia"/>
          <w:color w:val="auto"/>
          <w:highlight w:val="none"/>
        </w:rPr>
        <w:t>鼓励通过建筑拼接、建筑屋顶一体化设计等方式，形成界面连续、立 面风貌、色彩、材质协调的街道界面，打造尺度适宜、富有活力、设计精 致、具有人情味的街道。</w:t>
      </w:r>
    </w:p>
    <w:p w14:paraId="644F3623">
      <w:pPr>
        <w:pStyle w:val="9"/>
        <w:widowControl/>
        <w:numPr>
          <w:ilvl w:val="0"/>
          <w:numId w:val="2"/>
        </w:numPr>
        <w:spacing w:before="0" w:beforeAutospacing="0" w:after="0" w:afterAutospacing="0" w:line="360" w:lineRule="auto"/>
        <w:rPr>
          <w:color w:val="auto"/>
          <w:highlight w:val="none"/>
        </w:rPr>
      </w:pPr>
      <w:r>
        <w:rPr>
          <w:rFonts w:hint="eastAsia"/>
          <w:color w:val="auto"/>
          <w:highlight w:val="none"/>
        </w:rPr>
        <w:t>鼓励通过设置骑楼、底层架空以及通透玻璃等设计手法，适当提高首 层临街立面的通透性和视觉连续性，提升行人公共空间体验。</w:t>
      </w:r>
    </w:p>
    <w:p w14:paraId="206B09DD">
      <w:pPr>
        <w:pStyle w:val="9"/>
        <w:widowControl/>
        <w:numPr>
          <w:ilvl w:val="0"/>
          <w:numId w:val="2"/>
        </w:numPr>
        <w:spacing w:before="0" w:beforeAutospacing="0" w:after="0" w:afterAutospacing="0" w:line="360" w:lineRule="auto"/>
        <w:rPr>
          <w:color w:val="auto"/>
          <w:highlight w:val="none"/>
        </w:rPr>
      </w:pPr>
      <w:r>
        <w:rPr>
          <w:rFonts w:hint="eastAsia"/>
          <w:color w:val="auto"/>
          <w:highlight w:val="none"/>
        </w:rPr>
        <w:t>户外广告和招牌不得在建筑屋顶轮廓线以上（含裙楼轮廓线）设置。</w:t>
      </w:r>
    </w:p>
    <w:p w14:paraId="78BC7ECD">
      <w:pPr>
        <w:pStyle w:val="9"/>
        <w:widowControl/>
        <w:numPr>
          <w:ilvl w:val="0"/>
          <w:numId w:val="2"/>
        </w:numPr>
        <w:spacing w:before="0" w:beforeAutospacing="0" w:after="0" w:afterAutospacing="0" w:line="360" w:lineRule="auto"/>
        <w:rPr>
          <w:color w:val="auto"/>
          <w:highlight w:val="none"/>
        </w:rPr>
      </w:pPr>
      <w:r>
        <w:rPr>
          <w:rFonts w:hint="eastAsia"/>
          <w:color w:val="auto"/>
          <w:highlight w:val="none"/>
        </w:rPr>
        <w:t>建筑立面设计鼓励采用被动节能措施，不宜采用镜面反射玻璃或抛光 金属板等材料。住宅、党政机关办公楼、综合医院、中小学校、托儿所、幼 儿园、养老院的新建、改建、扩建以及立面改造工程，不得在二层以上部位 设置玻璃幕墙。建筑物位于T形路口正对直线路段的外立面不得设置玻璃幕 墙。设置玻璃幕墙的，应按照《广州市建筑玻璃幕墙管理办法》执行。</w:t>
      </w:r>
    </w:p>
    <w:p w14:paraId="2E5EFB47">
      <w:pPr>
        <w:pStyle w:val="9"/>
        <w:widowControl/>
        <w:numPr>
          <w:ilvl w:val="0"/>
          <w:numId w:val="2"/>
        </w:numPr>
        <w:spacing w:before="0" w:beforeAutospacing="0" w:after="0" w:afterAutospacing="0" w:line="360" w:lineRule="auto"/>
        <w:rPr>
          <w:color w:val="auto"/>
          <w:highlight w:val="none"/>
        </w:rPr>
      </w:pPr>
      <w:r>
        <w:rPr>
          <w:rFonts w:hint="eastAsia"/>
          <w:color w:val="auto"/>
          <w:highlight w:val="none"/>
        </w:rPr>
        <w:t>建筑屋顶应统筹考虑消防疏散、屋顶绿化、室外活动、太阳能利用等 功能需求，鼓励以苗圃开花植物为主进行屋顶景观设计。住宅屋顶要和建筑 立面一体化设计，避免出现屋顶水箱等构筑物突兀、裸露的情况。</w:t>
      </w:r>
    </w:p>
    <w:p w14:paraId="7A7BA1E2">
      <w:pPr>
        <w:pStyle w:val="9"/>
        <w:widowControl/>
        <w:numPr>
          <w:ilvl w:val="0"/>
          <w:numId w:val="2"/>
        </w:numPr>
        <w:spacing w:before="0" w:beforeAutospacing="0" w:after="0" w:afterAutospacing="0" w:line="360" w:lineRule="auto"/>
        <w:rPr>
          <w:color w:val="auto"/>
          <w:highlight w:val="none"/>
        </w:rPr>
      </w:pPr>
      <w:r>
        <w:rPr>
          <w:rFonts w:hint="eastAsia"/>
          <w:color w:val="auto"/>
          <w:highlight w:val="none"/>
        </w:rPr>
        <w:t>鼓励整体化、艺术化的附属设施设计，建筑设备、管道等附属设施与 人行道、公共活动场所宜保持一定距离。</w:t>
      </w:r>
    </w:p>
    <w:p w14:paraId="13DF0FC5">
      <w:pPr>
        <w:pStyle w:val="9"/>
        <w:widowControl/>
        <w:numPr>
          <w:ilvl w:val="0"/>
          <w:numId w:val="2"/>
        </w:numPr>
        <w:spacing w:before="0" w:beforeAutospacing="0" w:after="0" w:afterAutospacing="0" w:line="360" w:lineRule="auto"/>
        <w:rPr>
          <w:color w:val="auto"/>
          <w:highlight w:val="none"/>
        </w:rPr>
      </w:pPr>
      <w:r>
        <w:rPr>
          <w:rFonts w:hint="eastAsia"/>
          <w:color w:val="auto"/>
          <w:highlight w:val="none"/>
        </w:rPr>
        <w:t>设计应遵循循环经济理念，尽可能参照绿色建筑要求应用新技术，采 用新型节能环保材料，地块内的建筑都应达到绿色建筑标准。鼓励建筑设计 按《智能建筑设计标准（GB/T50314-2006）》的要求，采用BIM技术进行设 计。</w:t>
      </w:r>
    </w:p>
    <w:p w14:paraId="6582E277">
      <w:pPr>
        <w:pStyle w:val="9"/>
        <w:widowControl/>
        <w:numPr>
          <w:ilvl w:val="0"/>
          <w:numId w:val="2"/>
        </w:numPr>
        <w:spacing w:before="0" w:beforeAutospacing="0" w:after="0" w:afterAutospacing="0" w:line="360" w:lineRule="auto"/>
        <w:rPr>
          <w:color w:val="auto"/>
          <w:highlight w:val="none"/>
        </w:rPr>
      </w:pPr>
      <w:r>
        <w:rPr>
          <w:rFonts w:hint="eastAsia"/>
          <w:color w:val="auto"/>
          <w:highlight w:val="none"/>
        </w:rPr>
        <w:t>大型公共建筑的内部交通组织应在地块内部解决。停车场（库）出入 口应当设置缓冲区间，缓冲区间和起坡道不得占用规划道路，起坡道尽量在 建筑内部设置，闸机不得占用规划道路和建筑退让范围，入口闸机应设置在 入口坡道底端。</w:t>
      </w:r>
    </w:p>
    <w:p w14:paraId="015CA4C4">
      <w:pPr>
        <w:pStyle w:val="9"/>
        <w:widowControl/>
        <w:numPr>
          <w:ilvl w:val="0"/>
          <w:numId w:val="2"/>
        </w:numPr>
        <w:spacing w:before="0" w:beforeAutospacing="0" w:after="0" w:afterAutospacing="0" w:line="360" w:lineRule="auto"/>
        <w:rPr>
          <w:color w:val="auto"/>
          <w:highlight w:val="none"/>
        </w:rPr>
      </w:pPr>
      <w:r>
        <w:rPr>
          <w:rFonts w:hint="eastAsia"/>
          <w:color w:val="auto"/>
          <w:highlight w:val="none"/>
        </w:rPr>
        <w:t>新建建筑工程项目空调设置、第五立面设计、裙楼户外广告和招牌设 置，应按照《广州市规划和自然资源局关于印发的通 知》要求执行。</w:t>
      </w:r>
    </w:p>
    <w:p w14:paraId="05C9DB25">
      <w:pPr>
        <w:pStyle w:val="9"/>
        <w:widowControl/>
        <w:spacing w:before="0" w:beforeAutospacing="0" w:after="0" w:afterAutospacing="0" w:line="360" w:lineRule="auto"/>
        <w:rPr>
          <w:rFonts w:hint="default" w:eastAsia="宋体"/>
          <w:b/>
          <w:bCs/>
          <w:color w:val="auto"/>
          <w:highlight w:val="none"/>
          <w:lang w:val="en-US" w:eastAsia="zh-CN"/>
        </w:rPr>
      </w:pPr>
      <w:r>
        <w:rPr>
          <w:rFonts w:hint="eastAsia"/>
          <w:b/>
          <w:bCs/>
          <w:color w:val="auto"/>
          <w:highlight w:val="none"/>
          <w:lang w:val="en-US" w:eastAsia="zh-CN"/>
        </w:rPr>
        <w:t xml:space="preserve">  </w:t>
      </w:r>
      <w:r>
        <w:rPr>
          <w:rFonts w:hint="eastAsia"/>
          <w:b w:val="0"/>
          <w:bCs w:val="0"/>
          <w:color w:val="auto"/>
          <w:highlight w:val="none"/>
          <w:lang w:val="en-US" w:eastAsia="zh-CN"/>
        </w:rPr>
        <w:t xml:space="preserve">  </w:t>
      </w:r>
      <w:r>
        <w:rPr>
          <w:rFonts w:hint="eastAsia"/>
          <w:b w:val="0"/>
          <w:bCs w:val="0"/>
          <w:color w:val="auto"/>
          <w:highlight w:val="none"/>
          <w:u w:val="single"/>
          <w:lang w:val="en-US" w:eastAsia="zh-CN"/>
        </w:rPr>
        <w:t>具体以《海珠区广州大道南路新源街29号AH061308地块规划条件》为准。</w:t>
      </w:r>
    </w:p>
    <w:p w14:paraId="57D0BA0B">
      <w:pPr>
        <w:pStyle w:val="9"/>
        <w:widowControl/>
        <w:spacing w:before="0" w:beforeAutospacing="0" w:after="0" w:afterAutospacing="0" w:line="360" w:lineRule="auto"/>
        <w:rPr>
          <w:color w:val="auto"/>
          <w:highlight w:val="none"/>
        </w:rPr>
      </w:pPr>
      <w:r>
        <w:rPr>
          <w:rFonts w:hint="eastAsia"/>
          <w:b/>
          <w:bCs/>
          <w:color w:val="auto"/>
          <w:highlight w:val="none"/>
        </w:rPr>
        <w:t>2.5项目目标成本</w:t>
      </w:r>
      <w:r>
        <w:rPr>
          <w:rFonts w:hint="eastAsia"/>
          <w:color w:val="auto"/>
          <w:highlight w:val="none"/>
        </w:rPr>
        <w:t>：</w:t>
      </w:r>
    </w:p>
    <w:p w14:paraId="55888634">
      <w:pPr>
        <w:widowControl/>
        <w:ind w:firstLine="480" w:firstLineChars="200"/>
        <w:jc w:val="left"/>
        <w:rPr>
          <w:rFonts w:hint="default" w:ascii="Times New Roman" w:hAnsi="Times New Roman" w:eastAsia="宋体" w:cs="Times New Roman"/>
          <w:color w:val="auto"/>
          <w:kern w:val="0"/>
          <w:sz w:val="24"/>
          <w:szCs w:val="24"/>
          <w:highlight w:val="none"/>
          <w:u w:val="single"/>
          <w:lang w:val="en-US" w:eastAsia="zh-CN"/>
        </w:rPr>
      </w:pPr>
      <w:r>
        <w:rPr>
          <w:rFonts w:hint="eastAsia" w:ascii="Times New Roman" w:hAnsi="Times New Roman" w:eastAsia="宋体" w:cs="Times New Roman"/>
          <w:color w:val="auto"/>
          <w:kern w:val="0"/>
          <w:sz w:val="24"/>
          <w:szCs w:val="24"/>
          <w:highlight w:val="none"/>
          <w:u w:val="single"/>
          <w:lang w:val="en-US" w:eastAsia="zh-CN"/>
        </w:rPr>
        <w:t>暂按6500元每平方的单方建安成本进行</w:t>
      </w:r>
      <w:r>
        <w:rPr>
          <w:rFonts w:hint="eastAsia" w:ascii="Times New Roman" w:hAnsi="Times New Roman" w:eastAsia="宋体" w:cs="Times New Roman"/>
          <w:color w:val="auto"/>
          <w:kern w:val="0"/>
          <w:sz w:val="24"/>
          <w:szCs w:val="24"/>
          <w:highlight w:val="none"/>
          <w:u w:val="single"/>
        </w:rPr>
        <w:t>限额</w:t>
      </w:r>
      <w:r>
        <w:rPr>
          <w:rFonts w:hint="eastAsia" w:ascii="Times New Roman" w:hAnsi="Times New Roman" w:eastAsia="宋体" w:cs="Times New Roman"/>
          <w:color w:val="auto"/>
          <w:kern w:val="0"/>
          <w:sz w:val="24"/>
          <w:szCs w:val="24"/>
          <w:highlight w:val="none"/>
          <w:u w:val="single"/>
          <w:lang w:val="en-US" w:eastAsia="zh-CN"/>
        </w:rPr>
        <w:t>设计。</w:t>
      </w:r>
    </w:p>
    <w:p w14:paraId="7E57B7A8">
      <w:pPr>
        <w:widowControl/>
        <w:jc w:val="left"/>
        <w:rPr>
          <w:rFonts w:hint="eastAsia" w:ascii="Times New Roman" w:hAnsi="Times New Roman" w:eastAsia="宋体" w:cs="Times New Roman"/>
          <w:color w:val="auto"/>
          <w:kern w:val="0"/>
          <w:sz w:val="24"/>
          <w:szCs w:val="24"/>
          <w:highlight w:val="none"/>
        </w:rPr>
      </w:pPr>
    </w:p>
    <w:p w14:paraId="5CDC0A87">
      <w:pPr>
        <w:widowControl/>
        <w:ind w:firstLine="480" w:firstLineChars="200"/>
        <w:jc w:val="left"/>
        <w:rPr>
          <w:rFonts w:hint="eastAsia" w:ascii="宋体" w:hAnsi="宋体" w:eastAsia="宋体" w:cs="宋体"/>
          <w:color w:val="auto"/>
          <w:kern w:val="0"/>
          <w:sz w:val="24"/>
          <w:szCs w:val="24"/>
          <w:highlight w:val="none"/>
        </w:rPr>
      </w:pPr>
    </w:p>
    <w:p w14:paraId="749D5A03">
      <w:pPr>
        <w:pStyle w:val="9"/>
        <w:widowControl/>
        <w:spacing w:before="0" w:beforeAutospacing="0" w:after="0" w:afterAutospacing="0" w:line="360" w:lineRule="auto"/>
        <w:rPr>
          <w:rFonts w:hint="eastAsia" w:ascii="宋体" w:hAnsi="宋体" w:eastAsia="宋体" w:cs="宋体"/>
          <w:color w:val="auto"/>
          <w:highlight w:val="none"/>
        </w:rPr>
      </w:pPr>
      <w:r>
        <w:rPr>
          <w:rFonts w:hint="eastAsia" w:ascii="宋体" w:hAnsi="宋体" w:eastAsia="宋体" w:cs="宋体"/>
          <w:b/>
          <w:bCs/>
          <w:color w:val="auto"/>
          <w:highlight w:val="none"/>
        </w:rPr>
        <w:t>三、</w:t>
      </w:r>
      <w:r>
        <w:rPr>
          <w:rFonts w:hint="eastAsia" w:ascii="宋体" w:hAnsi="宋体" w:cs="宋体"/>
          <w:b/>
          <w:bCs/>
          <w:color w:val="auto"/>
          <w:highlight w:val="none"/>
          <w:lang w:val="en-US" w:eastAsia="zh-CN"/>
        </w:rPr>
        <w:t>设计</w:t>
      </w:r>
      <w:r>
        <w:rPr>
          <w:rFonts w:hint="eastAsia" w:ascii="宋体" w:hAnsi="宋体" w:eastAsia="宋体" w:cs="宋体"/>
          <w:b/>
          <w:bCs/>
          <w:color w:val="auto"/>
          <w:highlight w:val="none"/>
          <w:lang w:val="en-US" w:eastAsia="zh-CN"/>
        </w:rPr>
        <w:t>合同</w:t>
      </w:r>
      <w:r>
        <w:rPr>
          <w:rFonts w:hint="eastAsia" w:ascii="宋体" w:hAnsi="宋体" w:eastAsia="宋体" w:cs="宋体"/>
          <w:b/>
          <w:bCs/>
          <w:color w:val="auto"/>
          <w:highlight w:val="none"/>
        </w:rPr>
        <w:t>范围及工作内容</w:t>
      </w:r>
    </w:p>
    <w:p w14:paraId="1FF1612A">
      <w:pPr>
        <w:pStyle w:val="9"/>
        <w:widowControl/>
        <w:spacing w:before="0" w:beforeAutospacing="0" w:after="0" w:afterAutospacing="0" w:line="360" w:lineRule="auto"/>
        <w:rPr>
          <w:rFonts w:hint="eastAsia" w:ascii="宋体" w:hAnsi="宋体" w:eastAsia="宋体" w:cs="宋体"/>
          <w:color w:val="auto"/>
          <w:highlight w:val="none"/>
        </w:rPr>
      </w:pPr>
      <w:r>
        <w:rPr>
          <w:rFonts w:hint="eastAsia" w:ascii="宋体" w:hAnsi="宋体" w:eastAsia="宋体" w:cs="宋体"/>
          <w:b/>
          <w:bCs/>
          <w:color w:val="auto"/>
          <w:highlight w:val="none"/>
        </w:rPr>
        <w:t>3.1设计</w:t>
      </w:r>
      <w:r>
        <w:rPr>
          <w:rFonts w:hint="eastAsia" w:ascii="宋体" w:hAnsi="宋体" w:cs="宋体"/>
          <w:b/>
          <w:bCs/>
          <w:color w:val="auto"/>
          <w:highlight w:val="none"/>
          <w:lang w:val="en-US" w:eastAsia="zh-CN"/>
        </w:rPr>
        <w:t>合同</w:t>
      </w:r>
      <w:r>
        <w:rPr>
          <w:rFonts w:hint="eastAsia" w:ascii="宋体" w:hAnsi="宋体" w:eastAsia="宋体" w:cs="宋体"/>
          <w:b/>
          <w:bCs/>
          <w:color w:val="auto"/>
          <w:highlight w:val="none"/>
        </w:rPr>
        <w:t>范围</w:t>
      </w:r>
      <w:r>
        <w:rPr>
          <w:rFonts w:hint="eastAsia" w:ascii="宋体" w:hAnsi="宋体" w:eastAsia="宋体" w:cs="宋体"/>
          <w:color w:val="auto"/>
          <w:highlight w:val="none"/>
        </w:rPr>
        <w:t>：</w:t>
      </w:r>
    </w:p>
    <w:p w14:paraId="23F486EF">
      <w:pPr>
        <w:pStyle w:val="9"/>
        <w:widowControl/>
        <w:spacing w:before="0" w:beforeAutospacing="0" w:after="0" w:afterAutospacing="0" w:line="360" w:lineRule="auto"/>
        <w:rPr>
          <w:rFonts w:hint="eastAsia" w:ascii="宋体" w:hAnsi="宋体" w:eastAsia="宋体" w:cs="宋体"/>
          <w:color w:val="auto"/>
          <w:highlight w:val="none"/>
          <w:lang w:eastAsia="zh-CN"/>
        </w:rPr>
      </w:pPr>
      <w:r>
        <w:rPr>
          <w:rFonts w:hint="eastAsia" w:ascii="宋体" w:hAnsi="宋体" w:eastAsia="宋体" w:cs="宋体"/>
          <w:color w:val="auto"/>
          <w:sz w:val="16"/>
          <w:szCs w:val="16"/>
          <w:highlight w:val="none"/>
        </w:rPr>
        <w:t>●</w:t>
      </w:r>
      <w:r>
        <w:rPr>
          <w:rFonts w:hint="eastAsia" w:ascii="宋体" w:hAnsi="宋体" w:eastAsia="宋体" w:cs="宋体"/>
          <w:color w:val="auto"/>
          <w:highlight w:val="none"/>
        </w:rPr>
        <w:t xml:space="preserve"> 建设内容的方案设计（含修规、景观会、总师会（若有）、单体报建、设计估算）、初步设计（概算编制、深化方案及选型）、施工图设计、工程招标配合以及施工全过程配合（设计封样、设计变更、图纸会审等）、竣工图（通）编制，以及配合各阶段的报建、盖章及送审服务</w:t>
      </w:r>
      <w:r>
        <w:rPr>
          <w:rFonts w:hint="eastAsia" w:ascii="宋体" w:hAnsi="宋体" w:eastAsia="宋体" w:cs="宋体"/>
          <w:color w:val="auto"/>
          <w:highlight w:val="none"/>
          <w:lang w:eastAsia="zh-CN"/>
        </w:rPr>
        <w:t>。</w:t>
      </w:r>
      <w:r>
        <w:rPr>
          <w:rFonts w:hint="eastAsia" w:ascii="宋体" w:hAnsi="宋体" w:cs="宋体"/>
          <w:color w:val="auto"/>
          <w:highlight w:val="none"/>
          <w:lang w:val="en-US" w:eastAsia="zh-CN"/>
        </w:rPr>
        <w:t>设计</w:t>
      </w:r>
      <w:r>
        <w:rPr>
          <w:rFonts w:hint="eastAsia" w:ascii="宋体" w:hAnsi="宋体" w:eastAsia="宋体" w:cs="宋体"/>
          <w:color w:val="auto"/>
          <w:highlight w:val="none"/>
          <w:lang w:eastAsia="zh-CN"/>
        </w:rPr>
        <w:t>总包</w:t>
      </w:r>
      <w:r>
        <w:rPr>
          <w:rFonts w:hint="eastAsia" w:ascii="宋体" w:hAnsi="宋体" w:cs="宋体"/>
          <w:color w:val="auto"/>
          <w:highlight w:val="none"/>
          <w:lang w:val="en-US" w:eastAsia="zh-CN"/>
        </w:rPr>
        <w:t>需</w:t>
      </w:r>
      <w:r>
        <w:rPr>
          <w:rFonts w:hint="eastAsia" w:ascii="宋体" w:hAnsi="宋体" w:eastAsia="宋体" w:cs="宋体"/>
          <w:color w:val="auto"/>
          <w:highlight w:val="none"/>
          <w:lang w:eastAsia="zh-CN"/>
        </w:rPr>
        <w:t>无条件接受发包人的合同工期要求，设计总包无条件接受发包人的限额设计要求</w:t>
      </w:r>
      <w:r>
        <w:rPr>
          <w:rFonts w:hint="eastAsia" w:ascii="宋体" w:hAnsi="宋体" w:cs="宋体"/>
          <w:color w:val="auto"/>
          <w:highlight w:val="none"/>
          <w:lang w:eastAsia="zh-CN"/>
        </w:rPr>
        <w:t>。</w:t>
      </w:r>
    </w:p>
    <w:p w14:paraId="6CE32A47">
      <w:pPr>
        <w:pStyle w:val="9"/>
        <w:widowControl/>
        <w:spacing w:before="0" w:beforeAutospacing="0" w:after="0" w:afterAutospacing="0" w:line="360" w:lineRule="auto"/>
        <w:rPr>
          <w:rFonts w:hint="eastAsia" w:ascii="宋体" w:hAnsi="宋体" w:eastAsia="宋体" w:cs="宋体"/>
          <w:color w:val="auto"/>
          <w:highlight w:val="none"/>
        </w:rPr>
      </w:pPr>
      <w:r>
        <w:rPr>
          <w:rFonts w:hint="eastAsia" w:ascii="宋体" w:hAnsi="宋体" w:eastAsia="宋体" w:cs="宋体"/>
          <w:b/>
          <w:bCs/>
          <w:color w:val="auto"/>
          <w:highlight w:val="none"/>
        </w:rPr>
        <w:t>3.2工作内容</w:t>
      </w:r>
      <w:r>
        <w:rPr>
          <w:rFonts w:hint="eastAsia" w:ascii="宋体" w:hAnsi="宋体" w:eastAsia="宋体" w:cs="宋体"/>
          <w:color w:val="auto"/>
          <w:highlight w:val="none"/>
        </w:rPr>
        <w:t>：</w:t>
      </w:r>
    </w:p>
    <w:p w14:paraId="063CA158">
      <w:pPr>
        <w:numPr>
          <w:ilvl w:val="0"/>
          <w:numId w:val="0"/>
        </w:numPr>
        <w:spacing w:line="360" w:lineRule="auto"/>
        <w:ind w:firstLine="480" w:firstLineChars="200"/>
        <w:rPr>
          <w:rFonts w:hint="eastAsia" w:ascii="宋体" w:hAnsi="宋体" w:eastAsia="宋体" w:cs="宋体"/>
          <w:snapToGrid/>
          <w:color w:val="auto"/>
          <w:kern w:val="2"/>
          <w:sz w:val="24"/>
          <w:szCs w:val="24"/>
          <w:highlight w:val="none"/>
          <w:u w:val="none"/>
          <w:lang w:val="en-US" w:eastAsia="zh-CN" w:bidi="ar"/>
        </w:rPr>
      </w:pPr>
      <w:r>
        <w:rPr>
          <w:rFonts w:hint="eastAsia" w:ascii="宋体" w:hAnsi="宋体" w:eastAsia="宋体" w:cs="宋体"/>
          <w:color w:val="auto"/>
          <w:sz w:val="24"/>
          <w:szCs w:val="24"/>
          <w:highlight w:val="none"/>
          <w:u w:val="none"/>
        </w:rPr>
        <w:t>负责</w:t>
      </w:r>
      <w:r>
        <w:rPr>
          <w:rFonts w:hint="eastAsia" w:ascii="宋体" w:hAnsi="宋体" w:eastAsia="宋体" w:cs="宋体"/>
          <w:color w:val="auto"/>
          <w:kern w:val="0"/>
          <w:sz w:val="24"/>
          <w:szCs w:val="24"/>
          <w:highlight w:val="none"/>
          <w:u w:val="none"/>
          <w:lang w:val="zh-CN" w:bidi="zh-CN"/>
        </w:rPr>
        <w:t>海珠湿地绿谷项目设计施工总承包（EPC）</w:t>
      </w:r>
      <w:r>
        <w:rPr>
          <w:rFonts w:hint="eastAsia" w:ascii="宋体" w:hAnsi="宋体" w:eastAsia="宋体" w:cs="宋体"/>
          <w:color w:val="auto"/>
          <w:sz w:val="24"/>
          <w:szCs w:val="24"/>
          <w:highlight w:val="none"/>
          <w:u w:val="none"/>
        </w:rPr>
        <w:t>本项目实施范围内及周边（若与本项目关联</w:t>
      </w:r>
      <w:r>
        <w:rPr>
          <w:rFonts w:hint="eastAsia" w:ascii="宋体" w:hAnsi="宋体" w:eastAsia="宋体" w:cs="宋体"/>
          <w:color w:val="auto"/>
          <w:sz w:val="24"/>
          <w:szCs w:val="24"/>
          <w:highlight w:val="none"/>
          <w:u w:val="none"/>
          <w:lang w:val="en-US" w:eastAsia="zh-CN"/>
        </w:rPr>
        <w:t>且</w:t>
      </w:r>
      <w:r>
        <w:rPr>
          <w:rFonts w:hint="eastAsia" w:ascii="宋体" w:hAnsi="宋体" w:eastAsia="宋体" w:cs="宋体"/>
          <w:color w:val="auto"/>
          <w:sz w:val="24"/>
          <w:szCs w:val="24"/>
          <w:highlight w:val="none"/>
          <w:u w:val="none"/>
        </w:rPr>
        <w:t>有设计需求</w:t>
      </w:r>
      <w:r>
        <w:rPr>
          <w:rFonts w:hint="eastAsia" w:ascii="宋体" w:hAnsi="宋体" w:eastAsia="宋体" w:cs="宋体"/>
          <w:color w:val="auto"/>
          <w:sz w:val="24"/>
          <w:szCs w:val="24"/>
          <w:highlight w:val="none"/>
          <w:u w:val="none"/>
          <w:lang w:val="en-US" w:eastAsia="zh-CN"/>
        </w:rPr>
        <w:t>的</w:t>
      </w:r>
      <w:r>
        <w:rPr>
          <w:rFonts w:hint="eastAsia" w:ascii="宋体" w:hAnsi="宋体" w:eastAsia="宋体" w:cs="宋体"/>
          <w:color w:val="auto"/>
          <w:sz w:val="24"/>
          <w:szCs w:val="24"/>
          <w:highlight w:val="none"/>
          <w:u w:val="none"/>
        </w:rPr>
        <w:t>），包含但不限于所有建筑、结构（含挡土墙（若有））、给排水、电气、智能化、</w:t>
      </w:r>
      <w:r>
        <w:rPr>
          <w:rFonts w:hint="eastAsia" w:ascii="宋体" w:hAnsi="宋体" w:eastAsia="宋体" w:cs="宋体"/>
          <w:color w:val="auto"/>
          <w:sz w:val="24"/>
          <w:szCs w:val="24"/>
          <w:highlight w:val="none"/>
          <w:u w:val="none"/>
        </w:rPr>
        <w:t>通风空调、BIM管线设计</w:t>
      </w:r>
      <w:r>
        <w:rPr>
          <w:rFonts w:hint="eastAsia" w:ascii="宋体" w:hAnsi="宋体" w:eastAsia="宋体" w:cs="宋体"/>
          <w:color w:val="auto"/>
          <w:sz w:val="24"/>
          <w:szCs w:val="24"/>
          <w:highlight w:val="none"/>
          <w:u w:val="none"/>
        </w:rPr>
        <w:t>、酒店厨房（含洗衣房等）专项设计（若有）、酒店AV（声学影音）（若有）、酒店SPA设计（若有）、酒店水处理、泳池设备机房设计（若有）、消防、人防、土石方平衡及基坑支护、商业</w:t>
      </w:r>
      <w:r>
        <w:rPr>
          <w:rFonts w:hint="eastAsia" w:ascii="宋体" w:hAnsi="宋体" w:eastAsia="宋体" w:cs="宋体"/>
          <w:color w:val="auto"/>
          <w:sz w:val="24"/>
          <w:szCs w:val="24"/>
          <w:highlight w:val="none"/>
          <w:u w:val="none"/>
          <w:lang w:val="en-US" w:eastAsia="zh-CN"/>
        </w:rPr>
        <w:t>和办公的</w:t>
      </w:r>
      <w:r>
        <w:rPr>
          <w:rFonts w:hint="eastAsia" w:ascii="宋体" w:hAnsi="宋体" w:eastAsia="宋体" w:cs="宋体"/>
          <w:color w:val="auto"/>
          <w:sz w:val="24"/>
          <w:szCs w:val="24"/>
          <w:highlight w:val="none"/>
          <w:u w:val="none"/>
        </w:rPr>
        <w:t>公区精装设计</w:t>
      </w:r>
      <w:r>
        <w:rPr>
          <w:rFonts w:hint="eastAsia" w:ascii="宋体" w:hAnsi="宋体" w:eastAsia="宋体" w:cs="宋体"/>
          <w:color w:val="auto"/>
          <w:sz w:val="24"/>
          <w:szCs w:val="24"/>
          <w:highlight w:val="none"/>
          <w:u w:val="none"/>
        </w:rPr>
        <w:t>（含二次机电、消防、智能化设计）</w:t>
      </w:r>
      <w:r>
        <w:rPr>
          <w:rFonts w:hint="eastAsia" w:ascii="宋体" w:hAnsi="宋体" w:eastAsia="宋体" w:cs="宋体"/>
          <w:color w:val="auto"/>
          <w:sz w:val="24"/>
          <w:szCs w:val="24"/>
          <w:highlight w:val="none"/>
          <w:u w:val="none"/>
        </w:rPr>
        <w:t>、室内二次深化图盖章服务、幕墙、铝窗、卫生、环保、建筑节能、绿色建筑、海绵城市设计、小区市政、永电、永水、燃气、</w:t>
      </w:r>
      <w:r>
        <w:rPr>
          <w:rFonts w:hint="eastAsia" w:ascii="宋体" w:hAnsi="宋体" w:eastAsia="宋体" w:cs="宋体"/>
          <w:color w:val="auto"/>
          <w:sz w:val="24"/>
          <w:szCs w:val="24"/>
          <w:highlight w:val="none"/>
          <w:u w:val="none"/>
        </w:rPr>
        <w:t>信号覆盖</w:t>
      </w:r>
      <w:r>
        <w:rPr>
          <w:rFonts w:hint="eastAsia" w:ascii="宋体" w:hAnsi="宋体" w:eastAsia="宋体" w:cs="宋体"/>
          <w:color w:val="auto"/>
          <w:sz w:val="24"/>
          <w:szCs w:val="24"/>
          <w:highlight w:val="none"/>
          <w:u w:val="none"/>
        </w:rPr>
        <w:t>设计、装配式建筑、道路（含代建及配套道路）、景观绿化（总用地范围，含代建绿地、</w:t>
      </w:r>
      <w:r>
        <w:rPr>
          <w:rFonts w:hint="eastAsia" w:ascii="宋体" w:hAnsi="宋体" w:eastAsia="宋体" w:cs="宋体"/>
          <w:color w:val="auto"/>
          <w:sz w:val="24"/>
          <w:szCs w:val="24"/>
          <w:highlight w:val="none"/>
          <w:u w:val="none"/>
          <w:lang w:val="en-US" w:eastAsia="zh-CN"/>
        </w:rPr>
        <w:t>东南角租赁三角形绿地（若有）</w:t>
      </w:r>
      <w:r>
        <w:rPr>
          <w:rFonts w:hint="eastAsia" w:ascii="宋体" w:hAnsi="宋体" w:eastAsia="宋体" w:cs="宋体"/>
          <w:color w:val="auto"/>
          <w:sz w:val="24"/>
          <w:szCs w:val="24"/>
          <w:highlight w:val="none"/>
          <w:u w:val="none"/>
        </w:rPr>
        <w:t>、下沉广场景观设计（若有）、裙楼屋面（若有）</w:t>
      </w:r>
      <w:r>
        <w:rPr>
          <w:rFonts w:hint="eastAsia" w:ascii="宋体" w:hAnsi="宋体" w:eastAsia="宋体" w:cs="宋体"/>
          <w:color w:val="auto"/>
          <w:sz w:val="24"/>
          <w:szCs w:val="24"/>
          <w:highlight w:val="none"/>
          <w:u w:val="none"/>
          <w:lang w:eastAsia="zh-CN"/>
        </w:rPr>
        <w:t>、</w:t>
      </w:r>
      <w:r>
        <w:rPr>
          <w:rFonts w:hint="eastAsia" w:ascii="宋体" w:hAnsi="宋体" w:eastAsia="宋体" w:cs="宋体"/>
          <w:color w:val="auto"/>
          <w:sz w:val="24"/>
          <w:szCs w:val="24"/>
          <w:highlight w:val="none"/>
          <w:u w:val="none"/>
        </w:rPr>
        <w:t>含精神堡垒或LOGO（如有）、含水景、花镜等专项设计（如有））、标识设计、交通划线（含地库车位划线）、交通顾问设计、泛光照明、空中连廊（若有）</w:t>
      </w:r>
      <w:r>
        <w:rPr>
          <w:rFonts w:hint="eastAsia" w:ascii="宋体" w:hAnsi="宋体" w:eastAsia="宋体" w:cs="宋体"/>
          <w:color w:val="auto"/>
          <w:sz w:val="24"/>
          <w:szCs w:val="24"/>
          <w:highlight w:val="none"/>
          <w:u w:val="none"/>
          <w:lang w:eastAsia="zh-CN"/>
        </w:rPr>
        <w:t>、</w:t>
      </w:r>
      <w:r>
        <w:rPr>
          <w:rFonts w:hint="eastAsia" w:ascii="宋体" w:hAnsi="宋体" w:eastAsia="宋体" w:cs="宋体"/>
          <w:color w:val="auto"/>
          <w:sz w:val="24"/>
          <w:szCs w:val="24"/>
          <w:highlight w:val="none"/>
          <w:u w:val="none"/>
          <w:lang w:val="en-US" w:eastAsia="zh-CN"/>
        </w:rPr>
        <w:t>南侧连桥、停机坪</w:t>
      </w:r>
      <w:r>
        <w:rPr>
          <w:rFonts w:hint="eastAsia" w:ascii="宋体" w:hAnsi="宋体" w:eastAsia="宋体" w:cs="宋体"/>
          <w:color w:val="auto"/>
          <w:sz w:val="24"/>
          <w:szCs w:val="24"/>
          <w:highlight w:val="none"/>
          <w:u w:val="none"/>
        </w:rPr>
        <w:t>（若有）等所有专业设计工作。</w:t>
      </w:r>
    </w:p>
    <w:p w14:paraId="497380D7">
      <w:pPr>
        <w:pStyle w:val="9"/>
        <w:widowControl/>
        <w:spacing w:before="0" w:beforeAutospacing="0" w:after="0" w:afterAutospacing="0" w:line="360" w:lineRule="auto"/>
        <w:ind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若与海珠湿地绿谷项目设计施工总承包（EPC）合同相关内容有冲突，则以合同内容为准。</w:t>
      </w:r>
    </w:p>
    <w:p w14:paraId="2C10E7BE">
      <w:pPr>
        <w:pStyle w:val="9"/>
        <w:widowControl/>
        <w:spacing w:before="0" w:beforeAutospacing="0" w:after="0" w:afterAutospacing="0" w:line="360" w:lineRule="auto"/>
        <w:ind w:firstLine="480" w:firstLineChars="200"/>
        <w:rPr>
          <w:rFonts w:hint="eastAsia"/>
          <w:color w:val="auto"/>
          <w:highlight w:val="none"/>
          <w:lang w:val="en-US" w:eastAsia="zh-CN"/>
        </w:rPr>
      </w:pPr>
    </w:p>
    <w:p w14:paraId="589E7474">
      <w:pPr>
        <w:pStyle w:val="9"/>
        <w:widowControl/>
        <w:spacing w:before="0" w:beforeAutospacing="0" w:after="0" w:afterAutospacing="0" w:line="360" w:lineRule="auto"/>
        <w:rPr>
          <w:rFonts w:hint="default"/>
          <w:color w:val="auto"/>
          <w:highlight w:val="none"/>
          <w:lang w:val="en-US" w:eastAsia="zh-CN"/>
        </w:rPr>
      </w:pPr>
    </w:p>
    <w:p w14:paraId="1B8A0309">
      <w:pPr>
        <w:pStyle w:val="9"/>
        <w:widowControl/>
        <w:spacing w:before="0" w:beforeAutospacing="0" w:after="0" w:afterAutospacing="0"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四、工程设计范围、阶段与服务内容</w:t>
      </w:r>
    </w:p>
    <w:p w14:paraId="26E6E1A4">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一、本工程设计范围</w:t>
      </w:r>
    </w:p>
    <w:p w14:paraId="58C76A96">
      <w:pPr>
        <w:spacing w:line="360" w:lineRule="auto"/>
        <w:ind w:firstLine="482" w:firstLineChars="200"/>
        <w:jc w:val="left"/>
        <w:rPr>
          <w:rFonts w:hint="eastAsia" w:ascii="宋体" w:hAnsi="宋体" w:eastAsia="宋体" w:cs="宋体"/>
          <w:color w:val="auto"/>
          <w:sz w:val="24"/>
          <w:szCs w:val="24"/>
          <w:highlight w:val="none"/>
          <w:u w:val="none"/>
        </w:rPr>
      </w:pPr>
      <w:r>
        <w:rPr>
          <w:rFonts w:hint="eastAsia" w:ascii="宋体" w:hAnsi="宋体" w:eastAsia="宋体" w:cs="宋体"/>
          <w:b/>
          <w:color w:val="auto"/>
          <w:sz w:val="24"/>
          <w:szCs w:val="24"/>
          <w:highlight w:val="none"/>
        </w:rPr>
        <w:t>造价部分：</w:t>
      </w:r>
      <w:r>
        <w:rPr>
          <w:rFonts w:hint="eastAsia" w:ascii="宋体" w:hAnsi="宋体" w:eastAsia="宋体" w:cs="宋体"/>
          <w:bCs/>
          <w:color w:val="auto"/>
          <w:sz w:val="24"/>
          <w:szCs w:val="24"/>
          <w:highlight w:val="none"/>
        </w:rPr>
        <w:t>按照限额设计要求，完成本项目招标范围内工程投资方案设计估算、初步设计概算等编制及相关配合报审工作。还包括各阶段方案比选、技术选型比选、协助施工阶段的设计变更造价变化分析、协助竣工图审核（如需）等，</w:t>
      </w:r>
      <w:r>
        <w:rPr>
          <w:rFonts w:hint="eastAsia" w:ascii="宋体" w:hAnsi="宋体" w:eastAsia="宋体" w:cs="宋体"/>
          <w:color w:val="auto"/>
          <w:sz w:val="24"/>
          <w:szCs w:val="24"/>
          <w:highlight w:val="none"/>
          <w:u w:val="none"/>
        </w:rPr>
        <w:t>在保证设计质量的前提下，全过程实行限额设计,在包含完整批复初步设计概算全部建设内容的前提下，必须按照业主方确定的投资额度和要求严格控制，进行投资分解和分析，实行投资控制，严格控制方案设计阶段、初步设计阶段和施工图设计阶段及施工阶段等，确保工程概、预算不突破投资目标。</w:t>
      </w:r>
    </w:p>
    <w:p w14:paraId="7E5369C7">
      <w:pPr>
        <w:spacing w:line="360" w:lineRule="auto"/>
        <w:ind w:firstLine="480" w:firstLineChars="200"/>
        <w:jc w:val="left"/>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u w:val="none"/>
        </w:rPr>
        <w:t xml:space="preserve">1）方案设计阶段：设计人依据设计方案成果编制造价估算文件，估算不可超可研，并与第三方造价咨询单位、业主沟通达成一致。完成估算编制后，配合第三方造价咨询单位进行方案阶段成果应与可行性研究成果进行对比和分析，对超出限额的部分进行说明和分析，提出修改指引和意见并报送发包人。 </w:t>
      </w:r>
    </w:p>
    <w:p w14:paraId="7E2BC89B">
      <w:pPr>
        <w:spacing w:line="360" w:lineRule="auto"/>
        <w:ind w:firstLine="480" w:firstLineChars="200"/>
        <w:jc w:val="left"/>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u w:val="none"/>
        </w:rPr>
        <w:t>2）初步设计阶段：根据成果编制初步设计概算以及设计变更概算，初步设计过程中，设计人应对主要总规划、建筑方案、结构形式、工艺流程、主要设备指标等提出技术和经济方面的比选方案。保证概算不超估算。配合发包人完成施工总包招标的相关设计资料。完成材料设备品牌表以及幕墙技术规格书，用以制定专业设计原则进行方案设计及材料设备选型，以专业工程作为评价，做好专业内的平衡和调整，提出节约投资的措施。初步设计文件确定后，设计人对概算文件进行对比和分析，概算不可超估算，和设计效果匹配,并与第三方造价咨询单位、业主沟通达成一致。对超出限额的部分进行说明和分析，提出修改指引和意见供发包人参考。</w:t>
      </w:r>
    </w:p>
    <w:p w14:paraId="12629B23">
      <w:pPr>
        <w:spacing w:line="360" w:lineRule="auto"/>
        <w:ind w:firstLine="480" w:firstLineChars="200"/>
        <w:jc w:val="left"/>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u w:val="none"/>
        </w:rPr>
        <w:t>3）施工图阶段：施工图预算由施工单位完成编制后，由第三方造价咨询单位负责预算与初步设计概算进行对比和分析，控制预算不超概算且不超施工招标建安费金额，和设计效果匹配,与各方积极沟通，</w:t>
      </w:r>
      <w:bookmarkStart w:id="3" w:name="_GoBack"/>
      <w:bookmarkEnd w:id="3"/>
      <w:r>
        <w:rPr>
          <w:rFonts w:hint="eastAsia" w:ascii="宋体" w:hAnsi="宋体" w:eastAsia="宋体" w:cs="宋体"/>
          <w:color w:val="auto"/>
          <w:sz w:val="24"/>
          <w:szCs w:val="24"/>
          <w:highlight w:val="none"/>
          <w:u w:val="none"/>
        </w:rPr>
        <w:t>协助业主解决与之相关的问题。设计人应对差距大的部分进行核对，超出或需要调整的设计内容，在不影响工程功能水平、工程质量、工程运营维护成本、全寿命周期费用等情况下，配合进行设计优化，确保预算不超出设计限额和工程总投资额。</w:t>
      </w:r>
    </w:p>
    <w:p w14:paraId="545AA32D">
      <w:pPr>
        <w:spacing w:line="360" w:lineRule="auto"/>
        <w:ind w:firstLine="480" w:firstLineChars="200"/>
        <w:jc w:val="left"/>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u w:val="none"/>
        </w:rPr>
        <w:t>4）工程招标配合阶段：协助发包人进行工程招标文件的编制与答疑，提供设计材料样板、确认材料与设备品牌表（着重注意品牌表、设计样板要在概算中列出。）</w:t>
      </w:r>
    </w:p>
    <w:p w14:paraId="4278E299">
      <w:pPr>
        <w:spacing w:line="360" w:lineRule="auto"/>
        <w:ind w:firstLine="480" w:firstLineChars="200"/>
        <w:jc w:val="left"/>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u w:val="none"/>
        </w:rPr>
        <w:t>5）施工阶段：加强设计变更管理，应严格控制变更的发生，对非发生不可的变更，应尽量提前。设计人应先对工程重大设计变更方案进行造价估算，开展价值工程研究，向发包人报送新旧设计方案行造价估算、施工工艺、功能等方面对比分析，供发包人参考使用。发包人同意后，设计人才可以出正式设计变更文件。并由第三方造价咨询单位对设计变更造价进行动态管理</w:t>
      </w:r>
    </w:p>
    <w:p w14:paraId="6A436131">
      <w:pPr>
        <w:topLinePunct/>
        <w:spacing w:line="440" w:lineRule="exact"/>
        <w:ind w:firstLine="482" w:firstLineChars="20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建筑工程部分：</w:t>
      </w:r>
    </w:p>
    <w:p w14:paraId="386DAC53">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本项目范围内的建筑工程设计具体为：</w:t>
      </w:r>
    </w:p>
    <w:p w14:paraId="7DB66DBB">
      <w:pPr>
        <w:numPr>
          <w:ilvl w:val="0"/>
          <w:numId w:val="3"/>
        </w:num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方案设计、修改及完善：根据现行《建筑工程设计文件编制深度规定》中关于方案设计应达到的设计深度要求，同时根据专家评审意见及有关职能部门提出的修改意见，对发包人选定的设计方案进行修改和完善。</w:t>
      </w:r>
    </w:p>
    <w:p w14:paraId="27E28E8B">
      <w:pPr>
        <w:numPr>
          <w:ilvl w:val="0"/>
          <w:numId w:val="3"/>
        </w:num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规划及单体方案审查：</w:t>
      </w:r>
      <w:r>
        <w:rPr>
          <w:rFonts w:hint="eastAsia" w:ascii="宋体" w:hAnsi="宋体" w:eastAsia="宋体" w:cs="宋体"/>
          <w:color w:val="auto"/>
          <w:sz w:val="24"/>
          <w:szCs w:val="24"/>
          <w:highlight w:val="none"/>
          <w:u w:val="single"/>
        </w:rPr>
        <w:t xml:space="preserve"> 红线</w:t>
      </w:r>
      <w:r>
        <w:rPr>
          <w:rFonts w:hint="eastAsia" w:ascii="宋体" w:hAnsi="宋体" w:eastAsia="宋体" w:cs="宋体"/>
          <w:color w:val="auto"/>
          <w:sz w:val="24"/>
          <w:szCs w:val="24"/>
          <w:highlight w:val="none"/>
        </w:rPr>
        <w:t xml:space="preserve"> 范围内（具体以发包人书面要求为准）总平面及竖向规划设计、室外管线综合设计、建筑布局、交通组织、景观绿化、建筑立面、环境节能保护等。</w:t>
      </w:r>
    </w:p>
    <w:p w14:paraId="22ED8E47">
      <w:pPr>
        <w:numPr>
          <w:ilvl w:val="0"/>
          <w:numId w:val="3"/>
        </w:num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建筑设计：本项目范围内建筑体及附属设施的建筑施工图设计等。</w:t>
      </w:r>
    </w:p>
    <w:p w14:paraId="36B6D71F">
      <w:pPr>
        <w:numPr>
          <w:ilvl w:val="0"/>
          <w:numId w:val="3"/>
        </w:num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结构设计：本项目范围内建筑体及附属设施的结构设计、幕墙等装修工程的结构设计等。</w:t>
      </w:r>
    </w:p>
    <w:p w14:paraId="03BF0BA2">
      <w:pPr>
        <w:numPr>
          <w:ilvl w:val="0"/>
          <w:numId w:val="3"/>
        </w:num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电气设计：建筑内部高低压变配电系统</w:t>
      </w:r>
      <w:r>
        <w:rPr>
          <w:rFonts w:hint="eastAsia" w:ascii="宋体" w:hAnsi="宋体" w:eastAsia="宋体" w:cs="宋体"/>
          <w:color w:val="auto"/>
          <w:sz w:val="24"/>
          <w:szCs w:val="24"/>
          <w:highlight w:val="none"/>
        </w:rPr>
        <w:t>、动力配电、</w:t>
      </w:r>
      <w:r>
        <w:rPr>
          <w:rFonts w:hint="eastAsia" w:ascii="宋体" w:hAnsi="宋体" w:eastAsia="宋体" w:cs="宋体"/>
          <w:color w:val="auto"/>
          <w:sz w:val="24"/>
          <w:szCs w:val="24"/>
          <w:highlight w:val="none"/>
        </w:rPr>
        <w:t>照明配电、</w:t>
      </w:r>
      <w:r>
        <w:rPr>
          <w:rFonts w:hint="eastAsia" w:ascii="宋体" w:hAnsi="宋体" w:eastAsia="宋体" w:cs="宋体"/>
          <w:color w:val="auto"/>
          <w:sz w:val="24"/>
          <w:szCs w:val="24"/>
          <w:highlight w:val="none"/>
        </w:rPr>
        <w:t>消防</w:t>
      </w:r>
      <w:r>
        <w:rPr>
          <w:rFonts w:hint="eastAsia" w:ascii="宋体" w:hAnsi="宋体" w:eastAsia="宋体" w:cs="宋体"/>
          <w:color w:val="auto"/>
          <w:sz w:val="24"/>
          <w:szCs w:val="24"/>
          <w:highlight w:val="none"/>
        </w:rPr>
        <w:t>、防雷及接地等，室外配套工程配电和照明工程（含泛光照明），红线内电力等管线综合等。另需根据装修设计点位进行精装修二次</w:t>
      </w:r>
      <w:r>
        <w:rPr>
          <w:rFonts w:hint="eastAsia" w:ascii="宋体" w:hAnsi="宋体" w:eastAsia="宋体" w:cs="宋体"/>
          <w:color w:val="auto"/>
          <w:sz w:val="24"/>
          <w:szCs w:val="24"/>
          <w:highlight w:val="none"/>
        </w:rPr>
        <w:t>电气及消防</w:t>
      </w:r>
      <w:r>
        <w:rPr>
          <w:rFonts w:hint="eastAsia" w:ascii="宋体" w:hAnsi="宋体" w:eastAsia="宋体" w:cs="宋体"/>
          <w:color w:val="auto"/>
          <w:sz w:val="24"/>
          <w:szCs w:val="24"/>
          <w:highlight w:val="none"/>
        </w:rPr>
        <w:t>设计。</w:t>
      </w:r>
    </w:p>
    <w:p w14:paraId="28E1A709">
      <w:pPr>
        <w:numPr>
          <w:ilvl w:val="0"/>
          <w:numId w:val="3"/>
        </w:numPr>
        <w:pBdr>
          <w:bottom w:val="none" w:color="auto" w:sz="0" w:space="0"/>
        </w:pBd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给排水设计（含外水接入、接出部分，需设计接至主管部门指定接口）：建筑给水、排水系统设计、集中热水供应系统（如有）、用地内外与市政管线接驳、</w:t>
      </w:r>
      <w:r>
        <w:rPr>
          <w:rFonts w:hint="eastAsia" w:ascii="宋体" w:hAnsi="宋体" w:eastAsia="宋体" w:cs="宋体"/>
          <w:color w:val="auto"/>
          <w:sz w:val="24"/>
          <w:szCs w:val="24"/>
          <w:highlight w:val="none"/>
        </w:rPr>
        <w:t>消防给水</w:t>
      </w:r>
      <w:r>
        <w:rPr>
          <w:rFonts w:hint="eastAsia" w:ascii="宋体" w:hAnsi="宋体" w:eastAsia="宋体" w:cs="宋体"/>
          <w:color w:val="auto"/>
          <w:sz w:val="24"/>
          <w:szCs w:val="24"/>
          <w:highlight w:val="none"/>
        </w:rPr>
        <w:t>等设计。</w:t>
      </w:r>
      <w:r>
        <w:rPr>
          <w:rFonts w:hint="eastAsia" w:ascii="宋体" w:hAnsi="宋体" w:eastAsia="宋体" w:cs="宋体"/>
          <w:color w:val="auto"/>
          <w:sz w:val="24"/>
          <w:szCs w:val="24"/>
          <w:highlight w:val="none"/>
        </w:rPr>
        <w:t>另需根据装修设计点位进行精装修二次给排水及消防设计。</w:t>
      </w:r>
    </w:p>
    <w:p w14:paraId="21D7FCA7">
      <w:pPr>
        <w:numPr>
          <w:ilvl w:val="0"/>
          <w:numId w:val="3"/>
        </w:numPr>
        <w:pBdr>
          <w:bottom w:val="none" w:color="auto" w:sz="0" w:space="0"/>
        </w:pBd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空调通风设计：建筑物内部通风系统、建筑物内部空气调节系统、集中供冷供热系统、</w:t>
      </w:r>
      <w:r>
        <w:rPr>
          <w:rFonts w:hint="eastAsia" w:ascii="宋体" w:hAnsi="宋体" w:eastAsia="宋体" w:cs="宋体"/>
          <w:color w:val="auto"/>
          <w:sz w:val="24"/>
          <w:szCs w:val="24"/>
          <w:highlight w:val="none"/>
        </w:rPr>
        <w:t>防排烟、排油烟</w:t>
      </w:r>
      <w:r>
        <w:rPr>
          <w:rFonts w:hint="eastAsia" w:ascii="宋体" w:hAnsi="宋体" w:eastAsia="宋体" w:cs="宋体"/>
          <w:color w:val="auto"/>
          <w:sz w:val="24"/>
          <w:szCs w:val="24"/>
          <w:highlight w:val="none"/>
        </w:rPr>
        <w:t>等的设计。</w:t>
      </w:r>
      <w:r>
        <w:rPr>
          <w:rFonts w:hint="eastAsia" w:ascii="宋体" w:hAnsi="宋体" w:eastAsia="宋体" w:cs="宋体"/>
          <w:color w:val="auto"/>
          <w:sz w:val="24"/>
          <w:szCs w:val="24"/>
          <w:highlight w:val="none"/>
        </w:rPr>
        <w:t>另需根据装修设计点位进行精装修二次给通风空调及消防设计。</w:t>
      </w:r>
    </w:p>
    <w:p w14:paraId="3AFA4514">
      <w:pPr>
        <w:numPr>
          <w:ilvl w:val="0"/>
          <w:numId w:val="3"/>
        </w:num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弱电设计：包括但不限于综合布线系统、入侵报警系统、视频监控系统、门禁系统、电子巡更系统、停车场管理系统、BA系统、酒店管理系统（如有）、综合管理平台（如有）、远程抄表系统等</w:t>
      </w:r>
      <w:r>
        <w:rPr>
          <w:rFonts w:hint="eastAsia" w:ascii="宋体" w:hAnsi="宋体" w:eastAsia="宋体" w:cs="宋体"/>
          <w:color w:val="auto"/>
          <w:sz w:val="24"/>
          <w:szCs w:val="24"/>
          <w:highlight w:val="none"/>
        </w:rPr>
        <w:t>；</w:t>
      </w:r>
    </w:p>
    <w:p w14:paraId="1880DCAA">
      <w:pPr>
        <w:numPr>
          <w:ilvl w:val="0"/>
          <w:numId w:val="3"/>
        </w:num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机房工程；</w:t>
      </w:r>
    </w:p>
    <w:p w14:paraId="4F7E79EE">
      <w:pPr>
        <w:numPr>
          <w:ilvl w:val="0"/>
          <w:numId w:val="3"/>
        </w:num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监控中心；</w:t>
      </w:r>
    </w:p>
    <w:p w14:paraId="1C297FEF">
      <w:pPr>
        <w:numPr>
          <w:ilvl w:val="0"/>
          <w:numId w:val="3"/>
        </w:num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电梯工程设计与相关配合；</w:t>
      </w:r>
    </w:p>
    <w:p w14:paraId="0BC03E2E">
      <w:pPr>
        <w:numPr>
          <w:ilvl w:val="0"/>
          <w:numId w:val="3"/>
        </w:numPr>
        <w:pBdr>
          <w:bottom w:val="none" w:color="auto" w:sz="0" w:space="0"/>
        </w:pBd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弱电防雷系统；</w:t>
      </w:r>
    </w:p>
    <w:p w14:paraId="2D2F8A5C">
      <w:pPr>
        <w:numPr>
          <w:ilvl w:val="0"/>
          <w:numId w:val="3"/>
        </w:num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人防设计。</w:t>
      </w:r>
    </w:p>
    <w:p w14:paraId="3BD33E7F">
      <w:pPr>
        <w:topLinePunct/>
        <w:spacing w:line="440" w:lineRule="exact"/>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专项部分：</w:t>
      </w:r>
    </w:p>
    <w:p w14:paraId="5CEC57E5">
      <w:pPr>
        <w:numPr>
          <w:ilvl w:val="0"/>
          <w:numId w:val="4"/>
        </w:num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室内装修设计（至施工图设计,</w:t>
      </w:r>
      <w:r>
        <w:rPr>
          <w:rFonts w:hint="eastAsia" w:ascii="宋体" w:hAnsi="宋体" w:eastAsia="宋体" w:cs="宋体"/>
          <w:color w:val="auto"/>
          <w:sz w:val="24"/>
          <w:szCs w:val="24"/>
          <w:highlight w:val="none"/>
        </w:rPr>
        <w:t xml:space="preserve"> 含室内机电、消防、智能化</w:t>
      </w:r>
      <w:r>
        <w:rPr>
          <w:rFonts w:hint="eastAsia" w:ascii="宋体" w:hAnsi="宋体" w:eastAsia="宋体" w:cs="宋体"/>
          <w:color w:val="auto"/>
          <w:sz w:val="24"/>
          <w:szCs w:val="24"/>
          <w:highlight w:val="none"/>
        </w:rPr>
        <w:t>）</w:t>
      </w:r>
    </w:p>
    <w:p w14:paraId="24A93C40">
      <w:pPr>
        <w:numPr>
          <w:ilvl w:val="0"/>
          <w:numId w:val="4"/>
        </w:num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室外市政、绿化景观工程设计（至施工图设计，</w:t>
      </w:r>
      <w:r>
        <w:rPr>
          <w:rFonts w:hint="eastAsia" w:ascii="宋体" w:hAnsi="宋体" w:eastAsia="宋体" w:cs="宋体"/>
          <w:color w:val="auto"/>
          <w:sz w:val="24"/>
          <w:szCs w:val="24"/>
          <w:highlight w:val="none"/>
        </w:rPr>
        <w:t>含景观机电设计</w:t>
      </w:r>
      <w:r>
        <w:rPr>
          <w:rFonts w:hint="eastAsia" w:ascii="宋体" w:hAnsi="宋体" w:eastAsia="宋体" w:cs="宋体"/>
          <w:color w:val="auto"/>
          <w:sz w:val="24"/>
          <w:szCs w:val="24"/>
          <w:highlight w:val="none"/>
        </w:rPr>
        <w:t>）：本项目范围内的道路、园林景观绿化、停车场、供电系统、照明系统、广播音响系统、安全防范监视系统、大屏幕显示系统、室外给排水系统、自动喷淋系统、消防系统等的设计，以及室外各种管线综合设计。</w:t>
      </w:r>
    </w:p>
    <w:p w14:paraId="32C90146">
      <w:pPr>
        <w:numPr>
          <w:ilvl w:val="0"/>
          <w:numId w:val="4"/>
        </w:num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幕墙工程（至施工图设计，需符合幕墙审图深度要求，若施工方需进行二次深化，设计人需负责审核并进行确认）</w:t>
      </w:r>
    </w:p>
    <w:p w14:paraId="7F0173AD">
      <w:pPr>
        <w:numPr>
          <w:ilvl w:val="0"/>
          <w:numId w:val="4"/>
        </w:num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泛光照明设计（至施工图设计）</w:t>
      </w:r>
    </w:p>
    <w:p w14:paraId="0CE40F60">
      <w:pPr>
        <w:numPr>
          <w:ilvl w:val="0"/>
          <w:numId w:val="4"/>
        </w:num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建筑智能化系统设计（至施工图设计）：</w:t>
      </w:r>
    </w:p>
    <w:p w14:paraId="430BD04B">
      <w:pPr>
        <w:numPr>
          <w:ilvl w:val="0"/>
          <w:numId w:val="5"/>
        </w:num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综合布线系统：包括计算机网络系统、电话（语音）网络系统、综合布线系统、有线电视及卫星电视接收系统、公共广播及消防广播系统、信息发布（含大屏幕电子公告）、引导系统、手机信号覆盖系统（预留条件）、无线上网系统等；</w:t>
      </w:r>
    </w:p>
    <w:p w14:paraId="7B484137">
      <w:pPr>
        <w:numPr>
          <w:ilvl w:val="0"/>
          <w:numId w:val="5"/>
        </w:num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建筑设备监控系统；</w:t>
      </w:r>
    </w:p>
    <w:p w14:paraId="53A182F4">
      <w:pPr>
        <w:numPr>
          <w:ilvl w:val="0"/>
          <w:numId w:val="5"/>
        </w:num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其他：包括但不限于入侵报警系统、视频监控系统、门禁系统、电子巡更系统、停车场管理系统、BA系统、酒店管理系统（如有）、综合管理平台（如有）、远程抄表系统等；</w:t>
      </w:r>
    </w:p>
    <w:p w14:paraId="76151CC8">
      <w:pPr>
        <w:numPr>
          <w:ilvl w:val="0"/>
          <w:numId w:val="5"/>
        </w:num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机房工程及防雷接地。</w:t>
      </w:r>
    </w:p>
    <w:p w14:paraId="232F09BA">
      <w:pPr>
        <w:numPr>
          <w:ilvl w:val="0"/>
          <w:numId w:val="5"/>
        </w:num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智能化系统集成；</w:t>
      </w:r>
    </w:p>
    <w:p w14:paraId="7F80FA2C">
      <w:pPr>
        <w:numPr>
          <w:ilvl w:val="0"/>
          <w:numId w:val="4"/>
        </w:num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外电设计，需包含报建报审，通过供电局审查；</w:t>
      </w:r>
    </w:p>
    <w:p w14:paraId="4020B2C1">
      <w:pPr>
        <w:numPr>
          <w:ilvl w:val="0"/>
          <w:numId w:val="4"/>
        </w:num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燃气设计，需包含报建报审，通过燃气公司审查；</w:t>
      </w:r>
    </w:p>
    <w:p w14:paraId="72C380B3">
      <w:pPr>
        <w:numPr>
          <w:ilvl w:val="0"/>
          <w:numId w:val="4"/>
        </w:num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按照项目的灯光、声学、舞台等特殊工艺设计要求进行建筑、结构及其配套设备专业的设计与相关配合。</w:t>
      </w:r>
    </w:p>
    <w:p w14:paraId="7FBFE782">
      <w:pPr>
        <w:numPr>
          <w:ilvl w:val="0"/>
          <w:numId w:val="4"/>
        </w:num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管线BIM设计：各种专业设备、系统的管线在建筑物内、外的路由BIM设计。建筑物内、外的管线BIM设计需提交模型、各层各类型管线平面图以及管线标高分析图</w:t>
      </w:r>
      <w:r>
        <w:rPr>
          <w:rFonts w:hint="eastAsia" w:ascii="宋体" w:hAnsi="宋体" w:eastAsia="宋体" w:cs="宋体"/>
          <w:color w:val="auto"/>
          <w:sz w:val="24"/>
          <w:szCs w:val="24"/>
          <w:highlight w:val="none"/>
        </w:rPr>
        <w:t>。</w:t>
      </w:r>
    </w:p>
    <w:p w14:paraId="57AA54FF">
      <w:pPr>
        <w:numPr>
          <w:ilvl w:val="0"/>
          <w:numId w:val="4"/>
        </w:num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设备选型意见：就拟采用的专用机电设备、专用电子设备（如大屏幕显示系统、广播音响系统等，特种设备除外）的选型于施工图设计开始前向发包人提出书面意见并提供相关设备的技术参数规格书，但不设计专用设备。</w:t>
      </w:r>
    </w:p>
    <w:p w14:paraId="3AEC0FAE">
      <w:pPr>
        <w:numPr>
          <w:ilvl w:val="0"/>
          <w:numId w:val="4"/>
        </w:num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建筑节能、绿色建筑设计和申报、验收，以及新技术应用的研究和设计。（本项目为绿建二星）</w:t>
      </w:r>
    </w:p>
    <w:p w14:paraId="7A879D94">
      <w:pPr>
        <w:numPr>
          <w:ilvl w:val="0"/>
          <w:numId w:val="4"/>
        </w:num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海绵城市：包含海绵城市的四图三表、海绵城市专篇。</w:t>
      </w:r>
    </w:p>
    <w:p w14:paraId="6BCF87E8">
      <w:pPr>
        <w:numPr>
          <w:ilvl w:val="0"/>
          <w:numId w:val="4"/>
        </w:num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人防设计（至施工图设计）</w:t>
      </w:r>
    </w:p>
    <w:p w14:paraId="36C55F21">
      <w:pPr>
        <w:numPr>
          <w:ilvl w:val="0"/>
          <w:numId w:val="4"/>
        </w:num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编制方案设计投资估算。</w:t>
      </w:r>
    </w:p>
    <w:p w14:paraId="29AAA218">
      <w:pPr>
        <w:numPr>
          <w:ilvl w:val="0"/>
          <w:numId w:val="4"/>
        </w:num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编制初步设计概算。</w:t>
      </w:r>
    </w:p>
    <w:p w14:paraId="7E3D0E2E">
      <w:pPr>
        <w:numPr>
          <w:ilvl w:val="0"/>
          <w:numId w:val="4"/>
        </w:num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对于合同范围内专项分包设计文件，须由设计人及专项分包单位人员校核并会签盖章确认。</w:t>
      </w:r>
    </w:p>
    <w:p w14:paraId="7C523397">
      <w:pPr>
        <w:numPr>
          <w:ilvl w:val="0"/>
          <w:numId w:val="4"/>
        </w:num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提供主要设备材料表及技术要求书，配合发包人的招标工作。</w:t>
      </w:r>
    </w:p>
    <w:p w14:paraId="2BA9AABD">
      <w:pPr>
        <w:numPr>
          <w:ilvl w:val="0"/>
          <w:numId w:val="4"/>
        </w:num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地震评估、环境评估、防雷评估、风洞试验、振动台试验、点试验、消防性能化分析及有关专项试验、研究与论证不在设计人设计范畴内，但设计人应配合发包人工作。</w:t>
      </w:r>
    </w:p>
    <w:p w14:paraId="5334A78D">
      <w:pPr>
        <w:numPr>
          <w:ilvl w:val="0"/>
          <w:numId w:val="4"/>
        </w:num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环保工程设计（如有）。</w:t>
      </w:r>
    </w:p>
    <w:p w14:paraId="64D25E53">
      <w:pPr>
        <w:numPr>
          <w:ilvl w:val="0"/>
          <w:numId w:val="4"/>
        </w:num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防雷设计。</w:t>
      </w:r>
    </w:p>
    <w:p w14:paraId="1B01C605">
      <w:pPr>
        <w:numPr>
          <w:ilvl w:val="0"/>
          <w:numId w:val="4"/>
        </w:num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钢结构（至招标图设计）</w:t>
      </w:r>
    </w:p>
    <w:p w14:paraId="55892CD3">
      <w:pPr>
        <w:spacing w:line="360" w:lineRule="auto"/>
        <w:jc w:val="left"/>
        <w:rPr>
          <w:rFonts w:hint="eastAsia" w:ascii="宋体" w:hAnsi="宋体" w:eastAsia="宋体" w:cs="宋体"/>
          <w:color w:val="auto"/>
          <w:sz w:val="24"/>
          <w:szCs w:val="24"/>
          <w:highlight w:val="none"/>
        </w:rPr>
      </w:pPr>
    </w:p>
    <w:p w14:paraId="51EDA3A5">
      <w:pPr>
        <w:numPr>
          <w:ilvl w:val="0"/>
          <w:numId w:val="4"/>
        </w:num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其他：</w:t>
      </w:r>
    </w:p>
    <w:p w14:paraId="305D08A0">
      <w:pPr>
        <w:numPr>
          <w:ilvl w:val="0"/>
          <w:numId w:val="6"/>
        </w:num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需进行装配式建筑设计，装配率需满足广州市住房和城乡建设局或规划条件相关规定的要求；</w:t>
      </w:r>
    </w:p>
    <w:p w14:paraId="157D9AEF">
      <w:pPr>
        <w:numPr>
          <w:ilvl w:val="0"/>
          <w:numId w:val="6"/>
        </w:num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运用BIM建筑信息模型进行设计，根据《广州市城市信息模型（CIM）平台建设试点工作联席会议办公室关于进一步加快推进我市建筑信息模型（BIM）技术应用的通知》（穗建 CIM〔2019〕3号）及行业主管部门的最新政策要求，满足招标人各阶段报建报批及施工图审查的要求。并需无偿向发包人提供相应格式的电子文件（BIM费用包含于设计费中，不另行支付）；</w:t>
      </w:r>
    </w:p>
    <w:p w14:paraId="2BB1ADEF">
      <w:pPr>
        <w:numPr>
          <w:ilvl w:val="0"/>
          <w:numId w:val="6"/>
        </w:num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技术配合工作：</w:t>
      </w:r>
      <w:r>
        <w:rPr>
          <w:rFonts w:hint="eastAsia" w:ascii="宋体" w:hAnsi="宋体" w:eastAsia="宋体" w:cs="宋体"/>
          <w:color w:val="auto"/>
          <w:sz w:val="24"/>
          <w:szCs w:val="24"/>
          <w:highlight w:val="none"/>
        </w:rPr>
        <w:t>负责网上填报各阶段报建相关资料，并负责纸质报送材料的整理组卷盖章工作。</w:t>
      </w:r>
      <w:r>
        <w:rPr>
          <w:rFonts w:hint="eastAsia" w:ascii="宋体" w:hAnsi="宋体" w:eastAsia="宋体" w:cs="宋体"/>
          <w:bCs/>
          <w:color w:val="auto"/>
          <w:sz w:val="24"/>
          <w:szCs w:val="24"/>
          <w:highlight w:val="none"/>
        </w:rPr>
        <w:t>协助甲方办理用地规划、用地预审手续批复等工作，甲方后续各类招标工作配合、施工图设计配合、设计变更配合、施工配合、现场服务、竣工验收及概算清理、专题研究等；负责施工图设计文件和施工图深化设计文件审核（审核内容包括与与方案设计和初步设计各专业的符合性及经济合理性、其他相关配套专业符合性等设计服务）；投资分解，以专业工程为单位，依据经批复的可研估算编制限额设计投资目标，作为方案设计和初步设计阶段限额设计的依据，确保施工图预算控制在经批准的初步设计概算范围内。</w:t>
      </w:r>
    </w:p>
    <w:p w14:paraId="4FCAE60A">
      <w:pPr>
        <w:numPr>
          <w:ilvl w:val="0"/>
          <w:numId w:val="6"/>
        </w:num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报建配合工作：①协助甲方向规划和自然资源部门办理《建设项目选址意见书》、《建设项目用地预审意见》、《建设用地规划许可证》、《建设用地批准书》、工程设计方案、管线综合规划、《建设工程规划许可证》等报建报批手续，负责上述证照所需的相关技术文件的编制，并协助甲方取得相应的批复意见。承包单位应根据规划和自然资源部门的意见对有关申报资料进行修改和补充，建设单位配合承包单位完善有关资料。</w:t>
      </w:r>
    </w:p>
    <w:p w14:paraId="7EE67502">
      <w:pPr>
        <w:numPr>
          <w:ilvl w:val="0"/>
          <w:numId w:val="6"/>
        </w:num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招商配合工作：配合提供项目宣传、招商等资料文件。</w:t>
      </w:r>
    </w:p>
    <w:p w14:paraId="4FBB776C">
      <w:pPr>
        <w:numPr>
          <w:ilvl w:val="0"/>
          <w:numId w:val="6"/>
        </w:num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竣工验收配合工作：①、设计人需承担验收、线上审图等政府相关部门要求所需的各类图纸审核、盖章及上传义务；②、本项目竣工图编制由施工单位负责，线上竣工图纸上传工作由设计人承担。</w:t>
      </w:r>
    </w:p>
    <w:p w14:paraId="6551F6BF">
      <w:pPr>
        <w:numPr>
          <w:ilvl w:val="0"/>
          <w:numId w:val="6"/>
        </w:num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各专业前期及设计过程中问题咨询，现场的施工配合与巡视等</w:t>
      </w:r>
    </w:p>
    <w:p w14:paraId="3D1E04C7">
      <w:pPr>
        <w:numPr>
          <w:ilvl w:val="0"/>
          <w:numId w:val="6"/>
        </w:numPr>
        <w:spacing w:line="360" w:lineRule="auto"/>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其他配合工作： </w:t>
      </w:r>
    </w:p>
    <w:p w14:paraId="7C0EEE81">
      <w:pPr>
        <w:spacing w:line="360" w:lineRule="auto"/>
        <w:ind w:firstLine="470" w:firstLineChars="196"/>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(1)若设计过程中有需要前往外地考察同类项目并借鉴其经验，承包单位应予以协助和配合。</w:t>
      </w:r>
    </w:p>
    <w:p w14:paraId="53BCC734">
      <w:pPr>
        <w:spacing w:line="360" w:lineRule="auto"/>
        <w:ind w:firstLine="470" w:firstLineChars="196"/>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(2)参加各类协调、论证、评审等会议，项目负责人及各专业负责人须到会，负责会议有关汇报文件、展示文件的制作和汇报，并汇总各方会上意见，编制会议纪要发送发包人审核。</w:t>
      </w:r>
    </w:p>
    <w:p w14:paraId="7B28DE74">
      <w:pPr>
        <w:spacing w:line="360" w:lineRule="auto"/>
        <w:ind w:firstLine="470" w:firstLineChars="196"/>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(3)参加由建设单位组织的必要的专家评审，评审专家劳务费用由承包单位负责。</w:t>
      </w:r>
    </w:p>
    <w:p w14:paraId="10232E2E">
      <w:pPr>
        <w:spacing w:line="360" w:lineRule="auto"/>
        <w:ind w:firstLine="470" w:firstLineChars="196"/>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(4)对材料、设备的选型提出合理化建议。</w:t>
      </w:r>
    </w:p>
    <w:p w14:paraId="287E96EA">
      <w:pPr>
        <w:spacing w:line="360" w:lineRule="auto"/>
        <w:ind w:firstLine="470" w:firstLineChars="196"/>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(5)对施工总包单位的招标工作提出合理化建议，配合有关资料的收集、整理和归档。</w:t>
      </w:r>
    </w:p>
    <w:p w14:paraId="7361BA78">
      <w:pPr>
        <w:spacing w:line="360" w:lineRule="auto"/>
        <w:ind w:left="420"/>
        <w:jc w:val="left"/>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注：①</w:t>
      </w:r>
      <w:r>
        <w:rPr>
          <w:rFonts w:hint="eastAsia" w:ascii="宋体" w:hAnsi="宋体" w:eastAsia="宋体" w:cs="宋体"/>
          <w:bCs/>
          <w:color w:val="auto"/>
          <w:sz w:val="24"/>
          <w:szCs w:val="24"/>
          <w:highlight w:val="none"/>
        </w:rPr>
        <w:t>各阶段设计文件深度要求必须满足《建筑工程设计文件编制深度规定》的要求，各专业还应该满足各专业工程设计文件编制深度规范或规定的要求。②需要考虑用地红线范围内的建筑场地设计，统筹考虑建筑和相邻市政道路之间的场地设计，对放坡、绿化景观等进行一体化考虑，有效处理道路和建筑之间的衔接。</w:t>
      </w:r>
    </w:p>
    <w:p w14:paraId="23BFFBA9">
      <w:pPr>
        <w:spacing w:line="360" w:lineRule="auto"/>
        <w:ind w:left="420"/>
        <w:jc w:val="left"/>
        <w:rPr>
          <w:rFonts w:hint="eastAsia" w:ascii="宋体" w:hAnsi="宋体" w:eastAsia="宋体" w:cs="宋体"/>
          <w:color w:val="auto"/>
          <w:sz w:val="24"/>
          <w:szCs w:val="24"/>
          <w:highlight w:val="none"/>
        </w:rPr>
      </w:pPr>
    </w:p>
    <w:p w14:paraId="32591997">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二、本工程设计阶段划分</w:t>
      </w:r>
    </w:p>
    <w:p w14:paraId="7DD1A7A0">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方案设计、初步设计、施工图设计、工程招标配合、施工配合、竣工验收配合六个阶段。</w:t>
      </w:r>
    </w:p>
    <w:p w14:paraId="7040FAA7">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三、各阶段服务内容</w:t>
      </w:r>
    </w:p>
    <w:p w14:paraId="330AA68C">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1.方案设计阶段</w:t>
      </w:r>
    </w:p>
    <w:p w14:paraId="03B6B253">
      <w:pPr>
        <w:numPr>
          <w:ilvl w:val="0"/>
          <w:numId w:val="7"/>
        </w:num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对中标方案进行调整和优化，提供完整的设计方案及效果图，直至取得甲方确认，建筑方案满足使用单位功能需求，符合项目建议书要求。</w:t>
      </w:r>
      <w:r>
        <w:rPr>
          <w:rFonts w:hint="eastAsia" w:ascii="宋体" w:hAnsi="宋体" w:eastAsia="宋体" w:cs="宋体"/>
          <w:color w:val="auto"/>
          <w:sz w:val="24"/>
          <w:szCs w:val="24"/>
          <w:highlight w:val="none"/>
        </w:rPr>
        <w:t xml:space="preserve"> </w:t>
      </w:r>
    </w:p>
    <w:p w14:paraId="2DBE2D33">
      <w:pPr>
        <w:numPr>
          <w:ilvl w:val="0"/>
          <w:numId w:val="7"/>
        </w:num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完成总体规划和方案设计，提供满足深度的方案设计图纸，送甲方审查认可，并制作符合政府部门要求的规划意见书与设计方案报批文件，协助发包人进行报批工作； </w:t>
      </w:r>
    </w:p>
    <w:p w14:paraId="13C355FF">
      <w:pPr>
        <w:numPr>
          <w:ilvl w:val="0"/>
          <w:numId w:val="7"/>
        </w:num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根据政府部门的审批意见在本合同约定的范围内对设计方案进行修改和必要的调整，以通过政府部门审查批准； </w:t>
      </w:r>
    </w:p>
    <w:p w14:paraId="7B45BAAD">
      <w:pPr>
        <w:numPr>
          <w:ilvl w:val="0"/>
          <w:numId w:val="7"/>
        </w:num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设计人依据设计方案成果编制造价估算文件（注明材料单价日期），完成估算编制后，方案阶段成果应与可行性研究成果进行对比和分析，对超出限额的部分进行说明和分析，提出修改指引和意见并报送发包人；</w:t>
      </w:r>
    </w:p>
    <w:p w14:paraId="5D367EA2">
      <w:pPr>
        <w:numPr>
          <w:ilvl w:val="0"/>
          <w:numId w:val="7"/>
        </w:num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开展各专项工作并协调各专业顾问公司的工作，对其设计方案和技术经济指标进行审核，提供咨询意见。在保证与该项目总体方案设计相一致的情况下，接受经发包人确认的顾问公司的合理化建议并对方案进行调整； </w:t>
      </w:r>
    </w:p>
    <w:p w14:paraId="05744965">
      <w:pPr>
        <w:numPr>
          <w:ilvl w:val="0"/>
          <w:numId w:val="7"/>
        </w:num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配合发包人进行人防、消防、交通、绿化及市政管网等方面的咨询工作；</w:t>
      </w:r>
    </w:p>
    <w:p w14:paraId="414D8252">
      <w:pPr>
        <w:numPr>
          <w:ilvl w:val="0"/>
          <w:numId w:val="7"/>
        </w:num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负责完成消防等规划方案，协助发包人完成报批工作。</w:t>
      </w:r>
    </w:p>
    <w:p w14:paraId="065D9ED3">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2.初步设计阶段</w:t>
      </w:r>
    </w:p>
    <w:p w14:paraId="4A3F0B83">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bCs/>
          <w:color w:val="auto"/>
          <w:sz w:val="24"/>
          <w:szCs w:val="24"/>
          <w:highlight w:val="none"/>
        </w:rPr>
        <w:t>根据批准后的设计方案完成所有专业的初步设计文件。</w:t>
      </w:r>
      <w:r>
        <w:rPr>
          <w:rFonts w:hint="eastAsia" w:ascii="宋体" w:hAnsi="宋体" w:eastAsia="宋体" w:cs="宋体"/>
          <w:color w:val="auto"/>
          <w:sz w:val="24"/>
          <w:szCs w:val="24"/>
          <w:highlight w:val="none"/>
        </w:rPr>
        <w:t>负责完成</w:t>
      </w:r>
      <w:r>
        <w:rPr>
          <w:rFonts w:hint="eastAsia" w:ascii="宋体" w:hAnsi="宋体" w:eastAsia="宋体" w:cs="宋体"/>
          <w:bCs/>
          <w:color w:val="auto"/>
          <w:sz w:val="24"/>
          <w:szCs w:val="24"/>
          <w:highlight w:val="none"/>
        </w:rPr>
        <w:t>。包括：规划(含修建性详细规划)、总图、建筑、结构、电气、给排水、通风与空调、装饰装修（含室内外）、建筑智能化系统、消防、景观园林、绿色建筑、钢结构、幕墙、室外道路、交通组织设计方案、永久水电气接入设计、BIM设计、装配式设计、海绵城市设计等；</w:t>
      </w:r>
      <w:r>
        <w:rPr>
          <w:rFonts w:hint="eastAsia" w:ascii="宋体" w:hAnsi="宋体" w:eastAsia="宋体" w:cs="宋体"/>
          <w:color w:val="auto"/>
          <w:sz w:val="24"/>
          <w:szCs w:val="24"/>
          <w:highlight w:val="none"/>
        </w:rPr>
        <w:t>，设计内容和深度应满足政府相关规定，</w:t>
      </w:r>
      <w:r>
        <w:rPr>
          <w:rFonts w:hint="eastAsia" w:ascii="宋体" w:hAnsi="宋体" w:eastAsia="宋体" w:cs="宋体"/>
          <w:color w:val="auto"/>
          <w:sz w:val="24"/>
          <w:szCs w:val="24"/>
          <w:highlight w:val="none"/>
          <w:u w:val="single"/>
        </w:rPr>
        <w:t>完成概算所需的材料设备品牌表和幕墙技术规格书</w:t>
      </w:r>
      <w:r>
        <w:rPr>
          <w:rFonts w:hint="eastAsia" w:ascii="宋体" w:hAnsi="宋体" w:eastAsia="宋体" w:cs="宋体"/>
          <w:color w:val="auto"/>
          <w:sz w:val="24"/>
          <w:szCs w:val="24"/>
          <w:highlight w:val="none"/>
        </w:rPr>
        <w:t xml:space="preserve">，同时原则上须向发包人推荐三家以上供应商及提供相关资料，所提供的供应商和相关资料不能带有倾向性和排他性。 </w:t>
      </w:r>
    </w:p>
    <w:p w14:paraId="181AFC5E">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初步设计过程中，编制概算（注明材料单价日期，并保持跟踪，及时复核各阶段造价内容并记录）设计人应对主要总规划、建筑方案、结构形式、工艺流程、主要设备指标等提出技术和经济方面的比选方案。用以制定专业设计原则进行方案设计及材料设备选型，以单位工程作为评价，做好专业内的平衡和调整，提出节约投资的措施。初步设计文件确定后，设计人对概算文件进行对比和分析，对超出限额的部分进行说明和分析，提出修改指引和意见供发包人参考。</w:t>
      </w:r>
    </w:p>
    <w:p w14:paraId="7DAB23D8">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bCs/>
          <w:color w:val="auto"/>
          <w:sz w:val="24"/>
          <w:szCs w:val="24"/>
          <w:highlight w:val="none"/>
        </w:rPr>
        <w:t>初步设计文件完成后，送甲方审查认可，</w:t>
      </w:r>
      <w:r>
        <w:rPr>
          <w:rFonts w:hint="eastAsia" w:ascii="宋体" w:hAnsi="宋体" w:eastAsia="宋体" w:cs="宋体"/>
          <w:color w:val="auto"/>
          <w:sz w:val="24"/>
          <w:szCs w:val="24"/>
          <w:highlight w:val="none"/>
        </w:rPr>
        <w:t>制作报政府相关部门进行初步设计审查的设计图纸，配合发包人进行交通、园林、消防、供电、市政等各部门的报审工作，提供相关的工程用量参数，并负责有关解释和修改。</w:t>
      </w:r>
    </w:p>
    <w:p w14:paraId="24E3D670">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本项目需进行装配式设计，需根据现有资料综合考虑装配式建筑设计要求，设计成果需满足装配式审查及现场施工需求。</w:t>
      </w:r>
    </w:p>
    <w:p w14:paraId="7B43928C">
      <w:pPr>
        <w:spacing w:line="360" w:lineRule="auto"/>
        <w:jc w:val="left"/>
        <w:rPr>
          <w:rFonts w:hint="eastAsia" w:ascii="宋体" w:hAnsi="宋体" w:eastAsia="宋体" w:cs="宋体"/>
          <w:color w:val="auto"/>
          <w:sz w:val="24"/>
          <w:szCs w:val="24"/>
          <w:highlight w:val="none"/>
        </w:rPr>
      </w:pPr>
    </w:p>
    <w:p w14:paraId="756D5A31">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3.施工图设计阶段</w:t>
      </w:r>
    </w:p>
    <w:p w14:paraId="66F6FE7B">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（1）负责完成并制作总图、建筑、结构、机电、室外管线综合等施工图设计文件； </w:t>
      </w:r>
    </w:p>
    <w:p w14:paraId="3B5D4ACA">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（2）对发包人的审核修改意见进行修改、完善，保证其设计意图的最终实现；</w:t>
      </w:r>
    </w:p>
    <w:p w14:paraId="514530DE">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（3）施工图预算由施工方完成编制后，由第三方造价咨询单位负责预算与初步设计概算进行对比和分析，设计人对</w:t>
      </w:r>
      <w:r>
        <w:rPr>
          <w:rFonts w:hint="eastAsia" w:ascii="宋体" w:hAnsi="宋体" w:eastAsia="宋体" w:cs="宋体"/>
          <w:color w:val="auto"/>
          <w:sz w:val="24"/>
          <w:szCs w:val="24"/>
          <w:highlight w:val="none"/>
          <w:u w:val="single"/>
        </w:rPr>
        <w:t>差距大的部分进行核对，</w:t>
      </w:r>
      <w:r>
        <w:rPr>
          <w:rFonts w:hint="eastAsia" w:ascii="宋体" w:hAnsi="宋体" w:eastAsia="宋体" w:cs="宋体"/>
          <w:color w:val="auto"/>
          <w:sz w:val="24"/>
          <w:szCs w:val="24"/>
          <w:highlight w:val="none"/>
        </w:rPr>
        <w:t>应对超出或需要调整的设计内容，在不影响工程功能水平、工程质量、工程运营维护成本、全寿命周期费用等情况下，进行设计优化，确保预算不超出设计限额和工程总投资额。</w:t>
      </w:r>
    </w:p>
    <w:p w14:paraId="2E7BC4D7">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（4）根据项目开发进度要求及时提供各阶段报审图纸，协助发包人进行报审工作，根据审查结果在本合同约定的范围内进行修改调整，直至审查通过，并最终向发包人提交正式的施工图设计文件； </w:t>
      </w:r>
    </w:p>
    <w:p w14:paraId="0095ED83">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r>
        <w:rPr>
          <w:rFonts w:hint="eastAsia" w:ascii="宋体" w:hAnsi="宋体" w:eastAsia="宋体" w:cs="宋体"/>
          <w:bCs/>
          <w:color w:val="auto"/>
          <w:sz w:val="24"/>
          <w:szCs w:val="24"/>
          <w:highlight w:val="none"/>
        </w:rPr>
        <w:t>负责施工图深化设计文件审核（与使用需求的符合性、与方案设计和初步设计各专业的符合性及经济合理性、其他相关配套专业符合性等设计服务）</w:t>
      </w:r>
    </w:p>
    <w:p w14:paraId="0BD0715C">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4.工程招标配合阶段：</w:t>
      </w:r>
    </w:p>
    <w:p w14:paraId="2F7E39EF">
      <w:pPr>
        <w:numPr>
          <w:ilvl w:val="0"/>
          <w:numId w:val="8"/>
        </w:num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协助发包人进行工程招标文件的编制招标文件技术部分由设计人负责编写，提供招标所需涉及观感、档次、特殊功能要求及对造价影响较大的材料设备清单及技术规格说明书，提供主体设计图纸及相关文件，提供专项设计相关文件供招标，提供建设单位审核和确认后的招标必备的材料清单（每种材料提供不少于3-5个品牌及价格区间）和材料样板（需与材料清单编号相对应），如选择的材料做法、品牌具有唯一性或不能提供3个品牌，提前告知建设单位，由建设单位组织评审会确定；各材料样板清单；</w:t>
      </w:r>
    </w:p>
    <w:p w14:paraId="7708719D">
      <w:pPr>
        <w:numPr>
          <w:ilvl w:val="0"/>
          <w:numId w:val="8"/>
        </w:num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负责配合业主方进行招标过程中答疑，配合发包人进行施工招标和设备、材料采购招标工作，要考虑工程实施的需要，在计划、工期上要根据工程总体策划考虑工程招投标、设备采购、施工组织所需要的时间，合理规划交付设计文件的时间。</w:t>
      </w:r>
    </w:p>
    <w:p w14:paraId="4E3510DA">
      <w:pPr>
        <w:numPr>
          <w:ilvl w:val="0"/>
          <w:numId w:val="8"/>
        </w:num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协助发包人明确投资额限额，如因建设方原因需优化，需配合建设方进行调整，确认材料与设备品牌表（着重注意品牌表、设计样板要与概算金额匹配（样板段费用需要在概算中列出）</w:t>
      </w:r>
    </w:p>
    <w:p w14:paraId="13B2FEE9">
      <w:pPr>
        <w:numPr>
          <w:ilvl w:val="0"/>
          <w:numId w:val="8"/>
        </w:num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向发包人提交涉及效果部分相关的材料及构造做法，发包人审查和书面确认同意后，双方确认的资料、材料清单、幕墙技术规格书、品牌表、样板段、材料样板等由发包人移交给施工单位，由发包人要求其严格按照已确认的资料进行设计深化；</w:t>
      </w:r>
    </w:p>
    <w:p w14:paraId="40D83883">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5.施工配合阶段</w:t>
      </w:r>
    </w:p>
    <w:p w14:paraId="2F209FC5">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（1）负责工程设计交底，解答施工过程中施工承包人有关施工图的问题，项目负责人及各专业设计负责人，及时对施工中与设计有关的问题做出回应，保证设计满足施工要求； </w:t>
      </w:r>
    </w:p>
    <w:p w14:paraId="6A5DB23D">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（2）根据发包人要求，及时参加与设计有关的专题会，现场解决技术问题； </w:t>
      </w:r>
    </w:p>
    <w:p w14:paraId="6A9772F9">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（3）协助发包人处理工程洽商和设计变更，负责有关设计修改，及时办理相关手续； </w:t>
      </w:r>
    </w:p>
    <w:p w14:paraId="2B3DF5BD">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（4）参与与设计人相关的必要的验收以及项目竣工验收工作，并及时办理相关手续； </w:t>
      </w:r>
    </w:p>
    <w:p w14:paraId="63421B7C">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（5）提供产品选型、设备加工订货、建筑材料选择以及分包商考察等技术咨询工作； </w:t>
      </w:r>
    </w:p>
    <w:p w14:paraId="1BF05463">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（6）应发包人要求协助审核各分包商的设计文件是否满足接口条件并签署意见，以保证其与总体设计协调一致，并满足工程要求。</w:t>
      </w:r>
    </w:p>
    <w:p w14:paraId="571463A6">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现场服务：指派设计人员按需求到项目现场，按设计方分工责任分配组织进行，配合发包人进行现场巡查，包含及时的现场施工配合服务。当建设过程中对设计文件有疑问，设计方在接到通知后，应及时派出专业工程师解决。属于一般设计问题，若无特殊情况，应在一天内解决。属于重大设计问题，可在5天内书面提出解决意见。对设计图纸与现场不符之处，应及时提出解决办法。</w:t>
      </w:r>
    </w:p>
    <w:p w14:paraId="188BB18D">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（8）加强设计变更管理，应严格控制变更的发生，对非发生不可的变更，应尽量提前。</w:t>
      </w:r>
      <w:r>
        <w:rPr>
          <w:rFonts w:hint="eastAsia" w:ascii="宋体" w:hAnsi="宋体" w:eastAsia="宋体" w:cs="宋体"/>
          <w:bCs/>
          <w:color w:val="auto"/>
          <w:sz w:val="24"/>
          <w:szCs w:val="24"/>
          <w:highlight w:val="none"/>
        </w:rPr>
        <w:t>提供后续工艺设计单位及施工图设计单位的配合工作，按甲方要求（如有）对已确认的方案设计、初步设计进行调整，并有对施工图设计成果评价和把控的责任。</w:t>
      </w:r>
      <w:r>
        <w:rPr>
          <w:rFonts w:hint="eastAsia" w:ascii="宋体" w:hAnsi="宋体" w:eastAsia="宋体" w:cs="宋体"/>
          <w:color w:val="auto"/>
          <w:sz w:val="24"/>
          <w:szCs w:val="24"/>
          <w:highlight w:val="none"/>
        </w:rPr>
        <w:t>设计人应先对工程重大设计变更方案进行造价估算，向发包人报送新旧设计方案行造价估算、施工工艺、功能等方面对比分析，供发包人参考使用。发包人同意后，设计人才可以出正式设计变更文件。并由第三方造价咨询单位对设计变更造价进行动态管理。</w:t>
      </w:r>
    </w:p>
    <w:p w14:paraId="4594F023">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（9）提供设备、材料订货清单，同时原则上须向发包人提供相关资料，所提供的供应商和相关资料不能带有倾向性和排他性。</w:t>
      </w:r>
    </w:p>
    <w:p w14:paraId="1E8C8D1B">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（10）对设备、材料订货有关性能、参数、规格确认，以及协助参与对已订设备、材料的验收工作。</w:t>
      </w:r>
    </w:p>
    <w:p w14:paraId="05D31D03">
      <w:pPr>
        <w:spacing w:line="360" w:lineRule="auto"/>
        <w:jc w:val="left"/>
        <w:rPr>
          <w:rFonts w:hint="eastAsia" w:ascii="宋体" w:hAnsi="宋体" w:eastAsia="宋体" w:cs="宋体"/>
          <w:color w:val="auto"/>
          <w:sz w:val="24"/>
          <w:szCs w:val="24"/>
          <w:highlight w:val="none"/>
        </w:rPr>
      </w:pPr>
    </w:p>
    <w:p w14:paraId="4CCCC027">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（12）参与工程的报建与各类验收。</w:t>
      </w:r>
    </w:p>
    <w:p w14:paraId="121A3D3F">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（13）项目负责人应该参加发包人或监理单位召开的协调会、调度会。</w:t>
      </w:r>
    </w:p>
    <w:p w14:paraId="45AA9A28">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（14）对设计各部分所应满足的规范、标准进行总说明，对各条文进行摘录汇编。若对超规范（标准）之处，应初拟技术标准，以供专家论证后执行。</w:t>
      </w:r>
    </w:p>
    <w:p w14:paraId="0C150BC5">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注：重点审核观感类效果相关的材料样板（包括精装修设计，景观设计，幕墙设计，灯光照明设计，装配式建筑设计等与外观效果相关的部分）；</w:t>
      </w:r>
    </w:p>
    <w:p w14:paraId="2A6617E8">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6、竣工验收阶段</w:t>
      </w:r>
    </w:p>
    <w:p w14:paraId="4A0A1369">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（1）配合发包人审核验收所需的各类竣工图纸，并负责盖章上传；</w:t>
      </w:r>
    </w:p>
    <w:p w14:paraId="4FEEB60D">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（2）配合提供本项目建设及验收过程中政府部门明确提出需要设计人盖章的各类验收资料文件的审核、盖章（包括但不仅限于图纸）；</w:t>
      </w:r>
    </w:p>
    <w:p w14:paraId="356EC563">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（3）以上服务内容（不含竣工图编制），设计人不再另行收费。</w:t>
      </w:r>
    </w:p>
    <w:p w14:paraId="0E789ED7">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四、设计牵头人服务内容</w:t>
      </w:r>
    </w:p>
    <w:p w14:paraId="29024113">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1、本合同为全过程一体化合同，涉及专业多，设计人需指定一名具备相关经验的人员作为本项目设计牵头人；</w:t>
      </w:r>
    </w:p>
    <w:p w14:paraId="4780D46A">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2、设计牵头人需有不少于三个同类型项目的管理经验；</w:t>
      </w:r>
    </w:p>
    <w:p w14:paraId="4193511B">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3、设计牵头人需负责本合同所含设计范围内的如下事务（包括但不仅限于）：</w:t>
      </w:r>
    </w:p>
    <w:p w14:paraId="7E08EE08">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（1）、铺排项目整体及各专业设计计划，并报发包人审核。计划经发包人审核通过后需追踪计划落实情况、督办设计人各专业按时保质完成设计成果，及时预警；</w:t>
      </w:r>
    </w:p>
    <w:p w14:paraId="0E33DEE4">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（2）、及时组织各专业合模、叠图及交圈，设计全过程中检视各专业之间是否有相互提资、提资是否完善；</w:t>
      </w:r>
    </w:p>
    <w:p w14:paraId="1CE14BC8">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（3）、按发包人要求定时组织设计例会并形成会议纪要，督促会议决议落实；</w:t>
      </w:r>
    </w:p>
    <w:p w14:paraId="539BE95F">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（4）、协调本合同范围内所有专业，各专业事项由设计牵头人统一与发包人沟通对接；</w:t>
      </w:r>
    </w:p>
    <w:p w14:paraId="11483936">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（5）、与发包人沟通达成一致后的其他本项目事务。</w:t>
      </w:r>
    </w:p>
    <w:p w14:paraId="2675648E">
      <w:pPr>
        <w:pStyle w:val="18"/>
        <w:numPr>
          <w:ilvl w:val="0"/>
          <w:numId w:val="9"/>
        </w:numPr>
        <w:spacing w:line="360" w:lineRule="auto"/>
        <w:ind w:firstLineChars="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设计牵头人需于本合同签订后3日内到岗。</w:t>
      </w:r>
    </w:p>
    <w:p w14:paraId="3ABCB244">
      <w:pPr>
        <w:spacing w:line="360" w:lineRule="auto"/>
        <w:jc w:val="left"/>
        <w:rPr>
          <w:rFonts w:hint="eastAsia" w:ascii="宋体" w:hAnsi="宋体" w:eastAsia="宋体" w:cs="宋体"/>
          <w:color w:val="auto"/>
          <w:sz w:val="24"/>
          <w:szCs w:val="24"/>
          <w:highlight w:val="none"/>
        </w:rPr>
      </w:pPr>
    </w:p>
    <w:p w14:paraId="6631F204">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五、各分项服务内容</w:t>
      </w:r>
    </w:p>
    <w:p w14:paraId="5E84904E">
      <w:pPr>
        <w:pStyle w:val="23"/>
        <w:tabs>
          <w:tab w:val="left" w:pos="840"/>
          <w:tab w:val="clear" w:pos="720"/>
        </w:tabs>
        <w:outlineLvl w:val="9"/>
        <w:rPr>
          <w:rFonts w:hint="eastAsia" w:ascii="宋体" w:hAnsi="宋体" w:eastAsia="宋体" w:cs="宋体"/>
          <w:color w:val="auto"/>
          <w:sz w:val="24"/>
          <w:szCs w:val="24"/>
          <w:highlight w:val="none"/>
        </w:rPr>
      </w:pPr>
      <w:r>
        <w:rPr>
          <w:rFonts w:hint="eastAsia" w:ascii="宋体" w:hAnsi="宋体" w:eastAsia="宋体" w:cs="宋体"/>
          <w:b/>
          <w:color w:val="auto"/>
          <w:kern w:val="2"/>
          <w:sz w:val="24"/>
          <w:szCs w:val="24"/>
          <w:highlight w:val="none"/>
        </w:rPr>
        <w:t>1、景观设计服务内容：</w:t>
      </w:r>
    </w:p>
    <w:p w14:paraId="315BD659">
      <w:pPr>
        <w:spacing w:line="360" w:lineRule="auto"/>
        <w:ind w:left="240" w:hanging="240" w:hangingChars="100"/>
        <w:rPr>
          <w:rFonts w:hint="eastAsia" w:ascii="宋体" w:hAnsi="宋体" w:eastAsia="宋体" w:cs="宋体"/>
          <w:color w:val="auto"/>
          <w:kern w:val="21"/>
          <w:sz w:val="24"/>
          <w:szCs w:val="24"/>
          <w:highlight w:val="none"/>
          <w:lang w:val="zh-CN"/>
        </w:rPr>
      </w:pPr>
      <w:r>
        <w:rPr>
          <w:rFonts w:hint="eastAsia" w:ascii="宋体" w:hAnsi="宋体" w:eastAsia="宋体" w:cs="宋体"/>
          <w:color w:val="auto"/>
          <w:kern w:val="21"/>
          <w:sz w:val="24"/>
          <w:szCs w:val="24"/>
          <w:highlight w:val="none"/>
          <w:lang w:val="zh-CN" w:bidi="ar"/>
        </w:rPr>
        <w:t>（</w:t>
      </w:r>
      <w:r>
        <w:rPr>
          <w:rFonts w:hint="eastAsia" w:ascii="宋体" w:hAnsi="宋体" w:eastAsia="宋体" w:cs="宋体"/>
          <w:color w:val="auto"/>
          <w:kern w:val="21"/>
          <w:sz w:val="24"/>
          <w:szCs w:val="24"/>
          <w:highlight w:val="none"/>
          <w:lang w:bidi="ar"/>
        </w:rPr>
        <w:t>1</w:t>
      </w:r>
      <w:r>
        <w:rPr>
          <w:rFonts w:hint="eastAsia" w:ascii="宋体" w:hAnsi="宋体" w:eastAsia="宋体" w:cs="宋体"/>
          <w:color w:val="auto"/>
          <w:kern w:val="21"/>
          <w:sz w:val="24"/>
          <w:szCs w:val="24"/>
          <w:highlight w:val="none"/>
          <w:lang w:val="zh-CN" w:bidi="ar"/>
        </w:rPr>
        <w:t>）场地总体规划沟通与各专业的配合；</w:t>
      </w:r>
    </w:p>
    <w:p w14:paraId="1F7EF00F">
      <w:pPr>
        <w:spacing w:line="360" w:lineRule="auto"/>
        <w:ind w:left="1" w:right="-21" w:rightChars="-10" w:hanging="1"/>
        <w:rPr>
          <w:rFonts w:hint="eastAsia" w:ascii="宋体" w:hAnsi="宋体" w:eastAsia="宋体" w:cs="宋体"/>
          <w:color w:val="auto"/>
          <w:kern w:val="21"/>
          <w:sz w:val="24"/>
          <w:szCs w:val="24"/>
          <w:highlight w:val="none"/>
          <w:lang w:val="zh-CN"/>
        </w:rPr>
      </w:pPr>
      <w:r>
        <w:rPr>
          <w:rFonts w:hint="eastAsia" w:ascii="宋体" w:hAnsi="宋体" w:eastAsia="宋体" w:cs="宋体"/>
          <w:color w:val="auto"/>
          <w:kern w:val="21"/>
          <w:sz w:val="24"/>
          <w:szCs w:val="24"/>
          <w:highlight w:val="none"/>
          <w:lang w:val="zh-CN" w:bidi="ar"/>
        </w:rPr>
        <w:t>（</w:t>
      </w:r>
      <w:r>
        <w:rPr>
          <w:rFonts w:hint="eastAsia" w:ascii="宋体" w:hAnsi="宋体" w:eastAsia="宋体" w:cs="宋体"/>
          <w:color w:val="auto"/>
          <w:kern w:val="21"/>
          <w:sz w:val="24"/>
          <w:szCs w:val="24"/>
          <w:highlight w:val="none"/>
          <w:lang w:bidi="ar"/>
        </w:rPr>
        <w:t>2）</w:t>
      </w:r>
      <w:r>
        <w:rPr>
          <w:rFonts w:hint="eastAsia" w:ascii="宋体" w:hAnsi="宋体" w:eastAsia="宋体" w:cs="宋体"/>
          <w:color w:val="auto"/>
          <w:kern w:val="21"/>
          <w:sz w:val="24"/>
          <w:szCs w:val="24"/>
          <w:highlight w:val="none"/>
          <w:lang w:val="zh-CN" w:bidi="ar"/>
        </w:rPr>
        <w:t>总体景观规划设计；</w:t>
      </w:r>
    </w:p>
    <w:p w14:paraId="28403F37">
      <w:pPr>
        <w:spacing w:line="360" w:lineRule="auto"/>
        <w:ind w:left="1" w:right="-21" w:rightChars="-10" w:hanging="1"/>
        <w:rPr>
          <w:rFonts w:hint="eastAsia" w:ascii="宋体" w:hAnsi="宋体" w:eastAsia="宋体" w:cs="宋体"/>
          <w:color w:val="auto"/>
          <w:kern w:val="21"/>
          <w:sz w:val="24"/>
          <w:szCs w:val="24"/>
          <w:highlight w:val="none"/>
          <w:lang w:val="zh-CN"/>
        </w:rPr>
      </w:pPr>
      <w:r>
        <w:rPr>
          <w:rFonts w:hint="eastAsia" w:ascii="宋体" w:hAnsi="宋体" w:eastAsia="宋体" w:cs="宋体"/>
          <w:color w:val="auto"/>
          <w:kern w:val="21"/>
          <w:sz w:val="24"/>
          <w:szCs w:val="24"/>
          <w:highlight w:val="none"/>
          <w:lang w:val="zh-CN" w:bidi="ar"/>
        </w:rPr>
        <w:t>（</w:t>
      </w:r>
      <w:r>
        <w:rPr>
          <w:rFonts w:hint="eastAsia" w:ascii="宋体" w:hAnsi="宋体" w:eastAsia="宋体" w:cs="宋体"/>
          <w:color w:val="auto"/>
          <w:kern w:val="21"/>
          <w:sz w:val="24"/>
          <w:szCs w:val="24"/>
          <w:highlight w:val="none"/>
          <w:lang w:bidi="ar"/>
        </w:rPr>
        <w:t>3）</w:t>
      </w:r>
      <w:r>
        <w:rPr>
          <w:rFonts w:hint="eastAsia" w:ascii="宋体" w:hAnsi="宋体" w:eastAsia="宋体" w:cs="宋体"/>
          <w:color w:val="auto"/>
          <w:kern w:val="21"/>
          <w:sz w:val="24"/>
          <w:szCs w:val="24"/>
          <w:highlight w:val="none"/>
          <w:lang w:val="zh-CN" w:bidi="ar"/>
        </w:rPr>
        <w:t>植物景观规划设计；</w:t>
      </w:r>
    </w:p>
    <w:p w14:paraId="300172C4">
      <w:pPr>
        <w:spacing w:line="360" w:lineRule="auto"/>
        <w:ind w:left="828" w:hanging="828" w:hangingChars="345"/>
        <w:rPr>
          <w:rFonts w:hint="eastAsia" w:ascii="宋体" w:hAnsi="宋体" w:eastAsia="宋体" w:cs="宋体"/>
          <w:color w:val="auto"/>
          <w:kern w:val="21"/>
          <w:sz w:val="24"/>
          <w:szCs w:val="24"/>
          <w:highlight w:val="none"/>
          <w:lang w:val="zh-CN"/>
        </w:rPr>
      </w:pPr>
      <w:r>
        <w:rPr>
          <w:rFonts w:hint="eastAsia" w:ascii="宋体" w:hAnsi="宋体" w:eastAsia="宋体" w:cs="宋体"/>
          <w:color w:val="auto"/>
          <w:kern w:val="21"/>
          <w:sz w:val="24"/>
          <w:szCs w:val="24"/>
          <w:highlight w:val="none"/>
          <w:lang w:val="zh-CN" w:bidi="ar"/>
        </w:rPr>
        <w:t>（</w:t>
      </w:r>
      <w:r>
        <w:rPr>
          <w:rFonts w:hint="eastAsia" w:ascii="宋体" w:hAnsi="宋体" w:eastAsia="宋体" w:cs="宋体"/>
          <w:color w:val="auto"/>
          <w:kern w:val="21"/>
          <w:sz w:val="24"/>
          <w:szCs w:val="24"/>
          <w:highlight w:val="none"/>
          <w:lang w:bidi="ar"/>
        </w:rPr>
        <w:t>4）</w:t>
      </w:r>
      <w:r>
        <w:rPr>
          <w:rFonts w:hint="eastAsia" w:ascii="宋体" w:hAnsi="宋体" w:eastAsia="宋体" w:cs="宋体"/>
          <w:color w:val="auto"/>
          <w:kern w:val="21"/>
          <w:sz w:val="24"/>
          <w:szCs w:val="24"/>
          <w:highlight w:val="none"/>
          <w:lang w:val="zh-CN" w:bidi="ar"/>
        </w:rPr>
        <w:t>景观环境中的城市雕塑、装置艺术规划设计（规划阶段提供位置，设计风格意向，控制尺寸）；</w:t>
      </w:r>
    </w:p>
    <w:p w14:paraId="7EC6037E">
      <w:pPr>
        <w:spacing w:line="360" w:lineRule="auto"/>
        <w:ind w:left="828" w:hanging="828" w:hangingChars="345"/>
        <w:rPr>
          <w:rFonts w:hint="eastAsia" w:ascii="宋体" w:hAnsi="宋体" w:eastAsia="宋体" w:cs="宋体"/>
          <w:color w:val="auto"/>
          <w:kern w:val="21"/>
          <w:sz w:val="24"/>
          <w:szCs w:val="24"/>
          <w:highlight w:val="none"/>
          <w:lang w:val="zh-CN"/>
        </w:rPr>
      </w:pPr>
      <w:r>
        <w:rPr>
          <w:rFonts w:hint="eastAsia" w:ascii="宋体" w:hAnsi="宋体" w:eastAsia="宋体" w:cs="宋体"/>
          <w:color w:val="auto"/>
          <w:kern w:val="21"/>
          <w:sz w:val="24"/>
          <w:szCs w:val="24"/>
          <w:highlight w:val="none"/>
          <w:lang w:val="zh-CN" w:bidi="ar"/>
        </w:rPr>
        <w:t>（</w:t>
      </w:r>
      <w:r>
        <w:rPr>
          <w:rFonts w:hint="eastAsia" w:ascii="宋体" w:hAnsi="宋体" w:eastAsia="宋体" w:cs="宋体"/>
          <w:color w:val="auto"/>
          <w:kern w:val="21"/>
          <w:sz w:val="24"/>
          <w:szCs w:val="24"/>
          <w:highlight w:val="none"/>
          <w:lang w:bidi="ar"/>
        </w:rPr>
        <w:t>5）</w:t>
      </w:r>
      <w:r>
        <w:rPr>
          <w:rFonts w:hint="eastAsia" w:ascii="宋体" w:hAnsi="宋体" w:eastAsia="宋体" w:cs="宋体"/>
          <w:color w:val="auto"/>
          <w:kern w:val="21"/>
          <w:sz w:val="24"/>
          <w:szCs w:val="24"/>
          <w:highlight w:val="none"/>
          <w:lang w:val="zh-CN" w:bidi="ar"/>
        </w:rPr>
        <w:t>场地景观竖向设计（明确地表标高及排水方向、排水坡度）；</w:t>
      </w:r>
    </w:p>
    <w:p w14:paraId="748CD811">
      <w:pPr>
        <w:spacing w:line="360" w:lineRule="auto"/>
        <w:ind w:left="828" w:hanging="828" w:hangingChars="345"/>
        <w:rPr>
          <w:rFonts w:hint="eastAsia" w:ascii="宋体" w:hAnsi="宋体" w:eastAsia="宋体" w:cs="宋体"/>
          <w:color w:val="auto"/>
          <w:kern w:val="21"/>
          <w:sz w:val="24"/>
          <w:szCs w:val="24"/>
          <w:highlight w:val="none"/>
          <w:lang w:val="zh-CN"/>
        </w:rPr>
      </w:pPr>
      <w:r>
        <w:rPr>
          <w:rFonts w:hint="eastAsia" w:ascii="宋体" w:hAnsi="宋体" w:eastAsia="宋体" w:cs="宋体"/>
          <w:color w:val="auto"/>
          <w:kern w:val="21"/>
          <w:sz w:val="24"/>
          <w:szCs w:val="24"/>
          <w:highlight w:val="none"/>
          <w:lang w:val="zh-CN" w:bidi="ar"/>
        </w:rPr>
        <w:t>（</w:t>
      </w:r>
      <w:r>
        <w:rPr>
          <w:rFonts w:hint="eastAsia" w:ascii="宋体" w:hAnsi="宋体" w:eastAsia="宋体" w:cs="宋体"/>
          <w:color w:val="auto"/>
          <w:kern w:val="21"/>
          <w:sz w:val="24"/>
          <w:szCs w:val="24"/>
          <w:highlight w:val="none"/>
          <w:lang w:bidi="ar"/>
        </w:rPr>
        <w:t>6）</w:t>
      </w:r>
      <w:r>
        <w:rPr>
          <w:rFonts w:hint="eastAsia" w:ascii="宋体" w:hAnsi="宋体" w:eastAsia="宋体" w:cs="宋体"/>
          <w:color w:val="auto"/>
          <w:kern w:val="21"/>
          <w:sz w:val="24"/>
          <w:szCs w:val="24"/>
          <w:highlight w:val="none"/>
          <w:lang w:val="zh-CN" w:bidi="ar"/>
        </w:rPr>
        <w:t>场地景观及绿化灌溉的给排水设计（景观场地排水管网就近接入本项目排水系统总管）；</w:t>
      </w:r>
    </w:p>
    <w:p w14:paraId="5F3BE0C1">
      <w:pPr>
        <w:spacing w:line="360" w:lineRule="auto"/>
        <w:ind w:left="828" w:hanging="828" w:hangingChars="345"/>
        <w:rPr>
          <w:rFonts w:hint="eastAsia" w:ascii="宋体" w:hAnsi="宋体" w:eastAsia="宋体" w:cs="宋体"/>
          <w:color w:val="auto"/>
          <w:kern w:val="21"/>
          <w:sz w:val="24"/>
          <w:szCs w:val="24"/>
          <w:highlight w:val="none"/>
          <w:lang w:val="zh-CN"/>
        </w:rPr>
      </w:pPr>
      <w:r>
        <w:rPr>
          <w:rFonts w:hint="eastAsia" w:ascii="宋体" w:hAnsi="宋体" w:eastAsia="宋体" w:cs="宋体"/>
          <w:color w:val="auto"/>
          <w:kern w:val="21"/>
          <w:sz w:val="24"/>
          <w:szCs w:val="24"/>
          <w:highlight w:val="none"/>
          <w:lang w:val="zh-CN" w:bidi="ar"/>
        </w:rPr>
        <w:t>（</w:t>
      </w:r>
      <w:r>
        <w:rPr>
          <w:rFonts w:hint="eastAsia" w:ascii="宋体" w:hAnsi="宋体" w:eastAsia="宋体" w:cs="宋体"/>
          <w:color w:val="auto"/>
          <w:kern w:val="21"/>
          <w:sz w:val="24"/>
          <w:szCs w:val="24"/>
          <w:highlight w:val="none"/>
          <w:lang w:bidi="ar"/>
        </w:rPr>
        <w:t>7）</w:t>
      </w:r>
      <w:r>
        <w:rPr>
          <w:rFonts w:hint="eastAsia" w:ascii="宋体" w:hAnsi="宋体" w:eastAsia="宋体" w:cs="宋体"/>
          <w:color w:val="auto"/>
          <w:kern w:val="21"/>
          <w:sz w:val="24"/>
          <w:szCs w:val="24"/>
          <w:highlight w:val="none"/>
          <w:lang w:val="zh-CN" w:bidi="ar"/>
        </w:rPr>
        <w:t>景观照明灯具布点设计和景观特色灯具设计（特殊灯具的设计可根据整体设计的需要进行设计）；</w:t>
      </w:r>
    </w:p>
    <w:p w14:paraId="65880597">
      <w:pPr>
        <w:spacing w:line="360" w:lineRule="auto"/>
        <w:ind w:left="828" w:hanging="828" w:hangingChars="345"/>
        <w:rPr>
          <w:rFonts w:hint="eastAsia" w:ascii="宋体" w:hAnsi="宋体" w:eastAsia="宋体" w:cs="宋体"/>
          <w:color w:val="auto"/>
          <w:kern w:val="21"/>
          <w:sz w:val="24"/>
          <w:szCs w:val="24"/>
          <w:highlight w:val="none"/>
          <w:lang w:val="zh-CN"/>
        </w:rPr>
      </w:pPr>
      <w:r>
        <w:rPr>
          <w:rFonts w:hint="eastAsia" w:ascii="宋体" w:hAnsi="宋体" w:eastAsia="宋体" w:cs="宋体"/>
          <w:color w:val="auto"/>
          <w:kern w:val="21"/>
          <w:sz w:val="24"/>
          <w:szCs w:val="24"/>
          <w:highlight w:val="none"/>
          <w:lang w:val="zh-CN" w:bidi="ar"/>
        </w:rPr>
        <w:t>（</w:t>
      </w:r>
      <w:r>
        <w:rPr>
          <w:rFonts w:hint="eastAsia" w:ascii="宋体" w:hAnsi="宋体" w:eastAsia="宋体" w:cs="宋体"/>
          <w:color w:val="auto"/>
          <w:kern w:val="21"/>
          <w:sz w:val="24"/>
          <w:szCs w:val="24"/>
          <w:highlight w:val="none"/>
          <w:lang w:bidi="ar"/>
        </w:rPr>
        <w:t>8）</w:t>
      </w:r>
      <w:r>
        <w:rPr>
          <w:rFonts w:hint="eastAsia" w:ascii="宋体" w:hAnsi="宋体" w:eastAsia="宋体" w:cs="宋体"/>
          <w:color w:val="auto"/>
          <w:kern w:val="21"/>
          <w:sz w:val="24"/>
          <w:szCs w:val="24"/>
          <w:highlight w:val="none"/>
          <w:lang w:val="zh-CN" w:bidi="ar"/>
        </w:rPr>
        <w:t>水体景观的设计(包括社区景观水池、水系驳岸处理、喷泉的效果形式和喷泉的深化设计详图)；</w:t>
      </w:r>
    </w:p>
    <w:p w14:paraId="13C74201">
      <w:pPr>
        <w:spacing w:line="360" w:lineRule="auto"/>
        <w:ind w:left="828" w:hanging="828" w:hangingChars="345"/>
        <w:rPr>
          <w:rFonts w:hint="eastAsia" w:ascii="宋体" w:hAnsi="宋体" w:eastAsia="宋体" w:cs="宋体"/>
          <w:color w:val="auto"/>
          <w:kern w:val="21"/>
          <w:sz w:val="24"/>
          <w:szCs w:val="24"/>
          <w:highlight w:val="none"/>
          <w:lang w:val="zh-CN"/>
        </w:rPr>
      </w:pPr>
      <w:r>
        <w:rPr>
          <w:rFonts w:hint="eastAsia" w:ascii="宋体" w:hAnsi="宋体" w:eastAsia="宋体" w:cs="宋体"/>
          <w:color w:val="auto"/>
          <w:kern w:val="21"/>
          <w:sz w:val="24"/>
          <w:szCs w:val="24"/>
          <w:highlight w:val="none"/>
          <w:lang w:val="zh-CN" w:bidi="ar"/>
        </w:rPr>
        <w:t>（</w:t>
      </w:r>
      <w:r>
        <w:rPr>
          <w:rFonts w:hint="eastAsia" w:ascii="宋体" w:hAnsi="宋体" w:eastAsia="宋体" w:cs="宋体"/>
          <w:color w:val="auto"/>
          <w:kern w:val="21"/>
          <w:sz w:val="24"/>
          <w:szCs w:val="24"/>
          <w:highlight w:val="none"/>
          <w:lang w:bidi="ar"/>
        </w:rPr>
        <w:t>9）</w:t>
      </w:r>
      <w:r>
        <w:rPr>
          <w:rFonts w:hint="eastAsia" w:ascii="宋体" w:hAnsi="宋体" w:eastAsia="宋体" w:cs="宋体"/>
          <w:color w:val="auto"/>
          <w:kern w:val="21"/>
          <w:sz w:val="24"/>
          <w:szCs w:val="24"/>
          <w:highlight w:val="none"/>
          <w:lang w:val="zh-CN" w:bidi="ar"/>
        </w:rPr>
        <w:t>背景音箱和室外家具的布点设计及选型；</w:t>
      </w:r>
    </w:p>
    <w:p w14:paraId="47F10411">
      <w:pPr>
        <w:spacing w:line="360" w:lineRule="auto"/>
        <w:ind w:left="828" w:hanging="828" w:hangingChars="345"/>
        <w:rPr>
          <w:rFonts w:hint="eastAsia" w:ascii="宋体" w:hAnsi="宋体" w:eastAsia="宋体" w:cs="宋体"/>
          <w:color w:val="auto"/>
          <w:kern w:val="21"/>
          <w:sz w:val="24"/>
          <w:szCs w:val="24"/>
          <w:highlight w:val="none"/>
          <w:lang w:val="zh-CN"/>
        </w:rPr>
      </w:pPr>
      <w:r>
        <w:rPr>
          <w:rFonts w:hint="eastAsia" w:ascii="宋体" w:hAnsi="宋体" w:eastAsia="宋体" w:cs="宋体"/>
          <w:color w:val="auto"/>
          <w:kern w:val="21"/>
          <w:sz w:val="24"/>
          <w:szCs w:val="24"/>
          <w:highlight w:val="none"/>
          <w:lang w:val="zh-CN" w:bidi="ar"/>
        </w:rPr>
        <w:t>（</w:t>
      </w:r>
      <w:r>
        <w:rPr>
          <w:rFonts w:hint="eastAsia" w:ascii="宋体" w:hAnsi="宋体" w:eastAsia="宋体" w:cs="宋体"/>
          <w:color w:val="auto"/>
          <w:kern w:val="21"/>
          <w:sz w:val="24"/>
          <w:szCs w:val="24"/>
          <w:highlight w:val="none"/>
          <w:lang w:bidi="ar"/>
        </w:rPr>
        <w:t>10）</w:t>
      </w:r>
      <w:r>
        <w:rPr>
          <w:rFonts w:hint="eastAsia" w:ascii="宋体" w:hAnsi="宋体" w:eastAsia="宋体" w:cs="宋体"/>
          <w:color w:val="auto"/>
          <w:kern w:val="21"/>
          <w:sz w:val="24"/>
          <w:szCs w:val="24"/>
          <w:highlight w:val="none"/>
          <w:lang w:val="zh-CN" w:bidi="ar"/>
        </w:rPr>
        <w:t>红线范围以内各级道路、广场的铺装设计和道路线型调整，以及与市政道路合理连接的道路设计；</w:t>
      </w:r>
    </w:p>
    <w:p w14:paraId="2CBB163E">
      <w:pPr>
        <w:spacing w:line="360" w:lineRule="auto"/>
        <w:ind w:left="828" w:hanging="828" w:hangingChars="345"/>
        <w:rPr>
          <w:rFonts w:hint="eastAsia" w:ascii="宋体" w:hAnsi="宋体" w:eastAsia="宋体" w:cs="宋体"/>
          <w:color w:val="auto"/>
          <w:kern w:val="21"/>
          <w:sz w:val="24"/>
          <w:szCs w:val="24"/>
          <w:highlight w:val="none"/>
          <w:lang w:val="zh-CN"/>
        </w:rPr>
      </w:pPr>
      <w:r>
        <w:rPr>
          <w:rFonts w:hint="eastAsia" w:ascii="宋体" w:hAnsi="宋体" w:eastAsia="宋体" w:cs="宋体"/>
          <w:color w:val="auto"/>
          <w:kern w:val="21"/>
          <w:sz w:val="24"/>
          <w:szCs w:val="24"/>
          <w:highlight w:val="none"/>
          <w:lang w:val="zh-CN" w:bidi="ar"/>
        </w:rPr>
        <w:t>（</w:t>
      </w:r>
      <w:r>
        <w:rPr>
          <w:rFonts w:hint="eastAsia" w:ascii="宋体" w:hAnsi="宋体" w:eastAsia="宋体" w:cs="宋体"/>
          <w:color w:val="auto"/>
          <w:kern w:val="21"/>
          <w:sz w:val="24"/>
          <w:szCs w:val="24"/>
          <w:highlight w:val="none"/>
          <w:lang w:bidi="ar"/>
        </w:rPr>
        <w:t>11）</w:t>
      </w:r>
      <w:r>
        <w:rPr>
          <w:rFonts w:hint="eastAsia" w:ascii="宋体" w:hAnsi="宋体" w:eastAsia="宋体" w:cs="宋体"/>
          <w:color w:val="auto"/>
          <w:kern w:val="21"/>
          <w:sz w:val="24"/>
          <w:szCs w:val="24"/>
          <w:highlight w:val="none"/>
          <w:lang w:val="zh-CN" w:bidi="ar"/>
        </w:rPr>
        <w:t>景观建筑小品设计；</w:t>
      </w:r>
    </w:p>
    <w:p w14:paraId="346E2572">
      <w:pPr>
        <w:spacing w:line="360" w:lineRule="auto"/>
        <w:ind w:left="828" w:hanging="828" w:hangingChars="345"/>
        <w:rPr>
          <w:rFonts w:hint="eastAsia" w:ascii="宋体" w:hAnsi="宋体" w:eastAsia="宋体" w:cs="宋体"/>
          <w:color w:val="auto"/>
          <w:kern w:val="21"/>
          <w:sz w:val="24"/>
          <w:szCs w:val="24"/>
          <w:highlight w:val="none"/>
          <w:lang w:val="zh-CN"/>
        </w:rPr>
      </w:pPr>
      <w:r>
        <w:rPr>
          <w:rFonts w:hint="eastAsia" w:ascii="宋体" w:hAnsi="宋体" w:eastAsia="宋体" w:cs="宋体"/>
          <w:color w:val="auto"/>
          <w:kern w:val="21"/>
          <w:sz w:val="24"/>
          <w:szCs w:val="24"/>
          <w:highlight w:val="none"/>
          <w:lang w:val="zh-CN" w:bidi="ar"/>
        </w:rPr>
        <w:t>（</w:t>
      </w:r>
      <w:r>
        <w:rPr>
          <w:rFonts w:hint="eastAsia" w:ascii="宋体" w:hAnsi="宋体" w:eastAsia="宋体" w:cs="宋体"/>
          <w:color w:val="auto"/>
          <w:kern w:val="21"/>
          <w:sz w:val="24"/>
          <w:szCs w:val="24"/>
          <w:highlight w:val="none"/>
          <w:lang w:bidi="ar"/>
        </w:rPr>
        <w:t>12)</w:t>
      </w:r>
      <w:r>
        <w:rPr>
          <w:rFonts w:hint="eastAsia" w:ascii="宋体" w:hAnsi="宋体" w:eastAsia="宋体" w:cs="宋体"/>
          <w:color w:val="auto"/>
          <w:kern w:val="21"/>
          <w:sz w:val="24"/>
          <w:szCs w:val="24"/>
          <w:highlight w:val="none"/>
          <w:lang w:val="zh-CN" w:bidi="ar"/>
        </w:rPr>
        <w:t>项目出入口及围墙的设计；</w:t>
      </w:r>
    </w:p>
    <w:p w14:paraId="54A0B0EF">
      <w:pPr>
        <w:spacing w:line="360" w:lineRule="auto"/>
        <w:rPr>
          <w:rFonts w:hint="eastAsia" w:ascii="宋体" w:hAnsi="宋体" w:eastAsia="宋体" w:cs="宋体"/>
          <w:color w:val="auto"/>
          <w:kern w:val="21"/>
          <w:sz w:val="24"/>
          <w:szCs w:val="24"/>
          <w:highlight w:val="none"/>
          <w:lang w:val="zh-CN"/>
        </w:rPr>
      </w:pPr>
      <w:r>
        <w:rPr>
          <w:rFonts w:hint="eastAsia" w:ascii="宋体" w:hAnsi="宋体" w:eastAsia="宋体" w:cs="宋体"/>
          <w:color w:val="auto"/>
          <w:kern w:val="21"/>
          <w:sz w:val="24"/>
          <w:szCs w:val="24"/>
          <w:highlight w:val="none"/>
          <w:lang w:val="zh-CN" w:bidi="ar"/>
        </w:rPr>
        <w:t>（</w:t>
      </w:r>
      <w:r>
        <w:rPr>
          <w:rFonts w:hint="eastAsia" w:ascii="宋体" w:hAnsi="宋体" w:eastAsia="宋体" w:cs="宋体"/>
          <w:color w:val="auto"/>
          <w:kern w:val="21"/>
          <w:sz w:val="24"/>
          <w:szCs w:val="24"/>
          <w:highlight w:val="none"/>
          <w:lang w:bidi="ar"/>
        </w:rPr>
        <w:t>13）</w:t>
      </w:r>
      <w:r>
        <w:rPr>
          <w:rFonts w:hint="eastAsia" w:ascii="宋体" w:hAnsi="宋体" w:eastAsia="宋体" w:cs="宋体"/>
          <w:color w:val="auto"/>
          <w:kern w:val="21"/>
          <w:sz w:val="24"/>
          <w:szCs w:val="24"/>
          <w:highlight w:val="none"/>
          <w:lang w:val="zh-CN" w:bidi="ar"/>
        </w:rPr>
        <w:t>各种景观配套设施的方案位置设计及与选型；</w:t>
      </w:r>
    </w:p>
    <w:p w14:paraId="5463C23A">
      <w:pPr>
        <w:spacing w:line="360" w:lineRule="auto"/>
        <w:ind w:left="828" w:hanging="828" w:hangingChars="345"/>
        <w:rPr>
          <w:rFonts w:hint="eastAsia" w:ascii="宋体" w:hAnsi="宋体" w:eastAsia="宋体" w:cs="宋体"/>
          <w:color w:val="auto"/>
          <w:kern w:val="21"/>
          <w:sz w:val="24"/>
          <w:szCs w:val="24"/>
          <w:highlight w:val="none"/>
          <w:lang w:val="zh-CN"/>
        </w:rPr>
      </w:pPr>
      <w:r>
        <w:rPr>
          <w:rFonts w:hint="eastAsia" w:ascii="宋体" w:hAnsi="宋体" w:eastAsia="宋体" w:cs="宋体"/>
          <w:color w:val="auto"/>
          <w:kern w:val="21"/>
          <w:sz w:val="24"/>
          <w:szCs w:val="24"/>
          <w:highlight w:val="none"/>
          <w:lang w:val="zh-CN" w:bidi="ar"/>
        </w:rPr>
        <w:t>（14）各种与建筑相关的构筑物（地下汽车库及自行车库出入口、管理用房、设备用房、垃圾站、配电箱等）的外部景观装饰处理；</w:t>
      </w:r>
    </w:p>
    <w:p w14:paraId="09CA8E6E">
      <w:pPr>
        <w:spacing w:line="360" w:lineRule="auto"/>
        <w:ind w:left="828" w:hanging="828" w:hangingChars="345"/>
        <w:rPr>
          <w:rFonts w:hint="eastAsia" w:ascii="宋体" w:hAnsi="宋体" w:eastAsia="宋体" w:cs="宋体"/>
          <w:color w:val="auto"/>
          <w:kern w:val="21"/>
          <w:sz w:val="24"/>
          <w:szCs w:val="24"/>
          <w:highlight w:val="none"/>
          <w:lang w:val="zh-CN"/>
        </w:rPr>
      </w:pPr>
      <w:r>
        <w:rPr>
          <w:rFonts w:hint="eastAsia" w:ascii="宋体" w:hAnsi="宋体" w:eastAsia="宋体" w:cs="宋体"/>
          <w:color w:val="auto"/>
          <w:kern w:val="21"/>
          <w:sz w:val="24"/>
          <w:szCs w:val="24"/>
          <w:highlight w:val="none"/>
          <w:lang w:val="zh-CN" w:bidi="ar"/>
        </w:rPr>
        <w:t>（15）</w:t>
      </w:r>
      <w:r>
        <w:rPr>
          <w:rFonts w:hint="eastAsia" w:ascii="宋体" w:hAnsi="宋体" w:eastAsia="宋体" w:cs="宋体"/>
          <w:color w:val="auto"/>
          <w:kern w:val="21"/>
          <w:sz w:val="24"/>
          <w:szCs w:val="24"/>
          <w:highlight w:val="none"/>
          <w:lang w:bidi="ar"/>
        </w:rPr>
        <w:tab/>
      </w:r>
      <w:r>
        <w:rPr>
          <w:rFonts w:hint="eastAsia" w:ascii="宋体" w:hAnsi="宋体" w:eastAsia="宋体" w:cs="宋体"/>
          <w:color w:val="auto"/>
          <w:kern w:val="21"/>
          <w:sz w:val="24"/>
          <w:szCs w:val="24"/>
          <w:highlight w:val="none"/>
          <w:lang w:val="zh-CN" w:bidi="ar"/>
        </w:rPr>
        <w:t>地面层暴露在室外与建筑及市政相关的水、电、气和通风管网的景观装饰处理；</w:t>
      </w:r>
    </w:p>
    <w:p w14:paraId="263F135D">
      <w:pPr>
        <w:spacing w:line="360" w:lineRule="auto"/>
        <w:ind w:left="828" w:hanging="828" w:hangingChars="345"/>
        <w:rPr>
          <w:rFonts w:hint="eastAsia" w:ascii="宋体" w:hAnsi="宋体" w:eastAsia="宋体" w:cs="宋体"/>
          <w:color w:val="auto"/>
          <w:kern w:val="21"/>
          <w:sz w:val="24"/>
          <w:szCs w:val="24"/>
          <w:highlight w:val="none"/>
          <w:lang w:val="zh-CN"/>
        </w:rPr>
      </w:pPr>
      <w:r>
        <w:rPr>
          <w:rFonts w:hint="eastAsia" w:ascii="宋体" w:hAnsi="宋体" w:eastAsia="宋体" w:cs="宋体"/>
          <w:color w:val="auto"/>
          <w:kern w:val="21"/>
          <w:sz w:val="24"/>
          <w:szCs w:val="24"/>
          <w:highlight w:val="none"/>
          <w:lang w:val="zh-CN" w:bidi="ar"/>
        </w:rPr>
        <w:t>（16）</w:t>
      </w:r>
      <w:r>
        <w:rPr>
          <w:rFonts w:hint="eastAsia" w:ascii="宋体" w:hAnsi="宋体" w:eastAsia="宋体" w:cs="宋体"/>
          <w:color w:val="auto"/>
          <w:kern w:val="21"/>
          <w:sz w:val="24"/>
          <w:szCs w:val="24"/>
          <w:highlight w:val="none"/>
          <w:lang w:bidi="ar"/>
        </w:rPr>
        <w:tab/>
      </w:r>
      <w:r>
        <w:rPr>
          <w:rFonts w:hint="eastAsia" w:ascii="宋体" w:hAnsi="宋体" w:eastAsia="宋体" w:cs="宋体"/>
          <w:color w:val="auto"/>
          <w:kern w:val="21"/>
          <w:sz w:val="24"/>
          <w:szCs w:val="24"/>
          <w:highlight w:val="none"/>
          <w:lang w:val="zh-CN" w:bidi="ar"/>
        </w:rPr>
        <w:t>配合完成景观样板段招标图设计；提供各种景观材料的样本及样品图片（包括：铺装材料的实样或图片和灯具、室外家俱、小品的参考照片，如甲方需要可提供相关供应商资料）；</w:t>
      </w:r>
    </w:p>
    <w:p w14:paraId="62BD6393">
      <w:pPr>
        <w:spacing w:line="360" w:lineRule="auto"/>
        <w:ind w:left="828" w:hanging="828" w:hangingChars="345"/>
        <w:rPr>
          <w:rFonts w:hint="eastAsia" w:ascii="宋体" w:hAnsi="宋体" w:eastAsia="宋体" w:cs="宋体"/>
          <w:color w:val="auto"/>
          <w:kern w:val="21"/>
          <w:sz w:val="24"/>
          <w:szCs w:val="24"/>
          <w:highlight w:val="none"/>
          <w:lang w:val="zh-CN"/>
        </w:rPr>
      </w:pPr>
      <w:r>
        <w:rPr>
          <w:rFonts w:hint="eastAsia" w:ascii="宋体" w:hAnsi="宋体" w:eastAsia="宋体" w:cs="宋体"/>
          <w:color w:val="auto"/>
          <w:kern w:val="21"/>
          <w:sz w:val="24"/>
          <w:szCs w:val="24"/>
          <w:highlight w:val="none"/>
          <w:lang w:val="zh-CN" w:bidi="ar"/>
        </w:rPr>
        <w:t>（17）</w:t>
      </w:r>
      <w:r>
        <w:rPr>
          <w:rFonts w:hint="eastAsia" w:ascii="宋体" w:hAnsi="宋体" w:eastAsia="宋体" w:cs="宋体"/>
          <w:color w:val="auto"/>
          <w:kern w:val="21"/>
          <w:sz w:val="24"/>
          <w:szCs w:val="24"/>
          <w:highlight w:val="none"/>
          <w:lang w:bidi="ar"/>
        </w:rPr>
        <w:tab/>
      </w:r>
      <w:r>
        <w:rPr>
          <w:rFonts w:hint="eastAsia" w:ascii="宋体" w:hAnsi="宋体" w:eastAsia="宋体" w:cs="宋体"/>
          <w:color w:val="auto"/>
          <w:kern w:val="21"/>
          <w:sz w:val="24"/>
          <w:szCs w:val="24"/>
          <w:highlight w:val="none"/>
          <w:lang w:val="zh-CN" w:bidi="ar"/>
        </w:rPr>
        <w:t>全部景观完成面的设计（但不含主体建筑及车库等土建设计和结构配筋设计）；</w:t>
      </w:r>
    </w:p>
    <w:p w14:paraId="018730E0">
      <w:pPr>
        <w:spacing w:line="360" w:lineRule="auto"/>
        <w:ind w:left="828" w:hanging="828" w:hangingChars="345"/>
        <w:rPr>
          <w:rFonts w:hint="eastAsia" w:ascii="宋体" w:hAnsi="宋体" w:eastAsia="宋体" w:cs="宋体"/>
          <w:color w:val="auto"/>
          <w:kern w:val="21"/>
          <w:sz w:val="24"/>
          <w:szCs w:val="24"/>
          <w:highlight w:val="none"/>
          <w:lang w:val="zh-CN"/>
        </w:rPr>
      </w:pPr>
      <w:r>
        <w:rPr>
          <w:rFonts w:hint="eastAsia" w:ascii="宋体" w:hAnsi="宋体" w:eastAsia="宋体" w:cs="宋体"/>
          <w:color w:val="auto"/>
          <w:kern w:val="21"/>
          <w:sz w:val="24"/>
          <w:szCs w:val="24"/>
          <w:highlight w:val="none"/>
          <w:lang w:val="zh-CN" w:bidi="ar"/>
        </w:rPr>
        <w:t>（18）</w:t>
      </w:r>
      <w:r>
        <w:rPr>
          <w:rFonts w:hint="eastAsia" w:ascii="宋体" w:hAnsi="宋体" w:eastAsia="宋体" w:cs="宋体"/>
          <w:color w:val="auto"/>
          <w:kern w:val="21"/>
          <w:sz w:val="24"/>
          <w:szCs w:val="24"/>
          <w:highlight w:val="none"/>
          <w:lang w:bidi="ar"/>
        </w:rPr>
        <w:tab/>
      </w:r>
      <w:r>
        <w:rPr>
          <w:rFonts w:hint="eastAsia" w:ascii="宋体" w:hAnsi="宋体" w:eastAsia="宋体" w:cs="宋体"/>
          <w:color w:val="auto"/>
          <w:kern w:val="21"/>
          <w:sz w:val="24"/>
          <w:szCs w:val="24"/>
          <w:highlight w:val="none"/>
          <w:lang w:val="zh-CN" w:bidi="ar"/>
        </w:rPr>
        <w:t>露台、屋顶花园、下沉庭院等特色空间的景观设计；</w:t>
      </w:r>
    </w:p>
    <w:p w14:paraId="177701F3">
      <w:pPr>
        <w:spacing w:line="360" w:lineRule="auto"/>
        <w:ind w:left="828" w:hanging="828" w:hangingChars="345"/>
        <w:rPr>
          <w:rFonts w:hint="eastAsia" w:ascii="宋体" w:hAnsi="宋体" w:eastAsia="宋体" w:cs="宋体"/>
          <w:color w:val="auto"/>
          <w:kern w:val="21"/>
          <w:sz w:val="24"/>
          <w:szCs w:val="24"/>
          <w:highlight w:val="none"/>
          <w:lang w:val="zh-CN"/>
        </w:rPr>
      </w:pPr>
      <w:r>
        <w:rPr>
          <w:rFonts w:hint="eastAsia" w:ascii="宋体" w:hAnsi="宋体" w:eastAsia="宋体" w:cs="宋体"/>
          <w:color w:val="auto"/>
          <w:kern w:val="21"/>
          <w:sz w:val="24"/>
          <w:szCs w:val="24"/>
          <w:highlight w:val="none"/>
          <w:lang w:val="zh-CN" w:bidi="ar"/>
        </w:rPr>
        <w:t>（19）</w:t>
      </w:r>
      <w:r>
        <w:rPr>
          <w:rFonts w:hint="eastAsia" w:ascii="宋体" w:hAnsi="宋体" w:eastAsia="宋体" w:cs="宋体"/>
          <w:color w:val="auto"/>
          <w:kern w:val="21"/>
          <w:sz w:val="24"/>
          <w:szCs w:val="24"/>
          <w:highlight w:val="none"/>
          <w:lang w:bidi="ar"/>
        </w:rPr>
        <w:tab/>
      </w:r>
      <w:r>
        <w:rPr>
          <w:rFonts w:hint="eastAsia" w:ascii="宋体" w:hAnsi="宋体" w:eastAsia="宋体" w:cs="宋体"/>
          <w:color w:val="auto"/>
          <w:kern w:val="21"/>
          <w:sz w:val="24"/>
          <w:szCs w:val="24"/>
          <w:highlight w:val="none"/>
          <w:lang w:val="zh-CN" w:bidi="ar"/>
        </w:rPr>
        <w:t>与景观相结合的警示、指示牌等标识标牌系统的概念意向；</w:t>
      </w:r>
    </w:p>
    <w:p w14:paraId="6C4E2DDE">
      <w:pPr>
        <w:spacing w:line="360" w:lineRule="auto"/>
        <w:ind w:left="828" w:hanging="828" w:hangingChars="345"/>
        <w:rPr>
          <w:rFonts w:hint="eastAsia" w:ascii="宋体" w:hAnsi="宋体" w:eastAsia="宋体" w:cs="宋体"/>
          <w:color w:val="auto"/>
          <w:kern w:val="21"/>
          <w:sz w:val="24"/>
          <w:szCs w:val="24"/>
          <w:highlight w:val="none"/>
          <w:lang w:val="zh-CN"/>
        </w:rPr>
      </w:pPr>
      <w:r>
        <w:rPr>
          <w:rFonts w:hint="eastAsia" w:ascii="宋体" w:hAnsi="宋体" w:eastAsia="宋体" w:cs="宋体"/>
          <w:color w:val="auto"/>
          <w:kern w:val="21"/>
          <w:sz w:val="24"/>
          <w:szCs w:val="24"/>
          <w:highlight w:val="none"/>
          <w:lang w:val="zh-CN" w:bidi="ar"/>
        </w:rPr>
        <w:t>（19）</w:t>
      </w:r>
      <w:r>
        <w:rPr>
          <w:rFonts w:hint="eastAsia" w:ascii="宋体" w:hAnsi="宋体" w:eastAsia="宋体" w:cs="宋体"/>
          <w:color w:val="auto"/>
          <w:kern w:val="21"/>
          <w:sz w:val="24"/>
          <w:szCs w:val="24"/>
          <w:highlight w:val="none"/>
          <w:lang w:bidi="ar"/>
        </w:rPr>
        <w:tab/>
      </w:r>
      <w:r>
        <w:rPr>
          <w:rFonts w:hint="eastAsia" w:ascii="宋体" w:hAnsi="宋体" w:eastAsia="宋体" w:cs="宋体"/>
          <w:color w:val="auto"/>
          <w:kern w:val="21"/>
          <w:sz w:val="24"/>
          <w:szCs w:val="24"/>
          <w:highlight w:val="none"/>
          <w:lang w:val="zh-CN" w:bidi="ar"/>
        </w:rPr>
        <w:t>根据项目工作的需要，设计服务周期内的项目汇报交流与会晤和现场服务（20次）需甲方提前通知；但在项目施工赶工过程中，乙方应积极配合甲方现场要求进行现场指导或技术服务；现场如有紧急情况发生，在甲方要求且工作安排许可的情况下乙方需随时到场服务；</w:t>
      </w:r>
    </w:p>
    <w:p w14:paraId="503E222C">
      <w:pPr>
        <w:spacing w:line="360" w:lineRule="auto"/>
        <w:ind w:left="828" w:hanging="828" w:hangingChars="345"/>
        <w:rPr>
          <w:rFonts w:hint="eastAsia" w:ascii="宋体" w:hAnsi="宋体" w:eastAsia="宋体" w:cs="宋体"/>
          <w:color w:val="auto"/>
          <w:kern w:val="21"/>
          <w:sz w:val="24"/>
          <w:szCs w:val="24"/>
          <w:highlight w:val="none"/>
          <w:lang w:val="zh-CN"/>
        </w:rPr>
      </w:pPr>
      <w:r>
        <w:rPr>
          <w:rFonts w:hint="eastAsia" w:ascii="宋体" w:hAnsi="宋体" w:eastAsia="宋体" w:cs="宋体"/>
          <w:color w:val="auto"/>
          <w:kern w:val="21"/>
          <w:sz w:val="24"/>
          <w:szCs w:val="24"/>
          <w:highlight w:val="none"/>
          <w:lang w:val="zh-CN" w:bidi="ar"/>
        </w:rPr>
        <w:t>（20）</w:t>
      </w:r>
      <w:r>
        <w:rPr>
          <w:rFonts w:hint="eastAsia" w:ascii="宋体" w:hAnsi="宋体" w:eastAsia="宋体" w:cs="宋体"/>
          <w:color w:val="auto"/>
          <w:kern w:val="21"/>
          <w:sz w:val="24"/>
          <w:szCs w:val="24"/>
          <w:highlight w:val="none"/>
          <w:lang w:bidi="ar"/>
        </w:rPr>
        <w:tab/>
      </w:r>
      <w:r>
        <w:rPr>
          <w:rFonts w:hint="eastAsia" w:ascii="宋体" w:hAnsi="宋体" w:eastAsia="宋体" w:cs="宋体"/>
          <w:color w:val="auto"/>
          <w:kern w:val="21"/>
          <w:sz w:val="24"/>
          <w:szCs w:val="24"/>
          <w:highlight w:val="none"/>
          <w:lang w:val="zh-CN" w:bidi="ar"/>
        </w:rPr>
        <w:t>依据项目最终方案和施工图文件，协助完成成果梳理及标准化沉淀；根据项目实施情况，完成项目景观工程后评估工作。</w:t>
      </w:r>
    </w:p>
    <w:p w14:paraId="1542D842">
      <w:pPr>
        <w:pStyle w:val="23"/>
        <w:tabs>
          <w:tab w:val="left" w:pos="840"/>
          <w:tab w:val="clear" w:pos="720"/>
        </w:tabs>
        <w:outlineLvl w:val="9"/>
        <w:rPr>
          <w:rFonts w:hint="eastAsia" w:ascii="宋体" w:hAnsi="宋体" w:eastAsia="宋体" w:cs="宋体"/>
          <w:b/>
          <w:color w:val="auto"/>
          <w:kern w:val="2"/>
          <w:sz w:val="24"/>
          <w:szCs w:val="24"/>
          <w:highlight w:val="none"/>
        </w:rPr>
      </w:pPr>
      <w:r>
        <w:rPr>
          <w:rFonts w:hint="eastAsia" w:ascii="宋体" w:hAnsi="宋体" w:eastAsia="宋体" w:cs="宋体"/>
          <w:b/>
          <w:color w:val="auto"/>
          <w:kern w:val="2"/>
          <w:sz w:val="24"/>
          <w:szCs w:val="24"/>
          <w:highlight w:val="none"/>
        </w:rPr>
        <w:t>2、精装修设计（室内设计）服务内容：</w:t>
      </w:r>
    </w:p>
    <w:p w14:paraId="08497F62">
      <w:pPr>
        <w:pStyle w:val="25"/>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w:t>
      </w:r>
      <w:r>
        <w:rPr>
          <w:rFonts w:hint="eastAsia" w:hAnsi="宋体" w:cs="宋体"/>
          <w:b/>
          <w:color w:val="auto"/>
          <w:sz w:val="24"/>
          <w:szCs w:val="24"/>
          <w:highlight w:val="none"/>
          <w:lang w:val="en-US" w:eastAsia="zh-CN"/>
        </w:rPr>
        <w:t>首层</w:t>
      </w:r>
      <w:r>
        <w:rPr>
          <w:rFonts w:hint="eastAsia" w:ascii="宋体" w:hAnsi="宋体" w:eastAsia="宋体" w:cs="宋体"/>
          <w:b/>
          <w:color w:val="auto"/>
          <w:sz w:val="24"/>
          <w:szCs w:val="24"/>
          <w:highlight w:val="none"/>
        </w:rPr>
        <w:t>商业</w:t>
      </w:r>
      <w:r>
        <w:rPr>
          <w:rFonts w:hint="eastAsia" w:hAnsi="宋体" w:cs="宋体"/>
          <w:b/>
          <w:color w:val="auto"/>
          <w:sz w:val="24"/>
          <w:szCs w:val="24"/>
          <w:highlight w:val="none"/>
          <w:lang w:eastAsia="zh-CN"/>
        </w:rPr>
        <w:t>（</w:t>
      </w:r>
      <w:r>
        <w:rPr>
          <w:rFonts w:hint="eastAsia" w:hAnsi="宋体" w:cs="宋体"/>
          <w:b/>
          <w:color w:val="auto"/>
          <w:sz w:val="24"/>
          <w:szCs w:val="24"/>
          <w:highlight w:val="none"/>
          <w:lang w:val="en-US" w:eastAsia="zh-CN"/>
        </w:rPr>
        <w:t>若有</w:t>
      </w:r>
      <w:r>
        <w:rPr>
          <w:rFonts w:hint="eastAsia" w:hAnsi="宋体" w:cs="宋体"/>
          <w:b/>
          <w:color w:val="auto"/>
          <w:sz w:val="24"/>
          <w:szCs w:val="24"/>
          <w:highlight w:val="none"/>
          <w:lang w:eastAsia="zh-CN"/>
        </w:rPr>
        <w:t>）</w:t>
      </w:r>
      <w:r>
        <w:rPr>
          <w:rFonts w:hint="eastAsia" w:ascii="宋体" w:hAnsi="宋体" w:eastAsia="宋体" w:cs="宋体"/>
          <w:b/>
          <w:color w:val="auto"/>
          <w:sz w:val="24"/>
          <w:szCs w:val="24"/>
          <w:highlight w:val="none"/>
        </w:rPr>
        <w:t>室内设计要求：</w:t>
      </w:r>
    </w:p>
    <w:p w14:paraId="59BC4CCE">
      <w:pPr>
        <w:spacing w:line="360" w:lineRule="auto"/>
        <w:ind w:left="56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A、根据甲方的要求，结合商业策划公司对于业态、功能的规划及建筑方案，进行商业动线优化设计，调整交通组织并确认面积分配需求，配合商业公司对业态比例及商铺划分进行合理优化，使人流分配合理化，商业价值最大化，满足商管及相关规范要求；</w:t>
      </w:r>
    </w:p>
    <w:p w14:paraId="0461C8B5">
      <w:pPr>
        <w:spacing w:line="360" w:lineRule="auto"/>
        <w:ind w:left="56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B、对所有商业前场区（包含但不限于）：主次入口、主次中庭、各层连廊、公共走廊、电梯厅、电梯轿厢、公共卫生间、自动扶梯口及自动扶梯公共空间、地下室客用电梯厅空间、特色空间及采光顶室内设计等；</w:t>
      </w:r>
    </w:p>
    <w:p w14:paraId="560F806B">
      <w:pPr>
        <w:spacing w:line="360" w:lineRule="auto"/>
        <w:ind w:left="56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C、对所有商业后场区（包括但不限于）：后勤走道及货运电梯厅空间设计等；</w:t>
      </w:r>
    </w:p>
    <w:p w14:paraId="1474F934">
      <w:pPr>
        <w:spacing w:line="360" w:lineRule="auto"/>
        <w:ind w:left="56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D、根据专业设计公司提供的弱电设计图纸，调整电话、网络、电视、广播的终端位置，在满足规范要求的前提下，确保美观；</w:t>
      </w:r>
    </w:p>
    <w:p w14:paraId="2F6B6D63">
      <w:pPr>
        <w:spacing w:line="360" w:lineRule="auto"/>
        <w:ind w:left="56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E、根据专业设计公司提供的空调、给排水、消防图纸调整风口、给排水末端、喷淋、烟感、喇叭的位置，在满足规范要求的前提下，确保美观；</w:t>
      </w:r>
    </w:p>
    <w:p w14:paraId="779F922A">
      <w:pPr>
        <w:spacing w:line="360" w:lineRule="auto"/>
        <w:ind w:left="56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F、根据专业设计公司提供的灯光设计图纸、电气设计图纸调整灯具、开关、插座位置，在满足规范要求前提下，确保美观；</w:t>
      </w:r>
    </w:p>
    <w:p w14:paraId="59372902">
      <w:pPr>
        <w:spacing w:line="360" w:lineRule="auto"/>
        <w:ind w:left="56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G、提供室内材料选型表（含灯具选型表、洁具选型表、五金配件选型表、材料明细表）及材料实样板；</w:t>
      </w:r>
    </w:p>
    <w:p w14:paraId="7EDA0A90">
      <w:pPr>
        <w:spacing w:line="360" w:lineRule="auto"/>
        <w:ind w:left="567"/>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H、配合美陈设计方案审核，提出审核意见，并配合修改相应配合图纸。</w:t>
      </w:r>
    </w:p>
    <w:p w14:paraId="35874858">
      <w:pPr>
        <w:spacing w:line="360" w:lineRule="auto"/>
        <w:ind w:left="567"/>
        <w:rPr>
          <w:rFonts w:hint="eastAsia" w:ascii="宋体" w:hAnsi="宋体" w:eastAsia="宋体" w:cs="宋体"/>
          <w:color w:val="auto"/>
          <w:szCs w:val="21"/>
          <w:highlight w:val="none"/>
          <w:lang w:bidi="ar"/>
        </w:rPr>
      </w:pPr>
    </w:p>
    <w:p w14:paraId="1150DA44">
      <w:pPr>
        <w:pStyle w:val="25"/>
        <w:ind w:left="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（2）办公室内设计要求：</w:t>
      </w:r>
    </w:p>
    <w:p w14:paraId="697A78D6">
      <w:pPr>
        <w:spacing w:line="360" w:lineRule="auto"/>
        <w:ind w:left="56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A、根据甲方的要求，结合商业策划公司对于定位要求，进行办公动线的优化设计，满足商管及相关规范要求；</w:t>
      </w:r>
    </w:p>
    <w:p w14:paraId="5AA3F1A5">
      <w:pPr>
        <w:spacing w:line="360" w:lineRule="auto"/>
        <w:ind w:left="56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B、对所有办公公共区域（包括但不限于）：首层大堂及电梯厅、地下大堂及电梯厅、标准层电梯厅、标准层走道、卫生间、轿厢等；</w:t>
      </w:r>
    </w:p>
    <w:p w14:paraId="7F681B00">
      <w:pPr>
        <w:spacing w:line="360" w:lineRule="auto"/>
        <w:ind w:left="56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C、对所有办公单元内（若有）：交付标准区等；</w:t>
      </w:r>
    </w:p>
    <w:p w14:paraId="28BDE69F">
      <w:pPr>
        <w:spacing w:line="360" w:lineRule="auto"/>
        <w:ind w:left="56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D、根据专业设计公司提供的弱电设计图纸，调整电话、网络、电视、广播的终端位置，在满足规范要求的前提下，确保美观；</w:t>
      </w:r>
    </w:p>
    <w:p w14:paraId="392E7D11">
      <w:pPr>
        <w:spacing w:line="360" w:lineRule="auto"/>
        <w:ind w:left="56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E、根据专业设计公司提供的空调、给排水、消防图纸调整风口、给排水末端、喷淋、烟感、喇叭的位置，在满足规范要求的前提下，确保美观；</w:t>
      </w:r>
    </w:p>
    <w:p w14:paraId="17ECEEB5">
      <w:pPr>
        <w:spacing w:line="360" w:lineRule="auto"/>
        <w:ind w:left="56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F、根据灯光设计图纸、电气设计图纸调整灯具、开关、插座位置，在满足规范要求前提下，确保美观；</w:t>
      </w:r>
    </w:p>
    <w:p w14:paraId="313A8AA7">
      <w:pPr>
        <w:spacing w:line="360" w:lineRule="auto"/>
        <w:ind w:left="56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G、提供室内材料选型表（含灯具选型表、洁具选型表、五金配件选型表、材料明细表）及材料样板。</w:t>
      </w:r>
      <w:r>
        <w:rPr>
          <w:rFonts w:hint="eastAsia" w:ascii="宋体" w:hAnsi="宋体" w:eastAsia="宋体" w:cs="宋体"/>
          <w:color w:val="auto"/>
          <w:sz w:val="24"/>
          <w:szCs w:val="24"/>
          <w:highlight w:val="none"/>
          <w:lang w:bidi="ar"/>
        </w:rPr>
        <w:tab/>
      </w:r>
    </w:p>
    <w:p w14:paraId="71EFA9E2">
      <w:pPr>
        <w:spacing w:line="360" w:lineRule="auto"/>
        <w:ind w:left="567"/>
        <w:rPr>
          <w:rFonts w:hint="eastAsia" w:ascii="宋体" w:hAnsi="宋体" w:eastAsia="宋体" w:cs="宋体"/>
          <w:color w:val="auto"/>
          <w:szCs w:val="21"/>
          <w:highlight w:val="none"/>
          <w:lang w:bidi="ar"/>
        </w:rPr>
      </w:pPr>
    </w:p>
    <w:p w14:paraId="125AD949">
      <w:pPr>
        <w:spacing w:line="360" w:lineRule="auto"/>
        <w:ind w:left="567"/>
        <w:rPr>
          <w:rFonts w:hint="eastAsia" w:ascii="宋体" w:hAnsi="宋体" w:eastAsia="宋体" w:cs="宋体"/>
          <w:color w:val="auto"/>
          <w:sz w:val="24"/>
          <w:szCs w:val="24"/>
          <w:highlight w:val="none"/>
          <w:lang w:bidi="ar"/>
        </w:rPr>
      </w:pPr>
    </w:p>
    <w:p w14:paraId="62116F77">
      <w:pPr>
        <w:pStyle w:val="23"/>
        <w:tabs>
          <w:tab w:val="left" w:pos="840"/>
          <w:tab w:val="clear" w:pos="720"/>
        </w:tabs>
        <w:ind w:left="0" w:leftChars="0" w:firstLine="482" w:firstLineChars="200"/>
        <w:outlineLvl w:val="9"/>
        <w:rPr>
          <w:rFonts w:hint="eastAsia" w:ascii="宋体" w:hAnsi="宋体" w:eastAsia="宋体" w:cs="宋体"/>
          <w:b/>
          <w:color w:val="auto"/>
          <w:kern w:val="2"/>
          <w:sz w:val="24"/>
          <w:szCs w:val="24"/>
          <w:highlight w:val="none"/>
        </w:rPr>
      </w:pPr>
      <w:r>
        <w:rPr>
          <w:rFonts w:hint="eastAsia" w:ascii="宋体" w:hAnsi="宋体" w:eastAsia="宋体" w:cs="宋体"/>
          <w:b/>
          <w:color w:val="auto"/>
          <w:kern w:val="2"/>
          <w:sz w:val="24"/>
          <w:szCs w:val="24"/>
          <w:highlight w:val="none"/>
        </w:rPr>
        <w:t>3、精装修二次机电设计服务内容：</w:t>
      </w:r>
    </w:p>
    <w:p w14:paraId="5A1F10F8">
      <w:pPr>
        <w:pStyle w:val="23"/>
        <w:outlineLvl w:val="9"/>
        <w:rPr>
          <w:rFonts w:hint="eastAsia" w:ascii="宋体" w:hAnsi="宋体" w:eastAsia="宋体" w:cs="宋体"/>
          <w:b w:val="0"/>
          <w:bCs w:val="0"/>
          <w:color w:val="auto"/>
          <w:sz w:val="24"/>
          <w:szCs w:val="24"/>
          <w:highlight w:val="none"/>
          <w:lang w:eastAsia="zh-TW"/>
        </w:rPr>
      </w:pPr>
      <w:r>
        <w:rPr>
          <w:rFonts w:hint="eastAsia" w:ascii="宋体" w:hAnsi="宋体" w:eastAsia="宋体" w:cs="宋体"/>
          <w:b w:val="0"/>
          <w:bCs w:val="0"/>
          <w:color w:val="auto"/>
          <w:sz w:val="24"/>
          <w:szCs w:val="24"/>
          <w:highlight w:val="none"/>
        </w:rPr>
        <w:t>（1）</w:t>
      </w:r>
      <w:r>
        <w:rPr>
          <w:rFonts w:hint="eastAsia" w:ascii="宋体" w:hAnsi="宋体" w:eastAsia="宋体" w:cs="宋体"/>
          <w:b w:val="0"/>
          <w:bCs w:val="0"/>
          <w:color w:val="auto"/>
          <w:sz w:val="24"/>
          <w:szCs w:val="24"/>
          <w:highlight w:val="none"/>
          <w:lang w:eastAsia="zh-TW"/>
        </w:rPr>
        <w:t>原则上不得更改已经施工的一次机电的主管路由，仅就支管、分支路由和末端机电点位进行调整</w:t>
      </w:r>
      <w:r>
        <w:rPr>
          <w:rFonts w:hint="eastAsia" w:ascii="宋体" w:hAnsi="宋体" w:eastAsia="宋体" w:cs="宋体"/>
          <w:b w:val="0"/>
          <w:bCs w:val="0"/>
          <w:color w:val="auto"/>
          <w:sz w:val="24"/>
          <w:szCs w:val="24"/>
          <w:highlight w:val="none"/>
        </w:rPr>
        <w:t>。二次机电图纸需与一次机电合图，确保最终蓝图为一套完整的施工图，</w:t>
      </w:r>
      <w:r>
        <w:rPr>
          <w:rFonts w:hint="eastAsia" w:ascii="宋体" w:hAnsi="宋体" w:eastAsia="宋体" w:cs="宋体"/>
          <w:b w:val="0"/>
          <w:bCs w:val="0"/>
          <w:color w:val="auto"/>
          <w:sz w:val="24"/>
          <w:szCs w:val="24"/>
          <w:highlight w:val="none"/>
          <w:lang w:eastAsia="zh-TW"/>
        </w:rPr>
        <w:t>如影响一次机电系统的容量、主路由、系统参数和接驳条件，需同步更改一次机电设计内容</w:t>
      </w:r>
      <w:r>
        <w:rPr>
          <w:rFonts w:hint="eastAsia" w:ascii="宋体" w:hAnsi="宋体" w:eastAsia="宋体" w:cs="宋体"/>
          <w:b w:val="0"/>
          <w:bCs w:val="0"/>
          <w:color w:val="auto"/>
          <w:sz w:val="24"/>
          <w:szCs w:val="24"/>
          <w:highlight w:val="none"/>
        </w:rPr>
        <w:t>时</w:t>
      </w:r>
      <w:r>
        <w:rPr>
          <w:rFonts w:hint="eastAsia" w:ascii="宋体" w:hAnsi="宋体" w:eastAsia="宋体" w:cs="宋体"/>
          <w:b w:val="0"/>
          <w:bCs w:val="0"/>
          <w:color w:val="auto"/>
          <w:sz w:val="24"/>
          <w:szCs w:val="24"/>
          <w:highlight w:val="none"/>
          <w:lang w:eastAsia="zh-TW"/>
        </w:rPr>
        <w:t>，</w:t>
      </w:r>
      <w:r>
        <w:rPr>
          <w:rFonts w:hint="eastAsia" w:ascii="宋体" w:hAnsi="宋体" w:eastAsia="宋体" w:cs="宋体"/>
          <w:b w:val="0"/>
          <w:bCs w:val="0"/>
          <w:color w:val="auto"/>
          <w:sz w:val="24"/>
          <w:szCs w:val="24"/>
          <w:highlight w:val="none"/>
        </w:rPr>
        <w:t>应</w:t>
      </w:r>
      <w:r>
        <w:rPr>
          <w:rFonts w:hint="eastAsia" w:ascii="宋体" w:hAnsi="宋体" w:eastAsia="宋体" w:cs="宋体"/>
          <w:b w:val="0"/>
          <w:bCs w:val="0"/>
          <w:color w:val="auto"/>
          <w:sz w:val="24"/>
          <w:szCs w:val="24"/>
          <w:highlight w:val="none"/>
          <w:lang w:eastAsia="zh-TW"/>
        </w:rPr>
        <w:t>以云线标记；</w:t>
      </w:r>
    </w:p>
    <w:p w14:paraId="3EC8E1F8">
      <w:pPr>
        <w:pStyle w:val="23"/>
        <w:outlineLvl w:val="9"/>
        <w:rPr>
          <w:rFonts w:hint="eastAsia" w:ascii="宋体" w:hAnsi="宋体" w:eastAsia="宋体" w:cs="宋体"/>
          <w:b w:val="0"/>
          <w:bCs w:val="0"/>
          <w:color w:val="auto"/>
          <w:sz w:val="24"/>
          <w:szCs w:val="24"/>
          <w:highlight w:val="none"/>
          <w:lang w:eastAsia="zh-TW"/>
        </w:rPr>
      </w:pPr>
      <w:r>
        <w:rPr>
          <w:rFonts w:hint="eastAsia" w:ascii="宋体" w:hAnsi="宋体" w:eastAsia="宋体" w:cs="宋体"/>
          <w:b w:val="0"/>
          <w:bCs w:val="0"/>
          <w:color w:val="auto"/>
          <w:sz w:val="24"/>
          <w:szCs w:val="24"/>
          <w:highlight w:val="none"/>
        </w:rPr>
        <w:t>（2）</w:t>
      </w:r>
      <w:r>
        <w:rPr>
          <w:rFonts w:hint="eastAsia" w:ascii="宋体" w:hAnsi="宋体" w:eastAsia="宋体" w:cs="宋体"/>
          <w:b w:val="0"/>
          <w:bCs w:val="0"/>
          <w:color w:val="auto"/>
          <w:sz w:val="24"/>
          <w:szCs w:val="24"/>
          <w:highlight w:val="none"/>
          <w:lang w:eastAsia="zh-TW"/>
        </w:rPr>
        <w:t>原则上机房、管井不应再做变更调整</w:t>
      </w:r>
      <w:r>
        <w:rPr>
          <w:rFonts w:hint="eastAsia" w:ascii="宋体" w:hAnsi="宋体" w:eastAsia="宋体" w:cs="宋体"/>
          <w:b w:val="0"/>
          <w:bCs w:val="0"/>
          <w:color w:val="auto"/>
          <w:sz w:val="24"/>
          <w:szCs w:val="24"/>
          <w:highlight w:val="none"/>
        </w:rPr>
        <w:t>。</w:t>
      </w:r>
      <w:r>
        <w:rPr>
          <w:rFonts w:hint="eastAsia" w:ascii="宋体" w:hAnsi="宋体" w:eastAsia="宋体" w:cs="宋体"/>
          <w:b w:val="0"/>
          <w:bCs w:val="0"/>
          <w:color w:val="auto"/>
          <w:sz w:val="24"/>
          <w:szCs w:val="24"/>
          <w:highlight w:val="none"/>
          <w:lang w:eastAsia="zh-TW"/>
        </w:rPr>
        <w:t>如因二次精装修机电设计需调整机房和管井时，需同步更改一次土建设计，</w:t>
      </w:r>
      <w:r>
        <w:rPr>
          <w:rFonts w:hint="eastAsia" w:ascii="宋体" w:hAnsi="宋体" w:eastAsia="宋体" w:cs="宋体"/>
          <w:b w:val="0"/>
          <w:bCs w:val="0"/>
          <w:color w:val="auto"/>
          <w:sz w:val="24"/>
          <w:szCs w:val="24"/>
          <w:highlight w:val="none"/>
        </w:rPr>
        <w:t>应</w:t>
      </w:r>
      <w:r>
        <w:rPr>
          <w:rFonts w:hint="eastAsia" w:ascii="宋体" w:hAnsi="宋体" w:eastAsia="宋体" w:cs="宋体"/>
          <w:b w:val="0"/>
          <w:bCs w:val="0"/>
          <w:color w:val="auto"/>
          <w:sz w:val="24"/>
          <w:szCs w:val="24"/>
          <w:highlight w:val="none"/>
          <w:lang w:eastAsia="zh-TW"/>
        </w:rPr>
        <w:t>以云线标记，</w:t>
      </w:r>
      <w:r>
        <w:rPr>
          <w:rFonts w:hint="eastAsia" w:ascii="宋体" w:hAnsi="宋体" w:eastAsia="宋体" w:cs="宋体"/>
          <w:b w:val="0"/>
          <w:bCs w:val="0"/>
          <w:color w:val="auto"/>
          <w:sz w:val="24"/>
          <w:szCs w:val="24"/>
          <w:highlight w:val="none"/>
        </w:rPr>
        <w:t>提资给一次设计院，一次设计院</w:t>
      </w:r>
      <w:r>
        <w:rPr>
          <w:rFonts w:hint="eastAsia" w:ascii="宋体" w:hAnsi="宋体" w:eastAsia="宋体" w:cs="宋体"/>
          <w:b w:val="0"/>
          <w:bCs w:val="0"/>
          <w:color w:val="auto"/>
          <w:sz w:val="24"/>
          <w:szCs w:val="24"/>
          <w:highlight w:val="none"/>
          <w:lang w:eastAsia="zh-TW"/>
        </w:rPr>
        <w:t>出相应的修改通知单；</w:t>
      </w:r>
    </w:p>
    <w:p w14:paraId="38324342">
      <w:pPr>
        <w:pStyle w:val="23"/>
        <w:outlineLvl w:val="9"/>
        <w:rPr>
          <w:rFonts w:hint="eastAsia" w:ascii="宋体" w:hAnsi="宋体" w:eastAsia="宋体" w:cs="宋体"/>
          <w:b w:val="0"/>
          <w:bCs w:val="0"/>
          <w:color w:val="auto"/>
          <w:sz w:val="24"/>
          <w:szCs w:val="24"/>
          <w:highlight w:val="none"/>
          <w:lang w:eastAsia="zh-TW"/>
        </w:rPr>
      </w:pPr>
      <w:r>
        <w:rPr>
          <w:rFonts w:hint="eastAsia" w:ascii="宋体" w:hAnsi="宋体" w:eastAsia="宋体" w:cs="宋体"/>
          <w:b w:val="0"/>
          <w:bCs w:val="0"/>
          <w:color w:val="auto"/>
          <w:sz w:val="24"/>
          <w:szCs w:val="24"/>
          <w:highlight w:val="none"/>
        </w:rPr>
        <w:t>（3）</w:t>
      </w:r>
      <w:r>
        <w:rPr>
          <w:rFonts w:hint="eastAsia" w:ascii="宋体" w:hAnsi="宋体" w:eastAsia="宋体" w:cs="宋体"/>
          <w:b w:val="0"/>
          <w:bCs w:val="0"/>
          <w:color w:val="auto"/>
          <w:sz w:val="24"/>
          <w:szCs w:val="24"/>
          <w:highlight w:val="none"/>
          <w:lang w:eastAsia="zh-TW"/>
        </w:rPr>
        <w:t>二次精装修机电设计</w:t>
      </w:r>
      <w:r>
        <w:rPr>
          <w:rFonts w:hint="eastAsia" w:ascii="宋体" w:hAnsi="宋体" w:eastAsia="宋体" w:cs="宋体"/>
          <w:b w:val="0"/>
          <w:bCs w:val="0"/>
          <w:color w:val="auto"/>
          <w:sz w:val="24"/>
          <w:szCs w:val="24"/>
          <w:highlight w:val="none"/>
        </w:rPr>
        <w:t>的</w:t>
      </w:r>
      <w:r>
        <w:rPr>
          <w:rFonts w:hint="eastAsia" w:ascii="宋体" w:hAnsi="宋体" w:eastAsia="宋体" w:cs="宋体"/>
          <w:b w:val="0"/>
          <w:bCs w:val="0"/>
          <w:color w:val="auto"/>
          <w:sz w:val="24"/>
          <w:szCs w:val="24"/>
          <w:highlight w:val="none"/>
          <w:lang w:eastAsia="zh-TW"/>
        </w:rPr>
        <w:t>建筑平面布局应与精装平面布局应一致；</w:t>
      </w:r>
    </w:p>
    <w:p w14:paraId="6E17FF05">
      <w:pPr>
        <w:pStyle w:val="23"/>
        <w:outlineLvl w:val="9"/>
        <w:rPr>
          <w:rFonts w:hint="eastAsia" w:ascii="宋体" w:hAnsi="宋体" w:eastAsia="宋体" w:cs="宋体"/>
          <w:b w:val="0"/>
          <w:bCs w:val="0"/>
          <w:color w:val="auto"/>
          <w:sz w:val="24"/>
          <w:szCs w:val="24"/>
          <w:highlight w:val="none"/>
          <w:lang w:eastAsia="zh-TW"/>
        </w:rPr>
      </w:pPr>
      <w:r>
        <w:rPr>
          <w:rFonts w:hint="eastAsia" w:ascii="宋体" w:hAnsi="宋体" w:eastAsia="宋体" w:cs="宋体"/>
          <w:b w:val="0"/>
          <w:bCs w:val="0"/>
          <w:color w:val="auto"/>
          <w:sz w:val="24"/>
          <w:szCs w:val="24"/>
          <w:highlight w:val="none"/>
        </w:rPr>
        <w:t>（4）</w:t>
      </w:r>
      <w:r>
        <w:rPr>
          <w:rFonts w:hint="eastAsia" w:ascii="宋体" w:hAnsi="宋体" w:eastAsia="宋体" w:cs="宋体"/>
          <w:b w:val="0"/>
          <w:bCs w:val="0"/>
          <w:color w:val="auto"/>
          <w:sz w:val="24"/>
          <w:szCs w:val="24"/>
          <w:highlight w:val="none"/>
          <w:lang w:eastAsia="zh-TW"/>
        </w:rPr>
        <w:t>二次精装修机电设计应满足精装修所需的吊顶高度</w:t>
      </w:r>
      <w:r>
        <w:rPr>
          <w:rFonts w:hint="eastAsia" w:ascii="宋体" w:hAnsi="宋体" w:eastAsia="宋体" w:cs="宋体"/>
          <w:b w:val="0"/>
          <w:bCs w:val="0"/>
          <w:color w:val="auto"/>
          <w:sz w:val="24"/>
          <w:szCs w:val="24"/>
          <w:highlight w:val="none"/>
        </w:rPr>
        <w:t>；</w:t>
      </w:r>
    </w:p>
    <w:p w14:paraId="6579D817">
      <w:pPr>
        <w:pStyle w:val="23"/>
        <w:outlineLvl w:val="9"/>
        <w:rPr>
          <w:rFonts w:hint="eastAsia" w:ascii="宋体" w:hAnsi="宋体" w:eastAsia="宋体" w:cs="宋体"/>
          <w:b w:val="0"/>
          <w:bCs w:val="0"/>
          <w:color w:val="auto"/>
          <w:sz w:val="24"/>
          <w:szCs w:val="24"/>
          <w:highlight w:val="none"/>
          <w:lang w:eastAsia="zh-TW"/>
        </w:rPr>
      </w:pPr>
      <w:r>
        <w:rPr>
          <w:rFonts w:hint="eastAsia" w:ascii="宋体" w:hAnsi="宋体" w:eastAsia="宋体" w:cs="宋体"/>
          <w:b w:val="0"/>
          <w:bCs w:val="0"/>
          <w:color w:val="auto"/>
          <w:sz w:val="24"/>
          <w:szCs w:val="24"/>
          <w:highlight w:val="none"/>
        </w:rPr>
        <w:t>（5）</w:t>
      </w:r>
      <w:r>
        <w:rPr>
          <w:rFonts w:hint="eastAsia" w:ascii="宋体" w:hAnsi="宋体" w:eastAsia="宋体" w:cs="宋体"/>
          <w:b w:val="0"/>
          <w:bCs w:val="0"/>
          <w:color w:val="auto"/>
          <w:sz w:val="24"/>
          <w:szCs w:val="24"/>
          <w:highlight w:val="none"/>
          <w:lang w:eastAsia="zh-TW"/>
        </w:rPr>
        <w:t>天花底图须清晰</w:t>
      </w:r>
      <w:r>
        <w:rPr>
          <w:rFonts w:hint="eastAsia" w:ascii="宋体" w:hAnsi="宋体" w:eastAsia="宋体" w:cs="宋体"/>
          <w:b w:val="0"/>
          <w:bCs w:val="0"/>
          <w:color w:val="auto"/>
          <w:sz w:val="24"/>
          <w:szCs w:val="24"/>
          <w:highlight w:val="none"/>
        </w:rPr>
        <w:t>，</w:t>
      </w:r>
      <w:r>
        <w:rPr>
          <w:rFonts w:hint="eastAsia" w:ascii="宋体" w:hAnsi="宋体" w:eastAsia="宋体" w:cs="宋体"/>
          <w:b w:val="0"/>
          <w:bCs w:val="0"/>
          <w:color w:val="auto"/>
          <w:sz w:val="24"/>
          <w:szCs w:val="24"/>
          <w:highlight w:val="none"/>
          <w:lang w:eastAsia="zh-TW"/>
        </w:rPr>
        <w:t>显示内装吊顶轮廓、高差和室内分隔；</w:t>
      </w:r>
    </w:p>
    <w:p w14:paraId="09912DD6">
      <w:pPr>
        <w:pStyle w:val="23"/>
        <w:outlineLvl w:val="9"/>
        <w:rPr>
          <w:rFonts w:hint="eastAsia" w:ascii="宋体" w:hAnsi="宋体" w:eastAsia="宋体" w:cs="宋体"/>
          <w:b w:val="0"/>
          <w:bCs w:val="0"/>
          <w:color w:val="auto"/>
          <w:sz w:val="24"/>
          <w:szCs w:val="24"/>
          <w:highlight w:val="none"/>
          <w:lang w:eastAsia="zh-TW"/>
        </w:rPr>
      </w:pPr>
      <w:r>
        <w:rPr>
          <w:rFonts w:hint="eastAsia" w:ascii="宋体" w:hAnsi="宋体" w:eastAsia="宋体" w:cs="宋体"/>
          <w:b w:val="0"/>
          <w:bCs w:val="0"/>
          <w:color w:val="auto"/>
          <w:sz w:val="24"/>
          <w:szCs w:val="24"/>
          <w:highlight w:val="none"/>
        </w:rPr>
        <w:t>（6）</w:t>
      </w:r>
      <w:r>
        <w:rPr>
          <w:rFonts w:hint="eastAsia" w:ascii="宋体" w:hAnsi="宋体" w:eastAsia="宋体" w:cs="宋体"/>
          <w:b w:val="0"/>
          <w:bCs w:val="0"/>
          <w:color w:val="auto"/>
          <w:sz w:val="24"/>
          <w:szCs w:val="24"/>
          <w:highlight w:val="none"/>
          <w:lang w:eastAsia="zh-TW"/>
        </w:rPr>
        <w:t>综合天花图需显示完整信息，其他专业内容需淡显；</w:t>
      </w:r>
    </w:p>
    <w:p w14:paraId="0A922FD1">
      <w:pPr>
        <w:pStyle w:val="23"/>
        <w:outlineLvl w:val="9"/>
        <w:rPr>
          <w:rFonts w:hint="eastAsia" w:ascii="宋体" w:hAnsi="宋体" w:eastAsia="宋体" w:cs="宋体"/>
          <w:b w:val="0"/>
          <w:bCs w:val="0"/>
          <w:color w:val="auto"/>
          <w:sz w:val="24"/>
          <w:szCs w:val="24"/>
          <w:highlight w:val="none"/>
          <w:lang w:eastAsia="zh-TW"/>
        </w:rPr>
      </w:pPr>
      <w:r>
        <w:rPr>
          <w:rFonts w:hint="eastAsia" w:ascii="宋体" w:hAnsi="宋体" w:eastAsia="宋体" w:cs="宋体"/>
          <w:b w:val="0"/>
          <w:bCs w:val="0"/>
          <w:color w:val="auto"/>
          <w:sz w:val="24"/>
          <w:szCs w:val="24"/>
          <w:highlight w:val="none"/>
        </w:rPr>
        <w:t>（7）墙面机电点位需结合内装要求布置（安装形式和高度</w:t>
      </w:r>
      <w:r>
        <w:rPr>
          <w:rFonts w:hint="eastAsia" w:ascii="宋体" w:hAnsi="宋体" w:eastAsia="宋体" w:cs="宋体"/>
          <w:b w:val="0"/>
          <w:bCs w:val="0"/>
          <w:color w:val="auto"/>
          <w:sz w:val="24"/>
          <w:szCs w:val="24"/>
          <w:highlight w:val="none"/>
          <w:lang w:eastAsia="zh-TW"/>
        </w:rPr>
        <w:t>）；</w:t>
      </w:r>
    </w:p>
    <w:p w14:paraId="539CA56F">
      <w:pPr>
        <w:pStyle w:val="23"/>
        <w:outlineLvl w:val="9"/>
        <w:rPr>
          <w:rFonts w:hint="eastAsia" w:ascii="宋体" w:hAnsi="宋体" w:eastAsia="宋体" w:cs="宋体"/>
          <w:b w:val="0"/>
          <w:bCs w:val="0"/>
          <w:color w:val="auto"/>
          <w:sz w:val="24"/>
          <w:szCs w:val="24"/>
          <w:highlight w:val="none"/>
          <w:lang w:eastAsia="zh-TW"/>
        </w:rPr>
      </w:pPr>
      <w:r>
        <w:rPr>
          <w:rFonts w:hint="eastAsia" w:ascii="宋体" w:hAnsi="宋体" w:eastAsia="宋体" w:cs="宋体"/>
          <w:b w:val="0"/>
          <w:bCs w:val="0"/>
          <w:color w:val="auto"/>
          <w:sz w:val="24"/>
          <w:szCs w:val="24"/>
          <w:highlight w:val="none"/>
        </w:rPr>
        <w:t>（8）地面机电点位，如疏散照明和地面插座等，需结合内装要求（形式和安装方式）布置；</w:t>
      </w:r>
      <w:r>
        <w:rPr>
          <w:rFonts w:hint="eastAsia" w:ascii="宋体" w:hAnsi="宋体" w:eastAsia="宋体" w:cs="宋体"/>
          <w:b w:val="0"/>
          <w:bCs w:val="0"/>
          <w:color w:val="auto"/>
          <w:sz w:val="24"/>
          <w:szCs w:val="24"/>
          <w:highlight w:val="none"/>
          <w:lang w:eastAsia="zh-TW"/>
        </w:rPr>
        <w:t xml:space="preserve"> </w:t>
      </w:r>
    </w:p>
    <w:p w14:paraId="26F22A36">
      <w:pPr>
        <w:pStyle w:val="23"/>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（9）应急灯、疏散指示、风口的控制装置、控制按钮、开关等信息均需完整表达到位；</w:t>
      </w:r>
    </w:p>
    <w:p w14:paraId="60F8C172">
      <w:pPr>
        <w:pStyle w:val="23"/>
        <w:tabs>
          <w:tab w:val="left" w:pos="1060"/>
          <w:tab w:val="clear" w:pos="720"/>
        </w:tabs>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（10）二次机电天花需要有安装净高分析图；</w:t>
      </w:r>
    </w:p>
    <w:p w14:paraId="59479E78">
      <w:pPr>
        <w:pStyle w:val="23"/>
        <w:tabs>
          <w:tab w:val="left" w:pos="1060"/>
          <w:tab w:val="clear" w:pos="720"/>
        </w:tabs>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（11）配合落实多轮点位要求；</w:t>
      </w:r>
    </w:p>
    <w:p w14:paraId="177E59EF">
      <w:pPr>
        <w:pStyle w:val="23"/>
        <w:tabs>
          <w:tab w:val="left" w:pos="1060"/>
          <w:tab w:val="clear" w:pos="720"/>
        </w:tabs>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（12）二次装修时，需要与业主进行充分沟通，了解施工现场进度和条件，尽量压缩拆改工程量；</w:t>
      </w:r>
    </w:p>
    <w:p w14:paraId="0096173B">
      <w:pPr>
        <w:pStyle w:val="23"/>
        <w:tabs>
          <w:tab w:val="left" w:pos="1060"/>
          <w:tab w:val="clear" w:pos="720"/>
        </w:tabs>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（13）施工前会同一次设计院向甲方指定的施工单位进行设计交底；</w:t>
      </w:r>
    </w:p>
    <w:p w14:paraId="22CA9FA6">
      <w:pPr>
        <w:pStyle w:val="23"/>
        <w:tabs>
          <w:tab w:val="left" w:pos="1060"/>
          <w:tab w:val="clear" w:pos="720"/>
        </w:tabs>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（14）参与室内设计师及业主的设计协调会。</w:t>
      </w:r>
    </w:p>
    <w:p w14:paraId="204A198F">
      <w:pPr>
        <w:pStyle w:val="23"/>
        <w:tabs>
          <w:tab w:val="left" w:pos="1060"/>
          <w:tab w:val="clear" w:pos="720"/>
        </w:tabs>
        <w:outlineLvl w:val="9"/>
        <w:rPr>
          <w:rFonts w:hint="eastAsia" w:ascii="宋体" w:hAnsi="宋体" w:eastAsia="宋体" w:cs="宋体"/>
          <w:color w:val="auto"/>
          <w:sz w:val="24"/>
          <w:szCs w:val="24"/>
          <w:highlight w:val="none"/>
        </w:rPr>
      </w:pPr>
    </w:p>
    <w:p w14:paraId="282B5C92">
      <w:pPr>
        <w:pStyle w:val="23"/>
        <w:tabs>
          <w:tab w:val="left" w:pos="840"/>
          <w:tab w:val="clear" w:pos="720"/>
        </w:tabs>
        <w:outlineLvl w:val="9"/>
        <w:rPr>
          <w:rFonts w:hint="eastAsia" w:ascii="宋体" w:hAnsi="宋体" w:eastAsia="宋体" w:cs="宋体"/>
          <w:b/>
          <w:color w:val="auto"/>
          <w:kern w:val="2"/>
          <w:sz w:val="24"/>
          <w:szCs w:val="24"/>
          <w:highlight w:val="none"/>
        </w:rPr>
      </w:pPr>
      <w:r>
        <w:rPr>
          <w:rFonts w:hint="eastAsia" w:ascii="宋体" w:hAnsi="宋体" w:eastAsia="宋体" w:cs="宋体"/>
          <w:b/>
          <w:color w:val="auto"/>
          <w:kern w:val="2"/>
          <w:sz w:val="24"/>
          <w:szCs w:val="24"/>
          <w:highlight w:val="none"/>
        </w:rPr>
        <w:t>4、照明设计服务内容：</w:t>
      </w:r>
    </w:p>
    <w:p w14:paraId="6458FBA4">
      <w:pPr>
        <w:pStyle w:val="9"/>
        <w:spacing w:before="0" w:beforeAutospacing="0" w:after="0" w:afterAutospacing="0"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（1）方案设计阶段</w:t>
      </w:r>
    </w:p>
    <w:p w14:paraId="1FB1E3F1">
      <w:pPr>
        <w:pStyle w:val="9"/>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A、收集相关的规范要求，核实与灯光有关的LEED或者国家相关建筑可持续/绿色/节能的标准/规范/指南，并根据已获甲方认同及政府批准之建筑、室内、景观和幕墙方案，进行照明方案设计。</w:t>
      </w:r>
    </w:p>
    <w:p w14:paraId="6FBD390D">
      <w:pPr>
        <w:pStyle w:val="9"/>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B、咨询甲方及有关顾问，以便就本工程要求的建筑、室内、景观和幕墙特色制定相应的设计参数及基本要素、设计责任、提交日期及确认本工程之灯光照度要求、明确概念设计方向。</w:t>
      </w:r>
    </w:p>
    <w:p w14:paraId="6A431654">
      <w:pPr>
        <w:pStyle w:val="9"/>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C、整理主要灯具的选择目录，提供至少三种灯光设计概念，并提供每种方案的成本造价估算，供甲方讨论评估。</w:t>
      </w:r>
    </w:p>
    <w:p w14:paraId="6D711AD3">
      <w:pPr>
        <w:pStyle w:val="9"/>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D、根据甲方提供的项目资料进行以下分析工作：照明概念性研究分析；照明效果及照度水平分析；照明设备和建筑之间的关系分析；照明设备和景观之间的关系分析；照明设备和室内之间的关系分析。</w:t>
      </w:r>
    </w:p>
    <w:p w14:paraId="2B3F45C5">
      <w:pPr>
        <w:pStyle w:val="9"/>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E、协助业主提供相关灯光的报批工作所需要的资料。</w:t>
      </w:r>
    </w:p>
    <w:p w14:paraId="49D9E630">
      <w:pPr>
        <w:pStyle w:val="9"/>
        <w:spacing w:before="0" w:beforeAutospacing="0" w:after="0" w:afterAutospacing="0" w:line="360" w:lineRule="auto"/>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F、在方案设计时间，须按照甲方的意见和相关政府部门的要求，对已提交的设计方案充分解读，如确有必要时，可提出局部或必要的修改建议。</w:t>
      </w:r>
    </w:p>
    <w:p w14:paraId="02927005">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G、本阶段需按甲方所提供该阶段成果范例要求对应完成成果，成果包括但不仅限于概念草图﹑效果图（多角度）﹑灯光效果参考图、概念性研究及分析、泛光设计方案说明、初步照明布置（含相关立面、剖面和安装参考节点）、主要灯具类型及形式、照明效果、照度水平、草图的报告书及汇报、初步电力需求分析及初步灯光系统要求说明，初步预算书。</w:t>
      </w:r>
    </w:p>
    <w:p w14:paraId="7F3FC7DC">
      <w:pPr>
        <w:pStyle w:val="9"/>
        <w:spacing w:before="0" w:beforeAutospacing="0" w:after="0" w:afterAutospacing="0"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（2）初步设计、招标图设计阶段</w:t>
      </w:r>
    </w:p>
    <w:p w14:paraId="11C73A57">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A、电气招标（初步设计阶段提供初步设计图纸）图纸（含灯具布置图、管线布置图、系统图、节点大样图等）。</w:t>
      </w:r>
    </w:p>
    <w:p w14:paraId="060FEB40">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B、灯具技术规格说明书及图纸、照明用电量计算书。</w:t>
      </w:r>
    </w:p>
    <w:p w14:paraId="6949B684">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C、依照项目发展的情形，更新或修正相关的设计图纸，说明变更之处。</w:t>
      </w:r>
    </w:p>
    <w:p w14:paraId="65D6AE51">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D、提供照明配置图供甲方审核及使用。</w:t>
      </w:r>
    </w:p>
    <w:p w14:paraId="16819DC4">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E、照明布置图（含立面、剖面）。</w:t>
      </w:r>
    </w:p>
    <w:p w14:paraId="6D70C513">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F、灯具位置和类型的AutoCAD方案设计灯光平面图。</w:t>
      </w:r>
    </w:p>
    <w:p w14:paraId="6D2ED46E">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G、提供灯具技术规格说明书及详细图纸，包括灯具描述﹑品牌型号﹑光源类型﹑功率﹑表面处理﹑安装方式及位置﹑安装节点大样图、数量，并于灯具表中列明所有灯具的型号及光源类型等参数。</w:t>
      </w:r>
    </w:p>
    <w:p w14:paraId="60FD53E3">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H、提供电气施工图纸，包括设备布置、管线布置以及控制回路图；审核并协助其他机电单位提交有关景观和室内照明设计的全部电气图纸，确保符合原设计效果要求。楼体泛光照明设计图纸需由乙方完成自配电箱开关回路至末端灯具的全部照明相关的电气图纸。</w:t>
      </w:r>
    </w:p>
    <w:p w14:paraId="2F10D06D">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I、当有室内设计方（或其他项目协作方）等第三方提供灯具布置方案时，应积极配合第三方，协助其完成灯具布置图，且需与墙、顶、地面、logo、景观、标识等相融合，并需要对灯具布置方案、选型、照度、控制方案、控制回路、安装空间及检修条件等进行复核，并进行电力分析，将核查报告书面反馈给业主和第三方。</w:t>
      </w:r>
    </w:p>
    <w:p w14:paraId="534F7430">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G、当照明设计的施工图需第三方配合出图时，需乙方积极协调、配合，确保工作交互界面、出图文件的质量及进度符合项目要求，按时提交完整的电子、书面资料给甲方。</w:t>
      </w:r>
    </w:p>
    <w:p w14:paraId="48C68F14">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K、凡与第三方协调作业的，均需有详细明晰的工作计划及完成情况报告书，过程中的成果、节点应需及时向甲方书面报告。</w:t>
      </w:r>
    </w:p>
    <w:p w14:paraId="6D76309E">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L、所有特殊的照明控制系统，应能让甲方及其它相关顾问了解以推荐适合的设备，从而符合相关控制系统要求。</w:t>
      </w:r>
    </w:p>
    <w:p w14:paraId="664168E0">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M、提供亮度调节控制系统运作说明。</w:t>
      </w:r>
    </w:p>
    <w:p w14:paraId="3485B94C">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N、与甲方委托的其他顾问公司协调灯光控制。</w:t>
      </w:r>
    </w:p>
    <w:p w14:paraId="513912D6">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O、提供灯具固定方式及非一般的施工方式，设计人应提供相关细节大样图。</w:t>
      </w:r>
    </w:p>
    <w:p w14:paraId="7BCEC503">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P、特殊灯具大样草图。</w:t>
      </w:r>
    </w:p>
    <w:p w14:paraId="56442E44">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Q、主要典型区域的灯光计算报告（注明lux值）。</w:t>
      </w:r>
    </w:p>
    <w:p w14:paraId="53011A41">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R、电量估算表及灯具造价预算书。</w:t>
      </w:r>
    </w:p>
    <w:p w14:paraId="4C157C7E">
      <w:pPr>
        <w:pStyle w:val="9"/>
        <w:spacing w:before="0" w:beforeAutospacing="0" w:after="0" w:afterAutospacing="0"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（3）招投标阶段</w:t>
      </w:r>
    </w:p>
    <w:p w14:paraId="7EA501F5">
      <w:pPr>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A、符合标段要求的技术规格说明书。</w:t>
      </w:r>
    </w:p>
    <w:p w14:paraId="0B2253A0">
      <w:pPr>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bidi="ar"/>
        </w:rPr>
        <w:t>B、提供一套完整的招标文件（制定照明灯具及光源的选型标准及标书制作），负责在</w:t>
      </w:r>
      <w:r>
        <w:rPr>
          <w:rFonts w:hint="eastAsia" w:ascii="宋体" w:hAnsi="宋体" w:eastAsia="宋体" w:cs="宋体"/>
          <w:color w:val="auto"/>
          <w:sz w:val="24"/>
          <w:szCs w:val="24"/>
          <w:highlight w:val="none"/>
          <w:lang w:bidi="ar"/>
        </w:rPr>
        <w:t>议标过程中的技术澄清及提供技术答疑卷。</w:t>
      </w:r>
    </w:p>
    <w:p w14:paraId="5A39BC65">
      <w:pPr>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bidi="ar"/>
        </w:rPr>
        <w:t>C、参与议标会议，对标书进行评估，向甲方推荐中标者。</w:t>
      </w:r>
    </w:p>
    <w:p w14:paraId="65F9675A">
      <w:pPr>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bidi="ar"/>
        </w:rPr>
        <w:t>D、审核灯具厂家提供的施工制造图、灯具样本及控制设备。可要求甲方代表、建筑师、景观设计师及机电工程师一并检视灯具厂家提供的施工制造图及灯具资料。</w:t>
      </w:r>
    </w:p>
    <w:p w14:paraId="36476627">
      <w:pPr>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bidi="ar"/>
        </w:rPr>
        <w:t>E、协助甲方评选灯具厂商，对替换灯具的技术审核工作，出审核报告。</w:t>
      </w:r>
    </w:p>
    <w:p w14:paraId="7DDE6E94">
      <w:pPr>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bidi="ar"/>
        </w:rPr>
        <w:t>F、对甲方委托的承包商依据灯光设计平面图所提供的灯具和灯具制造图进行审评。</w:t>
      </w:r>
    </w:p>
    <w:p w14:paraId="23F3059F">
      <w:pPr>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bidi="ar"/>
        </w:rPr>
        <w:t>G、如甲方委托的承包商文件中专门指出其产品可以节省造价指标或者可以加速工程进度，甲方可要求乙方对替换方案依请求进行审评。</w:t>
      </w:r>
    </w:p>
    <w:p w14:paraId="07199AB4">
      <w:pPr>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bidi="ar"/>
        </w:rPr>
        <w:t>H、对甲方委托的承包商提供的备用灯光控制系统文件进行审评。</w:t>
      </w:r>
    </w:p>
    <w:p w14:paraId="77C60656">
      <w:pPr>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I、对甲方委托的承包商提供的光源替换方案进行审评。承包商须在提供灯具替换方案的同时</w:t>
      </w:r>
      <w:r>
        <w:rPr>
          <w:rFonts w:hint="eastAsia" w:ascii="宋体" w:hAnsi="宋体" w:eastAsia="宋体" w:cs="宋体"/>
          <w:strike/>
          <w:color w:val="auto"/>
          <w:kern w:val="0"/>
          <w:sz w:val="24"/>
          <w:szCs w:val="24"/>
          <w:highlight w:val="none"/>
          <w:lang w:bidi="ar"/>
        </w:rPr>
        <w:t>也</w:t>
      </w:r>
      <w:r>
        <w:rPr>
          <w:rFonts w:hint="eastAsia" w:ascii="宋体" w:hAnsi="宋体" w:eastAsia="宋体" w:cs="宋体"/>
          <w:color w:val="auto"/>
          <w:kern w:val="0"/>
          <w:sz w:val="24"/>
          <w:szCs w:val="24"/>
          <w:highlight w:val="none"/>
          <w:lang w:bidi="ar"/>
        </w:rPr>
        <w:t>一并提交光源替换方案，如因第三方原因造成延误订购进程，乙方不承担责任。</w:t>
      </w:r>
    </w:p>
    <w:p w14:paraId="6C2CC0A7">
      <w:pPr>
        <w:pStyle w:val="9"/>
        <w:spacing w:before="0" w:beforeAutospacing="0" w:after="0" w:afterAutospacing="0"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（4）、施工配合及验收阶段</w:t>
      </w:r>
    </w:p>
    <w:p w14:paraId="51EE527C">
      <w:pPr>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bidi="ar"/>
        </w:rPr>
        <w:t>A、根据甲方的计划安排，乙方指导、配合施工方进行技术交底工作，出交底单。</w:t>
      </w:r>
    </w:p>
    <w:p w14:paraId="4B47BE89">
      <w:pPr>
        <w:pStyle w:val="9"/>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B、审核施工深化图纸﹑样本及设备功能参数。</w:t>
      </w:r>
    </w:p>
    <w:p w14:paraId="73789646">
      <w:pPr>
        <w:pStyle w:val="9"/>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C、根据项目安排，进行现场巡检，记录现场与设计不符之处，并协助甲方提供解决方法。</w:t>
      </w:r>
    </w:p>
    <w:p w14:paraId="78DE2B11">
      <w:pPr>
        <w:pStyle w:val="9"/>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D、书面回答承包商和供货商关于灯光照明方面的问题。</w:t>
      </w:r>
    </w:p>
    <w:p w14:paraId="0A042ADA">
      <w:pPr>
        <w:pStyle w:val="9"/>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E、协助完成系统的调试工作。</w:t>
      </w:r>
    </w:p>
    <w:p w14:paraId="183D8E65">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F、审核承包商提供的最终竣工图</w:t>
      </w:r>
      <w:r>
        <w:rPr>
          <w:rFonts w:hint="eastAsia" w:ascii="宋体" w:hAnsi="宋体" w:eastAsia="宋体" w:cs="宋体"/>
          <w:color w:val="auto"/>
          <w:sz w:val="24"/>
          <w:szCs w:val="24"/>
          <w:highlight w:val="none"/>
        </w:rPr>
        <w:t>并根据政府部门的验收需要完成盖章（蓝图由施工单位提供）</w:t>
      </w:r>
      <w:r>
        <w:rPr>
          <w:rFonts w:hint="eastAsia" w:ascii="宋体" w:hAnsi="宋体" w:eastAsia="宋体" w:cs="宋体"/>
          <w:color w:val="auto"/>
          <w:sz w:val="24"/>
          <w:szCs w:val="24"/>
          <w:highlight w:val="none"/>
          <w:lang w:bidi="ar"/>
        </w:rPr>
        <w:t>。</w:t>
      </w:r>
    </w:p>
    <w:p w14:paraId="3360BE3A">
      <w:pPr>
        <w:pStyle w:val="9"/>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G、出席在现场的最后评估及验收会。</w:t>
      </w:r>
    </w:p>
    <w:p w14:paraId="4C056919">
      <w:pPr>
        <w:pStyle w:val="9"/>
        <w:spacing w:before="0" w:beforeAutospacing="0" w:after="0" w:afterAutospacing="0" w:line="360" w:lineRule="auto"/>
        <w:rPr>
          <w:rFonts w:hint="eastAsia" w:ascii="宋体" w:hAnsi="宋体" w:eastAsia="宋体" w:cs="宋体"/>
          <w:color w:val="auto"/>
          <w:sz w:val="24"/>
          <w:szCs w:val="24"/>
          <w:highlight w:val="none"/>
          <w:lang w:bidi="ar"/>
        </w:rPr>
      </w:pPr>
    </w:p>
    <w:p w14:paraId="60E83721">
      <w:pPr>
        <w:pStyle w:val="23"/>
        <w:tabs>
          <w:tab w:val="left" w:pos="840"/>
          <w:tab w:val="clear" w:pos="720"/>
        </w:tabs>
        <w:outlineLvl w:val="9"/>
        <w:rPr>
          <w:rFonts w:hint="eastAsia" w:ascii="宋体" w:hAnsi="宋体" w:eastAsia="宋体" w:cs="宋体"/>
          <w:b/>
          <w:color w:val="auto"/>
          <w:kern w:val="2"/>
          <w:sz w:val="24"/>
          <w:szCs w:val="24"/>
          <w:highlight w:val="none"/>
        </w:rPr>
      </w:pPr>
      <w:r>
        <w:rPr>
          <w:rFonts w:hint="eastAsia" w:ascii="宋体" w:hAnsi="宋体" w:eastAsia="宋体" w:cs="宋体"/>
          <w:b/>
          <w:color w:val="auto"/>
          <w:kern w:val="2"/>
          <w:sz w:val="24"/>
          <w:szCs w:val="24"/>
          <w:highlight w:val="none"/>
        </w:rPr>
        <w:t>5、智能化设计服务内容：</w:t>
      </w:r>
    </w:p>
    <w:p w14:paraId="24068804">
      <w:pPr>
        <w:pStyle w:val="23"/>
        <w:tabs>
          <w:tab w:val="left" w:pos="840"/>
          <w:tab w:val="clear" w:pos="720"/>
        </w:tabs>
        <w:outlineLvl w:val="9"/>
        <w:rPr>
          <w:rFonts w:hint="eastAsia" w:ascii="宋体" w:hAnsi="宋体" w:eastAsia="宋体" w:cs="宋体"/>
          <w:b/>
          <w:color w:val="auto"/>
          <w:kern w:val="2"/>
          <w:sz w:val="24"/>
          <w:szCs w:val="24"/>
          <w:highlight w:val="none"/>
        </w:rPr>
      </w:pPr>
      <w:r>
        <w:rPr>
          <w:rFonts w:hint="eastAsia" w:ascii="宋体" w:hAnsi="宋体" w:eastAsia="宋体" w:cs="宋体"/>
          <w:b/>
          <w:color w:val="auto"/>
          <w:kern w:val="2"/>
          <w:sz w:val="24"/>
          <w:szCs w:val="24"/>
          <w:highlight w:val="none"/>
        </w:rPr>
        <w:t>（1）设计系统分项，包括但不仅限于以下：</w:t>
      </w:r>
    </w:p>
    <w:p w14:paraId="07E3AE78">
      <w:pPr>
        <w:pStyle w:val="16"/>
        <w:widowControl/>
        <w:spacing w:line="440" w:lineRule="exact"/>
        <w:ind w:right="-20"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A、语音及数据系统</w:t>
      </w:r>
    </w:p>
    <w:p w14:paraId="5FA2BFF6">
      <w:pPr>
        <w:pStyle w:val="16"/>
        <w:widowControl/>
        <w:spacing w:line="440" w:lineRule="exact"/>
        <w:ind w:right="-20"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B、计算机网络系统</w:t>
      </w:r>
    </w:p>
    <w:p w14:paraId="3F1E21E4">
      <w:pPr>
        <w:pStyle w:val="16"/>
        <w:widowControl/>
        <w:spacing w:line="440" w:lineRule="exact"/>
        <w:ind w:right="-20"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C、手机信号覆盖系统</w:t>
      </w:r>
    </w:p>
    <w:p w14:paraId="7A029AC1">
      <w:pPr>
        <w:pStyle w:val="16"/>
        <w:widowControl/>
        <w:spacing w:line="440" w:lineRule="exact"/>
        <w:ind w:right="-20"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D、保安对讲网络覆盖</w:t>
      </w:r>
    </w:p>
    <w:p w14:paraId="54C46761">
      <w:pPr>
        <w:pStyle w:val="16"/>
        <w:widowControl/>
        <w:spacing w:line="440" w:lineRule="exact"/>
        <w:ind w:right="-20"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E、电梯五方通话系统</w:t>
      </w:r>
    </w:p>
    <w:p w14:paraId="4BF9431C">
      <w:pPr>
        <w:pStyle w:val="16"/>
        <w:widowControl/>
        <w:spacing w:line="440" w:lineRule="exact"/>
        <w:ind w:right="-20"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F、公共槽道系统</w:t>
      </w:r>
    </w:p>
    <w:p w14:paraId="356DFA9B">
      <w:pPr>
        <w:pStyle w:val="16"/>
        <w:widowControl/>
        <w:spacing w:line="440" w:lineRule="exact"/>
        <w:ind w:right="-20"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G、入侵报警系统</w:t>
      </w:r>
    </w:p>
    <w:p w14:paraId="72CFEFAA">
      <w:pPr>
        <w:pStyle w:val="16"/>
        <w:widowControl/>
        <w:spacing w:line="440" w:lineRule="exact"/>
        <w:ind w:right="-20"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H、视频监控系统</w:t>
      </w:r>
    </w:p>
    <w:p w14:paraId="423CF6A4">
      <w:pPr>
        <w:pStyle w:val="16"/>
        <w:widowControl/>
        <w:spacing w:line="440" w:lineRule="exact"/>
        <w:ind w:right="-20"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I、电子巡更系统</w:t>
      </w:r>
    </w:p>
    <w:p w14:paraId="72A9D78A">
      <w:pPr>
        <w:pStyle w:val="16"/>
        <w:widowControl/>
        <w:spacing w:line="440" w:lineRule="exact"/>
        <w:ind w:right="-20"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G、门禁系统</w:t>
      </w:r>
    </w:p>
    <w:p w14:paraId="4C47DB7B">
      <w:pPr>
        <w:pStyle w:val="16"/>
        <w:widowControl/>
        <w:spacing w:line="440" w:lineRule="exact"/>
        <w:ind w:right="-20"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K、停车收费管理、车位引导和反向寻车系统（如需）</w:t>
      </w:r>
    </w:p>
    <w:p w14:paraId="69A030CD">
      <w:pPr>
        <w:pStyle w:val="16"/>
        <w:widowControl/>
        <w:pBdr>
          <w:bottom w:val="none" w:color="auto" w:sz="0" w:space="0"/>
        </w:pBdr>
        <w:spacing w:line="440" w:lineRule="exact"/>
        <w:ind w:right="-20"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L、一卡通系统（如需）</w:t>
      </w:r>
    </w:p>
    <w:p w14:paraId="6629D6B5">
      <w:pPr>
        <w:pStyle w:val="16"/>
        <w:widowControl/>
        <w:spacing w:line="440" w:lineRule="exact"/>
        <w:ind w:right="-20"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M、UPS供电系统（平面和系统图）</w:t>
      </w:r>
    </w:p>
    <w:p w14:paraId="416AF206">
      <w:pPr>
        <w:pStyle w:val="16"/>
        <w:widowControl/>
        <w:spacing w:line="440" w:lineRule="exact"/>
        <w:ind w:right="-20"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N、机房布置</w:t>
      </w:r>
    </w:p>
    <w:p w14:paraId="5258484C">
      <w:pPr>
        <w:pStyle w:val="16"/>
        <w:widowControl/>
        <w:spacing w:line="440" w:lineRule="exact"/>
        <w:ind w:right="-20"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O、背景音乐兼消防广播</w:t>
      </w:r>
    </w:p>
    <w:p w14:paraId="53518B55">
      <w:pPr>
        <w:pStyle w:val="16"/>
        <w:widowControl/>
        <w:spacing w:line="440" w:lineRule="exact"/>
        <w:ind w:right="-20"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P、能源管理系统（包含表具远传）</w:t>
      </w:r>
    </w:p>
    <w:p w14:paraId="1FA01CCB">
      <w:pPr>
        <w:pStyle w:val="16"/>
        <w:widowControl/>
        <w:spacing w:line="440" w:lineRule="exact"/>
        <w:ind w:right="-20"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Q、建筑设备自动监控系统</w:t>
      </w:r>
    </w:p>
    <w:p w14:paraId="41812D46">
      <w:pPr>
        <w:pStyle w:val="16"/>
        <w:widowControl/>
        <w:spacing w:line="440" w:lineRule="exact"/>
        <w:ind w:right="-20"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R、公共WIFI系统</w:t>
      </w:r>
    </w:p>
    <w:p w14:paraId="18363042">
      <w:pPr>
        <w:pStyle w:val="16"/>
        <w:widowControl/>
        <w:spacing w:line="440" w:lineRule="exact"/>
        <w:ind w:right="-20"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S、综合式安全防范系统</w:t>
      </w:r>
    </w:p>
    <w:p w14:paraId="7E853442">
      <w:pPr>
        <w:pStyle w:val="16"/>
        <w:widowControl/>
        <w:spacing w:line="440" w:lineRule="exact"/>
        <w:ind w:right="-20"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T、有线电视及卫星电视系统</w:t>
      </w:r>
    </w:p>
    <w:p w14:paraId="1A7E2BE9">
      <w:pPr>
        <w:pStyle w:val="16"/>
        <w:widowControl/>
        <w:spacing w:line="440" w:lineRule="exact"/>
        <w:ind w:right="-20"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U、多媒体媒体信息发布系统</w:t>
      </w:r>
    </w:p>
    <w:p w14:paraId="70B86AE9">
      <w:pPr>
        <w:pStyle w:val="16"/>
        <w:widowControl/>
        <w:spacing w:line="440" w:lineRule="exact"/>
        <w:ind w:right="-20"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V、智能照明系统</w:t>
      </w:r>
    </w:p>
    <w:p w14:paraId="0F14BB79">
      <w:pPr>
        <w:pStyle w:val="16"/>
        <w:widowControl/>
        <w:spacing w:line="440" w:lineRule="exact"/>
        <w:ind w:right="-20"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W、电梯监控系统</w:t>
      </w:r>
    </w:p>
    <w:p w14:paraId="0A9731F4">
      <w:pPr>
        <w:pStyle w:val="16"/>
        <w:widowControl/>
        <w:spacing w:line="440" w:lineRule="exact"/>
        <w:ind w:right="-20"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X、其他弱电系统</w:t>
      </w:r>
    </w:p>
    <w:p w14:paraId="64C6DCEE">
      <w:pPr>
        <w:pStyle w:val="9"/>
        <w:spacing w:before="0" w:beforeAutospacing="0" w:after="0" w:afterAutospacing="0"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（2）智能化方案概念设计阶段</w:t>
      </w:r>
    </w:p>
    <w:p w14:paraId="11ED4094">
      <w:pPr>
        <w:pStyle w:val="9"/>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A、与各方开会讨论设计意图。</w:t>
      </w:r>
    </w:p>
    <w:p w14:paraId="6CC163C3">
      <w:pPr>
        <w:pStyle w:val="9"/>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B、对智能化控制任务进行研究及分析。</w:t>
      </w:r>
    </w:p>
    <w:p w14:paraId="54751179">
      <w:pPr>
        <w:pStyle w:val="9"/>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C、各子系统的原理图及点位布置图。</w:t>
      </w:r>
    </w:p>
    <w:p w14:paraId="41F4ADA3">
      <w:pPr>
        <w:pStyle w:val="9"/>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D、控制原理及说明。</w:t>
      </w:r>
    </w:p>
    <w:p w14:paraId="53A7D861">
      <w:pPr>
        <w:pStyle w:val="9"/>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E、控制方案演示及主要设备说明。</w:t>
      </w:r>
    </w:p>
    <w:p w14:paraId="11F17A0F">
      <w:pPr>
        <w:pStyle w:val="9"/>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F、报告书及汇报。</w:t>
      </w:r>
    </w:p>
    <w:p w14:paraId="42321216">
      <w:pPr>
        <w:pStyle w:val="9"/>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G、预算分析，机房及其他条件要求说明。</w:t>
      </w:r>
    </w:p>
    <w:p w14:paraId="287C927C">
      <w:pPr>
        <w:pStyle w:val="9"/>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H、出席由业主指定的整体方案汇报会。</w:t>
      </w:r>
    </w:p>
    <w:p w14:paraId="3B89909C">
      <w:pPr>
        <w:pStyle w:val="9"/>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I、本阶段需提供概念方案﹑控制原理图﹑控制系统图及以上各项总和的PPT演示稿、文本。</w:t>
      </w:r>
    </w:p>
    <w:p w14:paraId="6A01DB2D">
      <w:pPr>
        <w:pStyle w:val="9"/>
        <w:spacing w:before="0" w:beforeAutospacing="0" w:after="0" w:afterAutospacing="0"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（3）智能化系统设计阶段</w:t>
      </w:r>
    </w:p>
    <w:p w14:paraId="083482A2">
      <w:pPr>
        <w:pStyle w:val="9"/>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A、提供完善的控制图纸及说明供甲方审核及使用。</w:t>
      </w:r>
    </w:p>
    <w:p w14:paraId="62267027">
      <w:pPr>
        <w:pStyle w:val="9"/>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B、依照项目发展的情形，更新或修正相关的设计图纸，说明变更之处。</w:t>
      </w:r>
    </w:p>
    <w:p w14:paraId="118FA0DA">
      <w:pPr>
        <w:pStyle w:val="9"/>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C、提供含设备和施工工艺的技术规格说明书及详细图纸，包括控制设备详尽功能参数描述﹑品牌型号﹑输入\输出数据类型﹑功率﹑安装方式及位置﹑安装节点大样图、数量及厂商联系数据等参数。</w:t>
      </w:r>
    </w:p>
    <w:p w14:paraId="1700A7AC">
      <w:pPr>
        <w:pStyle w:val="9"/>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D、提供完整的施工图纸，包括设备布置、管线布置以及原理图、系统图。</w:t>
      </w:r>
    </w:p>
    <w:p w14:paraId="7C188940">
      <w:pPr>
        <w:pStyle w:val="9"/>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E、提供设备及管线安装方式，设计人应提供相关细节大样图。</w:t>
      </w:r>
    </w:p>
    <w:p w14:paraId="06DCF964">
      <w:pPr>
        <w:pStyle w:val="9"/>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F、所有特殊的控制系统，应能让甲方及其它相关顾问了解以推荐适合的设备，从而符合相关控制系统要求。</w:t>
      </w:r>
    </w:p>
    <w:p w14:paraId="1443C45C">
      <w:pPr>
        <w:pStyle w:val="9"/>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G、对于弱电系统中的“消防广播系统”、“电视电话系统”、“有线电视系统”、“人防套管”和“出户套管”等，需配合将土建和管线路由敷设等条件预留到位，并清晰表达在图纸上。</w:t>
      </w:r>
    </w:p>
    <w:p w14:paraId="08A38C36">
      <w:pPr>
        <w:pStyle w:val="9"/>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H、对机电、景观施工图纸有关弱电系统的部分进行核实，各专业的设备系统的性能技术参数应一致，不允许出现数据类型、端口、信号源等不兼容的现象出现。</w:t>
      </w:r>
    </w:p>
    <w:p w14:paraId="2FA2A559">
      <w:pPr>
        <w:pStyle w:val="9"/>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I、对各机电系统设计在监控方面的考虑与安排提供建议供业主考虑。</w:t>
      </w:r>
    </w:p>
    <w:p w14:paraId="0B5955A6">
      <w:pPr>
        <w:pStyle w:val="9"/>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G、对楼宇设备监控系统与其它机电系统（水暖电等）的接点提出建议，供业主同意，并核实设计院图纸配置。</w:t>
      </w:r>
    </w:p>
    <w:p w14:paraId="21B2374C">
      <w:pPr>
        <w:pStyle w:val="9"/>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K、协调弱电系统与各其他系统的接点，以确保弱电系统与其他系统的接点妥善配合。</w:t>
      </w:r>
    </w:p>
    <w:p w14:paraId="7B59F8C8">
      <w:pPr>
        <w:pStyle w:val="9"/>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L、与业主进一步落实各弱电系统方案。</w:t>
      </w:r>
    </w:p>
    <w:p w14:paraId="0E688335">
      <w:pPr>
        <w:pStyle w:val="9"/>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M、需提供技术规格书（含设备和施工工艺）。</w:t>
      </w:r>
    </w:p>
    <w:p w14:paraId="36F43509">
      <w:pPr>
        <w:pStyle w:val="9"/>
        <w:spacing w:before="0" w:beforeAutospacing="0" w:after="0" w:afterAutospacing="0"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（4）招投标阶段</w:t>
      </w:r>
    </w:p>
    <w:p w14:paraId="1F02E06A">
      <w:pPr>
        <w:pStyle w:val="9"/>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A、对智能化主要设备/材料选用的档次定位及品牌，向业主提供建议。</w:t>
      </w:r>
    </w:p>
    <w:p w14:paraId="01D259E6">
      <w:pPr>
        <w:pStyle w:val="9"/>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B、编制弱电智能化系统技术规格说明书供业主参考及招标之用，包括设备规格、负载、容量、材料、构造及安装标准等。</w:t>
      </w:r>
    </w:p>
    <w:p w14:paraId="08ED71FC">
      <w:pPr>
        <w:pStyle w:val="9"/>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C、应业主要求推荐适当投标人参与投标</w:t>
      </w:r>
    </w:p>
    <w:p w14:paraId="3F3280F6">
      <w:pPr>
        <w:pStyle w:val="9"/>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D、协助业主或工料估算师（QS）确定招标文件，并协助业主对各投标人提供专业意见。</w:t>
      </w:r>
    </w:p>
    <w:p w14:paraId="5757FD2F">
      <w:pPr>
        <w:pStyle w:val="9"/>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E、协助业主进行智能化系统/产品的招标工作。</w:t>
      </w:r>
    </w:p>
    <w:p w14:paraId="6B7C93BD">
      <w:pPr>
        <w:pStyle w:val="9"/>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F、出席议标会议（如需）。</w:t>
      </w:r>
    </w:p>
    <w:p w14:paraId="3C0DC271">
      <w:pPr>
        <w:pStyle w:val="9"/>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G、审核回标文件及投标人提供的技术资料，向业主提供投标技术分析报告书及推荐书，以协助业主考虑及选定承包单位。</w:t>
      </w:r>
    </w:p>
    <w:p w14:paraId="0AD7BD11">
      <w:pPr>
        <w:pStyle w:val="9"/>
        <w:spacing w:before="0" w:beforeAutospacing="0" w:after="0" w:afterAutospacing="0"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（5）施工配合及验收阶段</w:t>
      </w:r>
    </w:p>
    <w:p w14:paraId="66A07EF9">
      <w:pPr>
        <w:pStyle w:val="9"/>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A、审核施工深化图纸﹑样本及设备功能参数。</w:t>
      </w:r>
    </w:p>
    <w:p w14:paraId="36493606">
      <w:pPr>
        <w:pStyle w:val="9"/>
        <w:widowControl w:val="0"/>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B、书面回答承包商和供货商关于智能化方面的问题。</w:t>
      </w:r>
    </w:p>
    <w:p w14:paraId="73B31178">
      <w:pPr>
        <w:pStyle w:val="9"/>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C、根据项目安排，进行现场巡检，记录现场与设计不符之处，并协助甲方提供解决方法。</w:t>
      </w:r>
    </w:p>
    <w:p w14:paraId="1EE2A7AB">
      <w:pPr>
        <w:pStyle w:val="9"/>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D、协助完成智能化系统的调试工作。</w:t>
      </w:r>
    </w:p>
    <w:p w14:paraId="27ADA725">
      <w:pPr>
        <w:pStyle w:val="9"/>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E、审核承包商提供的最终竣工图。</w:t>
      </w:r>
    </w:p>
    <w:p w14:paraId="4A016159">
      <w:pPr>
        <w:pStyle w:val="9"/>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F、出席在现场的最后评估及验收会。</w:t>
      </w:r>
    </w:p>
    <w:p w14:paraId="688572E0">
      <w:pPr>
        <w:pStyle w:val="23"/>
        <w:tabs>
          <w:tab w:val="left" w:pos="840"/>
          <w:tab w:val="clear" w:pos="720"/>
        </w:tabs>
        <w:outlineLvl w:val="9"/>
        <w:rPr>
          <w:rFonts w:hint="eastAsia" w:ascii="宋体" w:hAnsi="宋体" w:eastAsia="宋体" w:cs="宋体"/>
          <w:b/>
          <w:color w:val="auto"/>
          <w:kern w:val="2"/>
          <w:sz w:val="24"/>
          <w:szCs w:val="24"/>
          <w:highlight w:val="none"/>
        </w:rPr>
      </w:pPr>
      <w:r>
        <w:rPr>
          <w:rFonts w:hint="eastAsia" w:ascii="宋体" w:hAnsi="宋体" w:eastAsia="宋体" w:cs="宋体"/>
          <w:b/>
          <w:color w:val="auto"/>
          <w:kern w:val="2"/>
          <w:sz w:val="24"/>
          <w:szCs w:val="24"/>
          <w:highlight w:val="none"/>
        </w:rPr>
        <w:t>6、绿色建筑设计服务内容：</w:t>
      </w:r>
    </w:p>
    <w:p w14:paraId="7936B2CD">
      <w:pPr>
        <w:pStyle w:val="9"/>
        <w:widowControl w:val="0"/>
        <w:spacing w:before="0" w:beforeAutospacing="0" w:after="0" w:afterAutospacing="0"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（1）方案设计阶段</w:t>
      </w:r>
    </w:p>
    <w:p w14:paraId="017745F0">
      <w:pPr>
        <w:pStyle w:val="9"/>
        <w:widowControl w:val="0"/>
        <w:spacing w:before="0" w:beforeAutospacing="0" w:after="0" w:afterAutospacing="0"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A、方案阶段提前介入，收集整理业主提供的地质勘探、环境评估资料、土壤检测报告、周边交通状况等资料。</w:t>
      </w:r>
    </w:p>
    <w:p w14:paraId="4B8DAD15">
      <w:pPr>
        <w:pStyle w:val="9"/>
        <w:widowControl w:val="0"/>
        <w:spacing w:before="0" w:beforeAutospacing="0" w:after="0" w:afterAutospacing="0"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B、基于项目定位及现有资料，提供绿色建筑实施建议书，供甲方决策。其内容包括但不限于以下内容：方案阶段重点控制内容及解决方案、 项目增量成本测算及经济性分析。</w:t>
      </w:r>
    </w:p>
    <w:p w14:paraId="32F11A01">
      <w:pPr>
        <w:pStyle w:val="9"/>
        <w:widowControl w:val="0"/>
        <w:spacing w:before="0" w:beforeAutospacing="0" w:after="0" w:afterAutospacing="0"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C、基于项目方案设计图纸和资料，进行建筑物理性能模拟分析，并提出优化方案。其内容包括但不限于以下内容：场地风环境、热环境、声环境、光环境等。</w:t>
      </w:r>
    </w:p>
    <w:p w14:paraId="07CEA856">
      <w:pPr>
        <w:pStyle w:val="9"/>
        <w:widowControl w:val="0"/>
        <w:spacing w:before="0" w:beforeAutospacing="0" w:after="0" w:afterAutospacing="0"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D、结合项目星级目标、方案设计及项目特点，预评估项目必得分项及潜在得分项，通过技术经济可行性分析拟定本项目绿色建筑技术体系，编制《项目绿色建筑预评估建议》。</w:t>
      </w:r>
    </w:p>
    <w:p w14:paraId="1F7EF9BB">
      <w:pPr>
        <w:pStyle w:val="9"/>
        <w:widowControl w:val="0"/>
        <w:spacing w:before="0" w:beforeAutospacing="0" w:after="0" w:afterAutospacing="0"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E、绿色建筑技术方案。基于项目星级目标，提供绿色建筑技术方案，供甲方决策。经甲方确认后，分解各专业设计要求，编制《项目绿色建筑设计指导书》，指导设计单位开展深化设计。</w:t>
      </w:r>
    </w:p>
    <w:p w14:paraId="08C51EF5">
      <w:pPr>
        <w:pStyle w:val="9"/>
        <w:widowControl w:val="0"/>
        <w:spacing w:before="0" w:beforeAutospacing="0" w:after="0" w:afterAutospacing="0"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（2）初步设计阶段</w:t>
      </w:r>
    </w:p>
    <w:p w14:paraId="677D6910">
      <w:pPr>
        <w:pStyle w:val="9"/>
        <w:widowControl w:val="0"/>
        <w:spacing w:before="0" w:beforeAutospacing="0" w:after="0" w:afterAutospacing="0"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A、编制初步设计阶段绿色建筑设计任务书。与业主及相关单位交流沟通，了解具体的设计细节，在方案阶段项目预评估的基础上分析总结绿色建筑技术实施要求。编制初步设计阶段各专业绿色建筑设计任务书。</w:t>
      </w:r>
    </w:p>
    <w:p w14:paraId="37C437E6">
      <w:pPr>
        <w:pStyle w:val="9"/>
        <w:widowControl w:val="0"/>
        <w:spacing w:before="0" w:beforeAutospacing="0" w:after="0" w:afterAutospacing="0"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B、初步设计阶段绿色建筑评估：分析整理初步设计图纸和资料，对本项目绿色建筑技术进行预评估，分析方案阶段绿色建筑技术实施现状，提出改进建议。</w:t>
      </w:r>
    </w:p>
    <w:p w14:paraId="3AE0606D">
      <w:pPr>
        <w:pStyle w:val="9"/>
        <w:widowControl w:val="0"/>
        <w:spacing w:before="0" w:beforeAutospacing="0" w:after="0" w:afterAutospacing="0"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（3）施工图设计阶段</w:t>
      </w:r>
    </w:p>
    <w:p w14:paraId="683CCA43">
      <w:pPr>
        <w:pStyle w:val="9"/>
        <w:widowControl w:val="0"/>
        <w:spacing w:before="0" w:beforeAutospacing="0" w:after="0" w:afterAutospacing="0"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A、对确定的初步设计方案中的绿色建筑技术进行施工图设计；包括确定设计图纸中的技术参数，核算绿色建筑评价的关键技术指标；如部分指标落实有难度，则需调整绿建方案。</w:t>
      </w:r>
    </w:p>
    <w:p w14:paraId="24BB5D61">
      <w:pPr>
        <w:pStyle w:val="9"/>
        <w:widowControl w:val="0"/>
        <w:spacing w:before="0" w:beforeAutospacing="0" w:after="0" w:afterAutospacing="0"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B、撰写节能、节水等绿色建筑关键技术指标评估分析报告。</w:t>
      </w:r>
    </w:p>
    <w:p w14:paraId="59B3FE26">
      <w:pPr>
        <w:pStyle w:val="9"/>
        <w:widowControl w:val="0"/>
        <w:spacing w:before="0" w:beforeAutospacing="0" w:after="0" w:afterAutospacing="0"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C、提供施工图审查阶段绿建相关技术资料，配合施工图审查通过。</w:t>
      </w:r>
    </w:p>
    <w:p w14:paraId="7D28D495">
      <w:pPr>
        <w:pStyle w:val="9"/>
        <w:widowControl w:val="0"/>
        <w:spacing w:before="0" w:beforeAutospacing="0" w:after="0" w:afterAutospacing="0"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D、整理和归档绿色建筑设计资料。</w:t>
      </w:r>
    </w:p>
    <w:p w14:paraId="057E9506">
      <w:pPr>
        <w:pStyle w:val="9"/>
        <w:widowControl w:val="0"/>
        <w:spacing w:before="0" w:beforeAutospacing="0" w:after="0" w:afterAutospacing="0"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（4）招标阶段及施工阶段</w:t>
      </w:r>
    </w:p>
    <w:p w14:paraId="0D9BC9CC">
      <w:pPr>
        <w:pStyle w:val="9"/>
        <w:widowControl w:val="0"/>
        <w:spacing w:before="0" w:beforeAutospacing="0" w:after="0" w:afterAutospacing="0"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A、对本项目采用的绿色建筑材料产品目录进行技术参数核实。</w:t>
      </w:r>
    </w:p>
    <w:p w14:paraId="5ECEFB9F">
      <w:pPr>
        <w:pStyle w:val="9"/>
        <w:spacing w:before="0" w:beforeAutospacing="0" w:after="0" w:afterAutospacing="0"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B、施工阶段变更造成与设计方案不一致时，需评估其影响，及时提供解决方案的比选，并跟进落实。</w:t>
      </w:r>
    </w:p>
    <w:p w14:paraId="1082BE53">
      <w:pPr>
        <w:pStyle w:val="9"/>
        <w:spacing w:before="0" w:beforeAutospacing="0" w:after="0" w:afterAutospacing="0" w:line="360" w:lineRule="auto"/>
        <w:jc w:val="both"/>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C、提供施工阶段绿色建筑设计注意事项建议书，</w:t>
      </w:r>
    </w:p>
    <w:p w14:paraId="45A55206">
      <w:pPr>
        <w:pStyle w:val="9"/>
        <w:widowControl w:val="0"/>
        <w:spacing w:before="0" w:beforeAutospacing="0" w:after="0" w:afterAutospacing="0"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（5）竣工验收阶段</w:t>
      </w:r>
    </w:p>
    <w:p w14:paraId="6760E3AE">
      <w:pPr>
        <w:pStyle w:val="9"/>
        <w:spacing w:before="0" w:beforeAutospacing="0" w:after="0" w:afterAutospacing="0"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A、根据项目整体竣工验收的要求，依据绿色建筑施工图设计资料，提供竣工验收的绿色建筑设计资料。</w:t>
      </w:r>
    </w:p>
    <w:p w14:paraId="75ACD91D">
      <w:pPr>
        <w:pStyle w:val="9"/>
        <w:spacing w:before="0" w:beforeAutospacing="0" w:after="0" w:afterAutospacing="0"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B、整理项目整体竣工验收资料，协助甲方进行专家答辩和竣工验收的专家意见回复事宜。</w:t>
      </w:r>
    </w:p>
    <w:p w14:paraId="5B5636D5">
      <w:pPr>
        <w:pStyle w:val="9"/>
        <w:spacing w:before="0" w:beforeAutospacing="0" w:after="0" w:afterAutospacing="0"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C、提出绿色建筑运行维护要求的建议书，提出节能、节水、节材、建筑设备系统、宣传等管理制度的建议。</w:t>
      </w:r>
    </w:p>
    <w:p w14:paraId="3F46EC9E">
      <w:pPr>
        <w:pStyle w:val="9"/>
        <w:spacing w:before="0" w:beforeAutospacing="0" w:after="0" w:afterAutospacing="0" w:line="360" w:lineRule="auto"/>
        <w:jc w:val="both"/>
        <w:rPr>
          <w:rFonts w:hint="eastAsia" w:ascii="宋体" w:hAnsi="宋体" w:eastAsia="宋体" w:cs="宋体"/>
          <w:color w:val="auto"/>
          <w:sz w:val="24"/>
          <w:szCs w:val="24"/>
          <w:highlight w:val="none"/>
          <w:lang w:bidi="ar"/>
        </w:rPr>
      </w:pPr>
    </w:p>
    <w:p w14:paraId="5AE83CC9">
      <w:pPr>
        <w:pStyle w:val="23"/>
        <w:tabs>
          <w:tab w:val="left" w:pos="840"/>
          <w:tab w:val="clear" w:pos="720"/>
        </w:tabs>
        <w:outlineLvl w:val="9"/>
        <w:rPr>
          <w:rFonts w:hint="eastAsia" w:ascii="宋体" w:hAnsi="宋体" w:eastAsia="宋体" w:cs="宋体"/>
          <w:color w:val="auto"/>
          <w:sz w:val="24"/>
          <w:szCs w:val="24"/>
          <w:highlight w:val="none"/>
        </w:rPr>
      </w:pPr>
      <w:r>
        <w:rPr>
          <w:rFonts w:hint="eastAsia" w:ascii="宋体" w:hAnsi="宋体" w:eastAsia="宋体" w:cs="宋体"/>
          <w:b/>
          <w:color w:val="auto"/>
          <w:kern w:val="2"/>
          <w:sz w:val="24"/>
          <w:szCs w:val="24"/>
          <w:highlight w:val="none"/>
        </w:rPr>
        <w:t>7、海绵城市设计服务内容：</w:t>
      </w:r>
    </w:p>
    <w:p w14:paraId="72179804">
      <w:pPr>
        <w:pStyle w:val="9"/>
        <w:widowControl w:val="0"/>
        <w:spacing w:before="0" w:beforeAutospacing="0" w:after="0" w:afterAutospacing="0" w:line="360" w:lineRule="auto"/>
        <w:rPr>
          <w:rFonts w:hint="eastAsia" w:ascii="宋体" w:hAnsi="宋体" w:eastAsia="宋体" w:cs="宋体"/>
          <w:b/>
          <w:color w:val="auto"/>
          <w:sz w:val="24"/>
          <w:szCs w:val="24"/>
          <w:highlight w:val="none"/>
        </w:rPr>
      </w:pPr>
      <w:r>
        <w:rPr>
          <w:rFonts w:hint="eastAsia" w:ascii="宋体" w:hAnsi="宋体" w:eastAsia="宋体" w:cs="宋体"/>
          <w:b/>
          <w:bCs/>
          <w:color w:val="auto"/>
          <w:sz w:val="24"/>
          <w:szCs w:val="24"/>
          <w:highlight w:val="none"/>
          <w:lang w:bidi="ar"/>
        </w:rPr>
        <w:t>（1）方案设计及专家评审</w:t>
      </w:r>
      <w:r>
        <w:rPr>
          <w:rFonts w:hint="eastAsia" w:ascii="宋体" w:hAnsi="宋体" w:eastAsia="宋体" w:cs="宋体"/>
          <w:b/>
          <w:color w:val="auto"/>
          <w:sz w:val="24"/>
          <w:szCs w:val="24"/>
          <w:highlight w:val="none"/>
          <w:lang w:bidi="ar"/>
        </w:rPr>
        <w:t>阶段</w:t>
      </w:r>
    </w:p>
    <w:p w14:paraId="0BD8E92A">
      <w:pPr>
        <w:pStyle w:val="9"/>
        <w:spacing w:before="0" w:beforeAutospacing="0" w:after="0" w:afterAutospacing="0"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A、海绵城市方案设计，通过水量计算确定项目的海绵设施规模，并根据项目特性完成海绵设施工艺流程设计，选择适合本项目的海绵设施。海绵设施包括但不限于雨水花园、雨水收集模块、下凹绿地、渗透铺装、车库顶板透水层、导流井、散水装置、渗透式雨水井、渗排一体化系统、生态树池、雨水利用设施等。</w:t>
      </w:r>
    </w:p>
    <w:p w14:paraId="72418F54">
      <w:pPr>
        <w:pStyle w:val="9"/>
        <w:spacing w:before="0" w:beforeAutospacing="0" w:after="0" w:afterAutospacing="0"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B、海绵设施的布置及设置须根据项目所在地的地下水位条件、土壤地质条件、竖向条件合理布置，与雨水排水系统、景观绿地造型有效衔接，海绵设施规模满足各雨水汇水分区分区控制指标和整个项目的总量控制指标。</w:t>
      </w:r>
    </w:p>
    <w:p w14:paraId="0382BC5A">
      <w:pPr>
        <w:pStyle w:val="9"/>
        <w:spacing w:before="0" w:beforeAutospacing="0" w:after="0" w:afterAutospacing="0"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C、组织海绵城市方案专家评审会或根据地方主管部门要求开展有关方案及方案图纸评审工作。</w:t>
      </w:r>
    </w:p>
    <w:p w14:paraId="492194BC">
      <w:pPr>
        <w:pStyle w:val="9"/>
        <w:widowControl w:val="0"/>
        <w:spacing w:before="0" w:beforeAutospacing="0" w:after="0" w:afterAutospacing="0" w:line="360" w:lineRule="auto"/>
        <w:rPr>
          <w:rFonts w:hint="eastAsia" w:ascii="宋体" w:hAnsi="宋体" w:eastAsia="宋体" w:cs="宋体"/>
          <w:b/>
          <w:color w:val="auto"/>
          <w:sz w:val="24"/>
          <w:szCs w:val="24"/>
          <w:highlight w:val="none"/>
        </w:rPr>
      </w:pPr>
      <w:r>
        <w:rPr>
          <w:rFonts w:hint="eastAsia" w:ascii="宋体" w:hAnsi="宋体" w:eastAsia="宋体" w:cs="宋体"/>
          <w:b/>
          <w:bCs/>
          <w:color w:val="auto"/>
          <w:sz w:val="24"/>
          <w:szCs w:val="24"/>
          <w:highlight w:val="none"/>
          <w:lang w:bidi="ar"/>
        </w:rPr>
        <w:t>（2）施工图</w:t>
      </w:r>
      <w:r>
        <w:rPr>
          <w:rFonts w:hint="eastAsia" w:ascii="宋体" w:hAnsi="宋体" w:eastAsia="宋体" w:cs="宋体"/>
          <w:b/>
          <w:color w:val="auto"/>
          <w:sz w:val="24"/>
          <w:szCs w:val="24"/>
          <w:highlight w:val="none"/>
          <w:lang w:bidi="ar"/>
        </w:rPr>
        <w:t>设计阶段</w:t>
      </w:r>
    </w:p>
    <w:p w14:paraId="75C9657C">
      <w:pPr>
        <w:pStyle w:val="9"/>
        <w:spacing w:before="0" w:beforeAutospacing="0" w:after="0" w:afterAutospacing="0"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A、低影响开发雨水系统计算：包括控制目标、设计依据、公式与计算方法选择、技术路线图、重要参数选取、设施清单、主要设施规模及汇水面积对应计算表格与图示。</w:t>
      </w:r>
    </w:p>
    <w:p w14:paraId="0291E39D">
      <w:pPr>
        <w:pStyle w:val="9"/>
        <w:spacing w:before="0" w:beforeAutospacing="0" w:after="0" w:afterAutospacing="0"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B、提供完善的工艺给排水、电气自控、土建结构等涉及专业的图纸及说明供甲方审核及使用。</w:t>
      </w:r>
    </w:p>
    <w:p w14:paraId="5BEE2A01">
      <w:pPr>
        <w:pStyle w:val="9"/>
        <w:spacing w:before="0" w:beforeAutospacing="0" w:after="0" w:afterAutospacing="0"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C、依照项目发展的情形，更新或修正相关的设计图纸，说明变更之处。</w:t>
      </w:r>
    </w:p>
    <w:p w14:paraId="0A860E20">
      <w:pPr>
        <w:pStyle w:val="9"/>
        <w:spacing w:before="0" w:beforeAutospacing="0" w:after="0" w:afterAutospacing="0"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D、提供含设备和施工工艺的技术规格说明书及详细图纸，包括控制设备详尽功能参数描述﹑品牌型号﹑功率﹑安装方式及位置﹑安装节点大样图、数量及设备参数等。</w:t>
      </w:r>
    </w:p>
    <w:p w14:paraId="6644CD83">
      <w:pPr>
        <w:pStyle w:val="9"/>
        <w:spacing w:before="0" w:beforeAutospacing="0" w:after="0" w:afterAutospacing="0"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E、提供完整的施工图纸，包括结构施工图、设备布置、管线布置以及原理图、系统图，提供相关细节大样图。</w:t>
      </w:r>
    </w:p>
    <w:p w14:paraId="5A163F55">
      <w:pPr>
        <w:pStyle w:val="9"/>
        <w:spacing w:before="0" w:beforeAutospacing="0" w:after="0" w:afterAutospacing="0"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F、所有特殊的控制系统，应能让甲方了解以推荐适合的设备，从而符合相关控制系统要求。</w:t>
      </w:r>
    </w:p>
    <w:p w14:paraId="09C38EDA">
      <w:pPr>
        <w:pStyle w:val="9"/>
        <w:spacing w:before="0" w:beforeAutospacing="0" w:after="0" w:afterAutospacing="0"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G、对于与主体关联的构筑物，需配合将结构、洞口、预埋管件等条件预留到位，并清晰表达在图纸上。</w:t>
      </w:r>
    </w:p>
    <w:p w14:paraId="5CA45CC8">
      <w:pPr>
        <w:pStyle w:val="9"/>
        <w:spacing w:before="0" w:beforeAutospacing="0" w:after="0" w:afterAutospacing="0"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H、对与景观施工图纸有关的海绵城市的设计内容进行核实，明确雨水收集的水量和下凹绿地、透水铺装等措施的体量、面积，并反应在施工图上。</w:t>
      </w:r>
    </w:p>
    <w:p w14:paraId="1CD8BCBE">
      <w:pPr>
        <w:pStyle w:val="9"/>
        <w:spacing w:before="0" w:beforeAutospacing="0" w:after="0" w:afterAutospacing="0"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I、对与机电施工图有关的用电负荷、接驳位置、管道路由等内容进行核对，应与机电施工图的设计内容一致。</w:t>
      </w:r>
    </w:p>
    <w:p w14:paraId="0EA4EE06">
      <w:pPr>
        <w:pStyle w:val="9"/>
        <w:widowControl w:val="0"/>
        <w:spacing w:before="0" w:beforeAutospacing="0" w:after="0" w:afterAutospacing="0"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（3）招投标阶段</w:t>
      </w:r>
    </w:p>
    <w:p w14:paraId="5AD8BAFF">
      <w:pPr>
        <w:pStyle w:val="9"/>
        <w:spacing w:before="0" w:beforeAutospacing="0" w:after="0" w:afterAutospacing="0"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A、对主要设备/材料的选用、品牌，向业主提供建议。</w:t>
      </w:r>
    </w:p>
    <w:p w14:paraId="604691B6">
      <w:pPr>
        <w:pStyle w:val="9"/>
        <w:spacing w:before="0" w:beforeAutospacing="0" w:after="0" w:afterAutospacing="0"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B、编制技术规格说明书供业主参考及招标之用，包括设备规格、负载、容量、材料、构造及安装标准等。</w:t>
      </w:r>
    </w:p>
    <w:p w14:paraId="04D1B3EA">
      <w:pPr>
        <w:pStyle w:val="9"/>
        <w:spacing w:before="0" w:beforeAutospacing="0" w:after="0" w:afterAutospacing="0"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C、协助业主或工料估算师（QS）确定招标文件，并协助业主对各投标人提供专业意见。</w:t>
      </w:r>
    </w:p>
    <w:p w14:paraId="67D60229">
      <w:pPr>
        <w:pStyle w:val="9"/>
        <w:spacing w:before="0" w:beforeAutospacing="0" w:after="0" w:afterAutospacing="0"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D、出席议标会议。</w:t>
      </w:r>
    </w:p>
    <w:p w14:paraId="55E114D6">
      <w:pPr>
        <w:pStyle w:val="9"/>
        <w:widowControl w:val="0"/>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E</w:t>
      </w:r>
      <w:r>
        <w:rPr>
          <w:rFonts w:hint="eastAsia" w:ascii="宋体" w:hAnsi="宋体" w:eastAsia="宋体" w:cs="宋体"/>
          <w:color w:val="auto"/>
          <w:kern w:val="2"/>
          <w:sz w:val="24"/>
          <w:szCs w:val="24"/>
          <w:highlight w:val="none"/>
          <w:lang w:bidi="ar"/>
        </w:rPr>
        <w:t>、提供符合标段要求的技术规格说明书。</w:t>
      </w:r>
    </w:p>
    <w:p w14:paraId="6FAF86B8">
      <w:pPr>
        <w:pStyle w:val="9"/>
        <w:widowControl w:val="0"/>
        <w:spacing w:before="0" w:beforeAutospacing="0" w:after="0" w:afterAutospacing="0"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（4）施工配合及验收阶段</w:t>
      </w:r>
    </w:p>
    <w:p w14:paraId="5329E4ED">
      <w:pPr>
        <w:pStyle w:val="9"/>
        <w:spacing w:before="0" w:beforeAutospacing="0" w:after="0" w:afterAutospacing="0"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A、审核施工深化图纸﹑样本及设备功能参数。</w:t>
      </w:r>
    </w:p>
    <w:p w14:paraId="20A8C5C7">
      <w:pPr>
        <w:pStyle w:val="9"/>
        <w:spacing w:before="0" w:beforeAutospacing="0" w:after="0" w:afterAutospacing="0"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B、书面回答承包商和供货商关于设计方面的问题。</w:t>
      </w:r>
    </w:p>
    <w:p w14:paraId="2F6DFA89">
      <w:pPr>
        <w:pStyle w:val="9"/>
        <w:spacing w:before="0" w:beforeAutospacing="0" w:after="0" w:afterAutospacing="0"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C、根据项目安排，进行现场巡检，记录现场与设计不符之处，并协助甲方提供解决方法。</w:t>
      </w:r>
    </w:p>
    <w:p w14:paraId="0A8FE85A">
      <w:pPr>
        <w:pStyle w:val="9"/>
        <w:spacing w:before="0" w:beforeAutospacing="0" w:after="0" w:afterAutospacing="0"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D、审核承包商提供的最终竣工图。</w:t>
      </w:r>
    </w:p>
    <w:p w14:paraId="5BAB8389">
      <w:pPr>
        <w:pStyle w:val="9"/>
        <w:spacing w:before="0" w:beforeAutospacing="0" w:after="0" w:afterAutospacing="0"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E、出席在现场的最后评估及验收会。</w:t>
      </w:r>
    </w:p>
    <w:p w14:paraId="5134E798">
      <w:pPr>
        <w:pStyle w:val="9"/>
        <w:spacing w:before="0" w:beforeAutospacing="0" w:after="0" w:afterAutospacing="0" w:line="360" w:lineRule="auto"/>
        <w:jc w:val="both"/>
        <w:rPr>
          <w:rFonts w:hint="eastAsia" w:ascii="宋体" w:hAnsi="宋体" w:eastAsia="宋体" w:cs="宋体"/>
          <w:color w:val="auto"/>
          <w:sz w:val="24"/>
          <w:szCs w:val="24"/>
          <w:highlight w:val="none"/>
          <w:lang w:bidi="ar"/>
        </w:rPr>
      </w:pPr>
    </w:p>
    <w:p w14:paraId="3B40D283">
      <w:pPr>
        <w:pStyle w:val="23"/>
        <w:numPr>
          <w:ilvl w:val="0"/>
          <w:numId w:val="10"/>
        </w:numPr>
        <w:tabs>
          <w:tab w:val="left" w:pos="840"/>
          <w:tab w:val="clear" w:pos="720"/>
        </w:tabs>
        <w:jc w:val="both"/>
        <w:outlineLvl w:val="9"/>
        <w:rPr>
          <w:rFonts w:hint="eastAsia" w:ascii="宋体" w:hAnsi="宋体" w:eastAsia="宋体" w:cs="宋体"/>
          <w:b/>
          <w:color w:val="auto"/>
          <w:kern w:val="2"/>
          <w:sz w:val="24"/>
          <w:szCs w:val="24"/>
          <w:highlight w:val="none"/>
        </w:rPr>
      </w:pPr>
      <w:r>
        <w:rPr>
          <w:rFonts w:hint="eastAsia" w:ascii="宋体" w:hAnsi="宋体" w:eastAsia="宋体" w:cs="宋体"/>
          <w:b/>
          <w:color w:val="auto"/>
          <w:kern w:val="2"/>
          <w:sz w:val="24"/>
          <w:szCs w:val="24"/>
          <w:highlight w:val="none"/>
        </w:rPr>
        <w:t>幕墙设计服务内容：</w:t>
      </w:r>
    </w:p>
    <w:p w14:paraId="65B75D1A">
      <w:pPr>
        <w:pStyle w:val="27"/>
        <w:widowControl w:val="0"/>
        <w:tabs>
          <w:tab w:val="left" w:pos="680"/>
          <w:tab w:val="left" w:pos="840"/>
          <w:tab w:val="clear" w:pos="1361"/>
        </w:tabs>
        <w:spacing w:line="360" w:lineRule="auto"/>
        <w:ind w:left="0"/>
        <w:outlineLvl w:val="9"/>
        <w:rPr>
          <w:rFonts w:hint="eastAsia" w:ascii="宋体" w:hAnsi="宋体" w:eastAsia="宋体" w:cs="宋体"/>
          <w:b/>
          <w:color w:val="auto"/>
          <w:kern w:val="2"/>
          <w:sz w:val="24"/>
          <w:szCs w:val="24"/>
          <w:highlight w:val="none"/>
        </w:rPr>
      </w:pPr>
      <w:r>
        <w:rPr>
          <w:rFonts w:hint="eastAsia" w:ascii="宋体" w:hAnsi="宋体" w:eastAsia="宋体" w:cs="宋体"/>
          <w:b/>
          <w:color w:val="auto"/>
          <w:kern w:val="2"/>
          <w:sz w:val="24"/>
          <w:szCs w:val="24"/>
          <w:highlight w:val="none"/>
        </w:rPr>
        <w:t>（1）初步设计</w:t>
      </w:r>
    </w:p>
    <w:p w14:paraId="29D1EF31">
      <w:pPr>
        <w:pStyle w:val="9"/>
        <w:widowControl w:val="0"/>
        <w:tabs>
          <w:tab w:val="left" w:pos="840"/>
        </w:tabs>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A、根据建筑师的建筑设计，从建筑效果、使用功能、建设成本等几方面提出合理化方案供业主参考；</w:t>
      </w:r>
    </w:p>
    <w:p w14:paraId="6A002544">
      <w:pPr>
        <w:pStyle w:val="9"/>
        <w:widowControl w:val="0"/>
        <w:tabs>
          <w:tab w:val="left" w:pos="840"/>
        </w:tabs>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B、确定幕墙工程的合理、适当且经济可行的结构体系，保证建筑效果的实现；</w:t>
      </w:r>
    </w:p>
    <w:p w14:paraId="31AF20AD">
      <w:pPr>
        <w:pStyle w:val="9"/>
        <w:widowControl w:val="0"/>
        <w:tabs>
          <w:tab w:val="left" w:pos="840"/>
        </w:tabs>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C、确定幕墙工程的性能指标，包括但不限于风压变形性能、雨水渗漏性能、空气渗透性能、平面内变形性能、保温性能、隔声性能、抗撞击性能等规范要求的各项技术指标；</w:t>
      </w:r>
    </w:p>
    <w:p w14:paraId="18409BAC">
      <w:pPr>
        <w:pStyle w:val="9"/>
        <w:widowControl w:val="0"/>
        <w:tabs>
          <w:tab w:val="left" w:pos="840"/>
        </w:tabs>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D、协助招标人确定主要材料的选用，提供幕墙工程涉及的各种不同材料的详细资料（包括材料性能、指标、产地、价格、供应能力等）；协助甲方审核材料供货商是否符合要求；</w:t>
      </w:r>
    </w:p>
    <w:p w14:paraId="241765A5">
      <w:pPr>
        <w:pStyle w:val="9"/>
        <w:widowControl w:val="0"/>
        <w:tabs>
          <w:tab w:val="left" w:pos="840"/>
        </w:tabs>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E、针对幕墙工程的方案及材料选用，提出日后维护、保养方面的保洁方案及节约成本的措施；</w:t>
      </w:r>
    </w:p>
    <w:p w14:paraId="137A085D">
      <w:pPr>
        <w:pStyle w:val="9"/>
        <w:widowControl w:val="0"/>
        <w:tabs>
          <w:tab w:val="left" w:pos="840"/>
        </w:tabs>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F、通过初步设计方案确定材料、效果、幕墙系统、造价等；</w:t>
      </w:r>
    </w:p>
    <w:p w14:paraId="5F324D39">
      <w:pPr>
        <w:pStyle w:val="9"/>
        <w:widowControl w:val="0"/>
        <w:tabs>
          <w:tab w:val="left" w:pos="840"/>
        </w:tabs>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G、配合与幕墙工程有关的次钢结构深化设计工作，提出次钢结构设计、施工的设计要点、配合要点，确保与幕墙相关的结构方案达到最优；</w:t>
      </w:r>
    </w:p>
    <w:p w14:paraId="4A30999F">
      <w:pPr>
        <w:pStyle w:val="9"/>
        <w:widowControl w:val="0"/>
        <w:tabs>
          <w:tab w:val="left" w:pos="840"/>
        </w:tabs>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H、完成初步设计所必须的图纸；</w:t>
      </w:r>
    </w:p>
    <w:p w14:paraId="58B5C693">
      <w:pPr>
        <w:pStyle w:val="9"/>
        <w:widowControl w:val="0"/>
        <w:tabs>
          <w:tab w:val="left" w:pos="840"/>
        </w:tabs>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I、幕墙工程造价分析；</w:t>
      </w:r>
    </w:p>
    <w:p w14:paraId="71948F53">
      <w:pPr>
        <w:pStyle w:val="9"/>
        <w:widowControl w:val="0"/>
        <w:tabs>
          <w:tab w:val="left" w:pos="630"/>
        </w:tabs>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a、对本工程的遮阳系统提出建议；</w:t>
      </w:r>
    </w:p>
    <w:p w14:paraId="10A7D95C">
      <w:pPr>
        <w:pStyle w:val="9"/>
        <w:widowControl w:val="0"/>
        <w:tabs>
          <w:tab w:val="left" w:pos="630"/>
        </w:tabs>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b、协助甲方与其他专业公司、材料供货商之间的咨询、沟通、考察；</w:t>
      </w:r>
    </w:p>
    <w:p w14:paraId="3D7DE291">
      <w:pPr>
        <w:pStyle w:val="9"/>
        <w:widowControl w:val="0"/>
        <w:tabs>
          <w:tab w:val="left" w:pos="630"/>
        </w:tabs>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c、根据甲方要求完成幕墙系统方案设计汇报，汇报内容请着重以下方面：</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4"/>
        <w:gridCol w:w="7254"/>
      </w:tblGrid>
      <w:tr w14:paraId="16653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6" w:hRule="atLeast"/>
          <w:jc w:val="center"/>
        </w:trPr>
        <w:tc>
          <w:tcPr>
            <w:tcW w:w="1884" w:type="dxa"/>
            <w:tcBorders>
              <w:top w:val="single" w:color="auto" w:sz="4" w:space="0"/>
              <w:left w:val="single" w:color="auto" w:sz="4" w:space="0"/>
              <w:bottom w:val="single" w:color="auto" w:sz="4" w:space="0"/>
              <w:right w:val="single" w:color="auto" w:sz="4" w:space="0"/>
            </w:tcBorders>
            <w:noWrap w:val="0"/>
            <w:vAlign w:val="center"/>
          </w:tcPr>
          <w:p w14:paraId="6C56B98B">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与项目定位及限制条件的匹配度</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1D3E4E7B">
            <w:pPr>
              <w:pStyle w:val="9"/>
              <w:widowControl w:val="0"/>
              <w:numPr>
                <w:ilvl w:val="0"/>
                <w:numId w:val="11"/>
              </w:numPr>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幕墙设计效果是否与建筑方案相匹配；</w:t>
            </w:r>
          </w:p>
          <w:p w14:paraId="4C39773E">
            <w:pPr>
              <w:pStyle w:val="9"/>
              <w:widowControl w:val="0"/>
              <w:numPr>
                <w:ilvl w:val="0"/>
                <w:numId w:val="11"/>
              </w:numPr>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幕墙性能是否满足各项技术参数要求（如：节能、隔声、水密、气密等）；</w:t>
            </w:r>
          </w:p>
          <w:p w14:paraId="35701BA0">
            <w:pPr>
              <w:pStyle w:val="9"/>
              <w:widowControl w:val="0"/>
              <w:numPr>
                <w:ilvl w:val="0"/>
                <w:numId w:val="11"/>
              </w:numPr>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幕墙成本概算是否满足设计限额要求。</w:t>
            </w:r>
          </w:p>
        </w:tc>
      </w:tr>
      <w:tr w14:paraId="35F2B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jc w:val="center"/>
        </w:trPr>
        <w:tc>
          <w:tcPr>
            <w:tcW w:w="1884" w:type="dxa"/>
            <w:tcBorders>
              <w:top w:val="single" w:color="auto" w:sz="4" w:space="0"/>
              <w:left w:val="single" w:color="auto" w:sz="4" w:space="0"/>
              <w:bottom w:val="single" w:color="auto" w:sz="4" w:space="0"/>
              <w:right w:val="single" w:color="auto" w:sz="4" w:space="0"/>
            </w:tcBorders>
            <w:noWrap w:val="0"/>
            <w:vAlign w:val="center"/>
          </w:tcPr>
          <w:p w14:paraId="2D8FA397">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设计方案的品质和效果</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30BD6F9D">
            <w:pPr>
              <w:pStyle w:val="9"/>
              <w:widowControl w:val="0"/>
              <w:numPr>
                <w:ilvl w:val="0"/>
                <w:numId w:val="12"/>
              </w:numPr>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幕墙系统的选择是否合理，方案比选是否充分；</w:t>
            </w:r>
          </w:p>
          <w:p w14:paraId="67461361">
            <w:pPr>
              <w:pStyle w:val="9"/>
              <w:widowControl w:val="0"/>
              <w:numPr>
                <w:ilvl w:val="0"/>
                <w:numId w:val="12"/>
              </w:numPr>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幕墙的功能性设计是否提升了建筑的功能需求；</w:t>
            </w:r>
          </w:p>
          <w:p w14:paraId="4829F22E">
            <w:pPr>
              <w:pStyle w:val="9"/>
              <w:widowControl w:val="0"/>
              <w:numPr>
                <w:ilvl w:val="0"/>
                <w:numId w:val="12"/>
              </w:numPr>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 xml:space="preserve">幕墙的材料运用、部件比例及尺度、构造节点等是否提升了建筑的品质和效果； </w:t>
            </w:r>
          </w:p>
          <w:p w14:paraId="572686F2">
            <w:pPr>
              <w:pStyle w:val="9"/>
              <w:widowControl w:val="0"/>
              <w:numPr>
                <w:ilvl w:val="0"/>
                <w:numId w:val="12"/>
              </w:numPr>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节点构造是否与泛光照明系统合理匹配；</w:t>
            </w:r>
          </w:p>
          <w:p w14:paraId="75669EB8">
            <w:pPr>
              <w:pStyle w:val="9"/>
              <w:widowControl w:val="0"/>
              <w:numPr>
                <w:ilvl w:val="0"/>
                <w:numId w:val="12"/>
              </w:numPr>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幕墙的保洁与维护是否充分考虑。</w:t>
            </w:r>
          </w:p>
        </w:tc>
      </w:tr>
      <w:tr w14:paraId="606F2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jc w:val="center"/>
        </w:trPr>
        <w:tc>
          <w:tcPr>
            <w:tcW w:w="1884" w:type="dxa"/>
            <w:tcBorders>
              <w:top w:val="single" w:color="auto" w:sz="4" w:space="0"/>
              <w:left w:val="single" w:color="auto" w:sz="4" w:space="0"/>
              <w:bottom w:val="single" w:color="auto" w:sz="4" w:space="0"/>
              <w:right w:val="single" w:color="auto" w:sz="4" w:space="0"/>
            </w:tcBorders>
            <w:noWrap w:val="0"/>
            <w:vAlign w:val="center"/>
          </w:tcPr>
          <w:p w14:paraId="18752489">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风险控制与提示</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0EEA3354">
            <w:pPr>
              <w:pStyle w:val="9"/>
              <w:widowControl w:val="0"/>
              <w:numPr>
                <w:ilvl w:val="0"/>
                <w:numId w:val="13"/>
              </w:numPr>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对幕墙工程竣工验收的风险点是否有充分的预判提示或预控措施（如：光污染评估、安全性评估、节能验收等）；</w:t>
            </w:r>
          </w:p>
          <w:p w14:paraId="760CE4A6">
            <w:pPr>
              <w:pStyle w:val="9"/>
              <w:widowControl w:val="0"/>
              <w:numPr>
                <w:ilvl w:val="0"/>
                <w:numId w:val="13"/>
              </w:numPr>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对客户投诉的风险点是否有充分的预判提示或预控措施。</w:t>
            </w:r>
          </w:p>
        </w:tc>
      </w:tr>
    </w:tbl>
    <w:p w14:paraId="0FB28F14">
      <w:pPr>
        <w:pStyle w:val="9"/>
        <w:widowControl w:val="0"/>
        <w:spacing w:before="0" w:beforeAutospacing="0" w:after="0" w:afterAutospacing="0" w:line="360" w:lineRule="auto"/>
        <w:rPr>
          <w:rFonts w:hint="eastAsia" w:ascii="宋体" w:hAnsi="宋体" w:eastAsia="宋体" w:cs="宋体"/>
          <w:color w:val="auto"/>
          <w:sz w:val="24"/>
          <w:szCs w:val="24"/>
          <w:highlight w:val="none"/>
        </w:rPr>
      </w:pPr>
    </w:p>
    <w:p w14:paraId="041EB47A">
      <w:pPr>
        <w:pStyle w:val="27"/>
        <w:widowControl w:val="0"/>
        <w:tabs>
          <w:tab w:val="left" w:pos="680"/>
        </w:tabs>
        <w:spacing w:line="360" w:lineRule="auto"/>
        <w:ind w:left="0"/>
        <w:outlineLvl w:val="9"/>
        <w:rPr>
          <w:rFonts w:hint="eastAsia" w:ascii="宋体" w:hAnsi="宋体" w:eastAsia="宋体" w:cs="宋体"/>
          <w:b/>
          <w:color w:val="auto"/>
          <w:kern w:val="2"/>
          <w:sz w:val="24"/>
          <w:szCs w:val="24"/>
          <w:highlight w:val="none"/>
        </w:rPr>
      </w:pPr>
      <w:r>
        <w:rPr>
          <w:rFonts w:hint="eastAsia" w:ascii="宋体" w:hAnsi="宋体" w:eastAsia="宋体" w:cs="宋体"/>
          <w:b/>
          <w:color w:val="auto"/>
          <w:kern w:val="2"/>
          <w:sz w:val="24"/>
          <w:szCs w:val="24"/>
          <w:highlight w:val="none"/>
        </w:rPr>
        <w:t>（2）深化设计</w:t>
      </w:r>
    </w:p>
    <w:p w14:paraId="1C98F6A2">
      <w:pPr>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在满足建筑的各项性能要求和初步设计的基础之上，对整个幕墙工程的系统进行深化设计，使之与建筑师的设计一致，并具有可实施性，同时严控幕墙造价。</w:t>
      </w:r>
    </w:p>
    <w:p w14:paraId="4E7B2173">
      <w:pPr>
        <w:pStyle w:val="9"/>
        <w:widowControl w:val="0"/>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A、与建筑设计中的通风、节能（采暖、空调）、采光、消防、电力配置、结构等专业进行配合，解决以上各专业对幕墙工程的要求；</w:t>
      </w:r>
    </w:p>
    <w:p w14:paraId="694F42EA">
      <w:pPr>
        <w:pStyle w:val="9"/>
        <w:widowControl w:val="0"/>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B、提交幕墙及屋面的材料清单、所有配件及建筑材料的性能技术说明书，包括但不限于固定件、钢材、铝（型材和板材）、密封胶、挡水板、面材、高分子聚合体（胶条、垫块、填充料等）等；</w:t>
      </w:r>
    </w:p>
    <w:p w14:paraId="61D917CA">
      <w:pPr>
        <w:pStyle w:val="9"/>
        <w:widowControl w:val="0"/>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C、编制结构计算文件，确保系统安全性、稳定性和截面的经济性、合理性；</w:t>
      </w:r>
    </w:p>
    <w:p w14:paraId="0B0B9B24">
      <w:pPr>
        <w:pStyle w:val="9"/>
        <w:widowControl w:val="0"/>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D、做好与幕墙相关的其它专业的配合工作；</w:t>
      </w:r>
    </w:p>
    <w:p w14:paraId="14F9F331">
      <w:pPr>
        <w:pStyle w:val="9"/>
        <w:widowControl w:val="0"/>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E、完成幕墙工程造价分析报告；</w:t>
      </w:r>
    </w:p>
    <w:p w14:paraId="4D0848CC">
      <w:pPr>
        <w:pStyle w:val="9"/>
        <w:widowControl w:val="0"/>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F、为完成深化设计工作所必须的试验、建模等计算及与其他专业公司、材料供货商之间的咨询、沟通、考察；</w:t>
      </w:r>
    </w:p>
    <w:p w14:paraId="7FC6A14F">
      <w:pPr>
        <w:pStyle w:val="9"/>
        <w:widowControl w:val="0"/>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G、功能研究：</w:t>
      </w:r>
    </w:p>
    <w:p w14:paraId="3BCCD435">
      <w:pPr>
        <w:spacing w:line="360" w:lineRule="auto"/>
        <w:ind w:left="630" w:leftChars="3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a、幕墙防水与排水分析；</w:t>
      </w:r>
    </w:p>
    <w:p w14:paraId="6A5E43D9">
      <w:pPr>
        <w:spacing w:line="360" w:lineRule="auto"/>
        <w:ind w:left="630" w:leftChars="3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b、幕墙系统热工分析报告；</w:t>
      </w:r>
    </w:p>
    <w:p w14:paraId="3623E314">
      <w:pPr>
        <w:spacing w:line="360" w:lineRule="auto"/>
        <w:ind w:left="630" w:leftChars="3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c、幕墙通风量分析；</w:t>
      </w:r>
    </w:p>
    <w:p w14:paraId="3ABD0BE2">
      <w:pPr>
        <w:spacing w:line="360" w:lineRule="auto"/>
        <w:ind w:left="630" w:leftChars="3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d、就气密性做出预估，结论性的结果需通过三性检测；</w:t>
      </w:r>
    </w:p>
    <w:p w14:paraId="51FFE072">
      <w:pPr>
        <w:spacing w:line="360" w:lineRule="auto"/>
        <w:ind w:left="630" w:leftChars="3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e、就幕墙系统对窗的开启方式的安全性能和使用舒适度做出书面评估。</w:t>
      </w:r>
    </w:p>
    <w:p w14:paraId="3ADBE0DF">
      <w:pPr>
        <w:pStyle w:val="27"/>
        <w:widowControl w:val="0"/>
        <w:tabs>
          <w:tab w:val="left" w:pos="680"/>
        </w:tabs>
        <w:spacing w:line="360" w:lineRule="auto"/>
        <w:ind w:left="0"/>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（3）幕墙样板设计</w:t>
      </w:r>
    </w:p>
    <w:p w14:paraId="4E4DAC50">
      <w:pPr>
        <w:pStyle w:val="9"/>
        <w:widowControl w:val="0"/>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A、协助甲方和建筑师选取幕墙样板范围；</w:t>
      </w:r>
    </w:p>
    <w:p w14:paraId="2F9A83F8">
      <w:pPr>
        <w:pStyle w:val="9"/>
        <w:widowControl w:val="0"/>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B、按照甲方对样板的展示要求提供详尽幕墙样板招标图（施工图深度）；</w:t>
      </w:r>
    </w:p>
    <w:p w14:paraId="44F9B441">
      <w:pPr>
        <w:pStyle w:val="9"/>
        <w:widowControl w:val="0"/>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C、提供详细的技术规格书；</w:t>
      </w:r>
    </w:p>
    <w:p w14:paraId="46069C27">
      <w:pPr>
        <w:pStyle w:val="9"/>
        <w:widowControl w:val="0"/>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D、若甲方有要求，应提供附属钢结构的设计（不包含主钢结构和基础）。</w:t>
      </w:r>
    </w:p>
    <w:p w14:paraId="6E4E9D3B">
      <w:pPr>
        <w:pStyle w:val="27"/>
        <w:widowControl w:val="0"/>
        <w:tabs>
          <w:tab w:val="left" w:pos="680"/>
        </w:tabs>
        <w:spacing w:line="360" w:lineRule="auto"/>
        <w:ind w:left="0"/>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（4）幕墙安评（如有）</w:t>
      </w:r>
    </w:p>
    <w:p w14:paraId="12CC25FB">
      <w:pPr>
        <w:pStyle w:val="9"/>
        <w:widowControl w:val="0"/>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A、负责幕墙安评所需技术资料的编制，包括安评图纸、安评汇报文本、结构计算书等，并负责安评会议的相关意见纪要工作。</w:t>
      </w:r>
    </w:p>
    <w:p w14:paraId="0868DA6B">
      <w:pPr>
        <w:pStyle w:val="9"/>
        <w:widowControl w:val="0"/>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B、负责幕墙安评的组织工作，包括但不限于邀请专家、组织安排安评会议、以及以上工作产生的专家费、评审费等一切费用。</w:t>
      </w:r>
    </w:p>
    <w:p w14:paraId="6D0184B3">
      <w:pPr>
        <w:pStyle w:val="9"/>
        <w:widowControl w:val="0"/>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C、确保安评通过。</w:t>
      </w:r>
    </w:p>
    <w:p w14:paraId="30B95A26">
      <w:pPr>
        <w:pStyle w:val="27"/>
        <w:widowControl w:val="0"/>
        <w:tabs>
          <w:tab w:val="left" w:pos="680"/>
        </w:tabs>
        <w:spacing w:line="360" w:lineRule="auto"/>
        <w:ind w:left="0"/>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（5）招标文件编制</w:t>
      </w:r>
    </w:p>
    <w:p w14:paraId="11DF6A0B">
      <w:pPr>
        <w:pStyle w:val="9"/>
        <w:widowControl w:val="0"/>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A、依据建筑方案初步设计文本，建筑施工图和结构施工图等资料，提供达到施工图深度的招标图纸并确保提供的招标图将能满足图纸设计范围内幕墙施工招标一次性总价包干的要求；</w:t>
      </w:r>
    </w:p>
    <w:p w14:paraId="6FD36E8F">
      <w:pPr>
        <w:pStyle w:val="9"/>
        <w:widowControl w:val="0"/>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B、提供符合中国规范的详细技术要求，涵盖外墙系统所有的组件和材料。如某些区域在经过业主或设计单位的同意后采用较低成本的中国材料，则将附加条款确保材料的质量要求；</w:t>
      </w:r>
    </w:p>
    <w:p w14:paraId="14E4C5D6">
      <w:pPr>
        <w:pStyle w:val="9"/>
        <w:widowControl w:val="0"/>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C、若甲方要求，应负责在招标文件中，对外墙系统的材料、性能、测试、制造、组装、运输、安装和外墙系统的情节提供质量保证条款；</w:t>
      </w:r>
    </w:p>
    <w:p w14:paraId="29ACEE7F">
      <w:pPr>
        <w:pStyle w:val="9"/>
        <w:widowControl w:val="0"/>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D、招标文件包括Word格式的技术说明书和AutoCAD幕墙招标图纸，结合设计单位提供的建筑图提交给委托方加入招标文件内。</w:t>
      </w:r>
    </w:p>
    <w:p w14:paraId="77B0F849">
      <w:pPr>
        <w:pStyle w:val="27"/>
        <w:widowControl w:val="0"/>
        <w:tabs>
          <w:tab w:val="left" w:pos="680"/>
        </w:tabs>
        <w:spacing w:line="360" w:lineRule="auto"/>
        <w:ind w:left="0"/>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（6）招投标工作</w:t>
      </w:r>
    </w:p>
    <w:p w14:paraId="09E0DD74">
      <w:pPr>
        <w:pStyle w:val="9"/>
        <w:widowControl w:val="0"/>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A、参加招标阶段的答疑会，解决幕墙工程投标人提出的有关幕墙工程的问题；</w:t>
      </w:r>
    </w:p>
    <w:p w14:paraId="5576ACE1">
      <w:pPr>
        <w:pStyle w:val="9"/>
        <w:widowControl w:val="0"/>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B、在技术方面协助业主对投标者进行评估，包括图纸审核、工程计算书审核、样板材料审核和选择等。若甲方要求，协助甲方在幕墙施工公开招标过程中进行技术评标。这包括其资格审查及设计能力、加工设备、组装人力、施工经验、工程实绩、履约能力等的评估，同时对各投标单位的投标文件提出质疑清单供投标单位回复、确认；</w:t>
      </w:r>
    </w:p>
    <w:p w14:paraId="413E5201">
      <w:pPr>
        <w:pStyle w:val="9"/>
        <w:widowControl w:val="0"/>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C、对幕墙工程中标人进行必要的技术交底，确保其能准确理解幕墙工程建筑设计、结构构造设计意图和技术要求已完成施工；</w:t>
      </w:r>
    </w:p>
    <w:p w14:paraId="51F6C555">
      <w:pPr>
        <w:pStyle w:val="27"/>
        <w:widowControl w:val="0"/>
        <w:tabs>
          <w:tab w:val="left" w:pos="680"/>
        </w:tabs>
        <w:spacing w:line="360" w:lineRule="auto"/>
        <w:ind w:left="0"/>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（7）模型性能测试（如需）</w:t>
      </w:r>
    </w:p>
    <w:p w14:paraId="767BB910">
      <w:pPr>
        <w:pStyle w:val="9"/>
        <w:widowControl w:val="0"/>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A、审核、检查和建议承包商模型的设计、施工图、计算书和测试步骤。为模型性能测试的设计文件提供审查。</w:t>
      </w:r>
    </w:p>
    <w:p w14:paraId="294FB5C1">
      <w:pPr>
        <w:pStyle w:val="9"/>
        <w:widowControl w:val="0"/>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 xml:space="preserve">B、审核承包商推荐的检测程序，确保检测程序被严格地按照计划执行。模型性能测试应包括以下： </w:t>
      </w:r>
    </w:p>
    <w:p w14:paraId="73633C58">
      <w:pPr>
        <w:spacing w:line="360" w:lineRule="auto"/>
        <w:ind w:left="840" w:leftChars="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a、水密试验</w:t>
      </w:r>
    </w:p>
    <w:p w14:paraId="67090A09">
      <w:pPr>
        <w:spacing w:line="360" w:lineRule="auto"/>
        <w:ind w:left="840" w:leftChars="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b、安全受力实验</w:t>
      </w:r>
    </w:p>
    <w:p w14:paraId="07EB0C87">
      <w:pPr>
        <w:spacing w:line="360" w:lineRule="auto"/>
        <w:ind w:left="840" w:leftChars="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c、位移试验</w:t>
      </w:r>
    </w:p>
    <w:p w14:paraId="008ADA63">
      <w:pPr>
        <w:spacing w:line="360" w:lineRule="auto"/>
        <w:ind w:left="840" w:leftChars="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d、气密性能试验</w:t>
      </w:r>
    </w:p>
    <w:p w14:paraId="6F57924B">
      <w:pPr>
        <w:pStyle w:val="9"/>
        <w:widowControl w:val="0"/>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C、参加模型性能测试，确认实验室进行了所有的批准的测试过程。</w:t>
      </w:r>
    </w:p>
    <w:p w14:paraId="620B80B1">
      <w:pPr>
        <w:pStyle w:val="9"/>
        <w:widowControl w:val="0"/>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D、若试验失败，则分析失败原因，确定是设计原因还是施工原因，协助承包商解决造成失败的问题，直至试验成功。</w:t>
      </w:r>
    </w:p>
    <w:p w14:paraId="681CCAD5">
      <w:pPr>
        <w:pStyle w:val="27"/>
        <w:widowControl w:val="0"/>
        <w:tabs>
          <w:tab w:val="left" w:pos="680"/>
        </w:tabs>
        <w:spacing w:line="360" w:lineRule="auto"/>
        <w:ind w:left="0"/>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（8）施工图设计、审查/核准（如有）</w:t>
      </w:r>
    </w:p>
    <w:p w14:paraId="1A100E02">
      <w:pPr>
        <w:pStyle w:val="9"/>
        <w:widowControl w:val="0"/>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A、审查承包商提供的幕墙施工材料封样。</w:t>
      </w:r>
    </w:p>
    <w:p w14:paraId="3F7A8877">
      <w:pPr>
        <w:pStyle w:val="9"/>
        <w:widowControl w:val="0"/>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B、若施工承包商有深化设计需求，需与业主和设计单位一同对承包商递交施工图纸、预埋件图等进行全过程审查并提供确认文件。</w:t>
      </w:r>
    </w:p>
    <w:p w14:paraId="1255A637">
      <w:pPr>
        <w:pStyle w:val="9"/>
        <w:widowControl w:val="0"/>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C、施工图设计要求：</w:t>
      </w:r>
    </w:p>
    <w:p w14:paraId="74A9F0C2">
      <w:pPr>
        <w:spacing w:line="360" w:lineRule="auto"/>
        <w:ind w:left="210" w:leftChars="10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a、符合规定的技术性能指标</w:t>
      </w:r>
    </w:p>
    <w:p w14:paraId="7941CE42">
      <w:pPr>
        <w:spacing w:line="360" w:lineRule="auto"/>
        <w:ind w:left="210" w:leftChars="10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b、符合建筑设计意图</w:t>
      </w:r>
    </w:p>
    <w:p w14:paraId="59533E7A">
      <w:pPr>
        <w:spacing w:line="360" w:lineRule="auto"/>
        <w:ind w:left="210" w:leftChars="10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c、符合质量控制要求</w:t>
      </w:r>
    </w:p>
    <w:p w14:paraId="411F52C8">
      <w:pPr>
        <w:spacing w:line="360" w:lineRule="auto"/>
        <w:ind w:left="210" w:leftChars="10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d、符合施工工艺的要求</w:t>
      </w:r>
    </w:p>
    <w:p w14:paraId="10727837">
      <w:pPr>
        <w:spacing w:line="360" w:lineRule="auto"/>
        <w:ind w:left="210" w:leftChars="10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e、与其他专业接口处理恰当合理</w:t>
      </w:r>
    </w:p>
    <w:p w14:paraId="3507F2A6">
      <w:pPr>
        <w:spacing w:line="360" w:lineRule="auto"/>
        <w:ind w:left="210" w:leftChars="10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f、图纸应详尽、全面，使幕墙施工全程有图可依</w:t>
      </w:r>
    </w:p>
    <w:p w14:paraId="0BD6C97C">
      <w:pPr>
        <w:pStyle w:val="27"/>
        <w:widowControl w:val="0"/>
        <w:tabs>
          <w:tab w:val="left" w:pos="680"/>
        </w:tabs>
        <w:spacing w:line="360" w:lineRule="auto"/>
        <w:ind w:left="0"/>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（9）工厂装配和工地建造的巡查</w:t>
      </w:r>
    </w:p>
    <w:p w14:paraId="78DFE61F">
      <w:pPr>
        <w:pStyle w:val="9"/>
        <w:widowControl w:val="0"/>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A、对幕墙施工工地进行不定期的巡查，并确保施工高峰期每两周不少于一次的巡查频率；每次巡查后递交包括有照片的综合性报告。</w:t>
      </w:r>
    </w:p>
    <w:p w14:paraId="012644BC">
      <w:pPr>
        <w:pStyle w:val="9"/>
        <w:widowControl w:val="0"/>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B、按业主要求到现场参加会议，协助解决在现场视察中发现的外墙问题。</w:t>
      </w:r>
    </w:p>
    <w:p w14:paraId="3268F38D">
      <w:pPr>
        <w:pStyle w:val="9"/>
        <w:widowControl w:val="0"/>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C、审核材料复试。</w:t>
      </w:r>
    </w:p>
    <w:p w14:paraId="3A013E89">
      <w:pPr>
        <w:pStyle w:val="9"/>
        <w:widowControl w:val="0"/>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D、在发包人的安排下，对材料和安装厂家进行视察，见证重要的工地测试（如需）。包括现场的淋水防漏测试。</w:t>
      </w:r>
    </w:p>
    <w:p w14:paraId="4B0E709B">
      <w:pPr>
        <w:pStyle w:val="9"/>
        <w:widowControl w:val="0"/>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E、严格控制现场的</w:t>
      </w:r>
      <w:r>
        <w:rPr>
          <w:rFonts w:hint="eastAsia" w:ascii="宋体" w:hAnsi="宋体" w:eastAsia="宋体" w:cs="宋体"/>
          <w:b/>
          <w:color w:val="auto"/>
          <w:sz w:val="24"/>
          <w:szCs w:val="24"/>
          <w:highlight w:val="none"/>
          <w:lang w:bidi="ar"/>
        </w:rPr>
        <w:t>变更单</w:t>
      </w:r>
      <w:r>
        <w:rPr>
          <w:rFonts w:hint="eastAsia" w:ascii="宋体" w:hAnsi="宋体" w:eastAsia="宋体" w:cs="宋体"/>
          <w:color w:val="auto"/>
          <w:sz w:val="24"/>
          <w:szCs w:val="24"/>
          <w:highlight w:val="none"/>
          <w:lang w:bidi="ar"/>
        </w:rPr>
        <w:t>。</w:t>
      </w:r>
    </w:p>
    <w:p w14:paraId="6AF427FF">
      <w:pPr>
        <w:pStyle w:val="27"/>
        <w:widowControl w:val="0"/>
        <w:tabs>
          <w:tab w:val="left" w:pos="680"/>
        </w:tabs>
        <w:spacing w:line="360" w:lineRule="auto"/>
        <w:ind w:left="0"/>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（10）工程验收及整改</w:t>
      </w:r>
    </w:p>
    <w:p w14:paraId="4392813D">
      <w:pPr>
        <w:pStyle w:val="9"/>
        <w:widowControl w:val="0"/>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A、协助甲方和建筑师共同制定幕墙的验收方式、标准等，交由业主确认，并由业主方负责组织实施。</w:t>
      </w:r>
    </w:p>
    <w:p w14:paraId="078F3E84">
      <w:pPr>
        <w:pStyle w:val="9"/>
        <w:widowControl w:val="0"/>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B、对施工样板进行验收，确保幕墙的加工、组装及施工符合招标技术规格中规定的质量要求。</w:t>
      </w:r>
    </w:p>
    <w:p w14:paraId="244B4A62">
      <w:pPr>
        <w:pStyle w:val="9"/>
        <w:widowControl w:val="0"/>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C、协助业主组织安排幕墙的部分验收及整体验收，及时出具验收报告，跟踪幕墙施工的整改工作。协助业主进行幕墙的整体工程验收。</w:t>
      </w:r>
    </w:p>
    <w:p w14:paraId="1BE88C08">
      <w:pPr>
        <w:pStyle w:val="9"/>
        <w:widowControl w:val="0"/>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D、辅助甲方审核幕墙竣工图。</w:t>
      </w:r>
    </w:p>
    <w:p w14:paraId="5E16A913">
      <w:pPr>
        <w:pStyle w:val="9"/>
        <w:widowControl w:val="0"/>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E、参与幕墙竣工验收，并给出专业报告。</w:t>
      </w:r>
    </w:p>
    <w:p w14:paraId="64F14903">
      <w:pPr>
        <w:pStyle w:val="9"/>
        <w:widowControl w:val="0"/>
        <w:spacing w:before="0" w:beforeAutospacing="0" w:after="0" w:afterAutospacing="0" w:line="360" w:lineRule="auto"/>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F、若甲方有要求，需参加甲方组织的项目后评估工作，协助甲方总结幕墙设计及施工中的经验教训。</w:t>
      </w:r>
    </w:p>
    <w:p w14:paraId="529DB634">
      <w:pPr>
        <w:pStyle w:val="9"/>
        <w:widowControl w:val="0"/>
        <w:spacing w:before="0" w:beforeAutospacing="0" w:after="0" w:afterAutospacing="0" w:line="360" w:lineRule="auto"/>
        <w:rPr>
          <w:rFonts w:hint="eastAsia" w:ascii="宋体" w:hAnsi="宋体" w:eastAsia="宋体" w:cs="宋体"/>
          <w:color w:val="auto"/>
          <w:sz w:val="24"/>
          <w:szCs w:val="24"/>
          <w:highlight w:val="none"/>
          <w:lang w:bidi="ar"/>
        </w:rPr>
      </w:pPr>
    </w:p>
    <w:p w14:paraId="7C8171E4">
      <w:pPr>
        <w:pStyle w:val="23"/>
        <w:numPr>
          <w:ilvl w:val="0"/>
          <w:numId w:val="10"/>
        </w:numPr>
        <w:tabs>
          <w:tab w:val="left" w:pos="840"/>
          <w:tab w:val="clear" w:pos="720"/>
        </w:tabs>
        <w:jc w:val="both"/>
        <w:outlineLvl w:val="9"/>
        <w:rPr>
          <w:rFonts w:hint="eastAsia" w:ascii="宋体" w:hAnsi="宋体" w:eastAsia="宋体" w:cs="宋体"/>
          <w:b/>
          <w:color w:val="auto"/>
          <w:kern w:val="2"/>
          <w:sz w:val="24"/>
          <w:szCs w:val="24"/>
          <w:highlight w:val="none"/>
        </w:rPr>
      </w:pPr>
      <w:r>
        <w:rPr>
          <w:rFonts w:hint="eastAsia" w:ascii="宋体" w:hAnsi="宋体" w:eastAsia="宋体" w:cs="宋体"/>
          <w:b/>
          <w:color w:val="auto"/>
          <w:kern w:val="2"/>
          <w:sz w:val="24"/>
          <w:szCs w:val="24"/>
          <w:highlight w:val="none"/>
        </w:rPr>
        <w:t>其他专项设计服务内容：</w:t>
      </w:r>
    </w:p>
    <w:p w14:paraId="4D5AA75F">
      <w:pPr>
        <w:pStyle w:val="23"/>
        <w:tabs>
          <w:tab w:val="left" w:pos="840"/>
          <w:tab w:val="clear" w:pos="720"/>
        </w:tabs>
        <w:jc w:val="both"/>
        <w:outlineLvl w:val="9"/>
        <w:rPr>
          <w:rFonts w:hint="eastAsia" w:ascii="宋体" w:hAnsi="宋体" w:eastAsia="宋体" w:cs="宋体"/>
          <w:b/>
          <w:color w:val="auto"/>
          <w:kern w:val="2"/>
          <w:sz w:val="24"/>
          <w:szCs w:val="24"/>
          <w:highlight w:val="none"/>
        </w:rPr>
      </w:pPr>
      <w:r>
        <w:rPr>
          <w:rFonts w:hint="eastAsia" w:ascii="宋体" w:hAnsi="宋体" w:eastAsia="宋体" w:cs="宋体"/>
          <w:b/>
          <w:color w:val="auto"/>
          <w:kern w:val="2"/>
          <w:sz w:val="24"/>
          <w:szCs w:val="24"/>
          <w:highlight w:val="none"/>
        </w:rPr>
        <w:t>除上述列及的设计类别外，其余设计类别亦需按业主方所提供范例成果标准进行设计</w:t>
      </w:r>
    </w:p>
    <w:p w14:paraId="0174FCCF">
      <w:pPr>
        <w:pStyle w:val="23"/>
        <w:tabs>
          <w:tab w:val="left" w:pos="840"/>
          <w:tab w:val="clear" w:pos="720"/>
        </w:tabs>
        <w:jc w:val="both"/>
        <w:rPr>
          <w:rFonts w:hint="eastAsia" w:ascii="宋体" w:hAnsi="宋体" w:eastAsia="宋体" w:cs="宋体"/>
          <w:b/>
          <w:color w:val="auto"/>
          <w:kern w:val="2"/>
          <w:sz w:val="24"/>
          <w:szCs w:val="24"/>
          <w:highlight w:val="none"/>
        </w:rPr>
        <w:sectPr>
          <w:pgSz w:w="11906" w:h="16838"/>
          <w:pgMar w:top="1440" w:right="1440" w:bottom="1440" w:left="1440" w:header="851" w:footer="992" w:gutter="0"/>
          <w:cols w:space="720" w:num="1"/>
          <w:docGrid w:linePitch="312" w:charSpace="0"/>
        </w:sectPr>
      </w:pPr>
    </w:p>
    <w:p w14:paraId="5D2D5075">
      <w:pPr>
        <w:pStyle w:val="10"/>
        <w:ind w:left="0" w:leftChars="0" w:firstLine="0" w:firstLineChars="0"/>
        <w:outlineLvl w:val="2"/>
        <w:rPr>
          <w:rFonts w:hint="eastAsia" w:ascii="宋体" w:hAnsi="宋体" w:eastAsia="宋体" w:cs="宋体"/>
          <w:color w:val="auto"/>
          <w:sz w:val="24"/>
          <w:szCs w:val="24"/>
          <w:highlight w:val="none"/>
        </w:rPr>
      </w:pPr>
      <w:bookmarkStart w:id="1" w:name="_Toc3509"/>
      <w:r>
        <w:rPr>
          <w:rFonts w:hint="eastAsia" w:ascii="宋体" w:hAnsi="宋体" w:eastAsia="宋体" w:cs="宋体"/>
          <w:b/>
          <w:color w:val="auto"/>
          <w:sz w:val="24"/>
          <w:szCs w:val="24"/>
          <w:highlight w:val="none"/>
          <w:lang w:val="en-US" w:eastAsia="zh-CN"/>
        </w:rPr>
        <w:t>五、</w:t>
      </w:r>
      <w:r>
        <w:rPr>
          <w:rFonts w:hint="eastAsia" w:ascii="宋体" w:hAnsi="宋体" w:eastAsia="宋体" w:cs="宋体"/>
          <w:b/>
          <w:color w:val="auto"/>
          <w:sz w:val="24"/>
          <w:szCs w:val="24"/>
          <w:highlight w:val="none"/>
        </w:rPr>
        <w:t>各阶段、各版次设计成果文件组成及要求</w:t>
      </w:r>
      <w:bookmarkEnd w:id="1"/>
    </w:p>
    <w:p w14:paraId="52F80BB0">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一、版次1设计成果文件</w:t>
      </w:r>
    </w:p>
    <w:p w14:paraId="619E51B2">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版次1文件：方案的修改和完善（包括估算书），为根据中华人民共和国建设部颁布的《建筑工程设计文件编制深度规定》（2016年版）中关于方案设计应达到的设计深度要求，同时根据专家评审意见及政府职能部门提出的修改意见，对在设计招标阶段最终选定的设计方案进行修改和完善，最终完成的经发包人确认的方案设计成果文件。为发包人组织政府有关部门、各专业相关专家、设计人共同参与的论证后，经政府和发包方最终确定的方案设计文件，由设计说明书、设计图纸及其电子文件、透视图（效果图）及其电子文件、模型等五部分组成。文件（不限于此）按照下列次序编排：</w:t>
      </w:r>
    </w:p>
    <w:p w14:paraId="7AB3240F">
      <w:pPr>
        <w:numPr>
          <w:ilvl w:val="0"/>
          <w:numId w:val="14"/>
        </w:numPr>
        <w:tabs>
          <w:tab w:val="left" w:pos="420"/>
          <w:tab w:val="clear" w:pos="644"/>
        </w:tabs>
        <w:spacing w:line="360" w:lineRule="auto"/>
        <w:ind w:left="17" w:leftChars="8" w:firstLine="456" w:firstLineChars="19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封面（写明方案的名称、方案编制单位、编制时间）。</w:t>
      </w:r>
    </w:p>
    <w:p w14:paraId="5DD1EBFF">
      <w:pPr>
        <w:numPr>
          <w:ilvl w:val="0"/>
          <w:numId w:val="14"/>
        </w:numPr>
        <w:tabs>
          <w:tab w:val="left" w:pos="420"/>
          <w:tab w:val="clear" w:pos="644"/>
        </w:tabs>
        <w:spacing w:line="360" w:lineRule="auto"/>
        <w:ind w:left="17" w:leftChars="8" w:firstLine="456" w:firstLineChars="19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扉页（写明方案编制单位法定代表人、技术总负责人、项目总负责人（或设计负责人）的姓名，并经上述人员签署或授权盖章）。</w:t>
      </w:r>
    </w:p>
    <w:p w14:paraId="1FB7D56A">
      <w:pPr>
        <w:numPr>
          <w:ilvl w:val="0"/>
          <w:numId w:val="14"/>
        </w:numPr>
        <w:tabs>
          <w:tab w:val="left" w:pos="420"/>
          <w:tab w:val="clear" w:pos="644"/>
        </w:tabs>
        <w:spacing w:line="360" w:lineRule="auto"/>
        <w:ind w:left="17" w:leftChars="8" w:firstLine="456" w:firstLineChars="19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方案设计文件目录。</w:t>
      </w:r>
    </w:p>
    <w:p w14:paraId="458FDF48">
      <w:pPr>
        <w:numPr>
          <w:ilvl w:val="0"/>
          <w:numId w:val="14"/>
        </w:numPr>
        <w:tabs>
          <w:tab w:val="left" w:pos="420"/>
          <w:tab w:val="clear" w:pos="644"/>
        </w:tabs>
        <w:spacing w:line="360" w:lineRule="auto"/>
        <w:ind w:left="17" w:leftChars="8" w:firstLine="456" w:firstLineChars="19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方案设计说明书，内容包括工程规模和设计标准、建筑总平面设计说明、单体建筑方案设计构思说明、结构选型方案说明、消防安全系统说明、主要内外建筑与装饰材料说明和主要技术经济指标说明等。</w:t>
      </w:r>
    </w:p>
    <w:p w14:paraId="6D6D3847">
      <w:pPr>
        <w:numPr>
          <w:ilvl w:val="0"/>
          <w:numId w:val="14"/>
        </w:numPr>
        <w:tabs>
          <w:tab w:val="left" w:pos="420"/>
          <w:tab w:val="clear" w:pos="644"/>
        </w:tabs>
        <w:spacing w:line="360" w:lineRule="auto"/>
        <w:ind w:left="17" w:leftChars="8" w:firstLine="456" w:firstLineChars="19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方案设计图纸，图纸内容为总平面规划图、</w:t>
      </w:r>
      <w:r>
        <w:rPr>
          <w:rFonts w:hint="eastAsia" w:ascii="宋体" w:hAnsi="宋体" w:eastAsia="宋体" w:cs="宋体"/>
          <w:bCs/>
          <w:color w:val="auto"/>
          <w:sz w:val="24"/>
          <w:szCs w:val="24"/>
          <w:highlight w:val="none"/>
        </w:rPr>
        <w:t>项目</w:t>
      </w:r>
      <w:r>
        <w:rPr>
          <w:rFonts w:hint="eastAsia" w:ascii="宋体" w:hAnsi="宋体" w:eastAsia="宋体" w:cs="宋体"/>
          <w:color w:val="auto"/>
          <w:sz w:val="24"/>
          <w:szCs w:val="24"/>
          <w:highlight w:val="none"/>
        </w:rPr>
        <w:t>总平面设计图、交通分析图、绿化及环境设计图；建筑各层平面图、建筑各主要立面图与剖面图，；室内外装修设计方案图；下述展板中的图纸缩印本；其他在方案论证过程中提出的需补充说明的图纸。</w:t>
      </w:r>
    </w:p>
    <w:p w14:paraId="0C83B004">
      <w:pPr>
        <w:numPr>
          <w:ilvl w:val="0"/>
          <w:numId w:val="14"/>
        </w:numPr>
        <w:tabs>
          <w:tab w:val="left" w:pos="420"/>
          <w:tab w:val="clear" w:pos="644"/>
        </w:tabs>
        <w:spacing w:line="360" w:lineRule="auto"/>
        <w:ind w:left="17" w:leftChars="8" w:firstLine="456" w:firstLineChars="19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方案投资估算（含非标设备、材料、构配件的报价）。</w:t>
      </w:r>
    </w:p>
    <w:p w14:paraId="51A76B9B">
      <w:pPr>
        <w:spacing w:line="360" w:lineRule="auto"/>
        <w:ind w:left="17" w:leftChars="8" w:firstLine="456" w:firstLineChars="19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上述1～6部分装订成册（下称方案文本），方案文本规格为A2。</w:t>
      </w:r>
    </w:p>
    <w:p w14:paraId="4559DADF">
      <w:pPr>
        <w:numPr>
          <w:ilvl w:val="0"/>
          <w:numId w:val="14"/>
        </w:numPr>
        <w:tabs>
          <w:tab w:val="left" w:pos="420"/>
          <w:tab w:val="clear" w:pos="644"/>
        </w:tabs>
        <w:spacing w:line="360" w:lineRule="auto"/>
        <w:ind w:left="17" w:leftChars="8" w:firstLine="456" w:firstLineChars="19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展示图规格为A1(594mm×841mm)，展示图均应贴裱在1000mm×700mm的轻质板上。</w:t>
      </w:r>
      <w:r>
        <w:rPr>
          <w:rFonts w:hint="eastAsia" w:ascii="宋体" w:hAnsi="宋体" w:eastAsia="宋体" w:cs="宋体"/>
          <w:color w:val="auto"/>
          <w:sz w:val="24"/>
          <w:szCs w:val="24"/>
          <w:highlight w:val="none"/>
          <w:u w:val="single"/>
        </w:rPr>
        <w:t>图纸内容为</w:t>
      </w:r>
      <w:r>
        <w:rPr>
          <w:rFonts w:hint="eastAsia" w:ascii="宋体" w:hAnsi="宋体" w:eastAsia="宋体" w:cs="宋体"/>
          <w:bCs/>
          <w:color w:val="auto"/>
          <w:sz w:val="24"/>
          <w:szCs w:val="24"/>
          <w:highlight w:val="none"/>
          <w:u w:val="single"/>
        </w:rPr>
        <w:t>项目</w:t>
      </w:r>
      <w:r>
        <w:rPr>
          <w:rFonts w:hint="eastAsia" w:ascii="宋体" w:hAnsi="宋体" w:eastAsia="宋体" w:cs="宋体"/>
          <w:color w:val="auto"/>
          <w:sz w:val="24"/>
          <w:szCs w:val="24"/>
          <w:highlight w:val="none"/>
          <w:u w:val="single"/>
        </w:rPr>
        <w:t>鸟瞰透视图</w:t>
      </w:r>
      <w:r>
        <w:rPr>
          <w:rFonts w:hint="eastAsia" w:ascii="宋体" w:hAnsi="宋体" w:eastAsia="宋体" w:cs="宋体"/>
          <w:color w:val="auto"/>
          <w:sz w:val="24"/>
          <w:szCs w:val="24"/>
          <w:highlight w:val="none"/>
        </w:rPr>
        <w:t>、建筑透视图、夜景透视图、总平面规划图、总平面设计图、主要平面图、立面图和剖面图，设计概念分析图等，以能清晰表达设计意图为原则。</w:t>
      </w:r>
    </w:p>
    <w:p w14:paraId="1627E472">
      <w:pPr>
        <w:numPr>
          <w:ilvl w:val="0"/>
          <w:numId w:val="14"/>
        </w:numPr>
        <w:tabs>
          <w:tab w:val="left" w:pos="420"/>
          <w:tab w:val="clear" w:pos="644"/>
        </w:tabs>
        <w:spacing w:line="360" w:lineRule="auto"/>
        <w:ind w:left="17" w:leftChars="8" w:firstLine="456" w:firstLineChars="190"/>
        <w:rPr>
          <w:rFonts w:hint="eastAsia" w:ascii="宋体" w:hAnsi="宋体" w:eastAsia="宋体" w:cs="宋体"/>
          <w:bCs/>
          <w:color w:val="auto"/>
          <w:sz w:val="24"/>
          <w:szCs w:val="24"/>
          <w:highlight w:val="none"/>
          <w:u w:val="single"/>
        </w:rPr>
      </w:pPr>
      <w:r>
        <w:rPr>
          <w:rFonts w:hint="eastAsia" w:ascii="宋体" w:hAnsi="宋体" w:eastAsia="宋体" w:cs="宋体"/>
          <w:snapToGrid w:val="0"/>
          <w:color w:val="auto"/>
          <w:kern w:val="0"/>
          <w:sz w:val="24"/>
          <w:szCs w:val="24"/>
          <w:highlight w:val="none"/>
        </w:rPr>
        <w:t>设计人应向发包人提交方案设计报建所需要的设计成果文件图纸及文本文件、电子文档光盘；文件均须按要求加盖</w:t>
      </w:r>
      <w:r>
        <w:rPr>
          <w:rFonts w:hint="eastAsia" w:ascii="宋体" w:hAnsi="宋体" w:eastAsia="宋体" w:cs="宋体"/>
          <w:bCs/>
          <w:snapToGrid w:val="0"/>
          <w:color w:val="auto"/>
          <w:kern w:val="0"/>
          <w:sz w:val="24"/>
          <w:szCs w:val="24"/>
          <w:highlight w:val="none"/>
        </w:rPr>
        <w:t>设计单位出图章、注册建筑师章。</w:t>
      </w:r>
    </w:p>
    <w:p w14:paraId="3A62AA5B">
      <w:pPr>
        <w:spacing w:line="360" w:lineRule="auto"/>
        <w:ind w:left="17" w:leftChars="8" w:firstLine="456" w:firstLineChars="19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版次1设计成果文件的份数要求：</w:t>
      </w:r>
    </w:p>
    <w:p w14:paraId="703C2035">
      <w:pPr>
        <w:numPr>
          <w:ilvl w:val="0"/>
          <w:numId w:val="15"/>
        </w:numPr>
        <w:spacing w:line="360" w:lineRule="auto"/>
        <w:ind w:left="17" w:leftChars="8" w:firstLine="456" w:firstLineChars="19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方案论证过程中，设计人按每次专家的论证意见调整优化设计方案，按上述方案文本要求制作方案文本12份/次，电子文档光盘（含方案文本的全部内容）4份/次。</w:t>
      </w:r>
    </w:p>
    <w:p w14:paraId="1CE71A39">
      <w:pPr>
        <w:numPr>
          <w:ilvl w:val="0"/>
          <w:numId w:val="15"/>
        </w:numPr>
        <w:spacing w:line="360" w:lineRule="auto"/>
        <w:ind w:left="17" w:leftChars="8" w:firstLine="456" w:firstLineChars="19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方案最终确认后，设计人最终制作方案文本12份，及过程文件（如有）电子文档光盘（含方案文本的全部内容）4份，第7项的展示图各4份，模型1个。</w:t>
      </w:r>
    </w:p>
    <w:p w14:paraId="6B91EF6D">
      <w:pPr>
        <w:numPr>
          <w:ilvl w:val="0"/>
          <w:numId w:val="15"/>
        </w:numPr>
        <w:spacing w:line="360" w:lineRule="auto"/>
        <w:ind w:left="17" w:leftChars="8" w:firstLine="456" w:firstLineChars="19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上述设计成果份数若不足使用，可根据发包人需求增加，最终份数以25份为限（相关费用包含在总费用中，不做增加）。</w:t>
      </w:r>
    </w:p>
    <w:p w14:paraId="1F5C0D31">
      <w:pPr>
        <w:spacing w:line="360" w:lineRule="auto"/>
        <w:ind w:firstLine="480" w:firstLineChars="200"/>
        <w:rPr>
          <w:rFonts w:hint="eastAsia" w:ascii="宋体" w:hAnsi="宋体" w:eastAsia="宋体" w:cs="宋体"/>
          <w:color w:val="auto"/>
          <w:sz w:val="24"/>
          <w:szCs w:val="24"/>
          <w:highlight w:val="none"/>
        </w:rPr>
      </w:pPr>
    </w:p>
    <w:p w14:paraId="4434D8A7">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二、版次2设计成果文件</w:t>
      </w:r>
    </w:p>
    <w:p w14:paraId="29ACCA1D">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版次2文件：为向项目所在地规划局进行规划报建的“五图一书”，以及专项设计/咨询专项分包人提交的前期咨询文件等设计成果文件。为向项目所在地规划局进行规划报建的文件，按照项目所在地规划局的规划报建要求和报审图纸深度要求进行编制，提供如下文件（文件需按项目所在地规划局的要求加盖相应的图章）：</w:t>
      </w:r>
    </w:p>
    <w:p w14:paraId="02BE47B5">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1、总平面规划图（包括基地区位图和各项技术经济指标等）。</w:t>
      </w:r>
    </w:p>
    <w:p w14:paraId="00EB3100">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2、绿地系统规划图。</w:t>
      </w:r>
    </w:p>
    <w:p w14:paraId="5DCC2852">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3、道路交通系统规划图。</w:t>
      </w:r>
    </w:p>
    <w:p w14:paraId="13E30641">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4、竖向规划图。</w:t>
      </w:r>
    </w:p>
    <w:p w14:paraId="5F45D1DC">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5、《规划方案说明书》（含估算书）。</w:t>
      </w:r>
    </w:p>
    <w:p w14:paraId="79BFD733">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6、管线综合规划图。</w:t>
      </w:r>
    </w:p>
    <w:p w14:paraId="35A0A74A">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7、电子磁盘报批文件。</w:t>
      </w:r>
    </w:p>
    <w:p w14:paraId="00A29F20">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版次2设计成果文件的份数要求：</w:t>
      </w:r>
    </w:p>
    <w:p w14:paraId="48261B51">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按“五图一书”的报建要求，提交第1～5项成果各8份/次（每次指报审过程中的换图或重报，下同），第7项成果4份/次，报审批出后制作本版次最终设计成果的电子文档光盘4份。</w:t>
      </w:r>
    </w:p>
    <w:p w14:paraId="4F390FB5">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按“管线综合规划报建”（如有）的要求，提交第6项成果各8份/次，第7项成果4份/次, 报审批出后制作本版次最终设计成果的电子文档光盘4份。</w:t>
      </w:r>
    </w:p>
    <w:p w14:paraId="5EC05EB8">
      <w:pPr>
        <w:spacing w:line="360" w:lineRule="auto"/>
        <w:ind w:firstLine="480" w:firstLineChars="200"/>
        <w:rPr>
          <w:rFonts w:hint="eastAsia" w:ascii="宋体" w:hAnsi="宋体" w:eastAsia="宋体" w:cs="宋体"/>
          <w:color w:val="auto"/>
          <w:sz w:val="24"/>
          <w:szCs w:val="24"/>
          <w:highlight w:val="none"/>
        </w:rPr>
      </w:pPr>
    </w:p>
    <w:p w14:paraId="706C61CB">
      <w:pPr>
        <w:spacing w:line="360" w:lineRule="auto"/>
        <w:ind w:firstLine="480" w:firstLineChars="200"/>
        <w:rPr>
          <w:rFonts w:hint="eastAsia" w:ascii="宋体" w:hAnsi="宋体" w:eastAsia="宋体" w:cs="宋体"/>
          <w:i/>
          <w:color w:val="auto"/>
          <w:sz w:val="24"/>
          <w:szCs w:val="24"/>
          <w:highlight w:val="none"/>
        </w:rPr>
      </w:pPr>
      <w:r>
        <w:rPr>
          <w:rFonts w:hint="eastAsia" w:ascii="宋体" w:hAnsi="宋体" w:eastAsia="宋体" w:cs="宋体"/>
          <w:color w:val="auto"/>
          <w:sz w:val="24"/>
          <w:szCs w:val="24"/>
          <w:highlight w:val="none"/>
        </w:rPr>
        <w:t>三、版次3设计成果文件</w:t>
      </w:r>
    </w:p>
    <w:p w14:paraId="5AE4A2B1">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版次3文件：为向项目所在地规划局和相关政府主管部门进行单体方案报建（专业报建）的设计成果文件。为向项目所在地规划局和相关政府主管部门进行单体方案报建（专业报建）所需要的文件，按照项目所在地规划局和相关政府主管部门的报建要求和报审图纸深度要求进行编制，提供如下文件（不限于此）（文件需按项目所在地规划局或相关政府主管部门的要求加盖相应的图章，如设计单位出图章、报建特许人章、注册建筑师章等）：</w:t>
      </w:r>
    </w:p>
    <w:p w14:paraId="0D2FFC29">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1、现况地形图上绘制的总平面图。</w:t>
      </w:r>
    </w:p>
    <w:p w14:paraId="04E82896">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2、总平面（包括各项技术经济指标）。</w:t>
      </w:r>
    </w:p>
    <w:p w14:paraId="2AFAC1FB">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3、建筑平、立、剖面图。</w:t>
      </w:r>
    </w:p>
    <w:p w14:paraId="4D62FFE2">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4、设计说明。</w:t>
      </w:r>
    </w:p>
    <w:p w14:paraId="087D0085">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5、电子磁盘报批文件。</w:t>
      </w:r>
    </w:p>
    <w:p w14:paraId="04FA896E">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6、工程估算书。</w:t>
      </w:r>
    </w:p>
    <w:p w14:paraId="425E8B6E">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版次3设计成果文件的份数要求：</w:t>
      </w:r>
    </w:p>
    <w:p w14:paraId="1111AA95">
      <w:pPr>
        <w:numPr>
          <w:ilvl w:val="0"/>
          <w:numId w:val="16"/>
        </w:num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按“建筑方案报建”的要求，提交第1～4项成果各份8/次，第5项成果4份/次，报建批出后制作最终设计成果的电子文档光盘4份。</w:t>
      </w:r>
    </w:p>
    <w:p w14:paraId="432E3767">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专业报建（交通、市政、人防、消防、环保、卫生、绿化、防雷等）所需设计成果文件各专业部门4份/次。各专业部门报建批出后制作最终设计成果的电子文档光盘每专业报建部门成果各4份。</w:t>
      </w:r>
    </w:p>
    <w:p w14:paraId="34F9EBC4">
      <w:pPr>
        <w:spacing w:line="360" w:lineRule="auto"/>
        <w:ind w:firstLine="480" w:firstLineChars="200"/>
        <w:rPr>
          <w:rFonts w:hint="eastAsia" w:ascii="宋体" w:hAnsi="宋体" w:eastAsia="宋体" w:cs="宋体"/>
          <w:color w:val="auto"/>
          <w:sz w:val="24"/>
          <w:szCs w:val="24"/>
          <w:highlight w:val="none"/>
        </w:rPr>
      </w:pPr>
    </w:p>
    <w:p w14:paraId="08847944">
      <w:pPr>
        <w:spacing w:line="360" w:lineRule="auto"/>
        <w:ind w:firstLine="480" w:firstLineChars="200"/>
        <w:rPr>
          <w:rFonts w:hint="eastAsia" w:ascii="宋体" w:hAnsi="宋体" w:eastAsia="宋体" w:cs="宋体"/>
          <w:i/>
          <w:color w:val="auto"/>
          <w:sz w:val="24"/>
          <w:szCs w:val="24"/>
          <w:highlight w:val="none"/>
        </w:rPr>
      </w:pPr>
      <w:r>
        <w:rPr>
          <w:rFonts w:hint="eastAsia" w:ascii="宋体" w:hAnsi="宋体" w:eastAsia="宋体" w:cs="宋体"/>
          <w:color w:val="auto"/>
          <w:sz w:val="24"/>
          <w:szCs w:val="24"/>
          <w:highlight w:val="none"/>
        </w:rPr>
        <w:t>四、版次4设计成果文件</w:t>
      </w:r>
    </w:p>
    <w:p w14:paraId="0842A31E">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版次4文件：为初步设计成果文件（包括文本说明、图纸、工程造价控制所需的工程量分解文件及概算书），根据中华人民共和国建设部颁布的《建筑工程设计文件编制深度规定》（2016年版）中关于初步设计应达到的设计深度要求进行编制，且此文件符合初步设计审查的各项要求。初步设计文件按建设部批准的《建筑工程设计文件编制深度规定》和广东省住房和城乡建设厅行政主管部门对初步设计文件审查的要求进行编制，提供如下文件（不限于此）（文件需按广东省住房和城乡建设厅的要求装订和加盖相应的图章和签名，如设计单位出图章、注册建筑师章、注册结构工程师章等），为满足项目初步设计概算审批的政府部门要求，发包人有权要求设计人增加设计深度。另包括发包方需要的招投标技术文件：</w:t>
      </w:r>
    </w:p>
    <w:p w14:paraId="34AF8653">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1、设计说明书（由设计总说明、各专业的说明书组成）。</w:t>
      </w:r>
    </w:p>
    <w:p w14:paraId="1B476264">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2、设计图纸（由各专业设计图纸组成，且包含本项目室内外各工程初步设计、特殊专业初步设计图。</w:t>
      </w:r>
    </w:p>
    <w:p w14:paraId="3AD884E1">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3、设计概算及工程量。</w:t>
      </w:r>
    </w:p>
    <w:p w14:paraId="6410C4B0">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4、结构计算书。</w:t>
      </w:r>
    </w:p>
    <w:p w14:paraId="663AF0AA">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5、效果图（包括各主要部位室内外效果图）。</w:t>
      </w:r>
    </w:p>
    <w:p w14:paraId="1EB31410">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版次4设计成果文件的份数要求：</w:t>
      </w:r>
    </w:p>
    <w:p w14:paraId="01A45181">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1、第1～3项成果按广东省住房和城乡建设厅的要求装订成册（下称初步设计文本）6份/次。</w:t>
      </w:r>
    </w:p>
    <w:p w14:paraId="23BB92FC">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2、第4项独立成册12份/次。</w:t>
      </w:r>
    </w:p>
    <w:p w14:paraId="772047F9">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3、效果图各一式3份/次。</w:t>
      </w:r>
    </w:p>
    <w:p w14:paraId="047F2B98">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4、初步设计报审批出后制作本版次最终设计成果的电子文档光盘4份。</w:t>
      </w:r>
    </w:p>
    <w:p w14:paraId="433F53F2">
      <w:pPr>
        <w:spacing w:line="360" w:lineRule="auto"/>
        <w:ind w:firstLine="480" w:firstLineChars="200"/>
        <w:rPr>
          <w:rFonts w:hint="eastAsia" w:ascii="宋体" w:hAnsi="宋体" w:eastAsia="宋体" w:cs="宋体"/>
          <w:color w:val="auto"/>
          <w:sz w:val="24"/>
          <w:szCs w:val="24"/>
          <w:highlight w:val="none"/>
        </w:rPr>
      </w:pPr>
    </w:p>
    <w:p w14:paraId="7F23146B">
      <w:pPr>
        <w:spacing w:line="360" w:lineRule="auto"/>
        <w:ind w:firstLine="480" w:firstLineChars="200"/>
        <w:rPr>
          <w:rFonts w:hint="eastAsia" w:ascii="宋体" w:hAnsi="宋体" w:eastAsia="宋体" w:cs="宋体"/>
          <w:i/>
          <w:color w:val="auto"/>
          <w:sz w:val="24"/>
          <w:szCs w:val="24"/>
          <w:highlight w:val="none"/>
        </w:rPr>
      </w:pPr>
      <w:r>
        <w:rPr>
          <w:rFonts w:hint="eastAsia" w:ascii="宋体" w:hAnsi="宋体" w:eastAsia="宋体" w:cs="宋体"/>
          <w:color w:val="auto"/>
          <w:sz w:val="24"/>
          <w:szCs w:val="24"/>
          <w:highlight w:val="none"/>
        </w:rPr>
        <w:t>五、版次5设计成果文件</w:t>
      </w:r>
    </w:p>
    <w:p w14:paraId="6B730AA3">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版次5文件：为初步设计修改文件（包括文本说明、图纸、工程造价控制所需的工程量分解文件及概算书）</w:t>
      </w:r>
      <w:r>
        <w:rPr>
          <w:rFonts w:hint="eastAsia" w:ascii="宋体" w:hAnsi="宋体" w:eastAsia="宋体" w:cs="宋体"/>
          <w:color w:val="auto"/>
          <w:sz w:val="24"/>
          <w:szCs w:val="24"/>
          <w:highlight w:val="none"/>
        </w:rPr>
        <w:t>，以及发包人需要的招标技术文件</w:t>
      </w:r>
      <w:r>
        <w:rPr>
          <w:rFonts w:hint="eastAsia" w:ascii="宋体" w:hAnsi="宋体" w:eastAsia="宋体" w:cs="宋体"/>
          <w:bCs/>
          <w:color w:val="auto"/>
          <w:sz w:val="24"/>
          <w:szCs w:val="24"/>
          <w:highlight w:val="none"/>
        </w:rPr>
        <w:t>。</w:t>
      </w:r>
      <w:r>
        <w:rPr>
          <w:rFonts w:hint="eastAsia" w:ascii="宋体" w:hAnsi="宋体" w:eastAsia="宋体" w:cs="宋体"/>
          <w:color w:val="auto"/>
          <w:sz w:val="24"/>
          <w:szCs w:val="24"/>
          <w:highlight w:val="none"/>
        </w:rPr>
        <w:t>该版次在版次4设计成果文件的基础上进行修改深化，以及对初步设计审批意见的修改、修正概算文件等（不限于此）。</w:t>
      </w:r>
    </w:p>
    <w:p w14:paraId="2CBC3A58">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版次5设计成果文件的份数要求：</w:t>
      </w:r>
    </w:p>
    <w:p w14:paraId="59BD6CAB">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1、修正后的初步设计文本（发包人需要的招标技术文件）12份（内容及要求同版次4）。</w:t>
      </w:r>
    </w:p>
    <w:p w14:paraId="1302CC88">
      <w:pPr>
        <w:spacing w:line="360" w:lineRule="auto"/>
        <w:ind w:firstLine="480" w:firstLineChars="200"/>
        <w:rPr>
          <w:rFonts w:hint="eastAsia" w:ascii="宋体" w:hAnsi="宋体" w:eastAsia="宋体" w:cs="宋体"/>
          <w:color w:val="auto"/>
          <w:sz w:val="24"/>
          <w:szCs w:val="24"/>
          <w:highlight w:val="none"/>
        </w:rPr>
      </w:pPr>
    </w:p>
    <w:p w14:paraId="5297CFAF">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六、版次6设计成果文件</w:t>
      </w:r>
    </w:p>
    <w:p w14:paraId="43643722">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版次6文件：</w:t>
      </w:r>
      <w:r>
        <w:rPr>
          <w:rFonts w:hint="eastAsia" w:ascii="宋体" w:hAnsi="宋体" w:eastAsia="宋体" w:cs="宋体"/>
          <w:color w:val="auto"/>
          <w:sz w:val="24"/>
          <w:szCs w:val="24"/>
          <w:highlight w:val="none"/>
        </w:rPr>
        <w:t>为施工图设计文件（包括图纸、计算书、工程造价控制所需的工程量分解文件），根据中华人民共和国建设部颁布的《建筑工程设计文件编制深度规定》（2016年版）中关于施工图设计应达到的设计深度要求进行编制，且此文件符合</w:t>
      </w:r>
      <w:r>
        <w:rPr>
          <w:rFonts w:hint="eastAsia" w:ascii="宋体" w:hAnsi="宋体" w:eastAsia="宋体" w:cs="宋体"/>
          <w:bCs/>
          <w:color w:val="auto"/>
          <w:sz w:val="24"/>
          <w:szCs w:val="24"/>
          <w:highlight w:val="none"/>
        </w:rPr>
        <w:t>向</w:t>
      </w:r>
      <w:r>
        <w:rPr>
          <w:rFonts w:hint="eastAsia" w:ascii="宋体" w:hAnsi="宋体" w:eastAsia="宋体" w:cs="宋体"/>
          <w:color w:val="auto"/>
          <w:sz w:val="24"/>
          <w:szCs w:val="24"/>
          <w:highlight w:val="none"/>
        </w:rPr>
        <w:t>项目所在地规划局</w:t>
      </w:r>
      <w:r>
        <w:rPr>
          <w:rFonts w:hint="eastAsia" w:ascii="宋体" w:hAnsi="宋体" w:eastAsia="宋体" w:cs="宋体"/>
          <w:bCs/>
          <w:color w:val="auto"/>
          <w:sz w:val="24"/>
          <w:szCs w:val="24"/>
          <w:highlight w:val="none"/>
        </w:rPr>
        <w:t>和相关政府主管部门提交的施工图报建（专业报建）所需的设计成果文件及</w:t>
      </w:r>
      <w:r>
        <w:rPr>
          <w:rFonts w:hint="eastAsia" w:ascii="宋体" w:hAnsi="宋体" w:eastAsia="宋体" w:cs="宋体"/>
          <w:color w:val="auto"/>
          <w:sz w:val="24"/>
          <w:szCs w:val="24"/>
          <w:highlight w:val="none"/>
        </w:rPr>
        <w:t>施工图设计审查的各项要求。为向项目所在地规划局及相关政府主管部门进行单体施工图报建（专业报建）所需要的文件，按照项目所在地规划局和相关政府主管部门的报建要求和报审图纸深度要求进行编制，提供如下文件（不限于此）（文件需按项目所在地规划局和相关政府主管部门的要求加盖相应的图章，如设计单位出图章、注册建筑师章等）：</w:t>
      </w:r>
    </w:p>
    <w:p w14:paraId="60D676BE">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1、总平面（包括各项技术经济指标）。</w:t>
      </w:r>
    </w:p>
    <w:p w14:paraId="3F04EC2F">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2、建筑构造说明。</w:t>
      </w:r>
    </w:p>
    <w:p w14:paraId="307AD494">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3、建筑平、立、剖面图。</w:t>
      </w:r>
    </w:p>
    <w:p w14:paraId="4105183D">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4、各专业报批设计文件。</w:t>
      </w:r>
    </w:p>
    <w:p w14:paraId="507B1243">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5、电子磁盘报批文件。</w:t>
      </w:r>
    </w:p>
    <w:p w14:paraId="69F0E33D">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版次6设计成果文件的份数要求：</w:t>
      </w:r>
    </w:p>
    <w:p w14:paraId="42012AB8">
      <w:pPr>
        <w:numPr>
          <w:ilvl w:val="0"/>
          <w:numId w:val="17"/>
        </w:num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按“建筑施工图报建”的要求，提交第1～4项成果各份8/次，第4项成果4份/次, 规划局报建批出后制作最终设计成果的电子文档光盘4份。</w:t>
      </w:r>
    </w:p>
    <w:p w14:paraId="01713454">
      <w:pPr>
        <w:numPr>
          <w:ilvl w:val="0"/>
          <w:numId w:val="17"/>
        </w:num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专业报建（交通、市政、人防、消防、环保、卫生、绿化、防雷等）所需设计成果文件各专业部门4份/次。各专业部门报建批出后制作最终设计成果的电子文档光盘每专业报建部门成果各4份。</w:t>
      </w:r>
    </w:p>
    <w:p w14:paraId="3D96EA52">
      <w:pPr>
        <w:spacing w:line="360" w:lineRule="auto"/>
        <w:ind w:firstLine="480" w:firstLineChars="200"/>
        <w:rPr>
          <w:rFonts w:hint="eastAsia" w:ascii="宋体" w:hAnsi="宋体" w:eastAsia="宋体" w:cs="宋体"/>
          <w:color w:val="auto"/>
          <w:sz w:val="24"/>
          <w:szCs w:val="24"/>
          <w:highlight w:val="none"/>
        </w:rPr>
      </w:pPr>
    </w:p>
    <w:p w14:paraId="18D9B3D5">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七、版次7设计成果文件</w:t>
      </w:r>
    </w:p>
    <w:p w14:paraId="6BB037DB">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版次7文件：经政府主管部门审批备案和发包方确认，用于现场施工的施工图为施工图修改设计文件，按建设部批准的《建筑工程设计文件编制深度规定》和项目所在地建委对施工图审查的要求进行编制，提供如下文件（不限于此）（文件需按市建委的要求加盖相应的图章和签名，如设计单位出图章、注册建筑师章、注册结构工程师章等）：</w:t>
      </w:r>
    </w:p>
    <w:p w14:paraId="5A49BA62">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1、总平面。</w:t>
      </w:r>
    </w:p>
    <w:p w14:paraId="55137A65">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2、建筑、节能、结构、给排水、电气、空调等各专业设计图纸（含室内外各项工程设计、各专项专业设计施工图、施工深化图和室内外装修设计）及设计说明（设计内容按本合同相关条款的约定）。</w:t>
      </w:r>
    </w:p>
    <w:p w14:paraId="7FCEBA87">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3、结构、空调等各专业计算书及相关的设计计算、试验等设计文件资料。</w:t>
      </w:r>
    </w:p>
    <w:p w14:paraId="68D88B61">
      <w:pPr>
        <w:spacing w:line="360" w:lineRule="auto"/>
        <w:ind w:firstLine="480" w:firstLineChars="200"/>
        <w:rPr>
          <w:rFonts w:hint="eastAsia" w:ascii="宋体" w:hAnsi="宋体" w:eastAsia="宋体" w:cs="宋体"/>
          <w:color w:val="auto"/>
          <w:sz w:val="24"/>
          <w:szCs w:val="24"/>
          <w:highlight w:val="none"/>
        </w:rPr>
      </w:pPr>
    </w:p>
    <w:p w14:paraId="64E5977C">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版次7设计成果文件的份数要求：</w:t>
      </w:r>
    </w:p>
    <w:p w14:paraId="50B6FE46">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1、在报送施工图审查时提供第1～3项成果5份/次，及过程文件（如有）电子文档光盘4份。</w:t>
      </w:r>
    </w:p>
    <w:p w14:paraId="69651023">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在施工图审查及备案通过后，提供用于现场施工的施工图，前期工作部原则上留存加盖施工图审查章的第1～2项成果14份/次，第3项成果4份/次，电子文档光盘4份（每次是指不同专业或同一专业不同阶段提交的不同部位的施工图）。其中对所提交的图纸提出以下的要求</w:t>
      </w:r>
    </w:p>
    <w:p w14:paraId="65859183">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套图纸、光盘加盖设计专用章后移交发包人档案室存档，1套图纸加盖使用单位公章后报送住建部门进行消防设计审查，其余施工图根据项目建设管理模式开展移交工作。若使用单位根据自身工作需要提出图纸留存需求，总份数根据使用单位需求另行增加，总体不超18套。归档的必须按市城市建设档案馆有关《建设工程文件的整理及档案移交规定》的折叠方法及归档要求装订移交；</w:t>
      </w:r>
    </w:p>
    <w:p w14:paraId="156A4A14">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对于传统模式的直管项目，在取得施工图审查合格书后，先将2套图纸；施工总承包单位产生后，由项目建设管理部结合自身工作进度提出移交时间需求，前期工作部根据需求将剩余10套图纸、1套光盘一次性移交项目建设管理部。若需加晒图纸，由所需部室自行与设计单位协商解决</w:t>
      </w:r>
    </w:p>
    <w:p w14:paraId="53D87D1D">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对于EPC模式的直管项目，在取得施工图审查合格书后，由前期工作部将施工图纸同步移交计划财务部与项目建设管理部，其中2套图纸、2套光盘移交计划财务部，10套图纸、1套光盘移交项目建设管理部。若需加晒图纸，由所需部室自行与设计单位协商解决。</w:t>
      </w:r>
    </w:p>
    <w:p w14:paraId="1436420C">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施工图设计全部完成后制作本版次设计成果（包括计算书和各项测试文件书面资料）及最终模型（如有）的电子文档光盘4份。</w:t>
      </w:r>
    </w:p>
    <w:p w14:paraId="035C4125">
      <w:pPr>
        <w:spacing w:line="360" w:lineRule="auto"/>
        <w:ind w:firstLine="480" w:firstLineChars="200"/>
        <w:rPr>
          <w:rFonts w:hint="eastAsia" w:ascii="宋体" w:hAnsi="宋体" w:eastAsia="宋体" w:cs="宋体"/>
          <w:color w:val="auto"/>
          <w:sz w:val="24"/>
          <w:szCs w:val="24"/>
          <w:highlight w:val="none"/>
        </w:rPr>
      </w:pPr>
    </w:p>
    <w:p w14:paraId="4A128156">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注：报建报批所需设计文件由发包人根据工程进度和相关主管部门要求通知设计人提交，设计人需确保相关资料在2天内备齐。</w:t>
      </w:r>
    </w:p>
    <w:p w14:paraId="6C84E155">
      <w:pPr>
        <w:spacing w:line="360" w:lineRule="auto"/>
        <w:ind w:firstLine="480" w:firstLineChars="200"/>
        <w:rPr>
          <w:rFonts w:hint="eastAsia" w:ascii="宋体" w:hAnsi="宋体" w:eastAsia="宋体" w:cs="宋体"/>
          <w:color w:val="auto"/>
          <w:sz w:val="24"/>
          <w:szCs w:val="24"/>
          <w:highlight w:val="none"/>
        </w:rPr>
      </w:pPr>
    </w:p>
    <w:p w14:paraId="561BF050">
      <w:pPr>
        <w:spacing w:before="156" w:beforeLines="50" w:after="156" w:afterLines="50"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九、上述设计成果份数若不足使用，可根据发包人需求增加，最终份数以20份为限（相关费用包含在总费用中，不做增加）</w:t>
      </w:r>
    </w:p>
    <w:p w14:paraId="3833B110">
      <w:pPr>
        <w:spacing w:before="156" w:beforeLines="50" w:after="156" w:afterLines="50"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十、施工图审查合格版施工图需保证图纸质量及正确性，因设计原因导致的图纸变更而导致的建安工程费变更金额不得超过2%。其中因发包人或政府审批部门原因导致的变更，双方另行协商。</w:t>
      </w:r>
    </w:p>
    <w:p w14:paraId="33740A3D">
      <w:pPr>
        <w:spacing w:before="156" w:beforeLines="50" w:after="156" w:afterLines="50" w:line="360" w:lineRule="auto"/>
        <w:ind w:firstLine="480" w:firstLineChars="200"/>
        <w:jc w:val="left"/>
        <w:rPr>
          <w:rFonts w:hint="eastAsia" w:ascii="宋体" w:hAnsi="宋体" w:eastAsia="宋体" w:cs="宋体"/>
          <w:color w:val="auto"/>
          <w:sz w:val="24"/>
          <w:szCs w:val="24"/>
          <w:highlight w:val="none"/>
        </w:rPr>
      </w:pPr>
    </w:p>
    <w:p w14:paraId="44FB3C20">
      <w:pPr>
        <w:pStyle w:val="23"/>
        <w:tabs>
          <w:tab w:val="left" w:pos="840"/>
          <w:tab w:val="clear" w:pos="720"/>
        </w:tabs>
        <w:jc w:val="both"/>
        <w:rPr>
          <w:rFonts w:hint="eastAsia" w:ascii="宋体" w:hAnsi="宋体" w:eastAsia="宋体" w:cs="宋体"/>
          <w:b/>
          <w:color w:val="auto"/>
          <w:kern w:val="2"/>
          <w:sz w:val="24"/>
          <w:szCs w:val="24"/>
          <w:highlight w:val="none"/>
        </w:rPr>
        <w:sectPr>
          <w:pgSz w:w="11906" w:h="16838"/>
          <w:pgMar w:top="1440" w:right="1440" w:bottom="1440" w:left="1440" w:header="851" w:footer="992" w:gutter="0"/>
          <w:cols w:space="720" w:num="1"/>
          <w:docGrid w:linePitch="312" w:charSpace="0"/>
        </w:sectPr>
      </w:pPr>
    </w:p>
    <w:p w14:paraId="5FD174FE">
      <w:pPr>
        <w:pStyle w:val="10"/>
        <w:ind w:left="0" w:leftChars="0" w:firstLine="0" w:firstLineChars="0"/>
        <w:outlineLvl w:val="2"/>
        <w:rPr>
          <w:rFonts w:hint="eastAsia" w:ascii="宋体" w:hAnsi="宋体" w:eastAsia="宋体" w:cs="宋体"/>
          <w:color w:val="auto"/>
          <w:sz w:val="24"/>
          <w:szCs w:val="24"/>
          <w:highlight w:val="none"/>
        </w:rPr>
      </w:pPr>
      <w:bookmarkStart w:id="2" w:name="_Toc4766"/>
      <w:r>
        <w:rPr>
          <w:rFonts w:hint="eastAsia" w:ascii="宋体" w:hAnsi="宋体" w:eastAsia="宋体" w:cs="宋体"/>
          <w:b/>
          <w:color w:val="auto"/>
          <w:sz w:val="24"/>
          <w:szCs w:val="24"/>
          <w:highlight w:val="none"/>
          <w:lang w:val="en-US" w:eastAsia="zh-CN"/>
        </w:rPr>
        <w:t>六、</w:t>
      </w:r>
      <w:r>
        <w:rPr>
          <w:rFonts w:hint="eastAsia" w:ascii="宋体" w:hAnsi="宋体" w:eastAsia="宋体" w:cs="宋体"/>
          <w:b/>
          <w:color w:val="auto"/>
          <w:sz w:val="24"/>
          <w:szCs w:val="24"/>
          <w:highlight w:val="none"/>
        </w:rPr>
        <w:t>设计错误分类</w:t>
      </w:r>
      <w:bookmarkEnd w:id="2"/>
    </w:p>
    <w:p w14:paraId="0B5198DC">
      <w:pPr>
        <w:spacing w:line="360" w:lineRule="auto"/>
        <w:ind w:firstLine="488" w:firstLineChars="201"/>
        <w:rPr>
          <w:rFonts w:hint="eastAsia" w:ascii="宋体" w:hAnsi="宋体" w:eastAsia="宋体" w:cs="宋体"/>
          <w:b/>
          <w:color w:val="auto"/>
          <w:sz w:val="24"/>
          <w:szCs w:val="24"/>
          <w:highlight w:val="none"/>
        </w:rPr>
      </w:pPr>
      <w:r>
        <w:rPr>
          <w:rFonts w:hint="eastAsia" w:ascii="宋体" w:hAnsi="宋体" w:eastAsia="宋体" w:cs="宋体"/>
          <w:b/>
          <w:color w:val="auto"/>
          <w:spacing w:val="1"/>
          <w:sz w:val="24"/>
          <w:szCs w:val="24"/>
          <w:highlight w:val="none"/>
        </w:rPr>
        <w:t>Ⅰ类</w:t>
      </w:r>
      <w:r>
        <w:rPr>
          <w:rFonts w:hint="eastAsia" w:ascii="宋体" w:hAnsi="宋体" w:eastAsia="宋体" w:cs="宋体"/>
          <w:b/>
          <w:color w:val="auto"/>
          <w:sz w:val="24"/>
          <w:szCs w:val="24"/>
          <w:highlight w:val="none"/>
        </w:rPr>
        <w:t>错误</w:t>
      </w:r>
    </w:p>
    <w:p w14:paraId="03AC75AE">
      <w:pPr>
        <w:spacing w:line="360" w:lineRule="auto"/>
        <w:ind w:firstLine="478" w:firstLineChars="20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指设计文</w:t>
      </w:r>
      <w:r>
        <w:rPr>
          <w:rFonts w:hint="eastAsia" w:ascii="宋体" w:hAnsi="宋体" w:eastAsia="宋体" w:cs="宋体"/>
          <w:color w:val="auto"/>
          <w:sz w:val="24"/>
          <w:szCs w:val="24"/>
          <w:highlight w:val="none"/>
        </w:rPr>
        <w:t>件中存在原则性或方案性的错误，并将导致工程决策错误，或造成不能正常使用、</w:t>
      </w:r>
      <w:r>
        <w:rPr>
          <w:rFonts w:hint="eastAsia" w:ascii="宋体" w:hAnsi="宋体" w:eastAsia="宋体" w:cs="宋体"/>
          <w:color w:val="auto"/>
          <w:spacing w:val="-2"/>
          <w:sz w:val="24"/>
          <w:szCs w:val="24"/>
          <w:highlight w:val="none"/>
        </w:rPr>
        <w:t>返工，或造成重大经济损失，或造成安全事故，如：</w:t>
      </w:r>
      <w:r>
        <w:rPr>
          <w:rFonts w:hint="eastAsia" w:ascii="宋体" w:hAnsi="宋体" w:eastAsia="宋体" w:cs="宋体"/>
          <w:color w:val="auto"/>
          <w:spacing w:val="-9"/>
          <w:sz w:val="24"/>
          <w:szCs w:val="24"/>
          <w:highlight w:val="none"/>
        </w:rPr>
        <w:t>1</w:t>
      </w:r>
      <w:r>
        <w:rPr>
          <w:rFonts w:hint="eastAsia" w:ascii="宋体" w:hAnsi="宋体" w:eastAsia="宋体" w:cs="宋体"/>
          <w:color w:val="auto"/>
          <w:spacing w:val="-3"/>
          <w:sz w:val="24"/>
          <w:szCs w:val="24"/>
          <w:highlight w:val="none"/>
        </w:rPr>
        <w:t>、违反国家有关</w:t>
      </w:r>
      <w:r>
        <w:rPr>
          <w:rFonts w:hint="eastAsia" w:ascii="宋体" w:hAnsi="宋体" w:eastAsia="宋体" w:cs="宋体"/>
          <w:color w:val="auto"/>
          <w:spacing w:val="-2"/>
          <w:sz w:val="24"/>
          <w:szCs w:val="24"/>
          <w:highlight w:val="none"/>
        </w:rPr>
        <w:t>法律、法规及政策，或选用</w:t>
      </w:r>
      <w:r>
        <w:rPr>
          <w:rFonts w:hint="eastAsia" w:ascii="宋体" w:hAnsi="宋体" w:eastAsia="宋体" w:cs="宋体"/>
          <w:color w:val="auto"/>
          <w:sz w:val="24"/>
          <w:szCs w:val="24"/>
          <w:highlight w:val="none"/>
        </w:rPr>
        <w:t>无效的标准规范；</w:t>
      </w:r>
      <w:r>
        <w:rPr>
          <w:rFonts w:hint="eastAsia" w:ascii="宋体" w:hAnsi="宋体" w:eastAsia="宋体" w:cs="宋体"/>
          <w:color w:val="auto"/>
          <w:spacing w:val="1"/>
          <w:sz w:val="24"/>
          <w:szCs w:val="24"/>
          <w:highlight w:val="none"/>
        </w:rPr>
        <w:t>2</w:t>
      </w:r>
      <w:r>
        <w:rPr>
          <w:rFonts w:hint="eastAsia" w:ascii="宋体" w:hAnsi="宋体" w:eastAsia="宋体" w:cs="宋体"/>
          <w:color w:val="auto"/>
          <w:sz w:val="24"/>
          <w:szCs w:val="24"/>
          <w:highlight w:val="none"/>
        </w:rPr>
        <w:t>、不符合合同要求的用途或目的或规定的规模；</w:t>
      </w:r>
      <w:r>
        <w:rPr>
          <w:rFonts w:hint="eastAsia" w:ascii="宋体" w:hAnsi="宋体" w:eastAsia="宋体" w:cs="宋体"/>
          <w:color w:val="auto"/>
          <w:spacing w:val="3"/>
          <w:sz w:val="24"/>
          <w:szCs w:val="24"/>
          <w:highlight w:val="none"/>
        </w:rPr>
        <w:t>3</w:t>
      </w:r>
      <w:r>
        <w:rPr>
          <w:rFonts w:hint="eastAsia" w:ascii="宋体" w:hAnsi="宋体" w:eastAsia="宋体" w:cs="宋体"/>
          <w:color w:val="auto"/>
          <w:spacing w:val="1"/>
          <w:sz w:val="24"/>
          <w:szCs w:val="24"/>
          <w:highlight w:val="none"/>
        </w:rPr>
        <w:t>、不</w:t>
      </w:r>
      <w:r>
        <w:rPr>
          <w:rFonts w:hint="eastAsia" w:ascii="宋体" w:hAnsi="宋体" w:eastAsia="宋体" w:cs="宋体"/>
          <w:color w:val="auto"/>
          <w:sz w:val="24"/>
          <w:szCs w:val="24"/>
          <w:highlight w:val="none"/>
        </w:rPr>
        <w:t>满足城市规划对项目控制性指标的规定和要求；</w:t>
      </w:r>
      <w:r>
        <w:rPr>
          <w:rFonts w:hint="eastAsia" w:ascii="宋体" w:hAnsi="宋体" w:eastAsia="宋体" w:cs="宋体"/>
          <w:color w:val="auto"/>
          <w:spacing w:val="2"/>
          <w:sz w:val="24"/>
          <w:szCs w:val="24"/>
          <w:highlight w:val="none"/>
        </w:rPr>
        <w:t>4</w:t>
      </w:r>
      <w:r>
        <w:rPr>
          <w:rFonts w:hint="eastAsia" w:ascii="宋体" w:hAnsi="宋体" w:eastAsia="宋体" w:cs="宋体"/>
          <w:color w:val="auto"/>
          <w:sz w:val="24"/>
          <w:szCs w:val="24"/>
          <w:highlight w:val="none"/>
        </w:rPr>
        <w:t>、违反国家现行技术规范、规定、标准的强制性条文；</w:t>
      </w:r>
      <w:r>
        <w:rPr>
          <w:rFonts w:hint="eastAsia" w:ascii="宋体" w:hAnsi="宋体" w:eastAsia="宋体" w:cs="宋体"/>
          <w:color w:val="auto"/>
          <w:spacing w:val="5"/>
          <w:sz w:val="24"/>
          <w:szCs w:val="24"/>
          <w:highlight w:val="none"/>
        </w:rPr>
        <w:t>5</w:t>
      </w:r>
      <w:r>
        <w:rPr>
          <w:rFonts w:hint="eastAsia" w:ascii="宋体" w:hAnsi="宋体" w:eastAsia="宋体" w:cs="宋体"/>
          <w:color w:val="auto"/>
          <w:spacing w:val="1"/>
          <w:sz w:val="24"/>
          <w:szCs w:val="24"/>
          <w:highlight w:val="none"/>
        </w:rPr>
        <w:t>、设</w:t>
      </w:r>
      <w:r>
        <w:rPr>
          <w:rFonts w:hint="eastAsia" w:ascii="宋体" w:hAnsi="宋体" w:eastAsia="宋体" w:cs="宋体"/>
          <w:color w:val="auto"/>
          <w:sz w:val="24"/>
          <w:szCs w:val="24"/>
          <w:highlight w:val="none"/>
        </w:rPr>
        <w:t>计方案不正确；6、主要部位设计错误并影响安全性能或使用功能，或结构施工图设计没有计算书；</w:t>
      </w:r>
      <w:r>
        <w:rPr>
          <w:rFonts w:hint="eastAsia" w:ascii="宋体" w:hAnsi="宋体" w:eastAsia="宋体" w:cs="宋体"/>
          <w:color w:val="auto"/>
          <w:spacing w:val="7"/>
          <w:sz w:val="24"/>
          <w:szCs w:val="24"/>
          <w:highlight w:val="none"/>
        </w:rPr>
        <w:t>7</w:t>
      </w:r>
      <w:r>
        <w:rPr>
          <w:rFonts w:hint="eastAsia" w:ascii="宋体" w:hAnsi="宋体" w:eastAsia="宋体" w:cs="宋体"/>
          <w:color w:val="auto"/>
          <w:sz w:val="24"/>
          <w:szCs w:val="24"/>
          <w:highlight w:val="none"/>
        </w:rPr>
        <w:t>、出现因设计责任引起的一类变更；</w:t>
      </w:r>
      <w:r>
        <w:rPr>
          <w:rFonts w:hint="eastAsia" w:ascii="宋体" w:hAnsi="宋体" w:eastAsia="宋体" w:cs="宋体"/>
          <w:color w:val="auto"/>
          <w:spacing w:val="1"/>
          <w:sz w:val="24"/>
          <w:szCs w:val="24"/>
          <w:highlight w:val="none"/>
        </w:rPr>
        <w:t>8、</w:t>
      </w:r>
      <w:r>
        <w:rPr>
          <w:rFonts w:hint="eastAsia" w:ascii="宋体" w:hAnsi="宋体" w:eastAsia="宋体" w:cs="宋体"/>
          <w:color w:val="auto"/>
          <w:sz w:val="24"/>
          <w:szCs w:val="24"/>
          <w:highlight w:val="none"/>
        </w:rPr>
        <w:t>造价文件严重失实。</w:t>
      </w:r>
    </w:p>
    <w:p w14:paraId="089A68B9">
      <w:pPr>
        <w:spacing w:line="360" w:lineRule="auto"/>
        <w:ind w:firstLine="486" w:firstLineChars="20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具体</w:t>
      </w:r>
      <w:r>
        <w:rPr>
          <w:rFonts w:hint="eastAsia" w:ascii="宋体" w:hAnsi="宋体" w:eastAsia="宋体" w:cs="宋体"/>
          <w:color w:val="auto"/>
          <w:sz w:val="24"/>
          <w:szCs w:val="24"/>
          <w:highlight w:val="none"/>
        </w:rPr>
        <w:t>按照专业又可分为：</w:t>
      </w:r>
    </w:p>
    <w:p w14:paraId="1D330B31">
      <w:pPr>
        <w:spacing w:line="360" w:lineRule="auto"/>
        <w:ind w:firstLine="482" w:firstLineChars="20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严重违反规范</w:t>
      </w:r>
      <w:r>
        <w:rPr>
          <w:rFonts w:hint="eastAsia" w:ascii="宋体" w:hAnsi="宋体" w:eastAsia="宋体" w:cs="宋体"/>
          <w:color w:val="auto"/>
          <w:spacing w:val="1"/>
          <w:sz w:val="24"/>
          <w:szCs w:val="24"/>
          <w:highlight w:val="none"/>
        </w:rPr>
        <w:t>、标准、规</w:t>
      </w:r>
      <w:r>
        <w:rPr>
          <w:rFonts w:hint="eastAsia" w:ascii="宋体" w:hAnsi="宋体" w:eastAsia="宋体" w:cs="宋体"/>
          <w:color w:val="auto"/>
          <w:sz w:val="24"/>
          <w:szCs w:val="24"/>
          <w:highlight w:val="none"/>
        </w:rPr>
        <w:t>定，有可能造成严重影响安全和使用的错误，如：</w:t>
      </w:r>
    </w:p>
    <w:p w14:paraId="12A4A119">
      <w:pPr>
        <w:autoSpaceDE w:val="0"/>
        <w:autoSpaceDN w:val="0"/>
        <w:spacing w:line="360" w:lineRule="auto"/>
        <w:ind w:firstLine="470" w:firstLineChars="201"/>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建筑专业：规范中消防间距不够，而又未采取措施</w:t>
      </w:r>
      <w:r>
        <w:rPr>
          <w:rFonts w:hint="eastAsia" w:ascii="宋体" w:hAnsi="宋体" w:eastAsia="宋体" w:cs="宋体"/>
          <w:color w:val="auto"/>
          <w:spacing w:val="-2"/>
          <w:sz w:val="24"/>
          <w:szCs w:val="24"/>
          <w:highlight w:val="none"/>
        </w:rPr>
        <w:t>；规划中日照间距不够；防火分区面积超</w:t>
      </w:r>
      <w:r>
        <w:rPr>
          <w:rFonts w:hint="eastAsia" w:ascii="宋体" w:hAnsi="宋体" w:eastAsia="宋体" w:cs="宋体"/>
          <w:color w:val="auto"/>
          <w:sz w:val="24"/>
          <w:szCs w:val="24"/>
          <w:highlight w:val="none"/>
        </w:rPr>
        <w:t>规定，电梯/</w:t>
      </w:r>
      <w:r>
        <w:rPr>
          <w:rFonts w:hint="eastAsia" w:ascii="宋体" w:hAnsi="宋体" w:eastAsia="宋体" w:cs="宋体"/>
          <w:color w:val="auto"/>
          <w:spacing w:val="1"/>
          <w:sz w:val="24"/>
          <w:szCs w:val="24"/>
          <w:highlight w:val="none"/>
        </w:rPr>
        <w:t>楼</w:t>
      </w:r>
      <w:r>
        <w:rPr>
          <w:rFonts w:hint="eastAsia" w:ascii="宋体" w:hAnsi="宋体" w:eastAsia="宋体" w:cs="宋体"/>
          <w:color w:val="auto"/>
          <w:sz w:val="24"/>
          <w:szCs w:val="24"/>
          <w:highlight w:val="none"/>
        </w:rPr>
        <w:t>梯厅不符合防火要求等。</w:t>
      </w:r>
    </w:p>
    <w:p w14:paraId="79749221">
      <w:pPr>
        <w:autoSpaceDE w:val="0"/>
        <w:autoSpaceDN w:val="0"/>
        <w:spacing w:line="360" w:lineRule="auto"/>
        <w:ind w:firstLine="470" w:firstLineChars="201"/>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结构专业：结构</w:t>
      </w:r>
      <w:r>
        <w:rPr>
          <w:rFonts w:hint="eastAsia" w:ascii="宋体" w:hAnsi="宋体" w:eastAsia="宋体" w:cs="宋体"/>
          <w:color w:val="auto"/>
          <w:spacing w:val="2"/>
          <w:sz w:val="24"/>
          <w:szCs w:val="24"/>
          <w:highlight w:val="none"/>
        </w:rPr>
        <w:t>(</w:t>
      </w:r>
      <w:r>
        <w:rPr>
          <w:rFonts w:hint="eastAsia" w:ascii="宋体" w:hAnsi="宋体" w:eastAsia="宋体" w:cs="宋体"/>
          <w:color w:val="auto"/>
          <w:spacing w:val="-3"/>
          <w:sz w:val="24"/>
          <w:szCs w:val="24"/>
          <w:highlight w:val="none"/>
        </w:rPr>
        <w:t>含基础</w:t>
      </w:r>
      <w:r>
        <w:rPr>
          <w:rFonts w:hint="eastAsia" w:ascii="宋体" w:hAnsi="宋体" w:eastAsia="宋体" w:cs="宋体"/>
          <w:color w:val="auto"/>
          <w:sz w:val="24"/>
          <w:szCs w:val="24"/>
          <w:highlight w:val="none"/>
        </w:rPr>
        <w:t>)</w:t>
      </w:r>
      <w:r>
        <w:rPr>
          <w:rFonts w:hint="eastAsia" w:ascii="宋体" w:hAnsi="宋体" w:eastAsia="宋体" w:cs="宋体"/>
          <w:color w:val="auto"/>
          <w:spacing w:val="-3"/>
          <w:sz w:val="24"/>
          <w:szCs w:val="24"/>
          <w:highlight w:val="none"/>
        </w:rPr>
        <w:t>选型错误；计算原则错误；未考虑抗</w:t>
      </w:r>
      <w:r>
        <w:rPr>
          <w:rFonts w:hint="eastAsia" w:ascii="宋体" w:hAnsi="宋体" w:eastAsia="宋体" w:cs="宋体"/>
          <w:color w:val="auto"/>
          <w:spacing w:val="-2"/>
          <w:sz w:val="24"/>
          <w:szCs w:val="24"/>
          <w:highlight w:val="none"/>
        </w:rPr>
        <w:t>震设计；建筑物长度超过规范</w:t>
      </w:r>
      <w:r>
        <w:rPr>
          <w:rFonts w:hint="eastAsia" w:ascii="宋体" w:hAnsi="宋体" w:eastAsia="宋体" w:cs="宋体"/>
          <w:color w:val="auto"/>
          <w:spacing w:val="1"/>
          <w:sz w:val="24"/>
          <w:szCs w:val="24"/>
          <w:highlight w:val="none"/>
        </w:rPr>
        <w:t>要</w:t>
      </w:r>
      <w:r>
        <w:rPr>
          <w:rFonts w:hint="eastAsia" w:ascii="宋体" w:hAnsi="宋体" w:eastAsia="宋体" w:cs="宋体"/>
          <w:color w:val="auto"/>
          <w:sz w:val="24"/>
          <w:szCs w:val="24"/>
          <w:highlight w:val="none"/>
        </w:rPr>
        <w:t>求而未采取任何措施等。</w:t>
      </w:r>
    </w:p>
    <w:p w14:paraId="3A9929CB">
      <w:pPr>
        <w:autoSpaceDE w:val="0"/>
        <w:autoSpaceDN w:val="0"/>
        <w:spacing w:line="360" w:lineRule="auto"/>
        <w:ind w:firstLine="450" w:firstLineChars="201"/>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给排水专业：</w:t>
      </w:r>
      <w:r>
        <w:rPr>
          <w:rFonts w:hint="eastAsia" w:ascii="宋体" w:hAnsi="宋体" w:eastAsia="宋体" w:cs="宋体"/>
          <w:color w:val="auto"/>
          <w:spacing w:val="-7"/>
          <w:sz w:val="24"/>
          <w:szCs w:val="24"/>
          <w:highlight w:val="none"/>
        </w:rPr>
        <w:t>规范要求的消防设施未设计；</w:t>
      </w:r>
      <w:r>
        <w:rPr>
          <w:rFonts w:hint="eastAsia" w:ascii="宋体" w:hAnsi="宋体" w:eastAsia="宋体" w:cs="宋体"/>
          <w:color w:val="auto"/>
          <w:spacing w:val="-9"/>
          <w:sz w:val="24"/>
          <w:szCs w:val="24"/>
          <w:highlight w:val="none"/>
        </w:rPr>
        <w:t>消防水量、</w:t>
      </w:r>
      <w:r>
        <w:rPr>
          <w:rFonts w:hint="eastAsia" w:ascii="宋体" w:hAnsi="宋体" w:eastAsia="宋体" w:cs="宋体"/>
          <w:color w:val="auto"/>
          <w:spacing w:val="-7"/>
          <w:sz w:val="24"/>
          <w:szCs w:val="24"/>
          <w:highlight w:val="none"/>
        </w:rPr>
        <w:t>水压达不到规范要求；</w:t>
      </w:r>
      <w:r>
        <w:rPr>
          <w:rFonts w:hint="eastAsia" w:ascii="宋体" w:hAnsi="宋体" w:eastAsia="宋体" w:cs="宋体"/>
          <w:color w:val="auto"/>
          <w:spacing w:val="-9"/>
          <w:sz w:val="24"/>
          <w:szCs w:val="24"/>
          <w:highlight w:val="none"/>
        </w:rPr>
        <w:t>生活</w:t>
      </w:r>
      <w:r>
        <w:rPr>
          <w:rFonts w:hint="eastAsia" w:ascii="宋体" w:hAnsi="宋体" w:eastAsia="宋体" w:cs="宋体"/>
          <w:color w:val="auto"/>
          <w:spacing w:val="-8"/>
          <w:sz w:val="24"/>
          <w:szCs w:val="24"/>
          <w:highlight w:val="none"/>
        </w:rPr>
        <w:t>给水水量、</w:t>
      </w:r>
      <w:r>
        <w:rPr>
          <w:rFonts w:hint="eastAsia" w:ascii="宋体" w:hAnsi="宋体" w:eastAsia="宋体" w:cs="宋体"/>
          <w:color w:val="auto"/>
          <w:spacing w:val="1"/>
          <w:sz w:val="24"/>
          <w:szCs w:val="24"/>
          <w:highlight w:val="none"/>
        </w:rPr>
        <w:t>水压</w:t>
      </w:r>
      <w:r>
        <w:rPr>
          <w:rFonts w:hint="eastAsia" w:ascii="宋体" w:hAnsi="宋体" w:eastAsia="宋体" w:cs="宋体"/>
          <w:color w:val="auto"/>
          <w:sz w:val="24"/>
          <w:szCs w:val="24"/>
          <w:highlight w:val="none"/>
        </w:rPr>
        <w:t>达不到规范要求等。</w:t>
      </w:r>
    </w:p>
    <w:p w14:paraId="4D9591D4">
      <w:pPr>
        <w:autoSpaceDE w:val="0"/>
        <w:autoSpaceDN w:val="0"/>
        <w:spacing w:line="360" w:lineRule="auto"/>
        <w:ind w:firstLine="470" w:firstLineChars="201"/>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暖通专业：规范要求的防火排烟设施未设计，排烟</w:t>
      </w:r>
      <w:r>
        <w:rPr>
          <w:rFonts w:hint="eastAsia" w:ascii="宋体" w:hAnsi="宋体" w:eastAsia="宋体" w:cs="宋体"/>
          <w:color w:val="auto"/>
          <w:spacing w:val="-2"/>
          <w:sz w:val="24"/>
          <w:szCs w:val="24"/>
          <w:highlight w:val="none"/>
        </w:rPr>
        <w:t>风量达不到规范要求，又未采取必要的措</w:t>
      </w:r>
      <w:r>
        <w:rPr>
          <w:rFonts w:hint="eastAsia" w:ascii="宋体" w:hAnsi="宋体" w:eastAsia="宋体" w:cs="宋体"/>
          <w:color w:val="auto"/>
          <w:sz w:val="24"/>
          <w:szCs w:val="24"/>
          <w:highlight w:val="none"/>
        </w:rPr>
        <w:t>施等。</w:t>
      </w:r>
    </w:p>
    <w:p w14:paraId="5F0E0957">
      <w:pPr>
        <w:autoSpaceDE w:val="0"/>
        <w:autoSpaceDN w:val="0"/>
        <w:spacing w:line="360" w:lineRule="auto"/>
        <w:ind w:firstLine="470" w:firstLineChars="201"/>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电气专业：变配电、电话、电视、消防、广播音响</w:t>
      </w:r>
      <w:r>
        <w:rPr>
          <w:rFonts w:hint="eastAsia" w:ascii="宋体" w:hAnsi="宋体" w:eastAsia="宋体" w:cs="宋体"/>
          <w:color w:val="auto"/>
          <w:spacing w:val="-2"/>
          <w:sz w:val="24"/>
          <w:szCs w:val="24"/>
          <w:highlight w:val="none"/>
        </w:rPr>
        <w:t>等系统及各种机房平、剖面设备布置等严</w:t>
      </w:r>
      <w:r>
        <w:rPr>
          <w:rFonts w:hint="eastAsia" w:ascii="宋体" w:hAnsi="宋体" w:eastAsia="宋体" w:cs="宋体"/>
          <w:color w:val="auto"/>
          <w:spacing w:val="1"/>
          <w:sz w:val="24"/>
          <w:szCs w:val="24"/>
          <w:highlight w:val="none"/>
        </w:rPr>
        <w:t>重违反</w:t>
      </w:r>
      <w:r>
        <w:rPr>
          <w:rFonts w:hint="eastAsia" w:ascii="宋体" w:hAnsi="宋体" w:eastAsia="宋体" w:cs="宋体"/>
          <w:color w:val="auto"/>
          <w:sz w:val="24"/>
          <w:szCs w:val="24"/>
          <w:highlight w:val="none"/>
        </w:rPr>
        <w:t>规范、标准、规定；配电方案有严重缺陷等。</w:t>
      </w:r>
    </w:p>
    <w:p w14:paraId="00B32727">
      <w:pPr>
        <w:autoSpaceDE w:val="0"/>
        <w:autoSpaceDN w:val="0"/>
        <w:spacing w:line="360" w:lineRule="auto"/>
        <w:ind w:firstLine="482" w:firstLineChars="201"/>
        <w:rPr>
          <w:rFonts w:hint="eastAsia" w:ascii="宋体" w:hAnsi="宋体" w:eastAsia="宋体" w:cs="宋体"/>
          <w:color w:val="auto"/>
          <w:spacing w:val="-1"/>
          <w:sz w:val="24"/>
          <w:szCs w:val="24"/>
          <w:highlight w:val="none"/>
        </w:rPr>
      </w:pPr>
      <w:r>
        <w:rPr>
          <w:rFonts w:hint="eastAsia" w:ascii="宋体" w:hAnsi="宋体" w:eastAsia="宋体" w:cs="宋体"/>
          <w:color w:val="auto"/>
          <w:sz w:val="24"/>
          <w:szCs w:val="24"/>
          <w:highlight w:val="none"/>
        </w:rPr>
        <w:t>造价专业：提交给发包人的造价文件，经核查后，偏差大于±</w:t>
      </w:r>
      <w:r>
        <w:rPr>
          <w:rFonts w:hint="eastAsia" w:ascii="宋体" w:hAnsi="宋体" w:eastAsia="宋体" w:cs="宋体"/>
          <w:color w:val="auto"/>
          <w:spacing w:val="-1"/>
          <w:sz w:val="24"/>
          <w:szCs w:val="24"/>
          <w:highlight w:val="none"/>
        </w:rPr>
        <w:t>30%的。</w:t>
      </w:r>
    </w:p>
    <w:p w14:paraId="5423FBC1">
      <w:pPr>
        <w:autoSpaceDE w:val="0"/>
        <w:autoSpaceDN w:val="0"/>
        <w:spacing w:line="360" w:lineRule="auto"/>
        <w:ind w:firstLine="488" w:firstLineChars="201"/>
        <w:rPr>
          <w:rFonts w:hint="eastAsia" w:ascii="宋体" w:hAnsi="宋体" w:eastAsia="宋体" w:cs="宋体"/>
          <w:b/>
          <w:color w:val="auto"/>
          <w:sz w:val="24"/>
          <w:szCs w:val="24"/>
          <w:highlight w:val="none"/>
        </w:rPr>
      </w:pPr>
      <w:r>
        <w:rPr>
          <w:rFonts w:hint="eastAsia" w:ascii="宋体" w:hAnsi="宋体" w:eastAsia="宋体" w:cs="宋体"/>
          <w:b/>
          <w:color w:val="auto"/>
          <w:spacing w:val="1"/>
          <w:sz w:val="24"/>
          <w:szCs w:val="24"/>
          <w:highlight w:val="none"/>
        </w:rPr>
        <w:t>Ⅱ</w:t>
      </w:r>
      <w:r>
        <w:rPr>
          <w:rFonts w:hint="eastAsia" w:ascii="宋体" w:hAnsi="宋体" w:eastAsia="宋体" w:cs="宋体"/>
          <w:b/>
          <w:color w:val="auto"/>
          <w:sz w:val="24"/>
          <w:szCs w:val="24"/>
          <w:highlight w:val="none"/>
        </w:rPr>
        <w:t>类错误</w:t>
      </w:r>
    </w:p>
    <w:p w14:paraId="6E161702">
      <w:pPr>
        <w:autoSpaceDE w:val="0"/>
        <w:autoSpaceDN w:val="0"/>
        <w:spacing w:line="360" w:lineRule="auto"/>
        <w:ind w:firstLine="470" w:firstLineChars="201"/>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指设计文件中存在错误，有可能造成施工困难、使用困难或较大经济损失</w:t>
      </w:r>
      <w:r>
        <w:rPr>
          <w:rFonts w:hint="eastAsia" w:ascii="宋体" w:hAnsi="宋体" w:eastAsia="宋体" w:cs="宋体"/>
          <w:color w:val="auto"/>
          <w:spacing w:val="7"/>
          <w:sz w:val="24"/>
          <w:szCs w:val="24"/>
          <w:highlight w:val="none"/>
        </w:rPr>
        <w:t>,</w:t>
      </w:r>
      <w:r>
        <w:rPr>
          <w:rFonts w:hint="eastAsia" w:ascii="宋体" w:hAnsi="宋体" w:eastAsia="宋体" w:cs="宋体"/>
          <w:color w:val="auto"/>
          <w:spacing w:val="-3"/>
          <w:sz w:val="24"/>
          <w:szCs w:val="24"/>
          <w:highlight w:val="none"/>
        </w:rPr>
        <w:t>如：</w:t>
      </w:r>
      <w:r>
        <w:rPr>
          <w:rFonts w:hint="eastAsia" w:ascii="宋体" w:hAnsi="宋体" w:eastAsia="宋体" w:cs="宋体"/>
          <w:color w:val="auto"/>
          <w:sz w:val="24"/>
          <w:szCs w:val="24"/>
          <w:highlight w:val="none"/>
        </w:rPr>
        <w:t>1</w:t>
      </w:r>
      <w:r>
        <w:rPr>
          <w:rFonts w:hint="eastAsia" w:ascii="宋体" w:hAnsi="宋体" w:eastAsia="宋体" w:cs="宋体"/>
          <w:color w:val="auto"/>
          <w:spacing w:val="-4"/>
          <w:sz w:val="24"/>
          <w:szCs w:val="24"/>
          <w:highlight w:val="none"/>
        </w:rPr>
        <w:t>、违反</w:t>
      </w:r>
      <w:r>
        <w:rPr>
          <w:rFonts w:hint="eastAsia" w:ascii="宋体" w:hAnsi="宋体" w:eastAsia="宋体" w:cs="宋体"/>
          <w:color w:val="auto"/>
          <w:spacing w:val="-2"/>
          <w:sz w:val="24"/>
          <w:szCs w:val="24"/>
          <w:highlight w:val="none"/>
        </w:rPr>
        <w:t>国家</w:t>
      </w:r>
      <w:r>
        <w:rPr>
          <w:rFonts w:hint="eastAsia" w:ascii="宋体" w:hAnsi="宋体" w:eastAsia="宋体" w:cs="宋体"/>
          <w:color w:val="auto"/>
          <w:spacing w:val="-1"/>
          <w:sz w:val="24"/>
          <w:szCs w:val="24"/>
          <w:highlight w:val="none"/>
        </w:rPr>
        <w:t>现行技术规范、规定、标准的重要条文；</w:t>
      </w:r>
      <w:r>
        <w:rPr>
          <w:rFonts w:hint="eastAsia" w:ascii="宋体" w:hAnsi="宋体" w:eastAsia="宋体" w:cs="宋体"/>
          <w:color w:val="auto"/>
          <w:spacing w:val="-8"/>
          <w:sz w:val="24"/>
          <w:szCs w:val="24"/>
          <w:highlight w:val="none"/>
        </w:rPr>
        <w:t>2</w:t>
      </w:r>
      <w:r>
        <w:rPr>
          <w:rFonts w:hint="eastAsia" w:ascii="宋体" w:hAnsi="宋体" w:eastAsia="宋体" w:cs="宋体"/>
          <w:color w:val="auto"/>
          <w:spacing w:val="-1"/>
          <w:sz w:val="24"/>
          <w:szCs w:val="24"/>
          <w:highlight w:val="none"/>
        </w:rPr>
        <w:t>、设计漏项；</w:t>
      </w:r>
      <w:r>
        <w:rPr>
          <w:rFonts w:hint="eastAsia" w:ascii="宋体" w:hAnsi="宋体" w:eastAsia="宋体" w:cs="宋体"/>
          <w:color w:val="auto"/>
          <w:spacing w:val="-3"/>
          <w:sz w:val="24"/>
          <w:szCs w:val="24"/>
          <w:highlight w:val="none"/>
        </w:rPr>
        <w:t>3</w:t>
      </w:r>
      <w:r>
        <w:rPr>
          <w:rFonts w:hint="eastAsia" w:ascii="宋体" w:hAnsi="宋体" w:eastAsia="宋体" w:cs="宋体"/>
          <w:color w:val="auto"/>
          <w:spacing w:val="-1"/>
          <w:sz w:val="24"/>
          <w:szCs w:val="24"/>
          <w:highlight w:val="none"/>
        </w:rPr>
        <w:t>、选用淘汰的设备</w:t>
      </w:r>
      <w:r>
        <w:rPr>
          <w:rFonts w:hint="eastAsia" w:ascii="宋体" w:hAnsi="宋体" w:eastAsia="宋体" w:cs="宋体"/>
          <w:color w:val="auto"/>
          <w:spacing w:val="-4"/>
          <w:sz w:val="24"/>
          <w:szCs w:val="24"/>
          <w:highlight w:val="none"/>
        </w:rPr>
        <w:t>;</w:t>
      </w:r>
      <w:r>
        <w:rPr>
          <w:rFonts w:hint="eastAsia" w:ascii="宋体" w:hAnsi="宋体" w:eastAsia="宋体" w:cs="宋体"/>
          <w:color w:val="auto"/>
          <w:spacing w:val="-1"/>
          <w:sz w:val="24"/>
          <w:szCs w:val="24"/>
          <w:highlight w:val="none"/>
        </w:rPr>
        <w:t>4、出现因设计责任</w:t>
      </w:r>
      <w:r>
        <w:rPr>
          <w:rFonts w:hint="eastAsia" w:ascii="宋体" w:hAnsi="宋体" w:eastAsia="宋体" w:cs="宋体"/>
          <w:color w:val="auto"/>
          <w:sz w:val="24"/>
          <w:szCs w:val="24"/>
          <w:highlight w:val="none"/>
        </w:rPr>
        <w:t>引起的二类变更；5</w:t>
      </w:r>
      <w:r>
        <w:rPr>
          <w:rFonts w:hint="eastAsia" w:ascii="宋体" w:hAnsi="宋体" w:eastAsia="宋体" w:cs="宋体"/>
          <w:color w:val="auto"/>
          <w:spacing w:val="1"/>
          <w:sz w:val="24"/>
          <w:szCs w:val="24"/>
          <w:highlight w:val="none"/>
        </w:rPr>
        <w:t>、</w:t>
      </w:r>
      <w:r>
        <w:rPr>
          <w:rFonts w:hint="eastAsia" w:ascii="宋体" w:hAnsi="宋体" w:eastAsia="宋体" w:cs="宋体"/>
          <w:color w:val="auto"/>
          <w:sz w:val="24"/>
          <w:szCs w:val="24"/>
          <w:highlight w:val="none"/>
        </w:rPr>
        <w:t>造价文件失实较严重。</w:t>
      </w:r>
    </w:p>
    <w:p w14:paraId="26FD3D63">
      <w:pPr>
        <w:autoSpaceDE w:val="0"/>
        <w:autoSpaceDN w:val="0"/>
        <w:spacing w:line="360" w:lineRule="auto"/>
        <w:ind w:firstLine="486" w:firstLineChars="20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具体</w:t>
      </w:r>
      <w:r>
        <w:rPr>
          <w:rFonts w:hint="eastAsia" w:ascii="宋体" w:hAnsi="宋体" w:eastAsia="宋体" w:cs="宋体"/>
          <w:color w:val="auto"/>
          <w:sz w:val="24"/>
          <w:szCs w:val="24"/>
          <w:highlight w:val="none"/>
        </w:rPr>
        <w:t>按照专业又可分为：</w:t>
      </w:r>
    </w:p>
    <w:p w14:paraId="282B1814">
      <w:pPr>
        <w:autoSpaceDE w:val="0"/>
        <w:autoSpaceDN w:val="0"/>
        <w:spacing w:line="360" w:lineRule="auto"/>
        <w:ind w:firstLine="482" w:firstLineChars="20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w:t>
      </w:r>
      <w:r>
        <w:rPr>
          <w:rFonts w:hint="eastAsia" w:ascii="宋体" w:hAnsi="宋体" w:eastAsia="宋体" w:cs="宋体"/>
          <w:color w:val="auto"/>
          <w:spacing w:val="1"/>
          <w:sz w:val="24"/>
          <w:szCs w:val="24"/>
          <w:highlight w:val="none"/>
        </w:rPr>
        <w:t>、设计</w:t>
      </w:r>
      <w:r>
        <w:rPr>
          <w:rFonts w:hint="eastAsia" w:ascii="宋体" w:hAnsi="宋体" w:eastAsia="宋体" w:cs="宋体"/>
          <w:color w:val="auto"/>
          <w:sz w:val="24"/>
          <w:szCs w:val="24"/>
          <w:highlight w:val="none"/>
        </w:rPr>
        <w:t>存在错误，有可能造成施工困难、使用困难或较大经济损失，如：</w:t>
      </w:r>
    </w:p>
    <w:p w14:paraId="1035F7C3">
      <w:pPr>
        <w:autoSpaceDE w:val="0"/>
        <w:autoSpaceDN w:val="0"/>
        <w:spacing w:line="360" w:lineRule="auto"/>
        <w:ind w:firstLine="486" w:firstLineChars="20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建筑专业：总</w:t>
      </w:r>
      <w:r>
        <w:rPr>
          <w:rFonts w:hint="eastAsia" w:ascii="宋体" w:hAnsi="宋体" w:eastAsia="宋体" w:cs="宋体"/>
          <w:color w:val="auto"/>
          <w:sz w:val="24"/>
          <w:szCs w:val="24"/>
          <w:highlight w:val="none"/>
        </w:rPr>
        <w:t>平面竖向设计错误；轴线错误或对不上，楼梯碰头；视线计算错误等。</w:t>
      </w:r>
    </w:p>
    <w:p w14:paraId="51597EE2">
      <w:pPr>
        <w:autoSpaceDE w:val="0"/>
        <w:autoSpaceDN w:val="0"/>
        <w:spacing w:line="360" w:lineRule="auto"/>
        <w:ind w:firstLine="486" w:firstLineChars="20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结构专业：计算</w:t>
      </w:r>
      <w:r>
        <w:rPr>
          <w:rFonts w:hint="eastAsia" w:ascii="宋体" w:hAnsi="宋体" w:eastAsia="宋体" w:cs="宋体"/>
          <w:color w:val="auto"/>
          <w:sz w:val="24"/>
          <w:szCs w:val="24"/>
          <w:highlight w:val="none"/>
        </w:rPr>
        <w:t>书未经校对；结构构件安全储备不足；结构与建筑节点不一致等。</w:t>
      </w:r>
    </w:p>
    <w:p w14:paraId="2719E27D">
      <w:pPr>
        <w:autoSpaceDE w:val="0"/>
        <w:autoSpaceDN w:val="0"/>
        <w:spacing w:line="360" w:lineRule="auto"/>
        <w:ind w:firstLine="486" w:firstLineChars="20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给排水专业</w:t>
      </w:r>
      <w:r>
        <w:rPr>
          <w:rFonts w:hint="eastAsia" w:ascii="宋体" w:hAnsi="宋体" w:eastAsia="宋体" w:cs="宋体"/>
          <w:color w:val="auto"/>
          <w:sz w:val="24"/>
          <w:szCs w:val="24"/>
          <w:highlight w:val="none"/>
        </w:rPr>
        <w:t>：由于设计的水塔或水箱高度不够，造成水压不足，出水量不能满足使用要求；</w:t>
      </w:r>
      <w:r>
        <w:rPr>
          <w:rFonts w:hint="eastAsia" w:ascii="宋体" w:hAnsi="宋体" w:eastAsia="宋体" w:cs="宋体"/>
          <w:color w:val="auto"/>
          <w:spacing w:val="1"/>
          <w:sz w:val="24"/>
          <w:szCs w:val="24"/>
          <w:highlight w:val="none"/>
        </w:rPr>
        <w:t>高层建筑</w:t>
      </w:r>
      <w:r>
        <w:rPr>
          <w:rFonts w:hint="eastAsia" w:ascii="宋体" w:hAnsi="宋体" w:eastAsia="宋体" w:cs="宋体"/>
          <w:color w:val="auto"/>
          <w:sz w:val="24"/>
          <w:szCs w:val="24"/>
          <w:highlight w:val="none"/>
        </w:rPr>
        <w:t>消防减压、止回等设计不当等。</w:t>
      </w:r>
    </w:p>
    <w:p w14:paraId="60A78D84">
      <w:pPr>
        <w:autoSpaceDE w:val="0"/>
        <w:autoSpaceDN w:val="0"/>
        <w:spacing w:line="360" w:lineRule="auto"/>
        <w:ind w:firstLine="486" w:firstLineChars="20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暖通专业：冷</w:t>
      </w:r>
      <w:r>
        <w:rPr>
          <w:rFonts w:hint="eastAsia" w:ascii="宋体" w:hAnsi="宋体" w:eastAsia="宋体" w:cs="宋体"/>
          <w:color w:val="auto"/>
          <w:sz w:val="24"/>
          <w:szCs w:val="24"/>
          <w:highlight w:val="none"/>
        </w:rPr>
        <w:t>、热负荷计算有重大错误或系统选择不当；膨胀水箱高度低于采暖系统等。</w:t>
      </w:r>
    </w:p>
    <w:p w14:paraId="414EA678">
      <w:pPr>
        <w:autoSpaceDE w:val="0"/>
        <w:autoSpaceDN w:val="0"/>
        <w:spacing w:line="360" w:lineRule="auto"/>
        <w:ind w:firstLine="470" w:firstLineChars="201"/>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电气专业：选用国家已公布的机电淘汰产品；供配电系统的控制保护</w:t>
      </w:r>
      <w:r>
        <w:rPr>
          <w:rFonts w:hint="eastAsia" w:ascii="宋体" w:hAnsi="宋体" w:eastAsia="宋体" w:cs="宋体"/>
          <w:color w:val="auto"/>
          <w:spacing w:val="-2"/>
          <w:sz w:val="24"/>
          <w:szCs w:val="24"/>
          <w:highlight w:val="none"/>
        </w:rPr>
        <w:t>，自动控制和自动调节</w:t>
      </w:r>
      <w:r>
        <w:rPr>
          <w:rFonts w:hint="eastAsia" w:ascii="宋体" w:hAnsi="宋体" w:eastAsia="宋体" w:cs="宋体"/>
          <w:color w:val="auto"/>
          <w:spacing w:val="-1"/>
          <w:sz w:val="24"/>
          <w:szCs w:val="24"/>
          <w:highlight w:val="none"/>
        </w:rPr>
        <w:t>原理图，</w:t>
      </w:r>
      <w:r>
        <w:rPr>
          <w:rFonts w:hint="eastAsia" w:ascii="宋体" w:hAnsi="宋体" w:eastAsia="宋体" w:cs="宋体"/>
          <w:color w:val="auto"/>
          <w:sz w:val="24"/>
          <w:szCs w:val="24"/>
          <w:highlight w:val="none"/>
        </w:rPr>
        <w:t>各站弱电设备之间线路连接图等设计不周或有严重错误；低压配电柜开关与所保护电缆</w:t>
      </w:r>
      <w:r>
        <w:rPr>
          <w:rFonts w:hint="eastAsia" w:ascii="宋体" w:hAnsi="宋体" w:eastAsia="宋体" w:cs="宋体"/>
          <w:color w:val="auto"/>
          <w:spacing w:val="1"/>
          <w:sz w:val="24"/>
          <w:szCs w:val="24"/>
          <w:highlight w:val="none"/>
        </w:rPr>
        <w:t>选型不</w:t>
      </w:r>
      <w:r>
        <w:rPr>
          <w:rFonts w:hint="eastAsia" w:ascii="宋体" w:hAnsi="宋体" w:eastAsia="宋体" w:cs="宋体"/>
          <w:color w:val="auto"/>
          <w:sz w:val="24"/>
          <w:szCs w:val="24"/>
          <w:highlight w:val="none"/>
        </w:rPr>
        <w:t>匹配，电缆母线容量不匹配等。</w:t>
      </w:r>
    </w:p>
    <w:p w14:paraId="36131698">
      <w:pPr>
        <w:autoSpaceDE w:val="0"/>
        <w:autoSpaceDN w:val="0"/>
        <w:spacing w:line="360" w:lineRule="auto"/>
        <w:ind w:firstLine="482" w:firstLineChars="20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造价专业：提交给发包人的造价文件，经核查后，偏差大于±20%</w:t>
      </w:r>
      <w:r>
        <w:rPr>
          <w:rFonts w:hint="eastAsia" w:ascii="宋体" w:hAnsi="宋体" w:eastAsia="宋体" w:cs="宋体"/>
          <w:color w:val="auto"/>
          <w:spacing w:val="1"/>
          <w:sz w:val="24"/>
          <w:szCs w:val="24"/>
          <w:highlight w:val="none"/>
        </w:rPr>
        <w:t>的。</w:t>
      </w:r>
    </w:p>
    <w:p w14:paraId="728E760D">
      <w:pPr>
        <w:autoSpaceDE w:val="0"/>
        <w:autoSpaceDN w:val="0"/>
        <w:spacing w:line="360" w:lineRule="auto"/>
        <w:ind w:firstLine="482" w:firstLineChars="20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B</w:t>
      </w:r>
      <w:r>
        <w:rPr>
          <w:rFonts w:hint="eastAsia" w:ascii="宋体" w:hAnsi="宋体" w:eastAsia="宋体" w:cs="宋体"/>
          <w:color w:val="auto"/>
          <w:spacing w:val="1"/>
          <w:sz w:val="24"/>
          <w:szCs w:val="24"/>
          <w:highlight w:val="none"/>
        </w:rPr>
        <w:t>、严重影</w:t>
      </w:r>
      <w:r>
        <w:rPr>
          <w:rFonts w:hint="eastAsia" w:ascii="宋体" w:hAnsi="宋体" w:eastAsia="宋体" w:cs="宋体"/>
          <w:color w:val="auto"/>
          <w:sz w:val="24"/>
          <w:szCs w:val="24"/>
          <w:highlight w:val="none"/>
        </w:rPr>
        <w:t>响报建：如计容积率面积（包含各个分部）超过允许的误差范围；平立剖面对不</w:t>
      </w:r>
      <w:r>
        <w:rPr>
          <w:rFonts w:hint="eastAsia" w:ascii="宋体" w:hAnsi="宋体" w:eastAsia="宋体" w:cs="宋体"/>
          <w:color w:val="auto"/>
          <w:spacing w:val="1"/>
          <w:sz w:val="24"/>
          <w:szCs w:val="24"/>
          <w:highlight w:val="none"/>
        </w:rPr>
        <w:t>上；</w:t>
      </w:r>
      <w:r>
        <w:rPr>
          <w:rFonts w:hint="eastAsia" w:ascii="宋体" w:hAnsi="宋体" w:eastAsia="宋体" w:cs="宋体"/>
          <w:color w:val="auto"/>
          <w:sz w:val="24"/>
          <w:szCs w:val="24"/>
          <w:highlight w:val="none"/>
        </w:rPr>
        <w:t>民防单元面积超过规范。</w:t>
      </w:r>
    </w:p>
    <w:p w14:paraId="68247BEF">
      <w:pPr>
        <w:autoSpaceDE w:val="0"/>
        <w:autoSpaceDN w:val="0"/>
        <w:spacing w:line="360" w:lineRule="auto"/>
        <w:ind w:firstLine="488" w:firstLineChars="201"/>
        <w:rPr>
          <w:rFonts w:hint="eastAsia" w:ascii="宋体" w:hAnsi="宋体" w:eastAsia="宋体" w:cs="宋体"/>
          <w:b/>
          <w:color w:val="auto"/>
          <w:sz w:val="24"/>
          <w:szCs w:val="24"/>
          <w:highlight w:val="none"/>
        </w:rPr>
      </w:pPr>
      <w:r>
        <w:rPr>
          <w:rFonts w:hint="eastAsia" w:ascii="宋体" w:hAnsi="宋体" w:eastAsia="宋体" w:cs="宋体"/>
          <w:b/>
          <w:color w:val="auto"/>
          <w:spacing w:val="1"/>
          <w:sz w:val="24"/>
          <w:szCs w:val="24"/>
          <w:highlight w:val="none"/>
        </w:rPr>
        <w:t>Ⅲ类</w:t>
      </w:r>
      <w:r>
        <w:rPr>
          <w:rFonts w:hint="eastAsia" w:ascii="宋体" w:hAnsi="宋体" w:eastAsia="宋体" w:cs="宋体"/>
          <w:b/>
          <w:color w:val="auto"/>
          <w:sz w:val="24"/>
          <w:szCs w:val="24"/>
          <w:highlight w:val="none"/>
        </w:rPr>
        <w:t>错误：</w:t>
      </w:r>
    </w:p>
    <w:p w14:paraId="350AB795">
      <w:pPr>
        <w:autoSpaceDE w:val="0"/>
        <w:autoSpaceDN w:val="0"/>
        <w:spacing w:line="360" w:lineRule="auto"/>
        <w:ind w:firstLine="482" w:firstLineChars="20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设计中局部细节存在不合理或缺点，但对工程决策和质量无重大影响，如：</w:t>
      </w:r>
      <w:r>
        <w:rPr>
          <w:rFonts w:hint="eastAsia" w:ascii="宋体" w:hAnsi="宋体" w:eastAsia="宋体" w:cs="宋体"/>
          <w:color w:val="auto"/>
          <w:spacing w:val="-3"/>
          <w:sz w:val="24"/>
          <w:szCs w:val="24"/>
          <w:highlight w:val="none"/>
        </w:rPr>
        <w:t>1</w:t>
      </w:r>
      <w:r>
        <w:rPr>
          <w:rFonts w:hint="eastAsia" w:ascii="宋体" w:hAnsi="宋体" w:eastAsia="宋体" w:cs="宋体"/>
          <w:color w:val="auto"/>
          <w:spacing w:val="-1"/>
          <w:sz w:val="24"/>
          <w:szCs w:val="24"/>
          <w:highlight w:val="none"/>
        </w:rPr>
        <w:t>、违</w:t>
      </w:r>
      <w:r>
        <w:rPr>
          <w:rFonts w:hint="eastAsia" w:ascii="宋体" w:hAnsi="宋体" w:eastAsia="宋体" w:cs="宋体"/>
          <w:color w:val="auto"/>
          <w:sz w:val="24"/>
          <w:szCs w:val="24"/>
          <w:highlight w:val="none"/>
        </w:rPr>
        <w:t>反国家现行技术规范、规定、标准的一般条文；</w:t>
      </w:r>
      <w:r>
        <w:rPr>
          <w:rFonts w:hint="eastAsia" w:ascii="宋体" w:hAnsi="宋体" w:eastAsia="宋体" w:cs="宋体"/>
          <w:color w:val="auto"/>
          <w:spacing w:val="-1"/>
          <w:sz w:val="24"/>
          <w:szCs w:val="24"/>
          <w:highlight w:val="none"/>
        </w:rPr>
        <w:t>2</w:t>
      </w:r>
      <w:r>
        <w:rPr>
          <w:rFonts w:hint="eastAsia" w:ascii="宋体" w:hAnsi="宋体" w:eastAsia="宋体" w:cs="宋体"/>
          <w:color w:val="auto"/>
          <w:sz w:val="24"/>
          <w:szCs w:val="24"/>
          <w:highlight w:val="none"/>
        </w:rPr>
        <w:t>、设计的流程、系统、平面布置不够合理；</w:t>
      </w:r>
      <w:r>
        <w:rPr>
          <w:rFonts w:hint="eastAsia" w:ascii="宋体" w:hAnsi="宋体" w:eastAsia="宋体" w:cs="宋体"/>
          <w:color w:val="auto"/>
          <w:spacing w:val="-2"/>
          <w:sz w:val="24"/>
          <w:szCs w:val="24"/>
          <w:highlight w:val="none"/>
        </w:rPr>
        <w:t>3</w:t>
      </w:r>
      <w:r>
        <w:rPr>
          <w:rFonts w:hint="eastAsia" w:ascii="宋体" w:hAnsi="宋体" w:eastAsia="宋体" w:cs="宋体"/>
          <w:color w:val="auto"/>
          <w:spacing w:val="-1"/>
          <w:sz w:val="24"/>
          <w:szCs w:val="24"/>
          <w:highlight w:val="none"/>
        </w:rPr>
        <w:t>、</w:t>
      </w:r>
      <w:r>
        <w:rPr>
          <w:rFonts w:hint="eastAsia" w:ascii="宋体" w:hAnsi="宋体" w:eastAsia="宋体" w:cs="宋体"/>
          <w:color w:val="auto"/>
          <w:sz w:val="24"/>
          <w:szCs w:val="24"/>
          <w:highlight w:val="none"/>
        </w:rPr>
        <w:t>设备、构造、材料等选用不当；</w:t>
      </w:r>
      <w:r>
        <w:rPr>
          <w:rFonts w:hint="eastAsia" w:ascii="宋体" w:hAnsi="宋体" w:eastAsia="宋体" w:cs="宋体"/>
          <w:color w:val="auto"/>
          <w:spacing w:val="-2"/>
          <w:sz w:val="24"/>
          <w:szCs w:val="24"/>
          <w:highlight w:val="none"/>
        </w:rPr>
        <w:t>4</w:t>
      </w:r>
      <w:r>
        <w:rPr>
          <w:rFonts w:hint="eastAsia" w:ascii="宋体" w:hAnsi="宋体" w:eastAsia="宋体" w:cs="宋体"/>
          <w:color w:val="auto"/>
          <w:sz w:val="24"/>
          <w:szCs w:val="24"/>
          <w:highlight w:val="none"/>
        </w:rPr>
        <w:t>、重要的数据、计量单位、尺寸出错；</w:t>
      </w:r>
      <w:r>
        <w:rPr>
          <w:rFonts w:hint="eastAsia" w:ascii="宋体" w:hAnsi="宋体" w:eastAsia="宋体" w:cs="宋体"/>
          <w:color w:val="auto"/>
          <w:spacing w:val="-2"/>
          <w:sz w:val="24"/>
          <w:szCs w:val="24"/>
          <w:highlight w:val="none"/>
        </w:rPr>
        <w:t>5</w:t>
      </w:r>
      <w:r>
        <w:rPr>
          <w:rFonts w:hint="eastAsia" w:ascii="宋体" w:hAnsi="宋体" w:eastAsia="宋体" w:cs="宋体"/>
          <w:color w:val="auto"/>
          <w:spacing w:val="-1"/>
          <w:sz w:val="24"/>
          <w:szCs w:val="24"/>
          <w:highlight w:val="none"/>
        </w:rPr>
        <w:t>、不符</w:t>
      </w:r>
      <w:r>
        <w:rPr>
          <w:rFonts w:hint="eastAsia" w:ascii="宋体" w:hAnsi="宋体" w:eastAsia="宋体" w:cs="宋体"/>
          <w:color w:val="auto"/>
          <w:sz w:val="24"/>
          <w:szCs w:val="24"/>
          <w:highlight w:val="none"/>
        </w:rPr>
        <w:t>合国家对工程设计文件内容深度及格式的规定要求;6、出现因设计责任引起的三类变更；6</w:t>
      </w:r>
      <w:r>
        <w:rPr>
          <w:rFonts w:hint="eastAsia" w:ascii="宋体" w:hAnsi="宋体" w:eastAsia="宋体" w:cs="宋体"/>
          <w:color w:val="auto"/>
          <w:spacing w:val="-1"/>
          <w:sz w:val="24"/>
          <w:szCs w:val="24"/>
          <w:highlight w:val="none"/>
        </w:rPr>
        <w:t>、</w:t>
      </w:r>
      <w:r>
        <w:rPr>
          <w:rFonts w:hint="eastAsia" w:ascii="宋体" w:hAnsi="宋体" w:eastAsia="宋体" w:cs="宋体"/>
          <w:color w:val="auto"/>
          <w:sz w:val="24"/>
          <w:szCs w:val="24"/>
          <w:highlight w:val="none"/>
        </w:rPr>
        <w:t>造价文件失实。</w:t>
      </w:r>
    </w:p>
    <w:p w14:paraId="52D30F33">
      <w:pPr>
        <w:autoSpaceDE w:val="0"/>
        <w:autoSpaceDN w:val="0"/>
        <w:spacing w:line="360" w:lineRule="auto"/>
        <w:ind w:firstLine="486" w:firstLineChars="20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具体</w:t>
      </w:r>
      <w:r>
        <w:rPr>
          <w:rFonts w:hint="eastAsia" w:ascii="宋体" w:hAnsi="宋体" w:eastAsia="宋体" w:cs="宋体"/>
          <w:color w:val="auto"/>
          <w:sz w:val="24"/>
          <w:szCs w:val="24"/>
          <w:highlight w:val="none"/>
        </w:rPr>
        <w:t>按照专业又可分为：</w:t>
      </w:r>
    </w:p>
    <w:p w14:paraId="7407A74D">
      <w:pPr>
        <w:autoSpaceDE w:val="0"/>
        <w:autoSpaceDN w:val="0"/>
        <w:spacing w:line="360" w:lineRule="auto"/>
        <w:ind w:firstLine="482" w:firstLineChars="20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w:t>
      </w:r>
      <w:r>
        <w:rPr>
          <w:rFonts w:hint="eastAsia" w:ascii="宋体" w:hAnsi="宋体" w:eastAsia="宋体" w:cs="宋体"/>
          <w:color w:val="auto"/>
          <w:spacing w:val="1"/>
          <w:sz w:val="24"/>
          <w:szCs w:val="24"/>
          <w:highlight w:val="none"/>
        </w:rPr>
        <w:t>、局部违</w:t>
      </w:r>
      <w:r>
        <w:rPr>
          <w:rFonts w:hint="eastAsia" w:ascii="宋体" w:hAnsi="宋体" w:eastAsia="宋体" w:cs="宋体"/>
          <w:color w:val="auto"/>
          <w:sz w:val="24"/>
          <w:szCs w:val="24"/>
          <w:highlight w:val="none"/>
        </w:rPr>
        <w:t>反规范、标准、规定，但容易修正、且返工量不大，如：</w:t>
      </w:r>
    </w:p>
    <w:p w14:paraId="2EC1BEE2">
      <w:pPr>
        <w:autoSpaceDE w:val="0"/>
        <w:autoSpaceDN w:val="0"/>
        <w:spacing w:line="360" w:lineRule="auto"/>
        <w:ind w:firstLine="470" w:firstLineChars="201"/>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建筑专业：栏杆的高度及强度不符合要求；消防电</w:t>
      </w:r>
      <w:r>
        <w:rPr>
          <w:rFonts w:hint="eastAsia" w:ascii="宋体" w:hAnsi="宋体" w:eastAsia="宋体" w:cs="宋体"/>
          <w:color w:val="auto"/>
          <w:spacing w:val="-2"/>
          <w:sz w:val="24"/>
          <w:szCs w:val="24"/>
          <w:highlight w:val="none"/>
        </w:rPr>
        <w:t>梯不合防火要求，疏散门宽度不够、管道</w:t>
      </w:r>
      <w:r>
        <w:rPr>
          <w:rFonts w:hint="eastAsia" w:ascii="宋体" w:hAnsi="宋体" w:eastAsia="宋体" w:cs="宋体"/>
          <w:color w:val="auto"/>
          <w:spacing w:val="1"/>
          <w:sz w:val="24"/>
          <w:szCs w:val="24"/>
          <w:highlight w:val="none"/>
        </w:rPr>
        <w:t>井不</w:t>
      </w:r>
      <w:r>
        <w:rPr>
          <w:rFonts w:hint="eastAsia" w:ascii="宋体" w:hAnsi="宋体" w:eastAsia="宋体" w:cs="宋体"/>
          <w:color w:val="auto"/>
          <w:sz w:val="24"/>
          <w:szCs w:val="24"/>
          <w:highlight w:val="none"/>
        </w:rPr>
        <w:t>合防火规范等。</w:t>
      </w:r>
    </w:p>
    <w:p w14:paraId="45C138E3">
      <w:pPr>
        <w:autoSpaceDE w:val="0"/>
        <w:autoSpaceDN w:val="0"/>
        <w:spacing w:line="360" w:lineRule="auto"/>
        <w:ind w:firstLine="486" w:firstLineChars="20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结构</w:t>
      </w:r>
      <w:r>
        <w:rPr>
          <w:rFonts w:hint="eastAsia" w:ascii="宋体" w:hAnsi="宋体" w:eastAsia="宋体" w:cs="宋体"/>
          <w:color w:val="auto"/>
          <w:sz w:val="24"/>
          <w:szCs w:val="24"/>
          <w:highlight w:val="none"/>
        </w:rPr>
        <w:t>专业：按简支计算的梁、支座与梁柱整体连接构造用负筋不够；悬挑构件配筋错误等。</w:t>
      </w:r>
    </w:p>
    <w:p w14:paraId="13A3793E">
      <w:pPr>
        <w:autoSpaceDE w:val="0"/>
        <w:autoSpaceDN w:val="0"/>
        <w:spacing w:line="360" w:lineRule="auto"/>
        <w:ind w:firstLine="486" w:firstLineChars="20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给排水专</w:t>
      </w:r>
      <w:r>
        <w:rPr>
          <w:rFonts w:hint="eastAsia" w:ascii="宋体" w:hAnsi="宋体" w:eastAsia="宋体" w:cs="宋体"/>
          <w:color w:val="auto"/>
          <w:sz w:val="24"/>
          <w:szCs w:val="24"/>
          <w:highlight w:val="none"/>
        </w:rPr>
        <w:t>业：生活饮用水管理与非饮用水道连接，未采取防回流污染措施等。</w:t>
      </w:r>
    </w:p>
    <w:p w14:paraId="6BD19289">
      <w:pPr>
        <w:autoSpaceDE w:val="0"/>
        <w:autoSpaceDN w:val="0"/>
        <w:spacing w:line="360" w:lineRule="auto"/>
        <w:ind w:firstLine="470" w:firstLineChars="201"/>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暖通专业：管道井不符合防火规定；穿越防火墙未</w:t>
      </w:r>
      <w:r>
        <w:rPr>
          <w:rFonts w:hint="eastAsia" w:ascii="宋体" w:hAnsi="宋体" w:eastAsia="宋体" w:cs="宋体"/>
          <w:color w:val="auto"/>
          <w:spacing w:val="-2"/>
          <w:sz w:val="24"/>
          <w:szCs w:val="24"/>
          <w:highlight w:val="none"/>
        </w:rPr>
        <w:t>装防火阀；风管材料及保温材料不符合防</w:t>
      </w:r>
      <w:r>
        <w:rPr>
          <w:rFonts w:hint="eastAsia" w:ascii="宋体" w:hAnsi="宋体" w:eastAsia="宋体" w:cs="宋体"/>
          <w:color w:val="auto"/>
          <w:spacing w:val="1"/>
          <w:sz w:val="24"/>
          <w:szCs w:val="24"/>
          <w:highlight w:val="none"/>
        </w:rPr>
        <w:t>火要</w:t>
      </w:r>
      <w:r>
        <w:rPr>
          <w:rFonts w:hint="eastAsia" w:ascii="宋体" w:hAnsi="宋体" w:eastAsia="宋体" w:cs="宋体"/>
          <w:color w:val="auto"/>
          <w:sz w:val="24"/>
          <w:szCs w:val="24"/>
          <w:highlight w:val="none"/>
        </w:rPr>
        <w:t>求等。</w:t>
      </w:r>
    </w:p>
    <w:p w14:paraId="39106915">
      <w:pPr>
        <w:autoSpaceDE w:val="0"/>
        <w:autoSpaceDN w:val="0"/>
        <w:spacing w:line="360" w:lineRule="auto"/>
        <w:ind w:firstLine="470" w:firstLineChars="201"/>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电气专业：低压配电级数超过三级；照明系统中单</w:t>
      </w:r>
      <w:r>
        <w:rPr>
          <w:rFonts w:hint="eastAsia" w:ascii="宋体" w:hAnsi="宋体" w:eastAsia="宋体" w:cs="宋体"/>
          <w:color w:val="auto"/>
          <w:spacing w:val="-2"/>
          <w:sz w:val="24"/>
          <w:szCs w:val="24"/>
          <w:highlight w:val="none"/>
        </w:rPr>
        <w:t xml:space="preserve">向回路灯和插座数量超过 </w:t>
      </w:r>
      <w:r>
        <w:rPr>
          <w:rFonts w:hint="eastAsia" w:ascii="宋体" w:hAnsi="宋体" w:eastAsia="宋体" w:cs="宋体"/>
          <w:color w:val="auto"/>
          <w:spacing w:val="1"/>
          <w:sz w:val="24"/>
          <w:szCs w:val="24"/>
          <w:highlight w:val="none"/>
        </w:rPr>
        <w:t>25</w:t>
      </w:r>
      <w:r>
        <w:rPr>
          <w:rFonts w:hint="eastAsia" w:ascii="宋体" w:hAnsi="宋体" w:eastAsia="宋体" w:cs="宋体"/>
          <w:color w:val="auto"/>
          <w:spacing w:val="-2"/>
          <w:sz w:val="24"/>
          <w:szCs w:val="24"/>
          <w:highlight w:val="none"/>
        </w:rPr>
        <w:t>个；烟、温</w:t>
      </w:r>
      <w:r>
        <w:rPr>
          <w:rFonts w:hint="eastAsia" w:ascii="宋体" w:hAnsi="宋体" w:eastAsia="宋体" w:cs="宋体"/>
          <w:color w:val="auto"/>
          <w:spacing w:val="1"/>
          <w:sz w:val="24"/>
          <w:szCs w:val="24"/>
          <w:highlight w:val="none"/>
        </w:rPr>
        <w:t>感探测器位</w:t>
      </w:r>
      <w:r>
        <w:rPr>
          <w:rFonts w:hint="eastAsia" w:ascii="宋体" w:hAnsi="宋体" w:eastAsia="宋体" w:cs="宋体"/>
          <w:color w:val="auto"/>
          <w:sz w:val="24"/>
          <w:szCs w:val="24"/>
          <w:highlight w:val="none"/>
        </w:rPr>
        <w:t>置；自动喷淋、排烟防火等系统连锁方式局部违反规范、标准、规定；双电源未考虑</w:t>
      </w:r>
      <w:r>
        <w:rPr>
          <w:rFonts w:hint="eastAsia" w:ascii="宋体" w:hAnsi="宋体" w:eastAsia="宋体" w:cs="宋体"/>
          <w:color w:val="auto"/>
          <w:spacing w:val="1"/>
          <w:sz w:val="24"/>
          <w:szCs w:val="24"/>
          <w:highlight w:val="none"/>
        </w:rPr>
        <w:t>末</w:t>
      </w:r>
      <w:r>
        <w:rPr>
          <w:rFonts w:hint="eastAsia" w:ascii="宋体" w:hAnsi="宋体" w:eastAsia="宋体" w:cs="宋体"/>
          <w:color w:val="auto"/>
          <w:sz w:val="24"/>
          <w:szCs w:val="24"/>
          <w:highlight w:val="none"/>
        </w:rPr>
        <w:t>端切换等。</w:t>
      </w:r>
    </w:p>
    <w:p w14:paraId="7E59B723">
      <w:pPr>
        <w:autoSpaceDE w:val="0"/>
        <w:autoSpaceDN w:val="0"/>
        <w:spacing w:line="360" w:lineRule="auto"/>
        <w:ind w:firstLine="482" w:firstLineChars="20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造价专业：提交给发包人的造价文件，经核查后，偏差大于±10%</w:t>
      </w:r>
      <w:r>
        <w:rPr>
          <w:rFonts w:hint="eastAsia" w:ascii="宋体" w:hAnsi="宋体" w:eastAsia="宋体" w:cs="宋体"/>
          <w:color w:val="auto"/>
          <w:spacing w:val="1"/>
          <w:sz w:val="24"/>
          <w:szCs w:val="24"/>
          <w:highlight w:val="none"/>
        </w:rPr>
        <w:t>的。</w:t>
      </w:r>
    </w:p>
    <w:p w14:paraId="06B82452">
      <w:pPr>
        <w:autoSpaceDE w:val="0"/>
        <w:autoSpaceDN w:val="0"/>
        <w:spacing w:line="360" w:lineRule="auto"/>
        <w:ind w:firstLine="482" w:firstLineChars="20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B</w:t>
      </w:r>
      <w:r>
        <w:rPr>
          <w:rFonts w:hint="eastAsia" w:ascii="宋体" w:hAnsi="宋体" w:eastAsia="宋体" w:cs="宋体"/>
          <w:color w:val="auto"/>
          <w:spacing w:val="1"/>
          <w:sz w:val="24"/>
          <w:szCs w:val="24"/>
          <w:highlight w:val="none"/>
        </w:rPr>
        <w:t>、设计不</w:t>
      </w:r>
      <w:r>
        <w:rPr>
          <w:rFonts w:hint="eastAsia" w:ascii="宋体" w:hAnsi="宋体" w:eastAsia="宋体" w:cs="宋体"/>
          <w:color w:val="auto"/>
          <w:sz w:val="24"/>
          <w:szCs w:val="24"/>
          <w:highlight w:val="none"/>
        </w:rPr>
        <w:t>周、构造或用料不当，有可能造成影响局部使用效果，或重要部位尺寸错误，有</w:t>
      </w:r>
      <w:r>
        <w:rPr>
          <w:rFonts w:hint="eastAsia" w:ascii="宋体" w:hAnsi="宋体" w:eastAsia="宋体" w:cs="宋体"/>
          <w:color w:val="auto"/>
          <w:spacing w:val="1"/>
          <w:sz w:val="24"/>
          <w:szCs w:val="24"/>
          <w:highlight w:val="none"/>
        </w:rPr>
        <w:t>可能</w:t>
      </w:r>
      <w:r>
        <w:rPr>
          <w:rFonts w:hint="eastAsia" w:ascii="宋体" w:hAnsi="宋体" w:eastAsia="宋体" w:cs="宋体"/>
          <w:color w:val="auto"/>
          <w:sz w:val="24"/>
          <w:szCs w:val="24"/>
          <w:highlight w:val="none"/>
        </w:rPr>
        <w:t>造成严重后果，如：</w:t>
      </w:r>
    </w:p>
    <w:p w14:paraId="2FF02204">
      <w:pPr>
        <w:autoSpaceDE w:val="0"/>
        <w:autoSpaceDN w:val="0"/>
        <w:spacing w:line="360" w:lineRule="auto"/>
        <w:ind w:firstLine="470" w:firstLineChars="201"/>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建筑专业：</w:t>
      </w:r>
      <w:r>
        <w:rPr>
          <w:rFonts w:hint="eastAsia" w:ascii="宋体" w:hAnsi="宋体" w:eastAsia="宋体" w:cs="宋体"/>
          <w:color w:val="auto"/>
          <w:spacing w:val="-2"/>
          <w:sz w:val="24"/>
          <w:szCs w:val="24"/>
          <w:highlight w:val="none"/>
        </w:rPr>
        <w:t>结构承重部分在建筑图中未完全反映或错误；</w:t>
      </w:r>
      <w:r>
        <w:rPr>
          <w:rFonts w:hint="eastAsia" w:ascii="宋体" w:hAnsi="宋体" w:eastAsia="宋体" w:cs="宋体"/>
          <w:color w:val="auto"/>
          <w:spacing w:val="-4"/>
          <w:sz w:val="24"/>
          <w:szCs w:val="24"/>
          <w:highlight w:val="none"/>
        </w:rPr>
        <w:t>声光</w:t>
      </w:r>
      <w:r>
        <w:rPr>
          <w:rFonts w:hint="eastAsia" w:ascii="宋体" w:hAnsi="宋体" w:eastAsia="宋体" w:cs="宋体"/>
          <w:color w:val="auto"/>
          <w:spacing w:val="-3"/>
          <w:sz w:val="24"/>
          <w:szCs w:val="24"/>
          <w:highlight w:val="none"/>
        </w:rPr>
        <w:t>热防水防潮等的技术处理欠妥</w:t>
      </w:r>
      <w:r>
        <w:rPr>
          <w:rFonts w:hint="eastAsia" w:ascii="宋体" w:hAnsi="宋体" w:eastAsia="宋体" w:cs="宋体"/>
          <w:color w:val="auto"/>
          <w:sz w:val="24"/>
          <w:szCs w:val="24"/>
          <w:highlight w:val="none"/>
        </w:rPr>
        <w:t>等。</w:t>
      </w:r>
    </w:p>
    <w:p w14:paraId="1641D8CE">
      <w:pPr>
        <w:autoSpaceDE w:val="0"/>
        <w:autoSpaceDN w:val="0"/>
        <w:spacing w:line="360" w:lineRule="auto"/>
        <w:ind w:firstLine="470" w:firstLineChars="201"/>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结构专业</w:t>
      </w:r>
      <w:r>
        <w:rPr>
          <w:rFonts w:hint="eastAsia" w:ascii="宋体" w:hAnsi="宋体" w:eastAsia="宋体" w:cs="宋体"/>
          <w:color w:val="auto"/>
          <w:sz w:val="24"/>
          <w:szCs w:val="24"/>
          <w:highlight w:val="none"/>
        </w:rPr>
        <w:t>:</w:t>
      </w:r>
      <w:r>
        <w:rPr>
          <w:rFonts w:hint="eastAsia" w:ascii="宋体" w:hAnsi="宋体" w:eastAsia="宋体" w:cs="宋体"/>
          <w:color w:val="auto"/>
          <w:spacing w:val="-3"/>
          <w:sz w:val="24"/>
          <w:szCs w:val="24"/>
          <w:highlight w:val="none"/>
        </w:rPr>
        <w:t>各种门</w:t>
      </w:r>
      <w:r>
        <w:rPr>
          <w:rFonts w:hint="eastAsia" w:ascii="宋体" w:hAnsi="宋体" w:eastAsia="宋体" w:cs="宋体"/>
          <w:color w:val="auto"/>
          <w:spacing w:val="-1"/>
          <w:sz w:val="24"/>
          <w:szCs w:val="24"/>
          <w:highlight w:val="none"/>
        </w:rPr>
        <w:t>/</w:t>
      </w:r>
      <w:r>
        <w:rPr>
          <w:rFonts w:hint="eastAsia" w:ascii="宋体" w:hAnsi="宋体" w:eastAsia="宋体" w:cs="宋体"/>
          <w:color w:val="auto"/>
          <w:spacing w:val="-3"/>
          <w:sz w:val="24"/>
          <w:szCs w:val="24"/>
          <w:highlight w:val="none"/>
        </w:rPr>
        <w:t>窗洞高度不符合建筑设计要求，</w:t>
      </w:r>
      <w:r>
        <w:rPr>
          <w:rFonts w:hint="eastAsia" w:ascii="宋体" w:hAnsi="宋体" w:eastAsia="宋体" w:cs="宋体"/>
          <w:color w:val="auto"/>
          <w:spacing w:val="-2"/>
          <w:sz w:val="24"/>
          <w:szCs w:val="24"/>
          <w:highlight w:val="none"/>
        </w:rPr>
        <w:t>严重影响使用要求；</w:t>
      </w:r>
      <w:r>
        <w:rPr>
          <w:rFonts w:hint="eastAsia" w:ascii="宋体" w:hAnsi="宋体" w:eastAsia="宋体" w:cs="宋体"/>
          <w:color w:val="auto"/>
          <w:spacing w:val="-4"/>
          <w:sz w:val="24"/>
          <w:szCs w:val="24"/>
          <w:highlight w:val="none"/>
        </w:rPr>
        <w:t>存</w:t>
      </w:r>
      <w:r>
        <w:rPr>
          <w:rFonts w:hint="eastAsia" w:ascii="宋体" w:hAnsi="宋体" w:eastAsia="宋体" w:cs="宋体"/>
          <w:color w:val="auto"/>
          <w:spacing w:val="-3"/>
          <w:sz w:val="24"/>
          <w:szCs w:val="24"/>
          <w:highlight w:val="none"/>
        </w:rPr>
        <w:t>在明显的未设计部</w:t>
      </w:r>
      <w:r>
        <w:rPr>
          <w:rFonts w:hint="eastAsia" w:ascii="宋体" w:hAnsi="宋体" w:eastAsia="宋体" w:cs="宋体"/>
          <w:color w:val="auto"/>
          <w:sz w:val="24"/>
          <w:szCs w:val="24"/>
          <w:highlight w:val="none"/>
        </w:rPr>
        <w:t>分，影响现场进度；结构标高与建筑面层要求不</w:t>
      </w:r>
      <w:r>
        <w:rPr>
          <w:rFonts w:hint="eastAsia" w:ascii="宋体" w:hAnsi="宋体" w:eastAsia="宋体" w:cs="宋体"/>
          <w:color w:val="auto"/>
          <w:spacing w:val="-1"/>
          <w:sz w:val="24"/>
          <w:szCs w:val="24"/>
          <w:highlight w:val="none"/>
        </w:rPr>
        <w:t>符；阳台</w:t>
      </w:r>
      <w:r>
        <w:rPr>
          <w:rFonts w:hint="eastAsia" w:ascii="宋体" w:hAnsi="宋体" w:eastAsia="宋体" w:cs="宋体"/>
          <w:color w:val="auto"/>
          <w:sz w:val="24"/>
          <w:szCs w:val="24"/>
          <w:highlight w:val="none"/>
        </w:rPr>
        <w:t>、雨蓬的倾覆安全不够，钢筋混凝土构</w:t>
      </w:r>
      <w:r>
        <w:rPr>
          <w:rFonts w:hint="eastAsia" w:ascii="宋体" w:hAnsi="宋体" w:eastAsia="宋体" w:cs="宋体"/>
          <w:color w:val="auto"/>
          <w:spacing w:val="1"/>
          <w:sz w:val="24"/>
          <w:szCs w:val="24"/>
          <w:highlight w:val="none"/>
        </w:rPr>
        <w:t>件配筋与</w:t>
      </w:r>
      <w:r>
        <w:rPr>
          <w:rFonts w:hint="eastAsia" w:ascii="宋体" w:hAnsi="宋体" w:eastAsia="宋体" w:cs="宋体"/>
          <w:color w:val="auto"/>
          <w:sz w:val="24"/>
          <w:szCs w:val="24"/>
          <w:highlight w:val="none"/>
        </w:rPr>
        <w:t>计算书不符；应设置构造钢筋的部位不设或少设。</w:t>
      </w:r>
    </w:p>
    <w:p w14:paraId="23FD59BB">
      <w:pPr>
        <w:autoSpaceDE w:val="0"/>
        <w:autoSpaceDN w:val="0"/>
        <w:spacing w:line="360" w:lineRule="auto"/>
        <w:ind w:firstLine="482" w:firstLineChars="20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给排水专业:</w:t>
      </w:r>
      <w:r>
        <w:rPr>
          <w:rFonts w:hint="eastAsia" w:ascii="宋体" w:hAnsi="宋体" w:eastAsia="宋体" w:cs="宋体"/>
          <w:color w:val="auto"/>
          <w:spacing w:val="1"/>
          <w:sz w:val="24"/>
          <w:szCs w:val="24"/>
          <w:highlight w:val="none"/>
        </w:rPr>
        <w:t>选用</w:t>
      </w:r>
      <w:r>
        <w:rPr>
          <w:rFonts w:hint="eastAsia" w:ascii="宋体" w:hAnsi="宋体" w:eastAsia="宋体" w:cs="宋体"/>
          <w:color w:val="auto"/>
          <w:sz w:val="24"/>
          <w:szCs w:val="24"/>
          <w:highlight w:val="none"/>
        </w:rPr>
        <w:t>了已淘汰的耗能大的设备。热交换间未考虑检修条件等。</w:t>
      </w:r>
    </w:p>
    <w:p w14:paraId="755E27D3">
      <w:pPr>
        <w:autoSpaceDE w:val="0"/>
        <w:autoSpaceDN w:val="0"/>
        <w:spacing w:line="360" w:lineRule="auto"/>
        <w:ind w:firstLine="482" w:firstLineChars="20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暖通专业:</w:t>
      </w:r>
      <w:r>
        <w:rPr>
          <w:rFonts w:hint="eastAsia" w:ascii="宋体" w:hAnsi="宋体" w:eastAsia="宋体" w:cs="宋体"/>
          <w:color w:val="auto"/>
          <w:spacing w:val="1"/>
          <w:sz w:val="24"/>
          <w:szCs w:val="24"/>
          <w:highlight w:val="none"/>
        </w:rPr>
        <w:t>选用了已</w:t>
      </w:r>
      <w:r>
        <w:rPr>
          <w:rFonts w:hint="eastAsia" w:ascii="宋体" w:hAnsi="宋体" w:eastAsia="宋体" w:cs="宋体"/>
          <w:color w:val="auto"/>
          <w:sz w:val="24"/>
          <w:szCs w:val="24"/>
          <w:highlight w:val="none"/>
        </w:rPr>
        <w:t>淘汰的产品；机房布置未考虑检修条件；地下室的机房未考虑设备进出</w:t>
      </w:r>
      <w:r>
        <w:rPr>
          <w:rFonts w:hint="eastAsia" w:ascii="宋体" w:hAnsi="宋体" w:eastAsia="宋体" w:cs="宋体"/>
          <w:color w:val="auto"/>
          <w:spacing w:val="1"/>
          <w:sz w:val="24"/>
          <w:szCs w:val="24"/>
          <w:highlight w:val="none"/>
        </w:rPr>
        <w:t>孔；风机</w:t>
      </w:r>
      <w:r>
        <w:rPr>
          <w:rFonts w:hint="eastAsia" w:ascii="宋体" w:hAnsi="宋体" w:eastAsia="宋体" w:cs="宋体"/>
          <w:color w:val="auto"/>
          <w:sz w:val="24"/>
          <w:szCs w:val="24"/>
          <w:highlight w:val="none"/>
        </w:rPr>
        <w:t>的消声、减震处理不当等。</w:t>
      </w:r>
    </w:p>
    <w:p w14:paraId="4D4255EF">
      <w:pPr>
        <w:autoSpaceDE w:val="0"/>
        <w:autoSpaceDN w:val="0"/>
        <w:spacing w:line="360" w:lineRule="auto"/>
        <w:ind w:firstLine="482" w:firstLineChars="20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电气专业:</w:t>
      </w:r>
      <w:r>
        <w:rPr>
          <w:rFonts w:hint="eastAsia" w:ascii="宋体" w:hAnsi="宋体" w:eastAsia="宋体" w:cs="宋体"/>
          <w:color w:val="auto"/>
          <w:spacing w:val="1"/>
          <w:sz w:val="24"/>
          <w:szCs w:val="24"/>
          <w:highlight w:val="none"/>
        </w:rPr>
        <w:t>强、弱电</w:t>
      </w:r>
      <w:r>
        <w:rPr>
          <w:rFonts w:hint="eastAsia" w:ascii="宋体" w:hAnsi="宋体" w:eastAsia="宋体" w:cs="宋体"/>
          <w:color w:val="auto"/>
          <w:sz w:val="24"/>
          <w:szCs w:val="24"/>
          <w:highlight w:val="none"/>
        </w:rPr>
        <w:t>各种线路布局，设备选型不当，安装图和非标准图制作尺寸以及安装不符等。</w:t>
      </w:r>
    </w:p>
    <w:p w14:paraId="72F3F91B">
      <w:pPr>
        <w:autoSpaceDE w:val="0"/>
        <w:autoSpaceDN w:val="0"/>
        <w:spacing w:line="360" w:lineRule="auto"/>
        <w:ind w:firstLine="482" w:firstLineChars="20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C</w:t>
      </w:r>
      <w:r>
        <w:rPr>
          <w:rFonts w:hint="eastAsia" w:ascii="宋体" w:hAnsi="宋体" w:eastAsia="宋体" w:cs="宋体"/>
          <w:color w:val="auto"/>
          <w:spacing w:val="1"/>
          <w:sz w:val="24"/>
          <w:szCs w:val="24"/>
          <w:highlight w:val="none"/>
        </w:rPr>
        <w:t>、工种配</w:t>
      </w:r>
      <w:r>
        <w:rPr>
          <w:rFonts w:hint="eastAsia" w:ascii="宋体" w:hAnsi="宋体" w:eastAsia="宋体" w:cs="宋体"/>
          <w:color w:val="auto"/>
          <w:sz w:val="24"/>
          <w:szCs w:val="24"/>
          <w:highlight w:val="none"/>
        </w:rPr>
        <w:t>合严重错误或局部遗漏有可能造成影响使用，或造成施工返工，如梁上预埋孔洞</w:t>
      </w:r>
      <w:r>
        <w:rPr>
          <w:rFonts w:hint="eastAsia" w:ascii="宋体" w:hAnsi="宋体" w:eastAsia="宋体" w:cs="宋体"/>
          <w:color w:val="auto"/>
          <w:spacing w:val="1"/>
          <w:sz w:val="24"/>
          <w:szCs w:val="24"/>
          <w:highlight w:val="none"/>
        </w:rPr>
        <w:t>严重</w:t>
      </w:r>
      <w:r>
        <w:rPr>
          <w:rFonts w:hint="eastAsia" w:ascii="宋体" w:hAnsi="宋体" w:eastAsia="宋体" w:cs="宋体"/>
          <w:color w:val="auto"/>
          <w:sz w:val="24"/>
          <w:szCs w:val="24"/>
          <w:highlight w:val="none"/>
        </w:rPr>
        <w:t>影响结构安全。</w:t>
      </w:r>
    </w:p>
    <w:p w14:paraId="5D53F653">
      <w:pPr>
        <w:autoSpaceDE w:val="0"/>
        <w:autoSpaceDN w:val="0"/>
        <w:spacing w:line="360" w:lineRule="auto"/>
        <w:ind w:firstLine="482" w:firstLineChars="20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D</w:t>
      </w:r>
      <w:r>
        <w:rPr>
          <w:rFonts w:hint="eastAsia" w:ascii="宋体" w:hAnsi="宋体" w:eastAsia="宋体" w:cs="宋体"/>
          <w:color w:val="auto"/>
          <w:spacing w:val="1"/>
          <w:sz w:val="24"/>
          <w:szCs w:val="24"/>
          <w:highlight w:val="none"/>
        </w:rPr>
        <w:t>、结构专</w:t>
      </w:r>
      <w:r>
        <w:rPr>
          <w:rFonts w:hint="eastAsia" w:ascii="宋体" w:hAnsi="宋体" w:eastAsia="宋体" w:cs="宋体"/>
          <w:color w:val="auto"/>
          <w:sz w:val="24"/>
          <w:szCs w:val="24"/>
          <w:highlight w:val="none"/>
        </w:rPr>
        <w:t>业计算、构造层层加码，造成严重浪费者。如设计荷载取用过大，实际配筋又大</w:t>
      </w:r>
      <w:r>
        <w:rPr>
          <w:rFonts w:hint="eastAsia" w:ascii="宋体" w:hAnsi="宋体" w:eastAsia="宋体" w:cs="宋体"/>
          <w:color w:val="auto"/>
          <w:spacing w:val="1"/>
          <w:sz w:val="24"/>
          <w:szCs w:val="24"/>
          <w:highlight w:val="none"/>
        </w:rPr>
        <w:t>于计</w:t>
      </w:r>
      <w:r>
        <w:rPr>
          <w:rFonts w:hint="eastAsia" w:ascii="宋体" w:hAnsi="宋体" w:eastAsia="宋体" w:cs="宋体"/>
          <w:color w:val="auto"/>
          <w:sz w:val="24"/>
          <w:szCs w:val="24"/>
          <w:highlight w:val="none"/>
        </w:rPr>
        <w:t>算要求很多等。</w:t>
      </w:r>
    </w:p>
    <w:p w14:paraId="74396A1B">
      <w:pPr>
        <w:autoSpaceDE w:val="0"/>
        <w:autoSpaceDN w:val="0"/>
        <w:spacing w:line="360" w:lineRule="auto"/>
        <w:ind w:firstLine="482" w:firstLineChars="20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E</w:t>
      </w:r>
      <w:r>
        <w:rPr>
          <w:rFonts w:hint="eastAsia" w:ascii="宋体" w:hAnsi="宋体" w:eastAsia="宋体" w:cs="宋体"/>
          <w:color w:val="auto"/>
          <w:spacing w:val="1"/>
          <w:sz w:val="24"/>
          <w:szCs w:val="24"/>
          <w:highlight w:val="none"/>
        </w:rPr>
        <w:t>、影响报</w:t>
      </w:r>
      <w:r>
        <w:rPr>
          <w:rFonts w:hint="eastAsia" w:ascii="宋体" w:hAnsi="宋体" w:eastAsia="宋体" w:cs="宋体"/>
          <w:color w:val="auto"/>
          <w:sz w:val="24"/>
          <w:szCs w:val="24"/>
          <w:highlight w:val="none"/>
        </w:rPr>
        <w:t>建工作的进行；各配套设施建筑或功能区未详细标明或建筑标识不清，影响面积</w:t>
      </w:r>
      <w:r>
        <w:rPr>
          <w:rFonts w:hint="eastAsia" w:ascii="宋体" w:hAnsi="宋体" w:eastAsia="宋体" w:cs="宋体"/>
          <w:color w:val="auto"/>
          <w:spacing w:val="1"/>
          <w:sz w:val="24"/>
          <w:szCs w:val="24"/>
          <w:highlight w:val="none"/>
        </w:rPr>
        <w:t>查</w:t>
      </w:r>
      <w:r>
        <w:rPr>
          <w:rFonts w:hint="eastAsia" w:ascii="宋体" w:hAnsi="宋体" w:eastAsia="宋体" w:cs="宋体"/>
          <w:color w:val="auto"/>
          <w:sz w:val="24"/>
          <w:szCs w:val="24"/>
          <w:highlight w:val="none"/>
        </w:rPr>
        <w:t>丈及验收。</w:t>
      </w:r>
    </w:p>
    <w:p w14:paraId="6CD15516">
      <w:pPr>
        <w:autoSpaceDE w:val="0"/>
        <w:autoSpaceDN w:val="0"/>
        <w:spacing w:line="360" w:lineRule="auto"/>
        <w:ind w:firstLine="488" w:firstLineChars="201"/>
        <w:rPr>
          <w:rFonts w:hint="eastAsia" w:ascii="宋体" w:hAnsi="宋体" w:eastAsia="宋体" w:cs="宋体"/>
          <w:b/>
          <w:color w:val="auto"/>
          <w:sz w:val="24"/>
          <w:szCs w:val="24"/>
          <w:highlight w:val="none"/>
        </w:rPr>
      </w:pPr>
      <w:r>
        <w:rPr>
          <w:rFonts w:hint="eastAsia" w:ascii="宋体" w:hAnsi="宋体" w:eastAsia="宋体" w:cs="宋体"/>
          <w:b/>
          <w:color w:val="auto"/>
          <w:spacing w:val="1"/>
          <w:sz w:val="24"/>
          <w:szCs w:val="24"/>
          <w:highlight w:val="none"/>
        </w:rPr>
        <w:t>Ⅳ类</w:t>
      </w:r>
      <w:r>
        <w:rPr>
          <w:rFonts w:hint="eastAsia" w:ascii="宋体" w:hAnsi="宋体" w:eastAsia="宋体" w:cs="宋体"/>
          <w:b/>
          <w:color w:val="auto"/>
          <w:sz w:val="24"/>
          <w:szCs w:val="24"/>
          <w:highlight w:val="none"/>
        </w:rPr>
        <w:t>错误：</w:t>
      </w:r>
    </w:p>
    <w:p w14:paraId="393E6518">
      <w:pPr>
        <w:autoSpaceDE w:val="0"/>
        <w:autoSpaceDN w:val="0"/>
        <w:spacing w:line="360" w:lineRule="auto"/>
        <w:ind w:firstLine="466" w:firstLineChars="201"/>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指设计文件编制上的差错，如</w:t>
      </w:r>
      <w:r>
        <w:rPr>
          <w:rFonts w:hint="eastAsia" w:ascii="宋体" w:hAnsi="宋体" w:eastAsia="宋体" w:cs="宋体"/>
          <w:color w:val="auto"/>
          <w:sz w:val="24"/>
          <w:szCs w:val="24"/>
          <w:highlight w:val="none"/>
        </w:rPr>
        <w:t>1</w:t>
      </w:r>
      <w:r>
        <w:rPr>
          <w:rFonts w:hint="eastAsia" w:ascii="宋体" w:hAnsi="宋体" w:eastAsia="宋体" w:cs="宋体"/>
          <w:color w:val="auto"/>
          <w:spacing w:val="-4"/>
          <w:sz w:val="24"/>
          <w:szCs w:val="24"/>
          <w:highlight w:val="none"/>
        </w:rPr>
        <w:t>、说明表达错误；</w:t>
      </w:r>
      <w:r>
        <w:rPr>
          <w:rFonts w:hint="eastAsia" w:ascii="宋体" w:hAnsi="宋体" w:eastAsia="宋体" w:cs="宋体"/>
          <w:color w:val="auto"/>
          <w:spacing w:val="-1"/>
          <w:sz w:val="24"/>
          <w:szCs w:val="24"/>
          <w:highlight w:val="none"/>
        </w:rPr>
        <w:t>2</w:t>
      </w:r>
      <w:r>
        <w:rPr>
          <w:rFonts w:hint="eastAsia" w:ascii="宋体" w:hAnsi="宋体" w:eastAsia="宋体" w:cs="宋体"/>
          <w:color w:val="auto"/>
          <w:spacing w:val="-4"/>
          <w:sz w:val="24"/>
          <w:szCs w:val="24"/>
          <w:highlight w:val="none"/>
        </w:rPr>
        <w:t>、不重要的数据、计量单位、尺寸出错；</w:t>
      </w:r>
    </w:p>
    <w:p w14:paraId="391A9399">
      <w:pPr>
        <w:autoSpaceDE w:val="0"/>
        <w:autoSpaceDN w:val="0"/>
        <w:spacing w:line="360" w:lineRule="auto"/>
        <w:ind w:firstLine="478" w:firstLineChars="20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w:t>
      </w:r>
      <w:r>
        <w:rPr>
          <w:rFonts w:hint="eastAsia" w:ascii="宋体" w:hAnsi="宋体" w:eastAsia="宋体" w:cs="宋体"/>
          <w:color w:val="auto"/>
          <w:spacing w:val="-2"/>
          <w:sz w:val="24"/>
          <w:szCs w:val="24"/>
          <w:highlight w:val="none"/>
        </w:rPr>
        <w:t>、不重要的尺寸线、剖面线、引出线等漏划；</w:t>
      </w:r>
      <w:r>
        <w:rPr>
          <w:rFonts w:hint="eastAsia" w:ascii="宋体" w:hAnsi="宋体" w:eastAsia="宋体" w:cs="宋体"/>
          <w:color w:val="auto"/>
          <w:spacing w:val="-9"/>
          <w:sz w:val="24"/>
          <w:szCs w:val="24"/>
          <w:highlight w:val="none"/>
        </w:rPr>
        <w:t>4</w:t>
      </w:r>
      <w:r>
        <w:rPr>
          <w:rFonts w:hint="eastAsia" w:ascii="宋体" w:hAnsi="宋体" w:eastAsia="宋体" w:cs="宋体"/>
          <w:color w:val="auto"/>
          <w:spacing w:val="-2"/>
          <w:sz w:val="24"/>
          <w:szCs w:val="24"/>
          <w:highlight w:val="none"/>
        </w:rPr>
        <w:t>、出现因设计责任引起的四类变更；</w:t>
      </w:r>
      <w:r>
        <w:rPr>
          <w:rFonts w:hint="eastAsia" w:ascii="宋体" w:hAnsi="宋体" w:eastAsia="宋体" w:cs="宋体"/>
          <w:color w:val="auto"/>
          <w:spacing w:val="-7"/>
          <w:sz w:val="24"/>
          <w:szCs w:val="24"/>
          <w:highlight w:val="none"/>
        </w:rPr>
        <w:t>5</w:t>
      </w:r>
      <w:r>
        <w:rPr>
          <w:rFonts w:hint="eastAsia" w:ascii="宋体" w:hAnsi="宋体" w:eastAsia="宋体" w:cs="宋体"/>
          <w:color w:val="auto"/>
          <w:spacing w:val="-3"/>
          <w:sz w:val="24"/>
          <w:szCs w:val="24"/>
          <w:highlight w:val="none"/>
        </w:rPr>
        <w:t>、造</w:t>
      </w:r>
      <w:r>
        <w:rPr>
          <w:rFonts w:hint="eastAsia" w:ascii="宋体" w:hAnsi="宋体" w:eastAsia="宋体" w:cs="宋体"/>
          <w:color w:val="auto"/>
          <w:spacing w:val="-2"/>
          <w:sz w:val="24"/>
          <w:szCs w:val="24"/>
          <w:highlight w:val="none"/>
        </w:rPr>
        <w:t>价文件</w:t>
      </w:r>
      <w:r>
        <w:rPr>
          <w:rFonts w:hint="eastAsia" w:ascii="宋体" w:hAnsi="宋体" w:eastAsia="宋体" w:cs="宋体"/>
          <w:color w:val="auto"/>
          <w:spacing w:val="1"/>
          <w:sz w:val="24"/>
          <w:szCs w:val="24"/>
          <w:highlight w:val="none"/>
        </w:rPr>
        <w:t>失实</w:t>
      </w:r>
      <w:r>
        <w:rPr>
          <w:rFonts w:hint="eastAsia" w:ascii="宋体" w:hAnsi="宋体" w:eastAsia="宋体" w:cs="宋体"/>
          <w:color w:val="auto"/>
          <w:sz w:val="24"/>
          <w:szCs w:val="24"/>
          <w:highlight w:val="none"/>
        </w:rPr>
        <w:t>较轻。</w:t>
      </w:r>
    </w:p>
    <w:p w14:paraId="11E4C45D">
      <w:pPr>
        <w:autoSpaceDE w:val="0"/>
        <w:autoSpaceDN w:val="0"/>
        <w:spacing w:line="360" w:lineRule="auto"/>
        <w:ind w:firstLine="486" w:firstLineChars="20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按照</w:t>
      </w:r>
      <w:r>
        <w:rPr>
          <w:rFonts w:hint="eastAsia" w:ascii="宋体" w:hAnsi="宋体" w:eastAsia="宋体" w:cs="宋体"/>
          <w:color w:val="auto"/>
          <w:sz w:val="24"/>
          <w:szCs w:val="24"/>
          <w:highlight w:val="none"/>
        </w:rPr>
        <w:t>专业具体分为：</w:t>
      </w:r>
    </w:p>
    <w:p w14:paraId="279141ED">
      <w:pPr>
        <w:autoSpaceDE w:val="0"/>
        <w:autoSpaceDN w:val="0"/>
        <w:spacing w:line="360" w:lineRule="auto"/>
        <w:ind w:firstLine="482" w:firstLineChars="20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w:t>
      </w:r>
      <w:r>
        <w:rPr>
          <w:rFonts w:hint="eastAsia" w:ascii="宋体" w:hAnsi="宋体" w:eastAsia="宋体" w:cs="宋体"/>
          <w:color w:val="auto"/>
          <w:spacing w:val="1"/>
          <w:sz w:val="24"/>
          <w:szCs w:val="24"/>
          <w:highlight w:val="none"/>
        </w:rPr>
        <w:t>、容易修</w:t>
      </w:r>
      <w:r>
        <w:rPr>
          <w:rFonts w:hint="eastAsia" w:ascii="宋体" w:hAnsi="宋体" w:eastAsia="宋体" w:cs="宋体"/>
          <w:color w:val="auto"/>
          <w:sz w:val="24"/>
          <w:szCs w:val="24"/>
          <w:highlight w:val="none"/>
        </w:rPr>
        <w:t>正、且不造成使用或安全缺陷，但会给建设单位、施工单位带来麻烦，如：</w:t>
      </w:r>
    </w:p>
    <w:p w14:paraId="4A6AA6B9">
      <w:pPr>
        <w:autoSpaceDE w:val="0"/>
        <w:autoSpaceDN w:val="0"/>
        <w:spacing w:line="360" w:lineRule="auto"/>
        <w:ind w:firstLine="470" w:firstLineChars="201"/>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建筑、结构、水、暖、电各专业；图纸目录不全、表达不够清楚、平</w:t>
      </w:r>
      <w:r>
        <w:rPr>
          <w:rFonts w:hint="eastAsia" w:ascii="宋体" w:hAnsi="宋体" w:eastAsia="宋体" w:cs="宋体"/>
          <w:color w:val="auto"/>
          <w:spacing w:val="-2"/>
          <w:sz w:val="24"/>
          <w:szCs w:val="24"/>
          <w:highlight w:val="none"/>
        </w:rPr>
        <w:t>立剖面图不一致、一般</w:t>
      </w:r>
      <w:r>
        <w:rPr>
          <w:rFonts w:hint="eastAsia" w:ascii="宋体" w:hAnsi="宋体" w:eastAsia="宋体" w:cs="宋体"/>
          <w:color w:val="auto"/>
          <w:spacing w:val="-1"/>
          <w:sz w:val="24"/>
          <w:szCs w:val="24"/>
          <w:highlight w:val="none"/>
        </w:rPr>
        <w:t>性尺寸错</w:t>
      </w:r>
      <w:r>
        <w:rPr>
          <w:rFonts w:hint="eastAsia" w:ascii="宋体" w:hAnsi="宋体" w:eastAsia="宋体" w:cs="宋体"/>
          <w:color w:val="auto"/>
          <w:sz w:val="24"/>
          <w:szCs w:val="24"/>
          <w:highlight w:val="none"/>
        </w:rPr>
        <w:t>误或不全、图例或符号不合规定、平面图与系统图不一致等。又如：设计文件、计算书</w:t>
      </w:r>
      <w:r>
        <w:rPr>
          <w:rFonts w:hint="eastAsia" w:ascii="宋体" w:hAnsi="宋体" w:eastAsia="宋体" w:cs="宋体"/>
          <w:color w:val="auto"/>
          <w:spacing w:val="-1"/>
          <w:sz w:val="24"/>
          <w:szCs w:val="24"/>
          <w:highlight w:val="none"/>
        </w:rPr>
        <w:t>及存档材</w:t>
      </w:r>
      <w:r>
        <w:rPr>
          <w:rFonts w:hint="eastAsia" w:ascii="宋体" w:hAnsi="宋体" w:eastAsia="宋体" w:cs="宋体"/>
          <w:color w:val="auto"/>
          <w:sz w:val="24"/>
          <w:szCs w:val="24"/>
          <w:highlight w:val="none"/>
        </w:rPr>
        <w:t>料的完整性不够；设计说明、图纸目录不全、图例符号表达不合规定；系统图与平面图</w:t>
      </w:r>
      <w:r>
        <w:rPr>
          <w:rFonts w:hint="eastAsia" w:ascii="宋体" w:hAnsi="宋体" w:eastAsia="宋体" w:cs="宋体"/>
          <w:color w:val="auto"/>
          <w:spacing w:val="1"/>
          <w:sz w:val="24"/>
          <w:szCs w:val="24"/>
          <w:highlight w:val="none"/>
        </w:rPr>
        <w:t>的一致性</w:t>
      </w:r>
      <w:r>
        <w:rPr>
          <w:rFonts w:hint="eastAsia" w:ascii="宋体" w:hAnsi="宋体" w:eastAsia="宋体" w:cs="宋体"/>
          <w:color w:val="auto"/>
          <w:sz w:val="24"/>
          <w:szCs w:val="24"/>
          <w:highlight w:val="none"/>
        </w:rPr>
        <w:t>的错、漏、碰、缺等。</w:t>
      </w:r>
    </w:p>
    <w:p w14:paraId="2C586D56">
      <w:pPr>
        <w:autoSpaceDE w:val="0"/>
        <w:autoSpaceDN w:val="0"/>
        <w:spacing w:line="360" w:lineRule="auto"/>
        <w:ind w:firstLine="482" w:firstLineChars="20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造价专业：提交给发包人的造价文件，经核查后，偏差大于±50%</w:t>
      </w:r>
      <w:r>
        <w:rPr>
          <w:rFonts w:hint="eastAsia" w:ascii="宋体" w:hAnsi="宋体" w:eastAsia="宋体" w:cs="宋体"/>
          <w:color w:val="auto"/>
          <w:spacing w:val="1"/>
          <w:sz w:val="24"/>
          <w:szCs w:val="24"/>
          <w:highlight w:val="none"/>
        </w:rPr>
        <w:t>的。</w:t>
      </w:r>
    </w:p>
    <w:p w14:paraId="381EEA88">
      <w:pPr>
        <w:spacing w:line="360" w:lineRule="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B</w:t>
      </w:r>
      <w:r>
        <w:rPr>
          <w:rFonts w:hint="eastAsia" w:ascii="宋体" w:hAnsi="宋体" w:eastAsia="宋体" w:cs="宋体"/>
          <w:color w:val="auto"/>
          <w:spacing w:val="1"/>
          <w:sz w:val="24"/>
          <w:szCs w:val="24"/>
          <w:highlight w:val="none"/>
        </w:rPr>
        <w:t>、工种配</w:t>
      </w:r>
      <w:r>
        <w:rPr>
          <w:rFonts w:hint="eastAsia" w:ascii="宋体" w:hAnsi="宋体" w:eastAsia="宋体" w:cs="宋体"/>
          <w:color w:val="auto"/>
          <w:sz w:val="24"/>
          <w:szCs w:val="24"/>
          <w:highlight w:val="none"/>
        </w:rPr>
        <w:t>合中的一般性错误，容易修正，且不致造成影响使用效果或安全。</w:t>
      </w:r>
    </w:p>
    <w:p w14:paraId="7C0B4022">
      <w:pPr>
        <w:numPr>
          <w:ilvl w:val="0"/>
          <w:numId w:val="0"/>
        </w:numPr>
        <w:spacing w:line="360" w:lineRule="auto"/>
        <w:rPr>
          <w:rFonts w:hint="eastAsia" w:ascii="宋体" w:hAnsi="宋体" w:eastAsia="宋体" w:cs="宋体"/>
          <w:b/>
          <w:bCs/>
          <w:color w:val="auto"/>
          <w:sz w:val="24"/>
          <w:szCs w:val="24"/>
          <w:highlight w:val="none"/>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F10ECE">
    <w:pPr>
      <w:pStyle w:val="7"/>
      <w:ind w:left="210" w:firstLine="3060" w:firstLineChars="170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322A3BB"/>
    <w:multiLevelType w:val="multilevel"/>
    <w:tmpl w:val="E322A3BB"/>
    <w:lvl w:ilvl="0" w:tentative="0">
      <w:start w:val="1"/>
      <w:numFmt w:val="decimal"/>
      <w:lvlText w:val="%1、"/>
      <w:lvlJc w:val="left"/>
      <w:pPr>
        <w:ind w:left="36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11B290E"/>
    <w:multiLevelType w:val="multilevel"/>
    <w:tmpl w:val="011B290E"/>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1080"/>
        </w:tabs>
        <w:ind w:left="1080" w:hanging="420"/>
      </w:pPr>
    </w:lvl>
    <w:lvl w:ilvl="2" w:tentative="0">
      <w:start w:val="1"/>
      <w:numFmt w:val="lowerRoman"/>
      <w:lvlText w:val="%3."/>
      <w:lvlJc w:val="right"/>
      <w:pPr>
        <w:tabs>
          <w:tab w:val="left" w:pos="1500"/>
        </w:tabs>
        <w:ind w:left="1500" w:hanging="420"/>
      </w:pPr>
    </w:lvl>
    <w:lvl w:ilvl="3" w:tentative="0">
      <w:start w:val="1"/>
      <w:numFmt w:val="decimal"/>
      <w:lvlText w:val="%4."/>
      <w:lvlJc w:val="left"/>
      <w:pPr>
        <w:tabs>
          <w:tab w:val="left" w:pos="1920"/>
        </w:tabs>
        <w:ind w:left="1920" w:hanging="420"/>
      </w:pPr>
    </w:lvl>
    <w:lvl w:ilvl="4" w:tentative="0">
      <w:start w:val="1"/>
      <w:numFmt w:val="lowerLetter"/>
      <w:lvlText w:val="%5)"/>
      <w:lvlJc w:val="left"/>
      <w:pPr>
        <w:tabs>
          <w:tab w:val="left" w:pos="2340"/>
        </w:tabs>
        <w:ind w:left="2340" w:hanging="420"/>
      </w:pPr>
    </w:lvl>
    <w:lvl w:ilvl="5" w:tentative="0">
      <w:start w:val="1"/>
      <w:numFmt w:val="lowerRoman"/>
      <w:lvlText w:val="%6."/>
      <w:lvlJc w:val="right"/>
      <w:pPr>
        <w:tabs>
          <w:tab w:val="left" w:pos="2760"/>
        </w:tabs>
        <w:ind w:left="2760" w:hanging="420"/>
      </w:pPr>
    </w:lvl>
    <w:lvl w:ilvl="6" w:tentative="0">
      <w:start w:val="1"/>
      <w:numFmt w:val="decimal"/>
      <w:lvlText w:val="%7."/>
      <w:lvlJc w:val="left"/>
      <w:pPr>
        <w:tabs>
          <w:tab w:val="left" w:pos="3180"/>
        </w:tabs>
        <w:ind w:left="3180" w:hanging="420"/>
      </w:pPr>
    </w:lvl>
    <w:lvl w:ilvl="7" w:tentative="0">
      <w:start w:val="1"/>
      <w:numFmt w:val="lowerLetter"/>
      <w:lvlText w:val="%8)"/>
      <w:lvlJc w:val="left"/>
      <w:pPr>
        <w:tabs>
          <w:tab w:val="left" w:pos="3600"/>
        </w:tabs>
        <w:ind w:left="3600" w:hanging="420"/>
      </w:pPr>
    </w:lvl>
    <w:lvl w:ilvl="8" w:tentative="0">
      <w:start w:val="1"/>
      <w:numFmt w:val="lowerRoman"/>
      <w:lvlText w:val="%9."/>
      <w:lvlJc w:val="right"/>
      <w:pPr>
        <w:tabs>
          <w:tab w:val="left" w:pos="4020"/>
        </w:tabs>
        <w:ind w:left="4020" w:hanging="420"/>
      </w:pPr>
    </w:lvl>
  </w:abstractNum>
  <w:abstractNum w:abstractNumId="2">
    <w:nsid w:val="0F8A432B"/>
    <w:multiLevelType w:val="multilevel"/>
    <w:tmpl w:val="0F8A432B"/>
    <w:lvl w:ilvl="0" w:tentative="0">
      <w:start w:val="1"/>
      <w:numFmt w:val="upperLetter"/>
      <w:lvlText w:val="%1."/>
      <w:lvlJc w:val="left"/>
      <w:pPr>
        <w:ind w:left="420" w:hanging="420"/>
      </w:pPr>
    </w:lvl>
    <w:lvl w:ilvl="1" w:tentative="0">
      <w:start w:val="1"/>
      <w:numFmt w:val="decimal"/>
      <w:lvlText w:val="%2)"/>
      <w:lvlJc w:val="left"/>
      <w:pPr>
        <w:ind w:left="840" w:hanging="4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4953C61"/>
    <w:multiLevelType w:val="singleLevel"/>
    <w:tmpl w:val="14953C61"/>
    <w:lvl w:ilvl="0" w:tentative="0">
      <w:start w:val="1"/>
      <w:numFmt w:val="decimal"/>
      <w:lvlText w:val="%1."/>
      <w:lvlJc w:val="left"/>
      <w:pPr>
        <w:tabs>
          <w:tab w:val="left" w:pos="312"/>
        </w:tabs>
      </w:pPr>
    </w:lvl>
  </w:abstractNum>
  <w:abstractNum w:abstractNumId="4">
    <w:nsid w:val="2896DD3E"/>
    <w:multiLevelType w:val="singleLevel"/>
    <w:tmpl w:val="2896DD3E"/>
    <w:lvl w:ilvl="0" w:tentative="0">
      <w:start w:val="1"/>
      <w:numFmt w:val="decimal"/>
      <w:lvlText w:val="%1."/>
      <w:lvlJc w:val="left"/>
      <w:pPr>
        <w:tabs>
          <w:tab w:val="left" w:pos="312"/>
        </w:tabs>
      </w:pPr>
    </w:lvl>
  </w:abstractNum>
  <w:abstractNum w:abstractNumId="5">
    <w:nsid w:val="28F57A58"/>
    <w:multiLevelType w:val="multilevel"/>
    <w:tmpl w:val="28F57A58"/>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2D3B5F1D"/>
    <w:multiLevelType w:val="multilevel"/>
    <w:tmpl w:val="2D3B5F1D"/>
    <w:lvl w:ilvl="0" w:tentative="0">
      <w:start w:val="1"/>
      <w:numFmt w:val="decimal"/>
      <w:lvlText w:val="%1、"/>
      <w:lvlJc w:val="left"/>
      <w:pPr>
        <w:tabs>
          <w:tab w:val="left" w:pos="840"/>
        </w:tabs>
        <w:ind w:left="840" w:hanging="600"/>
      </w:pPr>
      <w:rPr>
        <w:rFonts w:hint="default"/>
      </w:rPr>
    </w:lvl>
    <w:lvl w:ilvl="1" w:tentative="0">
      <w:start w:val="1"/>
      <w:numFmt w:val="lowerLetter"/>
      <w:lvlText w:val="%2)"/>
      <w:lvlJc w:val="left"/>
      <w:pPr>
        <w:tabs>
          <w:tab w:val="left" w:pos="1080"/>
        </w:tabs>
        <w:ind w:left="1080" w:hanging="420"/>
      </w:pPr>
    </w:lvl>
    <w:lvl w:ilvl="2" w:tentative="0">
      <w:start w:val="1"/>
      <w:numFmt w:val="lowerRoman"/>
      <w:lvlText w:val="%3."/>
      <w:lvlJc w:val="right"/>
      <w:pPr>
        <w:tabs>
          <w:tab w:val="left" w:pos="1500"/>
        </w:tabs>
        <w:ind w:left="1500" w:hanging="420"/>
      </w:pPr>
    </w:lvl>
    <w:lvl w:ilvl="3" w:tentative="0">
      <w:start w:val="1"/>
      <w:numFmt w:val="decimal"/>
      <w:lvlText w:val="%4."/>
      <w:lvlJc w:val="left"/>
      <w:pPr>
        <w:tabs>
          <w:tab w:val="left" w:pos="1920"/>
        </w:tabs>
        <w:ind w:left="1920" w:hanging="420"/>
      </w:pPr>
    </w:lvl>
    <w:lvl w:ilvl="4" w:tentative="0">
      <w:start w:val="1"/>
      <w:numFmt w:val="lowerLetter"/>
      <w:lvlText w:val="%5)"/>
      <w:lvlJc w:val="left"/>
      <w:pPr>
        <w:tabs>
          <w:tab w:val="left" w:pos="2340"/>
        </w:tabs>
        <w:ind w:left="2340" w:hanging="420"/>
      </w:pPr>
    </w:lvl>
    <w:lvl w:ilvl="5" w:tentative="0">
      <w:start w:val="1"/>
      <w:numFmt w:val="lowerRoman"/>
      <w:lvlText w:val="%6."/>
      <w:lvlJc w:val="right"/>
      <w:pPr>
        <w:tabs>
          <w:tab w:val="left" w:pos="2760"/>
        </w:tabs>
        <w:ind w:left="2760" w:hanging="420"/>
      </w:pPr>
    </w:lvl>
    <w:lvl w:ilvl="6" w:tentative="0">
      <w:start w:val="1"/>
      <w:numFmt w:val="decimal"/>
      <w:lvlText w:val="%7."/>
      <w:lvlJc w:val="left"/>
      <w:pPr>
        <w:tabs>
          <w:tab w:val="left" w:pos="3180"/>
        </w:tabs>
        <w:ind w:left="3180" w:hanging="420"/>
      </w:pPr>
    </w:lvl>
    <w:lvl w:ilvl="7" w:tentative="0">
      <w:start w:val="1"/>
      <w:numFmt w:val="lowerLetter"/>
      <w:lvlText w:val="%8)"/>
      <w:lvlJc w:val="left"/>
      <w:pPr>
        <w:tabs>
          <w:tab w:val="left" w:pos="3600"/>
        </w:tabs>
        <w:ind w:left="3600" w:hanging="420"/>
      </w:pPr>
    </w:lvl>
    <w:lvl w:ilvl="8" w:tentative="0">
      <w:start w:val="1"/>
      <w:numFmt w:val="lowerRoman"/>
      <w:lvlText w:val="%9."/>
      <w:lvlJc w:val="right"/>
      <w:pPr>
        <w:tabs>
          <w:tab w:val="left" w:pos="4020"/>
        </w:tabs>
        <w:ind w:left="4020" w:hanging="420"/>
      </w:pPr>
    </w:lvl>
  </w:abstractNum>
  <w:abstractNum w:abstractNumId="7">
    <w:nsid w:val="31297726"/>
    <w:multiLevelType w:val="multilevel"/>
    <w:tmpl w:val="31297726"/>
    <w:lvl w:ilvl="0" w:tentative="0">
      <w:start w:val="1"/>
      <w:numFmt w:val="decimal"/>
      <w:lvlText w:val="%1、"/>
      <w:lvlJc w:val="left"/>
      <w:pPr>
        <w:ind w:left="36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39B63B1A"/>
    <w:multiLevelType w:val="multilevel"/>
    <w:tmpl w:val="39B63B1A"/>
    <w:lvl w:ilvl="0" w:tentative="0">
      <w:start w:val="1"/>
      <w:numFmt w:val="decimal"/>
      <w:lvlText w:val="%1、"/>
      <w:lvlJc w:val="left"/>
      <w:pPr>
        <w:tabs>
          <w:tab w:val="left" w:pos="644"/>
        </w:tabs>
        <w:ind w:left="644" w:hanging="360"/>
      </w:pPr>
      <w:rPr>
        <w:rFonts w:hint="default"/>
      </w:rPr>
    </w:lvl>
    <w:lvl w:ilvl="1" w:tentative="0">
      <w:start w:val="1"/>
      <w:numFmt w:val="decimal"/>
      <w:lvlText w:val="%2．"/>
      <w:lvlJc w:val="left"/>
      <w:pPr>
        <w:tabs>
          <w:tab w:val="left" w:pos="1020"/>
        </w:tabs>
        <w:ind w:left="1020" w:hanging="360"/>
      </w:pPr>
      <w:rPr>
        <w:rFonts w:hint="default"/>
      </w:rPr>
    </w:lvl>
    <w:lvl w:ilvl="2" w:tentative="0">
      <w:start w:val="1"/>
      <w:numFmt w:val="lowerRoman"/>
      <w:lvlText w:val="%3."/>
      <w:lvlJc w:val="right"/>
      <w:pPr>
        <w:tabs>
          <w:tab w:val="left" w:pos="1500"/>
        </w:tabs>
        <w:ind w:left="1500" w:hanging="420"/>
      </w:pPr>
    </w:lvl>
    <w:lvl w:ilvl="3" w:tentative="0">
      <w:start w:val="1"/>
      <w:numFmt w:val="decimal"/>
      <w:lvlText w:val="%4."/>
      <w:lvlJc w:val="left"/>
      <w:pPr>
        <w:tabs>
          <w:tab w:val="left" w:pos="1920"/>
        </w:tabs>
        <w:ind w:left="1920" w:hanging="420"/>
      </w:pPr>
    </w:lvl>
    <w:lvl w:ilvl="4" w:tentative="0">
      <w:start w:val="1"/>
      <w:numFmt w:val="lowerLetter"/>
      <w:lvlText w:val="%5)"/>
      <w:lvlJc w:val="left"/>
      <w:pPr>
        <w:tabs>
          <w:tab w:val="left" w:pos="2340"/>
        </w:tabs>
        <w:ind w:left="2340" w:hanging="420"/>
      </w:pPr>
    </w:lvl>
    <w:lvl w:ilvl="5" w:tentative="0">
      <w:start w:val="1"/>
      <w:numFmt w:val="lowerRoman"/>
      <w:lvlText w:val="%6."/>
      <w:lvlJc w:val="right"/>
      <w:pPr>
        <w:tabs>
          <w:tab w:val="left" w:pos="2760"/>
        </w:tabs>
        <w:ind w:left="2760" w:hanging="420"/>
      </w:pPr>
    </w:lvl>
    <w:lvl w:ilvl="6" w:tentative="0">
      <w:start w:val="1"/>
      <w:numFmt w:val="decimal"/>
      <w:lvlText w:val="%7."/>
      <w:lvlJc w:val="left"/>
      <w:pPr>
        <w:tabs>
          <w:tab w:val="left" w:pos="3180"/>
        </w:tabs>
        <w:ind w:left="3180" w:hanging="420"/>
      </w:pPr>
    </w:lvl>
    <w:lvl w:ilvl="7" w:tentative="0">
      <w:start w:val="1"/>
      <w:numFmt w:val="lowerLetter"/>
      <w:lvlText w:val="%8)"/>
      <w:lvlJc w:val="left"/>
      <w:pPr>
        <w:tabs>
          <w:tab w:val="left" w:pos="3600"/>
        </w:tabs>
        <w:ind w:left="3600" w:hanging="420"/>
      </w:pPr>
    </w:lvl>
    <w:lvl w:ilvl="8" w:tentative="0">
      <w:start w:val="1"/>
      <w:numFmt w:val="lowerRoman"/>
      <w:lvlText w:val="%9."/>
      <w:lvlJc w:val="right"/>
      <w:pPr>
        <w:tabs>
          <w:tab w:val="left" w:pos="4020"/>
        </w:tabs>
        <w:ind w:left="4020" w:hanging="420"/>
      </w:pPr>
    </w:lvl>
  </w:abstractNum>
  <w:abstractNum w:abstractNumId="9">
    <w:nsid w:val="3B0C78CA"/>
    <w:multiLevelType w:val="multilevel"/>
    <w:tmpl w:val="3B0C78CA"/>
    <w:lvl w:ilvl="0" w:tentative="0">
      <w:start w:val="1"/>
      <w:numFmt w:val="upperLetter"/>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3E44AE5A"/>
    <w:multiLevelType w:val="singleLevel"/>
    <w:tmpl w:val="3E44AE5A"/>
    <w:lvl w:ilvl="0" w:tentative="0">
      <w:start w:val="8"/>
      <w:numFmt w:val="decimal"/>
      <w:suff w:val="nothing"/>
      <w:lvlText w:val="%1、"/>
      <w:lvlJc w:val="left"/>
    </w:lvl>
  </w:abstractNum>
  <w:abstractNum w:abstractNumId="11">
    <w:nsid w:val="40055050"/>
    <w:multiLevelType w:val="multilevel"/>
    <w:tmpl w:val="40055050"/>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4222F0C1"/>
    <w:multiLevelType w:val="multilevel"/>
    <w:tmpl w:val="4222F0C1"/>
    <w:lvl w:ilvl="0" w:tentative="0">
      <w:start w:val="1"/>
      <w:numFmt w:val="decimal"/>
      <w:lvlText w:val="%1、"/>
      <w:lvlJc w:val="left"/>
      <w:pPr>
        <w:ind w:left="36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69D8432B"/>
    <w:multiLevelType w:val="multilevel"/>
    <w:tmpl w:val="69D8432B"/>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6C874723"/>
    <w:multiLevelType w:val="multilevel"/>
    <w:tmpl w:val="6C874723"/>
    <w:lvl w:ilvl="0" w:tentative="0">
      <w:start w:val="1"/>
      <w:numFmt w:val="decimal"/>
      <w:lvlText w:val="%1)"/>
      <w:lvlJc w:val="left"/>
      <w:pPr>
        <w:ind w:left="420" w:hanging="420"/>
      </w:pPr>
    </w:lvl>
    <w:lvl w:ilvl="1" w:tentative="0">
      <w:start w:val="1"/>
      <w:numFmt w:val="decimal"/>
      <w:lvlText w:val="（%2）"/>
      <w:lvlJc w:val="left"/>
      <w:pPr>
        <w:ind w:left="1140" w:hanging="7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6F65467A"/>
    <w:multiLevelType w:val="multilevel"/>
    <w:tmpl w:val="6F65467A"/>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6">
    <w:nsid w:val="70400D7B"/>
    <w:multiLevelType w:val="multilevel"/>
    <w:tmpl w:val="70400D7B"/>
    <w:lvl w:ilvl="0" w:tentative="0">
      <w:start w:val="4"/>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4"/>
  </w:num>
  <w:num w:numId="2">
    <w:abstractNumId w:val="3"/>
  </w:num>
  <w:num w:numId="3">
    <w:abstractNumId w:val="5"/>
  </w:num>
  <w:num w:numId="4">
    <w:abstractNumId w:val="14"/>
  </w:num>
  <w:num w:numId="5">
    <w:abstractNumId w:val="2"/>
  </w:num>
  <w:num w:numId="6">
    <w:abstractNumId w:val="9"/>
  </w:num>
  <w:num w:numId="7">
    <w:abstractNumId w:val="11"/>
  </w:num>
  <w:num w:numId="8">
    <w:abstractNumId w:val="13"/>
  </w:num>
  <w:num w:numId="9">
    <w:abstractNumId w:val="16"/>
  </w:num>
  <w:num w:numId="10">
    <w:abstractNumId w:val="10"/>
  </w:num>
  <w:num w:numId="11">
    <w:abstractNumId w:val="0"/>
  </w:num>
  <w:num w:numId="12">
    <w:abstractNumId w:val="12"/>
  </w:num>
  <w:num w:numId="13">
    <w:abstractNumId w:val="7"/>
  </w:num>
  <w:num w:numId="14">
    <w:abstractNumId w:val="8"/>
  </w:num>
  <w:num w:numId="15">
    <w:abstractNumId w:val="6"/>
  </w:num>
  <w:num w:numId="16">
    <w:abstractNumId w:val="1"/>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4"/>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M5MTQ4MmM2MTBmZWJhMDZlN2ZmN2I5YjA3MWY1M2QifQ=="/>
  </w:docVars>
  <w:rsids>
    <w:rsidRoot w:val="001952EB"/>
    <w:rsid w:val="00013B39"/>
    <w:rsid w:val="000E4949"/>
    <w:rsid w:val="001072B8"/>
    <w:rsid w:val="00135A85"/>
    <w:rsid w:val="001833E6"/>
    <w:rsid w:val="001952EB"/>
    <w:rsid w:val="001B3DA2"/>
    <w:rsid w:val="001D26AF"/>
    <w:rsid w:val="001D4FA7"/>
    <w:rsid w:val="001F0AD9"/>
    <w:rsid w:val="00254B4D"/>
    <w:rsid w:val="002D1CE3"/>
    <w:rsid w:val="0031744D"/>
    <w:rsid w:val="00324D88"/>
    <w:rsid w:val="0033536F"/>
    <w:rsid w:val="003357B3"/>
    <w:rsid w:val="003B4CFD"/>
    <w:rsid w:val="003B7DE9"/>
    <w:rsid w:val="003C1160"/>
    <w:rsid w:val="003E2926"/>
    <w:rsid w:val="003E3580"/>
    <w:rsid w:val="00404125"/>
    <w:rsid w:val="0041554D"/>
    <w:rsid w:val="004206DF"/>
    <w:rsid w:val="004245A4"/>
    <w:rsid w:val="00424A29"/>
    <w:rsid w:val="00445302"/>
    <w:rsid w:val="00452BAD"/>
    <w:rsid w:val="00473578"/>
    <w:rsid w:val="004752B8"/>
    <w:rsid w:val="004927C7"/>
    <w:rsid w:val="004A4F10"/>
    <w:rsid w:val="004B0692"/>
    <w:rsid w:val="004E68D1"/>
    <w:rsid w:val="004F7591"/>
    <w:rsid w:val="0053685D"/>
    <w:rsid w:val="00540B99"/>
    <w:rsid w:val="00571012"/>
    <w:rsid w:val="00597B92"/>
    <w:rsid w:val="005B34F4"/>
    <w:rsid w:val="005F4869"/>
    <w:rsid w:val="005F77C7"/>
    <w:rsid w:val="005F793A"/>
    <w:rsid w:val="00607B7D"/>
    <w:rsid w:val="00614577"/>
    <w:rsid w:val="00623F1B"/>
    <w:rsid w:val="006743E6"/>
    <w:rsid w:val="006865B5"/>
    <w:rsid w:val="00692379"/>
    <w:rsid w:val="006B3AFD"/>
    <w:rsid w:val="006C1E75"/>
    <w:rsid w:val="006E4717"/>
    <w:rsid w:val="007066DE"/>
    <w:rsid w:val="00707104"/>
    <w:rsid w:val="00726422"/>
    <w:rsid w:val="0073074C"/>
    <w:rsid w:val="00796A35"/>
    <w:rsid w:val="007D19E3"/>
    <w:rsid w:val="00800053"/>
    <w:rsid w:val="0081564D"/>
    <w:rsid w:val="008238C0"/>
    <w:rsid w:val="00823DF4"/>
    <w:rsid w:val="0084158F"/>
    <w:rsid w:val="00862322"/>
    <w:rsid w:val="00864BB7"/>
    <w:rsid w:val="00897BC9"/>
    <w:rsid w:val="008C2B4D"/>
    <w:rsid w:val="008D5145"/>
    <w:rsid w:val="008E6BDA"/>
    <w:rsid w:val="00912FB6"/>
    <w:rsid w:val="009227A6"/>
    <w:rsid w:val="00952262"/>
    <w:rsid w:val="009738E7"/>
    <w:rsid w:val="0099019F"/>
    <w:rsid w:val="009926E8"/>
    <w:rsid w:val="009A0165"/>
    <w:rsid w:val="009A2377"/>
    <w:rsid w:val="009D67E5"/>
    <w:rsid w:val="009F3B37"/>
    <w:rsid w:val="00A42231"/>
    <w:rsid w:val="00A45752"/>
    <w:rsid w:val="00A5250B"/>
    <w:rsid w:val="00A7569E"/>
    <w:rsid w:val="00A963E3"/>
    <w:rsid w:val="00AC0882"/>
    <w:rsid w:val="00B044DF"/>
    <w:rsid w:val="00B35D3C"/>
    <w:rsid w:val="00B47ECE"/>
    <w:rsid w:val="00B50BDB"/>
    <w:rsid w:val="00B55203"/>
    <w:rsid w:val="00B84153"/>
    <w:rsid w:val="00B962A4"/>
    <w:rsid w:val="00BB377B"/>
    <w:rsid w:val="00BB7AB0"/>
    <w:rsid w:val="00BF7324"/>
    <w:rsid w:val="00C11DC7"/>
    <w:rsid w:val="00C51A97"/>
    <w:rsid w:val="00C57819"/>
    <w:rsid w:val="00C621FB"/>
    <w:rsid w:val="00C73EEF"/>
    <w:rsid w:val="00C91786"/>
    <w:rsid w:val="00CB0909"/>
    <w:rsid w:val="00CB2FAB"/>
    <w:rsid w:val="00CB4FF7"/>
    <w:rsid w:val="00CD40BF"/>
    <w:rsid w:val="00CF5F38"/>
    <w:rsid w:val="00D01A8B"/>
    <w:rsid w:val="00D1692E"/>
    <w:rsid w:val="00D318DC"/>
    <w:rsid w:val="00D573DA"/>
    <w:rsid w:val="00D62D0B"/>
    <w:rsid w:val="00D82D33"/>
    <w:rsid w:val="00D83EC1"/>
    <w:rsid w:val="00D977C1"/>
    <w:rsid w:val="00DB116B"/>
    <w:rsid w:val="00DC4036"/>
    <w:rsid w:val="00DC4B4F"/>
    <w:rsid w:val="00E05F56"/>
    <w:rsid w:val="00E2266E"/>
    <w:rsid w:val="00E32478"/>
    <w:rsid w:val="00E46F2F"/>
    <w:rsid w:val="00E865B7"/>
    <w:rsid w:val="00EB401A"/>
    <w:rsid w:val="00EB6063"/>
    <w:rsid w:val="00ED0514"/>
    <w:rsid w:val="00ED6219"/>
    <w:rsid w:val="00ED6499"/>
    <w:rsid w:val="00EF2267"/>
    <w:rsid w:val="00F13428"/>
    <w:rsid w:val="00F20755"/>
    <w:rsid w:val="00F37E7A"/>
    <w:rsid w:val="00F565FC"/>
    <w:rsid w:val="00FC206D"/>
    <w:rsid w:val="00FC6634"/>
    <w:rsid w:val="00FE2A61"/>
    <w:rsid w:val="00FE3135"/>
    <w:rsid w:val="00FE4C28"/>
    <w:rsid w:val="00FF679A"/>
    <w:rsid w:val="012E64AE"/>
    <w:rsid w:val="015A62EC"/>
    <w:rsid w:val="01BB5A85"/>
    <w:rsid w:val="01EB45BC"/>
    <w:rsid w:val="021653B1"/>
    <w:rsid w:val="028B18FB"/>
    <w:rsid w:val="030671D3"/>
    <w:rsid w:val="031713E0"/>
    <w:rsid w:val="03A53B02"/>
    <w:rsid w:val="040320C1"/>
    <w:rsid w:val="04651CD8"/>
    <w:rsid w:val="049238B9"/>
    <w:rsid w:val="04C61C92"/>
    <w:rsid w:val="04F217BD"/>
    <w:rsid w:val="0532605E"/>
    <w:rsid w:val="05557F9E"/>
    <w:rsid w:val="05C018BB"/>
    <w:rsid w:val="05F94DCD"/>
    <w:rsid w:val="06A50AB1"/>
    <w:rsid w:val="06D16412"/>
    <w:rsid w:val="06EF19B3"/>
    <w:rsid w:val="071E4497"/>
    <w:rsid w:val="07941252"/>
    <w:rsid w:val="07C338E5"/>
    <w:rsid w:val="08145C55"/>
    <w:rsid w:val="081D0304"/>
    <w:rsid w:val="081E0B1B"/>
    <w:rsid w:val="0A9E7CF1"/>
    <w:rsid w:val="0AD230E7"/>
    <w:rsid w:val="0B2C17A1"/>
    <w:rsid w:val="0B5931B5"/>
    <w:rsid w:val="0B9C06D5"/>
    <w:rsid w:val="0BA61553"/>
    <w:rsid w:val="0BBA6DAD"/>
    <w:rsid w:val="0C1A4568"/>
    <w:rsid w:val="0C252478"/>
    <w:rsid w:val="0CEC568C"/>
    <w:rsid w:val="0D344206"/>
    <w:rsid w:val="0D951880"/>
    <w:rsid w:val="0DC40E67"/>
    <w:rsid w:val="0DD1707A"/>
    <w:rsid w:val="0DDA1988"/>
    <w:rsid w:val="0E941B37"/>
    <w:rsid w:val="0EA0228A"/>
    <w:rsid w:val="0F236D48"/>
    <w:rsid w:val="0FA25CB6"/>
    <w:rsid w:val="0FCB1589"/>
    <w:rsid w:val="0FD66B52"/>
    <w:rsid w:val="0FDC3796"/>
    <w:rsid w:val="102F7D69"/>
    <w:rsid w:val="1045758D"/>
    <w:rsid w:val="10AC13BA"/>
    <w:rsid w:val="10D46538"/>
    <w:rsid w:val="11032FA4"/>
    <w:rsid w:val="114F61E9"/>
    <w:rsid w:val="11CC2939"/>
    <w:rsid w:val="11DC5CCF"/>
    <w:rsid w:val="12BD67FA"/>
    <w:rsid w:val="13E06553"/>
    <w:rsid w:val="14373691"/>
    <w:rsid w:val="147E7AB8"/>
    <w:rsid w:val="148B12E6"/>
    <w:rsid w:val="14A236A2"/>
    <w:rsid w:val="151272D5"/>
    <w:rsid w:val="156F6E5A"/>
    <w:rsid w:val="158C5316"/>
    <w:rsid w:val="15BC1451"/>
    <w:rsid w:val="177E27EA"/>
    <w:rsid w:val="17AC6144"/>
    <w:rsid w:val="18030F95"/>
    <w:rsid w:val="189A41EE"/>
    <w:rsid w:val="18A60DE5"/>
    <w:rsid w:val="18D24B39"/>
    <w:rsid w:val="18E37A50"/>
    <w:rsid w:val="19041E3D"/>
    <w:rsid w:val="193D0126"/>
    <w:rsid w:val="19FC6DC8"/>
    <w:rsid w:val="1A21737F"/>
    <w:rsid w:val="1A802D4E"/>
    <w:rsid w:val="1B273FC4"/>
    <w:rsid w:val="1BA07D6D"/>
    <w:rsid w:val="1C192ED9"/>
    <w:rsid w:val="1C597F1C"/>
    <w:rsid w:val="1C9A5DB1"/>
    <w:rsid w:val="1D080CD5"/>
    <w:rsid w:val="1D3E15EC"/>
    <w:rsid w:val="1D70551D"/>
    <w:rsid w:val="1DB775F0"/>
    <w:rsid w:val="1DEB7F04"/>
    <w:rsid w:val="1E3C3CF9"/>
    <w:rsid w:val="1F076C3D"/>
    <w:rsid w:val="1F212F73"/>
    <w:rsid w:val="1F69491A"/>
    <w:rsid w:val="1F722C30"/>
    <w:rsid w:val="1F861028"/>
    <w:rsid w:val="1FA00139"/>
    <w:rsid w:val="1FE04422"/>
    <w:rsid w:val="205B0707"/>
    <w:rsid w:val="20A0436C"/>
    <w:rsid w:val="20B86EF1"/>
    <w:rsid w:val="20FE0493"/>
    <w:rsid w:val="21B46D08"/>
    <w:rsid w:val="21C2005C"/>
    <w:rsid w:val="22162B37"/>
    <w:rsid w:val="22682C67"/>
    <w:rsid w:val="226E2973"/>
    <w:rsid w:val="22844E54"/>
    <w:rsid w:val="22A16179"/>
    <w:rsid w:val="22AA1044"/>
    <w:rsid w:val="22AC349C"/>
    <w:rsid w:val="233174FD"/>
    <w:rsid w:val="233D692C"/>
    <w:rsid w:val="235C3FCE"/>
    <w:rsid w:val="23DC4AE4"/>
    <w:rsid w:val="2405470E"/>
    <w:rsid w:val="241035B6"/>
    <w:rsid w:val="24792274"/>
    <w:rsid w:val="24CA7C09"/>
    <w:rsid w:val="24F543D8"/>
    <w:rsid w:val="25453733"/>
    <w:rsid w:val="25787C65"/>
    <w:rsid w:val="25A10BE7"/>
    <w:rsid w:val="25A5095F"/>
    <w:rsid w:val="26634B74"/>
    <w:rsid w:val="26BC78C5"/>
    <w:rsid w:val="26CC5EBA"/>
    <w:rsid w:val="26D24169"/>
    <w:rsid w:val="26E76BC5"/>
    <w:rsid w:val="278E2FB5"/>
    <w:rsid w:val="27A635DC"/>
    <w:rsid w:val="27D838A4"/>
    <w:rsid w:val="27DF40A6"/>
    <w:rsid w:val="28291CBC"/>
    <w:rsid w:val="2849353B"/>
    <w:rsid w:val="288E0F4E"/>
    <w:rsid w:val="28BD6C52"/>
    <w:rsid w:val="28DE0127"/>
    <w:rsid w:val="28F33FB6"/>
    <w:rsid w:val="2903193C"/>
    <w:rsid w:val="294F692F"/>
    <w:rsid w:val="298E7457"/>
    <w:rsid w:val="29BD43CB"/>
    <w:rsid w:val="29DA4644"/>
    <w:rsid w:val="2A2878AC"/>
    <w:rsid w:val="2A3D2C2B"/>
    <w:rsid w:val="2A742AF1"/>
    <w:rsid w:val="2AC944BF"/>
    <w:rsid w:val="2B231894"/>
    <w:rsid w:val="2B7F1994"/>
    <w:rsid w:val="2BFE0825"/>
    <w:rsid w:val="2C9E3E55"/>
    <w:rsid w:val="2D6842F7"/>
    <w:rsid w:val="2DE7182C"/>
    <w:rsid w:val="2E233100"/>
    <w:rsid w:val="2E3C11CC"/>
    <w:rsid w:val="2E5C3FC8"/>
    <w:rsid w:val="2F0B055E"/>
    <w:rsid w:val="2F22268D"/>
    <w:rsid w:val="2F587D86"/>
    <w:rsid w:val="30556F21"/>
    <w:rsid w:val="305F7D9F"/>
    <w:rsid w:val="30A21A3A"/>
    <w:rsid w:val="30A734F4"/>
    <w:rsid w:val="30AA6065"/>
    <w:rsid w:val="311C359A"/>
    <w:rsid w:val="312D6597"/>
    <w:rsid w:val="31BD2FCF"/>
    <w:rsid w:val="321E63D2"/>
    <w:rsid w:val="32422174"/>
    <w:rsid w:val="33134959"/>
    <w:rsid w:val="337C2A16"/>
    <w:rsid w:val="33CD0761"/>
    <w:rsid w:val="34C208FD"/>
    <w:rsid w:val="34DF462E"/>
    <w:rsid w:val="34EA50C0"/>
    <w:rsid w:val="34F767F8"/>
    <w:rsid w:val="35571045"/>
    <w:rsid w:val="35B423F0"/>
    <w:rsid w:val="35D8218E"/>
    <w:rsid w:val="3627057D"/>
    <w:rsid w:val="366A70B2"/>
    <w:rsid w:val="36963DEF"/>
    <w:rsid w:val="3834566E"/>
    <w:rsid w:val="38A10829"/>
    <w:rsid w:val="38C66880"/>
    <w:rsid w:val="38E030B7"/>
    <w:rsid w:val="39882115"/>
    <w:rsid w:val="39DA0497"/>
    <w:rsid w:val="3A1954F0"/>
    <w:rsid w:val="3B9D5C20"/>
    <w:rsid w:val="3BEC625F"/>
    <w:rsid w:val="3C35255E"/>
    <w:rsid w:val="3C526CEF"/>
    <w:rsid w:val="3C74072E"/>
    <w:rsid w:val="3C752336"/>
    <w:rsid w:val="3CA64660"/>
    <w:rsid w:val="3CE542E3"/>
    <w:rsid w:val="3D1D0DC6"/>
    <w:rsid w:val="3D5C3C87"/>
    <w:rsid w:val="3D8A2493"/>
    <w:rsid w:val="3D936F1B"/>
    <w:rsid w:val="3DD6235F"/>
    <w:rsid w:val="3DF45843"/>
    <w:rsid w:val="3E1D4DF6"/>
    <w:rsid w:val="3E2A15EB"/>
    <w:rsid w:val="3E530817"/>
    <w:rsid w:val="3E6C7122"/>
    <w:rsid w:val="3E7A6527"/>
    <w:rsid w:val="3F6A2774"/>
    <w:rsid w:val="40502C44"/>
    <w:rsid w:val="409217D2"/>
    <w:rsid w:val="41320BB8"/>
    <w:rsid w:val="41AD6FB9"/>
    <w:rsid w:val="41E06CA1"/>
    <w:rsid w:val="42A258CA"/>
    <w:rsid w:val="42BC2FBE"/>
    <w:rsid w:val="42BF647C"/>
    <w:rsid w:val="42F82EF9"/>
    <w:rsid w:val="435766B4"/>
    <w:rsid w:val="435C1F1C"/>
    <w:rsid w:val="435C378C"/>
    <w:rsid w:val="436332AB"/>
    <w:rsid w:val="43713C1A"/>
    <w:rsid w:val="439E311C"/>
    <w:rsid w:val="439E42E3"/>
    <w:rsid w:val="43D23F8D"/>
    <w:rsid w:val="43EC504E"/>
    <w:rsid w:val="43F32881"/>
    <w:rsid w:val="43FE09F1"/>
    <w:rsid w:val="45DA134D"/>
    <w:rsid w:val="46001224"/>
    <w:rsid w:val="48284AC3"/>
    <w:rsid w:val="48651873"/>
    <w:rsid w:val="489C7CD9"/>
    <w:rsid w:val="48B6702D"/>
    <w:rsid w:val="48DF0D9B"/>
    <w:rsid w:val="49331971"/>
    <w:rsid w:val="493A4AAE"/>
    <w:rsid w:val="49690EEF"/>
    <w:rsid w:val="4A0F1A96"/>
    <w:rsid w:val="4A173C81"/>
    <w:rsid w:val="4A6F415E"/>
    <w:rsid w:val="4AF313B8"/>
    <w:rsid w:val="4B121E1D"/>
    <w:rsid w:val="4B2F5970"/>
    <w:rsid w:val="4B3A7D5F"/>
    <w:rsid w:val="4B4340EE"/>
    <w:rsid w:val="4B4A5BD5"/>
    <w:rsid w:val="4B5D6832"/>
    <w:rsid w:val="4C0D3812"/>
    <w:rsid w:val="4C765DFD"/>
    <w:rsid w:val="4C7B30E7"/>
    <w:rsid w:val="4CD174D7"/>
    <w:rsid w:val="4CE07CE4"/>
    <w:rsid w:val="4D5325E2"/>
    <w:rsid w:val="4D9A7089"/>
    <w:rsid w:val="4DB1031F"/>
    <w:rsid w:val="4DD74FC1"/>
    <w:rsid w:val="4DDD3C5A"/>
    <w:rsid w:val="4E382CD0"/>
    <w:rsid w:val="4E507249"/>
    <w:rsid w:val="4E636855"/>
    <w:rsid w:val="4E964534"/>
    <w:rsid w:val="4EA10119"/>
    <w:rsid w:val="4F457D08"/>
    <w:rsid w:val="4F710CB4"/>
    <w:rsid w:val="4FC53CB2"/>
    <w:rsid w:val="4FED287A"/>
    <w:rsid w:val="50626BDB"/>
    <w:rsid w:val="50807F48"/>
    <w:rsid w:val="509D63B8"/>
    <w:rsid w:val="50A051D9"/>
    <w:rsid w:val="50AA2BB9"/>
    <w:rsid w:val="50F11EF6"/>
    <w:rsid w:val="51C25F6B"/>
    <w:rsid w:val="51C40829"/>
    <w:rsid w:val="51DA038A"/>
    <w:rsid w:val="528D20F2"/>
    <w:rsid w:val="529A71E3"/>
    <w:rsid w:val="52C4236F"/>
    <w:rsid w:val="537F32FD"/>
    <w:rsid w:val="53AF2DC7"/>
    <w:rsid w:val="55342CF9"/>
    <w:rsid w:val="55E069DD"/>
    <w:rsid w:val="55F85AD5"/>
    <w:rsid w:val="56A96DCF"/>
    <w:rsid w:val="56D25AE4"/>
    <w:rsid w:val="56D6198C"/>
    <w:rsid w:val="58490869"/>
    <w:rsid w:val="58615BB3"/>
    <w:rsid w:val="5886386C"/>
    <w:rsid w:val="589E4B0B"/>
    <w:rsid w:val="58E92337"/>
    <w:rsid w:val="591250FF"/>
    <w:rsid w:val="591A3FB4"/>
    <w:rsid w:val="59213B4F"/>
    <w:rsid w:val="5952374E"/>
    <w:rsid w:val="59B15914"/>
    <w:rsid w:val="59D6612D"/>
    <w:rsid w:val="59E0440D"/>
    <w:rsid w:val="5A8703E3"/>
    <w:rsid w:val="5B1E5195"/>
    <w:rsid w:val="5B637846"/>
    <w:rsid w:val="5D535CE6"/>
    <w:rsid w:val="5DC664B8"/>
    <w:rsid w:val="5DE5254C"/>
    <w:rsid w:val="5DFA34A7"/>
    <w:rsid w:val="5EA02006"/>
    <w:rsid w:val="5EE50BC0"/>
    <w:rsid w:val="5FC15189"/>
    <w:rsid w:val="5FCD3B2E"/>
    <w:rsid w:val="60410761"/>
    <w:rsid w:val="6042276E"/>
    <w:rsid w:val="60A37BA7"/>
    <w:rsid w:val="611F1828"/>
    <w:rsid w:val="61356637"/>
    <w:rsid w:val="61862D3B"/>
    <w:rsid w:val="61F21F72"/>
    <w:rsid w:val="62131FDF"/>
    <w:rsid w:val="623C4F9B"/>
    <w:rsid w:val="624A3B5C"/>
    <w:rsid w:val="625B18C5"/>
    <w:rsid w:val="62D11B87"/>
    <w:rsid w:val="63071A4D"/>
    <w:rsid w:val="638F6855"/>
    <w:rsid w:val="64316F73"/>
    <w:rsid w:val="646F1658"/>
    <w:rsid w:val="647B3664"/>
    <w:rsid w:val="64E9765C"/>
    <w:rsid w:val="65A768B8"/>
    <w:rsid w:val="65CD2ADA"/>
    <w:rsid w:val="662345DE"/>
    <w:rsid w:val="662E3DF7"/>
    <w:rsid w:val="66AA1C4E"/>
    <w:rsid w:val="66D70853"/>
    <w:rsid w:val="67053791"/>
    <w:rsid w:val="675B5E27"/>
    <w:rsid w:val="677874C4"/>
    <w:rsid w:val="67966EFB"/>
    <w:rsid w:val="68490412"/>
    <w:rsid w:val="694A0675"/>
    <w:rsid w:val="696F0CC6"/>
    <w:rsid w:val="698F0E1A"/>
    <w:rsid w:val="699D0149"/>
    <w:rsid w:val="69BD4C87"/>
    <w:rsid w:val="6A5A06B4"/>
    <w:rsid w:val="6B1E7934"/>
    <w:rsid w:val="6B7E4E32"/>
    <w:rsid w:val="6B7E57AC"/>
    <w:rsid w:val="6B851761"/>
    <w:rsid w:val="6D0503EF"/>
    <w:rsid w:val="6D1074B7"/>
    <w:rsid w:val="6D4573FA"/>
    <w:rsid w:val="6D55726D"/>
    <w:rsid w:val="6DF37070"/>
    <w:rsid w:val="6E494CC8"/>
    <w:rsid w:val="6E6D24C9"/>
    <w:rsid w:val="6EB034E3"/>
    <w:rsid w:val="6EE3511C"/>
    <w:rsid w:val="6F235519"/>
    <w:rsid w:val="6F347726"/>
    <w:rsid w:val="6F453775"/>
    <w:rsid w:val="6FDB2297"/>
    <w:rsid w:val="7029696E"/>
    <w:rsid w:val="70651B61"/>
    <w:rsid w:val="70CE3BAA"/>
    <w:rsid w:val="70E909E4"/>
    <w:rsid w:val="70EB475C"/>
    <w:rsid w:val="7103545D"/>
    <w:rsid w:val="717C3606"/>
    <w:rsid w:val="71C8684B"/>
    <w:rsid w:val="71F413EE"/>
    <w:rsid w:val="720B0CA3"/>
    <w:rsid w:val="72330169"/>
    <w:rsid w:val="72A66B8C"/>
    <w:rsid w:val="73463ECB"/>
    <w:rsid w:val="73D70FC8"/>
    <w:rsid w:val="74F83D3C"/>
    <w:rsid w:val="75A237BC"/>
    <w:rsid w:val="75C64E50"/>
    <w:rsid w:val="75D7705D"/>
    <w:rsid w:val="76127EB1"/>
    <w:rsid w:val="763C15B6"/>
    <w:rsid w:val="76E9529A"/>
    <w:rsid w:val="76ED5DE2"/>
    <w:rsid w:val="76F36118"/>
    <w:rsid w:val="7722255A"/>
    <w:rsid w:val="77512E3F"/>
    <w:rsid w:val="777A4144"/>
    <w:rsid w:val="785D5F3F"/>
    <w:rsid w:val="786A5421"/>
    <w:rsid w:val="78EB0CCF"/>
    <w:rsid w:val="794C38BE"/>
    <w:rsid w:val="797F5A41"/>
    <w:rsid w:val="79870D9A"/>
    <w:rsid w:val="79FC52E4"/>
    <w:rsid w:val="7A396F0A"/>
    <w:rsid w:val="7A6335B5"/>
    <w:rsid w:val="7A6D02E7"/>
    <w:rsid w:val="7A9476C0"/>
    <w:rsid w:val="7AB8743D"/>
    <w:rsid w:val="7C084414"/>
    <w:rsid w:val="7C1A5EF5"/>
    <w:rsid w:val="7C1F72C7"/>
    <w:rsid w:val="7C4411C4"/>
    <w:rsid w:val="7C4B3B0B"/>
    <w:rsid w:val="7C6149D1"/>
    <w:rsid w:val="7CCF6CE0"/>
    <w:rsid w:val="7CD41461"/>
    <w:rsid w:val="7D1172F8"/>
    <w:rsid w:val="7D2955BD"/>
    <w:rsid w:val="7D3134F6"/>
    <w:rsid w:val="7D5B0575"/>
    <w:rsid w:val="7D694996"/>
    <w:rsid w:val="7F1C505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99"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qFormat="1" w:unhideWhenUsed="0" w:uiPriority="99"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3"/>
    <w:basedOn w:val="1"/>
    <w:next w:val="1"/>
    <w:qFormat/>
    <w:uiPriority w:val="0"/>
    <w:pPr>
      <w:keepNext/>
      <w:keepLines/>
      <w:spacing w:before="260" w:beforeLines="0" w:after="260" w:afterLines="0" w:line="415" w:lineRule="auto"/>
      <w:ind w:firstLine="137" w:firstLineChars="49"/>
      <w:outlineLvl w:val="2"/>
    </w:pPr>
    <w:rPr>
      <w:rFonts w:ascii="黑体" w:hAnsi="宋体" w:eastAsia="黑体"/>
      <w:bCs/>
      <w:sz w:val="28"/>
      <w:szCs w:val="28"/>
    </w:rPr>
  </w:style>
  <w:style w:type="character" w:default="1" w:styleId="13">
    <w:name w:val="Default Paragraph Font"/>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20"/>
    <w:semiHidden/>
    <w:qFormat/>
    <w:uiPriority w:val="99"/>
    <w:pPr>
      <w:jc w:val="left"/>
    </w:pPr>
    <w:rPr>
      <w:rFonts w:ascii="Times New Roman" w:hAnsi="Times New Roman" w:eastAsia="宋体" w:cs="Times New Roman"/>
      <w:szCs w:val="24"/>
    </w:rPr>
  </w:style>
  <w:style w:type="paragraph" w:styleId="4">
    <w:name w:val="Body Text Indent"/>
    <w:basedOn w:val="1"/>
    <w:qFormat/>
    <w:uiPriority w:val="0"/>
    <w:pPr>
      <w:spacing w:after="120" w:afterLines="0"/>
      <w:ind w:left="420" w:leftChars="200"/>
    </w:pPr>
  </w:style>
  <w:style w:type="paragraph" w:styleId="5">
    <w:name w:val="Body Text Indent 2"/>
    <w:basedOn w:val="1"/>
    <w:link w:val="17"/>
    <w:qFormat/>
    <w:uiPriority w:val="99"/>
    <w:pPr>
      <w:spacing w:line="360" w:lineRule="auto"/>
      <w:ind w:left="601" w:leftChars="286" w:firstLine="1"/>
    </w:pPr>
    <w:rPr>
      <w:rFonts w:ascii="宋体" w:hAnsi="Times New Roman" w:eastAsia="宋体" w:cs="Times New Roman"/>
      <w:spacing w:val="8"/>
      <w:sz w:val="24"/>
      <w:szCs w:val="24"/>
    </w:rPr>
  </w:style>
  <w:style w:type="paragraph" w:styleId="6">
    <w:name w:val="Balloon Text"/>
    <w:basedOn w:val="1"/>
    <w:link w:val="24"/>
    <w:semiHidden/>
    <w:unhideWhenUsed/>
    <w:qFormat/>
    <w:uiPriority w:val="99"/>
    <w:rPr>
      <w:sz w:val="18"/>
      <w:szCs w:val="18"/>
    </w:rPr>
  </w:style>
  <w:style w:type="paragraph" w:styleId="7">
    <w:name w:val="footer"/>
    <w:basedOn w:val="1"/>
    <w:link w:val="22"/>
    <w:qFormat/>
    <w:uiPriority w:val="99"/>
    <w:pPr>
      <w:tabs>
        <w:tab w:val="center" w:pos="4153"/>
        <w:tab w:val="right" w:pos="8306"/>
      </w:tabs>
      <w:snapToGrid w:val="0"/>
      <w:jc w:val="left"/>
    </w:pPr>
    <w:rPr>
      <w:rFonts w:ascii="Times New Roman" w:hAnsi="Times New Roman" w:eastAsia="宋体" w:cs="Times New Roman"/>
      <w:sz w:val="18"/>
      <w:szCs w:val="18"/>
    </w:rPr>
  </w:style>
  <w:style w:type="paragraph" w:styleId="8">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99"/>
    <w:pPr>
      <w:spacing w:before="100" w:beforeAutospacing="1" w:after="100" w:afterAutospacing="1"/>
      <w:jc w:val="left"/>
    </w:pPr>
    <w:rPr>
      <w:rFonts w:ascii="Times New Roman" w:hAnsi="Times New Roman" w:eastAsia="宋体" w:cs="Times New Roman"/>
      <w:kern w:val="0"/>
      <w:sz w:val="24"/>
      <w:szCs w:val="24"/>
    </w:rPr>
  </w:style>
  <w:style w:type="paragraph" w:styleId="10">
    <w:name w:val="Body Text First Indent 2"/>
    <w:basedOn w:val="4"/>
    <w:qFormat/>
    <w:uiPriority w:val="99"/>
    <w:pPr>
      <w:adjustRightInd w:val="0"/>
      <w:ind w:firstLine="420" w:firstLineChars="200"/>
      <w:jc w:val="left"/>
      <w:textAlignment w:val="baseline"/>
    </w:pPr>
    <w:rPr>
      <w:rFonts w:ascii="MingLiU" w:eastAsia="MingLiU"/>
      <w:lang w:eastAsia="zh-TW"/>
    </w:rPr>
  </w:style>
  <w:style w:type="table" w:styleId="12">
    <w:name w:val="Table Grid"/>
    <w:basedOn w:val="11"/>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page number"/>
    <w:qFormat/>
    <w:uiPriority w:val="0"/>
  </w:style>
  <w:style w:type="character" w:styleId="15">
    <w:name w:val="Hyperlink"/>
    <w:basedOn w:val="13"/>
    <w:qFormat/>
    <w:uiPriority w:val="99"/>
    <w:rPr>
      <w:color w:val="0000FF"/>
      <w:u w:val="single"/>
    </w:rPr>
  </w:style>
  <w:style w:type="paragraph" w:customStyle="1" w:styleId="16">
    <w:name w:val="msolistparagraph"/>
    <w:basedOn w:val="1"/>
    <w:qFormat/>
    <w:uiPriority w:val="0"/>
    <w:pPr>
      <w:ind w:firstLine="420" w:firstLineChars="200"/>
    </w:pPr>
    <w:rPr>
      <w:rFonts w:ascii="Calibri" w:hAnsi="Calibri"/>
      <w:szCs w:val="22"/>
    </w:rPr>
  </w:style>
  <w:style w:type="character" w:customStyle="1" w:styleId="17">
    <w:name w:val="正文文本缩进 2 字符"/>
    <w:basedOn w:val="13"/>
    <w:link w:val="5"/>
    <w:qFormat/>
    <w:uiPriority w:val="99"/>
    <w:rPr>
      <w:rFonts w:ascii="宋体" w:hAnsi="Times New Roman" w:eastAsia="宋体" w:cs="Times New Roman"/>
      <w:spacing w:val="8"/>
      <w:sz w:val="24"/>
      <w:szCs w:val="24"/>
    </w:rPr>
  </w:style>
  <w:style w:type="paragraph" w:styleId="18">
    <w:name w:val="List Paragraph"/>
    <w:basedOn w:val="1"/>
    <w:qFormat/>
    <w:uiPriority w:val="34"/>
    <w:pPr>
      <w:ind w:firstLine="420" w:firstLineChars="200"/>
    </w:pPr>
  </w:style>
  <w:style w:type="character" w:customStyle="1" w:styleId="19">
    <w:name w:val="页眉 字符"/>
    <w:basedOn w:val="13"/>
    <w:link w:val="8"/>
    <w:qFormat/>
    <w:uiPriority w:val="99"/>
    <w:rPr>
      <w:sz w:val="18"/>
      <w:szCs w:val="18"/>
    </w:rPr>
  </w:style>
  <w:style w:type="character" w:customStyle="1" w:styleId="20">
    <w:name w:val="批注文字 字符"/>
    <w:basedOn w:val="13"/>
    <w:link w:val="3"/>
    <w:semiHidden/>
    <w:qFormat/>
    <w:uiPriority w:val="99"/>
    <w:rPr>
      <w:rFonts w:ascii="Times New Roman" w:hAnsi="Times New Roman" w:eastAsia="宋体" w:cs="Times New Roman"/>
      <w:szCs w:val="24"/>
    </w:rPr>
  </w:style>
  <w:style w:type="paragraph" w:customStyle="1" w:styleId="21">
    <w:name w:val="item"/>
    <w:basedOn w:val="1"/>
    <w:qFormat/>
    <w:uiPriority w:val="0"/>
    <w:pPr>
      <w:widowControl/>
      <w:spacing w:before="100" w:beforeAutospacing="1" w:after="100" w:afterAutospacing="1"/>
      <w:jc w:val="left"/>
    </w:pPr>
    <w:rPr>
      <w:rFonts w:ascii="宋体" w:hAnsi="宋体" w:eastAsia="宋体" w:cs="宋体"/>
      <w:color w:val="000000"/>
      <w:kern w:val="0"/>
      <w:sz w:val="20"/>
      <w:szCs w:val="20"/>
    </w:rPr>
  </w:style>
  <w:style w:type="character" w:customStyle="1" w:styleId="22">
    <w:name w:val="页脚 字符"/>
    <w:basedOn w:val="13"/>
    <w:link w:val="7"/>
    <w:qFormat/>
    <w:uiPriority w:val="99"/>
    <w:rPr>
      <w:rFonts w:ascii="Times New Roman" w:hAnsi="Times New Roman" w:eastAsia="宋体" w:cs="Times New Roman"/>
      <w:sz w:val="18"/>
      <w:szCs w:val="18"/>
    </w:rPr>
  </w:style>
  <w:style w:type="paragraph" w:customStyle="1" w:styleId="23">
    <w:name w:val="标题3"/>
    <w:basedOn w:val="2"/>
    <w:qFormat/>
    <w:uiPriority w:val="0"/>
    <w:pPr>
      <w:tabs>
        <w:tab w:val="left" w:pos="720"/>
      </w:tabs>
      <w:spacing w:before="0" w:after="0" w:line="480" w:lineRule="exact"/>
      <w:ind w:left="720" w:hanging="432" w:firstLineChars="0"/>
      <w:jc w:val="left"/>
    </w:pPr>
    <w:rPr>
      <w:rFonts w:ascii="Calibri" w:hAnsi="Calibri" w:eastAsia="宋体"/>
      <w:b/>
      <w:kern w:val="0"/>
    </w:rPr>
  </w:style>
  <w:style w:type="character" w:customStyle="1" w:styleId="24">
    <w:name w:val="批注框文本 字符"/>
    <w:basedOn w:val="13"/>
    <w:link w:val="6"/>
    <w:semiHidden/>
    <w:qFormat/>
    <w:uiPriority w:val="99"/>
    <w:rPr>
      <w:sz w:val="18"/>
      <w:szCs w:val="18"/>
    </w:rPr>
  </w:style>
  <w:style w:type="paragraph" w:customStyle="1" w:styleId="25">
    <w:name w:val="正文2"/>
    <w:qFormat/>
    <w:uiPriority w:val="99"/>
    <w:pPr>
      <w:widowControl w:val="0"/>
      <w:adjustRightInd w:val="0"/>
      <w:spacing w:line="312" w:lineRule="atLeast"/>
      <w:jc w:val="both"/>
      <w:textAlignment w:val="baseline"/>
    </w:pPr>
    <w:rPr>
      <w:rFonts w:ascii="宋体" w:hAnsi="Calibri" w:eastAsia="宋体" w:cs="Times New Roman"/>
      <w:sz w:val="34"/>
      <w:lang w:val="en-US" w:eastAsia="zh-CN" w:bidi="ar-SA"/>
    </w:rPr>
  </w:style>
  <w:style w:type="paragraph" w:customStyle="1" w:styleId="26">
    <w:name w:val="修订1"/>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27">
    <w:name w:val="Schedule 4"/>
    <w:basedOn w:val="1"/>
    <w:qFormat/>
    <w:uiPriority w:val="0"/>
    <w:pPr>
      <w:widowControl/>
      <w:tabs>
        <w:tab w:val="left" w:pos="1361"/>
      </w:tabs>
      <w:spacing w:after="140" w:line="288" w:lineRule="auto"/>
      <w:ind w:left="1361"/>
      <w:outlineLvl w:val="3"/>
    </w:pPr>
    <w:rPr>
      <w:rFonts w:ascii="Arial" w:hAnsi="Arial"/>
      <w:kern w:val="20"/>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46</Pages>
  <Words>28485</Words>
  <Characters>28876</Characters>
  <TotalTime>2</TotalTime>
  <ScaleCrop>false</ScaleCrop>
  <LinksUpToDate>false</LinksUpToDate>
  <CharactersWithSpaces>29017</CharactersWithSpaces>
  <Application>WPS Office_12.1.0.20784_F1E327BC-269C-435d-A152-05C5408002CA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2025-11-04T17:11:00Z</dcterms:created>
  <dc:creator>huawei</dc:creator>
  <cp:lastModifiedBy>林家宇</cp:lastModifiedBy>
  <dcterms:modified xsi:type="dcterms:W3CDTF">2025-11-10T06:25:36Z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eyJoZGlkIjoiMzNmY2E1YzhlMmY2NTg5MGQwZWI4ZWJjOTNiM2Q5OTQiLCJ1c2VySWQiOiIyMTI4ODEwMjkifQ==</vt:lpwstr>
  </property>
  <property fmtid="{D5CDD505-2E9C-101B-9397-08002B2CF9AE}" pid="3" name="KSOProductBuildVer">
    <vt:lpwstr>2052-12.1.0.20784</vt:lpwstr>
  </property>
  <property fmtid="{D5CDD505-2E9C-101B-9397-08002B2CF9AE}" pid="4" name="ICV">
    <vt:lpwstr>42A8BE63E8324FFCBBE2CE1B8184EE79_12</vt:lpwstr>
  </property>
</Properties>
</file>