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4ECCC">
      <w:pPr>
        <w:pStyle w:val="8"/>
        <w:jc w:val="center"/>
        <w:rPr>
          <w:rFonts w:ascii="宋体" w:hAnsi="宋体" w:eastAsia="宋体"/>
          <w:spacing w:val="-4"/>
        </w:rPr>
      </w:pPr>
      <w:bookmarkStart w:id="0" w:name="_Toc25097_WPSOffice_Level2"/>
      <w:bookmarkStart w:id="1" w:name="_Toc11562_WPSOffice_Level2"/>
      <w:bookmarkStart w:id="2" w:name="_Toc27002_WPSOffice_Level2"/>
      <w:bookmarkStart w:id="3" w:name="_Toc27107_WPSOffice_Level1"/>
      <w:r>
        <w:rPr>
          <w:rFonts w:hint="eastAsia" w:ascii="宋体" w:hAnsi="宋体" w:eastAsia="宋体"/>
          <w:b/>
          <w:bCs/>
          <w:sz w:val="32"/>
          <w:szCs w:val="32"/>
        </w:rPr>
        <w:t>合同协议书</w:t>
      </w:r>
      <w:bookmarkEnd w:id="0"/>
      <w:bookmarkEnd w:id="1"/>
      <w:bookmarkEnd w:id="2"/>
    </w:p>
    <w:bookmarkEnd w:id="3"/>
    <w:p w14:paraId="7FB5C27A">
      <w:pPr>
        <w:spacing w:line="440" w:lineRule="exact"/>
        <w:rPr>
          <w:rFonts w:hint="eastAsia" w:ascii="宋体" w:hAnsi="宋体" w:cs="宋体"/>
          <w:szCs w:val="21"/>
        </w:rPr>
      </w:pPr>
    </w:p>
    <w:p w14:paraId="4EB8683C">
      <w:pPr>
        <w:keepNext w:val="0"/>
        <w:keepLines w:val="0"/>
        <w:pageBreakBefore w:val="0"/>
        <w:widowControl w:val="0"/>
        <w:kinsoku/>
        <w:wordWrap/>
        <w:overflowPunct/>
        <w:topLinePunct w:val="0"/>
        <w:autoSpaceDE/>
        <w:autoSpaceDN/>
        <w:bidi w:val="0"/>
        <w:adjustRightInd w:val="0"/>
        <w:snapToGrid/>
        <w:spacing w:after="0" w:line="460" w:lineRule="exact"/>
        <w:ind w:left="300"/>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rPr>
        <w:t>甲方（采购方）：</w:t>
      </w:r>
      <w:r>
        <w:rPr>
          <w:rFonts w:hint="eastAsia" w:ascii="宋体" w:hAnsi="宋体" w:cs="宋体"/>
          <w:b/>
          <w:bCs/>
          <w:color w:val="auto"/>
          <w:sz w:val="24"/>
          <w:szCs w:val="24"/>
          <w:lang w:val="en-US" w:eastAsia="zh-CN"/>
        </w:rPr>
        <w:t>国家税务总局保定市徐水区税务局</w:t>
      </w:r>
    </w:p>
    <w:p w14:paraId="4A0D99BC">
      <w:pPr>
        <w:keepNext w:val="0"/>
        <w:keepLines w:val="0"/>
        <w:pageBreakBefore w:val="0"/>
        <w:widowControl w:val="0"/>
        <w:kinsoku/>
        <w:wordWrap/>
        <w:overflowPunct/>
        <w:topLinePunct w:val="0"/>
        <w:autoSpaceDE/>
        <w:autoSpaceDN/>
        <w:bidi w:val="0"/>
        <w:adjustRightInd w:val="0"/>
        <w:snapToGrid/>
        <w:spacing w:after="0" w:line="460" w:lineRule="exact"/>
        <w:ind w:left="300"/>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rPr>
        <w:t>乙方（供货方）：</w:t>
      </w:r>
      <w:r>
        <w:rPr>
          <w:rFonts w:hint="eastAsia" w:ascii="宋体" w:hAnsi="宋体" w:cs="宋体"/>
          <w:b/>
          <w:bCs/>
          <w:color w:val="auto"/>
          <w:sz w:val="24"/>
          <w:szCs w:val="24"/>
          <w:lang w:val="en-US" w:eastAsia="zh-CN"/>
        </w:rPr>
        <w:t>保定市徐水区惠千家果蔬粮油超市</w:t>
      </w:r>
    </w:p>
    <w:p w14:paraId="46A2FB9A">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为明确甲乙双方的权利和义务，根据《中华人民共和国民法典》的有关规定，经双方平等协商一致，特就下列事项签订本协议书，双方承诺严格遵守，如有违反，愿承担违约责任。</w:t>
      </w:r>
    </w:p>
    <w:p w14:paraId="4DC9121D">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本协议书与下列文件一起构成合同文件：</w:t>
      </w:r>
    </w:p>
    <w:p w14:paraId="6186038F">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4" w:name="_Toc17845_WPSOffice_Level2"/>
      <w:bookmarkStart w:id="5" w:name="_Toc27161_WPSOffice_Level2"/>
      <w:bookmarkStart w:id="6" w:name="_Toc32405_WPSOffice_Level2"/>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通知书；</w:t>
      </w:r>
      <w:bookmarkEnd w:id="4"/>
      <w:bookmarkEnd w:id="5"/>
      <w:bookmarkEnd w:id="6"/>
    </w:p>
    <w:p w14:paraId="2131A8D7">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7" w:name="_Toc28974_WPSOffice_Level2"/>
      <w:bookmarkStart w:id="8" w:name="_Toc29435_WPSOffice_Level2"/>
      <w:bookmarkStart w:id="9" w:name="_Toc31362_WPSOffice_Level2"/>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文件及附件；</w:t>
      </w:r>
      <w:bookmarkEnd w:id="7"/>
      <w:bookmarkEnd w:id="8"/>
      <w:bookmarkEnd w:id="9"/>
    </w:p>
    <w:p w14:paraId="5200B8DF">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10" w:name="_Toc18217_WPSOffice_Level2"/>
      <w:bookmarkStart w:id="11" w:name="_Toc32329_WPSOffice_Level2"/>
      <w:bookmarkStart w:id="12" w:name="_Toc31418_WPSOffice_Level2"/>
      <w:r>
        <w:rPr>
          <w:rFonts w:hint="eastAsia" w:ascii="宋体" w:hAnsi="宋体" w:eastAsia="宋体" w:cs="宋体"/>
          <w:color w:val="auto"/>
          <w:sz w:val="24"/>
          <w:szCs w:val="24"/>
        </w:rPr>
        <w:t>（3）主要合同条款</w:t>
      </w:r>
      <w:bookmarkEnd w:id="10"/>
      <w:bookmarkEnd w:id="11"/>
      <w:bookmarkEnd w:id="12"/>
    </w:p>
    <w:p w14:paraId="7FC822F2">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13" w:name="_Toc19419_WPSOffice_Level2"/>
      <w:bookmarkStart w:id="14" w:name="_Toc2436_WPSOffice_Level2"/>
      <w:bookmarkStart w:id="15" w:name="_Toc31634_WPSOffice_Level2"/>
      <w:r>
        <w:rPr>
          <w:rFonts w:hint="eastAsia" w:ascii="宋体" w:hAnsi="宋体" w:eastAsia="宋体" w:cs="宋体"/>
          <w:color w:val="auto"/>
          <w:sz w:val="24"/>
          <w:szCs w:val="24"/>
        </w:rPr>
        <w:t>（4）采购明细及技术要求；</w:t>
      </w:r>
      <w:bookmarkEnd w:id="13"/>
      <w:bookmarkEnd w:id="14"/>
      <w:bookmarkEnd w:id="15"/>
    </w:p>
    <w:p w14:paraId="3F27CA1F">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16" w:name="_Toc2490_WPSOffice_Level2"/>
      <w:bookmarkStart w:id="17" w:name="_Toc20450_WPSOffice_Level2"/>
      <w:bookmarkStart w:id="18" w:name="_Toc25311_WPSOffice_Level2"/>
      <w:r>
        <w:rPr>
          <w:rFonts w:hint="eastAsia" w:ascii="宋体" w:hAnsi="宋体" w:eastAsia="宋体" w:cs="宋体"/>
          <w:color w:val="auto"/>
          <w:sz w:val="24"/>
          <w:szCs w:val="24"/>
        </w:rPr>
        <w:t>（6）本项目</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w:t>
      </w:r>
      <w:bookmarkEnd w:id="16"/>
      <w:bookmarkEnd w:id="17"/>
      <w:bookmarkEnd w:id="18"/>
    </w:p>
    <w:p w14:paraId="526CA4CF">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bookmarkStart w:id="19" w:name="_Toc10208_WPSOffice_Level2"/>
      <w:bookmarkStart w:id="20" w:name="_Toc3647_WPSOffice_Level2"/>
      <w:bookmarkStart w:id="21" w:name="_Toc6676_WPSOffice_Level2"/>
      <w:r>
        <w:rPr>
          <w:rFonts w:hint="eastAsia" w:ascii="宋体" w:hAnsi="宋体" w:eastAsia="宋体" w:cs="宋体"/>
          <w:color w:val="auto"/>
          <w:sz w:val="24"/>
          <w:szCs w:val="24"/>
        </w:rPr>
        <w:t>（7）其他合同文件。</w:t>
      </w:r>
      <w:bookmarkEnd w:id="19"/>
      <w:bookmarkEnd w:id="20"/>
      <w:bookmarkEnd w:id="21"/>
    </w:p>
    <w:p w14:paraId="100A3681">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上述文件互相补充和解释，如有不明确或不一致之处，以合同约定次序在先者为准。</w:t>
      </w:r>
    </w:p>
    <w:p w14:paraId="73752546">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一、项目概况</w:t>
      </w:r>
    </w:p>
    <w:p w14:paraId="1AEE216D">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项目名称：</w:t>
      </w:r>
      <w:r>
        <w:rPr>
          <w:rFonts w:hint="eastAsia" w:ascii="宋体" w:hAnsi="宋体" w:cs="宋体"/>
          <w:b/>
          <w:bCs/>
          <w:color w:val="auto"/>
          <w:sz w:val="24"/>
          <w:szCs w:val="24"/>
          <w:lang w:val="en-US" w:eastAsia="zh-CN"/>
        </w:rPr>
        <w:t>国家税务总局保定市徐水区税务局</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2025年食堂食材配送服务采购项目　　　　　　　　　　　</w:t>
      </w:r>
    </w:p>
    <w:p w14:paraId="1A4E9649">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服务地点</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国家税务总局徐水区税务局（徐水区振兴西路216号）</w:t>
      </w:r>
      <w:r>
        <w:rPr>
          <w:rFonts w:hint="eastAsia" w:ascii="宋体" w:hAnsi="宋体" w:eastAsia="宋体" w:cs="宋体"/>
          <w:color w:val="auto"/>
          <w:sz w:val="24"/>
          <w:szCs w:val="24"/>
          <w:lang w:val="en-US" w:eastAsia="zh-CN"/>
        </w:rPr>
        <w:t xml:space="preserve">  </w:t>
      </w:r>
    </w:p>
    <w:p w14:paraId="59681B72">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服务内容：</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禽蛋，蔬菜，水果，海鲜，乳制品，畜肉，禽肉，冷冻海鲜，干货调料等。</w:t>
      </w:r>
      <w:r>
        <w:rPr>
          <w:rFonts w:hint="eastAsia" w:ascii="宋体" w:hAnsi="宋体" w:eastAsia="宋体" w:cs="宋体"/>
          <w:color w:val="auto"/>
          <w:sz w:val="24"/>
          <w:szCs w:val="24"/>
          <w:lang w:val="en-US" w:eastAsia="zh-CN"/>
        </w:rPr>
        <w:t xml:space="preserve"> </w:t>
      </w:r>
    </w:p>
    <w:p w14:paraId="616B9B4F">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服务期限：</w:t>
      </w:r>
      <w:r>
        <w:rPr>
          <w:rFonts w:hint="eastAsia" w:ascii="宋体" w:hAnsi="宋体" w:eastAsia="宋体"/>
          <w:color w:val="auto"/>
          <w:sz w:val="24"/>
          <w:szCs w:val="24"/>
        </w:rPr>
        <w:t>自签订合同之日起</w:t>
      </w:r>
      <w:r>
        <w:rPr>
          <w:rFonts w:hint="eastAsia" w:ascii="宋体" w:hAnsi="宋体" w:eastAsia="宋体"/>
          <w:color w:val="auto"/>
          <w:sz w:val="24"/>
          <w:szCs w:val="24"/>
          <w:lang w:val="en-US" w:eastAsia="zh-CN"/>
        </w:rPr>
        <w:t>一年</w:t>
      </w:r>
      <w:r>
        <w:rPr>
          <w:rFonts w:hint="eastAsia" w:ascii="宋体" w:hAnsi="宋体" w:eastAsia="宋体"/>
          <w:color w:val="auto"/>
          <w:sz w:val="24"/>
          <w:szCs w:val="24"/>
        </w:rPr>
        <w:t>止</w:t>
      </w:r>
      <w:r>
        <w:rPr>
          <w:rFonts w:hint="eastAsia" w:ascii="宋体" w:hAnsi="宋体" w:eastAsia="宋体"/>
          <w:color w:val="auto"/>
          <w:sz w:val="24"/>
          <w:szCs w:val="24"/>
          <w:lang w:eastAsia="zh-CN"/>
        </w:rPr>
        <w:t>。</w:t>
      </w:r>
      <w:r>
        <w:rPr>
          <w:rFonts w:hint="eastAsia" w:ascii="宋体" w:hAnsi="宋体" w:eastAsia="宋体" w:cs="宋体"/>
          <w:color w:val="auto"/>
          <w:sz w:val="24"/>
          <w:szCs w:val="24"/>
          <w:u w:val="none"/>
          <w:lang w:val="en-US" w:eastAsia="zh-CN"/>
        </w:rPr>
        <w:t>从</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2025</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年</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1</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w:t>
      </w:r>
      <w:r>
        <w:rPr>
          <w:rFonts w:hint="eastAsia" w:ascii="宋体" w:hAnsi="宋体" w:cs="宋体"/>
          <w:color w:val="auto"/>
          <w:sz w:val="24"/>
          <w:szCs w:val="24"/>
          <w:u w:val="single"/>
          <w:lang w:val="en-US" w:eastAsia="zh-CN"/>
        </w:rPr>
        <w:t>1</w:t>
      </w:r>
      <w:r>
        <w:rPr>
          <w:rFonts w:hint="eastAsia" w:ascii="宋体" w:hAnsi="宋体" w:eastAsia="宋体" w:cs="宋体"/>
          <w:color w:val="auto"/>
          <w:sz w:val="24"/>
          <w:szCs w:val="24"/>
        </w:rPr>
        <w:t>日至</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2025</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31</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日止。</w:t>
      </w:r>
    </w:p>
    <w:p w14:paraId="730CB40A">
      <w:pPr>
        <w:keepNext w:val="0"/>
        <w:keepLines w:val="0"/>
        <w:pageBreakBefore w:val="0"/>
        <w:widowControl w:val="0"/>
        <w:kinsoku/>
        <w:wordWrap/>
        <w:overflowPunct/>
        <w:topLinePunct w:val="0"/>
        <w:autoSpaceDE/>
        <w:autoSpaceDN/>
        <w:bidi w:val="0"/>
        <w:adjustRightInd w:val="0"/>
        <w:snapToGrid/>
        <w:spacing w:after="0" w:line="460" w:lineRule="exact"/>
        <w:ind w:left="300" w:right="280" w:firstLine="439"/>
        <w:jc w:val="both"/>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服务质量标准：</w:t>
      </w:r>
      <w:r>
        <w:rPr>
          <w:rFonts w:hint="eastAsia" w:ascii="宋体" w:hAnsi="宋体" w:eastAsia="宋体" w:cs="Times New Roman"/>
          <w:color w:val="auto"/>
          <w:sz w:val="24"/>
          <w:szCs w:val="24"/>
          <w:lang w:val="en-US" w:eastAsia="zh-CN"/>
        </w:rPr>
        <w:t xml:space="preserve">   </w:t>
      </w:r>
    </w:p>
    <w:p w14:paraId="1EF90C37">
      <w:pPr>
        <w:keepNext w:val="0"/>
        <w:keepLines w:val="0"/>
        <w:pageBreakBefore w:val="0"/>
        <w:widowControl w:val="0"/>
        <w:kinsoku/>
        <w:wordWrap/>
        <w:overflowPunct/>
        <w:topLinePunct w:val="0"/>
        <w:bidi w:val="0"/>
        <w:snapToGrid/>
        <w:spacing w:line="460" w:lineRule="exact"/>
        <w:ind w:firstLine="723" w:firstLineChars="300"/>
        <w:textAlignment w:val="auto"/>
        <w:rPr>
          <w:rFonts w:hint="eastAsia" w:ascii="宋体" w:hAnsi="宋体" w:eastAsia="宋体" w:cs="Times New Roman"/>
          <w:bCs/>
          <w:color w:val="auto"/>
          <w:sz w:val="24"/>
          <w:szCs w:val="24"/>
          <w:lang w:val="en-US" w:eastAsia="zh-CN"/>
        </w:rPr>
      </w:pPr>
      <w:r>
        <w:rPr>
          <w:rFonts w:hint="eastAsia" w:ascii="宋体" w:hAnsi="宋体" w:eastAsia="宋体" w:cs="宋体"/>
          <w:b/>
          <w:bCs/>
          <w:color w:val="auto"/>
          <w:sz w:val="24"/>
          <w:szCs w:val="24"/>
          <w:lang w:val="en-US" w:eastAsia="zh-CN"/>
        </w:rPr>
        <w:t>付款方式：</w:t>
      </w:r>
      <w:r>
        <w:rPr>
          <w:rFonts w:hint="eastAsia" w:ascii="宋体" w:hAnsi="宋体" w:eastAsia="宋体" w:cs="Times New Roman"/>
          <w:bCs/>
          <w:color w:val="auto"/>
          <w:sz w:val="24"/>
          <w:szCs w:val="24"/>
          <w:lang w:val="en-US" w:eastAsia="zh-CN"/>
        </w:rPr>
        <w:t>（1）按月结算。采购人每周核对由中标供货商每天提供的有效食材配送清单，双方确认无误后，中标供货商于每月初开具上月配送相应金额的增值税普通发票，采购人收到发票后10日内支付货款，货款以转账方式支付。</w:t>
      </w:r>
    </w:p>
    <w:p w14:paraId="4A23A2F7">
      <w:pPr>
        <w:keepNext w:val="0"/>
        <w:keepLines w:val="0"/>
        <w:pageBreakBefore w:val="0"/>
        <w:widowControl w:val="0"/>
        <w:kinsoku/>
        <w:wordWrap/>
        <w:overflowPunct/>
        <w:topLinePunct w:val="0"/>
        <w:bidi w:val="0"/>
        <w:snapToGrid/>
        <w:spacing w:line="460" w:lineRule="exact"/>
        <w:ind w:firstLine="480" w:firstLineChars="200"/>
        <w:textAlignment w:val="auto"/>
        <w:rPr>
          <w:rFonts w:ascii="宋体" w:hAnsi="宋体" w:eastAsia="宋体"/>
          <w:bCs/>
          <w:color w:val="auto"/>
          <w:sz w:val="24"/>
          <w:szCs w:val="24"/>
        </w:rPr>
      </w:pPr>
      <w:r>
        <w:rPr>
          <w:rFonts w:hint="eastAsia" w:ascii="宋体" w:hAnsi="宋体" w:eastAsia="宋体" w:cs="Times New Roman"/>
          <w:bCs/>
          <w:color w:val="auto"/>
          <w:sz w:val="24"/>
          <w:szCs w:val="24"/>
          <w:lang w:val="en-US" w:eastAsia="zh-CN"/>
        </w:rPr>
        <w:t>（2）中标供货商产品单价须严格按照投标时的要求进行核定报价，所提供的结算资料须准确详实，如弄虚作假，一经发现，采购人有权解除合同，并依法追究中标人经济和法律责任；</w:t>
      </w:r>
    </w:p>
    <w:p w14:paraId="53492FA8">
      <w:pPr>
        <w:keepNext w:val="0"/>
        <w:keepLines w:val="0"/>
        <w:pageBreakBefore w:val="0"/>
        <w:widowControl w:val="0"/>
        <w:kinsoku/>
        <w:wordWrap/>
        <w:overflowPunct/>
        <w:topLinePunct w:val="0"/>
        <w:bidi w:val="0"/>
        <w:snapToGrid/>
        <w:spacing w:line="460" w:lineRule="exact"/>
        <w:ind w:firstLine="482" w:firstLineChars="200"/>
        <w:textAlignment w:val="auto"/>
        <w:rPr>
          <w:rFonts w:hint="eastAsia" w:ascii="宋体" w:hAnsi="宋体" w:eastAsia="宋体" w:cs="Times New Roman"/>
          <w:b w:val="0"/>
          <w:bCs/>
          <w:color w:val="auto"/>
          <w:sz w:val="24"/>
          <w:szCs w:val="24"/>
          <w:lang w:eastAsia="zh-CN"/>
        </w:rPr>
      </w:pPr>
      <w:r>
        <w:rPr>
          <w:rFonts w:hint="eastAsia" w:ascii="宋体" w:hAnsi="宋体" w:eastAsia="宋体" w:cs="Times New Roman"/>
          <w:b/>
          <w:bCs w:val="0"/>
          <w:color w:val="auto"/>
          <w:sz w:val="24"/>
          <w:szCs w:val="24"/>
          <w:lang w:eastAsia="zh-CN"/>
        </w:rPr>
        <w:t>结算依据：</w:t>
      </w:r>
    </w:p>
    <w:p w14:paraId="05F41C08">
      <w:pPr>
        <w:keepNext w:val="0"/>
        <w:keepLines w:val="0"/>
        <w:pageBreakBefore w:val="0"/>
        <w:widowControl w:val="0"/>
        <w:kinsoku/>
        <w:wordWrap/>
        <w:overflowPunct/>
        <w:topLinePunct w:val="0"/>
        <w:bidi w:val="0"/>
        <w:snapToGrid/>
        <w:spacing w:line="460" w:lineRule="exact"/>
        <w:ind w:firstLine="480" w:firstLineChars="200"/>
        <w:textAlignment w:val="auto"/>
        <w:rPr>
          <w:rFonts w:hint="eastAsia" w:ascii="宋体" w:hAnsi="宋体" w:eastAsia="宋体" w:cs="Times New Roman"/>
          <w:bCs/>
          <w:color w:val="auto"/>
          <w:sz w:val="24"/>
          <w:szCs w:val="24"/>
          <w:lang w:eastAsia="zh-CN"/>
        </w:rPr>
      </w:pPr>
      <w:r>
        <w:rPr>
          <w:rFonts w:hint="eastAsia" w:ascii="宋体" w:hAnsi="宋体" w:eastAsia="宋体" w:cs="Times New Roman"/>
          <w:bCs/>
          <w:color w:val="auto"/>
          <w:sz w:val="24"/>
          <w:szCs w:val="24"/>
          <w:lang w:eastAsia="zh-CN"/>
        </w:rPr>
        <w:t>（1）供应商</w:t>
      </w:r>
      <w:r>
        <w:rPr>
          <w:rFonts w:hint="eastAsia" w:ascii="宋体" w:hAnsi="宋体" w:eastAsia="宋体" w:cs="Times New Roman"/>
          <w:bCs/>
          <w:color w:val="auto"/>
          <w:sz w:val="24"/>
          <w:szCs w:val="24"/>
          <w:lang w:val="en-US" w:eastAsia="zh-CN"/>
        </w:rPr>
        <w:t>每天</w:t>
      </w:r>
      <w:r>
        <w:rPr>
          <w:rFonts w:hint="eastAsia" w:ascii="宋体" w:hAnsi="宋体" w:eastAsia="宋体" w:cs="Times New Roman"/>
          <w:bCs/>
          <w:color w:val="auto"/>
          <w:sz w:val="24"/>
          <w:szCs w:val="24"/>
          <w:lang w:eastAsia="zh-CN"/>
        </w:rPr>
        <w:t>提供的供货清单，</w:t>
      </w:r>
      <w:r>
        <w:rPr>
          <w:rFonts w:hint="eastAsia" w:ascii="宋体" w:hAnsi="宋体" w:eastAsia="宋体" w:cs="Times New Roman"/>
          <w:bCs/>
          <w:color w:val="auto"/>
          <w:sz w:val="24"/>
          <w:szCs w:val="24"/>
          <w:lang w:val="en-US" w:eastAsia="zh-CN"/>
        </w:rPr>
        <w:t>货物品种分为</w:t>
      </w:r>
      <w:r>
        <w:rPr>
          <w:rFonts w:hint="eastAsia" w:ascii="宋体" w:hAnsi="宋体" w:cs="Times New Roman"/>
          <w:bCs/>
          <w:color w:val="auto"/>
          <w:sz w:val="24"/>
          <w:szCs w:val="24"/>
          <w:lang w:val="en-US" w:eastAsia="zh-CN"/>
        </w:rPr>
        <w:t>九</w:t>
      </w:r>
      <w:r>
        <w:rPr>
          <w:rFonts w:hint="eastAsia" w:ascii="宋体" w:hAnsi="宋体" w:eastAsia="宋体" w:cs="Times New Roman"/>
          <w:bCs/>
          <w:color w:val="auto"/>
          <w:sz w:val="24"/>
          <w:szCs w:val="24"/>
          <w:lang w:val="en-US" w:eastAsia="zh-CN"/>
        </w:rPr>
        <w:t>大类，</w:t>
      </w:r>
      <w:r>
        <w:rPr>
          <w:rFonts w:hint="eastAsia" w:ascii="宋体" w:hAnsi="宋体" w:eastAsia="宋体"/>
          <w:bCs/>
          <w:color w:val="auto"/>
          <w:sz w:val="24"/>
          <w:szCs w:val="24"/>
        </w:rPr>
        <w:t>禽蛋、蔬菜、水果、海鲜、乳制品、畜肉、禽肉、冷冻海鲜、干货调料类</w:t>
      </w:r>
      <w:r>
        <w:rPr>
          <w:rFonts w:hint="eastAsia" w:ascii="宋体" w:hAnsi="宋体" w:eastAsia="宋体" w:cs="Times New Roman"/>
          <w:bCs/>
          <w:color w:val="auto"/>
          <w:sz w:val="24"/>
          <w:szCs w:val="24"/>
          <w:lang w:eastAsia="zh-CN"/>
        </w:rPr>
        <w:t>。</w:t>
      </w:r>
      <w:r>
        <w:rPr>
          <w:rFonts w:hint="eastAsia" w:ascii="宋体" w:hAnsi="宋体" w:eastAsia="宋体" w:cs="Times New Roman"/>
          <w:bCs/>
          <w:color w:val="auto"/>
          <w:sz w:val="24"/>
          <w:szCs w:val="24"/>
          <w:lang w:val="en-US" w:eastAsia="zh-CN"/>
        </w:rPr>
        <w:t>货物清单按货物类别分别提供</w:t>
      </w:r>
      <w:r>
        <w:rPr>
          <w:rFonts w:hint="eastAsia" w:ascii="宋体" w:hAnsi="宋体" w:eastAsia="宋体" w:cs="Times New Roman"/>
          <w:bCs/>
          <w:color w:val="auto"/>
          <w:sz w:val="24"/>
          <w:szCs w:val="24"/>
          <w:lang w:eastAsia="zh-CN"/>
        </w:rPr>
        <w:t>；</w:t>
      </w:r>
    </w:p>
    <w:p w14:paraId="797A69BB">
      <w:pPr>
        <w:keepNext w:val="0"/>
        <w:keepLines w:val="0"/>
        <w:pageBreakBefore w:val="0"/>
        <w:widowControl w:val="0"/>
        <w:kinsoku/>
        <w:wordWrap/>
        <w:overflowPunct/>
        <w:topLinePunct w:val="0"/>
        <w:bidi w:val="0"/>
        <w:snapToGrid/>
        <w:spacing w:line="460" w:lineRule="exact"/>
        <w:ind w:firstLine="480" w:firstLineChars="200"/>
        <w:textAlignment w:val="auto"/>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eastAsia="zh-CN"/>
        </w:rPr>
        <w:t>（2）由采购人组织验收，并对本项目供应商每次所提供货物签订确认单（包括送</w:t>
      </w:r>
      <w:r>
        <w:rPr>
          <w:rFonts w:hint="eastAsia" w:ascii="宋体" w:hAnsi="宋体" w:eastAsia="宋体" w:cs="Times New Roman"/>
          <w:bCs/>
          <w:color w:val="auto"/>
          <w:sz w:val="24"/>
          <w:szCs w:val="24"/>
          <w:lang w:val="en-US" w:eastAsia="zh-CN"/>
        </w:rPr>
        <w:t>货日期、名称、单位、数量、单价、总价等信息，并双方签字盖章）；</w:t>
      </w:r>
    </w:p>
    <w:p w14:paraId="4B369C05">
      <w:pPr>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（3）本项目上述食品中所有品种、品牌食品均以本地惠友超市当日零售价格为基准价，基准价格表由中标人提供，货物品种分为</w:t>
      </w:r>
      <w:r>
        <w:rPr>
          <w:rFonts w:hint="eastAsia" w:ascii="宋体" w:hAnsi="宋体" w:cs="Times New Roman"/>
          <w:bCs/>
          <w:color w:val="auto"/>
          <w:sz w:val="24"/>
          <w:szCs w:val="24"/>
          <w:lang w:val="en-US" w:eastAsia="zh-CN"/>
        </w:rPr>
        <w:t>九</w:t>
      </w:r>
      <w:r>
        <w:rPr>
          <w:rFonts w:hint="eastAsia" w:ascii="宋体" w:hAnsi="宋体" w:eastAsia="宋体" w:cs="Times New Roman"/>
          <w:bCs/>
          <w:color w:val="auto"/>
          <w:sz w:val="24"/>
          <w:szCs w:val="24"/>
          <w:lang w:val="en-US" w:eastAsia="zh-CN"/>
        </w:rPr>
        <w:t>大类，</w:t>
      </w:r>
      <w:r>
        <w:rPr>
          <w:rFonts w:hint="eastAsia" w:ascii="宋体" w:hAnsi="宋体" w:eastAsia="宋体"/>
          <w:bCs/>
          <w:color w:val="auto"/>
          <w:sz w:val="24"/>
          <w:szCs w:val="24"/>
        </w:rPr>
        <w:t>禽蛋、蔬菜、水果、海鲜、乳制品、畜肉、禽肉、冷冻海鲜、干货调料类</w:t>
      </w:r>
      <w:r>
        <w:rPr>
          <w:rFonts w:hint="eastAsia" w:ascii="宋体" w:hAnsi="宋体" w:eastAsia="宋体" w:cs="Times New Roman"/>
          <w:bCs/>
          <w:color w:val="auto"/>
          <w:sz w:val="24"/>
          <w:szCs w:val="24"/>
          <w:lang w:eastAsia="zh-CN"/>
        </w:rPr>
        <w:t>，</w:t>
      </w:r>
      <w:r>
        <w:rPr>
          <w:rFonts w:hint="eastAsia" w:ascii="宋体" w:hAnsi="宋体" w:eastAsia="宋体" w:cs="Times New Roman"/>
          <w:bCs/>
          <w:color w:val="auto"/>
          <w:sz w:val="24"/>
          <w:szCs w:val="24"/>
          <w:lang w:val="en-US" w:eastAsia="zh-CN"/>
        </w:rPr>
        <w:t>基准价格表按货物类别分别提供，采购人将对供货商提供的基准价格</w:t>
      </w:r>
      <w:r>
        <w:rPr>
          <w:rFonts w:hint="eastAsia" w:ascii="宋体" w:hAnsi="宋体" w:eastAsia="宋体" w:cs="宋体"/>
          <w:color w:val="auto"/>
          <w:sz w:val="24"/>
          <w:szCs w:val="24"/>
          <w:lang w:val="en-US" w:eastAsia="zh-CN"/>
        </w:rPr>
        <w:t>进行监督和不定期抽查</w:t>
      </w:r>
      <w:r>
        <w:rPr>
          <w:rFonts w:hint="eastAsia" w:ascii="宋体" w:hAnsi="宋体" w:eastAsia="宋体" w:cs="Times New Roman"/>
          <w:bCs/>
          <w:color w:val="auto"/>
          <w:sz w:val="24"/>
          <w:szCs w:val="24"/>
          <w:lang w:val="en-US" w:eastAsia="zh-CN"/>
        </w:rPr>
        <w:t>，以此计算每周每天的配送价格， 配送价格（最终结算价格）＝基准价格</w:t>
      </w:r>
      <w:r>
        <w:rPr>
          <w:rFonts w:hint="default" w:ascii="宋体" w:hAnsi="宋体" w:eastAsia="宋体" w:cs="Times New Roman"/>
          <w:bCs/>
          <w:color w:val="auto"/>
          <w:sz w:val="24"/>
          <w:szCs w:val="24"/>
          <w:lang w:val="en-US" w:eastAsia="zh-CN"/>
        </w:rPr>
        <w:t>*</w:t>
      </w:r>
      <w:r>
        <w:rPr>
          <w:rFonts w:hint="eastAsia" w:ascii="宋体" w:hAnsi="宋体" w:eastAsia="宋体" w:cs="Times New Roman"/>
          <w:bCs/>
          <w:color w:val="auto"/>
          <w:sz w:val="24"/>
          <w:szCs w:val="24"/>
          <w:lang w:val="en-US" w:eastAsia="zh-CN"/>
        </w:rPr>
        <w:t>中标时折扣系数；</w:t>
      </w:r>
    </w:p>
    <w:p w14:paraId="24F04D6E">
      <w:pPr>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供应商如中标，应严格按照其投标文件中所报折扣率的价格进行供货并承担法律责任和义务。</w:t>
      </w:r>
    </w:p>
    <w:p w14:paraId="4F63BB4B">
      <w:pPr>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（6）报价含食材、税金、包装、运输、保险、装卸、检测、验收等所发生的全部费用。</w:t>
      </w:r>
    </w:p>
    <w:p w14:paraId="28EAF590">
      <w:pPr>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Times New Roman"/>
          <w:bCs/>
          <w:color w:val="auto"/>
          <w:sz w:val="24"/>
          <w:szCs w:val="24"/>
          <w:lang w:val="en-US" w:eastAsia="zh-CN"/>
        </w:rPr>
        <w:t>甲方每月对配送服务单位进行一次结算考核，考核内容包括：配送时效是否准时、配送食材新鲜度、配送人员服务态度、配送食材车辆等，如考核得分超过90分，则每月按配送商报价优惠率结算，如考核得分不足90分，甲方每月则支付配送商报价优惠率的90%，如考核得分不足80分，甲方每月则支付配送商报价优惠率的80%，</w:t>
      </w:r>
      <w:r>
        <w:rPr>
          <w:rFonts w:hint="eastAsia" w:ascii="宋体" w:hAnsi="宋体" w:eastAsia="宋体" w:cs="宋体"/>
          <w:color w:val="auto"/>
          <w:sz w:val="24"/>
          <w:szCs w:val="24"/>
          <w:highlight w:val="none"/>
        </w:rPr>
        <w:t>根据考核标准经考核，一年度中累计超过三次低于80分评分，甲方有权</w:t>
      </w:r>
      <w:r>
        <w:rPr>
          <w:rFonts w:hint="eastAsia" w:ascii="宋体" w:hAnsi="宋体" w:cs="宋体"/>
          <w:color w:val="auto"/>
          <w:sz w:val="24"/>
          <w:szCs w:val="24"/>
          <w:highlight w:val="none"/>
          <w:lang w:val="en-US" w:eastAsia="zh-CN"/>
        </w:rPr>
        <w:t>终止</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考核表见招标文件</w:t>
      </w:r>
      <w:r>
        <w:rPr>
          <w:rFonts w:hint="eastAsia" w:ascii="宋体" w:hAnsi="宋体" w:eastAsia="宋体" w:cs="宋体"/>
          <w:color w:val="auto"/>
          <w:sz w:val="24"/>
          <w:szCs w:val="24"/>
          <w:highlight w:val="none"/>
          <w:lang w:eastAsia="zh-CN"/>
        </w:rPr>
        <w:t>）</w:t>
      </w:r>
    </w:p>
    <w:p w14:paraId="50ECDC43">
      <w:pPr>
        <w:keepNext w:val="0"/>
        <w:keepLines w:val="0"/>
        <w:pageBreakBefore w:val="0"/>
        <w:widowControl w:val="0"/>
        <w:numPr>
          <w:ilvl w:val="0"/>
          <w:numId w:val="0"/>
        </w:numPr>
        <w:kinsoku/>
        <w:wordWrap/>
        <w:overflowPunct/>
        <w:topLinePunct w:val="0"/>
        <w:bidi w:val="0"/>
        <w:snapToGrid/>
        <w:spacing w:line="460" w:lineRule="exact"/>
        <w:ind w:firstLine="482" w:firstLineChars="200"/>
        <w:textAlignment w:val="auto"/>
        <w:rPr>
          <w:rFonts w:hint="eastAsia" w:ascii="宋体" w:hAnsi="宋体" w:eastAsia="宋体" w:cs="Times New Roman"/>
          <w:b w:val="0"/>
          <w:bCs/>
          <w:color w:val="auto"/>
          <w:sz w:val="24"/>
          <w:szCs w:val="24"/>
          <w:lang w:val="en-US" w:eastAsia="zh-CN"/>
        </w:rPr>
      </w:pPr>
      <w:r>
        <w:rPr>
          <w:rFonts w:hint="eastAsia" w:ascii="宋体" w:hAnsi="宋体" w:eastAsia="宋体" w:cs="Times New Roman"/>
          <w:b/>
          <w:bCs w:val="0"/>
          <w:color w:val="auto"/>
          <w:sz w:val="24"/>
          <w:szCs w:val="24"/>
          <w:lang w:val="en-US" w:eastAsia="zh-CN"/>
        </w:rPr>
        <w:t>报价方式：</w:t>
      </w:r>
    </w:p>
    <w:p w14:paraId="6BF3C53E">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（1）本项目</w:t>
      </w:r>
      <w:r>
        <w:rPr>
          <w:rFonts w:hint="eastAsia" w:ascii="宋体" w:hAnsi="宋体"/>
          <w:color w:val="auto"/>
        </w:rPr>
        <w:t>货物品种分为</w:t>
      </w:r>
      <w:r>
        <w:rPr>
          <w:rFonts w:hint="eastAsia" w:ascii="宋体" w:hAnsi="宋体" w:cs="Times New Roman"/>
          <w:bCs/>
          <w:color w:val="auto"/>
          <w:sz w:val="24"/>
          <w:szCs w:val="24"/>
          <w:lang w:val="en-US" w:eastAsia="zh-CN"/>
        </w:rPr>
        <w:t>九</w:t>
      </w:r>
      <w:r>
        <w:rPr>
          <w:rFonts w:hint="eastAsia" w:ascii="宋体" w:hAnsi="宋体" w:eastAsia="宋体" w:cs="Times New Roman"/>
          <w:bCs/>
          <w:color w:val="auto"/>
          <w:sz w:val="24"/>
          <w:szCs w:val="24"/>
          <w:lang w:val="en-US" w:eastAsia="zh-CN"/>
        </w:rPr>
        <w:t>大类，</w:t>
      </w:r>
      <w:r>
        <w:rPr>
          <w:rFonts w:hint="eastAsia" w:ascii="宋体" w:hAnsi="宋体" w:eastAsia="宋体"/>
          <w:bCs/>
          <w:color w:val="auto"/>
          <w:sz w:val="24"/>
          <w:szCs w:val="24"/>
        </w:rPr>
        <w:t>禽蛋、蔬菜、水果、海鲜、乳制品、畜肉、禽肉、冷冻海鲜、干货调料类</w:t>
      </w:r>
      <w:r>
        <w:rPr>
          <w:rFonts w:hint="eastAsia" w:ascii="宋体" w:hAnsi="宋体" w:eastAsia="宋体" w:cs="Times New Roman"/>
          <w:bCs/>
          <w:color w:val="auto"/>
          <w:sz w:val="24"/>
          <w:szCs w:val="24"/>
          <w:lang w:val="en-US" w:eastAsia="zh-CN"/>
        </w:rPr>
        <w:t>,现行市场价格均以本地惠友超市当日零售价格为基准价，以此计算每天的配送价格(最终结</w:t>
      </w:r>
      <w:r>
        <w:rPr>
          <w:rFonts w:hint="eastAsia" w:ascii="宋体" w:hAnsi="宋体" w:eastAsia="宋体" w:cs="Times New Roman"/>
          <w:color w:val="auto"/>
          <w:lang w:val="en-US" w:eastAsia="zh-CN"/>
        </w:rPr>
        <w:t>算价格)，</w:t>
      </w:r>
      <w:r>
        <w:rPr>
          <w:rFonts w:hint="eastAsia" w:ascii="宋体" w:hAnsi="宋体" w:eastAsia="宋体" w:cs="Times New Roman"/>
          <w:color w:val="auto"/>
        </w:rPr>
        <w:t>除非合同条款中另有规定，否则，</w:t>
      </w:r>
      <w:r>
        <w:rPr>
          <w:rFonts w:hint="eastAsia" w:ascii="宋体" w:hAnsi="宋体" w:eastAsia="宋体" w:cs="Times New Roman"/>
          <w:color w:val="auto"/>
          <w:lang w:eastAsia="zh-CN"/>
        </w:rPr>
        <w:t>供应商</w:t>
      </w:r>
      <w:r>
        <w:rPr>
          <w:rFonts w:hint="eastAsia" w:ascii="宋体" w:hAnsi="宋体" w:eastAsia="宋体" w:cs="Times New Roman"/>
          <w:color w:val="auto"/>
        </w:rPr>
        <w:t>所报</w:t>
      </w:r>
      <w:r>
        <w:rPr>
          <w:rFonts w:hint="eastAsia" w:ascii="宋体" w:hAnsi="宋体" w:eastAsia="宋体" w:cs="Times New Roman"/>
          <w:color w:val="auto"/>
          <w:lang w:val="en-US" w:eastAsia="zh-CN"/>
        </w:rPr>
        <w:t>价格</w:t>
      </w:r>
      <w:r>
        <w:rPr>
          <w:rFonts w:hint="eastAsia" w:ascii="宋体" w:hAnsi="宋体" w:eastAsia="宋体" w:cs="Times New Roman"/>
          <w:color w:val="auto"/>
        </w:rPr>
        <w:t>在合同实施期间不因市场变化和政策等因素而变动。</w:t>
      </w:r>
    </w:p>
    <w:p w14:paraId="64BED866">
      <w:pPr>
        <w:keepNext w:val="0"/>
        <w:keepLines w:val="0"/>
        <w:pageBreakBefore w:val="0"/>
        <w:widowControl w:val="0"/>
        <w:kinsoku/>
        <w:wordWrap/>
        <w:overflowPunct/>
        <w:topLinePunct w:val="0"/>
        <w:bidi w:val="0"/>
        <w:snapToGrid/>
        <w:spacing w:line="460" w:lineRule="exact"/>
        <w:ind w:firstLine="480" w:firstLineChars="200"/>
        <w:textAlignment w:val="auto"/>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（2）供应商参照基准价进行折扣率填报，举例：填报为95%，即配送价格（最终结算价格）＝基准价格</w:t>
      </w:r>
      <w:r>
        <w:rPr>
          <w:rFonts w:hint="default" w:ascii="宋体" w:hAnsi="宋体" w:eastAsia="宋体" w:cs="Times New Roman"/>
          <w:bCs/>
          <w:color w:val="auto"/>
          <w:sz w:val="24"/>
          <w:szCs w:val="24"/>
          <w:lang w:val="en-US" w:eastAsia="zh-CN"/>
        </w:rPr>
        <w:t>*</w:t>
      </w:r>
      <w:r>
        <w:rPr>
          <w:rFonts w:hint="eastAsia" w:ascii="宋体" w:hAnsi="宋体" w:eastAsia="宋体" w:cs="Times New Roman"/>
          <w:bCs/>
          <w:color w:val="auto"/>
          <w:sz w:val="24"/>
          <w:szCs w:val="24"/>
          <w:lang w:val="en-US" w:eastAsia="zh-CN"/>
        </w:rPr>
        <w:t>中标时折扣系数；</w:t>
      </w:r>
    </w:p>
    <w:p w14:paraId="427EDDD3">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1.</w:t>
      </w:r>
      <w:r>
        <w:rPr>
          <w:rFonts w:ascii="宋体" w:hAnsi="宋体" w:eastAsia="宋体" w:cs="Times New Roman"/>
          <w:bCs/>
          <w:color w:val="auto"/>
          <w:sz w:val="24"/>
          <w:szCs w:val="24"/>
        </w:rPr>
        <w:t>禽蛋</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折扣率：__</w:t>
      </w:r>
      <w:r>
        <w:rPr>
          <w:rFonts w:hint="eastAsia" w:hAnsi="宋体"/>
          <w:color w:val="auto"/>
          <w:lang w:val="en-US" w:eastAsia="zh-CN"/>
        </w:rPr>
        <w:t>98</w:t>
      </w:r>
      <w:r>
        <w:rPr>
          <w:rFonts w:hint="eastAsia" w:hAnsi="宋体"/>
          <w:color w:val="auto"/>
        </w:rPr>
        <w:t>_%</w:t>
      </w:r>
      <w:r>
        <w:rPr>
          <w:rFonts w:hint="eastAsia" w:ascii="宋体" w:hAnsi="宋体" w:eastAsia="宋体" w:cs="Times New Roman"/>
          <w:bCs/>
          <w:color w:val="auto"/>
          <w:sz w:val="24"/>
          <w:szCs w:val="24"/>
          <w:lang w:val="en-US" w:eastAsia="zh-CN"/>
        </w:rPr>
        <w:t xml:space="preserve"> </w:t>
      </w:r>
    </w:p>
    <w:p w14:paraId="358DA382">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2.</w:t>
      </w:r>
      <w:r>
        <w:rPr>
          <w:rFonts w:ascii="宋体" w:hAnsi="宋体" w:eastAsia="宋体" w:cs="Times New Roman"/>
          <w:bCs/>
          <w:color w:val="auto"/>
          <w:sz w:val="24"/>
          <w:szCs w:val="24"/>
        </w:rPr>
        <w:t>蔬菜</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97</w:t>
      </w:r>
      <w:r>
        <w:rPr>
          <w:rFonts w:hint="eastAsia" w:hAnsi="宋体"/>
          <w:color w:val="auto"/>
        </w:rPr>
        <w:t>__%</w:t>
      </w:r>
    </w:p>
    <w:p w14:paraId="6B1A97BB">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3.</w:t>
      </w:r>
      <w:r>
        <w:rPr>
          <w:rFonts w:ascii="宋体" w:hAnsi="宋体" w:eastAsia="宋体" w:cs="Times New Roman"/>
          <w:bCs/>
          <w:color w:val="auto"/>
          <w:sz w:val="24"/>
          <w:szCs w:val="24"/>
        </w:rPr>
        <w:t>水果</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98</w:t>
      </w:r>
      <w:r>
        <w:rPr>
          <w:rFonts w:hint="eastAsia" w:hAnsi="宋体"/>
          <w:color w:val="auto"/>
        </w:rPr>
        <w:t>__%</w:t>
      </w:r>
    </w:p>
    <w:p w14:paraId="1610DFCE">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4.</w:t>
      </w:r>
      <w:r>
        <w:rPr>
          <w:rFonts w:ascii="宋体" w:hAnsi="宋体" w:eastAsia="宋体" w:cs="Times New Roman"/>
          <w:bCs/>
          <w:color w:val="auto"/>
          <w:sz w:val="24"/>
          <w:szCs w:val="24"/>
        </w:rPr>
        <w:t>海鲜</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94.2</w:t>
      </w:r>
      <w:r>
        <w:rPr>
          <w:rFonts w:hint="eastAsia" w:hAnsi="宋体"/>
          <w:color w:val="auto"/>
        </w:rPr>
        <w:t>__%</w:t>
      </w:r>
    </w:p>
    <w:p w14:paraId="490C5555">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5.</w:t>
      </w:r>
      <w:r>
        <w:rPr>
          <w:rFonts w:ascii="宋体" w:hAnsi="宋体" w:eastAsia="宋体" w:cs="Times New Roman"/>
          <w:bCs/>
          <w:color w:val="auto"/>
          <w:sz w:val="24"/>
          <w:szCs w:val="24"/>
        </w:rPr>
        <w:t>乳制品</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95</w:t>
      </w:r>
      <w:r>
        <w:rPr>
          <w:rFonts w:hint="eastAsia" w:hAnsi="宋体"/>
          <w:color w:val="auto"/>
        </w:rPr>
        <w:t>__%</w:t>
      </w:r>
    </w:p>
    <w:p w14:paraId="6A56E2A0">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6.</w:t>
      </w:r>
      <w:r>
        <w:rPr>
          <w:rFonts w:ascii="宋体" w:hAnsi="宋体" w:eastAsia="宋体" w:cs="Times New Roman"/>
          <w:bCs/>
          <w:color w:val="auto"/>
          <w:sz w:val="24"/>
          <w:szCs w:val="24"/>
        </w:rPr>
        <w:t>畜肉</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97</w:t>
      </w:r>
      <w:r>
        <w:rPr>
          <w:rFonts w:hint="eastAsia" w:hAnsi="宋体"/>
          <w:color w:val="auto"/>
        </w:rPr>
        <w:t>__%</w:t>
      </w:r>
    </w:p>
    <w:p w14:paraId="5C713BF9">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7.</w:t>
      </w:r>
      <w:r>
        <w:rPr>
          <w:rFonts w:ascii="宋体" w:hAnsi="宋体" w:eastAsia="宋体" w:cs="Times New Roman"/>
          <w:bCs/>
          <w:color w:val="auto"/>
          <w:sz w:val="24"/>
          <w:szCs w:val="24"/>
        </w:rPr>
        <w:t>禽肉</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96</w:t>
      </w:r>
      <w:r>
        <w:rPr>
          <w:rFonts w:hint="eastAsia" w:hAnsi="宋体"/>
          <w:color w:val="auto"/>
        </w:rPr>
        <w:t>__%</w:t>
      </w:r>
    </w:p>
    <w:p w14:paraId="0DFA8ABE">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8.</w:t>
      </w:r>
      <w:r>
        <w:rPr>
          <w:rFonts w:ascii="宋体" w:hAnsi="宋体" w:eastAsia="宋体" w:cs="Times New Roman"/>
          <w:bCs/>
          <w:color w:val="auto"/>
          <w:sz w:val="24"/>
          <w:szCs w:val="24"/>
        </w:rPr>
        <w:t>冷冻海鲜</w:t>
      </w:r>
      <w:r>
        <w:rPr>
          <w:rFonts w:hint="eastAsia" w:ascii="宋体" w:hAnsi="宋体" w:eastAsia="宋体" w:cs="Times New Roman"/>
          <w:bCs/>
          <w:color w:val="auto"/>
          <w:sz w:val="24"/>
          <w:szCs w:val="24"/>
          <w:lang w:val="en-US" w:eastAsia="zh-CN"/>
        </w:rPr>
        <w:t xml:space="preserve">类       </w:t>
      </w:r>
      <w:r>
        <w:rPr>
          <w:rFonts w:hint="eastAsia" w:hAnsi="宋体"/>
          <w:color w:val="auto"/>
        </w:rPr>
        <w:t>折扣率：_</w:t>
      </w:r>
      <w:r>
        <w:rPr>
          <w:rFonts w:hint="eastAsia" w:hAnsi="宋体"/>
          <w:color w:val="auto"/>
          <w:lang w:val="en-US" w:eastAsia="zh-CN"/>
        </w:rPr>
        <w:t>93</w:t>
      </w:r>
      <w:r>
        <w:rPr>
          <w:rFonts w:hint="eastAsia" w:hAnsi="宋体"/>
          <w:color w:val="auto"/>
        </w:rPr>
        <w:t>__%</w:t>
      </w:r>
    </w:p>
    <w:p w14:paraId="6D2E283F">
      <w:pPr>
        <w:keepNext w:val="0"/>
        <w:keepLines w:val="0"/>
        <w:pageBreakBefore w:val="0"/>
        <w:widowControl w:val="0"/>
        <w:numPr>
          <w:ilvl w:val="0"/>
          <w:numId w:val="0"/>
        </w:numPr>
        <w:kinsoku/>
        <w:wordWrap/>
        <w:overflowPunct/>
        <w:topLinePunct w:val="0"/>
        <w:bidi w:val="0"/>
        <w:snapToGrid/>
        <w:spacing w:line="460" w:lineRule="exact"/>
        <w:ind w:firstLine="480" w:firstLineChars="200"/>
        <w:textAlignment w:val="auto"/>
        <w:rPr>
          <w:rFonts w:hint="eastAsia" w:hAnsi="宋体"/>
          <w:color w:val="auto"/>
          <w:lang w:val="en-US" w:eastAsia="zh-CN"/>
        </w:rPr>
      </w:pPr>
      <w:r>
        <w:rPr>
          <w:rFonts w:hint="eastAsia" w:ascii="宋体" w:hAnsi="宋体" w:eastAsia="宋体" w:cs="Times New Roman"/>
          <w:bCs/>
          <w:color w:val="auto"/>
          <w:sz w:val="24"/>
          <w:szCs w:val="24"/>
          <w:lang w:val="en-US" w:eastAsia="zh-CN"/>
        </w:rPr>
        <w:t>9.</w:t>
      </w:r>
      <w:r>
        <w:rPr>
          <w:rFonts w:ascii="宋体" w:hAnsi="宋体" w:eastAsia="宋体" w:cs="Times New Roman"/>
          <w:bCs/>
          <w:color w:val="auto"/>
          <w:sz w:val="24"/>
          <w:szCs w:val="24"/>
        </w:rPr>
        <w:t>干货调料类</w:t>
      </w:r>
      <w:r>
        <w:rPr>
          <w:rFonts w:hint="eastAsia" w:ascii="宋体" w:hAnsi="宋体" w:eastAsia="宋体" w:cs="Times New Roman"/>
          <w:bCs/>
          <w:color w:val="auto"/>
          <w:sz w:val="24"/>
          <w:szCs w:val="24"/>
          <w:lang w:val="en-US" w:eastAsia="zh-CN"/>
        </w:rPr>
        <w:t xml:space="preserve">       </w:t>
      </w:r>
      <w:r>
        <w:rPr>
          <w:rFonts w:hint="eastAsia" w:hAnsi="宋体"/>
          <w:color w:val="auto"/>
        </w:rPr>
        <w:t>折扣率：_</w:t>
      </w:r>
      <w:r>
        <w:rPr>
          <w:rFonts w:hint="eastAsia" w:hAnsi="宋体"/>
          <w:color w:val="auto"/>
          <w:lang w:val="en-US" w:eastAsia="zh-CN"/>
        </w:rPr>
        <w:t>94</w:t>
      </w:r>
      <w:r>
        <w:rPr>
          <w:rFonts w:hint="eastAsia" w:hAnsi="宋体"/>
          <w:color w:val="auto"/>
        </w:rPr>
        <w:t>__%</w:t>
      </w:r>
    </w:p>
    <w:p w14:paraId="29323EF2">
      <w:pPr>
        <w:keepNext w:val="0"/>
        <w:keepLines w:val="0"/>
        <w:pageBreakBefore w:val="0"/>
        <w:widowControl w:val="0"/>
        <w:numPr>
          <w:ilvl w:val="0"/>
          <w:numId w:val="0"/>
        </w:numPr>
        <w:kinsoku/>
        <w:wordWrap/>
        <w:overflowPunct/>
        <w:topLinePunct w:val="0"/>
        <w:bidi w:val="0"/>
        <w:snapToGrid/>
        <w:spacing w:line="460" w:lineRule="exact"/>
        <w:textAlignment w:val="auto"/>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（3）最高限价：现行市场价格的100%，投标报价超过此限价的视为超出采购人的支付能力其投标文件做无效标处理。</w:t>
      </w:r>
    </w:p>
    <w:p w14:paraId="60937C82">
      <w:pPr>
        <w:keepNext w:val="0"/>
        <w:keepLines w:val="0"/>
        <w:pageBreakBefore w:val="0"/>
        <w:widowControl w:val="0"/>
        <w:numPr>
          <w:ilvl w:val="0"/>
          <w:numId w:val="0"/>
        </w:numPr>
        <w:kinsoku/>
        <w:wordWrap/>
        <w:overflowPunct/>
        <w:topLinePunct w:val="0"/>
        <w:bidi w:val="0"/>
        <w:snapToGrid/>
        <w:spacing w:line="460" w:lineRule="exact"/>
        <w:textAlignment w:val="auto"/>
        <w:rPr>
          <w:rFonts w:hint="default"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（4）报价含食材、税金、包装、运输、保险、装卸、检测、验收等所发生的全部费用，凡有遗漏或未考虑周全的均视为已包含在投标总价内。</w:t>
      </w:r>
    </w:p>
    <w:p w14:paraId="45626E4E">
      <w:pPr>
        <w:keepNext w:val="0"/>
        <w:keepLines w:val="0"/>
        <w:pageBreakBefore w:val="0"/>
        <w:widowControl w:val="0"/>
        <w:kinsoku/>
        <w:wordWrap/>
        <w:overflowPunct/>
        <w:topLinePunct w:val="0"/>
        <w:autoSpaceDE/>
        <w:autoSpaceDN/>
        <w:bidi w:val="0"/>
        <w:adjustRightInd w:val="0"/>
        <w:snapToGrid/>
        <w:spacing w:after="0" w:line="460" w:lineRule="exact"/>
        <w:ind w:left="300"/>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二、甲方责任和义务</w:t>
      </w:r>
    </w:p>
    <w:p w14:paraId="1A70B428">
      <w:pPr>
        <w:keepNext w:val="0"/>
        <w:keepLines w:val="0"/>
        <w:pageBreakBefore w:val="0"/>
        <w:widowControl w:val="0"/>
        <w:kinsoku/>
        <w:wordWrap/>
        <w:overflowPunct/>
        <w:topLinePunct w:val="0"/>
        <w:autoSpaceDE/>
        <w:autoSpaceDN/>
        <w:bidi w:val="0"/>
        <w:adjustRightInd w:val="0"/>
        <w:snapToGrid/>
        <w:spacing w:after="0" w:line="460" w:lineRule="exact"/>
        <w:ind w:left="300" w:right="240" w:firstLine="439"/>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1、甲方向乙方采购时，乙方须根据甲方所报购的物资品种、品质、数量，在要求的时间内送达甲方指定地点。</w:t>
      </w:r>
    </w:p>
    <w:p w14:paraId="22BBC8AA">
      <w:pPr>
        <w:keepNext w:val="0"/>
        <w:keepLines w:val="0"/>
        <w:pageBreakBefore w:val="0"/>
        <w:widowControl w:val="0"/>
        <w:kinsoku/>
        <w:wordWrap/>
        <w:overflowPunct/>
        <w:topLinePunct w:val="0"/>
        <w:autoSpaceDE/>
        <w:autoSpaceDN/>
        <w:bidi w:val="0"/>
        <w:adjustRightInd w:val="0"/>
        <w:snapToGrid/>
        <w:spacing w:after="0" w:line="460" w:lineRule="exact"/>
        <w:ind w:left="300" w:right="240" w:firstLine="439"/>
        <w:jc w:val="both"/>
        <w:textAlignment w:val="auto"/>
        <w:rPr>
          <w:rFonts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乙方因延误送货时间或未按时间送达甲方指定地点，给甲方造成损失的，由乙方承担一切责任</w:t>
      </w:r>
      <w:r>
        <w:rPr>
          <w:rFonts w:hint="eastAsia" w:ascii="宋体" w:hAnsi="宋体" w:eastAsia="宋体"/>
          <w:bCs/>
          <w:color w:val="00B0F0"/>
          <w:sz w:val="24"/>
          <w:szCs w:val="24"/>
          <w:highlight w:val="none"/>
        </w:rPr>
        <w:t>，</w:t>
      </w:r>
      <w:r>
        <w:rPr>
          <w:rFonts w:hint="eastAsia" w:ascii="宋体" w:hAnsi="宋体" w:eastAsia="宋体"/>
          <w:bCs/>
          <w:color w:val="auto"/>
          <w:sz w:val="24"/>
          <w:szCs w:val="24"/>
        </w:rPr>
        <w:t>合同期内发生三次以上或情节严重的</w:t>
      </w:r>
      <w:r>
        <w:rPr>
          <w:rFonts w:hint="eastAsia" w:ascii="宋体" w:hAnsi="宋体" w:eastAsia="宋体"/>
          <w:bCs/>
          <w:color w:val="auto"/>
          <w:sz w:val="24"/>
          <w:szCs w:val="24"/>
          <w:lang w:val="en-US" w:eastAsia="zh-CN"/>
        </w:rPr>
        <w:t>甲方</w:t>
      </w:r>
      <w:r>
        <w:rPr>
          <w:rFonts w:hint="eastAsia" w:ascii="宋体" w:hAnsi="宋体" w:eastAsia="宋体"/>
          <w:bCs/>
          <w:color w:val="auto"/>
          <w:sz w:val="24"/>
          <w:szCs w:val="24"/>
        </w:rPr>
        <w:t>有权终止合同</w:t>
      </w:r>
      <w:r>
        <w:rPr>
          <w:rFonts w:hint="eastAsia" w:ascii="宋体" w:hAnsi="宋体" w:eastAsia="宋体" w:cs="宋体"/>
          <w:color w:val="auto"/>
          <w:sz w:val="24"/>
          <w:szCs w:val="24"/>
        </w:rPr>
        <w:t>。</w:t>
      </w:r>
    </w:p>
    <w:p w14:paraId="79104D70">
      <w:pPr>
        <w:keepNext w:val="0"/>
        <w:keepLines w:val="0"/>
        <w:pageBreakBefore w:val="0"/>
        <w:widowControl w:val="0"/>
        <w:kinsoku/>
        <w:wordWrap/>
        <w:overflowPunct/>
        <w:topLinePunct w:val="0"/>
        <w:autoSpaceDE/>
        <w:autoSpaceDN/>
        <w:bidi w:val="0"/>
        <w:adjustRightInd w:val="0"/>
        <w:snapToGrid/>
        <w:spacing w:after="0" w:line="460" w:lineRule="exact"/>
        <w:ind w:left="300" w:right="480" w:firstLine="439"/>
        <w:textAlignment w:val="auto"/>
        <w:rPr>
          <w:rFonts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如乙方因延误送货时间给甲方造成损失的，甲方外出自采时所发生的一切费用，由乙方承担。</w:t>
      </w:r>
    </w:p>
    <w:p w14:paraId="03EE9C58">
      <w:pPr>
        <w:keepNext w:val="0"/>
        <w:keepLines w:val="0"/>
        <w:pageBreakBefore w:val="0"/>
        <w:widowControl w:val="0"/>
        <w:kinsoku/>
        <w:wordWrap/>
        <w:overflowPunct/>
        <w:topLinePunct w:val="0"/>
        <w:autoSpaceDE/>
        <w:autoSpaceDN/>
        <w:bidi w:val="0"/>
        <w:adjustRightInd w:val="0"/>
        <w:snapToGrid/>
        <w:spacing w:after="0" w:line="460" w:lineRule="exact"/>
        <w:ind w:left="300" w:right="240" w:firstLine="439"/>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2、甲方有权对乙方的经营行为、服务态度、货物购进的质量、价格、数量及乙方应尽的义务，进行监督和检查，发现乙方有违反国家有关政策法规的行为和质价不符、数量不足</w:t>
      </w:r>
      <w:r>
        <w:rPr>
          <w:rFonts w:hint="eastAsia" w:ascii="宋体" w:hAnsi="宋体" w:eastAsia="宋体" w:cs="宋体"/>
          <w:color w:val="auto"/>
          <w:sz w:val="24"/>
          <w:szCs w:val="24"/>
          <w:lang w:eastAsia="zh-CN"/>
        </w:rPr>
        <w:t>及其他</w:t>
      </w:r>
      <w:r>
        <w:rPr>
          <w:rFonts w:hint="eastAsia" w:ascii="宋体" w:hAnsi="宋体" w:eastAsia="宋体" w:cs="宋体"/>
          <w:color w:val="auto"/>
          <w:sz w:val="24"/>
          <w:szCs w:val="24"/>
        </w:rPr>
        <w:t>未尽义务，</w:t>
      </w:r>
      <w:r>
        <w:rPr>
          <w:rFonts w:hint="eastAsia" w:ascii="宋体" w:hAnsi="宋体" w:eastAsia="宋体"/>
          <w:bCs/>
          <w:color w:val="auto"/>
          <w:sz w:val="24"/>
          <w:szCs w:val="24"/>
        </w:rPr>
        <w:t>经</w:t>
      </w:r>
      <w:r>
        <w:rPr>
          <w:rFonts w:hint="eastAsia" w:ascii="宋体" w:hAnsi="宋体" w:eastAsia="宋体"/>
          <w:bCs/>
          <w:color w:val="auto"/>
          <w:sz w:val="24"/>
          <w:szCs w:val="24"/>
          <w:lang w:val="en-US" w:eastAsia="zh-CN"/>
        </w:rPr>
        <w:t>甲方</w:t>
      </w:r>
      <w:r>
        <w:rPr>
          <w:rFonts w:hint="eastAsia" w:ascii="宋体" w:hAnsi="宋体" w:eastAsia="宋体"/>
          <w:bCs/>
          <w:color w:val="auto"/>
          <w:sz w:val="24"/>
          <w:szCs w:val="24"/>
        </w:rPr>
        <w:t>验收核实后</w:t>
      </w:r>
      <w:r>
        <w:rPr>
          <w:rFonts w:hint="eastAsia" w:ascii="宋体" w:hAnsi="宋体" w:eastAsia="宋体"/>
          <w:bCs/>
          <w:color w:val="auto"/>
          <w:sz w:val="24"/>
          <w:szCs w:val="24"/>
          <w:highlight w:val="none"/>
        </w:rPr>
        <w:t>，</w:t>
      </w:r>
      <w:r>
        <w:rPr>
          <w:rFonts w:hint="eastAsia" w:ascii="宋体" w:hAnsi="宋体" w:eastAsia="宋体"/>
          <w:bCs/>
          <w:color w:val="auto"/>
          <w:sz w:val="24"/>
          <w:szCs w:val="24"/>
        </w:rPr>
        <w:t>合同期内发生三次以上或情节严重的</w:t>
      </w:r>
      <w:r>
        <w:rPr>
          <w:rFonts w:hint="eastAsia" w:ascii="宋体" w:hAnsi="宋体" w:eastAsia="宋体"/>
          <w:bCs/>
          <w:color w:val="auto"/>
          <w:sz w:val="24"/>
          <w:szCs w:val="24"/>
          <w:lang w:val="en-US" w:eastAsia="zh-CN"/>
        </w:rPr>
        <w:t>甲方</w:t>
      </w:r>
      <w:r>
        <w:rPr>
          <w:rFonts w:hint="eastAsia" w:ascii="宋体" w:hAnsi="宋体" w:eastAsia="宋体"/>
          <w:bCs/>
          <w:color w:val="auto"/>
          <w:sz w:val="24"/>
          <w:szCs w:val="24"/>
        </w:rPr>
        <w:t>有权终止合同</w:t>
      </w:r>
      <w:r>
        <w:rPr>
          <w:rFonts w:hint="eastAsia" w:ascii="宋体" w:hAnsi="宋体" w:eastAsia="宋体" w:cs="宋体"/>
          <w:color w:val="auto"/>
          <w:sz w:val="24"/>
          <w:szCs w:val="24"/>
        </w:rPr>
        <w:t>。</w:t>
      </w:r>
    </w:p>
    <w:p w14:paraId="7DFD8DF5">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三、乙方责任和义务</w:t>
      </w:r>
    </w:p>
    <w:p w14:paraId="0C8C4986">
      <w:pPr>
        <w:keepNext w:val="0"/>
        <w:keepLines w:val="0"/>
        <w:pageBreakBefore w:val="0"/>
        <w:widowControl w:val="0"/>
        <w:kinsoku/>
        <w:wordWrap/>
        <w:overflowPunct/>
        <w:topLinePunct w:val="0"/>
        <w:autoSpaceDE/>
        <w:autoSpaceDN/>
        <w:bidi w:val="0"/>
        <w:adjustRightInd w:val="0"/>
        <w:snapToGrid/>
        <w:spacing w:after="0" w:line="460" w:lineRule="exact"/>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1、乙方供货时，甲方将以评标时乙方所提供的方案为依据实时操作及监控。对不能满足甲方合理要求的供货商，</w:t>
      </w:r>
      <w:r>
        <w:rPr>
          <w:rFonts w:hint="eastAsia" w:ascii="宋体" w:hAnsi="宋体" w:eastAsia="宋体"/>
          <w:bCs/>
          <w:color w:val="auto"/>
          <w:sz w:val="24"/>
          <w:szCs w:val="24"/>
          <w:lang w:val="en-US" w:eastAsia="zh-CN"/>
        </w:rPr>
        <w:t>甲方</w:t>
      </w:r>
      <w:r>
        <w:rPr>
          <w:rFonts w:hint="eastAsia" w:ascii="宋体" w:hAnsi="宋体" w:eastAsia="宋体"/>
          <w:bCs/>
          <w:color w:val="auto"/>
          <w:sz w:val="24"/>
          <w:szCs w:val="24"/>
        </w:rPr>
        <w:t>有权终止合同</w:t>
      </w:r>
      <w:r>
        <w:rPr>
          <w:rFonts w:hint="eastAsia" w:ascii="宋体" w:hAnsi="宋体" w:eastAsia="宋体"/>
          <w:bCs/>
          <w:color w:val="auto"/>
          <w:sz w:val="24"/>
          <w:szCs w:val="24"/>
          <w:lang w:eastAsia="zh-CN"/>
        </w:rPr>
        <w:t>，</w:t>
      </w:r>
      <w:r>
        <w:rPr>
          <w:rFonts w:hint="eastAsia" w:ascii="宋体" w:hAnsi="宋体" w:eastAsia="宋体"/>
          <w:bCs/>
          <w:color w:val="auto"/>
          <w:sz w:val="24"/>
          <w:szCs w:val="24"/>
          <w:lang w:val="en-US" w:eastAsia="zh-CN"/>
        </w:rPr>
        <w:t>且</w:t>
      </w:r>
      <w:r>
        <w:rPr>
          <w:rFonts w:hint="eastAsia" w:ascii="宋体" w:hAnsi="宋体" w:eastAsia="宋体" w:cs="宋体"/>
          <w:color w:val="auto"/>
          <w:sz w:val="24"/>
          <w:szCs w:val="24"/>
        </w:rPr>
        <w:t>有权将部分或全部物资交于评标时本项备用供货商提供，并由</w:t>
      </w:r>
      <w:r>
        <w:rPr>
          <w:rFonts w:hint="eastAsia" w:ascii="宋体" w:hAnsi="宋体" w:eastAsia="宋体" w:cs="宋体"/>
          <w:color w:val="auto"/>
          <w:sz w:val="24"/>
          <w:szCs w:val="24"/>
          <w:lang w:val="en-US" w:eastAsia="zh-CN"/>
        </w:rPr>
        <w:t>乙方</w:t>
      </w:r>
      <w:r>
        <w:rPr>
          <w:rFonts w:hint="eastAsia" w:ascii="宋体" w:hAnsi="宋体" w:eastAsia="宋体" w:cs="宋体"/>
          <w:color w:val="auto"/>
          <w:sz w:val="24"/>
          <w:szCs w:val="24"/>
        </w:rPr>
        <w:t>赔偿相应损失。</w:t>
      </w:r>
    </w:p>
    <w:p w14:paraId="67ADF8C7">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乙方在送货期间，如用户对质量问题提出异议时，由甲方和乙方双方</w:t>
      </w:r>
    </w:p>
    <w:p w14:paraId="05D8026D">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同时到场，现场抽取样品，由甲方、乙方同时送达政府质检部门进行化验（化验费由乙方承担）。如抽样品种化验不合格，则停止供货，甲乙双方签订的供货协议自动解除并赔付给甲方带来的相应损失。如政府质检部门因货物质量不合格，</w:t>
      </w:r>
      <w:r>
        <w:rPr>
          <w:rFonts w:hint="eastAsia" w:ascii="宋体" w:hAnsi="宋体" w:eastAsia="宋体" w:cs="宋体"/>
          <w:color w:val="auto"/>
          <w:sz w:val="24"/>
          <w:szCs w:val="24"/>
          <w:lang w:val="en-US" w:eastAsia="zh-CN"/>
        </w:rPr>
        <w:t>给予</w:t>
      </w:r>
      <w:r>
        <w:rPr>
          <w:rFonts w:hint="eastAsia" w:ascii="宋体" w:hAnsi="宋体" w:eastAsia="宋体" w:cs="宋体"/>
          <w:color w:val="auto"/>
          <w:sz w:val="24"/>
          <w:szCs w:val="24"/>
        </w:rPr>
        <w:t>处罚时，所罚金额由乙方全部支付。</w:t>
      </w:r>
    </w:p>
    <w:p w14:paraId="5F4F7485">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firstLine="480" w:firstLineChars="200"/>
        <w:jc w:val="both"/>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乙方自主经营、独立核算、自负盈亏，自己解决配送运输工具。配送车辆进入</w:t>
      </w:r>
      <w:r>
        <w:rPr>
          <w:rFonts w:hint="eastAsia" w:ascii="宋体" w:hAnsi="宋体" w:eastAsia="宋体" w:cs="宋体"/>
          <w:color w:val="auto"/>
          <w:sz w:val="24"/>
          <w:szCs w:val="24"/>
          <w:lang w:val="en-US" w:eastAsia="zh-CN"/>
        </w:rPr>
        <w:t>院内</w:t>
      </w:r>
      <w:r>
        <w:rPr>
          <w:rFonts w:hint="eastAsia" w:ascii="宋体" w:hAnsi="宋体" w:eastAsia="宋体" w:cs="宋体"/>
          <w:color w:val="auto"/>
          <w:sz w:val="24"/>
          <w:szCs w:val="24"/>
        </w:rPr>
        <w:t>，必须按照区域内的规定办理，如发生事故，乙方负全部责任。</w:t>
      </w:r>
    </w:p>
    <w:p w14:paraId="57876A26">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firstLine="480" w:firstLineChars="200"/>
        <w:jc w:val="both"/>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乙方送货期间必须严格执行政府制定的《食品安全法》之规定，遵守国家法律法规，所送物资各品种的品质，必须达到行业所执行的国家标准，保质保量，足额送货。乙方配送人员要符合餐饮要求，具有身体健康证明。</w:t>
      </w:r>
    </w:p>
    <w:p w14:paraId="262E2ADC">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firstLine="480" w:firstLineChars="200"/>
        <w:jc w:val="both"/>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乙方保证按约定自行进行采供。未经甲方书面同意，不擅自改变采供权，不得转租转让转借采供权；不从事非法活动；遵守甲方的管理制度，保证不影响中心正常的工作、生活的环境秩序和环境卫生。</w:t>
      </w:r>
    </w:p>
    <w:p w14:paraId="42314645">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240" w:rightChars="0" w:firstLine="480" w:firstLineChars="200"/>
        <w:jc w:val="both"/>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乙方郑重承诺：在采供过程中，保质保量向甲方提供合格的食品原料和优质服务，不销售假冒伪劣产品。</w:t>
      </w:r>
    </w:p>
    <w:p w14:paraId="551B1428">
      <w:pPr>
        <w:keepNext w:val="0"/>
        <w:keepLines w:val="0"/>
        <w:pageBreakBefore w:val="0"/>
        <w:widowControl w:val="0"/>
        <w:kinsoku/>
        <w:wordWrap/>
        <w:overflowPunct/>
        <w:topLinePunct w:val="0"/>
        <w:autoSpaceDE/>
        <w:autoSpaceDN/>
        <w:bidi w:val="0"/>
        <w:adjustRightInd w:val="0"/>
        <w:snapToGrid/>
        <w:spacing w:after="0" w:line="460" w:lineRule="exact"/>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7、乙方必须服从甲方的管理。</w:t>
      </w:r>
    </w:p>
    <w:p w14:paraId="77BA2ACC">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四、违约责任</w:t>
      </w:r>
    </w:p>
    <w:p w14:paraId="01DDCB45">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right="80" w:rightChars="0" w:firstLine="480" w:firstLineChars="200"/>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乙方经营管理期间如果出现下列情况，甲方有权单方解除本协议：①乙方擅自转让、单方分包或转借他人采供；②乙方擅自改变采供品种、数量、质量；③乙方利用采供场所进行非法活动，损害社会和公共利益且未处理完毕；④乙方提供不符合《食品安全法》要求的食品原材料；⑤乙方不按甲方要求的时间、地点提供计划内的食品原材料</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次以上；</w:t>
      </w:r>
    </w:p>
    <w:p w14:paraId="786D9525">
      <w:pPr>
        <w:keepNext w:val="0"/>
        <w:keepLines w:val="0"/>
        <w:pageBreakBefore w:val="0"/>
        <w:widowControl w:val="0"/>
        <w:kinsoku/>
        <w:wordWrap/>
        <w:overflowPunct/>
        <w:topLinePunct w:val="0"/>
        <w:autoSpaceDE/>
        <w:autoSpaceDN/>
        <w:bidi w:val="0"/>
        <w:adjustRightInd w:val="0"/>
        <w:snapToGrid/>
        <w:spacing w:after="0" w:line="460" w:lineRule="exact"/>
        <w:ind w:right="240"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2、乙方经营中存在缺斤少两、假冒伪劣、以次充好、价格过高、态度恶劣等违法违规违约行为，甲方根据投诉或举报，经查实后按照甲方相关管理规定处理。</w:t>
      </w:r>
    </w:p>
    <w:p w14:paraId="7376F600">
      <w:pPr>
        <w:keepNext w:val="0"/>
        <w:keepLines w:val="0"/>
        <w:pageBreakBefore w:val="0"/>
        <w:widowControl w:val="0"/>
        <w:kinsoku/>
        <w:wordWrap/>
        <w:overflowPunct/>
        <w:topLinePunct w:val="0"/>
        <w:autoSpaceDE/>
        <w:autoSpaceDN/>
        <w:bidi w:val="0"/>
        <w:adjustRightInd w:val="0"/>
        <w:snapToGrid/>
        <w:spacing w:after="0" w:line="460" w:lineRule="exact"/>
        <w:ind w:right="240"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rPr>
        <w:t>3、乙方不服从甲方的管理、不执行有关价格的制定，甲方有权单方解除本协议。</w:t>
      </w:r>
    </w:p>
    <w:p w14:paraId="7D6D2C7D">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乙方与甲方或与甲方有合作关系</w:t>
      </w:r>
      <w:r>
        <w:rPr>
          <w:rFonts w:hint="eastAsia" w:ascii="宋体" w:hAnsi="宋体" w:eastAsia="宋体" w:cs="宋体"/>
          <w:color w:val="auto"/>
          <w:sz w:val="24"/>
          <w:szCs w:val="24"/>
          <w:lang w:eastAsia="zh-CN"/>
        </w:rPr>
        <w:t>的其他</w:t>
      </w:r>
      <w:r>
        <w:rPr>
          <w:rFonts w:hint="eastAsia" w:ascii="宋体" w:hAnsi="宋体" w:eastAsia="宋体" w:cs="宋体"/>
          <w:color w:val="auto"/>
          <w:sz w:val="24"/>
          <w:szCs w:val="24"/>
        </w:rPr>
        <w:t>关系户发生纠纷、打架、斗殴等恶性事件的，甲方有权单方解除本协议，严重的移送司法机关部门处理。</w:t>
      </w:r>
    </w:p>
    <w:p w14:paraId="62D59D80">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在执行本合同的过程中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w:t>
      </w:r>
      <w:r>
        <w:rPr>
          <w:rFonts w:hint="eastAsia" w:ascii="宋体" w:hAnsi="宋体" w:eastAsia="宋体" w:cs="宋体"/>
          <w:color w:val="auto"/>
          <w:sz w:val="24"/>
          <w:szCs w:val="24"/>
        </w:rPr>
        <w:t>坚决履行不得“围猎”税务人员的义务，如有违反</w:t>
      </w:r>
      <w:r>
        <w:rPr>
          <w:rFonts w:hint="eastAsia" w:ascii="宋体" w:hAnsi="宋体" w:eastAsia="宋体" w:cs="宋体"/>
          <w:color w:val="auto"/>
          <w:sz w:val="24"/>
          <w:szCs w:val="24"/>
          <w:lang w:val="en-US" w:eastAsia="zh-CN"/>
        </w:rPr>
        <w:t>将</w:t>
      </w:r>
      <w:r>
        <w:rPr>
          <w:rFonts w:hint="eastAsia" w:ascii="宋体" w:hAnsi="宋体" w:eastAsia="宋体" w:cs="宋体"/>
          <w:color w:val="auto"/>
          <w:sz w:val="24"/>
          <w:szCs w:val="24"/>
        </w:rPr>
        <w:t>承担相应法律后果</w:t>
      </w:r>
      <w:r>
        <w:rPr>
          <w:rFonts w:hint="eastAsia" w:ascii="宋体" w:hAnsi="宋体" w:cs="宋体"/>
          <w:color w:val="auto"/>
          <w:sz w:val="24"/>
          <w:szCs w:val="24"/>
          <w:lang w:eastAsia="zh-CN"/>
        </w:rPr>
        <w:t>。</w:t>
      </w:r>
    </w:p>
    <w:p w14:paraId="2D5CE142">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五、责任免除</w:t>
      </w:r>
    </w:p>
    <w:p w14:paraId="54B4C70B">
      <w:pPr>
        <w:keepNext w:val="0"/>
        <w:keepLines w:val="0"/>
        <w:pageBreakBefore w:val="0"/>
        <w:widowControl w:val="0"/>
        <w:kinsoku/>
        <w:wordWrap/>
        <w:overflowPunct/>
        <w:topLinePunct w:val="0"/>
        <w:autoSpaceDE/>
        <w:autoSpaceDN/>
        <w:bidi w:val="0"/>
        <w:adjustRightInd w:val="0"/>
        <w:snapToGrid/>
        <w:spacing w:after="0" w:line="460" w:lineRule="exact"/>
        <w:ind w:right="12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rPr>
        <w:t>1、如因自然灾害、意外事故、行政和执法行为造成乙方采供受损的，影响正常采供和造成损失的，双方协商解决。</w:t>
      </w:r>
    </w:p>
    <w:p w14:paraId="0A1A537B">
      <w:pPr>
        <w:keepNext w:val="0"/>
        <w:keepLines w:val="0"/>
        <w:pageBreakBefore w:val="0"/>
        <w:widowControl w:val="0"/>
        <w:numPr>
          <w:ilvl w:val="0"/>
          <w:numId w:val="0"/>
        </w:numPr>
        <w:kinsoku/>
        <w:wordWrap/>
        <w:overflowPunct/>
        <w:topLinePunct w:val="0"/>
        <w:autoSpaceDE/>
        <w:autoSpaceDN/>
        <w:bidi w:val="0"/>
        <w:adjustRightInd w:val="0"/>
        <w:snapToGrid/>
        <w:spacing w:after="0" w:line="460" w:lineRule="exact"/>
        <w:ind w:firstLine="480" w:firstLineChars="200"/>
        <w:textAlignment w:val="auto"/>
        <w:rPr>
          <w:rFonts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因上级部门和甲方有重大决策而影响正常采供时，甲方应提前两个月书面通知乙方。乙方如需提前停止采供时，应提前两个月书面通知甲方。上述情况在履行了按时通知的义务后，双方均不构成违约。</w:t>
      </w:r>
    </w:p>
    <w:p w14:paraId="3CA0E4BB">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六、其他事项</w:t>
      </w:r>
    </w:p>
    <w:p w14:paraId="4185A70C">
      <w:pPr>
        <w:keepNext w:val="0"/>
        <w:keepLines w:val="0"/>
        <w:pageBreakBefore w:val="0"/>
        <w:widowControl w:val="0"/>
        <w:kinsoku/>
        <w:wordWrap/>
        <w:overflowPunct/>
        <w:topLinePunct w:val="0"/>
        <w:autoSpaceDE/>
        <w:autoSpaceDN/>
        <w:bidi w:val="0"/>
        <w:adjustRightInd w:val="0"/>
        <w:snapToGrid/>
        <w:spacing w:after="0" w:line="460" w:lineRule="exact"/>
        <w:ind w:right="12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、如遇国家政策性变化、整体规划和发生不可抗拒、无法防止的外因，致使双方无法履行协议条款的，双方互不追究责任。</w:t>
      </w:r>
    </w:p>
    <w:p w14:paraId="527E81DB">
      <w:pPr>
        <w:keepNext w:val="0"/>
        <w:keepLines w:val="0"/>
        <w:pageBreakBefore w:val="0"/>
        <w:widowControl w:val="0"/>
        <w:kinsoku/>
        <w:wordWrap/>
        <w:overflowPunct/>
        <w:topLinePunct w:val="0"/>
        <w:autoSpaceDE/>
        <w:autoSpaceDN/>
        <w:bidi w:val="0"/>
        <w:adjustRightInd w:val="0"/>
        <w:snapToGrid/>
        <w:spacing w:after="0" w:line="460" w:lineRule="exact"/>
        <w:ind w:right="120" w:firstLine="480" w:firstLineChars="200"/>
        <w:jc w:val="both"/>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、未尽事宜甲乙双方协商解决。协商无效，任何一方均可向甲方所在地人民法院起诉。</w:t>
      </w:r>
    </w:p>
    <w:p w14:paraId="1B145C6D">
      <w:pPr>
        <w:keepNext w:val="0"/>
        <w:keepLines w:val="0"/>
        <w:pageBreakBefore w:val="0"/>
        <w:widowControl w:val="0"/>
        <w:kinsoku/>
        <w:wordWrap/>
        <w:overflowPunct/>
        <w:topLinePunct w:val="0"/>
        <w:autoSpaceDE/>
        <w:autoSpaceDN/>
        <w:bidi w:val="0"/>
        <w:adjustRightInd w:val="0"/>
        <w:snapToGrid/>
        <w:spacing w:after="0" w:line="460" w:lineRule="exact"/>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sz w:val="24"/>
          <w:szCs w:val="24"/>
        </w:rPr>
        <w:t>本合同一式</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二</w:t>
      </w:r>
      <w:r>
        <w:rPr>
          <w:rFonts w:hint="eastAsia" w:ascii="宋体" w:hAnsi="宋体" w:eastAsia="宋体" w:cs="宋体"/>
          <w:sz w:val="24"/>
          <w:szCs w:val="24"/>
        </w:rPr>
        <w:t>份，甲方</w:t>
      </w:r>
      <w:r>
        <w:rPr>
          <w:rFonts w:hint="eastAsia" w:ascii="宋体" w:hAnsi="宋体" w:cs="宋体"/>
          <w:sz w:val="24"/>
          <w:szCs w:val="24"/>
          <w:lang w:val="en-US" w:eastAsia="zh-CN"/>
        </w:rPr>
        <w:t>一</w:t>
      </w:r>
      <w:r>
        <w:rPr>
          <w:rFonts w:hint="eastAsia" w:ascii="宋体" w:hAnsi="宋体" w:eastAsia="宋体" w:cs="宋体"/>
          <w:sz w:val="24"/>
          <w:szCs w:val="24"/>
        </w:rPr>
        <w:t>份、乙方</w:t>
      </w:r>
      <w:r>
        <w:rPr>
          <w:rFonts w:hint="eastAsia" w:ascii="宋体" w:hAnsi="宋体" w:cs="宋体"/>
          <w:sz w:val="24"/>
          <w:szCs w:val="24"/>
          <w:lang w:val="en-US" w:eastAsia="zh-CN"/>
        </w:rPr>
        <w:t>一</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份，均具有同等法律效力。本合同自双方法定代表人或委托代理人签字、盖章之日起生效。</w:t>
      </w:r>
    </w:p>
    <w:p w14:paraId="532C7011">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ascii="宋体" w:hAnsi="宋体" w:eastAsia="宋体" w:cs="宋体"/>
          <w:color w:val="auto"/>
          <w:spacing w:val="-16"/>
          <w:sz w:val="24"/>
          <w:szCs w:val="24"/>
        </w:rPr>
      </w:pPr>
    </w:p>
    <w:p w14:paraId="77A276C7">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ascii="宋体" w:hAnsi="宋体" w:eastAsia="宋体" w:cs="宋体"/>
          <w:color w:val="auto"/>
          <w:sz w:val="24"/>
          <w:szCs w:val="24"/>
        </w:rPr>
      </w:pPr>
      <w:r>
        <w:rPr>
          <w:rFonts w:hint="eastAsia" w:ascii="宋体" w:hAnsi="宋体" w:eastAsia="宋体" w:cs="宋体"/>
          <w:color w:val="auto"/>
          <w:spacing w:val="-16"/>
          <w:sz w:val="24"/>
          <w:szCs w:val="24"/>
        </w:rPr>
        <w:t>甲方（盖章）：</w:t>
      </w:r>
      <w:r>
        <w:rPr>
          <w:rFonts w:hint="eastAsia" w:ascii="宋体" w:hAnsi="宋体" w:eastAsia="宋体" w:cs="宋体"/>
          <w:color w:val="auto"/>
          <w:spacing w:val="-16"/>
          <w:sz w:val="24"/>
          <w:szCs w:val="24"/>
        </w:rPr>
        <w:tab/>
      </w:r>
      <w:bookmarkStart w:id="22" w:name="_GoBack"/>
      <w:bookmarkEnd w:id="22"/>
      <w:r>
        <w:rPr>
          <w:rFonts w:hint="eastAsia" w:ascii="宋体" w:hAnsi="宋体" w:eastAsia="宋体" w:cs="宋体"/>
          <w:color w:val="auto"/>
          <w:spacing w:val="-17"/>
          <w:sz w:val="24"/>
          <w:szCs w:val="24"/>
        </w:rPr>
        <w:t>乙方（盖章）：</w:t>
      </w:r>
    </w:p>
    <w:p w14:paraId="77D112A0">
      <w:pPr>
        <w:pStyle w:val="3"/>
        <w:keepNext w:val="0"/>
        <w:keepLines w:val="0"/>
        <w:pageBreakBefore w:val="0"/>
        <w:widowControl w:val="0"/>
        <w:tabs>
          <w:tab w:val="left" w:pos="5367"/>
        </w:tabs>
        <w:kinsoku/>
        <w:wordWrap/>
        <w:overflowPunct/>
        <w:topLinePunct w:val="0"/>
        <w:autoSpaceDE/>
        <w:autoSpaceDN/>
        <w:bidi w:val="0"/>
        <w:adjustRightInd w:val="0"/>
        <w:snapToGrid/>
        <w:spacing w:line="460" w:lineRule="exact"/>
        <w:ind w:left="326"/>
        <w:textAlignment w:val="auto"/>
        <w:rPr>
          <w:rFonts w:ascii="宋体" w:hAnsi="宋体" w:eastAsia="宋体" w:cs="宋体"/>
          <w:color w:val="auto"/>
          <w:sz w:val="24"/>
          <w:szCs w:val="24"/>
        </w:rPr>
      </w:pPr>
      <w:r>
        <w:rPr>
          <w:rFonts w:hint="eastAsia" w:ascii="宋体" w:hAnsi="宋体" w:eastAsia="宋体" w:cs="宋体"/>
          <w:color w:val="auto"/>
          <w:spacing w:val="-10"/>
          <w:sz w:val="24"/>
          <w:szCs w:val="24"/>
        </w:rPr>
        <w:t>法定代表人（盖章或签字）：</w:t>
      </w:r>
      <w:r>
        <w:rPr>
          <w:rFonts w:hint="eastAsia" w:ascii="宋体" w:hAnsi="宋体" w:eastAsia="宋体" w:cs="宋体"/>
          <w:color w:val="auto"/>
          <w:spacing w:val="-10"/>
          <w:sz w:val="24"/>
          <w:szCs w:val="24"/>
        </w:rPr>
        <w:tab/>
      </w:r>
      <w:r>
        <w:rPr>
          <w:rFonts w:hint="eastAsia" w:ascii="宋体" w:hAnsi="宋体" w:eastAsia="宋体" w:cs="宋体"/>
          <w:color w:val="auto"/>
          <w:spacing w:val="-10"/>
          <w:sz w:val="24"/>
          <w:szCs w:val="24"/>
        </w:rPr>
        <w:t>法定代表人（盖章或签字）：</w:t>
      </w:r>
    </w:p>
    <w:p w14:paraId="7F8EDF52">
      <w:pPr>
        <w:pStyle w:val="3"/>
        <w:keepNext w:val="0"/>
        <w:keepLines w:val="0"/>
        <w:pageBreakBefore w:val="0"/>
        <w:widowControl w:val="0"/>
        <w:tabs>
          <w:tab w:val="left" w:pos="5367"/>
        </w:tabs>
        <w:kinsoku/>
        <w:wordWrap/>
        <w:overflowPunct/>
        <w:topLinePunct w:val="0"/>
        <w:autoSpaceDE/>
        <w:autoSpaceDN/>
        <w:bidi w:val="0"/>
        <w:adjustRightInd w:val="0"/>
        <w:snapToGrid/>
        <w:spacing w:before="177" w:line="460" w:lineRule="exact"/>
        <w:ind w:left="326"/>
        <w:textAlignment w:val="auto"/>
        <w:rPr>
          <w:rFonts w:ascii="宋体" w:hAnsi="宋体" w:eastAsia="宋体" w:cs="宋体"/>
          <w:color w:val="auto"/>
          <w:sz w:val="24"/>
          <w:szCs w:val="24"/>
        </w:rPr>
      </w:pPr>
      <w:r>
        <w:rPr>
          <w:rFonts w:hint="eastAsia" w:ascii="宋体" w:hAnsi="宋体" w:eastAsia="宋体" w:cs="宋体"/>
          <w:color w:val="auto"/>
          <w:spacing w:val="-12"/>
          <w:sz w:val="24"/>
          <w:szCs w:val="24"/>
        </w:rPr>
        <w:t>委托代理人（签字）：</w:t>
      </w:r>
      <w:r>
        <w:rPr>
          <w:rFonts w:hint="eastAsia" w:ascii="宋体" w:hAnsi="宋体" w:eastAsia="宋体" w:cs="宋体"/>
          <w:color w:val="auto"/>
          <w:spacing w:val="-12"/>
          <w:sz w:val="24"/>
          <w:szCs w:val="24"/>
        </w:rPr>
        <w:tab/>
      </w:r>
      <w:r>
        <w:rPr>
          <w:rFonts w:hint="eastAsia" w:ascii="宋体" w:hAnsi="宋体" w:eastAsia="宋体" w:cs="宋体"/>
          <w:color w:val="auto"/>
          <w:spacing w:val="-12"/>
          <w:sz w:val="24"/>
          <w:szCs w:val="24"/>
        </w:rPr>
        <w:t>委托代理人（签字）：</w:t>
      </w:r>
    </w:p>
    <w:p w14:paraId="709484BE">
      <w:pPr>
        <w:pStyle w:val="3"/>
        <w:keepNext w:val="0"/>
        <w:keepLines w:val="0"/>
        <w:pageBreakBefore w:val="0"/>
        <w:widowControl w:val="0"/>
        <w:tabs>
          <w:tab w:val="left" w:pos="5367"/>
        </w:tabs>
        <w:kinsoku/>
        <w:wordWrap/>
        <w:overflowPunct/>
        <w:topLinePunct w:val="0"/>
        <w:autoSpaceDE/>
        <w:autoSpaceDN/>
        <w:bidi w:val="0"/>
        <w:adjustRightInd w:val="0"/>
        <w:snapToGrid/>
        <w:spacing w:before="177" w:line="460" w:lineRule="exact"/>
        <w:ind w:left="326"/>
        <w:textAlignment w:val="auto"/>
        <w:rPr>
          <w:rFonts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color w:val="auto"/>
          <w:sz w:val="24"/>
          <w:szCs w:val="24"/>
        </w:rPr>
        <w:tab/>
      </w:r>
      <w:r>
        <w:rPr>
          <w:rFonts w:hint="eastAsia" w:ascii="宋体" w:hAnsi="宋体" w:eastAsia="宋体" w:cs="宋体"/>
          <w:color w:val="auto"/>
          <w:sz w:val="24"/>
          <w:szCs w:val="24"/>
        </w:rPr>
        <w:t>地址：</w:t>
      </w:r>
    </w:p>
    <w:p w14:paraId="6E02B76A">
      <w:pPr>
        <w:pStyle w:val="3"/>
        <w:keepNext w:val="0"/>
        <w:keepLines w:val="0"/>
        <w:pageBreakBefore w:val="0"/>
        <w:widowControl w:val="0"/>
        <w:tabs>
          <w:tab w:val="left" w:pos="5367"/>
        </w:tabs>
        <w:kinsoku/>
        <w:wordWrap/>
        <w:overflowPunct/>
        <w:topLinePunct w:val="0"/>
        <w:autoSpaceDE/>
        <w:autoSpaceDN/>
        <w:bidi w:val="0"/>
        <w:adjustRightInd w:val="0"/>
        <w:snapToGrid/>
        <w:spacing w:before="179" w:line="460" w:lineRule="exact"/>
        <w:ind w:left="326"/>
        <w:textAlignment w:val="auto"/>
        <w:rPr>
          <w:rFonts w:ascii="宋体" w:hAnsi="宋体" w:eastAsia="宋体" w:cs="宋体"/>
          <w:color w:val="auto"/>
          <w:sz w:val="24"/>
          <w:szCs w:val="24"/>
        </w:rPr>
      </w:pPr>
      <w:r>
        <w:rPr>
          <w:rFonts w:hint="eastAsia" w:ascii="宋体" w:hAnsi="宋体" w:eastAsia="宋体" w:cs="宋体"/>
          <w:color w:val="auto"/>
          <w:sz w:val="24"/>
          <w:szCs w:val="24"/>
        </w:rPr>
        <w:t>电话：</w:t>
      </w:r>
      <w:r>
        <w:rPr>
          <w:rFonts w:hint="eastAsia" w:ascii="宋体" w:hAnsi="宋体" w:eastAsia="宋体" w:cs="宋体"/>
          <w:color w:val="auto"/>
          <w:sz w:val="24"/>
          <w:szCs w:val="24"/>
        </w:rPr>
        <w:tab/>
      </w:r>
      <w:r>
        <w:rPr>
          <w:rFonts w:hint="eastAsia" w:ascii="宋体" w:hAnsi="宋体" w:eastAsia="宋体" w:cs="宋体"/>
          <w:color w:val="auto"/>
          <w:sz w:val="24"/>
          <w:szCs w:val="24"/>
        </w:rPr>
        <w:t>电话：</w:t>
      </w:r>
    </w:p>
    <w:p w14:paraId="2B81D098">
      <w:pPr>
        <w:pStyle w:val="3"/>
        <w:keepNext w:val="0"/>
        <w:keepLines w:val="0"/>
        <w:pageBreakBefore w:val="0"/>
        <w:widowControl w:val="0"/>
        <w:tabs>
          <w:tab w:val="left" w:pos="5367"/>
        </w:tabs>
        <w:kinsoku/>
        <w:wordWrap/>
        <w:overflowPunct/>
        <w:topLinePunct w:val="0"/>
        <w:autoSpaceDE/>
        <w:autoSpaceDN/>
        <w:bidi w:val="0"/>
        <w:adjustRightInd w:val="0"/>
        <w:snapToGrid/>
        <w:spacing w:before="177" w:line="460" w:lineRule="exact"/>
        <w:ind w:left="32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传真：</w:t>
      </w:r>
      <w:r>
        <w:rPr>
          <w:rFonts w:hint="eastAsia" w:ascii="宋体" w:hAnsi="宋体" w:eastAsia="宋体" w:cs="宋体"/>
          <w:color w:val="auto"/>
          <w:sz w:val="24"/>
          <w:szCs w:val="24"/>
        </w:rPr>
        <w:tab/>
      </w:r>
      <w:r>
        <w:rPr>
          <w:rFonts w:hint="eastAsia" w:ascii="宋体" w:hAnsi="宋体" w:eastAsia="宋体" w:cs="宋体"/>
          <w:color w:val="auto"/>
          <w:sz w:val="24"/>
          <w:szCs w:val="24"/>
        </w:rPr>
        <w:t>传真：</w:t>
      </w:r>
    </w:p>
    <w:p w14:paraId="3D9B6CD9">
      <w:pPr>
        <w:pStyle w:val="3"/>
        <w:keepNext w:val="0"/>
        <w:keepLines w:val="0"/>
        <w:pageBreakBefore w:val="0"/>
        <w:widowControl w:val="0"/>
        <w:tabs>
          <w:tab w:val="left" w:pos="5367"/>
        </w:tabs>
        <w:kinsoku/>
        <w:wordWrap/>
        <w:overflowPunct/>
        <w:topLinePunct w:val="0"/>
        <w:autoSpaceDE/>
        <w:autoSpaceDN/>
        <w:bidi w:val="0"/>
        <w:adjustRightInd w:val="0"/>
        <w:snapToGrid/>
        <w:spacing w:before="177" w:line="460" w:lineRule="exact"/>
        <w:ind w:left="326"/>
        <w:textAlignment w:val="auto"/>
        <w:rPr>
          <w:rFonts w:ascii="宋体" w:hAnsi="宋体" w:cs="宋体"/>
          <w:szCs w:val="21"/>
        </w:rPr>
        <w:sectPr>
          <w:footerReference r:id="rId4" w:type="first"/>
          <w:footerReference r:id="rId3" w:type="default"/>
          <w:pgSz w:w="11906" w:h="16838"/>
          <w:pgMar w:top="1417" w:right="1417" w:bottom="1417" w:left="1417" w:header="851" w:footer="992" w:gutter="0"/>
          <w:pgNumType w:fmt="decimal" w:start="1"/>
          <w:cols w:space="720" w:num="1"/>
          <w:titlePg/>
          <w:docGrid w:type="lines" w:linePitch="312" w:charSpace="0"/>
        </w:sectPr>
      </w:pPr>
      <w:r>
        <w:rPr>
          <w:rFonts w:hint="eastAsia" w:ascii="宋体" w:hAnsi="宋体" w:eastAsia="宋体" w:cs="宋体"/>
          <w:color w:val="auto"/>
          <w:sz w:val="24"/>
          <w:szCs w:val="24"/>
        </w:rPr>
        <w:t>日期： 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月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日</w:t>
      </w:r>
      <w:r>
        <w:rPr>
          <w:rFonts w:hint="eastAsia" w:ascii="宋体" w:hAnsi="宋体" w:eastAsia="宋体" w:cs="宋体"/>
          <w:color w:val="auto"/>
          <w:sz w:val="24"/>
          <w:szCs w:val="24"/>
        </w:rPr>
        <w:tab/>
      </w:r>
      <w:r>
        <w:rPr>
          <w:rFonts w:hint="eastAsia" w:ascii="宋体" w:hAnsi="宋体" w:eastAsia="宋体" w:cs="宋体"/>
          <w:color w:val="auto"/>
          <w:sz w:val="24"/>
          <w:szCs w:val="24"/>
        </w:rPr>
        <w:t>日期：</w:t>
      </w:r>
      <w:r>
        <w:rPr>
          <w:rFonts w:hint="eastAsia" w:ascii="宋体" w:hAnsi="宋体" w:eastAsia="宋体" w:cs="宋体"/>
          <w:color w:val="auto"/>
          <w:spacing w:val="41"/>
          <w:sz w:val="24"/>
          <w:szCs w:val="24"/>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ab/>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日</w:t>
      </w:r>
    </w:p>
    <w:p w14:paraId="3D2489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2D48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9188B">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E19188B">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93B8A">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600C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5F600C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F32B1"/>
    <w:rsid w:val="48175941"/>
    <w:rsid w:val="59CC1712"/>
    <w:rsid w:val="62774692"/>
    <w:rsid w:val="674218AC"/>
    <w:rsid w:val="674F3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qFormat/>
    <w:uiPriority w:val="0"/>
    <w:pPr>
      <w:outlineLvl w:val="2"/>
    </w:p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toc 2"/>
    <w:basedOn w:val="1"/>
    <w:next w:val="1"/>
    <w:semiHidden/>
    <w:qFormat/>
    <w:uiPriority w:val="0"/>
    <w:pPr>
      <w:widowControl/>
      <w:spacing w:line="360" w:lineRule="auto"/>
      <w:ind w:left="200"/>
      <w:jc w:val="right"/>
    </w:pPr>
    <w:rPr>
      <w:rFonts w:ascii="仿宋_GB2312" w:eastAsia="仿宋_GB2312"/>
      <w:smallCaps/>
      <w:kern w:val="0"/>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customStyle="1" w:styleId="8">
    <w:name w:val="样式 标题 3 + (中文) 黑体 小四 非加粗 段前: 7.8 磅 段后: 0 磅 行距: 固定值 20 磅"/>
    <w:basedOn w:val="2"/>
    <w:qFormat/>
    <w:uiPriority w:val="0"/>
    <w:pPr>
      <w:spacing w:before="0" w:after="0" w:line="400" w:lineRule="exact"/>
    </w:pPr>
    <w:rPr>
      <w:rFonts w:eastAsia="黑体" w:cs="宋体"/>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3085</Words>
  <Characters>3135</Characters>
  <Lines>0</Lines>
  <Paragraphs>0</Paragraphs>
  <TotalTime>65</TotalTime>
  <ScaleCrop>false</ScaleCrop>
  <LinksUpToDate>false</LinksUpToDate>
  <CharactersWithSpaces>3288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2024-12-25T08:39:00Z</dcterms:created>
  <dc:creator>李</dc:creator>
  <cp:lastModifiedBy>李</cp:lastModifiedBy>
  <cp:lastPrinted>2024-12-26T01:23:00Z</cp:lastPrinted>
  <dcterms:modified xsi:type="dcterms:W3CDTF">2024-12-26T09:21:10Z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87ABC03396124279B3B13369475D49D4_11</vt:lpwstr>
  </property>
  <property fmtid="{D5CDD505-2E9C-101B-9397-08002B2CF9AE}" pid="4" name="KSOTemplateDocerSaveRecord">
    <vt:lpwstr>eyJoZGlkIjoiMTRjYmM1N2QzNzhjMmRmODcwMTExMGY4YjFhNDQyMjMiLCJ1c2VySWQiOiI3NjIwNjgwMTIifQ==</vt:lpwstr>
  </property>
</Properties>
</file>