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BB5A">
      <w:pPr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变更公告</w:t>
      </w:r>
      <w:bookmarkStart w:id="5" w:name="_GoBack"/>
      <w:bookmarkEnd w:id="5"/>
    </w:p>
    <w:p w14:paraId="640A171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825ECFE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本钢建设工程服务分公司电缆公开询比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</w:t>
      </w:r>
    </w:p>
    <w:p w14:paraId="01260948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：BGBGXCHGXHD260421283160</w:t>
      </w:r>
    </w:p>
    <w:p w14:paraId="19A9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该项目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清单中：</w:t>
      </w:r>
    </w:p>
    <w:p w14:paraId="5D020F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第5-10项控制电缆，规格型号ZR-KWP-450/750V，改为ZR-KVVP-450/750V；</w:t>
      </w:r>
    </w:p>
    <w:p w14:paraId="73DFB2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第11项控制电缆，规格型号ZR-DJYJPVP-450/750V，改为ZR-DJYPVP-300/500V；</w:t>
      </w:r>
    </w:p>
    <w:p w14:paraId="6B694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第1-4项</w:t>
      </w:r>
      <w:bookmarkStart w:id="0" w:name="OLE_LINK2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电力电缆</w:t>
      </w:r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，质量标准</w:t>
      </w:r>
      <w:bookmarkStart w:id="1" w:name="OLE_LINK1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GB 31247-2014</w:t>
      </w:r>
      <w:bookmarkEnd w:id="1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改为GB/T 12706.2-2020；</w:t>
      </w:r>
    </w:p>
    <w:p w14:paraId="284E1E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第5-11项控制电缆，质量标准GB 31247-2014，改为</w:t>
      </w:r>
      <w:bookmarkStart w:id="2" w:name="OLE_LINK3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GB/T 9330-2020</w:t>
      </w:r>
      <w:bookmarkEnd w:id="2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</w:t>
      </w:r>
    </w:p>
    <w:p w14:paraId="71468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第12-14项</w:t>
      </w:r>
      <w:bookmarkStart w:id="3" w:name="OLE_LINK6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导线</w:t>
      </w:r>
      <w:bookmarkEnd w:id="3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，质量标准GB 31247-2014，改为</w:t>
      </w:r>
      <w:bookmarkStart w:id="4" w:name="OLE_LINK5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GB/T 5023.3-2008</w:t>
      </w:r>
      <w:bookmarkEnd w:id="4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3B17F97C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74DC7F9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D97F4B5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406850E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本钢建设公司项目管理部采购中心</w:t>
      </w:r>
    </w:p>
    <w:p w14:paraId="0D4804AC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3AA11"/>
    <w:multiLevelType w:val="singleLevel"/>
    <w:tmpl w:val="FA53AA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0988"/>
    <w:rsid w:val="023868B8"/>
    <w:rsid w:val="02D22052"/>
    <w:rsid w:val="08420988"/>
    <w:rsid w:val="0B3B123B"/>
    <w:rsid w:val="11AB22F9"/>
    <w:rsid w:val="19A86048"/>
    <w:rsid w:val="1E3F78DA"/>
    <w:rsid w:val="36EE3689"/>
    <w:rsid w:val="3AC70A1B"/>
    <w:rsid w:val="56FC4BA1"/>
    <w:rsid w:val="642F4C46"/>
    <w:rsid w:val="777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325</Characters>
  <Lines>0</Lines>
  <Paragraphs>0</Paragraphs>
  <TotalTime>4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2024-06-03T07:16:00Z</dcterms:created>
  <dc:creator>Administrator</dc:creator>
  <cp:lastModifiedBy>pc</cp:lastModifiedBy>
  <cp:lastPrinted>2025-06-09T06:43:00Z</cp:lastPrinted>
  <dcterms:modified xsi:type="dcterms:W3CDTF">2026-04-27T23:56:42Z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eyJoZGlkIjoiODExNzZhMjQzYTYwZWZkNmQwZDY2OGNhOTg0Yzg4NTYiLCJ1c2VySWQiOiIxMzAwOTU1OTQyIn0=</vt:lpwstr>
  </property>
  <property fmtid="{D5CDD505-2E9C-101B-9397-08002B2CF9AE}" pid="4" name="ICV">
    <vt:lpwstr>22FB520821A5489ABA79DE5C9C8CB98B_13</vt:lpwstr>
  </property>
</Properties>
</file>