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kinsoku/>
        <w:wordWrap/>
        <w:overflowPunct/>
        <w:topLinePunct w:val="0"/>
        <w:autoSpaceDE w:val="0"/>
        <w:autoSpaceDN w:val="0"/>
        <w:bidi w:val="0"/>
        <w:spacing w:before="120" w:after="120" w:line="360" w:lineRule="auto"/>
        <w:ind w:right="-20"/>
        <w:jc w:val="center"/>
        <w:rPr>
          <w:rFonts w:hint="eastAsia" w:asciiTheme="minorEastAsia" w:hAnsiTheme="minorEastAsia" w:eastAsiaTheme="minorEastAsia" w:cstheme="minorEastAsia"/>
          <w:b/>
          <w:spacing w:val="2"/>
          <w:w w:val="99"/>
          <w:kern w:val="0"/>
          <w:sz w:val="24"/>
          <w:szCs w:val="24"/>
        </w:rPr>
      </w:pPr>
    </w:p>
    <w:p>
      <w:pPr>
        <w:pStyle w:val="5"/>
        <w:rPr>
          <w:rFonts w:hint="eastAsia" w:asciiTheme="minorEastAsia" w:hAnsiTheme="minorEastAsia" w:eastAsiaTheme="minorEastAsia" w:cstheme="minorEastAsia"/>
          <w:b/>
          <w:spacing w:val="2"/>
          <w:w w:val="99"/>
          <w:kern w:val="0"/>
          <w:sz w:val="24"/>
          <w:szCs w:val="24"/>
        </w:rPr>
      </w:pPr>
    </w:p>
    <w:p>
      <w:pPr>
        <w:pStyle w:val="5"/>
        <w:rPr>
          <w:rFonts w:hint="eastAsia" w:asciiTheme="minorEastAsia" w:hAnsiTheme="minorEastAsia" w:eastAsiaTheme="minorEastAsia" w:cstheme="minorEastAsia"/>
          <w:b/>
          <w:spacing w:val="2"/>
          <w:w w:val="99"/>
          <w:kern w:val="0"/>
          <w:sz w:val="24"/>
          <w:szCs w:val="24"/>
        </w:rPr>
      </w:pPr>
    </w:p>
    <w:p>
      <w:pPr>
        <w:kinsoku/>
        <w:wordWrap/>
        <w:overflowPunct/>
        <w:topLinePunct w:val="0"/>
        <w:autoSpaceDE w:val="0"/>
        <w:autoSpaceDN w:val="0"/>
        <w:bidi w:val="0"/>
        <w:spacing w:before="120" w:after="120" w:line="360" w:lineRule="auto"/>
        <w:ind w:right="-20"/>
        <w:jc w:val="center"/>
        <w:rPr>
          <w:rFonts w:cs="Arial Unicode MS" w:asciiTheme="minorEastAsia" w:hAnsiTheme="minorEastAsia"/>
          <w:b/>
          <w:spacing w:val="2"/>
          <w:w w:val="99"/>
          <w:sz w:val="52"/>
          <w:szCs w:val="52"/>
          <w:lang w:eastAsia="zh-CN"/>
        </w:rPr>
      </w:pPr>
      <w:r>
        <w:rPr>
          <w:rFonts w:cs="Arial Unicode MS" w:asciiTheme="minorEastAsia" w:hAnsiTheme="minorEastAsia"/>
          <w:b/>
          <w:spacing w:val="2"/>
          <w:w w:val="99"/>
          <w:sz w:val="52"/>
          <w:szCs w:val="52"/>
          <w:lang w:eastAsia="zh-CN"/>
        </w:rPr>
        <w:drawing>
          <wp:inline distT="0" distB="0" distL="0" distR="0">
            <wp:extent cx="1799590" cy="1619885"/>
            <wp:effectExtent l="0" t="0" r="10160" b="1841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1620000"/>
                    </a:xfrm>
                    <a:prstGeom prst="rect">
                      <a:avLst/>
                    </a:prstGeom>
                  </pic:spPr>
                </pic:pic>
              </a:graphicData>
            </a:graphic>
          </wp:inline>
        </w:drawing>
      </w:r>
    </w:p>
    <w:p>
      <w:pPr>
        <w:pStyle w:val="5"/>
        <w:rPr>
          <w:rFonts w:cs="Arial Unicode MS" w:asciiTheme="minorEastAsia" w:hAnsiTheme="minorEastAsia"/>
          <w:b/>
          <w:spacing w:val="2"/>
          <w:w w:val="99"/>
          <w:sz w:val="52"/>
          <w:szCs w:val="52"/>
          <w:lang w:eastAsia="zh-CN"/>
        </w:rPr>
      </w:pPr>
    </w:p>
    <w:p>
      <w:pPr>
        <w:pStyle w:val="5"/>
        <w:rPr>
          <w:rFonts w:hint="eastAsia" w:cs="Arial Unicode MS" w:asciiTheme="minorEastAsia" w:hAnsiTheme="minorEastAsia"/>
          <w:b/>
          <w:spacing w:val="2"/>
          <w:w w:val="99"/>
          <w:sz w:val="52"/>
          <w:szCs w:val="52"/>
          <w:lang w:eastAsia="zh-CN"/>
        </w:rPr>
      </w:pPr>
    </w:p>
    <w:p>
      <w:pPr>
        <w:kinsoku/>
        <w:wordWrap/>
        <w:overflowPunct/>
        <w:topLinePunct w:val="0"/>
        <w:autoSpaceDE w:val="0"/>
        <w:autoSpaceDN w:val="0"/>
        <w:bidi w:val="0"/>
        <w:spacing w:before="120" w:after="120" w:line="360" w:lineRule="auto"/>
        <w:ind w:right="-20"/>
        <w:rPr>
          <w:rFonts w:hint="eastAsia" w:asciiTheme="minorEastAsia" w:hAnsiTheme="minorEastAsia" w:eastAsiaTheme="minorEastAsia" w:cstheme="minorEastAsia"/>
          <w:b/>
          <w:spacing w:val="2"/>
          <w:w w:val="99"/>
          <w:kern w:val="0"/>
          <w:sz w:val="24"/>
          <w:szCs w:val="24"/>
        </w:rPr>
      </w:pPr>
    </w:p>
    <w:p>
      <w:pPr>
        <w:jc w:val="center"/>
        <w:rPr>
          <w:rFonts w:hint="eastAsia" w:ascii="微软雅黑" w:hAnsi="微软雅黑" w:eastAsia="微软雅黑" w:cs="Arial Unicode MS"/>
          <w:b/>
          <w:color w:val="000000"/>
          <w:spacing w:val="2"/>
          <w:w w:val="99"/>
          <w:kern w:val="0"/>
          <w:sz w:val="52"/>
          <w:szCs w:val="52"/>
          <w:lang w:eastAsia="zh-CN"/>
        </w:rPr>
      </w:pPr>
      <w:r>
        <w:rPr>
          <w:rFonts w:hint="eastAsia" w:ascii="微软雅黑" w:hAnsi="微软雅黑" w:eastAsia="微软雅黑" w:cs="Arial Unicode MS"/>
          <w:b/>
          <w:color w:val="000000"/>
          <w:spacing w:val="2"/>
          <w:w w:val="99"/>
          <w:kern w:val="0"/>
          <w:sz w:val="52"/>
          <w:szCs w:val="52"/>
          <w:lang w:eastAsia="zh-CN"/>
        </w:rPr>
        <w:t>中海油能源发展股份有限公司</w:t>
      </w:r>
    </w:p>
    <w:p>
      <w:pPr>
        <w:pStyle w:val="5"/>
        <w:jc w:val="center"/>
        <w:rPr>
          <w:rFonts w:hint="default" w:ascii="微软雅黑" w:hAnsi="微软雅黑" w:eastAsia="微软雅黑" w:cs="Arial Unicode MS"/>
          <w:b/>
          <w:color w:val="000000"/>
          <w:spacing w:val="2"/>
          <w:w w:val="99"/>
          <w:kern w:val="0"/>
          <w:sz w:val="52"/>
          <w:szCs w:val="52"/>
          <w:lang w:val="en-US" w:eastAsia="zh-CN" w:bidi="ar-SA"/>
        </w:rPr>
      </w:pPr>
      <w:r>
        <w:rPr>
          <w:rFonts w:hint="eastAsia" w:ascii="微软雅黑" w:hAnsi="微软雅黑" w:eastAsia="微软雅黑" w:cs="Arial Unicode MS"/>
          <w:b/>
          <w:color w:val="000000"/>
          <w:spacing w:val="2"/>
          <w:w w:val="99"/>
          <w:kern w:val="0"/>
          <w:sz w:val="52"/>
          <w:szCs w:val="52"/>
          <w:lang w:val="en-US" w:eastAsia="zh-CN"/>
        </w:rPr>
        <w:t>采购商务建议书</w:t>
      </w:r>
    </w:p>
    <w:p>
      <w:pPr>
        <w:pStyle w:val="5"/>
        <w:jc w:val="center"/>
        <w:rPr>
          <w:rFonts w:hint="eastAsia" w:ascii="微软雅黑" w:hAnsi="微软雅黑" w:eastAsia="微软雅黑" w:cs="Arial Unicode MS"/>
          <w:b/>
          <w:color w:val="000000"/>
          <w:spacing w:val="2"/>
          <w:w w:val="99"/>
          <w:kern w:val="0"/>
          <w:sz w:val="52"/>
          <w:szCs w:val="52"/>
          <w:lang w:val="en-US" w:eastAsia="zh-CN" w:bidi="ar-SA"/>
        </w:rPr>
      </w:pPr>
    </w:p>
    <w:p>
      <w:pPr>
        <w:pStyle w:val="5"/>
        <w:jc w:val="center"/>
        <w:rPr>
          <w:rFonts w:hint="eastAsia" w:ascii="微软雅黑" w:hAnsi="微软雅黑" w:eastAsia="微软雅黑" w:cs="Arial Unicode MS"/>
          <w:b/>
          <w:color w:val="000000"/>
          <w:spacing w:val="2"/>
          <w:w w:val="99"/>
          <w:kern w:val="0"/>
          <w:sz w:val="52"/>
          <w:szCs w:val="52"/>
          <w:lang w:val="en-US" w:eastAsia="zh-CN" w:bidi="ar-SA"/>
        </w:rPr>
      </w:pPr>
    </w:p>
    <w:p>
      <w:pPr>
        <w:pStyle w:val="5"/>
        <w:jc w:val="center"/>
        <w:rPr>
          <w:rFonts w:hint="eastAsia" w:ascii="微软雅黑" w:hAnsi="微软雅黑" w:eastAsia="微软雅黑" w:cs="Arial Unicode MS"/>
          <w:b/>
          <w:color w:val="000000"/>
          <w:spacing w:val="2"/>
          <w:w w:val="99"/>
          <w:kern w:val="0"/>
          <w:sz w:val="52"/>
          <w:szCs w:val="52"/>
          <w:lang w:val="en-US" w:eastAsia="zh-CN" w:bidi="ar-SA"/>
        </w:rPr>
      </w:pPr>
    </w:p>
    <w:p>
      <w:pPr>
        <w:pStyle w:val="5"/>
        <w:jc w:val="center"/>
        <w:rPr>
          <w:rFonts w:hint="eastAsia" w:ascii="微软雅黑" w:hAnsi="微软雅黑" w:eastAsia="微软雅黑" w:cs="Arial Unicode MS"/>
          <w:b/>
          <w:color w:val="000000"/>
          <w:spacing w:val="2"/>
          <w:w w:val="99"/>
          <w:kern w:val="0"/>
          <w:sz w:val="52"/>
          <w:szCs w:val="52"/>
          <w:lang w:val="en-US" w:eastAsia="zh-CN" w:bidi="ar-SA"/>
        </w:rPr>
      </w:pPr>
    </w:p>
    <w:p>
      <w:pPr>
        <w:pStyle w:val="5"/>
        <w:jc w:val="left"/>
        <w:rPr>
          <w:rFonts w:hint="eastAsia" w:ascii="宋体" w:hAnsi="宋体" w:eastAsia="宋体" w:cs="宋体"/>
          <w:b w:val="0"/>
          <w:bCs/>
          <w:color w:val="000000"/>
          <w:spacing w:val="2"/>
          <w:w w:val="99"/>
          <w:kern w:val="0"/>
          <w:sz w:val="21"/>
          <w:szCs w:val="21"/>
          <w:lang w:val="en-US" w:eastAsia="zh-CN" w:bidi="ar-SA"/>
        </w:rPr>
      </w:pPr>
    </w:p>
    <w:p>
      <w:pPr>
        <w:pStyle w:val="5"/>
        <w:jc w:val="left"/>
        <w:rPr>
          <w:rFonts w:hint="eastAsia" w:ascii="宋体" w:hAnsi="宋体" w:eastAsia="宋体" w:cs="宋体"/>
          <w:b w:val="0"/>
          <w:bCs/>
          <w:color w:val="000000"/>
          <w:spacing w:val="2"/>
          <w:w w:val="99"/>
          <w:kern w:val="0"/>
          <w:sz w:val="21"/>
          <w:szCs w:val="21"/>
          <w:lang w:val="en-US" w:eastAsia="zh-CN" w:bidi="ar-SA"/>
        </w:rPr>
      </w:pPr>
    </w:p>
    <w:p>
      <w:pPr>
        <w:spacing w:before="312" w:beforeLines="100" w:after="312" w:afterLines="100" w:line="240" w:lineRule="auto"/>
        <w:jc w:val="both"/>
        <w:outlineLvl w:val="0"/>
        <w:rPr>
          <w:rFonts w:hint="eastAsia" w:ascii="宋体" w:hAnsi="宋体" w:eastAsia="宋体" w:cs="宋体"/>
          <w:b w:val="0"/>
          <w:bCs w:val="0"/>
          <w:color w:val="auto"/>
          <w:kern w:val="44"/>
          <w:sz w:val="24"/>
          <w:szCs w:val="24"/>
          <w:highlight w:val="none"/>
          <w:lang w:val="en-US" w:eastAsia="zh-CN"/>
        </w:rPr>
      </w:pPr>
    </w:p>
    <w:p>
      <w:pPr>
        <w:pStyle w:val="2"/>
        <w:rPr>
          <w:rFonts w:hint="eastAsia"/>
          <w:lang w:val="en-US" w:eastAsia="zh-CN"/>
        </w:rPr>
      </w:pPr>
    </w:p>
    <w:p>
      <w:pPr>
        <w:spacing w:before="312" w:beforeLines="100" w:after="312" w:afterLines="100" w:line="240" w:lineRule="auto"/>
        <w:jc w:val="both"/>
        <w:outlineLvl w:val="0"/>
        <w:rPr>
          <w:rFonts w:hint="eastAsia"/>
          <w:lang w:val="en-US" w:eastAsia="zh-CN"/>
        </w:rPr>
      </w:pPr>
      <w:r>
        <w:rPr>
          <w:rFonts w:hint="eastAsia" w:ascii="宋体" w:hAnsi="宋体" w:eastAsia="宋体" w:cs="宋体"/>
          <w:b w:val="0"/>
          <w:bCs w:val="0"/>
          <w:color w:val="auto"/>
          <w:kern w:val="44"/>
          <w:sz w:val="22"/>
          <w:szCs w:val="22"/>
          <w:highlight w:val="none"/>
          <w:lang w:val="en-US" w:eastAsia="zh-CN"/>
        </w:rPr>
        <w:t>未建设商务标准或已发布的标准不可用时，商务要求建议如下：</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right="119" w:firstLine="0" w:firstLineChars="0"/>
        <w:textAlignment w:val="auto"/>
        <w:rPr>
          <w:rFonts w:hint="eastAsia" w:ascii="宋体" w:hAnsi="宋体" w:eastAsia="宋体" w:cs="宋体"/>
          <w:b w:val="0"/>
          <w:bCs w:val="0"/>
          <w:color w:val="auto"/>
          <w:kern w:val="44"/>
          <w:sz w:val="22"/>
          <w:szCs w:val="22"/>
          <w:highlight w:val="none"/>
          <w:lang w:val="en-US" w:eastAsia="zh-CN"/>
        </w:rPr>
      </w:pPr>
      <w:r>
        <w:rPr>
          <w:rFonts w:hint="eastAsia" w:ascii="宋体" w:hAnsi="宋体" w:eastAsia="宋体" w:cs="宋体"/>
          <w:b/>
          <w:bCs w:val="0"/>
          <w:i w:val="0"/>
          <w:iCs w:val="0"/>
          <w:caps w:val="0"/>
          <w:color w:val="333333"/>
          <w:spacing w:val="0"/>
          <w:kern w:val="2"/>
          <w:sz w:val="21"/>
          <w:szCs w:val="21"/>
          <w:lang w:val="en-US" w:eastAsia="zh-CN" w:bidi="ar"/>
        </w:rPr>
        <w:t>★</w:t>
      </w:r>
      <w:r>
        <w:rPr>
          <w:rFonts w:hint="eastAsia" w:ascii="宋体" w:hAnsi="宋体" w:eastAsia="宋体" w:cs="宋体"/>
          <w:b w:val="0"/>
          <w:bCs w:val="0"/>
          <w:color w:val="auto"/>
          <w:kern w:val="44"/>
          <w:sz w:val="22"/>
          <w:szCs w:val="22"/>
          <w:highlight w:val="none"/>
          <w:lang w:val="en-US" w:eastAsia="zh-CN"/>
        </w:rPr>
        <w:t>商务资质要求：持有并提供有效的食品经营许可证、消防安全检查合格证，原件备查；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119" w:rightChars="0"/>
        <w:textAlignment w:val="auto"/>
        <w:rPr>
          <w:rFonts w:hint="eastAsia" w:ascii="宋体" w:hAnsi="宋体" w:eastAsia="宋体" w:cs="宋体"/>
          <w:b w:val="0"/>
          <w:bCs w:val="0"/>
          <w:color w:val="auto"/>
          <w:kern w:val="44"/>
          <w:sz w:val="22"/>
          <w:szCs w:val="2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288" w:lineRule="auto"/>
        <w:ind w:left="0" w:leftChars="0" w:right="119" w:firstLine="0" w:firstLineChars="0"/>
        <w:textAlignment w:val="auto"/>
        <w:rPr>
          <w:rFonts w:hint="default" w:ascii="宋体" w:hAnsi="宋体" w:eastAsia="宋体" w:cs="宋体"/>
          <w:b w:val="0"/>
          <w:bCs w:val="0"/>
          <w:color w:val="auto"/>
          <w:kern w:val="44"/>
          <w:sz w:val="22"/>
          <w:szCs w:val="22"/>
          <w:highlight w:val="none"/>
          <w:lang w:val="en-US" w:eastAsia="zh-CN" w:bidi="ar-SA"/>
        </w:rPr>
      </w:pPr>
      <w:r>
        <w:rPr>
          <w:rFonts w:hint="eastAsia" w:ascii="宋体" w:hAnsi="宋体" w:eastAsia="宋体" w:cs="宋体"/>
          <w:b w:val="0"/>
          <w:bCs w:val="0"/>
          <w:color w:val="auto"/>
          <w:kern w:val="44"/>
          <w:sz w:val="22"/>
          <w:szCs w:val="22"/>
          <w:highlight w:val="none"/>
          <w:lang w:val="en-US" w:eastAsia="zh-CN" w:bidi="ar-SA"/>
        </w:rPr>
        <w:t>2、</w:t>
      </w:r>
      <w:r>
        <w:rPr>
          <w:rFonts w:hint="eastAsia" w:ascii="宋体" w:hAnsi="宋体" w:eastAsia="宋体" w:cs="宋体"/>
          <w:b/>
          <w:bCs w:val="0"/>
          <w:i w:val="0"/>
          <w:iCs w:val="0"/>
          <w:caps w:val="0"/>
          <w:color w:val="333333"/>
          <w:spacing w:val="0"/>
          <w:kern w:val="2"/>
          <w:sz w:val="21"/>
          <w:szCs w:val="21"/>
          <w:lang w:val="en-US" w:eastAsia="zh-CN" w:bidi="ar"/>
        </w:rPr>
        <w:t>★</w:t>
      </w:r>
      <w:r>
        <w:rPr>
          <w:rFonts w:hint="eastAsia" w:ascii="宋体" w:hAnsi="宋体" w:eastAsia="宋体" w:cs="宋体"/>
          <w:b w:val="0"/>
          <w:bCs w:val="0"/>
          <w:color w:val="auto"/>
          <w:kern w:val="44"/>
          <w:sz w:val="22"/>
          <w:szCs w:val="22"/>
          <w:highlight w:val="none"/>
          <w:lang w:val="en-US" w:eastAsia="zh-CN" w:bidi="ar-SA"/>
        </w:rPr>
        <w:t>资格条件要求：参与投标的服务方需提供投标单位的建筑平面图，所提供平面图可以清晰分辨出会场的使用面积以及住宿房间的数量，用于佐证服务方是否有能力满足本需求所提到的会场面积、住宿房间数量等信息，服务方提供的相关平面图会场面积和住宿房间数无法达到本需求所提的要求或无法提供者，视为无法满足本需求所提到的服务内容，视为不合格。</w:t>
      </w:r>
    </w:p>
    <w:p>
      <w:pPr>
        <w:numPr>
          <w:ilvl w:val="0"/>
          <w:numId w:val="2"/>
        </w:numPr>
        <w:spacing w:before="312" w:beforeLines="100" w:after="312" w:afterLines="100" w:line="240" w:lineRule="auto"/>
        <w:ind w:left="0" w:leftChars="0" w:firstLine="0" w:firstLineChars="0"/>
        <w:jc w:val="left"/>
        <w:outlineLvl w:val="0"/>
        <w:rPr>
          <w:rFonts w:hint="eastAsia" w:ascii="宋体" w:hAnsi="宋体" w:eastAsia="宋体" w:cs="宋体"/>
          <w:b w:val="0"/>
          <w:bCs w:val="0"/>
          <w:color w:val="auto"/>
          <w:kern w:val="44"/>
          <w:sz w:val="22"/>
          <w:szCs w:val="22"/>
          <w:highlight w:val="none"/>
          <w:lang w:val="en-US" w:eastAsia="zh-CN"/>
        </w:rPr>
      </w:pPr>
      <w:r>
        <w:rPr>
          <w:rFonts w:hint="eastAsia" w:ascii="宋体" w:hAnsi="宋体" w:eastAsia="宋体" w:cs="宋体"/>
          <w:b/>
          <w:bCs w:val="0"/>
          <w:i w:val="0"/>
          <w:iCs w:val="0"/>
          <w:caps w:val="0"/>
          <w:color w:val="333333"/>
          <w:spacing w:val="0"/>
          <w:kern w:val="2"/>
          <w:sz w:val="21"/>
          <w:szCs w:val="21"/>
          <w:lang w:val="en-US" w:eastAsia="zh-CN" w:bidi="ar"/>
        </w:rPr>
        <w:t>★</w:t>
      </w:r>
      <w:r>
        <w:rPr>
          <w:rFonts w:hint="eastAsia" w:ascii="宋体" w:hAnsi="宋体" w:eastAsia="宋体" w:cs="宋体"/>
          <w:b w:val="0"/>
          <w:bCs w:val="0"/>
          <w:color w:val="auto"/>
          <w:kern w:val="44"/>
          <w:sz w:val="22"/>
          <w:szCs w:val="22"/>
          <w:highlight w:val="none"/>
          <w:lang w:val="en-US" w:eastAsia="zh-CN"/>
        </w:rPr>
        <w:t>业绩条件要求：提供2023年至今</w:t>
      </w:r>
      <w:r>
        <w:rPr>
          <w:rFonts w:hint="eastAsia"/>
          <w:highlight w:val="yellow"/>
          <w:lang w:val="en-US" w:eastAsia="zh-CN"/>
        </w:rPr>
        <w:t>会议或培训类的</w:t>
      </w:r>
      <w:r>
        <w:rPr>
          <w:rFonts w:hint="eastAsia" w:ascii="宋体" w:hAnsi="宋体" w:eastAsia="宋体" w:cs="宋体"/>
          <w:b w:val="0"/>
          <w:bCs w:val="0"/>
          <w:color w:val="auto"/>
          <w:kern w:val="44"/>
          <w:sz w:val="22"/>
          <w:szCs w:val="22"/>
          <w:highlight w:val="none"/>
          <w:lang w:val="en-US" w:eastAsia="zh-CN"/>
        </w:rPr>
        <w:t>餐饮服务和会场服务业绩（包括但不限于合同）1份，无法提供业绩证明的，视为不合格。</w:t>
      </w:r>
    </w:p>
    <w:p>
      <w:pPr>
        <w:numPr>
          <w:ilvl w:val="0"/>
          <w:numId w:val="2"/>
        </w:numPr>
        <w:spacing w:before="312" w:beforeLines="100" w:after="312" w:afterLines="100" w:line="240" w:lineRule="auto"/>
        <w:ind w:left="0" w:leftChars="0" w:firstLine="0" w:firstLineChars="0"/>
        <w:jc w:val="left"/>
        <w:outlineLvl w:val="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2"/>
          <w:szCs w:val="22"/>
          <w:highlight w:val="none"/>
          <w:lang w:val="en-US" w:eastAsia="zh-CN"/>
        </w:rPr>
        <w:t>财务条件要求：</w:t>
      </w:r>
    </w:p>
    <w:p>
      <w:pPr>
        <w:numPr>
          <w:ilvl w:val="0"/>
          <w:numId w:val="0"/>
        </w:numPr>
        <w:spacing w:before="312" w:beforeLines="100" w:after="312" w:afterLines="100" w:line="240" w:lineRule="auto"/>
        <w:ind w:leftChars="0" w:firstLine="220" w:firstLineChars="100"/>
        <w:jc w:val="left"/>
        <w:outlineLvl w:val="0"/>
        <w:rPr>
          <w:rFonts w:hint="eastAsia" w:ascii="宋体" w:hAnsi="宋体" w:eastAsia="宋体" w:cs="宋体"/>
          <w:b w:val="0"/>
          <w:bCs w:val="0"/>
          <w:color w:val="auto"/>
          <w:kern w:val="44"/>
          <w:sz w:val="22"/>
          <w:szCs w:val="22"/>
          <w:highlight w:val="none"/>
          <w:lang w:val="en-US" w:eastAsia="zh-CN"/>
        </w:rPr>
      </w:pPr>
      <w:r>
        <w:rPr>
          <w:rFonts w:hint="eastAsia" w:ascii="宋体" w:hAnsi="宋体" w:eastAsia="宋体" w:cs="宋体"/>
          <w:b w:val="0"/>
          <w:bCs w:val="0"/>
          <w:color w:val="auto"/>
          <w:kern w:val="44"/>
          <w:sz w:val="22"/>
          <w:szCs w:val="22"/>
          <w:highlight w:val="none"/>
          <w:lang w:val="en-US" w:eastAsia="zh-CN"/>
        </w:rPr>
        <w:t>4-1付款方式：银行电汇；</w:t>
      </w:r>
      <w:bookmarkStart w:id="0" w:name="_GoBack"/>
      <w:bookmarkEnd w:id="0"/>
    </w:p>
    <w:p>
      <w:pPr>
        <w:numPr>
          <w:ilvl w:val="0"/>
          <w:numId w:val="0"/>
        </w:numPr>
        <w:spacing w:before="312" w:beforeLines="100" w:after="312" w:afterLines="100" w:line="240" w:lineRule="auto"/>
        <w:ind w:leftChars="0" w:firstLine="220" w:firstLineChars="100"/>
        <w:jc w:val="left"/>
        <w:outlineLvl w:val="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2"/>
          <w:szCs w:val="22"/>
          <w:highlight w:val="none"/>
          <w:lang w:val="en-US" w:eastAsia="zh-CN"/>
        </w:rPr>
        <w:t>4-2付款周期：验收合格后，服务方开具增值税专用发票，需求方收到发票后45日内一次性付款，如付款到期日非银行工作日，则付款到期日顺延至下一个银行工作日。</w:t>
      </w:r>
    </w:p>
    <w:p>
      <w:pPr>
        <w:pStyle w:val="5"/>
        <w:widowControl w:val="0"/>
        <w:numPr>
          <w:ilvl w:val="0"/>
          <w:numId w:val="0"/>
        </w:numPr>
        <w:snapToGrid w:val="0"/>
        <w:spacing w:line="480" w:lineRule="auto"/>
        <w:rPr>
          <w:rFonts w:hint="eastAsia" w:ascii="宋体" w:hAnsi="宋体" w:eastAsia="宋体" w:cs="宋体"/>
          <w:b w:val="0"/>
          <w:bCs w:val="0"/>
          <w:color w:val="auto"/>
          <w:kern w:val="44"/>
          <w:sz w:val="24"/>
          <w:szCs w:val="24"/>
          <w:highlight w:val="none"/>
          <w:lang w:val="en-US" w:eastAsia="zh-CN" w:bidi="ar-SA"/>
        </w:rPr>
      </w:pPr>
    </w:p>
    <w:p>
      <w:pPr>
        <w:pStyle w:val="5"/>
        <w:widowControl w:val="0"/>
        <w:numPr>
          <w:ilvl w:val="0"/>
          <w:numId w:val="0"/>
        </w:numPr>
        <w:snapToGrid w:val="0"/>
        <w:spacing w:line="480" w:lineRule="auto"/>
        <w:rPr>
          <w:rFonts w:hint="eastAsia" w:ascii="宋体" w:hAnsi="宋体" w:eastAsia="宋体" w:cs="宋体"/>
          <w:b w:val="0"/>
          <w:bCs w:val="0"/>
          <w:color w:val="auto"/>
          <w:kern w:val="44"/>
          <w:sz w:val="24"/>
          <w:szCs w:val="24"/>
          <w:highlight w:val="none"/>
          <w:lang w:val="en-US" w:eastAsia="zh-CN" w:bidi="ar-SA"/>
        </w:rPr>
      </w:pPr>
    </w:p>
    <w:p>
      <w:pPr>
        <w:pStyle w:val="5"/>
        <w:widowControl w:val="0"/>
        <w:numPr>
          <w:ilvl w:val="0"/>
          <w:numId w:val="0"/>
        </w:numPr>
        <w:snapToGrid w:val="0"/>
        <w:spacing w:line="480" w:lineRule="auto"/>
        <w:jc w:val="center"/>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 xml:space="preserve">                                          编制人：</w:t>
      </w:r>
    </w:p>
    <w:p>
      <w:pPr>
        <w:pStyle w:val="5"/>
        <w:widowControl w:val="0"/>
        <w:numPr>
          <w:ilvl w:val="0"/>
          <w:numId w:val="0"/>
        </w:numPr>
        <w:snapToGrid w:val="0"/>
        <w:spacing w:line="480" w:lineRule="auto"/>
        <w:jc w:val="center"/>
        <w:rPr>
          <w:rFonts w:hint="eastAsia" w:ascii="宋体" w:hAnsi="宋体" w:eastAsia="宋体" w:cs="宋体"/>
          <w:b w:val="0"/>
          <w:bCs w:val="0"/>
          <w:color w:val="auto"/>
          <w:kern w:val="44"/>
          <w:sz w:val="24"/>
          <w:szCs w:val="24"/>
          <w:highlight w:val="none"/>
          <w:lang w:val="en-US" w:eastAsia="zh-CN" w:bidi="ar-SA"/>
        </w:rPr>
      </w:pPr>
    </w:p>
    <w:p>
      <w:pPr>
        <w:pStyle w:val="5"/>
        <w:widowControl w:val="0"/>
        <w:numPr>
          <w:ilvl w:val="0"/>
          <w:numId w:val="0"/>
        </w:numPr>
        <w:snapToGrid w:val="0"/>
        <w:spacing w:line="480" w:lineRule="auto"/>
        <w:jc w:val="center"/>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 xml:space="preserve">                                           审核人：</w:t>
      </w:r>
    </w:p>
    <w:p>
      <w:pPr>
        <w:pStyle w:val="5"/>
        <w:widowControl w:val="0"/>
        <w:numPr>
          <w:ilvl w:val="0"/>
          <w:numId w:val="0"/>
        </w:numPr>
        <w:snapToGrid w:val="0"/>
        <w:spacing w:line="480" w:lineRule="auto"/>
        <w:jc w:val="center"/>
        <w:rPr>
          <w:rFonts w:hint="eastAsia" w:ascii="宋体" w:hAnsi="宋体" w:eastAsia="宋体" w:cs="宋体"/>
          <w:b w:val="0"/>
          <w:bCs w:val="0"/>
          <w:color w:val="auto"/>
          <w:kern w:val="44"/>
          <w:sz w:val="24"/>
          <w:szCs w:val="24"/>
          <w:highlight w:val="none"/>
          <w:lang w:val="en-US" w:eastAsia="zh-CN" w:bidi="ar-SA"/>
        </w:rPr>
      </w:pPr>
    </w:p>
    <w:p>
      <w:pPr>
        <w:pStyle w:val="5"/>
        <w:widowControl w:val="0"/>
        <w:numPr>
          <w:ilvl w:val="0"/>
          <w:numId w:val="0"/>
        </w:numPr>
        <w:snapToGrid w:val="0"/>
        <w:spacing w:line="480" w:lineRule="auto"/>
        <w:jc w:val="center"/>
        <w:rPr>
          <w:rFonts w:hint="default"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 xml:space="preserve">                                           批准人：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2</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72F2E"/>
    <w:multiLevelType w:val="singleLevel"/>
    <w:tmpl w:val="C5172F2E"/>
    <w:lvl w:ilvl="0" w:tentative="0">
      <w:start w:val="1"/>
      <w:numFmt w:val="decimal"/>
      <w:suff w:val="nothing"/>
      <w:lvlText w:val="%1、"/>
      <w:lvlJc w:val="left"/>
    </w:lvl>
  </w:abstractNum>
  <w:abstractNum w:abstractNumId="1">
    <w:nsid w:val="593855B2"/>
    <w:multiLevelType w:val="singleLevel"/>
    <w:tmpl w:val="593855B2"/>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A2985"/>
    <w:rsid w:val="01026BB4"/>
    <w:rsid w:val="02BA64F9"/>
    <w:rsid w:val="02CF31E3"/>
    <w:rsid w:val="03030E22"/>
    <w:rsid w:val="07475BCD"/>
    <w:rsid w:val="08896E2F"/>
    <w:rsid w:val="09A93188"/>
    <w:rsid w:val="09F31262"/>
    <w:rsid w:val="0C3F4EDE"/>
    <w:rsid w:val="0D9D0886"/>
    <w:rsid w:val="0DC60E12"/>
    <w:rsid w:val="0F6C76BB"/>
    <w:rsid w:val="0FAC3E0A"/>
    <w:rsid w:val="12A91BC8"/>
    <w:rsid w:val="145B46DD"/>
    <w:rsid w:val="14AC3523"/>
    <w:rsid w:val="15262A88"/>
    <w:rsid w:val="15FB3BE4"/>
    <w:rsid w:val="183639FA"/>
    <w:rsid w:val="1D8C4487"/>
    <w:rsid w:val="231D0753"/>
    <w:rsid w:val="24E707BB"/>
    <w:rsid w:val="2547714B"/>
    <w:rsid w:val="280D2CE3"/>
    <w:rsid w:val="29087430"/>
    <w:rsid w:val="2AA51D8F"/>
    <w:rsid w:val="2BB253AD"/>
    <w:rsid w:val="2D531483"/>
    <w:rsid w:val="31182667"/>
    <w:rsid w:val="32177B18"/>
    <w:rsid w:val="379D459F"/>
    <w:rsid w:val="38391743"/>
    <w:rsid w:val="391A2985"/>
    <w:rsid w:val="3F484AC0"/>
    <w:rsid w:val="3FAA4B03"/>
    <w:rsid w:val="42742C9F"/>
    <w:rsid w:val="46BD5C03"/>
    <w:rsid w:val="477313C3"/>
    <w:rsid w:val="4A1F4F83"/>
    <w:rsid w:val="4B3C3F80"/>
    <w:rsid w:val="4C0B76B9"/>
    <w:rsid w:val="4C924817"/>
    <w:rsid w:val="4DE422C0"/>
    <w:rsid w:val="505B3227"/>
    <w:rsid w:val="51CD7E92"/>
    <w:rsid w:val="558F670D"/>
    <w:rsid w:val="56FC15F5"/>
    <w:rsid w:val="571D2FB3"/>
    <w:rsid w:val="5AD71099"/>
    <w:rsid w:val="5B78387C"/>
    <w:rsid w:val="5D1742B2"/>
    <w:rsid w:val="5D416FDF"/>
    <w:rsid w:val="5E0F76A2"/>
    <w:rsid w:val="5F565840"/>
    <w:rsid w:val="5F7A7C1D"/>
    <w:rsid w:val="63094D45"/>
    <w:rsid w:val="64ED525F"/>
    <w:rsid w:val="6827036C"/>
    <w:rsid w:val="686F0C9A"/>
    <w:rsid w:val="6A3C4A94"/>
    <w:rsid w:val="6C2C3848"/>
    <w:rsid w:val="6C7A4A9B"/>
    <w:rsid w:val="6E167EF0"/>
    <w:rsid w:val="6EF65249"/>
    <w:rsid w:val="6F18151D"/>
    <w:rsid w:val="70D5493D"/>
    <w:rsid w:val="730B464C"/>
    <w:rsid w:val="7320344A"/>
    <w:rsid w:val="76BD7A00"/>
    <w:rsid w:val="76F80071"/>
    <w:rsid w:val="77E55D35"/>
    <w:rsid w:val="7D7D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pPr>
    <w:rPr>
      <w:rFonts w:ascii="宋体" w:hAnsi="Courier New" w:eastAsia="宋体" w:cs="Courier New"/>
      <w:szCs w:val="21"/>
    </w:rPr>
  </w:style>
  <w:style w:type="paragraph" w:styleId="3">
    <w:name w:val="annotation text"/>
    <w:basedOn w:val="1"/>
    <w:semiHidden/>
    <w:unhideWhenUsed/>
    <w:qFormat/>
    <w:uiPriority w:val="99"/>
    <w:pPr>
      <w:jc w:val="left"/>
    </w:pPr>
  </w:style>
  <w:style w:type="paragraph" w:styleId="4">
    <w:name w:val="Body Text"/>
    <w:basedOn w:val="1"/>
    <w:qFormat/>
    <w:uiPriority w:val="1"/>
    <w:pPr>
      <w:ind w:firstLine="200" w:firstLineChars="200"/>
      <w:jc w:val="both"/>
    </w:pPr>
    <w:rPr>
      <w:rFonts w:ascii="Microsoft YaHei UI" w:hAnsi="Microsoft YaHei UI" w:eastAsia="Microsoft YaHei UI"/>
      <w:sz w:val="21"/>
      <w:szCs w:val="21"/>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前言、引言标题"/>
    <w:next w:val="1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2024-04-23T01:38:00Z</dcterms:created>
  <dc:creator>辛俊</dc:creator>
  <cp:lastModifiedBy>Administrator</cp:lastModifiedBy>
  <cp:lastPrinted>2026-02-06T03:00:00Z</cp:lastPrinted>
  <dcterms:modified xsi:type="dcterms:W3CDTF">2026-02-11T08:22:16Z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979F8072F63240D7B58C4D347D776275</vt:lpwstr>
  </property>
</Properties>
</file>