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header+xml" PartName="/word/header1.xml"/>
  <Override ContentType="application/vnd.openxmlformats-officedocument.wordprocessingml.header+xml" PartName="/word/header10.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jc w:val="center"/>
        <w:rPr>
          <w:rFonts w:hint="eastAsia" w:ascii="宋体" w:hAnsi="宋体" w:cs="宋体"/>
          <w:b/>
          <w:color w:val="auto"/>
          <w:sz w:val="24"/>
          <w:highlight w:val="none"/>
        </w:rPr>
      </w:pPr>
    </w:p>
    <w:p>
      <w:pPr>
        <w:spacing w:line="360" w:lineRule="auto"/>
        <w:jc w:val="center"/>
        <w:rPr>
          <w:rFonts w:ascii="宋体" w:hAnsi="宋体" w:cs="宋体"/>
          <w:b/>
          <w:color w:val="auto"/>
          <w:sz w:val="24"/>
          <w:highlight w:val="none"/>
        </w:rPr>
      </w:pPr>
    </w:p>
    <w:p>
      <w:pPr>
        <w:adjustRightInd/>
        <w:spacing w:line="360" w:lineRule="auto"/>
        <w:jc w:val="center"/>
        <w:rPr>
          <w:rFonts w:ascii="宋体" w:hAnsi="宋体" w:cs="宋体"/>
          <w:b/>
          <w:color w:val="auto"/>
          <w:sz w:val="44"/>
          <w:szCs w:val="44"/>
          <w:highlight w:val="none"/>
        </w:rPr>
      </w:pPr>
    </w:p>
    <w:p>
      <w:pPr>
        <w:adjustRightInd/>
        <w:spacing w:line="360" w:lineRule="auto"/>
        <w:jc w:val="both"/>
        <w:rPr>
          <w:rFonts w:ascii="宋体" w:hAnsi="宋体" w:cs="宋体"/>
          <w:b/>
          <w:color w:val="auto"/>
          <w:sz w:val="48"/>
          <w:szCs w:val="48"/>
          <w:highlight w:val="none"/>
        </w:rPr>
      </w:pPr>
    </w:p>
    <w:p>
      <w:pPr>
        <w:adjustRightInd/>
        <w:spacing w:line="360" w:lineRule="auto"/>
        <w:jc w:val="center"/>
        <w:rPr>
          <w:rFonts w:hint="eastAsia" w:ascii="宋体" w:hAnsi="宋体" w:cs="宋体"/>
          <w:color w:val="auto"/>
          <w:sz w:val="48"/>
          <w:szCs w:val="48"/>
          <w:highlight w:val="none"/>
          <w:lang w:eastAsia="zh-CN"/>
        </w:rPr>
      </w:pPr>
      <w:r>
        <w:rPr>
          <w:rFonts w:hint="eastAsia" w:ascii="宋体" w:hAnsi="宋体" w:cs="宋体"/>
          <w:color w:val="auto"/>
          <w:sz w:val="48"/>
          <w:szCs w:val="48"/>
          <w:highlight w:val="none"/>
          <w:lang w:eastAsia="zh-CN"/>
        </w:rPr>
        <w:t>临平区中医院年度电脑更新采购项目</w:t>
      </w:r>
    </w:p>
    <w:p>
      <w:pPr>
        <w:adjustRightInd/>
        <w:spacing w:line="360" w:lineRule="auto"/>
        <w:jc w:val="center"/>
        <w:rPr>
          <w:rFonts w:ascii="宋体" w:hAnsi="宋体" w:cs="宋体"/>
          <w:color w:val="auto"/>
          <w:sz w:val="48"/>
          <w:szCs w:val="48"/>
          <w:highlight w:val="none"/>
        </w:rPr>
      </w:pPr>
      <w:r>
        <w:rPr>
          <w:rFonts w:hint="eastAsia" w:ascii="宋体" w:hAnsi="宋体" w:cs="宋体"/>
          <w:color w:val="auto"/>
          <w:sz w:val="48"/>
          <w:szCs w:val="48"/>
          <w:highlight w:val="none"/>
        </w:rPr>
        <w:t xml:space="preserve">招标文件 </w:t>
      </w:r>
    </w:p>
    <w:p>
      <w:pPr>
        <w:adjustRightInd/>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（电子招投标）</w:t>
      </w:r>
    </w:p>
    <w:p>
      <w:pPr>
        <w:snapToGrid w:val="0"/>
        <w:spacing w:line="360" w:lineRule="auto"/>
        <w:jc w:val="center"/>
        <w:rPr>
          <w:rFonts w:ascii="宋体" w:hAnsi="宋体" w:cs="宋体"/>
          <w:color w:val="auto"/>
          <w:sz w:val="30"/>
          <w:szCs w:val="30"/>
          <w:highlight w:val="none"/>
        </w:rPr>
      </w:pPr>
      <w:r>
        <w:rPr>
          <w:rFonts w:hint="eastAsia" w:ascii="宋体" w:hAnsi="宋体" w:cs="宋体"/>
          <w:color w:val="auto"/>
          <w:sz w:val="30"/>
          <w:szCs w:val="30"/>
          <w:highlight w:val="none"/>
        </w:rPr>
        <w:t>编号:</w:t>
      </w:r>
      <w:r>
        <w:rPr>
          <w:rFonts w:hint="eastAsia" w:ascii="宋体" w:hAnsi="宋体" w:cs="宋体"/>
          <w:color w:val="auto"/>
          <w:sz w:val="30"/>
          <w:szCs w:val="30"/>
          <w:highlight w:val="none"/>
          <w:lang w:val="en-US" w:eastAsia="zh-CN"/>
        </w:rPr>
        <w:t>HZKPZFCG-2023-058</w:t>
      </w:r>
    </w:p>
    <w:p>
      <w:pPr>
        <w:adjustRightInd/>
        <w:spacing w:line="360" w:lineRule="auto"/>
        <w:rPr>
          <w:rFonts w:ascii="宋体" w:hAnsi="宋体" w:cs="宋体"/>
          <w:color w:val="auto"/>
          <w:sz w:val="28"/>
          <w:szCs w:val="20"/>
          <w:highlight w:val="none"/>
        </w:rPr>
      </w:pPr>
    </w:p>
    <w:p>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w:t>
      </w:r>
    </w:p>
    <w:p>
      <w:pPr>
        <w:spacing w:line="360" w:lineRule="auto"/>
        <w:jc w:val="center"/>
        <w:rPr>
          <w:rFonts w:ascii="宋体" w:hAnsi="宋体" w:cs="宋体"/>
          <w:b/>
          <w:color w:val="auto"/>
          <w:sz w:val="44"/>
          <w:szCs w:val="44"/>
          <w:highlight w:val="none"/>
        </w:rPr>
      </w:pPr>
    </w:p>
    <w:p>
      <w:pPr>
        <w:spacing w:line="360" w:lineRule="auto"/>
        <w:jc w:val="center"/>
        <w:rPr>
          <w:rFonts w:ascii="宋体" w:hAnsi="宋体" w:cs="宋体"/>
          <w:color w:val="auto"/>
          <w:sz w:val="24"/>
          <w:highlight w:val="none"/>
        </w:rPr>
      </w:pPr>
    </w:p>
    <w:p>
      <w:pPr>
        <w:spacing w:line="360" w:lineRule="auto"/>
        <w:jc w:val="center"/>
        <w:rPr>
          <w:rFonts w:ascii="宋体" w:hAnsi="宋体" w:cs="宋体"/>
          <w:color w:val="auto"/>
          <w:sz w:val="24"/>
          <w:highlight w:val="none"/>
        </w:rPr>
      </w:pPr>
    </w:p>
    <w:p>
      <w:pPr>
        <w:spacing w:line="360" w:lineRule="auto"/>
        <w:rPr>
          <w:rFonts w:ascii="宋体" w:hAnsi="宋体" w:cs="宋体"/>
          <w:color w:val="auto"/>
          <w:sz w:val="32"/>
          <w:szCs w:val="32"/>
          <w:highlight w:val="none"/>
        </w:rPr>
      </w:pPr>
    </w:p>
    <w:p>
      <w:pPr>
        <w:pStyle w:val="2"/>
      </w:pPr>
    </w:p>
    <w:p>
      <w:pPr>
        <w:snapToGrid w:val="0"/>
        <w:spacing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采购人</w:t>
      </w:r>
      <w:r>
        <w:rPr>
          <w:rFonts w:hint="eastAsia" w:ascii="宋体" w:hAnsi="宋体" w:cs="宋体"/>
          <w:color w:val="auto"/>
          <w:sz w:val="32"/>
          <w:szCs w:val="32"/>
          <w:highlight w:val="none"/>
          <w:lang w:val="en-US" w:eastAsia="zh-CN"/>
        </w:rPr>
        <w:t>:杭州市临平区中医院</w:t>
      </w:r>
    </w:p>
    <w:p>
      <w:pPr>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lang w:eastAsia="zh-CN"/>
        </w:rPr>
        <w:t>采购代理机构：</w:t>
      </w:r>
      <w:r>
        <w:rPr>
          <w:rFonts w:hint="eastAsia" w:ascii="宋体" w:hAnsi="宋体" w:cs="宋体"/>
          <w:bCs/>
          <w:color w:val="auto"/>
          <w:sz w:val="32"/>
          <w:szCs w:val="32"/>
          <w:highlight w:val="none"/>
        </w:rPr>
        <w:t>杭州市公共资源交易中心</w:t>
      </w:r>
      <w:r>
        <w:rPr>
          <w:rFonts w:hint="eastAsia" w:ascii="宋体" w:hAnsi="宋体" w:cs="宋体"/>
          <w:bCs/>
          <w:color w:val="auto"/>
          <w:sz w:val="32"/>
          <w:szCs w:val="32"/>
          <w:highlight w:val="none"/>
          <w:lang w:eastAsia="zh-CN"/>
        </w:rPr>
        <w:t>临平分中心</w:t>
      </w:r>
    </w:p>
    <w:p>
      <w:pPr>
        <w:snapToGrid w:val="0"/>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rPr>
        <w:t>二〇二三年</w:t>
      </w:r>
      <w:r>
        <w:rPr>
          <w:rFonts w:hint="eastAsia" w:ascii="宋体" w:hAnsi="宋体" w:cs="宋体"/>
          <w:bCs/>
          <w:color w:val="auto"/>
          <w:sz w:val="32"/>
          <w:szCs w:val="32"/>
          <w:highlight w:val="none"/>
          <w:lang w:eastAsia="zh-CN"/>
        </w:rPr>
        <w:t>十二</w:t>
      </w:r>
      <w:bookmarkStart w:id="566" w:name="_GoBack"/>
      <w:bookmarkEnd w:id="566"/>
      <w:r>
        <w:rPr>
          <w:rFonts w:hint="eastAsia" w:ascii="宋体" w:hAnsi="宋体" w:cs="宋体"/>
          <w:bCs/>
          <w:color w:val="auto"/>
          <w:sz w:val="32"/>
          <w:szCs w:val="32"/>
          <w:highlight w:val="none"/>
        </w:rPr>
        <w:t>月</w:t>
      </w:r>
    </w:p>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br w:type="page"/>
      </w:r>
      <w:bookmarkStart w:id="0" w:name="_Hlt67893495"/>
      <w:bookmarkEnd w:id="0"/>
    </w:p>
    <w:p>
      <w:pPr>
        <w:spacing w:line="360" w:lineRule="auto"/>
        <w:jc w:val="center"/>
        <w:rPr>
          <w:rFonts w:ascii="宋体" w:hAnsi="宋体" w:cs="宋体"/>
          <w:color w:val="auto"/>
          <w:sz w:val="24"/>
          <w:highlight w:val="none"/>
        </w:rPr>
      </w:pPr>
    </w:p>
    <w:p>
      <w:pPr>
        <w:spacing w:line="360" w:lineRule="auto"/>
        <w:jc w:val="center"/>
        <w:rPr>
          <w:rFonts w:ascii="宋体" w:hAnsi="宋体" w:cs="宋体"/>
          <w:b/>
          <w:color w:val="auto"/>
          <w:sz w:val="48"/>
          <w:szCs w:val="48"/>
          <w:highlight w:val="none"/>
        </w:rPr>
      </w:pPr>
      <w:r>
        <w:rPr>
          <w:rFonts w:hint="eastAsia" w:ascii="宋体" w:hAnsi="宋体" w:cs="宋体"/>
          <w:b/>
          <w:color w:val="auto"/>
          <w:sz w:val="48"/>
          <w:szCs w:val="48"/>
          <w:highlight w:val="none"/>
        </w:rPr>
        <w:t>目  录</w:t>
      </w:r>
    </w:p>
    <w:p>
      <w:pPr>
        <w:spacing w:line="360" w:lineRule="auto"/>
        <w:rPr>
          <w:rFonts w:ascii="宋体" w:hAnsi="宋体" w:cs="宋体"/>
          <w:color w:val="auto"/>
          <w:sz w:val="32"/>
          <w:szCs w:val="32"/>
          <w:highlight w:val="none"/>
        </w:rPr>
      </w:pPr>
    </w:p>
    <w:p>
      <w:pPr>
        <w:spacing w:line="360" w:lineRule="auto"/>
        <w:rPr>
          <w:rFonts w:ascii="宋体" w:hAnsi="宋体" w:cs="宋体"/>
          <w:color w:val="auto"/>
          <w:sz w:val="32"/>
          <w:szCs w:val="32"/>
          <w:highlight w:val="none"/>
        </w:rPr>
      </w:pPr>
    </w:p>
    <w:p>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第一部分      招标公告</w:t>
      </w:r>
    </w:p>
    <w:p>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第二部分      投标人须知</w:t>
      </w:r>
    </w:p>
    <w:p>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第三部分      采购需求</w:t>
      </w:r>
    </w:p>
    <w:p>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第四部分      评标办法</w:t>
      </w:r>
    </w:p>
    <w:p>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第五部分      拟签订的合同文本</w:t>
      </w:r>
    </w:p>
    <w:p>
      <w:pPr>
        <w:spacing w:line="360" w:lineRule="auto"/>
        <w:ind w:firstLine="1280" w:firstLineChars="400"/>
        <w:rPr>
          <w:rFonts w:ascii="宋体" w:hAnsi="宋体" w:cs="宋体"/>
          <w:color w:val="auto"/>
          <w:sz w:val="32"/>
          <w:szCs w:val="32"/>
          <w:highlight w:val="none"/>
        </w:rPr>
      </w:pPr>
      <w:r>
        <w:rPr>
          <w:rFonts w:hint="eastAsia" w:ascii="宋体" w:hAnsi="宋体" w:cs="宋体"/>
          <w:color w:val="auto"/>
          <w:sz w:val="32"/>
          <w:szCs w:val="32"/>
          <w:highlight w:val="none"/>
        </w:rPr>
        <w:t>第六部分      应提交的有关格式范例</w:t>
      </w:r>
    </w:p>
    <w:p>
      <w:pPr>
        <w:spacing w:line="360" w:lineRule="auto"/>
        <w:ind w:firstLine="549" w:firstLineChars="229"/>
        <w:rPr>
          <w:rFonts w:ascii="宋体" w:hAnsi="宋体" w:cs="宋体"/>
          <w:color w:val="auto"/>
          <w:sz w:val="24"/>
          <w:highlight w:val="none"/>
        </w:rPr>
      </w:pPr>
      <w:bookmarkStart w:id="1" w:name="_Hlt91233176"/>
      <w:bookmarkEnd w:id="1"/>
      <w:bookmarkStart w:id="2" w:name="_Toc91899869"/>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ind w:firstLine="549" w:firstLineChars="229"/>
        <w:rPr>
          <w:rFonts w:ascii="宋体" w:hAnsi="宋体" w:cs="宋体"/>
          <w:color w:val="auto"/>
          <w:sz w:val="24"/>
          <w:highlight w:val="none"/>
        </w:rPr>
      </w:pPr>
    </w:p>
    <w:p>
      <w:pPr>
        <w:spacing w:line="360" w:lineRule="auto"/>
        <w:rPr>
          <w:rFonts w:ascii="宋体" w:hAnsi="宋体" w:cs="宋体"/>
          <w:color w:val="auto"/>
          <w:sz w:val="24"/>
          <w:highlight w:val="none"/>
        </w:rPr>
      </w:pPr>
    </w:p>
    <w:p>
      <w:pPr>
        <w:adjustRightInd/>
        <w:spacing w:line="360" w:lineRule="auto"/>
        <w:jc w:val="center"/>
        <w:outlineLvl w:val="0"/>
        <w:rPr>
          <w:rFonts w:ascii="宋体" w:hAnsi="宋体" w:cs="宋体"/>
          <w:b/>
          <w:color w:val="auto"/>
          <w:sz w:val="36"/>
          <w:szCs w:val="20"/>
          <w:highlight w:val="none"/>
        </w:rPr>
      </w:pPr>
      <w:bookmarkStart w:id="3" w:name="第一部分"/>
      <w:r>
        <w:rPr>
          <w:rFonts w:hint="eastAsia" w:ascii="宋体" w:hAnsi="宋体" w:cs="宋体"/>
          <w:b/>
          <w:color w:val="auto"/>
          <w:sz w:val="36"/>
          <w:szCs w:val="36"/>
          <w:highlight w:val="none"/>
        </w:rPr>
        <w:br w:type="page"/>
      </w:r>
      <w:bookmarkEnd w:id="2"/>
      <w:bookmarkEnd w:id="3"/>
      <w:bookmarkStart w:id="4" w:name="_Hlt74729822"/>
      <w:bookmarkEnd w:id="4"/>
      <w:bookmarkStart w:id="5" w:name="_Hlt74728647"/>
      <w:bookmarkEnd w:id="5"/>
      <w:bookmarkStart w:id="6" w:name="_Hlt74707423"/>
      <w:bookmarkEnd w:id="6"/>
      <w:bookmarkStart w:id="7" w:name="_Hlt74649545"/>
      <w:bookmarkEnd w:id="7"/>
      <w:bookmarkStart w:id="8" w:name="第二部分"/>
      <w:bookmarkStart w:id="9" w:name="_Toc91899870"/>
      <w:bookmarkStart w:id="10" w:name="_Toc91899871"/>
      <w:r>
        <w:rPr>
          <w:rFonts w:hint="eastAsia" w:ascii="宋体" w:hAnsi="宋体" w:cs="宋体"/>
          <w:b/>
          <w:color w:val="auto"/>
          <w:sz w:val="36"/>
          <w:szCs w:val="20"/>
          <w:highlight w:val="none"/>
        </w:rPr>
        <w:t>第一部分 招标公告</w:t>
      </w:r>
    </w:p>
    <w:p>
      <w:pPr>
        <w:pBdr>
          <w:top w:val="single" w:color="auto" w:sz="4" w:space="1"/>
          <w:left w:val="single" w:color="auto" w:sz="4" w:space="4"/>
          <w:bottom w:val="single" w:color="auto" w:sz="4" w:space="2"/>
          <w:right w:val="single" w:color="auto" w:sz="4" w:space="4"/>
        </w:pBd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项目概况</w:t>
      </w:r>
    </w:p>
    <w:p>
      <w:pPr>
        <w:pBdr>
          <w:top w:val="single" w:color="auto" w:sz="4" w:space="1"/>
          <w:left w:val="single" w:color="auto" w:sz="4" w:space="4"/>
          <w:bottom w:val="single" w:color="auto" w:sz="4" w:space="2"/>
          <w:right w:val="single" w:color="auto" w:sz="4" w:space="4"/>
        </w:pBd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u w:val="single" w:color="auto"/>
          <w:lang w:eastAsia="zh-CN"/>
        </w:rPr>
        <w:t>临平区中医院年度电脑更新采购项目</w:t>
      </w:r>
      <w:r>
        <w:rPr>
          <w:rFonts w:hint="eastAsia" w:ascii="宋体" w:hAnsi="宋体" w:eastAsia="宋体"/>
          <w:color w:val="auto"/>
          <w:sz w:val="24"/>
          <w:highlight w:val="none"/>
        </w:rPr>
        <w:t>的潜在投标人应在政采云平台（</w:t>
      </w:r>
      <w:r>
        <w:rPr>
          <w:color w:val="auto"/>
          <w:highlight w:val="none"/>
        </w:rPr>
        <w:fldChar w:fldCharType="begin"/>
      </w:r>
      <w:r>
        <w:rPr>
          <w:color w:val="auto"/>
          <w:highlight w:val="none"/>
        </w:rPr>
        <w:instrText xml:space="preserve">HYPERLINK "https://www.zcygov.cn/）获取（下载）招标文件，并于2023年 月 日 点 分00秒" </w:instrText>
      </w:r>
      <w:r>
        <w:rPr>
          <w:color w:val="auto"/>
          <w:highlight w:val="none"/>
        </w:rPr>
        <w:fldChar w:fldCharType="separate"/>
      </w:r>
      <w:r>
        <w:rPr>
          <w:rStyle w:val="70"/>
          <w:rFonts w:ascii="宋体" w:hAnsi="宋体" w:eastAsia="宋体" w:cs="Times New Roman"/>
          <w:color w:val="auto"/>
          <w:kern w:val="2"/>
          <w:sz w:val="24"/>
          <w:szCs w:val="24"/>
          <w:highlight w:val="none"/>
        </w:rPr>
        <w:t>https://www.zcygov.cn/）获取（下载）招标文件，并于</w:t>
      </w:r>
      <w:r>
        <w:rPr>
          <w:rStyle w:val="70"/>
          <w:rFonts w:hint="eastAsia" w:ascii="宋体" w:hAnsi="宋体" w:eastAsia="宋体" w:cs="Times New Roman"/>
          <w:color w:val="auto"/>
          <w:kern w:val="2"/>
          <w:sz w:val="24"/>
          <w:szCs w:val="24"/>
          <w:highlight w:val="none"/>
          <w:u w:val="single"/>
        </w:rPr>
        <w:t>2023</w:t>
      </w:r>
      <w:r>
        <w:rPr>
          <w:rStyle w:val="70"/>
          <w:rFonts w:ascii="宋体" w:hAnsi="宋体" w:eastAsia="宋体" w:cs="Times New Roman"/>
          <w:color w:val="auto"/>
          <w:kern w:val="2"/>
          <w:sz w:val="24"/>
          <w:szCs w:val="24"/>
          <w:highlight w:val="none"/>
          <w:u w:val="single"/>
        </w:rPr>
        <w:t>年</w:t>
      </w:r>
      <w:r>
        <w:rPr>
          <w:rStyle w:val="70"/>
          <w:rFonts w:hint="eastAsia" w:ascii="宋体" w:hAnsi="宋体" w:cs="Times New Roman"/>
          <w:color w:val="auto"/>
          <w:kern w:val="2"/>
          <w:sz w:val="24"/>
          <w:szCs w:val="24"/>
          <w:highlight w:val="none"/>
          <w:u w:val="single"/>
          <w:lang w:val="en-US" w:eastAsia="zh-CN"/>
        </w:rPr>
        <w:t>12</w:t>
      </w:r>
      <w:r>
        <w:rPr>
          <w:rStyle w:val="70"/>
          <w:rFonts w:hint="eastAsia" w:ascii="宋体" w:hAnsi="宋体" w:eastAsia="宋体" w:cs="Times New Roman"/>
          <w:color w:val="auto"/>
          <w:kern w:val="2"/>
          <w:sz w:val="24"/>
          <w:szCs w:val="24"/>
          <w:highlight w:val="none"/>
          <w:u w:val="single"/>
        </w:rPr>
        <w:t>月</w:t>
      </w:r>
      <w:r>
        <w:rPr>
          <w:rStyle w:val="70"/>
          <w:rFonts w:hint="eastAsia" w:ascii="宋体" w:hAnsi="宋体" w:cs="Times New Roman"/>
          <w:color w:val="auto"/>
          <w:kern w:val="2"/>
          <w:sz w:val="24"/>
          <w:szCs w:val="24"/>
          <w:highlight w:val="none"/>
          <w:u w:val="single"/>
          <w:lang w:val="en-US" w:eastAsia="zh-CN"/>
        </w:rPr>
        <w:t>25</w:t>
      </w:r>
      <w:r>
        <w:rPr>
          <w:rStyle w:val="70"/>
          <w:rFonts w:hint="eastAsia" w:ascii="宋体" w:hAnsi="宋体" w:eastAsia="宋体" w:cs="Times New Roman"/>
          <w:color w:val="auto"/>
          <w:kern w:val="2"/>
          <w:sz w:val="24"/>
          <w:szCs w:val="24"/>
          <w:highlight w:val="none"/>
          <w:u w:val="single"/>
        </w:rPr>
        <w:t xml:space="preserve">日 </w:t>
      </w:r>
      <w:r>
        <w:rPr>
          <w:rStyle w:val="70"/>
          <w:rFonts w:hint="eastAsia" w:ascii="宋体" w:hAnsi="宋体" w:cs="Times New Roman"/>
          <w:color w:val="auto"/>
          <w:kern w:val="2"/>
          <w:sz w:val="24"/>
          <w:szCs w:val="24"/>
          <w:highlight w:val="none"/>
          <w:u w:val="single"/>
          <w:lang w:val="en-US" w:eastAsia="zh-CN"/>
        </w:rPr>
        <w:t>9</w:t>
      </w:r>
      <w:r>
        <w:rPr>
          <w:rStyle w:val="70"/>
          <w:rFonts w:hint="eastAsia" w:ascii="宋体" w:hAnsi="宋体" w:eastAsia="宋体" w:cs="Times New Roman"/>
          <w:color w:val="auto"/>
          <w:kern w:val="2"/>
          <w:sz w:val="24"/>
          <w:szCs w:val="24"/>
          <w:highlight w:val="none"/>
          <w:u w:val="single"/>
        </w:rPr>
        <w:t>点</w:t>
      </w:r>
      <w:r>
        <w:rPr>
          <w:rStyle w:val="70"/>
          <w:rFonts w:hint="eastAsia" w:ascii="宋体" w:hAnsi="宋体" w:cs="Times New Roman"/>
          <w:color w:val="auto"/>
          <w:kern w:val="2"/>
          <w:sz w:val="24"/>
          <w:szCs w:val="24"/>
          <w:highlight w:val="none"/>
          <w:u w:val="single"/>
          <w:lang w:val="en-US" w:eastAsia="zh-CN"/>
        </w:rPr>
        <w:t>00</w:t>
      </w:r>
      <w:r>
        <w:rPr>
          <w:rStyle w:val="70"/>
          <w:rFonts w:hint="eastAsia" w:ascii="宋体" w:hAnsi="宋体" w:eastAsia="宋体" w:cs="Times New Roman"/>
          <w:color w:val="auto"/>
          <w:kern w:val="2"/>
          <w:sz w:val="24"/>
          <w:szCs w:val="24"/>
          <w:highlight w:val="none"/>
          <w:u w:val="single"/>
        </w:rPr>
        <w:t>分</w:t>
      </w:r>
      <w:r>
        <w:rPr>
          <w:rStyle w:val="70"/>
          <w:rFonts w:hint="eastAsia" w:ascii="宋体" w:hAnsi="宋体" w:eastAsia="宋体" w:cs="Times New Roman"/>
          <w:bCs/>
          <w:color w:val="auto"/>
          <w:kern w:val="2"/>
          <w:sz w:val="24"/>
          <w:szCs w:val="24"/>
          <w:highlight w:val="none"/>
          <w:u w:val="single"/>
        </w:rPr>
        <w:t>00秒</w:t>
      </w:r>
      <w:r>
        <w:rPr>
          <w:color w:val="auto"/>
          <w:highlight w:val="none"/>
        </w:rPr>
        <w:fldChar w:fldCharType="end"/>
      </w:r>
      <w:r>
        <w:rPr>
          <w:rFonts w:hint="eastAsia" w:ascii="宋体" w:hAnsi="宋体" w:eastAsia="宋体"/>
          <w:bCs/>
          <w:color w:val="auto"/>
          <w:sz w:val="24"/>
          <w:highlight w:val="none"/>
        </w:rPr>
        <w:t>（北京时间）前</w:t>
      </w:r>
      <w:r>
        <w:rPr>
          <w:rFonts w:hint="eastAsia" w:ascii="宋体" w:hAnsi="宋体" w:eastAsia="宋体"/>
          <w:color w:val="auto"/>
          <w:sz w:val="24"/>
          <w:highlight w:val="none"/>
        </w:rPr>
        <w:t>递交（上传）投标文件。</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 xml:space="preserve">一、项目基本情况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b/>
          <w:color w:val="auto"/>
          <w:sz w:val="24"/>
          <w:highlight w:val="none"/>
        </w:rPr>
        <w:t>项目编号：</w:t>
      </w:r>
      <w:r>
        <w:rPr>
          <w:rFonts w:hint="eastAsia" w:ascii="宋体" w:hAnsi="宋体" w:cs="宋体"/>
          <w:color w:val="auto"/>
          <w:sz w:val="24"/>
          <w:highlight w:val="none"/>
          <w:lang w:val="en-US" w:eastAsia="zh-CN"/>
        </w:rPr>
        <w:t>HZKPZFCG-2023-058</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b/>
          <w:color w:val="auto"/>
          <w:sz w:val="24"/>
          <w:highlight w:val="none"/>
        </w:rPr>
        <w:t xml:space="preserve"> 项目名称：</w:t>
      </w:r>
      <w:r>
        <w:rPr>
          <w:rFonts w:hint="eastAsia" w:ascii="宋体" w:hAnsi="宋体" w:cs="宋体"/>
          <w:b/>
          <w:color w:val="auto"/>
          <w:sz w:val="24"/>
          <w:highlight w:val="none"/>
          <w:lang w:eastAsia="zh-CN"/>
        </w:rPr>
        <w:t>临平区中医院年度电脑更新采购项目</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b/>
          <w:color w:val="auto"/>
          <w:sz w:val="24"/>
          <w:highlight w:val="none"/>
        </w:rPr>
        <w:t xml:space="preserve"> 预算金额（元）：</w:t>
      </w:r>
      <w:r>
        <w:rPr>
          <w:rFonts w:hint="eastAsia" w:ascii="宋体" w:hAnsi="宋体" w:cs="宋体"/>
          <w:b/>
          <w:color w:val="auto"/>
          <w:sz w:val="24"/>
          <w:highlight w:val="none"/>
          <w:lang w:val="en-US" w:eastAsia="zh-CN"/>
        </w:rPr>
        <w:t>1250000</w:t>
      </w:r>
      <w:r>
        <w:rPr>
          <w:rFonts w:hint="eastAsia" w:ascii="宋体" w:hAnsi="宋体" w:cs="宋体"/>
          <w:color w:val="auto"/>
          <w:sz w:val="24"/>
          <w:highlight w:val="none"/>
        </w:rPr>
        <w:t xml:space="preserve"> </w:t>
      </w:r>
    </w:p>
    <w:p>
      <w:pPr>
        <w:spacing w:line="360" w:lineRule="auto"/>
        <w:ind w:firstLine="480"/>
        <w:rPr>
          <w:rFonts w:ascii="宋体" w:hAnsi="宋体" w:cs="宋体"/>
          <w:color w:val="auto"/>
          <w:sz w:val="24"/>
          <w:highlight w:val="none"/>
        </w:rPr>
      </w:pPr>
      <w:r>
        <w:rPr>
          <w:rFonts w:hint="eastAsia" w:ascii="宋体" w:hAnsi="宋体" w:cs="宋体"/>
          <w:b/>
          <w:color w:val="auto"/>
          <w:sz w:val="24"/>
          <w:highlight w:val="none"/>
        </w:rPr>
        <w:t>最高限价（元）：</w:t>
      </w:r>
      <w:r>
        <w:rPr>
          <w:rFonts w:hint="eastAsia" w:ascii="宋体" w:hAnsi="宋体" w:cs="宋体"/>
          <w:color w:val="auto"/>
          <w:sz w:val="24"/>
          <w:highlight w:val="none"/>
        </w:rPr>
        <w:t xml:space="preserve"> </w:t>
      </w:r>
      <w:r>
        <w:rPr>
          <w:rFonts w:hint="eastAsia" w:ascii="宋体" w:hAnsi="宋体" w:cs="宋体"/>
          <w:b/>
          <w:bCs/>
          <w:color w:val="auto"/>
          <w:sz w:val="24"/>
          <w:highlight w:val="none"/>
          <w:lang w:val="en-US" w:eastAsia="zh-CN"/>
        </w:rPr>
        <w:t>1250000</w:t>
      </w:r>
    </w:p>
    <w:p>
      <w:pPr>
        <w:pStyle w:val="5"/>
        <w:spacing w:line="360" w:lineRule="auto"/>
        <w:ind w:firstLine="480"/>
        <w:rPr>
          <w:rFonts w:hAnsi="宋体" w:cs="宋体"/>
          <w:bCs/>
          <w:color w:val="auto"/>
          <w:kern w:val="2"/>
          <w:sz w:val="24"/>
          <w:szCs w:val="24"/>
          <w:highlight w:val="none"/>
        </w:rPr>
      </w:pPr>
      <w:r>
        <w:rPr>
          <w:rFonts w:hint="eastAsia" w:hAnsi="宋体" w:cs="宋体"/>
          <w:b/>
          <w:color w:val="auto"/>
          <w:sz w:val="24"/>
          <w:highlight w:val="none"/>
        </w:rPr>
        <w:t>采购需求：</w:t>
      </w:r>
      <w:r>
        <w:rPr>
          <w:rFonts w:hint="eastAsia" w:hAnsi="宋体" w:cs="宋体"/>
          <w:b w:val="0"/>
          <w:bCs/>
          <w:color w:val="auto"/>
          <w:sz w:val="24"/>
          <w:highlight w:val="none"/>
          <w:lang w:eastAsia="zh-CN"/>
        </w:rPr>
        <w:t>临平区中医院年度电脑更新采购。</w:t>
      </w:r>
      <w:r>
        <w:rPr>
          <w:rFonts w:hint="eastAsia" w:hAnsi="宋体" w:cs="宋体"/>
          <w:bCs/>
          <w:color w:val="auto"/>
          <w:kern w:val="2"/>
          <w:sz w:val="24"/>
          <w:szCs w:val="24"/>
          <w:highlight w:val="none"/>
        </w:rPr>
        <w:t>主要内容：</w:t>
      </w:r>
      <w:r>
        <w:rPr>
          <w:rFonts w:hint="eastAsia" w:ascii="宋体" w:hAnsi="宋体" w:eastAsia="宋体"/>
          <w:color w:val="auto"/>
          <w:kern w:val="2"/>
          <w:sz w:val="24"/>
          <w:szCs w:val="24"/>
          <w:highlight w:val="none"/>
        </w:rPr>
        <w:t>具体以招标文件第三部分采购需求为准，供应商可点击本公告下方“浏览采购文件”查看采购需求。</w:t>
      </w:r>
    </w:p>
    <w:p>
      <w:pPr>
        <w:pStyle w:val="5"/>
        <w:spacing w:line="360" w:lineRule="auto"/>
        <w:ind w:firstLine="480"/>
        <w:rPr>
          <w:rFonts w:hAnsi="宋体" w:cs="宋体"/>
          <w:color w:val="auto"/>
          <w:kern w:val="0"/>
          <w:sz w:val="24"/>
          <w:highlight w:val="none"/>
        </w:rPr>
      </w:pPr>
      <w:r>
        <w:rPr>
          <w:rFonts w:hint="eastAsia" w:hAnsi="宋体" w:cs="宋体"/>
          <w:b/>
          <w:color w:val="auto"/>
          <w:sz w:val="24"/>
          <w:highlight w:val="none"/>
        </w:rPr>
        <w:t>本项目接受联合体投标：</w:t>
      </w:r>
      <w:r>
        <w:rPr>
          <w:rFonts w:hint="eastAsia" w:hAnsi="宋体" w:cs="宋体"/>
          <w:color w:val="auto"/>
          <w:kern w:val="0"/>
          <w:sz w:val="24"/>
          <w:highlight w:val="none"/>
        </w:rPr>
        <w:sym w:font="Wingdings" w:char="F0FE"/>
      </w:r>
      <w:r>
        <w:rPr>
          <w:rFonts w:hint="eastAsia" w:hAnsi="宋体" w:cs="宋体"/>
          <w:b/>
          <w:color w:val="auto"/>
          <w:sz w:val="24"/>
          <w:highlight w:val="none"/>
        </w:rPr>
        <w:t>是</w:t>
      </w:r>
      <w:r>
        <w:rPr>
          <w:rFonts w:hint="eastAsia" w:hAnsi="宋体" w:cs="宋体"/>
          <w:b/>
          <w:color w:val="auto"/>
          <w:kern w:val="2"/>
          <w:sz w:val="24"/>
          <w:highlight w:val="none"/>
        </w:rPr>
        <w:t>；</w:t>
      </w:r>
      <w:r>
        <w:rPr>
          <w:rFonts w:hint="eastAsia" w:hAnsi="宋体" w:cs="宋体"/>
          <w:color w:val="auto"/>
          <w:kern w:val="0"/>
          <w:sz w:val="24"/>
          <w:highlight w:val="none"/>
        </w:rPr>
        <w:t>☐</w:t>
      </w:r>
      <w:r>
        <w:rPr>
          <w:rFonts w:hint="eastAsia" w:hAnsi="宋体" w:cs="宋体"/>
          <w:b/>
          <w:color w:val="auto"/>
          <w:sz w:val="24"/>
          <w:highlight w:val="none"/>
        </w:rPr>
        <w:t>否</w:t>
      </w:r>
      <w:r>
        <w:rPr>
          <w:rFonts w:hint="eastAsia" w:hAnsi="宋体" w:cs="宋体"/>
          <w:color w:val="auto"/>
          <w:kern w:val="0"/>
          <w:sz w:val="24"/>
          <w:highlight w:val="none"/>
        </w:rPr>
        <w:t>。</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二、</w:t>
      </w:r>
      <w:bookmarkStart w:id="11" w:name="_Hlk101132948"/>
      <w:r>
        <w:rPr>
          <w:rFonts w:hint="eastAsia" w:ascii="宋体" w:hAnsi="宋体" w:cs="宋体"/>
          <w:b/>
          <w:color w:val="auto"/>
          <w:sz w:val="24"/>
          <w:highlight w:val="none"/>
        </w:rPr>
        <w:t>申请人的资格要求</w:t>
      </w:r>
      <w:bookmarkEnd w:id="11"/>
      <w:r>
        <w:rPr>
          <w:rFonts w:hint="eastAsia" w:ascii="宋体" w:hAnsi="宋体" w:cs="宋体"/>
          <w:b/>
          <w:color w:val="auto"/>
          <w:sz w:val="24"/>
          <w:highlight w:val="none"/>
        </w:rPr>
        <w:t>：</w:t>
      </w:r>
    </w:p>
    <w:p>
      <w:pPr>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 满足《中华人民共和国政府采购法》第二十二条规定；未被“信用中国”（www.creditchina.gov.cn)、中国政府采购网（www.ccgp.gov.cn）列入失信被执行人、重大税收违法案件当事人名单、政府采购严重违法失信行为记录名单；</w:t>
      </w:r>
    </w:p>
    <w:p>
      <w:pPr>
        <w:spacing w:line="360" w:lineRule="auto"/>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 xml:space="preserve">    </w:t>
      </w:r>
      <w:r>
        <w:rPr>
          <w:rFonts w:ascii="宋体" w:hAnsi="宋体" w:cs="宋体"/>
          <w:snapToGrid w:val="0"/>
          <w:color w:val="auto"/>
          <w:kern w:val="28"/>
          <w:sz w:val="24"/>
          <w:szCs w:val="20"/>
          <w:highlight w:val="none"/>
        </w:rPr>
        <w:t>2</w:t>
      </w:r>
      <w:r>
        <w:rPr>
          <w:rFonts w:hint="eastAsia" w:ascii="宋体" w:hAnsi="宋体" w:cs="宋体"/>
          <w:snapToGrid w:val="0"/>
          <w:color w:val="auto"/>
          <w:kern w:val="28"/>
          <w:sz w:val="24"/>
          <w:szCs w:val="20"/>
          <w:highlight w:val="none"/>
        </w:rPr>
        <w:t>.</w:t>
      </w:r>
      <w:r>
        <w:rPr>
          <w:rFonts w:hint="eastAsia"/>
          <w:color w:val="auto"/>
          <w:highlight w:val="none"/>
        </w:rPr>
        <w:t xml:space="preserve"> </w:t>
      </w:r>
      <w:r>
        <w:rPr>
          <w:rFonts w:hint="eastAsia" w:ascii="宋体" w:hAnsi="宋体" w:cs="宋体"/>
          <w:snapToGrid w:val="0"/>
          <w:color w:val="auto"/>
          <w:kern w:val="28"/>
          <w:sz w:val="24"/>
          <w:szCs w:val="20"/>
          <w:highlight w:val="none"/>
        </w:rPr>
        <w:t>以联合体形式投标的，提供联合协议(本项目不接受联合体投标或者投标人不以联合体形式投标的，则不需要提供) ；</w:t>
      </w:r>
    </w:p>
    <w:p>
      <w:pPr>
        <w:spacing w:line="360" w:lineRule="auto"/>
        <w:ind w:firstLine="480" w:firstLineChars="200"/>
        <w:rPr>
          <w:rFonts w:ascii="宋体" w:hAnsi="宋体" w:cs="宋体"/>
          <w:snapToGrid w:val="0"/>
          <w:color w:val="auto"/>
          <w:kern w:val="28"/>
          <w:sz w:val="24"/>
          <w:szCs w:val="20"/>
          <w:highlight w:val="none"/>
        </w:rPr>
      </w:pPr>
      <w:r>
        <w:rPr>
          <w:rFonts w:ascii="宋体" w:hAnsi="宋体" w:cs="宋体"/>
          <w:snapToGrid w:val="0"/>
          <w:color w:val="auto"/>
          <w:kern w:val="28"/>
          <w:sz w:val="24"/>
          <w:szCs w:val="20"/>
          <w:highlight w:val="none"/>
        </w:rPr>
        <w:t>3</w:t>
      </w:r>
      <w:r>
        <w:rPr>
          <w:rFonts w:hint="eastAsia" w:ascii="宋体" w:hAnsi="宋体" w:cs="宋体"/>
          <w:snapToGrid w:val="0"/>
          <w:color w:val="auto"/>
          <w:kern w:val="28"/>
          <w:sz w:val="24"/>
          <w:szCs w:val="20"/>
          <w:highlight w:val="none"/>
        </w:rPr>
        <w:t>.落实政府采购政策需满足的资格要求：</w:t>
      </w:r>
    </w:p>
    <w:p>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sym w:font="Wingdings" w:char="F0FE"/>
      </w:r>
      <w:r>
        <w:rPr>
          <w:rFonts w:hint="eastAsia" w:ascii="宋体" w:hAnsi="宋体" w:cs="宋体"/>
          <w:color w:val="auto"/>
          <w:sz w:val="24"/>
          <w:highlight w:val="none"/>
        </w:rPr>
        <w:t>无</w:t>
      </w:r>
    </w:p>
    <w:p>
      <w:pPr>
        <w:spacing w:line="360" w:lineRule="auto"/>
        <w:ind w:firstLine="480" w:firstLineChars="200"/>
        <w:rPr>
          <w:rFonts w:ascii="宋体" w:hAnsi="宋体" w:cs="宋体"/>
          <w:color w:val="auto"/>
          <w:sz w:val="24"/>
          <w:highlight w:val="none"/>
        </w:rPr>
      </w:pPr>
      <w:r>
        <w:rPr>
          <w:rFonts w:hint="eastAsia" w:ascii="MS Gothic" w:hAnsi="MS Gothic" w:eastAsia="MS Gothic" w:cs="宋体"/>
          <w:color w:val="auto"/>
          <w:kern w:val="0"/>
          <w:sz w:val="24"/>
          <w:highlight w:val="none"/>
        </w:rPr>
        <w:t>☐</w:t>
      </w:r>
      <w:r>
        <w:rPr>
          <w:rFonts w:hint="eastAsia" w:ascii="宋体" w:hAnsi="宋体" w:cs="宋体"/>
          <w:color w:val="auto"/>
          <w:kern w:val="0"/>
          <w:sz w:val="24"/>
          <w:highlight w:val="none"/>
        </w:rPr>
        <w:t>专</w:t>
      </w:r>
      <w:r>
        <w:rPr>
          <w:rFonts w:hint="eastAsia" w:ascii="宋体" w:hAnsi="宋体" w:cs="宋体"/>
          <w:color w:val="auto"/>
          <w:sz w:val="24"/>
          <w:highlight w:val="none"/>
        </w:rPr>
        <w:t>门面向中小企业</w:t>
      </w:r>
    </w:p>
    <w:p>
      <w:pPr>
        <w:spacing w:line="360" w:lineRule="auto"/>
        <w:ind w:firstLine="897" w:firstLineChars="374"/>
        <w:rPr>
          <w:rFonts w:ascii="宋体" w:hAnsi="宋体" w:cs="宋体"/>
          <w:color w:val="auto"/>
          <w:sz w:val="24"/>
          <w:highlight w:val="none"/>
          <w:u w:val="single"/>
        </w:rPr>
      </w:pPr>
      <w:r>
        <w:rPr>
          <w:rFonts w:hint="eastAsia" w:ascii="MS Gothic" w:hAnsi="MS Gothic" w:eastAsia="MS Gothic" w:cs="宋体"/>
          <w:color w:val="auto"/>
          <w:kern w:val="0"/>
          <w:sz w:val="24"/>
          <w:highlight w:val="none"/>
        </w:rPr>
        <w:t>☐</w:t>
      </w:r>
      <w:r>
        <w:rPr>
          <w:rFonts w:hint="eastAsia" w:ascii="宋体" w:hAnsi="宋体" w:cs="宋体"/>
          <w:color w:val="auto"/>
          <w:sz w:val="24"/>
          <w:highlight w:val="none"/>
        </w:rPr>
        <w:t>货物全部由符合政策要求的中小微企业制造，提供中小企业声明函；</w:t>
      </w:r>
    </w:p>
    <w:p>
      <w:pPr>
        <w:spacing w:line="360" w:lineRule="auto"/>
        <w:ind w:firstLine="897" w:firstLineChars="374"/>
        <w:rPr>
          <w:rFonts w:hint="eastAsia" w:ascii="宋体" w:hAnsi="宋体" w:cs="宋体"/>
          <w:color w:val="auto"/>
          <w:sz w:val="24"/>
          <w:highlight w:val="none"/>
        </w:rPr>
      </w:pPr>
      <w:r>
        <w:rPr>
          <w:rFonts w:hint="eastAsia" w:ascii="宋体" w:hAnsi="宋体" w:cs="宋体"/>
          <w:color w:val="auto"/>
          <w:kern w:val="0"/>
          <w:sz w:val="24"/>
          <w:highlight w:val="none"/>
        </w:rPr>
        <w:t>☐</w:t>
      </w:r>
      <w:r>
        <w:rPr>
          <w:rFonts w:hint="eastAsia" w:ascii="宋体" w:hAnsi="宋体" w:cs="宋体"/>
          <w:color w:val="auto"/>
          <w:sz w:val="24"/>
          <w:highlight w:val="none"/>
        </w:rPr>
        <w:t>货物全部由符合政策要求的小微企业制造，提供中小企业声明函；</w:t>
      </w:r>
    </w:p>
    <w:p>
      <w:pPr>
        <w:spacing w:line="360" w:lineRule="auto"/>
        <w:ind w:firstLine="897" w:firstLineChars="374"/>
        <w:rPr>
          <w:rFonts w:hint="eastAsia" w:ascii="宋体" w:hAnsi="宋体" w:cs="宋体"/>
          <w:color w:val="auto"/>
          <w:sz w:val="24"/>
          <w:highlight w:val="none"/>
        </w:rPr>
      </w:pPr>
      <w:r>
        <w:rPr>
          <w:rFonts w:hint="eastAsia" w:ascii="宋体" w:hAnsi="宋体" w:cs="宋体"/>
          <w:color w:val="auto"/>
          <w:kern w:val="0"/>
          <w:sz w:val="24"/>
          <w:highlight w:val="none"/>
        </w:rPr>
        <w:t>☐</w:t>
      </w:r>
      <w:r>
        <w:rPr>
          <w:rFonts w:hint="eastAsia" w:ascii="宋体" w:hAnsi="宋体" w:cs="宋体"/>
          <w:color w:val="auto"/>
          <w:sz w:val="24"/>
          <w:highlight w:val="none"/>
        </w:rPr>
        <w:t>要求以联合体形式参加，提供联合协议和中小企业声明函，联合协议中中小企业合同金额应当达到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%，其中小微企业合同金额应当达到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宋体" w:hAnsi="宋体" w:cs="宋体"/>
          <w:color w:val="auto"/>
          <w:sz w:val="24"/>
          <w:highlight w:val="none"/>
        </w:rPr>
        <w:t>；</w:t>
      </w:r>
    </w:p>
    <w:p>
      <w:pPr>
        <w:spacing w:line="360" w:lineRule="auto"/>
        <w:ind w:firstLine="897" w:firstLineChars="374"/>
        <w:rPr>
          <w:rFonts w:ascii="宋体" w:hAnsi="宋体" w:cs="宋体"/>
          <w:color w:val="auto"/>
          <w:sz w:val="24"/>
          <w:highlight w:val="none"/>
        </w:rPr>
      </w:pPr>
      <w:r>
        <w:rPr>
          <w:rFonts w:hint="eastAsia" w:ascii="宋体" w:hAnsi="宋体" w:cs="宋体"/>
          <w:color w:val="auto"/>
          <w:kern w:val="0"/>
          <w:sz w:val="24"/>
          <w:highlight w:val="none"/>
        </w:rPr>
        <w:t>☐</w:t>
      </w:r>
      <w:r>
        <w:rPr>
          <w:rFonts w:hint="eastAsia" w:ascii="宋体" w:hAnsi="宋体" w:cs="宋体"/>
          <w:color w:val="auto"/>
          <w:sz w:val="24"/>
          <w:highlight w:val="none"/>
        </w:rPr>
        <w:t>要求合同分包，提供分包意向协议和中小企业声明函，分包意向协议中中小企业合同金额应当达到达到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，其中小微企业合同金额应当达到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w:t>
      </w:r>
      <w:r>
        <w:rPr>
          <w:rFonts w:hint="eastAsia" w:ascii="宋体" w:hAnsi="宋体" w:cs="宋体"/>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4</w:t>
      </w:r>
      <w:r>
        <w:rPr>
          <w:rFonts w:hint="eastAsia" w:ascii="宋体" w:hAnsi="宋体" w:cs="宋体"/>
          <w:color w:val="auto"/>
          <w:sz w:val="24"/>
          <w:highlight w:val="none"/>
        </w:rPr>
        <w:t>.本项目的特定资格要求：</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sym w:font="Wingdings" w:char="00FE"/>
      </w:r>
      <w:r>
        <w:rPr>
          <w:rFonts w:hint="eastAsia" w:ascii="宋体" w:hAnsi="宋体" w:cs="宋体"/>
          <w:color w:val="auto"/>
          <w:sz w:val="24"/>
          <w:highlight w:val="none"/>
        </w:rPr>
        <w:t>无</w:t>
      </w:r>
    </w:p>
    <w:p>
      <w:pPr>
        <w:snapToGrid w:val="0"/>
        <w:spacing w:line="360" w:lineRule="auto"/>
        <w:ind w:firstLine="480" w:firstLineChars="200"/>
        <w:rPr>
          <w:rFonts w:ascii="宋体" w:hAnsi="宋体" w:cs="宋体"/>
          <w:color w:val="auto"/>
          <w:sz w:val="24"/>
          <w:highlight w:val="none"/>
          <w:u w:val="single"/>
        </w:rPr>
      </w:pPr>
      <w:r>
        <w:rPr>
          <w:rFonts w:hint="eastAsia" w:ascii="MS Gothic" w:hAnsi="MS Gothic" w:eastAsia="MS Gothic" w:cs="宋体"/>
          <w:color w:val="auto"/>
          <w:kern w:val="0"/>
          <w:sz w:val="24"/>
          <w:highlight w:val="none"/>
        </w:rPr>
        <w:t>☐</w:t>
      </w:r>
      <w:r>
        <w:rPr>
          <w:rFonts w:hint="eastAsia" w:ascii="宋体" w:hAnsi="宋体" w:cs="宋体"/>
          <w:color w:val="auto"/>
          <w:sz w:val="24"/>
          <w:highlight w:val="none"/>
        </w:rPr>
        <w:t>有特定资格要求：</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rPr>
        <w:t>，该特定条件的法律法规依据：</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5</w:t>
      </w:r>
      <w:r>
        <w:rPr>
          <w:rFonts w:hint="eastAsia" w:ascii="宋体"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 xml:space="preserve">三、获取招标文件 </w:t>
      </w:r>
    </w:p>
    <w:p>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/至</w:t>
      </w:r>
      <w:r>
        <w:rPr>
          <w:rFonts w:hint="eastAsia" w:ascii="宋体" w:hAnsi="宋体" w:cs="宋体"/>
          <w:color w:val="auto"/>
          <w:sz w:val="24"/>
          <w:highlight w:val="none"/>
          <w:u w:val="single"/>
        </w:rPr>
        <w:t>2023年</w:t>
      </w:r>
      <w:r>
        <w:rPr>
          <w:rFonts w:hint="eastAsia" w:ascii="宋体" w:hAnsi="宋体" w:cs="宋体"/>
          <w:color w:val="auto"/>
          <w:sz w:val="24"/>
          <w:highlight w:val="none"/>
          <w:u w:val="single"/>
          <w:lang w:val="en-US" w:eastAsia="zh-CN"/>
        </w:rPr>
        <w:t>12</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25</w:t>
      </w:r>
      <w:r>
        <w:rPr>
          <w:rFonts w:hint="eastAsia" w:ascii="宋体" w:hAnsi="宋体" w:cs="宋体"/>
          <w:color w:val="auto"/>
          <w:sz w:val="24"/>
          <w:highlight w:val="none"/>
          <w:u w:val="single"/>
        </w:rPr>
        <w:t>日</w:t>
      </w:r>
      <w:r>
        <w:rPr>
          <w:rFonts w:hint="eastAsia" w:ascii="宋体" w:hAnsi="宋体" w:cs="宋体"/>
          <w:color w:val="auto"/>
          <w:sz w:val="24"/>
          <w:highlight w:val="none"/>
        </w:rPr>
        <w:t>，每天上午00:00至12:00 ，下午12:00至23:59（北京时间，线上获取法定节假日均可，线下获取文件法定节假日除外）</w:t>
      </w:r>
    </w:p>
    <w:p>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地点（网址）：</w:t>
      </w:r>
      <w:r>
        <w:rPr>
          <w:rFonts w:hint="eastAsia" w:ascii="宋体" w:hAnsi="宋体" w:cs="宋体"/>
          <w:color w:val="auto"/>
          <w:sz w:val="24"/>
          <w:highlight w:val="none"/>
        </w:rPr>
        <w:t xml:space="preserve">政采云平台（https://www.zcygov.cn/） </w:t>
      </w:r>
    </w:p>
    <w:p>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方式：</w:t>
      </w:r>
      <w:r>
        <w:rPr>
          <w:rFonts w:hint="eastAsia" w:ascii="宋体" w:hAnsi="宋体" w:cs="宋体"/>
          <w:color w:val="auto"/>
          <w:sz w:val="24"/>
          <w:highlight w:val="none"/>
        </w:rPr>
        <w:t xml:space="preserve">供应商登录政采云平台https://www.zcygov.cn/在线申请获取采购文件（进入“项目采购”应用，在获取采购文件菜单中选择项目，申请获取采购文件）。 </w:t>
      </w:r>
    </w:p>
    <w:p>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售价（元）：</w:t>
      </w:r>
      <w:r>
        <w:rPr>
          <w:rFonts w:hint="eastAsia" w:ascii="宋体" w:hAnsi="宋体" w:cs="宋体"/>
          <w:color w:val="auto"/>
          <w:sz w:val="24"/>
          <w:highlight w:val="none"/>
        </w:rPr>
        <w:t xml:space="preserve">0 </w:t>
      </w:r>
      <w:r>
        <w:rPr>
          <w:rFonts w:hint="eastAsia" w:ascii="宋体" w:hAnsi="宋体" w:cs="宋体"/>
          <w:color w:val="auto"/>
          <w:sz w:val="24"/>
          <w:highlight w:val="none"/>
        </w:rPr>
        <w:tab/>
      </w:r>
    </w:p>
    <w:p>
      <w:pPr>
        <w:spacing w:line="360" w:lineRule="auto"/>
        <w:rPr>
          <w:rFonts w:ascii="宋体" w:hAnsi="宋体" w:cs="宋体"/>
          <w:b/>
          <w:color w:val="auto"/>
          <w:sz w:val="24"/>
          <w:highlight w:val="none"/>
        </w:rPr>
      </w:pPr>
      <w:r>
        <w:rPr>
          <w:rFonts w:hint="eastAsia" w:ascii="宋体" w:hAnsi="宋体" w:cs="宋体"/>
          <w:b/>
          <w:color w:val="auto"/>
          <w:sz w:val="24"/>
          <w:highlight w:val="none"/>
        </w:rPr>
        <w:t>四、提交投标文件截止时间、开标时间和地点</w:t>
      </w:r>
    </w:p>
    <w:p>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提交投标文件截止时间：</w:t>
      </w:r>
      <w:r>
        <w:rPr>
          <w:rFonts w:hint="eastAsia" w:ascii="宋体" w:hAnsi="宋体" w:cs="宋体"/>
          <w:color w:val="auto"/>
          <w:sz w:val="24"/>
          <w:highlight w:val="none"/>
          <w:u w:val="single"/>
        </w:rPr>
        <w:t xml:space="preserve"> 2023年</w:t>
      </w:r>
      <w:r>
        <w:rPr>
          <w:rFonts w:hint="eastAsia" w:ascii="宋体" w:hAnsi="宋体" w:cs="宋体"/>
          <w:color w:val="auto"/>
          <w:sz w:val="24"/>
          <w:highlight w:val="none"/>
          <w:u w:val="single"/>
          <w:lang w:val="en-US" w:eastAsia="zh-CN"/>
        </w:rPr>
        <w:t>12</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25</w:t>
      </w:r>
      <w:r>
        <w:rPr>
          <w:rFonts w:hint="eastAsia" w:ascii="宋体" w:hAnsi="宋体" w:cs="宋体"/>
          <w:color w:val="auto"/>
          <w:sz w:val="24"/>
          <w:highlight w:val="none"/>
          <w:u w:val="single"/>
        </w:rPr>
        <w:t xml:space="preserve">日 </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点</w:t>
      </w:r>
      <w:r>
        <w:rPr>
          <w:rFonts w:hint="eastAsia" w:ascii="宋体" w:hAnsi="宋体" w:cs="宋体"/>
          <w:color w:val="auto"/>
          <w:sz w:val="24"/>
          <w:highlight w:val="none"/>
          <w:u w:val="single"/>
          <w:lang w:val="en-US" w:eastAsia="zh-CN"/>
        </w:rPr>
        <w:t>00</w:t>
      </w:r>
      <w:r>
        <w:rPr>
          <w:rFonts w:hint="eastAsia" w:ascii="宋体" w:hAnsi="宋体" w:cs="宋体"/>
          <w:color w:val="auto"/>
          <w:sz w:val="24"/>
          <w:highlight w:val="none"/>
          <w:u w:val="single"/>
        </w:rPr>
        <w:t>分00秒</w:t>
      </w:r>
      <w:r>
        <w:rPr>
          <w:rFonts w:hint="eastAsia" w:ascii="宋体" w:hAnsi="宋体" w:cs="宋体"/>
          <w:color w:val="auto"/>
          <w:sz w:val="24"/>
          <w:highlight w:val="none"/>
        </w:rPr>
        <w:t>（北京时间）</w:t>
      </w:r>
    </w:p>
    <w:p>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投标地点（网址）：</w:t>
      </w:r>
      <w:r>
        <w:rPr>
          <w:rFonts w:hint="eastAsia" w:ascii="宋体" w:hAnsi="宋体" w:cs="宋体"/>
          <w:color w:val="auto"/>
          <w:sz w:val="24"/>
          <w:highlight w:val="none"/>
        </w:rPr>
        <w:t xml:space="preserve">政采云平台（https://www.zcygov.cn/） </w:t>
      </w:r>
    </w:p>
    <w:p>
      <w:pPr>
        <w:spacing w:line="360" w:lineRule="auto"/>
        <w:ind w:firstLine="482" w:firstLineChars="200"/>
        <w:rPr>
          <w:rFonts w:ascii="宋体" w:hAnsi="宋体" w:cs="宋体"/>
          <w:bCs/>
          <w:color w:val="auto"/>
          <w:sz w:val="24"/>
          <w:highlight w:val="none"/>
          <w:u w:val="single"/>
        </w:rPr>
      </w:pPr>
      <w:r>
        <w:rPr>
          <w:rFonts w:hint="eastAsia" w:ascii="宋体" w:hAnsi="宋体" w:cs="宋体"/>
          <w:b/>
          <w:color w:val="auto"/>
          <w:sz w:val="24"/>
          <w:highlight w:val="none"/>
        </w:rPr>
        <w:t>开标时间：</w:t>
      </w:r>
      <w:r>
        <w:rPr>
          <w:rFonts w:hint="eastAsia" w:ascii="宋体" w:hAnsi="宋体" w:cs="宋体"/>
          <w:color w:val="auto"/>
          <w:sz w:val="24"/>
          <w:highlight w:val="none"/>
          <w:u w:val="single"/>
        </w:rPr>
        <w:t xml:space="preserve"> 2023年</w:t>
      </w:r>
      <w:r>
        <w:rPr>
          <w:rFonts w:hint="eastAsia" w:ascii="宋体" w:hAnsi="宋体" w:cs="宋体"/>
          <w:color w:val="auto"/>
          <w:sz w:val="24"/>
          <w:highlight w:val="none"/>
          <w:u w:val="single"/>
          <w:lang w:val="en-US" w:eastAsia="zh-CN"/>
        </w:rPr>
        <w:t>12</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25</w:t>
      </w:r>
      <w:r>
        <w:rPr>
          <w:rFonts w:hint="eastAsia" w:ascii="宋体" w:hAnsi="宋体" w:cs="宋体"/>
          <w:color w:val="auto"/>
          <w:sz w:val="24"/>
          <w:highlight w:val="none"/>
          <w:u w:val="single"/>
        </w:rPr>
        <w:t xml:space="preserve">日 </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点</w:t>
      </w:r>
      <w:r>
        <w:rPr>
          <w:rFonts w:hint="eastAsia" w:ascii="宋体" w:hAnsi="宋体" w:cs="宋体"/>
          <w:color w:val="auto"/>
          <w:sz w:val="24"/>
          <w:highlight w:val="none"/>
          <w:u w:val="single"/>
          <w:lang w:val="en-US" w:eastAsia="zh-CN"/>
        </w:rPr>
        <w:t>00</w:t>
      </w:r>
      <w:r>
        <w:rPr>
          <w:rFonts w:hint="eastAsia" w:ascii="宋体" w:hAnsi="宋体" w:cs="宋体"/>
          <w:color w:val="auto"/>
          <w:sz w:val="24"/>
          <w:highlight w:val="none"/>
          <w:u w:val="single"/>
        </w:rPr>
        <w:t>分00秒</w:t>
      </w:r>
    </w:p>
    <w:p>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开标地点（网址）：</w:t>
      </w:r>
      <w:r>
        <w:rPr>
          <w:rFonts w:hint="eastAsia" w:ascii="宋体" w:hAnsi="宋体" w:cs="宋体"/>
          <w:color w:val="auto"/>
          <w:sz w:val="24"/>
          <w:highlight w:val="none"/>
        </w:rPr>
        <w:t>政采云平台（https://www.zcygov.cn/）</w:t>
      </w:r>
    </w:p>
    <w:p>
      <w:pPr>
        <w:spacing w:line="360" w:lineRule="auto"/>
        <w:rPr>
          <w:rFonts w:ascii="宋体" w:hAnsi="宋体" w:cs="宋体"/>
          <w:color w:val="auto"/>
          <w:sz w:val="24"/>
          <w:highlight w:val="none"/>
        </w:rPr>
      </w:pPr>
      <w:r>
        <w:rPr>
          <w:rFonts w:hint="eastAsia" w:ascii="宋体" w:hAnsi="宋体" w:cs="宋体"/>
          <w:b/>
          <w:color w:val="auto"/>
          <w:sz w:val="24"/>
          <w:highlight w:val="none"/>
        </w:rPr>
        <w:t xml:space="preserve">五、公告期限 </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自本公告发布之日起5个工作日。</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六、其他补充事宜</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1. </w:t>
      </w:r>
      <w:r>
        <w:rPr>
          <w:rFonts w:ascii="宋体" w:hAnsi="宋体" w:cs="宋体"/>
          <w:color w:val="auto"/>
          <w:sz w:val="24"/>
          <w:highlight w:val="none"/>
        </w:rPr>
        <w:t>《浙江省财政厅关于进一步发挥政府采购政策功能全力推动经济稳进提质的通知》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r>
        <w:rPr>
          <w:rFonts w:hint="eastAsia" w:ascii="宋体" w:hAnsi="宋体" w:cs="宋体"/>
          <w:color w:val="auto"/>
          <w:sz w:val="24"/>
          <w:highlight w:val="none"/>
        </w:rPr>
        <w:t>。</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⑩具体操作指南：详见政采云平台“服务中心-帮助文档-项目采购-操作流程-电子招投标-政府采购项目电子交易管理操作指南-供应商”。（3）招标文件公告期限与招标公告的公告期限一致。</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七、对本次采购提出询问、质疑、投诉，请按以下方式联系</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1.采购人信息</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名    称：</w:t>
      </w:r>
      <w:r>
        <w:rPr>
          <w:rFonts w:hint="eastAsia"/>
          <w:color w:val="auto"/>
          <w:kern w:val="0"/>
          <w:sz w:val="24"/>
          <w:highlight w:val="none"/>
          <w:lang w:eastAsia="zh-CN"/>
        </w:rPr>
        <w:t>杭州市临平区中医院</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地    址：</w:t>
      </w:r>
      <w:r>
        <w:rPr>
          <w:rFonts w:hint="eastAsia"/>
          <w:color w:val="auto"/>
          <w:kern w:val="0"/>
          <w:sz w:val="24"/>
          <w:highlight w:val="none"/>
          <w:lang w:eastAsia="zh-CN"/>
        </w:rPr>
        <w:t>临平区塘栖镇运城街</w:t>
      </w:r>
      <w:r>
        <w:rPr>
          <w:rFonts w:hint="eastAsia"/>
          <w:color w:val="auto"/>
          <w:kern w:val="0"/>
          <w:sz w:val="24"/>
          <w:highlight w:val="none"/>
          <w:lang w:val="en-US" w:eastAsia="zh-CN"/>
        </w:rPr>
        <w:t>101号</w:t>
      </w:r>
      <w:r>
        <w:rPr>
          <w:rFonts w:hint="eastAsia" w:ascii="宋体" w:hAnsi="宋体" w:cs="宋体"/>
          <w:color w:val="auto"/>
          <w:sz w:val="24"/>
          <w:highlight w:val="none"/>
        </w:rPr>
        <w:t xml:space="preserve">       </w:t>
      </w:r>
    </w:p>
    <w:p>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传    真： /</w:t>
      </w:r>
    </w:p>
    <w:p>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项目联系人（询问）：</w:t>
      </w:r>
      <w:r>
        <w:rPr>
          <w:rFonts w:hint="eastAsia"/>
          <w:color w:val="auto"/>
          <w:kern w:val="0"/>
          <w:sz w:val="24"/>
          <w:highlight w:val="none"/>
          <w:lang w:eastAsia="zh-CN"/>
        </w:rPr>
        <w:t>董先生</w:t>
      </w:r>
      <w:r>
        <w:rPr>
          <w:rFonts w:hint="eastAsia" w:ascii="宋体" w:hAnsi="宋体" w:cs="宋体"/>
          <w:color w:val="auto"/>
          <w:sz w:val="24"/>
          <w:highlight w:val="none"/>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项目联系方式（询问）：</w:t>
      </w:r>
      <w:r>
        <w:rPr>
          <w:rFonts w:hint="eastAsia"/>
          <w:color w:val="auto"/>
          <w:kern w:val="0"/>
          <w:sz w:val="24"/>
          <w:highlight w:val="none"/>
          <w:lang w:val="en-US" w:eastAsia="zh-CN"/>
        </w:rPr>
        <w:t>0571-86381899</w:t>
      </w:r>
      <w:r>
        <w:rPr>
          <w:rFonts w:ascii="Times New Roman" w:hAnsi="Times New Roman"/>
          <w:color w:val="auto"/>
          <w:kern w:val="0"/>
          <w:sz w:val="24"/>
          <w:highlight w:val="none"/>
        </w:rPr>
        <w:t xml:space="preserve"> </w:t>
      </w:r>
      <w:r>
        <w:rPr>
          <w:rFonts w:hint="eastAsia" w:ascii="宋体" w:hAnsi="宋体" w:cs="宋体"/>
          <w:color w:val="auto"/>
          <w:sz w:val="24"/>
          <w:highlight w:val="none"/>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质疑联系人： </w:t>
      </w:r>
      <w:r>
        <w:rPr>
          <w:rFonts w:hint="eastAsia"/>
          <w:color w:val="auto"/>
          <w:kern w:val="0"/>
          <w:sz w:val="24"/>
          <w:highlight w:val="none"/>
          <w:lang w:eastAsia="zh-CN"/>
        </w:rPr>
        <w:t>胡先生</w:t>
      </w:r>
      <w:r>
        <w:rPr>
          <w:rFonts w:hint="eastAsia" w:ascii="宋体" w:hAnsi="宋体" w:cs="宋体"/>
          <w:color w:val="auto"/>
          <w:sz w:val="24"/>
          <w:highlight w:val="none"/>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质疑联系方式：</w:t>
      </w:r>
      <w:r>
        <w:rPr>
          <w:rFonts w:hint="eastAsia"/>
          <w:color w:val="auto"/>
          <w:sz w:val="24"/>
          <w:highlight w:val="none"/>
          <w:lang w:val="en-US" w:eastAsia="zh-CN"/>
        </w:rPr>
        <w:t>057189270193</w:t>
      </w:r>
      <w:r>
        <w:rPr>
          <w:rFonts w:hint="eastAsia" w:ascii="宋体" w:hAnsi="宋体" w:cs="宋体"/>
          <w:color w:val="auto"/>
          <w:sz w:val="24"/>
          <w:highlight w:val="none"/>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2.采购代理机构信息            </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名    称：杭州市公共资源交易中心</w:t>
      </w:r>
      <w:r>
        <w:rPr>
          <w:rFonts w:hint="eastAsia" w:ascii="宋体" w:hAnsi="宋体" w:cs="宋体"/>
          <w:color w:val="auto"/>
          <w:sz w:val="24"/>
          <w:highlight w:val="none"/>
          <w:lang w:eastAsia="zh-CN"/>
        </w:rPr>
        <w:t>临平分中心</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地    址：杭州市</w:t>
      </w:r>
      <w:r>
        <w:rPr>
          <w:rFonts w:hint="eastAsia" w:ascii="宋体" w:hAnsi="宋体" w:cs="宋体"/>
          <w:color w:val="auto"/>
          <w:sz w:val="24"/>
          <w:highlight w:val="none"/>
          <w:lang w:eastAsia="zh-CN"/>
        </w:rPr>
        <w:t>临平区南大街</w:t>
      </w:r>
      <w:r>
        <w:rPr>
          <w:rFonts w:hint="eastAsia" w:ascii="宋体" w:hAnsi="宋体" w:cs="宋体"/>
          <w:color w:val="auto"/>
          <w:sz w:val="24"/>
          <w:highlight w:val="none"/>
          <w:lang w:val="en-US" w:eastAsia="zh-CN"/>
        </w:rPr>
        <w:t>265号市民之家三楼</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传    真：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项目联系人（询问）：</w:t>
      </w:r>
      <w:r>
        <w:rPr>
          <w:rFonts w:hint="eastAsia" w:ascii="宋体" w:hAnsi="宋体" w:cs="宋体"/>
          <w:color w:val="auto"/>
          <w:sz w:val="24"/>
          <w:highlight w:val="none"/>
          <w:lang w:eastAsia="zh-CN"/>
        </w:rPr>
        <w:t>沈女士</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项目联系方式（询问）：</w:t>
      </w:r>
      <w:r>
        <w:rPr>
          <w:rFonts w:hint="eastAsia" w:ascii="宋体" w:hAnsi="宋体" w:cs="宋体"/>
          <w:color w:val="auto"/>
          <w:sz w:val="24"/>
          <w:highlight w:val="none"/>
          <w:lang w:val="en-US" w:eastAsia="zh-CN"/>
        </w:rPr>
        <w:t>89530678</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质疑联系人： </w:t>
      </w:r>
      <w:r>
        <w:rPr>
          <w:rFonts w:hint="eastAsia" w:ascii="宋体" w:hAnsi="宋体" w:cs="宋体"/>
          <w:color w:val="auto"/>
          <w:sz w:val="24"/>
          <w:highlight w:val="none"/>
          <w:lang w:eastAsia="zh-CN"/>
        </w:rPr>
        <w:t>徐女士</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质疑联系方式：</w:t>
      </w:r>
      <w:r>
        <w:rPr>
          <w:rFonts w:hint="eastAsia" w:ascii="宋体" w:hAnsi="宋体" w:cs="宋体"/>
          <w:color w:val="auto"/>
          <w:sz w:val="24"/>
          <w:highlight w:val="none"/>
          <w:lang w:val="en-US" w:eastAsia="zh-CN"/>
        </w:rPr>
        <w:t>89156860</w:t>
      </w:r>
    </w:p>
    <w:p>
      <w:pPr>
        <w:spacing w:line="360" w:lineRule="auto"/>
        <w:ind w:firstLine="480"/>
        <w:rPr>
          <w:rFonts w:ascii="宋体" w:hAnsi="宋体" w:cs="仿宋"/>
          <w:color w:val="auto"/>
          <w:sz w:val="24"/>
          <w:highlight w:val="none"/>
        </w:rPr>
      </w:pPr>
      <w:r>
        <w:rPr>
          <w:rFonts w:hint="eastAsia" w:ascii="宋体" w:hAnsi="宋体" w:cs="仿宋"/>
          <w:color w:val="auto"/>
          <w:sz w:val="24"/>
          <w:highlight w:val="none"/>
        </w:rPr>
        <w:t>3.同级政府采购监督管理部门</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名    称：杭州市临平区财政局</w:t>
      </w:r>
    </w:p>
    <w:p>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地    址：杭州市临平区东湖街道东湖中路236号</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传    真：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联系人 ：</w:t>
      </w:r>
      <w:r>
        <w:rPr>
          <w:rFonts w:hint="eastAsia" w:ascii="仿宋_GB2312" w:hAnsi="仿宋" w:eastAsia="仿宋_GB2312"/>
          <w:color w:val="auto"/>
          <w:sz w:val="24"/>
          <w:highlight w:val="none"/>
        </w:rPr>
        <w:t>俞征</w:t>
      </w:r>
    </w:p>
    <w:p>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监督投诉电话：电话：</w:t>
      </w:r>
      <w:r>
        <w:rPr>
          <w:rFonts w:hint="eastAsia" w:ascii="仿宋_GB2312" w:hAnsi="仿宋" w:eastAsia="仿宋_GB2312"/>
          <w:color w:val="auto"/>
          <w:sz w:val="24"/>
          <w:highlight w:val="none"/>
        </w:rPr>
        <w:t xml:space="preserve">0571-89185312 </w:t>
      </w:r>
    </w:p>
    <w:p>
      <w:pPr>
        <w:spacing w:line="360" w:lineRule="auto"/>
        <w:rPr>
          <w:rFonts w:ascii="宋体" w:hAnsi="宋体" w:cs="宋体"/>
          <w:color w:val="auto"/>
          <w:sz w:val="24"/>
          <w:highlight w:val="none"/>
        </w:rPr>
      </w:pP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若对项目采购电子交易系统操作有疑问，可登录政采云（https://www.zcygov.cn/），点击右侧咨询小采，获取采小蜜智能服务管家帮助，或拨打政采云服务热线</w:t>
      </w:r>
      <w:r>
        <w:rPr>
          <w:rFonts w:hint="eastAsia" w:ascii="微软雅黑" w:hAnsi="微软雅黑" w:eastAsia="微软雅黑"/>
          <w:color w:val="auto"/>
          <w:szCs w:val="21"/>
          <w:highlight w:val="none"/>
          <w:shd w:val="clear" w:color="auto" w:fill="FFFFFF"/>
        </w:rPr>
        <w:t>95763</w:t>
      </w:r>
      <w:r>
        <w:rPr>
          <w:rFonts w:hint="eastAsia" w:ascii="宋体" w:hAnsi="宋体" w:cs="宋体"/>
          <w:color w:val="auto"/>
          <w:sz w:val="24"/>
          <w:highlight w:val="none"/>
        </w:rPr>
        <w:t>获取热线服务帮助。</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CA问题联系电话（人工）：汇信CA 400-888-4636；天谷CA 400-087-8198。</w:t>
      </w:r>
    </w:p>
    <w:p>
      <w:pPr>
        <w:pStyle w:val="34"/>
        <w:spacing w:line="360" w:lineRule="auto"/>
        <w:rPr>
          <w:rFonts w:hAnsi="宋体" w:cs="宋体"/>
          <w:b/>
          <w:color w:val="auto"/>
          <w:sz w:val="36"/>
          <w:szCs w:val="20"/>
          <w:highlight w:val="none"/>
        </w:rPr>
      </w:pPr>
      <w:r>
        <w:rPr>
          <w:rFonts w:hint="eastAsia" w:hAnsi="宋体" w:cs="宋体"/>
          <w:color w:val="auto"/>
          <w:sz w:val="24"/>
          <w:highlight w:val="none"/>
        </w:rPr>
        <w:t xml:space="preserve">                        </w:t>
      </w:r>
      <w:r>
        <w:rPr>
          <w:rFonts w:hAnsi="宋体" w:cs="宋体"/>
          <w:b/>
          <w:color w:val="auto"/>
          <w:sz w:val="36"/>
          <w:szCs w:val="20"/>
          <w:highlight w:val="none"/>
        </w:rPr>
        <w:t xml:space="preserve"> </w:t>
      </w:r>
    </w:p>
    <w:p>
      <w:pPr>
        <w:pStyle w:val="2"/>
        <w:rPr>
          <w:rFonts w:ascii="宋体"/>
          <w:snapToGrid w:val="0"/>
          <w:color w:val="auto"/>
          <w:highlight w:val="none"/>
        </w:rPr>
      </w:pPr>
      <w:r>
        <w:rPr>
          <w:color w:val="auto"/>
          <w:highlight w:val="none"/>
        </w:rPr>
        <w:br w:type="page"/>
      </w:r>
    </w:p>
    <w:p>
      <w:pPr>
        <w:adjustRightInd/>
        <w:spacing w:line="360" w:lineRule="auto"/>
        <w:jc w:val="center"/>
        <w:outlineLvl w:val="0"/>
        <w:rPr>
          <w:rFonts w:ascii="宋体" w:hAnsi="宋体" w:cs="宋体"/>
          <w:b/>
          <w:color w:val="auto"/>
          <w:sz w:val="36"/>
          <w:szCs w:val="20"/>
          <w:highlight w:val="none"/>
        </w:rPr>
      </w:pPr>
      <w:r>
        <w:rPr>
          <w:rFonts w:hint="eastAsia" w:ascii="宋体" w:hAnsi="宋体" w:cs="宋体"/>
          <w:b/>
          <w:color w:val="auto"/>
          <w:sz w:val="36"/>
          <w:szCs w:val="20"/>
          <w:highlight w:val="none"/>
        </w:rPr>
        <w:t>第二部分</w:t>
      </w:r>
      <w:bookmarkEnd w:id="8"/>
      <w:r>
        <w:rPr>
          <w:rFonts w:hint="eastAsia" w:ascii="宋体" w:hAnsi="宋体" w:cs="宋体"/>
          <w:b/>
          <w:color w:val="auto"/>
          <w:sz w:val="36"/>
          <w:szCs w:val="20"/>
          <w:highlight w:val="none"/>
        </w:rPr>
        <w:t xml:space="preserve"> 投标人须知</w:t>
      </w:r>
      <w:bookmarkEnd w:id="9"/>
    </w:p>
    <w:p>
      <w:pPr>
        <w:adjustRightInd/>
        <w:spacing w:line="360" w:lineRule="auto"/>
        <w:ind w:firstLine="3845" w:firstLineChars="1197"/>
        <w:outlineLvl w:val="0"/>
        <w:rPr>
          <w:rFonts w:ascii="宋体" w:hAnsi="宋体" w:cs="宋体"/>
          <w:b/>
          <w:color w:val="auto"/>
          <w:sz w:val="32"/>
          <w:szCs w:val="20"/>
          <w:highlight w:val="none"/>
        </w:rPr>
      </w:pPr>
      <w:r>
        <w:rPr>
          <w:rFonts w:hint="eastAsia" w:ascii="宋体" w:hAnsi="宋体" w:cs="宋体"/>
          <w:b/>
          <w:color w:val="auto"/>
          <w:sz w:val="32"/>
          <w:szCs w:val="20"/>
          <w:highlight w:val="none"/>
        </w:rPr>
        <w:t>前附表</w:t>
      </w:r>
    </w:p>
    <w:tbl>
      <w:tblPr>
        <w:tblStyle w:val="73"/>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118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项目属性与核心产品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货物类，</w:t>
            </w:r>
          </w:p>
          <w:p>
            <w:pPr>
              <w:spacing w:line="360" w:lineRule="auto"/>
              <w:rPr>
                <w:rFonts w:ascii="宋体" w:hAnsi="宋体" w:cs="宋体"/>
                <w:color w:val="auto"/>
                <w:sz w:val="24"/>
                <w:highlight w:val="none"/>
              </w:rPr>
            </w:pPr>
            <w:r>
              <w:rPr>
                <w:rFonts w:hint="eastAsia" w:ascii="宋体" w:hAnsi="宋体" w:cs="宋体"/>
                <w:color w:val="auto"/>
                <w:sz w:val="24"/>
                <w:highlight w:val="none"/>
              </w:rPr>
              <w:t>单一产品或</w:t>
            </w:r>
            <w:r>
              <w:rPr>
                <w:rFonts w:hint="eastAsia" w:ascii="宋体" w:hAnsi="宋体" w:cs="宋体"/>
                <w:color w:val="auto"/>
                <w:kern w:val="0"/>
                <w:sz w:val="24"/>
                <w:highlight w:val="none"/>
              </w:rPr>
              <w:t>核心产品为：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电脑</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1280"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ascii="宋体" w:hAnsi="宋体" w:eastAsia="宋体" w:cs="宋体"/>
                <w:color w:val="auto"/>
                <w:highlight w:val="none"/>
                <w:lang w:val="en-US"/>
              </w:rPr>
            </w:pPr>
            <w:r>
              <w:rPr>
                <w:rFonts w:hint="eastAsia" w:ascii="宋体" w:hAnsi="宋体" w:cs="宋体"/>
                <w:color w:val="auto"/>
                <w:kern w:val="0"/>
                <w:sz w:val="24"/>
                <w:highlight w:val="none"/>
              </w:rPr>
              <w:t>（1）标的：</w:t>
            </w:r>
            <w:r>
              <w:rPr>
                <w:rFonts w:hint="eastAsia" w:ascii="宋体" w:hAnsi="宋体" w:cs="宋体"/>
                <w:color w:val="auto"/>
                <w:kern w:val="0"/>
                <w:sz w:val="24"/>
                <w:highlight w:val="none"/>
                <w:u w:val="single"/>
                <w:lang w:eastAsia="zh-CN"/>
              </w:rPr>
              <w:t>杭州市临平区中医院电脑采购</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eastAsia="zh-CN"/>
              </w:rPr>
              <w:t>工业</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行业；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2118"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sym w:font="Wingdings" w:char="F0FE"/>
            </w:r>
            <w:r>
              <w:rPr>
                <w:rFonts w:hint="eastAsia" w:ascii="宋体" w:hAnsi="宋体" w:cs="宋体"/>
                <w:color w:val="auto"/>
                <w:kern w:val="0"/>
                <w:sz w:val="24"/>
                <w:highlight w:val="none"/>
              </w:rPr>
              <w:t>本项目不允许采购进口产品。</w:t>
            </w:r>
          </w:p>
          <w:p>
            <w:pPr>
              <w:spacing w:line="360" w:lineRule="auto"/>
              <w:rPr>
                <w:rFonts w:ascii="宋体" w:hAnsi="宋体" w:cs="宋体"/>
                <w:color w:val="auto"/>
                <w:highlight w:val="none"/>
              </w:rPr>
            </w:pPr>
            <w:r>
              <w:rPr>
                <w:rFonts w:hint="eastAsia" w:ascii="MS Mincho" w:hAnsi="MS Mincho" w:eastAsia="MS Mincho" w:cs="MS Mincho"/>
                <w:color w:val="auto"/>
                <w:kern w:val="0"/>
                <w:sz w:val="24"/>
                <w:highlight w:val="none"/>
              </w:rPr>
              <w:t>☐</w:t>
            </w:r>
            <w:r>
              <w:rPr>
                <w:rFonts w:hint="eastAsia" w:ascii="宋体" w:hAnsi="宋体" w:cs="宋体"/>
                <w:color w:val="auto"/>
                <w:kern w:val="0"/>
                <w:sz w:val="24"/>
                <w:highlight w:val="none"/>
              </w:rPr>
              <w:t>可以就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采购进口产品。优先采购向我国企业转让技术、与我国企业签订消化吸收再创新方案的供应商的进口产品，详见</w:t>
            </w:r>
            <w:r>
              <w:rPr>
                <w:rFonts w:hint="eastAsia" w:ascii="宋体" w:hAnsi="宋体" w:cs="宋体"/>
                <w:color w:val="auto"/>
                <w:kern w:val="0"/>
                <w:sz w:val="24"/>
                <w:highlight w:val="none"/>
                <w:u w:val="single"/>
              </w:rPr>
              <w:t>评分标准</w:t>
            </w:r>
            <w:r>
              <w:rPr>
                <w:rFonts w:hint="eastAsia" w:ascii="宋体" w:hAnsi="宋体" w:cs="宋体"/>
                <w:color w:val="auto"/>
                <w:kern w:val="0"/>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1235"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r>
              <w:rPr>
                <w:rFonts w:hint="eastAsia" w:ascii="MS Gothic" w:hAnsi="MS Gothic" w:cs="宋体"/>
                <w:color w:val="auto"/>
                <w:kern w:val="0"/>
                <w:sz w:val="24"/>
                <w:highlight w:val="none"/>
              </w:rPr>
              <w:t>☐</w:t>
            </w:r>
            <w:r>
              <w:rPr>
                <w:rFonts w:hint="eastAsia" w:ascii="宋体" w:hAnsi="宋体" w:cs="宋体"/>
                <w:color w:val="auto"/>
                <w:kern w:val="0"/>
                <w:sz w:val="24"/>
                <w:highlight w:val="none"/>
              </w:rPr>
              <w:t xml:space="preserve"> A</w:t>
            </w:r>
            <w:r>
              <w:rPr>
                <w:rFonts w:hint="eastAsia" w:ascii="宋体" w:hAnsi="宋体" w:cs="宋体"/>
                <w:color w:val="auto"/>
                <w:sz w:val="24"/>
                <w:highlight w:val="none"/>
              </w:rPr>
              <w:t>同意将非主体、非关键性的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工作分包。</w:t>
            </w:r>
            <w:r>
              <w:rPr>
                <w:rFonts w:ascii="Wingdings" w:hAnsi="Wingdings" w:cs="宋体"/>
                <w:color w:val="auto"/>
                <w:kern w:val="0"/>
                <w:sz w:val="24"/>
                <w:highlight w:val="none"/>
              </w:rPr>
              <w:t></w:t>
            </w:r>
            <w:r>
              <w:rPr>
                <w:rFonts w:hint="eastAsia" w:ascii="宋体" w:hAnsi="宋体" w:cs="宋体"/>
                <w:color w:val="auto"/>
                <w:kern w:val="0"/>
                <w:sz w:val="24"/>
                <w:highlight w:val="none"/>
              </w:rPr>
              <w:t xml:space="preserve"> B</w:t>
            </w:r>
            <w:r>
              <w:rPr>
                <w:rFonts w:hint="eastAsia" w:ascii="宋体" w:hAnsi="宋体" w:cs="宋体"/>
                <w:color w:val="auto"/>
                <w:sz w:val="24"/>
                <w:highlight w:val="none"/>
              </w:rPr>
              <w:t>不同意分包。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1670"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r>
              <w:rPr>
                <w:rFonts w:ascii="Wingdings" w:hAnsi="Wingdings" w:cs="宋体"/>
                <w:color w:val="auto"/>
                <w:kern w:val="0"/>
                <w:sz w:val="24"/>
                <w:highlight w:val="none"/>
              </w:rPr>
              <w:t></w:t>
            </w:r>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pPr>
              <w:spacing w:line="360" w:lineRule="auto"/>
              <w:rPr>
                <w:rFonts w:ascii="宋体" w:hAnsi="宋体" w:cs="宋体"/>
                <w:color w:val="auto"/>
                <w:sz w:val="24"/>
                <w:szCs w:val="20"/>
                <w:highlight w:val="none"/>
              </w:rPr>
            </w:pPr>
            <w:r>
              <w:rPr>
                <w:rFonts w:hint="eastAsia" w:ascii="宋体" w:hAnsi="宋体" w:cs="宋体"/>
                <w:color w:val="auto"/>
                <w:kern w:val="0"/>
                <w:sz w:val="24"/>
                <w:highlight w:val="none"/>
              </w:rPr>
              <w:t>☐B组织，</w:t>
            </w:r>
            <w:r>
              <w:rPr>
                <w:rFonts w:hint="eastAsia" w:ascii="宋体" w:hAnsi="宋体" w:cs="宋体"/>
                <w:color w:val="auto"/>
                <w:sz w:val="24"/>
                <w:highlight w:val="none"/>
              </w:rPr>
              <w:t>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cs="宋体"/>
                <w:color w:val="auto"/>
                <w:sz w:val="24"/>
                <w:szCs w:val="20"/>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1130"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r>
              <w:rPr>
                <w:rFonts w:ascii="Wingdings" w:hAnsi="Wingdings" w:cs="宋体"/>
                <w:color w:val="auto"/>
                <w:kern w:val="0"/>
                <w:sz w:val="24"/>
                <w:highlight w:val="none"/>
              </w:rPr>
              <w:t></w:t>
            </w:r>
            <w:r>
              <w:rPr>
                <w:rFonts w:hint="eastAsia" w:ascii="宋体" w:hAnsi="宋体" w:cs="宋体"/>
                <w:color w:val="auto"/>
                <w:kern w:val="0"/>
                <w:sz w:val="24"/>
                <w:highlight w:val="none"/>
              </w:rPr>
              <w:t>A</w:t>
            </w:r>
            <w:r>
              <w:rPr>
                <w:rFonts w:hint="eastAsia" w:ascii="宋体" w:hAnsi="宋体" w:cs="宋体"/>
                <w:color w:val="auto"/>
                <w:sz w:val="24"/>
                <w:highlight w:val="none"/>
              </w:rPr>
              <w:t>不要求提供。</w:t>
            </w:r>
          </w:p>
          <w:p>
            <w:pPr>
              <w:spacing w:line="360" w:lineRule="auto"/>
              <w:rPr>
                <w:rFonts w:ascii="宋体" w:hAnsi="宋体" w:cs="宋体"/>
                <w:b/>
                <w:color w:val="auto"/>
                <w:sz w:val="24"/>
                <w:highlight w:val="none"/>
              </w:rPr>
            </w:pPr>
            <w:r>
              <w:rPr>
                <w:rFonts w:hint="eastAsia" w:ascii="MS Gothic" w:hAnsi="MS Gothic" w:eastAsia="MS Gothic" w:cs="宋体"/>
                <w:color w:val="auto"/>
                <w:kern w:val="0"/>
                <w:sz w:val="24"/>
                <w:highlight w:val="none"/>
              </w:rPr>
              <w:t>☐</w:t>
            </w:r>
            <w:r>
              <w:rPr>
                <w:rFonts w:hint="eastAsia" w:ascii="宋体" w:hAnsi="宋体" w:cs="宋体"/>
                <w:color w:val="auto"/>
                <w:kern w:val="0"/>
                <w:sz w:val="24"/>
                <w:highlight w:val="none"/>
              </w:rPr>
              <w:t>B要求提供</w:t>
            </w:r>
            <w:r>
              <w:rPr>
                <w:rFonts w:hint="eastAsia" w:ascii="宋体" w:hAnsi="宋体" w:cs="宋体"/>
                <w:color w:val="auto"/>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1340" w:hRule="atLeast"/>
          <w:tblHeader/>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Cs/>
                <w:color w:val="auto"/>
                <w:sz w:val="24"/>
                <w:highlight w:val="none"/>
              </w:rPr>
            </w:pPr>
            <w:r>
              <w:rPr>
                <w:rFonts w:hint="eastAsia" w:ascii="宋体" w:hAnsi="宋体" w:cs="宋体"/>
                <w:b/>
                <w:color w:val="auto"/>
                <w:sz w:val="24"/>
                <w:highlight w:val="none"/>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r>
              <w:rPr>
                <w:rFonts w:ascii="Wingdings" w:hAnsi="Wingdings" w:cs="宋体"/>
                <w:color w:val="auto"/>
                <w:kern w:val="0"/>
                <w:sz w:val="24"/>
                <w:highlight w:val="none"/>
              </w:rPr>
              <w:t></w:t>
            </w:r>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pPr>
              <w:spacing w:line="360" w:lineRule="auto"/>
              <w:rPr>
                <w:rFonts w:ascii="宋体" w:hAnsi="宋体" w:cs="宋体"/>
                <w:b/>
                <w:color w:val="auto"/>
                <w:kern w:val="0"/>
                <w:sz w:val="24"/>
                <w:highlight w:val="none"/>
                <w:lang w:val="zh-CN"/>
              </w:rPr>
            </w:pPr>
            <w:r>
              <w:rPr>
                <w:rFonts w:hint="eastAsia" w:ascii="宋体" w:hAnsi="宋体" w:cs="宋体"/>
                <w:color w:val="auto"/>
                <w:kern w:val="0"/>
                <w:sz w:val="24"/>
                <w:highlight w:val="none"/>
              </w:rPr>
              <w:t>☐B组织。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8</w:t>
            </w:r>
          </w:p>
        </w:tc>
        <w:tc>
          <w:tcPr>
            <w:tcW w:w="1843" w:type="dxa"/>
            <w:vMerge w:val="restart"/>
            <w:tcBorders>
              <w:top w:val="single" w:color="000000" w:sz="8" w:space="0"/>
              <w:left w:val="single" w:color="auto" w:sz="4"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（1）资格证明文件：见招标文件第二部分11.1。</w:t>
            </w:r>
          </w:p>
          <w:p>
            <w:pPr>
              <w:spacing w:line="360" w:lineRule="auto"/>
              <w:rPr>
                <w:rFonts w:ascii="宋体" w:hAnsi="宋体" w:cs="宋体"/>
                <w:snapToGrid w:val="0"/>
                <w:color w:val="auto"/>
                <w:kern w:val="0"/>
                <w:szCs w:val="21"/>
                <w:highlight w:val="none"/>
              </w:rPr>
            </w:pPr>
            <w:r>
              <w:rPr>
                <w:rFonts w:hint="eastAsia" w:ascii="宋体" w:hAnsi="宋体" w:cs="宋体"/>
                <w:color w:val="auto"/>
                <w:kern w:val="0"/>
                <w:sz w:val="24"/>
                <w:highlight w:val="none"/>
                <w:lang w:val="zh-CN"/>
              </w:rPr>
              <w:t>投标人未提供有效的资格证明文件的，视为投标人不具备招标文件中规定的资格要求，投标无效。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1031" w:hRule="atLeast"/>
          <w:tblHeader/>
        </w:trPr>
        <w:tc>
          <w:tcPr>
            <w:tcW w:w="629" w:type="dxa"/>
            <w:vMerge w:val="continue"/>
            <w:tcBorders>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1843" w:type="dxa"/>
            <w:vMerge w:val="continue"/>
            <w:tcBorders>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p>
        </w:tc>
        <w:tc>
          <w:tcPr>
            <w:tcW w:w="6095" w:type="dxa"/>
            <w:tcBorders>
              <w:top w:val="single" w:color="auto" w:sz="4"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（2）资信证明文件：根据招标文件第四部分评标标准提供。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4773"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节能产品、环境标志产品政府优先采购或强制采购</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color w:val="auto"/>
                <w:kern w:val="0"/>
                <w:sz w:val="24"/>
                <w:highlight w:val="none"/>
                <w:lang w:val="zh-CN"/>
              </w:rPr>
            </w:pPr>
            <w:r>
              <w:rPr>
                <w:rFonts w:ascii="Wingdings" w:hAnsi="Wingdings" w:cs="宋体"/>
                <w:color w:val="auto"/>
                <w:kern w:val="0"/>
                <w:sz w:val="24"/>
                <w:highlight w:val="none"/>
              </w:rPr>
              <w:t></w:t>
            </w:r>
            <w:r>
              <w:rPr>
                <w:rFonts w:hint="eastAsia" w:ascii="宋体" w:hAnsi="宋体" w:cs="宋体"/>
                <w:color w:val="auto"/>
                <w:kern w:val="0"/>
                <w:sz w:val="24"/>
                <w:highlight w:val="none"/>
                <w:lang w:val="zh-CN"/>
              </w:rPr>
              <w:t>依据国家确定的认证机构出具的、处于有效期之内的节能产品认证证书，对获得证书的产品实施政府优先采购或强制采购；其中，对</w:t>
            </w:r>
            <w:r>
              <w:rPr>
                <w:rFonts w:hint="eastAsia" w:ascii="宋体" w:hAnsi="宋体" w:cs="宋体"/>
                <w:color w:val="auto"/>
                <w:kern w:val="0"/>
                <w:sz w:val="24"/>
                <w:highlight w:val="none"/>
                <w:u w:val="single"/>
                <w:lang w:val="en-US" w:eastAsia="zh-CN"/>
              </w:rPr>
              <w:t xml:space="preserve"> / </w:t>
            </w:r>
            <w:r>
              <w:rPr>
                <w:rFonts w:hint="eastAsia" w:ascii="宋体" w:hAnsi="宋体" w:cs="宋体"/>
                <w:color w:val="auto"/>
                <w:kern w:val="0"/>
                <w:sz w:val="24"/>
                <w:highlight w:val="none"/>
                <w:lang w:val="zh-CN"/>
              </w:rPr>
              <w:t>实施政府优先采购，</w:t>
            </w:r>
            <w:r>
              <w:rPr>
                <w:rFonts w:hint="eastAsia" w:ascii="宋体" w:hAnsi="宋体" w:cs="宋体"/>
                <w:color w:val="auto"/>
                <w:kern w:val="0"/>
                <w:sz w:val="24"/>
                <w:highlight w:val="none"/>
              </w:rPr>
              <w:t>详</w:t>
            </w:r>
            <w:r>
              <w:rPr>
                <w:rFonts w:hint="eastAsia" w:ascii="宋体" w:hAnsi="宋体" w:cs="宋体"/>
                <w:color w:val="auto"/>
                <w:kern w:val="0"/>
                <w:sz w:val="24"/>
                <w:highlight w:val="none"/>
                <w:lang w:val="zh-CN"/>
              </w:rPr>
              <w:t>见</w:t>
            </w:r>
            <w:r>
              <w:rPr>
                <w:rFonts w:hint="eastAsia" w:ascii="宋体" w:hAnsi="宋体" w:cs="宋体"/>
                <w:color w:val="auto"/>
                <w:kern w:val="0"/>
                <w:sz w:val="24"/>
                <w:highlight w:val="none"/>
                <w:u w:val="single"/>
                <w:lang w:val="zh-CN"/>
              </w:rPr>
              <w:t>评分标准</w:t>
            </w:r>
            <w:r>
              <w:rPr>
                <w:rFonts w:hint="eastAsia" w:ascii="宋体" w:hAnsi="宋体" w:cs="宋体"/>
                <w:color w:val="auto"/>
                <w:kern w:val="0"/>
                <w:sz w:val="24"/>
                <w:highlight w:val="none"/>
                <w:lang w:val="zh-CN"/>
              </w:rPr>
              <w:t>；</w:t>
            </w:r>
            <w:r>
              <w:rPr>
                <w:rFonts w:hint="eastAsia" w:ascii="宋体" w:hAnsi="宋体" w:cs="宋体"/>
                <w:color w:val="auto"/>
                <w:sz w:val="24"/>
                <w:highlight w:val="none"/>
              </w:rPr>
              <w:t>▲</w:t>
            </w:r>
            <w:r>
              <w:rPr>
                <w:rFonts w:hint="eastAsia" w:ascii="宋体" w:hAnsi="宋体" w:cs="宋体"/>
                <w:color w:val="auto"/>
                <w:kern w:val="0"/>
                <w:sz w:val="24"/>
                <w:highlight w:val="none"/>
                <w:lang w:val="zh-CN"/>
              </w:rPr>
              <w:t>对</w:t>
            </w:r>
            <w:r>
              <w:rPr>
                <w:rFonts w:hint="eastAsia" w:ascii="宋体" w:hAnsi="宋体" w:cs="宋体"/>
                <w:color w:val="auto"/>
                <w:kern w:val="0"/>
                <w:sz w:val="24"/>
                <w:highlight w:val="none"/>
                <w:u w:val="single" w:color="auto"/>
                <w:lang w:val="zh-CN" w:eastAsia="zh-CN"/>
              </w:rPr>
              <w:t>分体式电脑及一体式电脑</w:t>
            </w:r>
            <w:r>
              <w:rPr>
                <w:rFonts w:hint="eastAsia" w:ascii="宋体" w:hAnsi="宋体" w:cs="宋体"/>
                <w:color w:val="auto"/>
                <w:kern w:val="0"/>
                <w:sz w:val="24"/>
                <w:highlight w:val="none"/>
                <w:lang w:val="zh-CN"/>
              </w:rPr>
              <w:t>实施政府强制采购，</w:t>
            </w:r>
            <w:r>
              <w:rPr>
                <w:rFonts w:hint="eastAsia" w:ascii="宋体" w:hAnsi="宋体" w:cs="宋体"/>
                <w:b/>
                <w:bCs/>
                <w:color w:val="auto"/>
                <w:kern w:val="0"/>
                <w:sz w:val="24"/>
                <w:highlight w:val="none"/>
                <w:lang w:val="zh-CN"/>
              </w:rPr>
              <w:t>投标人</w:t>
            </w:r>
            <w:r>
              <w:rPr>
                <w:rFonts w:hint="eastAsia" w:ascii="宋体" w:hAnsi="宋体" w:cs="宋体"/>
                <w:b/>
                <w:bCs/>
                <w:color w:val="auto"/>
                <w:kern w:val="0"/>
                <w:sz w:val="24"/>
                <w:highlight w:val="none"/>
              </w:rPr>
              <w:t>就</w:t>
            </w:r>
            <w:r>
              <w:rPr>
                <w:rFonts w:hint="eastAsia" w:ascii="宋体" w:hAnsi="宋体" w:cs="宋体"/>
                <w:b/>
                <w:bCs/>
                <w:color w:val="auto"/>
                <w:kern w:val="0"/>
                <w:sz w:val="24"/>
                <w:highlight w:val="none"/>
                <w:lang w:val="zh-CN"/>
              </w:rPr>
              <w:t>相应的投标产品未</w:t>
            </w:r>
            <w:r>
              <w:rPr>
                <w:rFonts w:hint="eastAsia" w:ascii="宋体" w:hAnsi="宋体" w:cs="宋体"/>
                <w:b/>
                <w:bCs/>
                <w:color w:val="auto"/>
                <w:kern w:val="0"/>
                <w:sz w:val="24"/>
                <w:highlight w:val="none"/>
              </w:rPr>
              <w:t>提供</w:t>
            </w:r>
            <w:r>
              <w:rPr>
                <w:rFonts w:hint="eastAsia" w:ascii="宋体" w:hAnsi="宋体" w:cs="宋体"/>
                <w:b/>
                <w:bCs/>
                <w:color w:val="auto"/>
                <w:kern w:val="0"/>
                <w:sz w:val="24"/>
                <w:highlight w:val="none"/>
                <w:lang w:val="zh-CN"/>
              </w:rPr>
              <w:t>国家确定的认证机构出具的、处于有效期之内的节能产品认证证书的，投标无效</w:t>
            </w:r>
            <w:r>
              <w:rPr>
                <w:rFonts w:hint="eastAsia" w:ascii="宋体" w:hAnsi="宋体" w:cs="宋体"/>
                <w:color w:val="auto"/>
                <w:kern w:val="0"/>
                <w:sz w:val="24"/>
                <w:highlight w:val="none"/>
                <w:lang w:val="zh-CN"/>
              </w:rPr>
              <w:t>。</w:t>
            </w:r>
          </w:p>
          <w:p>
            <w:pPr>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☐依据国家确定的认证机构出具的、处于有效期之内的环境标志产品认证证书，对获得证书的产品名称XXX实施政府优先采购，</w:t>
            </w:r>
            <w:r>
              <w:rPr>
                <w:rFonts w:hint="eastAsia" w:ascii="宋体" w:hAnsi="宋体" w:cs="宋体"/>
                <w:color w:val="auto"/>
                <w:kern w:val="0"/>
                <w:sz w:val="24"/>
                <w:highlight w:val="none"/>
              </w:rPr>
              <w:t>详</w:t>
            </w:r>
            <w:r>
              <w:rPr>
                <w:rFonts w:hint="eastAsia" w:ascii="宋体" w:hAnsi="宋体" w:cs="宋体"/>
                <w:color w:val="auto"/>
                <w:kern w:val="0"/>
                <w:sz w:val="24"/>
                <w:highlight w:val="none"/>
                <w:lang w:val="zh-CN"/>
              </w:rPr>
              <w:t>见</w:t>
            </w:r>
            <w:r>
              <w:rPr>
                <w:rFonts w:hint="eastAsia" w:ascii="宋体" w:hAnsi="宋体" w:cs="宋体"/>
                <w:color w:val="auto"/>
                <w:kern w:val="0"/>
                <w:sz w:val="24"/>
                <w:highlight w:val="none"/>
                <w:u w:val="single"/>
                <w:lang w:val="zh-CN"/>
              </w:rPr>
              <w:t>评分标准</w:t>
            </w:r>
            <w:r>
              <w:rPr>
                <w:rFonts w:hint="eastAsia" w:ascii="宋体" w:hAnsi="宋体" w:cs="宋体"/>
                <w:color w:val="auto"/>
                <w:kern w:val="0"/>
                <w:sz w:val="24"/>
                <w:highlight w:val="none"/>
                <w:lang w:val="zh-CN"/>
              </w:rPr>
              <w:t>。</w:t>
            </w:r>
          </w:p>
          <w:p>
            <w:pPr>
              <w:rPr>
                <w:color w:val="auto"/>
                <w:highlight w:val="none"/>
              </w:rPr>
            </w:pPr>
            <w:r>
              <w:rPr>
                <w:rFonts w:hint="eastAsia" w:ascii="MS Gothic" w:hAnsi="MS Gothic" w:eastAsia="MS Gothic" w:cs="宋体"/>
                <w:color w:val="auto"/>
                <w:kern w:val="0"/>
                <w:sz w:val="24"/>
                <w:highlight w:val="none"/>
              </w:rPr>
              <w:t>☐</w:t>
            </w:r>
            <w:r>
              <w:rPr>
                <w:rFonts w:hint="eastAsia" w:ascii="宋体" w:hAnsi="宋体" w:cs="宋体"/>
                <w:color w:val="auto"/>
                <w:kern w:val="0"/>
                <w:sz w:val="24"/>
                <w:highlight w:val="none"/>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left"/>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有关本项目实施所需的所有费用（含税费）均计入报价。</w:t>
            </w:r>
            <w:r>
              <w:rPr>
                <w:rFonts w:hint="eastAsia" w:ascii="宋体" w:hAnsi="宋体" w:cs="宋体"/>
                <w:b/>
                <w:bCs/>
                <w:color w:val="auto"/>
                <w:kern w:val="0"/>
                <w:sz w:val="24"/>
                <w:highlight w:val="none"/>
                <w:lang w:val="zh-CN"/>
              </w:rPr>
              <w:t>投标文件</w:t>
            </w:r>
            <w:r>
              <w:rPr>
                <w:rFonts w:hint="eastAsia" w:ascii="宋体" w:hAnsi="宋体" w:cs="宋体"/>
                <w:b/>
                <w:bCs/>
                <w:color w:val="auto"/>
                <w:sz w:val="24"/>
                <w:highlight w:val="none"/>
              </w:rPr>
              <w:t>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color w:val="auto"/>
                <w:kern w:val="0"/>
                <w:sz w:val="24"/>
                <w:highlight w:val="none"/>
                <w:lang w:val="zh-CN"/>
              </w:rPr>
              <w:t>投标文件中价格全部采用人民币报价。招标文件未列明，而投标人认为必需的费用也需列入报价。</w:t>
            </w:r>
            <w:r>
              <w:rPr>
                <w:rFonts w:hint="eastAsia" w:ascii="宋体" w:hAnsi="宋体" w:cs="宋体"/>
                <w:b/>
                <w:color w:val="auto"/>
                <w:kern w:val="0"/>
                <w:sz w:val="24"/>
                <w:highlight w:val="none"/>
                <w:lang w:val="zh-CN"/>
              </w:rPr>
              <w:t>提醒：验收时检测费用由采购人承担，不包含在投标总价中。</w:t>
            </w:r>
          </w:p>
          <w:p>
            <w:pPr>
              <w:snapToGrid w:val="0"/>
              <w:spacing w:line="360" w:lineRule="auto"/>
              <w:jc w:val="left"/>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投标报价出现下列情形的，投标无效：</w:t>
            </w:r>
          </w:p>
          <w:p>
            <w:pPr>
              <w:snapToGrid w:val="0"/>
              <w:spacing w:line="360" w:lineRule="auto"/>
              <w:ind w:firstLine="241" w:firstLineChars="100"/>
              <w:jc w:val="left"/>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投标文件出现不是唯一的、有选择性投标报价的；</w:t>
            </w:r>
          </w:p>
          <w:p>
            <w:pPr>
              <w:snapToGrid w:val="0"/>
              <w:spacing w:line="360" w:lineRule="auto"/>
              <w:ind w:firstLine="241" w:firstLineChars="100"/>
              <w:jc w:val="left"/>
              <w:rPr>
                <w:rFonts w:ascii="宋体" w:hAnsi="宋体" w:cs="宋体"/>
                <w:color w:val="auto"/>
                <w:kern w:val="0"/>
                <w:sz w:val="24"/>
                <w:highlight w:val="none"/>
                <w:lang w:val="zh-CN"/>
              </w:rPr>
            </w:pPr>
            <w:r>
              <w:rPr>
                <w:rFonts w:hint="eastAsia" w:ascii="宋体" w:hAnsi="宋体" w:cs="宋体"/>
                <w:b/>
                <w:color w:val="auto"/>
                <w:kern w:val="0"/>
                <w:sz w:val="24"/>
                <w:highlight w:val="none"/>
                <w:lang w:val="zh-CN"/>
              </w:rPr>
              <w:t>投标报价超过招标文件中规定的预算金额或者最高限价的;</w:t>
            </w:r>
          </w:p>
          <w:p>
            <w:pPr>
              <w:spacing w:line="360" w:lineRule="auto"/>
              <w:ind w:firstLine="241" w:firstLineChars="100"/>
              <w:rPr>
                <w:rFonts w:ascii="宋体" w:hAnsi="宋体" w:cs="宋体"/>
                <w:b/>
                <w:color w:val="auto"/>
                <w:sz w:val="24"/>
                <w:highlight w:val="none"/>
              </w:rPr>
            </w:pPr>
            <w:r>
              <w:rPr>
                <w:rFonts w:hint="eastAsia" w:ascii="宋体" w:hAnsi="宋体" w:cs="宋体"/>
                <w:b/>
                <w:color w:val="auto"/>
                <w:kern w:val="0"/>
                <w:sz w:val="24"/>
                <w:highlight w:val="none"/>
              </w:rPr>
              <w:t>报价明显低于其他通过符合性审查投标人的报价，有可能影响产品质量或者不能诚信履约的，未能按要求提供书面说明或者提交相关证明材料证明其报价合理性的</w:t>
            </w:r>
            <w:r>
              <w:rPr>
                <w:rFonts w:hint="eastAsia" w:ascii="宋体" w:hAnsi="宋体" w:cs="宋体"/>
                <w:b/>
                <w:color w:val="auto"/>
                <w:sz w:val="24"/>
                <w:szCs w:val="21"/>
                <w:highlight w:val="none"/>
              </w:rPr>
              <w:t>;</w:t>
            </w:r>
          </w:p>
          <w:p>
            <w:pPr>
              <w:spacing w:line="360" w:lineRule="auto"/>
              <w:ind w:firstLine="241" w:firstLineChars="100"/>
              <w:rPr>
                <w:rFonts w:ascii="宋体" w:hAnsi="宋体" w:cs="宋体"/>
                <w:color w:val="auto"/>
                <w:sz w:val="24"/>
                <w:highlight w:val="none"/>
              </w:rPr>
            </w:pPr>
            <w:r>
              <w:rPr>
                <w:rFonts w:hint="eastAsia" w:ascii="宋体" w:hAnsi="宋体" w:cs="宋体"/>
                <w:b/>
                <w:color w:val="auto"/>
                <w:kern w:val="0"/>
                <w:sz w:val="24"/>
                <w:highlight w:val="none"/>
              </w:rPr>
              <w:t>投标人对根据修正原则修正后的报价不确认的</w:t>
            </w:r>
            <w:r>
              <w:rPr>
                <w:rFonts w:hint="eastAsia" w:ascii="宋体" w:hAnsi="宋体" w:cs="宋体"/>
                <w:b/>
                <w:color w:val="auto"/>
                <w:sz w:val="24"/>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2385" w:hRule="atLeast"/>
          <w:tblHeader/>
        </w:trPr>
        <w:tc>
          <w:tcPr>
            <w:tcW w:w="629" w:type="dxa"/>
            <w:tcBorders>
              <w:top w:val="single" w:color="auto" w:sz="4" w:space="0"/>
              <w:left w:val="single" w:color="000000" w:sz="8" w:space="0"/>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tcBorders>
              <w:top w:val="single" w:color="000000" w:sz="8" w:space="0"/>
              <w:left w:val="single" w:color="000000" w:sz="2"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中小企业信用融资</w:t>
            </w:r>
          </w:p>
        </w:tc>
        <w:tc>
          <w:tcPr>
            <w:tcW w:w="6095" w:type="dxa"/>
            <w:tcBorders>
              <w:top w:val="single" w:color="000000" w:sz="8" w:space="0"/>
              <w:left w:val="single" w:color="000000" w:sz="2" w:space="0"/>
              <w:right w:val="single" w:color="000000" w:sz="8" w:space="0"/>
            </w:tcBorders>
            <w:vAlign w:val="center"/>
          </w:tcPr>
          <w:p>
            <w:pPr>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highlight w:val="none"/>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1734" w:hRule="atLeast"/>
          <w:tblHeader/>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12</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 xml:space="preserve">备份投标文件送达地点和签收人员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pPr>
              <w:pStyle w:val="34"/>
              <w:spacing w:line="360" w:lineRule="auto"/>
              <w:rPr>
                <w:rFonts w:hAnsi="宋体" w:cs="宋体"/>
                <w:color w:val="auto"/>
                <w:kern w:val="28"/>
                <w:sz w:val="24"/>
                <w:highlight w:val="none"/>
              </w:rPr>
            </w:pPr>
            <w:r>
              <w:rPr>
                <w:rFonts w:hint="eastAsia" w:hAnsi="宋体" w:cs="宋体"/>
                <w:color w:val="auto"/>
                <w:kern w:val="28"/>
                <w:sz w:val="24"/>
                <w:szCs w:val="24"/>
                <w:highlight w:val="none"/>
              </w:rPr>
              <w:t>备份投标文件送达地点：</w:t>
            </w:r>
            <w:r>
              <w:rPr>
                <w:rFonts w:hint="eastAsia" w:hAnsi="宋体" w:cs="宋体"/>
                <w:color w:val="auto"/>
                <w:sz w:val="24"/>
                <w:highlight w:val="none"/>
                <w:u w:val="single"/>
                <w:lang w:eastAsia="zh-CN"/>
              </w:rPr>
              <w:t>杭州市公共资源交易中心临平分中心</w:t>
            </w:r>
            <w:r>
              <w:rPr>
                <w:rFonts w:hint="eastAsia" w:hAnsi="宋体" w:cs="宋体"/>
                <w:color w:val="auto"/>
                <w:sz w:val="24"/>
                <w:highlight w:val="none"/>
                <w:u w:val="single"/>
                <w:lang w:val="en-US" w:eastAsia="zh-CN"/>
              </w:rPr>
              <w:t>1号开标室</w:t>
            </w:r>
            <w:r>
              <w:rPr>
                <w:rFonts w:hint="eastAsia" w:hAnsi="宋体" w:cs="宋体"/>
                <w:color w:val="auto"/>
                <w:kern w:val="28"/>
                <w:sz w:val="24"/>
                <w:szCs w:val="24"/>
                <w:highlight w:val="none"/>
              </w:rPr>
              <w:t>；备份投标文件签收人员联系电话：</w:t>
            </w:r>
            <w:r>
              <w:rPr>
                <w:rFonts w:hint="eastAsia" w:hAnsi="宋体" w:cs="宋体"/>
                <w:color w:val="auto"/>
                <w:sz w:val="24"/>
                <w:highlight w:val="none"/>
                <w:u w:val="single"/>
                <w:lang w:val="en-US" w:eastAsia="zh-CN"/>
              </w:rPr>
              <w:t>89530678</w:t>
            </w:r>
            <w:r>
              <w:rPr>
                <w:rFonts w:hint="eastAsia" w:hAnsi="宋体" w:cs="宋体"/>
                <w:color w:val="auto"/>
                <w:sz w:val="24"/>
                <w:szCs w:val="24"/>
                <w:highlight w:val="none"/>
              </w:rPr>
              <w:t>。</w:t>
            </w:r>
            <w:r>
              <w:rPr>
                <w:rFonts w:hint="eastAsia" w:hAnsi="宋体" w:cs="宋体"/>
                <w:b/>
                <w:color w:val="auto"/>
                <w:sz w:val="24"/>
                <w:szCs w:val="24"/>
                <w:highlight w:val="none"/>
              </w:rPr>
              <w:t>采购人、采购机构不强制或变相强制投标人提交备份投标文件。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935" w:hRule="atLeast"/>
          <w:tblHeader/>
        </w:trPr>
        <w:tc>
          <w:tcPr>
            <w:tcW w:w="629" w:type="dxa"/>
            <w:vMerge w:val="restart"/>
            <w:tcBorders>
              <w:top w:val="single" w:color="auto" w:sz="4" w:space="0"/>
              <w:left w:val="single" w:color="000000" w:sz="8" w:space="0"/>
              <w:right w:val="single" w:color="000000" w:sz="2" w:space="0"/>
            </w:tcBorders>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13</w:t>
            </w:r>
          </w:p>
        </w:tc>
        <w:tc>
          <w:tcPr>
            <w:tcW w:w="1843" w:type="dxa"/>
            <w:vMerge w:val="restart"/>
            <w:tcBorders>
              <w:top w:val="single" w:color="000000" w:sz="8" w:space="0"/>
              <w:left w:val="single" w:color="000000" w:sz="2" w:space="0"/>
              <w:right w:val="single" w:color="000000" w:sz="8" w:space="0"/>
            </w:tcBorders>
            <w:vAlign w:val="center"/>
          </w:tcPr>
          <w:p>
            <w:pPr>
              <w:snapToGrid w:val="0"/>
              <w:spacing w:line="360" w:lineRule="auto"/>
              <w:jc w:val="center"/>
              <w:rPr>
                <w:rFonts w:ascii="宋体" w:hAnsi="宋体" w:cs="宋体"/>
                <w:b/>
                <w:color w:val="auto"/>
                <w:sz w:val="24"/>
                <w:highlight w:val="none"/>
              </w:rPr>
            </w:pPr>
            <w:r>
              <w:rPr>
                <w:rFonts w:hint="eastAsia" w:ascii="宋体" w:hAnsi="宋体" w:eastAsia="宋体" w:cs="仿宋_GB2312"/>
                <w:b/>
                <w:color w:val="auto"/>
                <w:sz w:val="24"/>
                <w:highlight w:val="none"/>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联合体投标的，联合体各方分别提供与联合体协议中规定的分工内容相应的业绩证明材料，业绩数量以提供材料较少的一方为准。招标文件第四部分评分标准有其他规定的，从其规定。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935" w:hRule="atLeast"/>
          <w:tblHeader/>
        </w:trPr>
        <w:tc>
          <w:tcPr>
            <w:tcW w:w="629" w:type="dxa"/>
            <w:vMerge w:val="continue"/>
            <w:tcBorders>
              <w:left w:val="single" w:color="000000" w:sz="8" w:space="0"/>
              <w:right w:val="single" w:color="000000" w:sz="2" w:space="0"/>
            </w:tcBorders>
            <w:vAlign w:val="center"/>
          </w:tcPr>
          <w:p>
            <w:pPr>
              <w:snapToGrid w:val="0"/>
              <w:spacing w:line="360" w:lineRule="auto"/>
              <w:jc w:val="center"/>
              <w:rPr>
                <w:rFonts w:ascii="宋体" w:hAnsi="宋体" w:cs="宋体"/>
                <w:color w:val="auto"/>
                <w:sz w:val="24"/>
                <w:highlight w:val="none"/>
              </w:rPr>
            </w:pPr>
          </w:p>
        </w:tc>
        <w:tc>
          <w:tcPr>
            <w:tcW w:w="1843" w:type="dxa"/>
            <w:vMerge w:val="continue"/>
            <w:tcBorders>
              <w:left w:val="single" w:color="000000" w:sz="2" w:space="0"/>
              <w:right w:val="single" w:color="000000" w:sz="8" w:space="0"/>
            </w:tcBorders>
            <w:vAlign w:val="center"/>
          </w:tcPr>
          <w:p>
            <w:pPr>
              <w:snapToGrid w:val="0"/>
              <w:spacing w:line="360" w:lineRule="auto"/>
              <w:jc w:val="center"/>
              <w:rPr>
                <w:rFonts w:ascii="宋体" w:hAnsi="宋体" w:cs="宋体"/>
                <w:b/>
                <w:color w:val="auto"/>
                <w:sz w:val="24"/>
                <w:highlight w:val="none"/>
              </w:rPr>
            </w:pP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napToGrid w:val="0"/>
                <w:color w:val="auto"/>
                <w:kern w:val="28"/>
                <w:sz w:val="24"/>
                <w:highlight w:val="none"/>
              </w:rPr>
            </w:pPr>
            <w:r>
              <w:rPr>
                <w:rFonts w:hint="eastAsia" w:ascii="MS Mincho" w:hAnsi="MS Mincho" w:eastAsia="MS Mincho" w:cs="MS Mincho"/>
                <w:color w:val="auto"/>
                <w:kern w:val="0"/>
                <w:sz w:val="24"/>
                <w:highlight w:val="none"/>
              </w:rPr>
              <w:t>☐</w:t>
            </w:r>
            <w:r>
              <w:rPr>
                <w:rFonts w:hint="eastAsia" w:ascii="宋体" w:hAnsi="宋体" w:cs="宋体"/>
                <w:snapToGrid w:val="0"/>
                <w:color w:val="auto"/>
                <w:kern w:val="28"/>
                <w:sz w:val="24"/>
                <w:highlight w:val="none"/>
              </w:rPr>
              <w:t>联合体投标的，联合体各方均需按招标文件第四部分评标标准要求提供资信证明文件，否则视为不符合相关要求。招标文件第四部分评分标准有其他规定的，从其规定。</w:t>
            </w:r>
          </w:p>
          <w:p>
            <w:pPr>
              <w:spacing w:line="360" w:lineRule="auto"/>
              <w:rPr>
                <w:rFonts w:ascii="宋体" w:hAnsi="宋体" w:cs="宋体"/>
                <w:snapToGrid w:val="0"/>
                <w:color w:val="auto"/>
                <w:kern w:val="28"/>
                <w:sz w:val="24"/>
                <w:highlight w:val="none"/>
              </w:rPr>
            </w:pPr>
            <w:r>
              <w:rPr>
                <w:rFonts w:hint="eastAsia" w:ascii="宋体" w:hAnsi="宋体" w:eastAsia="宋体" w:cs="Arial"/>
                <w:color w:val="auto"/>
                <w:kern w:val="0"/>
                <w:sz w:val="24"/>
                <w:highlight w:val="none"/>
              </w:rPr>
              <w:sym w:font="Wingdings" w:char="F0FE"/>
            </w:r>
            <w:r>
              <w:rPr>
                <w:rFonts w:hint="eastAsia" w:ascii="宋体" w:hAnsi="宋体" w:cs="宋体"/>
                <w:snapToGrid w:val="0"/>
                <w:color w:val="auto"/>
                <w:kern w:val="28"/>
                <w:sz w:val="24"/>
                <w:highlight w:val="none"/>
              </w:rPr>
              <w:t>联合体投标的，联合体中有一方或者联合体成员根据分工按招标文件第四部分评标标准要求提供资信证明文件的，视为符合了相关要求。招标文件第四部分评分标准有其他规定的，从其规定。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Ex>
        <w:trPr>
          <w:trHeight w:val="815" w:hRule="atLeast"/>
          <w:tblHeader/>
        </w:trPr>
        <w:tc>
          <w:tcPr>
            <w:tcW w:w="629" w:type="dxa"/>
            <w:vMerge w:val="continue"/>
            <w:tcBorders>
              <w:left w:val="single" w:color="000000" w:sz="8" w:space="0"/>
              <w:right w:val="single" w:color="000000" w:sz="2" w:space="0"/>
            </w:tcBorders>
            <w:vAlign w:val="center"/>
          </w:tcPr>
          <w:p>
            <w:pPr>
              <w:snapToGrid w:val="0"/>
              <w:spacing w:line="360" w:lineRule="auto"/>
              <w:jc w:val="center"/>
              <w:rPr>
                <w:rFonts w:ascii="宋体" w:hAnsi="宋体" w:cs="宋体"/>
                <w:color w:val="auto"/>
                <w:sz w:val="24"/>
                <w:highlight w:val="none"/>
              </w:rPr>
            </w:pPr>
          </w:p>
        </w:tc>
        <w:tc>
          <w:tcPr>
            <w:tcW w:w="1843" w:type="dxa"/>
            <w:vMerge w:val="continue"/>
            <w:tcBorders>
              <w:left w:val="single" w:color="000000" w:sz="2" w:space="0"/>
              <w:right w:val="single" w:color="000000" w:sz="8" w:space="0"/>
            </w:tcBorders>
            <w:vAlign w:val="center"/>
          </w:tcPr>
          <w:p>
            <w:pPr>
              <w:snapToGrid w:val="0"/>
              <w:spacing w:line="360" w:lineRule="auto"/>
              <w:jc w:val="center"/>
              <w:rPr>
                <w:rFonts w:ascii="宋体" w:hAnsi="宋体" w:cs="宋体"/>
                <w:b/>
                <w:color w:val="auto"/>
                <w:sz w:val="24"/>
                <w:highlight w:val="none"/>
              </w:rPr>
            </w:pP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Arial"/>
                <w:color w:val="auto"/>
                <w:kern w:val="0"/>
                <w:sz w:val="24"/>
                <w:highlight w:val="none"/>
              </w:rPr>
            </w:pPr>
            <w:r>
              <w:rPr>
                <w:rFonts w:hint="eastAsia" w:ascii="宋体" w:hAnsi="宋体" w:eastAsia="宋体" w:cs="Arial"/>
                <w:color w:val="auto"/>
                <w:kern w:val="0"/>
                <w:sz w:val="24"/>
                <w:highlight w:val="none"/>
              </w:rPr>
              <w:t>评审因素对应的要求视为采购需求的一部分。</w:t>
            </w:r>
          </w:p>
        </w:tc>
      </w:tr>
    </w:tbl>
    <w:p>
      <w:pPr>
        <w:snapToGrid w:val="0"/>
        <w:spacing w:line="360" w:lineRule="auto"/>
        <w:jc w:val="center"/>
        <w:rPr>
          <w:rFonts w:ascii="宋体" w:hAnsi="宋体" w:cs="宋体"/>
          <w:b/>
          <w:color w:val="auto"/>
          <w:sz w:val="32"/>
          <w:szCs w:val="20"/>
          <w:highlight w:val="none"/>
        </w:rPr>
      </w:pPr>
    </w:p>
    <w:bookmarkEnd w:id="10"/>
    <w:p>
      <w:pPr>
        <w:adjustRightInd/>
        <w:spacing w:line="360" w:lineRule="auto"/>
        <w:ind w:firstLine="3845" w:firstLineChars="1197"/>
        <w:outlineLvl w:val="0"/>
        <w:rPr>
          <w:rFonts w:ascii="宋体" w:hAnsi="宋体" w:cs="宋体"/>
          <w:b/>
          <w:color w:val="auto"/>
          <w:sz w:val="32"/>
          <w:szCs w:val="20"/>
          <w:highlight w:val="none"/>
        </w:rPr>
      </w:pPr>
      <w:bookmarkStart w:id="12" w:name="_Toc164416483"/>
      <w:bookmarkStart w:id="13" w:name="第三部分"/>
      <w:r>
        <w:rPr>
          <w:rFonts w:hint="eastAsia" w:ascii="宋体" w:hAnsi="宋体" w:cs="宋体"/>
          <w:b/>
          <w:color w:val="auto"/>
          <w:sz w:val="32"/>
          <w:szCs w:val="20"/>
          <w:highlight w:val="none"/>
        </w:rPr>
        <w:t>一、总则</w:t>
      </w:r>
    </w:p>
    <w:p>
      <w:pPr>
        <w:snapToGrid w:val="0"/>
        <w:spacing w:line="360" w:lineRule="auto"/>
        <w:ind w:firstLine="361" w:firstLineChars="150"/>
        <w:jc w:val="left"/>
        <w:outlineLvl w:val="1"/>
        <w:rPr>
          <w:rFonts w:ascii="宋体" w:hAnsi="宋体" w:cs="宋体"/>
          <w:b/>
          <w:color w:val="auto"/>
          <w:sz w:val="24"/>
          <w:highlight w:val="none"/>
        </w:rPr>
      </w:pPr>
      <w:r>
        <w:rPr>
          <w:rFonts w:hint="eastAsia" w:ascii="宋体" w:hAnsi="宋体" w:cs="宋体"/>
          <w:b/>
          <w:color w:val="auto"/>
          <w:sz w:val="24"/>
          <w:highlight w:val="none"/>
        </w:rPr>
        <w:t>1. 适用范围</w:t>
      </w:r>
    </w:p>
    <w:p>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本招标文件适用于该项目的招标、投标、开标、资格审查及信用信息查询、评标、定标、合同、验收等行为（法律、法规另有规定的，从其规定）。</w:t>
      </w:r>
    </w:p>
    <w:p>
      <w:pPr>
        <w:adjustRightInd/>
        <w:spacing w:line="360" w:lineRule="auto"/>
        <w:outlineLvl w:val="0"/>
        <w:rPr>
          <w:rFonts w:ascii="宋体" w:hAnsi="宋体" w:cs="宋体"/>
          <w:b/>
          <w:color w:val="auto"/>
          <w:sz w:val="24"/>
          <w:highlight w:val="none"/>
        </w:rPr>
      </w:pPr>
      <w:r>
        <w:rPr>
          <w:rFonts w:hint="eastAsia" w:ascii="宋体" w:hAnsi="宋体" w:cs="宋体"/>
          <w:b/>
          <w:color w:val="auto"/>
          <w:sz w:val="24"/>
          <w:highlight w:val="none"/>
        </w:rPr>
        <w:t xml:space="preserve">   2.定义</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 “采购人”系指招标公告中载明的本项目的采购人。</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“采购机构”系指招标公告中载明的本项目的采购机构。</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 “投标人”系指是指响应招标、参加投标竞争的法人、其他组织或者自然人。</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 “负责人”系指法人企业的法定负责人，或其他组织为法律、行政法规规定代表单位行使职权的主要负责人，或自然人本人。</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2.6“电子交易平台”是指本项目政府采购活动所依托的政府采购云平台（https://www.zcygov.cn/）。</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 “▲” 系指实质性要求条款，“</w:t>
      </w:r>
      <w:r>
        <w:rPr>
          <w:rFonts w:ascii="Wingdings" w:hAnsi="Wingdings" w:cs="宋体"/>
          <w:color w:val="auto"/>
          <w:kern w:val="0"/>
          <w:sz w:val="24"/>
          <w:highlight w:val="none"/>
        </w:rPr>
        <w:t></w:t>
      </w:r>
      <w:r>
        <w:rPr>
          <w:rFonts w:hint="eastAsia" w:ascii="宋体" w:hAnsi="宋体" w:cs="宋体"/>
          <w:color w:val="auto"/>
          <w:sz w:val="24"/>
          <w:highlight w:val="none"/>
        </w:rPr>
        <w:t>” 系指适用本项目的要求，“</w:t>
      </w:r>
      <w:r>
        <w:rPr>
          <w:rFonts w:hint="eastAsia" w:ascii="宋体" w:hAnsi="宋体" w:cs="宋体"/>
          <w:color w:val="auto"/>
          <w:kern w:val="0"/>
          <w:sz w:val="24"/>
          <w:highlight w:val="none"/>
        </w:rPr>
        <w:t>☐</w:t>
      </w:r>
      <w:r>
        <w:rPr>
          <w:rFonts w:hint="eastAsia" w:ascii="宋体" w:hAnsi="宋体" w:cs="宋体"/>
          <w:color w:val="auto"/>
          <w:sz w:val="24"/>
          <w:highlight w:val="none"/>
        </w:rPr>
        <w:t>” 系指不适用本项目的要求。</w:t>
      </w:r>
    </w:p>
    <w:p>
      <w:pPr>
        <w:spacing w:line="360" w:lineRule="auto"/>
        <w:ind w:firstLine="241" w:firstLineChars="100"/>
        <w:rPr>
          <w:rFonts w:ascii="宋体" w:hAnsi="宋体" w:cs="宋体"/>
          <w:b/>
          <w:color w:val="auto"/>
          <w:sz w:val="24"/>
          <w:highlight w:val="none"/>
        </w:rPr>
      </w:pPr>
      <w:r>
        <w:rPr>
          <w:rFonts w:hint="eastAsia" w:ascii="宋体" w:hAnsi="宋体" w:cs="宋体"/>
          <w:b/>
          <w:color w:val="auto"/>
          <w:sz w:val="24"/>
          <w:highlight w:val="none"/>
        </w:rPr>
        <w:t>3.</w:t>
      </w:r>
      <w:r>
        <w:rPr>
          <w:rFonts w:hint="eastAsia" w:ascii="宋体" w:hAnsi="宋体" w:cs="宋体"/>
          <w:color w:val="auto"/>
          <w:highlight w:val="none"/>
        </w:rPr>
        <w:t xml:space="preserve"> </w:t>
      </w:r>
      <w:r>
        <w:rPr>
          <w:rFonts w:hint="eastAsia" w:ascii="宋体" w:hAnsi="宋体" w:cs="宋体"/>
          <w:b/>
          <w:color w:val="auto"/>
          <w:sz w:val="24"/>
          <w:highlight w:val="none"/>
        </w:rPr>
        <w:t>采购项目需要落实的政府采购政策</w:t>
      </w:r>
    </w:p>
    <w:p>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r>
        <w:rPr>
          <w:rFonts w:hint="eastAsia" w:ascii="宋体" w:hAnsi="宋体" w:cs="宋体"/>
          <w:color w:val="auto"/>
          <w:kern w:val="0"/>
          <w:sz w:val="24"/>
          <w:highlight w:val="none"/>
        </w:rPr>
        <w:t>优先采购向我国企业转让技术、与我国企业签订消化吸收再创新方案的供应商的进口产品</w:t>
      </w:r>
      <w:r>
        <w:rPr>
          <w:rFonts w:hint="eastAsia" w:ascii="宋体" w:hAnsi="宋体" w:cs="宋体"/>
          <w:color w:val="auto"/>
          <w:sz w:val="24"/>
          <w:highlight w:val="none"/>
        </w:rPr>
        <w:t>。</w:t>
      </w:r>
    </w:p>
    <w:p>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3.2 支持绿色发展</w:t>
      </w:r>
    </w:p>
    <w:p>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r>
        <w:rPr>
          <w:rFonts w:hint="eastAsia" w:ascii="宋体" w:hAnsi="宋体" w:cs="宋体"/>
          <w:b/>
          <w:color w:val="auto"/>
          <w:sz w:val="24"/>
          <w:highlight w:val="none"/>
        </w:rPr>
        <w:t>▲采购人拟采购的产品属于政府强制采购的节能产品品目清单范围的，投标人相应的投标产品未获得国家确定的认证机构出具的、处于有效期之内的节能产品认证证书的，投标无效。</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 纳入政府采购管理的修缮、装修类项目采购建材的，鼓励采购单位将绿色建材性能、指标等作为实质性条件纳入采购文件和合同，具体性能指标要求参考相关绿色建材政府采购需求标准。</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14" w:name="_Hlk107568539"/>
      <w:r>
        <w:rPr>
          <w:rFonts w:hint="eastAsia" w:ascii="宋体" w:hAnsi="宋体" w:cs="宋体"/>
          <w:color w:val="auto"/>
          <w:sz w:val="24"/>
          <w:highlight w:val="none"/>
        </w:rPr>
        <w:t>优先采购绿色包装产品、绿色物流配送服务以及循环利用产品</w:t>
      </w:r>
      <w:bookmarkEnd w:id="14"/>
      <w:r>
        <w:rPr>
          <w:rFonts w:hint="eastAsia" w:ascii="宋体" w:hAnsi="宋体" w:cs="宋体"/>
          <w:color w:val="auto"/>
          <w:sz w:val="24"/>
          <w:highlight w:val="none"/>
        </w:rPr>
        <w:t>。</w:t>
      </w:r>
    </w:p>
    <w:p>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3.3支持中小企业发展</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3.3.1中小企业，是指在中华人民共和国境内依法设立，依据国务院批准的中小企业划分标准确定的中型企业、小型企业和微型企业，但与大企业的负责人为同一人，或者与大企业存在直接控股、管理关系的除外。</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pPr>
        <w:widowControl/>
        <w:spacing w:line="360" w:lineRule="auto"/>
        <w:ind w:firstLine="480" w:firstLineChars="200"/>
        <w:jc w:val="left"/>
        <w:rPr>
          <w:rFonts w:ascii="宋体" w:hAnsi="宋体" w:cs="宋体"/>
          <w:color w:val="auto"/>
          <w:kern w:val="0"/>
          <w:sz w:val="24"/>
          <w:highlight w:val="none"/>
        </w:rPr>
      </w:pPr>
      <w:r>
        <w:rPr>
          <w:rFonts w:ascii="宋体" w:hAnsi="宋体" w:cs="宋体"/>
          <w:bCs/>
          <w:color w:val="auto"/>
          <w:sz w:val="24"/>
          <w:highlight w:val="none"/>
        </w:rPr>
        <w:t>3.3.2</w:t>
      </w:r>
      <w:r>
        <w:rPr>
          <w:rFonts w:hint="eastAsia" w:ascii="宋体" w:hAnsi="宋体" w:cs="宋体"/>
          <w:color w:val="auto"/>
          <w:kern w:val="0"/>
          <w:sz w:val="24"/>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3.3.3对于未预留份额专门面向中小企业的政府采购货物项目，以及预留份额政府采购货物项目中的非预留部分标项，对小型和微型企业的投标报价给予10%-</w:t>
      </w:r>
      <w:r>
        <w:rPr>
          <w:rFonts w:ascii="宋体" w:hAnsi="宋体" w:cs="宋体"/>
          <w:color w:val="auto"/>
          <w:sz w:val="24"/>
          <w:highlight w:val="none"/>
        </w:rPr>
        <w:t>20</w:t>
      </w:r>
      <w:r>
        <w:rPr>
          <w:rFonts w:hint="eastAsia" w:ascii="宋体" w:hAnsi="宋体" w:cs="宋体"/>
          <w:color w:val="auto"/>
          <w:sz w:val="24"/>
          <w:highlight w:val="none"/>
        </w:rPr>
        <w:t>%的扣除（</w:t>
      </w:r>
      <w:r>
        <w:rPr>
          <w:rFonts w:hint="eastAsia" w:ascii="宋体" w:hAnsi="宋体" w:cs="宋体"/>
          <w:snapToGrid w:val="0"/>
          <w:color w:val="auto"/>
          <w:kern w:val="28"/>
          <w:sz w:val="24"/>
          <w:highlight w:val="none"/>
        </w:rPr>
        <w:t>招标文件第四部分</w:t>
      </w:r>
      <w:r>
        <w:rPr>
          <w:rFonts w:hint="eastAsia" w:ascii="宋体" w:hAnsi="宋体" w:cs="宋体"/>
          <w:color w:val="auto"/>
          <w:sz w:val="24"/>
          <w:highlight w:val="none"/>
          <w:u w:val="single"/>
        </w:rPr>
        <w:t>评标办分法明确具体的扣除比例，未明确的，</w:t>
      </w:r>
      <w:r>
        <w:rPr>
          <w:rFonts w:hint="eastAsia" w:ascii="宋体" w:hAnsi="宋体" w:cs="宋体"/>
          <w:color w:val="auto"/>
          <w:sz w:val="24"/>
          <w:highlight w:val="none"/>
        </w:rPr>
        <w:t>给予</w:t>
      </w:r>
      <w:r>
        <w:rPr>
          <w:rFonts w:ascii="宋体" w:hAnsi="宋体" w:cs="宋体"/>
          <w:color w:val="auto"/>
          <w:sz w:val="24"/>
          <w:highlight w:val="none"/>
        </w:rPr>
        <w:t>20</w:t>
      </w:r>
      <w:r>
        <w:rPr>
          <w:rFonts w:hint="eastAsia" w:ascii="宋体" w:hAnsi="宋体" w:cs="宋体"/>
          <w:color w:val="auto"/>
          <w:sz w:val="24"/>
          <w:highlight w:val="none"/>
        </w:rPr>
        <w:t>%的扣除），用扣除后的价格参与评审。接受大中型企业与小微企业组成联合体或者允许大中型企业向一家或者多家小微企业分包的政府采购货物项目，对于</w:t>
      </w:r>
      <w:bookmarkStart w:id="15" w:name="_Hlk101132181"/>
      <w:r>
        <w:rPr>
          <w:rFonts w:hint="eastAsia" w:ascii="宋体" w:hAnsi="宋体" w:cs="宋体"/>
          <w:color w:val="auto"/>
          <w:sz w:val="24"/>
          <w:highlight w:val="none"/>
        </w:rPr>
        <w:t>联合协议或者分包意向协议约定小微企业的合同份额占到合同总金额30%以上的</w:t>
      </w:r>
      <w:bookmarkEnd w:id="15"/>
      <w:r>
        <w:rPr>
          <w:rFonts w:hint="eastAsia" w:ascii="宋体" w:hAnsi="宋体" w:cs="宋体"/>
          <w:color w:val="auto"/>
          <w:sz w:val="24"/>
          <w:highlight w:val="none"/>
        </w:rPr>
        <w:t>，对联合体或者大中型企业的报价给予4%-</w:t>
      </w:r>
      <w:r>
        <w:rPr>
          <w:rFonts w:ascii="宋体" w:hAnsi="宋体" w:cs="宋体"/>
          <w:color w:val="auto"/>
          <w:sz w:val="24"/>
          <w:highlight w:val="none"/>
        </w:rPr>
        <w:t>6</w:t>
      </w:r>
      <w:r>
        <w:rPr>
          <w:rFonts w:hint="eastAsia" w:ascii="宋体" w:hAnsi="宋体" w:cs="宋体"/>
          <w:color w:val="auto"/>
          <w:sz w:val="24"/>
          <w:highlight w:val="none"/>
        </w:rPr>
        <w:t>%（</w:t>
      </w:r>
      <w:r>
        <w:rPr>
          <w:rFonts w:hint="eastAsia" w:ascii="宋体" w:hAnsi="宋体" w:cs="宋体"/>
          <w:snapToGrid w:val="0"/>
          <w:color w:val="auto"/>
          <w:kern w:val="28"/>
          <w:sz w:val="24"/>
          <w:highlight w:val="none"/>
        </w:rPr>
        <w:t>招标文件第四部分</w:t>
      </w:r>
      <w:r>
        <w:rPr>
          <w:rFonts w:hint="eastAsia" w:ascii="宋体" w:hAnsi="宋体" w:cs="宋体"/>
          <w:color w:val="auto"/>
          <w:sz w:val="24"/>
          <w:highlight w:val="none"/>
          <w:u w:val="single"/>
        </w:rPr>
        <w:t>评标办分法明确具体的扣除比例，未明确的，</w:t>
      </w:r>
      <w:r>
        <w:rPr>
          <w:rFonts w:hint="eastAsia" w:ascii="宋体" w:hAnsi="宋体" w:cs="宋体"/>
          <w:color w:val="auto"/>
          <w:sz w:val="24"/>
          <w:highlight w:val="none"/>
        </w:rPr>
        <w:t>给予6%的扣除）的扣除，用扣除后的价格参加评审。组成联合体或者接受分包的小微企业与联合体内其他企业、分包企业之间存在直接控股、管理关系的，不享受价格扣除优惠政策。</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3.3.4符合《关于促进残疾人就业政府采购政策的通知》（财库〔2017〕141号）规定的条件并提供《残疾人福利性单位声明函》（附件1）的残疾人福利性单位视同小型、微型企业；</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3.3.5符合《关于政府采购支持监狱企业发展有关问题的通知》（财库[2014]68号）规定的监狱企业并提供由省级以上监狱管理局、戒毒管理局（含新疆生产建设兵团）出具的属于监狱企业证明文件的，视同为小型、微型企业。</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3.3.7中小企业享受扶持政策获得政府采购合同的，小微企业不得将合同分包给大中型企业，中型企业不得将合同分包给大型企业。</w:t>
      </w:r>
    </w:p>
    <w:p>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3.4</w:t>
      </w:r>
      <w:r>
        <w:rPr>
          <w:rFonts w:hint="eastAsia" w:ascii="宋体" w:hAnsi="宋体" w:cs="宋体"/>
          <w:bCs/>
          <w:color w:val="auto"/>
          <w:sz w:val="24"/>
          <w:highlight w:val="none"/>
        </w:rPr>
        <w:t>支持创新发展</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3.4.1 采购人优先采购被认定为首台套产品和“制造精品”的自主创新产品。</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3.4.2首台套产品被纳入《首台套产品推广应用指导目录》之日起</w:t>
      </w:r>
      <w:r>
        <w:rPr>
          <w:rFonts w:ascii="宋体" w:hAnsi="宋体" w:cs="宋体"/>
          <w:color w:val="auto"/>
          <w:sz w:val="24"/>
          <w:highlight w:val="none"/>
        </w:rPr>
        <w:t>3</w:t>
      </w:r>
      <w:r>
        <w:rPr>
          <w:rFonts w:hint="eastAsia" w:ascii="宋体" w:hAnsi="宋体" w:cs="宋体"/>
          <w:color w:val="auto"/>
          <w:sz w:val="24"/>
          <w:highlight w:val="none"/>
        </w:rPr>
        <w:t>年内，以及产品核心技术高于国内领先水平，并具有明晰自主知识产权的“制造精品”产品，自认定之日起2年内视同已具备相应销售业绩，参加政府采购活动时业绩分值为满分。</w:t>
      </w:r>
    </w:p>
    <w:p>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3.5平等对待内外资企业和符合条件的破产重整企业</w:t>
      </w:r>
    </w:p>
    <w:p>
      <w:pPr>
        <w:spacing w:line="360" w:lineRule="auto"/>
        <w:ind w:firstLine="480" w:firstLineChars="200"/>
        <w:rPr>
          <w:b/>
          <w:color w:val="auto"/>
          <w:highlight w:val="none"/>
        </w:rPr>
      </w:pPr>
      <w:r>
        <w:rPr>
          <w:rFonts w:hint="eastAsia" w:ascii="宋体" w:hAnsi="宋体" w:cs="宋体"/>
          <w:color w:val="auto"/>
          <w:sz w:val="24"/>
          <w:highlight w:val="none"/>
        </w:rPr>
        <w:t>平等对待内外资企业和符合条件的破产重整企业，切实保障企业公平竞争，平等维护企业的合法利益。</w:t>
      </w:r>
      <w:r>
        <w:rPr>
          <w:rFonts w:hint="eastAsia" w:ascii="宋体" w:hAnsi="宋体" w:cs="宋体"/>
          <w:color w:val="auto"/>
          <w:sz w:val="24"/>
          <w:highlight w:val="none"/>
        </w:rPr>
        <w:cr/>
      </w:r>
      <w:r>
        <w:rPr>
          <w:rFonts w:hint="eastAsia"/>
          <w:b/>
          <w:color w:val="auto"/>
          <w:highlight w:val="none"/>
        </w:rPr>
        <w:t>4. 询问、质疑、投诉</w:t>
      </w:r>
    </w:p>
    <w:p>
      <w:pPr>
        <w:pStyle w:val="571"/>
        <w:shd w:val="clear" w:color="auto" w:fill="FFFFFF"/>
        <w:snapToGrid w:val="0"/>
        <w:spacing w:after="240" w:afterAutospacing="0" w:line="360" w:lineRule="auto"/>
        <w:ind w:firstLine="400"/>
        <w:contextualSpacing/>
        <w:rPr>
          <w:color w:val="auto"/>
          <w:highlight w:val="none"/>
          <w:lang w:val="zh-CN"/>
        </w:rPr>
      </w:pPr>
      <w:r>
        <w:rPr>
          <w:rFonts w:hint="eastAsia"/>
          <w:color w:val="auto"/>
          <w:highlight w:val="none"/>
          <w:lang w:val="zh-CN"/>
        </w:rPr>
        <w:t>4.1在线询问、质疑、投诉</w:t>
      </w:r>
    </w:p>
    <w:p>
      <w:pPr>
        <w:pStyle w:val="571"/>
        <w:shd w:val="clear" w:color="auto" w:fill="FFFFFF"/>
        <w:snapToGrid w:val="0"/>
        <w:spacing w:after="240" w:afterAutospacing="0" w:line="360" w:lineRule="auto"/>
        <w:ind w:firstLine="400"/>
        <w:contextualSpacing/>
        <w:rPr>
          <w:color w:val="auto"/>
          <w:highlight w:val="none"/>
          <w:lang w:val="zh-CN"/>
        </w:rPr>
      </w:pPr>
      <w:r>
        <w:rPr>
          <w:rFonts w:hint="eastAsia"/>
          <w:color w:val="auto"/>
          <w:highlight w:val="none"/>
          <w:lang w:val="zh-CN"/>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pPr>
        <w:autoSpaceDE w:val="0"/>
        <w:autoSpaceDN w:val="0"/>
        <w:spacing w:line="360" w:lineRule="auto"/>
        <w:ind w:firstLine="240" w:firstLineChars="1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4.2供应商询问</w:t>
      </w:r>
    </w:p>
    <w:p>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autoSpaceDE w:val="0"/>
        <w:autoSpaceDN w:val="0"/>
        <w:spacing w:line="360" w:lineRule="auto"/>
        <w:ind w:firstLine="240" w:firstLineChars="1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4.3供应商质疑</w:t>
      </w:r>
    </w:p>
    <w:p>
      <w:pPr>
        <w:pStyle w:val="34"/>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.1提出质疑的供应商应当是参与所质疑项目采购活动的供应商。潜在供应商已依法获取其可质疑的招标文件的，可以对该文件提出质疑。</w:t>
      </w:r>
    </w:p>
    <w:p>
      <w:pPr>
        <w:pStyle w:val="34"/>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2供应商认为招标文件、采购过程和中标结果使自己的权益受到损害的，可以在知道或者应知其权益受到损害之日起七个工作日内，以书面形式向采购人或者采购机构提出质疑，否则，采购人或者采购机构不予受理：</w:t>
      </w:r>
    </w:p>
    <w:p>
      <w:pPr>
        <w:pStyle w:val="5"/>
        <w:spacing w:line="360" w:lineRule="auto"/>
        <w:ind w:firstLine="480" w:firstLineChars="200"/>
        <w:rPr>
          <w:rFonts w:hAnsi="宋体" w:cs="宋体"/>
          <w:color w:val="auto"/>
          <w:kern w:val="2"/>
          <w:sz w:val="24"/>
          <w:highlight w:val="none"/>
        </w:rPr>
      </w:pPr>
      <w:r>
        <w:rPr>
          <w:rFonts w:hint="eastAsia" w:hAnsi="宋体" w:cs="宋体"/>
          <w:color w:val="auto"/>
          <w:kern w:val="2"/>
          <w:sz w:val="24"/>
          <w:highlight w:val="none"/>
        </w:rPr>
        <w:t>4.3.2.1对招标文件提出质疑的，质疑期限为供应商获得招标文件之日或者招标文件公告期限届满之日起计算。</w:t>
      </w:r>
    </w:p>
    <w:p>
      <w:pPr>
        <w:pStyle w:val="34"/>
        <w:spacing w:line="360" w:lineRule="auto"/>
        <w:ind w:left="479" w:leftChars="228"/>
        <w:rPr>
          <w:rFonts w:hAnsi="宋体" w:cs="宋体"/>
          <w:color w:val="auto"/>
          <w:sz w:val="24"/>
          <w:highlight w:val="none"/>
        </w:rPr>
      </w:pPr>
      <w:r>
        <w:rPr>
          <w:rFonts w:hint="eastAsia" w:hAnsi="宋体" w:cs="宋体"/>
          <w:color w:val="auto"/>
          <w:sz w:val="24"/>
          <w:highlight w:val="none"/>
        </w:rPr>
        <w:t>4.3.2.2对采购过程提出质疑的，质疑期限为各采购程序环节结束之日起计算。4.3.2.3对采购结果提出质疑的，质疑期限自采购结果公告期限届满之日起计算。</w:t>
      </w:r>
    </w:p>
    <w:p>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w:t>
      </w:r>
      <w:r>
        <w:rPr>
          <w:rFonts w:hint="eastAsia" w:hAnsi="宋体" w:cs="宋体"/>
          <w:color w:val="auto"/>
          <w:sz w:val="24"/>
          <w:highlight w:val="none"/>
        </w:rPr>
        <w:t>供应商提出质疑应当提交质疑函和必要的证明材料。质疑函应当包括下列内容：</w:t>
      </w:r>
    </w:p>
    <w:p>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4.3.3.1供应商的姓名或者名称、地址、邮编、联系人及联系电话；</w:t>
      </w:r>
    </w:p>
    <w:p>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4.3.3.2质疑项目的名称、编号；</w:t>
      </w:r>
    </w:p>
    <w:p>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4.3.3.3具体、明确的质疑事项和与质疑事项相关的请求；</w:t>
      </w:r>
    </w:p>
    <w:p>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4.3.3.4事实依据；</w:t>
      </w:r>
    </w:p>
    <w:p>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　　4.3.3.5必要的法律依据；</w:t>
      </w:r>
    </w:p>
    <w:p>
      <w:pPr>
        <w:pStyle w:val="34"/>
        <w:spacing w:line="360" w:lineRule="auto"/>
        <w:ind w:firstLine="960" w:firstLineChars="400"/>
        <w:rPr>
          <w:rFonts w:hAnsi="宋体" w:cs="宋体"/>
          <w:color w:val="auto"/>
          <w:kern w:val="0"/>
          <w:sz w:val="24"/>
          <w:highlight w:val="none"/>
          <w:lang w:val="zh-CN"/>
        </w:rPr>
      </w:pPr>
      <w:r>
        <w:rPr>
          <w:rFonts w:hint="eastAsia" w:hAnsi="宋体" w:cs="宋体"/>
          <w:color w:val="auto"/>
          <w:kern w:val="0"/>
          <w:sz w:val="24"/>
          <w:highlight w:val="none"/>
          <w:lang w:val="zh-CN"/>
        </w:rPr>
        <w:t>4.3.3.6提出质疑的日期。</w:t>
      </w:r>
    </w:p>
    <w:p>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供应商提交的质疑函需一式三份。供应商为自然人的，应当由本人签字；供应商为法人或者其他组织的，应当由法定代表人、主要负责人，或者其授权代表签字或者盖章，并加盖公章。</w:t>
      </w:r>
    </w:p>
    <w:p>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质疑函范本及制作说明详见附件2。</w:t>
      </w:r>
    </w:p>
    <w:p>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4.3.4对同一采购程序环节的质疑，供应商须在法定质疑期内一次性提出。</w:t>
      </w:r>
    </w:p>
    <w:p>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lang w:val="zh-CN"/>
        </w:rPr>
        <w:t>4.3</w:t>
      </w:r>
      <w:r>
        <w:rPr>
          <w:rFonts w:hint="eastAsia"/>
          <w:color w:val="auto"/>
          <w:highlight w:val="none"/>
        </w:rPr>
        <w:t>.5采购人或者采购机构应当在收到供应商的书面质疑后七个工作日内作出答复，并以书面形式通知质疑供应商和其他与质疑处理结果有利害关系的政府采购当事人，但答复的内容不得涉及商业秘密。根据《杭州市财政局关于进一步加强政府采购信息公开优化营商环境的通知》（杭财采监〔2021〕17号）,采购人或者采购机构在质疑回复后5个工作日内，在浙江政府采购网的“其他公告”栏目公开质疑答复，答复内容应当完整。质疑函作为附件上传。</w:t>
      </w:r>
    </w:p>
    <w:p>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lang w:val="zh-CN"/>
        </w:rPr>
        <w:t>4.3</w:t>
      </w:r>
      <w:r>
        <w:rPr>
          <w:rFonts w:hint="eastAsia"/>
          <w:color w:val="auto"/>
          <w:highlight w:val="none"/>
        </w:rPr>
        <w:t>.6询问或者质疑事项可能影响采购结果的，采购人应当暂停签订合同，已经签订合同的，应当中止履行合同。</w:t>
      </w:r>
    </w:p>
    <w:p>
      <w:pPr>
        <w:pStyle w:val="571"/>
        <w:shd w:val="clear" w:color="auto" w:fill="FFFFFF"/>
        <w:snapToGrid w:val="0"/>
        <w:spacing w:after="240" w:afterAutospacing="0" w:line="360" w:lineRule="auto"/>
        <w:ind w:firstLine="480" w:firstLineChars="200"/>
        <w:contextualSpacing/>
        <w:rPr>
          <w:color w:val="auto"/>
          <w:highlight w:val="none"/>
          <w:lang w:val="zh-CN"/>
        </w:rPr>
      </w:pPr>
      <w:r>
        <w:rPr>
          <w:rFonts w:hint="eastAsia"/>
          <w:color w:val="auto"/>
          <w:highlight w:val="none"/>
          <w:lang w:val="zh-CN"/>
        </w:rPr>
        <w:t>4.4供应商投诉</w:t>
      </w:r>
    </w:p>
    <w:p>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4.4.1质疑供应商对采购人、采购机构的答复不满意或者采购人、采购机构未在规定的时间内作出答复的，可以在答复期满后十五个工作日内向同级政府采购监督管理部门提出投诉。</w:t>
      </w:r>
    </w:p>
    <w:p>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4.4.</w:t>
      </w:r>
      <w:r>
        <w:rPr>
          <w:rFonts w:hint="eastAsia"/>
          <w:color w:val="auto"/>
          <w:highlight w:val="none"/>
          <w:lang w:val="zh-CN"/>
        </w:rPr>
        <w:t>2</w:t>
      </w:r>
      <w:r>
        <w:rPr>
          <w:rFonts w:hint="eastAsia"/>
          <w:color w:val="auto"/>
          <w:highlight w:val="none"/>
        </w:rPr>
        <w:t>供应商投诉的事项不得超出已质疑事项的范围，基于质疑答复内容提出的投诉事项除外。</w:t>
      </w:r>
    </w:p>
    <w:p>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4.4.3供应商投诉应当有明确的请求和必要的证明材料。</w:t>
      </w:r>
    </w:p>
    <w:p>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4.4.4 以联合体形式参加政府采购活动的，其投诉应当由组成联合体的所有供应商共同提出。</w:t>
      </w:r>
    </w:p>
    <w:p>
      <w:pPr>
        <w:pStyle w:val="571"/>
        <w:shd w:val="clear" w:color="auto" w:fill="FFFFFF"/>
        <w:snapToGrid w:val="0"/>
        <w:spacing w:after="240" w:afterAutospacing="0" w:line="360" w:lineRule="auto"/>
        <w:ind w:firstLine="400"/>
        <w:contextualSpacing/>
        <w:rPr>
          <w:color w:val="auto"/>
          <w:highlight w:val="none"/>
        </w:rPr>
      </w:pPr>
      <w:r>
        <w:rPr>
          <w:rFonts w:hint="eastAsia"/>
          <w:color w:val="auto"/>
          <w:highlight w:val="none"/>
        </w:rPr>
        <w:t>投诉书范本及制作说明详见附件3。</w:t>
      </w:r>
    </w:p>
    <w:p>
      <w:pPr>
        <w:pStyle w:val="85"/>
        <w:snapToGrid w:val="0"/>
        <w:spacing w:before="0"/>
        <w:ind w:firstLine="360"/>
        <w:rPr>
          <w:rFonts w:ascii="宋体" w:hAnsi="宋体" w:cs="宋体"/>
          <w:color w:val="auto"/>
          <w:sz w:val="18"/>
          <w:szCs w:val="18"/>
          <w:highlight w:val="none"/>
        </w:rPr>
      </w:pPr>
    </w:p>
    <w:p>
      <w:pPr>
        <w:adjustRightInd/>
        <w:spacing w:line="360" w:lineRule="auto"/>
        <w:jc w:val="center"/>
        <w:outlineLvl w:val="0"/>
        <w:rPr>
          <w:rFonts w:ascii="宋体" w:hAnsi="宋体" w:cs="宋体"/>
          <w:b/>
          <w:color w:val="auto"/>
          <w:sz w:val="32"/>
          <w:szCs w:val="20"/>
          <w:highlight w:val="none"/>
        </w:rPr>
      </w:pPr>
      <w:r>
        <w:rPr>
          <w:rFonts w:hint="eastAsia" w:ascii="宋体" w:hAnsi="宋体" w:cs="宋体"/>
          <w:b/>
          <w:color w:val="auto"/>
          <w:sz w:val="32"/>
          <w:szCs w:val="20"/>
          <w:highlight w:val="none"/>
        </w:rPr>
        <w:t xml:space="preserve">      二、招标文件的构成、澄清、修改</w:t>
      </w:r>
    </w:p>
    <w:p>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5．招标文件的构成</w:t>
      </w:r>
    </w:p>
    <w:p>
      <w:pPr>
        <w:pStyle w:val="34"/>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 招标文件包括下列文件及附件：</w:t>
      </w:r>
    </w:p>
    <w:p>
      <w:pPr>
        <w:pStyle w:val="34"/>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5.1.1招标公告；</w:t>
      </w:r>
    </w:p>
    <w:p>
      <w:pPr>
        <w:pStyle w:val="34"/>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5.1.2投标人须知；</w:t>
      </w:r>
    </w:p>
    <w:p>
      <w:pPr>
        <w:pStyle w:val="34"/>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5.1.3采购需求；</w:t>
      </w:r>
    </w:p>
    <w:p>
      <w:pPr>
        <w:pStyle w:val="34"/>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5.1.4评标办法；</w:t>
      </w:r>
    </w:p>
    <w:p>
      <w:pPr>
        <w:pStyle w:val="34"/>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szCs w:val="24"/>
          <w:highlight w:val="none"/>
        </w:rPr>
        <w:t>5.1.5拟签订的合同文本；</w:t>
      </w:r>
    </w:p>
    <w:p>
      <w:pPr>
        <w:pStyle w:val="34"/>
        <w:tabs>
          <w:tab w:val="left" w:pos="840"/>
        </w:tabs>
        <w:spacing w:line="360" w:lineRule="auto"/>
        <w:ind w:firstLine="960" w:firstLineChars="400"/>
        <w:rPr>
          <w:rFonts w:hAnsi="宋体" w:cs="宋体"/>
          <w:color w:val="auto"/>
          <w:sz w:val="24"/>
          <w:szCs w:val="24"/>
          <w:highlight w:val="none"/>
        </w:rPr>
      </w:pPr>
      <w:r>
        <w:rPr>
          <w:rFonts w:hint="eastAsia" w:hAnsi="宋体" w:cs="宋体"/>
          <w:color w:val="auto"/>
          <w:sz w:val="24"/>
          <w:highlight w:val="none"/>
        </w:rPr>
        <w:t>5.1.6</w:t>
      </w:r>
      <w:r>
        <w:rPr>
          <w:rFonts w:hint="eastAsia" w:hAnsi="宋体" w:cs="宋体"/>
          <w:color w:val="auto"/>
          <w:sz w:val="24"/>
          <w:szCs w:val="24"/>
          <w:highlight w:val="none"/>
        </w:rPr>
        <w:t>应提交的有关格式范例。</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5.2与本项目有关的</w:t>
      </w:r>
      <w:r>
        <w:rPr>
          <w:rFonts w:hint="eastAsia" w:ascii="宋体" w:hAnsi="宋体" w:cs="宋体"/>
          <w:bCs/>
          <w:color w:val="auto"/>
          <w:sz w:val="24"/>
          <w:highlight w:val="none"/>
        </w:rPr>
        <w:t>澄清或者修改的内容为招标文件的组成部分</w:t>
      </w:r>
      <w:r>
        <w:rPr>
          <w:rFonts w:hint="eastAsia" w:ascii="宋体" w:hAnsi="宋体" w:cs="宋体"/>
          <w:color w:val="auto"/>
          <w:sz w:val="24"/>
          <w:highlight w:val="none"/>
        </w:rPr>
        <w:t>。</w:t>
      </w:r>
    </w:p>
    <w:p>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6. 招标文件的澄清、修改</w:t>
      </w:r>
    </w:p>
    <w:p>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6.1已获取招标文件的潜在投标人，若有问题需要澄清，应于投标截止时间前，以书面形式向采购机构提出。</w:t>
      </w:r>
    </w:p>
    <w:p>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6.2 采购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pPr>
        <w:pStyle w:val="16"/>
        <w:rPr>
          <w:rFonts w:hAnsi="宋体" w:cs="宋体"/>
          <w:color w:val="auto"/>
          <w:sz w:val="18"/>
          <w:szCs w:val="18"/>
          <w:highlight w:val="none"/>
          <w:lang w:val="en-US"/>
        </w:rPr>
      </w:pPr>
      <w:r>
        <w:rPr>
          <w:rFonts w:hint="eastAsia" w:hAnsi="宋体" w:cs="宋体"/>
          <w:color w:val="auto"/>
          <w:szCs w:val="24"/>
          <w:highlight w:val="none"/>
          <w:lang w:val="en-US"/>
        </w:rPr>
        <w:t xml:space="preserve">    </w:t>
      </w:r>
    </w:p>
    <w:p>
      <w:pPr>
        <w:adjustRightInd/>
        <w:spacing w:line="360" w:lineRule="auto"/>
        <w:jc w:val="center"/>
        <w:outlineLvl w:val="0"/>
        <w:rPr>
          <w:rFonts w:ascii="宋体" w:hAnsi="宋体" w:cs="宋体"/>
          <w:b/>
          <w:color w:val="auto"/>
          <w:sz w:val="30"/>
          <w:szCs w:val="20"/>
          <w:highlight w:val="none"/>
        </w:rPr>
      </w:pPr>
      <w:r>
        <w:rPr>
          <w:rFonts w:hint="eastAsia" w:ascii="宋体" w:hAnsi="宋体" w:cs="宋体"/>
          <w:b/>
          <w:color w:val="auto"/>
          <w:sz w:val="30"/>
          <w:szCs w:val="20"/>
          <w:highlight w:val="none"/>
        </w:rPr>
        <w:t>三、投标</w:t>
      </w:r>
    </w:p>
    <w:p>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7. 招标文件的获取</w:t>
      </w:r>
    </w:p>
    <w:p>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详见招标公告中获取招标文件的时间期限、地点、方式及招标文件售价。</w:t>
      </w:r>
    </w:p>
    <w:p>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8.开标前答疑会或现场考察</w:t>
      </w:r>
    </w:p>
    <w:p>
      <w:pPr>
        <w:pStyle w:val="34"/>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采购人组织潜在投标人现场考察或者召开开标前答疑会的，潜在投标人按第二部分投标人须知前附表的规定参加现场考察或者开标前答疑会。</w:t>
      </w:r>
    </w:p>
    <w:p>
      <w:pPr>
        <w:pStyle w:val="34"/>
        <w:spacing w:line="360" w:lineRule="auto"/>
        <w:rPr>
          <w:rFonts w:hAnsi="宋体" w:cs="宋体"/>
          <w:b/>
          <w:color w:val="auto"/>
          <w:szCs w:val="24"/>
          <w:highlight w:val="none"/>
        </w:rPr>
      </w:pPr>
      <w:r>
        <w:rPr>
          <w:rFonts w:hint="eastAsia" w:hAnsi="宋体" w:cs="宋体"/>
          <w:b/>
          <w:color w:val="auto"/>
          <w:kern w:val="28"/>
          <w:sz w:val="24"/>
          <w:szCs w:val="24"/>
          <w:highlight w:val="none"/>
        </w:rPr>
        <w:t>9.投标保证金</w:t>
      </w:r>
    </w:p>
    <w:p>
      <w:pPr>
        <w:pStyle w:val="5"/>
        <w:spacing w:line="360" w:lineRule="auto"/>
        <w:ind w:firstLine="470" w:firstLineChars="196"/>
        <w:rPr>
          <w:rFonts w:hAnsi="宋体" w:cs="宋体"/>
          <w:color w:val="auto"/>
          <w:sz w:val="24"/>
          <w:highlight w:val="none"/>
        </w:rPr>
      </w:pPr>
      <w:r>
        <w:rPr>
          <w:rFonts w:hint="eastAsia" w:hAnsi="宋体" w:cs="宋体"/>
          <w:color w:val="auto"/>
          <w:sz w:val="24"/>
          <w:highlight w:val="none"/>
        </w:rPr>
        <w:t>本项目不需缴纳投标保证金。</w:t>
      </w:r>
    </w:p>
    <w:p>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10. 投标文件的语言</w:t>
      </w:r>
    </w:p>
    <w:p>
      <w:pPr>
        <w:autoSpaceDE w:val="0"/>
        <w:autoSpaceDN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投标文件及投标人与采购有关的来往通知、函件和文件均应使用中文。</w:t>
      </w:r>
    </w:p>
    <w:p>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11. 投标文件的组成</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hint="eastAsia" w:ascii="宋体" w:hAnsi="宋体" w:cs="宋体"/>
          <w:b/>
          <w:color w:val="auto"/>
          <w:sz w:val="24"/>
          <w:highlight w:val="none"/>
        </w:rPr>
        <w:t>资格文件</w:t>
      </w:r>
      <w:r>
        <w:rPr>
          <w:rFonts w:hint="eastAsia" w:ascii="宋体" w:hAnsi="宋体" w:cs="宋体"/>
          <w:color w:val="auto"/>
          <w:sz w:val="24"/>
          <w:highlight w:val="none"/>
        </w:rPr>
        <w:t>：</w:t>
      </w:r>
    </w:p>
    <w:p>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11.1.1符合参加政府采购活动应当具备的一般条件的承诺函；</w:t>
      </w:r>
    </w:p>
    <w:p>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1.1.2</w:t>
      </w:r>
      <w:bookmarkStart w:id="16" w:name="_Hlk101259339"/>
      <w:r>
        <w:rPr>
          <w:rFonts w:hint="eastAsia" w:ascii="宋体" w:hAnsi="宋体" w:cs="宋体"/>
          <w:snapToGrid w:val="0"/>
          <w:color w:val="auto"/>
          <w:kern w:val="28"/>
          <w:sz w:val="24"/>
          <w:szCs w:val="20"/>
          <w:highlight w:val="none"/>
        </w:rPr>
        <w:t>联合协议</w:t>
      </w:r>
      <w:bookmarkEnd w:id="16"/>
      <w:r>
        <w:rPr>
          <w:rFonts w:hint="eastAsia" w:ascii="宋体" w:hAnsi="宋体" w:cs="宋体"/>
          <w:snapToGrid w:val="0"/>
          <w:color w:val="auto"/>
          <w:kern w:val="28"/>
          <w:sz w:val="24"/>
          <w:szCs w:val="20"/>
          <w:highlight w:val="none"/>
        </w:rPr>
        <w:t>（如果有)；</w:t>
      </w:r>
    </w:p>
    <w:p>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11.2.1投标函；</w:t>
      </w:r>
      <w:r>
        <w:rPr>
          <w:rFonts w:hint="eastAsia" w:ascii="宋体" w:hAnsi="宋体" w:cs="宋体"/>
          <w:color w:val="auto"/>
          <w:sz w:val="24"/>
          <w:highlight w:val="none"/>
          <w:lang w:val="zh-CN"/>
        </w:rPr>
        <w:t xml:space="preserve"> </w:t>
      </w:r>
    </w:p>
    <w:p>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11.2.2授权委托书或法定代表人（单位负责人、自然人本人）身份证明；</w:t>
      </w:r>
    </w:p>
    <w:p>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4</w:t>
      </w:r>
      <w:r>
        <w:rPr>
          <w:rFonts w:hint="eastAsia" w:ascii="宋体" w:hAnsi="宋体" w:cs="宋体"/>
          <w:color w:val="auto"/>
          <w:sz w:val="24"/>
          <w:highlight w:val="none"/>
        </w:rPr>
        <w:t>符合性审查资料；</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6</w:t>
      </w:r>
      <w:r>
        <w:rPr>
          <w:rFonts w:hint="eastAsia" w:ascii="宋体" w:hAnsi="宋体" w:cs="宋体"/>
          <w:color w:val="auto"/>
          <w:sz w:val="24"/>
          <w:highlight w:val="none"/>
        </w:rPr>
        <w:t>投标标的清单；</w:t>
      </w:r>
    </w:p>
    <w:p>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7</w:t>
      </w:r>
      <w:r>
        <w:rPr>
          <w:rFonts w:hint="eastAsia" w:ascii="宋体" w:hAnsi="宋体" w:cs="宋体"/>
          <w:color w:val="auto"/>
          <w:sz w:val="24"/>
          <w:highlight w:val="none"/>
        </w:rPr>
        <w:t>商务技术偏离表；</w:t>
      </w:r>
    </w:p>
    <w:p>
      <w:pPr>
        <w:snapToGrid w:val="0"/>
        <w:spacing w:line="360" w:lineRule="auto"/>
        <w:ind w:firstLine="960" w:firstLineChars="400"/>
        <w:rPr>
          <w:rFonts w:ascii="宋体" w:hAnsi="宋体" w:cs="宋体"/>
          <w:color w:val="auto"/>
          <w:sz w:val="24"/>
          <w:highlight w:val="none"/>
          <w:lang w:val="zh-CN"/>
        </w:rPr>
      </w:pP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pPr>
        <w:snapToGrid w:val="0"/>
        <w:spacing w:line="360" w:lineRule="auto"/>
        <w:ind w:firstLine="480" w:firstLineChars="200"/>
        <w:rPr>
          <w:rFonts w:ascii="宋体" w:hAnsi="宋体" w:cs="宋体"/>
          <w:color w:val="auto"/>
          <w:sz w:val="24"/>
          <w:highlight w:val="none"/>
          <w:u w:val="single"/>
          <w:lang w:val="zh-CN"/>
        </w:rPr>
      </w:pPr>
      <w:r>
        <w:rPr>
          <w:rFonts w:hint="eastAsia" w:ascii="宋体" w:hAnsi="宋体" w:cs="宋体"/>
          <w:color w:val="auto"/>
          <w:kern w:val="0"/>
          <w:sz w:val="24"/>
          <w:highlight w:val="none"/>
          <w:lang w:val="zh-CN"/>
        </w:rPr>
        <w:t>11.</w:t>
      </w:r>
      <w:r>
        <w:rPr>
          <w:rFonts w:hint="eastAsia" w:ascii="宋体" w:hAnsi="宋体" w:cs="宋体"/>
          <w:color w:val="auto"/>
          <w:kern w:val="0"/>
          <w:sz w:val="24"/>
          <w:highlight w:val="none"/>
        </w:rPr>
        <w:t>3</w:t>
      </w:r>
      <w:r>
        <w:rPr>
          <w:rFonts w:hint="eastAsia" w:ascii="宋体" w:hAnsi="宋体" w:cs="宋体"/>
          <w:b/>
          <w:color w:val="auto"/>
          <w:sz w:val="24"/>
          <w:highlight w:val="none"/>
        </w:rPr>
        <w:t>报价文件：</w:t>
      </w:r>
      <w:r>
        <w:rPr>
          <w:rFonts w:hint="eastAsia" w:ascii="宋体" w:hAnsi="宋体" w:cs="宋体"/>
          <w:color w:val="auto"/>
          <w:sz w:val="24"/>
          <w:highlight w:val="none"/>
        </w:rPr>
        <w:t xml:space="preserve"> </w:t>
      </w:r>
    </w:p>
    <w:p>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11.3.1开标一览表（报价表）；</w:t>
      </w:r>
    </w:p>
    <w:p>
      <w:pPr>
        <w:snapToGrid w:val="0"/>
        <w:spacing w:line="360" w:lineRule="auto"/>
        <w:ind w:firstLine="960" w:firstLineChars="400"/>
        <w:rPr>
          <w:rFonts w:ascii="宋体" w:hAnsi="宋体" w:cs="宋体"/>
          <w:color w:val="auto"/>
          <w:sz w:val="24"/>
          <w:highlight w:val="none"/>
        </w:rPr>
      </w:pPr>
      <w:r>
        <w:rPr>
          <w:rFonts w:hint="eastAsia" w:ascii="宋体" w:hAnsi="宋体" w:cs="宋体"/>
          <w:color w:val="auto"/>
          <w:sz w:val="24"/>
          <w:highlight w:val="none"/>
        </w:rPr>
        <w:t>11.3.2中小企业声明函。</w:t>
      </w:r>
    </w:p>
    <w:p>
      <w:pPr>
        <w:spacing w:line="360" w:lineRule="auto"/>
        <w:ind w:firstLine="723" w:firstLineChars="300"/>
        <w:rPr>
          <w:rFonts w:ascii="宋体" w:hAnsi="宋体" w:cs="宋体"/>
          <w:b/>
          <w:color w:val="auto"/>
          <w:sz w:val="24"/>
          <w:highlight w:val="none"/>
        </w:rPr>
      </w:pPr>
      <w:r>
        <w:rPr>
          <w:rFonts w:hint="eastAsia" w:ascii="宋体" w:hAnsi="宋体" w:cs="宋体"/>
          <w:b/>
          <w:color w:val="auto"/>
          <w:sz w:val="24"/>
          <w:highlight w:val="none"/>
        </w:rPr>
        <w:t>投标文件含有采购人不能接受的附加条件的，投标无效；</w:t>
      </w:r>
    </w:p>
    <w:p>
      <w:pPr>
        <w:spacing w:line="360" w:lineRule="auto"/>
        <w:ind w:firstLine="723" w:firstLineChars="300"/>
        <w:rPr>
          <w:rFonts w:ascii="宋体" w:hAnsi="宋体" w:cs="宋体"/>
          <w:b/>
          <w:color w:val="auto"/>
          <w:sz w:val="24"/>
          <w:szCs w:val="21"/>
          <w:highlight w:val="none"/>
        </w:rPr>
      </w:pPr>
      <w:r>
        <w:rPr>
          <w:rFonts w:hint="eastAsia" w:ascii="宋体" w:hAnsi="宋体" w:cs="宋体"/>
          <w:b/>
          <w:color w:val="auto"/>
          <w:sz w:val="24"/>
          <w:highlight w:val="none"/>
        </w:rPr>
        <w:t>投标人提供虚假材料投标的，投标无效。</w:t>
      </w:r>
    </w:p>
    <w:p>
      <w:pPr>
        <w:pStyle w:val="85"/>
        <w:snapToGrid w:val="0"/>
        <w:spacing w:before="0"/>
        <w:ind w:firstLine="0" w:firstLineChars="0"/>
        <w:outlineLvl w:val="0"/>
        <w:rPr>
          <w:rFonts w:ascii="宋体" w:hAnsi="宋体" w:cs="宋体"/>
          <w:b/>
          <w:color w:val="auto"/>
          <w:szCs w:val="24"/>
          <w:highlight w:val="none"/>
        </w:rPr>
      </w:pPr>
      <w:r>
        <w:rPr>
          <w:rFonts w:hint="eastAsia" w:ascii="宋体" w:hAnsi="宋体" w:cs="宋体"/>
          <w:b/>
          <w:color w:val="auto"/>
          <w:szCs w:val="24"/>
          <w:highlight w:val="none"/>
        </w:rPr>
        <w:t>12</w:t>
      </w:r>
      <w:r>
        <w:rPr>
          <w:rFonts w:hint="eastAsia" w:ascii="宋体" w:hAnsi="宋体" w:cs="宋体"/>
          <w:b/>
          <w:color w:val="auto"/>
          <w:kern w:val="0"/>
          <w:szCs w:val="24"/>
          <w:highlight w:val="none"/>
          <w:lang w:val="zh-CN"/>
        </w:rPr>
        <w:t xml:space="preserve">. </w:t>
      </w:r>
      <w:r>
        <w:rPr>
          <w:rFonts w:hint="eastAsia" w:ascii="宋体" w:hAnsi="宋体" w:cs="宋体"/>
          <w:b/>
          <w:color w:val="auto"/>
          <w:szCs w:val="24"/>
          <w:highlight w:val="none"/>
        </w:rPr>
        <w:t>投标文件的编制</w:t>
      </w:r>
    </w:p>
    <w:p>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12.2投标人进行电子投标应安装客户端软件—“政采云电子交易客户端”，并按照招标文件和电子交易平台的要求编制并加密投标文件。投标人未按规定加密的投标文件，电子交易平台将拒收并提示。</w:t>
      </w:r>
    </w:p>
    <w:p>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12.3使用“政采云电子交易客户端”需要提前申领CA数字证书，申领流程请自行前往“浙江政府采购网-下载专区-电子交易客户端-CA驱动和申领流程”进行查阅。</w:t>
      </w:r>
    </w:p>
    <w:p>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13.投标文件的签署、盖章</w:t>
      </w:r>
    </w:p>
    <w:p>
      <w:pPr>
        <w:pStyle w:val="85"/>
        <w:snapToGrid w:val="0"/>
        <w:spacing w:before="0"/>
        <w:ind w:firstLine="480"/>
        <w:rPr>
          <w:rFonts w:ascii="宋体" w:hAnsi="宋体" w:cs="宋体"/>
          <w:b/>
          <w:color w:val="auto"/>
          <w:highlight w:val="none"/>
        </w:rPr>
      </w:pPr>
      <w:r>
        <w:rPr>
          <w:rFonts w:hint="eastAsia" w:ascii="宋体" w:hAnsi="宋体" w:cs="宋体"/>
          <w:color w:val="auto"/>
          <w:szCs w:val="24"/>
          <w:highlight w:val="none"/>
        </w:rPr>
        <w:t>13.1投标文件按照招标文件第六部分格式要</w:t>
      </w:r>
      <w:r>
        <w:rPr>
          <w:rFonts w:hint="eastAsia" w:ascii="宋体" w:hAnsi="宋体" w:cs="宋体"/>
          <w:color w:val="auto"/>
          <w:highlight w:val="none"/>
        </w:rPr>
        <w:t>求进行签署、盖章。</w:t>
      </w:r>
      <w:r>
        <w:rPr>
          <w:rFonts w:hint="eastAsia" w:ascii="宋体" w:hAnsi="宋体" w:cs="宋体"/>
          <w:b/>
          <w:color w:val="auto"/>
          <w:highlight w:val="none"/>
        </w:rPr>
        <w:t>▲投标人的投标文件未按照招标文件要求签署、盖章的，其投标无效</w:t>
      </w:r>
      <w:r>
        <w:rPr>
          <w:rFonts w:hint="eastAsia" w:ascii="宋体" w:hAnsi="宋体" w:cs="宋体"/>
          <w:color w:val="auto"/>
          <w:szCs w:val="24"/>
          <w:highlight w:val="none"/>
        </w:rPr>
        <w:t>。</w:t>
      </w:r>
    </w:p>
    <w:p>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13.2为确保网上操作合法、有效和安全，投标人应当在投标截止时间前完成在“政府采购云平台”的身份认证，确保在电子投标过程中能够对相关数据电文进行加密和使用电子签名。</w:t>
      </w:r>
    </w:p>
    <w:p>
      <w:pPr>
        <w:pStyle w:val="85"/>
        <w:snapToGrid w:val="0"/>
        <w:spacing w:before="0"/>
        <w:ind w:firstLine="480"/>
        <w:rPr>
          <w:rFonts w:ascii="宋体" w:hAnsi="宋体" w:cs="宋体"/>
          <w:color w:val="auto"/>
          <w:szCs w:val="24"/>
          <w:highlight w:val="none"/>
        </w:rPr>
      </w:pPr>
      <w:r>
        <w:rPr>
          <w:rFonts w:hint="eastAsia" w:ascii="宋体" w:hAnsi="宋体" w:cs="宋体"/>
          <w:color w:val="auto"/>
          <w:highlight w:val="none"/>
        </w:rPr>
        <w:t>13.3招标文件对投标文件签署、盖章的要求适用于电子签名。</w:t>
      </w:r>
    </w:p>
    <w:p>
      <w:pPr>
        <w:pStyle w:val="85"/>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14. 投标文件的提交、补充、修改、撤回</w:t>
      </w:r>
    </w:p>
    <w:p>
      <w:pPr>
        <w:pStyle w:val="85"/>
        <w:ind w:firstLine="480"/>
        <w:rPr>
          <w:rFonts w:ascii="宋体" w:hAnsi="宋体" w:cs="宋体"/>
          <w:color w:val="auto"/>
          <w:szCs w:val="24"/>
          <w:highlight w:val="none"/>
        </w:rPr>
      </w:pPr>
      <w:r>
        <w:rPr>
          <w:rFonts w:hint="eastAsia" w:ascii="宋体" w:hAnsi="宋体" w:cs="宋体"/>
          <w:color w:val="auto"/>
          <w:szCs w:val="24"/>
          <w:highlight w:val="none"/>
        </w:rPr>
        <w:t>14.1 供应商应当在投标截止时间前完成投标文件的传输递交，并可以补充、修改或者撤回投标文件。补充或者修改投标文件的，应当先行撤回原文件，补充、修改后重新传输递交。供应商撤回投标不得损害国家利益、社会公共利益、采购人利益、代理机构利益、其他供应商利益，否则，供应商撤销（撤回）投标无效。投标截止时间前未完成传输的，视为撤回投标文件。投标截止时间后递交的投标文件，电子交易平台将拒收。</w:t>
      </w:r>
    </w:p>
    <w:p>
      <w:pPr>
        <w:pStyle w:val="85"/>
        <w:spacing w:before="0"/>
        <w:ind w:firstLine="480"/>
        <w:rPr>
          <w:rFonts w:ascii="宋体" w:hAnsi="宋体" w:cs="宋体"/>
          <w:color w:val="auto"/>
          <w:szCs w:val="24"/>
          <w:highlight w:val="none"/>
        </w:rPr>
      </w:pPr>
      <w:r>
        <w:rPr>
          <w:rFonts w:hint="eastAsia" w:ascii="宋体" w:hAnsi="宋体" w:cs="宋体"/>
          <w:color w:val="auto"/>
          <w:szCs w:val="24"/>
          <w:highlight w:val="none"/>
        </w:rPr>
        <w:t>14.2电子交易平台收到投标文件，将妥善保存并即时向供应商发出确认回执通知。在投标截止时间前，除供应商补充、修改或者撤回投标文件外，任何单位和个人不得解密或提取投标文件。</w:t>
      </w:r>
      <w:r>
        <w:rPr>
          <w:rFonts w:hint="eastAsia" w:ascii="宋体" w:hAnsi="宋体" w:cs="宋体"/>
          <w:color w:val="auto"/>
          <w:szCs w:val="24"/>
          <w:highlight w:val="none"/>
        </w:rPr>
        <w:tab/>
      </w:r>
    </w:p>
    <w:p>
      <w:pPr>
        <w:pStyle w:val="85"/>
        <w:spacing w:before="0"/>
        <w:ind w:firstLine="480"/>
        <w:rPr>
          <w:rFonts w:ascii="宋体" w:hAnsi="宋体" w:cs="宋体"/>
          <w:color w:val="auto"/>
          <w:szCs w:val="24"/>
          <w:highlight w:val="none"/>
        </w:rPr>
      </w:pPr>
      <w:r>
        <w:rPr>
          <w:rFonts w:hint="eastAsia" w:ascii="宋体" w:hAnsi="宋体" w:cs="宋体"/>
          <w:color w:val="auto"/>
          <w:szCs w:val="24"/>
          <w:highlight w:val="none"/>
        </w:rPr>
        <w:t>14.3采购人、采购机构可以视情况延长投标文件提交的截止时间。在上述情况下，采购机构与投标人以前在投标截止期方面的全部权利、责任和义务，将适用于延长至新的投标截止期。</w:t>
      </w:r>
    </w:p>
    <w:p>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15.备份投标文件</w:t>
      </w:r>
    </w:p>
    <w:p>
      <w:pPr>
        <w:pStyle w:val="34"/>
        <w:spacing w:line="360" w:lineRule="auto"/>
        <w:ind w:firstLine="360" w:firstLineChars="150"/>
        <w:rPr>
          <w:rFonts w:hAnsi="宋体" w:cs="宋体"/>
          <w:b/>
          <w:color w:val="auto"/>
          <w:sz w:val="24"/>
          <w:szCs w:val="24"/>
          <w:highlight w:val="none"/>
        </w:rPr>
      </w:pPr>
      <w:r>
        <w:rPr>
          <w:rFonts w:hint="eastAsia" w:hAnsi="宋体" w:cs="宋体"/>
          <w:color w:val="auto"/>
          <w:sz w:val="24"/>
          <w:szCs w:val="24"/>
          <w:highlight w:val="none"/>
        </w:rPr>
        <w:t xml:space="preserve"> 15.1投标人在电子交易平台传输递交投标文件后，还可以在投标截止时间前直接提交或者以邮政快递方式递交备份投标文件1份，</w:t>
      </w:r>
      <w:r>
        <w:rPr>
          <w:rFonts w:hint="eastAsia" w:hAnsi="宋体" w:cs="宋体"/>
          <w:b/>
          <w:color w:val="auto"/>
          <w:sz w:val="24"/>
          <w:szCs w:val="24"/>
          <w:highlight w:val="none"/>
        </w:rPr>
        <w:t>但采购人、采购机构不强制或变相强制投标人提交备份投标文件。</w:t>
      </w:r>
    </w:p>
    <w:p>
      <w:pPr>
        <w:pStyle w:val="34"/>
        <w:spacing w:line="360" w:lineRule="auto"/>
        <w:ind w:firstLine="480" w:firstLineChars="200"/>
        <w:rPr>
          <w:rFonts w:hAnsi="宋体" w:cs="宋体"/>
          <w:b/>
          <w:color w:val="auto"/>
          <w:sz w:val="24"/>
          <w:szCs w:val="24"/>
          <w:highlight w:val="none"/>
        </w:rPr>
      </w:pPr>
      <w:r>
        <w:rPr>
          <w:rFonts w:hint="eastAsia" w:hAnsi="宋体" w:cs="宋体"/>
          <w:color w:val="auto"/>
          <w:sz w:val="24"/>
          <w:szCs w:val="24"/>
          <w:highlight w:val="none"/>
        </w:rPr>
        <w:t>15.2备份投标文件须在“政采云投标客户端”制作生成，并储存在</w:t>
      </w:r>
      <w:r>
        <w:rPr>
          <w:rFonts w:hint="eastAsia" w:hAnsi="宋体" w:cs="宋体"/>
          <w:color w:val="auto"/>
          <w:sz w:val="24"/>
          <w:highlight w:val="none"/>
        </w:rPr>
        <w:t>DVD光盘</w:t>
      </w:r>
      <w:r>
        <w:rPr>
          <w:rFonts w:hint="eastAsia" w:hAnsi="宋体" w:cs="宋体"/>
          <w:color w:val="auto"/>
          <w:sz w:val="24"/>
          <w:szCs w:val="24"/>
          <w:highlight w:val="none"/>
        </w:rPr>
        <w:t>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hAnsi="宋体" w:cs="宋体"/>
          <w:b/>
          <w:color w:val="auto"/>
          <w:sz w:val="24"/>
          <w:highlight w:val="none"/>
        </w:rPr>
        <w:t>不符合上述制作、</w:t>
      </w:r>
      <w:r>
        <w:rPr>
          <w:rFonts w:hint="eastAsia" w:hAnsi="宋体" w:cs="宋体"/>
          <w:b/>
          <w:color w:val="auto"/>
          <w:sz w:val="24"/>
          <w:szCs w:val="24"/>
          <w:highlight w:val="none"/>
        </w:rPr>
        <w:t>存储、密封规定的备份投标文件将被视为无效或者被拒绝接收。</w:t>
      </w:r>
    </w:p>
    <w:p>
      <w:pPr>
        <w:pStyle w:val="34"/>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15.3直接提交备份投标文件的，投标人应于投标截止时间前在招标公告中载明的开标地点将备份投标文件提交给采购机构，采购机构将拒绝接受逾期送达的备份投标文件。</w:t>
      </w:r>
    </w:p>
    <w:p>
      <w:pPr>
        <w:pStyle w:val="34"/>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15.4以邮政快递方式递交备份投标文件的，投标人应先将备份投标文件按要求密封和标记，再进行邮政快递包装后邮寄。备份投标文件须在投标截止时间之前送达招标文件第二部分投标人须知前附表规定的备份投标文件送达地点；送达时间以签收人签收时间为准。采购机构将拒绝接受逾期送达的备份投标文件。邮寄过程中，电子备份投标文件发生泄露、遗失、损坏或延期送达等情况的，由投标人自行负责。</w:t>
      </w:r>
    </w:p>
    <w:p>
      <w:pPr>
        <w:pStyle w:val="34"/>
        <w:spacing w:line="360" w:lineRule="auto"/>
        <w:ind w:firstLine="479" w:firstLineChars="199"/>
        <w:rPr>
          <w:rFonts w:hAnsi="宋体" w:cs="宋体"/>
          <w:b/>
          <w:color w:val="auto"/>
          <w:sz w:val="24"/>
          <w:szCs w:val="24"/>
          <w:highlight w:val="none"/>
        </w:rPr>
      </w:pPr>
      <w:r>
        <w:rPr>
          <w:rFonts w:hint="eastAsia" w:hAnsi="宋体" w:cs="宋体"/>
          <w:b/>
          <w:color w:val="auto"/>
          <w:sz w:val="24"/>
          <w:szCs w:val="24"/>
          <w:highlight w:val="none"/>
        </w:rPr>
        <w:t>15.5投标人仅提交备份投标文件，未在电子交易平台传输递交投标文件的，投标无效。</w:t>
      </w:r>
    </w:p>
    <w:p>
      <w:pPr>
        <w:pStyle w:val="85"/>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16.投标文件的无效处理</w:t>
      </w:r>
    </w:p>
    <w:p>
      <w:pPr>
        <w:pStyle w:val="26"/>
        <w:spacing w:line="360" w:lineRule="auto"/>
        <w:ind w:firstLine="360" w:firstLineChars="150"/>
        <w:rPr>
          <w:rFonts w:cs="宋体"/>
          <w:color w:val="auto"/>
          <w:szCs w:val="21"/>
          <w:highlight w:val="none"/>
        </w:rPr>
      </w:pPr>
      <w:r>
        <w:rPr>
          <w:rFonts w:hint="eastAsia" w:cs="宋体"/>
          <w:color w:val="auto"/>
          <w:szCs w:val="21"/>
          <w:highlight w:val="none"/>
        </w:rPr>
        <w:t>有招标文件第四部分</w:t>
      </w:r>
      <w:r>
        <w:rPr>
          <w:rFonts w:cs="宋体"/>
          <w:color w:val="auto"/>
          <w:highlight w:val="none"/>
        </w:rPr>
        <w:t>4.2规定</w:t>
      </w:r>
      <w:r>
        <w:rPr>
          <w:rFonts w:hint="eastAsia" w:cs="宋体"/>
          <w:color w:val="auto"/>
          <w:szCs w:val="21"/>
          <w:highlight w:val="none"/>
        </w:rPr>
        <w:t>的情形之一的，投标无效：</w:t>
      </w:r>
    </w:p>
    <w:p>
      <w:pPr>
        <w:pStyle w:val="85"/>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17.投标有效期</w:t>
      </w:r>
    </w:p>
    <w:p>
      <w:pPr>
        <w:spacing w:line="360" w:lineRule="auto"/>
        <w:ind w:firstLine="480" w:firstLineChars="200"/>
        <w:rPr>
          <w:rFonts w:ascii="宋体" w:hAnsi="宋体" w:cs="宋体"/>
          <w:b/>
          <w:color w:val="auto"/>
          <w:sz w:val="24"/>
          <w:szCs w:val="21"/>
          <w:highlight w:val="none"/>
        </w:rPr>
      </w:pPr>
      <w:r>
        <w:rPr>
          <w:rFonts w:hint="eastAsia" w:ascii="宋体" w:hAnsi="宋体" w:cs="宋体"/>
          <w:color w:val="auto"/>
          <w:sz w:val="24"/>
          <w:szCs w:val="20"/>
          <w:highlight w:val="none"/>
        </w:rPr>
        <w:t>17.1投标有效期为从提交投标文件的截止之日起90天。▲</w:t>
      </w:r>
      <w:r>
        <w:rPr>
          <w:rFonts w:hint="eastAsia" w:ascii="宋体" w:hAnsi="宋体" w:cs="宋体"/>
          <w:b/>
          <w:color w:val="auto"/>
          <w:sz w:val="24"/>
          <w:szCs w:val="20"/>
          <w:highlight w:val="none"/>
        </w:rPr>
        <w:t>投标人的投标文件中承</w:t>
      </w:r>
      <w:r>
        <w:rPr>
          <w:rFonts w:hint="eastAsia" w:ascii="宋体" w:hAnsi="宋体" w:cs="宋体"/>
          <w:b/>
          <w:color w:val="auto"/>
          <w:sz w:val="24"/>
          <w:szCs w:val="21"/>
          <w:highlight w:val="none"/>
        </w:rPr>
        <w:t>诺的投标有效期少于招标文件中载明的投标有效期的，投标无效。</w:t>
      </w:r>
    </w:p>
    <w:p>
      <w:pPr>
        <w:pStyle w:val="85"/>
        <w:spacing w:before="0"/>
        <w:ind w:firstLine="480"/>
        <w:rPr>
          <w:rFonts w:ascii="宋体" w:hAnsi="宋体" w:cs="宋体"/>
          <w:color w:val="auto"/>
          <w:highlight w:val="none"/>
        </w:rPr>
      </w:pPr>
      <w:r>
        <w:rPr>
          <w:rFonts w:hint="eastAsia" w:ascii="宋体" w:hAnsi="宋体" w:cs="宋体"/>
          <w:color w:val="auto"/>
          <w:highlight w:val="none"/>
        </w:rPr>
        <w:t>17.2投标文件合格投递后，自投标截止日期起，在投标有效期内有效。</w:t>
      </w:r>
    </w:p>
    <w:p>
      <w:pPr>
        <w:pStyle w:val="85"/>
        <w:spacing w:before="0"/>
        <w:ind w:firstLine="480"/>
        <w:rPr>
          <w:rFonts w:ascii="宋体" w:hAnsi="宋体" w:cs="宋体"/>
          <w:color w:val="auto"/>
          <w:highlight w:val="none"/>
        </w:rPr>
      </w:pPr>
      <w:r>
        <w:rPr>
          <w:rFonts w:hint="eastAsia" w:ascii="宋体" w:hAnsi="宋体" w:cs="宋体"/>
          <w:color w:val="auto"/>
          <w:highlight w:val="none"/>
        </w:rPr>
        <w:t>17.3在原定投标有效期满之前，如果出现特殊情况，采购机构可以以书面形式通知投标人延长投标有效期。投标人同意延长的，不得要求或被允许修改其投标文件，投标人拒绝延长的，其投标无效。</w:t>
      </w:r>
    </w:p>
    <w:p>
      <w:pPr>
        <w:pStyle w:val="85"/>
        <w:spacing w:before="0"/>
        <w:ind w:firstLine="480"/>
        <w:rPr>
          <w:rFonts w:ascii="宋体" w:hAnsi="宋体" w:cs="宋体"/>
          <w:color w:val="auto"/>
          <w:highlight w:val="none"/>
        </w:rPr>
      </w:pPr>
      <w:r>
        <w:rPr>
          <w:rFonts w:hint="eastAsia" w:ascii="宋体" w:hAnsi="宋体" w:cs="宋体"/>
          <w:color w:val="auto"/>
          <w:highlight w:val="none"/>
        </w:rPr>
        <w:t>17.4在投标截止时间起至投标有效期届满，供应商投标文件不可撤销。</w:t>
      </w:r>
    </w:p>
    <w:p>
      <w:pPr>
        <w:pStyle w:val="85"/>
        <w:spacing w:before="0"/>
        <w:ind w:firstLine="643"/>
        <w:rPr>
          <w:rFonts w:ascii="宋体" w:hAnsi="宋体" w:cs="宋体"/>
          <w:b/>
          <w:color w:val="auto"/>
          <w:sz w:val="32"/>
          <w:highlight w:val="none"/>
        </w:rPr>
      </w:pPr>
    </w:p>
    <w:p>
      <w:pPr>
        <w:pStyle w:val="85"/>
        <w:spacing w:before="0"/>
        <w:ind w:firstLine="1928" w:firstLineChars="600"/>
        <w:rPr>
          <w:rFonts w:ascii="宋体" w:hAnsi="宋体" w:cs="宋体"/>
          <w:b/>
          <w:color w:val="auto"/>
          <w:sz w:val="32"/>
          <w:highlight w:val="none"/>
        </w:rPr>
      </w:pPr>
      <w:r>
        <w:rPr>
          <w:rFonts w:hint="eastAsia" w:ascii="宋体" w:hAnsi="宋体" w:cs="宋体"/>
          <w:b/>
          <w:color w:val="auto"/>
          <w:sz w:val="32"/>
          <w:highlight w:val="none"/>
        </w:rPr>
        <w:t>四、开标、资格审查与信用信息查询</w:t>
      </w:r>
    </w:p>
    <w:p>
      <w:pPr>
        <w:pStyle w:val="239"/>
        <w:spacing w:before="0" w:line="360" w:lineRule="auto"/>
        <w:ind w:left="0" w:firstLine="241" w:firstLineChars="100"/>
        <w:contextualSpacing/>
        <w:rPr>
          <w:rFonts w:ascii="宋体" w:hAnsi="宋体" w:cs="宋体"/>
          <w:color w:val="auto"/>
          <w:sz w:val="24"/>
          <w:highlight w:val="none"/>
        </w:rPr>
      </w:pPr>
      <w:r>
        <w:rPr>
          <w:rFonts w:hint="eastAsia" w:ascii="宋体" w:hAnsi="宋体" w:cs="宋体"/>
          <w:b/>
          <w:color w:val="auto"/>
          <w:sz w:val="24"/>
          <w:szCs w:val="24"/>
          <w:highlight w:val="none"/>
        </w:rPr>
        <w:t>18.开标</w:t>
      </w:r>
      <w:r>
        <w:rPr>
          <w:rFonts w:hint="eastAsia" w:ascii="宋体" w:hAnsi="宋体" w:cs="宋体"/>
          <w:color w:val="auto"/>
          <w:sz w:val="24"/>
          <w:highlight w:val="none"/>
        </w:rPr>
        <w:t xml:space="preserve"> </w:t>
      </w:r>
    </w:p>
    <w:p>
      <w:pPr>
        <w:pStyle w:val="239"/>
        <w:spacing w:before="0" w:line="360" w:lineRule="auto"/>
        <w:ind w:left="0"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18.1采购机构按照招标文件规定的时间通过电子交易平台组织开标，所有投标人均应当准时在线参加。投标人不足3家的，不得开标。</w:t>
      </w:r>
    </w:p>
    <w:p>
      <w:pPr>
        <w:pStyle w:val="239"/>
        <w:spacing w:before="0" w:line="360" w:lineRule="auto"/>
        <w:ind w:left="0" w:firstLine="240" w:firstLineChars="100"/>
        <w:contextualSpacing/>
        <w:rPr>
          <w:rFonts w:ascii="宋体" w:hAnsi="宋体" w:cs="宋体"/>
          <w:color w:val="auto"/>
          <w:sz w:val="24"/>
          <w:highlight w:val="none"/>
        </w:rPr>
      </w:pPr>
      <w:r>
        <w:rPr>
          <w:rFonts w:hint="eastAsia" w:ascii="宋体" w:hAnsi="宋体" w:cs="宋体"/>
          <w:color w:val="auto"/>
          <w:sz w:val="24"/>
          <w:highlight w:val="none"/>
        </w:rPr>
        <w:t>　18.2开标时，电子交易平台按开标时间自动提取所有投标文件。采购机构依托电子交易平台发起开始解密指令，投标人按照平台提示和招标文件的规定在半小时内完成在线解密。</w:t>
      </w:r>
    </w:p>
    <w:p>
      <w:pPr>
        <w:pStyle w:val="239"/>
        <w:spacing w:before="0" w:line="360" w:lineRule="auto"/>
        <w:ind w:left="0" w:firstLine="240" w:firstLineChars="100"/>
        <w:contextualSpacing/>
        <w:rPr>
          <w:rFonts w:ascii="宋体" w:hAnsi="宋体" w:cs="宋体"/>
          <w:b/>
          <w:color w:val="auto"/>
          <w:sz w:val="24"/>
          <w:highlight w:val="none"/>
        </w:rPr>
      </w:pPr>
      <w:r>
        <w:rPr>
          <w:rFonts w:hint="eastAsia" w:ascii="宋体" w:hAnsi="宋体" w:cs="宋体"/>
          <w:color w:val="auto"/>
          <w:sz w:val="24"/>
          <w:highlight w:val="none"/>
        </w:rPr>
        <w:t>　18.3</w:t>
      </w:r>
      <w:r>
        <w:rPr>
          <w:rFonts w:hint="eastAsia" w:ascii="宋体" w:hAnsi="宋体" w:cs="宋体"/>
          <w:b/>
          <w:color w:val="auto"/>
          <w:sz w:val="24"/>
          <w:highlight w:val="none"/>
        </w:rPr>
        <w:t>投标文件未按时解密，投标人提供了备份投标文件的，以备份投标文件作为依据，否则视为投标文件撤回。投标文件已按时解密的，备份投标文件自动失效。</w:t>
      </w:r>
    </w:p>
    <w:p>
      <w:pPr>
        <w:widowControl/>
        <w:spacing w:before="100" w:beforeAutospacing="1" w:after="240" w:line="360" w:lineRule="auto"/>
        <w:jc w:val="left"/>
        <w:rPr>
          <w:rFonts w:ascii="宋体" w:hAnsi="宋体" w:cs="宋体"/>
          <w:b/>
          <w:color w:val="auto"/>
          <w:sz w:val="24"/>
          <w:szCs w:val="20"/>
          <w:highlight w:val="none"/>
        </w:rPr>
      </w:pPr>
      <w:r>
        <w:rPr>
          <w:rFonts w:hint="eastAsia" w:ascii="宋体" w:hAnsi="宋体" w:cs="宋体"/>
          <w:b/>
          <w:color w:val="auto"/>
          <w:sz w:val="24"/>
          <w:szCs w:val="20"/>
          <w:highlight w:val="none"/>
        </w:rPr>
        <w:t>　19、资格审查</w:t>
      </w:r>
    </w:p>
    <w:p>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19.1开标后，采购人将依据法律法规和招标文件的规定，对投标人的资格进行审查。</w:t>
      </w:r>
    </w:p>
    <w:p>
      <w:pPr>
        <w:pStyle w:val="85"/>
        <w:spacing w:before="0"/>
        <w:ind w:firstLine="480"/>
        <w:rPr>
          <w:rFonts w:ascii="宋体" w:hAnsi="宋体" w:cs="宋体"/>
          <w:color w:val="auto"/>
          <w:highlight w:val="none"/>
        </w:rPr>
      </w:pPr>
      <w:r>
        <w:rPr>
          <w:rFonts w:hint="eastAsia" w:ascii="宋体" w:hAnsi="宋体" w:cs="宋体"/>
          <w:color w:val="auto"/>
          <w:kern w:val="0"/>
          <w:szCs w:val="24"/>
          <w:highlight w:val="none"/>
        </w:rPr>
        <w:t>19.2投标人未按照招标文件要求提供与</w:t>
      </w:r>
      <w:r>
        <w:rPr>
          <w:rFonts w:hint="eastAsia" w:ascii="宋体" w:hAnsi="宋体" w:cs="宋体"/>
          <w:color w:val="auto"/>
          <w:highlight w:val="none"/>
        </w:rPr>
        <w:t>资格条件相应的</w:t>
      </w:r>
      <w:r>
        <w:rPr>
          <w:rFonts w:hint="eastAsia" w:ascii="宋体" w:hAnsi="宋体" w:cs="宋体"/>
          <w:color w:val="auto"/>
          <w:kern w:val="0"/>
          <w:szCs w:val="24"/>
          <w:highlight w:val="none"/>
        </w:rPr>
        <w:t>有效资格证明材料的，视为</w:t>
      </w:r>
      <w:r>
        <w:rPr>
          <w:rFonts w:hint="eastAsia" w:ascii="宋体" w:hAnsi="宋体" w:cs="宋体"/>
          <w:color w:val="auto"/>
          <w:highlight w:val="none"/>
        </w:rPr>
        <w:t>投标人不具备招标文件中规定的资格要求，其投标无效。</w:t>
      </w:r>
    </w:p>
    <w:p>
      <w:pPr>
        <w:pStyle w:val="85"/>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3对未通过资格审查的投标人，告知其未通过的原因。</w:t>
      </w:r>
    </w:p>
    <w:p>
      <w:pPr>
        <w:pStyle w:val="85"/>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4合格投标人不足3家的，不再评标。</w:t>
      </w:r>
    </w:p>
    <w:p>
      <w:pPr>
        <w:pStyle w:val="85"/>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20、信用信息查询</w:t>
      </w:r>
    </w:p>
    <w:p>
      <w:pPr>
        <w:pStyle w:val="85"/>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20.1信用信息查询渠道及截止时间：采购机构将在资格审查时通过“信用中国”网站(www.creditchina.gov.cn)、中国政府采购网(www.ccgp.gov.cn)渠道查询投标人接受资格审查时的信用记录。</w:t>
      </w:r>
    </w:p>
    <w:p>
      <w:pPr>
        <w:pStyle w:val="85"/>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20.2信用信息查询记录和证据留存的具体方式：现场查询的投标人的信用记录、查询结果经确认后将与采购文件一起存档。</w:t>
      </w:r>
    </w:p>
    <w:p>
      <w:pPr>
        <w:pStyle w:val="85"/>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20.3信用信息的使用规则：经查询列入失信被执行人名单、重大税收违法案件当事人名单、政府采购严重违法失信行为记录名单的投标人将被拒绝参与政府采购活动。</w:t>
      </w:r>
    </w:p>
    <w:p>
      <w:pPr>
        <w:pStyle w:val="85"/>
        <w:spacing w:before="0"/>
        <w:ind w:firstLine="480"/>
        <w:rPr>
          <w:rFonts w:ascii="宋体" w:hAnsi="宋体" w:cs="宋体"/>
          <w:color w:val="auto"/>
          <w:highlight w:val="none"/>
        </w:rPr>
      </w:pPr>
      <w:r>
        <w:rPr>
          <w:rFonts w:hint="eastAsia" w:ascii="宋体" w:hAnsi="宋体" w:cs="宋体"/>
          <w:color w:val="auto"/>
          <w:kern w:val="0"/>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color w:val="auto"/>
          <w:highlight w:val="none"/>
        </w:rPr>
        <w:t>。</w:t>
      </w:r>
    </w:p>
    <w:p>
      <w:pPr>
        <w:pStyle w:val="85"/>
        <w:spacing w:before="0"/>
        <w:ind w:firstLine="0" w:firstLineChars="0"/>
        <w:rPr>
          <w:rFonts w:ascii="宋体" w:hAnsi="宋体" w:cs="宋体"/>
          <w:color w:val="auto"/>
          <w:kern w:val="0"/>
          <w:szCs w:val="24"/>
          <w:highlight w:val="none"/>
        </w:rPr>
      </w:pPr>
    </w:p>
    <w:p>
      <w:pPr>
        <w:snapToGrid w:val="0"/>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rPr>
        <w:t>五、评标</w:t>
      </w:r>
    </w:p>
    <w:p>
      <w:pPr>
        <w:spacing w:line="360" w:lineRule="auto"/>
        <w:rPr>
          <w:rFonts w:ascii="宋体" w:hAnsi="宋体" w:cs="宋体"/>
          <w:b/>
          <w:color w:val="auto"/>
          <w:sz w:val="24"/>
          <w:highlight w:val="none"/>
        </w:rPr>
      </w:pPr>
      <w:bookmarkStart w:id="17" w:name="_Toc91899903"/>
      <w:r>
        <w:rPr>
          <w:rFonts w:hint="eastAsia" w:ascii="宋体" w:hAnsi="宋体" w:cs="宋体"/>
          <w:b/>
          <w:color w:val="auto"/>
          <w:sz w:val="24"/>
          <w:highlight w:val="none"/>
        </w:rPr>
        <w:t>21.</w:t>
      </w:r>
      <w:r>
        <w:rPr>
          <w:rFonts w:hint="eastAsia" w:ascii="宋体" w:hAnsi="宋体" w:cs="宋体"/>
          <w:color w:val="auto"/>
          <w:highlight w:val="none"/>
        </w:rPr>
        <w:t xml:space="preserve"> </w:t>
      </w:r>
      <w:r>
        <w:rPr>
          <w:rFonts w:hint="eastAsia" w:ascii="宋体" w:hAnsi="宋体" w:cs="宋体"/>
          <w:color w:val="auto"/>
          <w:sz w:val="24"/>
          <w:highlight w:val="none"/>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宋体" w:hAnsi="宋体" w:cs="宋体"/>
          <w:b/>
          <w:color w:val="auto"/>
          <w:sz w:val="24"/>
          <w:highlight w:val="none"/>
        </w:rPr>
        <w:t>详见招标文件第四部分评标办法。</w:t>
      </w:r>
    </w:p>
    <w:p>
      <w:pPr>
        <w:spacing w:line="360" w:lineRule="auto"/>
        <w:rPr>
          <w:rFonts w:ascii="宋体" w:hAnsi="宋体" w:cs="宋体"/>
          <w:b/>
          <w:color w:val="auto"/>
          <w:sz w:val="24"/>
          <w:highlight w:val="none"/>
        </w:rPr>
      </w:pPr>
    </w:p>
    <w:p>
      <w:pPr>
        <w:snapToGrid w:val="0"/>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rPr>
        <w:t>六、定 标</w:t>
      </w:r>
    </w:p>
    <w:p>
      <w:pPr>
        <w:pStyle w:val="26"/>
        <w:spacing w:line="360" w:lineRule="auto"/>
        <w:ind w:left="479" w:hanging="479" w:hangingChars="199"/>
        <w:rPr>
          <w:rFonts w:cs="宋体"/>
          <w:b/>
          <w:color w:val="auto"/>
          <w:highlight w:val="none"/>
        </w:rPr>
      </w:pPr>
      <w:r>
        <w:rPr>
          <w:rFonts w:hint="eastAsia" w:cs="宋体"/>
          <w:b/>
          <w:color w:val="auto"/>
          <w:highlight w:val="none"/>
        </w:rPr>
        <w:t>22. 确定中标供应商</w:t>
      </w:r>
    </w:p>
    <w:p>
      <w:pPr>
        <w:pStyle w:val="85"/>
        <w:snapToGrid w:val="0"/>
        <w:spacing w:before="0"/>
        <w:ind w:firstLine="480"/>
        <w:rPr>
          <w:rFonts w:ascii="宋体" w:hAnsi="宋体" w:cs="宋体"/>
          <w:color w:val="auto"/>
          <w:szCs w:val="24"/>
          <w:highlight w:val="none"/>
        </w:rPr>
      </w:pPr>
      <w:r>
        <w:rPr>
          <w:rFonts w:hint="eastAsia" w:ascii="宋体" w:hAnsi="宋体" w:cs="宋体"/>
          <w:color w:val="auto"/>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在采购结果确认环节，中标候选人撤销投标文件不能成为采购人不确认采购结果的正当理由。中标通知书和中标结果公告应当在规定时间内同时发出。</w:t>
      </w:r>
    </w:p>
    <w:p>
      <w:pPr>
        <w:pStyle w:val="85"/>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23. 中标通知与中标结果公告</w:t>
      </w:r>
    </w:p>
    <w:p>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23.1自中标人确定之日起2个工作日内，采购机构通过电子交易平台向中标人发出中标通知书，同时编制发布采购结果公告。采购机构也可以以纸质形式进行中标通知。</w:t>
      </w:r>
    </w:p>
    <w:p>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23.2中标结果公告内容包括采购人及其委托的采购机构的名称、地址、联系方式，项目名称和项目编号，中标人名称、地址和中标金额，主要中标标的的名称、规格型号、数量、单价、服务要求，开标记录、资格审查情况、评审专家抽取规则、符合性审查情况、未中标情况说明、中标公告期限以及评审专家名单、评分汇总及明细。</w:t>
      </w:r>
    </w:p>
    <w:p>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23.3公告期限为1个工作日。</w:t>
      </w:r>
    </w:p>
    <w:p>
      <w:pPr>
        <w:snapToGrid w:val="0"/>
        <w:spacing w:line="360" w:lineRule="auto"/>
        <w:ind w:left="120" w:leftChars="57" w:firstLine="482" w:firstLineChars="150"/>
        <w:jc w:val="center"/>
        <w:rPr>
          <w:rFonts w:ascii="宋体" w:hAnsi="宋体" w:cs="宋体"/>
          <w:b/>
          <w:color w:val="auto"/>
          <w:sz w:val="32"/>
          <w:highlight w:val="none"/>
        </w:rPr>
      </w:pPr>
    </w:p>
    <w:p>
      <w:pPr>
        <w:snapToGrid w:val="0"/>
        <w:spacing w:line="360" w:lineRule="auto"/>
        <w:ind w:left="120" w:leftChars="57" w:firstLine="482" w:firstLineChars="150"/>
        <w:jc w:val="center"/>
        <w:rPr>
          <w:rFonts w:ascii="宋体" w:hAnsi="宋体" w:cs="宋体"/>
          <w:b/>
          <w:color w:val="auto"/>
          <w:sz w:val="32"/>
          <w:highlight w:val="none"/>
        </w:rPr>
      </w:pPr>
      <w:r>
        <w:rPr>
          <w:rFonts w:hint="eastAsia" w:ascii="宋体" w:hAnsi="宋体" w:cs="宋体"/>
          <w:b/>
          <w:color w:val="auto"/>
          <w:sz w:val="32"/>
          <w:highlight w:val="none"/>
        </w:rPr>
        <w:t>七、合同授予</w:t>
      </w:r>
    </w:p>
    <w:p>
      <w:pPr>
        <w:pStyle w:val="26"/>
        <w:spacing w:line="360" w:lineRule="auto"/>
        <w:ind w:left="479" w:hanging="479" w:hangingChars="199"/>
        <w:rPr>
          <w:rFonts w:cs="宋体"/>
          <w:b/>
          <w:color w:val="auto"/>
          <w:highlight w:val="none"/>
        </w:rPr>
      </w:pPr>
      <w:r>
        <w:rPr>
          <w:rFonts w:hint="eastAsia" w:cs="宋体"/>
          <w:b/>
          <w:color w:val="auto"/>
          <w:highlight w:val="none"/>
        </w:rPr>
        <w:t xml:space="preserve">24. </w:t>
      </w:r>
      <w:r>
        <w:rPr>
          <w:rFonts w:hint="eastAsia" w:cs="宋体"/>
          <w:color w:val="auto"/>
          <w:highlight w:val="none"/>
        </w:rPr>
        <w:t>合同主要条款详见第五部分拟签订的合同文本。</w:t>
      </w:r>
    </w:p>
    <w:p>
      <w:pPr>
        <w:pStyle w:val="26"/>
        <w:spacing w:line="360" w:lineRule="auto"/>
        <w:ind w:left="479" w:hanging="479" w:hangingChars="199"/>
        <w:rPr>
          <w:rFonts w:cs="宋体"/>
          <w:b/>
          <w:color w:val="auto"/>
          <w:highlight w:val="none"/>
        </w:rPr>
      </w:pPr>
      <w:r>
        <w:rPr>
          <w:rFonts w:hint="eastAsia" w:cs="宋体"/>
          <w:b/>
          <w:color w:val="auto"/>
          <w:highlight w:val="none"/>
        </w:rPr>
        <w:t>25. 合同的签订</w:t>
      </w:r>
    </w:p>
    <w:p>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sz w:val="24"/>
          <w:highlight w:val="none"/>
        </w:rPr>
        <w:t>25.1</w:t>
      </w:r>
      <w:r>
        <w:rPr>
          <w:rFonts w:hint="eastAsia" w:ascii="宋体" w:hAnsi="宋体" w:cs="宋体"/>
          <w:color w:val="auto"/>
          <w:kern w:val="0"/>
          <w:sz w:val="24"/>
          <w:highlight w:val="none"/>
        </w:rPr>
        <w:t xml:space="preserve"> 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杜绝“冷、硬、横、推”等不当行为。除不可抗力等特殊情况外，原则上应当在中标通知书发出之日起10个工作日内，与中标供应商按照采购文件确定的事项签订政府采购合同。</w:t>
      </w:r>
    </w:p>
    <w:p>
      <w:pPr>
        <w:pStyle w:val="85"/>
        <w:snapToGrid w:val="0"/>
        <w:spacing w:before="0"/>
        <w:ind w:firstLine="480"/>
        <w:rPr>
          <w:rFonts w:ascii="宋体" w:hAnsi="宋体" w:cs="宋体"/>
          <w:color w:val="auto"/>
          <w:kern w:val="0"/>
          <w:highlight w:val="none"/>
        </w:rPr>
      </w:pPr>
      <w:r>
        <w:rPr>
          <w:rFonts w:hint="eastAsia" w:ascii="宋体" w:hAnsi="宋体" w:cs="宋体"/>
          <w:color w:val="auto"/>
          <w:kern w:val="0"/>
          <w:highlight w:val="none"/>
          <w:lang w:val="zh-CN"/>
        </w:rPr>
        <w:t>25.2中标人按规定的日期、时间、地点，由法定代表人或其授权代表与采购人代表签订合同。如中标人为联合体的，由联合体成员各方法定代表人或其授权代表与采购人代表签订合同。</w:t>
      </w:r>
    </w:p>
    <w:p>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25.3如签订合同并生效后，供应商无故拒绝或延期，除按照合同条款处理外，列入不良行为记录一次，并给予通报。</w:t>
      </w:r>
    </w:p>
    <w:p>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25.4中标供应商拒绝与采购人签订合同的，采购人可以按照评审报告推荐的中标或者成交候选人名单排序，确定下一候选人为中标供应商，也可以重新开展政府采购活动。</w:t>
      </w:r>
    </w:p>
    <w:p>
      <w:pPr>
        <w:pStyle w:val="85"/>
        <w:snapToGrid w:val="0"/>
        <w:spacing w:before="0" w:after="120"/>
        <w:ind w:firstLine="480"/>
        <w:rPr>
          <w:rFonts w:ascii="宋体" w:hAnsi="宋体" w:cs="宋体"/>
          <w:color w:val="auto"/>
          <w:highlight w:val="none"/>
        </w:rPr>
      </w:pPr>
      <w:r>
        <w:rPr>
          <w:rFonts w:hint="eastAsia" w:ascii="宋体" w:hAnsi="宋体" w:cs="宋体"/>
          <w:color w:val="auto"/>
          <w:highlight w:val="none"/>
        </w:rPr>
        <w:t>25.5采购合同由采购人与中标供应商根据招标文件、投标文件等内容通过政府采购电子交易平台在线签订，自动备案。</w:t>
      </w:r>
    </w:p>
    <w:p>
      <w:pPr>
        <w:pStyle w:val="26"/>
        <w:spacing w:line="360" w:lineRule="auto"/>
        <w:ind w:left="479" w:hanging="479" w:hangingChars="199"/>
        <w:rPr>
          <w:rFonts w:cs="宋体"/>
          <w:b/>
          <w:color w:val="auto"/>
          <w:highlight w:val="none"/>
        </w:rPr>
      </w:pPr>
      <w:r>
        <w:rPr>
          <w:rFonts w:hint="eastAsia" w:cs="宋体"/>
          <w:b/>
          <w:color w:val="auto"/>
          <w:highlight w:val="none"/>
        </w:rPr>
        <w:t>26. 履约保证金</w:t>
      </w:r>
    </w:p>
    <w:p>
      <w:pPr>
        <w:tabs>
          <w:tab w:val="left" w:pos="0"/>
        </w:tabs>
        <w:spacing w:line="360" w:lineRule="auto"/>
        <w:ind w:firstLine="482"/>
        <w:rPr>
          <w:rFonts w:ascii="宋体" w:hAnsi="宋体" w:cs="宋体"/>
          <w:color w:val="auto"/>
          <w:sz w:val="24"/>
          <w:highlight w:val="none"/>
        </w:rPr>
      </w:pPr>
      <w:r>
        <w:rPr>
          <w:rFonts w:hint="eastAsia" w:ascii="宋体" w:hAnsi="宋体" w:cs="宋体"/>
          <w:color w:val="auto"/>
          <w:kern w:val="0"/>
          <w:sz w:val="24"/>
          <w:highlight w:val="none"/>
        </w:rPr>
        <w:t>拟签订的合同文本要求中标供应商提交履约保证金的，供应商应当以支票、汇票、本票或者金融机构、担保机构出具的保函等非现金形式提交</w:t>
      </w:r>
      <w:r>
        <w:rPr>
          <w:rFonts w:hint="eastAsia" w:ascii="宋体" w:hAnsi="宋体" w:cs="宋体"/>
          <w:color w:val="auto"/>
          <w:sz w:val="24"/>
          <w:highlight w:val="none"/>
        </w:rPr>
        <w:t>。履约保证金的数额不得超过政府采购合同金额的</w:t>
      </w:r>
      <w:r>
        <w:rPr>
          <w:rFonts w:ascii="宋体" w:hAnsi="宋体" w:cs="宋体"/>
          <w:color w:val="auto"/>
          <w:sz w:val="24"/>
          <w:highlight w:val="none"/>
        </w:rPr>
        <w:t>1</w:t>
      </w:r>
      <w:r>
        <w:rPr>
          <w:rFonts w:hint="eastAsia" w:ascii="宋体" w:hAnsi="宋体" w:cs="宋体"/>
          <w:color w:val="auto"/>
          <w:sz w:val="24"/>
          <w:highlight w:val="none"/>
        </w:rPr>
        <w:t>%。鼓励和支持供应商以银行、保险公司出具的保函形式提供履约保证金。采购人不得拒收履约保函，项目验收结束后应及时退还，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pPr>
        <w:pStyle w:val="2"/>
        <w:ind w:left="0" w:firstLine="480" w:firstLineChars="200"/>
        <w:rPr>
          <w:rFonts w:ascii="宋体" w:hAnsi="宋体" w:eastAsia="宋体" w:cs="宋体"/>
          <w:color w:val="auto"/>
          <w:highlight w:val="none"/>
          <w:lang w:val="en-US"/>
        </w:rPr>
      </w:pPr>
      <w:r>
        <w:rPr>
          <w:rFonts w:hint="eastAsia" w:ascii="宋体" w:hAnsi="宋体" w:eastAsia="宋体" w:cs="宋体"/>
          <w:b w:val="0"/>
          <w:bCs w:val="0"/>
          <w:snapToGrid w:val="0"/>
          <w:color w:val="auto"/>
          <w:kern w:val="28"/>
          <w:sz w:val="24"/>
          <w:highlight w:val="none"/>
        </w:rPr>
        <w:t>供应商</w:t>
      </w:r>
      <w:r>
        <w:rPr>
          <w:rFonts w:hint="eastAsia" w:ascii="宋体" w:hAnsi="宋体" w:eastAsia="宋体" w:cs="宋体"/>
          <w:b w:val="0"/>
          <w:bCs w:val="0"/>
          <w:snapToGrid w:val="0"/>
          <w:color w:val="auto"/>
          <w:kern w:val="28"/>
          <w:sz w:val="24"/>
          <w:highlight w:val="none"/>
          <w:lang w:val="en-US"/>
        </w:rPr>
        <w:t>可</w:t>
      </w:r>
      <w:r>
        <w:rPr>
          <w:rFonts w:hint="eastAsia" w:ascii="宋体" w:hAnsi="宋体" w:eastAsia="宋体" w:cs="宋体"/>
          <w:b w:val="0"/>
          <w:bCs w:val="0"/>
          <w:snapToGrid w:val="0"/>
          <w:color w:val="auto"/>
          <w:kern w:val="28"/>
          <w:sz w:val="24"/>
          <w:highlight w:val="none"/>
        </w:rPr>
        <w:t>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pPr>
        <w:snapToGrid w:val="0"/>
        <w:spacing w:line="360" w:lineRule="auto"/>
        <w:ind w:firstLine="3357" w:firstLineChars="1045"/>
        <w:rPr>
          <w:rFonts w:ascii="宋体" w:hAnsi="宋体" w:cs="宋体"/>
          <w:b/>
          <w:color w:val="auto"/>
          <w:sz w:val="32"/>
          <w:highlight w:val="none"/>
        </w:rPr>
      </w:pPr>
    </w:p>
    <w:p>
      <w:pPr>
        <w:snapToGrid w:val="0"/>
        <w:spacing w:line="360" w:lineRule="auto"/>
        <w:ind w:firstLine="3357" w:firstLineChars="1045"/>
        <w:rPr>
          <w:rFonts w:ascii="宋体" w:hAnsi="宋体" w:cs="宋体"/>
          <w:b/>
          <w:color w:val="auto"/>
          <w:sz w:val="24"/>
          <w:highlight w:val="none"/>
        </w:rPr>
      </w:pPr>
      <w:r>
        <w:rPr>
          <w:rFonts w:hint="eastAsia" w:ascii="宋体" w:hAnsi="宋体" w:cs="宋体"/>
          <w:b/>
          <w:color w:val="auto"/>
          <w:sz w:val="32"/>
          <w:highlight w:val="none"/>
        </w:rPr>
        <w:t>八、电子交易活动的中止</w:t>
      </w:r>
    </w:p>
    <w:p>
      <w:pPr>
        <w:pStyle w:val="85"/>
        <w:snapToGrid w:val="0"/>
        <w:spacing w:before="0"/>
        <w:ind w:firstLine="0" w:firstLineChars="0"/>
        <w:rPr>
          <w:rFonts w:ascii="宋体" w:hAnsi="宋体" w:cs="宋体"/>
          <w:color w:val="auto"/>
          <w:highlight w:val="none"/>
        </w:rPr>
      </w:pPr>
      <w:r>
        <w:rPr>
          <w:rFonts w:hint="eastAsia" w:ascii="宋体" w:hAnsi="宋体" w:cs="宋体"/>
          <w:color w:val="auto"/>
          <w:highlight w:val="none"/>
        </w:rPr>
        <w:t>2</w:t>
      </w:r>
      <w:r>
        <w:rPr>
          <w:rFonts w:hint="eastAsia" w:ascii="宋体" w:hAnsi="宋体" w:cs="宋体"/>
          <w:b/>
          <w:color w:val="auto"/>
          <w:szCs w:val="24"/>
          <w:highlight w:val="none"/>
        </w:rPr>
        <w:t>7. 电子交易活动的中止。</w:t>
      </w:r>
      <w:r>
        <w:rPr>
          <w:rFonts w:hint="eastAsia" w:ascii="宋体" w:hAnsi="宋体" w:cs="宋体"/>
          <w:color w:val="auto"/>
          <w:highlight w:val="none"/>
        </w:rPr>
        <w:t>采购过程中出现以下情形，导致电子交易平台无法正常运行，或者无法保证电子交易的公平、公正和安全时，采购机构可中止电子交易活动：</w:t>
      </w:r>
    </w:p>
    <w:p>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 xml:space="preserve">27.1电子交易平台发生故障而无法登录访问的； </w:t>
      </w:r>
    </w:p>
    <w:p>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27.2电子交易平台应用或数据库出现错误，不能进行正常操作的；</w:t>
      </w:r>
    </w:p>
    <w:p>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27.3电子交易平台发现严重安全漏洞，有潜在泄密危险的；</w:t>
      </w:r>
    </w:p>
    <w:p>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 xml:space="preserve">27.4病毒发作导致不能进行正常操作的； </w:t>
      </w:r>
    </w:p>
    <w:p>
      <w:pPr>
        <w:pStyle w:val="85"/>
        <w:snapToGrid w:val="0"/>
        <w:spacing w:before="0"/>
        <w:ind w:firstLine="480"/>
        <w:rPr>
          <w:rFonts w:ascii="宋体" w:hAnsi="宋体" w:cs="宋体"/>
          <w:color w:val="auto"/>
          <w:highlight w:val="none"/>
        </w:rPr>
      </w:pPr>
      <w:r>
        <w:rPr>
          <w:rFonts w:hint="eastAsia" w:ascii="宋体" w:hAnsi="宋体" w:cs="宋体"/>
          <w:color w:val="auto"/>
          <w:highlight w:val="none"/>
        </w:rPr>
        <w:t>27.5其他无法保证电子交易的公平、公正和安全的情况。</w:t>
      </w:r>
    </w:p>
    <w:p>
      <w:pPr>
        <w:pStyle w:val="85"/>
        <w:snapToGrid w:val="0"/>
        <w:spacing w:before="0"/>
        <w:ind w:firstLine="0" w:firstLineChars="0"/>
        <w:rPr>
          <w:rFonts w:ascii="宋体" w:hAnsi="宋体" w:cs="宋体"/>
          <w:color w:val="auto"/>
          <w:highlight w:val="none"/>
        </w:rPr>
      </w:pPr>
      <w:r>
        <w:rPr>
          <w:rFonts w:hint="eastAsia" w:ascii="宋体" w:hAnsi="宋体" w:cs="宋体"/>
          <w:color w:val="auto"/>
          <w:highlight w:val="none"/>
        </w:rPr>
        <w:t xml:space="preserve"> 28.出现以上情形，不影响采购公平、公正性的，采购组织机构可以待上述情形消除后继续组织电子交易活动，也可以决定某些环节以纸质形式进行；影响或可能影响采购公平、公正性的，应当重新采购。</w:t>
      </w:r>
    </w:p>
    <w:p>
      <w:pPr>
        <w:tabs>
          <w:tab w:val="left" w:pos="0"/>
        </w:tabs>
        <w:spacing w:line="360" w:lineRule="auto"/>
        <w:ind w:firstLine="480"/>
        <w:rPr>
          <w:rFonts w:ascii="宋体" w:hAnsi="宋体" w:cs="宋体"/>
          <w:color w:val="auto"/>
          <w:sz w:val="24"/>
          <w:highlight w:val="none"/>
        </w:rPr>
      </w:pPr>
    </w:p>
    <w:p>
      <w:pPr>
        <w:snapToGrid w:val="0"/>
        <w:spacing w:line="360" w:lineRule="auto"/>
        <w:ind w:left="120" w:leftChars="57" w:firstLine="482" w:firstLineChars="150"/>
        <w:jc w:val="center"/>
        <w:rPr>
          <w:rFonts w:ascii="宋体" w:hAnsi="宋体" w:cs="宋体"/>
          <w:b/>
          <w:color w:val="auto"/>
          <w:sz w:val="32"/>
          <w:highlight w:val="none"/>
        </w:rPr>
      </w:pPr>
      <w:r>
        <w:rPr>
          <w:rFonts w:hint="eastAsia" w:ascii="宋体" w:hAnsi="宋体" w:cs="宋体"/>
          <w:b/>
          <w:color w:val="auto"/>
          <w:sz w:val="32"/>
          <w:highlight w:val="none"/>
        </w:rPr>
        <w:t>九、验收</w:t>
      </w:r>
    </w:p>
    <w:p>
      <w:pPr>
        <w:pStyle w:val="26"/>
        <w:spacing w:line="360" w:lineRule="auto"/>
        <w:ind w:firstLine="0" w:firstLineChars="0"/>
        <w:rPr>
          <w:rFonts w:cs="宋体"/>
          <w:b/>
          <w:color w:val="auto"/>
          <w:highlight w:val="none"/>
        </w:rPr>
      </w:pPr>
      <w:r>
        <w:rPr>
          <w:rFonts w:hint="eastAsia" w:cs="宋体"/>
          <w:b/>
          <w:color w:val="auto"/>
          <w:highlight w:val="none"/>
        </w:rPr>
        <w:t>29.验收</w:t>
      </w:r>
    </w:p>
    <w:p>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29.1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29.2采购人可以邀请参加本项目的其他投标人或者第三方机构参与验收。参与验收的投标人或者第三方机构的意见作为验收书的参考资料一并存档。</w:t>
      </w:r>
    </w:p>
    <w:p>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29.3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tabs>
          <w:tab w:val="left" w:pos="0"/>
        </w:tabs>
        <w:spacing w:line="360" w:lineRule="auto"/>
        <w:ind w:firstLine="480"/>
        <w:rPr>
          <w:rFonts w:ascii="宋体" w:hAnsi="宋体" w:cs="宋体"/>
          <w:color w:val="auto"/>
          <w:sz w:val="18"/>
          <w:szCs w:val="18"/>
          <w:highlight w:val="none"/>
        </w:rPr>
      </w:pPr>
      <w:r>
        <w:rPr>
          <w:rFonts w:hint="eastAsia" w:ascii="宋体" w:hAnsi="宋体" w:cs="宋体"/>
          <w:color w:val="auto"/>
          <w:kern w:val="0"/>
          <w:sz w:val="24"/>
          <w:highlight w:val="none"/>
        </w:rPr>
        <w:t>29.4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bookmarkEnd w:id="17"/>
    <w:p>
      <w:pPr>
        <w:tabs>
          <w:tab w:val="left" w:pos="0"/>
        </w:tabs>
        <w:spacing w:line="360" w:lineRule="auto"/>
        <w:ind w:firstLine="480"/>
        <w:rPr>
          <w:rFonts w:ascii="宋体" w:hAnsi="宋体" w:cs="宋体"/>
          <w:color w:val="auto"/>
          <w:kern w:val="0"/>
          <w:sz w:val="24"/>
          <w:highlight w:val="none"/>
        </w:rPr>
        <w:sectPr>
          <w:headerReference r:id="rId5" w:type="first"/>
          <w:footerReference r:id="rId8" w:type="first"/>
          <w:headerReference r:id="rId4" w:type="default"/>
          <w:footerReference r:id="rId6" w:type="default"/>
          <w:footerReference r:id="rId7" w:type="even"/>
          <w:pgSz w:w="11906" w:h="16838"/>
          <w:pgMar w:top="680" w:right="1418" w:bottom="468" w:left="1418" w:header="851" w:footer="992" w:gutter="0"/>
          <w:cols w:space="720" w:num="1"/>
          <w:titlePg/>
          <w:docGrid w:linePitch="312" w:charSpace="0"/>
        </w:sectPr>
      </w:pPr>
      <w:bookmarkStart w:id="18" w:name="_Hlt68072998"/>
      <w:bookmarkEnd w:id="18"/>
      <w:bookmarkStart w:id="19" w:name="_Hlt68403820"/>
      <w:bookmarkEnd w:id="19"/>
      <w:bookmarkStart w:id="20" w:name="_Hlt75236011"/>
      <w:bookmarkEnd w:id="20"/>
      <w:bookmarkStart w:id="21" w:name="_Hlt75236101"/>
      <w:bookmarkEnd w:id="21"/>
      <w:bookmarkStart w:id="22" w:name="_Hlt75236290"/>
      <w:bookmarkEnd w:id="22"/>
      <w:bookmarkStart w:id="23" w:name="_Hlt68057669"/>
      <w:bookmarkEnd w:id="23"/>
      <w:bookmarkStart w:id="24" w:name="_Hlt74729768"/>
      <w:bookmarkEnd w:id="24"/>
      <w:bookmarkStart w:id="25" w:name="_Hlt68073093"/>
      <w:bookmarkEnd w:id="25"/>
      <w:bookmarkStart w:id="26" w:name="_Hlt68072990"/>
      <w:bookmarkEnd w:id="26"/>
      <w:bookmarkStart w:id="27" w:name="_Hlt74707468"/>
      <w:bookmarkEnd w:id="27"/>
      <w:bookmarkStart w:id="28" w:name="_Hlt74730295"/>
      <w:bookmarkEnd w:id="28"/>
      <w:bookmarkStart w:id="29" w:name="_Hlt74714665"/>
      <w:bookmarkEnd w:id="29"/>
    </w:p>
    <w:bookmarkEnd w:id="12"/>
    <w:bookmarkEnd w:id="13"/>
    <w:p>
      <w:pPr>
        <w:spacing w:line="360" w:lineRule="auto"/>
        <w:jc w:val="center"/>
        <w:outlineLvl w:val="0"/>
        <w:rPr>
          <w:rFonts w:ascii="宋体" w:hAnsi="宋体" w:cs="宋体"/>
          <w:b/>
          <w:color w:val="auto"/>
          <w:sz w:val="36"/>
          <w:szCs w:val="36"/>
          <w:highlight w:val="none"/>
        </w:rPr>
      </w:pPr>
      <w:bookmarkStart w:id="30" w:name="第四部分"/>
      <w:r>
        <w:rPr>
          <w:rFonts w:hint="eastAsia" w:ascii="宋体" w:hAnsi="宋体" w:cs="宋体"/>
          <w:b/>
          <w:color w:val="auto"/>
          <w:sz w:val="36"/>
          <w:szCs w:val="36"/>
          <w:highlight w:val="none"/>
        </w:rPr>
        <w:t>第三部分   采购需求</w:t>
      </w:r>
    </w:p>
    <w:p>
      <w:pPr>
        <w:rPr>
          <w:rFonts w:hint="eastAsia"/>
          <w:color w:val="auto"/>
          <w:highlight w:val="none"/>
        </w:rPr>
      </w:pPr>
    </w:p>
    <w:p>
      <w:pPr>
        <w:adjustRightInd w:val="0"/>
        <w:snapToGrid w:val="0"/>
        <w:spacing w:line="400" w:lineRule="atLeast"/>
        <w:rPr>
          <w:rFonts w:ascii="Times New Roman" w:hAnsi="Times New Roman"/>
          <w:b/>
          <w:bCs/>
          <w:color w:val="auto"/>
          <w:sz w:val="24"/>
          <w:szCs w:val="24"/>
          <w:highlight w:val="none"/>
        </w:rPr>
      </w:pPr>
      <w:r>
        <w:rPr>
          <w:rFonts w:hint="eastAsia" w:ascii="宋体" w:hAnsi="宋体" w:cs="宋体"/>
          <w:b/>
          <w:bCs/>
          <w:color w:val="auto"/>
          <w:sz w:val="24"/>
          <w:szCs w:val="24"/>
          <w:highlight w:val="none"/>
          <w:lang w:val="en-US" w:eastAsia="zh-CN"/>
        </w:rPr>
        <w:t xml:space="preserve">  </w:t>
      </w:r>
      <w:r>
        <w:rPr>
          <w:rFonts w:ascii="Times New Roman" w:hAnsi="Times New Roman"/>
          <w:b/>
          <w:bCs/>
          <w:color w:val="auto"/>
          <w:sz w:val="24"/>
          <w:szCs w:val="24"/>
          <w:highlight w:val="none"/>
        </w:rPr>
        <w:t>一、项目概述：</w:t>
      </w:r>
    </w:p>
    <w:p>
      <w:pPr>
        <w:tabs>
          <w:tab w:val="left" w:pos="0"/>
        </w:tabs>
        <w:spacing w:line="360" w:lineRule="auto"/>
        <w:ind w:firstLine="48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本项目为“交钥匙”项目，采购内容</w:t>
      </w:r>
      <w:r>
        <w:rPr>
          <w:rFonts w:hint="eastAsia" w:ascii="宋体" w:hAnsi="宋体" w:cs="宋体"/>
          <w:color w:val="auto"/>
          <w:kern w:val="0"/>
          <w:sz w:val="24"/>
          <w:highlight w:val="none"/>
          <w:lang w:eastAsia="zh-CN"/>
        </w:rPr>
        <w:t>为</w:t>
      </w:r>
      <w:r>
        <w:rPr>
          <w:rFonts w:hint="eastAsia" w:ascii="宋体" w:hAnsi="宋体" w:cs="宋体"/>
          <w:color w:val="auto"/>
          <w:sz w:val="24"/>
          <w:highlight w:val="none"/>
          <w:lang w:eastAsia="zh-CN"/>
        </w:rPr>
        <w:t>信息类设备采购</w:t>
      </w:r>
      <w:r>
        <w:rPr>
          <w:rFonts w:hint="eastAsia" w:ascii="宋体" w:hAnsi="宋体" w:cs="宋体"/>
          <w:color w:val="auto"/>
          <w:kern w:val="0"/>
          <w:sz w:val="24"/>
          <w:highlight w:val="none"/>
        </w:rPr>
        <w:t>。采购清单中货物供货、安装调试、系统集成、货物验收、培训、质保期内的售后服务</w:t>
      </w:r>
      <w:r>
        <w:rPr>
          <w:rFonts w:hint="eastAsia" w:ascii="宋体" w:hAnsi="宋体" w:cs="宋体"/>
          <w:color w:val="auto"/>
          <w:kern w:val="0"/>
          <w:sz w:val="24"/>
          <w:highlight w:val="none"/>
          <w:lang w:eastAsia="zh-CN"/>
        </w:rPr>
        <w:t>、办公室内部网络电源临时通电通网</w:t>
      </w:r>
      <w:r>
        <w:rPr>
          <w:rFonts w:hint="eastAsia" w:ascii="宋体" w:hAnsi="宋体" w:cs="宋体"/>
          <w:color w:val="auto"/>
          <w:kern w:val="0"/>
          <w:sz w:val="24"/>
          <w:highlight w:val="none"/>
        </w:rPr>
        <w:t xml:space="preserve">等。投标报价包括货物、搬运、安装、调试、集成、售后服务费、培训费、有关部门的验收费、政策性文件规定及合同包含的所有风险、责任等各项全部费用，采购需求清单中未提到，但在实际项目实施过程中需要配置的配件等各种费用，均计入投标报价中，不得额外收费 </w:t>
      </w:r>
      <w:r>
        <w:rPr>
          <w:rFonts w:hint="eastAsia" w:ascii="宋体" w:hAnsi="宋体" w:cs="宋体"/>
          <w:color w:val="auto"/>
          <w:kern w:val="0"/>
          <w:sz w:val="24"/>
          <w:highlight w:val="none"/>
          <w:lang w:eastAsia="zh-CN"/>
        </w:rPr>
        <w:t>。</w:t>
      </w:r>
    </w:p>
    <w:p>
      <w:pPr>
        <w:adjustRightInd w:val="0"/>
        <w:snapToGrid w:val="0"/>
        <w:spacing w:line="400" w:lineRule="atLeast"/>
        <w:rPr>
          <w:rFonts w:ascii="Times New Roman" w:hAnsi="Times New Roman"/>
          <w:b/>
          <w:bCs/>
          <w:color w:val="auto"/>
          <w:sz w:val="24"/>
          <w:szCs w:val="24"/>
          <w:highlight w:val="none"/>
          <w:u w:val="single"/>
        </w:rPr>
      </w:pPr>
      <w:r>
        <w:rPr>
          <w:rFonts w:ascii="Times New Roman" w:hAnsi="Times New Roman"/>
          <w:b/>
          <w:bCs/>
          <w:color w:val="auto"/>
          <w:sz w:val="24"/>
          <w:szCs w:val="24"/>
          <w:highlight w:val="none"/>
        </w:rPr>
        <w:t>二、具体服务内容、要求等：</w:t>
      </w:r>
    </w:p>
    <w:p>
      <w:pPr>
        <w:tabs>
          <w:tab w:val="left" w:pos="0"/>
        </w:tabs>
        <w:spacing w:line="360" w:lineRule="auto"/>
        <w:ind w:firstLine="480"/>
        <w:rPr>
          <w:rFonts w:hint="eastAsia" w:ascii="宋体" w:hAnsi="宋体" w:cs="宋体"/>
          <w:color w:val="auto"/>
          <w:kern w:val="0"/>
          <w:sz w:val="24"/>
          <w:highlight w:val="none"/>
        </w:rPr>
      </w:pPr>
      <w:r>
        <w:rPr>
          <w:rFonts w:hint="eastAsia" w:ascii="宋体" w:hAnsi="宋体" w:cs="宋体"/>
          <w:color w:val="auto"/>
          <w:kern w:val="0"/>
          <w:sz w:val="24"/>
          <w:highlight w:val="none"/>
        </w:rPr>
        <w:t>（二）采购标的清单</w:t>
      </w:r>
    </w:p>
    <w:tbl>
      <w:tblPr>
        <w:tblStyle w:val="73"/>
        <w:tblW w:w="84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2"/>
        <w:gridCol w:w="906"/>
        <w:gridCol w:w="5916"/>
        <w:gridCol w:w="499"/>
        <w:gridCol w:w="6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4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auto"/>
                <w:sz w:val="24"/>
                <w:highlight w:val="none"/>
              </w:rPr>
            </w:pPr>
            <w:r>
              <w:rPr>
                <w:rFonts w:hint="eastAsia" w:ascii="宋体" w:hAnsi="宋体" w:cs="宋体"/>
                <w:b/>
                <w:bCs/>
                <w:color w:val="auto"/>
                <w:kern w:val="0"/>
                <w:sz w:val="24"/>
                <w:highlight w:val="none"/>
              </w:rPr>
              <w:t>序号</w:t>
            </w:r>
          </w:p>
        </w:tc>
        <w:tc>
          <w:tcPr>
            <w:tcW w:w="90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auto"/>
                <w:sz w:val="24"/>
                <w:highlight w:val="none"/>
              </w:rPr>
            </w:pPr>
            <w:r>
              <w:rPr>
                <w:rFonts w:hint="eastAsia" w:ascii="宋体" w:hAnsi="宋体" w:cs="宋体"/>
                <w:b/>
                <w:bCs/>
                <w:color w:val="auto"/>
                <w:kern w:val="0"/>
                <w:sz w:val="24"/>
                <w:highlight w:val="none"/>
              </w:rPr>
              <w:t>名称</w:t>
            </w:r>
          </w:p>
        </w:tc>
        <w:tc>
          <w:tcPr>
            <w:tcW w:w="591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bCs/>
                <w:color w:val="auto"/>
                <w:sz w:val="24"/>
                <w:highlight w:val="none"/>
              </w:rPr>
            </w:pPr>
            <w:r>
              <w:rPr>
                <w:rFonts w:hint="eastAsia" w:ascii="宋体" w:hAnsi="宋体" w:cs="宋体"/>
                <w:b/>
                <w:bCs/>
                <w:color w:val="auto"/>
                <w:sz w:val="24"/>
                <w:highlight w:val="none"/>
              </w:rPr>
              <w:t>技术参数</w:t>
            </w:r>
          </w:p>
        </w:tc>
        <w:tc>
          <w:tcPr>
            <w:tcW w:w="4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auto"/>
                <w:sz w:val="24"/>
                <w:highlight w:val="none"/>
                <w:lang w:eastAsia="zh-CN"/>
              </w:rPr>
            </w:pPr>
            <w:r>
              <w:rPr>
                <w:rFonts w:hint="eastAsia" w:ascii="宋体" w:hAnsi="宋体" w:cs="宋体"/>
                <w:b/>
                <w:bCs/>
                <w:color w:val="auto"/>
                <w:kern w:val="0"/>
                <w:sz w:val="24"/>
                <w:highlight w:val="none"/>
                <w:lang w:eastAsia="zh-CN"/>
              </w:rPr>
              <w:t>单位</w:t>
            </w:r>
          </w:p>
        </w:tc>
        <w:tc>
          <w:tcPr>
            <w:tcW w:w="6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auto"/>
                <w:sz w:val="24"/>
                <w:highlight w:val="none"/>
                <w:lang w:eastAsia="zh-CN"/>
              </w:rPr>
            </w:pPr>
            <w:r>
              <w:rPr>
                <w:rFonts w:hint="eastAsia" w:ascii="宋体" w:hAnsi="宋体" w:cs="宋体"/>
                <w:b/>
                <w:bCs/>
                <w:color w:val="auto"/>
                <w:kern w:val="0"/>
                <w:sz w:val="24"/>
                <w:highlight w:val="none"/>
                <w:lang w:eastAsia="zh-CN"/>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4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1</w:t>
            </w:r>
          </w:p>
        </w:tc>
        <w:tc>
          <w:tcPr>
            <w:tcW w:w="906"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分体台式</w:t>
            </w:r>
            <w:r>
              <w:rPr>
                <w:rFonts w:hint="eastAsia" w:ascii="宋体" w:hAnsi="宋体" w:cs="宋体"/>
                <w:color w:val="auto"/>
                <w:kern w:val="0"/>
                <w:sz w:val="24"/>
                <w:highlight w:val="none"/>
                <w:lang w:eastAsia="zh-CN"/>
              </w:rPr>
              <w:t>电脑</w:t>
            </w:r>
          </w:p>
        </w:tc>
        <w:tc>
          <w:tcPr>
            <w:tcW w:w="5916"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宋体" w:hAnsi="宋体" w:eastAsia="宋体" w:cs="宋体"/>
                <w:color w:val="auto"/>
                <w:kern w:val="0"/>
                <w:szCs w:val="21"/>
                <w:highlight w:val="none"/>
                <w:lang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Cs w:val="21"/>
                <w:highlight w:val="none"/>
              </w:rPr>
              <w:t>处理器：</w:t>
            </w:r>
            <w:r>
              <w:rPr>
                <w:rFonts w:hint="eastAsia" w:ascii="宋体" w:hAnsi="宋体" w:eastAsia="宋体" w:cs="宋体"/>
                <w:b/>
                <w:bCs/>
                <w:color w:val="auto"/>
                <w:kern w:val="0"/>
                <w:szCs w:val="21"/>
                <w:highlight w:val="none"/>
                <w:lang w:eastAsia="zh-CN"/>
              </w:rPr>
              <w:t>性能优于或等于</w:t>
            </w:r>
            <w:r>
              <w:rPr>
                <w:rFonts w:hint="eastAsia" w:ascii="宋体" w:hAnsi="宋体" w:eastAsia="宋体" w:cs="宋体"/>
                <w:color w:val="auto"/>
                <w:kern w:val="0"/>
                <w:szCs w:val="21"/>
                <w:highlight w:val="none"/>
              </w:rPr>
              <w:t>第十二代处理器i5-12500（6核,主频≥3.0GHz）；</w:t>
            </w:r>
          </w:p>
          <w:p>
            <w:pPr>
              <w:widowControl/>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Cs w:val="21"/>
                <w:highlight w:val="none"/>
              </w:rPr>
              <w:t>芯片组：Intel Q670芯片组及以上</w:t>
            </w:r>
          </w:p>
          <w:p>
            <w:pPr>
              <w:widowControl/>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Cs w:val="21"/>
                <w:highlight w:val="none"/>
              </w:rPr>
              <w:t>内存：≥16GB DDR4 3200MHz，插槽数量≥4（空闲插槽不少于3个）,最大可扩展至128GB</w:t>
            </w:r>
          </w:p>
          <w:p>
            <w:pPr>
              <w:widowControl/>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Cs w:val="21"/>
                <w:highlight w:val="none"/>
              </w:rPr>
              <w:t>存储：≥512GB M.2接口NVMe固态硬盘</w:t>
            </w:r>
          </w:p>
          <w:p>
            <w:pPr>
              <w:widowControl/>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显卡：集成显卡。</w:t>
            </w:r>
          </w:p>
          <w:p>
            <w:pPr>
              <w:widowControl/>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扩展槽：≥1个PCIex16 Gen4；≥2个2个PCIex4</w:t>
            </w:r>
          </w:p>
          <w:p>
            <w:pPr>
              <w:rPr>
                <w:color w:val="auto"/>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Cs w:val="21"/>
                <w:highlight w:val="none"/>
              </w:rPr>
              <w:t>接口：USB接口总数≥9个(其中≥2个USB3.2 Gen2 Type-A )；</w:t>
            </w:r>
          </w:p>
          <w:p>
            <w:pPr>
              <w:widowControl/>
              <w:rPr>
                <w:rFonts w:hint="eastAsia" w:ascii="宋体" w:hAnsi="宋体" w:eastAsia="宋体" w:cs="宋体"/>
                <w:color w:val="auto"/>
                <w:kern w:val="0"/>
                <w:szCs w:val="21"/>
                <w:highlight w:val="none"/>
                <w:lang w:val="en-US" w:eastAsia="zh-CN"/>
              </w:rPr>
            </w:pPr>
          </w:p>
          <w:p>
            <w:pPr>
              <w:widowControl/>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显示器：与主机同品牌≥23.8英寸宽屏液晶显示器，</w:t>
            </w:r>
          </w:p>
          <w:p>
            <w:pPr>
              <w:widowControl/>
              <w:rPr>
                <w:rFonts w:hint="eastAsia" w:ascii="宋体" w:hAnsi="宋体" w:eastAsia="宋体" w:cs="宋体"/>
                <w:color w:val="auto"/>
                <w:kern w:val="0"/>
                <w:szCs w:val="21"/>
                <w:highlight w:val="none"/>
                <w:lang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kern w:val="0"/>
                <w:szCs w:val="21"/>
                <w:highlight w:val="none"/>
              </w:rPr>
              <w:t>机箱：塔式，</w:t>
            </w:r>
          </w:p>
          <w:p>
            <w:pPr>
              <w:rPr>
                <w:color w:val="auto"/>
                <w:highlight w:val="none"/>
              </w:rPr>
            </w:pPr>
          </w:p>
          <w:p>
            <w:pPr>
              <w:widowControl/>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键鼠：原厂USB键鼠套装</w:t>
            </w:r>
          </w:p>
          <w:p>
            <w:pPr>
              <w:widowControl/>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rPr>
              <w:t>、操作系统：安装正版windows  64位简体中文版</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提供正版授权证书</w:t>
            </w:r>
          </w:p>
          <w:p>
            <w:pPr>
              <w:widowControl/>
              <w:rPr>
                <w:rFonts w:ascii="宋体" w:hAnsi="宋体" w:cs="宋体"/>
                <w:color w:val="auto"/>
                <w:kern w:val="0"/>
                <w:sz w:val="24"/>
                <w:highlight w:val="none"/>
              </w:rPr>
            </w:pPr>
          </w:p>
        </w:tc>
        <w:tc>
          <w:tcPr>
            <w:tcW w:w="4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台</w:t>
            </w:r>
          </w:p>
        </w:tc>
        <w:tc>
          <w:tcPr>
            <w:tcW w:w="6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4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highlight w:val="none"/>
                <w:lang w:val="en-US" w:eastAsia="zh-CN"/>
              </w:rPr>
              <w:t>2</w:t>
            </w:r>
          </w:p>
        </w:tc>
        <w:tc>
          <w:tcPr>
            <w:tcW w:w="906"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kern w:val="0"/>
                <w:sz w:val="24"/>
                <w:szCs w:val="24"/>
                <w:highlight w:val="none"/>
                <w:lang w:val="en-US" w:eastAsia="zh-CN" w:bidi="ar-SA"/>
              </w:rPr>
              <w:t>一体式电脑</w:t>
            </w:r>
          </w:p>
        </w:tc>
        <w:tc>
          <w:tcPr>
            <w:tcW w:w="5916"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Cs w:val="21"/>
                <w:highlight w:val="none"/>
              </w:rPr>
              <w:t>处理器：</w:t>
            </w:r>
            <w:r>
              <w:rPr>
                <w:rFonts w:hint="eastAsia" w:ascii="宋体" w:hAnsi="宋体" w:eastAsia="宋体" w:cs="宋体"/>
                <w:b/>
                <w:bCs/>
                <w:color w:val="auto"/>
                <w:kern w:val="0"/>
                <w:szCs w:val="21"/>
                <w:highlight w:val="none"/>
                <w:lang w:eastAsia="zh-CN"/>
              </w:rPr>
              <w:t>性能优于或等于</w:t>
            </w:r>
            <w:r>
              <w:rPr>
                <w:rFonts w:hint="eastAsia" w:ascii="宋体" w:hAnsi="宋体" w:eastAsia="宋体" w:cs="宋体"/>
                <w:color w:val="auto"/>
                <w:kern w:val="0"/>
                <w:szCs w:val="21"/>
                <w:highlight w:val="none"/>
              </w:rPr>
              <w:t>第十二代处理器 i5-12500（核心≥6核,主频≥3.0GHz）；</w:t>
            </w:r>
          </w:p>
          <w:p>
            <w:pPr>
              <w:spacing w:line="400" w:lineRule="exac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Cs w:val="21"/>
                <w:highlight w:val="none"/>
              </w:rPr>
              <w:t>芯片组：≥Intel Q670芯片组及以上</w:t>
            </w:r>
          </w:p>
          <w:p>
            <w:pPr>
              <w:spacing w:line="400" w:lineRule="exac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Cs w:val="21"/>
                <w:highlight w:val="none"/>
              </w:rPr>
              <w:t>内存：</w:t>
            </w:r>
            <w:r>
              <w:rPr>
                <w:rFonts w:hint="eastAsia" w:ascii="宋体" w:hAnsi="宋体" w:eastAsia="宋体" w:cs="宋体"/>
                <w:b/>
                <w:bCs/>
                <w:color w:val="auto"/>
                <w:kern w:val="0"/>
                <w:szCs w:val="21"/>
                <w:highlight w:val="none"/>
              </w:rPr>
              <w:t>≥</w:t>
            </w:r>
            <w:r>
              <w:rPr>
                <w:rFonts w:hint="eastAsia" w:ascii="宋体" w:hAnsi="宋体" w:eastAsia="宋体" w:cs="宋体"/>
                <w:color w:val="auto"/>
                <w:kern w:val="0"/>
                <w:szCs w:val="21"/>
                <w:highlight w:val="none"/>
              </w:rPr>
              <w:t>16GB DDR4 3200MHz内存，提供双内存槽位</w:t>
            </w:r>
          </w:p>
          <w:p>
            <w:pPr>
              <w:spacing w:line="400" w:lineRule="exac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Cs w:val="21"/>
                <w:highlight w:val="none"/>
              </w:rPr>
              <w:t>硬盘：</w:t>
            </w:r>
            <w:r>
              <w:rPr>
                <w:rFonts w:hint="eastAsia" w:ascii="宋体" w:hAnsi="宋体" w:eastAsia="宋体" w:cs="宋体"/>
                <w:b/>
                <w:bCs/>
                <w:color w:val="auto"/>
                <w:kern w:val="0"/>
                <w:szCs w:val="21"/>
                <w:highlight w:val="none"/>
              </w:rPr>
              <w:t>≥</w:t>
            </w:r>
            <w:r>
              <w:rPr>
                <w:rFonts w:hint="eastAsia" w:ascii="宋体" w:hAnsi="宋体" w:eastAsia="宋体" w:cs="宋体"/>
                <w:color w:val="auto"/>
                <w:kern w:val="0"/>
                <w:szCs w:val="21"/>
                <w:highlight w:val="none"/>
              </w:rPr>
              <w:t>512GB PCIe M.2 SSD</w:t>
            </w:r>
          </w:p>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显卡：集成显卡</w:t>
            </w:r>
          </w:p>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 xml:space="preserve">网卡：集成10/100/1000M以太网卡，802.11无线网卡  </w:t>
            </w:r>
          </w:p>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音频设备：内置立体声音箱，杜比认证</w:t>
            </w:r>
          </w:p>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摄像头：5百万像素 RGB摄像头，支持物理防窥，配置数字阵列麦克风</w:t>
            </w:r>
          </w:p>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显示屏：23.8寸广视角全高清液晶显示屏(1920x1080)</w:t>
            </w:r>
          </w:p>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键盘、鼠标：USB键盘、鼠标， </w:t>
            </w:r>
          </w:p>
          <w:p>
            <w:pPr>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val="en-US" w:eastAsia="zh-CN"/>
              </w:rPr>
              <w:t>10、</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Cs w:val="21"/>
                <w:highlight w:val="none"/>
              </w:rPr>
              <w:t>接口：4 个USB3.2 Gen1   、1 个 USB3.2 Gen2、  1个HDMI视频输出接口</w:t>
            </w:r>
          </w:p>
          <w:p>
            <w:pPr>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val="en-US" w:eastAsia="zh-CN"/>
              </w:rPr>
              <w:t>11、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Cs w:val="21"/>
                <w:highlight w:val="none"/>
              </w:rPr>
              <w:t>电源：≥135W 节能电源</w:t>
            </w:r>
          </w:p>
          <w:p>
            <w:pPr>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val="en-US" w:eastAsia="zh-CN"/>
              </w:rPr>
              <w:t>12、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Cs w:val="21"/>
                <w:highlight w:val="none"/>
              </w:rPr>
              <w:t>底座：支持屏幕俯仰，左右及垂直旋转，高度可调节，方便维护</w:t>
            </w:r>
          </w:p>
          <w:p>
            <w:pPr>
              <w:rPr>
                <w:color w:val="auto"/>
                <w:highlight w:val="none"/>
              </w:rPr>
            </w:pPr>
            <w:r>
              <w:rPr>
                <w:rFonts w:hint="eastAsia" w:ascii="宋体" w:hAnsi="宋体" w:eastAsia="宋体" w:cs="宋体"/>
                <w:color w:val="auto"/>
                <w:kern w:val="0"/>
                <w:szCs w:val="21"/>
                <w:highlight w:val="none"/>
                <w:lang w:val="en-US" w:eastAsia="zh-CN"/>
              </w:rPr>
              <w:t>13</w:t>
            </w:r>
          </w:p>
          <w:p>
            <w:pPr>
              <w:widowControl/>
              <w:rPr>
                <w:rFonts w:ascii="宋体" w:hAnsi="宋体" w:cs="宋体"/>
                <w:color w:val="auto"/>
                <w:kern w:val="0"/>
                <w:sz w:val="24"/>
                <w:highlight w:val="none"/>
              </w:rPr>
            </w:pPr>
            <w:r>
              <w:rPr>
                <w:rFonts w:hint="eastAsia" w:ascii="宋体" w:hAnsi="宋体" w:cs="宋体"/>
                <w:color w:val="auto"/>
                <w:kern w:val="0"/>
                <w:sz w:val="24"/>
                <w:highlight w:val="none"/>
              </w:rPr>
              <w:t>操作系统：安装正版windows  64位简体中文版</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提供正版授权证书</w:t>
            </w:r>
          </w:p>
          <w:p>
            <w:pPr>
              <w:widowControl/>
              <w:rPr>
                <w:rFonts w:hint="eastAsia" w:ascii="宋体" w:hAnsi="宋体" w:eastAsia="宋体" w:cs="宋体"/>
                <w:color w:val="auto"/>
                <w:kern w:val="0"/>
                <w:sz w:val="24"/>
                <w:szCs w:val="24"/>
                <w:highlight w:val="none"/>
                <w:lang w:val="en-US" w:eastAsia="zh-CN" w:bidi="ar-SA"/>
              </w:rPr>
            </w:pPr>
          </w:p>
        </w:tc>
        <w:tc>
          <w:tcPr>
            <w:tcW w:w="4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rPr>
              <w:t>台</w:t>
            </w:r>
          </w:p>
        </w:tc>
        <w:tc>
          <w:tcPr>
            <w:tcW w:w="6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jc w:val="center"/>
        </w:trPr>
        <w:tc>
          <w:tcPr>
            <w:tcW w:w="4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3</w:t>
            </w:r>
          </w:p>
        </w:tc>
        <w:tc>
          <w:tcPr>
            <w:tcW w:w="906"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驻场服务</w:t>
            </w:r>
          </w:p>
        </w:tc>
        <w:tc>
          <w:tcPr>
            <w:tcW w:w="5916" w:type="dxa"/>
            <w:tcBorders>
              <w:top w:val="single" w:color="000000" w:sz="4" w:space="0"/>
              <w:left w:val="single" w:color="000000" w:sz="4" w:space="0"/>
              <w:bottom w:val="single" w:color="000000" w:sz="4" w:space="0"/>
              <w:right w:val="single" w:color="000000" w:sz="4" w:space="0"/>
            </w:tcBorders>
            <w:vAlign w:val="center"/>
          </w:tcPr>
          <w:p>
            <w:pPr>
              <w:widowControl/>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1年驻场服务（以甲方要求进场开始计算）</w:t>
            </w:r>
          </w:p>
        </w:tc>
        <w:tc>
          <w:tcPr>
            <w:tcW w:w="49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人</w:t>
            </w:r>
          </w:p>
        </w:tc>
        <w:tc>
          <w:tcPr>
            <w:tcW w:w="6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2</w:t>
            </w:r>
          </w:p>
        </w:tc>
      </w:tr>
    </w:tbl>
    <w:p>
      <w:pPr>
        <w:adjustRightInd w:val="0"/>
        <w:snapToGrid w:val="0"/>
        <w:spacing w:line="400" w:lineRule="atLeast"/>
        <w:rPr>
          <w:rFonts w:ascii="Times New Roman" w:hAnsi="Times New Roman"/>
          <w:b/>
          <w:bCs/>
          <w:color w:val="auto"/>
          <w:sz w:val="24"/>
          <w:szCs w:val="24"/>
          <w:highlight w:val="none"/>
        </w:rPr>
      </w:pPr>
      <w:r>
        <w:rPr>
          <w:rFonts w:ascii="Times New Roman" w:hAnsi="Times New Roman"/>
          <w:b/>
          <w:bCs/>
          <w:color w:val="auto"/>
          <w:sz w:val="24"/>
          <w:szCs w:val="24"/>
          <w:highlight w:val="none"/>
        </w:rPr>
        <w:t>三、售后服务要求：</w:t>
      </w:r>
    </w:p>
    <w:p>
      <w:pPr>
        <w:spacing w:line="360" w:lineRule="auto"/>
        <w:ind w:firstLine="240" w:firstLineChars="100"/>
        <w:jc w:val="left"/>
        <w:rPr>
          <w:rFonts w:hint="eastAsia" w:ascii="宋体" w:hAnsi="宋体"/>
          <w:color w:val="auto"/>
          <w:sz w:val="24"/>
          <w:highlight w:val="none"/>
          <w:u w:val="none"/>
        </w:rPr>
      </w:pPr>
      <w:r>
        <w:rPr>
          <w:rFonts w:ascii="仿宋_GB2312" w:hAnsi="仿宋" w:eastAsia="仿宋_GB2312" w:cs="仿宋_GB2312"/>
          <w:color w:val="auto"/>
          <w:sz w:val="24"/>
          <w:szCs w:val="20"/>
          <w:highlight w:val="none"/>
          <w:u w:val="none"/>
        </w:rPr>
        <w:t>▲</w:t>
      </w:r>
      <w:r>
        <w:rPr>
          <w:rFonts w:hint="eastAsia" w:ascii="宋体" w:hAnsi="宋体"/>
          <w:color w:val="auto"/>
          <w:sz w:val="24"/>
          <w:highlight w:val="none"/>
          <w:u w:val="none"/>
          <w:lang w:val="en-US" w:eastAsia="zh-CN"/>
        </w:rPr>
        <w:t>1、</w:t>
      </w:r>
      <w:r>
        <w:rPr>
          <w:rFonts w:hint="eastAsia" w:ascii="宋体" w:hAnsi="宋体"/>
          <w:color w:val="auto"/>
          <w:sz w:val="24"/>
          <w:highlight w:val="none"/>
          <w:u w:val="none"/>
        </w:rPr>
        <w:t xml:space="preserve"> 整体项目</w:t>
      </w:r>
      <w:r>
        <w:rPr>
          <w:rFonts w:hint="eastAsia" w:ascii="宋体" w:hAnsi="宋体"/>
          <w:color w:val="auto"/>
          <w:sz w:val="24"/>
          <w:highlight w:val="none"/>
          <w:u w:val="none"/>
          <w:lang w:val="en-US" w:eastAsia="zh-CN"/>
        </w:rPr>
        <w:t>五</w:t>
      </w:r>
      <w:r>
        <w:rPr>
          <w:rFonts w:hint="eastAsia" w:ascii="宋体" w:hAnsi="宋体"/>
          <w:color w:val="auto"/>
          <w:sz w:val="24"/>
          <w:highlight w:val="none"/>
          <w:u w:val="none"/>
        </w:rPr>
        <w:t>年质保，按业务实际需要分配送货。</w:t>
      </w:r>
    </w:p>
    <w:p>
      <w:pPr>
        <w:widowControl/>
        <w:numPr>
          <w:ilvl w:val="0"/>
          <w:numId w:val="1"/>
        </w:numPr>
        <w:ind w:left="480" w:leftChars="0" w:firstLine="0" w:firstLineChars="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整机</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年保修</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年上门</w:t>
      </w:r>
      <w:r>
        <w:rPr>
          <w:rFonts w:hint="eastAsia" w:ascii="宋体" w:hAnsi="宋体" w:cs="宋体"/>
          <w:color w:val="auto"/>
          <w:kern w:val="0"/>
          <w:sz w:val="24"/>
          <w:szCs w:val="24"/>
          <w:highlight w:val="none"/>
          <w:lang w:val="en-US" w:eastAsia="zh-CN"/>
        </w:rPr>
        <w:t>服务</w:t>
      </w:r>
      <w:r>
        <w:rPr>
          <w:rFonts w:hint="eastAsia" w:ascii="宋体" w:hAnsi="宋体" w:eastAsia="宋体" w:cs="宋体"/>
          <w:color w:val="auto"/>
          <w:kern w:val="0"/>
          <w:sz w:val="24"/>
          <w:szCs w:val="24"/>
          <w:highlight w:val="none"/>
        </w:rPr>
        <w:t>、第二个自然日上门服务。</w:t>
      </w:r>
    </w:p>
    <w:p>
      <w:pPr>
        <w:spacing w:line="360" w:lineRule="auto"/>
        <w:ind w:firstLine="240" w:firstLineChars="100"/>
        <w:jc w:val="left"/>
        <w:rPr>
          <w:rFonts w:ascii="宋体" w:hAnsi="宋体" w:cs="仿宋_GB2312"/>
          <w:color w:val="auto"/>
          <w:sz w:val="24"/>
          <w:highlight w:val="none"/>
          <w:u w:val="none"/>
        </w:rPr>
      </w:pPr>
      <w:r>
        <w:rPr>
          <w:rFonts w:hint="eastAsia" w:ascii="宋体" w:hAnsi="宋体" w:eastAsia="宋体" w:cs="宋体"/>
          <w:color w:val="auto"/>
          <w:sz w:val="24"/>
          <w:szCs w:val="24"/>
          <w:highlight w:val="none"/>
          <w:u w:val="none"/>
        </w:rPr>
        <w:t xml:space="preserve">  </w:t>
      </w:r>
      <w:r>
        <w:rPr>
          <w:rFonts w:hint="eastAsia" w:ascii="宋体" w:hAnsi="宋体" w:cs="仿宋_GB2312"/>
          <w:color w:val="auto"/>
          <w:sz w:val="24"/>
          <w:highlight w:val="none"/>
          <w:u w:val="none"/>
          <w:lang w:val="en-US" w:eastAsia="zh-CN"/>
        </w:rPr>
        <w:t>3、</w:t>
      </w:r>
      <w:r>
        <w:rPr>
          <w:rFonts w:hint="eastAsia" w:ascii="宋体" w:hAnsi="宋体" w:cs="仿宋_GB2312"/>
          <w:color w:val="auto"/>
          <w:sz w:val="24"/>
          <w:highlight w:val="none"/>
          <w:u w:val="none"/>
        </w:rPr>
        <w:t>其他商务要求（包装和运输、保险等）</w:t>
      </w:r>
    </w:p>
    <w:p>
      <w:pPr>
        <w:snapToGrid w:val="0"/>
        <w:spacing w:line="360" w:lineRule="auto"/>
        <w:ind w:firstLine="480" w:firstLineChars="200"/>
        <w:rPr>
          <w:rFonts w:ascii="宋体" w:hAnsi="宋体" w:cs="宋体"/>
          <w:color w:val="auto"/>
          <w:kern w:val="0"/>
          <w:sz w:val="24"/>
          <w:highlight w:val="none"/>
          <w:u w:val="none"/>
        </w:rPr>
      </w:pPr>
      <w:r>
        <w:rPr>
          <w:rFonts w:hint="eastAsia" w:ascii="宋体" w:hAnsi="宋体" w:cs="宋体"/>
          <w:color w:val="auto"/>
          <w:kern w:val="0"/>
          <w:sz w:val="24"/>
          <w:highlight w:val="none"/>
          <w:u w:val="none"/>
        </w:rPr>
        <w:t>a、供方所供的货物是202</w:t>
      </w:r>
      <w:r>
        <w:rPr>
          <w:rFonts w:hint="eastAsia" w:ascii="宋体" w:hAnsi="宋体" w:cs="宋体"/>
          <w:color w:val="auto"/>
          <w:kern w:val="0"/>
          <w:sz w:val="24"/>
          <w:highlight w:val="none"/>
          <w:u w:val="none"/>
          <w:lang w:val="en-US" w:eastAsia="zh-CN"/>
        </w:rPr>
        <w:t>3</w:t>
      </w:r>
      <w:r>
        <w:rPr>
          <w:rFonts w:hint="eastAsia" w:ascii="宋体" w:hAnsi="宋体" w:cs="宋体"/>
          <w:color w:val="auto"/>
          <w:kern w:val="0"/>
          <w:sz w:val="24"/>
          <w:highlight w:val="none"/>
          <w:u w:val="none"/>
        </w:rPr>
        <w:t>年</w:t>
      </w:r>
      <w:r>
        <w:rPr>
          <w:rFonts w:hint="eastAsia" w:ascii="宋体" w:hAnsi="宋体" w:cs="宋体"/>
          <w:color w:val="auto"/>
          <w:kern w:val="0"/>
          <w:sz w:val="24"/>
          <w:highlight w:val="none"/>
          <w:u w:val="none"/>
          <w:lang w:val="en-US" w:eastAsia="zh-CN"/>
        </w:rPr>
        <w:t>10</w:t>
      </w:r>
      <w:r>
        <w:rPr>
          <w:rFonts w:hint="eastAsia" w:ascii="宋体" w:hAnsi="宋体" w:cs="宋体"/>
          <w:color w:val="auto"/>
          <w:kern w:val="0"/>
          <w:sz w:val="24"/>
          <w:highlight w:val="none"/>
          <w:u w:val="none"/>
        </w:rPr>
        <w:t>月</w:t>
      </w:r>
      <w:r>
        <w:rPr>
          <w:rFonts w:hint="eastAsia" w:ascii="宋体" w:hAnsi="宋体" w:cs="宋体"/>
          <w:color w:val="auto"/>
          <w:kern w:val="0"/>
          <w:sz w:val="24"/>
          <w:highlight w:val="none"/>
          <w:u w:val="none"/>
          <w:lang w:val="en-US" w:eastAsia="zh-CN"/>
        </w:rPr>
        <w:t>30</w:t>
      </w:r>
      <w:r>
        <w:rPr>
          <w:rFonts w:hint="eastAsia" w:ascii="宋体" w:hAnsi="宋体" w:cs="宋体"/>
          <w:color w:val="auto"/>
          <w:kern w:val="0"/>
          <w:sz w:val="24"/>
          <w:highlight w:val="none"/>
          <w:u w:val="none"/>
        </w:rPr>
        <w:t xml:space="preserve">日以后生产的，符合国家标准要求的合格产品； </w:t>
      </w:r>
    </w:p>
    <w:p>
      <w:pPr>
        <w:snapToGrid w:val="0"/>
        <w:spacing w:line="360" w:lineRule="auto"/>
        <w:ind w:firstLine="480" w:firstLineChars="200"/>
        <w:rPr>
          <w:rFonts w:ascii="宋体" w:hAnsi="宋体" w:cs="宋体"/>
          <w:color w:val="auto"/>
          <w:kern w:val="0"/>
          <w:sz w:val="24"/>
          <w:highlight w:val="none"/>
          <w:u w:val="none"/>
        </w:rPr>
      </w:pPr>
      <w:r>
        <w:rPr>
          <w:rFonts w:hint="eastAsia" w:ascii="宋体" w:hAnsi="宋体" w:cs="宋体"/>
          <w:color w:val="auto"/>
          <w:kern w:val="0"/>
          <w:sz w:val="24"/>
          <w:highlight w:val="none"/>
          <w:u w:val="none"/>
        </w:rPr>
        <w:t xml:space="preserve">b、供方所供的货物应是目前市场上相对先进、主流、可靠、安全、开放、实用、性价比高的产品。必须保证所有货物全新的未曾开箱使用，与合同规定的型号与配置相一致，能够与用户现有设备正常连接； </w:t>
      </w:r>
    </w:p>
    <w:p>
      <w:pPr>
        <w:snapToGrid w:val="0"/>
        <w:spacing w:line="360" w:lineRule="auto"/>
        <w:ind w:firstLine="480" w:firstLineChars="200"/>
        <w:rPr>
          <w:rFonts w:ascii="宋体" w:hAnsi="宋体" w:cs="宋体"/>
          <w:color w:val="auto"/>
          <w:kern w:val="0"/>
          <w:sz w:val="24"/>
          <w:highlight w:val="none"/>
          <w:u w:val="none"/>
        </w:rPr>
      </w:pPr>
      <w:r>
        <w:rPr>
          <w:rFonts w:hint="eastAsia" w:ascii="宋体" w:hAnsi="宋体" w:cs="宋体"/>
          <w:color w:val="auto"/>
          <w:kern w:val="0"/>
          <w:sz w:val="24"/>
          <w:highlight w:val="none"/>
          <w:u w:val="none"/>
        </w:rPr>
        <w:t>c、设备安装调试完毕后，能在其功能范围内保障用户的系统安全、稳定运行，符合采购单位的采购要求；</w:t>
      </w:r>
    </w:p>
    <w:p>
      <w:pPr>
        <w:snapToGrid w:val="0"/>
        <w:spacing w:line="360" w:lineRule="auto"/>
        <w:ind w:firstLine="480" w:firstLineChars="200"/>
        <w:rPr>
          <w:rFonts w:ascii="宋体" w:hAnsi="宋体" w:cs="宋体"/>
          <w:color w:val="auto"/>
          <w:kern w:val="0"/>
          <w:sz w:val="24"/>
          <w:highlight w:val="none"/>
          <w:u w:val="none"/>
        </w:rPr>
      </w:pPr>
      <w:r>
        <w:rPr>
          <w:rFonts w:hint="eastAsia" w:ascii="宋体" w:hAnsi="宋体" w:cs="宋体"/>
          <w:color w:val="auto"/>
          <w:kern w:val="0"/>
          <w:sz w:val="24"/>
          <w:highlight w:val="none"/>
          <w:u w:val="none"/>
        </w:rPr>
        <w:t>d、签订合同后，供应商按照其与采购人的事先约定将所供货物上门送货至采购人指定地点后拆箱，验收通过后，负责安装调试。设备正常运行一个月后，先由采购人进行初验，初验合格后进行终验。如未通过验收，中标单位将负全责，并承担由此造成的一切损失；</w:t>
      </w:r>
    </w:p>
    <w:p>
      <w:pPr>
        <w:snapToGrid w:val="0"/>
        <w:spacing w:line="360" w:lineRule="auto"/>
        <w:ind w:firstLine="480" w:firstLineChars="200"/>
        <w:rPr>
          <w:rFonts w:ascii="宋体" w:hAnsi="宋体" w:cs="宋体"/>
          <w:color w:val="auto"/>
          <w:kern w:val="0"/>
          <w:sz w:val="24"/>
          <w:highlight w:val="none"/>
          <w:u w:val="none"/>
        </w:rPr>
      </w:pPr>
      <w:r>
        <w:rPr>
          <w:rFonts w:hint="eastAsia" w:ascii="宋体" w:hAnsi="宋体" w:cs="宋体"/>
          <w:color w:val="auto"/>
          <w:kern w:val="0"/>
          <w:sz w:val="24"/>
          <w:highlight w:val="none"/>
          <w:u w:val="none"/>
        </w:rPr>
        <w:t>f、货物交付使用时，须提供货物说明书、质量保证书等相关资料和原配的附件；</w:t>
      </w:r>
    </w:p>
    <w:p>
      <w:pPr>
        <w:tabs>
          <w:tab w:val="left" w:pos="0"/>
        </w:tabs>
        <w:spacing w:line="360" w:lineRule="auto"/>
        <w:ind w:firstLine="480"/>
        <w:rPr>
          <w:rFonts w:hint="eastAsia" w:ascii="宋体" w:hAnsi="宋体" w:cs="宋体"/>
          <w:color w:val="auto"/>
          <w:kern w:val="0"/>
          <w:sz w:val="24"/>
          <w:highlight w:val="none"/>
        </w:rPr>
      </w:pPr>
      <w:r>
        <w:rPr>
          <w:rFonts w:hint="eastAsia" w:ascii="宋体" w:hAnsi="宋体" w:cs="宋体"/>
          <w:color w:val="auto"/>
          <w:kern w:val="0"/>
          <w:sz w:val="24"/>
          <w:highlight w:val="none"/>
          <w:u w:val="none"/>
        </w:rPr>
        <w:t>g、所供货物不会侵犯任何第三方知识产权。</w:t>
      </w:r>
    </w:p>
    <w:p>
      <w:pPr>
        <w:tabs>
          <w:tab w:val="left" w:pos="0"/>
        </w:tabs>
        <w:spacing w:line="360" w:lineRule="auto"/>
        <w:rPr>
          <w:rFonts w:hint="eastAsia" w:ascii="宋体" w:hAnsi="宋体" w:cs="宋体"/>
          <w:color w:val="auto"/>
          <w:kern w:val="0"/>
          <w:sz w:val="24"/>
          <w:highlight w:val="none"/>
          <w:lang w:val="en-US" w:eastAsia="zh-CN"/>
        </w:rPr>
      </w:pPr>
      <w:r>
        <w:rPr>
          <w:rFonts w:ascii="Times New Roman" w:hAnsi="Times New Roman"/>
          <w:b/>
          <w:bCs/>
          <w:color w:val="auto"/>
          <w:sz w:val="24"/>
          <w:szCs w:val="24"/>
          <w:highlight w:val="none"/>
        </w:rPr>
        <w:t>四、培训要求：</w:t>
      </w:r>
      <w:r>
        <w:rPr>
          <w:rFonts w:hint="eastAsia" w:ascii="宋体" w:hAnsi="宋体" w:cs="宋体"/>
          <w:color w:val="auto"/>
          <w:kern w:val="0"/>
          <w:sz w:val="24"/>
          <w:highlight w:val="none"/>
          <w:lang w:val="en-US" w:eastAsia="zh-CN"/>
        </w:rPr>
        <w:t>项目</w:t>
      </w:r>
      <w:r>
        <w:rPr>
          <w:rFonts w:hint="eastAsia" w:ascii="宋体" w:hAnsi="宋体" w:cs="宋体"/>
          <w:color w:val="auto"/>
          <w:kern w:val="0"/>
          <w:sz w:val="24"/>
          <w:highlight w:val="none"/>
        </w:rPr>
        <w:t>履行完毕后</w:t>
      </w:r>
      <w:r>
        <w:rPr>
          <w:rFonts w:hint="eastAsia" w:ascii="宋体" w:hAnsi="宋体" w:cs="宋体"/>
          <w:color w:val="auto"/>
          <w:kern w:val="0"/>
          <w:sz w:val="24"/>
          <w:highlight w:val="none"/>
          <w:lang w:val="en-US" w:eastAsia="zh-CN"/>
        </w:rPr>
        <w:t>一周内，根据合同的采购内容相应的对软硬件的使用、维护进行培训。</w:t>
      </w:r>
    </w:p>
    <w:p>
      <w:pPr>
        <w:adjustRightInd w:val="0"/>
        <w:snapToGrid w:val="0"/>
        <w:spacing w:line="400" w:lineRule="atLeast"/>
        <w:rPr>
          <w:rFonts w:ascii="Times New Roman" w:hAnsi="Times New Roman"/>
          <w:b/>
          <w:bCs/>
          <w:color w:val="auto"/>
          <w:sz w:val="24"/>
          <w:szCs w:val="24"/>
          <w:highlight w:val="none"/>
        </w:rPr>
      </w:pPr>
      <w:r>
        <w:rPr>
          <w:rFonts w:ascii="Times New Roman" w:hAnsi="Times New Roman"/>
          <w:b/>
          <w:bCs/>
          <w:color w:val="auto"/>
          <w:sz w:val="24"/>
          <w:szCs w:val="24"/>
          <w:highlight w:val="none"/>
        </w:rPr>
        <w:t>五、工期要求：</w:t>
      </w:r>
      <w:r>
        <w:rPr>
          <w:rFonts w:hint="eastAsia" w:ascii="宋体" w:hAnsi="宋体" w:cs="宋体"/>
          <w:color w:val="auto"/>
          <w:kern w:val="0"/>
          <w:sz w:val="24"/>
          <w:highlight w:val="none"/>
          <w:lang w:eastAsia="zh-CN"/>
        </w:rPr>
        <w:t>在合同周期内按甲方需求送货</w:t>
      </w:r>
      <w:r>
        <w:rPr>
          <w:rFonts w:hint="eastAsia" w:ascii="宋体" w:hAnsi="宋体" w:cs="宋体"/>
          <w:color w:val="auto"/>
          <w:kern w:val="0"/>
          <w:sz w:val="24"/>
          <w:highlight w:val="none"/>
        </w:rPr>
        <w:t>。</w:t>
      </w:r>
    </w:p>
    <w:p>
      <w:pPr>
        <w:adjustRightInd w:val="0"/>
        <w:snapToGrid w:val="0"/>
        <w:spacing w:line="400" w:lineRule="atLeast"/>
        <w:rPr>
          <w:rFonts w:ascii="Times New Roman" w:hAnsi="Times New Roman"/>
          <w:b/>
          <w:bCs/>
          <w:color w:val="auto"/>
          <w:sz w:val="24"/>
          <w:szCs w:val="24"/>
          <w:highlight w:val="none"/>
        </w:rPr>
      </w:pPr>
      <w:r>
        <w:rPr>
          <w:rFonts w:ascii="Times New Roman" w:hAnsi="Times New Roman"/>
          <w:b/>
          <w:bCs/>
          <w:color w:val="auto"/>
          <w:sz w:val="24"/>
          <w:szCs w:val="24"/>
          <w:highlight w:val="none"/>
        </w:rPr>
        <w:t>六、验收要求(考核办法)：</w:t>
      </w:r>
    </w:p>
    <w:p>
      <w:pPr>
        <w:tabs>
          <w:tab w:val="left" w:pos="0"/>
        </w:tabs>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 xml:space="preserve">  </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货物交付前，乙方应对货物的质量、数量等方面进行详细、全面的检验，所有设备均为原厂配置，可以通过产品序列号进行产品查询,不拆机开封加配件，保证原厂正货，安装前不允许开箱，必须经过当场拆封查验（原厂包装配置单必须与实物配置一致）</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并向甲方出具证明货物符合合同约定的文件；货物交付时，甲方在约定时间内组织验收，并可依法邀请相关方参加，验收应出具验收书。</w:t>
      </w:r>
    </w:p>
    <w:p>
      <w:pPr>
        <w:tabs>
          <w:tab w:val="left" w:pos="0"/>
        </w:tabs>
        <w:spacing w:line="360" w:lineRule="auto"/>
        <w:ind w:firstLine="480"/>
        <w:rPr>
          <w:rFonts w:ascii="Times New Roman" w:hAnsi="Times New Roman"/>
          <w:b/>
          <w:bCs/>
          <w:color w:val="auto"/>
          <w:sz w:val="24"/>
          <w:szCs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合同期满或者履行完毕后，甲方有权组织（包括依法邀请国家认可的质量检测机构参加）对乙方履约的验收，即：按照合同约定的技术、服务、安全标准，组织对每一项技术、服务、安全标准的履约情况的验收，并出具验收书。</w:t>
      </w:r>
      <w:r>
        <w:rPr>
          <w:rFonts w:hint="eastAsia" w:ascii="Times New Roman" w:hAnsi="Times New Roman"/>
          <w:b/>
          <w:bCs/>
          <w:color w:val="auto"/>
          <w:sz w:val="24"/>
          <w:szCs w:val="24"/>
          <w:highlight w:val="none"/>
        </w:rPr>
        <w:t xml:space="preserve"> </w:t>
      </w:r>
    </w:p>
    <w:p>
      <w:pPr>
        <w:adjustRightInd w:val="0"/>
        <w:snapToGri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七、履约保证金</w:t>
      </w:r>
    </w:p>
    <w:p>
      <w:pPr>
        <w:adjustRightInd w:val="0"/>
        <w:snapToGrid w:val="0"/>
        <w:spacing w:line="360" w:lineRule="auto"/>
        <w:ind w:firstLine="352" w:firstLineChars="147"/>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lang w:eastAsia="zh-CN"/>
        </w:rPr>
        <w:t>无</w:t>
      </w:r>
      <w:r>
        <w:rPr>
          <w:rFonts w:hint="eastAsia" w:ascii="宋体" w:hAnsi="宋体" w:eastAsia="宋体" w:cs="宋体"/>
          <w:bCs/>
          <w:color w:val="auto"/>
          <w:sz w:val="24"/>
          <w:szCs w:val="24"/>
          <w:highlight w:val="none"/>
        </w:rPr>
        <w:t>。</w:t>
      </w:r>
    </w:p>
    <w:p>
      <w:pPr>
        <w:numPr>
          <w:ilvl w:val="0"/>
          <w:numId w:val="2"/>
        </w:numPr>
        <w:adjustRightInd w:val="0"/>
        <w:snapToGrid w:val="0"/>
        <w:spacing w:line="400" w:lineRule="atLeast"/>
        <w:rPr>
          <w:rFonts w:ascii="Times New Roman" w:hAnsi="Times New Roman"/>
          <w:b/>
          <w:bCs/>
          <w:color w:val="auto"/>
          <w:sz w:val="24"/>
          <w:szCs w:val="24"/>
          <w:highlight w:val="none"/>
        </w:rPr>
      </w:pPr>
      <w:r>
        <w:rPr>
          <w:rFonts w:ascii="Times New Roman" w:hAnsi="Times New Roman"/>
          <w:b/>
          <w:bCs/>
          <w:color w:val="auto"/>
          <w:sz w:val="24"/>
          <w:szCs w:val="24"/>
          <w:highlight w:val="none"/>
        </w:rPr>
        <w:t>费用支付：</w:t>
      </w:r>
    </w:p>
    <w:p>
      <w:pPr>
        <w:tabs>
          <w:tab w:val="left" w:pos="0"/>
        </w:tabs>
        <w:spacing w:line="360" w:lineRule="auto"/>
        <w:ind w:firstLine="48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rPr>
        <w:t>预付款</w:t>
      </w:r>
      <w:r>
        <w:rPr>
          <w:rFonts w:hint="eastAsia" w:ascii="宋体" w:hAnsi="宋体" w:cs="宋体"/>
          <w:color w:val="auto"/>
          <w:kern w:val="0"/>
          <w:sz w:val="24"/>
          <w:highlight w:val="none"/>
          <w:lang w:eastAsia="zh-CN"/>
        </w:rPr>
        <w:t>：合同签定后支付</w:t>
      </w:r>
      <w:r>
        <w:rPr>
          <w:rFonts w:hint="eastAsia" w:ascii="宋体" w:hAnsi="宋体" w:cs="宋体"/>
          <w:color w:val="auto"/>
          <w:kern w:val="0"/>
          <w:sz w:val="24"/>
          <w:highlight w:val="none"/>
          <w:lang w:val="en-US" w:eastAsia="zh-CN"/>
        </w:rPr>
        <w:t>50%预付款，余款</w:t>
      </w:r>
      <w:r>
        <w:rPr>
          <w:rFonts w:hint="eastAsia" w:ascii="宋体" w:hAnsi="宋体" w:cs="宋体"/>
          <w:color w:val="auto"/>
          <w:kern w:val="0"/>
          <w:sz w:val="24"/>
          <w:highlight w:val="none"/>
          <w:lang w:eastAsia="zh-CN"/>
        </w:rPr>
        <w:t>每月结算一次；</w:t>
      </w:r>
    </w:p>
    <w:p>
      <w:pPr>
        <w:tabs>
          <w:tab w:val="left" w:pos="0"/>
        </w:tabs>
        <w:spacing w:line="360" w:lineRule="auto"/>
        <w:ind w:firstLine="48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rPr>
        <w:t>乙方根据合同规定将货物交付、安装调试完毕，并经最终验收合格后，甲方凭发票、确认单以及合同上报区财政，区财政审批下拨款到位后，</w:t>
      </w:r>
      <w:r>
        <w:rPr>
          <w:rFonts w:hint="eastAsia" w:ascii="宋体" w:hAnsi="宋体" w:cs="宋体"/>
          <w:color w:val="auto"/>
          <w:kern w:val="0"/>
          <w:sz w:val="24"/>
          <w:highlight w:val="none"/>
          <w:lang w:val="en-US" w:eastAsia="zh-CN"/>
        </w:rPr>
        <w:t>7个工作日内</w:t>
      </w:r>
      <w:r>
        <w:rPr>
          <w:rFonts w:hint="eastAsia" w:ascii="宋体" w:hAnsi="宋体" w:cs="宋体"/>
          <w:color w:val="auto"/>
          <w:kern w:val="0"/>
          <w:sz w:val="24"/>
          <w:highlight w:val="none"/>
        </w:rPr>
        <w:t>支付合同价货款</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 xml:space="preserve"> </w:t>
      </w:r>
    </w:p>
    <w:p>
      <w:pPr>
        <w:tabs>
          <w:tab w:val="left" w:pos="0"/>
        </w:tabs>
        <w:spacing w:line="360" w:lineRule="auto"/>
        <w:ind w:firstLine="480"/>
        <w:rPr>
          <w:rFonts w:ascii="Times New Roman" w:hAnsi="Times New Roman"/>
          <w:b/>
          <w:bCs/>
          <w:color w:val="auto"/>
          <w:sz w:val="24"/>
          <w:szCs w:val="24"/>
          <w:highlight w:val="none"/>
        </w:rPr>
      </w:pP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、甲方付款前，乙方必须提交符合要求的发票。</w:t>
      </w:r>
    </w:p>
    <w:p>
      <w:pPr>
        <w:tabs>
          <w:tab w:val="left" w:pos="0"/>
        </w:tabs>
        <w:spacing w:line="360" w:lineRule="auto"/>
        <w:rPr>
          <w:rFonts w:hint="eastAsia" w:ascii="宋体" w:hAnsi="宋体" w:cs="宋体"/>
          <w:b/>
          <w:bCs/>
          <w:color w:val="auto"/>
          <w:kern w:val="0"/>
          <w:sz w:val="24"/>
          <w:highlight w:val="none"/>
        </w:rPr>
      </w:pPr>
      <w:r>
        <w:rPr>
          <w:rFonts w:hint="eastAsia" w:ascii="宋体" w:hAnsi="宋体" w:cs="宋体"/>
          <w:b/>
          <w:bCs/>
          <w:color w:val="auto"/>
          <w:kern w:val="0"/>
          <w:sz w:val="24"/>
          <w:highlight w:val="none"/>
          <w:lang w:eastAsia="zh-CN"/>
        </w:rPr>
        <w:t>九、</w:t>
      </w:r>
      <w:r>
        <w:rPr>
          <w:rFonts w:hint="eastAsia" w:ascii="宋体" w:hAnsi="宋体" w:cs="宋体"/>
          <w:b/>
          <w:bCs/>
          <w:color w:val="auto"/>
          <w:kern w:val="0"/>
          <w:sz w:val="24"/>
          <w:highlight w:val="none"/>
        </w:rPr>
        <w:t xml:space="preserve"> ▲采购人拟采购的产品属于政府强制采购的节能产品品目清单范围的，投标人相应的投标产品未获得国家确定的认证机构出具的、处于有效期之内的节能产品认证证书的，投标无效。</w:t>
      </w:r>
    </w:p>
    <w:p>
      <w:pPr>
        <w:tabs>
          <w:tab w:val="left" w:pos="0"/>
        </w:tabs>
        <w:spacing w:line="360" w:lineRule="auto"/>
        <w:ind w:firstLine="241" w:firstLineChars="100"/>
        <w:rPr>
          <w:rFonts w:hint="eastAsia" w:ascii="宋体" w:hAnsi="宋体" w:cs="宋体"/>
          <w:b/>
          <w:bCs/>
          <w:color w:val="auto"/>
          <w:kern w:val="0"/>
          <w:sz w:val="24"/>
          <w:highlight w:val="none"/>
        </w:rPr>
      </w:pPr>
      <w:r>
        <w:rPr>
          <w:rFonts w:hint="eastAsia" w:ascii="宋体" w:hAnsi="宋体" w:cs="宋体"/>
          <w:b/>
          <w:bCs/>
          <w:color w:val="auto"/>
          <w:kern w:val="0"/>
          <w:sz w:val="24"/>
          <w:highlight w:val="none"/>
          <w:lang w:val="en-US" w:eastAsia="zh-CN"/>
        </w:rPr>
        <w:t xml:space="preserve"> 十</w:t>
      </w:r>
      <w:r>
        <w:rPr>
          <w:rFonts w:hint="eastAsia" w:ascii="宋体" w:hAnsi="宋体" w:cs="宋体"/>
          <w:b/>
          <w:bCs/>
          <w:color w:val="auto"/>
          <w:kern w:val="0"/>
          <w:sz w:val="24"/>
          <w:highlight w:val="none"/>
        </w:rPr>
        <w:t>、采购人认为必须说明的其他内容：</w:t>
      </w:r>
    </w:p>
    <w:p>
      <w:pPr>
        <w:tabs>
          <w:tab w:val="left" w:pos="0"/>
        </w:tabs>
        <w:spacing w:line="360" w:lineRule="auto"/>
        <w:ind w:firstLine="480"/>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带“▲”条款为实质性条款，投标人须</w:t>
      </w:r>
      <w:r>
        <w:rPr>
          <w:rFonts w:hint="eastAsia" w:ascii="宋体" w:hAnsi="宋体" w:cs="宋体"/>
          <w:b/>
          <w:bCs/>
          <w:color w:val="auto"/>
          <w:kern w:val="0"/>
          <w:sz w:val="24"/>
          <w:highlight w:val="none"/>
          <w:lang w:val="en-US" w:eastAsia="zh-CN"/>
        </w:rPr>
        <w:t>将相应内容填写至</w:t>
      </w:r>
      <w:r>
        <w:rPr>
          <w:rFonts w:hint="eastAsia" w:ascii="宋体" w:hAnsi="宋体" w:cs="宋体"/>
          <w:b/>
          <w:bCs/>
          <w:color w:val="auto"/>
          <w:kern w:val="0"/>
          <w:sz w:val="24"/>
          <w:highlight w:val="none"/>
        </w:rPr>
        <w:t>《</w:t>
      </w:r>
      <w:r>
        <w:rPr>
          <w:rFonts w:hint="eastAsia" w:ascii="宋体" w:hAnsi="宋体" w:cs="宋体"/>
          <w:b/>
          <w:bCs/>
          <w:color w:val="auto"/>
          <w:kern w:val="0"/>
          <w:sz w:val="24"/>
          <w:highlight w:val="none"/>
          <w:lang w:val="en-US" w:eastAsia="zh-CN"/>
        </w:rPr>
        <w:t>符合性审查资料</w:t>
      </w:r>
      <w:r>
        <w:rPr>
          <w:rFonts w:hint="eastAsia" w:ascii="宋体" w:hAnsi="宋体" w:cs="宋体"/>
          <w:b/>
          <w:bCs/>
          <w:color w:val="auto"/>
          <w:kern w:val="0"/>
          <w:sz w:val="24"/>
          <w:highlight w:val="none"/>
        </w:rPr>
        <w:t>》，如有任意一条未响应或不满足，将被视为</w:t>
      </w:r>
      <w:r>
        <w:rPr>
          <w:rFonts w:hint="eastAsia" w:ascii="宋体" w:hAnsi="宋体" w:cs="宋体"/>
          <w:b/>
          <w:bCs/>
          <w:color w:val="auto"/>
          <w:kern w:val="0"/>
          <w:sz w:val="24"/>
          <w:highlight w:val="none"/>
          <w:lang w:eastAsia="zh-CN"/>
        </w:rPr>
        <w:t>投标</w:t>
      </w:r>
      <w:r>
        <w:rPr>
          <w:rFonts w:hint="eastAsia" w:ascii="宋体" w:hAnsi="宋体" w:cs="宋体"/>
          <w:b/>
          <w:bCs/>
          <w:color w:val="auto"/>
          <w:kern w:val="0"/>
          <w:sz w:val="24"/>
          <w:highlight w:val="none"/>
        </w:rPr>
        <w:t>无效</w:t>
      </w:r>
      <w:r>
        <w:rPr>
          <w:rFonts w:hint="eastAsia" w:ascii="宋体" w:hAnsi="宋体" w:cs="宋体"/>
          <w:b/>
          <w:bCs/>
          <w:color w:val="auto"/>
          <w:kern w:val="0"/>
          <w:sz w:val="24"/>
          <w:highlight w:val="none"/>
          <w:lang w:eastAsia="zh-CN"/>
        </w:rPr>
        <w:t>。</w:t>
      </w:r>
      <w:r>
        <w:rPr>
          <w:rFonts w:hint="eastAsia" w:ascii="宋体" w:hAnsi="宋体" w:cs="宋体"/>
          <w:b/>
          <w:bCs/>
          <w:color w:val="auto"/>
          <w:kern w:val="0"/>
          <w:sz w:val="24"/>
          <w:highlight w:val="none"/>
        </w:rPr>
        <w:t xml:space="preserve"> </w:t>
      </w:r>
    </w:p>
    <w:p>
      <w:pPr>
        <w:rPr>
          <w:rFonts w:hint="eastAsia"/>
          <w:color w:val="auto"/>
          <w:highlight w:val="none"/>
        </w:rPr>
      </w:pPr>
    </w:p>
    <w:p>
      <w:pPr>
        <w:rPr>
          <w:rFonts w:hint="eastAsia"/>
          <w:color w:val="auto"/>
          <w:highlight w:val="none"/>
        </w:rPr>
      </w:pPr>
    </w:p>
    <w:p>
      <w:pPr>
        <w:rPr>
          <w:rFonts w:hint="eastAsia"/>
          <w:color w:val="auto"/>
          <w:highlight w:val="none"/>
        </w:rPr>
      </w:pPr>
    </w:p>
    <w:p>
      <w:pPr>
        <w:rPr>
          <w:color w:val="auto"/>
          <w:highlight w:val="none"/>
        </w:rPr>
      </w:pPr>
    </w:p>
    <w:p>
      <w:pPr>
        <w:widowControl/>
        <w:ind w:firstLine="720" w:firstLineChars="300"/>
        <w:jc w:val="left"/>
        <w:rPr>
          <w:rFonts w:ascii="宋体" w:hAnsi="宋体" w:cs="宋体"/>
          <w:bCs/>
          <w:color w:val="auto"/>
          <w:sz w:val="24"/>
          <w:highlight w:val="none"/>
        </w:rPr>
      </w:pPr>
    </w:p>
    <w:p>
      <w:pP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ab/>
      </w:r>
    </w:p>
    <w:p>
      <w:pPr>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24"/>
          <w:highlight w:val="none"/>
        </w:rPr>
        <w:br w:type="page"/>
      </w:r>
      <w:r>
        <w:rPr>
          <w:rFonts w:hint="eastAsia" w:ascii="宋体" w:hAnsi="宋体" w:cs="宋体"/>
          <w:b/>
          <w:color w:val="auto"/>
          <w:sz w:val="36"/>
          <w:szCs w:val="36"/>
          <w:highlight w:val="none"/>
        </w:rPr>
        <w:t xml:space="preserve">第四部分   </w:t>
      </w:r>
      <w:bookmarkStart w:id="31" w:name="_Toc184310288"/>
      <w:bookmarkEnd w:id="31"/>
      <w:bookmarkStart w:id="32" w:name="_Toc184310341"/>
      <w:bookmarkEnd w:id="32"/>
      <w:bookmarkStart w:id="33" w:name="_Toc184314458"/>
      <w:bookmarkEnd w:id="33"/>
      <w:bookmarkStart w:id="34" w:name="_Toc184314412"/>
      <w:bookmarkEnd w:id="34"/>
      <w:bookmarkStart w:id="35" w:name="_Toc184314477"/>
      <w:bookmarkEnd w:id="35"/>
      <w:bookmarkStart w:id="36" w:name="_Toc184313298"/>
      <w:bookmarkEnd w:id="36"/>
      <w:bookmarkStart w:id="37" w:name="_Toc184313299"/>
      <w:bookmarkEnd w:id="37"/>
      <w:bookmarkStart w:id="38" w:name="_Toc184308087"/>
      <w:bookmarkEnd w:id="38"/>
      <w:bookmarkStart w:id="39" w:name="_Toc184312121"/>
      <w:bookmarkEnd w:id="39"/>
      <w:bookmarkStart w:id="40" w:name="_Toc184310305"/>
      <w:bookmarkEnd w:id="40"/>
      <w:bookmarkStart w:id="41" w:name="_Toc184308085"/>
      <w:bookmarkEnd w:id="41"/>
      <w:bookmarkStart w:id="42" w:name="_Toc184308065"/>
      <w:bookmarkEnd w:id="42"/>
      <w:bookmarkStart w:id="43" w:name="_Toc184308064"/>
      <w:bookmarkEnd w:id="43"/>
      <w:bookmarkStart w:id="44" w:name="_Toc184314434"/>
      <w:bookmarkEnd w:id="44"/>
      <w:bookmarkStart w:id="45" w:name="_Toc184312082"/>
      <w:bookmarkEnd w:id="45"/>
      <w:bookmarkStart w:id="46" w:name="_Toc184312077"/>
      <w:bookmarkEnd w:id="46"/>
      <w:bookmarkStart w:id="47" w:name="_Toc184312120"/>
      <w:bookmarkEnd w:id="47"/>
      <w:bookmarkStart w:id="48" w:name="_Toc184312123"/>
      <w:bookmarkEnd w:id="48"/>
      <w:bookmarkStart w:id="49" w:name="_Toc184314463"/>
      <w:bookmarkEnd w:id="49"/>
      <w:bookmarkStart w:id="50" w:name="_Toc184313300"/>
      <w:bookmarkEnd w:id="50"/>
      <w:bookmarkStart w:id="51" w:name="_Toc184310334"/>
      <w:bookmarkEnd w:id="51"/>
      <w:bookmarkStart w:id="52" w:name="_Toc184308051"/>
      <w:bookmarkEnd w:id="52"/>
      <w:bookmarkStart w:id="53" w:name="_Toc184310331"/>
      <w:bookmarkEnd w:id="53"/>
      <w:bookmarkStart w:id="54" w:name="_Toc184312094"/>
      <w:bookmarkEnd w:id="54"/>
      <w:bookmarkStart w:id="55" w:name="_Toc184312116"/>
      <w:bookmarkEnd w:id="55"/>
      <w:bookmarkStart w:id="56" w:name="_Toc184314443"/>
      <w:bookmarkEnd w:id="56"/>
      <w:bookmarkStart w:id="57" w:name="_Toc184314424"/>
      <w:bookmarkEnd w:id="57"/>
      <w:bookmarkStart w:id="58" w:name="_Toc184310308"/>
      <w:bookmarkEnd w:id="58"/>
      <w:bookmarkStart w:id="59" w:name="_Toc184310286"/>
      <w:bookmarkEnd w:id="59"/>
      <w:bookmarkStart w:id="60" w:name="_Toc184314452"/>
      <w:bookmarkEnd w:id="60"/>
      <w:bookmarkStart w:id="61" w:name="_Toc184312072"/>
      <w:bookmarkEnd w:id="61"/>
      <w:bookmarkStart w:id="62" w:name="_Toc184312068"/>
      <w:bookmarkEnd w:id="62"/>
      <w:bookmarkStart w:id="63" w:name="_Toc184312113"/>
      <w:bookmarkEnd w:id="63"/>
      <w:bookmarkStart w:id="64" w:name="_Toc184313304"/>
      <w:bookmarkEnd w:id="64"/>
      <w:bookmarkStart w:id="65" w:name="_Toc184308088"/>
      <w:bookmarkEnd w:id="65"/>
      <w:bookmarkStart w:id="66" w:name="_Toc184312132"/>
      <w:bookmarkEnd w:id="66"/>
      <w:bookmarkStart w:id="67" w:name="_Toc184308046"/>
      <w:bookmarkEnd w:id="67"/>
      <w:bookmarkStart w:id="68" w:name="_Toc184308084"/>
      <w:bookmarkEnd w:id="68"/>
      <w:bookmarkStart w:id="69" w:name="_Toc184310322"/>
      <w:bookmarkEnd w:id="69"/>
      <w:bookmarkStart w:id="70" w:name="_Toc184312083"/>
      <w:bookmarkEnd w:id="70"/>
      <w:bookmarkStart w:id="71" w:name="_Toc184313258"/>
      <w:bookmarkEnd w:id="71"/>
      <w:bookmarkStart w:id="72" w:name="_Toc184313248"/>
      <w:bookmarkEnd w:id="72"/>
      <w:bookmarkStart w:id="73" w:name="_Toc184314465"/>
      <w:bookmarkEnd w:id="73"/>
      <w:bookmarkStart w:id="74" w:name="_Toc184308055"/>
      <w:bookmarkEnd w:id="74"/>
      <w:bookmarkStart w:id="75" w:name="_Toc184312076"/>
      <w:bookmarkEnd w:id="75"/>
      <w:bookmarkStart w:id="76" w:name="_Toc184312125"/>
      <w:bookmarkEnd w:id="76"/>
      <w:bookmarkStart w:id="77" w:name="_Toc184310304"/>
      <w:bookmarkEnd w:id="77"/>
      <w:bookmarkStart w:id="78" w:name="_Toc184310340"/>
      <w:bookmarkEnd w:id="78"/>
      <w:bookmarkStart w:id="79" w:name="_Toc184310278"/>
      <w:bookmarkEnd w:id="79"/>
      <w:bookmarkStart w:id="80" w:name="_Toc184314468"/>
      <w:bookmarkEnd w:id="80"/>
      <w:bookmarkStart w:id="81" w:name="_Toc184308102"/>
      <w:bookmarkEnd w:id="81"/>
      <w:bookmarkStart w:id="82" w:name="_Toc184312117"/>
      <w:bookmarkEnd w:id="82"/>
      <w:bookmarkStart w:id="83" w:name="_Toc184313241"/>
      <w:bookmarkEnd w:id="83"/>
      <w:bookmarkStart w:id="84" w:name="_Toc184308068"/>
      <w:bookmarkEnd w:id="84"/>
      <w:bookmarkStart w:id="85" w:name="_Toc184313303"/>
      <w:bookmarkEnd w:id="85"/>
      <w:bookmarkStart w:id="86" w:name="_Toc184312114"/>
      <w:bookmarkEnd w:id="86"/>
      <w:bookmarkStart w:id="87" w:name="_Toc184308099"/>
      <w:bookmarkEnd w:id="87"/>
      <w:bookmarkStart w:id="88" w:name="_Toc184313288"/>
      <w:bookmarkEnd w:id="88"/>
      <w:bookmarkStart w:id="89" w:name="_Toc184310273"/>
      <w:bookmarkEnd w:id="89"/>
      <w:bookmarkStart w:id="90" w:name="_Toc184313242"/>
      <w:bookmarkEnd w:id="90"/>
      <w:bookmarkStart w:id="91" w:name="_Toc184314436"/>
      <w:bookmarkEnd w:id="91"/>
      <w:bookmarkStart w:id="92" w:name="_Toc184314475"/>
      <w:bookmarkEnd w:id="92"/>
      <w:bookmarkStart w:id="93" w:name="_Toc184312119"/>
      <w:bookmarkEnd w:id="93"/>
      <w:bookmarkStart w:id="94" w:name="_Toc184313310"/>
      <w:bookmarkEnd w:id="94"/>
      <w:bookmarkStart w:id="95" w:name="_Toc184312091"/>
      <w:bookmarkEnd w:id="95"/>
      <w:bookmarkStart w:id="96" w:name="_Toc184313263"/>
      <w:bookmarkEnd w:id="96"/>
      <w:bookmarkStart w:id="97" w:name="_Toc184308049"/>
      <w:bookmarkEnd w:id="97"/>
      <w:bookmarkStart w:id="98" w:name="_Toc184310338"/>
      <w:bookmarkEnd w:id="98"/>
      <w:bookmarkStart w:id="99" w:name="_Toc184310280"/>
      <w:bookmarkEnd w:id="99"/>
      <w:bookmarkStart w:id="100" w:name="_Toc184313251"/>
      <w:bookmarkEnd w:id="100"/>
      <w:bookmarkStart w:id="101" w:name="_Toc184313273"/>
      <w:bookmarkEnd w:id="101"/>
      <w:bookmarkStart w:id="102" w:name="_Toc184312098"/>
      <w:bookmarkEnd w:id="102"/>
      <w:bookmarkStart w:id="103" w:name="_Toc184314440"/>
      <w:bookmarkEnd w:id="103"/>
      <w:bookmarkStart w:id="104" w:name="_Toc184308042"/>
      <w:bookmarkEnd w:id="104"/>
      <w:bookmarkStart w:id="105" w:name="_Toc184308048"/>
      <w:bookmarkEnd w:id="105"/>
      <w:bookmarkStart w:id="106" w:name="_Toc184308098"/>
      <w:bookmarkEnd w:id="106"/>
      <w:bookmarkStart w:id="107" w:name="_Toc184308061"/>
      <w:bookmarkEnd w:id="107"/>
      <w:bookmarkStart w:id="108" w:name="_Toc184312087"/>
      <w:bookmarkEnd w:id="108"/>
      <w:bookmarkStart w:id="109" w:name="_Toc184310317"/>
      <w:bookmarkEnd w:id="109"/>
      <w:bookmarkStart w:id="110" w:name="_Toc184313266"/>
      <w:bookmarkEnd w:id="110"/>
      <w:bookmarkStart w:id="111" w:name="_Toc184308081"/>
      <w:bookmarkEnd w:id="111"/>
      <w:bookmarkStart w:id="112" w:name="_Toc184310321"/>
      <w:bookmarkEnd w:id="112"/>
      <w:bookmarkStart w:id="113" w:name="_Toc184308105"/>
      <w:bookmarkEnd w:id="113"/>
      <w:bookmarkStart w:id="114" w:name="_Toc184314419"/>
      <w:bookmarkEnd w:id="114"/>
      <w:bookmarkStart w:id="115" w:name="_Toc184314467"/>
      <w:bookmarkEnd w:id="115"/>
      <w:bookmarkStart w:id="116" w:name="_Toc184310335"/>
      <w:bookmarkEnd w:id="116"/>
      <w:bookmarkStart w:id="117" w:name="_Toc184310307"/>
      <w:bookmarkEnd w:id="117"/>
      <w:bookmarkStart w:id="118" w:name="_Toc184313287"/>
      <w:bookmarkEnd w:id="118"/>
      <w:bookmarkStart w:id="119" w:name="_Toc184310337"/>
      <w:bookmarkEnd w:id="119"/>
      <w:bookmarkStart w:id="120" w:name="_Toc184314454"/>
      <w:bookmarkEnd w:id="120"/>
      <w:bookmarkStart w:id="121" w:name="_Toc184312069"/>
      <w:bookmarkEnd w:id="121"/>
      <w:bookmarkStart w:id="122" w:name="_Toc184308075"/>
      <w:bookmarkEnd w:id="122"/>
      <w:bookmarkStart w:id="123" w:name="_Toc184314441"/>
      <w:bookmarkEnd w:id="123"/>
      <w:bookmarkStart w:id="124" w:name="_Toc184310325"/>
      <w:bookmarkEnd w:id="124"/>
      <w:bookmarkStart w:id="125" w:name="_Toc184308103"/>
      <w:bookmarkEnd w:id="125"/>
      <w:bookmarkStart w:id="126" w:name="_Toc184308040"/>
      <w:bookmarkEnd w:id="126"/>
      <w:bookmarkStart w:id="127" w:name="_Toc184312112"/>
      <w:bookmarkEnd w:id="127"/>
      <w:bookmarkStart w:id="128" w:name="_Toc184308043"/>
      <w:bookmarkEnd w:id="128"/>
      <w:bookmarkStart w:id="129" w:name="_Toc184313257"/>
      <w:bookmarkEnd w:id="129"/>
      <w:bookmarkStart w:id="130" w:name="_Toc184314439"/>
      <w:bookmarkEnd w:id="130"/>
      <w:bookmarkStart w:id="131" w:name="_Toc184313308"/>
      <w:bookmarkEnd w:id="131"/>
      <w:bookmarkStart w:id="132" w:name="_Toc184314438"/>
      <w:bookmarkEnd w:id="132"/>
      <w:bookmarkStart w:id="133" w:name="_Toc184312096"/>
      <w:bookmarkEnd w:id="133"/>
      <w:bookmarkStart w:id="134" w:name="_Toc184310275"/>
      <w:bookmarkEnd w:id="134"/>
      <w:bookmarkStart w:id="135" w:name="_Toc184312088"/>
      <w:bookmarkEnd w:id="135"/>
      <w:bookmarkStart w:id="136" w:name="_Toc184312134"/>
      <w:bookmarkEnd w:id="136"/>
      <w:bookmarkStart w:id="137" w:name="_Toc184308090"/>
      <w:bookmarkEnd w:id="137"/>
      <w:bookmarkStart w:id="138" w:name="_Toc184312130"/>
      <w:bookmarkEnd w:id="138"/>
      <w:bookmarkStart w:id="139" w:name="_Toc184314470"/>
      <w:bookmarkEnd w:id="139"/>
      <w:bookmarkStart w:id="140" w:name="_Toc184314423"/>
      <w:bookmarkEnd w:id="140"/>
      <w:bookmarkStart w:id="141" w:name="_Toc184312137"/>
      <w:bookmarkEnd w:id="141"/>
      <w:bookmarkStart w:id="142" w:name="_Toc184312135"/>
      <w:bookmarkEnd w:id="142"/>
      <w:bookmarkStart w:id="143" w:name="_Toc184314459"/>
      <w:bookmarkEnd w:id="143"/>
      <w:bookmarkStart w:id="144" w:name="_Toc184312109"/>
      <w:bookmarkEnd w:id="144"/>
      <w:bookmarkStart w:id="145" w:name="_Toc184314476"/>
      <w:bookmarkEnd w:id="145"/>
      <w:bookmarkStart w:id="146" w:name="_Toc184308037"/>
      <w:bookmarkEnd w:id="146"/>
      <w:bookmarkStart w:id="147" w:name="_Toc184308054"/>
      <w:bookmarkEnd w:id="147"/>
      <w:bookmarkStart w:id="148" w:name="_Toc184313281"/>
      <w:bookmarkEnd w:id="148"/>
      <w:bookmarkStart w:id="149" w:name="_Toc184308080"/>
      <w:bookmarkEnd w:id="149"/>
      <w:bookmarkStart w:id="150" w:name="_Toc184312136"/>
      <w:bookmarkEnd w:id="150"/>
      <w:bookmarkStart w:id="151" w:name="_Toc184314469"/>
      <w:bookmarkEnd w:id="151"/>
      <w:bookmarkStart w:id="152" w:name="_Toc184313247"/>
      <w:bookmarkEnd w:id="152"/>
      <w:bookmarkStart w:id="153" w:name="_Toc184313307"/>
      <w:bookmarkEnd w:id="153"/>
      <w:bookmarkStart w:id="154" w:name="_Toc184314435"/>
      <w:bookmarkEnd w:id="154"/>
      <w:bookmarkStart w:id="155" w:name="_Toc184314466"/>
      <w:bookmarkEnd w:id="155"/>
      <w:bookmarkStart w:id="156" w:name="_Toc184313290"/>
      <w:bookmarkEnd w:id="156"/>
      <w:bookmarkStart w:id="157" w:name="_Toc184308077"/>
      <w:bookmarkEnd w:id="157"/>
      <w:bookmarkStart w:id="158" w:name="_Toc184310329"/>
      <w:bookmarkEnd w:id="158"/>
      <w:bookmarkStart w:id="159" w:name="_Toc184313280"/>
      <w:bookmarkEnd w:id="159"/>
      <w:bookmarkStart w:id="160" w:name="_Toc184308073"/>
      <w:bookmarkEnd w:id="160"/>
      <w:bookmarkStart w:id="161" w:name="_Toc184314413"/>
      <w:bookmarkEnd w:id="161"/>
      <w:bookmarkStart w:id="162" w:name="_Toc184310336"/>
      <w:bookmarkEnd w:id="162"/>
      <w:bookmarkStart w:id="163" w:name="_Toc184310309"/>
      <w:bookmarkEnd w:id="163"/>
      <w:bookmarkStart w:id="164" w:name="_Toc184313253"/>
      <w:bookmarkEnd w:id="164"/>
      <w:bookmarkStart w:id="165" w:name="_Toc184313279"/>
      <w:bookmarkEnd w:id="165"/>
      <w:bookmarkStart w:id="166" w:name="_Toc184312131"/>
      <w:bookmarkEnd w:id="166"/>
      <w:bookmarkStart w:id="167" w:name="_Toc184313293"/>
      <w:bookmarkEnd w:id="167"/>
      <w:bookmarkStart w:id="168" w:name="_Toc184308036"/>
      <w:bookmarkEnd w:id="168"/>
      <w:bookmarkStart w:id="169" w:name="_Toc184312126"/>
      <w:bookmarkEnd w:id="169"/>
      <w:bookmarkStart w:id="170" w:name="_Toc184313285"/>
      <w:bookmarkEnd w:id="170"/>
      <w:bookmarkStart w:id="171" w:name="_Toc184308104"/>
      <w:bookmarkEnd w:id="171"/>
      <w:bookmarkStart w:id="172" w:name="_Toc184310294"/>
      <w:bookmarkEnd w:id="172"/>
      <w:bookmarkStart w:id="173" w:name="_Toc184312122"/>
      <w:bookmarkEnd w:id="173"/>
      <w:bookmarkStart w:id="174" w:name="_Toc184314481"/>
      <w:bookmarkEnd w:id="174"/>
      <w:bookmarkStart w:id="175" w:name="_Toc184308069"/>
      <w:bookmarkEnd w:id="175"/>
      <w:bookmarkStart w:id="176" w:name="_Toc184312103"/>
      <w:bookmarkEnd w:id="176"/>
      <w:bookmarkStart w:id="177" w:name="_Toc184310298"/>
      <w:bookmarkEnd w:id="177"/>
      <w:bookmarkStart w:id="178" w:name="_Toc184310293"/>
      <w:bookmarkEnd w:id="178"/>
      <w:bookmarkStart w:id="179" w:name="_Toc184308092"/>
      <w:bookmarkEnd w:id="179"/>
      <w:bookmarkStart w:id="180" w:name="_Toc184308097"/>
      <w:bookmarkEnd w:id="180"/>
      <w:bookmarkStart w:id="181" w:name="_Toc184308056"/>
      <w:bookmarkEnd w:id="181"/>
      <w:bookmarkStart w:id="182" w:name="_Toc184312090"/>
      <w:bookmarkEnd w:id="182"/>
      <w:bookmarkStart w:id="183" w:name="_Toc184314446"/>
      <w:bookmarkEnd w:id="183"/>
      <w:bookmarkStart w:id="184" w:name="_Toc184310315"/>
      <w:bookmarkEnd w:id="184"/>
      <w:bookmarkStart w:id="185" w:name="_Toc184313250"/>
      <w:bookmarkEnd w:id="185"/>
      <w:bookmarkStart w:id="186" w:name="_Toc184308078"/>
      <w:bookmarkEnd w:id="186"/>
      <w:bookmarkStart w:id="187" w:name="_Toc184310306"/>
      <w:bookmarkEnd w:id="187"/>
      <w:bookmarkStart w:id="188" w:name="_Toc184312118"/>
      <w:bookmarkEnd w:id="188"/>
      <w:bookmarkStart w:id="189" w:name="_Toc184314426"/>
      <w:bookmarkEnd w:id="189"/>
      <w:bookmarkStart w:id="190" w:name="_Toc184308058"/>
      <w:bookmarkEnd w:id="190"/>
      <w:bookmarkStart w:id="191" w:name="_Toc184313291"/>
      <w:bookmarkEnd w:id="191"/>
      <w:bookmarkStart w:id="192" w:name="_Toc184310310"/>
      <w:bookmarkEnd w:id="192"/>
      <w:bookmarkStart w:id="193" w:name="_Toc184313289"/>
      <w:bookmarkEnd w:id="193"/>
      <w:bookmarkStart w:id="194" w:name="_Toc184313296"/>
      <w:bookmarkEnd w:id="194"/>
      <w:bookmarkStart w:id="195" w:name="_Toc184312133"/>
      <w:bookmarkEnd w:id="195"/>
      <w:bookmarkStart w:id="196" w:name="_Toc184312128"/>
      <w:bookmarkEnd w:id="196"/>
      <w:bookmarkStart w:id="197" w:name="_Toc184308107"/>
      <w:bookmarkEnd w:id="197"/>
      <w:bookmarkStart w:id="198" w:name="_Toc184313255"/>
      <w:bookmarkEnd w:id="198"/>
      <w:bookmarkStart w:id="199" w:name="_Toc184310292"/>
      <w:bookmarkEnd w:id="199"/>
      <w:bookmarkStart w:id="200" w:name="_Toc184308047"/>
      <w:bookmarkEnd w:id="200"/>
      <w:bookmarkStart w:id="201" w:name="_Toc184310295"/>
      <w:bookmarkEnd w:id="201"/>
      <w:bookmarkStart w:id="202" w:name="_Toc184314427"/>
      <w:bookmarkEnd w:id="202"/>
      <w:bookmarkStart w:id="203" w:name="_Toc184308093"/>
      <w:bookmarkEnd w:id="203"/>
      <w:bookmarkStart w:id="204" w:name="_Toc184314437"/>
      <w:bookmarkEnd w:id="204"/>
      <w:bookmarkStart w:id="205" w:name="_Toc184308053"/>
      <w:bookmarkEnd w:id="205"/>
      <w:bookmarkStart w:id="206" w:name="_Toc184313286"/>
      <w:bookmarkEnd w:id="206"/>
      <w:bookmarkStart w:id="207" w:name="_Toc184310281"/>
      <w:bookmarkEnd w:id="207"/>
      <w:bookmarkStart w:id="208" w:name="_Toc184308045"/>
      <w:bookmarkEnd w:id="208"/>
      <w:bookmarkStart w:id="209" w:name="_Toc184313276"/>
      <w:bookmarkEnd w:id="209"/>
      <w:bookmarkStart w:id="210" w:name="_Toc184314448"/>
      <w:bookmarkEnd w:id="210"/>
      <w:bookmarkStart w:id="211" w:name="_Toc184308070"/>
      <w:bookmarkEnd w:id="211"/>
      <w:bookmarkStart w:id="212" w:name="_Toc184313268"/>
      <w:bookmarkEnd w:id="212"/>
      <w:bookmarkStart w:id="213" w:name="_Toc184308074"/>
      <w:bookmarkEnd w:id="213"/>
      <w:bookmarkStart w:id="214" w:name="_Toc184310330"/>
      <w:bookmarkEnd w:id="214"/>
      <w:bookmarkStart w:id="215" w:name="_Toc184308095"/>
      <w:bookmarkEnd w:id="215"/>
      <w:bookmarkStart w:id="216" w:name="_Toc184313278"/>
      <w:bookmarkEnd w:id="216"/>
      <w:bookmarkStart w:id="217" w:name="_Toc184308072"/>
      <w:bookmarkEnd w:id="217"/>
      <w:bookmarkStart w:id="218" w:name="_Toc184314456"/>
      <w:bookmarkEnd w:id="218"/>
      <w:bookmarkStart w:id="219" w:name="_Toc184313269"/>
      <w:bookmarkEnd w:id="219"/>
      <w:bookmarkStart w:id="220" w:name="_Toc184313297"/>
      <w:bookmarkEnd w:id="220"/>
      <w:bookmarkStart w:id="221" w:name="_Toc184313302"/>
      <w:bookmarkEnd w:id="221"/>
      <w:bookmarkStart w:id="222" w:name="_Toc184308076"/>
      <w:bookmarkEnd w:id="222"/>
      <w:bookmarkStart w:id="223" w:name="_Toc184312110"/>
      <w:bookmarkEnd w:id="223"/>
      <w:bookmarkStart w:id="224" w:name="_Toc184312124"/>
      <w:bookmarkEnd w:id="224"/>
      <w:bookmarkStart w:id="225" w:name="_Toc184313275"/>
      <w:bookmarkEnd w:id="225"/>
      <w:bookmarkStart w:id="226" w:name="_Toc184308101"/>
      <w:bookmarkEnd w:id="226"/>
      <w:bookmarkStart w:id="227" w:name="_Toc184310327"/>
      <w:bookmarkEnd w:id="227"/>
      <w:bookmarkStart w:id="228" w:name="_Toc184313252"/>
      <w:bookmarkEnd w:id="228"/>
      <w:bookmarkStart w:id="229" w:name="_Toc184314429"/>
      <w:bookmarkEnd w:id="229"/>
      <w:bookmarkStart w:id="230" w:name="_Toc184314464"/>
      <w:bookmarkEnd w:id="230"/>
      <w:bookmarkStart w:id="231" w:name="_Toc184310313"/>
      <w:bookmarkEnd w:id="231"/>
      <w:bookmarkStart w:id="232" w:name="_Toc184312080"/>
      <w:bookmarkEnd w:id="232"/>
      <w:bookmarkStart w:id="233" w:name="_Toc184314430"/>
      <w:bookmarkEnd w:id="233"/>
      <w:bookmarkStart w:id="234" w:name="_Toc184310302"/>
      <w:bookmarkEnd w:id="234"/>
      <w:bookmarkStart w:id="235" w:name="_Toc184313309"/>
      <w:bookmarkEnd w:id="235"/>
      <w:bookmarkStart w:id="236" w:name="_Toc184313305"/>
      <w:bookmarkEnd w:id="236"/>
      <w:bookmarkStart w:id="237" w:name="_Toc184310320"/>
      <w:bookmarkEnd w:id="237"/>
      <w:bookmarkStart w:id="238" w:name="_Toc184313271"/>
      <w:bookmarkEnd w:id="238"/>
      <w:bookmarkStart w:id="239" w:name="_Toc184310282"/>
      <w:bookmarkEnd w:id="239"/>
      <w:bookmarkStart w:id="240" w:name="_Toc184313240"/>
      <w:bookmarkEnd w:id="240"/>
      <w:bookmarkStart w:id="241" w:name="_Toc184313292"/>
      <w:bookmarkEnd w:id="241"/>
      <w:bookmarkStart w:id="242" w:name="_Toc184314471"/>
      <w:bookmarkEnd w:id="242"/>
      <w:bookmarkStart w:id="243" w:name="_Toc184312105"/>
      <w:bookmarkEnd w:id="243"/>
      <w:bookmarkStart w:id="244" w:name="_Toc184314455"/>
      <w:bookmarkEnd w:id="244"/>
      <w:bookmarkStart w:id="245" w:name="_Toc184310343"/>
      <w:bookmarkEnd w:id="245"/>
      <w:bookmarkStart w:id="246" w:name="_Toc184312115"/>
      <w:bookmarkEnd w:id="246"/>
      <w:bookmarkStart w:id="247" w:name="_Toc184308063"/>
      <w:bookmarkEnd w:id="247"/>
      <w:bookmarkStart w:id="248" w:name="_Toc184308082"/>
      <w:bookmarkEnd w:id="248"/>
      <w:bookmarkStart w:id="249" w:name="_Toc184313249"/>
      <w:bookmarkEnd w:id="249"/>
      <w:bookmarkStart w:id="250" w:name="_Toc184312107"/>
      <w:bookmarkEnd w:id="250"/>
      <w:bookmarkStart w:id="251" w:name="_Toc184314410"/>
      <w:bookmarkEnd w:id="251"/>
      <w:bookmarkStart w:id="252" w:name="_Toc184312070"/>
      <w:bookmarkEnd w:id="252"/>
      <w:bookmarkStart w:id="253" w:name="_Toc184312101"/>
      <w:bookmarkEnd w:id="253"/>
      <w:bookmarkStart w:id="254" w:name="_Toc184308060"/>
      <w:bookmarkEnd w:id="254"/>
      <w:bookmarkStart w:id="255" w:name="_Toc184313284"/>
      <w:bookmarkEnd w:id="255"/>
      <w:bookmarkStart w:id="256" w:name="_Toc184314422"/>
      <w:bookmarkEnd w:id="256"/>
      <w:bookmarkStart w:id="257" w:name="_Toc184308052"/>
      <w:bookmarkEnd w:id="257"/>
      <w:bookmarkStart w:id="258" w:name="_Toc184313283"/>
      <w:bookmarkEnd w:id="258"/>
      <w:bookmarkStart w:id="259" w:name="_Toc184310332"/>
      <w:bookmarkEnd w:id="259"/>
      <w:bookmarkStart w:id="260" w:name="_Toc184314451"/>
      <w:bookmarkEnd w:id="260"/>
      <w:bookmarkStart w:id="261" w:name="_Toc184310300"/>
      <w:bookmarkEnd w:id="261"/>
      <w:bookmarkStart w:id="262" w:name="_Toc184308050"/>
      <w:bookmarkEnd w:id="262"/>
      <w:bookmarkStart w:id="263" w:name="_Toc184312138"/>
      <w:bookmarkEnd w:id="263"/>
      <w:bookmarkStart w:id="264" w:name="_Toc184313262"/>
      <w:bookmarkEnd w:id="264"/>
      <w:bookmarkStart w:id="265" w:name="_Toc184314482"/>
      <w:bookmarkEnd w:id="265"/>
      <w:bookmarkStart w:id="266" w:name="_Toc184310289"/>
      <w:bookmarkEnd w:id="266"/>
      <w:bookmarkStart w:id="267" w:name="_Toc184314450"/>
      <w:bookmarkEnd w:id="267"/>
      <w:bookmarkStart w:id="268" w:name="_Toc184314428"/>
      <w:bookmarkEnd w:id="268"/>
      <w:bookmarkStart w:id="269" w:name="_Toc184308044"/>
      <w:bookmarkEnd w:id="269"/>
      <w:bookmarkStart w:id="270" w:name="_Toc184313274"/>
      <w:bookmarkEnd w:id="270"/>
      <w:bookmarkStart w:id="271" w:name="_Toc184310283"/>
      <w:bookmarkEnd w:id="271"/>
      <w:bookmarkStart w:id="272" w:name="_Toc184313244"/>
      <w:bookmarkEnd w:id="272"/>
      <w:bookmarkStart w:id="273" w:name="_Toc184312067"/>
      <w:bookmarkEnd w:id="273"/>
      <w:bookmarkStart w:id="274" w:name="_Toc184314449"/>
      <w:bookmarkEnd w:id="274"/>
      <w:bookmarkStart w:id="275" w:name="_Toc184310299"/>
      <w:bookmarkEnd w:id="275"/>
      <w:bookmarkStart w:id="276" w:name="_Toc184313306"/>
      <w:bookmarkEnd w:id="276"/>
      <w:bookmarkStart w:id="277" w:name="_Toc184312079"/>
      <w:bookmarkEnd w:id="277"/>
      <w:bookmarkStart w:id="278" w:name="_Toc184314414"/>
      <w:bookmarkEnd w:id="278"/>
      <w:bookmarkStart w:id="279" w:name="_Toc184310316"/>
      <w:bookmarkEnd w:id="279"/>
      <w:bookmarkStart w:id="280" w:name="_Toc184313256"/>
      <w:bookmarkEnd w:id="280"/>
      <w:bookmarkStart w:id="281" w:name="_Toc184314444"/>
      <w:bookmarkEnd w:id="281"/>
      <w:bookmarkStart w:id="282" w:name="_Toc184310318"/>
      <w:bookmarkEnd w:id="282"/>
      <w:bookmarkStart w:id="283" w:name="_Toc184314460"/>
      <w:bookmarkEnd w:id="283"/>
      <w:bookmarkStart w:id="284" w:name="_Toc184314411"/>
      <w:bookmarkEnd w:id="284"/>
      <w:bookmarkStart w:id="285" w:name="_Toc184310328"/>
      <w:bookmarkEnd w:id="285"/>
      <w:bookmarkStart w:id="286" w:name="_Toc184314420"/>
      <w:bookmarkEnd w:id="286"/>
      <w:bookmarkStart w:id="287" w:name="_Toc184312102"/>
      <w:bookmarkEnd w:id="287"/>
      <w:bookmarkStart w:id="288" w:name="_Toc184308039"/>
      <w:bookmarkEnd w:id="288"/>
      <w:bookmarkStart w:id="289" w:name="_Toc184310284"/>
      <w:bookmarkEnd w:id="289"/>
      <w:bookmarkStart w:id="290" w:name="_Toc184310319"/>
      <w:bookmarkEnd w:id="290"/>
      <w:bookmarkStart w:id="291" w:name="_Toc184308066"/>
      <w:bookmarkEnd w:id="291"/>
      <w:bookmarkStart w:id="292" w:name="_Toc184313295"/>
      <w:bookmarkEnd w:id="292"/>
      <w:bookmarkStart w:id="293" w:name="_Toc184312086"/>
      <w:bookmarkEnd w:id="293"/>
      <w:bookmarkStart w:id="294" w:name="_Toc184313282"/>
      <w:bookmarkEnd w:id="294"/>
      <w:bookmarkStart w:id="295" w:name="_Toc184312104"/>
      <w:bookmarkEnd w:id="295"/>
      <w:bookmarkStart w:id="296" w:name="_Toc184314478"/>
      <w:bookmarkEnd w:id="296"/>
      <w:bookmarkStart w:id="297" w:name="_Toc184310312"/>
      <w:bookmarkEnd w:id="297"/>
      <w:bookmarkStart w:id="298" w:name="_Toc184312085"/>
      <w:bookmarkEnd w:id="298"/>
      <w:bookmarkStart w:id="299" w:name="_Toc184312074"/>
      <w:bookmarkEnd w:id="299"/>
      <w:bookmarkStart w:id="300" w:name="_Toc184313238"/>
      <w:bookmarkEnd w:id="300"/>
      <w:bookmarkStart w:id="301" w:name="_Toc184314472"/>
      <w:bookmarkEnd w:id="301"/>
      <w:bookmarkStart w:id="302" w:name="_Toc184312139"/>
      <w:bookmarkEnd w:id="302"/>
      <w:bookmarkStart w:id="303" w:name="_Toc184312075"/>
      <w:bookmarkEnd w:id="303"/>
      <w:bookmarkStart w:id="304" w:name="_Toc184313265"/>
      <w:bookmarkEnd w:id="304"/>
      <w:bookmarkStart w:id="305" w:name="_Toc184314421"/>
      <w:bookmarkEnd w:id="305"/>
      <w:bookmarkStart w:id="306" w:name="_Toc184308086"/>
      <w:bookmarkEnd w:id="306"/>
      <w:bookmarkStart w:id="307" w:name="_Toc184308041"/>
      <w:bookmarkEnd w:id="307"/>
      <w:bookmarkStart w:id="308" w:name="_Toc184310296"/>
      <w:bookmarkEnd w:id="308"/>
      <w:bookmarkStart w:id="309" w:name="_Toc184310297"/>
      <w:bookmarkEnd w:id="309"/>
      <w:bookmarkStart w:id="310" w:name="_Toc184314462"/>
      <w:bookmarkEnd w:id="310"/>
      <w:bookmarkStart w:id="311" w:name="_Toc184308079"/>
      <w:bookmarkEnd w:id="311"/>
      <w:bookmarkStart w:id="312" w:name="_Toc184308108"/>
      <w:bookmarkEnd w:id="312"/>
      <w:bookmarkStart w:id="313" w:name="_Toc184313260"/>
      <w:bookmarkEnd w:id="313"/>
      <w:bookmarkStart w:id="314" w:name="_Toc184310324"/>
      <w:bookmarkEnd w:id="314"/>
      <w:bookmarkStart w:id="315" w:name="_Toc184314415"/>
      <w:bookmarkEnd w:id="315"/>
      <w:bookmarkStart w:id="316" w:name="_Toc184314416"/>
      <w:bookmarkEnd w:id="316"/>
      <w:bookmarkStart w:id="317" w:name="_Toc184314461"/>
      <w:bookmarkEnd w:id="317"/>
      <w:bookmarkStart w:id="318" w:name="_Toc184314433"/>
      <w:bookmarkEnd w:id="318"/>
      <w:bookmarkStart w:id="319" w:name="_Toc184313243"/>
      <w:bookmarkEnd w:id="319"/>
      <w:bookmarkStart w:id="320" w:name="_Toc184310277"/>
      <w:bookmarkEnd w:id="320"/>
      <w:bookmarkStart w:id="321" w:name="_Toc184312078"/>
      <w:bookmarkEnd w:id="321"/>
      <w:bookmarkStart w:id="322" w:name="_Toc184314445"/>
      <w:bookmarkEnd w:id="322"/>
      <w:bookmarkStart w:id="323" w:name="_Toc184312081"/>
      <w:bookmarkEnd w:id="323"/>
      <w:bookmarkStart w:id="324" w:name="_Toc184312099"/>
      <w:bookmarkEnd w:id="324"/>
      <w:bookmarkStart w:id="325" w:name="_Toc184313259"/>
      <w:bookmarkEnd w:id="325"/>
      <w:bookmarkStart w:id="326" w:name="_Toc184312073"/>
      <w:bookmarkEnd w:id="326"/>
      <w:bookmarkStart w:id="327" w:name="_Toc184312071"/>
      <w:bookmarkEnd w:id="327"/>
      <w:bookmarkStart w:id="328" w:name="_Toc184310272"/>
      <w:bookmarkEnd w:id="328"/>
      <w:bookmarkStart w:id="329" w:name="_Toc184310323"/>
      <w:bookmarkEnd w:id="329"/>
      <w:bookmarkStart w:id="330" w:name="_Toc184313277"/>
      <w:bookmarkEnd w:id="330"/>
      <w:bookmarkStart w:id="331" w:name="_Toc184310285"/>
      <w:bookmarkEnd w:id="331"/>
      <w:bookmarkStart w:id="332" w:name="_Toc184308100"/>
      <w:bookmarkEnd w:id="332"/>
      <w:bookmarkStart w:id="333" w:name="_Toc184313246"/>
      <w:bookmarkEnd w:id="333"/>
      <w:bookmarkStart w:id="334" w:name="_Toc184312129"/>
      <w:bookmarkEnd w:id="334"/>
      <w:bookmarkStart w:id="335" w:name="_Toc184310287"/>
      <w:bookmarkEnd w:id="335"/>
      <w:bookmarkStart w:id="336" w:name="_Toc184310311"/>
      <w:bookmarkEnd w:id="336"/>
      <w:bookmarkStart w:id="337" w:name="_Toc184310339"/>
      <w:bookmarkEnd w:id="337"/>
      <w:bookmarkStart w:id="338" w:name="_Toc184310314"/>
      <w:bookmarkEnd w:id="338"/>
      <w:bookmarkStart w:id="339" w:name="_Toc184314457"/>
      <w:bookmarkEnd w:id="339"/>
      <w:bookmarkStart w:id="340" w:name="_Toc184310276"/>
      <w:bookmarkEnd w:id="340"/>
      <w:bookmarkStart w:id="341" w:name="_Toc184314442"/>
      <w:bookmarkEnd w:id="341"/>
      <w:bookmarkStart w:id="342" w:name="_Toc184312111"/>
      <w:bookmarkEnd w:id="342"/>
      <w:bookmarkStart w:id="343" w:name="_Toc184314417"/>
      <w:bookmarkEnd w:id="343"/>
      <w:bookmarkStart w:id="344" w:name="_Toc184308071"/>
      <w:bookmarkEnd w:id="344"/>
      <w:bookmarkStart w:id="345" w:name="_Toc184313270"/>
      <w:bookmarkEnd w:id="345"/>
      <w:bookmarkStart w:id="346" w:name="_Toc184310333"/>
      <w:bookmarkEnd w:id="346"/>
      <w:bookmarkStart w:id="347" w:name="_Toc184313264"/>
      <w:bookmarkEnd w:id="347"/>
      <w:bookmarkStart w:id="348" w:name="_Toc184308096"/>
      <w:bookmarkEnd w:id="348"/>
      <w:bookmarkStart w:id="349" w:name="_Toc184313261"/>
      <w:bookmarkEnd w:id="349"/>
      <w:bookmarkStart w:id="350" w:name="_Toc184308091"/>
      <w:bookmarkEnd w:id="350"/>
      <w:bookmarkStart w:id="351" w:name="_Toc184314431"/>
      <w:bookmarkEnd w:id="351"/>
      <w:bookmarkStart w:id="352" w:name="_Toc184312097"/>
      <w:bookmarkEnd w:id="352"/>
      <w:bookmarkStart w:id="353" w:name="_Toc184310342"/>
      <w:bookmarkEnd w:id="353"/>
      <w:bookmarkStart w:id="354" w:name="_Toc184308059"/>
      <w:bookmarkEnd w:id="354"/>
      <w:bookmarkStart w:id="355" w:name="_Toc184313294"/>
      <w:bookmarkEnd w:id="355"/>
      <w:bookmarkStart w:id="356" w:name="_Toc184310344"/>
      <w:bookmarkEnd w:id="356"/>
      <w:bookmarkStart w:id="357" w:name="_Toc184314432"/>
      <w:bookmarkEnd w:id="357"/>
      <w:bookmarkStart w:id="358" w:name="_Toc184312095"/>
      <w:bookmarkEnd w:id="358"/>
      <w:bookmarkStart w:id="359" w:name="_Toc184313245"/>
      <w:bookmarkEnd w:id="359"/>
      <w:bookmarkStart w:id="360" w:name="_Toc184312089"/>
      <w:bookmarkEnd w:id="360"/>
      <w:bookmarkStart w:id="361" w:name="_Toc184314418"/>
      <w:bookmarkEnd w:id="361"/>
      <w:bookmarkStart w:id="362" w:name="_Toc184314473"/>
      <w:bookmarkEnd w:id="362"/>
      <w:bookmarkStart w:id="363" w:name="_Toc184308062"/>
      <w:bookmarkEnd w:id="363"/>
      <w:bookmarkStart w:id="364" w:name="_Toc184312106"/>
      <w:bookmarkEnd w:id="364"/>
      <w:bookmarkStart w:id="365" w:name="_Toc184312092"/>
      <w:bookmarkEnd w:id="365"/>
      <w:bookmarkStart w:id="366" w:name="_Toc184314479"/>
      <w:bookmarkEnd w:id="366"/>
      <w:bookmarkStart w:id="367" w:name="_Toc184312093"/>
      <w:bookmarkEnd w:id="367"/>
      <w:bookmarkStart w:id="368" w:name="_Toc184310291"/>
      <w:bookmarkEnd w:id="368"/>
      <w:bookmarkStart w:id="369" w:name="_Toc184314474"/>
      <w:bookmarkEnd w:id="369"/>
      <w:bookmarkStart w:id="370" w:name="_Toc184313301"/>
      <w:bookmarkEnd w:id="370"/>
      <w:bookmarkStart w:id="371" w:name="_Toc184310301"/>
      <w:bookmarkEnd w:id="371"/>
      <w:bookmarkStart w:id="372" w:name="_Toc184308094"/>
      <w:bookmarkEnd w:id="372"/>
      <w:bookmarkStart w:id="373" w:name="_Toc184310326"/>
      <w:bookmarkEnd w:id="373"/>
      <w:bookmarkStart w:id="374" w:name="_Toc184310274"/>
      <w:bookmarkEnd w:id="374"/>
      <w:bookmarkStart w:id="375" w:name="_Toc184308067"/>
      <w:bookmarkEnd w:id="375"/>
      <w:bookmarkStart w:id="376" w:name="_Toc184308083"/>
      <w:bookmarkEnd w:id="376"/>
      <w:bookmarkStart w:id="377" w:name="_Toc184314447"/>
      <w:bookmarkEnd w:id="377"/>
      <w:bookmarkStart w:id="378" w:name="_Toc184310279"/>
      <w:bookmarkEnd w:id="378"/>
      <w:bookmarkStart w:id="379" w:name="_Toc184308057"/>
      <w:bookmarkEnd w:id="379"/>
      <w:bookmarkStart w:id="380" w:name="_Toc184313254"/>
      <w:bookmarkEnd w:id="380"/>
      <w:bookmarkStart w:id="381" w:name="_Toc184308089"/>
      <w:bookmarkEnd w:id="381"/>
      <w:bookmarkStart w:id="382" w:name="_Toc184312127"/>
      <w:bookmarkEnd w:id="382"/>
      <w:bookmarkStart w:id="383" w:name="_Toc184312108"/>
      <w:bookmarkEnd w:id="383"/>
      <w:bookmarkStart w:id="384" w:name="_Toc184314425"/>
      <w:bookmarkEnd w:id="384"/>
      <w:bookmarkStart w:id="385" w:name="_Toc184313267"/>
      <w:bookmarkEnd w:id="385"/>
      <w:bookmarkStart w:id="386" w:name="_Toc184312100"/>
      <w:bookmarkEnd w:id="386"/>
      <w:bookmarkStart w:id="387" w:name="_Toc184314453"/>
      <w:bookmarkEnd w:id="387"/>
      <w:bookmarkStart w:id="388" w:name="_Toc184310290"/>
      <w:bookmarkEnd w:id="388"/>
      <w:bookmarkStart w:id="389" w:name="_Toc184308038"/>
      <w:bookmarkEnd w:id="389"/>
      <w:bookmarkStart w:id="390" w:name="_Toc184308106"/>
      <w:bookmarkEnd w:id="390"/>
      <w:bookmarkStart w:id="391" w:name="_Toc184313272"/>
      <w:bookmarkEnd w:id="391"/>
      <w:bookmarkStart w:id="392" w:name="_Toc184312084"/>
      <w:bookmarkEnd w:id="392"/>
      <w:bookmarkStart w:id="393" w:name="_Toc184313239"/>
      <w:bookmarkEnd w:id="393"/>
      <w:bookmarkStart w:id="394" w:name="_Toc184310303"/>
      <w:bookmarkEnd w:id="394"/>
      <w:bookmarkStart w:id="395" w:name="_Toc184314480"/>
      <w:bookmarkEnd w:id="395"/>
      <w:r>
        <w:rPr>
          <w:rFonts w:hint="eastAsia" w:ascii="宋体" w:hAnsi="宋体" w:cs="宋体"/>
          <w:b/>
          <w:color w:val="auto"/>
          <w:sz w:val="36"/>
          <w:szCs w:val="36"/>
          <w:highlight w:val="none"/>
        </w:rPr>
        <w:t>评标办法</w:t>
      </w:r>
    </w:p>
    <w:p>
      <w:pPr>
        <w:snapToGrid w:val="0"/>
        <w:spacing w:line="360" w:lineRule="auto"/>
        <w:jc w:val="center"/>
        <w:rPr>
          <w:rFonts w:ascii="宋体" w:hAnsi="宋体" w:cs="宋体"/>
          <w:b/>
          <w:color w:val="auto"/>
          <w:sz w:val="32"/>
          <w:szCs w:val="20"/>
          <w:highlight w:val="none"/>
        </w:rPr>
      </w:pPr>
      <w:r>
        <w:rPr>
          <w:rFonts w:hint="eastAsia" w:ascii="宋体" w:hAnsi="宋体" w:cs="宋体"/>
          <w:b/>
          <w:color w:val="auto"/>
          <w:sz w:val="32"/>
          <w:szCs w:val="20"/>
          <w:highlight w:val="none"/>
        </w:rPr>
        <w:t>评标办法前附表</w:t>
      </w:r>
    </w:p>
    <w:tbl>
      <w:tblPr>
        <w:tblStyle w:val="7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4600"/>
        <w:gridCol w:w="694"/>
        <w:gridCol w:w="1062"/>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4" w:type="dxa"/>
            <w:vAlign w:val="center"/>
          </w:tcPr>
          <w:p>
            <w:pPr>
              <w:snapToGrid w:val="0"/>
              <w:spacing w:line="360" w:lineRule="auto"/>
              <w:jc w:val="center"/>
              <w:rPr>
                <w:rFonts w:ascii="宋体" w:hAnsi="宋体" w:eastAsia="宋体" w:cs="仿宋_GB2312"/>
                <w:color w:val="auto"/>
                <w:sz w:val="18"/>
                <w:szCs w:val="18"/>
                <w:highlight w:val="none"/>
              </w:rPr>
            </w:pPr>
            <w:r>
              <w:rPr>
                <w:rFonts w:hint="eastAsia" w:ascii="宋体" w:hAnsi="宋体" w:eastAsia="宋体" w:cs="仿宋_GB2312"/>
                <w:color w:val="auto"/>
                <w:sz w:val="18"/>
                <w:szCs w:val="18"/>
                <w:highlight w:val="none"/>
              </w:rPr>
              <w:t>序号</w:t>
            </w:r>
          </w:p>
        </w:tc>
        <w:tc>
          <w:tcPr>
            <w:tcW w:w="4600" w:type="dxa"/>
            <w:vAlign w:val="center"/>
          </w:tcPr>
          <w:p>
            <w:pPr>
              <w:snapToGrid w:val="0"/>
              <w:spacing w:line="360" w:lineRule="auto"/>
              <w:jc w:val="center"/>
              <w:rPr>
                <w:rFonts w:ascii="宋体" w:hAnsi="宋体" w:eastAsia="宋体" w:cs="仿宋_GB2312"/>
                <w:color w:val="auto"/>
                <w:sz w:val="18"/>
                <w:szCs w:val="18"/>
                <w:highlight w:val="none"/>
              </w:rPr>
            </w:pPr>
            <w:r>
              <w:rPr>
                <w:rFonts w:hint="eastAsia" w:ascii="宋体" w:hAnsi="宋体" w:eastAsia="宋体" w:cs="仿宋_GB2312"/>
                <w:color w:val="auto"/>
                <w:sz w:val="18"/>
                <w:szCs w:val="18"/>
                <w:highlight w:val="none"/>
              </w:rPr>
              <w:t>评标标准</w:t>
            </w:r>
          </w:p>
        </w:tc>
        <w:tc>
          <w:tcPr>
            <w:tcW w:w="694" w:type="dxa"/>
            <w:vAlign w:val="center"/>
          </w:tcPr>
          <w:p>
            <w:pPr>
              <w:snapToGrid w:val="0"/>
              <w:spacing w:line="360" w:lineRule="auto"/>
              <w:jc w:val="center"/>
              <w:rPr>
                <w:rFonts w:ascii="宋体" w:hAnsi="宋体" w:eastAsia="宋体" w:cs="仿宋_GB2312"/>
                <w:color w:val="auto"/>
                <w:sz w:val="18"/>
                <w:szCs w:val="18"/>
                <w:highlight w:val="none"/>
              </w:rPr>
            </w:pPr>
            <w:r>
              <w:rPr>
                <w:rFonts w:hint="eastAsia" w:ascii="宋体" w:hAnsi="宋体" w:eastAsia="宋体" w:cs="仿宋_GB2312"/>
                <w:color w:val="auto"/>
                <w:sz w:val="18"/>
                <w:szCs w:val="18"/>
                <w:highlight w:val="none"/>
              </w:rPr>
              <w:t>最高分值</w:t>
            </w:r>
          </w:p>
        </w:tc>
        <w:tc>
          <w:tcPr>
            <w:tcW w:w="1062" w:type="dxa"/>
            <w:vAlign w:val="center"/>
          </w:tcPr>
          <w:p>
            <w:pPr>
              <w:snapToGrid w:val="0"/>
              <w:spacing w:line="360" w:lineRule="auto"/>
              <w:jc w:val="center"/>
              <w:rPr>
                <w:rFonts w:ascii="宋体" w:hAnsi="宋体" w:eastAsia="宋体" w:cs="仿宋_GB2312"/>
                <w:bCs/>
                <w:color w:val="auto"/>
                <w:sz w:val="18"/>
                <w:szCs w:val="18"/>
                <w:highlight w:val="none"/>
              </w:rPr>
            </w:pPr>
            <w:r>
              <w:rPr>
                <w:rFonts w:hint="eastAsia" w:ascii="宋体" w:hAnsi="宋体" w:eastAsia="宋体" w:cs="仿宋_GB2312"/>
                <w:bCs/>
                <w:color w:val="auto"/>
                <w:sz w:val="18"/>
                <w:szCs w:val="18"/>
                <w:highlight w:val="none"/>
              </w:rPr>
              <w:t>主观分/客观分属性</w:t>
            </w:r>
          </w:p>
        </w:tc>
        <w:tc>
          <w:tcPr>
            <w:tcW w:w="1515" w:type="dxa"/>
            <w:vAlign w:val="top"/>
          </w:tcPr>
          <w:p>
            <w:pPr>
              <w:snapToGrid w:val="0"/>
              <w:spacing w:line="360" w:lineRule="auto"/>
              <w:jc w:val="center"/>
              <w:rPr>
                <w:rFonts w:ascii="宋体" w:hAnsi="宋体" w:eastAsia="宋体" w:cs="仿宋_GB2312"/>
                <w:color w:val="auto"/>
                <w:sz w:val="18"/>
                <w:szCs w:val="18"/>
                <w:highlight w:val="none"/>
              </w:rPr>
            </w:pPr>
            <w:r>
              <w:rPr>
                <w:rFonts w:hint="eastAsia" w:ascii="宋体" w:hAnsi="宋体" w:eastAsia="宋体" w:cs="仿宋_GB2312"/>
                <w:bCs/>
                <w:color w:val="auto"/>
                <w:sz w:val="16"/>
                <w:szCs w:val="16"/>
                <w:highlight w:val="none"/>
              </w:rPr>
              <w:t>投标文件中评标标准相应的商务技术资料目录*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4" w:type="dxa"/>
            <w:vAlign w:val="center"/>
          </w:tcPr>
          <w:p>
            <w:pPr>
              <w:snapToGrid w:val="0"/>
              <w:spacing w:line="360" w:lineRule="auto"/>
              <w:jc w:val="center"/>
              <w:rPr>
                <w:rFonts w:ascii="宋体" w:hAnsi="宋体" w:eastAsia="宋体" w:cs="仿宋_GB2312"/>
                <w:color w:val="auto"/>
                <w:sz w:val="20"/>
                <w:szCs w:val="20"/>
                <w:highlight w:val="none"/>
              </w:rPr>
            </w:pPr>
            <w:r>
              <w:rPr>
                <w:rFonts w:hint="eastAsia" w:ascii="宋体" w:hAnsi="宋体" w:eastAsia="宋体" w:cs="仿宋_GB2312"/>
                <w:color w:val="auto"/>
                <w:sz w:val="20"/>
                <w:szCs w:val="20"/>
                <w:highlight w:val="none"/>
              </w:rPr>
              <w:t>1</w:t>
            </w:r>
          </w:p>
        </w:tc>
        <w:tc>
          <w:tcPr>
            <w:tcW w:w="4600" w:type="dxa"/>
            <w:vAlign w:val="top"/>
          </w:tcPr>
          <w:p>
            <w:pPr>
              <w:widowControl w:val="0"/>
              <w:wordWrap/>
              <w:adjustRightInd/>
              <w:snapToGrid/>
              <w:spacing w:line="360" w:lineRule="auto"/>
              <w:ind w:left="0" w:leftChars="0" w:right="0" w:firstLine="0" w:firstLineChars="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所投产品具体配置表、技术参数及偏离情况：产品参数配置等所有指标均满足的得基本分</w:t>
            </w:r>
            <w:r>
              <w:rPr>
                <w:rFonts w:hint="eastAsia" w:ascii="宋体" w:hAnsi="宋体" w:cs="宋体"/>
                <w:color w:val="auto"/>
                <w:sz w:val="21"/>
                <w:szCs w:val="21"/>
                <w:highlight w:val="none"/>
                <w:lang w:val="en-US" w:eastAsia="zh-CN"/>
              </w:rPr>
              <w:t>35</w:t>
            </w:r>
            <w:r>
              <w:rPr>
                <w:rFonts w:hint="eastAsia" w:ascii="宋体" w:hAnsi="宋体" w:eastAsia="宋体" w:cs="宋体"/>
                <w:color w:val="auto"/>
                <w:sz w:val="21"/>
                <w:szCs w:val="21"/>
                <w:highlight w:val="none"/>
              </w:rPr>
              <w:t>分；用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标出的技术指标低于招标需求（负偏离）的每项扣3分，未加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的技术指标低于招标需求（负偏离）的每项扣1分，扣完为止</w:t>
            </w:r>
            <w:r>
              <w:rPr>
                <w:rFonts w:hint="eastAsia" w:ascii="宋体" w:hAnsi="宋体" w:eastAsia="宋体" w:cs="宋体"/>
                <w:color w:val="auto"/>
                <w:sz w:val="21"/>
                <w:szCs w:val="21"/>
                <w:highlight w:val="none"/>
                <w:lang w:eastAsia="zh-CN"/>
              </w:rPr>
              <w:t>。</w:t>
            </w:r>
          </w:p>
          <w:p>
            <w:pPr>
              <w:snapToGrid w:val="0"/>
              <w:spacing w:line="360" w:lineRule="auto"/>
              <w:jc w:val="left"/>
              <w:rPr>
                <w:rFonts w:ascii="宋体" w:hAnsi="宋体" w:eastAsia="宋体" w:cs="仿宋_GB2312"/>
                <w:color w:val="auto"/>
                <w:sz w:val="20"/>
                <w:szCs w:val="20"/>
                <w:highlight w:val="none"/>
              </w:rPr>
            </w:pPr>
            <w:r>
              <w:rPr>
                <w:rFonts w:hint="eastAsia" w:ascii="宋体" w:hAnsi="宋体" w:eastAsia="宋体" w:cs="宋体"/>
                <w:color w:val="auto"/>
                <w:sz w:val="21"/>
                <w:szCs w:val="21"/>
                <w:highlight w:val="none"/>
                <w:lang w:val="en-US" w:eastAsia="zh-CN"/>
              </w:rPr>
              <w:t>采购需求中要求提供的检测报告、功能截图或证书的，必须提供，否则该项不得分。</w:t>
            </w:r>
          </w:p>
        </w:tc>
        <w:tc>
          <w:tcPr>
            <w:tcW w:w="694" w:type="dxa"/>
            <w:vAlign w:val="top"/>
          </w:tcPr>
          <w:p>
            <w:pPr>
              <w:snapToGrid w:val="0"/>
              <w:spacing w:line="360" w:lineRule="auto"/>
              <w:jc w:val="center"/>
              <w:rPr>
                <w:rFonts w:hint="eastAsia" w:ascii="宋体" w:hAnsi="宋体" w:eastAsia="宋体" w:cs="仿宋_GB2312"/>
                <w:bCs/>
                <w:color w:val="auto"/>
                <w:sz w:val="20"/>
                <w:szCs w:val="20"/>
                <w:highlight w:val="none"/>
                <w:lang w:val="en-US" w:eastAsia="zh-CN"/>
              </w:rPr>
            </w:pPr>
          </w:p>
          <w:p>
            <w:pPr>
              <w:snapToGrid w:val="0"/>
              <w:spacing w:line="360" w:lineRule="auto"/>
              <w:jc w:val="center"/>
              <w:rPr>
                <w:rFonts w:hint="eastAsia" w:ascii="宋体" w:hAnsi="宋体" w:eastAsia="宋体" w:cs="仿宋_GB2312"/>
                <w:bCs/>
                <w:color w:val="auto"/>
                <w:sz w:val="20"/>
                <w:szCs w:val="20"/>
                <w:highlight w:val="none"/>
                <w:lang w:val="en-US" w:eastAsia="zh-CN"/>
              </w:rPr>
            </w:pPr>
          </w:p>
          <w:p>
            <w:pPr>
              <w:snapToGrid w:val="0"/>
              <w:spacing w:line="360" w:lineRule="auto"/>
              <w:jc w:val="center"/>
              <w:rPr>
                <w:rFonts w:hint="eastAsia" w:ascii="宋体" w:hAnsi="宋体" w:eastAsia="宋体" w:cs="仿宋_GB2312"/>
                <w:bCs/>
                <w:color w:val="auto"/>
                <w:sz w:val="20"/>
                <w:szCs w:val="20"/>
                <w:highlight w:val="none"/>
                <w:lang w:val="en-US" w:eastAsia="zh-CN"/>
              </w:rPr>
            </w:pPr>
          </w:p>
          <w:p>
            <w:pPr>
              <w:snapToGrid w:val="0"/>
              <w:spacing w:line="360" w:lineRule="auto"/>
              <w:jc w:val="center"/>
              <w:rPr>
                <w:rFonts w:hint="default" w:ascii="宋体" w:hAnsi="宋体" w:eastAsia="宋体" w:cs="仿宋_GB2312"/>
                <w:color w:val="auto"/>
                <w:sz w:val="20"/>
                <w:szCs w:val="20"/>
                <w:highlight w:val="none"/>
                <w:lang w:val="en-US" w:eastAsia="zh-CN"/>
              </w:rPr>
            </w:pPr>
            <w:r>
              <w:rPr>
                <w:rFonts w:hint="eastAsia" w:ascii="宋体" w:hAnsi="宋体" w:cs="仿宋_GB2312"/>
                <w:bCs/>
                <w:color w:val="auto"/>
                <w:sz w:val="20"/>
                <w:szCs w:val="20"/>
                <w:highlight w:val="none"/>
                <w:lang w:val="en-US" w:eastAsia="zh-CN"/>
              </w:rPr>
              <w:t>35</w:t>
            </w:r>
          </w:p>
        </w:tc>
        <w:tc>
          <w:tcPr>
            <w:tcW w:w="1062" w:type="dxa"/>
            <w:vAlign w:val="center"/>
          </w:tcPr>
          <w:p>
            <w:pPr>
              <w:snapToGrid w:val="0"/>
              <w:spacing w:line="360" w:lineRule="auto"/>
              <w:jc w:val="center"/>
              <w:rPr>
                <w:rFonts w:ascii="宋体" w:hAnsi="宋体" w:eastAsia="宋体" w:cs="仿宋_GB2312"/>
                <w:color w:val="auto"/>
                <w:sz w:val="20"/>
                <w:szCs w:val="20"/>
                <w:highlight w:val="none"/>
              </w:rPr>
            </w:pPr>
            <w:r>
              <w:rPr>
                <w:rFonts w:hint="eastAsia" w:ascii="宋体" w:hAnsi="宋体" w:eastAsia="宋体" w:cs="仿宋_GB2312"/>
                <w:bCs/>
                <w:color w:val="auto"/>
                <w:sz w:val="20"/>
                <w:szCs w:val="20"/>
                <w:highlight w:val="none"/>
              </w:rPr>
              <w:t>客观分</w:t>
            </w:r>
          </w:p>
        </w:tc>
        <w:tc>
          <w:tcPr>
            <w:tcW w:w="1515" w:type="dxa"/>
            <w:vAlign w:val="top"/>
          </w:tcPr>
          <w:p>
            <w:pPr>
              <w:snapToGrid w:val="0"/>
              <w:spacing w:line="360" w:lineRule="auto"/>
              <w:jc w:val="center"/>
              <w:rPr>
                <w:rFonts w:hint="eastAsia" w:ascii="宋体" w:hAnsi="宋体" w:eastAsia="宋体" w:cs="宋体"/>
                <w:color w:val="auto"/>
                <w:sz w:val="20"/>
                <w:szCs w:val="20"/>
                <w:highlight w:val="none"/>
              </w:rPr>
            </w:pPr>
          </w:p>
          <w:p>
            <w:pPr>
              <w:snapToGrid w:val="0"/>
              <w:spacing w:line="360" w:lineRule="auto"/>
              <w:jc w:val="center"/>
              <w:rPr>
                <w:rFonts w:hint="eastAsia" w:ascii="宋体" w:hAnsi="宋体" w:eastAsia="宋体" w:cs="宋体"/>
                <w:color w:val="auto"/>
                <w:sz w:val="20"/>
                <w:szCs w:val="20"/>
                <w:highlight w:val="none"/>
              </w:rPr>
            </w:pPr>
          </w:p>
          <w:p>
            <w:pPr>
              <w:snapToGrid w:val="0"/>
              <w:spacing w:line="360" w:lineRule="auto"/>
              <w:jc w:val="center"/>
              <w:rPr>
                <w:rFonts w:hint="eastAsia" w:ascii="宋体" w:hAnsi="宋体" w:eastAsia="宋体" w:cs="宋体"/>
                <w:color w:val="auto"/>
                <w:sz w:val="20"/>
                <w:szCs w:val="20"/>
                <w:highlight w:val="none"/>
              </w:rPr>
            </w:pPr>
          </w:p>
          <w:p>
            <w:pPr>
              <w:snapToGrid w:val="0"/>
              <w:spacing w:line="360" w:lineRule="auto"/>
              <w:jc w:val="center"/>
              <w:rPr>
                <w:rFonts w:ascii="宋体" w:hAnsi="宋体" w:eastAsia="宋体" w:cs="仿宋_GB2312"/>
                <w:color w:val="auto"/>
                <w:sz w:val="20"/>
                <w:szCs w:val="20"/>
                <w:highlight w:val="none"/>
              </w:rPr>
            </w:pPr>
            <w:r>
              <w:rPr>
                <w:rFonts w:hint="eastAsia" w:ascii="宋体" w:hAnsi="宋体" w:eastAsia="宋体" w:cs="宋体"/>
                <w:color w:val="auto"/>
                <w:sz w:val="20"/>
                <w:szCs w:val="20"/>
                <w:highlight w:val="none"/>
              </w:rPr>
              <w:t>所投产品具体配置表、技术参数及偏离情况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4" w:type="dxa"/>
            <w:vAlign w:val="center"/>
          </w:tcPr>
          <w:p>
            <w:pPr>
              <w:snapToGrid w:val="0"/>
              <w:spacing w:line="360" w:lineRule="auto"/>
              <w:jc w:val="center"/>
              <w:rPr>
                <w:rFonts w:hint="eastAsia"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2</w:t>
            </w:r>
          </w:p>
        </w:tc>
        <w:tc>
          <w:tcPr>
            <w:tcW w:w="4600" w:type="dxa"/>
            <w:vAlign w:val="top"/>
          </w:tcPr>
          <w:p>
            <w:pPr>
              <w:pStyle w:val="2"/>
              <w:tabs>
                <w:tab w:val="left" w:pos="0"/>
                <w:tab w:val="clear" w:pos="432"/>
              </w:tabs>
              <w:ind w:left="0" w:leftChars="0" w:firstLine="0" w:firstLineChars="0"/>
              <w:jc w:val="left"/>
              <w:rPr>
                <w:rFonts w:hint="eastAsia" w:ascii="宋体" w:hAnsi="宋体" w:eastAsia="宋体" w:cs="宋体"/>
                <w:sz w:val="21"/>
                <w:szCs w:val="21"/>
                <w:lang w:val="en-US" w:eastAsia="zh-CN"/>
              </w:rPr>
            </w:pPr>
            <w:r>
              <w:rPr>
                <w:rFonts w:hint="eastAsia" w:ascii="宋体" w:hAnsi="宋体" w:eastAsia="宋体" w:cs="宋体"/>
                <w:b w:val="0"/>
                <w:bCs w:val="0"/>
                <w:i w:val="0"/>
                <w:iCs w:val="0"/>
                <w:caps w:val="0"/>
                <w:color w:val="171A1D"/>
                <w:spacing w:val="0"/>
                <w:sz w:val="21"/>
                <w:szCs w:val="21"/>
                <w:shd w:val="clear" w:color="0A0000" w:fill="FFFFFF"/>
              </w:rPr>
              <w:t>所投产品需提供驻场相关技术人员</w:t>
            </w:r>
            <w:r>
              <w:rPr>
                <w:rFonts w:hint="eastAsia" w:ascii="宋体" w:hAnsi="宋体" w:eastAsia="宋体" w:cs="宋体"/>
                <w:b w:val="0"/>
                <w:bCs w:val="0"/>
                <w:i w:val="0"/>
                <w:iCs w:val="0"/>
                <w:caps w:val="0"/>
                <w:color w:val="171A1D"/>
                <w:spacing w:val="0"/>
                <w:sz w:val="21"/>
                <w:szCs w:val="21"/>
                <w:shd w:val="clear" w:color="0A0000" w:fill="FFFFFF"/>
                <w:lang w:val="en-US" w:eastAsia="zh-CN"/>
              </w:rPr>
              <w:t>:</w:t>
            </w:r>
            <w:r>
              <w:rPr>
                <w:rFonts w:hint="eastAsia" w:ascii="宋体" w:hAnsi="宋体" w:eastAsia="宋体" w:cs="宋体"/>
                <w:b w:val="0"/>
                <w:bCs w:val="0"/>
                <w:i w:val="0"/>
                <w:iCs w:val="0"/>
                <w:caps w:val="0"/>
                <w:color w:val="171A1D"/>
                <w:spacing w:val="0"/>
                <w:sz w:val="21"/>
                <w:szCs w:val="21"/>
                <w:shd w:val="clear" w:color="0A0000" w:fill="FFFFFF"/>
              </w:rPr>
              <w:br/>
            </w:r>
            <w:r>
              <w:rPr>
                <w:rFonts w:hint="eastAsia" w:ascii="宋体" w:hAnsi="宋体" w:eastAsia="宋体" w:cs="宋体"/>
                <w:b w:val="0"/>
                <w:bCs w:val="0"/>
                <w:i w:val="0"/>
                <w:iCs w:val="0"/>
                <w:caps w:val="0"/>
                <w:color w:val="171A1D"/>
                <w:spacing w:val="0"/>
                <w:sz w:val="21"/>
                <w:szCs w:val="21"/>
                <w:shd w:val="clear" w:color="0A0000" w:fill="FFFFFF"/>
              </w:rPr>
              <w:t>人员能提供在投标单位社保相关证明得3分，不能提供得0分；技术人员学历大专及以上，提供相关证明得2分，不能提供得0分；同类项目工作案例能提供材料证明得2分，不能提供0分；（7分）</w:t>
            </w:r>
            <w:r>
              <w:rPr>
                <w:rFonts w:hint="eastAsia" w:ascii="宋体" w:hAnsi="宋体" w:eastAsia="宋体" w:cs="宋体"/>
                <w:color w:val="auto"/>
                <w:sz w:val="21"/>
                <w:szCs w:val="21"/>
                <w:highlight w:val="none"/>
                <w:lang w:val="en-US" w:eastAsia="zh-CN"/>
              </w:rPr>
              <w:t>；</w:t>
            </w:r>
          </w:p>
          <w:p>
            <w:pPr>
              <w:pStyle w:val="2"/>
              <w:keepNext/>
              <w:keepLines/>
              <w:widowControl w:val="0"/>
              <w:wordWrap/>
              <w:adjustRightInd w:val="0"/>
              <w:snapToGrid w:val="0"/>
              <w:spacing w:line="360" w:lineRule="auto"/>
              <w:ind w:left="432" w:leftChars="0" w:right="0" w:hanging="432" w:firstLineChars="0"/>
              <w:jc w:val="left"/>
              <w:textAlignment w:val="auto"/>
              <w:outlineLvl w:val="1"/>
              <w:rPr>
                <w:rFonts w:hint="default"/>
                <w:color w:val="auto"/>
                <w:highlight w:val="none"/>
                <w:lang w:val="en-US" w:eastAsia="zh-CN"/>
              </w:rPr>
            </w:pPr>
            <w:r>
              <w:rPr>
                <w:rFonts w:hint="eastAsia" w:ascii="宋体" w:hAnsi="宋体" w:eastAsia="宋体" w:cs="宋体"/>
                <w:b w:val="0"/>
                <w:bCs w:val="0"/>
                <w:color w:val="auto"/>
                <w:sz w:val="21"/>
                <w:szCs w:val="21"/>
                <w:highlight w:val="none"/>
                <w:lang w:val="en-US" w:eastAsia="zh-CN"/>
              </w:rPr>
              <w:t>根据货物交付时间节点，落实送货安装时间和人员（非驻点人员）安排得1分，不满足得0分（1分）；</w:t>
            </w:r>
          </w:p>
        </w:tc>
        <w:tc>
          <w:tcPr>
            <w:tcW w:w="694" w:type="dxa"/>
            <w:vAlign w:val="top"/>
          </w:tcPr>
          <w:p>
            <w:pPr>
              <w:snapToGrid w:val="0"/>
              <w:spacing w:line="360" w:lineRule="auto"/>
              <w:jc w:val="center"/>
              <w:rPr>
                <w:rFonts w:hint="eastAsia" w:ascii="宋体" w:hAnsi="宋体" w:cs="仿宋_GB2312"/>
                <w:bCs/>
                <w:color w:val="auto"/>
                <w:sz w:val="20"/>
                <w:szCs w:val="20"/>
                <w:highlight w:val="none"/>
                <w:lang w:val="en-US" w:eastAsia="zh-CN"/>
              </w:rPr>
            </w:pPr>
          </w:p>
          <w:p>
            <w:pPr>
              <w:snapToGrid w:val="0"/>
              <w:spacing w:line="360" w:lineRule="auto"/>
              <w:jc w:val="center"/>
              <w:rPr>
                <w:rFonts w:hint="eastAsia" w:ascii="宋体" w:hAnsi="宋体" w:cs="仿宋_GB2312"/>
                <w:bCs/>
                <w:color w:val="auto"/>
                <w:sz w:val="20"/>
                <w:szCs w:val="20"/>
                <w:highlight w:val="none"/>
                <w:lang w:val="en-US" w:eastAsia="zh-CN"/>
              </w:rPr>
            </w:pPr>
          </w:p>
          <w:p>
            <w:pPr>
              <w:snapToGrid w:val="0"/>
              <w:spacing w:line="360" w:lineRule="auto"/>
              <w:jc w:val="center"/>
              <w:rPr>
                <w:rFonts w:hint="eastAsia" w:ascii="宋体" w:hAnsi="宋体" w:cs="仿宋_GB2312"/>
                <w:bCs/>
                <w:color w:val="auto"/>
                <w:sz w:val="20"/>
                <w:szCs w:val="20"/>
                <w:highlight w:val="none"/>
                <w:lang w:val="en-US" w:eastAsia="zh-CN"/>
              </w:rPr>
            </w:pPr>
          </w:p>
          <w:p>
            <w:pPr>
              <w:snapToGrid w:val="0"/>
              <w:spacing w:line="360" w:lineRule="auto"/>
              <w:jc w:val="center"/>
              <w:rPr>
                <w:rFonts w:hint="default" w:ascii="宋体" w:hAnsi="宋体" w:cs="仿宋_GB2312"/>
                <w:bCs/>
                <w:color w:val="auto"/>
                <w:sz w:val="20"/>
                <w:szCs w:val="20"/>
                <w:highlight w:val="none"/>
                <w:lang w:val="en-US" w:eastAsia="zh-CN"/>
              </w:rPr>
            </w:pPr>
            <w:r>
              <w:rPr>
                <w:rFonts w:hint="eastAsia" w:ascii="宋体" w:hAnsi="宋体" w:cs="仿宋_GB2312"/>
                <w:bCs/>
                <w:color w:val="auto"/>
                <w:sz w:val="20"/>
                <w:szCs w:val="20"/>
                <w:highlight w:val="none"/>
                <w:lang w:val="en-US" w:eastAsia="zh-CN"/>
              </w:rPr>
              <w:t>8</w:t>
            </w:r>
          </w:p>
        </w:tc>
        <w:tc>
          <w:tcPr>
            <w:tcW w:w="1062" w:type="dxa"/>
            <w:vAlign w:val="center"/>
          </w:tcPr>
          <w:p>
            <w:pPr>
              <w:snapToGrid w:val="0"/>
              <w:spacing w:line="360" w:lineRule="auto"/>
              <w:jc w:val="center"/>
              <w:rPr>
                <w:rFonts w:hint="eastAsia" w:ascii="宋体" w:hAnsi="宋体" w:eastAsia="宋体" w:cs="仿宋_GB2312"/>
                <w:bCs/>
                <w:color w:val="auto"/>
                <w:sz w:val="20"/>
                <w:szCs w:val="20"/>
                <w:highlight w:val="none"/>
              </w:rPr>
            </w:pPr>
            <w:r>
              <w:rPr>
                <w:rFonts w:hint="eastAsia" w:ascii="宋体" w:hAnsi="宋体" w:eastAsia="宋体" w:cs="仿宋_GB2312"/>
                <w:bCs/>
                <w:color w:val="auto"/>
                <w:sz w:val="20"/>
                <w:szCs w:val="20"/>
                <w:highlight w:val="none"/>
              </w:rPr>
              <w:t>客观分</w:t>
            </w:r>
          </w:p>
        </w:tc>
        <w:tc>
          <w:tcPr>
            <w:tcW w:w="1515" w:type="dxa"/>
            <w:vAlign w:val="top"/>
          </w:tcPr>
          <w:p>
            <w:pPr>
              <w:snapToGrid w:val="0"/>
              <w:spacing w:line="360" w:lineRule="auto"/>
              <w:jc w:val="center"/>
              <w:rPr>
                <w:rFonts w:hint="eastAsia" w:ascii="宋体" w:hAnsi="宋体" w:cs="宋体"/>
                <w:color w:val="auto"/>
                <w:sz w:val="20"/>
                <w:szCs w:val="20"/>
                <w:highlight w:val="none"/>
                <w:lang w:eastAsia="zh-CN"/>
              </w:rPr>
            </w:pPr>
          </w:p>
          <w:p>
            <w:pPr>
              <w:snapToGrid w:val="0"/>
              <w:spacing w:line="360" w:lineRule="auto"/>
              <w:jc w:val="center"/>
              <w:rPr>
                <w:rFonts w:hint="eastAsia" w:ascii="宋体" w:hAnsi="宋体" w:cs="宋体"/>
                <w:color w:val="auto"/>
                <w:sz w:val="20"/>
                <w:szCs w:val="20"/>
                <w:highlight w:val="none"/>
                <w:lang w:eastAsia="zh-CN"/>
              </w:rPr>
            </w:pPr>
          </w:p>
          <w:p>
            <w:pPr>
              <w:snapToGrid w:val="0"/>
              <w:spacing w:line="360" w:lineRule="auto"/>
              <w:jc w:val="center"/>
              <w:rPr>
                <w:rFonts w:hint="eastAsia" w:ascii="宋体" w:hAnsi="宋体" w:cs="宋体"/>
                <w:color w:val="auto"/>
                <w:sz w:val="20"/>
                <w:szCs w:val="20"/>
                <w:highlight w:val="none"/>
                <w:lang w:eastAsia="zh-CN"/>
              </w:rPr>
            </w:pPr>
          </w:p>
          <w:p>
            <w:pPr>
              <w:snapToGrid w:val="0"/>
              <w:spacing w:line="360" w:lineRule="auto"/>
              <w:jc w:val="center"/>
              <w:rPr>
                <w:rFonts w:hint="eastAsia" w:ascii="宋体" w:hAnsi="宋体" w:eastAsia="宋体" w:cs="宋体"/>
                <w:color w:val="auto"/>
                <w:kern w:val="0"/>
                <w:sz w:val="21"/>
                <w:szCs w:val="21"/>
                <w:highlight w:val="none"/>
                <w:lang w:val="en-US" w:eastAsia="zh-CN"/>
              </w:rPr>
            </w:pPr>
          </w:p>
          <w:p>
            <w:pPr>
              <w:snapToGrid w:val="0"/>
              <w:spacing w:line="360" w:lineRule="auto"/>
              <w:jc w:val="both"/>
              <w:rPr>
                <w:rFonts w:hint="eastAsia" w:ascii="宋体" w:hAnsi="宋体" w:eastAsia="宋体" w:cs="宋体"/>
                <w:color w:val="auto"/>
                <w:sz w:val="20"/>
                <w:szCs w:val="20"/>
                <w:highlight w:val="none"/>
                <w:lang w:eastAsia="zh-CN"/>
              </w:rPr>
            </w:pP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en-US" w:eastAsia="zh-CN"/>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4" w:type="dxa"/>
            <w:vAlign w:val="center"/>
          </w:tcPr>
          <w:p>
            <w:pPr>
              <w:snapToGrid w:val="0"/>
              <w:spacing w:line="360" w:lineRule="auto"/>
              <w:jc w:val="center"/>
              <w:rPr>
                <w:rFonts w:hint="eastAsia"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3</w:t>
            </w:r>
          </w:p>
        </w:tc>
        <w:tc>
          <w:tcPr>
            <w:tcW w:w="4600" w:type="dxa"/>
            <w:vAlign w:val="top"/>
          </w:tcPr>
          <w:p>
            <w:pPr>
              <w:widowControl w:val="0"/>
              <w:numPr>
                <w:numId w:val="0"/>
              </w:numPr>
              <w:wordWrap/>
              <w:adjustRightInd/>
              <w:snapToGrid/>
              <w:spacing w:line="360" w:lineRule="auto"/>
              <w:ind w:leftChars="0" w:right="0"/>
              <w:jc w:val="left"/>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投标人提供分体台式电脑</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一体式电脑的</w:t>
            </w:r>
            <w:r>
              <w:rPr>
                <w:rFonts w:hint="eastAsia" w:ascii="宋体" w:hAnsi="宋体" w:cs="宋体"/>
                <w:color w:val="auto"/>
                <w:kern w:val="0"/>
                <w:sz w:val="21"/>
                <w:szCs w:val="21"/>
                <w:highlight w:val="none"/>
                <w:lang w:val="en-US" w:eastAsia="zh-CN"/>
              </w:rPr>
              <w:t>五年</w:t>
            </w:r>
            <w:r>
              <w:rPr>
                <w:rFonts w:hint="eastAsia" w:ascii="宋体" w:hAnsi="宋体" w:eastAsia="宋体" w:cs="宋体"/>
                <w:color w:val="auto"/>
                <w:kern w:val="0"/>
                <w:sz w:val="21"/>
                <w:szCs w:val="21"/>
                <w:highlight w:val="none"/>
                <w:lang w:val="en-US" w:eastAsia="zh-CN"/>
              </w:rPr>
              <w:t>原厂售后服务承诺书的得</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分，没有不得分；</w:t>
            </w:r>
          </w:p>
          <w:p>
            <w:pPr>
              <w:snapToGrid w:val="0"/>
              <w:spacing w:line="360" w:lineRule="auto"/>
              <w:jc w:val="left"/>
              <w:rPr>
                <w:rFonts w:ascii="宋体" w:hAnsi="宋体" w:eastAsia="宋体" w:cs="仿宋_GB2312"/>
                <w:color w:val="auto"/>
                <w:sz w:val="20"/>
                <w:szCs w:val="20"/>
                <w:highlight w:val="none"/>
              </w:rPr>
            </w:pPr>
            <w:r>
              <w:rPr>
                <w:rFonts w:hint="eastAsia" w:ascii="宋体" w:hAnsi="宋体" w:eastAsia="宋体" w:cs="宋体"/>
                <w:b/>
                <w:bCs/>
                <w:color w:val="auto"/>
                <w:kern w:val="0"/>
                <w:sz w:val="21"/>
                <w:szCs w:val="21"/>
                <w:highlight w:val="none"/>
                <w:lang w:val="en-US" w:eastAsia="zh-CN"/>
              </w:rPr>
              <w:t>投标文件中提供产品原厂售后承诺书的复印件并加盖原厂公章。</w:t>
            </w:r>
          </w:p>
        </w:tc>
        <w:tc>
          <w:tcPr>
            <w:tcW w:w="694" w:type="dxa"/>
            <w:vAlign w:val="top"/>
          </w:tcPr>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3</w:t>
            </w:r>
          </w:p>
        </w:tc>
        <w:tc>
          <w:tcPr>
            <w:tcW w:w="1062" w:type="dxa"/>
            <w:vAlign w:val="center"/>
          </w:tcPr>
          <w:p>
            <w:pPr>
              <w:snapToGrid w:val="0"/>
              <w:spacing w:line="360" w:lineRule="auto"/>
              <w:jc w:val="both"/>
              <w:rPr>
                <w:rFonts w:ascii="宋体" w:hAnsi="宋体" w:eastAsia="宋体" w:cs="仿宋_GB2312"/>
                <w:color w:val="auto"/>
                <w:sz w:val="20"/>
                <w:szCs w:val="20"/>
                <w:highlight w:val="none"/>
              </w:rPr>
            </w:pPr>
            <w:r>
              <w:rPr>
                <w:rFonts w:hint="eastAsia" w:ascii="宋体" w:hAnsi="宋体" w:eastAsia="宋体" w:cs="仿宋_GB2312"/>
                <w:bCs/>
                <w:color w:val="auto"/>
                <w:sz w:val="20"/>
                <w:szCs w:val="20"/>
                <w:highlight w:val="none"/>
              </w:rPr>
              <w:t>客观分</w:t>
            </w:r>
          </w:p>
        </w:tc>
        <w:tc>
          <w:tcPr>
            <w:tcW w:w="1515" w:type="dxa"/>
            <w:vAlign w:val="top"/>
          </w:tcPr>
          <w:p>
            <w:pPr>
              <w:snapToGrid w:val="0"/>
              <w:spacing w:line="360" w:lineRule="auto"/>
              <w:jc w:val="center"/>
              <w:rPr>
                <w:rFonts w:hint="eastAsia" w:ascii="宋体" w:hAnsi="宋体" w:eastAsia="宋体" w:cs="宋体"/>
                <w:color w:val="auto"/>
                <w:kern w:val="0"/>
                <w:sz w:val="21"/>
                <w:szCs w:val="21"/>
                <w:highlight w:val="none"/>
                <w:lang w:val="en-US" w:eastAsia="zh-CN"/>
              </w:rPr>
            </w:pPr>
          </w:p>
          <w:p>
            <w:pPr>
              <w:snapToGrid w:val="0"/>
              <w:spacing w:line="360" w:lineRule="auto"/>
              <w:jc w:val="both"/>
              <w:rPr>
                <w:rFonts w:ascii="宋体" w:hAnsi="宋体" w:eastAsia="宋体" w:cs="仿宋_GB2312"/>
                <w:color w:val="auto"/>
                <w:sz w:val="20"/>
                <w:szCs w:val="20"/>
                <w:highlight w:val="none"/>
              </w:rPr>
            </w:pPr>
            <w:r>
              <w:rPr>
                <w:rFonts w:hint="eastAsia" w:ascii="宋体" w:hAnsi="宋体" w:eastAsia="宋体" w:cs="宋体"/>
                <w:color w:val="auto"/>
                <w:kern w:val="0"/>
                <w:sz w:val="21"/>
                <w:szCs w:val="21"/>
                <w:highlight w:val="none"/>
                <w:lang w:val="en-US" w:eastAsia="zh-CN"/>
              </w:rPr>
              <w:t>产品原厂</w:t>
            </w:r>
            <w:r>
              <w:rPr>
                <w:rFonts w:hint="eastAsia" w:ascii="宋体" w:hAnsi="宋体" w:cs="宋体"/>
                <w:color w:val="auto"/>
                <w:kern w:val="0"/>
                <w:sz w:val="21"/>
                <w:szCs w:val="21"/>
                <w:highlight w:val="none"/>
                <w:lang w:val="en-US" w:eastAsia="zh-CN"/>
              </w:rPr>
              <w:t>服务</w:t>
            </w:r>
            <w:r>
              <w:rPr>
                <w:rFonts w:hint="eastAsia" w:ascii="宋体" w:hAnsi="宋体" w:eastAsia="宋体" w:cs="宋体"/>
                <w:color w:val="auto"/>
                <w:kern w:val="0"/>
                <w:sz w:val="21"/>
                <w:szCs w:val="21"/>
                <w:highlight w:val="none"/>
                <w:lang w:val="en-US" w:eastAsia="zh-CN"/>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0" w:hRule="atLeast"/>
          <w:jc w:val="center"/>
        </w:trPr>
        <w:tc>
          <w:tcPr>
            <w:tcW w:w="634" w:type="dxa"/>
            <w:vAlign w:val="center"/>
          </w:tcPr>
          <w:p>
            <w:pPr>
              <w:snapToGrid w:val="0"/>
              <w:spacing w:line="360" w:lineRule="auto"/>
              <w:jc w:val="center"/>
              <w:rPr>
                <w:rFonts w:hint="eastAsia" w:ascii="宋体" w:hAnsi="宋体" w:eastAsia="宋体" w:cs="仿宋_GB2312"/>
                <w:color w:val="auto"/>
                <w:sz w:val="20"/>
                <w:szCs w:val="20"/>
                <w:highlight w:val="none"/>
                <w:lang w:eastAsia="zh-CN"/>
              </w:rPr>
            </w:pPr>
            <w:r>
              <w:rPr>
                <w:rFonts w:hint="eastAsia" w:ascii="宋体" w:hAnsi="宋体" w:cs="仿宋_GB2312"/>
                <w:color w:val="auto"/>
                <w:sz w:val="20"/>
                <w:szCs w:val="20"/>
                <w:highlight w:val="none"/>
                <w:lang w:val="en-US" w:eastAsia="zh-CN"/>
              </w:rPr>
              <w:t>4</w:t>
            </w:r>
          </w:p>
        </w:tc>
        <w:tc>
          <w:tcPr>
            <w:tcW w:w="4600" w:type="dxa"/>
            <w:vAlign w:val="top"/>
          </w:tcPr>
          <w:p>
            <w:pPr>
              <w:snapToGrid w:val="0"/>
              <w:spacing w:line="360" w:lineRule="auto"/>
              <w:jc w:val="left"/>
              <w:rPr>
                <w:rFonts w:ascii="宋体" w:hAnsi="宋体" w:eastAsia="宋体" w:cs="仿宋_GB2312"/>
                <w:color w:val="auto"/>
                <w:sz w:val="20"/>
                <w:szCs w:val="20"/>
                <w:highlight w:val="none"/>
              </w:rPr>
            </w:pPr>
            <w:r>
              <w:rPr>
                <w:rFonts w:hint="eastAsia" w:ascii="宋体" w:hAnsi="宋体" w:eastAsia="宋体" w:cs="宋体"/>
                <w:color w:val="auto"/>
                <w:kern w:val="0"/>
                <w:sz w:val="21"/>
                <w:szCs w:val="21"/>
                <w:highlight w:val="none"/>
                <w:lang w:val="zh-CN" w:eastAsia="zh-CN"/>
              </w:rPr>
              <w:t>包括但不限于项目组人员组织结构</w:t>
            </w:r>
            <w:r>
              <w:rPr>
                <w:rFonts w:hint="eastAsia" w:ascii="宋体" w:hAnsi="宋体" w:eastAsia="宋体" w:cs="宋体"/>
                <w:color w:val="auto"/>
                <w:kern w:val="0"/>
                <w:sz w:val="21"/>
                <w:szCs w:val="21"/>
                <w:highlight w:val="none"/>
                <w:lang w:val="en-US" w:eastAsia="zh-CN"/>
              </w:rPr>
              <w:t>(0-1)</w:t>
            </w:r>
            <w:r>
              <w:rPr>
                <w:rFonts w:hint="eastAsia" w:ascii="宋体" w:hAnsi="宋体" w:eastAsia="宋体" w:cs="宋体"/>
                <w:color w:val="auto"/>
                <w:kern w:val="0"/>
                <w:sz w:val="21"/>
                <w:szCs w:val="21"/>
                <w:highlight w:val="none"/>
                <w:lang w:val="zh-CN" w:eastAsia="zh-CN"/>
              </w:rPr>
              <w:t>、</w:t>
            </w:r>
            <w:r>
              <w:rPr>
                <w:rFonts w:hint="eastAsia" w:ascii="宋体" w:hAnsi="宋体" w:eastAsia="宋体" w:cs="宋体"/>
                <w:color w:val="auto"/>
                <w:kern w:val="0"/>
                <w:sz w:val="21"/>
                <w:szCs w:val="21"/>
                <w:highlight w:val="none"/>
                <w:lang w:val="en-US" w:eastAsia="zh-CN"/>
              </w:rPr>
              <w:t>实施进度计划(0-1)、项目质量保障体系及措施(0-1)、设备安装调试及验收方案(0-1)、培训方案(0-1)等，以上项目根据方案的合理性、完整性、可行性进行打分。</w:t>
            </w:r>
          </w:p>
        </w:tc>
        <w:tc>
          <w:tcPr>
            <w:tcW w:w="694" w:type="dxa"/>
            <w:vAlign w:val="top"/>
          </w:tcPr>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5</w:t>
            </w:r>
          </w:p>
        </w:tc>
        <w:tc>
          <w:tcPr>
            <w:tcW w:w="1062" w:type="dxa"/>
            <w:vAlign w:val="center"/>
          </w:tcPr>
          <w:p>
            <w:pPr>
              <w:snapToGrid w:val="0"/>
              <w:spacing w:line="360" w:lineRule="auto"/>
              <w:jc w:val="both"/>
              <w:rPr>
                <w:rFonts w:hint="eastAsia" w:ascii="宋体" w:hAnsi="宋体" w:eastAsia="宋体" w:cs="仿宋_GB2312"/>
                <w:color w:val="auto"/>
                <w:sz w:val="20"/>
                <w:szCs w:val="20"/>
                <w:highlight w:val="none"/>
                <w:lang w:eastAsia="zh-CN"/>
              </w:rPr>
            </w:pPr>
            <w:r>
              <w:rPr>
                <w:rFonts w:hint="eastAsia" w:ascii="宋体" w:hAnsi="宋体" w:cs="仿宋_GB2312"/>
                <w:color w:val="auto"/>
                <w:sz w:val="20"/>
                <w:szCs w:val="20"/>
                <w:highlight w:val="none"/>
                <w:lang w:val="en-US" w:eastAsia="zh-CN"/>
              </w:rPr>
              <w:t>主观分</w:t>
            </w:r>
          </w:p>
        </w:tc>
        <w:tc>
          <w:tcPr>
            <w:tcW w:w="1515" w:type="dxa"/>
            <w:vAlign w:val="top"/>
          </w:tcPr>
          <w:p>
            <w:pPr>
              <w:snapToGrid w:val="0"/>
              <w:spacing w:line="360" w:lineRule="auto"/>
              <w:jc w:val="center"/>
              <w:rPr>
                <w:color w:val="auto"/>
                <w:sz w:val="16"/>
                <w:szCs w:val="20"/>
                <w:highlight w:val="none"/>
              </w:rPr>
            </w:pPr>
          </w:p>
          <w:p>
            <w:pPr>
              <w:snapToGrid w:val="0"/>
              <w:spacing w:line="360" w:lineRule="auto"/>
              <w:jc w:val="center"/>
              <w:rPr>
                <w:rFonts w:hint="eastAsia" w:ascii="宋体" w:hAnsi="宋体" w:eastAsia="宋体" w:cs="宋体"/>
                <w:color w:val="auto"/>
                <w:kern w:val="0"/>
                <w:sz w:val="21"/>
                <w:szCs w:val="21"/>
                <w:highlight w:val="none"/>
                <w:lang w:val="zh-CN" w:eastAsia="zh-CN"/>
              </w:rPr>
            </w:pPr>
          </w:p>
          <w:p>
            <w:pPr>
              <w:rPr>
                <w:rFonts w:hint="eastAsia" w:eastAsia="宋体"/>
                <w:color w:val="auto"/>
                <w:sz w:val="16"/>
                <w:szCs w:val="20"/>
                <w:highlight w:val="none"/>
                <w:lang w:eastAsia="zh-CN"/>
              </w:rPr>
            </w:pPr>
            <w:r>
              <w:rPr>
                <w:rFonts w:hint="eastAsia" w:ascii="宋体" w:hAnsi="宋体" w:eastAsia="宋体" w:cs="宋体"/>
                <w:color w:val="auto"/>
                <w:kern w:val="0"/>
                <w:sz w:val="21"/>
                <w:szCs w:val="21"/>
                <w:highlight w:val="none"/>
                <w:lang w:val="zh-CN" w:eastAsia="zh-CN"/>
              </w:rPr>
              <w:t>投标人项目实施方案情况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jc w:val="center"/>
        </w:trPr>
        <w:tc>
          <w:tcPr>
            <w:tcW w:w="634" w:type="dxa"/>
            <w:vAlign w:val="center"/>
          </w:tcPr>
          <w:p>
            <w:pPr>
              <w:snapToGrid w:val="0"/>
              <w:spacing w:line="360" w:lineRule="auto"/>
              <w:jc w:val="center"/>
              <w:rPr>
                <w:rFonts w:hint="eastAsia" w:ascii="宋体" w:hAnsi="宋体" w:eastAsia="宋体" w:cs="仿宋_GB2312"/>
                <w:color w:val="auto"/>
                <w:sz w:val="20"/>
                <w:szCs w:val="20"/>
                <w:highlight w:val="none"/>
                <w:lang w:eastAsia="zh-CN"/>
              </w:rPr>
            </w:pPr>
            <w:r>
              <w:rPr>
                <w:rFonts w:hint="eastAsia" w:ascii="宋体" w:hAnsi="宋体" w:cs="仿宋_GB2312"/>
                <w:color w:val="auto"/>
                <w:sz w:val="20"/>
                <w:szCs w:val="20"/>
                <w:highlight w:val="none"/>
                <w:lang w:val="en-US" w:eastAsia="zh-CN"/>
              </w:rPr>
              <w:t>5</w:t>
            </w:r>
          </w:p>
        </w:tc>
        <w:tc>
          <w:tcPr>
            <w:tcW w:w="4600" w:type="dxa"/>
            <w:vAlign w:val="top"/>
          </w:tcPr>
          <w:p>
            <w:pPr>
              <w:numPr>
                <w:numId w:val="0"/>
              </w:num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（1）厂家的售后服务经过CCCS钻石五星认证，提供证书扫描件；</w:t>
            </w:r>
            <w:r>
              <w:rPr>
                <w:rFonts w:hint="eastAsia" w:ascii="宋体" w:hAnsi="宋体" w:eastAsia="宋体" w:cs="宋体"/>
                <w:color w:val="auto"/>
                <w:kern w:val="0"/>
                <w:sz w:val="21"/>
                <w:szCs w:val="21"/>
                <w:highlight w:val="none"/>
                <w:lang w:eastAsia="zh-CN"/>
              </w:rPr>
              <w:t>得</w:t>
            </w:r>
            <w:r>
              <w:rPr>
                <w:rFonts w:hint="eastAsia" w:ascii="宋体"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分</w:t>
            </w:r>
          </w:p>
          <w:p>
            <w:pPr>
              <w:snapToGrid w:val="0"/>
              <w:spacing w:line="360" w:lineRule="auto"/>
              <w:jc w:val="left"/>
              <w:rPr>
                <w:rFonts w:ascii="宋体" w:hAnsi="宋体" w:eastAsia="宋体" w:cs="仿宋_GB2312"/>
                <w:color w:val="auto"/>
                <w:sz w:val="20"/>
                <w:szCs w:val="20"/>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提供所投产品原厂400免费技术支持电话</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提供投标电脑品牌专业维修站</w:t>
            </w:r>
            <w:r>
              <w:rPr>
                <w:rFonts w:hint="eastAsia" w:ascii="宋体" w:hAnsi="宋体" w:cs="宋体"/>
                <w:color w:val="auto"/>
                <w:kern w:val="0"/>
                <w:sz w:val="21"/>
                <w:szCs w:val="21"/>
                <w:highlight w:val="none"/>
                <w:lang w:eastAsia="zh-CN"/>
              </w:rPr>
              <w:t>或</w:t>
            </w:r>
            <w:r>
              <w:rPr>
                <w:rFonts w:hint="eastAsia" w:ascii="宋体" w:hAnsi="宋体" w:eastAsia="宋体" w:cs="宋体"/>
                <w:color w:val="auto"/>
                <w:kern w:val="0"/>
                <w:sz w:val="21"/>
                <w:szCs w:val="21"/>
                <w:highlight w:val="none"/>
              </w:rPr>
              <w:t>售后服务网点清单</w:t>
            </w:r>
            <w:r>
              <w:rPr>
                <w:rFonts w:hint="eastAsia" w:ascii="宋体" w:hAnsi="宋体" w:cs="宋体"/>
                <w:color w:val="auto"/>
                <w:kern w:val="0"/>
                <w:sz w:val="21"/>
                <w:szCs w:val="21"/>
                <w:highlight w:val="none"/>
                <w:lang w:val="en-US" w:eastAsia="zh-CN"/>
              </w:rPr>
              <w:t>,根据网点</w:t>
            </w:r>
            <w:r>
              <w:rPr>
                <w:rFonts w:hint="eastAsia" w:ascii="宋体" w:hAnsi="宋体" w:eastAsia="宋体" w:cs="宋体"/>
                <w:color w:val="auto"/>
                <w:kern w:val="0"/>
                <w:sz w:val="21"/>
                <w:szCs w:val="21"/>
                <w:highlight w:val="none"/>
                <w:lang w:val="en-US" w:eastAsia="zh-CN"/>
              </w:rPr>
              <w:t>合理性、完整性、可行性进行打分</w:t>
            </w:r>
            <w:r>
              <w:rPr>
                <w:rFonts w:hint="eastAsia" w:ascii="宋体" w:hAnsi="宋体" w:cs="宋体"/>
                <w:color w:val="auto"/>
                <w:kern w:val="0"/>
                <w:sz w:val="21"/>
                <w:szCs w:val="21"/>
                <w:highlight w:val="none"/>
                <w:lang w:val="en-US" w:eastAsia="zh-CN"/>
              </w:rPr>
              <w:t>（0-2</w:t>
            </w:r>
            <w:r>
              <w:rPr>
                <w:rFonts w:hint="eastAsia" w:ascii="宋体" w:hAnsi="宋体" w:eastAsia="宋体" w:cs="宋体"/>
                <w:color w:val="auto"/>
                <w:kern w:val="0"/>
                <w:sz w:val="21"/>
                <w:szCs w:val="21"/>
                <w:highlight w:val="none"/>
                <w:lang w:val="en-US" w:eastAsia="zh-CN"/>
              </w:rPr>
              <w:t>分</w:t>
            </w:r>
            <w:r>
              <w:rPr>
                <w:rFonts w:hint="eastAsia" w:ascii="宋体" w:hAnsi="宋体" w:cs="宋体"/>
                <w:color w:val="auto"/>
                <w:kern w:val="0"/>
                <w:sz w:val="21"/>
                <w:szCs w:val="21"/>
                <w:highlight w:val="none"/>
                <w:lang w:val="en-US" w:eastAsia="zh-CN"/>
              </w:rPr>
              <w:t>)。</w:t>
            </w:r>
          </w:p>
        </w:tc>
        <w:tc>
          <w:tcPr>
            <w:tcW w:w="694" w:type="dxa"/>
            <w:vAlign w:val="top"/>
          </w:tcPr>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4</w:t>
            </w:r>
          </w:p>
        </w:tc>
        <w:tc>
          <w:tcPr>
            <w:tcW w:w="1062" w:type="dxa"/>
            <w:vAlign w:val="center"/>
          </w:tcPr>
          <w:p>
            <w:pPr>
              <w:snapToGrid w:val="0"/>
              <w:spacing w:line="360" w:lineRule="auto"/>
              <w:jc w:val="center"/>
              <w:rPr>
                <w:rFonts w:hint="eastAsia" w:ascii="宋体" w:hAnsi="宋体" w:cs="宋体"/>
                <w:color w:val="auto"/>
                <w:kern w:val="0"/>
                <w:sz w:val="20"/>
                <w:szCs w:val="20"/>
                <w:highlight w:val="none"/>
                <w:lang w:val="zh-CN" w:eastAsia="zh-CN"/>
              </w:rPr>
            </w:pPr>
          </w:p>
          <w:p>
            <w:pPr>
              <w:snapToGrid w:val="0"/>
              <w:spacing w:line="360" w:lineRule="auto"/>
              <w:jc w:val="center"/>
              <w:rPr>
                <w:rFonts w:hint="eastAsia" w:ascii="宋体" w:hAnsi="宋体" w:cs="宋体"/>
                <w:color w:val="auto"/>
                <w:kern w:val="0"/>
                <w:sz w:val="20"/>
                <w:szCs w:val="20"/>
                <w:highlight w:val="none"/>
                <w:lang w:val="zh-CN" w:eastAsia="zh-CN"/>
              </w:rPr>
            </w:pPr>
          </w:p>
          <w:p>
            <w:pPr>
              <w:snapToGrid w:val="0"/>
              <w:spacing w:line="360" w:lineRule="auto"/>
              <w:jc w:val="center"/>
              <w:rPr>
                <w:rFonts w:ascii="宋体" w:hAnsi="宋体" w:eastAsia="宋体" w:cs="仿宋_GB2312"/>
                <w:color w:val="auto"/>
                <w:sz w:val="20"/>
                <w:szCs w:val="20"/>
                <w:highlight w:val="none"/>
              </w:rPr>
            </w:pPr>
            <w:r>
              <w:rPr>
                <w:rFonts w:hint="eastAsia" w:ascii="宋体" w:hAnsi="宋体" w:cs="仿宋_GB2312"/>
                <w:color w:val="auto"/>
                <w:sz w:val="20"/>
                <w:szCs w:val="20"/>
                <w:highlight w:val="none"/>
                <w:lang w:eastAsia="zh-CN"/>
              </w:rPr>
              <w:t>主观分</w:t>
            </w:r>
          </w:p>
        </w:tc>
        <w:tc>
          <w:tcPr>
            <w:tcW w:w="1515" w:type="dxa"/>
            <w:vAlign w:val="top"/>
          </w:tcPr>
          <w:p>
            <w:pPr>
              <w:snapToGrid w:val="0"/>
              <w:spacing w:line="360" w:lineRule="auto"/>
              <w:jc w:val="center"/>
              <w:rPr>
                <w:rFonts w:hint="eastAsia" w:ascii="宋体" w:hAnsi="宋体" w:cs="宋体"/>
                <w:color w:val="auto"/>
                <w:kern w:val="0"/>
                <w:sz w:val="20"/>
                <w:szCs w:val="20"/>
                <w:highlight w:val="none"/>
                <w:lang w:val="zh-CN" w:eastAsia="zh-CN"/>
              </w:rPr>
            </w:pPr>
          </w:p>
          <w:p>
            <w:pPr>
              <w:snapToGrid w:val="0"/>
              <w:spacing w:line="360" w:lineRule="auto"/>
              <w:jc w:val="center"/>
              <w:rPr>
                <w:rFonts w:hint="eastAsia" w:ascii="宋体" w:hAnsi="宋体" w:cs="宋体"/>
                <w:color w:val="auto"/>
                <w:kern w:val="0"/>
                <w:sz w:val="20"/>
                <w:szCs w:val="20"/>
                <w:highlight w:val="none"/>
                <w:lang w:val="zh-CN" w:eastAsia="zh-CN"/>
              </w:rPr>
            </w:pPr>
          </w:p>
          <w:p>
            <w:pPr>
              <w:snapToGrid w:val="0"/>
              <w:spacing w:line="360" w:lineRule="auto"/>
              <w:jc w:val="both"/>
              <w:rPr>
                <w:rFonts w:ascii="宋体" w:hAnsi="宋体" w:eastAsia="宋体" w:cs="仿宋_GB2312"/>
                <w:color w:val="auto"/>
                <w:sz w:val="20"/>
                <w:szCs w:val="20"/>
                <w:highlight w:val="none"/>
              </w:rPr>
            </w:pPr>
            <w:r>
              <w:rPr>
                <w:rFonts w:hint="eastAsia" w:ascii="宋体" w:hAnsi="宋体" w:cs="宋体"/>
                <w:color w:val="auto"/>
                <w:kern w:val="0"/>
                <w:sz w:val="21"/>
                <w:szCs w:val="21"/>
                <w:highlight w:val="none"/>
                <w:lang w:val="zh-CN" w:eastAsia="zh-CN"/>
              </w:rPr>
              <w:t>原厂</w:t>
            </w:r>
            <w:r>
              <w:rPr>
                <w:rFonts w:hint="eastAsia" w:ascii="宋体" w:hAnsi="宋体" w:eastAsia="宋体" w:cs="宋体"/>
                <w:color w:val="auto"/>
                <w:kern w:val="0"/>
                <w:sz w:val="21"/>
                <w:szCs w:val="21"/>
                <w:highlight w:val="none"/>
                <w:lang w:val="zh-CN" w:eastAsia="zh-CN"/>
              </w:rPr>
              <w:t>售后服务</w:t>
            </w:r>
            <w:r>
              <w:rPr>
                <w:rFonts w:hint="eastAsia" w:ascii="宋体" w:hAnsi="宋体" w:eastAsia="宋体" w:cs="宋体"/>
                <w:color w:val="auto"/>
                <w:kern w:val="0"/>
                <w:sz w:val="21"/>
                <w:szCs w:val="21"/>
                <w:highlight w:val="none"/>
                <w:lang w:val="en-US" w:eastAsia="zh-CN"/>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4" w:type="dxa"/>
            <w:vAlign w:val="center"/>
          </w:tcPr>
          <w:p>
            <w:pPr>
              <w:snapToGrid w:val="0"/>
              <w:spacing w:line="360" w:lineRule="auto"/>
              <w:jc w:val="center"/>
              <w:rPr>
                <w:rFonts w:hint="eastAsia"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6</w:t>
            </w:r>
          </w:p>
        </w:tc>
        <w:tc>
          <w:tcPr>
            <w:tcW w:w="4600" w:type="dxa"/>
            <w:vAlign w:val="top"/>
          </w:tcPr>
          <w:p>
            <w:pPr>
              <w:numPr>
                <w:ilvl w:val="0"/>
                <w:numId w:val="3"/>
              </w:numPr>
              <w:snapToGrid w:val="0"/>
              <w:spacing w:line="360" w:lineRule="auto"/>
              <w:jc w:val="left"/>
              <w:rPr>
                <w:rFonts w:ascii="宋体" w:hAnsi="宋体" w:cs="宋体"/>
                <w:color w:val="auto"/>
                <w:sz w:val="24"/>
                <w:highlight w:val="none"/>
              </w:rPr>
            </w:pPr>
            <w:r>
              <w:rPr>
                <w:rFonts w:hint="eastAsia" w:ascii="宋体" w:hAnsi="宋体" w:eastAsia="宋体" w:cs="宋体"/>
                <w:color w:val="auto"/>
                <w:kern w:val="0"/>
                <w:sz w:val="21"/>
                <w:szCs w:val="21"/>
                <w:highlight w:val="none"/>
              </w:rPr>
              <w:t>备品备件：承诺提供所投</w:t>
            </w:r>
            <w:r>
              <w:rPr>
                <w:rFonts w:hint="eastAsia" w:ascii="宋体" w:hAnsi="宋体" w:eastAsia="宋体" w:cs="宋体"/>
                <w:color w:val="auto"/>
                <w:kern w:val="0"/>
                <w:sz w:val="21"/>
                <w:szCs w:val="21"/>
                <w:highlight w:val="none"/>
                <w:lang w:eastAsia="zh-CN"/>
              </w:rPr>
              <w:t>专用</w:t>
            </w:r>
            <w:r>
              <w:rPr>
                <w:rFonts w:hint="eastAsia" w:ascii="宋体" w:hAnsi="宋体" w:eastAsia="宋体" w:cs="宋体"/>
                <w:color w:val="auto"/>
                <w:kern w:val="0"/>
                <w:sz w:val="21"/>
                <w:szCs w:val="21"/>
                <w:highlight w:val="none"/>
              </w:rPr>
              <w:t>电脑</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5个硬盘，15条内存、15块主板、15块C</w:t>
            </w:r>
            <w:r>
              <w:rPr>
                <w:rFonts w:hint="eastAsia" w:ascii="宋体" w:hAnsi="宋体" w:cs="宋体"/>
                <w:color w:val="auto"/>
                <w:kern w:val="0"/>
                <w:sz w:val="21"/>
                <w:szCs w:val="21"/>
                <w:highlight w:val="none"/>
                <w:lang w:val="en-US" w:eastAsia="zh-CN"/>
              </w:rPr>
              <w:t>PU</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15个主机电源，</w:t>
            </w:r>
            <w:r>
              <w:rPr>
                <w:rFonts w:hint="eastAsia" w:ascii="宋体" w:hAnsi="宋体" w:eastAsia="宋体" w:cs="宋体"/>
                <w:color w:val="auto"/>
                <w:kern w:val="0"/>
                <w:sz w:val="21"/>
                <w:szCs w:val="21"/>
                <w:highlight w:val="none"/>
              </w:rPr>
              <w:t>并存放于</w:t>
            </w:r>
            <w:r>
              <w:rPr>
                <w:rFonts w:hint="eastAsia" w:ascii="宋体" w:hAnsi="宋体" w:eastAsia="宋体" w:cs="宋体"/>
                <w:color w:val="auto"/>
                <w:kern w:val="0"/>
                <w:sz w:val="21"/>
                <w:szCs w:val="21"/>
                <w:highlight w:val="none"/>
                <w:lang w:eastAsia="zh-CN"/>
              </w:rPr>
              <w:t>用户单位指定仓库</w:t>
            </w:r>
            <w:r>
              <w:rPr>
                <w:rFonts w:hint="eastAsia" w:ascii="宋体" w:hAnsi="宋体" w:eastAsia="宋体" w:cs="宋体"/>
                <w:color w:val="auto"/>
                <w:kern w:val="0"/>
                <w:sz w:val="21"/>
                <w:szCs w:val="21"/>
                <w:highlight w:val="none"/>
              </w:rPr>
              <w:t>。满足要求得</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分，不满足得0分（0-</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分）；</w:t>
            </w:r>
          </w:p>
          <w:p>
            <w:pPr>
              <w:snapToGrid w:val="0"/>
              <w:spacing w:line="360" w:lineRule="auto"/>
              <w:jc w:val="left"/>
              <w:rPr>
                <w:rFonts w:ascii="宋体" w:hAnsi="宋体" w:eastAsia="宋体" w:cs="仿宋_GB2312"/>
                <w:color w:val="auto"/>
                <w:sz w:val="20"/>
                <w:szCs w:val="20"/>
                <w:highlight w:val="none"/>
              </w:rPr>
            </w:pPr>
            <w:r>
              <w:rPr>
                <w:rFonts w:hint="eastAsia" w:ascii="宋体" w:hAnsi="宋体" w:eastAsia="宋体" w:cs="宋体"/>
                <w:color w:val="auto"/>
                <w:kern w:val="0"/>
                <w:sz w:val="21"/>
                <w:szCs w:val="21"/>
                <w:highlight w:val="none"/>
              </w:rPr>
              <w:t>所投单位承诺质保期内半小时内响应，1小时以内到现场处理，2小时内解决问题，现场不能修复的，提供采购物品的备用件或整机等措施，以保证用户单位的正常使用的相关服务的。满足要求得2分，不满足得0分（2分）</w:t>
            </w:r>
            <w:r>
              <w:rPr>
                <w:rFonts w:hint="eastAsia" w:ascii="宋体" w:hAnsi="宋体" w:cs="宋体"/>
                <w:color w:val="auto"/>
                <w:sz w:val="24"/>
                <w:highlight w:val="none"/>
              </w:rPr>
              <w:t>；</w:t>
            </w:r>
          </w:p>
        </w:tc>
        <w:tc>
          <w:tcPr>
            <w:tcW w:w="694" w:type="dxa"/>
            <w:vAlign w:val="top"/>
          </w:tcPr>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5</w:t>
            </w:r>
          </w:p>
        </w:tc>
        <w:tc>
          <w:tcPr>
            <w:tcW w:w="1062" w:type="dxa"/>
            <w:vAlign w:val="center"/>
          </w:tcPr>
          <w:p>
            <w:pPr>
              <w:snapToGrid w:val="0"/>
              <w:spacing w:line="360" w:lineRule="auto"/>
              <w:jc w:val="center"/>
              <w:rPr>
                <w:rFonts w:hint="eastAsia" w:ascii="宋体" w:hAnsi="宋体" w:cs="仿宋_GB2312"/>
                <w:color w:val="auto"/>
                <w:sz w:val="20"/>
                <w:szCs w:val="20"/>
                <w:highlight w:val="none"/>
                <w:lang w:eastAsia="zh-CN"/>
              </w:rPr>
            </w:pPr>
          </w:p>
          <w:p>
            <w:pPr>
              <w:snapToGrid w:val="0"/>
              <w:spacing w:line="360" w:lineRule="auto"/>
              <w:jc w:val="center"/>
              <w:rPr>
                <w:rFonts w:hint="eastAsia" w:ascii="宋体" w:hAnsi="宋体" w:cs="仿宋_GB2312"/>
                <w:color w:val="auto"/>
                <w:sz w:val="20"/>
                <w:szCs w:val="20"/>
                <w:highlight w:val="none"/>
                <w:lang w:eastAsia="zh-CN"/>
              </w:rPr>
            </w:pPr>
          </w:p>
          <w:p>
            <w:pPr>
              <w:snapToGrid w:val="0"/>
              <w:spacing w:line="360" w:lineRule="auto"/>
              <w:jc w:val="center"/>
              <w:rPr>
                <w:rFonts w:ascii="宋体" w:hAnsi="宋体" w:eastAsia="宋体" w:cs="仿宋_GB2312"/>
                <w:color w:val="auto"/>
                <w:sz w:val="20"/>
                <w:szCs w:val="20"/>
                <w:highlight w:val="none"/>
              </w:rPr>
            </w:pPr>
            <w:r>
              <w:rPr>
                <w:rFonts w:hint="eastAsia" w:ascii="宋体" w:hAnsi="宋体" w:cs="仿宋_GB2312"/>
                <w:color w:val="auto"/>
                <w:sz w:val="20"/>
                <w:szCs w:val="20"/>
                <w:highlight w:val="none"/>
                <w:lang w:eastAsia="zh-CN"/>
              </w:rPr>
              <w:t>客观分</w:t>
            </w:r>
          </w:p>
        </w:tc>
        <w:tc>
          <w:tcPr>
            <w:tcW w:w="1515" w:type="dxa"/>
            <w:vAlign w:val="top"/>
          </w:tcPr>
          <w:p>
            <w:pPr>
              <w:snapToGrid w:val="0"/>
              <w:spacing w:line="360" w:lineRule="auto"/>
              <w:jc w:val="center"/>
              <w:rPr>
                <w:rFonts w:hint="eastAsia" w:ascii="宋体" w:hAnsi="宋体" w:cs="宋体"/>
                <w:color w:val="auto"/>
                <w:kern w:val="0"/>
                <w:sz w:val="20"/>
                <w:szCs w:val="20"/>
                <w:highlight w:val="none"/>
                <w:lang w:val="zh-CN" w:eastAsia="zh-CN"/>
              </w:rPr>
            </w:pPr>
          </w:p>
          <w:p>
            <w:pPr>
              <w:snapToGrid w:val="0"/>
              <w:spacing w:line="360" w:lineRule="auto"/>
              <w:jc w:val="center"/>
              <w:rPr>
                <w:rFonts w:hint="eastAsia" w:ascii="宋体" w:hAnsi="宋体" w:cs="宋体"/>
                <w:color w:val="auto"/>
                <w:kern w:val="0"/>
                <w:sz w:val="20"/>
                <w:szCs w:val="20"/>
                <w:highlight w:val="none"/>
                <w:lang w:val="zh-CN" w:eastAsia="zh-CN"/>
              </w:rPr>
            </w:pPr>
          </w:p>
          <w:p>
            <w:pPr>
              <w:snapToGrid w:val="0"/>
              <w:spacing w:line="360" w:lineRule="auto"/>
              <w:jc w:val="center"/>
              <w:rPr>
                <w:rFonts w:hint="eastAsia" w:ascii="宋体" w:hAnsi="宋体" w:cs="宋体"/>
                <w:color w:val="auto"/>
                <w:kern w:val="0"/>
                <w:sz w:val="20"/>
                <w:szCs w:val="20"/>
                <w:highlight w:val="none"/>
                <w:lang w:val="zh-CN" w:eastAsia="zh-CN"/>
              </w:rPr>
            </w:pPr>
          </w:p>
          <w:p>
            <w:pPr>
              <w:snapToGrid w:val="0"/>
              <w:spacing w:line="360" w:lineRule="auto"/>
              <w:jc w:val="center"/>
              <w:rPr>
                <w:rFonts w:hint="eastAsia" w:ascii="宋体" w:hAnsi="宋体" w:cs="宋体"/>
                <w:color w:val="auto"/>
                <w:kern w:val="0"/>
                <w:sz w:val="20"/>
                <w:szCs w:val="20"/>
                <w:highlight w:val="none"/>
                <w:lang w:val="zh-CN" w:eastAsia="zh-CN"/>
              </w:rPr>
            </w:pPr>
          </w:p>
          <w:p>
            <w:pPr>
              <w:snapToGrid w:val="0"/>
              <w:spacing w:line="360" w:lineRule="auto"/>
              <w:jc w:val="center"/>
              <w:rPr>
                <w:rFonts w:hint="eastAsia" w:ascii="宋体" w:hAnsi="宋体" w:cs="宋体"/>
                <w:color w:val="auto"/>
                <w:kern w:val="0"/>
                <w:sz w:val="20"/>
                <w:szCs w:val="20"/>
                <w:highlight w:val="none"/>
                <w:lang w:val="zh-CN" w:eastAsia="zh-CN"/>
              </w:rPr>
            </w:pPr>
          </w:p>
          <w:p>
            <w:pPr>
              <w:snapToGrid w:val="0"/>
              <w:spacing w:line="360" w:lineRule="auto"/>
              <w:jc w:val="both"/>
              <w:rPr>
                <w:rFonts w:ascii="宋体" w:hAnsi="宋体" w:eastAsia="宋体" w:cs="仿宋_GB2312"/>
                <w:color w:val="auto"/>
                <w:sz w:val="20"/>
                <w:szCs w:val="20"/>
                <w:highlight w:val="none"/>
              </w:rPr>
            </w:pPr>
            <w:r>
              <w:rPr>
                <w:rFonts w:hint="eastAsia" w:ascii="宋体" w:hAnsi="宋体" w:eastAsia="宋体" w:cs="宋体"/>
                <w:bCs/>
                <w:color w:val="auto"/>
                <w:sz w:val="21"/>
                <w:szCs w:val="21"/>
                <w:highlight w:val="none"/>
              </w:rPr>
              <w:t>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0" w:hRule="atLeast"/>
          <w:jc w:val="center"/>
        </w:trPr>
        <w:tc>
          <w:tcPr>
            <w:tcW w:w="634" w:type="dxa"/>
            <w:vAlign w:val="center"/>
          </w:tcPr>
          <w:p>
            <w:pPr>
              <w:snapToGrid w:val="0"/>
              <w:spacing w:line="360" w:lineRule="auto"/>
              <w:jc w:val="center"/>
              <w:rPr>
                <w:rFonts w:hint="eastAsia"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7</w:t>
            </w:r>
          </w:p>
        </w:tc>
        <w:tc>
          <w:tcPr>
            <w:tcW w:w="4600" w:type="dxa"/>
            <w:vAlign w:val="top"/>
          </w:tcPr>
          <w:p>
            <w:pPr>
              <w:pStyle w:val="85"/>
              <w:adjustRightInd/>
              <w:spacing w:before="0" w:line="240" w:lineRule="auto"/>
              <w:ind w:firstLine="0" w:firstLineChars="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项目组人员情况：</w:t>
            </w:r>
          </w:p>
          <w:p>
            <w:pPr>
              <w:pStyle w:val="85"/>
              <w:adjustRightInd/>
              <w:spacing w:before="0" w:line="240" w:lineRule="auto"/>
              <w:ind w:firstLine="0" w:firstLineChars="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1）项目经理具有中级及以上职称资质证书的得1分，最多得1分；</w:t>
            </w:r>
          </w:p>
          <w:p>
            <w:pPr>
              <w:pStyle w:val="85"/>
              <w:adjustRightInd/>
              <w:spacing w:before="0" w:line="240" w:lineRule="auto"/>
              <w:ind w:firstLine="0" w:firstLineChars="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2）项目组人员具有政府部门颁发的低压电工作业证书，每提供1本证书得1分，最多得</w:t>
            </w:r>
            <w:r>
              <w:rPr>
                <w:rFonts w:hint="eastAsia" w:ascii="宋体" w:hAnsi="宋体" w:cs="宋体"/>
                <w:color w:val="auto"/>
                <w:kern w:val="0"/>
                <w:sz w:val="21"/>
                <w:szCs w:val="21"/>
                <w:highlight w:val="none"/>
                <w:lang w:val="en-US" w:eastAsia="zh-CN"/>
              </w:rPr>
              <w:t>2</w:t>
            </w:r>
            <w:r>
              <w:rPr>
                <w:rFonts w:hint="eastAsia" w:ascii="宋体" w:hAnsi="宋体" w:cs="宋体"/>
                <w:color w:val="auto"/>
                <w:kern w:val="0"/>
                <w:sz w:val="21"/>
                <w:szCs w:val="21"/>
                <w:highlight w:val="none"/>
              </w:rPr>
              <w:t>分</w:t>
            </w:r>
          </w:p>
          <w:p>
            <w:pPr>
              <w:snapToGrid w:val="0"/>
              <w:spacing w:line="360" w:lineRule="auto"/>
              <w:jc w:val="left"/>
              <w:rPr>
                <w:rFonts w:ascii="宋体" w:hAnsi="宋体" w:eastAsia="宋体" w:cs="仿宋_GB2312"/>
                <w:color w:val="auto"/>
                <w:sz w:val="20"/>
                <w:szCs w:val="20"/>
                <w:highlight w:val="none"/>
              </w:rPr>
            </w:pPr>
            <w:r>
              <w:rPr>
                <w:rFonts w:hint="eastAsia" w:ascii="宋体" w:hAnsi="宋体" w:cs="宋体"/>
                <w:b w:val="0"/>
                <w:color w:val="auto"/>
                <w:kern w:val="0"/>
                <w:sz w:val="21"/>
                <w:szCs w:val="21"/>
                <w:highlight w:val="none"/>
              </w:rPr>
              <w:t>投标文件中提供以上证书复印件和项目组人员的社保缴纳证明复印件。</w:t>
            </w:r>
          </w:p>
        </w:tc>
        <w:tc>
          <w:tcPr>
            <w:tcW w:w="694" w:type="dxa"/>
            <w:vAlign w:val="top"/>
          </w:tcPr>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both"/>
              <w:rPr>
                <w:rFonts w:hint="eastAsia"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 xml:space="preserve">  3</w:t>
            </w:r>
          </w:p>
        </w:tc>
        <w:tc>
          <w:tcPr>
            <w:tcW w:w="1062" w:type="dxa"/>
            <w:vAlign w:val="center"/>
          </w:tcPr>
          <w:p>
            <w:pPr>
              <w:snapToGrid w:val="0"/>
              <w:spacing w:line="360" w:lineRule="auto"/>
              <w:jc w:val="center"/>
              <w:rPr>
                <w:rFonts w:hint="eastAsia" w:ascii="宋体" w:hAnsi="宋体" w:cs="仿宋_GB2312"/>
                <w:color w:val="auto"/>
                <w:sz w:val="20"/>
                <w:szCs w:val="20"/>
                <w:highlight w:val="none"/>
                <w:lang w:eastAsia="zh-CN"/>
              </w:rPr>
            </w:pPr>
          </w:p>
          <w:p>
            <w:pPr>
              <w:snapToGrid w:val="0"/>
              <w:spacing w:line="360" w:lineRule="auto"/>
              <w:jc w:val="center"/>
              <w:rPr>
                <w:rFonts w:hint="eastAsia" w:ascii="宋体" w:hAnsi="宋体" w:cs="仿宋_GB2312"/>
                <w:color w:val="auto"/>
                <w:sz w:val="20"/>
                <w:szCs w:val="20"/>
                <w:highlight w:val="none"/>
                <w:lang w:eastAsia="zh-CN"/>
              </w:rPr>
            </w:pPr>
          </w:p>
          <w:p>
            <w:pPr>
              <w:snapToGrid w:val="0"/>
              <w:spacing w:line="360" w:lineRule="auto"/>
              <w:jc w:val="center"/>
              <w:rPr>
                <w:rFonts w:hint="eastAsia" w:ascii="宋体" w:hAnsi="宋体" w:eastAsia="宋体" w:cs="仿宋_GB2312"/>
                <w:color w:val="auto"/>
                <w:sz w:val="20"/>
                <w:szCs w:val="20"/>
                <w:highlight w:val="none"/>
                <w:lang w:eastAsia="zh-CN"/>
              </w:rPr>
            </w:pPr>
            <w:r>
              <w:rPr>
                <w:rFonts w:hint="eastAsia" w:ascii="宋体" w:hAnsi="宋体" w:cs="仿宋_GB2312"/>
                <w:color w:val="auto"/>
                <w:sz w:val="20"/>
                <w:szCs w:val="20"/>
                <w:highlight w:val="none"/>
                <w:lang w:eastAsia="zh-CN"/>
              </w:rPr>
              <w:t>客观分</w:t>
            </w:r>
          </w:p>
        </w:tc>
        <w:tc>
          <w:tcPr>
            <w:tcW w:w="1515" w:type="dxa"/>
            <w:vAlign w:val="top"/>
          </w:tcPr>
          <w:p>
            <w:pPr>
              <w:snapToGrid w:val="0"/>
              <w:spacing w:line="360" w:lineRule="auto"/>
              <w:jc w:val="center"/>
              <w:rPr>
                <w:rFonts w:hint="eastAsia" w:ascii="宋体" w:hAnsi="宋体" w:cs="宋体"/>
                <w:bCs/>
                <w:color w:val="auto"/>
                <w:sz w:val="20"/>
                <w:szCs w:val="20"/>
                <w:highlight w:val="none"/>
              </w:rPr>
            </w:pPr>
          </w:p>
          <w:p>
            <w:pPr>
              <w:snapToGrid w:val="0"/>
              <w:spacing w:line="360" w:lineRule="auto"/>
              <w:jc w:val="center"/>
              <w:rPr>
                <w:rFonts w:hint="eastAsia" w:ascii="宋体" w:hAnsi="宋体" w:cs="宋体"/>
                <w:bCs/>
                <w:color w:val="auto"/>
                <w:sz w:val="20"/>
                <w:szCs w:val="20"/>
                <w:highlight w:val="none"/>
              </w:rPr>
            </w:pPr>
          </w:p>
          <w:p>
            <w:pPr>
              <w:snapToGrid w:val="0"/>
              <w:spacing w:line="360" w:lineRule="auto"/>
              <w:jc w:val="both"/>
              <w:rPr>
                <w:rFonts w:hint="eastAsia" w:ascii="宋体" w:hAnsi="宋体" w:eastAsia="宋体" w:cs="仿宋_GB2312"/>
                <w:color w:val="auto"/>
                <w:sz w:val="20"/>
                <w:szCs w:val="20"/>
                <w:highlight w:val="none"/>
                <w:lang w:eastAsia="zh-CN"/>
              </w:rPr>
            </w:pPr>
            <w:r>
              <w:rPr>
                <w:rFonts w:hint="eastAsia" w:ascii="宋体" w:hAnsi="宋体" w:cs="宋体"/>
                <w:color w:val="auto"/>
                <w:sz w:val="24"/>
                <w:highlight w:val="none"/>
              </w:rPr>
              <w:t>项目组人员情况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4" w:type="dxa"/>
            <w:vAlign w:val="center"/>
          </w:tcPr>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8</w:t>
            </w:r>
          </w:p>
        </w:tc>
        <w:tc>
          <w:tcPr>
            <w:tcW w:w="4600" w:type="dxa"/>
            <w:vAlign w:val="top"/>
          </w:tcPr>
          <w:p>
            <w:pPr>
              <w:widowControl w:val="0"/>
              <w:wordWrap/>
              <w:adjustRightInd/>
              <w:snapToGrid/>
              <w:spacing w:line="360" w:lineRule="auto"/>
              <w:ind w:left="0" w:leftChars="0" w:right="0" w:firstLine="0" w:firstLineChars="0"/>
              <w:jc w:val="left"/>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投标人具有质量管理体系认证证书的得1分；</w:t>
            </w:r>
          </w:p>
          <w:p>
            <w:pPr>
              <w:widowControl w:val="0"/>
              <w:wordWrap/>
              <w:adjustRightInd/>
              <w:snapToGrid/>
              <w:spacing w:line="360" w:lineRule="auto"/>
              <w:ind w:left="0" w:leftChars="0" w:right="0" w:firstLine="0" w:firstLineChars="0"/>
              <w:jc w:val="left"/>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投标人具有ISO27001信息安全管理体系证书得</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分，</w:t>
            </w:r>
          </w:p>
          <w:p>
            <w:pPr>
              <w:widowControl w:val="0"/>
              <w:wordWrap/>
              <w:adjustRightInd/>
              <w:snapToGrid/>
              <w:spacing w:line="360" w:lineRule="auto"/>
              <w:ind w:left="0" w:leftChars="0" w:right="0" w:firstLine="0" w:firstLineChars="0"/>
              <w:jc w:val="left"/>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投标人具有ISO20000信息技术服务管理体系认证证书得</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分；</w:t>
            </w:r>
          </w:p>
          <w:p>
            <w:pPr>
              <w:widowControl w:val="0"/>
              <w:wordWrap/>
              <w:adjustRightInd/>
              <w:snapToGrid/>
              <w:spacing w:line="360" w:lineRule="auto"/>
              <w:ind w:left="0" w:leftChars="0" w:right="0" w:firstLine="0" w:firstLineChars="0"/>
              <w:jc w:val="left"/>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投标人具有商品售后服务认证证书五星级证书得</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分；</w:t>
            </w:r>
          </w:p>
          <w:p>
            <w:pPr>
              <w:snapToGrid w:val="0"/>
              <w:spacing w:line="360" w:lineRule="auto"/>
              <w:jc w:val="left"/>
              <w:rPr>
                <w:rFonts w:ascii="宋体" w:hAnsi="宋体" w:eastAsia="宋体" w:cs="仿宋_GB2312"/>
                <w:color w:val="auto"/>
                <w:sz w:val="20"/>
                <w:szCs w:val="20"/>
                <w:highlight w:val="none"/>
              </w:rPr>
            </w:pPr>
            <w:r>
              <w:rPr>
                <w:rFonts w:hint="eastAsia" w:ascii="宋体" w:hAnsi="宋体" w:eastAsia="宋体" w:cs="宋体"/>
                <w:b/>
                <w:bCs/>
                <w:color w:val="auto"/>
                <w:kern w:val="0"/>
                <w:sz w:val="21"/>
                <w:szCs w:val="21"/>
                <w:highlight w:val="none"/>
              </w:rPr>
              <w:t>证书必须在有效期内；投标文件中提供证书复印件</w:t>
            </w:r>
          </w:p>
        </w:tc>
        <w:tc>
          <w:tcPr>
            <w:tcW w:w="694" w:type="dxa"/>
            <w:vAlign w:val="top"/>
          </w:tcPr>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default"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4</w:t>
            </w:r>
          </w:p>
        </w:tc>
        <w:tc>
          <w:tcPr>
            <w:tcW w:w="1062" w:type="dxa"/>
            <w:vAlign w:val="center"/>
          </w:tcPr>
          <w:p>
            <w:pPr>
              <w:snapToGrid w:val="0"/>
              <w:spacing w:line="360" w:lineRule="auto"/>
              <w:jc w:val="center"/>
              <w:rPr>
                <w:rFonts w:hint="eastAsia"/>
                <w:color w:val="auto"/>
                <w:sz w:val="16"/>
                <w:szCs w:val="20"/>
                <w:highlight w:val="none"/>
                <w:lang w:eastAsia="zh-CN"/>
              </w:rPr>
            </w:pPr>
          </w:p>
          <w:p>
            <w:pPr>
              <w:snapToGrid w:val="0"/>
              <w:spacing w:line="360" w:lineRule="auto"/>
              <w:jc w:val="center"/>
              <w:rPr>
                <w:rFonts w:hint="eastAsia"/>
                <w:color w:val="auto"/>
                <w:sz w:val="16"/>
                <w:szCs w:val="20"/>
                <w:highlight w:val="none"/>
                <w:lang w:eastAsia="zh-CN"/>
              </w:rPr>
            </w:pPr>
          </w:p>
          <w:p>
            <w:pPr>
              <w:snapToGrid w:val="0"/>
              <w:spacing w:line="360" w:lineRule="auto"/>
              <w:jc w:val="center"/>
              <w:rPr>
                <w:rFonts w:hint="eastAsia"/>
                <w:color w:val="auto"/>
                <w:sz w:val="16"/>
                <w:szCs w:val="20"/>
                <w:highlight w:val="none"/>
                <w:lang w:eastAsia="zh-CN"/>
              </w:rPr>
            </w:pPr>
          </w:p>
          <w:p>
            <w:pPr>
              <w:snapToGrid w:val="0"/>
              <w:spacing w:line="360" w:lineRule="auto"/>
              <w:jc w:val="center"/>
              <w:rPr>
                <w:rFonts w:hint="eastAsia" w:eastAsia="宋体"/>
                <w:color w:val="auto"/>
                <w:sz w:val="16"/>
                <w:szCs w:val="20"/>
                <w:highlight w:val="none"/>
                <w:lang w:eastAsia="zh-CN"/>
              </w:rPr>
            </w:pPr>
            <w:r>
              <w:rPr>
                <w:rFonts w:hint="eastAsia"/>
                <w:color w:val="auto"/>
                <w:sz w:val="16"/>
                <w:szCs w:val="20"/>
                <w:highlight w:val="none"/>
                <w:lang w:eastAsia="zh-CN"/>
              </w:rPr>
              <w:t>客观分</w:t>
            </w:r>
          </w:p>
          <w:p>
            <w:pPr>
              <w:pStyle w:val="2"/>
              <w:rPr>
                <w:color w:val="auto"/>
                <w:sz w:val="22"/>
                <w:szCs w:val="22"/>
                <w:highlight w:val="none"/>
              </w:rPr>
            </w:pPr>
          </w:p>
        </w:tc>
        <w:tc>
          <w:tcPr>
            <w:tcW w:w="1515" w:type="dxa"/>
            <w:vAlign w:val="top"/>
          </w:tcPr>
          <w:p>
            <w:pPr>
              <w:snapToGrid w:val="0"/>
              <w:spacing w:line="360" w:lineRule="auto"/>
              <w:jc w:val="center"/>
              <w:rPr>
                <w:rFonts w:hint="eastAsia" w:ascii="宋体" w:hAnsi="宋体" w:cs="宋体"/>
                <w:color w:val="auto"/>
                <w:kern w:val="0"/>
                <w:sz w:val="20"/>
                <w:szCs w:val="20"/>
                <w:highlight w:val="none"/>
              </w:rPr>
            </w:pPr>
          </w:p>
          <w:p>
            <w:pPr>
              <w:snapToGrid w:val="0"/>
              <w:spacing w:line="360" w:lineRule="auto"/>
              <w:jc w:val="center"/>
              <w:rPr>
                <w:rFonts w:hint="eastAsia" w:ascii="宋体" w:hAnsi="宋体" w:cs="宋体"/>
                <w:color w:val="auto"/>
                <w:kern w:val="0"/>
                <w:sz w:val="20"/>
                <w:szCs w:val="20"/>
                <w:highlight w:val="none"/>
              </w:rPr>
            </w:pPr>
          </w:p>
          <w:p>
            <w:pPr>
              <w:snapToGrid w:val="0"/>
              <w:spacing w:line="360" w:lineRule="auto"/>
              <w:jc w:val="center"/>
              <w:rPr>
                <w:rFonts w:hint="eastAsia" w:ascii="宋体" w:hAnsi="宋体" w:cs="宋体"/>
                <w:color w:val="auto"/>
                <w:kern w:val="0"/>
                <w:sz w:val="20"/>
                <w:szCs w:val="20"/>
                <w:highlight w:val="none"/>
              </w:rPr>
            </w:pPr>
          </w:p>
          <w:p>
            <w:pPr>
              <w:snapToGrid w:val="0"/>
              <w:spacing w:line="360" w:lineRule="auto"/>
              <w:jc w:val="center"/>
              <w:rPr>
                <w:rFonts w:hint="eastAsia" w:ascii="宋体" w:hAnsi="宋体" w:cs="宋体"/>
                <w:color w:val="auto"/>
                <w:kern w:val="0"/>
                <w:sz w:val="20"/>
                <w:szCs w:val="20"/>
                <w:highlight w:val="none"/>
              </w:rPr>
            </w:pPr>
          </w:p>
          <w:p>
            <w:pPr>
              <w:snapToGrid w:val="0"/>
              <w:spacing w:line="360" w:lineRule="auto"/>
              <w:jc w:val="center"/>
              <w:rPr>
                <w:rFonts w:hint="eastAsia" w:ascii="宋体" w:hAnsi="宋体" w:cs="宋体"/>
                <w:color w:val="auto"/>
                <w:kern w:val="0"/>
                <w:sz w:val="20"/>
                <w:szCs w:val="20"/>
                <w:highlight w:val="none"/>
              </w:rPr>
            </w:pPr>
          </w:p>
          <w:p>
            <w:pPr>
              <w:snapToGrid w:val="0"/>
              <w:spacing w:line="360" w:lineRule="auto"/>
              <w:jc w:val="center"/>
              <w:rPr>
                <w:rFonts w:hint="eastAsia" w:ascii="宋体" w:hAnsi="宋体" w:eastAsia="宋体" w:cs="仿宋_GB2312"/>
                <w:color w:val="auto"/>
                <w:sz w:val="20"/>
                <w:szCs w:val="20"/>
                <w:highlight w:val="none"/>
                <w:lang w:eastAsia="zh-CN"/>
              </w:rPr>
            </w:pPr>
            <w:r>
              <w:rPr>
                <w:rFonts w:hint="eastAsia" w:ascii="宋体" w:hAnsi="宋体" w:cs="宋体"/>
                <w:color w:val="auto"/>
                <w:kern w:val="0"/>
                <w:sz w:val="20"/>
                <w:szCs w:val="20"/>
                <w:highlight w:val="none"/>
              </w:rPr>
              <w:t>企业资质</w:t>
            </w:r>
            <w:r>
              <w:rPr>
                <w:rFonts w:hint="eastAsia" w:ascii="宋体" w:hAnsi="宋体" w:cs="宋体"/>
                <w:color w:val="auto"/>
                <w:kern w:val="0"/>
                <w:sz w:val="20"/>
                <w:szCs w:val="20"/>
                <w:highlight w:val="none"/>
                <w:lang w:eastAsia="zh-CN"/>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5" w:hRule="atLeast"/>
          <w:jc w:val="center"/>
        </w:trPr>
        <w:tc>
          <w:tcPr>
            <w:tcW w:w="634" w:type="dxa"/>
            <w:vAlign w:val="center"/>
          </w:tcPr>
          <w:p>
            <w:pPr>
              <w:snapToGrid w:val="0"/>
              <w:spacing w:line="360" w:lineRule="auto"/>
              <w:jc w:val="center"/>
              <w:rPr>
                <w:rFonts w:hint="eastAsia"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9</w:t>
            </w:r>
          </w:p>
        </w:tc>
        <w:tc>
          <w:tcPr>
            <w:tcW w:w="4600" w:type="dxa"/>
            <w:vAlign w:val="top"/>
          </w:tcPr>
          <w:p>
            <w:pPr>
              <w:widowControl w:val="0"/>
              <w:wordWrap/>
              <w:adjustRightInd/>
              <w:snapToGrid/>
              <w:spacing w:line="360" w:lineRule="auto"/>
              <w:ind w:left="0" w:leftChars="0" w:right="0" w:firstLine="0" w:firstLineChars="0"/>
              <w:jc w:val="left"/>
              <w:textAlignment w:val="auto"/>
              <w:outlineLvl w:val="9"/>
              <w:rPr>
                <w:rFonts w:hint="eastAsia" w:ascii="宋体" w:hAnsi="宋体" w:cs="宋体"/>
                <w:color w:val="auto"/>
                <w:sz w:val="20"/>
                <w:szCs w:val="20"/>
                <w:highlight w:val="none"/>
              </w:rPr>
            </w:pPr>
            <w:r>
              <w:rPr>
                <w:rFonts w:hint="eastAsia" w:ascii="宋体" w:hAnsi="宋体" w:cs="宋体"/>
                <w:color w:val="auto"/>
                <w:sz w:val="20"/>
                <w:szCs w:val="20"/>
                <w:highlight w:val="none"/>
              </w:rPr>
              <w:t>类似项目实施业绩一览表：投标人自</w:t>
            </w:r>
            <w:r>
              <w:rPr>
                <w:rFonts w:ascii="宋体" w:hAnsi="宋体"/>
                <w:color w:val="auto"/>
                <w:sz w:val="20"/>
                <w:szCs w:val="20"/>
                <w:highlight w:val="none"/>
              </w:rPr>
              <w:t>20</w:t>
            </w:r>
            <w:r>
              <w:rPr>
                <w:rFonts w:hint="eastAsia" w:ascii="宋体" w:hAnsi="宋体"/>
                <w:color w:val="auto"/>
                <w:sz w:val="20"/>
                <w:szCs w:val="20"/>
                <w:highlight w:val="none"/>
              </w:rPr>
              <w:t>20</w:t>
            </w:r>
            <w:r>
              <w:rPr>
                <w:rFonts w:ascii="宋体" w:hAnsi="宋体"/>
                <w:color w:val="auto"/>
                <w:sz w:val="20"/>
                <w:szCs w:val="20"/>
                <w:highlight w:val="none"/>
              </w:rPr>
              <w:t>年1月1日</w:t>
            </w:r>
            <w:r>
              <w:rPr>
                <w:rFonts w:hint="eastAsia" w:ascii="宋体" w:hAnsi="宋体" w:cs="宋体"/>
                <w:color w:val="auto"/>
                <w:sz w:val="20"/>
                <w:szCs w:val="20"/>
                <w:highlight w:val="none"/>
              </w:rPr>
              <w:t>至今（时间以合同签订时间为准）承担过类似项目业绩的，每提供一个得</w:t>
            </w:r>
            <w:r>
              <w:rPr>
                <w:rFonts w:hint="eastAsia" w:ascii="宋体" w:hAnsi="宋体" w:cs="宋体"/>
                <w:color w:val="auto"/>
                <w:sz w:val="20"/>
                <w:szCs w:val="20"/>
                <w:highlight w:val="none"/>
                <w:lang w:val="en-US" w:eastAsia="zh-CN"/>
              </w:rPr>
              <w:t>1</w:t>
            </w:r>
            <w:r>
              <w:rPr>
                <w:rFonts w:hint="eastAsia" w:ascii="宋体" w:hAnsi="宋体" w:cs="宋体"/>
                <w:color w:val="auto"/>
                <w:sz w:val="20"/>
                <w:szCs w:val="20"/>
                <w:highlight w:val="none"/>
              </w:rPr>
              <w:t>分，最多得</w:t>
            </w:r>
            <w:r>
              <w:rPr>
                <w:rFonts w:hint="eastAsia" w:ascii="宋体" w:hAnsi="宋体" w:cs="宋体"/>
                <w:color w:val="auto"/>
                <w:sz w:val="20"/>
                <w:szCs w:val="20"/>
                <w:highlight w:val="none"/>
                <w:lang w:val="en-US" w:eastAsia="zh-CN"/>
              </w:rPr>
              <w:t>3</w:t>
            </w:r>
            <w:r>
              <w:rPr>
                <w:rFonts w:hint="eastAsia" w:ascii="宋体" w:hAnsi="宋体" w:cs="宋体"/>
                <w:color w:val="auto"/>
                <w:sz w:val="20"/>
                <w:szCs w:val="20"/>
                <w:highlight w:val="none"/>
              </w:rPr>
              <w:t>分；</w:t>
            </w:r>
          </w:p>
          <w:p>
            <w:pPr>
              <w:snapToGrid w:val="0"/>
              <w:spacing w:line="360" w:lineRule="auto"/>
              <w:jc w:val="left"/>
              <w:rPr>
                <w:rFonts w:ascii="宋体" w:hAnsi="宋体" w:eastAsia="宋体" w:cs="仿宋_GB2312"/>
                <w:color w:val="auto"/>
                <w:sz w:val="20"/>
                <w:szCs w:val="20"/>
                <w:highlight w:val="none"/>
              </w:rPr>
            </w:pPr>
            <w:r>
              <w:rPr>
                <w:rFonts w:hint="eastAsia" w:ascii="宋体" w:hAnsi="宋体" w:cs="宋体"/>
                <w:b/>
                <w:bCs/>
                <w:color w:val="auto"/>
                <w:sz w:val="20"/>
                <w:szCs w:val="20"/>
                <w:highlight w:val="none"/>
              </w:rPr>
              <w:t>投标文件中同时提供合同复印件、中</w:t>
            </w:r>
            <w:r>
              <w:rPr>
                <w:rFonts w:hint="eastAsia" w:ascii="宋体" w:hAnsi="宋体" w:eastAsia="宋体" w:cs="宋体"/>
                <w:b/>
                <w:bCs/>
                <w:color w:val="auto"/>
                <w:sz w:val="20"/>
                <w:szCs w:val="20"/>
                <w:highlight w:val="none"/>
                <w:lang w:val="en-US" w:eastAsia="zh-CN"/>
              </w:rPr>
              <w:t>标通知书</w:t>
            </w:r>
            <w:r>
              <w:rPr>
                <w:rFonts w:hint="eastAsia" w:ascii="宋体" w:hAnsi="宋体" w:eastAsia="宋体" w:cs="宋体"/>
                <w:b/>
                <w:bCs/>
                <w:color w:val="auto"/>
                <w:sz w:val="20"/>
                <w:szCs w:val="20"/>
                <w:highlight w:val="none"/>
              </w:rPr>
              <w:t>复印件</w:t>
            </w:r>
            <w:r>
              <w:rPr>
                <w:rFonts w:hint="eastAsia" w:ascii="宋体" w:hAnsi="宋体" w:cs="宋体"/>
                <w:b/>
                <w:bCs/>
                <w:color w:val="auto"/>
                <w:sz w:val="20"/>
                <w:szCs w:val="20"/>
                <w:highlight w:val="none"/>
              </w:rPr>
              <w:t>及验收报告复印件</w:t>
            </w:r>
          </w:p>
        </w:tc>
        <w:tc>
          <w:tcPr>
            <w:tcW w:w="694" w:type="dxa"/>
            <w:vAlign w:val="top"/>
          </w:tcPr>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cs="仿宋_GB2312"/>
                <w:color w:val="auto"/>
                <w:sz w:val="20"/>
                <w:szCs w:val="20"/>
                <w:highlight w:val="none"/>
                <w:lang w:val="en-US" w:eastAsia="zh-CN"/>
              </w:rPr>
            </w:pPr>
          </w:p>
          <w:p>
            <w:pPr>
              <w:snapToGrid w:val="0"/>
              <w:spacing w:line="360" w:lineRule="auto"/>
              <w:jc w:val="center"/>
              <w:rPr>
                <w:rFonts w:hint="eastAsia"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3</w:t>
            </w:r>
          </w:p>
        </w:tc>
        <w:tc>
          <w:tcPr>
            <w:tcW w:w="1062" w:type="dxa"/>
            <w:vAlign w:val="center"/>
          </w:tcPr>
          <w:p>
            <w:pPr>
              <w:snapToGrid w:val="0"/>
              <w:spacing w:line="360" w:lineRule="auto"/>
              <w:ind w:firstLine="200" w:firstLineChars="100"/>
              <w:jc w:val="both"/>
              <w:rPr>
                <w:rFonts w:hint="eastAsia" w:ascii="宋体" w:hAnsi="宋体" w:eastAsia="宋体" w:cs="仿宋_GB2312"/>
                <w:color w:val="auto"/>
                <w:sz w:val="20"/>
                <w:szCs w:val="20"/>
                <w:highlight w:val="none"/>
                <w:lang w:eastAsia="zh-CN"/>
              </w:rPr>
            </w:pPr>
            <w:r>
              <w:rPr>
                <w:rFonts w:hint="eastAsia" w:ascii="宋体" w:hAnsi="宋体" w:cs="仿宋_GB2312"/>
                <w:color w:val="auto"/>
                <w:sz w:val="20"/>
                <w:szCs w:val="20"/>
                <w:highlight w:val="none"/>
                <w:lang w:eastAsia="zh-CN"/>
              </w:rPr>
              <w:t>客观分</w:t>
            </w:r>
          </w:p>
        </w:tc>
        <w:tc>
          <w:tcPr>
            <w:tcW w:w="1515" w:type="dxa"/>
            <w:vAlign w:val="top"/>
          </w:tcPr>
          <w:p>
            <w:pPr>
              <w:snapToGrid w:val="0"/>
              <w:spacing w:line="360" w:lineRule="auto"/>
              <w:jc w:val="center"/>
              <w:rPr>
                <w:rFonts w:hint="eastAsia" w:ascii="宋体" w:hAnsi="宋体" w:cs="宋体"/>
                <w:color w:val="auto"/>
                <w:sz w:val="20"/>
                <w:szCs w:val="20"/>
                <w:highlight w:val="none"/>
              </w:rPr>
            </w:pPr>
          </w:p>
          <w:p>
            <w:pPr>
              <w:snapToGrid w:val="0"/>
              <w:spacing w:line="360" w:lineRule="auto"/>
              <w:jc w:val="center"/>
              <w:rPr>
                <w:rFonts w:hint="eastAsia" w:ascii="宋体" w:hAnsi="宋体" w:cs="宋体"/>
                <w:color w:val="auto"/>
                <w:sz w:val="20"/>
                <w:szCs w:val="20"/>
                <w:highlight w:val="none"/>
              </w:rPr>
            </w:pPr>
          </w:p>
          <w:p>
            <w:pPr>
              <w:snapToGrid w:val="0"/>
              <w:spacing w:line="360" w:lineRule="auto"/>
              <w:jc w:val="center"/>
              <w:rPr>
                <w:rFonts w:hint="eastAsia" w:ascii="宋体" w:hAnsi="宋体" w:eastAsia="宋体" w:cs="仿宋_GB2312"/>
                <w:color w:val="auto"/>
                <w:sz w:val="20"/>
                <w:szCs w:val="20"/>
                <w:highlight w:val="none"/>
                <w:lang w:eastAsia="zh-CN"/>
              </w:rPr>
            </w:pPr>
            <w:r>
              <w:rPr>
                <w:rFonts w:hint="eastAsia" w:ascii="宋体" w:hAnsi="宋体" w:cs="宋体"/>
                <w:color w:val="auto"/>
                <w:sz w:val="20"/>
                <w:szCs w:val="20"/>
                <w:highlight w:val="none"/>
                <w:lang w:eastAsia="zh-CN"/>
              </w:rPr>
              <w:t>投标人</w:t>
            </w:r>
            <w:r>
              <w:rPr>
                <w:rFonts w:hint="eastAsia" w:ascii="宋体" w:hAnsi="宋体" w:cs="宋体"/>
                <w:color w:val="auto"/>
                <w:sz w:val="20"/>
                <w:szCs w:val="20"/>
                <w:highlight w:val="none"/>
              </w:rPr>
              <w:t>项目实施业绩</w:t>
            </w:r>
            <w:r>
              <w:rPr>
                <w:rFonts w:hint="eastAsia" w:ascii="宋体" w:hAnsi="宋体" w:cs="宋体"/>
                <w:color w:val="auto"/>
                <w:sz w:val="20"/>
                <w:szCs w:val="20"/>
                <w:highlight w:val="none"/>
                <w:lang w:eastAsia="zh-CN"/>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34" w:type="dxa"/>
            <w:vAlign w:val="center"/>
          </w:tcPr>
          <w:p>
            <w:pPr>
              <w:snapToGrid w:val="0"/>
              <w:spacing w:line="360" w:lineRule="auto"/>
              <w:jc w:val="center"/>
              <w:rPr>
                <w:rFonts w:hint="default"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10</w:t>
            </w:r>
          </w:p>
        </w:tc>
        <w:tc>
          <w:tcPr>
            <w:tcW w:w="4600" w:type="dxa"/>
            <w:vAlign w:val="top"/>
          </w:tcPr>
          <w:p>
            <w:pPr>
              <w:spacing w:line="360" w:lineRule="auto"/>
              <w:outlineLvl w:val="0"/>
              <w:rPr>
                <w:rFonts w:ascii="宋体" w:hAnsi="宋体" w:eastAsia="宋体" w:cs="仿宋_GB2312"/>
                <w:color w:val="auto"/>
                <w:sz w:val="20"/>
                <w:szCs w:val="20"/>
                <w:highlight w:val="none"/>
              </w:rPr>
            </w:pPr>
            <w:r>
              <w:rPr>
                <w:rFonts w:hint="eastAsia" w:ascii="宋体" w:hAnsi="宋体" w:eastAsia="宋体" w:cs="仿宋_GB2312"/>
                <w:color w:val="auto"/>
                <w:sz w:val="20"/>
                <w:szCs w:val="20"/>
                <w:highlight w:val="none"/>
              </w:rPr>
              <w:t>有效投标报价的最低价作为评标基准价，其最低报价为满分；按［投标报价得分</w:t>
            </w:r>
            <w:r>
              <w:rPr>
                <w:rFonts w:ascii="宋体" w:hAnsi="宋体" w:eastAsia="宋体" w:cs="仿宋_GB2312"/>
                <w:color w:val="auto"/>
                <w:sz w:val="20"/>
                <w:szCs w:val="20"/>
                <w:highlight w:val="none"/>
              </w:rPr>
              <w:t>=（评标基准价/投标报价）*</w:t>
            </w:r>
            <w:r>
              <w:rPr>
                <w:rFonts w:hint="eastAsia" w:ascii="宋体" w:hAnsi="宋体" w:cs="仿宋_GB2312"/>
                <w:color w:val="auto"/>
                <w:sz w:val="20"/>
                <w:szCs w:val="20"/>
                <w:highlight w:val="none"/>
                <w:lang w:val="en-US" w:eastAsia="zh-CN"/>
              </w:rPr>
              <w:t>30</w:t>
            </w:r>
            <w:r>
              <w:rPr>
                <w:rFonts w:ascii="宋体" w:hAnsi="宋体" w:eastAsia="宋体" w:cs="仿宋_GB2312"/>
                <w:color w:val="auto"/>
                <w:sz w:val="20"/>
                <w:szCs w:val="20"/>
                <w:highlight w:val="none"/>
              </w:rPr>
              <w:t>］的计算公式计算。</w:t>
            </w:r>
          </w:p>
          <w:p>
            <w:pPr>
              <w:widowControl/>
              <w:shd w:val="clear" w:color="auto" w:fill="FFFFFF"/>
              <w:adjustRightInd/>
              <w:spacing w:after="225" w:line="315" w:lineRule="atLeast"/>
              <w:ind w:firstLine="420"/>
              <w:jc w:val="left"/>
              <w:rPr>
                <w:rFonts w:ascii="宋体" w:hAnsi="宋体" w:eastAsia="宋体" w:cs="仿宋_GB2312"/>
                <w:color w:val="auto"/>
                <w:sz w:val="20"/>
                <w:szCs w:val="20"/>
                <w:highlight w:val="none"/>
              </w:rPr>
            </w:pPr>
            <w:r>
              <w:rPr>
                <w:rFonts w:ascii="宋体" w:hAnsi="宋体" w:eastAsia="宋体" w:cs="仿宋_GB2312"/>
                <w:color w:val="auto"/>
                <w:sz w:val="20"/>
                <w:szCs w:val="20"/>
                <w:highlight w:val="none"/>
              </w:rPr>
              <w:t>评标过程中，不得去掉报价中的最高报价和最低报价。</w:t>
            </w:r>
          </w:p>
          <w:p>
            <w:pPr>
              <w:widowControl/>
              <w:shd w:val="clear" w:color="auto" w:fill="FFFFFF"/>
              <w:adjustRightInd/>
              <w:spacing w:after="225" w:line="315" w:lineRule="atLeast"/>
              <w:ind w:firstLine="420"/>
              <w:jc w:val="left"/>
              <w:rPr>
                <w:rFonts w:ascii="宋体" w:hAnsi="宋体" w:eastAsia="宋体"/>
                <w:color w:val="auto"/>
                <w:sz w:val="20"/>
                <w:szCs w:val="20"/>
                <w:highlight w:val="none"/>
              </w:rPr>
            </w:pPr>
            <w:r>
              <w:rPr>
                <w:rFonts w:hint="eastAsia" w:ascii="宋体" w:hAnsi="宋体" w:eastAsia="宋体" w:cs="仿宋_GB2312"/>
                <w:color w:val="auto"/>
                <w:sz w:val="20"/>
                <w:szCs w:val="20"/>
                <w:highlight w:val="none"/>
              </w:rPr>
              <w:t>对于未预留份额专门面向中小企业的政府采购货物项目，以及预留份额政府采购货物项目中的非预留部分标项，对小型和微型企业的投标报价给予</w:t>
            </w:r>
            <w:r>
              <w:rPr>
                <w:rFonts w:hint="eastAsia" w:ascii="宋体" w:hAnsi="宋体" w:cs="仿宋_GB2312"/>
                <w:b/>
                <w:color w:val="auto"/>
                <w:sz w:val="20"/>
                <w:szCs w:val="20"/>
                <w:highlight w:val="none"/>
                <w:u w:val="single"/>
                <w:lang w:val="en-US" w:eastAsia="zh-CN"/>
              </w:rPr>
              <w:t>20</w:t>
            </w:r>
            <w:r>
              <w:rPr>
                <w:rFonts w:hint="eastAsia" w:ascii="宋体" w:hAnsi="宋体" w:eastAsia="宋体" w:cs="仿宋_GB2312"/>
                <w:b/>
                <w:color w:val="auto"/>
                <w:sz w:val="20"/>
                <w:szCs w:val="20"/>
                <w:highlight w:val="none"/>
                <w:u w:val="single"/>
              </w:rPr>
              <w:t>%</w:t>
            </w:r>
            <w:r>
              <w:rPr>
                <w:rFonts w:hint="eastAsia" w:ascii="宋体" w:hAnsi="宋体" w:eastAsia="宋体" w:cs="仿宋_GB2312"/>
                <w:color w:val="auto"/>
                <w:sz w:val="20"/>
                <w:szCs w:val="20"/>
                <w:highlight w:val="none"/>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w:t>
            </w:r>
            <w:r>
              <w:rPr>
                <w:rFonts w:hint="eastAsia" w:ascii="宋体" w:hAnsi="宋体" w:cs="仿宋_GB2312"/>
                <w:b/>
                <w:color w:val="auto"/>
                <w:sz w:val="20"/>
                <w:szCs w:val="20"/>
                <w:highlight w:val="none"/>
                <w:u w:val="single"/>
                <w:lang w:val="en-US" w:eastAsia="zh-CN"/>
              </w:rPr>
              <w:t>6</w:t>
            </w:r>
            <w:r>
              <w:rPr>
                <w:rFonts w:hint="eastAsia" w:ascii="宋体" w:hAnsi="宋体" w:eastAsia="宋体" w:cs="仿宋_GB2312"/>
                <w:b/>
                <w:color w:val="auto"/>
                <w:sz w:val="20"/>
                <w:szCs w:val="20"/>
                <w:highlight w:val="none"/>
                <w:u w:val="single"/>
              </w:rPr>
              <w:t>%</w:t>
            </w:r>
            <w:r>
              <w:rPr>
                <w:rFonts w:hint="eastAsia" w:ascii="宋体" w:hAnsi="宋体" w:eastAsia="宋体" w:cs="仿宋_GB2312"/>
                <w:color w:val="auto"/>
                <w:sz w:val="20"/>
                <w:szCs w:val="20"/>
                <w:highlight w:val="none"/>
              </w:rPr>
              <w:t>的扣除，用扣除后的价格参加评审。</w:t>
            </w:r>
          </w:p>
        </w:tc>
        <w:tc>
          <w:tcPr>
            <w:tcW w:w="694" w:type="dxa"/>
            <w:vAlign w:val="center"/>
          </w:tcPr>
          <w:p>
            <w:pPr>
              <w:spacing w:line="360" w:lineRule="auto"/>
              <w:jc w:val="center"/>
              <w:outlineLvl w:val="0"/>
              <w:rPr>
                <w:rFonts w:hint="default" w:ascii="宋体" w:hAnsi="宋体" w:eastAsia="宋体" w:cs="仿宋_GB2312"/>
                <w:color w:val="auto"/>
                <w:sz w:val="20"/>
                <w:szCs w:val="20"/>
                <w:highlight w:val="none"/>
                <w:lang w:val="en-US" w:eastAsia="zh-CN"/>
              </w:rPr>
            </w:pPr>
            <w:r>
              <w:rPr>
                <w:rFonts w:hint="eastAsia" w:ascii="宋体" w:hAnsi="宋体" w:cs="仿宋_GB2312"/>
                <w:color w:val="auto"/>
                <w:sz w:val="20"/>
                <w:szCs w:val="20"/>
                <w:highlight w:val="none"/>
                <w:lang w:val="en-US" w:eastAsia="zh-CN"/>
              </w:rPr>
              <w:t>30</w:t>
            </w:r>
          </w:p>
        </w:tc>
        <w:tc>
          <w:tcPr>
            <w:tcW w:w="1062" w:type="dxa"/>
            <w:vAlign w:val="center"/>
          </w:tcPr>
          <w:p>
            <w:pPr>
              <w:spacing w:line="360" w:lineRule="auto"/>
              <w:jc w:val="center"/>
              <w:outlineLvl w:val="0"/>
              <w:rPr>
                <w:rFonts w:hint="eastAsia" w:ascii="宋体" w:hAnsi="宋体" w:eastAsia="宋体" w:cs="仿宋_GB2312"/>
                <w:color w:val="auto"/>
                <w:sz w:val="20"/>
                <w:szCs w:val="20"/>
                <w:highlight w:val="none"/>
                <w:lang w:eastAsia="zh-CN"/>
              </w:rPr>
            </w:pPr>
            <w:r>
              <w:rPr>
                <w:rFonts w:hint="eastAsia" w:ascii="宋体" w:hAnsi="宋体" w:cs="仿宋_GB2312"/>
                <w:color w:val="auto"/>
                <w:sz w:val="20"/>
                <w:szCs w:val="20"/>
                <w:highlight w:val="none"/>
                <w:lang w:eastAsia="zh-CN"/>
              </w:rPr>
              <w:t>客观分</w:t>
            </w:r>
          </w:p>
        </w:tc>
        <w:tc>
          <w:tcPr>
            <w:tcW w:w="1515" w:type="dxa"/>
            <w:vAlign w:val="center"/>
          </w:tcPr>
          <w:p>
            <w:pPr>
              <w:spacing w:line="360" w:lineRule="auto"/>
              <w:jc w:val="center"/>
              <w:outlineLvl w:val="0"/>
              <w:rPr>
                <w:rFonts w:ascii="宋体" w:hAnsi="宋体" w:eastAsia="宋体" w:cs="仿宋_GB2312"/>
                <w:color w:val="auto"/>
                <w:sz w:val="20"/>
                <w:szCs w:val="20"/>
                <w:highlight w:val="none"/>
              </w:rPr>
            </w:pPr>
            <w:r>
              <w:rPr>
                <w:rFonts w:ascii="宋体" w:hAnsi="宋体" w:eastAsia="宋体" w:cs="仿宋_GB2312"/>
                <w:color w:val="auto"/>
                <w:sz w:val="20"/>
                <w:szCs w:val="20"/>
                <w:highlight w:val="none"/>
              </w:rPr>
              <w:t>/</w:t>
            </w:r>
          </w:p>
        </w:tc>
      </w:tr>
    </w:tbl>
    <w:p>
      <w:pPr>
        <w:rPr>
          <w:color w:val="auto"/>
          <w:highlight w:val="none"/>
        </w:rPr>
      </w:pPr>
    </w:p>
    <w:p>
      <w:pPr>
        <w:snapToGrid w:val="0"/>
        <w:spacing w:line="360" w:lineRule="auto"/>
        <w:rPr>
          <w:rFonts w:ascii="宋体" w:hAnsi="宋体" w:cs="宋体"/>
          <w:b/>
          <w:color w:val="auto"/>
          <w:sz w:val="24"/>
          <w:highlight w:val="none"/>
        </w:rPr>
      </w:pPr>
      <w:r>
        <w:rPr>
          <w:rFonts w:hint="eastAsia" w:ascii="宋体" w:hAnsi="宋体" w:cs="宋体"/>
          <w:color w:val="auto"/>
          <w:sz w:val="20"/>
          <w:szCs w:val="20"/>
          <w:highlight w:val="none"/>
          <w:shd w:val="clear" w:color="auto" w:fill="FFFFFF"/>
        </w:rPr>
        <w:t> *</w:t>
      </w:r>
      <w:r>
        <w:rPr>
          <w:rFonts w:hint="eastAsia" w:ascii="宋体" w:hAnsi="宋体" w:cs="宋体"/>
          <w:b/>
          <w:color w:val="auto"/>
          <w:sz w:val="24"/>
          <w:highlight w:val="none"/>
        </w:rPr>
        <w:t>备注：</w:t>
      </w:r>
      <w:r>
        <w:rPr>
          <w:rFonts w:hint="eastAsia" w:ascii="宋体" w:hAnsi="宋体" w:cs="宋体"/>
          <w:color w:val="auto"/>
          <w:sz w:val="24"/>
          <w:highlight w:val="none"/>
        </w:rPr>
        <w:t>投标人编制投标文件（商务技术文件部分）时，建议按此目录（序号和内容）提供评标标准相应的商务技术资料。 </w:t>
      </w:r>
    </w:p>
    <w:p>
      <w:pPr>
        <w:snapToGrid w:val="0"/>
        <w:spacing w:line="360" w:lineRule="auto"/>
        <w:rPr>
          <w:rFonts w:ascii="宋体" w:hAnsi="宋体" w:cs="宋体"/>
          <w:b/>
          <w:color w:val="auto"/>
          <w:sz w:val="28"/>
          <w:szCs w:val="28"/>
          <w:highlight w:val="none"/>
        </w:rPr>
      </w:pPr>
      <w:r>
        <w:rPr>
          <w:rFonts w:hint="eastAsia" w:ascii="宋体" w:hAnsi="宋体" w:cs="宋体"/>
          <w:b/>
          <w:color w:val="auto"/>
          <w:sz w:val="32"/>
          <w:highlight w:val="none"/>
        </w:rPr>
        <w:t>一、评标方法</w:t>
      </w:r>
    </w:p>
    <w:p>
      <w:pPr>
        <w:adjustRightInd/>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1.本项目采用综合评分法。</w:t>
      </w:r>
      <w:r>
        <w:rPr>
          <w:rFonts w:hint="eastAsia" w:ascii="宋体" w:hAnsi="宋体" w:cs="宋体"/>
          <w:color w:val="auto"/>
          <w:kern w:val="0"/>
          <w:sz w:val="24"/>
          <w:highlight w:val="none"/>
        </w:rPr>
        <w:t>综合评分法，是指投标文件满足招标文件全部实质性要求，且按照评审因素的量化指标评审得分最高的投标人为中标候选人的评标方法。</w:t>
      </w:r>
    </w:p>
    <w:p>
      <w:pPr>
        <w:adjustRightInd/>
        <w:spacing w:line="360" w:lineRule="auto"/>
        <w:rPr>
          <w:rFonts w:ascii="宋体" w:hAnsi="宋体" w:cs="宋体"/>
          <w:color w:val="auto"/>
          <w:kern w:val="0"/>
          <w:sz w:val="24"/>
          <w:highlight w:val="none"/>
        </w:rPr>
      </w:pPr>
      <w:r>
        <w:rPr>
          <w:rFonts w:hint="eastAsia" w:ascii="宋体" w:hAnsi="宋体" w:cs="宋体"/>
          <w:b/>
          <w:color w:val="auto"/>
          <w:sz w:val="32"/>
          <w:highlight w:val="none"/>
        </w:rPr>
        <w:t>二、评标标准</w:t>
      </w:r>
    </w:p>
    <w:p>
      <w:pPr>
        <w:spacing w:line="360" w:lineRule="auto"/>
        <w:ind w:firstLine="472" w:firstLineChars="196"/>
        <w:rPr>
          <w:rFonts w:ascii="宋体" w:hAnsi="宋体" w:cs="宋体"/>
          <w:b/>
          <w:color w:val="auto"/>
          <w:sz w:val="24"/>
          <w:highlight w:val="none"/>
        </w:rPr>
      </w:pPr>
      <w:r>
        <w:rPr>
          <w:rFonts w:hint="eastAsia" w:ascii="宋体" w:hAnsi="宋体" w:cs="宋体"/>
          <w:b/>
          <w:color w:val="auto"/>
          <w:sz w:val="24"/>
          <w:highlight w:val="none"/>
        </w:rPr>
        <w:t>2.</w:t>
      </w:r>
      <w:r>
        <w:rPr>
          <w:rFonts w:hint="eastAsia" w:ascii="宋体" w:hAnsi="宋体" w:cs="宋体"/>
          <w:color w:val="auto"/>
          <w:highlight w:val="none"/>
        </w:rPr>
        <w:t xml:space="preserve"> </w:t>
      </w:r>
      <w:r>
        <w:rPr>
          <w:rFonts w:hint="eastAsia" w:ascii="宋体" w:hAnsi="宋体" w:cs="宋体"/>
          <w:b/>
          <w:color w:val="auto"/>
          <w:sz w:val="24"/>
          <w:highlight w:val="none"/>
        </w:rPr>
        <w:t>评标标准：</w:t>
      </w:r>
      <w:r>
        <w:rPr>
          <w:rFonts w:hint="eastAsia" w:ascii="宋体" w:hAnsi="宋体" w:cs="宋体"/>
          <w:color w:val="auto"/>
          <w:kern w:val="0"/>
          <w:sz w:val="24"/>
          <w:highlight w:val="none"/>
        </w:rPr>
        <w:t>见评标办法前附表。</w:t>
      </w:r>
    </w:p>
    <w:p>
      <w:pPr>
        <w:spacing w:line="360" w:lineRule="auto"/>
        <w:outlineLvl w:val="0"/>
        <w:rPr>
          <w:rFonts w:ascii="宋体" w:hAnsi="宋体" w:cs="宋体"/>
          <w:b/>
          <w:color w:val="auto"/>
          <w:sz w:val="36"/>
          <w:szCs w:val="36"/>
          <w:highlight w:val="none"/>
        </w:rPr>
      </w:pPr>
      <w:r>
        <w:rPr>
          <w:rFonts w:hint="eastAsia" w:ascii="宋体" w:hAnsi="宋体" w:cs="宋体"/>
          <w:b/>
          <w:color w:val="auto"/>
          <w:sz w:val="36"/>
          <w:szCs w:val="36"/>
          <w:highlight w:val="none"/>
        </w:rPr>
        <w:t>三、评标程序</w:t>
      </w:r>
    </w:p>
    <w:p>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3.1符合性审查。</w:t>
      </w:r>
      <w:r>
        <w:rPr>
          <w:rFonts w:hint="eastAsia" w:ascii="宋体" w:hAnsi="宋体" w:cs="宋体"/>
          <w:color w:val="auto"/>
          <w:kern w:val="0"/>
          <w:sz w:val="24"/>
          <w:highlight w:val="none"/>
        </w:rPr>
        <w:t>评标委员会应当对符合资格的投标人的投标文件进行符合性审查，以确定其是否满足招标文件的实质性要求。不满足招标文件的实质性要求的，投标无效。</w:t>
      </w:r>
    </w:p>
    <w:p>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3.2 比较与评价。</w:t>
      </w:r>
      <w:r>
        <w:rPr>
          <w:rFonts w:hint="eastAsia" w:ascii="宋体" w:hAnsi="宋体" w:cs="宋体"/>
          <w:color w:val="auto"/>
          <w:kern w:val="0"/>
          <w:sz w:val="24"/>
          <w:highlight w:val="none"/>
        </w:rPr>
        <w:t>评标委员会应当按照招标文件中规定的评标方法和标准，对符合性审查合格的投标文件进行商务和技术评估，综合比较与评价。</w:t>
      </w:r>
    </w:p>
    <w:p>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3.3汇总商务技术得分。</w:t>
      </w:r>
      <w:r>
        <w:rPr>
          <w:rFonts w:hint="eastAsia" w:ascii="宋体" w:hAnsi="宋体" w:cs="宋体"/>
          <w:color w:val="auto"/>
          <w:kern w:val="0"/>
          <w:sz w:val="24"/>
          <w:highlight w:val="none"/>
        </w:rPr>
        <w:t>评标委员会各成员应当独立对每个投标人的商务和技术文件进行评价，并汇总商务技术得分情况。</w:t>
      </w:r>
    </w:p>
    <w:p>
      <w:pPr>
        <w:spacing w:line="360" w:lineRule="auto"/>
        <w:ind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3.4报价评审。</w:t>
      </w:r>
    </w:p>
    <w:p>
      <w:pPr>
        <w:pStyle w:val="85"/>
        <w:spacing w:before="0"/>
        <w:ind w:firstLine="508" w:firstLineChars="212"/>
        <w:rPr>
          <w:rFonts w:ascii="宋体" w:hAnsi="宋体" w:cs="宋体"/>
          <w:color w:val="auto"/>
          <w:kern w:val="0"/>
          <w:highlight w:val="none"/>
        </w:rPr>
      </w:pPr>
      <w:r>
        <w:rPr>
          <w:rFonts w:hint="eastAsia" w:ascii="宋体" w:hAnsi="宋体" w:cs="宋体"/>
          <w:color w:val="auto"/>
          <w:kern w:val="0"/>
          <w:highlight w:val="none"/>
        </w:rPr>
        <w:t>3.4.1投标文件报价出现前后不一致的，按照下列规定修正：</w:t>
      </w:r>
    </w:p>
    <w:p>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3.4.1.1投标文件中开标一览表(报价表)内容与投标文件中相应内容不一致的，以开标一览表(报价表)为准;</w:t>
      </w:r>
    </w:p>
    <w:p>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3.4.1.2大写金额和小写金额不一致的，以大写金额为准;</w:t>
      </w:r>
    </w:p>
    <w:p>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3.4.1.3单价金额小数点或者百分比有明显错位的，以开标一览表的总价为准，并修改单价;</w:t>
      </w:r>
    </w:p>
    <w:p>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3.4.1.4总价金额与按单价汇总金额不一致的，以单价金额计算结果为准。</w:t>
      </w:r>
    </w:p>
    <w:p>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3.4.1.5同时出现两种以上不一致的，按照3.4.1规定的顺序修正。修正后的报价按照财政部第87号令 《政府采购货物和服务招标投标管理办法》第五十一条第二款的规定经投标人确认后产生约束力。</w:t>
      </w:r>
    </w:p>
    <w:p>
      <w:pPr>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3.4.2投标文件出现不是唯一的、有选择性投标报价的，投标无效。</w:t>
      </w:r>
    </w:p>
    <w:p>
      <w:pPr>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3.4.3投标报价超过招标文件中规定的预算金额或者最高限价的，投标无效。</w:t>
      </w:r>
    </w:p>
    <w:p>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pPr>
        <w:pStyle w:val="85"/>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3.4.5对于未预留份额专门面向中小企业的政府采购货物项目，以及预留份额政府采购货物项目中的非预留部分标项，对小型和微型企业的投标报价给予10%-</w:t>
      </w:r>
      <w:r>
        <w:rPr>
          <w:rFonts w:ascii="宋体" w:hAnsi="宋体" w:cs="宋体"/>
          <w:color w:val="auto"/>
          <w:kern w:val="0"/>
          <w:szCs w:val="24"/>
          <w:highlight w:val="none"/>
        </w:rPr>
        <w:t>20</w:t>
      </w:r>
      <w:r>
        <w:rPr>
          <w:rFonts w:hint="eastAsia" w:ascii="宋体" w:hAnsi="宋体" w:cs="宋体"/>
          <w:color w:val="auto"/>
          <w:kern w:val="0"/>
          <w:szCs w:val="24"/>
          <w:highlight w:val="none"/>
        </w:rPr>
        <w:t>%的扣除，用扣除后的价格参与评审。接受大中型企业与小微企业组成联合体或者允许大中型企业向一家或者多家小微企业分包的政府采购货物项目，对于联合协议或者分包意向协议约定小微企业的合同份额占到合同总金额30%以上的，对联合体或者大中型企业的报价给予4%-</w:t>
      </w:r>
      <w:r>
        <w:rPr>
          <w:rFonts w:ascii="宋体" w:hAnsi="宋体" w:cs="宋体"/>
          <w:color w:val="auto"/>
          <w:kern w:val="0"/>
          <w:szCs w:val="24"/>
          <w:highlight w:val="none"/>
        </w:rPr>
        <w:t>6</w:t>
      </w:r>
      <w:r>
        <w:rPr>
          <w:rFonts w:hint="eastAsia" w:ascii="宋体" w:hAnsi="宋体" w:cs="宋体"/>
          <w:color w:val="auto"/>
          <w:kern w:val="0"/>
          <w:szCs w:val="24"/>
          <w:highlight w:val="none"/>
        </w:rPr>
        <w:t>%的扣除，用扣除后的价格参加评审。组成联合体或者接受分包的小微企业与联合体内其他企业、分包企业之间存在直接控股、管理关系的，不享受价格扣除优惠政策。</w:t>
      </w:r>
    </w:p>
    <w:p>
      <w:pPr>
        <w:spacing w:line="360" w:lineRule="auto"/>
        <w:ind w:firstLine="482" w:firstLineChars="200"/>
        <w:rPr>
          <w:rFonts w:ascii="宋体" w:hAnsi="宋体" w:cs="宋体"/>
          <w:color w:val="auto"/>
          <w:kern w:val="0"/>
          <w:sz w:val="24"/>
          <w:highlight w:val="none"/>
        </w:rPr>
      </w:pPr>
      <w:r>
        <w:rPr>
          <w:rFonts w:hint="eastAsia" w:ascii="宋体" w:hAnsi="宋体" w:cs="宋体"/>
          <w:b/>
          <w:color w:val="auto"/>
          <w:kern w:val="0"/>
          <w:sz w:val="24"/>
          <w:highlight w:val="none"/>
        </w:rPr>
        <w:t>3.5排序与推荐。</w:t>
      </w:r>
      <w:r>
        <w:rPr>
          <w:rFonts w:hint="eastAsia" w:ascii="宋体" w:hAnsi="宋体" w:cs="宋体"/>
          <w:color w:val="auto"/>
          <w:kern w:val="0"/>
          <w:sz w:val="24"/>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480" w:firstLineChars="200"/>
        <w:rPr>
          <w:rFonts w:ascii="宋体" w:hAnsi="宋体" w:cs="宋体"/>
          <w:b/>
          <w:color w:val="auto"/>
          <w:kern w:val="0"/>
          <w:sz w:val="24"/>
          <w:highlight w:val="none"/>
        </w:rPr>
      </w:pPr>
      <w:r>
        <w:rPr>
          <w:rFonts w:hint="eastAsia" w:ascii="宋体" w:hAnsi="宋体" w:cs="宋体"/>
          <w:color w:val="auto"/>
          <w:kern w:val="0"/>
          <w:sz w:val="24"/>
          <w:highlight w:val="none"/>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3.6编写评标报告。</w:t>
      </w:r>
      <w:r>
        <w:rPr>
          <w:rFonts w:hint="eastAsia" w:ascii="宋体" w:hAnsi="宋体" w:cs="宋体"/>
          <w:color w:val="auto"/>
          <w:kern w:val="0"/>
          <w:sz w:val="24"/>
          <w:highlight w:val="none"/>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pPr>
        <w:widowControl/>
        <w:shd w:val="clear" w:color="auto" w:fill="FFFFFF"/>
        <w:adjustRightInd/>
        <w:spacing w:after="225" w:line="315" w:lineRule="atLeast"/>
        <w:jc w:val="left"/>
        <w:rPr>
          <w:rFonts w:ascii="宋体" w:hAnsi="宋体" w:cs="宋体"/>
          <w:b/>
          <w:color w:val="auto"/>
          <w:sz w:val="32"/>
          <w:highlight w:val="none"/>
        </w:rPr>
      </w:pPr>
      <w:r>
        <w:rPr>
          <w:rFonts w:hint="eastAsia" w:ascii="宋体" w:hAnsi="宋体" w:cs="宋体"/>
          <w:b/>
          <w:color w:val="auto"/>
          <w:sz w:val="32"/>
          <w:highlight w:val="none"/>
        </w:rPr>
        <w:t>四、评标中的其他事项</w:t>
      </w:r>
    </w:p>
    <w:p>
      <w:pPr>
        <w:pStyle w:val="85"/>
        <w:spacing w:before="0"/>
        <w:ind w:firstLine="472" w:firstLineChars="196"/>
        <w:rPr>
          <w:rFonts w:ascii="宋体" w:hAnsi="宋体" w:cs="宋体"/>
          <w:color w:val="auto"/>
          <w:kern w:val="0"/>
          <w:szCs w:val="24"/>
          <w:highlight w:val="none"/>
        </w:rPr>
      </w:pPr>
      <w:r>
        <w:rPr>
          <w:rFonts w:hint="eastAsia" w:ascii="宋体" w:hAnsi="宋体" w:cs="宋体"/>
          <w:b/>
          <w:color w:val="auto"/>
          <w:kern w:val="0"/>
          <w:szCs w:val="24"/>
          <w:highlight w:val="none"/>
        </w:rPr>
        <w:t>4.1投标人澄清、说明或者补正。</w:t>
      </w:r>
      <w:r>
        <w:rPr>
          <w:rFonts w:hint="eastAsia" w:ascii="宋体" w:hAnsi="宋体" w:cs="宋体"/>
          <w:color w:val="auto"/>
          <w:kern w:val="0"/>
          <w:szCs w:val="24"/>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pPr>
        <w:pStyle w:val="26"/>
        <w:spacing w:line="360" w:lineRule="auto"/>
        <w:ind w:left="954" w:leftChars="226" w:hanging="479" w:firstLineChars="0"/>
        <w:rPr>
          <w:rFonts w:cs="宋体"/>
          <w:color w:val="auto"/>
          <w:szCs w:val="21"/>
          <w:highlight w:val="none"/>
        </w:rPr>
      </w:pPr>
      <w:r>
        <w:rPr>
          <w:rFonts w:hint="eastAsia" w:cs="宋体"/>
          <w:b/>
          <w:color w:val="auto"/>
          <w:kern w:val="0"/>
          <w:highlight w:val="none"/>
        </w:rPr>
        <w:t>4.2投标无效。</w:t>
      </w:r>
      <w:r>
        <w:rPr>
          <w:rFonts w:hint="eastAsia" w:cs="宋体"/>
          <w:color w:val="auto"/>
          <w:szCs w:val="21"/>
          <w:highlight w:val="none"/>
        </w:rPr>
        <w:t>有下列情形之一的，投标无效：</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4.2.1投标人不具备招标文件中规定的资格要求的（投标人未提供有效的资格文件的，视为投标人不具备招标文件中规定的资格要求）；</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4.2.2投标文件未按照招标文件要求签署、盖章的；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4.2.3采购人拟采购的产品属于政府强制采购的节能产品品目清单范围的，投标人相应的投标产品未获得国家确定的认证机构出具的、处于有效期之内的节能产品认证证书的；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4.2.4投标文件含有采购人不能接受的附加条件的；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4.2.5投标文件中承诺的投标有效期少于招标文件中载明的投标有效期的；</w:t>
      </w:r>
    </w:p>
    <w:p>
      <w:pPr>
        <w:snapToGrid w:val="0"/>
        <w:spacing w:line="360" w:lineRule="auto"/>
        <w:ind w:firstLine="120" w:firstLineChars="5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4.2.6投标文件出现不是唯一的、有选择性投标报价的;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4.2.7投标报价超过招标文件中规定的预算金额或者最高限价的;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4.2.8报价明显低于其他通过符合性审查投标人的报价，有可能影响产品质量或者不能诚信履约的，未能按要求提供书面说明或者提交相关证明材料，不能证明其报价合理性的;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4.2.9投标人对根据修正原则修正后的报价不确认的；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4.2.10投标人提供虚假材料投标的；</w:t>
      </w:r>
    </w:p>
    <w:p>
      <w:pPr>
        <w:spacing w:line="360" w:lineRule="auto"/>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 xml:space="preserve">  4.2.11投标人有恶意串通、妨碍其他投标人的竞争行为、损害采购人或者其他投标人的合法权益情形的；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4.2.12投标人仅提交备份投标文件，未在电子交易平台传输递交投标文件的，投标无效；</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4.2.13投标人未提供样品或提供的样品不满足采购需求实质性条件的，投标无效；</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4.2.14 投标文件不满足招标文件的其它实质性要求的；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4.2.15法律、法规、规章（适用本市的）及省级以上规范性文件（适用本市的）规定的其他无效情形。</w:t>
      </w:r>
    </w:p>
    <w:p>
      <w:pPr>
        <w:pStyle w:val="26"/>
        <w:snapToGrid w:val="0"/>
        <w:spacing w:line="360" w:lineRule="auto"/>
        <w:ind w:firstLine="472" w:firstLineChars="196"/>
        <w:rPr>
          <w:rFonts w:cs="宋体"/>
          <w:color w:val="auto"/>
          <w:highlight w:val="none"/>
        </w:rPr>
      </w:pPr>
      <w:r>
        <w:rPr>
          <w:rFonts w:hint="eastAsia" w:cs="宋体"/>
          <w:b/>
          <w:color w:val="auto"/>
          <w:highlight w:val="none"/>
        </w:rPr>
        <w:t>5.废标。</w:t>
      </w:r>
      <w:r>
        <w:rPr>
          <w:rFonts w:hint="eastAsia" w:cs="宋体"/>
          <w:color w:val="auto"/>
          <w:highlight w:val="none"/>
        </w:rPr>
        <w:t>根据《中华人民共和国政府采购法》第三十六条之规定，在采购中，出现下列情形之一的，应予废标：</w:t>
      </w:r>
    </w:p>
    <w:p>
      <w:pPr>
        <w:pStyle w:val="26"/>
        <w:snapToGrid w:val="0"/>
        <w:spacing w:line="360" w:lineRule="auto"/>
        <w:rPr>
          <w:rFonts w:cs="宋体"/>
          <w:color w:val="auto"/>
          <w:highlight w:val="none"/>
        </w:rPr>
      </w:pPr>
      <w:r>
        <w:rPr>
          <w:rFonts w:hint="eastAsia" w:cs="宋体"/>
          <w:color w:val="auto"/>
          <w:highlight w:val="none"/>
        </w:rPr>
        <w:t>5.1符合专业条件的供应商或者对招标文件作实质响应的供应商不足3家的；</w:t>
      </w:r>
    </w:p>
    <w:p>
      <w:pPr>
        <w:pStyle w:val="26"/>
        <w:snapToGrid w:val="0"/>
        <w:spacing w:line="360" w:lineRule="auto"/>
        <w:rPr>
          <w:rFonts w:cs="宋体"/>
          <w:color w:val="auto"/>
          <w:highlight w:val="none"/>
        </w:rPr>
      </w:pPr>
      <w:r>
        <w:rPr>
          <w:rFonts w:hint="eastAsia" w:cs="宋体"/>
          <w:color w:val="auto"/>
          <w:highlight w:val="none"/>
        </w:rPr>
        <w:t>5.2出现影响采购公正的违法、违规行为的；</w:t>
      </w:r>
    </w:p>
    <w:p>
      <w:pPr>
        <w:pStyle w:val="26"/>
        <w:snapToGrid w:val="0"/>
        <w:spacing w:line="360" w:lineRule="auto"/>
        <w:rPr>
          <w:rFonts w:cs="宋体"/>
          <w:color w:val="auto"/>
          <w:highlight w:val="none"/>
        </w:rPr>
      </w:pPr>
      <w:r>
        <w:rPr>
          <w:rFonts w:hint="eastAsia" w:cs="宋体"/>
          <w:color w:val="auto"/>
          <w:highlight w:val="none"/>
        </w:rPr>
        <w:t>5.3投标人的报价均超过了采购预算，采购人不能支付的；</w:t>
      </w:r>
    </w:p>
    <w:p>
      <w:pPr>
        <w:pStyle w:val="26"/>
        <w:snapToGrid w:val="0"/>
        <w:spacing w:line="360" w:lineRule="auto"/>
        <w:rPr>
          <w:rFonts w:cs="宋体"/>
          <w:color w:val="auto"/>
          <w:highlight w:val="none"/>
        </w:rPr>
      </w:pPr>
      <w:r>
        <w:rPr>
          <w:rFonts w:hint="eastAsia" w:cs="宋体"/>
          <w:color w:val="auto"/>
          <w:highlight w:val="none"/>
        </w:rPr>
        <w:t>5.4因重大变故，采购任务取消的。</w:t>
      </w:r>
    </w:p>
    <w:p>
      <w:pPr>
        <w:pStyle w:val="26"/>
        <w:snapToGrid w:val="0"/>
        <w:spacing w:line="360" w:lineRule="auto"/>
        <w:rPr>
          <w:rFonts w:cs="宋体"/>
          <w:color w:val="auto"/>
          <w:highlight w:val="none"/>
        </w:rPr>
      </w:pPr>
      <w:r>
        <w:rPr>
          <w:rFonts w:hint="eastAsia" w:cs="宋体"/>
          <w:color w:val="auto"/>
          <w:highlight w:val="none"/>
        </w:rPr>
        <w:t>废标后，采购机构应当将废标理由通知所有投标人。</w:t>
      </w:r>
    </w:p>
    <w:p>
      <w:pPr>
        <w:pStyle w:val="26"/>
        <w:snapToGrid w:val="0"/>
        <w:spacing w:line="360" w:lineRule="auto"/>
        <w:ind w:firstLine="590" w:firstLineChars="245"/>
        <w:rPr>
          <w:rFonts w:cs="宋体"/>
          <w:color w:val="auto"/>
          <w:highlight w:val="none"/>
        </w:rPr>
      </w:pPr>
      <w:r>
        <w:rPr>
          <w:rFonts w:hint="eastAsia" w:cs="宋体"/>
          <w:b/>
          <w:color w:val="auto"/>
          <w:highlight w:val="none"/>
        </w:rPr>
        <w:t>6.修改招标文件，重新组织采购活动。</w:t>
      </w:r>
      <w:r>
        <w:rPr>
          <w:rFonts w:hint="eastAsia" w:cs="宋体"/>
          <w:color w:val="auto"/>
          <w:highlight w:val="none"/>
        </w:rPr>
        <w:t>评标委员会发现招标文件存在歧义、重大缺陷导致评标工作无法进行，或者招标文件内容违反国家有关强制性规定的，将停止评标工作，并与采购人、采购机构沟通并作书面记录。采购人、采购机构确认后，将修改招标文件，重新组织采购活动。</w:t>
      </w:r>
    </w:p>
    <w:p>
      <w:pPr>
        <w:pStyle w:val="26"/>
        <w:snapToGrid w:val="0"/>
        <w:spacing w:line="360" w:lineRule="auto"/>
        <w:ind w:firstLine="482"/>
        <w:rPr>
          <w:rFonts w:cs="宋体"/>
          <w:color w:val="auto"/>
          <w:highlight w:val="none"/>
        </w:rPr>
      </w:pPr>
      <w:r>
        <w:rPr>
          <w:rFonts w:hint="eastAsia" w:cs="宋体"/>
          <w:b/>
          <w:color w:val="auto"/>
          <w:kern w:val="0"/>
          <w:highlight w:val="none"/>
        </w:rPr>
        <w:t>7.重新开展采购。</w:t>
      </w:r>
      <w:r>
        <w:rPr>
          <w:rFonts w:hint="eastAsia" w:cs="宋体"/>
          <w:color w:val="auto"/>
          <w:highlight w:val="none"/>
        </w:rPr>
        <w:t>有政府采购法第七十一条、第七十二条规定的违法行为之一，影响或者可能影响中标结果的，依照下列规定处理：</w:t>
      </w:r>
    </w:p>
    <w:p>
      <w:pPr>
        <w:pStyle w:val="26"/>
        <w:snapToGrid w:val="0"/>
        <w:spacing w:line="360" w:lineRule="auto"/>
        <w:rPr>
          <w:rFonts w:cs="宋体"/>
          <w:color w:val="auto"/>
          <w:highlight w:val="none"/>
        </w:rPr>
      </w:pPr>
      <w:r>
        <w:rPr>
          <w:rFonts w:hint="eastAsia" w:cs="宋体"/>
          <w:color w:val="auto"/>
          <w:highlight w:val="none"/>
        </w:rPr>
        <w:t>7.1未确定中标供应商的，终止本次政府采购活动，重新开展政府采购活动。</w:t>
      </w:r>
    </w:p>
    <w:p>
      <w:pPr>
        <w:pStyle w:val="26"/>
        <w:snapToGrid w:val="0"/>
        <w:spacing w:line="360" w:lineRule="auto"/>
        <w:rPr>
          <w:rFonts w:cs="宋体"/>
          <w:color w:val="auto"/>
          <w:highlight w:val="none"/>
        </w:rPr>
      </w:pPr>
      <w:r>
        <w:rPr>
          <w:rFonts w:hint="eastAsia" w:cs="宋体"/>
          <w:color w:val="auto"/>
          <w:highlight w:val="none"/>
        </w:rPr>
        <w:t>7.2已确定中标供应商但尚未签订政府采购合同的，中标结果无效，从合格的中标候选人中另行确定中标供应商；没有合格的中标候选人的，重新开展政府采购活动。</w:t>
      </w:r>
    </w:p>
    <w:p>
      <w:pPr>
        <w:pStyle w:val="26"/>
        <w:snapToGrid w:val="0"/>
        <w:spacing w:line="360" w:lineRule="auto"/>
        <w:rPr>
          <w:rFonts w:cs="宋体"/>
          <w:color w:val="auto"/>
          <w:highlight w:val="none"/>
        </w:rPr>
      </w:pPr>
      <w:r>
        <w:rPr>
          <w:rFonts w:hint="eastAsia" w:cs="宋体"/>
          <w:color w:val="auto"/>
          <w:highlight w:val="none"/>
        </w:rPr>
        <w:t>7.3政府采购合同已签订但尚未履行的，撤销合同，从合格的中标候选人中另行确定中标供应商；没有合格的中标候选人的，重新开展政府采购活动。</w:t>
      </w:r>
    </w:p>
    <w:p>
      <w:pPr>
        <w:pStyle w:val="26"/>
        <w:snapToGrid w:val="0"/>
        <w:spacing w:line="360" w:lineRule="auto"/>
        <w:rPr>
          <w:rFonts w:cs="宋体"/>
          <w:color w:val="auto"/>
          <w:highlight w:val="none"/>
        </w:rPr>
      </w:pPr>
      <w:r>
        <w:rPr>
          <w:rFonts w:hint="eastAsia" w:cs="宋体"/>
          <w:color w:val="auto"/>
          <w:highlight w:val="none"/>
        </w:rPr>
        <w:t>7.4政府采购合同已经履行，给采购人、供应商造成损失的，由责任人承担赔偿责任。</w:t>
      </w:r>
    </w:p>
    <w:p>
      <w:pPr>
        <w:pStyle w:val="26"/>
        <w:snapToGrid w:val="0"/>
        <w:spacing w:line="360" w:lineRule="auto"/>
        <w:rPr>
          <w:rFonts w:cs="宋体"/>
          <w:color w:val="auto"/>
          <w:highlight w:val="none"/>
        </w:rPr>
      </w:pPr>
      <w:r>
        <w:rPr>
          <w:rFonts w:hint="eastAsia" w:cs="宋体"/>
          <w:color w:val="auto"/>
          <w:highlight w:val="none"/>
        </w:rPr>
        <w:t>7.5政府采购当事人有其他违反政府采购法或者政府采购法实施条例等法律法规规定的行为，经改正后仍然影响或者可能影响中标结果或者依法被认定为中标无效的，依照7.1-7.4规定处理。</w:t>
      </w:r>
    </w:p>
    <w:p>
      <w:pPr>
        <w:pStyle w:val="26"/>
        <w:snapToGrid w:val="0"/>
        <w:spacing w:line="360" w:lineRule="auto"/>
        <w:ind w:firstLine="0" w:firstLineChars="0"/>
        <w:rPr>
          <w:rFonts w:cs="宋体"/>
          <w:color w:val="auto"/>
          <w:highlight w:val="none"/>
        </w:rPr>
      </w:pPr>
    </w:p>
    <w:bookmarkEnd w:id="30"/>
    <w:p>
      <w:pPr>
        <w:spacing w:line="360" w:lineRule="auto"/>
        <w:ind w:left="720" w:leftChars="343" w:firstLine="1084" w:firstLineChars="300"/>
        <w:outlineLvl w:val="0"/>
        <w:rPr>
          <w:rFonts w:ascii="宋体" w:hAnsi="宋体" w:cs="宋体"/>
          <w:b/>
          <w:color w:val="auto"/>
          <w:sz w:val="36"/>
          <w:szCs w:val="36"/>
          <w:highlight w:val="none"/>
        </w:rPr>
      </w:pPr>
      <w:bookmarkStart w:id="396" w:name="第五部分"/>
      <w:bookmarkStart w:id="397" w:name="_Toc86217003"/>
    </w:p>
    <w:p>
      <w:pPr>
        <w:spacing w:line="360" w:lineRule="auto"/>
        <w:ind w:left="720" w:leftChars="343" w:firstLine="1084" w:firstLineChars="300"/>
        <w:outlineLvl w:val="0"/>
        <w:rPr>
          <w:rFonts w:ascii="宋体" w:hAnsi="宋体" w:cs="宋体"/>
          <w:b/>
          <w:color w:val="auto"/>
          <w:sz w:val="36"/>
          <w:szCs w:val="36"/>
          <w:highlight w:val="none"/>
        </w:rPr>
      </w:pPr>
      <w:r>
        <w:rPr>
          <w:rFonts w:hint="eastAsia" w:ascii="宋体" w:hAnsi="宋体" w:cs="宋体"/>
          <w:b/>
          <w:color w:val="auto"/>
          <w:sz w:val="36"/>
          <w:szCs w:val="36"/>
          <w:highlight w:val="none"/>
        </w:rPr>
        <w:t xml:space="preserve">    </w:t>
      </w:r>
    </w:p>
    <w:p>
      <w:pPr>
        <w:spacing w:line="360" w:lineRule="auto"/>
        <w:ind w:left="720" w:leftChars="343" w:firstLine="1084" w:firstLineChars="300"/>
        <w:outlineLvl w:val="0"/>
        <w:rPr>
          <w:rFonts w:hint="eastAsia" w:ascii="宋体" w:hAnsi="宋体" w:cs="宋体"/>
          <w:b/>
          <w:color w:val="auto"/>
          <w:sz w:val="36"/>
          <w:szCs w:val="36"/>
          <w:highlight w:val="none"/>
        </w:rPr>
      </w:pPr>
      <w:r>
        <w:rPr>
          <w:rFonts w:hint="eastAsia" w:ascii="宋体" w:hAnsi="宋体" w:cs="宋体"/>
          <w:b/>
          <w:color w:val="auto"/>
          <w:sz w:val="36"/>
          <w:szCs w:val="36"/>
          <w:highlight w:val="none"/>
        </w:rPr>
        <w:br w:type="page"/>
      </w:r>
    </w:p>
    <w:p>
      <w:pPr>
        <w:spacing w:line="360" w:lineRule="auto"/>
        <w:ind w:left="720" w:leftChars="343" w:firstLine="1084" w:firstLineChars="300"/>
        <w:outlineLvl w:val="0"/>
        <w:rPr>
          <w:rFonts w:ascii="宋体" w:hAnsi="宋体" w:cs="宋体"/>
          <w:b/>
          <w:color w:val="auto"/>
          <w:sz w:val="36"/>
          <w:szCs w:val="36"/>
          <w:highlight w:val="none"/>
        </w:rPr>
      </w:pPr>
      <w:r>
        <w:rPr>
          <w:rFonts w:hint="eastAsia" w:ascii="宋体" w:hAnsi="宋体" w:cs="宋体"/>
          <w:b/>
          <w:color w:val="auto"/>
          <w:sz w:val="36"/>
          <w:szCs w:val="36"/>
          <w:highlight w:val="none"/>
        </w:rPr>
        <w:t>第五部分 拟签订的合同文本</w:t>
      </w:r>
    </w:p>
    <w:p>
      <w:pPr>
        <w:rPr>
          <w:rFonts w:ascii="宋体" w:hAnsi="宋体" w:cs="宋体"/>
          <w:color w:val="auto"/>
          <w:sz w:val="24"/>
          <w:highlight w:val="none"/>
          <w:u w:val="single"/>
        </w:rPr>
      </w:pPr>
      <w:r>
        <w:rPr>
          <w:rFonts w:hint="eastAsia" w:ascii="宋体" w:hAnsi="宋体" w:cs="宋体"/>
          <w:color w:val="auto"/>
          <w:sz w:val="24"/>
          <w:highlight w:val="none"/>
        </w:rPr>
        <w:t>合同编号：</w:t>
      </w:r>
      <w:r>
        <w:rPr>
          <w:rFonts w:hint="eastAsia" w:ascii="宋体" w:hAnsi="宋体" w:cs="宋体"/>
          <w:color w:val="auto"/>
          <w:sz w:val="24"/>
          <w:highlight w:val="none"/>
          <w:u w:val="single"/>
        </w:rPr>
        <w:t xml:space="preserve">           </w:t>
      </w:r>
    </w:p>
    <w:p>
      <w:pPr>
        <w:spacing w:line="480" w:lineRule="auto"/>
        <w:jc w:val="center"/>
        <w:rPr>
          <w:rFonts w:ascii="宋体" w:hAnsi="宋体" w:cs="宋体"/>
          <w:b/>
          <w:color w:val="auto"/>
          <w:sz w:val="28"/>
          <w:szCs w:val="28"/>
          <w:highlight w:val="none"/>
        </w:rPr>
      </w:pPr>
    </w:p>
    <w:p>
      <w:pPr>
        <w:spacing w:line="480" w:lineRule="auto"/>
        <w:jc w:val="center"/>
        <w:rPr>
          <w:rFonts w:ascii="宋体" w:hAnsi="宋体" w:cs="宋体"/>
          <w:b/>
          <w:color w:val="auto"/>
          <w:sz w:val="24"/>
          <w:highlight w:val="none"/>
        </w:rPr>
      </w:pPr>
    </w:p>
    <w:p>
      <w:pPr>
        <w:spacing w:line="480" w:lineRule="auto"/>
        <w:jc w:val="center"/>
        <w:rPr>
          <w:rFonts w:ascii="宋体" w:hAnsi="宋体" w:cs="宋体"/>
          <w:b/>
          <w:color w:val="auto"/>
          <w:sz w:val="24"/>
          <w:highlight w:val="none"/>
        </w:rPr>
      </w:pPr>
    </w:p>
    <w:p>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政府采购合同参考范本</w:t>
      </w:r>
    </w:p>
    <w:p>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（货物类）</w:t>
      </w:r>
    </w:p>
    <w:p>
      <w:pPr>
        <w:pStyle w:val="384"/>
        <w:jc w:val="center"/>
        <w:rPr>
          <w:rFonts w:ascii="宋体" w:hAnsi="宋体" w:cs="宋体"/>
          <w:color w:val="auto"/>
          <w:szCs w:val="24"/>
          <w:highlight w:val="none"/>
        </w:rPr>
      </w:pPr>
    </w:p>
    <w:p>
      <w:pPr>
        <w:pStyle w:val="384"/>
        <w:ind w:firstLine="2843" w:firstLineChars="1180"/>
        <w:rPr>
          <w:rFonts w:ascii="宋体" w:hAnsi="宋体" w:cs="宋体"/>
          <w:b/>
          <w:color w:val="auto"/>
          <w:szCs w:val="24"/>
          <w:highlight w:val="none"/>
        </w:rPr>
      </w:pPr>
      <w:r>
        <w:rPr>
          <w:rFonts w:hint="eastAsia" w:ascii="宋体" w:hAnsi="宋体" w:cs="宋体"/>
          <w:b/>
          <w:color w:val="auto"/>
          <w:szCs w:val="24"/>
          <w:highlight w:val="none"/>
        </w:rPr>
        <w:t>第一部分 合同书</w:t>
      </w:r>
    </w:p>
    <w:p>
      <w:pPr>
        <w:pStyle w:val="384"/>
        <w:rPr>
          <w:rFonts w:ascii="宋体" w:hAnsi="宋体" w:cs="宋体"/>
          <w:color w:val="auto"/>
          <w:szCs w:val="24"/>
          <w:highlight w:val="none"/>
        </w:rPr>
      </w:pPr>
    </w:p>
    <w:p>
      <w:pPr>
        <w:pStyle w:val="384"/>
        <w:rPr>
          <w:rFonts w:ascii="宋体" w:hAnsi="宋体" w:cs="宋体"/>
          <w:color w:val="auto"/>
          <w:szCs w:val="24"/>
          <w:highlight w:val="none"/>
        </w:rPr>
      </w:pPr>
    </w:p>
    <w:p>
      <w:pPr>
        <w:spacing w:before="120" w:line="22" w:lineRule="atLeast"/>
        <w:rPr>
          <w:rFonts w:ascii="宋体" w:hAnsi="宋体" w:cs="宋体"/>
          <w:color w:val="auto"/>
          <w:sz w:val="24"/>
          <w:highlight w:val="none"/>
        </w:rPr>
      </w:pPr>
    </w:p>
    <w:p>
      <w:pPr>
        <w:spacing w:before="120" w:line="22" w:lineRule="atLeast"/>
        <w:ind w:left="960"/>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pPr>
        <w:pStyle w:val="281"/>
        <w:spacing w:before="120" w:line="22" w:lineRule="atLeast"/>
        <w:rPr>
          <w:rFonts w:ascii="宋体" w:hAnsi="宋体" w:eastAsia="宋体" w:cs="宋体"/>
          <w:color w:val="auto"/>
          <w:szCs w:val="24"/>
          <w:highlight w:val="none"/>
        </w:rPr>
      </w:pPr>
    </w:p>
    <w:p>
      <w:pPr>
        <w:pStyle w:val="281"/>
        <w:spacing w:before="120" w:line="22" w:lineRule="atLeast"/>
        <w:rPr>
          <w:rFonts w:ascii="宋体" w:hAnsi="宋体" w:eastAsia="宋体" w:cs="宋体"/>
          <w:color w:val="auto"/>
          <w:szCs w:val="24"/>
          <w:highlight w:val="none"/>
        </w:rPr>
      </w:pPr>
    </w:p>
    <w:p>
      <w:pPr>
        <w:rPr>
          <w:rFonts w:ascii="宋体" w:hAnsi="宋体" w:cs="宋体"/>
          <w:color w:val="auto"/>
          <w:sz w:val="24"/>
          <w:highlight w:val="none"/>
        </w:rPr>
      </w:pPr>
    </w:p>
    <w:p>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甲方：</w:t>
      </w:r>
      <w:r>
        <w:rPr>
          <w:rFonts w:hint="eastAsia" w:ascii="宋体" w:hAnsi="宋体" w:cs="宋体"/>
          <w:color w:val="auto"/>
          <w:sz w:val="24"/>
          <w:highlight w:val="none"/>
          <w:u w:val="single"/>
        </w:rPr>
        <w:t xml:space="preserve">                                       </w:t>
      </w:r>
    </w:p>
    <w:p>
      <w:pPr>
        <w:spacing w:before="120" w:line="22" w:lineRule="atLeast"/>
        <w:rPr>
          <w:rFonts w:ascii="宋体" w:hAnsi="宋体" w:cs="宋体"/>
          <w:color w:val="auto"/>
          <w:sz w:val="24"/>
          <w:highlight w:val="none"/>
        </w:rPr>
      </w:pPr>
    </w:p>
    <w:p>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乙方：</w:t>
      </w:r>
      <w:r>
        <w:rPr>
          <w:rFonts w:hint="eastAsia" w:ascii="宋体" w:hAnsi="宋体" w:cs="宋体"/>
          <w:color w:val="auto"/>
          <w:sz w:val="24"/>
          <w:highlight w:val="none"/>
          <w:u w:val="single"/>
        </w:rPr>
        <w:t xml:space="preserve">                                       </w:t>
      </w:r>
    </w:p>
    <w:p>
      <w:pPr>
        <w:spacing w:before="120" w:line="22" w:lineRule="atLeast"/>
        <w:rPr>
          <w:rFonts w:ascii="宋体" w:hAnsi="宋体" w:cs="宋体"/>
          <w:color w:val="auto"/>
          <w:sz w:val="24"/>
          <w:highlight w:val="none"/>
        </w:rPr>
      </w:pPr>
    </w:p>
    <w:p>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签订地：</w:t>
      </w:r>
      <w:r>
        <w:rPr>
          <w:rFonts w:hint="eastAsia" w:ascii="宋体" w:hAnsi="宋体" w:cs="宋体"/>
          <w:color w:val="auto"/>
          <w:sz w:val="24"/>
          <w:highlight w:val="none"/>
          <w:u w:val="single"/>
        </w:rPr>
        <w:t xml:space="preserve">                                     </w:t>
      </w:r>
    </w:p>
    <w:p>
      <w:pPr>
        <w:spacing w:before="120" w:line="22" w:lineRule="atLeast"/>
        <w:rPr>
          <w:rFonts w:ascii="宋体" w:hAnsi="宋体" w:cs="宋体"/>
          <w:color w:val="auto"/>
          <w:sz w:val="24"/>
          <w:highlight w:val="none"/>
        </w:rPr>
      </w:pPr>
    </w:p>
    <w:p>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pPr>
        <w:widowControl/>
        <w:jc w:val="left"/>
        <w:rPr>
          <w:rFonts w:ascii="宋体" w:hAnsi="宋体" w:cs="宋体"/>
          <w:color w:val="auto"/>
          <w:kern w:val="0"/>
          <w:sz w:val="24"/>
          <w:highlight w:val="none"/>
        </w:rPr>
        <w:sectPr>
          <w:pgSz w:w="11907" w:h="16840"/>
          <w:pgMar w:top="1474" w:right="1814" w:bottom="1474" w:left="1814" w:header="851" w:footer="851" w:gutter="0"/>
          <w:cols w:space="720" w:num="1"/>
        </w:sectPr>
      </w:pP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（采购人）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（政府采购方式）  </w:t>
      </w:r>
      <w:r>
        <w:rPr>
          <w:rFonts w:hint="eastAsia" w:ascii="宋体" w:hAnsi="宋体" w:cs="宋体"/>
          <w:color w:val="auto"/>
          <w:sz w:val="24"/>
          <w:highlight w:val="none"/>
        </w:rPr>
        <w:t>对</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（相关评定主体名称）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（中标供应商名称）</w:t>
      </w:r>
      <w:r>
        <w:rPr>
          <w:rFonts w:hint="eastAsia" w:ascii="宋体" w:hAnsi="宋体" w:cs="宋体"/>
          <w:color w:val="auto"/>
          <w:sz w:val="24"/>
          <w:highlight w:val="none"/>
        </w:rPr>
        <w:t>为该项目中标供应商。现于中标通知书发出之日起10个工作日内，按照采购文件确定的事项签订本合同。</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根据《中华人民共和国民法典》《中华人民共和国政府采购法》等相关法律法规之规定，按照平等、自愿、公平、诚实信用和绿色的原则，经</w:t>
      </w:r>
      <w:r>
        <w:rPr>
          <w:rFonts w:hint="eastAsia" w:ascii="宋体" w:hAnsi="宋体" w:cs="宋体"/>
          <w:color w:val="auto"/>
          <w:sz w:val="24"/>
          <w:highlight w:val="none"/>
          <w:u w:val="single"/>
        </w:rPr>
        <w:t xml:space="preserve">   （采购人）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pPr>
        <w:spacing w:line="560" w:lineRule="exact"/>
        <w:ind w:firstLine="482" w:firstLineChars="200"/>
        <w:outlineLvl w:val="0"/>
        <w:rPr>
          <w:rFonts w:ascii="宋体" w:hAnsi="宋体" w:cs="宋体"/>
          <w:b/>
          <w:color w:val="auto"/>
          <w:sz w:val="24"/>
          <w:highlight w:val="none"/>
        </w:rPr>
      </w:pPr>
      <w:bookmarkStart w:id="398" w:name="_Toc2232"/>
      <w:bookmarkStart w:id="399" w:name="_Toc24059"/>
      <w:bookmarkStart w:id="400" w:name="_Toc3029"/>
      <w:r>
        <w:rPr>
          <w:rFonts w:hint="eastAsia" w:ascii="宋体" w:hAnsi="宋体" w:cs="宋体"/>
          <w:b/>
          <w:color w:val="auto"/>
          <w:sz w:val="24"/>
          <w:highlight w:val="none"/>
        </w:rPr>
        <w:t>1.1 合同组成部分</w:t>
      </w:r>
      <w:bookmarkEnd w:id="398"/>
      <w:bookmarkEnd w:id="399"/>
      <w:bookmarkEnd w:id="400"/>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 本合同及其补充合同、变更协议；</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 中标通知书；</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1.1.3 投标文件（含澄清或者说明文件）；</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1.1.4 招标文件（含澄清或者修改文件）；</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1.1.5 其他相关采购文件。</w:t>
      </w:r>
    </w:p>
    <w:p>
      <w:pPr>
        <w:spacing w:line="560" w:lineRule="exact"/>
        <w:ind w:firstLine="482" w:firstLineChars="200"/>
        <w:outlineLvl w:val="0"/>
        <w:rPr>
          <w:rFonts w:ascii="宋体" w:hAnsi="宋体" w:cs="宋体"/>
          <w:b/>
          <w:color w:val="auto"/>
          <w:sz w:val="24"/>
          <w:highlight w:val="none"/>
        </w:rPr>
      </w:pPr>
      <w:bookmarkStart w:id="401" w:name="_Toc24300"/>
      <w:bookmarkStart w:id="402" w:name="_Toc21295"/>
      <w:bookmarkStart w:id="403" w:name="_Toc27126"/>
      <w:r>
        <w:rPr>
          <w:rFonts w:hint="eastAsia" w:ascii="宋体" w:hAnsi="宋体" w:cs="宋体"/>
          <w:b/>
          <w:color w:val="auto"/>
          <w:sz w:val="24"/>
          <w:highlight w:val="none"/>
        </w:rPr>
        <w:t>1.2 货物</w:t>
      </w:r>
      <w:bookmarkEnd w:id="401"/>
      <w:bookmarkEnd w:id="402"/>
      <w:bookmarkEnd w:id="403"/>
    </w:p>
    <w:p>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 货物名称：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1.2.2 货物数量：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 货物质量：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pacing w:line="560" w:lineRule="exact"/>
        <w:ind w:firstLine="482" w:firstLineChars="200"/>
        <w:outlineLvl w:val="0"/>
        <w:rPr>
          <w:rFonts w:ascii="宋体" w:hAnsi="宋体" w:cs="宋体"/>
          <w:b/>
          <w:color w:val="auto"/>
          <w:sz w:val="24"/>
          <w:highlight w:val="none"/>
        </w:rPr>
      </w:pPr>
      <w:bookmarkStart w:id="404" w:name="_Toc21631"/>
      <w:bookmarkStart w:id="405" w:name="_Toc21551"/>
      <w:bookmarkStart w:id="406" w:name="_Toc23292"/>
      <w:r>
        <w:rPr>
          <w:rFonts w:hint="eastAsia" w:ascii="宋体" w:hAnsi="宋体" w:cs="宋体"/>
          <w:b/>
          <w:color w:val="auto"/>
          <w:sz w:val="24"/>
          <w:highlight w:val="none"/>
        </w:rPr>
        <w:t>1.3 价款</w:t>
      </w:r>
      <w:bookmarkEnd w:id="404"/>
      <w:bookmarkEnd w:id="405"/>
      <w:bookmarkEnd w:id="406"/>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本合同总价为：￥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元人民币）。</w:t>
      </w:r>
    </w:p>
    <w:p>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分项价格：</w:t>
      </w:r>
    </w:p>
    <w:tbl>
      <w:tblPr>
        <w:tblStyle w:val="7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jc w:val="center"/>
              <w:rPr>
                <w:rFonts w:hAnsi="宋体" w:cs="宋体"/>
                <w:color w:val="auto"/>
                <w:sz w:val="24"/>
                <w:szCs w:val="24"/>
                <w:highlight w:val="none"/>
              </w:rPr>
            </w:pPr>
            <w:r>
              <w:rPr>
                <w:rFonts w:hint="eastAsia" w:hAnsi="宋体" w:cs="宋体"/>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r>
              <w:rPr>
                <w:rFonts w:hint="eastAsia" w:hAnsi="宋体" w:cs="宋体"/>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jc w:val="center"/>
              <w:rPr>
                <w:rFonts w:hAnsi="宋体" w:cs="宋体"/>
                <w:color w:val="auto"/>
                <w:sz w:val="24"/>
                <w:szCs w:val="24"/>
                <w:highlight w:val="none"/>
              </w:rPr>
            </w:pPr>
            <w:r>
              <w:rPr>
                <w:rFonts w:hint="eastAsia" w:hAnsi="宋体" w:cs="宋体"/>
                <w:color w:val="auto"/>
                <w:sz w:val="24"/>
                <w:szCs w:val="24"/>
                <w:highlight w:val="none"/>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r>
              <w:rPr>
                <w:rFonts w:hint="eastAsia" w:hAnsi="宋体" w:cs="宋体"/>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pPr>
              <w:pStyle w:val="105"/>
              <w:spacing w:line="560" w:lineRule="exact"/>
              <w:ind w:firstLine="200"/>
              <w:jc w:val="center"/>
              <w:rPr>
                <w:rFonts w:hAnsi="宋体" w:cs="宋体"/>
                <w:color w:val="auto"/>
                <w:sz w:val="24"/>
                <w:szCs w:val="24"/>
                <w:highlight w:val="none"/>
              </w:rPr>
            </w:pPr>
          </w:p>
        </w:tc>
      </w:tr>
    </w:tbl>
    <w:p>
      <w:pPr>
        <w:spacing w:line="560" w:lineRule="exact"/>
        <w:ind w:firstLine="482" w:firstLineChars="200"/>
        <w:outlineLvl w:val="0"/>
        <w:rPr>
          <w:rFonts w:ascii="宋体" w:hAnsi="宋体" w:cs="宋体"/>
          <w:b/>
          <w:color w:val="auto"/>
          <w:sz w:val="24"/>
          <w:highlight w:val="none"/>
        </w:rPr>
      </w:pPr>
      <w:bookmarkStart w:id="407" w:name="_Toc22618"/>
      <w:bookmarkStart w:id="408" w:name="_Toc1814"/>
      <w:bookmarkStart w:id="409" w:name="_Toc10340"/>
      <w:r>
        <w:rPr>
          <w:rFonts w:hint="eastAsia" w:ascii="宋体" w:hAnsi="宋体" w:cs="宋体"/>
          <w:b/>
          <w:color w:val="auto"/>
          <w:sz w:val="24"/>
          <w:highlight w:val="none"/>
        </w:rPr>
        <w:t>1.4 付款</w:t>
      </w:r>
      <w:bookmarkEnd w:id="407"/>
      <w:bookmarkEnd w:id="408"/>
      <w:bookmarkEnd w:id="409"/>
      <w:r>
        <w:rPr>
          <w:rFonts w:hint="eastAsia" w:ascii="宋体" w:hAnsi="宋体" w:cs="宋体"/>
          <w:b/>
          <w:color w:val="auto"/>
          <w:sz w:val="24"/>
          <w:highlight w:val="none"/>
        </w:rPr>
        <w:t>方式、时间和条件</w:t>
      </w:r>
    </w:p>
    <w:p>
      <w:pPr>
        <w:pStyle w:val="616"/>
        <w:spacing w:before="0" w:beforeAutospacing="0" w:after="0" w:afterAutospacing="0" w:line="360" w:lineRule="auto"/>
        <w:ind w:firstLine="480"/>
        <w:rPr>
          <w:color w:val="auto"/>
          <w:highlight w:val="none"/>
        </w:rPr>
      </w:pPr>
      <w:r>
        <w:rPr>
          <w:rFonts w:hint="eastAsia"/>
          <w:color w:val="auto"/>
          <w:highlight w:val="none"/>
        </w:rPr>
        <w:t>1.4.1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1.4.2合同预付款比例为合同金额的40％；项目分年安排预算的，每年预付款比例为项目年度计划支付资金额的40％；采购项目实施以人工投入为主的，预付款比例为合同金额的20%。对供应商为大型企业的项目或者以人工投入为主且实行按月定期结算支付款项的项目，预付款可低于上述比例或者不约定预付款。在签订合同时，乙方明确表示无需预付款或者主动要求降低预付款比例的，甲方可不适用前述规定。甲方根据项目特点、供应商诚信等因素，可以要求乙方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乙方可登录政采云前台大厅选择金融服务 - 【保函保险服务】出具预付款保函，具体步骤：选择产品—填写供应商信息—选择中标项目—确认信息—等待保险/保函受理—确认保单—支付保费—成功出单。政采云金融专线400-903-9583。</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1.4.3甲方迟延支付乙方款项的，向乙方支付逾期利息。双方可以在合同专用条款中约定逾期利率，约定利率不得低于合同订立时1年期贷款市场报价利率；未作约定的，按照每日利率万分之五支付逾期利息。</w:t>
      </w:r>
    </w:p>
    <w:p>
      <w:pPr>
        <w:spacing w:line="560" w:lineRule="exact"/>
        <w:ind w:firstLine="480" w:firstLineChars="200"/>
        <w:outlineLvl w:val="0"/>
        <w:rPr>
          <w:rFonts w:ascii="宋体" w:hAnsi="宋体" w:cs="宋体"/>
          <w:color w:val="auto"/>
          <w:sz w:val="24"/>
          <w:highlight w:val="none"/>
        </w:rPr>
      </w:pPr>
      <w:r>
        <w:rPr>
          <w:rFonts w:hint="eastAsia" w:ascii="宋体" w:hAnsi="宋体" w:cs="宋体"/>
          <w:color w:val="auto"/>
          <w:sz w:val="24"/>
          <w:highlight w:val="none"/>
        </w:rPr>
        <w:t>1.4.4资金支付的方式、时间和条件详见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pPr>
        <w:spacing w:line="560" w:lineRule="exact"/>
        <w:ind w:firstLine="480" w:firstLineChars="200"/>
        <w:outlineLvl w:val="0"/>
        <w:rPr>
          <w:rFonts w:ascii="宋体" w:hAnsi="宋体" w:cs="宋体"/>
          <w:color w:val="auto"/>
          <w:sz w:val="24"/>
          <w:highlight w:val="none"/>
        </w:rPr>
      </w:pPr>
      <w:r>
        <w:rPr>
          <w:rFonts w:hint="eastAsia" w:ascii="宋体" w:hAnsi="宋体" w:cs="宋体"/>
          <w:color w:val="auto"/>
          <w:sz w:val="24"/>
          <w:highlight w:val="none"/>
        </w:rPr>
        <w:t>1.4.5乙方可以登录：http://czj.hangzhou.gov.cn/zfcg（杭州市政府采购网），在线发起付款申请和提交发票，并可以在线查询支付信息。具体操作指南可以查询该网站文件《杭州市财政局关于进一步加强政府采购信息公开优化营商环境的通知》（杭财采监〔2021〕17号）。</w:t>
      </w:r>
    </w:p>
    <w:p>
      <w:pPr>
        <w:spacing w:line="560" w:lineRule="exact"/>
        <w:ind w:firstLine="482" w:firstLineChars="200"/>
        <w:outlineLvl w:val="0"/>
        <w:rPr>
          <w:rFonts w:ascii="宋体" w:hAnsi="宋体" w:cs="宋体"/>
          <w:b/>
          <w:color w:val="auto"/>
          <w:sz w:val="24"/>
          <w:highlight w:val="none"/>
        </w:rPr>
      </w:pPr>
      <w:bookmarkStart w:id="410" w:name="_Toc2846"/>
      <w:bookmarkStart w:id="411" w:name="_Toc19304"/>
      <w:bookmarkStart w:id="412" w:name="_Toc32071"/>
      <w:r>
        <w:rPr>
          <w:rFonts w:hint="eastAsia" w:ascii="宋体" w:hAnsi="宋体" w:cs="宋体"/>
          <w:b/>
          <w:color w:val="auto"/>
          <w:sz w:val="24"/>
          <w:highlight w:val="none"/>
        </w:rPr>
        <w:t>1.5 货物交付期限、地点和方式</w:t>
      </w:r>
      <w:bookmarkEnd w:id="410"/>
      <w:bookmarkEnd w:id="411"/>
      <w:bookmarkEnd w:id="412"/>
    </w:p>
    <w:p>
      <w:pPr>
        <w:spacing w:line="56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1.5.1 交付期限：详见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1.5.2 交付地点：</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 交付方式：</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pPr>
        <w:spacing w:line="560" w:lineRule="exact"/>
        <w:ind w:firstLine="482" w:firstLineChars="200"/>
        <w:outlineLvl w:val="0"/>
        <w:rPr>
          <w:rFonts w:ascii="宋体" w:hAnsi="宋体" w:cs="宋体"/>
          <w:b/>
          <w:color w:val="auto"/>
          <w:sz w:val="24"/>
          <w:highlight w:val="none"/>
        </w:rPr>
      </w:pPr>
      <w:bookmarkStart w:id="413" w:name="_Toc27250"/>
      <w:bookmarkStart w:id="414" w:name="_Toc21423"/>
      <w:bookmarkStart w:id="415" w:name="_Toc19554"/>
      <w:r>
        <w:rPr>
          <w:rFonts w:hint="eastAsia" w:ascii="宋体" w:hAnsi="宋体" w:cs="宋体"/>
          <w:b/>
          <w:color w:val="auto"/>
          <w:sz w:val="24"/>
          <w:highlight w:val="none"/>
        </w:rPr>
        <w:t>1.6 违约责任</w:t>
      </w:r>
      <w:bookmarkEnd w:id="413"/>
      <w:bookmarkEnd w:id="414"/>
      <w:bookmarkEnd w:id="415"/>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 除不可抗力外，如果乙方没有按照本合同约定的期限、地点和方式交付货物，那么甲方可要求乙方支付违约金，违约金按每迟延交付货物一日的应交付而未交付货物价格的</w:t>
      </w:r>
      <w:r>
        <w:rPr>
          <w:rFonts w:hint="eastAsia" w:ascii="宋体" w:hAnsi="宋体" w:cs="宋体"/>
          <w:color w:val="auto"/>
          <w:sz w:val="24"/>
          <w:highlight w:val="none"/>
          <w:u w:val="single"/>
        </w:rPr>
        <w:t xml:space="preserve">  0.05  </w:t>
      </w:r>
      <w:r>
        <w:rPr>
          <w:rFonts w:hint="eastAsia" w:ascii="宋体" w:hAnsi="宋体" w:cs="宋体"/>
          <w:color w:val="auto"/>
          <w:sz w:val="24"/>
          <w:highlight w:val="none"/>
        </w:rPr>
        <w:t>%计算，最高限额为本合同总价的</w:t>
      </w:r>
      <w:r>
        <w:rPr>
          <w:rFonts w:hint="eastAsia" w:ascii="宋体" w:hAnsi="宋体" w:cs="宋体"/>
          <w:color w:val="auto"/>
          <w:sz w:val="24"/>
          <w:highlight w:val="none"/>
          <w:u w:val="single"/>
        </w:rPr>
        <w:t xml:space="preserve"> 20  </w:t>
      </w:r>
      <w:r>
        <w:rPr>
          <w:rFonts w:hint="eastAsia" w:ascii="宋体" w:hAnsi="宋体" w:cs="宋体"/>
          <w:color w:val="auto"/>
          <w:sz w:val="24"/>
          <w:highlight w:val="none"/>
        </w:rPr>
        <w:t>%；迟延交付货物的违约金计算数额达到前述最高限额之日起，甲方有权在要求乙方支付违约金的同时，书面通知乙方解除本合同；</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 除不可抗力外，如果甲方没有按照本合同约定的付款方式付款，那么乙方可要求甲方支付违约金，违约金按每迟延付款一日的应付而未付款的</w:t>
      </w:r>
      <w:r>
        <w:rPr>
          <w:rFonts w:hint="eastAsia" w:ascii="宋体" w:hAnsi="宋体" w:cs="宋体"/>
          <w:color w:val="auto"/>
          <w:sz w:val="24"/>
          <w:highlight w:val="none"/>
          <w:u w:val="single"/>
        </w:rPr>
        <w:t xml:space="preserve">  0.05  </w:t>
      </w:r>
      <w:r>
        <w:rPr>
          <w:rFonts w:hint="eastAsia" w:ascii="宋体" w:hAnsi="宋体" w:cs="宋体"/>
          <w:color w:val="auto"/>
          <w:sz w:val="24"/>
          <w:highlight w:val="none"/>
        </w:rPr>
        <w:t>%计算，最高限额为本合同总价的</w:t>
      </w:r>
      <w:r>
        <w:rPr>
          <w:rFonts w:hint="eastAsia" w:ascii="宋体" w:hAnsi="宋体" w:cs="宋体"/>
          <w:color w:val="auto"/>
          <w:sz w:val="24"/>
          <w:highlight w:val="none"/>
          <w:u w:val="single"/>
        </w:rPr>
        <w:t xml:space="preserve">  20   </w:t>
      </w:r>
      <w:r>
        <w:rPr>
          <w:rFonts w:hint="eastAsia" w:ascii="宋体" w:hAnsi="宋体" w:cs="宋体"/>
          <w:color w:val="auto"/>
          <w:sz w:val="24"/>
          <w:highlight w:val="none"/>
        </w:rPr>
        <w:t>%；迟延付款的违约金计算数额达到前述最高限额之日起，乙方有权在要求甲方支付违约金的同时，书面通知甲方解除本合同；</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1.6.6 如果出现政府采购监督管理部门在处理投诉事项期间，书面通知甲方暂停采购活动的情形，或者询问或质疑事项可能影响中标结果的，导致甲方中止履行合同的情形，均不视为甲方违约。</w:t>
      </w:r>
    </w:p>
    <w:p>
      <w:pPr>
        <w:spacing w:line="560" w:lineRule="exact"/>
        <w:ind w:left="-420" w:leftChars="-200" w:right="-420" w:rightChars="-200" w:firstLine="960" w:firstLineChars="400"/>
        <w:rPr>
          <w:rFonts w:ascii="宋体" w:hAnsi="宋体" w:cs="宋体"/>
          <w:color w:val="auto"/>
          <w:highlight w:val="none"/>
        </w:rPr>
      </w:pPr>
      <w:r>
        <w:rPr>
          <w:rFonts w:hint="eastAsia" w:ascii="宋体" w:hAnsi="宋体" w:cs="宋体"/>
          <w:color w:val="auto"/>
          <w:sz w:val="24"/>
          <w:highlight w:val="none"/>
        </w:rPr>
        <w:t>1.6.7违约责任</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另有约定的，从其约定。</w:t>
      </w:r>
    </w:p>
    <w:p>
      <w:pPr>
        <w:spacing w:line="560" w:lineRule="exact"/>
        <w:ind w:firstLine="482" w:firstLineChars="200"/>
        <w:outlineLvl w:val="0"/>
        <w:rPr>
          <w:rFonts w:ascii="宋体" w:hAnsi="宋体" w:cs="宋体"/>
          <w:b/>
          <w:color w:val="auto"/>
          <w:sz w:val="24"/>
          <w:highlight w:val="none"/>
        </w:rPr>
      </w:pPr>
      <w:bookmarkStart w:id="416" w:name="_Toc16021"/>
      <w:bookmarkStart w:id="417" w:name="_Toc28375"/>
      <w:bookmarkStart w:id="418" w:name="_Toc15583"/>
      <w:r>
        <w:rPr>
          <w:rFonts w:hint="eastAsia" w:ascii="宋体" w:hAnsi="宋体" w:cs="宋体"/>
          <w:b/>
          <w:color w:val="auto"/>
          <w:sz w:val="24"/>
          <w:highlight w:val="none"/>
        </w:rPr>
        <w:t>1.7 合同争议的解决</w:t>
      </w:r>
      <w:bookmarkEnd w:id="416"/>
      <w:bookmarkEnd w:id="417"/>
      <w:bookmarkEnd w:id="418"/>
    </w:p>
    <w:p>
      <w:pPr>
        <w:spacing w:line="560" w:lineRule="exact"/>
        <w:ind w:left="-61" w:leftChars="-29" w:right="-420" w:rightChars="-200" w:firstLine="240" w:firstLineChars="100"/>
        <w:rPr>
          <w:rFonts w:ascii="宋体" w:hAnsi="宋体" w:cs="宋体"/>
          <w:color w:val="auto"/>
          <w:sz w:val="24"/>
          <w:highlight w:val="none"/>
        </w:rPr>
      </w:pPr>
      <w:r>
        <w:rPr>
          <w:rFonts w:hint="eastAsia" w:ascii="宋体" w:hAnsi="宋体" w:cs="宋体"/>
          <w:color w:val="auto"/>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color w:val="auto"/>
          <w:sz w:val="24"/>
          <w:highlight w:val="none"/>
          <w:u w:val="single"/>
        </w:rPr>
        <w:t xml:space="preserve"> 合同专用条款  </w:t>
      </w:r>
      <w:r>
        <w:rPr>
          <w:rFonts w:hint="eastAsia" w:ascii="宋体" w:hAnsi="宋体" w:cs="宋体"/>
          <w:color w:val="auto"/>
          <w:sz w:val="24"/>
          <w:highlight w:val="none"/>
        </w:rPr>
        <w:t>条款规定的方式解决：</w:t>
      </w:r>
    </w:p>
    <w:p>
      <w:pPr>
        <w:spacing w:line="560" w:lineRule="exact"/>
        <w:ind w:left="-420" w:leftChars="-200" w:right="-420" w:rightChars="-200" w:firstLine="600" w:firstLineChars="250"/>
        <w:rPr>
          <w:rFonts w:ascii="宋体" w:hAnsi="宋体" w:cs="宋体"/>
          <w:color w:val="auto"/>
          <w:sz w:val="24"/>
          <w:highlight w:val="none"/>
        </w:rPr>
      </w:pPr>
      <w:r>
        <w:rPr>
          <w:rFonts w:hint="eastAsia" w:ascii="宋体" w:hAnsi="宋体" w:cs="宋体"/>
          <w:color w:val="auto"/>
          <w:sz w:val="24"/>
          <w:highlight w:val="none"/>
        </w:rPr>
        <w:t>1.7.1 将争议提交</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仲裁委员会依申请仲裁时其现行有效的仲裁规则裁决；</w:t>
      </w:r>
    </w:p>
    <w:p>
      <w:pPr>
        <w:spacing w:line="560" w:lineRule="exact"/>
        <w:ind w:left="-420" w:leftChars="-200" w:right="-420" w:rightChars="-200" w:firstLine="600" w:firstLineChars="250"/>
        <w:rPr>
          <w:rFonts w:ascii="宋体" w:hAnsi="宋体" w:cs="宋体"/>
          <w:color w:val="auto"/>
          <w:sz w:val="24"/>
          <w:highlight w:val="none"/>
        </w:rPr>
      </w:pPr>
      <w:r>
        <w:rPr>
          <w:rFonts w:hint="eastAsia" w:ascii="宋体" w:hAnsi="宋体" w:cs="宋体"/>
          <w:color w:val="auto"/>
          <w:sz w:val="24"/>
          <w:highlight w:val="none"/>
        </w:rPr>
        <w:t>1.7.2 向</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人民法院起诉。</w:t>
      </w:r>
    </w:p>
    <w:p>
      <w:pPr>
        <w:spacing w:line="560" w:lineRule="exact"/>
        <w:ind w:firstLine="482" w:firstLineChars="200"/>
        <w:outlineLvl w:val="0"/>
        <w:rPr>
          <w:rFonts w:ascii="宋体" w:hAnsi="宋体" w:cs="宋体"/>
          <w:b/>
          <w:color w:val="auto"/>
          <w:sz w:val="24"/>
          <w:highlight w:val="none"/>
        </w:rPr>
      </w:pPr>
      <w:bookmarkStart w:id="419" w:name="_Toc11173"/>
      <w:bookmarkStart w:id="420" w:name="_Toc7245"/>
      <w:bookmarkStart w:id="421" w:name="_Toc15322"/>
      <w:r>
        <w:rPr>
          <w:rFonts w:hint="eastAsia" w:ascii="宋体" w:hAnsi="宋体" w:cs="宋体"/>
          <w:b/>
          <w:color w:val="auto"/>
          <w:sz w:val="24"/>
          <w:highlight w:val="none"/>
        </w:rPr>
        <w:t>1.8 合同生效</w:t>
      </w:r>
      <w:bookmarkEnd w:id="419"/>
      <w:bookmarkEnd w:id="420"/>
      <w:bookmarkEnd w:id="421"/>
    </w:p>
    <w:p>
      <w:pPr>
        <w:spacing w:line="560" w:lineRule="exact"/>
        <w:ind w:firstLine="480" w:firstLineChars="200"/>
        <w:rPr>
          <w:rFonts w:ascii="宋体" w:hAnsi="宋体" w:cs="宋体"/>
          <w:b/>
          <w:color w:val="auto"/>
          <w:sz w:val="24"/>
          <w:highlight w:val="none"/>
        </w:rPr>
      </w:pPr>
      <w:r>
        <w:rPr>
          <w:rFonts w:hint="eastAsia" w:ascii="宋体" w:hAnsi="宋体" w:cs="宋体"/>
          <w:color w:val="auto"/>
          <w:sz w:val="24"/>
          <w:highlight w:val="none"/>
        </w:rPr>
        <w:t>本合同自双方当事人盖章或者签字时生效。</w:t>
      </w:r>
    </w:p>
    <w:p>
      <w:pPr>
        <w:autoSpaceDE w:val="0"/>
        <w:autoSpaceDN w:val="0"/>
        <w:spacing w:line="560" w:lineRule="exact"/>
        <w:rPr>
          <w:rFonts w:ascii="宋体" w:hAnsi="宋体" w:cs="宋体"/>
          <w:color w:val="auto"/>
          <w:sz w:val="24"/>
          <w:highlight w:val="none"/>
          <w:lang w:val="zh-CN"/>
        </w:rPr>
      </w:pPr>
    </w:p>
    <w:p>
      <w:pPr>
        <w:autoSpaceDE w:val="0"/>
        <w:autoSpaceDN w:val="0"/>
        <w:spacing w:line="560" w:lineRule="exact"/>
        <w:rPr>
          <w:rFonts w:ascii="宋体" w:hAnsi="宋体" w:cs="宋体"/>
          <w:color w:val="auto"/>
          <w:sz w:val="24"/>
          <w:highlight w:val="none"/>
          <w:lang w:val="zh-CN"/>
        </w:rPr>
      </w:pPr>
      <w:r>
        <w:rPr>
          <w:rFonts w:hint="eastAsia" w:ascii="宋体" w:hAnsi="宋体" w:cs="宋体"/>
          <w:b/>
          <w:color w:val="auto"/>
          <w:sz w:val="24"/>
          <w:highlight w:val="none"/>
          <w:lang w:val="zh-CN"/>
        </w:rPr>
        <w:t>甲方</w:t>
      </w:r>
      <w:r>
        <w:rPr>
          <w:rFonts w:hint="eastAsia" w:ascii="宋体" w:hAnsi="宋体" w:cs="宋体"/>
          <w:color w:val="auto"/>
          <w:sz w:val="24"/>
          <w:highlight w:val="none"/>
          <w:lang w:val="zh-CN"/>
        </w:rPr>
        <w:t xml:space="preserve">：                             </w:t>
      </w:r>
      <w:r>
        <w:rPr>
          <w:rFonts w:hint="eastAsia" w:ascii="宋体" w:hAnsi="宋体" w:cs="宋体"/>
          <w:b/>
          <w:color w:val="auto"/>
          <w:sz w:val="24"/>
          <w:highlight w:val="none"/>
          <w:lang w:val="zh-CN"/>
        </w:rPr>
        <w:t xml:space="preserve">      乙方</w:t>
      </w:r>
      <w:r>
        <w:rPr>
          <w:rFonts w:hint="eastAsia" w:ascii="宋体" w:hAnsi="宋体" w:cs="宋体"/>
          <w:color w:val="auto"/>
          <w:sz w:val="24"/>
          <w:highlight w:val="none"/>
          <w:lang w:val="zh-CN"/>
        </w:rPr>
        <w:t>：</w:t>
      </w:r>
    </w:p>
    <w:p>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统一社会信用代码：                        统一社会信用代码或身份证号码：</w:t>
      </w:r>
    </w:p>
    <w:p>
      <w:pPr>
        <w:autoSpaceDE w:val="0"/>
        <w:autoSpaceDN w:val="0"/>
        <w:spacing w:line="560" w:lineRule="exact"/>
        <w:rPr>
          <w:rFonts w:ascii="宋体" w:hAnsi="宋体" w:cs="宋体"/>
          <w:color w:val="auto"/>
          <w:sz w:val="24"/>
          <w:highlight w:val="none"/>
          <w:lang w:val="zh-CN"/>
        </w:rPr>
      </w:pPr>
    </w:p>
    <w:p>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住所：                                   住所：</w:t>
      </w:r>
    </w:p>
    <w:p>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法定代表人或                             法定代表人</w:t>
      </w:r>
    </w:p>
    <w:p>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 xml:space="preserve">授权代表（签字）：                        或授权代表（签字）: </w:t>
      </w:r>
    </w:p>
    <w:p>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联系人：                                 联系人：</w:t>
      </w:r>
    </w:p>
    <w:p>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约定送达地址：                           约定送达地址：</w:t>
      </w:r>
    </w:p>
    <w:p>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邮政编码：                               邮政编码：</w:t>
      </w:r>
    </w:p>
    <w:p>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 xml:space="preserve">电话:                                    电话: </w:t>
      </w:r>
    </w:p>
    <w:p>
      <w:pPr>
        <w:autoSpaceDE w:val="0"/>
        <w:autoSpaceDN w:val="0"/>
        <w:spacing w:line="560" w:lineRule="exact"/>
        <w:rPr>
          <w:rFonts w:ascii="宋体" w:hAnsi="宋体" w:cs="宋体"/>
          <w:color w:val="auto"/>
          <w:sz w:val="24"/>
          <w:highlight w:val="none"/>
          <w:lang w:val="zh-CN"/>
        </w:rPr>
      </w:pPr>
      <w:r>
        <w:rPr>
          <w:rFonts w:hint="eastAsia" w:ascii="宋体" w:hAnsi="宋体" w:cs="宋体"/>
          <w:color w:val="auto"/>
          <w:sz w:val="24"/>
          <w:highlight w:val="none"/>
          <w:lang w:val="zh-CN"/>
        </w:rPr>
        <w:t>传真:                                    传真:</w:t>
      </w:r>
    </w:p>
    <w:p>
      <w:pPr>
        <w:autoSpaceDE w:val="0"/>
        <w:autoSpaceDN w:val="0"/>
        <w:spacing w:line="560" w:lineRule="exact"/>
        <w:rPr>
          <w:rFonts w:ascii="宋体" w:hAnsi="宋体" w:cs="宋体"/>
          <w:color w:val="auto"/>
          <w:sz w:val="24"/>
          <w:highlight w:val="none"/>
        </w:rPr>
      </w:pPr>
      <w:r>
        <w:rPr>
          <w:rFonts w:hint="eastAsia" w:ascii="宋体" w:hAnsi="宋体" w:cs="宋体"/>
          <w:color w:val="auto"/>
          <w:sz w:val="24"/>
          <w:highlight w:val="none"/>
          <w:lang w:val="zh-CN"/>
        </w:rPr>
        <w:t>电子邮箱：                               电子邮箱：</w:t>
      </w:r>
    </w:p>
    <w:p>
      <w:pPr>
        <w:autoSpaceDE w:val="0"/>
        <w:autoSpaceDN w:val="0"/>
        <w:spacing w:line="560" w:lineRule="exact"/>
        <w:rPr>
          <w:rFonts w:ascii="宋体" w:hAnsi="宋体" w:cs="宋体"/>
          <w:color w:val="auto"/>
          <w:sz w:val="24"/>
          <w:highlight w:val="none"/>
        </w:rPr>
      </w:pPr>
      <w:r>
        <w:rPr>
          <w:rFonts w:hint="eastAsia" w:ascii="宋体" w:hAnsi="宋体" w:cs="宋体"/>
          <w:color w:val="auto"/>
          <w:sz w:val="24"/>
          <w:highlight w:val="none"/>
        </w:rPr>
        <w:t xml:space="preserve">开户银行：                               开户银行： </w:t>
      </w:r>
    </w:p>
    <w:p>
      <w:pPr>
        <w:autoSpaceDE w:val="0"/>
        <w:autoSpaceDN w:val="0"/>
        <w:spacing w:line="560" w:lineRule="exact"/>
        <w:rPr>
          <w:rFonts w:ascii="宋体" w:hAnsi="宋体" w:cs="宋体"/>
          <w:color w:val="auto"/>
          <w:sz w:val="24"/>
          <w:highlight w:val="none"/>
        </w:rPr>
      </w:pPr>
      <w:r>
        <w:rPr>
          <w:rFonts w:hint="eastAsia" w:ascii="宋体" w:hAnsi="宋体" w:cs="宋体"/>
          <w:color w:val="auto"/>
          <w:sz w:val="24"/>
          <w:highlight w:val="none"/>
        </w:rPr>
        <w:t xml:space="preserve">开户名称：                               开户名称： </w:t>
      </w:r>
    </w:p>
    <w:p>
      <w:pPr>
        <w:autoSpaceDE w:val="0"/>
        <w:autoSpaceDN w:val="0"/>
        <w:spacing w:line="560" w:lineRule="exact"/>
        <w:rPr>
          <w:rFonts w:ascii="宋体" w:hAnsi="宋体" w:cs="宋体"/>
          <w:color w:val="auto"/>
          <w:sz w:val="24"/>
          <w:highlight w:val="none"/>
        </w:rPr>
      </w:pPr>
      <w:r>
        <w:rPr>
          <w:rFonts w:hint="eastAsia" w:ascii="宋体" w:hAnsi="宋体" w:cs="宋体"/>
          <w:color w:val="auto"/>
          <w:sz w:val="24"/>
          <w:highlight w:val="none"/>
        </w:rPr>
        <w:t>开户账号：</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开户账号：</w:t>
      </w:r>
    </w:p>
    <w:p>
      <w:pPr>
        <w:widowControl/>
        <w:spacing w:line="560" w:lineRule="exact"/>
        <w:jc w:val="left"/>
        <w:rPr>
          <w:rFonts w:ascii="宋体" w:hAnsi="宋体" w:cs="宋体"/>
          <w:b/>
          <w:color w:val="auto"/>
          <w:sz w:val="24"/>
          <w:highlight w:val="none"/>
        </w:rPr>
      </w:pPr>
      <w:bookmarkStart w:id="422" w:name="_Toc331685783"/>
    </w:p>
    <w:p>
      <w:pPr>
        <w:widowControl/>
        <w:adjustRightInd/>
        <w:jc w:val="left"/>
        <w:rPr>
          <w:rFonts w:ascii="宋体" w:hAnsi="宋体" w:cs="宋体"/>
          <w:b/>
          <w:color w:val="auto"/>
          <w:sz w:val="24"/>
          <w:highlight w:val="none"/>
        </w:rPr>
      </w:pPr>
      <w:r>
        <w:rPr>
          <w:rFonts w:ascii="宋体" w:hAnsi="宋体" w:cs="宋体"/>
          <w:b/>
          <w:color w:val="auto"/>
          <w:highlight w:val="none"/>
        </w:rPr>
        <w:br w:type="page"/>
      </w:r>
    </w:p>
    <w:p>
      <w:pPr>
        <w:pStyle w:val="384"/>
        <w:spacing w:line="560" w:lineRule="exact"/>
        <w:ind w:firstLine="482"/>
        <w:jc w:val="center"/>
        <w:rPr>
          <w:rFonts w:ascii="宋体" w:hAnsi="宋体" w:cs="宋体"/>
          <w:b/>
          <w:color w:val="auto"/>
          <w:szCs w:val="24"/>
          <w:highlight w:val="none"/>
        </w:rPr>
      </w:pPr>
      <w:r>
        <w:rPr>
          <w:rFonts w:hint="eastAsia" w:ascii="宋体" w:hAnsi="宋体" w:cs="宋体"/>
          <w:b/>
          <w:color w:val="auto"/>
          <w:szCs w:val="24"/>
          <w:highlight w:val="none"/>
        </w:rPr>
        <w:t>第二部分 合同一般条款</w:t>
      </w:r>
      <w:bookmarkEnd w:id="422"/>
    </w:p>
    <w:p>
      <w:pPr>
        <w:spacing w:line="560" w:lineRule="exact"/>
        <w:ind w:firstLine="482" w:firstLineChars="200"/>
        <w:outlineLvl w:val="0"/>
        <w:rPr>
          <w:rFonts w:ascii="宋体" w:hAnsi="宋体" w:cs="宋体"/>
          <w:b/>
          <w:color w:val="auto"/>
          <w:sz w:val="24"/>
          <w:highlight w:val="none"/>
        </w:rPr>
      </w:pPr>
      <w:bookmarkStart w:id="423" w:name="_Ref467379205"/>
      <w:bookmarkStart w:id="424" w:name="_Ref467379109"/>
      <w:bookmarkStart w:id="425" w:name="_Ref467379195"/>
      <w:bookmarkStart w:id="426" w:name="_Toc19614"/>
      <w:bookmarkStart w:id="427" w:name="_Toc16917"/>
      <w:bookmarkStart w:id="428" w:name="_Ref467379225"/>
      <w:bookmarkStart w:id="429" w:name="_Ref467378463"/>
      <w:bookmarkStart w:id="430" w:name="_Ref467379101"/>
      <w:bookmarkStart w:id="431" w:name="_Ref467378499"/>
      <w:bookmarkStart w:id="432" w:name="_Ref467378404"/>
      <w:bookmarkStart w:id="433" w:name="_Toc279701240"/>
      <w:bookmarkStart w:id="434" w:name="_Toc259093669"/>
      <w:bookmarkStart w:id="435" w:name="_Toc28763"/>
      <w:bookmarkStart w:id="436" w:name="_Toc487900349"/>
      <w:bookmarkStart w:id="437" w:name="_Ref467379214"/>
      <w:bookmarkStart w:id="438" w:name="_Ref467379094"/>
      <w:r>
        <w:rPr>
          <w:rFonts w:hint="eastAsia" w:ascii="宋体" w:hAnsi="宋体" w:cs="宋体"/>
          <w:b/>
          <w:color w:val="auto"/>
          <w:sz w:val="24"/>
          <w:highlight w:val="none"/>
        </w:rPr>
        <w:t>2.1 定义</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 “合同”系指采购人和中标供应商签订的载明双方当事人所达成的协议，并包括所有的附件、附录和构成合同的其他文件。</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 “合同价”系指根据合同约定，中标供应商在完全履行合同义务后，采购人应支付给中标供应商的价格。</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2.1.3 “货物”系指中标供应商根据合同约定应向采购人交付的一切各种形态和种类的物品，包括原材料、燃料、设备、机械、仪表、备件、计算机软件、产品等，并包括工具、手册等其他相关资料。</w:t>
      </w:r>
    </w:p>
    <w:p>
      <w:pPr>
        <w:spacing w:line="560" w:lineRule="exact"/>
        <w:ind w:firstLine="480" w:firstLineChars="200"/>
        <w:rPr>
          <w:rFonts w:ascii="宋体" w:hAnsi="宋体" w:cs="宋体"/>
          <w:color w:val="auto"/>
          <w:sz w:val="24"/>
          <w:highlight w:val="none"/>
        </w:rPr>
      </w:pPr>
      <w:bookmarkStart w:id="439" w:name="_Ref467378840"/>
      <w:r>
        <w:rPr>
          <w:rFonts w:hint="eastAsia" w:ascii="宋体" w:hAnsi="宋体" w:cs="宋体"/>
          <w:color w:val="auto"/>
          <w:sz w:val="24"/>
          <w:highlight w:val="none"/>
        </w:rPr>
        <w:t>2.1.4 “甲方”系指与中标供应商签署合同的采购人</w:t>
      </w:r>
      <w:bookmarkEnd w:id="439"/>
      <w:r>
        <w:rPr>
          <w:rFonts w:hint="eastAsia" w:ascii="宋体" w:hAnsi="宋体" w:cs="宋体"/>
          <w:color w:val="auto"/>
          <w:sz w:val="24"/>
          <w:highlight w:val="none"/>
        </w:rPr>
        <w:t>；采购人委托采购代理机构代表其与乙方签订合同的，采购人的授权委托书作为合同附件。</w:t>
      </w:r>
    </w:p>
    <w:p>
      <w:pPr>
        <w:spacing w:line="560" w:lineRule="exact"/>
        <w:ind w:firstLine="480" w:firstLineChars="200"/>
        <w:rPr>
          <w:rFonts w:ascii="宋体" w:hAnsi="宋体" w:cs="宋体"/>
          <w:color w:val="auto"/>
          <w:sz w:val="24"/>
          <w:highlight w:val="none"/>
        </w:rPr>
      </w:pPr>
      <w:bookmarkStart w:id="440" w:name="_Ref467379400"/>
      <w:r>
        <w:rPr>
          <w:rFonts w:hint="eastAsia" w:ascii="宋体" w:hAnsi="宋体" w:cs="宋体"/>
          <w:color w:val="auto"/>
          <w:sz w:val="24"/>
          <w:highlight w:val="none"/>
        </w:rPr>
        <w:t>2.1.5 “乙方”系指根据合同约定交付货物的中标供应商</w:t>
      </w:r>
      <w:bookmarkEnd w:id="440"/>
      <w:r>
        <w:rPr>
          <w:rFonts w:hint="eastAsia" w:ascii="宋体" w:hAnsi="宋体" w:cs="宋体"/>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560" w:lineRule="exact"/>
        <w:ind w:firstLine="480" w:firstLineChars="200"/>
        <w:rPr>
          <w:rFonts w:ascii="宋体" w:hAnsi="宋体" w:cs="宋体"/>
          <w:color w:val="auto"/>
          <w:sz w:val="24"/>
          <w:highlight w:val="none"/>
        </w:rPr>
      </w:pPr>
      <w:bookmarkStart w:id="441" w:name="_Ref467379436"/>
      <w:r>
        <w:rPr>
          <w:rFonts w:hint="eastAsia" w:ascii="宋体" w:hAnsi="宋体" w:cs="宋体"/>
          <w:color w:val="auto"/>
          <w:sz w:val="24"/>
          <w:highlight w:val="none"/>
        </w:rPr>
        <w:t>2.1.6 “现场”系指合同约定货物将要运至或者安装的地点。</w:t>
      </w:r>
      <w:bookmarkEnd w:id="441"/>
    </w:p>
    <w:p>
      <w:pPr>
        <w:spacing w:line="560" w:lineRule="exact"/>
        <w:ind w:firstLine="482" w:firstLineChars="200"/>
        <w:outlineLvl w:val="0"/>
        <w:rPr>
          <w:rFonts w:ascii="宋体" w:hAnsi="宋体" w:cs="宋体"/>
          <w:b/>
          <w:color w:val="auto"/>
          <w:sz w:val="24"/>
          <w:highlight w:val="none"/>
        </w:rPr>
      </w:pPr>
      <w:bookmarkStart w:id="442" w:name="_Toc259093670"/>
      <w:bookmarkStart w:id="443" w:name="_Toc13336"/>
      <w:bookmarkStart w:id="444" w:name="_Toc279701241"/>
      <w:bookmarkStart w:id="445" w:name="_Toc27635"/>
      <w:bookmarkStart w:id="446" w:name="_Toc32504"/>
      <w:bookmarkStart w:id="447" w:name="_Toc487900350"/>
      <w:r>
        <w:rPr>
          <w:rFonts w:hint="eastAsia" w:ascii="宋体" w:hAnsi="宋体" w:cs="宋体"/>
          <w:b/>
          <w:color w:val="auto"/>
          <w:sz w:val="24"/>
          <w:highlight w:val="none"/>
        </w:rPr>
        <w:t>2.2 技术规范</w:t>
      </w:r>
      <w:bookmarkEnd w:id="442"/>
      <w:bookmarkEnd w:id="443"/>
      <w:bookmarkEnd w:id="444"/>
      <w:bookmarkEnd w:id="445"/>
      <w:bookmarkEnd w:id="446"/>
      <w:bookmarkEnd w:id="447"/>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spacing w:line="560" w:lineRule="exact"/>
        <w:ind w:firstLine="482" w:firstLineChars="200"/>
        <w:outlineLvl w:val="0"/>
        <w:rPr>
          <w:rFonts w:ascii="宋体" w:hAnsi="宋体" w:cs="宋体"/>
          <w:b/>
          <w:color w:val="auto"/>
          <w:sz w:val="24"/>
          <w:highlight w:val="none"/>
        </w:rPr>
      </w:pPr>
      <w:bookmarkStart w:id="448" w:name="_Toc487900351"/>
      <w:bookmarkStart w:id="449" w:name="_Toc259093671"/>
      <w:bookmarkStart w:id="450" w:name="_Toc31634"/>
      <w:bookmarkStart w:id="451" w:name="_Toc9829"/>
      <w:bookmarkStart w:id="452" w:name="_Toc279701242"/>
      <w:bookmarkStart w:id="453" w:name="_Toc27853"/>
      <w:r>
        <w:rPr>
          <w:rFonts w:hint="eastAsia" w:ascii="宋体" w:hAnsi="宋体" w:cs="宋体"/>
          <w:b/>
          <w:color w:val="auto"/>
          <w:sz w:val="24"/>
          <w:highlight w:val="none"/>
        </w:rPr>
        <w:t>2.3 知识产权</w:t>
      </w:r>
      <w:bookmarkEnd w:id="448"/>
      <w:bookmarkEnd w:id="449"/>
      <w:bookmarkEnd w:id="450"/>
      <w:bookmarkEnd w:id="451"/>
      <w:bookmarkEnd w:id="452"/>
      <w:bookmarkEnd w:id="453"/>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2.3.2具有知识产权的计算机软件等货物的知识产权归属，详见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pPr>
        <w:spacing w:line="560" w:lineRule="exact"/>
        <w:ind w:firstLine="482" w:firstLineChars="200"/>
        <w:outlineLvl w:val="0"/>
        <w:rPr>
          <w:rFonts w:ascii="宋体" w:hAnsi="宋体" w:cs="宋体"/>
          <w:b/>
          <w:color w:val="auto"/>
          <w:sz w:val="24"/>
          <w:highlight w:val="none"/>
        </w:rPr>
      </w:pPr>
      <w:bookmarkStart w:id="454" w:name="_Toc29149"/>
      <w:bookmarkStart w:id="455" w:name="_Toc11932"/>
      <w:bookmarkStart w:id="456" w:name="_Toc4194"/>
      <w:r>
        <w:rPr>
          <w:rFonts w:hint="eastAsia" w:ascii="宋体" w:hAnsi="宋体" w:cs="宋体"/>
          <w:b/>
          <w:color w:val="auto"/>
          <w:sz w:val="24"/>
          <w:highlight w:val="none"/>
        </w:rPr>
        <w:t>2.4 包装和装运</w:t>
      </w:r>
      <w:bookmarkEnd w:id="454"/>
      <w:bookmarkEnd w:id="455"/>
      <w:bookmarkEnd w:id="456"/>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2.4.1除</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 装运货物的要求和通知，详见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pPr>
        <w:spacing w:line="560" w:lineRule="exact"/>
        <w:ind w:firstLine="482" w:firstLineChars="200"/>
        <w:outlineLvl w:val="0"/>
        <w:rPr>
          <w:rFonts w:ascii="宋体" w:hAnsi="宋体" w:cs="宋体"/>
          <w:b/>
          <w:color w:val="auto"/>
          <w:sz w:val="24"/>
          <w:highlight w:val="none"/>
        </w:rPr>
      </w:pPr>
      <w:bookmarkStart w:id="457" w:name="_Toc279701245"/>
      <w:bookmarkStart w:id="458" w:name="_Toc487900354"/>
      <w:bookmarkStart w:id="459" w:name="_Ref467379542"/>
      <w:bookmarkStart w:id="460" w:name="_Ref467379536"/>
      <w:bookmarkStart w:id="461" w:name="_Ref467378591"/>
      <w:bookmarkStart w:id="462" w:name="_Ref467379527"/>
      <w:bookmarkStart w:id="463" w:name="_Toc259093674"/>
      <w:bookmarkStart w:id="464" w:name="_Ref467378541"/>
      <w:bookmarkStart w:id="465" w:name="_Toc19074"/>
      <w:bookmarkStart w:id="466" w:name="_Toc30272"/>
      <w:bookmarkStart w:id="467" w:name="_Toc26182"/>
      <w:r>
        <w:rPr>
          <w:rFonts w:hint="eastAsia" w:ascii="宋体" w:hAnsi="宋体" w:cs="宋体"/>
          <w:b/>
          <w:color w:val="auto"/>
          <w:sz w:val="24"/>
          <w:highlight w:val="none"/>
        </w:rPr>
        <w:t>2.</w:t>
      </w:r>
      <w:bookmarkEnd w:id="457"/>
      <w:bookmarkEnd w:id="458"/>
      <w:bookmarkEnd w:id="459"/>
      <w:bookmarkEnd w:id="460"/>
      <w:bookmarkEnd w:id="461"/>
      <w:bookmarkEnd w:id="462"/>
      <w:bookmarkEnd w:id="463"/>
      <w:bookmarkEnd w:id="464"/>
      <w:r>
        <w:rPr>
          <w:rFonts w:hint="eastAsia" w:ascii="宋体" w:hAnsi="宋体" w:cs="宋体"/>
          <w:b/>
          <w:color w:val="auto"/>
          <w:sz w:val="24"/>
          <w:highlight w:val="none"/>
        </w:rPr>
        <w:t>5 履约检查和问题反馈</w:t>
      </w:r>
      <w:bookmarkEnd w:id="465"/>
      <w:bookmarkEnd w:id="466"/>
      <w:bookmarkEnd w:id="467"/>
    </w:p>
    <w:p>
      <w:pPr>
        <w:spacing w:line="560" w:lineRule="exact"/>
        <w:ind w:firstLine="480" w:firstLineChars="200"/>
        <w:rPr>
          <w:rFonts w:ascii="宋体" w:hAnsi="宋体" w:cs="宋体"/>
          <w:color w:val="auto"/>
          <w:sz w:val="24"/>
          <w:highlight w:val="none"/>
        </w:rPr>
      </w:pPr>
      <w:bookmarkStart w:id="468" w:name="_Ref467379657"/>
      <w:r>
        <w:rPr>
          <w:rFonts w:hint="eastAsia" w:ascii="宋体" w:hAnsi="宋体" w:cs="宋体"/>
          <w:color w:val="auto"/>
          <w:sz w:val="24"/>
          <w:highlight w:val="none"/>
        </w:rPr>
        <w:t>2.5.1</w:t>
      </w:r>
      <w:bookmarkStart w:id="469" w:name="_Toc186431854"/>
      <w:bookmarkStart w:id="470" w:name="_Toc487900357"/>
      <w:bookmarkStart w:id="471" w:name="_Ref467379807"/>
      <w:bookmarkStart w:id="472" w:name="_Ref467379793"/>
      <w:bookmarkStart w:id="473" w:name="_Toc279701247"/>
      <w:bookmarkStart w:id="474" w:name="_Toc259093676"/>
      <w:bookmarkEnd w:id="468"/>
      <w:r>
        <w:rPr>
          <w:rFonts w:hint="eastAsia" w:ascii="宋体" w:hAnsi="宋体" w:cs="宋体"/>
          <w:color w:val="auto"/>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2.5.2 合同履行期间，甲方有权将履行过程中出现的问题反馈给乙方，双方当事人应以书面形式约定需要完善和改进的内容</w:t>
      </w:r>
      <w:bookmarkStart w:id="475" w:name="_Toc186431855"/>
      <w:bookmarkEnd w:id="469"/>
      <w:r>
        <w:rPr>
          <w:rFonts w:hint="eastAsia" w:ascii="宋体" w:hAnsi="宋体" w:cs="宋体"/>
          <w:color w:val="auto"/>
          <w:sz w:val="24"/>
          <w:highlight w:val="none"/>
        </w:rPr>
        <w:t>。</w:t>
      </w:r>
    </w:p>
    <w:bookmarkEnd w:id="470"/>
    <w:bookmarkEnd w:id="471"/>
    <w:bookmarkEnd w:id="472"/>
    <w:bookmarkEnd w:id="473"/>
    <w:bookmarkEnd w:id="474"/>
    <w:bookmarkEnd w:id="475"/>
    <w:p>
      <w:pPr>
        <w:spacing w:line="560" w:lineRule="exact"/>
        <w:ind w:firstLine="482" w:firstLineChars="200"/>
        <w:outlineLvl w:val="0"/>
        <w:rPr>
          <w:rFonts w:ascii="宋体" w:hAnsi="宋体" w:cs="宋体"/>
          <w:b/>
          <w:color w:val="auto"/>
          <w:sz w:val="24"/>
          <w:highlight w:val="none"/>
        </w:rPr>
      </w:pPr>
      <w:bookmarkStart w:id="476" w:name="_Toc487900358"/>
      <w:bookmarkStart w:id="477" w:name="_Ref467379923"/>
      <w:bookmarkStart w:id="478" w:name="_Toc259093677"/>
      <w:bookmarkStart w:id="479" w:name="_Toc279701248"/>
      <w:bookmarkStart w:id="480" w:name="_Ref467379863"/>
      <w:bookmarkStart w:id="481" w:name="_Ref467379852"/>
      <w:bookmarkStart w:id="482" w:name="_Toc3225"/>
      <w:bookmarkStart w:id="483" w:name="_Toc774"/>
      <w:bookmarkStart w:id="484" w:name="_Toc16110"/>
      <w:r>
        <w:rPr>
          <w:rFonts w:hint="eastAsia" w:ascii="宋体" w:hAnsi="宋体" w:cs="宋体"/>
          <w:b/>
          <w:color w:val="auto"/>
          <w:sz w:val="24"/>
          <w:highlight w:val="none"/>
        </w:rPr>
        <w:t>2.6 技术资料</w:t>
      </w:r>
      <w:bookmarkEnd w:id="476"/>
      <w:bookmarkEnd w:id="477"/>
      <w:bookmarkEnd w:id="478"/>
      <w:bookmarkEnd w:id="479"/>
      <w:bookmarkEnd w:id="480"/>
      <w:bookmarkEnd w:id="481"/>
      <w:r>
        <w:rPr>
          <w:rFonts w:hint="eastAsia" w:ascii="宋体" w:hAnsi="宋体" w:cs="宋体"/>
          <w:b/>
          <w:color w:val="auto"/>
          <w:sz w:val="24"/>
          <w:highlight w:val="none"/>
        </w:rPr>
        <w:t>和保密义务</w:t>
      </w:r>
      <w:bookmarkEnd w:id="482"/>
      <w:bookmarkEnd w:id="483"/>
      <w:bookmarkEnd w:id="484"/>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2.6.1 乙方有权依据合同约定和项目需要，向甲方了解有关情况，调阅有关资料等，甲方应予积极配合；</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2.6.2 乙方有义务妥善保管和保护由甲方提供的前款信息和资料等；</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560" w:lineRule="exact"/>
        <w:ind w:firstLine="482" w:firstLineChars="200"/>
        <w:outlineLvl w:val="0"/>
        <w:rPr>
          <w:rFonts w:ascii="宋体" w:hAnsi="宋体" w:cs="宋体"/>
          <w:b/>
          <w:color w:val="auto"/>
          <w:sz w:val="24"/>
          <w:highlight w:val="none"/>
        </w:rPr>
      </w:pPr>
      <w:bookmarkStart w:id="485" w:name="_Toc7860"/>
      <w:r>
        <w:rPr>
          <w:rFonts w:hint="eastAsia" w:ascii="宋体" w:hAnsi="宋体" w:cs="宋体"/>
          <w:b/>
          <w:color w:val="auto"/>
          <w:sz w:val="24"/>
          <w:highlight w:val="none"/>
        </w:rPr>
        <w:t>2.7 质量保证</w:t>
      </w:r>
      <w:bookmarkEnd w:id="485"/>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2.7.1 乙方应建立和完善履行合同的内部质量保证体系，并提供相关内部规章制度给甲方，以便甲方进行监督检查；</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2.7.2 乙方应保证履行合同的人员数量和素质、软件和硬件设备的配置、场地、环境和设施等满足全面履行合同的要求，并应接受甲方的监督检查。</w:t>
      </w:r>
    </w:p>
    <w:p>
      <w:pPr>
        <w:spacing w:line="560" w:lineRule="exact"/>
        <w:ind w:firstLine="482" w:firstLineChars="200"/>
        <w:outlineLvl w:val="0"/>
        <w:rPr>
          <w:rFonts w:ascii="宋体" w:hAnsi="宋体" w:cs="宋体"/>
          <w:b/>
          <w:color w:val="auto"/>
          <w:sz w:val="24"/>
          <w:highlight w:val="none"/>
        </w:rPr>
      </w:pPr>
      <w:bookmarkStart w:id="486" w:name="_Toc17244"/>
      <w:bookmarkStart w:id="487" w:name="_Toc259093681"/>
      <w:bookmarkStart w:id="488" w:name="_Toc279701252"/>
      <w:bookmarkStart w:id="489" w:name="_Toc487900362"/>
      <w:r>
        <w:rPr>
          <w:rFonts w:hint="eastAsia" w:ascii="宋体" w:hAnsi="宋体" w:cs="宋体"/>
          <w:b/>
          <w:color w:val="auto"/>
          <w:sz w:val="24"/>
          <w:highlight w:val="none"/>
        </w:rPr>
        <w:t>2.8 货物的风险负担</w:t>
      </w:r>
      <w:bookmarkEnd w:id="486"/>
    </w:p>
    <w:p>
      <w:pPr>
        <w:spacing w:line="560" w:lineRule="exact"/>
        <w:ind w:firstLine="480" w:firstLineChars="200"/>
        <w:rPr>
          <w:rFonts w:ascii="宋体" w:hAnsi="宋体" w:cs="宋体"/>
          <w:b/>
          <w:color w:val="auto"/>
          <w:sz w:val="24"/>
          <w:highlight w:val="none"/>
        </w:rPr>
      </w:pPr>
      <w:r>
        <w:rPr>
          <w:rFonts w:hint="eastAsia" w:ascii="宋体" w:hAnsi="宋体" w:cs="宋体"/>
          <w:color w:val="auto"/>
          <w:sz w:val="24"/>
          <w:highlight w:val="none"/>
        </w:rPr>
        <w:t>货物或者在途货物或者交付给第一承运人后的货物毁损、灭失的风险负担详见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pPr>
        <w:spacing w:line="560" w:lineRule="exact"/>
        <w:ind w:firstLine="482" w:firstLineChars="200"/>
        <w:outlineLvl w:val="0"/>
        <w:rPr>
          <w:rFonts w:ascii="宋体" w:hAnsi="宋体" w:cs="宋体"/>
          <w:b/>
          <w:color w:val="auto"/>
          <w:sz w:val="24"/>
          <w:highlight w:val="none"/>
        </w:rPr>
      </w:pPr>
      <w:bookmarkStart w:id="490" w:name="_Toc14055"/>
      <w:r>
        <w:rPr>
          <w:rFonts w:hint="eastAsia" w:ascii="宋体" w:hAnsi="宋体" w:cs="宋体"/>
          <w:b/>
          <w:color w:val="auto"/>
          <w:sz w:val="24"/>
          <w:highlight w:val="none"/>
        </w:rPr>
        <w:t>2.9 延迟交货</w:t>
      </w:r>
      <w:bookmarkEnd w:id="487"/>
      <w:bookmarkEnd w:id="488"/>
      <w:bookmarkEnd w:id="489"/>
      <w:bookmarkEnd w:id="490"/>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560" w:lineRule="exact"/>
        <w:ind w:firstLine="482" w:firstLineChars="200"/>
        <w:outlineLvl w:val="0"/>
        <w:rPr>
          <w:rFonts w:ascii="宋体" w:hAnsi="宋体" w:cs="宋体"/>
          <w:b/>
          <w:color w:val="auto"/>
          <w:sz w:val="24"/>
          <w:highlight w:val="none"/>
        </w:rPr>
      </w:pPr>
      <w:bookmarkStart w:id="491" w:name="_Toc7502"/>
      <w:bookmarkStart w:id="492" w:name="_Toc487900364"/>
      <w:bookmarkStart w:id="493" w:name="_Toc259093683"/>
      <w:bookmarkStart w:id="494" w:name="_Toc279701254"/>
      <w:bookmarkStart w:id="495" w:name="_Ref467378121"/>
      <w:r>
        <w:rPr>
          <w:rFonts w:hint="eastAsia" w:ascii="宋体" w:hAnsi="宋体" w:cs="宋体"/>
          <w:b/>
          <w:color w:val="auto"/>
          <w:sz w:val="24"/>
          <w:highlight w:val="none"/>
        </w:rPr>
        <w:t>2.10 合同变更</w:t>
      </w:r>
      <w:bookmarkEnd w:id="491"/>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合同继续履行将损害国家利益和社会公共利益的，双方当事人应当以书面形式变更合同。有过错的一方应当承担赔偿责任，双方当事人都有过错的，各自承担相应的责任。</w:t>
      </w:r>
      <w:bookmarkStart w:id="496" w:name="_Toc279701259"/>
      <w:bookmarkStart w:id="497" w:name="_Toc487900369"/>
      <w:bookmarkStart w:id="498" w:name="_Toc259093688"/>
    </w:p>
    <w:p>
      <w:pPr>
        <w:spacing w:line="560" w:lineRule="exact"/>
        <w:ind w:firstLine="482" w:firstLineChars="200"/>
        <w:outlineLvl w:val="0"/>
        <w:rPr>
          <w:rFonts w:ascii="宋体" w:hAnsi="宋体" w:cs="宋体"/>
          <w:b/>
          <w:color w:val="auto"/>
          <w:sz w:val="24"/>
          <w:highlight w:val="none"/>
        </w:rPr>
      </w:pPr>
      <w:bookmarkStart w:id="499" w:name="_Toc15237"/>
      <w:bookmarkStart w:id="500" w:name="_Toc22955"/>
      <w:bookmarkStart w:id="501" w:name="_Toc10366"/>
      <w:r>
        <w:rPr>
          <w:rFonts w:hint="eastAsia" w:ascii="宋体" w:hAnsi="宋体" w:cs="宋体"/>
          <w:b/>
          <w:color w:val="auto"/>
          <w:sz w:val="24"/>
          <w:highlight w:val="none"/>
        </w:rPr>
        <w:t>2.11 合同转让</w:t>
      </w:r>
      <w:bookmarkEnd w:id="496"/>
      <w:bookmarkEnd w:id="497"/>
      <w:bookmarkEnd w:id="498"/>
      <w:r>
        <w:rPr>
          <w:rFonts w:hint="eastAsia" w:ascii="宋体" w:hAnsi="宋体" w:cs="宋体"/>
          <w:b/>
          <w:color w:val="auto"/>
          <w:sz w:val="24"/>
          <w:highlight w:val="none"/>
        </w:rPr>
        <w:t>和分包</w:t>
      </w:r>
      <w:bookmarkEnd w:id="499"/>
      <w:bookmarkEnd w:id="500"/>
      <w:bookmarkEnd w:id="501"/>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2.11.2乙方采取分包方式履行合同的，甲方可直接向分包供应商支付款项。</w:t>
      </w:r>
    </w:p>
    <w:p>
      <w:pPr>
        <w:spacing w:line="560" w:lineRule="exact"/>
        <w:ind w:firstLine="482" w:firstLineChars="200"/>
        <w:outlineLvl w:val="0"/>
        <w:rPr>
          <w:rFonts w:ascii="宋体" w:hAnsi="宋体" w:cs="宋体"/>
          <w:b/>
          <w:color w:val="auto"/>
          <w:sz w:val="24"/>
          <w:highlight w:val="none"/>
        </w:rPr>
      </w:pPr>
      <w:bookmarkStart w:id="502" w:name="_Toc14066"/>
      <w:bookmarkStart w:id="503" w:name="_Toc13566"/>
      <w:bookmarkStart w:id="504" w:name="_Toc16508"/>
      <w:r>
        <w:rPr>
          <w:rFonts w:hint="eastAsia" w:ascii="宋体" w:hAnsi="宋体" w:cs="宋体"/>
          <w:b/>
          <w:color w:val="auto"/>
          <w:sz w:val="24"/>
          <w:highlight w:val="none"/>
        </w:rPr>
        <w:t>2.12 不可抗力</w:t>
      </w:r>
      <w:bookmarkEnd w:id="502"/>
      <w:bookmarkEnd w:id="503"/>
      <w:bookmarkEnd w:id="504"/>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2.12.1如果任何一方遭遇法律规定的不可抗力，致使合同履行受阻时，履行合同的期限应予延长，延长的期限应相当于不可抗力所影响的时间；</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2.12.2 因不可抗力致使不能实现合同目的的，当事人可以解除合同；</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2.12.3 因不可抗力致使合同有变更必要的，双方当事人应在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约定时间内以书面形式变更合同；</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2.12.4受不可抗力影响的一方在不可抗力发生后，应在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约定时间内以书面形式通知对方当事人，并在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约定时间内，将有关部门出具的证明文件送达对方当事人。</w:t>
      </w:r>
    </w:p>
    <w:p>
      <w:pPr>
        <w:spacing w:line="560" w:lineRule="exact"/>
        <w:ind w:firstLine="482" w:firstLineChars="200"/>
        <w:outlineLvl w:val="0"/>
        <w:rPr>
          <w:rFonts w:ascii="宋体" w:hAnsi="宋体" w:cs="宋体"/>
          <w:b/>
          <w:color w:val="auto"/>
          <w:sz w:val="24"/>
          <w:highlight w:val="none"/>
        </w:rPr>
      </w:pPr>
      <w:bookmarkStart w:id="505" w:name="_Toc279701255"/>
      <w:bookmarkStart w:id="506" w:name="_Toc259093684"/>
      <w:bookmarkStart w:id="507" w:name="_Toc487900365"/>
      <w:bookmarkStart w:id="508" w:name="_Toc6969"/>
      <w:bookmarkStart w:id="509" w:name="_Toc30676"/>
      <w:bookmarkStart w:id="510" w:name="_Toc689"/>
      <w:r>
        <w:rPr>
          <w:rFonts w:hint="eastAsia" w:ascii="宋体" w:hAnsi="宋体" w:cs="宋体"/>
          <w:b/>
          <w:color w:val="auto"/>
          <w:sz w:val="24"/>
          <w:highlight w:val="none"/>
        </w:rPr>
        <w:t>2.13 税费</w:t>
      </w:r>
      <w:bookmarkEnd w:id="505"/>
      <w:bookmarkEnd w:id="506"/>
      <w:bookmarkEnd w:id="507"/>
      <w:bookmarkEnd w:id="508"/>
      <w:bookmarkEnd w:id="509"/>
      <w:bookmarkEnd w:id="510"/>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w:t>
      </w:r>
    </w:p>
    <w:p>
      <w:pPr>
        <w:spacing w:line="560" w:lineRule="exact"/>
        <w:ind w:firstLine="482" w:firstLineChars="200"/>
        <w:outlineLvl w:val="0"/>
        <w:rPr>
          <w:rFonts w:ascii="宋体" w:hAnsi="宋体" w:cs="宋体"/>
          <w:b/>
          <w:color w:val="auto"/>
          <w:sz w:val="24"/>
          <w:highlight w:val="none"/>
        </w:rPr>
      </w:pPr>
      <w:bookmarkStart w:id="511" w:name="_Toc487900368"/>
      <w:bookmarkStart w:id="512" w:name="_Toc279701258"/>
      <w:bookmarkStart w:id="513" w:name="_Toc259093687"/>
      <w:bookmarkStart w:id="514" w:name="_Toc7102"/>
      <w:bookmarkStart w:id="515" w:name="_Toc8298"/>
      <w:bookmarkStart w:id="516" w:name="_Toc16959"/>
      <w:r>
        <w:rPr>
          <w:rFonts w:hint="eastAsia" w:ascii="宋体" w:hAnsi="宋体" w:cs="宋体"/>
          <w:b/>
          <w:color w:val="auto"/>
          <w:sz w:val="24"/>
          <w:highlight w:val="none"/>
        </w:rPr>
        <w:t>2.14乙方破产</w:t>
      </w:r>
      <w:bookmarkEnd w:id="511"/>
      <w:bookmarkEnd w:id="512"/>
      <w:bookmarkEnd w:id="513"/>
      <w:bookmarkEnd w:id="514"/>
      <w:bookmarkEnd w:id="515"/>
      <w:bookmarkEnd w:id="516"/>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560" w:lineRule="exact"/>
        <w:ind w:firstLine="482" w:firstLineChars="200"/>
        <w:outlineLvl w:val="0"/>
        <w:rPr>
          <w:rFonts w:ascii="宋体" w:hAnsi="宋体" w:cs="宋体"/>
          <w:b/>
          <w:color w:val="auto"/>
          <w:sz w:val="24"/>
          <w:highlight w:val="none"/>
        </w:rPr>
      </w:pPr>
      <w:bookmarkStart w:id="517" w:name="_Toc6134"/>
      <w:bookmarkStart w:id="518" w:name="_Toc15387"/>
      <w:bookmarkStart w:id="519" w:name="_Toc29333"/>
      <w:r>
        <w:rPr>
          <w:rFonts w:hint="eastAsia" w:ascii="宋体" w:hAnsi="宋体" w:cs="宋体"/>
          <w:b/>
          <w:color w:val="auto"/>
          <w:sz w:val="24"/>
          <w:highlight w:val="none"/>
        </w:rPr>
        <w:t>2.15 合同中止、终止</w:t>
      </w:r>
      <w:bookmarkEnd w:id="517"/>
      <w:bookmarkEnd w:id="518"/>
      <w:bookmarkEnd w:id="519"/>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2.15.1 双方当事人不得擅自中止或者终止合同；</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2.15.2合同继续履行将损害国家利益和社会公共利益的，双方当事人应当中止或者终止合同。有过错的一方应当承担赔偿责任，双方当事人都有过错的，各自承担相应的责任。</w:t>
      </w:r>
    </w:p>
    <w:p>
      <w:pPr>
        <w:spacing w:line="560" w:lineRule="exact"/>
        <w:ind w:firstLine="482" w:firstLineChars="200"/>
        <w:outlineLvl w:val="0"/>
        <w:rPr>
          <w:rFonts w:ascii="宋体" w:hAnsi="宋体" w:cs="宋体"/>
          <w:b/>
          <w:color w:val="auto"/>
          <w:sz w:val="24"/>
          <w:highlight w:val="none"/>
        </w:rPr>
      </w:pPr>
      <w:bookmarkStart w:id="520" w:name="_Toc6596"/>
      <w:bookmarkStart w:id="521" w:name="_Toc14563"/>
      <w:bookmarkStart w:id="522" w:name="_Toc1125"/>
      <w:r>
        <w:rPr>
          <w:rFonts w:hint="eastAsia" w:ascii="宋体" w:hAnsi="宋体" w:cs="宋体"/>
          <w:b/>
          <w:color w:val="auto"/>
          <w:sz w:val="24"/>
          <w:highlight w:val="none"/>
        </w:rPr>
        <w:t>2.16检验和验收</w:t>
      </w:r>
      <w:bookmarkEnd w:id="520"/>
      <w:bookmarkEnd w:id="521"/>
      <w:bookmarkEnd w:id="522"/>
    </w:p>
    <w:p>
      <w:pPr>
        <w:tabs>
          <w:tab w:val="left" w:pos="360"/>
          <w:tab w:val="left" w:pos="540"/>
          <w:tab w:val="left" w:pos="1080"/>
        </w:tabs>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2.16.1货物交付前，乙方应对货物的质量、数量等方面进行详细、全面的检验，并向甲方出具证明货物符合合同约定的文件；货物交付时，甲方在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约定时间内组织验收，并可依法邀请相关方参加，验收应出具验收书。</w:t>
      </w:r>
    </w:p>
    <w:p>
      <w:pPr>
        <w:tabs>
          <w:tab w:val="left" w:pos="360"/>
          <w:tab w:val="left" w:pos="540"/>
          <w:tab w:val="left" w:pos="1080"/>
        </w:tabs>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pPr>
        <w:tabs>
          <w:tab w:val="left" w:pos="360"/>
          <w:tab w:val="left" w:pos="540"/>
          <w:tab w:val="left" w:pos="1080"/>
        </w:tabs>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2.16.3 检验和验收标准、程序等具体内容以及前述验收书的效力详见</w:t>
      </w:r>
      <w:r>
        <w:rPr>
          <w:rFonts w:hint="eastAsia" w:ascii="宋体" w:hAnsi="宋体" w:cs="宋体"/>
          <w:b/>
          <w:i/>
          <w:color w:val="auto"/>
          <w:sz w:val="24"/>
          <w:highlight w:val="none"/>
          <w:u w:val="single"/>
        </w:rPr>
        <w:t>合同专用条款</w:t>
      </w:r>
      <w:r>
        <w:rPr>
          <w:rFonts w:hint="eastAsia" w:ascii="宋体" w:hAnsi="宋体" w:cs="宋体"/>
          <w:i/>
          <w:color w:val="auto"/>
          <w:sz w:val="24"/>
          <w:highlight w:val="none"/>
        </w:rPr>
        <w:t>。</w:t>
      </w:r>
    </w:p>
    <w:bookmarkEnd w:id="492"/>
    <w:bookmarkEnd w:id="493"/>
    <w:bookmarkEnd w:id="494"/>
    <w:bookmarkEnd w:id="495"/>
    <w:p>
      <w:pPr>
        <w:spacing w:line="560" w:lineRule="exact"/>
        <w:ind w:firstLine="482" w:firstLineChars="200"/>
        <w:outlineLvl w:val="0"/>
        <w:rPr>
          <w:rFonts w:ascii="宋体" w:hAnsi="宋体" w:cs="宋体"/>
          <w:b/>
          <w:color w:val="auto"/>
          <w:sz w:val="24"/>
          <w:highlight w:val="none"/>
        </w:rPr>
      </w:pPr>
      <w:bookmarkStart w:id="523" w:name="_Toc259093690"/>
      <w:bookmarkStart w:id="524" w:name="_Toc279701261"/>
      <w:bookmarkStart w:id="525" w:name="_Toc487900371"/>
      <w:bookmarkStart w:id="526" w:name="_Toc19604"/>
      <w:bookmarkStart w:id="527" w:name="_Toc11284"/>
      <w:bookmarkStart w:id="528" w:name="_Toc25182"/>
      <w:r>
        <w:rPr>
          <w:rFonts w:hint="eastAsia" w:ascii="宋体" w:hAnsi="宋体" w:cs="宋体"/>
          <w:b/>
          <w:color w:val="auto"/>
          <w:sz w:val="24"/>
          <w:highlight w:val="none"/>
        </w:rPr>
        <w:t>2.17 通知</w:t>
      </w:r>
      <w:bookmarkEnd w:id="523"/>
      <w:bookmarkEnd w:id="524"/>
      <w:bookmarkEnd w:id="525"/>
      <w:r>
        <w:rPr>
          <w:rFonts w:hint="eastAsia" w:ascii="宋体" w:hAnsi="宋体" w:cs="宋体"/>
          <w:b/>
          <w:color w:val="auto"/>
          <w:sz w:val="24"/>
          <w:highlight w:val="none"/>
        </w:rPr>
        <w:t>和送达</w:t>
      </w:r>
      <w:bookmarkEnd w:id="526"/>
      <w:bookmarkEnd w:id="527"/>
      <w:bookmarkEnd w:id="528"/>
    </w:p>
    <w:p>
      <w:pPr>
        <w:spacing w:line="560" w:lineRule="exact"/>
        <w:ind w:firstLine="480" w:firstLineChars="200"/>
        <w:rPr>
          <w:rFonts w:ascii="宋体" w:hAnsi="宋体" w:cs="宋体"/>
          <w:color w:val="auto"/>
          <w:sz w:val="24"/>
          <w:highlight w:val="none"/>
        </w:rPr>
      </w:pPr>
      <w:bookmarkStart w:id="529" w:name="_Toc3135"/>
      <w:bookmarkStart w:id="530" w:name="_Toc6698"/>
      <w:bookmarkStart w:id="531" w:name="_Toc279701262"/>
      <w:bookmarkStart w:id="532" w:name="_Toc487900372"/>
      <w:bookmarkStart w:id="533" w:name="_Toc259093691"/>
      <w:r>
        <w:rPr>
          <w:rFonts w:hint="eastAsia" w:ascii="宋体" w:hAnsi="宋体" w:cs="宋体"/>
          <w:color w:val="auto"/>
          <w:sz w:val="24"/>
          <w:highlight w:val="none"/>
        </w:rPr>
        <w:t xml:space="preserve">2.17.1任何一方因履行合同而以合同第一部分尾部所列明的传真或电子邮件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发出的所有通知、文件、材料，均视为已向对方当事人送达；任何一方变更上述送达方式或者地址的，应于</w:t>
      </w:r>
      <w:r>
        <w:rPr>
          <w:rFonts w:hint="eastAsia" w:ascii="宋体" w:hAnsi="宋体" w:cs="宋体"/>
          <w:color w:val="auto"/>
          <w:sz w:val="24"/>
          <w:highlight w:val="none"/>
          <w:u w:val="single"/>
        </w:rPr>
        <w:t>3</w:t>
      </w:r>
      <w:r>
        <w:rPr>
          <w:rFonts w:hint="eastAsia" w:ascii="宋体" w:hAnsi="宋体" w:cs="宋体"/>
          <w:color w:val="auto"/>
          <w:sz w:val="24"/>
          <w:highlight w:val="none"/>
        </w:rPr>
        <w:t>个工作日内书面通知对方当事人，在对方当事人收到有关变更通知之前，变更前的约定送达方式或者地址仍视为有效。</w:t>
      </w:r>
      <w:bookmarkEnd w:id="529"/>
      <w:bookmarkEnd w:id="530"/>
    </w:p>
    <w:p>
      <w:pPr>
        <w:spacing w:line="560" w:lineRule="exact"/>
        <w:ind w:firstLine="480" w:firstLineChars="200"/>
        <w:rPr>
          <w:rFonts w:ascii="宋体" w:hAnsi="宋体" w:cs="宋体"/>
          <w:color w:val="auto"/>
          <w:sz w:val="24"/>
          <w:highlight w:val="none"/>
        </w:rPr>
      </w:pPr>
      <w:bookmarkStart w:id="534" w:name="_Toc23294"/>
      <w:bookmarkStart w:id="535" w:name="_Toc23128"/>
      <w:r>
        <w:rPr>
          <w:rFonts w:hint="eastAsia" w:ascii="宋体" w:hAnsi="宋体" w:cs="宋体"/>
          <w:color w:val="auto"/>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534"/>
      <w:bookmarkEnd w:id="535"/>
    </w:p>
    <w:p>
      <w:pPr>
        <w:spacing w:line="560" w:lineRule="exact"/>
        <w:ind w:firstLine="482" w:firstLineChars="200"/>
        <w:outlineLvl w:val="0"/>
        <w:rPr>
          <w:rFonts w:ascii="宋体" w:hAnsi="宋体" w:cs="宋体"/>
          <w:b/>
          <w:color w:val="auto"/>
          <w:sz w:val="24"/>
          <w:highlight w:val="none"/>
        </w:rPr>
      </w:pPr>
      <w:bookmarkStart w:id="536" w:name="_Toc30599"/>
      <w:bookmarkStart w:id="537" w:name="_Toc18540"/>
      <w:bookmarkStart w:id="538" w:name="_Toc4355"/>
      <w:r>
        <w:rPr>
          <w:rFonts w:hint="eastAsia" w:ascii="宋体" w:hAnsi="宋体" w:cs="宋体"/>
          <w:b/>
          <w:color w:val="auto"/>
          <w:sz w:val="24"/>
          <w:highlight w:val="none"/>
        </w:rPr>
        <w:t>2.18 计量单位</w:t>
      </w:r>
      <w:bookmarkEnd w:id="531"/>
      <w:bookmarkEnd w:id="532"/>
      <w:bookmarkEnd w:id="533"/>
      <w:bookmarkEnd w:id="536"/>
      <w:bookmarkEnd w:id="537"/>
      <w:bookmarkEnd w:id="538"/>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pPr>
        <w:spacing w:line="560" w:lineRule="exact"/>
        <w:ind w:firstLine="482" w:firstLineChars="200"/>
        <w:outlineLvl w:val="0"/>
        <w:rPr>
          <w:rFonts w:ascii="宋体" w:hAnsi="宋体" w:cs="宋体"/>
          <w:b/>
          <w:color w:val="auto"/>
          <w:sz w:val="24"/>
          <w:highlight w:val="none"/>
        </w:rPr>
      </w:pPr>
      <w:bookmarkStart w:id="539" w:name="_Toc10330"/>
      <w:bookmarkStart w:id="540" w:name="_Toc279701263"/>
      <w:bookmarkStart w:id="541" w:name="_Toc259093692"/>
      <w:bookmarkStart w:id="542" w:name="_Toc487900373"/>
      <w:bookmarkStart w:id="543" w:name="_Toc12773"/>
      <w:bookmarkStart w:id="544" w:name="_Toc18567"/>
      <w:r>
        <w:rPr>
          <w:rFonts w:hint="eastAsia" w:ascii="宋体" w:hAnsi="宋体" w:cs="宋体"/>
          <w:b/>
          <w:color w:val="auto"/>
          <w:sz w:val="24"/>
          <w:highlight w:val="none"/>
        </w:rPr>
        <w:t>2.19 合同使用的文字和适用的法律</w:t>
      </w:r>
      <w:bookmarkEnd w:id="539"/>
      <w:bookmarkEnd w:id="540"/>
      <w:bookmarkEnd w:id="541"/>
      <w:bookmarkEnd w:id="542"/>
      <w:bookmarkEnd w:id="543"/>
      <w:bookmarkEnd w:id="544"/>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2.19.1 合同使用汉语书就、变更和解释；</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2.19.2 合同适用中华人民共和国法律。</w:t>
      </w:r>
    </w:p>
    <w:p>
      <w:pPr>
        <w:spacing w:line="560" w:lineRule="exact"/>
        <w:ind w:firstLine="482" w:firstLineChars="200"/>
        <w:outlineLvl w:val="0"/>
        <w:rPr>
          <w:rFonts w:ascii="宋体" w:hAnsi="宋体" w:cs="宋体"/>
          <w:b/>
          <w:color w:val="auto"/>
          <w:sz w:val="24"/>
          <w:highlight w:val="none"/>
        </w:rPr>
      </w:pPr>
      <w:bookmarkStart w:id="545" w:name="_Toc12004"/>
      <w:bookmarkStart w:id="546" w:name="_Toc259093693"/>
      <w:bookmarkStart w:id="547" w:name="_Toc279701264"/>
      <w:bookmarkStart w:id="548" w:name="_Toc16673"/>
      <w:bookmarkStart w:id="549" w:name="_Toc3148"/>
      <w:bookmarkStart w:id="550" w:name="_Toc487900374"/>
      <w:r>
        <w:rPr>
          <w:rFonts w:hint="eastAsia" w:ascii="宋体" w:hAnsi="宋体" w:cs="宋体"/>
          <w:b/>
          <w:color w:val="auto"/>
          <w:sz w:val="24"/>
          <w:highlight w:val="none"/>
        </w:rPr>
        <w:t>2.20 履约保证金</w:t>
      </w:r>
      <w:bookmarkEnd w:id="545"/>
      <w:bookmarkEnd w:id="546"/>
      <w:bookmarkEnd w:id="547"/>
      <w:bookmarkEnd w:id="548"/>
      <w:bookmarkEnd w:id="549"/>
    </w:p>
    <w:p>
      <w:pPr>
        <w:pStyle w:val="616"/>
        <w:spacing w:before="0" w:beforeAutospacing="0" w:after="0" w:afterAutospacing="0" w:line="360" w:lineRule="auto"/>
        <w:ind w:firstLine="420"/>
        <w:rPr>
          <w:color w:val="auto"/>
          <w:highlight w:val="none"/>
        </w:rPr>
      </w:pPr>
      <w:r>
        <w:rPr>
          <w:rFonts w:hint="eastAsia"/>
          <w:color w:val="auto"/>
          <w:highlight w:val="none"/>
        </w:rPr>
        <w:t>2.20.1 采购文件要求乙方提交履约保证金的，乙方应按</w:t>
      </w:r>
      <w:r>
        <w:rPr>
          <w:rFonts w:hint="eastAsia"/>
          <w:b/>
          <w:i/>
          <w:color w:val="auto"/>
          <w:highlight w:val="none"/>
          <w:u w:val="single"/>
        </w:rPr>
        <w:t>合同专用条款</w:t>
      </w:r>
      <w:r>
        <w:rPr>
          <w:rFonts w:hint="eastAsia"/>
          <w:color w:val="auto"/>
          <w:highlight w:val="none"/>
        </w:rPr>
        <w:t>约定的方式，以支票、汇票、本票或者金融机构、担保机构出具的保函等非现金形式，提交不超过合同金额</w:t>
      </w:r>
      <w:r>
        <w:rPr>
          <w:color w:val="auto"/>
          <w:highlight w:val="none"/>
        </w:rPr>
        <w:t>1%</w:t>
      </w:r>
      <w:r>
        <w:rPr>
          <w:rFonts w:hint="eastAsia"/>
          <w:color w:val="auto"/>
          <w:highlight w:val="none"/>
        </w:rPr>
        <w:t>的履约保证金；鼓励和支持乙方以银行、保险公司出具的保函形式提供履约保证，乙方以银行、保险公司出具保函形式提交履约保证金的，甲方不得拒收。</w:t>
      </w:r>
    </w:p>
    <w:p>
      <w:pPr>
        <w:spacing w:line="560" w:lineRule="exact"/>
        <w:ind w:firstLine="480" w:firstLineChars="200"/>
        <w:rPr>
          <w:rFonts w:ascii="宋体" w:hAnsi="宋体" w:cs="宋体"/>
          <w:color w:val="auto"/>
          <w:sz w:val="24"/>
          <w:highlight w:val="none"/>
        </w:rPr>
      </w:pPr>
      <w:r>
        <w:rPr>
          <w:rFonts w:ascii="宋体" w:hAnsi="宋体" w:cs="宋体"/>
          <w:color w:val="auto"/>
          <w:sz w:val="24"/>
          <w:highlight w:val="none"/>
        </w:rPr>
        <w:t xml:space="preserve">2.20.2  </w:t>
      </w:r>
      <w:r>
        <w:rPr>
          <w:rFonts w:hint="eastAsia" w:ascii="宋体" w:hAnsi="宋体" w:cs="宋体"/>
          <w:color w:val="auto"/>
          <w:sz w:val="24"/>
          <w:highlight w:val="none"/>
        </w:rPr>
        <w:t>甲方在项目验收结束后及时退还履约保证金。甲方在项目通过验收之日起</w:t>
      </w:r>
      <w:r>
        <w:rPr>
          <w:rFonts w:hint="eastAsia" w:ascii="宋体" w:hAnsi="宋体" w:cs="宋体"/>
          <w:color w:val="auto"/>
          <w:sz w:val="24"/>
          <w:highlight w:val="none"/>
          <w:u w:val="single"/>
        </w:rPr>
        <w:t xml:space="preserve"> </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个工作日内将履约保证金退还乙方，逾期退还的，乙方可要求甲方支付违约金，违约金按每迟延退还一日的应退还而未退还金额的</w:t>
      </w:r>
      <w:r>
        <w:rPr>
          <w:rFonts w:hint="eastAsia" w:ascii="宋体" w:hAnsi="宋体" w:cs="宋体"/>
          <w:color w:val="auto"/>
          <w:sz w:val="24"/>
          <w:highlight w:val="none"/>
          <w:u w:val="single"/>
        </w:rPr>
        <w:t xml:space="preserve">  0.05  </w:t>
      </w:r>
      <w:r>
        <w:rPr>
          <w:rFonts w:hint="eastAsia" w:ascii="宋体" w:hAnsi="宋体" w:cs="宋体"/>
          <w:color w:val="auto"/>
          <w:sz w:val="24"/>
          <w:highlight w:val="none"/>
        </w:rPr>
        <w:t>%计算，最高限额为本合同履约保证金的</w:t>
      </w:r>
      <w:r>
        <w:rPr>
          <w:rFonts w:hint="eastAsia" w:ascii="宋体" w:hAnsi="宋体" w:cs="宋体"/>
          <w:color w:val="auto"/>
          <w:sz w:val="24"/>
          <w:highlight w:val="none"/>
          <w:u w:val="single"/>
        </w:rPr>
        <w:t xml:space="preserve">  20   </w:t>
      </w:r>
      <w:r>
        <w:rPr>
          <w:rFonts w:hint="eastAsia" w:ascii="宋体" w:hAnsi="宋体" w:cs="宋体"/>
          <w:color w:val="auto"/>
          <w:sz w:val="24"/>
          <w:highlight w:val="none"/>
        </w:rPr>
        <w:t xml:space="preserve">%； </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2.20.3 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560" w:lineRule="exact"/>
        <w:ind w:firstLine="480" w:firstLineChars="200"/>
        <w:rPr>
          <w:rFonts w:ascii="宋体" w:hAnsi="宋体" w:cs="宋体"/>
          <w:color w:val="auto"/>
          <w:highlight w:val="none"/>
        </w:rPr>
      </w:pPr>
      <w:r>
        <w:rPr>
          <w:rFonts w:hint="eastAsia" w:ascii="宋体" w:hAnsi="宋体" w:cs="宋体"/>
          <w:color w:val="auto"/>
          <w:sz w:val="24"/>
          <w:highlight w:val="none"/>
        </w:rPr>
        <w:t>2.20.4甲方在乙方履行完合同约定义务事项后及时退还，延迟退还的，应当按照合同约定和法律规定承担相应的赔偿责任。</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2.21对于因甲方原因导致变更、中止或者终止政府采购合同的，甲方应当依照合同约定对供应商受到的损失予以赔偿或者补偿。</w:t>
      </w:r>
    </w:p>
    <w:bookmarkEnd w:id="550"/>
    <w:p>
      <w:pPr>
        <w:spacing w:line="560" w:lineRule="exact"/>
        <w:ind w:firstLine="482" w:firstLineChars="200"/>
        <w:outlineLvl w:val="0"/>
        <w:rPr>
          <w:rFonts w:ascii="宋体" w:hAnsi="宋体" w:cs="宋体"/>
          <w:b/>
          <w:color w:val="auto"/>
          <w:sz w:val="24"/>
          <w:highlight w:val="none"/>
        </w:rPr>
      </w:pPr>
      <w:bookmarkStart w:id="551" w:name="_Toc6885"/>
      <w:bookmarkStart w:id="552" w:name="_Toc14001"/>
      <w:bookmarkStart w:id="553" w:name="_Toc19890"/>
      <w:r>
        <w:rPr>
          <w:rFonts w:hint="eastAsia" w:ascii="宋体" w:hAnsi="宋体" w:cs="宋体"/>
          <w:b/>
          <w:color w:val="auto"/>
          <w:sz w:val="24"/>
          <w:highlight w:val="none"/>
        </w:rPr>
        <w:t>2.22合同份数</w:t>
      </w:r>
      <w:bookmarkEnd w:id="551"/>
      <w:bookmarkEnd w:id="552"/>
      <w:bookmarkEnd w:id="553"/>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合同份数按</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规定，每份均具有同等法律效力。</w:t>
      </w:r>
    </w:p>
    <w:p>
      <w:pPr>
        <w:adjustRightInd/>
        <w:spacing w:line="360" w:lineRule="auto"/>
        <w:ind w:firstLine="2513" w:firstLineChars="1197"/>
        <w:outlineLvl w:val="0"/>
        <w:rPr>
          <w:rFonts w:ascii="宋体" w:hAnsi="宋体" w:cs="宋体"/>
          <w:b/>
          <w:color w:val="auto"/>
          <w:highlight w:val="none"/>
        </w:rPr>
      </w:pPr>
      <w:r>
        <w:rPr>
          <w:rFonts w:hint="eastAsia" w:ascii="宋体" w:hAnsi="宋体" w:cs="宋体"/>
          <w:color w:val="auto"/>
          <w:kern w:val="0"/>
          <w:highlight w:val="none"/>
        </w:rPr>
        <w:br w:type="page"/>
      </w:r>
      <w:bookmarkStart w:id="554" w:name="_Toc331685784"/>
      <w:r>
        <w:rPr>
          <w:rFonts w:hint="eastAsia" w:ascii="宋体" w:hAnsi="宋体" w:cs="宋体"/>
          <w:b/>
          <w:color w:val="auto"/>
          <w:sz w:val="32"/>
          <w:szCs w:val="20"/>
          <w:highlight w:val="none"/>
        </w:rPr>
        <w:t xml:space="preserve"> </w:t>
      </w:r>
      <w:bookmarkEnd w:id="554"/>
      <w:r>
        <w:rPr>
          <w:rFonts w:hint="eastAsia" w:ascii="宋体" w:hAnsi="宋体" w:cs="宋体"/>
          <w:b/>
          <w:color w:val="auto"/>
          <w:sz w:val="32"/>
          <w:szCs w:val="20"/>
          <w:highlight w:val="none"/>
        </w:rPr>
        <w:t>第三部分  合同专用条款</w:t>
      </w:r>
    </w:p>
    <w:p>
      <w:pPr>
        <w:spacing w:line="560" w:lineRule="exact"/>
        <w:ind w:left="-420" w:leftChars="-200" w:right="-420" w:rightChars="-200" w:firstLine="480" w:firstLineChars="200"/>
        <w:rPr>
          <w:rFonts w:ascii="宋体" w:hAnsi="宋体" w:cs="宋体"/>
          <w:color w:val="auto"/>
          <w:highlight w:val="none"/>
        </w:rPr>
      </w:pPr>
      <w:r>
        <w:rPr>
          <w:rFonts w:hint="eastAsia" w:ascii="宋体" w:hAnsi="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7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51"/>
        <w:gridCol w:w="827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391" w:hRule="atLeast"/>
        </w:trPr>
        <w:tc>
          <w:tcPr>
            <w:tcW w:w="851" w:type="dxa"/>
            <w:tcBorders>
              <w:left w:val="single" w:color="auto" w:sz="4" w:space="0"/>
            </w:tcBorders>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条款号</w:t>
            </w:r>
          </w:p>
        </w:tc>
        <w:tc>
          <w:tcPr>
            <w:tcW w:w="8275"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1.4.4</w:t>
            </w:r>
          </w:p>
        </w:tc>
        <w:tc>
          <w:tcPr>
            <w:tcW w:w="8275" w:type="dxa"/>
            <w:vAlign w:val="center"/>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1.5.1 </w:t>
            </w:r>
          </w:p>
        </w:tc>
        <w:tc>
          <w:tcPr>
            <w:tcW w:w="8275" w:type="dxa"/>
            <w:vAlign w:val="center"/>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1.5.2</w:t>
            </w:r>
          </w:p>
        </w:tc>
        <w:tc>
          <w:tcPr>
            <w:tcW w:w="8275" w:type="dxa"/>
            <w:vAlign w:val="center"/>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1.5.3 </w:t>
            </w:r>
          </w:p>
        </w:tc>
        <w:tc>
          <w:tcPr>
            <w:tcW w:w="8275" w:type="dxa"/>
            <w:vAlign w:val="center"/>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1.6.7</w:t>
            </w:r>
          </w:p>
        </w:tc>
        <w:tc>
          <w:tcPr>
            <w:tcW w:w="8275" w:type="dxa"/>
            <w:vAlign w:val="center"/>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1.7</w:t>
            </w:r>
          </w:p>
        </w:tc>
        <w:tc>
          <w:tcPr>
            <w:tcW w:w="8275" w:type="dxa"/>
            <w:vAlign w:val="center"/>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1.7.1</w:t>
            </w:r>
          </w:p>
        </w:tc>
        <w:tc>
          <w:tcPr>
            <w:tcW w:w="8275" w:type="dxa"/>
            <w:vAlign w:val="center"/>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1.7.2</w:t>
            </w:r>
          </w:p>
        </w:tc>
        <w:tc>
          <w:tcPr>
            <w:tcW w:w="8275" w:type="dxa"/>
            <w:vAlign w:val="center"/>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2.3.2</w:t>
            </w:r>
          </w:p>
        </w:tc>
        <w:tc>
          <w:tcPr>
            <w:tcW w:w="8275" w:type="dxa"/>
            <w:vAlign w:val="center"/>
          </w:tcPr>
          <w:p>
            <w:pPr>
              <w:spacing w:line="360" w:lineRule="auto"/>
              <w:ind w:left="-420" w:leftChars="-200" w:right="-420" w:rightChars="-200" w:firstLine="480" w:firstLineChars="200"/>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2.4.1</w:t>
            </w:r>
          </w:p>
        </w:tc>
        <w:tc>
          <w:tcPr>
            <w:tcW w:w="8275" w:type="dxa"/>
            <w:vAlign w:val="center"/>
          </w:tcPr>
          <w:p>
            <w:pPr>
              <w:spacing w:line="360" w:lineRule="auto"/>
              <w:ind w:left="-420" w:leftChars="-200" w:right="-420" w:rightChars="-200" w:firstLine="480" w:firstLineChars="200"/>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2.4.3</w:t>
            </w:r>
          </w:p>
        </w:tc>
        <w:tc>
          <w:tcPr>
            <w:tcW w:w="8275" w:type="dxa"/>
            <w:vAlign w:val="center"/>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top"/>
          </w:tcPr>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2.8 </w:t>
            </w:r>
          </w:p>
        </w:tc>
        <w:tc>
          <w:tcPr>
            <w:tcW w:w="8275" w:type="dxa"/>
            <w:vAlign w:val="top"/>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2.12.3</w:t>
            </w:r>
          </w:p>
        </w:tc>
        <w:tc>
          <w:tcPr>
            <w:tcW w:w="8275" w:type="dxa"/>
            <w:vAlign w:val="center"/>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2.12.4</w:t>
            </w:r>
          </w:p>
        </w:tc>
        <w:tc>
          <w:tcPr>
            <w:tcW w:w="8275" w:type="dxa"/>
            <w:vAlign w:val="center"/>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88"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2.16.1</w:t>
            </w:r>
          </w:p>
        </w:tc>
        <w:tc>
          <w:tcPr>
            <w:tcW w:w="8275" w:type="dxa"/>
            <w:vAlign w:val="center"/>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352"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2.16.3</w:t>
            </w:r>
          </w:p>
        </w:tc>
        <w:tc>
          <w:tcPr>
            <w:tcW w:w="8275" w:type="dxa"/>
            <w:vAlign w:val="center"/>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352" w:hRule="atLeast"/>
        </w:trPr>
        <w:tc>
          <w:tcPr>
            <w:tcW w:w="851" w:type="dxa"/>
            <w:tcBorders>
              <w:left w:val="single" w:color="auto" w:sz="4" w:space="0"/>
            </w:tcBorders>
            <w:vAlign w:val="top"/>
          </w:tcPr>
          <w:p>
            <w:pPr>
              <w:spacing w:line="360" w:lineRule="auto"/>
              <w:rPr>
                <w:rFonts w:ascii="宋体" w:hAnsi="宋体" w:cs="宋体"/>
                <w:color w:val="auto"/>
                <w:sz w:val="24"/>
                <w:highlight w:val="none"/>
              </w:rPr>
            </w:pPr>
            <w:r>
              <w:rPr>
                <w:rFonts w:hint="eastAsia" w:ascii="宋体" w:hAnsi="宋体" w:cs="宋体"/>
                <w:color w:val="auto"/>
                <w:sz w:val="24"/>
                <w:highlight w:val="none"/>
              </w:rPr>
              <w:t>2.20.1</w:t>
            </w:r>
          </w:p>
        </w:tc>
        <w:tc>
          <w:tcPr>
            <w:tcW w:w="8275" w:type="dxa"/>
            <w:vAlign w:val="top"/>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5" w:hRule="atLeast"/>
        </w:trPr>
        <w:tc>
          <w:tcPr>
            <w:tcW w:w="851" w:type="dxa"/>
            <w:tcBorders>
              <w:left w:val="single" w:color="auto" w:sz="4" w:space="0"/>
            </w:tcBorders>
            <w:vAlign w:val="center"/>
          </w:tcPr>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2.20.2 </w:t>
            </w:r>
          </w:p>
        </w:tc>
        <w:tc>
          <w:tcPr>
            <w:tcW w:w="8275" w:type="dxa"/>
            <w:vAlign w:val="center"/>
          </w:tcPr>
          <w:p>
            <w:pPr>
              <w:spacing w:line="360" w:lineRule="auto"/>
              <w:rPr>
                <w:rFonts w:ascii="宋体" w:hAnsi="宋体" w:cs="宋体"/>
                <w:color w:val="auto"/>
                <w:sz w:val="24"/>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5" w:hRule="atLeast"/>
        </w:trPr>
        <w:tc>
          <w:tcPr>
            <w:tcW w:w="851" w:type="dxa"/>
            <w:tcBorders>
              <w:left w:val="single" w:color="auto" w:sz="4" w:space="0"/>
            </w:tcBorders>
            <w:vAlign w:val="center"/>
          </w:tcPr>
          <w:p>
            <w:pPr>
              <w:spacing w:line="360" w:lineRule="auto"/>
              <w:ind w:left="-420" w:leftChars="-200" w:right="-420" w:rightChars="-200" w:firstLine="480" w:firstLineChars="200"/>
              <w:outlineLvl w:val="0"/>
              <w:rPr>
                <w:rFonts w:ascii="宋体" w:hAnsi="宋体" w:cs="宋体"/>
                <w:color w:val="auto"/>
                <w:sz w:val="24"/>
                <w:highlight w:val="none"/>
              </w:rPr>
            </w:pPr>
            <w:r>
              <w:rPr>
                <w:rFonts w:hint="eastAsia" w:ascii="宋体" w:hAnsi="宋体" w:cs="宋体"/>
                <w:color w:val="auto"/>
                <w:sz w:val="24"/>
                <w:highlight w:val="none"/>
              </w:rPr>
              <w:t xml:space="preserve">2.22 </w:t>
            </w:r>
          </w:p>
        </w:tc>
        <w:tc>
          <w:tcPr>
            <w:tcW w:w="8275" w:type="dxa"/>
            <w:vAlign w:val="center"/>
          </w:tcPr>
          <w:p>
            <w:pPr>
              <w:spacing w:line="360" w:lineRule="auto"/>
              <w:rPr>
                <w:rFonts w:ascii="宋体" w:hAnsi="宋体" w:cs="宋体"/>
                <w:color w:val="auto"/>
                <w:sz w:val="24"/>
                <w:highlight w:val="none"/>
              </w:rPr>
            </w:pPr>
          </w:p>
        </w:tc>
      </w:tr>
    </w:tbl>
    <w:p>
      <w:pPr>
        <w:spacing w:line="360" w:lineRule="auto"/>
        <w:ind w:left="-420" w:leftChars="-200" w:right="-420" w:rightChars="-200" w:firstLine="480" w:firstLineChars="200"/>
        <w:rPr>
          <w:rFonts w:ascii="宋体" w:hAnsi="宋体" w:cs="宋体"/>
          <w:color w:val="auto"/>
          <w:sz w:val="24"/>
          <w:highlight w:val="none"/>
        </w:rPr>
      </w:pPr>
    </w:p>
    <w:p>
      <w:pPr>
        <w:spacing w:line="360" w:lineRule="auto"/>
        <w:ind w:left="-420" w:leftChars="-200" w:right="-420" w:rightChars="-200"/>
        <w:rPr>
          <w:rFonts w:ascii="宋体" w:hAnsi="宋体" w:cs="宋体"/>
          <w:color w:val="auto"/>
          <w:sz w:val="24"/>
          <w:highlight w:val="none"/>
        </w:rPr>
      </w:pPr>
    </w:p>
    <w:p>
      <w:pPr>
        <w:spacing w:line="360" w:lineRule="auto"/>
        <w:ind w:left="-420" w:leftChars="-200" w:right="-420" w:rightChars="-200" w:firstLine="480" w:firstLineChars="200"/>
        <w:jc w:val="center"/>
        <w:outlineLvl w:val="0"/>
        <w:rPr>
          <w:rFonts w:ascii="宋体" w:hAnsi="宋体" w:cs="宋体"/>
          <w:color w:val="auto"/>
          <w:sz w:val="24"/>
          <w:highlight w:val="none"/>
        </w:rPr>
      </w:pPr>
    </w:p>
    <w:p>
      <w:pPr>
        <w:spacing w:line="360" w:lineRule="auto"/>
        <w:ind w:left="-420" w:leftChars="-200" w:right="-420" w:rightChars="-200" w:firstLine="480" w:firstLineChars="200"/>
        <w:jc w:val="center"/>
        <w:outlineLvl w:val="0"/>
        <w:rPr>
          <w:rFonts w:ascii="宋体" w:hAnsi="宋体" w:cs="宋体"/>
          <w:color w:val="auto"/>
          <w:sz w:val="24"/>
          <w:highlight w:val="none"/>
        </w:rPr>
      </w:pPr>
    </w:p>
    <w:p>
      <w:pPr>
        <w:spacing w:line="360" w:lineRule="auto"/>
        <w:ind w:left="720" w:firstLine="723" w:firstLineChars="200"/>
        <w:outlineLvl w:val="0"/>
        <w:rPr>
          <w:rFonts w:ascii="宋体" w:hAnsi="宋体" w:cs="宋体"/>
          <w:b/>
          <w:color w:val="auto"/>
          <w:sz w:val="36"/>
          <w:szCs w:val="20"/>
          <w:highlight w:val="none"/>
        </w:rPr>
      </w:pPr>
      <w:r>
        <w:rPr>
          <w:rFonts w:hint="eastAsia" w:ascii="宋体" w:hAnsi="宋体" w:cs="宋体"/>
          <w:b/>
          <w:color w:val="auto"/>
          <w:sz w:val="36"/>
          <w:szCs w:val="20"/>
          <w:highlight w:val="none"/>
        </w:rPr>
        <w:t>第六部分</w:t>
      </w:r>
      <w:bookmarkEnd w:id="396"/>
      <w:r>
        <w:rPr>
          <w:rFonts w:hint="eastAsia" w:ascii="宋体" w:hAnsi="宋体" w:cs="宋体"/>
          <w:b/>
          <w:color w:val="auto"/>
          <w:sz w:val="36"/>
          <w:szCs w:val="20"/>
          <w:highlight w:val="none"/>
        </w:rPr>
        <w:t xml:space="preserve"> </w:t>
      </w:r>
      <w:bookmarkEnd w:id="397"/>
      <w:r>
        <w:rPr>
          <w:rFonts w:hint="eastAsia" w:ascii="宋体" w:hAnsi="宋体" w:cs="宋体"/>
          <w:b/>
          <w:color w:val="auto"/>
          <w:sz w:val="36"/>
          <w:szCs w:val="20"/>
          <w:highlight w:val="none"/>
        </w:rPr>
        <w:t>应提交的有关格式范例</w:t>
      </w:r>
    </w:p>
    <w:p>
      <w:pPr>
        <w:spacing w:line="360" w:lineRule="auto"/>
        <w:jc w:val="center"/>
        <w:outlineLvl w:val="0"/>
        <w:rPr>
          <w:rFonts w:ascii="宋体" w:hAnsi="宋体" w:cs="宋体"/>
          <w:b/>
          <w:color w:val="auto"/>
          <w:kern w:val="0"/>
          <w:sz w:val="36"/>
          <w:szCs w:val="36"/>
          <w:highlight w:val="none"/>
        </w:rPr>
      </w:pPr>
    </w:p>
    <w:p>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资格文件部分</w:t>
      </w:r>
    </w:p>
    <w:p>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pPr>
        <w:spacing w:line="360" w:lineRule="auto"/>
        <w:jc w:val="center"/>
        <w:outlineLvl w:val="0"/>
        <w:rPr>
          <w:rFonts w:ascii="宋体" w:hAnsi="宋体" w:cs="宋体"/>
          <w:b/>
          <w:color w:val="auto"/>
          <w:kern w:val="0"/>
          <w:sz w:val="36"/>
          <w:szCs w:val="36"/>
          <w:highlight w:val="none"/>
        </w:rPr>
      </w:pP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（1）符合参加政府采购活动应当具备的一般条件的承诺函……………（页码）</w:t>
      </w:r>
    </w:p>
    <w:p>
      <w:pPr>
        <w:snapToGrid w:val="0"/>
        <w:spacing w:line="360" w:lineRule="auto"/>
        <w:rPr>
          <w:rFonts w:ascii="宋体" w:hAnsi="宋体" w:cs="宋体"/>
          <w:color w:val="auto"/>
          <w:sz w:val="24"/>
          <w:highlight w:val="none"/>
        </w:rPr>
      </w:pPr>
      <w:r>
        <w:rPr>
          <w:rFonts w:hint="eastAsia" w:ascii="宋体" w:hAnsi="宋体" w:cs="宋体"/>
          <w:snapToGrid w:val="0"/>
          <w:color w:val="auto"/>
          <w:kern w:val="28"/>
          <w:sz w:val="24"/>
          <w:szCs w:val="20"/>
          <w:highlight w:val="none"/>
        </w:rPr>
        <w:t>（2）联合协议</w:t>
      </w:r>
      <w:r>
        <w:rPr>
          <w:rFonts w:hint="eastAsia" w:ascii="宋体" w:hAnsi="宋体" w:cs="宋体"/>
          <w:color w:val="auto"/>
          <w:sz w:val="24"/>
          <w:highlight w:val="none"/>
        </w:rPr>
        <w:t>………………………………………………………………（页码）</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）落实政府采购政策需满足的资格要求………………………………（页码）</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）本项目的特定资格要求………………………………………………（页码）</w:t>
      </w:r>
    </w:p>
    <w:p>
      <w:pPr>
        <w:snapToGrid w:val="0"/>
        <w:spacing w:line="360" w:lineRule="auto"/>
        <w:ind w:firstLine="480" w:firstLineChars="200"/>
        <w:rPr>
          <w:rFonts w:ascii="宋体" w:hAnsi="宋体" w:cs="宋体"/>
          <w:color w:val="auto"/>
          <w:sz w:val="24"/>
          <w:highlight w:val="none"/>
        </w:rPr>
      </w:pPr>
    </w:p>
    <w:p>
      <w:pPr>
        <w:spacing w:line="360" w:lineRule="auto"/>
        <w:ind w:firstLine="480" w:firstLineChars="200"/>
        <w:rPr>
          <w:rFonts w:ascii="宋体" w:hAnsi="宋体" w:cs="宋体"/>
          <w:color w:val="auto"/>
          <w:sz w:val="24"/>
          <w:highlight w:val="none"/>
        </w:rPr>
      </w:pPr>
    </w:p>
    <w:p>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color w:val="auto"/>
          <w:kern w:val="0"/>
          <w:sz w:val="24"/>
          <w:highlight w:val="none"/>
        </w:rPr>
        <w:br w:type="page"/>
      </w:r>
      <w:r>
        <w:rPr>
          <w:rFonts w:hint="eastAsia" w:ascii="宋体" w:hAnsi="宋体" w:cs="宋体"/>
          <w:b/>
          <w:color w:val="auto"/>
          <w:kern w:val="0"/>
          <w:sz w:val="32"/>
          <w:szCs w:val="32"/>
          <w:highlight w:val="none"/>
        </w:rPr>
        <w:t xml:space="preserve">  一、 符合参加政府采购活动应当具备的一般条件的承诺函</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（采购人）、杭州市公共资源交易中心</w:t>
      </w:r>
      <w:r>
        <w:rPr>
          <w:rFonts w:hint="eastAsia" w:ascii="宋体" w:hAnsi="宋体" w:cs="宋体"/>
          <w:color w:val="auto"/>
          <w:sz w:val="24"/>
          <w:highlight w:val="none"/>
          <w:lang w:eastAsia="zh-CN"/>
        </w:rPr>
        <w:t>临平分中心</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我方参与（项目名称）【招标编号：（采购编号）】政府采购活动，郑重承诺：</w:t>
      </w:r>
    </w:p>
    <w:p>
      <w:pPr>
        <w:snapToGrid w:val="0"/>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rPr>
        <w:t>（一）具备《中华人民共和国政府采购法》第二十二条第一款规定的条件：</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6、具有法律、行政法规规定的其他条件。</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（二）未被信用中国（www.creditchina.gov.cn)、中国政府采购网（www.ccgp.gov.cn）列入失信被执行人、重大税收违法案件当事人名单、政府采购严重违法失信行为记录名单。</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（三）不存在以下情况：</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1、单位负责人为同一人或者存在直接控股、管理关系的不同供应商参加同一合同项下的政府采购活动的；</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2、为采购项目提供整体设计、规范编制或者项目管理、监理、检测等服务后再参加该采购项目的其他采购活动的。</w:t>
      </w:r>
    </w:p>
    <w:p>
      <w:pPr>
        <w:snapToGrid w:val="0"/>
        <w:spacing w:line="360" w:lineRule="auto"/>
        <w:ind w:firstLine="5520" w:firstLineChars="23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pPr>
        <w:pStyle w:val="2"/>
        <w:rPr>
          <w:color w:val="auto"/>
          <w:highlight w:val="none"/>
        </w:rPr>
      </w:pPr>
    </w:p>
    <w:p>
      <w:pPr>
        <w:snapToGrid w:val="0"/>
        <w:spacing w:line="360" w:lineRule="auto"/>
        <w:ind w:right="480" w:firstLine="559" w:firstLineChars="233"/>
        <w:jc w:val="left"/>
        <w:rPr>
          <w:rFonts w:ascii="宋体" w:hAnsi="宋体" w:cs="宋体"/>
          <w:b/>
          <w:color w:val="auto"/>
          <w:kern w:val="0"/>
          <w:sz w:val="32"/>
          <w:szCs w:val="32"/>
          <w:highlight w:val="none"/>
        </w:rPr>
      </w:pPr>
      <w:r>
        <w:rPr>
          <w:rFonts w:hint="eastAsia" w:ascii="宋体" w:hAnsi="宋体" w:eastAsia="宋体" w:cs="仿宋_GB2312"/>
          <w:color w:val="auto"/>
          <w:sz w:val="24"/>
          <w:highlight w:val="none"/>
        </w:rPr>
        <w:t>注：根据《</w:t>
      </w:r>
      <w:r>
        <w:rPr>
          <w:rFonts w:ascii="宋体" w:hAnsi="宋体" w:eastAsia="宋体" w:cs="仿宋_GB2312"/>
          <w:color w:val="auto"/>
          <w:sz w:val="24"/>
          <w:highlight w:val="none"/>
        </w:rPr>
        <w:t>关于规范政府采购供应商资格设定及资格审查的通知</w:t>
      </w:r>
      <w:r>
        <w:rPr>
          <w:rFonts w:hint="eastAsia" w:ascii="宋体" w:hAnsi="宋体" w:eastAsia="宋体" w:cs="仿宋_GB2312"/>
          <w:color w:val="auto"/>
          <w:sz w:val="24"/>
          <w:highlight w:val="none"/>
        </w:rPr>
        <w:t>》（</w:t>
      </w:r>
      <w:r>
        <w:rPr>
          <w:rFonts w:ascii="宋体" w:hAnsi="宋体" w:eastAsia="宋体" w:cs="仿宋_GB2312"/>
          <w:color w:val="auto"/>
          <w:sz w:val="24"/>
          <w:highlight w:val="none"/>
        </w:rPr>
        <w:t>浙财采监[2013]24号</w:t>
      </w:r>
      <w:r>
        <w:rPr>
          <w:rFonts w:hint="eastAsia" w:ascii="宋体" w:hAnsi="宋体" w:eastAsia="宋体" w:cs="仿宋_GB2312"/>
          <w:color w:val="auto"/>
          <w:sz w:val="24"/>
          <w:highlight w:val="none"/>
        </w:rPr>
        <w:t>）的相关规定，金融、保险、通讯等特定行业的全国性企业所设立的区域性分支机构，以及个体工商户、个人独资企业、合伙企业，参与政府采购活动，如果已经依法办理了工商、税务和社保登记手续，</w:t>
      </w:r>
      <w:r>
        <w:rPr>
          <w:rFonts w:hint="eastAsia" w:ascii="宋体" w:hAnsi="宋体" w:eastAsia="宋体" w:cs="仿宋_GB2312"/>
          <w:b/>
          <w:color w:val="auto"/>
          <w:sz w:val="24"/>
          <w:highlight w:val="none"/>
          <w:u w:val="single"/>
        </w:rPr>
        <w:t>除提供上述《符合参加政府采购活动应当具备的一般条件的承诺函》外，还需提供下列材料：总公司（总机构）的授权书或提供房产权证或其他有效财产证明材料，证明其具备实际承担责任的能力和法定的缔结合同能力，可以独立参加政府采购活动，由单位负责人签署相关文件材料。</w:t>
      </w:r>
    </w:p>
    <w:p>
      <w:pPr>
        <w:rPr>
          <w:rFonts w:ascii="宋体" w:hAnsi="宋体" w:cs="宋体"/>
          <w:color w:val="auto"/>
          <w:highlight w:val="none"/>
        </w:rPr>
      </w:pPr>
    </w:p>
    <w:p>
      <w:pPr>
        <w:widowControl/>
        <w:spacing w:line="360" w:lineRule="auto"/>
        <w:ind w:firstLine="643" w:firstLineChars="20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二、联合协议（如果有）</w:t>
      </w:r>
    </w:p>
    <w:p>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[以联合体形式投标的，提供联合协议（附件5）；本项目不接受联合体投标或者投标人不以联合体形式投标的，则不需要提供]</w:t>
      </w: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三、落实政府采购政策需满足的资格要求</w:t>
      </w:r>
    </w:p>
    <w:p>
      <w:pPr>
        <w:spacing w:line="360" w:lineRule="auto"/>
        <w:rPr>
          <w:rFonts w:ascii="宋体" w:hAnsi="宋体" w:cs="宋体"/>
          <w:color w:val="auto"/>
          <w:sz w:val="24"/>
          <w:highlight w:val="none"/>
        </w:rPr>
      </w:pPr>
      <w:r>
        <w:rPr>
          <w:rFonts w:hint="eastAsia" w:ascii="宋体" w:hAnsi="宋体" w:cs="宋体"/>
          <w:color w:val="auto"/>
          <w:sz w:val="24"/>
          <w:highlight w:val="none"/>
        </w:rPr>
        <w:t>（根据招标公告落实政府采购政策需满足的资格要求选择提供相应的材料；未要求的，无需提供）</w:t>
      </w:r>
    </w:p>
    <w:p>
      <w:pPr>
        <w:snapToGrid w:val="0"/>
        <w:spacing w:before="50" w:after="50"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A</w:t>
      </w:r>
      <w:r>
        <w:rPr>
          <w:rFonts w:hint="eastAsia" w:ascii="宋体" w:hAnsi="宋体" w:cs="宋体"/>
          <w:color w:val="auto"/>
          <w:sz w:val="24"/>
          <w:highlight w:val="none"/>
        </w:rPr>
        <w:t>.专门面向中小企业，货物全部由符合政策要求的中小企业（或小微企业）制造的，提供相应的中小企业声明函（附件</w:t>
      </w:r>
      <w:r>
        <w:rPr>
          <w:rFonts w:ascii="宋体" w:hAnsi="宋体" w:cs="宋体"/>
          <w:color w:val="auto"/>
          <w:sz w:val="24"/>
          <w:highlight w:val="none"/>
        </w:rPr>
        <w:t>7</w:t>
      </w:r>
      <w:r>
        <w:rPr>
          <w:rFonts w:hint="eastAsia" w:ascii="宋体" w:hAnsi="宋体" w:cs="宋体"/>
          <w:color w:val="auto"/>
          <w:sz w:val="24"/>
          <w:highlight w:val="none"/>
        </w:rPr>
        <w:t xml:space="preserve">）。 </w:t>
      </w:r>
    </w:p>
    <w:p>
      <w:pPr>
        <w:widowControl/>
        <w:spacing w:line="360" w:lineRule="auto"/>
        <w:ind w:firstLine="480"/>
        <w:jc w:val="left"/>
        <w:rPr>
          <w:rFonts w:ascii="宋体" w:hAnsi="宋体" w:cs="宋体"/>
          <w:color w:val="auto"/>
          <w:sz w:val="24"/>
          <w:highlight w:val="none"/>
        </w:rPr>
      </w:pPr>
    </w:p>
    <w:p>
      <w:pPr>
        <w:widowControl/>
        <w:spacing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B.</w:t>
      </w:r>
      <w:r>
        <w:rPr>
          <w:rFonts w:hint="eastAsia" w:ascii="宋体" w:hAnsi="宋体" w:cs="宋体"/>
          <w:color w:val="auto"/>
          <w:sz w:val="24"/>
          <w:highlight w:val="none"/>
        </w:rPr>
        <w:t>要求以联合体形式参加的，提供联合协议（附件</w:t>
      </w:r>
      <w:r>
        <w:rPr>
          <w:rFonts w:ascii="宋体" w:hAnsi="宋体" w:cs="宋体"/>
          <w:color w:val="auto"/>
          <w:sz w:val="24"/>
          <w:highlight w:val="none"/>
        </w:rPr>
        <w:t>5</w:t>
      </w:r>
      <w:r>
        <w:rPr>
          <w:rFonts w:hint="eastAsia" w:ascii="宋体" w:hAnsi="宋体" w:cs="宋体"/>
          <w:color w:val="auto"/>
          <w:sz w:val="24"/>
          <w:highlight w:val="none"/>
        </w:rPr>
        <w:t>）和中小企业声明函（附件</w:t>
      </w:r>
      <w:r>
        <w:rPr>
          <w:rFonts w:ascii="宋体" w:hAnsi="宋体" w:cs="宋体"/>
          <w:color w:val="auto"/>
          <w:sz w:val="24"/>
          <w:highlight w:val="none"/>
        </w:rPr>
        <w:t>7</w:t>
      </w:r>
      <w:r>
        <w:rPr>
          <w:rFonts w:hint="eastAsia" w:ascii="宋体" w:hAnsi="宋体" w:cs="宋体"/>
          <w:color w:val="auto"/>
          <w:sz w:val="24"/>
          <w:highlight w:val="none"/>
        </w:rPr>
        <w:t>），联合协议中中小企业合同金额应当达到招标公告载明的比例；如果供应商本身提供所有标的均由中小企业制造的，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视同符合了资格条件，无需再与其他中小企业组成联合体参加政府采购活动，无需提供联合协议。</w:t>
      </w:r>
    </w:p>
    <w:p>
      <w:pPr>
        <w:snapToGrid w:val="0"/>
        <w:spacing w:before="50" w:after="50" w:line="360" w:lineRule="auto"/>
        <w:jc w:val="center"/>
        <w:rPr>
          <w:rFonts w:ascii="宋体" w:hAnsi="宋体" w:cs="宋体"/>
          <w:color w:val="auto"/>
          <w:sz w:val="24"/>
          <w:highlight w:val="none"/>
        </w:rPr>
      </w:pPr>
      <w:r>
        <w:rPr>
          <w:rFonts w:hint="eastAsia" w:ascii="宋体" w:hAnsi="宋体" w:cs="宋体"/>
          <w:b/>
          <w:color w:val="auto"/>
          <w:sz w:val="24"/>
          <w:highlight w:val="none"/>
        </w:rPr>
        <w:t xml:space="preserve">    </w:t>
      </w:r>
    </w:p>
    <w:p>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C、</w:t>
      </w:r>
      <w:r>
        <w:rPr>
          <w:rFonts w:hint="eastAsia" w:ascii="宋体" w:hAnsi="宋体" w:cs="宋体"/>
          <w:color w:val="auto"/>
          <w:sz w:val="24"/>
          <w:highlight w:val="none"/>
        </w:rPr>
        <w:t>要求合同分包的，提供分包意向协议（附件6）和中小企业声明函（附件</w:t>
      </w:r>
      <w:r>
        <w:rPr>
          <w:rFonts w:ascii="宋体" w:hAnsi="宋体" w:cs="宋体"/>
          <w:color w:val="auto"/>
          <w:sz w:val="24"/>
          <w:highlight w:val="none"/>
        </w:rPr>
        <w:t>7</w:t>
      </w:r>
      <w:r>
        <w:rPr>
          <w:rFonts w:hint="eastAsia" w:ascii="宋体" w:hAnsi="宋体" w:cs="宋体"/>
          <w:color w:val="auto"/>
          <w:sz w:val="24"/>
          <w:highlight w:val="none"/>
        </w:rPr>
        <w:t>），分包意向协议中中小企业合同金额应当达到招标公告载明的比例；如果供应商本身提供所有标的均由中小企业制造的，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视同符合了资格条件，无需再向中小企业分包，无需提供分包意向协议。</w:t>
      </w:r>
    </w:p>
    <w:p>
      <w:pPr>
        <w:widowControl/>
        <w:spacing w:line="360" w:lineRule="auto"/>
        <w:ind w:left="150"/>
        <w:jc w:val="center"/>
        <w:rPr>
          <w:rFonts w:ascii="宋体" w:hAnsi="宋体" w:cs="宋体"/>
          <w:b/>
          <w:color w:val="auto"/>
          <w:kern w:val="0"/>
          <w:sz w:val="32"/>
          <w:szCs w:val="32"/>
          <w:highlight w:val="none"/>
        </w:rPr>
      </w:pPr>
    </w:p>
    <w:p>
      <w:pPr>
        <w:widowControl/>
        <w:spacing w:line="360" w:lineRule="auto"/>
        <w:ind w:left="15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四、本项目的特定资格要求（如果有）</w:t>
      </w:r>
    </w:p>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（根据招标公告本项目的特定资格要求提供相应的材料；未要求的，无需提供）</w:t>
      </w:r>
    </w:p>
    <w:p>
      <w:pPr>
        <w:rPr>
          <w:rFonts w:ascii="宋体" w:hAnsi="宋体" w:cs="宋体"/>
          <w:color w:val="auto"/>
          <w:highlight w:val="none"/>
        </w:rPr>
      </w:pPr>
    </w:p>
    <w:p>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pPr>
        <w:spacing w:line="360" w:lineRule="auto"/>
        <w:ind w:right="420" w:firstLine="3614" w:firstLineChars="100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商务技术文件部分</w:t>
      </w:r>
    </w:p>
    <w:p>
      <w:pPr>
        <w:spacing w:line="360" w:lineRule="auto"/>
        <w:jc w:val="center"/>
        <w:outlineLvl w:val="0"/>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目录</w:t>
      </w:r>
    </w:p>
    <w:p>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（1）投标函</w:t>
      </w:r>
      <w:r>
        <w:rPr>
          <w:rFonts w:hint="eastAsia" w:ascii="宋体" w:hAnsi="宋体" w:cs="宋体"/>
          <w:color w:val="auto"/>
          <w:highlight w:val="none"/>
        </w:rPr>
        <w:t>…………………………………………………………………………………（页码）</w:t>
      </w:r>
      <w:r>
        <w:rPr>
          <w:rFonts w:hint="eastAsia" w:ascii="宋体" w:hAnsi="宋体" w:cs="宋体"/>
          <w:color w:val="auto"/>
          <w:sz w:val="24"/>
          <w:highlight w:val="none"/>
        </w:rPr>
        <w:t>（2）授权委托书或法定代表人（单位负责人、自然人本人）身份证明</w:t>
      </w:r>
      <w:r>
        <w:rPr>
          <w:rFonts w:hint="eastAsia" w:ascii="宋体" w:hAnsi="宋体" w:cs="宋体"/>
          <w:color w:val="auto"/>
          <w:highlight w:val="none"/>
        </w:rPr>
        <w:t>………（页码）</w:t>
      </w:r>
    </w:p>
    <w:p>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color w:val="auto"/>
          <w:highlight w:val="none"/>
        </w:rPr>
        <w:t>…………………………………………………………………………（页码）</w:t>
      </w:r>
    </w:p>
    <w:p>
      <w:pPr>
        <w:snapToGrid w:val="0"/>
        <w:spacing w:line="360" w:lineRule="auto"/>
        <w:ind w:firstLine="480" w:firstLineChars="200"/>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color w:val="auto"/>
          <w:highlight w:val="none"/>
        </w:rPr>
        <w:t>………………………………………………………………………（页码）</w:t>
      </w:r>
    </w:p>
    <w:p>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w:t>
      </w:r>
      <w:r>
        <w:rPr>
          <w:rFonts w:hint="eastAsia" w:ascii="宋体" w:hAnsi="宋体" w:cs="宋体"/>
          <w:color w:val="auto"/>
          <w:sz w:val="24"/>
          <w:highlight w:val="none"/>
        </w:rPr>
        <w:t>…</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7</w:t>
      </w:r>
      <w:r>
        <w:rPr>
          <w:rFonts w:hint="eastAsia" w:ascii="宋体" w:hAnsi="宋体" w:cs="宋体"/>
          <w:color w:val="auto"/>
          <w:sz w:val="24"/>
          <w:highlight w:val="none"/>
        </w:rPr>
        <w:t>）商务技术偏离表</w:t>
      </w:r>
      <w:r>
        <w:rPr>
          <w:rFonts w:hint="eastAsia" w:ascii="宋体" w:hAnsi="宋体" w:cs="宋体"/>
          <w:color w:val="auto"/>
          <w:highlight w:val="none"/>
        </w:rPr>
        <w:t>………………………………………………………………………（页码）</w:t>
      </w:r>
    </w:p>
    <w:p>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r>
        <w:rPr>
          <w:rFonts w:hint="eastAsia" w:ascii="宋体" w:hAnsi="宋体" w:cs="宋体"/>
          <w:color w:val="auto"/>
          <w:highlight w:val="none"/>
        </w:rPr>
        <w:t>…………………………………………………（页码）</w:t>
      </w:r>
    </w:p>
    <w:p>
      <w:pPr>
        <w:snapToGrid w:val="0"/>
        <w:spacing w:line="360" w:lineRule="auto"/>
        <w:jc w:val="center"/>
        <w:rPr>
          <w:rFonts w:ascii="宋体" w:hAnsi="宋体" w:cs="宋体"/>
          <w:b/>
          <w:color w:val="auto"/>
          <w:kern w:val="0"/>
          <w:sz w:val="32"/>
          <w:szCs w:val="32"/>
          <w:highlight w:val="none"/>
          <w:lang w:val="zh-CN"/>
        </w:rPr>
      </w:pPr>
    </w:p>
    <w:p>
      <w:pPr>
        <w:snapToGrid w:val="0"/>
        <w:spacing w:line="360" w:lineRule="auto"/>
        <w:jc w:val="center"/>
        <w:rPr>
          <w:rFonts w:ascii="宋体" w:hAnsi="宋体" w:cs="宋体"/>
          <w:b/>
          <w:color w:val="auto"/>
          <w:kern w:val="0"/>
          <w:sz w:val="32"/>
          <w:szCs w:val="32"/>
          <w:highlight w:val="none"/>
          <w:lang w:val="zh-CN"/>
        </w:rPr>
      </w:pPr>
    </w:p>
    <w:p>
      <w:pPr>
        <w:snapToGrid w:val="0"/>
        <w:spacing w:line="360" w:lineRule="auto"/>
        <w:jc w:val="center"/>
        <w:rPr>
          <w:rFonts w:ascii="宋体" w:hAnsi="宋体" w:cs="宋体"/>
          <w:b/>
          <w:color w:val="auto"/>
          <w:kern w:val="0"/>
          <w:sz w:val="32"/>
          <w:szCs w:val="32"/>
          <w:highlight w:val="none"/>
          <w:lang w:val="zh-CN"/>
        </w:rPr>
      </w:pPr>
    </w:p>
    <w:p>
      <w:pPr>
        <w:snapToGrid w:val="0"/>
        <w:spacing w:line="360" w:lineRule="auto"/>
        <w:jc w:val="center"/>
        <w:rPr>
          <w:rFonts w:ascii="宋体" w:hAnsi="宋体" w:cs="宋体"/>
          <w:b/>
          <w:color w:val="auto"/>
          <w:kern w:val="0"/>
          <w:sz w:val="32"/>
          <w:szCs w:val="32"/>
          <w:highlight w:val="none"/>
          <w:lang w:val="zh-CN"/>
        </w:rPr>
      </w:pPr>
    </w:p>
    <w:p>
      <w:pPr>
        <w:snapToGrid w:val="0"/>
        <w:spacing w:line="360" w:lineRule="auto"/>
        <w:jc w:val="center"/>
        <w:rPr>
          <w:rFonts w:ascii="宋体" w:hAnsi="宋体" w:cs="宋体"/>
          <w:b/>
          <w:color w:val="auto"/>
          <w:kern w:val="0"/>
          <w:sz w:val="32"/>
          <w:szCs w:val="32"/>
          <w:highlight w:val="none"/>
          <w:lang w:val="zh-CN"/>
        </w:rPr>
      </w:pPr>
    </w:p>
    <w:p>
      <w:pPr>
        <w:snapToGrid w:val="0"/>
        <w:spacing w:line="360" w:lineRule="auto"/>
        <w:jc w:val="center"/>
        <w:outlineLvl w:val="0"/>
        <w:rPr>
          <w:rFonts w:ascii="宋体" w:hAnsi="宋体" w:cs="宋体"/>
          <w:b/>
          <w:color w:val="auto"/>
          <w:kern w:val="0"/>
          <w:sz w:val="32"/>
          <w:szCs w:val="32"/>
          <w:highlight w:val="none"/>
        </w:rPr>
      </w:pPr>
    </w:p>
    <w:p>
      <w:pPr>
        <w:snapToGrid w:val="0"/>
        <w:spacing w:line="360" w:lineRule="auto"/>
        <w:jc w:val="center"/>
        <w:outlineLvl w:val="0"/>
        <w:rPr>
          <w:rFonts w:ascii="宋体" w:hAnsi="宋体" w:cs="宋体"/>
          <w:b/>
          <w:color w:val="auto"/>
          <w:kern w:val="0"/>
          <w:sz w:val="32"/>
          <w:szCs w:val="32"/>
          <w:highlight w:val="none"/>
        </w:rPr>
      </w:pPr>
    </w:p>
    <w:p>
      <w:pPr>
        <w:rPr>
          <w:rFonts w:ascii="宋体" w:hAnsi="宋体" w:cs="宋体"/>
          <w:color w:val="auto"/>
          <w:highlight w:val="none"/>
        </w:rPr>
      </w:pPr>
    </w:p>
    <w:p>
      <w:pPr>
        <w:snapToGrid w:val="0"/>
        <w:spacing w:line="360" w:lineRule="auto"/>
        <w:jc w:val="center"/>
        <w:outlineLvl w:val="0"/>
        <w:rPr>
          <w:rFonts w:ascii="宋体" w:hAnsi="宋体" w:cs="宋体"/>
          <w:b/>
          <w:color w:val="auto"/>
          <w:kern w:val="0"/>
          <w:sz w:val="32"/>
          <w:szCs w:val="32"/>
          <w:highlight w:val="none"/>
        </w:rPr>
      </w:pPr>
    </w:p>
    <w:p>
      <w:pPr>
        <w:snapToGrid w:val="0"/>
        <w:spacing w:line="360" w:lineRule="auto"/>
        <w:jc w:val="center"/>
        <w:outlineLvl w:val="0"/>
        <w:rPr>
          <w:rFonts w:ascii="宋体" w:hAnsi="宋体" w:cs="宋体"/>
          <w:b/>
          <w:color w:val="auto"/>
          <w:kern w:val="0"/>
          <w:sz w:val="32"/>
          <w:szCs w:val="32"/>
          <w:highlight w:val="none"/>
        </w:rPr>
      </w:pPr>
    </w:p>
    <w:p>
      <w:pPr>
        <w:pStyle w:val="2"/>
        <w:rPr>
          <w:color w:val="auto"/>
          <w:highlight w:val="none"/>
          <w:lang w:val="en-US"/>
        </w:rPr>
      </w:pPr>
    </w:p>
    <w:p>
      <w:pPr>
        <w:rPr>
          <w:color w:val="auto"/>
          <w:highlight w:val="none"/>
        </w:rPr>
      </w:pPr>
    </w:p>
    <w:p>
      <w:pPr>
        <w:snapToGrid w:val="0"/>
        <w:spacing w:line="360" w:lineRule="auto"/>
        <w:ind w:firstLine="3855" w:firstLineChars="1200"/>
        <w:outlineLvl w:val="0"/>
        <w:rPr>
          <w:rFonts w:ascii="宋体" w:hAnsi="宋体" w:cs="宋体"/>
          <w:b/>
          <w:color w:val="auto"/>
          <w:kern w:val="0"/>
          <w:sz w:val="32"/>
          <w:szCs w:val="32"/>
          <w:highlight w:val="none"/>
        </w:rPr>
      </w:pPr>
    </w:p>
    <w:p>
      <w:pPr>
        <w:snapToGrid w:val="0"/>
        <w:spacing w:line="360" w:lineRule="auto"/>
        <w:ind w:firstLine="3855" w:firstLineChars="1200"/>
        <w:outlineLvl w:val="0"/>
        <w:rPr>
          <w:rFonts w:ascii="宋体" w:hAnsi="宋体" w:cs="宋体"/>
          <w:b/>
          <w:color w:val="auto"/>
          <w:kern w:val="0"/>
          <w:sz w:val="32"/>
          <w:szCs w:val="32"/>
          <w:highlight w:val="none"/>
        </w:rPr>
      </w:pPr>
    </w:p>
    <w:p>
      <w:pPr>
        <w:snapToGrid w:val="0"/>
        <w:spacing w:line="360" w:lineRule="auto"/>
        <w:ind w:firstLine="3855" w:firstLineChars="1200"/>
        <w:outlineLvl w:val="0"/>
        <w:rPr>
          <w:rFonts w:ascii="宋体" w:hAnsi="宋体" w:cs="宋体"/>
          <w:b/>
          <w:color w:val="auto"/>
          <w:kern w:val="0"/>
          <w:sz w:val="32"/>
          <w:szCs w:val="32"/>
          <w:highlight w:val="none"/>
        </w:rPr>
      </w:pPr>
    </w:p>
    <w:p>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pPr>
        <w:snapToGrid w:val="0"/>
        <w:spacing w:line="360" w:lineRule="auto"/>
        <w:ind w:firstLine="3855" w:firstLineChars="1200"/>
        <w:outlineLvl w:val="0"/>
        <w:rPr>
          <w:rFonts w:ascii="宋体" w:hAnsi="宋体" w:cs="宋体"/>
          <w:b/>
          <w:color w:val="auto"/>
          <w:sz w:val="32"/>
          <w:szCs w:val="32"/>
          <w:highlight w:val="none"/>
        </w:rPr>
      </w:pPr>
      <w:r>
        <w:rPr>
          <w:rFonts w:hint="eastAsia" w:ascii="宋体" w:hAnsi="宋体" w:cs="宋体"/>
          <w:b/>
          <w:color w:val="auto"/>
          <w:kern w:val="0"/>
          <w:sz w:val="32"/>
          <w:szCs w:val="32"/>
          <w:highlight w:val="none"/>
        </w:rPr>
        <w:t>一、投标</w:t>
      </w:r>
      <w:r>
        <w:rPr>
          <w:rFonts w:hint="eastAsia" w:ascii="宋体" w:hAnsi="宋体" w:cs="宋体"/>
          <w:b/>
          <w:color w:val="auto"/>
          <w:sz w:val="32"/>
          <w:szCs w:val="32"/>
          <w:highlight w:val="none"/>
        </w:rPr>
        <w:t>函</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（采购人）、杭州市公共资源交易中心</w:t>
      </w:r>
      <w:r>
        <w:rPr>
          <w:rFonts w:hint="eastAsia" w:ascii="宋体" w:hAnsi="宋体" w:cs="宋体"/>
          <w:color w:val="auto"/>
          <w:sz w:val="24"/>
          <w:highlight w:val="none"/>
          <w:lang w:eastAsia="zh-CN"/>
        </w:rPr>
        <w:t>临平分中心</w:t>
      </w:r>
      <w:r>
        <w:rPr>
          <w:rFonts w:hint="eastAsia" w:ascii="宋体" w:hAnsi="宋体" w:cs="宋体"/>
          <w:color w:val="auto"/>
          <w:sz w:val="24"/>
          <w:highlight w:val="none"/>
        </w:rPr>
        <w:t>：</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我方参加你方组织的（项目名称）【招标编号：（采购编号）】招标的有关活动，并对此项目进行投标。为此：</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1、我方承诺投标有效期从提交投标文件的截止之日起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天（不少于90天）</w:t>
      </w:r>
      <w:r>
        <w:rPr>
          <w:rFonts w:hint="eastAsia" w:ascii="宋体" w:hAnsi="宋体" w:cs="宋体"/>
          <w:color w:val="auto"/>
          <w:highlight w:val="none"/>
        </w:rPr>
        <w:t>，</w:t>
      </w:r>
      <w:r>
        <w:rPr>
          <w:rFonts w:hint="eastAsia" w:ascii="宋体" w:hAnsi="宋体" w:cs="宋体"/>
          <w:color w:val="auto"/>
          <w:sz w:val="24"/>
          <w:highlight w:val="none"/>
        </w:rPr>
        <w:t>本投标文件在投标有效期满之前均具有约束力。</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2、我方的投标文件包括以下内容：</w:t>
      </w:r>
    </w:p>
    <w:p>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2.1资格文件：</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2.1.1承诺函；</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2.1.2</w:t>
      </w:r>
      <w:r>
        <w:rPr>
          <w:rFonts w:hint="eastAsia" w:ascii="宋体" w:hAnsi="宋体" w:cs="宋体"/>
          <w:snapToGrid w:val="0"/>
          <w:color w:val="auto"/>
          <w:kern w:val="28"/>
          <w:sz w:val="24"/>
          <w:szCs w:val="20"/>
          <w:highlight w:val="none"/>
        </w:rPr>
        <w:t>联合协议（如果有)；</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.1.3</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pPr>
        <w:snapToGrid w:val="0"/>
        <w:spacing w:line="360" w:lineRule="auto"/>
        <w:ind w:left="210" w:leftChars="1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2.2.1投标函；</w:t>
      </w:r>
      <w:r>
        <w:rPr>
          <w:rFonts w:hint="eastAsia" w:ascii="宋体" w:hAnsi="宋体" w:cs="宋体"/>
          <w:color w:val="auto"/>
          <w:sz w:val="24"/>
          <w:highlight w:val="none"/>
          <w:lang w:val="zh-CN"/>
        </w:rPr>
        <w:t xml:space="preserve"> </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2.2.2授权委托书或法定代表人（单位负责人）身份证明；</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4</w:t>
      </w:r>
      <w:r>
        <w:rPr>
          <w:rFonts w:hint="eastAsia" w:ascii="宋体" w:hAnsi="宋体" w:cs="宋体"/>
          <w:color w:val="auto"/>
          <w:sz w:val="24"/>
          <w:highlight w:val="none"/>
        </w:rPr>
        <w:t>符合性审查资料；</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6</w:t>
      </w:r>
      <w:r>
        <w:rPr>
          <w:rFonts w:hint="eastAsia" w:ascii="宋体" w:hAnsi="宋体" w:cs="宋体"/>
          <w:color w:val="auto"/>
          <w:sz w:val="24"/>
          <w:highlight w:val="none"/>
        </w:rPr>
        <w:t>投标标的清单；</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7</w:t>
      </w:r>
      <w:r>
        <w:rPr>
          <w:rFonts w:hint="eastAsia" w:ascii="宋体" w:hAnsi="宋体" w:cs="宋体"/>
          <w:color w:val="auto"/>
          <w:sz w:val="24"/>
          <w:highlight w:val="none"/>
        </w:rPr>
        <w:t>商务技术偏离表；</w:t>
      </w:r>
    </w:p>
    <w:p>
      <w:pPr>
        <w:snapToGrid w:val="0"/>
        <w:spacing w:line="360" w:lineRule="auto"/>
        <w:ind w:left="420" w:leftChars="2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3报价文件</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2.3.1开标一览表（报价表）；</w:t>
      </w:r>
    </w:p>
    <w:p>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2.3.2中小企业声明函（如果有）。</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3、我方承诺除商务技术偏离表列出的偏离外，我方响应招标文件的全部要求。</w:t>
      </w:r>
    </w:p>
    <w:p>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4、如我方中标，我方承诺：</w:t>
      </w:r>
    </w:p>
    <w:p>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4.1在收到中标通知书后，在中标通知书规定的期限内与你方签订合同； </w:t>
      </w:r>
    </w:p>
    <w:p>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4.2在签订合同时不向你方提出附加条件； </w:t>
      </w:r>
    </w:p>
    <w:p>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4.3按照招标文件要求提交履约保证金； </w:t>
      </w:r>
    </w:p>
    <w:p>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4.4在合同约定的期限内完成合同规定的全部义务。 </w:t>
      </w:r>
    </w:p>
    <w:p>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5、其他补充说明: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投标人名称（电子签名）：                          </w:t>
      </w:r>
    </w:p>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pPr>
        <w:snapToGrid w:val="0"/>
        <w:spacing w:line="360" w:lineRule="auto"/>
        <w:ind w:left="420" w:leftChars="200" w:firstLine="4200" w:firstLineChars="1750"/>
        <w:rPr>
          <w:rFonts w:ascii="宋体" w:hAnsi="宋体" w:cs="宋体"/>
          <w:color w:val="auto"/>
          <w:kern w:val="0"/>
          <w:sz w:val="24"/>
          <w:highlight w:val="none"/>
          <w:u w:val="single"/>
        </w:rPr>
      </w:pPr>
    </w:p>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snapToGrid w:val="0"/>
        <w:spacing w:line="360" w:lineRule="auto"/>
        <w:jc w:val="center"/>
        <w:rPr>
          <w:rFonts w:ascii="宋体" w:hAnsi="宋体" w:cs="宋体"/>
          <w:b/>
          <w:color w:val="auto"/>
          <w:kern w:val="0"/>
          <w:sz w:val="32"/>
          <w:szCs w:val="32"/>
          <w:highlight w:val="none"/>
        </w:rPr>
      </w:pPr>
    </w:p>
    <w:p>
      <w:pPr>
        <w:snapToGrid w:val="0"/>
        <w:spacing w:line="360" w:lineRule="auto"/>
        <w:rPr>
          <w:rFonts w:ascii="宋体" w:hAnsi="宋体" w:cs="宋体"/>
          <w:color w:val="auto"/>
          <w:sz w:val="24"/>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pPr>
        <w:jc w:val="center"/>
        <w:rPr>
          <w:rFonts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二、授权委托书或法定代表人（单位负责人、自然人本人）身份证明</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pPr>
        <w:snapToGrid w:val="0"/>
        <w:spacing w:line="360" w:lineRule="auto"/>
        <w:ind w:firstLine="2872" w:firstLineChars="894"/>
        <w:rPr>
          <w:rFonts w:ascii="宋体" w:hAnsi="宋体" w:cs="宋体"/>
          <w:color w:val="auto"/>
          <w:highlight w:val="none"/>
        </w:rPr>
      </w:pPr>
      <w:r>
        <w:rPr>
          <w:rFonts w:hint="eastAsia" w:ascii="宋体" w:hAnsi="宋体" w:cs="宋体"/>
          <w:b/>
          <w:color w:val="auto"/>
          <w:kern w:val="0"/>
          <w:sz w:val="32"/>
          <w:szCs w:val="32"/>
          <w:highlight w:val="none"/>
          <w:lang w:val="zh-CN"/>
        </w:rPr>
        <w:t>授权委托书（适用于非联合体投标）</w:t>
      </w:r>
      <w:r>
        <w:rPr>
          <w:rFonts w:hint="eastAsia" w:ascii="宋体" w:hAnsi="宋体" w:cs="宋体"/>
          <w:color w:val="auto"/>
          <w:highlight w:val="none"/>
        </w:rPr>
        <w:t xml:space="preserve">                               </w:t>
      </w:r>
    </w:p>
    <w:p>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（采购人）、杭州市公共资源交易中心</w:t>
      </w:r>
      <w:r>
        <w:rPr>
          <w:rFonts w:hint="eastAsia" w:ascii="宋体" w:hAnsi="宋体" w:cs="宋体"/>
          <w:color w:val="auto"/>
          <w:sz w:val="24"/>
          <w:highlight w:val="none"/>
          <w:lang w:eastAsia="zh-CN"/>
        </w:rPr>
        <w:t>临平分中心</w:t>
      </w:r>
      <w:r>
        <w:rPr>
          <w:rFonts w:hint="eastAsia" w:ascii="宋体" w:hAnsi="宋体" w:cs="宋体"/>
          <w:color w:val="auto"/>
          <w:kern w:val="0"/>
          <w:sz w:val="24"/>
          <w:highlight w:val="none"/>
          <w:lang w:val="zh-CN"/>
        </w:rPr>
        <w:t>：</w:t>
      </w:r>
    </w:p>
    <w:p>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政府采购投标的一切事项，其法律后果由我方承担。</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投标人名称(电子签名)：</w:t>
      </w:r>
    </w:p>
    <w:p>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pPr>
        <w:snapToGrid w:val="0"/>
        <w:spacing w:line="360" w:lineRule="auto"/>
        <w:rPr>
          <w:rFonts w:ascii="宋体" w:hAnsi="宋体" w:cs="宋体"/>
          <w:color w:val="auto"/>
          <w:sz w:val="24"/>
          <w:highlight w:val="none"/>
        </w:rPr>
      </w:pPr>
    </w:p>
    <w:p>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lang w:val="zh-CN"/>
        </w:rPr>
        <w:t xml:space="preserve">      </w:t>
      </w:r>
      <w:r>
        <w:rPr>
          <w:rFonts w:hint="eastAsia" w:ascii="宋体" w:hAnsi="宋体" w:cs="宋体"/>
          <w:b/>
          <w:color w:val="auto"/>
          <w:kern w:val="0"/>
          <w:sz w:val="32"/>
          <w:szCs w:val="32"/>
          <w:highlight w:val="none"/>
        </w:rPr>
        <w:t xml:space="preserve"> </w:t>
      </w:r>
      <w:r>
        <w:rPr>
          <w:rFonts w:hint="eastAsia" w:ascii="宋体" w:hAnsi="宋体" w:cs="宋体"/>
          <w:b/>
          <w:color w:val="auto"/>
          <w:kern w:val="0"/>
          <w:sz w:val="32"/>
          <w:szCs w:val="32"/>
          <w:highlight w:val="none"/>
          <w:lang w:val="zh-CN"/>
        </w:rPr>
        <w:t>授权委托书（适用于联合体投标）</w:t>
      </w:r>
    </w:p>
    <w:p>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（采购人）、杭州市公共资源交易中心</w:t>
      </w:r>
      <w:r>
        <w:rPr>
          <w:rFonts w:hint="eastAsia" w:ascii="宋体" w:hAnsi="宋体" w:cs="宋体"/>
          <w:color w:val="auto"/>
          <w:sz w:val="24"/>
          <w:highlight w:val="none"/>
          <w:lang w:eastAsia="zh-CN"/>
        </w:rPr>
        <w:t>临平分中心</w:t>
      </w:r>
      <w:r>
        <w:rPr>
          <w:rFonts w:hint="eastAsia" w:ascii="宋体" w:hAnsi="宋体" w:cs="宋体"/>
          <w:color w:val="auto"/>
          <w:kern w:val="0"/>
          <w:sz w:val="24"/>
          <w:highlight w:val="none"/>
          <w:lang w:val="zh-CN"/>
        </w:rPr>
        <w:t>：</w:t>
      </w:r>
    </w:p>
    <w:p>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政府采购投标的一切事项，其法律后果由我方承担。</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pPr>
        <w:jc w:val="center"/>
        <w:rPr>
          <w:rFonts w:ascii="宋体" w:hAnsi="宋体" w:cs="宋体"/>
          <w:b/>
          <w:color w:val="auto"/>
          <w:kern w:val="0"/>
          <w:sz w:val="32"/>
          <w:szCs w:val="32"/>
          <w:highlight w:val="none"/>
        </w:rPr>
      </w:pPr>
    </w:p>
    <w:p>
      <w:pPr>
        <w:rPr>
          <w:rFonts w:ascii="宋体" w:hAnsi="宋体" w:cs="宋体"/>
          <w:color w:val="auto"/>
          <w:highlight w:val="none"/>
        </w:rPr>
      </w:pPr>
    </w:p>
    <w:p>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pPr>
        <w:snapToGrid w:val="0"/>
        <w:spacing w:line="360" w:lineRule="auto"/>
        <w:ind w:firstLine="480" w:firstLineChars="200"/>
        <w:rPr>
          <w:rFonts w:ascii="宋体" w:hAnsi="宋体" w:cs="宋体"/>
          <w:color w:val="auto"/>
          <w:kern w:val="0"/>
          <w:sz w:val="24"/>
          <w:highlight w:val="none"/>
          <w:lang w:val="zh-CN"/>
        </w:rPr>
      </w:pPr>
    </w:p>
    <w:p>
      <w:pPr>
        <w:snapToGrid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注：▲供应商委派不在本单位缴纳社保的人员作为授权代表（代理人）的，应当在投标（响应）文件中，说明具体原因、授权代表缴纳社保的单位，并附列该授权代表缴纳社保清单。</w:t>
      </w:r>
    </w:p>
    <w:p>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kern w:val="0"/>
          <w:sz w:val="32"/>
          <w:szCs w:val="32"/>
          <w:highlight w:val="none"/>
          <w:lang w:val="zh-CN"/>
        </w:rPr>
        <w:t>法定代表人、单位负责人或自然人本人</w:t>
      </w:r>
      <w:r>
        <w:rPr>
          <w:rFonts w:hint="eastAsia" w:ascii="宋体" w:hAnsi="宋体" w:cs="宋体"/>
          <w:b/>
          <w:color w:val="auto"/>
          <w:sz w:val="30"/>
          <w:szCs w:val="30"/>
          <w:highlight w:val="none"/>
        </w:rPr>
        <w:t>的身份证明（适用于法定代表人、单位负责人或者自然人本人代表投标人参加投标）</w:t>
      </w:r>
    </w:p>
    <w:p>
      <w:pPr>
        <w:pStyle w:val="87"/>
        <w:spacing w:line="360" w:lineRule="auto"/>
        <w:rPr>
          <w:rFonts w:hAnsi="宋体" w:cs="宋体"/>
          <w:bCs/>
          <w:color w:val="auto"/>
          <w:sz w:val="24"/>
          <w:highlight w:val="none"/>
        </w:rPr>
      </w:pPr>
      <w:r>
        <w:rPr>
          <w:rFonts w:hint="eastAsia" w:hAnsi="宋体" w:cs="宋体"/>
          <w:bCs/>
          <w:color w:val="auto"/>
          <w:sz w:val="24"/>
          <w:highlight w:val="none"/>
        </w:rPr>
        <w:t>身份证件扫描件：</w:t>
      </w:r>
    </w:p>
    <w:tbl>
      <w:tblPr>
        <w:tblStyle w:val="73"/>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12" w:hRule="atLeast"/>
          <w:jc w:val="center"/>
        </w:trPr>
        <w:tc>
          <w:tcPr>
            <w:tcW w:w="9207" w:type="dxa"/>
            <w:vAlign w:val="top"/>
          </w:tcPr>
          <w:p>
            <w:pPr>
              <w:pStyle w:val="87"/>
              <w:adjustRightInd w:val="0"/>
              <w:spacing w:line="360" w:lineRule="auto"/>
              <w:rPr>
                <w:rFonts w:hAnsi="宋体" w:cs="宋体"/>
                <w:bCs/>
                <w:color w:val="auto"/>
                <w:sz w:val="24"/>
                <w:highlight w:val="none"/>
              </w:rPr>
            </w:pPr>
            <w:r>
              <w:rPr>
                <w:rFonts w:hint="eastAsia" w:hAnsi="宋体" w:cs="宋体"/>
                <w:bCs/>
                <w:color w:val="auto"/>
                <w:sz w:val="24"/>
                <w:highlight w:val="none"/>
              </w:rPr>
              <w:t>正面：                                 反面：</w:t>
            </w:r>
          </w:p>
          <w:p>
            <w:pPr>
              <w:pStyle w:val="87"/>
              <w:adjustRightInd w:val="0"/>
              <w:spacing w:line="360" w:lineRule="auto"/>
              <w:rPr>
                <w:rFonts w:hAnsi="宋体" w:cs="宋体"/>
                <w:bCs/>
                <w:color w:val="auto"/>
                <w:sz w:val="24"/>
                <w:highlight w:val="none"/>
              </w:rPr>
            </w:pPr>
          </w:p>
        </w:tc>
      </w:tr>
    </w:tbl>
    <w:p>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投标人名称(电子签名)：                              </w:t>
      </w:r>
    </w:p>
    <w:p>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snapToGrid w:val="0"/>
        <w:spacing w:line="360" w:lineRule="auto"/>
        <w:ind w:right="480"/>
        <w:rPr>
          <w:rFonts w:ascii="宋体" w:hAnsi="宋体" w:cs="宋体"/>
          <w:b/>
          <w:color w:val="auto"/>
          <w:kern w:val="0"/>
          <w:sz w:val="32"/>
          <w:szCs w:val="32"/>
          <w:highlight w:val="none"/>
        </w:rPr>
        <w:sectPr>
          <w:headerReference r:id="rId10" w:type="first"/>
          <w:footerReference r:id="rId12" w:type="first"/>
          <w:headerReference r:id="rId9" w:type="default"/>
          <w:footerReference r:id="rId11" w:type="default"/>
          <w:pgSz w:w="11906" w:h="16838"/>
          <w:pgMar w:top="1276" w:right="1418" w:bottom="1247" w:left="1418" w:header="851" w:footer="992" w:gutter="0"/>
          <w:cols w:space="720" w:num="1"/>
          <w:titlePg/>
          <w:docGrid w:linePitch="312" w:charSpace="0"/>
        </w:sectPr>
      </w:pPr>
    </w:p>
    <w:p>
      <w:pPr>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三、分包意向协议（如果有）</w:t>
      </w:r>
    </w:p>
    <w:p>
      <w:pPr>
        <w:widowControl/>
        <w:spacing w:line="360" w:lineRule="auto"/>
        <w:ind w:firstLine="120" w:firstLineChars="50"/>
        <w:jc w:val="left"/>
        <w:rPr>
          <w:rFonts w:ascii="宋体" w:hAnsi="宋体" w:cs="宋体"/>
          <w:color w:val="auto"/>
          <w:sz w:val="24"/>
          <w:highlight w:val="none"/>
        </w:rPr>
      </w:pPr>
      <w:bookmarkStart w:id="555" w:name="_Hlk101169080"/>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中标后以分包方式履行合同的，提供分包意向协议(附件6</w:t>
      </w:r>
      <w:r>
        <w:rPr>
          <w:rFonts w:ascii="宋体" w:hAnsi="宋体" w:cs="宋体"/>
          <w:b/>
          <w:color w:val="auto"/>
          <w:sz w:val="24"/>
          <w:highlight w:val="none"/>
        </w:rPr>
        <w:t>)</w:t>
      </w:r>
      <w:r>
        <w:rPr>
          <w:rFonts w:hint="eastAsia" w:ascii="宋体" w:hAnsi="宋体" w:cs="宋体"/>
          <w:b/>
          <w:color w:val="auto"/>
          <w:sz w:val="24"/>
          <w:highlight w:val="none"/>
        </w:rPr>
        <w:t>；采购人不同意分包或者投标人中标后不以分包方式履行合同的，则不需要提供。</w:t>
      </w:r>
      <w:r>
        <w:rPr>
          <w:rFonts w:hint="eastAsia" w:ascii="宋体" w:hAnsi="宋体" w:cs="宋体"/>
          <w:color w:val="auto"/>
          <w:sz w:val="24"/>
          <w:highlight w:val="none"/>
        </w:rPr>
        <w:t>]</w:t>
      </w:r>
    </w:p>
    <w:bookmarkEnd w:id="555"/>
    <w:p>
      <w:pPr>
        <w:snapToGrid w:val="0"/>
        <w:spacing w:line="360" w:lineRule="auto"/>
        <w:rPr>
          <w:rFonts w:ascii="宋体" w:hAnsi="宋体" w:cs="宋体"/>
          <w:color w:val="auto"/>
          <w:kern w:val="0"/>
          <w:sz w:val="24"/>
          <w:highlight w:val="none"/>
        </w:rPr>
      </w:pPr>
    </w:p>
    <w:p>
      <w:pPr>
        <w:jc w:val="center"/>
        <w:rPr>
          <w:rFonts w:ascii="宋体" w:hAnsi="宋体" w:cs="宋体"/>
          <w:b/>
          <w:color w:val="auto"/>
          <w:kern w:val="0"/>
          <w:sz w:val="32"/>
          <w:szCs w:val="32"/>
          <w:highlight w:val="none"/>
        </w:rPr>
      </w:pPr>
    </w:p>
    <w:p>
      <w:pPr>
        <w:pStyle w:val="2"/>
        <w:rPr>
          <w:color w:val="auto"/>
          <w:highlight w:val="none"/>
          <w:lang w:val="en-US"/>
        </w:rPr>
      </w:pPr>
    </w:p>
    <w:p>
      <w:pPr>
        <w:rPr>
          <w:color w:val="auto"/>
          <w:highlight w:val="none"/>
        </w:rPr>
      </w:pPr>
    </w:p>
    <w:p>
      <w:pPr>
        <w:pStyle w:val="2"/>
        <w:rPr>
          <w:color w:val="auto"/>
          <w:highlight w:val="none"/>
          <w:lang w:val="en-US"/>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四、符合性审查资料</w:t>
      </w:r>
    </w:p>
    <w:p>
      <w:pPr>
        <w:jc w:val="center"/>
        <w:rPr>
          <w:rFonts w:ascii="宋体" w:hAnsi="宋体" w:cs="宋体"/>
          <w:b/>
          <w:color w:val="auto"/>
          <w:kern w:val="0"/>
          <w:sz w:val="32"/>
          <w:szCs w:val="32"/>
          <w:highlight w:val="none"/>
        </w:rPr>
      </w:pPr>
    </w:p>
    <w:tbl>
      <w:tblPr>
        <w:tblStyle w:val="73"/>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4991" w:type="dxa"/>
            <w:vAlign w:val="center"/>
          </w:tcPr>
          <w:p>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实质性要求</w:t>
            </w:r>
          </w:p>
        </w:tc>
        <w:tc>
          <w:tcPr>
            <w:tcW w:w="2551" w:type="dxa"/>
            <w:vAlign w:val="center"/>
          </w:tcPr>
          <w:p>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需要提供的符合性审查资料</w:t>
            </w:r>
          </w:p>
        </w:tc>
        <w:tc>
          <w:tcPr>
            <w:tcW w:w="1418" w:type="dxa"/>
            <w:vAlign w:val="center"/>
          </w:tcPr>
          <w:p>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投标文件中的</w:t>
            </w:r>
          </w:p>
          <w:p>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trPr>
        <w:tc>
          <w:tcPr>
            <w:tcW w:w="64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1</w:t>
            </w:r>
          </w:p>
        </w:tc>
        <w:tc>
          <w:tcPr>
            <w:tcW w:w="4991" w:type="dxa"/>
            <w:vAlign w:val="top"/>
          </w:tcPr>
          <w:p>
            <w:pPr>
              <w:spacing w:line="360" w:lineRule="auto"/>
              <w:rPr>
                <w:rFonts w:ascii="宋体" w:hAnsi="宋体" w:cs="宋体"/>
                <w:color w:val="auto"/>
                <w:sz w:val="24"/>
                <w:highlight w:val="none"/>
              </w:rPr>
            </w:pPr>
            <w:r>
              <w:rPr>
                <w:rFonts w:hint="eastAsia" w:ascii="宋体" w:hAnsi="宋体" w:cs="宋体"/>
                <w:color w:val="auto"/>
                <w:sz w:val="24"/>
                <w:highlight w:val="none"/>
              </w:rPr>
              <w:t>投标文件按照招标文件要求签署、盖章。</w:t>
            </w:r>
          </w:p>
        </w:tc>
        <w:tc>
          <w:tcPr>
            <w:tcW w:w="2551" w:type="dxa"/>
            <w:vAlign w:val="center"/>
          </w:tcPr>
          <w:p>
            <w:pPr>
              <w:rPr>
                <w:rFonts w:ascii="宋体" w:hAnsi="宋体" w:cs="宋体"/>
                <w:color w:val="auto"/>
                <w:sz w:val="24"/>
                <w:highlight w:val="none"/>
              </w:rPr>
            </w:pPr>
            <w:r>
              <w:rPr>
                <w:rFonts w:hint="eastAsia" w:ascii="宋体" w:hAnsi="宋体" w:cs="宋体"/>
                <w:color w:val="auto"/>
                <w:sz w:val="24"/>
                <w:highlight w:val="none"/>
              </w:rPr>
              <w:t>需要使用电子签名或者签字盖章的投标文件的组成部分</w:t>
            </w:r>
          </w:p>
        </w:tc>
        <w:tc>
          <w:tcPr>
            <w:tcW w:w="1418" w:type="dxa"/>
            <w:vAlign w:val="top"/>
          </w:tcPr>
          <w:p>
            <w:pPr>
              <w:rPr>
                <w:rFonts w:ascii="宋体" w:hAnsi="宋体" w:cs="宋体"/>
                <w:color w:val="auto"/>
                <w:sz w:val="24"/>
                <w:highlight w:val="none"/>
              </w:rPr>
            </w:pPr>
          </w:p>
          <w:p>
            <w:pPr>
              <w:rPr>
                <w:rFonts w:ascii="宋体" w:hAnsi="宋体" w:cs="宋体"/>
                <w:color w:val="auto"/>
                <w:sz w:val="24"/>
                <w:highlight w:val="none"/>
              </w:rPr>
            </w:pPr>
            <w:r>
              <w:rPr>
                <w:rFonts w:hint="eastAsia" w:ascii="宋体" w:hAnsi="宋体" w:cs="宋体"/>
                <w:color w:val="auto"/>
                <w:sz w:val="24"/>
                <w:highlight w:val="none"/>
              </w:rPr>
              <w:t>见投标文件</w:t>
            </w:r>
          </w:p>
          <w:p>
            <w:pPr>
              <w:rPr>
                <w:rFonts w:ascii="宋体" w:hAnsi="宋体" w:cs="宋体"/>
                <w:color w:val="auto"/>
                <w:highlight w:val="none"/>
              </w:rPr>
            </w:pPr>
            <w:r>
              <w:rPr>
                <w:rFonts w:hint="eastAsia" w:ascii="宋体" w:hAnsi="宋体" w:cs="宋体"/>
                <w:color w:val="auto"/>
                <w:sz w:val="24"/>
                <w:highlight w:val="none"/>
              </w:rPr>
              <w:t>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trPr>
        <w:tc>
          <w:tcPr>
            <w:tcW w:w="64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2</w:t>
            </w:r>
          </w:p>
        </w:tc>
        <w:tc>
          <w:tcPr>
            <w:tcW w:w="4991" w:type="dxa"/>
            <w:vAlign w:val="top"/>
          </w:tcPr>
          <w:p>
            <w:pPr>
              <w:spacing w:line="360" w:lineRule="auto"/>
              <w:rPr>
                <w:rFonts w:ascii="宋体" w:hAnsi="宋体" w:cs="宋体"/>
                <w:color w:val="auto"/>
                <w:sz w:val="24"/>
                <w:highlight w:val="none"/>
              </w:rPr>
            </w:pPr>
            <w:r>
              <w:rPr>
                <w:rFonts w:hint="eastAsia" w:ascii="宋体" w:hAnsi="宋体" w:cs="宋体"/>
                <w:color w:val="auto"/>
                <w:sz w:val="24"/>
                <w:highlight w:val="none"/>
              </w:rPr>
              <w:t>投标文件中承诺的投标有效期不少于招标文件中载明的投标有效期。</w:t>
            </w:r>
          </w:p>
        </w:tc>
        <w:tc>
          <w:tcPr>
            <w:tcW w:w="2551" w:type="dxa"/>
            <w:vAlign w:val="center"/>
          </w:tcPr>
          <w:p>
            <w:pPr>
              <w:rPr>
                <w:rFonts w:ascii="宋体" w:hAnsi="宋体" w:cs="宋体"/>
                <w:color w:val="auto"/>
                <w:sz w:val="24"/>
                <w:highlight w:val="none"/>
              </w:rPr>
            </w:pPr>
            <w:r>
              <w:rPr>
                <w:rFonts w:hint="eastAsia" w:ascii="宋体" w:hAnsi="宋体" w:cs="宋体"/>
                <w:color w:val="auto"/>
                <w:sz w:val="24"/>
                <w:highlight w:val="none"/>
              </w:rPr>
              <w:t>投标函</w:t>
            </w:r>
          </w:p>
        </w:tc>
        <w:tc>
          <w:tcPr>
            <w:tcW w:w="1418" w:type="dxa"/>
            <w:vAlign w:val="top"/>
          </w:tcPr>
          <w:p>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0" w:hRule="atLeast"/>
        </w:trPr>
        <w:tc>
          <w:tcPr>
            <w:tcW w:w="646"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3</w:t>
            </w:r>
          </w:p>
        </w:tc>
        <w:tc>
          <w:tcPr>
            <w:tcW w:w="4991" w:type="dxa"/>
            <w:vAlign w:val="top"/>
          </w:tcPr>
          <w:p>
            <w:pPr>
              <w:spacing w:line="360" w:lineRule="auto"/>
              <w:rPr>
                <w:rFonts w:ascii="宋体" w:hAnsi="宋体" w:cs="宋体"/>
                <w:color w:val="auto"/>
                <w:sz w:val="24"/>
                <w:highlight w:val="none"/>
              </w:rPr>
            </w:pPr>
            <w:r>
              <w:rPr>
                <w:rFonts w:hint="eastAsia" w:ascii="宋体" w:hAnsi="宋体" w:cs="宋体"/>
                <w:color w:val="auto"/>
                <w:sz w:val="24"/>
                <w:highlight w:val="none"/>
              </w:rPr>
              <w:t>投标文件满足招标文件的其它实质性要求。</w:t>
            </w:r>
          </w:p>
        </w:tc>
        <w:tc>
          <w:tcPr>
            <w:tcW w:w="2551" w:type="dxa"/>
            <w:vAlign w:val="center"/>
          </w:tcPr>
          <w:p>
            <w:pPr>
              <w:rPr>
                <w:rFonts w:ascii="宋体" w:hAnsi="宋体" w:cs="宋体"/>
                <w:color w:val="auto"/>
                <w:sz w:val="24"/>
                <w:highlight w:val="none"/>
              </w:rPr>
            </w:pPr>
            <w:r>
              <w:rPr>
                <w:rFonts w:hint="eastAsia" w:ascii="宋体" w:hAnsi="宋体" w:cs="宋体"/>
                <w:color w:val="auto"/>
                <w:kern w:val="0"/>
                <w:sz w:val="24"/>
                <w:highlight w:val="none"/>
              </w:rPr>
              <w:t>招标文件其它实质性要求相应的材料（“▲” 系指实质性要求条款，招标文件无其它实质性要求的，无需提供）</w:t>
            </w:r>
          </w:p>
        </w:tc>
        <w:tc>
          <w:tcPr>
            <w:tcW w:w="1418" w:type="dxa"/>
            <w:vAlign w:val="top"/>
          </w:tcPr>
          <w:p>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bl>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w:t>
      </w: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pPr>
        <w:jc w:val="center"/>
        <w:rPr>
          <w:rFonts w:ascii="宋体" w:hAnsi="宋体" w:cs="宋体"/>
          <w:color w:val="auto"/>
          <w:highlight w:val="none"/>
        </w:rPr>
      </w:pPr>
      <w:r>
        <w:rPr>
          <w:rFonts w:hint="eastAsia" w:ascii="宋体" w:hAnsi="宋体" w:cs="宋体"/>
          <w:b/>
          <w:color w:val="auto"/>
          <w:kern w:val="0"/>
          <w:sz w:val="32"/>
          <w:szCs w:val="32"/>
          <w:highlight w:val="none"/>
        </w:rPr>
        <w:t>五、评标标准相应的商务技术资料</w:t>
      </w:r>
    </w:p>
    <w:p>
      <w:pPr>
        <w:snapToGrid w:val="0"/>
        <w:spacing w:line="360" w:lineRule="auto"/>
        <w:jc w:val="left"/>
        <w:rPr>
          <w:rFonts w:ascii="宋体" w:hAnsi="宋体" w:cs="宋体"/>
          <w:b/>
          <w:color w:val="auto"/>
          <w:sz w:val="24"/>
          <w:highlight w:val="none"/>
        </w:rPr>
      </w:pPr>
      <w:r>
        <w:rPr>
          <w:rFonts w:hint="eastAsia" w:ascii="宋体" w:hAnsi="宋体" w:cs="宋体"/>
          <w:b/>
          <w:color w:val="auto"/>
          <w:sz w:val="24"/>
          <w:highlight w:val="none"/>
        </w:rPr>
        <w:t>（按招标文件第四部分评标办法前附表中“投标文件中评标标准相应的商务技术资料目录”提供资料。）</w:t>
      </w: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ind w:firstLine="2891" w:firstLineChars="90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六、投标标的清单</w:t>
      </w:r>
    </w:p>
    <w:tbl>
      <w:tblPr>
        <w:tblStyle w:val="73"/>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36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114" w:type="dxa"/>
            <w:tcBorders>
              <w:top w:val="single" w:color="auto" w:sz="4" w:space="0"/>
              <w:left w:val="single" w:color="auto" w:sz="4" w:space="0"/>
              <w:bottom w:val="single" w:color="auto" w:sz="4" w:space="0"/>
              <w:right w:val="single" w:color="auto" w:sz="4" w:space="0"/>
            </w:tcBorders>
            <w:vAlign w:val="top"/>
          </w:tcPr>
          <w:p>
            <w:pPr>
              <w:spacing w:line="360" w:lineRule="auto"/>
              <w:jc w:val="center"/>
              <w:rPr>
                <w:rFonts w:ascii="宋体" w:hAnsi="宋体" w:cs="宋体"/>
                <w:b/>
                <w:color w:val="auto"/>
                <w:sz w:val="24"/>
                <w:highlight w:val="none"/>
              </w:rPr>
            </w:pPr>
          </w:p>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126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6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sz w:val="24"/>
                <w:highlight w:val="none"/>
              </w:rPr>
            </w:pPr>
          </w:p>
        </w:tc>
      </w:tr>
    </w:tbl>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p>
    <w:p>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七、商务技术偏离表</w:t>
      </w:r>
    </w:p>
    <w:tbl>
      <w:tblPr>
        <w:tblStyle w:val="74"/>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59" w:type="dxa"/>
            <w:vAlign w:val="top"/>
          </w:tcPr>
          <w:p>
            <w:pPr>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3683" w:type="dxa"/>
            <w:vAlign w:val="top"/>
          </w:tcPr>
          <w:p>
            <w:pPr>
              <w:jc w:val="center"/>
              <w:rPr>
                <w:rFonts w:ascii="宋体" w:hAnsi="宋体" w:cs="宋体"/>
                <w:b/>
                <w:bCs/>
                <w:color w:val="auto"/>
                <w:sz w:val="24"/>
                <w:highlight w:val="none"/>
              </w:rPr>
            </w:pPr>
            <w:r>
              <w:rPr>
                <w:rFonts w:hint="eastAsia" w:ascii="宋体" w:hAnsi="宋体" w:cs="宋体"/>
                <w:b/>
                <w:bCs/>
                <w:color w:val="auto"/>
                <w:sz w:val="24"/>
                <w:highlight w:val="none"/>
              </w:rPr>
              <w:t>招标文件章节及具体内容</w:t>
            </w:r>
          </w:p>
        </w:tc>
        <w:tc>
          <w:tcPr>
            <w:tcW w:w="3546" w:type="dxa"/>
            <w:vAlign w:val="top"/>
          </w:tcPr>
          <w:p>
            <w:pPr>
              <w:jc w:val="center"/>
              <w:rPr>
                <w:rFonts w:ascii="宋体" w:hAnsi="宋体" w:cs="宋体"/>
                <w:b/>
                <w:bCs/>
                <w:color w:val="auto"/>
                <w:sz w:val="24"/>
                <w:highlight w:val="none"/>
              </w:rPr>
            </w:pPr>
            <w:r>
              <w:rPr>
                <w:rFonts w:hint="eastAsia" w:ascii="宋体" w:hAnsi="宋体" w:cs="宋体"/>
                <w:b/>
                <w:bCs/>
                <w:color w:val="auto"/>
                <w:sz w:val="24"/>
                <w:highlight w:val="none"/>
              </w:rPr>
              <w:t>投标文件章节及具体内容</w:t>
            </w:r>
          </w:p>
        </w:tc>
        <w:tc>
          <w:tcPr>
            <w:tcW w:w="1276" w:type="dxa"/>
            <w:vAlign w:val="top"/>
          </w:tcPr>
          <w:p>
            <w:pPr>
              <w:jc w:val="center"/>
              <w:rPr>
                <w:rFonts w:ascii="宋体" w:hAnsi="宋体" w:cs="宋体"/>
                <w:b/>
                <w:bCs/>
                <w:color w:val="auto"/>
                <w:sz w:val="24"/>
                <w:highlight w:val="none"/>
              </w:rPr>
            </w:pPr>
            <w:r>
              <w:rPr>
                <w:rFonts w:hint="eastAsia" w:ascii="宋体" w:hAnsi="宋体" w:cs="宋体"/>
                <w:b/>
                <w:bCs/>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top"/>
          </w:tcPr>
          <w:p>
            <w:pPr>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3683" w:type="dxa"/>
            <w:vAlign w:val="top"/>
          </w:tcPr>
          <w:p>
            <w:pPr>
              <w:jc w:val="center"/>
              <w:rPr>
                <w:rFonts w:ascii="宋体" w:hAnsi="宋体" w:cs="宋体"/>
                <w:b/>
                <w:color w:val="auto"/>
                <w:kern w:val="0"/>
                <w:sz w:val="32"/>
                <w:szCs w:val="32"/>
                <w:highlight w:val="none"/>
              </w:rPr>
            </w:pPr>
          </w:p>
        </w:tc>
        <w:tc>
          <w:tcPr>
            <w:tcW w:w="3546" w:type="dxa"/>
            <w:vAlign w:val="top"/>
          </w:tcPr>
          <w:p>
            <w:pPr>
              <w:jc w:val="center"/>
              <w:rPr>
                <w:rFonts w:ascii="宋体" w:hAnsi="宋体" w:cs="宋体"/>
                <w:b/>
                <w:color w:val="auto"/>
                <w:kern w:val="0"/>
                <w:sz w:val="32"/>
                <w:szCs w:val="32"/>
                <w:highlight w:val="none"/>
              </w:rPr>
            </w:pPr>
          </w:p>
        </w:tc>
        <w:tc>
          <w:tcPr>
            <w:tcW w:w="1276" w:type="dxa"/>
            <w:vAlign w:val="top"/>
          </w:tcPr>
          <w:p>
            <w:pPr>
              <w:jc w:val="center"/>
              <w:rPr>
                <w:rFonts w:ascii="宋体" w:hAnsi="宋体" w:cs="宋体"/>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top"/>
          </w:tcPr>
          <w:p>
            <w:pPr>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3683" w:type="dxa"/>
            <w:vAlign w:val="top"/>
          </w:tcPr>
          <w:p>
            <w:pPr>
              <w:jc w:val="center"/>
              <w:rPr>
                <w:rFonts w:ascii="宋体" w:hAnsi="宋体" w:cs="宋体"/>
                <w:b/>
                <w:color w:val="auto"/>
                <w:kern w:val="0"/>
                <w:sz w:val="32"/>
                <w:szCs w:val="32"/>
                <w:highlight w:val="none"/>
              </w:rPr>
            </w:pPr>
          </w:p>
        </w:tc>
        <w:tc>
          <w:tcPr>
            <w:tcW w:w="3546" w:type="dxa"/>
            <w:vAlign w:val="top"/>
          </w:tcPr>
          <w:p>
            <w:pPr>
              <w:jc w:val="center"/>
              <w:rPr>
                <w:rFonts w:ascii="宋体" w:hAnsi="宋体" w:cs="宋体"/>
                <w:b/>
                <w:color w:val="auto"/>
                <w:kern w:val="0"/>
                <w:sz w:val="32"/>
                <w:szCs w:val="32"/>
                <w:highlight w:val="none"/>
              </w:rPr>
            </w:pPr>
          </w:p>
        </w:tc>
        <w:tc>
          <w:tcPr>
            <w:tcW w:w="1276" w:type="dxa"/>
            <w:vAlign w:val="top"/>
          </w:tcPr>
          <w:p>
            <w:pPr>
              <w:jc w:val="center"/>
              <w:rPr>
                <w:rFonts w:ascii="宋体" w:hAnsi="宋体" w:cs="宋体"/>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top"/>
          </w:tcPr>
          <w:p>
            <w:pPr>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3683" w:type="dxa"/>
            <w:vAlign w:val="top"/>
          </w:tcPr>
          <w:p>
            <w:pPr>
              <w:jc w:val="center"/>
              <w:rPr>
                <w:rFonts w:ascii="宋体" w:hAnsi="宋体" w:cs="宋体"/>
                <w:b/>
                <w:color w:val="auto"/>
                <w:kern w:val="0"/>
                <w:sz w:val="32"/>
                <w:szCs w:val="32"/>
                <w:highlight w:val="none"/>
              </w:rPr>
            </w:pPr>
          </w:p>
        </w:tc>
        <w:tc>
          <w:tcPr>
            <w:tcW w:w="3546" w:type="dxa"/>
            <w:vAlign w:val="top"/>
          </w:tcPr>
          <w:p>
            <w:pPr>
              <w:jc w:val="center"/>
              <w:rPr>
                <w:rFonts w:ascii="宋体" w:hAnsi="宋体" w:cs="宋体"/>
                <w:b/>
                <w:color w:val="auto"/>
                <w:kern w:val="0"/>
                <w:sz w:val="32"/>
                <w:szCs w:val="32"/>
                <w:highlight w:val="none"/>
              </w:rPr>
            </w:pPr>
          </w:p>
        </w:tc>
        <w:tc>
          <w:tcPr>
            <w:tcW w:w="1276" w:type="dxa"/>
            <w:vAlign w:val="top"/>
          </w:tcPr>
          <w:p>
            <w:pPr>
              <w:jc w:val="center"/>
              <w:rPr>
                <w:rFonts w:ascii="宋体" w:hAnsi="宋体" w:cs="宋体"/>
                <w:b/>
                <w:color w:val="auto"/>
                <w:kern w:val="0"/>
                <w:sz w:val="32"/>
                <w:szCs w:val="32"/>
                <w:highlight w:val="none"/>
              </w:rPr>
            </w:pPr>
          </w:p>
        </w:tc>
      </w:tr>
    </w:tbl>
    <w:p>
      <w:pPr>
        <w:jc w:val="left"/>
        <w:rPr>
          <w:rFonts w:ascii="宋体" w:hAnsi="宋体" w:cs="宋体"/>
          <w:color w:val="auto"/>
          <w:kern w:val="0"/>
          <w:sz w:val="24"/>
          <w:highlight w:val="none"/>
        </w:rPr>
      </w:pPr>
      <w:r>
        <w:rPr>
          <w:rFonts w:hint="eastAsia" w:ascii="宋体" w:hAnsi="宋体" w:cs="宋体"/>
          <w:color w:val="auto"/>
          <w:kern w:val="0"/>
          <w:sz w:val="24"/>
          <w:highlight w:val="none"/>
        </w:rPr>
        <w:t>投标人保证：除商务技术偏离表列出的偏离外，投标人响应招标文件的全部要求</w:t>
      </w:r>
    </w:p>
    <w:p>
      <w:pPr>
        <w:jc w:val="center"/>
        <w:rPr>
          <w:rFonts w:ascii="宋体" w:hAnsi="宋体" w:cs="宋体"/>
          <w:b/>
          <w:color w:val="auto"/>
          <w:kern w:val="0"/>
          <w:sz w:val="32"/>
          <w:szCs w:val="32"/>
          <w:highlight w:val="none"/>
        </w:rPr>
      </w:pPr>
    </w:p>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ind w:firstLine="1911" w:firstLineChars="595"/>
        <w:rPr>
          <w:rFonts w:ascii="宋体" w:hAnsi="宋体" w:cs="宋体"/>
          <w:b/>
          <w:bCs/>
          <w:color w:val="auto"/>
          <w:sz w:val="32"/>
          <w:szCs w:val="32"/>
          <w:highlight w:val="none"/>
        </w:rPr>
      </w:pPr>
    </w:p>
    <w:p>
      <w:pPr>
        <w:ind w:firstLine="1911" w:firstLineChars="595"/>
        <w:rPr>
          <w:rFonts w:ascii="宋体" w:hAnsi="宋体" w:cs="宋体"/>
          <w:b/>
          <w:bCs/>
          <w:color w:val="auto"/>
          <w:sz w:val="32"/>
          <w:szCs w:val="32"/>
          <w:highlight w:val="none"/>
        </w:rPr>
      </w:pPr>
    </w:p>
    <w:p>
      <w:pPr>
        <w:ind w:firstLine="1911" w:firstLineChars="595"/>
        <w:rPr>
          <w:rFonts w:ascii="宋体" w:hAnsi="宋体" w:cs="宋体"/>
          <w:b/>
          <w:bCs/>
          <w:color w:val="auto"/>
          <w:sz w:val="32"/>
          <w:szCs w:val="32"/>
          <w:highlight w:val="none"/>
        </w:rPr>
      </w:pPr>
    </w:p>
    <w:p>
      <w:pPr>
        <w:ind w:firstLine="1911" w:firstLineChars="595"/>
        <w:rPr>
          <w:rFonts w:ascii="宋体" w:hAnsi="宋体" w:cs="宋体"/>
          <w:b/>
          <w:bCs/>
          <w:color w:val="auto"/>
          <w:sz w:val="32"/>
          <w:szCs w:val="32"/>
          <w:highlight w:val="none"/>
        </w:rPr>
      </w:pPr>
    </w:p>
    <w:p>
      <w:pPr>
        <w:ind w:firstLine="1911" w:firstLineChars="595"/>
        <w:rPr>
          <w:rFonts w:ascii="宋体" w:hAnsi="宋体" w:cs="宋体"/>
          <w:b/>
          <w:bCs/>
          <w:color w:val="auto"/>
          <w:sz w:val="32"/>
          <w:szCs w:val="32"/>
          <w:highlight w:val="none"/>
        </w:rPr>
      </w:pPr>
    </w:p>
    <w:p>
      <w:pPr>
        <w:widowControl/>
        <w:adjustRightInd/>
        <w:jc w:val="left"/>
        <w:rPr>
          <w:rFonts w:ascii="宋体" w:hAnsi="宋体" w:cs="宋体"/>
          <w:b/>
          <w:bCs/>
          <w:color w:val="auto"/>
          <w:sz w:val="32"/>
          <w:szCs w:val="32"/>
          <w:highlight w:val="none"/>
        </w:rPr>
      </w:pPr>
      <w:r>
        <w:rPr>
          <w:rFonts w:ascii="宋体" w:hAnsi="宋体" w:cs="宋体"/>
          <w:b/>
          <w:bCs/>
          <w:color w:val="auto"/>
          <w:sz w:val="32"/>
          <w:szCs w:val="32"/>
          <w:highlight w:val="none"/>
        </w:rPr>
        <w:br w:type="page"/>
      </w:r>
    </w:p>
    <w:p>
      <w:pPr>
        <w:ind w:firstLine="1911" w:firstLineChars="595"/>
        <w:rPr>
          <w:rFonts w:ascii="宋体" w:hAnsi="宋体" w:cs="宋体"/>
          <w:b/>
          <w:color w:val="auto"/>
          <w:kern w:val="0"/>
          <w:sz w:val="32"/>
          <w:szCs w:val="32"/>
          <w:highlight w:val="none"/>
        </w:rPr>
      </w:pPr>
      <w:r>
        <w:rPr>
          <w:rFonts w:hint="eastAsia" w:ascii="宋体" w:hAnsi="宋体" w:cs="宋体"/>
          <w:b/>
          <w:bCs/>
          <w:color w:val="auto"/>
          <w:sz w:val="32"/>
          <w:szCs w:val="32"/>
          <w:highlight w:val="none"/>
        </w:rPr>
        <w:t>八</w:t>
      </w:r>
      <w:r>
        <w:rPr>
          <w:rFonts w:hint="eastAsia" w:ascii="宋体" w:hAnsi="宋体" w:cs="宋体"/>
          <w:b/>
          <w:color w:val="auto"/>
          <w:kern w:val="0"/>
          <w:sz w:val="32"/>
          <w:szCs w:val="32"/>
          <w:highlight w:val="none"/>
        </w:rPr>
        <w:t>、</w:t>
      </w:r>
      <w:r>
        <w:rPr>
          <w:rFonts w:hint="eastAsia" w:ascii="宋体" w:hAnsi="宋体" w:cs="宋体"/>
          <w:b/>
          <w:color w:val="auto"/>
          <w:kern w:val="0"/>
          <w:sz w:val="32"/>
          <w:szCs w:val="32"/>
          <w:highlight w:val="none"/>
          <w:lang w:val="zh-CN"/>
        </w:rPr>
        <w:t>政府采购供应商廉洁自律承诺书</w:t>
      </w:r>
    </w:p>
    <w:p>
      <w:pPr>
        <w:snapToGrid w:val="0"/>
        <w:spacing w:line="360" w:lineRule="auto"/>
        <w:rPr>
          <w:rFonts w:ascii="宋体" w:hAnsi="宋体" w:cs="宋体"/>
          <w:color w:val="auto"/>
          <w:sz w:val="24"/>
          <w:highlight w:val="none"/>
        </w:rPr>
      </w:pPr>
    </w:p>
    <w:p>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（采购人）、杭州市公共资源交易中心</w:t>
      </w:r>
      <w:r>
        <w:rPr>
          <w:rFonts w:hint="eastAsia" w:ascii="宋体" w:hAnsi="宋体" w:cs="宋体"/>
          <w:color w:val="auto"/>
          <w:sz w:val="24"/>
          <w:highlight w:val="none"/>
          <w:lang w:eastAsia="zh-CN"/>
        </w:rPr>
        <w:t>临平分中心</w:t>
      </w:r>
      <w:r>
        <w:rPr>
          <w:rFonts w:hint="eastAsia" w:ascii="宋体" w:hAnsi="宋体" w:cs="宋体"/>
          <w:color w:val="auto"/>
          <w:kern w:val="0"/>
          <w:sz w:val="24"/>
          <w:highlight w:val="none"/>
          <w:lang w:val="zh-CN"/>
        </w:rPr>
        <w:t>：</w:t>
      </w:r>
    </w:p>
    <w:p>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我单位响应你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项目招标要求参加投标。在这次投标过程中和中标后，我们将严格遵守国家法律法规要求，并郑重承诺：</w:t>
      </w:r>
    </w:p>
    <w:p>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四、不为项目有关人员及部门出国（境）、旅游等提供方便；</w:t>
      </w:r>
    </w:p>
    <w:p>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五、不为项目有关人员个人装修住房、婚丧嫁娶、配偶子女工作安排等提供</w:t>
      </w:r>
    </w:p>
    <w:p>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好处；</w:t>
      </w:r>
    </w:p>
    <w:p>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六、严格遵守《</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政府采购法》《</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招标投标</w:t>
      </w:r>
    </w:p>
    <w:p>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w:t>
      </w:r>
      <w:r>
        <w:rPr>
          <w:rFonts w:hint="eastAsia" w:ascii="宋体" w:hAnsi="宋体" w:cs="宋体"/>
          <w:color w:val="auto"/>
          <w:sz w:val="24"/>
          <w:highlight w:val="none"/>
          <w:lang w:val="zh-CN"/>
        </w:rPr>
        <w:t>《中华人民共和国民法典》</w:t>
      </w:r>
      <w:r>
        <w:rPr>
          <w:rFonts w:hint="eastAsia" w:ascii="宋体" w:hAnsi="宋体" w:cs="宋体"/>
          <w:color w:val="auto"/>
          <w:kern w:val="0"/>
          <w:sz w:val="24"/>
          <w:highlight w:val="none"/>
          <w:lang w:val="zh-CN"/>
        </w:rPr>
        <w:t xml:space="preserve">等法律法规，诚实守信，合法经营，坚决抵制各种违法违纪行为。 </w:t>
      </w:r>
    </w:p>
    <w:p>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如违反上述承诺，你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有权立即取消我单位投标、中标或在建项目的建设资格，有权拒绝我单位在一定时期内进入你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进行项目建设或其他经营活动，并通报市财政局。由此引起的相应损失均由我单位承担。</w:t>
      </w:r>
    </w:p>
    <w:p>
      <w:pPr>
        <w:autoSpaceDE w:val="0"/>
        <w:autoSpaceDN w:val="0"/>
        <w:spacing w:line="360" w:lineRule="auto"/>
        <w:ind w:left="2"/>
        <w:jc w:val="left"/>
        <w:rPr>
          <w:rFonts w:ascii="宋体" w:hAnsi="宋体" w:cs="宋体"/>
          <w:color w:val="auto"/>
          <w:kern w:val="0"/>
          <w:sz w:val="24"/>
          <w:highlight w:val="none"/>
          <w:lang w:val="zh-CN"/>
        </w:rPr>
      </w:pPr>
    </w:p>
    <w:p>
      <w:pPr>
        <w:autoSpaceDE w:val="0"/>
        <w:autoSpaceDN w:val="0"/>
        <w:spacing w:line="360" w:lineRule="auto"/>
        <w:ind w:left="2"/>
        <w:jc w:val="left"/>
        <w:rPr>
          <w:rFonts w:ascii="宋体" w:hAnsi="宋体" w:cs="宋体"/>
          <w:color w:val="auto"/>
          <w:kern w:val="0"/>
          <w:sz w:val="24"/>
          <w:highlight w:val="none"/>
          <w:lang w:val="zh-CN"/>
        </w:rPr>
      </w:pPr>
    </w:p>
    <w:p>
      <w:pPr>
        <w:autoSpaceDE w:val="0"/>
        <w:autoSpaceDN w:val="0"/>
        <w:spacing w:line="360" w:lineRule="auto"/>
        <w:ind w:left="2"/>
        <w:jc w:val="left"/>
        <w:rPr>
          <w:rFonts w:ascii="宋体" w:hAnsi="宋体" w:cs="宋体"/>
          <w:color w:val="auto"/>
          <w:kern w:val="0"/>
          <w:sz w:val="24"/>
          <w:highlight w:val="none"/>
          <w:lang w:val="zh-CN"/>
        </w:rPr>
      </w:pPr>
    </w:p>
    <w:p>
      <w:pPr>
        <w:autoSpaceDE w:val="0"/>
        <w:autoSpaceDN w:val="0"/>
        <w:spacing w:line="360" w:lineRule="auto"/>
        <w:ind w:left="2" w:leftChars="1" w:right="1120" w:firstLine="4560" w:firstLineChars="19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投标人名称（</w:t>
      </w:r>
      <w:r>
        <w:rPr>
          <w:rFonts w:hint="eastAsia" w:ascii="宋体" w:hAnsi="宋体" w:cs="宋体"/>
          <w:color w:val="auto"/>
          <w:sz w:val="24"/>
          <w:highlight w:val="none"/>
        </w:rPr>
        <w:t>电子签名</w:t>
      </w:r>
      <w:r>
        <w:rPr>
          <w:rFonts w:hint="eastAsia" w:ascii="宋体" w:hAnsi="宋体" w:cs="宋体"/>
          <w:color w:val="auto"/>
          <w:kern w:val="0"/>
          <w:sz w:val="24"/>
          <w:highlight w:val="none"/>
          <w:lang w:val="zh-CN"/>
        </w:rPr>
        <w:t xml:space="preserve">）：                                                                                                                                                                                                               </w:t>
      </w:r>
    </w:p>
    <w:p>
      <w:pPr>
        <w:spacing w:line="360" w:lineRule="auto"/>
        <w:ind w:left="4620" w:leftChars="2200"/>
        <w:rPr>
          <w:rFonts w:ascii="宋体" w:hAnsi="宋体" w:cs="宋体"/>
          <w:color w:val="auto"/>
          <w:sz w:val="24"/>
          <w:highlight w:val="none"/>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 xml:space="preserve">   年   月   日</w:t>
      </w:r>
    </w:p>
    <w:p>
      <w:pPr>
        <w:spacing w:line="360" w:lineRule="auto"/>
        <w:jc w:val="center"/>
        <w:rPr>
          <w:rFonts w:ascii="宋体" w:hAnsi="宋体" w:cs="宋体"/>
          <w:b/>
          <w:bCs/>
          <w:color w:val="auto"/>
          <w:sz w:val="24"/>
          <w:highlight w:val="none"/>
        </w:rPr>
      </w:pPr>
    </w:p>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spacing w:line="360" w:lineRule="auto"/>
        <w:jc w:val="center"/>
        <w:rPr>
          <w:rFonts w:ascii="宋体" w:hAnsi="宋体" w:cs="宋体"/>
          <w:b/>
          <w:bCs/>
          <w:color w:val="auto"/>
          <w:sz w:val="24"/>
          <w:highlight w:val="none"/>
        </w:rPr>
        <w:sectPr>
          <w:headerReference r:id="rId14" w:type="first"/>
          <w:footerReference r:id="rId16" w:type="first"/>
          <w:headerReference r:id="rId13" w:type="default"/>
          <w:footerReference r:id="rId15" w:type="default"/>
          <w:pgSz w:w="11906" w:h="16838"/>
          <w:pgMar w:top="1276" w:right="1418" w:bottom="1247" w:left="1418" w:header="851" w:footer="992" w:gutter="0"/>
          <w:cols w:space="720" w:num="1"/>
          <w:titlePg/>
          <w:docGrid w:linePitch="312" w:charSpace="0"/>
        </w:sectPr>
      </w:pPr>
    </w:p>
    <w:p>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报价文件部分</w:t>
      </w:r>
    </w:p>
    <w:p>
      <w:pPr>
        <w:spacing w:line="360" w:lineRule="auto"/>
        <w:jc w:val="center"/>
        <w:outlineLvl w:val="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pPr>
        <w:spacing w:line="360" w:lineRule="auto"/>
        <w:jc w:val="center"/>
        <w:outlineLvl w:val="0"/>
        <w:rPr>
          <w:rFonts w:ascii="宋体" w:hAnsi="宋体" w:cs="宋体"/>
          <w:b/>
          <w:color w:val="auto"/>
          <w:kern w:val="0"/>
          <w:sz w:val="36"/>
          <w:szCs w:val="36"/>
          <w:highlight w:val="none"/>
        </w:rPr>
      </w:pP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（1）开标一览表（报价表）………………………………………………………（页码）</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（2）中小企业声明函………………………………………………………………（页码）</w:t>
      </w: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snapToGrid w:val="0"/>
        <w:spacing w:line="360" w:lineRule="auto"/>
        <w:ind w:right="480"/>
        <w:jc w:val="center"/>
        <w:rPr>
          <w:rFonts w:ascii="宋体" w:hAnsi="宋体" w:cs="宋体"/>
          <w:b/>
          <w:color w:val="auto"/>
          <w:kern w:val="0"/>
          <w:sz w:val="32"/>
          <w:szCs w:val="32"/>
          <w:highlight w:val="none"/>
        </w:rPr>
      </w:pPr>
    </w:p>
    <w:p>
      <w:pPr>
        <w:pStyle w:val="375"/>
        <w:tabs>
          <w:tab w:val="clear" w:pos="720"/>
        </w:tabs>
        <w:snapToGrid w:val="0"/>
        <w:spacing w:before="120" w:after="120"/>
        <w:ind w:firstLine="643"/>
        <w:outlineLvl w:val="9"/>
        <w:rPr>
          <w:rFonts w:ascii="宋体" w:hAnsi="宋体" w:eastAsia="宋体" w:cs="宋体"/>
          <w:color w:val="auto"/>
          <w:kern w:val="2"/>
          <w:sz w:val="32"/>
          <w:szCs w:val="32"/>
          <w:highlight w:val="none"/>
        </w:rPr>
        <w:sectPr>
          <w:headerReference r:id="rId18" w:type="first"/>
          <w:footerReference r:id="rId20" w:type="first"/>
          <w:headerReference r:id="rId17" w:type="default"/>
          <w:footerReference r:id="rId19" w:type="default"/>
          <w:pgSz w:w="11906" w:h="16838"/>
          <w:pgMar w:top="1276" w:right="1418" w:bottom="1247" w:left="1418" w:header="851" w:footer="992" w:gutter="0"/>
          <w:cols w:space="720" w:num="1"/>
          <w:titlePg/>
          <w:docGrid w:linePitch="312" w:charSpace="0"/>
        </w:sectPr>
      </w:pPr>
    </w:p>
    <w:p>
      <w:pPr>
        <w:pStyle w:val="375"/>
        <w:tabs>
          <w:tab w:val="clear" w:pos="720"/>
        </w:tabs>
        <w:snapToGrid w:val="0"/>
        <w:spacing w:before="120" w:after="120"/>
        <w:ind w:firstLine="643"/>
        <w:outlineLvl w:val="9"/>
        <w:rPr>
          <w:rFonts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rPr>
        <w:t>一、开标一览表（报价表）</w:t>
      </w:r>
    </w:p>
    <w:p>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（采购人）、杭州市公共资源交易中心</w:t>
      </w:r>
      <w:r>
        <w:rPr>
          <w:rFonts w:hint="eastAsia" w:ascii="宋体" w:hAnsi="宋体" w:cs="宋体"/>
          <w:color w:val="auto"/>
          <w:sz w:val="24"/>
          <w:highlight w:val="none"/>
          <w:lang w:eastAsia="zh-CN"/>
        </w:rPr>
        <w:t>临平分中心</w:t>
      </w:r>
      <w:r>
        <w:rPr>
          <w:rFonts w:hint="eastAsia" w:ascii="宋体" w:hAnsi="宋体" w:cs="宋体"/>
          <w:color w:val="auto"/>
          <w:kern w:val="0"/>
          <w:sz w:val="24"/>
          <w:highlight w:val="none"/>
          <w:lang w:val="zh-CN"/>
        </w:rPr>
        <w:t>：</w:t>
      </w:r>
    </w:p>
    <w:p>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宋体" w:hAnsi="宋体" w:cs="宋体"/>
          <w:color w:val="auto"/>
          <w:sz w:val="24"/>
          <w:highlight w:val="none"/>
        </w:rPr>
        <w:t>（项目名称）</w:t>
      </w:r>
      <w:r>
        <w:rPr>
          <w:rFonts w:hint="eastAsia" w:ascii="宋体" w:hAnsi="宋体" w:cs="宋体"/>
          <w:color w:val="auto"/>
          <w:kern w:val="0"/>
          <w:sz w:val="24"/>
          <w:highlight w:val="none"/>
          <w:lang w:val="zh-CN"/>
        </w:rPr>
        <w:t>【招标编号：</w:t>
      </w:r>
      <w:r>
        <w:rPr>
          <w:rFonts w:hint="eastAsia" w:ascii="宋体" w:hAnsi="宋体" w:cs="宋体"/>
          <w:color w:val="auto"/>
          <w:sz w:val="24"/>
          <w:highlight w:val="none"/>
        </w:rPr>
        <w:t>（采购编号）】的实施</w:t>
      </w:r>
      <w:r>
        <w:rPr>
          <w:rFonts w:hint="eastAsia" w:ascii="宋体" w:hAnsi="宋体" w:cs="宋体"/>
          <w:color w:val="auto"/>
          <w:kern w:val="0"/>
          <w:sz w:val="24"/>
          <w:highlight w:val="none"/>
          <w:lang w:val="zh-CN"/>
        </w:rPr>
        <w:t>。</w:t>
      </w:r>
    </w:p>
    <w:p>
      <w:pPr>
        <w:spacing w:line="360" w:lineRule="auto"/>
        <w:jc w:val="center"/>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开标一览表（报价表）(单位均为人民币元)</w:t>
      </w:r>
    </w:p>
    <w:tbl>
      <w:tblPr>
        <w:tblStyle w:val="73"/>
        <w:tblW w:w="14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3" w:hRule="atLeast"/>
        </w:trPr>
        <w:tc>
          <w:tcPr>
            <w:tcW w:w="534"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417"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843" w:type="dxa"/>
            <w:vAlign w:val="top"/>
          </w:tcPr>
          <w:p>
            <w:pPr>
              <w:spacing w:line="360" w:lineRule="auto"/>
              <w:jc w:val="center"/>
              <w:rPr>
                <w:rFonts w:ascii="宋体" w:hAnsi="宋体" w:cs="宋体"/>
                <w:b/>
                <w:color w:val="auto"/>
                <w:sz w:val="24"/>
                <w:highlight w:val="none"/>
              </w:rPr>
            </w:pPr>
          </w:p>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3118"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993"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559"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单价</w:t>
            </w:r>
          </w:p>
        </w:tc>
        <w:tc>
          <w:tcPr>
            <w:tcW w:w="1984" w:type="dxa"/>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合计</w:t>
            </w:r>
          </w:p>
        </w:tc>
        <w:tc>
          <w:tcPr>
            <w:tcW w:w="3119" w:type="dxa"/>
            <w:vAlign w:val="center"/>
          </w:tcPr>
          <w:p>
            <w:pPr>
              <w:spacing w:line="360" w:lineRule="auto"/>
              <w:jc w:val="center"/>
              <w:rPr>
                <w:rFonts w:ascii="宋体" w:hAnsi="宋体" w:cs="宋体"/>
                <w:b/>
                <w:color w:val="auto"/>
                <w:sz w:val="24"/>
                <w:highlight w:val="none"/>
              </w:rPr>
            </w:pPr>
          </w:p>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pPr>
              <w:spacing w:line="360" w:lineRule="auto"/>
              <w:jc w:val="center"/>
              <w:rPr>
                <w:rFonts w:ascii="宋体" w:hAnsi="宋体" w:cs="宋体"/>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534" w:type="dxa"/>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417"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pPr>
              <w:snapToGrid w:val="0"/>
              <w:spacing w:line="360" w:lineRule="auto"/>
              <w:jc w:val="center"/>
              <w:rPr>
                <w:rFonts w:ascii="宋体" w:hAnsi="宋体" w:cs="宋体"/>
                <w:color w:val="auto"/>
                <w:sz w:val="24"/>
                <w:highlight w:val="none"/>
              </w:rPr>
            </w:pPr>
          </w:p>
        </w:tc>
        <w:tc>
          <w:tcPr>
            <w:tcW w:w="3118" w:type="dxa"/>
            <w:vAlign w:val="center"/>
          </w:tcPr>
          <w:p>
            <w:pPr>
              <w:snapToGrid w:val="0"/>
              <w:spacing w:line="360" w:lineRule="auto"/>
              <w:jc w:val="center"/>
              <w:rPr>
                <w:rFonts w:ascii="宋体" w:hAnsi="宋体" w:cs="宋体"/>
                <w:color w:val="auto"/>
                <w:sz w:val="24"/>
                <w:highlight w:val="none"/>
              </w:rPr>
            </w:pPr>
          </w:p>
        </w:tc>
        <w:tc>
          <w:tcPr>
            <w:tcW w:w="993" w:type="dxa"/>
            <w:vAlign w:val="center"/>
          </w:tcPr>
          <w:p>
            <w:pPr>
              <w:snapToGrid w:val="0"/>
              <w:spacing w:line="360" w:lineRule="auto"/>
              <w:jc w:val="center"/>
              <w:rPr>
                <w:rFonts w:ascii="宋体" w:hAnsi="宋体" w:cs="宋体"/>
                <w:color w:val="auto"/>
                <w:sz w:val="24"/>
                <w:highlight w:val="none"/>
              </w:rPr>
            </w:pPr>
          </w:p>
        </w:tc>
        <w:tc>
          <w:tcPr>
            <w:tcW w:w="1559" w:type="dxa"/>
            <w:vAlign w:val="center"/>
          </w:tcPr>
          <w:p>
            <w:pPr>
              <w:spacing w:line="360" w:lineRule="auto"/>
              <w:jc w:val="center"/>
              <w:rPr>
                <w:rFonts w:ascii="宋体" w:hAnsi="宋体" w:cs="宋体"/>
                <w:color w:val="auto"/>
                <w:sz w:val="24"/>
                <w:highlight w:val="none"/>
              </w:rPr>
            </w:pPr>
          </w:p>
        </w:tc>
        <w:tc>
          <w:tcPr>
            <w:tcW w:w="1984" w:type="dxa"/>
            <w:vAlign w:val="center"/>
          </w:tcPr>
          <w:p>
            <w:pPr>
              <w:spacing w:line="360" w:lineRule="auto"/>
              <w:jc w:val="center"/>
              <w:rPr>
                <w:rFonts w:ascii="宋体" w:hAnsi="宋体" w:cs="宋体"/>
                <w:color w:val="auto"/>
                <w:sz w:val="24"/>
                <w:highlight w:val="none"/>
              </w:rPr>
            </w:pPr>
          </w:p>
        </w:tc>
        <w:tc>
          <w:tcPr>
            <w:tcW w:w="3119"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534" w:type="dxa"/>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417" w:type="dxa"/>
            <w:vAlign w:val="center"/>
          </w:tcPr>
          <w:p>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pPr>
              <w:snapToGrid w:val="0"/>
              <w:spacing w:line="360" w:lineRule="auto"/>
              <w:jc w:val="center"/>
              <w:rPr>
                <w:rFonts w:ascii="宋体" w:hAnsi="宋体" w:cs="宋体"/>
                <w:color w:val="auto"/>
                <w:sz w:val="24"/>
                <w:highlight w:val="none"/>
              </w:rPr>
            </w:pPr>
          </w:p>
        </w:tc>
        <w:tc>
          <w:tcPr>
            <w:tcW w:w="3118" w:type="dxa"/>
            <w:vAlign w:val="center"/>
          </w:tcPr>
          <w:p>
            <w:pPr>
              <w:snapToGrid w:val="0"/>
              <w:spacing w:line="360" w:lineRule="auto"/>
              <w:jc w:val="center"/>
              <w:rPr>
                <w:rFonts w:ascii="宋体" w:hAnsi="宋体" w:cs="宋体"/>
                <w:color w:val="auto"/>
                <w:sz w:val="24"/>
                <w:highlight w:val="none"/>
              </w:rPr>
            </w:pPr>
          </w:p>
        </w:tc>
        <w:tc>
          <w:tcPr>
            <w:tcW w:w="993" w:type="dxa"/>
            <w:vAlign w:val="center"/>
          </w:tcPr>
          <w:p>
            <w:pPr>
              <w:snapToGrid w:val="0"/>
              <w:spacing w:line="360" w:lineRule="auto"/>
              <w:jc w:val="center"/>
              <w:rPr>
                <w:rFonts w:ascii="宋体" w:hAnsi="宋体" w:cs="宋体"/>
                <w:color w:val="auto"/>
                <w:sz w:val="24"/>
                <w:highlight w:val="none"/>
              </w:rPr>
            </w:pPr>
          </w:p>
        </w:tc>
        <w:tc>
          <w:tcPr>
            <w:tcW w:w="1559" w:type="dxa"/>
            <w:vAlign w:val="center"/>
          </w:tcPr>
          <w:p>
            <w:pPr>
              <w:spacing w:line="360" w:lineRule="auto"/>
              <w:jc w:val="center"/>
              <w:rPr>
                <w:rFonts w:ascii="宋体" w:hAnsi="宋体" w:cs="宋体"/>
                <w:color w:val="auto"/>
                <w:sz w:val="24"/>
                <w:highlight w:val="none"/>
              </w:rPr>
            </w:pPr>
          </w:p>
        </w:tc>
        <w:tc>
          <w:tcPr>
            <w:tcW w:w="1984" w:type="dxa"/>
            <w:vAlign w:val="center"/>
          </w:tcPr>
          <w:p>
            <w:pPr>
              <w:spacing w:line="360" w:lineRule="auto"/>
              <w:jc w:val="center"/>
              <w:rPr>
                <w:rFonts w:ascii="宋体" w:hAnsi="宋体" w:cs="宋体"/>
                <w:color w:val="auto"/>
                <w:sz w:val="24"/>
                <w:highlight w:val="none"/>
              </w:rPr>
            </w:pPr>
          </w:p>
        </w:tc>
        <w:tc>
          <w:tcPr>
            <w:tcW w:w="3119"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534" w:type="dxa"/>
            <w:vAlign w:val="center"/>
          </w:tcPr>
          <w:p>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417" w:type="dxa"/>
            <w:vAlign w:val="center"/>
          </w:tcPr>
          <w:p>
            <w:pPr>
              <w:snapToGrid w:val="0"/>
              <w:spacing w:line="360" w:lineRule="auto"/>
              <w:jc w:val="center"/>
              <w:rPr>
                <w:rFonts w:ascii="宋体" w:hAnsi="宋体" w:cs="宋体"/>
                <w:color w:val="auto"/>
                <w:sz w:val="24"/>
                <w:highlight w:val="none"/>
              </w:rPr>
            </w:pPr>
          </w:p>
        </w:tc>
        <w:tc>
          <w:tcPr>
            <w:tcW w:w="1843" w:type="dxa"/>
            <w:vAlign w:val="center"/>
          </w:tcPr>
          <w:p>
            <w:pPr>
              <w:snapToGrid w:val="0"/>
              <w:spacing w:line="360" w:lineRule="auto"/>
              <w:jc w:val="center"/>
              <w:rPr>
                <w:rFonts w:ascii="宋体" w:hAnsi="宋体" w:cs="宋体"/>
                <w:color w:val="auto"/>
                <w:sz w:val="24"/>
                <w:highlight w:val="none"/>
              </w:rPr>
            </w:pPr>
          </w:p>
        </w:tc>
        <w:tc>
          <w:tcPr>
            <w:tcW w:w="3118" w:type="dxa"/>
            <w:vAlign w:val="center"/>
          </w:tcPr>
          <w:p>
            <w:pPr>
              <w:snapToGrid w:val="0"/>
              <w:spacing w:line="360" w:lineRule="auto"/>
              <w:jc w:val="center"/>
              <w:rPr>
                <w:rFonts w:ascii="宋体" w:hAnsi="宋体" w:cs="宋体"/>
                <w:color w:val="auto"/>
                <w:sz w:val="24"/>
                <w:highlight w:val="none"/>
              </w:rPr>
            </w:pPr>
          </w:p>
        </w:tc>
        <w:tc>
          <w:tcPr>
            <w:tcW w:w="993" w:type="dxa"/>
            <w:vAlign w:val="center"/>
          </w:tcPr>
          <w:p>
            <w:pPr>
              <w:snapToGrid w:val="0"/>
              <w:spacing w:line="360" w:lineRule="auto"/>
              <w:jc w:val="center"/>
              <w:rPr>
                <w:rFonts w:ascii="宋体" w:hAnsi="宋体" w:cs="宋体"/>
                <w:color w:val="auto"/>
                <w:sz w:val="24"/>
                <w:highlight w:val="none"/>
              </w:rPr>
            </w:pPr>
          </w:p>
        </w:tc>
        <w:tc>
          <w:tcPr>
            <w:tcW w:w="1559" w:type="dxa"/>
            <w:vAlign w:val="center"/>
          </w:tcPr>
          <w:p>
            <w:pPr>
              <w:spacing w:line="360" w:lineRule="auto"/>
              <w:jc w:val="center"/>
              <w:rPr>
                <w:rFonts w:ascii="宋体" w:hAnsi="宋体" w:cs="宋体"/>
                <w:color w:val="auto"/>
                <w:sz w:val="24"/>
                <w:highlight w:val="none"/>
              </w:rPr>
            </w:pPr>
          </w:p>
        </w:tc>
        <w:tc>
          <w:tcPr>
            <w:tcW w:w="1984" w:type="dxa"/>
            <w:vAlign w:val="center"/>
          </w:tcPr>
          <w:p>
            <w:pPr>
              <w:spacing w:line="360" w:lineRule="auto"/>
              <w:jc w:val="center"/>
              <w:rPr>
                <w:rFonts w:ascii="宋体" w:hAnsi="宋体" w:cs="宋体"/>
                <w:color w:val="auto"/>
                <w:sz w:val="24"/>
                <w:highlight w:val="none"/>
              </w:rPr>
            </w:pPr>
          </w:p>
        </w:tc>
        <w:tc>
          <w:tcPr>
            <w:tcW w:w="3119"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534" w:type="dxa"/>
            <w:vAlign w:val="center"/>
          </w:tcPr>
          <w:p>
            <w:pPr>
              <w:spacing w:line="360" w:lineRule="auto"/>
              <w:jc w:val="center"/>
              <w:rPr>
                <w:rFonts w:ascii="宋体" w:hAnsi="宋体" w:cs="宋体"/>
                <w:color w:val="auto"/>
                <w:sz w:val="24"/>
                <w:highlight w:val="none"/>
              </w:rPr>
            </w:pPr>
          </w:p>
        </w:tc>
        <w:tc>
          <w:tcPr>
            <w:tcW w:w="1417" w:type="dxa"/>
            <w:vAlign w:val="center"/>
          </w:tcPr>
          <w:p>
            <w:pPr>
              <w:snapToGrid w:val="0"/>
              <w:spacing w:line="360" w:lineRule="auto"/>
              <w:jc w:val="center"/>
              <w:rPr>
                <w:rFonts w:ascii="宋体" w:hAnsi="宋体" w:cs="宋体"/>
                <w:color w:val="auto"/>
                <w:sz w:val="24"/>
                <w:highlight w:val="none"/>
              </w:rPr>
            </w:pPr>
          </w:p>
        </w:tc>
        <w:tc>
          <w:tcPr>
            <w:tcW w:w="1843" w:type="dxa"/>
            <w:vAlign w:val="center"/>
          </w:tcPr>
          <w:p>
            <w:pPr>
              <w:snapToGrid w:val="0"/>
              <w:spacing w:line="360" w:lineRule="auto"/>
              <w:jc w:val="center"/>
              <w:rPr>
                <w:rFonts w:ascii="宋体" w:hAnsi="宋体" w:cs="宋体"/>
                <w:color w:val="auto"/>
                <w:sz w:val="24"/>
                <w:highlight w:val="none"/>
              </w:rPr>
            </w:pPr>
          </w:p>
        </w:tc>
        <w:tc>
          <w:tcPr>
            <w:tcW w:w="3118" w:type="dxa"/>
            <w:vAlign w:val="center"/>
          </w:tcPr>
          <w:p>
            <w:pPr>
              <w:snapToGrid w:val="0"/>
              <w:spacing w:line="360" w:lineRule="auto"/>
              <w:jc w:val="center"/>
              <w:rPr>
                <w:rFonts w:ascii="宋体" w:hAnsi="宋体" w:cs="宋体"/>
                <w:color w:val="auto"/>
                <w:sz w:val="24"/>
                <w:highlight w:val="none"/>
              </w:rPr>
            </w:pPr>
          </w:p>
        </w:tc>
        <w:tc>
          <w:tcPr>
            <w:tcW w:w="993" w:type="dxa"/>
            <w:vAlign w:val="center"/>
          </w:tcPr>
          <w:p>
            <w:pPr>
              <w:snapToGrid w:val="0"/>
              <w:spacing w:line="360" w:lineRule="auto"/>
              <w:jc w:val="center"/>
              <w:rPr>
                <w:rFonts w:ascii="宋体" w:hAnsi="宋体" w:cs="宋体"/>
                <w:color w:val="auto"/>
                <w:sz w:val="24"/>
                <w:highlight w:val="none"/>
              </w:rPr>
            </w:pPr>
          </w:p>
        </w:tc>
        <w:tc>
          <w:tcPr>
            <w:tcW w:w="1559" w:type="dxa"/>
            <w:vAlign w:val="center"/>
          </w:tcPr>
          <w:p>
            <w:pPr>
              <w:spacing w:line="360" w:lineRule="auto"/>
              <w:jc w:val="center"/>
              <w:rPr>
                <w:rFonts w:ascii="宋体" w:hAnsi="宋体" w:cs="宋体"/>
                <w:color w:val="auto"/>
                <w:sz w:val="24"/>
                <w:highlight w:val="none"/>
              </w:rPr>
            </w:pPr>
          </w:p>
        </w:tc>
        <w:tc>
          <w:tcPr>
            <w:tcW w:w="1984" w:type="dxa"/>
            <w:vAlign w:val="center"/>
          </w:tcPr>
          <w:p>
            <w:pPr>
              <w:spacing w:line="360" w:lineRule="auto"/>
              <w:jc w:val="center"/>
              <w:rPr>
                <w:rFonts w:ascii="宋体" w:hAnsi="宋体" w:cs="宋体"/>
                <w:color w:val="auto"/>
                <w:sz w:val="24"/>
                <w:highlight w:val="none"/>
              </w:rPr>
            </w:pPr>
          </w:p>
        </w:tc>
        <w:tc>
          <w:tcPr>
            <w:tcW w:w="3119"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534" w:type="dxa"/>
            <w:vAlign w:val="center"/>
          </w:tcPr>
          <w:p>
            <w:pPr>
              <w:spacing w:line="360" w:lineRule="auto"/>
              <w:jc w:val="center"/>
              <w:rPr>
                <w:rFonts w:ascii="宋体" w:hAnsi="宋体" w:cs="宋体"/>
                <w:color w:val="auto"/>
                <w:sz w:val="24"/>
                <w:highlight w:val="none"/>
              </w:rPr>
            </w:pPr>
          </w:p>
        </w:tc>
        <w:tc>
          <w:tcPr>
            <w:tcW w:w="1417" w:type="dxa"/>
            <w:vAlign w:val="center"/>
          </w:tcPr>
          <w:p>
            <w:pPr>
              <w:snapToGrid w:val="0"/>
              <w:spacing w:line="360" w:lineRule="auto"/>
              <w:jc w:val="center"/>
              <w:rPr>
                <w:rFonts w:ascii="宋体" w:hAnsi="宋体" w:cs="宋体"/>
                <w:color w:val="auto"/>
                <w:sz w:val="24"/>
                <w:highlight w:val="none"/>
              </w:rPr>
            </w:pPr>
          </w:p>
        </w:tc>
        <w:tc>
          <w:tcPr>
            <w:tcW w:w="1843" w:type="dxa"/>
            <w:vAlign w:val="center"/>
          </w:tcPr>
          <w:p>
            <w:pPr>
              <w:snapToGrid w:val="0"/>
              <w:spacing w:line="360" w:lineRule="auto"/>
              <w:jc w:val="center"/>
              <w:rPr>
                <w:rFonts w:ascii="宋体" w:hAnsi="宋体" w:cs="宋体"/>
                <w:color w:val="auto"/>
                <w:sz w:val="24"/>
                <w:highlight w:val="none"/>
              </w:rPr>
            </w:pPr>
          </w:p>
        </w:tc>
        <w:tc>
          <w:tcPr>
            <w:tcW w:w="3118" w:type="dxa"/>
            <w:vAlign w:val="center"/>
          </w:tcPr>
          <w:p>
            <w:pPr>
              <w:snapToGrid w:val="0"/>
              <w:spacing w:line="360" w:lineRule="auto"/>
              <w:jc w:val="center"/>
              <w:rPr>
                <w:rFonts w:ascii="宋体" w:hAnsi="宋体" w:cs="宋体"/>
                <w:color w:val="auto"/>
                <w:sz w:val="24"/>
                <w:highlight w:val="none"/>
              </w:rPr>
            </w:pPr>
          </w:p>
        </w:tc>
        <w:tc>
          <w:tcPr>
            <w:tcW w:w="993" w:type="dxa"/>
            <w:vAlign w:val="center"/>
          </w:tcPr>
          <w:p>
            <w:pPr>
              <w:snapToGrid w:val="0"/>
              <w:spacing w:line="360" w:lineRule="auto"/>
              <w:jc w:val="center"/>
              <w:rPr>
                <w:rFonts w:ascii="宋体" w:hAnsi="宋体" w:cs="宋体"/>
                <w:color w:val="auto"/>
                <w:sz w:val="24"/>
                <w:highlight w:val="none"/>
              </w:rPr>
            </w:pPr>
          </w:p>
        </w:tc>
        <w:tc>
          <w:tcPr>
            <w:tcW w:w="1559" w:type="dxa"/>
            <w:vAlign w:val="center"/>
          </w:tcPr>
          <w:p>
            <w:pPr>
              <w:spacing w:line="360" w:lineRule="auto"/>
              <w:jc w:val="center"/>
              <w:rPr>
                <w:rFonts w:ascii="宋体" w:hAnsi="宋体" w:cs="宋体"/>
                <w:color w:val="auto"/>
                <w:sz w:val="24"/>
                <w:highlight w:val="none"/>
              </w:rPr>
            </w:pPr>
          </w:p>
        </w:tc>
        <w:tc>
          <w:tcPr>
            <w:tcW w:w="1984" w:type="dxa"/>
            <w:vAlign w:val="center"/>
          </w:tcPr>
          <w:p>
            <w:pPr>
              <w:spacing w:line="360" w:lineRule="auto"/>
              <w:jc w:val="center"/>
              <w:rPr>
                <w:rFonts w:ascii="宋体" w:hAnsi="宋体" w:cs="宋体"/>
                <w:color w:val="auto"/>
                <w:sz w:val="24"/>
                <w:highlight w:val="none"/>
              </w:rPr>
            </w:pPr>
          </w:p>
        </w:tc>
        <w:tc>
          <w:tcPr>
            <w:tcW w:w="3119" w:type="dxa"/>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trPr>
        <w:tc>
          <w:tcPr>
            <w:tcW w:w="6912" w:type="dxa"/>
            <w:gridSpan w:val="4"/>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投标报价（小写）</w:t>
            </w:r>
          </w:p>
        </w:tc>
        <w:tc>
          <w:tcPr>
            <w:tcW w:w="7655" w:type="dxa"/>
            <w:gridSpan w:val="4"/>
            <w:vAlign w:val="center"/>
          </w:tcPr>
          <w:p>
            <w:pPr>
              <w:spacing w:line="36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trPr>
        <w:tc>
          <w:tcPr>
            <w:tcW w:w="6912" w:type="dxa"/>
            <w:gridSpan w:val="4"/>
            <w:vAlign w:val="center"/>
          </w:tcPr>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投标报价（大写）</w:t>
            </w:r>
          </w:p>
        </w:tc>
        <w:tc>
          <w:tcPr>
            <w:tcW w:w="7655" w:type="dxa"/>
            <w:gridSpan w:val="4"/>
            <w:vAlign w:val="center"/>
          </w:tcPr>
          <w:p>
            <w:pPr>
              <w:spacing w:line="360" w:lineRule="auto"/>
              <w:jc w:val="center"/>
              <w:rPr>
                <w:rFonts w:ascii="宋体" w:hAnsi="宋体" w:cs="宋体"/>
                <w:color w:val="auto"/>
                <w:sz w:val="24"/>
                <w:highlight w:val="none"/>
              </w:rPr>
            </w:pPr>
          </w:p>
        </w:tc>
      </w:tr>
    </w:tbl>
    <w:p>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pPr>
        <w:spacing w:line="360" w:lineRule="auto"/>
        <w:ind w:left="-2"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1、投标人需按本表格式填写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投标文件含有采购人不能接受的附加条件，投标无效</w:t>
      </w:r>
      <w:r>
        <w:rPr>
          <w:rFonts w:hint="eastAsia" w:ascii="宋体" w:hAnsi="宋体" w:cs="宋体"/>
          <w:color w:val="auto"/>
          <w:kern w:val="0"/>
          <w:sz w:val="24"/>
          <w:highlight w:val="none"/>
          <w:lang w:val="zh-CN"/>
        </w:rPr>
        <w:t>。</w:t>
      </w:r>
    </w:p>
    <w:p>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2、有关本项目实施所涉及的一切费用均计入报价。总价不为零，报价明细表中部分产品、服务单价为零的，视作已包含在总价中。</w:t>
      </w:r>
      <w:r>
        <w:rPr>
          <w:rFonts w:hint="eastAsia" w:ascii="宋体" w:hAnsi="宋体" w:cs="宋体"/>
          <w:b/>
          <w:color w:val="auto"/>
          <w:kern w:val="0"/>
          <w:sz w:val="24"/>
          <w:highlight w:val="none"/>
          <w:lang w:val="zh-CN"/>
        </w:rPr>
        <w:t>采购人将以合同形式有偿取得货物或服务，不接受投标人给予的赠品、回扣或者与采购无关的其他商品、服务；采购内容未包含在《开标一览表（报价表）》名称栏中，投标人不能作出合理解释的，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投标文件含有采购人不能接受的附加条件的，投标无效。</w:t>
      </w:r>
    </w:p>
    <w:p>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3、特别提示：采购机构将对项目名称和项目编号，中标供应商名称、地址和中标金额，主要中标标的名称、品牌（如果有）、规格型号、数量、单价等予以公示。</w:t>
      </w:r>
    </w:p>
    <w:p>
      <w:pPr>
        <w:snapToGrid w:val="0"/>
        <w:spacing w:line="360" w:lineRule="auto"/>
        <w:ind w:firstLine="480" w:firstLineChars="200"/>
        <w:jc w:val="left"/>
        <w:rPr>
          <w:rFonts w:ascii="宋体" w:hAnsi="宋体" w:cs="宋体"/>
          <w:color w:val="auto"/>
          <w:kern w:val="0"/>
          <w:sz w:val="24"/>
          <w:highlight w:val="none"/>
          <w:lang w:val="zh-CN"/>
        </w:rPr>
      </w:pPr>
      <w:r>
        <w:rPr>
          <w:rFonts w:ascii="宋体" w:hAnsi="宋体" w:cs="宋体"/>
          <w:color w:val="auto"/>
          <w:kern w:val="0"/>
          <w:sz w:val="24"/>
          <w:szCs w:val="22"/>
          <w:highlight w:val="none"/>
          <w:lang w:val="zh-CN"/>
        </w:rPr>
        <w:t>4</w:t>
      </w:r>
      <w:r>
        <w:rPr>
          <w:rFonts w:hint="eastAsia" w:ascii="宋体" w:hAnsi="宋体" w:cs="宋体"/>
          <w:color w:val="auto"/>
          <w:kern w:val="0"/>
          <w:sz w:val="24"/>
          <w:szCs w:val="22"/>
          <w:highlight w:val="none"/>
          <w:lang w:val="zh-CN"/>
        </w:rPr>
        <w:t>、</w:t>
      </w:r>
      <w:r>
        <w:rPr>
          <w:rFonts w:hint="eastAsia" w:ascii="宋体" w:hAnsi="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5、特别说明：▲供应商报价低于项目预算50%的，应当在报价文件中详细阐述不影响产品质量或者诚信履约的具体原因。</w:t>
      </w:r>
    </w:p>
    <w:p>
      <w:pPr>
        <w:pStyle w:val="375"/>
        <w:tabs>
          <w:tab w:val="clear" w:pos="720"/>
        </w:tabs>
        <w:snapToGrid w:val="0"/>
        <w:spacing w:before="120" w:after="120"/>
        <w:ind w:firstLine="643"/>
        <w:outlineLvl w:val="9"/>
        <w:rPr>
          <w:rFonts w:ascii="宋体" w:hAnsi="宋体" w:eastAsia="宋体" w:cs="宋体"/>
          <w:color w:val="auto"/>
          <w:kern w:val="2"/>
          <w:sz w:val="32"/>
          <w:szCs w:val="32"/>
          <w:highlight w:val="none"/>
        </w:rPr>
        <w:sectPr>
          <w:pgSz w:w="16838" w:h="11906" w:orient="landscape"/>
          <w:pgMar w:top="1418" w:right="1247" w:bottom="1418" w:left="1276" w:header="851" w:footer="992" w:gutter="0"/>
          <w:cols w:space="720" w:num="1"/>
          <w:titlePg/>
          <w:docGrid w:linePitch="312" w:charSpace="0"/>
        </w:sectPr>
      </w:pPr>
    </w:p>
    <w:p>
      <w:pPr>
        <w:pStyle w:val="375"/>
        <w:tabs>
          <w:tab w:val="clear" w:pos="720"/>
        </w:tabs>
        <w:snapToGrid w:val="0"/>
        <w:spacing w:before="120" w:after="120"/>
        <w:ind w:firstLine="643"/>
        <w:outlineLvl w:val="9"/>
        <w:rPr>
          <w:rFonts w:ascii="宋体" w:hAnsi="宋体" w:eastAsia="宋体" w:cs="宋体"/>
          <w:color w:val="auto"/>
          <w:sz w:val="32"/>
          <w:szCs w:val="32"/>
          <w:highlight w:val="none"/>
        </w:rPr>
      </w:pPr>
      <w:r>
        <w:rPr>
          <w:rFonts w:hint="eastAsia" w:ascii="宋体" w:hAnsi="宋体" w:eastAsia="宋体" w:cs="宋体"/>
          <w:color w:val="auto"/>
          <w:kern w:val="2"/>
          <w:sz w:val="32"/>
          <w:szCs w:val="32"/>
          <w:highlight w:val="none"/>
        </w:rPr>
        <w:t>二、</w:t>
      </w:r>
      <w:r>
        <w:rPr>
          <w:rFonts w:hint="eastAsia" w:ascii="宋体" w:hAnsi="宋体" w:eastAsia="宋体" w:cs="宋体"/>
          <w:color w:val="auto"/>
          <w:sz w:val="32"/>
          <w:szCs w:val="32"/>
          <w:highlight w:val="none"/>
        </w:rPr>
        <w:t>中小企业声明函</w:t>
      </w:r>
      <w:bookmarkStart w:id="556" w:name="_Hlk101259491"/>
      <w:r>
        <w:rPr>
          <w:rFonts w:hint="eastAsia" w:ascii="宋体" w:hAnsi="宋体" w:eastAsia="宋体" w:cs="宋体"/>
          <w:color w:val="auto"/>
          <w:sz w:val="32"/>
          <w:szCs w:val="32"/>
          <w:highlight w:val="none"/>
        </w:rPr>
        <w:t>（如果有）</w:t>
      </w:r>
      <w:bookmarkEnd w:id="556"/>
    </w:p>
    <w:p>
      <w:pPr>
        <w:widowControl/>
        <w:spacing w:line="360" w:lineRule="auto"/>
        <w:ind w:firstLine="120" w:firstLineChars="50"/>
        <w:jc w:val="left"/>
        <w:rPr>
          <w:rFonts w:ascii="宋体" w:hAnsi="宋体" w:cs="宋体"/>
          <w:b/>
          <w:color w:val="auto"/>
          <w:sz w:val="24"/>
          <w:highlight w:val="none"/>
        </w:rPr>
      </w:pPr>
      <w:r>
        <w:rPr>
          <w:rFonts w:hint="eastAsia" w:ascii="宋体" w:hAnsi="宋体" w:cs="宋体"/>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sz w:val="24"/>
          <w:highlight w:val="none"/>
        </w:rPr>
        <w:t>7</w:t>
      </w:r>
      <w:r>
        <w:rPr>
          <w:rFonts w:hint="eastAsia" w:ascii="宋体" w:hAnsi="宋体" w:cs="宋体"/>
          <w:b/>
          <w:color w:val="auto"/>
          <w:sz w:val="24"/>
          <w:highlight w:val="none"/>
        </w:rPr>
        <w:t>）。]</w:t>
      </w: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spacing w:line="360" w:lineRule="auto"/>
        <w:ind w:right="420" w:firstLine="3614" w:firstLineChars="1000"/>
        <w:rPr>
          <w:rFonts w:ascii="宋体" w:hAnsi="宋体" w:cs="宋体"/>
          <w:b/>
          <w:color w:val="auto"/>
          <w:kern w:val="0"/>
          <w:sz w:val="36"/>
          <w:szCs w:val="36"/>
          <w:highlight w:val="none"/>
        </w:rPr>
      </w:pPr>
    </w:p>
    <w:p>
      <w:pPr>
        <w:pStyle w:val="3"/>
        <w:pageBreakBefore/>
        <w:widowControl/>
        <w:spacing w:before="100" w:beforeAutospacing="1" w:after="100" w:afterAutospacing="1" w:line="360" w:lineRule="auto"/>
        <w:ind w:left="1290" w:firstLine="3092" w:firstLineChars="700"/>
        <w:rPr>
          <w:rFonts w:ascii="宋体" w:hAnsi="宋体" w:cs="宋体"/>
          <w:color w:val="auto"/>
          <w:highlight w:val="none"/>
        </w:rPr>
      </w:pPr>
      <w:bookmarkStart w:id="557" w:name="_Toc465665161"/>
      <w:r>
        <w:rPr>
          <w:rFonts w:hint="eastAsia" w:ascii="宋体" w:hAnsi="宋体" w:cs="宋体"/>
          <w:color w:val="auto"/>
          <w:highlight w:val="none"/>
        </w:rPr>
        <w:t>附件</w:t>
      </w:r>
      <w:bookmarkEnd w:id="557"/>
    </w:p>
    <w:p>
      <w:pPr>
        <w:spacing w:line="360" w:lineRule="auto"/>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附件1：</w:t>
      </w:r>
    </w:p>
    <w:p>
      <w:pPr>
        <w:spacing w:line="360" w:lineRule="auto"/>
        <w:jc w:val="center"/>
        <w:rPr>
          <w:rFonts w:ascii="宋体" w:hAnsi="宋体" w:cs="宋体"/>
          <w:b/>
          <w:color w:val="auto"/>
          <w:spacing w:val="6"/>
          <w:sz w:val="32"/>
          <w:szCs w:val="32"/>
          <w:highlight w:val="none"/>
        </w:rPr>
      </w:pPr>
      <w:bookmarkStart w:id="558" w:name="OLE_LINK14"/>
      <w:bookmarkStart w:id="559" w:name="OLE_LINK13"/>
      <w:r>
        <w:rPr>
          <w:rFonts w:hint="eastAsia" w:ascii="宋体" w:hAnsi="宋体" w:cs="宋体"/>
          <w:b/>
          <w:color w:val="auto"/>
          <w:spacing w:val="6"/>
          <w:sz w:val="32"/>
          <w:szCs w:val="32"/>
          <w:highlight w:val="none"/>
        </w:rPr>
        <w:t>残疾人福利性单位声明函</w:t>
      </w:r>
    </w:p>
    <w:bookmarkEnd w:id="558"/>
    <w:bookmarkEnd w:id="559"/>
    <w:p>
      <w:pPr>
        <w:spacing w:line="360" w:lineRule="auto"/>
        <w:rPr>
          <w:rFonts w:ascii="宋体" w:hAnsi="宋体" w:cs="宋体"/>
          <w:b/>
          <w:color w:val="auto"/>
          <w:spacing w:val="6"/>
          <w:sz w:val="30"/>
          <w:szCs w:val="30"/>
          <w:highlight w:val="none"/>
        </w:rPr>
      </w:pP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s="宋体"/>
          <w:color w:val="auto"/>
          <w:sz w:val="24"/>
          <w:highlight w:val="none"/>
          <w:u w:val="single"/>
        </w:rPr>
        <w:t>（采购人）</w:t>
      </w:r>
      <w:r>
        <w:rPr>
          <w:rFonts w:hint="eastAsia" w:ascii="宋体" w:hAnsi="宋体" w:cs="宋体"/>
          <w:color w:val="auto"/>
          <w:sz w:val="24"/>
          <w:highlight w:val="none"/>
        </w:rPr>
        <w:t>单位的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pPr>
        <w:spacing w:line="360" w:lineRule="auto"/>
        <w:ind w:firstLine="480" w:firstLineChars="200"/>
        <w:rPr>
          <w:rFonts w:ascii="宋体" w:hAnsi="宋体" w:cs="宋体"/>
          <w:color w:val="auto"/>
          <w:sz w:val="24"/>
          <w:highlight w:val="none"/>
        </w:rPr>
      </w:pPr>
    </w:p>
    <w:p>
      <w:pPr>
        <w:spacing w:line="360" w:lineRule="auto"/>
        <w:ind w:firstLine="480" w:firstLineChars="200"/>
        <w:rPr>
          <w:rFonts w:ascii="宋体" w:hAnsi="宋体" w:cs="宋体"/>
          <w:color w:val="auto"/>
          <w:sz w:val="24"/>
          <w:highlight w:val="none"/>
        </w:rPr>
      </w:pPr>
    </w:p>
    <w:p>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投标人名称（电子签名）</w:t>
      </w:r>
      <w:r>
        <w:rPr>
          <w:rFonts w:hint="eastAsia" w:ascii="宋体" w:hAnsi="宋体" w:cs="宋体"/>
          <w:color w:val="auto"/>
          <w:sz w:val="24"/>
          <w:highlight w:val="none"/>
        </w:rPr>
        <w:t>：</w:t>
      </w:r>
    </w:p>
    <w:p>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日  期：</w:t>
      </w:r>
    </w:p>
    <w:p>
      <w:pPr>
        <w:spacing w:line="360" w:lineRule="auto"/>
        <w:ind w:firstLine="480" w:firstLineChars="200"/>
        <w:rPr>
          <w:rFonts w:ascii="宋体" w:hAnsi="宋体" w:cs="宋体"/>
          <w:color w:val="auto"/>
          <w:sz w:val="24"/>
          <w:highlight w:val="none"/>
        </w:rPr>
      </w:pPr>
    </w:p>
    <w:p>
      <w:pPr>
        <w:spacing w:line="360" w:lineRule="auto"/>
        <w:ind w:firstLine="420" w:firstLineChars="200"/>
        <w:rPr>
          <w:rFonts w:ascii="宋体" w:hAnsi="宋体" w:cs="宋体"/>
          <w:color w:val="auto"/>
          <w:highlight w:val="none"/>
        </w:rPr>
      </w:pPr>
    </w:p>
    <w:p>
      <w:pPr>
        <w:spacing w:line="360" w:lineRule="auto"/>
        <w:ind w:firstLine="420" w:firstLineChars="200"/>
        <w:rPr>
          <w:rFonts w:ascii="宋体" w:hAnsi="宋体" w:cs="宋体"/>
          <w:color w:val="auto"/>
          <w:highlight w:val="none"/>
        </w:rPr>
      </w:pPr>
    </w:p>
    <w:p>
      <w:pPr>
        <w:spacing w:line="360" w:lineRule="auto"/>
        <w:ind w:firstLine="420" w:firstLineChars="200"/>
        <w:rPr>
          <w:rFonts w:ascii="宋体" w:hAnsi="宋体" w:cs="宋体"/>
          <w:color w:val="auto"/>
          <w:highlight w:val="none"/>
        </w:rPr>
      </w:pPr>
    </w:p>
    <w:p>
      <w:pPr>
        <w:spacing w:line="360" w:lineRule="auto"/>
        <w:ind w:firstLine="420" w:firstLineChars="200"/>
        <w:rPr>
          <w:rFonts w:ascii="宋体" w:hAnsi="宋体" w:cs="宋体"/>
          <w:color w:val="auto"/>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附件2：质疑函范本及制作说明</w:t>
      </w:r>
    </w:p>
    <w:p>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pPr>
        <w:spacing w:line="360" w:lineRule="auto"/>
        <w:jc w:val="center"/>
        <w:rPr>
          <w:rFonts w:ascii="宋体" w:hAnsi="宋体" w:cs="宋体"/>
          <w:b/>
          <w:bCs/>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color w:val="auto"/>
          <w:sz w:val="30"/>
          <w:szCs w:val="30"/>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left"/>
        <w:rPr>
          <w:rFonts w:ascii="宋体" w:hAnsi="宋体" w:cs="宋体"/>
          <w:b/>
          <w:color w:val="auto"/>
          <w:spacing w:val="6"/>
          <w:sz w:val="32"/>
          <w:szCs w:val="32"/>
          <w:highlight w:val="none"/>
        </w:rPr>
      </w:pPr>
    </w:p>
    <w:p>
      <w:pPr>
        <w:spacing w:line="360" w:lineRule="auto"/>
        <w:jc w:val="left"/>
        <w:rPr>
          <w:rFonts w:ascii="宋体" w:hAnsi="宋体" w:cs="宋体"/>
          <w:b/>
          <w:color w:val="auto"/>
          <w:spacing w:val="6"/>
          <w:sz w:val="32"/>
          <w:szCs w:val="32"/>
          <w:highlight w:val="none"/>
        </w:rPr>
      </w:pPr>
    </w:p>
    <w:p>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附件3：投诉书范本及制作说明</w:t>
      </w:r>
    </w:p>
    <w:p>
      <w:pPr>
        <w:spacing w:line="360" w:lineRule="auto"/>
        <w:jc w:val="center"/>
        <w:rPr>
          <w:rFonts w:ascii="宋体" w:hAnsi="宋体" w:cs="宋体"/>
          <w:b/>
          <w:color w:val="auto"/>
          <w:sz w:val="24"/>
          <w:highlight w:val="none"/>
        </w:rPr>
      </w:pPr>
    </w:p>
    <w:p>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投诉书范本</w:t>
      </w:r>
    </w:p>
    <w:p>
      <w:pPr>
        <w:spacing w:line="360" w:lineRule="auto"/>
        <w:rPr>
          <w:rFonts w:ascii="宋体" w:hAnsi="宋体" w:cs="宋体"/>
          <w:color w:val="auto"/>
          <w:sz w:val="24"/>
          <w:highlight w:val="none"/>
        </w:rPr>
      </w:pPr>
      <w:r>
        <w:rPr>
          <w:rFonts w:hint="eastAsia" w:ascii="宋体" w:hAnsi="宋体" w:cs="宋体"/>
          <w:color w:val="auto"/>
          <w:sz w:val="24"/>
          <w:highlight w:val="none"/>
        </w:rPr>
        <w:t>一、投诉相关主体基本情况</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rPr>
        <w:t>投诉人：</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tabs>
          <w:tab w:val="left" w:pos="6510"/>
        </w:tabs>
        <w:spacing w:line="360" w:lineRule="auto"/>
        <w:jc w:val="left"/>
        <w:rPr>
          <w:rFonts w:ascii="宋体" w:hAnsi="宋体" w:cs="宋体"/>
          <w:color w:val="auto"/>
          <w:sz w:val="24"/>
          <w:highlight w:val="none"/>
        </w:rPr>
      </w:pPr>
      <w:r>
        <w:rPr>
          <w:rFonts w:hint="eastAsia" w:ascii="宋体" w:hAnsi="宋体" w:cs="宋体"/>
          <w:color w:val="auto"/>
          <w:sz w:val="24"/>
          <w:highlight w:val="none"/>
        </w:rPr>
        <w:t>法定代表人/主要负责人：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pPr>
        <w:tabs>
          <w:tab w:val="left" w:pos="6510"/>
        </w:tabs>
        <w:spacing w:line="360" w:lineRule="auto"/>
        <w:rPr>
          <w:rFonts w:ascii="宋体" w:hAnsi="宋体" w:cs="宋体"/>
          <w:color w:val="auto"/>
          <w:sz w:val="24"/>
          <w:highlight w:val="none"/>
          <w:u w:val="dotted"/>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被投诉人1：</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被投诉人2</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相关供应商：</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二、投诉项目基本情况</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采购项目名称：</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采购文件公告: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采购结果公告: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三、质疑基本情况</w:t>
      </w:r>
    </w:p>
    <w:p>
      <w:pPr>
        <w:spacing w:line="360" w:lineRule="auto"/>
        <w:ind w:firstLine="480" w:firstLineChars="200"/>
        <w:rPr>
          <w:rFonts w:ascii="宋体" w:hAnsi="宋体" w:cs="宋体"/>
          <w:color w:val="auto"/>
          <w:sz w:val="24"/>
          <w:highlight w:val="none"/>
          <w:u w:val="dotted"/>
        </w:rPr>
      </w:pPr>
      <w:r>
        <w:rPr>
          <w:rFonts w:hint="eastAsia" w:ascii="宋体" w:hAnsi="宋体" w:cs="宋体"/>
          <w:color w:val="auto"/>
          <w:sz w:val="24"/>
          <w:highlight w:val="none"/>
        </w:rPr>
        <w:t>投诉人于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提出质疑，质疑事项为：</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u w:val="dotted"/>
        </w:rPr>
        <w:t>采购人/代理机构</w:t>
      </w:r>
      <w:r>
        <w:rPr>
          <w:rFonts w:hint="eastAsia" w:ascii="宋体" w:hAnsi="宋体" w:cs="宋体"/>
          <w:color w:val="auto"/>
          <w:sz w:val="24"/>
          <w:highlight w:val="none"/>
        </w:rPr>
        <w:t>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日,就质疑事项作出了答复/没有在法定期限内作出答复。</w:t>
      </w:r>
    </w:p>
    <w:p>
      <w:pPr>
        <w:spacing w:line="360" w:lineRule="auto"/>
        <w:rPr>
          <w:rFonts w:ascii="宋体" w:hAnsi="宋体" w:cs="宋体"/>
          <w:color w:val="auto"/>
          <w:sz w:val="24"/>
          <w:highlight w:val="none"/>
        </w:rPr>
      </w:pPr>
      <w:r>
        <w:rPr>
          <w:rFonts w:hint="eastAsia" w:ascii="宋体" w:hAnsi="宋体" w:cs="宋体"/>
          <w:color w:val="auto"/>
          <w:sz w:val="24"/>
          <w:highlight w:val="none"/>
        </w:rPr>
        <w:t>四、投诉事项具体内容</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投诉事项 1：</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投诉事项2</w:t>
      </w:r>
    </w:p>
    <w:p>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pPr>
        <w:spacing w:line="360" w:lineRule="auto"/>
        <w:rPr>
          <w:rFonts w:ascii="宋体" w:hAnsi="宋体" w:cs="宋体"/>
          <w:color w:val="auto"/>
          <w:sz w:val="24"/>
          <w:highlight w:val="none"/>
        </w:rPr>
      </w:pPr>
      <w:r>
        <w:rPr>
          <w:rFonts w:hint="eastAsia" w:ascii="宋体" w:hAnsi="宋体" w:cs="宋体"/>
          <w:color w:val="auto"/>
          <w:sz w:val="24"/>
          <w:highlight w:val="none"/>
        </w:rPr>
        <w:t>五、与投诉事项相关的投诉请求</w:t>
      </w:r>
    </w:p>
    <w:p>
      <w:pPr>
        <w:spacing w:line="360" w:lineRule="auto"/>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pPr>
        <w:spacing w:line="360" w:lineRule="auto"/>
        <w:rPr>
          <w:rFonts w:ascii="宋体" w:hAnsi="宋体" w:cs="宋体"/>
          <w:color w:val="auto"/>
          <w:sz w:val="24"/>
          <w:highlight w:val="none"/>
          <w:u w:val="single"/>
        </w:rPr>
      </w:pPr>
      <w:r>
        <w:rPr>
          <w:rFonts w:hint="eastAsia" w:ascii="宋体" w:hAnsi="宋体" w:cs="宋体"/>
          <w:color w:val="auto"/>
          <w:sz w:val="24"/>
          <w:highlight w:val="none"/>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p>
    <w:p>
      <w:pPr>
        <w:spacing w:line="360" w:lineRule="auto"/>
        <w:rPr>
          <w:rFonts w:ascii="宋体" w:hAnsi="宋体" w:cs="宋体"/>
          <w:b/>
          <w:color w:val="auto"/>
          <w:sz w:val="24"/>
          <w:highlight w:val="none"/>
        </w:rPr>
      </w:pPr>
      <w:r>
        <w:rPr>
          <w:rFonts w:hint="eastAsia" w:ascii="宋体" w:hAnsi="宋体" w:cs="宋体"/>
          <w:b/>
          <w:color w:val="auto"/>
          <w:sz w:val="24"/>
          <w:highlight w:val="none"/>
        </w:rPr>
        <w:t>投诉书制作说明：</w:t>
      </w:r>
    </w:p>
    <w:p>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2.投诉人若委托代理人进行投诉的，投诉书应按照要求列明“授权代表”的有关内容，并在附件中提交由</w:t>
      </w:r>
      <w:r>
        <w:rPr>
          <w:rFonts w:hint="eastAsia" w:ascii="宋体" w:hAnsi="宋体" w:cs="宋体"/>
          <w:color w:val="auto"/>
          <w:kern w:val="0"/>
          <w:sz w:val="24"/>
          <w:highlight w:val="none"/>
        </w:rPr>
        <w:t>投诉人签署的授权委托书。授权委托书应当载明代理人的姓名或者名称、代理事项、具体权限、期限和相关事项。</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3.投诉人若对项目的某一分包进行投诉，投诉书应列明具体分包号。</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4.投诉书应简要列明质疑事项，质疑函、质疑答复等作为附件材料提供。</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5.投诉书的投诉事项应具体、明确，并有必要的事实依据和法律依据。</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6.投诉书的投诉请求应与投诉事项相关。</w:t>
      </w:r>
    </w:p>
    <w:p>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pPr>
        <w:spacing w:line="360" w:lineRule="auto"/>
        <w:rPr>
          <w:rFonts w:ascii="宋体" w:hAnsi="宋体" w:cs="宋体"/>
          <w:b/>
          <w:color w:val="auto"/>
          <w:sz w:val="24"/>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bCs/>
          <w:color w:val="auto"/>
          <w:sz w:val="32"/>
          <w:szCs w:val="32"/>
          <w:highlight w:val="none"/>
        </w:rPr>
      </w:pPr>
      <w:r>
        <w:rPr>
          <w:rFonts w:hint="eastAsia" w:ascii="宋体" w:hAnsi="宋体" w:cs="宋体"/>
          <w:b/>
          <w:color w:val="auto"/>
          <w:spacing w:val="6"/>
          <w:sz w:val="32"/>
          <w:szCs w:val="32"/>
          <w:highlight w:val="none"/>
        </w:rPr>
        <w:t>附件4：</w:t>
      </w:r>
      <w:r>
        <w:rPr>
          <w:rFonts w:hint="eastAsia" w:ascii="宋体" w:hAnsi="宋体" w:cs="宋体"/>
          <w:b/>
          <w:bCs/>
          <w:color w:val="auto"/>
          <w:sz w:val="32"/>
          <w:szCs w:val="32"/>
          <w:highlight w:val="none"/>
        </w:rPr>
        <w:t>业务专用章使用说明函</w:t>
      </w:r>
    </w:p>
    <w:p>
      <w:pPr>
        <w:spacing w:line="360" w:lineRule="auto"/>
        <w:rPr>
          <w:rFonts w:ascii="宋体" w:hAnsi="宋体" w:cs="宋体"/>
          <w:color w:val="auto"/>
          <w:sz w:val="24"/>
          <w:highlight w:val="none"/>
          <w:u w:val="single"/>
        </w:rPr>
      </w:pPr>
    </w:p>
    <w:p>
      <w:pPr>
        <w:spacing w:line="360" w:lineRule="auto"/>
        <w:rPr>
          <w:rFonts w:ascii="宋体" w:hAnsi="宋体" w:cs="宋体"/>
          <w:color w:val="auto"/>
          <w:sz w:val="24"/>
          <w:highlight w:val="none"/>
        </w:rPr>
      </w:pPr>
      <w:r>
        <w:rPr>
          <w:rFonts w:hint="eastAsia" w:ascii="宋体" w:hAnsi="宋体" w:cs="宋体"/>
          <w:color w:val="auto"/>
          <w:sz w:val="24"/>
          <w:highlight w:val="none"/>
          <w:u w:val="single"/>
        </w:rPr>
        <w:t>（采购人）、</w:t>
      </w:r>
      <w:r>
        <w:rPr>
          <w:rFonts w:hint="eastAsia" w:ascii="宋体" w:hAnsi="宋体" w:cs="宋体"/>
          <w:color w:val="auto"/>
          <w:sz w:val="24"/>
          <w:highlight w:val="none"/>
          <w:u w:val="single" w:color="auto"/>
        </w:rPr>
        <w:t>杭州市公共资源交易中心</w:t>
      </w:r>
      <w:r>
        <w:rPr>
          <w:rFonts w:hint="eastAsia" w:ascii="宋体" w:hAnsi="宋体" w:cs="宋体"/>
          <w:color w:val="auto"/>
          <w:sz w:val="24"/>
          <w:highlight w:val="none"/>
          <w:u w:val="single" w:color="auto"/>
          <w:lang w:eastAsia="zh-CN"/>
        </w:rPr>
        <w:t>临平分中心</w:t>
      </w:r>
      <w:r>
        <w:rPr>
          <w:rFonts w:hint="eastAsia" w:ascii="宋体" w:hAnsi="宋体" w:cs="宋体"/>
          <w:color w:val="auto"/>
          <w:sz w:val="24"/>
          <w:highlight w:val="none"/>
          <w:u w:val="single"/>
        </w:rPr>
        <w:t>：</w:t>
      </w:r>
    </w:p>
    <w:p>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(投标人全称)是中华人民共和国依法登记注册的合法企业，</w:t>
      </w:r>
      <w:r>
        <w:rPr>
          <w:rFonts w:hint="eastAsia" w:ascii="宋体" w:hAnsi="宋体" w:cs="宋体"/>
          <w:bCs/>
          <w:color w:val="auto"/>
          <w:sz w:val="24"/>
          <w:highlight w:val="none"/>
        </w:rPr>
        <w:t>在参加</w:t>
      </w:r>
      <w:r>
        <w:rPr>
          <w:rFonts w:hint="eastAsia" w:ascii="宋体" w:hAnsi="宋体" w:cs="宋体"/>
          <w:color w:val="auto"/>
          <w:sz w:val="24"/>
          <w:highlight w:val="none"/>
        </w:rPr>
        <w:t>你方组织的（项目名称）【招标编号：（采购编号）】</w:t>
      </w:r>
      <w:r>
        <w:rPr>
          <w:rFonts w:hint="eastAsia" w:ascii="宋体" w:hAnsi="宋体" w:cs="宋体"/>
          <w:bCs/>
          <w:color w:val="auto"/>
          <w:sz w:val="24"/>
          <w:highlight w:val="none"/>
        </w:rPr>
        <w:t>投标活动中作如下说明：</w:t>
      </w:r>
      <w:r>
        <w:rPr>
          <w:rFonts w:hint="eastAsia" w:ascii="宋体" w:hAnsi="宋体" w:cs="宋体"/>
          <w:color w:val="auto"/>
          <w:sz w:val="24"/>
          <w:highlight w:val="none"/>
        </w:rPr>
        <w:t xml:space="preserve">我方所使用的“XX专用章”与法定名称章具有同等的法律效力，对使用“XX专用章”的行为予以完全承认，并愿意承担相应责任。   </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特此说明。</w:t>
      </w:r>
    </w:p>
    <w:p>
      <w:pPr>
        <w:spacing w:line="360" w:lineRule="auto"/>
        <w:ind w:firstLine="494"/>
        <w:rPr>
          <w:rFonts w:ascii="宋体" w:hAnsi="宋体" w:cs="宋体"/>
          <w:color w:val="auto"/>
          <w:sz w:val="24"/>
          <w:highlight w:val="none"/>
        </w:rPr>
      </w:pPr>
    </w:p>
    <w:p>
      <w:pPr>
        <w:spacing w:line="360" w:lineRule="auto"/>
        <w:ind w:firstLine="494"/>
        <w:rPr>
          <w:rFonts w:ascii="宋体" w:hAnsi="宋体" w:cs="宋体"/>
          <w:color w:val="auto"/>
          <w:sz w:val="24"/>
          <w:highlight w:val="none"/>
        </w:rPr>
      </w:pPr>
    </w:p>
    <w:p>
      <w:pPr>
        <w:spacing w:line="360" w:lineRule="auto"/>
        <w:ind w:firstLine="494"/>
        <w:rPr>
          <w:rFonts w:ascii="宋体" w:hAnsi="宋体" w:cs="宋体"/>
          <w:color w:val="auto"/>
          <w:sz w:val="24"/>
          <w:highlight w:val="none"/>
        </w:rPr>
      </w:pPr>
    </w:p>
    <w:p>
      <w:pPr>
        <w:spacing w:line="360" w:lineRule="auto"/>
        <w:ind w:right="480" w:firstLine="4080" w:firstLineChars="1700"/>
        <w:rPr>
          <w:rFonts w:ascii="宋体" w:hAnsi="宋体" w:cs="宋体"/>
          <w:color w:val="auto"/>
          <w:sz w:val="24"/>
          <w:highlight w:val="none"/>
        </w:rPr>
      </w:pPr>
      <w:r>
        <w:rPr>
          <w:rFonts w:hint="eastAsia" w:ascii="宋体" w:hAnsi="宋体" w:cs="宋体"/>
          <w:color w:val="auto"/>
          <w:sz w:val="24"/>
          <w:highlight w:val="none"/>
        </w:rPr>
        <w:t>投标单位（法定名称章）：</w:t>
      </w:r>
    </w:p>
    <w:p>
      <w:pPr>
        <w:ind w:right="1440" w:firstLine="494"/>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pPr>
        <w:rPr>
          <w:rFonts w:ascii="宋体" w:hAnsi="宋体" w:cs="宋体"/>
          <w:color w:val="auto"/>
          <w:sz w:val="24"/>
          <w:highlight w:val="none"/>
        </w:rPr>
      </w:pPr>
      <w:r>
        <w:rPr>
          <w:rFonts w:hint="eastAsia" w:ascii="宋体" w:hAnsi="宋体" w:cs="宋体"/>
          <w:b/>
          <w:bCs/>
          <w:color w:val="auto"/>
          <w:sz w:val="24"/>
          <w:highlight w:val="none"/>
        </w:rPr>
        <w:t>附：</w:t>
      </w:r>
    </w:p>
    <w:p>
      <w:pPr>
        <w:spacing w:line="360" w:lineRule="auto"/>
        <w:rPr>
          <w:rFonts w:ascii="宋体" w:hAnsi="宋体" w:cs="宋体"/>
          <w:bCs/>
          <w:color w:val="auto"/>
          <w:sz w:val="24"/>
          <w:highlight w:val="none"/>
        </w:rPr>
      </w:pPr>
      <w:r>
        <w:rPr>
          <w:rFonts w:hint="eastAsia" w:ascii="宋体" w:hAnsi="宋体" w:eastAsia="宋体" w:cs="宋体"/>
          <w:b/>
          <w:bCs/>
          <w:color w:val="auto"/>
          <w:kern w:val="2"/>
          <w:sz w:val="24"/>
          <w:szCs w:val="24"/>
          <w:highlight w:val="none"/>
          <w:lang w:val="en-US" w:eastAsia="zh-CN" w:bidi="ar-SA"/>
        </w:rPr>
        <w:pict>
          <v:rect id="Rectangle 17" o:spid="_x0000_s1026" style="position:absolute;left:0;margin-left:238.9pt;margin-top:28.05pt;height:177.45pt;width:212.95pt;rotation:0f;z-index:-251658240;" o:ole="f" fillcolor="#FFFFFF" filled="t" o:preferrelative="t" stroked="t" coordsize="21600,21600">
            <v:stroke color="#000000" color2="#FFFFFF" miterlimit="2"/>
            <v:imagedata gain="65536f" blacklevel="0f" gamma="0"/>
            <o:lock v:ext="edit" position="f" selection="f" grouping="f" rotation="f" cropping="f" text="f" aspectratio="f"/>
          </v:rect>
        </w:pict>
      </w:r>
      <w:r>
        <w:rPr>
          <w:rFonts w:hint="eastAsia" w:ascii="宋体" w:hAnsi="宋体" w:eastAsia="宋体" w:cs="宋体"/>
          <w:b/>
          <w:bCs/>
          <w:color w:val="auto"/>
          <w:kern w:val="2"/>
          <w:sz w:val="24"/>
          <w:szCs w:val="24"/>
          <w:highlight w:val="none"/>
          <w:lang w:val="en-US" w:eastAsia="zh-CN" w:bidi="ar-SA"/>
        </w:rPr>
        <w:pict>
          <v:rect id="Rectangle 16" o:spid="_x0000_s1027" style="position:absolute;left:0;margin-left:-7.2pt;margin-top:30.3pt;height:177.45pt;width:208.5pt;rotation:0f;z-index:-251657216;" o:ole="f" fillcolor="#FFFFFF" filled="t" o:preferrelative="t" stroked="t" coordsize="21600,21600">
            <v:stroke color="#000000" color2="#FFFFFF" miterlimit="2"/>
            <v:imagedata gain="65536f" blacklevel="0f" gamma="0"/>
            <o:lock v:ext="edit" position="f" selection="f" grouping="f" rotation="f" cropping="f" text="f" aspectratio="f"/>
          </v:rect>
        </w:pict>
      </w:r>
      <w:r>
        <w:rPr>
          <w:rFonts w:hint="eastAsia" w:ascii="宋体" w:hAnsi="宋体" w:cs="宋体"/>
          <w:color w:val="auto"/>
          <w:sz w:val="24"/>
          <w:highlight w:val="none"/>
        </w:rPr>
        <w:t>投标单位法定名称章（印模）                投标单位“XX专用章”（印模）</w:t>
      </w: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snapToGrid w:val="0"/>
        <w:spacing w:line="360" w:lineRule="auto"/>
        <w:jc w:val="center"/>
        <w:outlineLvl w:val="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5</w:t>
      </w:r>
      <w:r>
        <w:rPr>
          <w:rFonts w:hint="eastAsia" w:ascii="宋体" w:hAnsi="宋体" w:cs="宋体"/>
          <w:b/>
          <w:color w:val="auto"/>
          <w:kern w:val="0"/>
          <w:sz w:val="32"/>
          <w:szCs w:val="32"/>
          <w:highlight w:val="none"/>
        </w:rPr>
        <w:t>：联合协议</w:t>
      </w:r>
    </w:p>
    <w:p>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（以联合体形式投标的，提供联合协议；本项目不接受联合体投标或者投标人不以联合体形式投标的，则不需要提供）</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（联合体所有成员名称）</w:t>
      </w:r>
      <w:r>
        <w:rPr>
          <w:rFonts w:hint="eastAsia" w:ascii="宋体" w:hAnsi="宋体" w:cs="宋体"/>
          <w:color w:val="auto"/>
          <w:kern w:val="0"/>
          <w:sz w:val="24"/>
          <w:highlight w:val="none"/>
        </w:rPr>
        <w:t>自愿</w:t>
      </w:r>
      <w:r>
        <w:rPr>
          <w:rFonts w:hint="eastAsia" w:ascii="宋体" w:hAnsi="宋体" w:cs="宋体"/>
          <w:color w:val="auto"/>
          <w:kern w:val="0"/>
          <w:sz w:val="24"/>
          <w:highlight w:val="none"/>
          <w:lang w:val="zh-CN"/>
        </w:rPr>
        <w:t>组成一个联合体，以一个投标人的身份</w:t>
      </w:r>
      <w:r>
        <w:rPr>
          <w:rFonts w:hint="eastAsia" w:ascii="宋体" w:hAnsi="宋体" w:cs="宋体"/>
          <w:color w:val="auto"/>
          <w:kern w:val="0"/>
          <w:sz w:val="24"/>
          <w:highlight w:val="none"/>
        </w:rPr>
        <w:t>参加</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 xml:space="preserve">投标。 </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一、各方一致决定，</w:t>
      </w:r>
      <w:r>
        <w:rPr>
          <w:rFonts w:hint="eastAsia" w:ascii="宋体" w:hAnsi="宋体" w:cs="宋体"/>
          <w:color w:val="auto"/>
          <w:kern w:val="0"/>
          <w:sz w:val="24"/>
          <w:highlight w:val="none"/>
          <w:u w:val="single"/>
        </w:rPr>
        <w:t>（某联合体成员名称）</w:t>
      </w:r>
      <w:r>
        <w:rPr>
          <w:rFonts w:hint="eastAsia" w:ascii="宋体" w:hAnsi="宋体" w:cs="宋体"/>
          <w:color w:val="auto"/>
          <w:kern w:val="0"/>
          <w:sz w:val="24"/>
          <w:highlight w:val="none"/>
        </w:rPr>
        <w:t>为联合体</w:t>
      </w:r>
      <w:r>
        <w:rPr>
          <w:rFonts w:hint="eastAsia" w:ascii="宋体" w:hAnsi="宋体" w:cs="宋体"/>
          <w:color w:val="auto"/>
          <w:kern w:val="0"/>
          <w:sz w:val="24"/>
          <w:highlight w:val="none"/>
          <w:lang w:val="zh-CN"/>
        </w:rPr>
        <w:t>牵头人</w:t>
      </w:r>
      <w:r>
        <w:rPr>
          <w:rFonts w:hint="eastAsia" w:ascii="宋体" w:hAnsi="宋体" w:cs="宋体"/>
          <w:color w:val="auto"/>
          <w:sz w:val="24"/>
          <w:highlight w:val="none"/>
        </w:rPr>
        <w:t>，代表所有联合体成员负责投标和合同实施阶段的主办、协调工作</w:t>
      </w:r>
      <w:r>
        <w:rPr>
          <w:rFonts w:hint="eastAsia" w:ascii="宋体" w:hAnsi="宋体" w:cs="宋体"/>
          <w:color w:val="auto"/>
          <w:kern w:val="0"/>
          <w:sz w:val="24"/>
          <w:highlight w:val="none"/>
          <w:lang w:val="zh-CN"/>
        </w:rPr>
        <w:t>。</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w:t>
      </w:r>
      <w:r>
        <w:rPr>
          <w:rFonts w:hint="eastAsia" w:ascii="宋体" w:hAnsi="宋体" w:cs="宋体"/>
          <w:color w:val="auto"/>
          <w:sz w:val="24"/>
          <w:highlight w:val="none"/>
        </w:rPr>
        <w:t>所有联合体成员各方签署授权书，授权书载明的</w:t>
      </w:r>
      <w:r>
        <w:rPr>
          <w:rFonts w:hint="eastAsia" w:ascii="宋体" w:hAnsi="宋体" w:cs="宋体"/>
          <w:color w:val="auto"/>
          <w:kern w:val="0"/>
          <w:sz w:val="24"/>
          <w:highlight w:val="none"/>
          <w:lang w:val="zh-CN"/>
        </w:rPr>
        <w:t>授权代表根据招标文件规定及投标内容而对采购人、采购机构所作的任何合法承诺，包括书面澄清及相应等均对联合投标各方产生约束力。</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三、本次联合投标中，分工如下：</w:t>
      </w:r>
    </w:p>
    <w:p>
      <w:pPr>
        <w:snapToGrid w:val="0"/>
        <w:spacing w:line="360" w:lineRule="auto"/>
        <w:ind w:firstLine="576"/>
        <w:rPr>
          <w:rFonts w:ascii="宋体" w:hAnsi="宋体" w:cs="宋体"/>
          <w:color w:val="auto"/>
          <w:kern w:val="0"/>
          <w:sz w:val="24"/>
          <w:highlight w:val="none"/>
          <w:lang w:val="zh-CN"/>
        </w:rPr>
      </w:pPr>
      <w:bookmarkStart w:id="560" w:name="_Hlk101134295"/>
      <w:r>
        <w:rPr>
          <w:rFonts w:hint="eastAsia" w:ascii="宋体" w:hAnsi="宋体" w:cs="宋体"/>
          <w:color w:val="auto"/>
          <w:kern w:val="0"/>
          <w:sz w:val="24"/>
          <w:highlight w:val="none"/>
          <w:u w:val="single"/>
        </w:rPr>
        <w:t>（联合体成员1）</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2</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w:t>
      </w:r>
    </w:p>
    <w:bookmarkEnd w:id="560"/>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四、联合体成员中小企业合同份额。</w:t>
      </w:r>
    </w:p>
    <w:p>
      <w:pPr>
        <w:snapToGrid w:val="0"/>
        <w:spacing w:line="360" w:lineRule="auto"/>
        <w:ind w:firstLine="576"/>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1、</w:t>
      </w: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X,</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提供的全部货物由小微企业制造，其合同份额占到合同总金额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未预留份额专门面向中小企业采购的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sz w:val="24"/>
          <w:highlight w:val="none"/>
        </w:rPr>
        <w:t>2、中小企业合同金额达到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要求以联合体形式参加的项目或采购包，供应商按招标文件第一部分招标公告申请人的资格要求中规定的联合协议中中小企业、其中小微企业合同金额应当达到的比例要求填写。</w:t>
      </w:r>
      <w:r>
        <w:rPr>
          <w:rFonts w:hint="eastAsia" w:ascii="宋体" w:hAnsi="宋体" w:cs="宋体"/>
          <w:b/>
          <w:bCs/>
          <w:color w:val="auto"/>
          <w:kern w:val="0"/>
          <w:sz w:val="24"/>
          <w:highlight w:val="none"/>
          <w:lang w:val="zh-CN"/>
        </w:rPr>
        <w:t>）</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五、如果中标，</w:t>
      </w:r>
      <w:r>
        <w:rPr>
          <w:rFonts w:hint="eastAsia" w:ascii="宋体" w:hAnsi="宋体" w:cs="宋体"/>
          <w:color w:val="auto"/>
          <w:sz w:val="24"/>
          <w:highlight w:val="none"/>
        </w:rPr>
        <w:t>联合体各成员方共同与采购人签订合同，并就采购合同约定的事项对采购人承担连带责任。</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六、有关本次联合投标的其他事宜：</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1、联合体各方不再单独参加或者与其他供应商另外组成联合体参加同一合同项下的政府采购活动。</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2、联合体中有同类资质的各方按照联合体分工承担相同工作的，按照资质等级较低的供应商确定资质等级。</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3、本协议提交采购人、采购机构后，联合体各方不得以任何形式对上述内容进行修改或撤销。</w:t>
      </w:r>
    </w:p>
    <w:p>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联合体成员名称(电子签名/公章)：</w:t>
      </w:r>
    </w:p>
    <w:p>
      <w:pPr>
        <w:snapToGrid w:val="0"/>
        <w:spacing w:line="360" w:lineRule="auto"/>
        <w:ind w:right="960"/>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snapToGrid w:val="0"/>
        <w:spacing w:line="360" w:lineRule="auto"/>
        <w:jc w:val="center"/>
        <w:outlineLvl w:val="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w:t>
      </w:r>
      <w:r>
        <w:rPr>
          <w:rFonts w:ascii="宋体" w:hAnsi="宋体" w:cs="宋体"/>
          <w:b/>
          <w:color w:val="auto"/>
          <w:kern w:val="0"/>
          <w:sz w:val="32"/>
          <w:szCs w:val="32"/>
          <w:highlight w:val="none"/>
        </w:rPr>
        <w:t>6</w:t>
      </w:r>
      <w:r>
        <w:rPr>
          <w:rFonts w:hint="eastAsia" w:ascii="宋体" w:hAnsi="宋体" w:cs="宋体"/>
          <w:b/>
          <w:color w:val="auto"/>
          <w:kern w:val="0"/>
          <w:sz w:val="32"/>
          <w:szCs w:val="32"/>
          <w:highlight w:val="none"/>
        </w:rPr>
        <w:t>：分包意向协议</w:t>
      </w:r>
    </w:p>
    <w:p>
      <w:pPr>
        <w:widowControl/>
        <w:spacing w:line="360" w:lineRule="auto"/>
        <w:ind w:firstLine="120" w:firstLineChars="50"/>
        <w:jc w:val="lef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中标后以分包方式履行合同的，提供分包意向协议；采购人不同意分包或者投标人中标后不以分包方式履行合同的，则不需要提供。</w:t>
      </w:r>
      <w:r>
        <w:rPr>
          <w:rFonts w:hint="eastAsia" w:ascii="宋体" w:hAnsi="宋体" w:cs="宋体"/>
          <w:color w:val="auto"/>
          <w:sz w:val="24"/>
          <w:highlight w:val="none"/>
        </w:rPr>
        <w:t>）</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若成为</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的中标供应商，将依法采取分包方式履行合同。</w:t>
      </w: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rPr>
        <w:t>与</w:t>
      </w:r>
      <w:r>
        <w:rPr>
          <w:rFonts w:hint="eastAsia" w:ascii="宋体" w:hAnsi="宋体" w:cs="宋体"/>
          <w:color w:val="auto"/>
          <w:kern w:val="0"/>
          <w:sz w:val="24"/>
          <w:highlight w:val="none"/>
          <w:u w:val="single"/>
        </w:rPr>
        <w:t>（所有分包供应商名称）</w:t>
      </w:r>
      <w:r>
        <w:rPr>
          <w:rFonts w:hint="eastAsia" w:ascii="宋体" w:hAnsi="宋体" w:cs="宋体"/>
          <w:color w:val="auto"/>
          <w:kern w:val="0"/>
          <w:sz w:val="24"/>
          <w:highlight w:val="none"/>
        </w:rPr>
        <w:t>达成分包意向协议</w:t>
      </w:r>
      <w:r>
        <w:rPr>
          <w:rFonts w:hint="eastAsia" w:ascii="宋体" w:hAnsi="宋体" w:cs="宋体"/>
          <w:color w:val="auto"/>
          <w:kern w:val="0"/>
          <w:sz w:val="24"/>
          <w:highlight w:val="none"/>
          <w:lang w:val="zh-CN"/>
        </w:rPr>
        <w:t xml:space="preserve">。 </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一、分包标的及数量</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具备承</w:t>
      </w:r>
      <w:r>
        <w:rPr>
          <w:rFonts w:hint="eastAsia" w:ascii="宋体" w:hAnsi="宋体" w:cs="宋体"/>
          <w:color w:val="auto"/>
          <w:kern w:val="0"/>
          <w:sz w:val="24"/>
          <w:highlight w:val="none"/>
        </w:rPr>
        <w:t>担</w:t>
      </w:r>
      <w:r>
        <w:rPr>
          <w:rFonts w:hint="eastAsia" w:ascii="宋体" w:hAnsi="宋体" w:cs="宋体"/>
          <w:color w:val="auto"/>
          <w:kern w:val="0"/>
          <w:sz w:val="24"/>
          <w:highlight w:val="none"/>
          <w:u w:val="single"/>
          <w:lang w:val="zh-CN"/>
        </w:rPr>
        <w:t>XX工作内容</w:t>
      </w:r>
      <w:r>
        <w:rPr>
          <w:rFonts w:hint="eastAsia" w:ascii="宋体" w:hAnsi="宋体" w:cs="宋体"/>
          <w:color w:val="auto"/>
          <w:kern w:val="0"/>
          <w:sz w:val="24"/>
          <w:highlight w:val="none"/>
          <w:lang w:val="zh-CN"/>
        </w:rPr>
        <w:t>相应资质条件且不得再次分包；</w:t>
      </w:r>
    </w:p>
    <w:p>
      <w:pPr>
        <w:pStyle w:val="2"/>
        <w:ind w:left="664" w:leftChars="316" w:firstLine="229" w:firstLineChars="95"/>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二、分包供应商中小企业合同份额</w:t>
      </w:r>
    </w:p>
    <w:p>
      <w:pPr>
        <w:snapToGrid w:val="0"/>
        <w:spacing w:line="360" w:lineRule="auto"/>
        <w:ind w:firstLine="576"/>
        <w:rPr>
          <w:rFonts w:ascii="宋体" w:hAnsi="宋体" w:cs="宋体"/>
          <w:b/>
          <w:color w:val="auto"/>
          <w:kern w:val="0"/>
          <w:sz w:val="24"/>
          <w:highlight w:val="none"/>
          <w:lang w:val="zh-CN"/>
        </w:rPr>
      </w:pPr>
      <w:r>
        <w:rPr>
          <w:rFonts w:ascii="宋体" w:hAnsi="宋体" w:cs="宋体"/>
          <w:color w:val="auto"/>
          <w:kern w:val="0"/>
          <w:sz w:val="24"/>
          <w:highlight w:val="none"/>
        </w:rPr>
        <w:t>1、</w:t>
      </w:r>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……）提供的货物全部由小微企业制造，</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pPr>
        <w:spacing w:line="360" w:lineRule="auto"/>
        <w:ind w:firstLine="480" w:firstLineChars="200"/>
        <w:rPr>
          <w:rFonts w:ascii="宋体" w:hAnsi="宋体" w:cs="宋体"/>
          <w:b/>
          <w:bCs/>
          <w:color w:val="auto"/>
          <w:kern w:val="0"/>
          <w:sz w:val="24"/>
          <w:highlight w:val="none"/>
          <w:lang w:val="zh-CN"/>
        </w:rPr>
      </w:pPr>
      <w:r>
        <w:rPr>
          <w:rFonts w:hint="eastAsia" w:ascii="宋体" w:hAnsi="宋体" w:cs="宋体"/>
          <w:color w:val="auto"/>
          <w:sz w:val="24"/>
          <w:highlight w:val="none"/>
        </w:rPr>
        <w:t>2、</w:t>
      </w:r>
      <w:bookmarkStart w:id="561" w:name="_Hlk101133173"/>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要求合同分包形式参加的项目或采购包，供应商按招标文件第一部分招标公告申请人的资格要求中规定的</w:t>
      </w:r>
      <w:r>
        <w:rPr>
          <w:rFonts w:hint="eastAsia" w:ascii="宋体" w:hAnsi="宋体" w:cs="宋体"/>
          <w:b/>
          <w:color w:val="auto"/>
          <w:kern w:val="0"/>
          <w:sz w:val="24"/>
          <w:highlight w:val="none"/>
          <w:lang w:val="zh-CN"/>
        </w:rPr>
        <w:t>分包意向协议</w:t>
      </w:r>
      <w:r>
        <w:rPr>
          <w:rFonts w:hint="eastAsia" w:ascii="宋体" w:hAnsi="宋体" w:cs="宋体"/>
          <w:b/>
          <w:bCs/>
          <w:color w:val="auto"/>
          <w:sz w:val="24"/>
          <w:highlight w:val="none"/>
        </w:rPr>
        <w:t>中中小企业、其中小微企业合同金额应当达到的比例要求填写。</w:t>
      </w:r>
      <w:r>
        <w:rPr>
          <w:rFonts w:hint="eastAsia" w:ascii="宋体" w:hAnsi="宋体" w:cs="宋体"/>
          <w:b/>
          <w:bCs/>
          <w:color w:val="auto"/>
          <w:kern w:val="0"/>
          <w:sz w:val="24"/>
          <w:highlight w:val="none"/>
          <w:lang w:val="zh-CN"/>
        </w:rPr>
        <w:t>）</w:t>
      </w:r>
      <w:bookmarkEnd w:id="561"/>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三、分包工作履行期限、地点、方式</w:t>
      </w:r>
    </w:p>
    <w:p>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四、质量</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五、价款或者报酬</w:t>
      </w:r>
    </w:p>
    <w:p>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六、违约责任</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七、争议解决的办法</w:t>
      </w:r>
    </w:p>
    <w:p>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pPr>
        <w:snapToGrid w:val="0"/>
        <w:spacing w:line="360" w:lineRule="auto"/>
        <w:ind w:left="5758" w:leftChars="342" w:hanging="5040" w:hanging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投标人名称(电子签名)：</w:t>
      </w:r>
    </w:p>
    <w:p>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分包供应商名称(电子签名/公章)：</w:t>
      </w:r>
    </w:p>
    <w:p>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pPr>
        <w:spacing w:line="360" w:lineRule="auto"/>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autoSpaceDE w:val="0"/>
        <w:autoSpaceDN w:val="0"/>
        <w:jc w:val="center"/>
        <w:rPr>
          <w:rFonts w:ascii="宋体" w:hAnsi="宋体" w:cs="宋体"/>
          <w:b/>
          <w:color w:val="auto"/>
          <w:spacing w:val="6"/>
          <w:sz w:val="32"/>
          <w:szCs w:val="32"/>
          <w:highlight w:val="none"/>
        </w:rPr>
      </w:pPr>
    </w:p>
    <w:p>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pPr>
        <w:snapToGrid w:val="0"/>
        <w:spacing w:line="360" w:lineRule="auto"/>
        <w:outlineLvl w:val="0"/>
        <w:rPr>
          <w:rFonts w:ascii="宋体" w:hAnsi="宋体" w:cs="宋体"/>
          <w:b/>
          <w:color w:val="auto"/>
          <w:kern w:val="0"/>
          <w:sz w:val="44"/>
          <w:szCs w:val="44"/>
          <w:highlight w:val="none"/>
        </w:rPr>
      </w:pPr>
      <w:r>
        <w:rPr>
          <w:rFonts w:hint="eastAsia" w:ascii="宋体" w:hAnsi="宋体" w:cs="宋体"/>
          <w:b/>
          <w:color w:val="auto"/>
          <w:kern w:val="0"/>
          <w:sz w:val="44"/>
          <w:szCs w:val="44"/>
          <w:highlight w:val="none"/>
        </w:rPr>
        <w:t>附件</w:t>
      </w:r>
      <w:r>
        <w:rPr>
          <w:rFonts w:ascii="宋体" w:hAnsi="宋体" w:cs="宋体"/>
          <w:b/>
          <w:color w:val="auto"/>
          <w:kern w:val="0"/>
          <w:sz w:val="44"/>
          <w:szCs w:val="44"/>
          <w:highlight w:val="none"/>
        </w:rPr>
        <w:t>7</w:t>
      </w:r>
      <w:r>
        <w:rPr>
          <w:rFonts w:hint="eastAsia" w:ascii="宋体" w:hAnsi="宋体" w:cs="宋体"/>
          <w:b/>
          <w:color w:val="auto"/>
          <w:kern w:val="0"/>
          <w:sz w:val="44"/>
          <w:szCs w:val="44"/>
          <w:highlight w:val="none"/>
        </w:rPr>
        <w:t>：中小企业声明函</w:t>
      </w:r>
    </w:p>
    <w:p>
      <w:pPr>
        <w:spacing w:line="360" w:lineRule="auto"/>
        <w:jc w:val="center"/>
        <w:rPr>
          <w:rFonts w:ascii="宋体" w:hAnsi="宋体" w:cs="宋体"/>
          <w:color w:val="auto"/>
          <w:sz w:val="24"/>
          <w:highlight w:val="none"/>
          <w:u w:val="single"/>
        </w:rPr>
      </w:pPr>
    </w:p>
    <w:p>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中小企业声明函（货物）</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cs="宋体"/>
          <w:color w:val="auto"/>
          <w:sz w:val="24"/>
          <w:highlight w:val="none"/>
          <w:u w:val="single"/>
        </w:rPr>
        <w:t xml:space="preserve">（采购人） </w:t>
      </w:r>
      <w:r>
        <w:rPr>
          <w:rFonts w:hint="eastAsia" w:ascii="宋体" w:hAnsi="宋体" w:cs="宋体"/>
          <w:color w:val="auto"/>
          <w:sz w:val="24"/>
          <w:highlight w:val="none"/>
        </w:rPr>
        <w:t xml:space="preserve">的 </w:t>
      </w:r>
      <w:r>
        <w:rPr>
          <w:rFonts w:hint="eastAsia" w:ascii="宋体" w:hAnsi="宋体" w:cs="宋体"/>
          <w:color w:val="auto"/>
          <w:sz w:val="24"/>
          <w:highlight w:val="none"/>
          <w:u w:val="single"/>
        </w:rPr>
        <w:t>（项目名称）</w:t>
      </w:r>
      <w:r>
        <w:rPr>
          <w:rFonts w:hint="eastAsia" w:ascii="宋体" w:hAnsi="宋体" w:cs="宋体"/>
          <w:color w:val="auto"/>
          <w:sz w:val="24"/>
          <w:highlight w:val="none"/>
        </w:rPr>
        <w:t xml:space="preserve"> 采购活动，提供的货物全部由符合政策要求的中小企业制造。相关企业（含联合体中的中小企业、签订分包意向协议的中小企业）的具体情况如下：</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w:t>
      </w:r>
      <w:r>
        <w:rPr>
          <w:rFonts w:hint="eastAsia" w:ascii="宋体" w:hAnsi="宋体" w:cs="宋体"/>
          <w:color w:val="auto"/>
          <w:sz w:val="24"/>
          <w:highlight w:val="none"/>
        </w:rPr>
        <w:t xml:space="preserve"> ；</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 xml:space="preserve"> ，属于 </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 ；制造商为</w:t>
      </w:r>
      <w:r>
        <w:rPr>
          <w:rFonts w:hint="eastAsia" w:ascii="宋体" w:hAnsi="宋体" w:cs="宋体"/>
          <w:color w:val="auto"/>
          <w:sz w:val="24"/>
          <w:highlight w:val="none"/>
          <w:u w:val="single"/>
        </w:rPr>
        <w:t xml:space="preserve"> （企业名称）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w:t>
      </w:r>
      <w:r>
        <w:rPr>
          <w:rFonts w:hint="eastAsia" w:ascii="宋体" w:hAnsi="宋体" w:cs="宋体"/>
          <w:color w:val="auto"/>
          <w:sz w:val="24"/>
          <w:highlight w:val="none"/>
        </w:rPr>
        <w:t xml:space="preserve"> ；</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pPr>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投标人名称(电子签名)：</w:t>
      </w:r>
    </w:p>
    <w:p>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pPr>
        <w:spacing w:line="360" w:lineRule="auto"/>
        <w:jc w:val="left"/>
        <w:rPr>
          <w:rFonts w:ascii="宋体" w:hAnsi="宋体" w:cs="宋体"/>
          <w:color w:val="auto"/>
          <w:sz w:val="18"/>
          <w:szCs w:val="18"/>
          <w:highlight w:val="none"/>
        </w:rPr>
      </w:pPr>
      <w:r>
        <w:rPr>
          <w:rFonts w:hint="eastAsia" w:ascii="宋体" w:hAnsi="宋体" w:cs="宋体"/>
          <w:color w:val="auto"/>
          <w:sz w:val="18"/>
          <w:szCs w:val="18"/>
          <w:highlight w:val="none"/>
        </w:rPr>
        <w:t>从业人员、营业收入、资产总额填报上一年度数据，无上一年度数据的新成立企业可不填报。</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jc w:val="center"/>
        <w:rPr>
          <w:rFonts w:ascii="宋体" w:hAnsi="宋体" w:cs="宋体"/>
          <w:b/>
          <w:color w:val="auto"/>
          <w:sz w:val="32"/>
          <w:szCs w:val="32"/>
          <w:highlight w:val="none"/>
        </w:rPr>
      </w:pPr>
    </w:p>
    <w:p>
      <w:pPr>
        <w:spacing w:line="360" w:lineRule="auto"/>
        <w:rPr>
          <w:rFonts w:ascii="宋体" w:hAnsi="宋体" w:cs="宋体"/>
          <w:bCs/>
          <w:color w:val="auto"/>
          <w:sz w:val="24"/>
          <w:highlight w:val="none"/>
        </w:rPr>
      </w:pPr>
    </w:p>
    <w:sectPr>
      <w:headerReference r:id="rId22" w:type="first"/>
      <w:footerReference r:id="rId25" w:type="first"/>
      <w:headerReference r:id="rId21" w:type="default"/>
      <w:footerReference r:id="rId23" w:type="default"/>
      <w:footerReference r:id="rId24"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隶书">
    <w:altName w:val="微软雅黑"/>
    <w:panose1 w:val="02010509060101010101"/>
    <w:charset w:val="86"/>
    <w:family w:val="auto"/>
    <w:pitch w:val="default"/>
    <w:sig w:usb0="00000000" w:usb1="00000000" w:usb2="00000010" w:usb3="00000000" w:csb0="00040000" w:csb1="00000000"/>
  </w:font>
  <w:font w:name="Futura Bk">
    <w:altName w:val="Segoe Print"/>
    <w:panose1 w:val="00000000000000000000"/>
    <w:charset w:val="00"/>
    <w:family w:val="auto"/>
    <w:pitch w:val="default"/>
    <w:sig w:usb0="00000000" w:usb1="00000000" w:usb2="00000000" w:usb3="00000000" w:csb0="00000011"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 w:name="Lucida Sans">
    <w:altName w:val="Lucida Sans Unicode"/>
    <w:panose1 w:val="020B0602030504020204"/>
    <w:charset w:val="00"/>
    <w:family w:val="auto"/>
    <w:pitch w:val="default"/>
    <w:sig w:usb0="00000000" w:usb1="00000000" w:usb2="00000000" w:usb3="00000000" w:csb0="00000001" w:csb1="00000000"/>
  </w:font>
  <w:font w:name="Verdana">
    <w:panose1 w:val="020B0604030504040204"/>
    <w:charset w:val="00"/>
    <w:family w:val="auto"/>
    <w:pitch w:val="default"/>
    <w:sig w:usb0="A10006FF" w:usb1="4000205B" w:usb2="00000010" w:usb3="00000000" w:csb0="2000019F" w:csb1="00000000"/>
  </w:font>
  <w:font w:name="幼圆">
    <w:altName w:val="宋体"/>
    <w:panose1 w:val="02010509060101010101"/>
    <w:charset w:val="86"/>
    <w:family w:val="auto"/>
    <w:pitch w:val="default"/>
    <w:sig w:usb0="00000000" w:usb1="00000000" w:usb2="00000010" w:usb3="00000000" w:csb0="00040000" w:csb1="00000000"/>
  </w:font>
  <w:font w:name="Arial Narrow">
    <w:altName w:val="Arial"/>
    <w:panose1 w:val="020B0606020202030204"/>
    <w:charset w:val="00"/>
    <w:family w:val="auto"/>
    <w:pitch w:val="default"/>
    <w:sig w:usb0="00000287" w:usb1="00000800" w:usb2="00000000" w:usb3="00000000" w:csb0="2000009F" w:csb1="DFD70000"/>
  </w:font>
  <w:font w:name="FHLHE E+ Futura Bk">
    <w:altName w:val="宋体"/>
    <w:panose1 w:val="00000000000000000000"/>
    <w:charset w:val="86"/>
    <w:family w:val="auto"/>
    <w:pitch w:val="default"/>
    <w:sig w:usb0="00000000" w:usb1="00000000" w:usb2="00000010" w:usb3="00000000" w:csb0="00040000" w:csb1="00000000"/>
  </w:font>
  <w:font w:name="Arial (W1)">
    <w:altName w:val="Arial"/>
    <w:panose1 w:val="00000000000000000000"/>
    <w:charset w:val="00"/>
    <w:family w:val="auto"/>
    <w:pitch w:val="default"/>
    <w:sig w:usb0="00000000" w:usb1="00000000" w:usb2="00000008" w:usb3="00000000" w:csb0="000001FF" w:csb1="00000000"/>
  </w:font>
  <w:font w:name="Arial Unicode MS">
    <w:altName w:val="宋体"/>
    <w:panose1 w:val="020B0604020202020204"/>
    <w:charset w:val="86"/>
    <w:family w:val="auto"/>
    <w:pitch w:val="default"/>
    <w:sig w:usb0="00000000" w:usb1="00000000" w:usb2="0000003F" w:usb3="00000000" w:csb0="003F01FF" w:csb1="00000000"/>
  </w:font>
  <w:font w:name="Helvetica">
    <w:altName w:val="Arial"/>
    <w:panose1 w:val="020B0604020202020204"/>
    <w:charset w:val="00"/>
    <w:family w:val="auto"/>
    <w:pitch w:val="default"/>
    <w:sig w:usb0="00000000" w:usb1="00000000" w:usb2="00000000" w:usb3="00000000" w:csb0="00000001" w:csb1="00000000"/>
  </w:font>
  <w:font w:name="Cumberland">
    <w:altName w:val="微软雅黑"/>
    <w:panose1 w:val="00000000000000000000"/>
    <w:charset w:val="00"/>
    <w:family w:val="auto"/>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auto"/>
    <w:pitch w:val="default"/>
    <w:sig w:usb0="00000000" w:usb1="00000000" w:usb2="00000000" w:usb3="00000000" w:csb0="000001FB" w:csb1="00000000"/>
  </w:font>
  <w:font w:name="Segoe UI">
    <w:panose1 w:val="020B0502040204020203"/>
    <w:charset w:val="00"/>
    <w:family w:val="auto"/>
    <w:pitch w:val="default"/>
    <w:sig w:usb0="E10022FF" w:usb1="C000E47F" w:usb2="00000029" w:usb3="00000000" w:csb0="200001DF" w:csb1="20000000"/>
  </w:font>
  <w:font w:name="Latha">
    <w:panose1 w:val="020B0604020202020204"/>
    <w:charset w:val="00"/>
    <w:family w:val="auto"/>
    <w:pitch w:val="default"/>
    <w:sig w:usb0="00100003" w:usb1="00000000" w:usb2="00000000" w:usb3="00000000" w:csb0="00000001" w:csb1="00000000"/>
  </w:font>
  <w:font w:name="等线">
    <w:altName w:val="微软雅黑"/>
    <w:panose1 w:val="00000000000000000000"/>
    <w:charset w:val="86"/>
    <w:family w:val="auto"/>
    <w:pitch w:val="default"/>
    <w:sig w:usb0="00000000" w:usb1="00000000" w:usb2="00000016" w:usb3="00000000" w:csb0="0004000F"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Century Gothic">
    <w:altName w:val="Segoe Print"/>
    <w:panose1 w:val="020B0502020202020204"/>
    <w:charset w:val="00"/>
    <w:family w:val="auto"/>
    <w:pitch w:val="default"/>
    <w:sig w:usb0="00000287" w:usb1="00000000" w:usb2="00000000" w:usb3="00000000" w:csb0="2000009F" w:csb1="DFD70000"/>
  </w:font>
  <w:font w:name="Aldine401 BT">
    <w:altName w:val="Segoe Print"/>
    <w:panose1 w:val="00000000000000000000"/>
    <w:charset w:val="00"/>
    <w:family w:val="auto"/>
    <w:pitch w:val="default"/>
    <w:sig w:usb0="00000000" w:usb1="00000000" w:usb2="00000000" w:usb3="00000000" w:csb0="00000011" w:csb1="00000000"/>
  </w:font>
  <w:font w:name=".PingFang SC">
    <w:altName w:val="微软雅黑"/>
    <w:panose1 w:val="00000000000000000000"/>
    <w:charset w:val="00"/>
    <w:family w:val="auto"/>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MS Sans Serif">
    <w:altName w:val="Arial"/>
    <w:panose1 w:val="00000000000000000000"/>
    <w:charset w:val="00"/>
    <w:family w:val="auto"/>
    <w:pitch w:val="default"/>
    <w:sig w:usb0="00000000" w:usb1="00000000" w:usb2="00000000" w:usb3="00000000" w:csb0="00000001" w:csb1="00000000"/>
  </w:font>
  <w:font w:name="等线 Light">
    <w:altName w:val="宋体"/>
    <w:panose1 w:val="00000000000000000000"/>
    <w:charset w:val="86"/>
    <w:family w:val="auto"/>
    <w:pitch w:val="default"/>
    <w:sig w:usb0="00000000" w:usb1="00000000" w:usb2="00000016" w:usb3="00000000" w:csb0="0004000F" w:csb1="00000000"/>
  </w:font>
  <w:font w:name="ˎ̥">
    <w:altName w:val="微软雅黑"/>
    <w:panose1 w:val="00000000000000000000"/>
    <w:charset w:val="00"/>
    <w:family w:val="auto"/>
    <w:pitch w:val="default"/>
    <w:sig w:usb0="00000000" w:usb1="00000000" w:usb2="00000000" w:usb3="00000000" w:csb0="00040001" w:csb1="00000000"/>
  </w:font>
  <w:font w:name="MS Gothic">
    <w:panose1 w:val="020B0609070205080204"/>
    <w:charset w:val="80"/>
    <w:family w:val="auto"/>
    <w:pitch w:val="default"/>
    <w:sig w:usb0="E00002FF" w:usb1="6AC7FDFB" w:usb2="00000012" w:usb3="00000000" w:csb0="4002009F" w:csb1="DFD70000"/>
  </w:font>
  <w:font w:name="MS Mincho">
    <w:panose1 w:val="02020609040205080304"/>
    <w:charset w:val="80"/>
    <w:family w:val="auto"/>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70</w:t>
    </w:r>
    <w:r>
      <w:rPr>
        <w:rFonts w:hint="eastAsia" w:ascii="仿宋_GB2312" w:eastAsia="仿宋_GB2312"/>
        <w:kern w:val="0"/>
      </w:rPr>
      <w:fldChar w:fldCharType="end"/>
    </w:r>
    <w:r>
      <w:rPr>
        <w:rFonts w:hint="eastAsia" w:ascii="仿宋_GB2312" w:eastAsia="仿宋_GB2312"/>
        <w:kern w:val="0"/>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1"/>
      <w:jc w:val="center"/>
      <w:rPr>
        <w:rFonts w:ascii="仿宋_GB2312" w:eastAsia="仿宋_GB2312"/>
        <w:szCs w:val="24"/>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70</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70</w:t>
    </w:r>
    <w:r>
      <w:rPr>
        <w:rFonts w:hint="eastAsia" w:ascii="仿宋_GB2312" w:eastAsia="仿宋_GB2312"/>
        <w:kern w:val="0"/>
        <w:szCs w:val="21"/>
      </w:rPr>
      <w:fldChar w:fldCharType="end"/>
    </w:r>
    <w:r>
      <w:rPr>
        <w:rFonts w:hint="eastAsia" w:ascii="仿宋_GB2312" w:eastAsia="仿宋_GB2312"/>
        <w:kern w:val="0"/>
        <w:szCs w:val="21"/>
      </w:rPr>
      <w:t xml:space="preserve"> 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1"/>
      <w:framePr w:wrap="around" w:vAnchor="text" w:hAnchor="margin" w:xAlign="right" w:y="1"/>
      <w:rPr>
        <w:rStyle w:val="66"/>
      </w:rPr>
    </w:pPr>
    <w:r>
      <w:fldChar w:fldCharType="begin"/>
    </w:r>
    <w:r>
      <w:rPr>
        <w:rStyle w:val="66"/>
      </w:rPr>
      <w:instrText xml:space="preserve">PAGE  </w:instrText>
    </w:r>
    <w:r>
      <w:fldChar w:fldCharType="end"/>
    </w:r>
  </w:p>
  <w:p>
    <w:pPr>
      <w:pStyle w:val="41"/>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1"/>
      <w:jc w:val="center"/>
      <w:rPr>
        <w:rFonts w:ascii="仿宋_GB2312" w:eastAsia="仿宋_GB2312"/>
      </w:rP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58</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70</w:t>
    </w:r>
    <w:r>
      <w:rPr>
        <w:rFonts w:hint="eastAsia" w:ascii="仿宋_GB2312" w:eastAsia="仿宋_GB2312"/>
        <w:kern w:val="0"/>
        <w:szCs w:val="21"/>
      </w:rPr>
      <w:fldChar w:fldCharType="end"/>
    </w:r>
    <w:bookmarkStart w:id="562" w:name="_Toc36110187"/>
    <w:bookmarkStart w:id="563" w:name="_Toc164085800"/>
    <w:bookmarkStart w:id="564" w:name="_Toc131845147"/>
    <w:bookmarkStart w:id="565" w:name="_Toc91899912"/>
    <w:r>
      <w:rPr>
        <w:rFonts w:hint="eastAsia" w:ascii="仿宋_GB2312" w:eastAsia="仿宋_GB2312"/>
        <w:kern w:val="0"/>
        <w:szCs w:val="21"/>
      </w:rPr>
      <w:t xml:space="preserve"> 页</w:t>
    </w:r>
    <w:bookmarkEnd w:id="562"/>
    <w:bookmarkEnd w:id="563"/>
    <w:bookmarkEnd w:id="564"/>
    <w:bookmarkEnd w:id="56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1"/>
      <w:framePr w:wrap="around" w:vAnchor="text" w:hAnchor="margin" w:xAlign="right" w:y="1"/>
      <w:rPr>
        <w:rStyle w:val="66"/>
      </w:rPr>
    </w:pPr>
    <w:r>
      <w:fldChar w:fldCharType="begin"/>
    </w:r>
    <w:r>
      <w:rPr>
        <w:rStyle w:val="66"/>
      </w:rPr>
      <w:instrText xml:space="preserve">PAGE  </w:instrText>
    </w:r>
    <w:r>
      <w:fldChar w:fldCharType="end"/>
    </w:r>
  </w:p>
  <w:p>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70</w:t>
    </w:r>
    <w:r>
      <w:rPr>
        <w:rFonts w:hint="eastAsia" w:ascii="仿宋_GB2312" w:eastAsia="仿宋_GB2312"/>
        <w:kern w:val="0"/>
      </w:rPr>
      <w:fldChar w:fldCharType="end"/>
    </w:r>
    <w:r>
      <w:rPr>
        <w:rFonts w:hint="eastAsia" w:ascii="仿宋_GB2312" w:eastAsia="仿宋_GB2312"/>
        <w:kern w:val="0"/>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70</w:t>
    </w:r>
    <w:r>
      <w:rPr>
        <w:rFonts w:hint="eastAsia" w:ascii="仿宋_GB2312" w:eastAsia="仿宋_GB2312"/>
        <w:kern w:val="0"/>
      </w:rPr>
      <w:fldChar w:fldCharType="end"/>
    </w:r>
    <w:r>
      <w:rPr>
        <w:rFonts w:hint="eastAsia" w:ascii="仿宋_GB2312" w:eastAsia="仿宋_GB2312"/>
        <w:kern w:val="0"/>
      </w:rPr>
      <w:t xml:space="preserve"> 页</w:t>
    </w:r>
  </w:p>
  <w:p>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70</w:t>
    </w:r>
    <w:r>
      <w:rPr>
        <w:rFonts w:hint="eastAsia" w:ascii="仿宋_GB2312" w:eastAsia="仿宋_GB2312"/>
        <w:kern w:val="0"/>
      </w:rPr>
      <w:fldChar w:fldCharType="end"/>
    </w:r>
    <w:r>
      <w:rPr>
        <w:rFonts w:hint="eastAsia" w:ascii="仿宋_GB2312" w:eastAsia="仿宋_GB2312"/>
        <w:kern w:val="0"/>
      </w:rPr>
      <w:t xml:space="preserve"> 页</w:t>
    </w:r>
  </w:p>
  <w:p>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54</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70</w:t>
    </w:r>
    <w:r>
      <w:rPr>
        <w:rFonts w:hint="eastAsia" w:ascii="仿宋_GB2312" w:eastAsia="仿宋_GB2312"/>
        <w:kern w:val="0"/>
      </w:rPr>
      <w:fldChar w:fldCharType="end"/>
    </w:r>
    <w:r>
      <w:rPr>
        <w:rFonts w:hint="eastAsia" w:ascii="仿宋_GB2312" w:eastAsia="仿宋_GB2312"/>
        <w:kern w:val="0"/>
      </w:rPr>
      <w:t xml:space="preserve"> 页</w:t>
    </w:r>
  </w:p>
  <w:p>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70</w:t>
    </w:r>
    <w:r>
      <w:rPr>
        <w:rFonts w:hint="eastAsia" w:ascii="仿宋_GB2312" w:eastAsia="仿宋_GB2312"/>
        <w:kern w:val="0"/>
      </w:rPr>
      <w:fldChar w:fldCharType="end"/>
    </w:r>
    <w:r>
      <w:rPr>
        <w:rFonts w:hint="eastAsia" w:ascii="仿宋_GB2312" w:eastAsia="仿宋_GB2312"/>
        <w:kern w:val="0"/>
      </w:rPr>
      <w:t xml:space="preserve"> 页</w:t>
    </w:r>
  </w:p>
  <w:p>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70</w:t>
    </w:r>
    <w:r>
      <w:rPr>
        <w:rFonts w:hint="eastAsia" w:ascii="仿宋_GB2312" w:eastAsia="仿宋_GB2312"/>
        <w:kern w:val="0"/>
      </w:rPr>
      <w:fldChar w:fldCharType="end"/>
    </w:r>
    <w:r>
      <w:rPr>
        <w:rFonts w:hint="eastAsia" w:ascii="仿宋_GB2312" w:eastAsia="仿宋_GB2312"/>
        <w:kern w:val="0"/>
      </w:rPr>
      <w:t xml:space="preserve"> 页</w: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70</w:t>
    </w:r>
    <w:r>
      <w:rPr>
        <w:rFonts w:hint="eastAsia" w:ascii="仿宋_GB2312" w:eastAsia="仿宋_GB2312"/>
        <w:kern w:val="0"/>
      </w:rPr>
      <w:fldChar w:fldCharType="end"/>
    </w:r>
    <w:r>
      <w:rPr>
        <w:rFonts w:hint="eastAsia" w:ascii="仿宋_GB2312" w:eastAsia="仿宋_GB2312"/>
        <w:kern w:val="0"/>
      </w:rPr>
      <w:t xml:space="preserve"> 页</w: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3"/>
      <w:pBdr>
        <w:bottom w:val="single" w:color="auto" w:sz="6" w:space="4"/>
      </w:pBdr>
      <w:jc w:val="right"/>
    </w:pPr>
    <w:r>
      <w:t></w:t>
    </w:r>
    <w:r>
      <w:rPr>
        <w:rFonts w:hint="eastAsia"/>
      </w:rPr>
      <w:t xml:space="preserve">       </w:t>
    </w:r>
    <w:r>
      <w:t>杭州市</w:t>
    </w:r>
    <w:r>
      <w:rPr>
        <w:rFonts w:hint="eastAsia"/>
        <w:lang w:eastAsia="zh-CN"/>
      </w:rPr>
      <w:t>临平区</w:t>
    </w:r>
    <w:r>
      <w:t>政府采购公开招标文件</w:t>
    </w:r>
  </w:p>
  <w:p>
    <w:pPr>
      <w:pStyle w:val="61"/>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3"/>
    </w:pPr>
    <w:r>
      <w:t></w:t>
    </w:r>
    <w:r>
      <w:rPr>
        <w:rFonts w:hint="eastAsia"/>
      </w:rPr>
      <w:t xml:space="preserve">                                          </w:t>
    </w:r>
    <w:r>
      <w:t>杭州市</w:t>
    </w:r>
    <w:r>
      <w:rPr>
        <w:rFonts w:hint="eastAsia"/>
        <w:lang w:eastAsia="zh-CN"/>
      </w:rPr>
      <w:t>临平区</w:t>
    </w:r>
    <w:r>
      <w:t>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3"/>
      <w:pBdr>
        <w:bottom w:val="single" w:color="auto" w:sz="6" w:space="0"/>
      </w:pBdr>
      <w:tabs>
        <w:tab w:val="center" w:pos="4535"/>
        <w:tab w:val="right" w:pos="9070"/>
        <w:tab w:val="clear" w:pos="4153"/>
        <w:tab w:val="clear" w:pos="8306"/>
      </w:tabs>
      <w:jc w:val="right"/>
    </w:pPr>
    <w:r>
      <w:rPr>
        <w:lang w:val="zh-CN"/>
      </w:rPr>
      <w:t></w:t>
    </w:r>
    <w:r>
      <w:tab/>
    </w:r>
    <w:r>
      <w:rPr>
        <w:lang w:val="zh-CN"/>
      </w:rPr>
      <w:t></w:t>
    </w:r>
    <w:r>
      <w:tab/>
    </w:r>
    <w:r>
      <w:rPr>
        <w:lang w:val="zh-CN"/>
      </w:rPr>
      <w:t>杭州市</w:t>
    </w:r>
    <w:r>
      <w:rPr>
        <w:rFonts w:hint="eastAsia"/>
        <w:lang w:val="zh-CN"/>
      </w:rPr>
      <w:t>临平区</w:t>
    </w:r>
    <w:r>
      <w:rPr>
        <w:lang w:val="zh-CN"/>
      </w:rPr>
      <w:t>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3"/>
      <w:jc w:val="right"/>
      <w:rPr>
        <w:rFonts w:ascii="仿宋_GB2312" w:eastAsia="仿宋_GB2312"/>
        <w:b/>
        <w:i/>
        <w:u w:val="single"/>
      </w:rPr>
    </w:pPr>
    <w:r>
      <w:t></w:t>
    </w:r>
    <w:r>
      <w:rPr>
        <w:rFonts w:hint="eastAsia"/>
      </w:rPr>
      <w:t xml:space="preserve">                                </w:t>
    </w:r>
    <w:r>
      <w:t>杭州市</w:t>
    </w:r>
    <w:r>
      <w:rPr>
        <w:rFonts w:hint="eastAsia"/>
        <w:lang w:eastAsia="zh-CN"/>
      </w:rPr>
      <w:t>临平区</w:t>
    </w:r>
    <w:r>
      <w:t>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3"/>
    </w:pPr>
    <w:r>
      <w:t></w:t>
    </w:r>
    <w:r>
      <w:rPr>
        <w:rFonts w:hint="eastAsia"/>
      </w:rPr>
      <w:t xml:space="preserve">         </w:t>
    </w:r>
  </w:p>
  <w:p>
    <w:pPr>
      <w:pStyle w:val="43"/>
    </w:pPr>
    <w:r>
      <w:rPr>
        <w:rFonts w:hint="eastAsia"/>
      </w:rPr>
      <w:t xml:space="preserve">                                                                  </w:t>
    </w:r>
    <w:r>
      <w:t>杭州市</w:t>
    </w:r>
    <w:r>
      <w:rPr>
        <w:rFonts w:hint="eastAsia"/>
        <w:lang w:eastAsia="zh-CN"/>
      </w:rPr>
      <w:t>临平区</w:t>
    </w:r>
    <w:r>
      <w:t>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3"/>
      <w:rPr>
        <w:rFonts w:ascii="仿宋_GB2312" w:eastAsia="仿宋_GB2312"/>
        <w:b/>
        <w:i/>
        <w:u w:val="single"/>
      </w:rPr>
    </w:pPr>
    <w:r>
      <w:t></w:t>
    </w:r>
    <w:r>
      <w:rPr>
        <w:rFonts w:hint="eastAsia"/>
      </w:rPr>
      <w:t xml:space="preserve">                                                </w:t>
    </w:r>
    <w:r>
      <w:t xml:space="preserve"> 杭州市</w:t>
    </w:r>
    <w:r>
      <w:rPr>
        <w:rFonts w:hint="eastAsia"/>
        <w:lang w:eastAsia="zh-CN"/>
      </w:rPr>
      <w:t>临平区</w:t>
    </w:r>
    <w:r>
      <w:t>政府采购公开招标文件</w:t>
    </w:r>
  </w:p>
  <w:p>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3"/>
      <w:jc w:val="right"/>
    </w:pPr>
    <w:r>
      <w:t></w:t>
    </w:r>
    <w:r>
      <w:rPr>
        <w:rFonts w:hint="eastAsia"/>
      </w:rPr>
      <w:t xml:space="preserve">                                                                    </w:t>
    </w:r>
    <w:r>
      <w:t>杭州市</w:t>
    </w:r>
    <w:r>
      <w:rPr>
        <w:rFonts w:hint="eastAsia"/>
        <w:lang w:eastAsia="zh-CN"/>
      </w:rPr>
      <w:t>临平区</w:t>
    </w:r>
    <w:r>
      <w:t>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3"/>
      <w:jc w:val="right"/>
      <w:rPr>
        <w:rFonts w:ascii="仿宋_GB2312" w:eastAsia="仿宋_GB2312"/>
        <w:b/>
        <w:i/>
        <w:u w:val="single"/>
      </w:rPr>
    </w:pPr>
    <w:r>
      <w:rPr>
        <w:rFonts w:hint="eastAsia"/>
      </w:rPr>
      <w:t xml:space="preserve">                                  </w:t>
    </w:r>
    <w:r>
      <w:t>杭州市</w:t>
    </w:r>
    <w:r>
      <w:rPr>
        <w:rFonts w:hint="eastAsia"/>
        <w:lang w:eastAsia="zh-CN"/>
      </w:rPr>
      <w:t>临平区</w:t>
    </w:r>
    <w:r>
      <w:t>政府采购公开招标文件</w:t>
    </w:r>
  </w:p>
  <w:p>
    <w:pPr>
      <w:rPr>
        <w:rFonts w:ascii="仿宋_GB2312" w:eastAsia="仿宋_GB2312"/>
        <w:b/>
        <w:i/>
        <w:sz w:val="18"/>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3"/>
      <w:jc w:val="right"/>
    </w:pPr>
    <w:r>
      <w:rPr>
        <w:rFonts w:hint="eastAsia"/>
      </w:rPr>
      <w:t xml:space="preserve">                                                                                                        </w:t>
    </w:r>
    <w:r>
      <w:t>杭州市</w:t>
    </w:r>
    <w:r>
      <w:rPr>
        <w:rFonts w:hint="eastAsia"/>
        <w:lang w:eastAsia="zh-CN"/>
      </w:rPr>
      <w:t>临平区</w:t>
    </w:r>
    <w:r>
      <w:t>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3"/>
      <w:jc w:val="right"/>
      <w:rPr>
        <w:rFonts w:ascii="仿宋_GB2312" w:eastAsia="仿宋_GB2312"/>
        <w:b/>
        <w:i/>
        <w:iCs/>
        <w:u w:val="single"/>
      </w:rPr>
    </w:pPr>
    <w:r>
      <w:t>杭州市</w:t>
    </w:r>
    <w:r>
      <w:rPr>
        <w:rFonts w:hint="eastAsia"/>
        <w:lang w:eastAsia="zh-CN"/>
      </w:rPr>
      <w:t>临平区</w:t>
    </w:r>
    <w:r>
      <w:t>政府采购公开招标文件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857491049">
    <w:nsid w:val="E5ECA469"/>
    <w:multiLevelType w:val="singleLevel"/>
    <w:tmpl w:val="E5ECA469"/>
    <w:lvl w:ilvl="0" w:tentative="1">
      <w:start w:val="2"/>
      <w:numFmt w:val="decimal"/>
      <w:suff w:val="nothing"/>
      <w:lvlText w:val="%1、"/>
      <w:lvlJc w:val="left"/>
      <w:pPr>
        <w:ind w:left="480" w:firstLine="0"/>
      </w:pPr>
    </w:lvl>
  </w:abstractNum>
  <w:abstractNum w:abstractNumId="2012964163">
    <w:nsid w:val="77FB6543"/>
    <w:multiLevelType w:val="singleLevel"/>
    <w:tmpl w:val="77FB6543"/>
    <w:lvl w:ilvl="0" w:tentative="1">
      <w:start w:val="1"/>
      <w:numFmt w:val="decimal"/>
      <w:suff w:val="nothing"/>
      <w:lvlText w:val="（%1）"/>
      <w:lvlJc w:val="left"/>
    </w:lvl>
  </w:abstractNum>
  <w:abstractNum w:abstractNumId="1624324212">
    <w:nsid w:val="60D13874"/>
    <w:multiLevelType w:val="singleLevel"/>
    <w:tmpl w:val="60D13874"/>
    <w:lvl w:ilvl="0" w:tentative="1">
      <w:start w:val="8"/>
      <w:numFmt w:val="chineseCounting"/>
      <w:suff w:val="nothing"/>
      <w:lvlText w:val="%1、"/>
      <w:lvlJc w:val="left"/>
    </w:lvl>
  </w:abstractNum>
  <w:num w:numId="1">
    <w:abstractNumId w:val="3857491049"/>
  </w:num>
  <w:num w:numId="2">
    <w:abstractNumId w:val="1624324212"/>
  </w:num>
  <w:num w:numId="3">
    <w:abstractNumId w:val="20129641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OTBhYTM2YjkyYzYzYjgxYzliZjY0ZjJlNWM1MzEzMWEifQ=="/>
  </w:docVars>
  <w:rsids>
    <w:rsidRoot w:val="00172A27"/>
    <w:rsid w:val="00000451"/>
    <w:rsid w:val="0000108B"/>
    <w:rsid w:val="0000133D"/>
    <w:rsid w:val="00001509"/>
    <w:rsid w:val="000032B2"/>
    <w:rsid w:val="0000363B"/>
    <w:rsid w:val="000058BD"/>
    <w:rsid w:val="00006109"/>
    <w:rsid w:val="00006150"/>
    <w:rsid w:val="000063E8"/>
    <w:rsid w:val="00006725"/>
    <w:rsid w:val="0000675E"/>
    <w:rsid w:val="00007CAA"/>
    <w:rsid w:val="00010FE9"/>
    <w:rsid w:val="0001122F"/>
    <w:rsid w:val="00011A4B"/>
    <w:rsid w:val="00012251"/>
    <w:rsid w:val="0001337C"/>
    <w:rsid w:val="000138C4"/>
    <w:rsid w:val="00013C1F"/>
    <w:rsid w:val="00013F31"/>
    <w:rsid w:val="000140D8"/>
    <w:rsid w:val="00014530"/>
    <w:rsid w:val="00014BBC"/>
    <w:rsid w:val="000150EE"/>
    <w:rsid w:val="000168D8"/>
    <w:rsid w:val="000170C8"/>
    <w:rsid w:val="000173F4"/>
    <w:rsid w:val="00020287"/>
    <w:rsid w:val="000202A2"/>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EAC"/>
    <w:rsid w:val="000270F2"/>
    <w:rsid w:val="00027540"/>
    <w:rsid w:val="00030572"/>
    <w:rsid w:val="00030A97"/>
    <w:rsid w:val="00030CB3"/>
    <w:rsid w:val="0003190A"/>
    <w:rsid w:val="0003206A"/>
    <w:rsid w:val="000326A7"/>
    <w:rsid w:val="00032EA0"/>
    <w:rsid w:val="000331B0"/>
    <w:rsid w:val="0003353E"/>
    <w:rsid w:val="000336D4"/>
    <w:rsid w:val="00034FA7"/>
    <w:rsid w:val="0003533D"/>
    <w:rsid w:val="000357E4"/>
    <w:rsid w:val="00035ACA"/>
    <w:rsid w:val="00036C29"/>
    <w:rsid w:val="00037B93"/>
    <w:rsid w:val="00040447"/>
    <w:rsid w:val="00040494"/>
    <w:rsid w:val="00040B70"/>
    <w:rsid w:val="00042441"/>
    <w:rsid w:val="00042533"/>
    <w:rsid w:val="00042DBB"/>
    <w:rsid w:val="00042E65"/>
    <w:rsid w:val="0004347C"/>
    <w:rsid w:val="00043907"/>
    <w:rsid w:val="00044F48"/>
    <w:rsid w:val="00047354"/>
    <w:rsid w:val="0005041A"/>
    <w:rsid w:val="00050656"/>
    <w:rsid w:val="00050A19"/>
    <w:rsid w:val="000511B6"/>
    <w:rsid w:val="00051B00"/>
    <w:rsid w:val="00051C2A"/>
    <w:rsid w:val="00051C72"/>
    <w:rsid w:val="00052192"/>
    <w:rsid w:val="0005238F"/>
    <w:rsid w:val="00052787"/>
    <w:rsid w:val="00052BB8"/>
    <w:rsid w:val="00052F10"/>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1A3C"/>
    <w:rsid w:val="00061C48"/>
    <w:rsid w:val="00064278"/>
    <w:rsid w:val="000646CA"/>
    <w:rsid w:val="000665C4"/>
    <w:rsid w:val="000667C0"/>
    <w:rsid w:val="00067821"/>
    <w:rsid w:val="0006785E"/>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3E07"/>
    <w:rsid w:val="00084D27"/>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3DB"/>
    <w:rsid w:val="00092467"/>
    <w:rsid w:val="00092FE9"/>
    <w:rsid w:val="00093626"/>
    <w:rsid w:val="000936BF"/>
    <w:rsid w:val="0009382F"/>
    <w:rsid w:val="00093A30"/>
    <w:rsid w:val="00094342"/>
    <w:rsid w:val="000945BA"/>
    <w:rsid w:val="00095954"/>
    <w:rsid w:val="000960BA"/>
    <w:rsid w:val="0009662A"/>
    <w:rsid w:val="0009690D"/>
    <w:rsid w:val="00096DFF"/>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268D"/>
    <w:rsid w:val="000B291B"/>
    <w:rsid w:val="000B41D6"/>
    <w:rsid w:val="000B456C"/>
    <w:rsid w:val="000B45B9"/>
    <w:rsid w:val="000B47CE"/>
    <w:rsid w:val="000B4B56"/>
    <w:rsid w:val="000B4C62"/>
    <w:rsid w:val="000B541D"/>
    <w:rsid w:val="000B54C1"/>
    <w:rsid w:val="000B5553"/>
    <w:rsid w:val="000B5FE8"/>
    <w:rsid w:val="000B666E"/>
    <w:rsid w:val="000C0A43"/>
    <w:rsid w:val="000C0CB1"/>
    <w:rsid w:val="000C1411"/>
    <w:rsid w:val="000C1A69"/>
    <w:rsid w:val="000C1ADE"/>
    <w:rsid w:val="000C1C38"/>
    <w:rsid w:val="000C21DC"/>
    <w:rsid w:val="000C2264"/>
    <w:rsid w:val="000C256B"/>
    <w:rsid w:val="000C3970"/>
    <w:rsid w:val="000C3B1A"/>
    <w:rsid w:val="000C4727"/>
    <w:rsid w:val="000C47AE"/>
    <w:rsid w:val="000C4A76"/>
    <w:rsid w:val="000C51AD"/>
    <w:rsid w:val="000C5374"/>
    <w:rsid w:val="000C5EC0"/>
    <w:rsid w:val="000C6162"/>
    <w:rsid w:val="000C64CC"/>
    <w:rsid w:val="000C6688"/>
    <w:rsid w:val="000C692E"/>
    <w:rsid w:val="000C6B28"/>
    <w:rsid w:val="000C725C"/>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4051"/>
    <w:rsid w:val="000E4139"/>
    <w:rsid w:val="000E4765"/>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77"/>
    <w:rsid w:val="000F5DDB"/>
    <w:rsid w:val="000F628E"/>
    <w:rsid w:val="000F68A0"/>
    <w:rsid w:val="000F6CC2"/>
    <w:rsid w:val="000F729C"/>
    <w:rsid w:val="000F7D4B"/>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1C7D"/>
    <w:rsid w:val="00112038"/>
    <w:rsid w:val="001127FF"/>
    <w:rsid w:val="00112B0B"/>
    <w:rsid w:val="00112EB5"/>
    <w:rsid w:val="0011382C"/>
    <w:rsid w:val="0011383E"/>
    <w:rsid w:val="00113EE3"/>
    <w:rsid w:val="00114847"/>
    <w:rsid w:val="0011585B"/>
    <w:rsid w:val="00115B1A"/>
    <w:rsid w:val="001160FF"/>
    <w:rsid w:val="001164F4"/>
    <w:rsid w:val="001168F8"/>
    <w:rsid w:val="001176FF"/>
    <w:rsid w:val="0012153F"/>
    <w:rsid w:val="0012159D"/>
    <w:rsid w:val="00121804"/>
    <w:rsid w:val="00121EC9"/>
    <w:rsid w:val="0012208F"/>
    <w:rsid w:val="001224FE"/>
    <w:rsid w:val="001231D3"/>
    <w:rsid w:val="001232A7"/>
    <w:rsid w:val="00123F7C"/>
    <w:rsid w:val="0012419E"/>
    <w:rsid w:val="0012432A"/>
    <w:rsid w:val="001248EF"/>
    <w:rsid w:val="00124AC0"/>
    <w:rsid w:val="00124FC4"/>
    <w:rsid w:val="001253AB"/>
    <w:rsid w:val="0012574C"/>
    <w:rsid w:val="001259B8"/>
    <w:rsid w:val="001264B9"/>
    <w:rsid w:val="00126900"/>
    <w:rsid w:val="0012693E"/>
    <w:rsid w:val="00126A3A"/>
    <w:rsid w:val="00127060"/>
    <w:rsid w:val="0012716F"/>
    <w:rsid w:val="00127B83"/>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575"/>
    <w:rsid w:val="00140693"/>
    <w:rsid w:val="00140D7A"/>
    <w:rsid w:val="00141D28"/>
    <w:rsid w:val="00141DFE"/>
    <w:rsid w:val="00142185"/>
    <w:rsid w:val="001422E2"/>
    <w:rsid w:val="001433BC"/>
    <w:rsid w:val="00143872"/>
    <w:rsid w:val="00143A85"/>
    <w:rsid w:val="00144649"/>
    <w:rsid w:val="00145022"/>
    <w:rsid w:val="00145662"/>
    <w:rsid w:val="00145C6D"/>
    <w:rsid w:val="001460FC"/>
    <w:rsid w:val="00146151"/>
    <w:rsid w:val="00146326"/>
    <w:rsid w:val="00147032"/>
    <w:rsid w:val="00147EA7"/>
    <w:rsid w:val="00151820"/>
    <w:rsid w:val="00151B2F"/>
    <w:rsid w:val="001524DC"/>
    <w:rsid w:val="001525E5"/>
    <w:rsid w:val="00153859"/>
    <w:rsid w:val="00153915"/>
    <w:rsid w:val="001539F0"/>
    <w:rsid w:val="00154BBA"/>
    <w:rsid w:val="00155B95"/>
    <w:rsid w:val="00156853"/>
    <w:rsid w:val="00157432"/>
    <w:rsid w:val="00161185"/>
    <w:rsid w:val="00161452"/>
    <w:rsid w:val="001620BA"/>
    <w:rsid w:val="001623AC"/>
    <w:rsid w:val="00162BAA"/>
    <w:rsid w:val="00163C40"/>
    <w:rsid w:val="0016488B"/>
    <w:rsid w:val="00165758"/>
    <w:rsid w:val="00165A65"/>
    <w:rsid w:val="00166317"/>
    <w:rsid w:val="00167055"/>
    <w:rsid w:val="00167478"/>
    <w:rsid w:val="00167594"/>
    <w:rsid w:val="001702BE"/>
    <w:rsid w:val="001704B3"/>
    <w:rsid w:val="0017059C"/>
    <w:rsid w:val="0017105C"/>
    <w:rsid w:val="001715AF"/>
    <w:rsid w:val="00171622"/>
    <w:rsid w:val="001716BB"/>
    <w:rsid w:val="00171785"/>
    <w:rsid w:val="00171AB5"/>
    <w:rsid w:val="0017204F"/>
    <w:rsid w:val="001721CF"/>
    <w:rsid w:val="001728FD"/>
    <w:rsid w:val="00172A27"/>
    <w:rsid w:val="00172F02"/>
    <w:rsid w:val="00172F2D"/>
    <w:rsid w:val="00173631"/>
    <w:rsid w:val="0017372D"/>
    <w:rsid w:val="00173826"/>
    <w:rsid w:val="00173C58"/>
    <w:rsid w:val="00173E59"/>
    <w:rsid w:val="001741DC"/>
    <w:rsid w:val="00174C4F"/>
    <w:rsid w:val="00174F57"/>
    <w:rsid w:val="00175078"/>
    <w:rsid w:val="001755DC"/>
    <w:rsid w:val="001763D8"/>
    <w:rsid w:val="00176AA6"/>
    <w:rsid w:val="00177063"/>
    <w:rsid w:val="00180A47"/>
    <w:rsid w:val="001827B7"/>
    <w:rsid w:val="001827EF"/>
    <w:rsid w:val="00182982"/>
    <w:rsid w:val="001829BC"/>
    <w:rsid w:val="00182D68"/>
    <w:rsid w:val="00183031"/>
    <w:rsid w:val="00183468"/>
    <w:rsid w:val="0018397E"/>
    <w:rsid w:val="00184466"/>
    <w:rsid w:val="00184DBF"/>
    <w:rsid w:val="001852A8"/>
    <w:rsid w:val="001856EF"/>
    <w:rsid w:val="0018620A"/>
    <w:rsid w:val="00186EB0"/>
    <w:rsid w:val="00187121"/>
    <w:rsid w:val="00187243"/>
    <w:rsid w:val="00187C29"/>
    <w:rsid w:val="00190782"/>
    <w:rsid w:val="00190942"/>
    <w:rsid w:val="001909A7"/>
    <w:rsid w:val="001909C3"/>
    <w:rsid w:val="00191459"/>
    <w:rsid w:val="00191603"/>
    <w:rsid w:val="0019173E"/>
    <w:rsid w:val="0019174E"/>
    <w:rsid w:val="0019196B"/>
    <w:rsid w:val="001923D5"/>
    <w:rsid w:val="00192991"/>
    <w:rsid w:val="00193470"/>
    <w:rsid w:val="00193B94"/>
    <w:rsid w:val="001940A7"/>
    <w:rsid w:val="00194BB1"/>
    <w:rsid w:val="00194BC6"/>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F0E"/>
    <w:rsid w:val="001A3335"/>
    <w:rsid w:val="001A473A"/>
    <w:rsid w:val="001A4977"/>
    <w:rsid w:val="001A4ED9"/>
    <w:rsid w:val="001A5785"/>
    <w:rsid w:val="001A5FD7"/>
    <w:rsid w:val="001A66A6"/>
    <w:rsid w:val="001A6BAF"/>
    <w:rsid w:val="001A6BBB"/>
    <w:rsid w:val="001A706A"/>
    <w:rsid w:val="001A79A2"/>
    <w:rsid w:val="001A7FA5"/>
    <w:rsid w:val="001B06A6"/>
    <w:rsid w:val="001B13BF"/>
    <w:rsid w:val="001B15B9"/>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787"/>
    <w:rsid w:val="001C1F01"/>
    <w:rsid w:val="001C2092"/>
    <w:rsid w:val="001C232F"/>
    <w:rsid w:val="001C2544"/>
    <w:rsid w:val="001C2A17"/>
    <w:rsid w:val="001C31F5"/>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E17E3"/>
    <w:rsid w:val="001E2052"/>
    <w:rsid w:val="001E2492"/>
    <w:rsid w:val="001E257C"/>
    <w:rsid w:val="001E286C"/>
    <w:rsid w:val="001E2F34"/>
    <w:rsid w:val="001E35EE"/>
    <w:rsid w:val="001E4B2C"/>
    <w:rsid w:val="001E507F"/>
    <w:rsid w:val="001E56C2"/>
    <w:rsid w:val="001E59FB"/>
    <w:rsid w:val="001E7F81"/>
    <w:rsid w:val="001F0FD1"/>
    <w:rsid w:val="001F1526"/>
    <w:rsid w:val="001F19D1"/>
    <w:rsid w:val="001F1CB9"/>
    <w:rsid w:val="001F1F18"/>
    <w:rsid w:val="001F2F92"/>
    <w:rsid w:val="001F41F3"/>
    <w:rsid w:val="001F5DA1"/>
    <w:rsid w:val="001F612E"/>
    <w:rsid w:val="001F6A92"/>
    <w:rsid w:val="001F77E8"/>
    <w:rsid w:val="0020022C"/>
    <w:rsid w:val="00201A0C"/>
    <w:rsid w:val="00201B0F"/>
    <w:rsid w:val="0020255A"/>
    <w:rsid w:val="00202800"/>
    <w:rsid w:val="00202D33"/>
    <w:rsid w:val="00202E58"/>
    <w:rsid w:val="00202F99"/>
    <w:rsid w:val="00203C85"/>
    <w:rsid w:val="0020449A"/>
    <w:rsid w:val="00204E9B"/>
    <w:rsid w:val="00205298"/>
    <w:rsid w:val="002055C0"/>
    <w:rsid w:val="0020569E"/>
    <w:rsid w:val="00206698"/>
    <w:rsid w:val="00206736"/>
    <w:rsid w:val="00206C88"/>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274"/>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1D18"/>
    <w:rsid w:val="00232555"/>
    <w:rsid w:val="00233538"/>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878"/>
    <w:rsid w:val="00242F79"/>
    <w:rsid w:val="0024415B"/>
    <w:rsid w:val="00244968"/>
    <w:rsid w:val="00245565"/>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212A"/>
    <w:rsid w:val="002621D7"/>
    <w:rsid w:val="00262996"/>
    <w:rsid w:val="00263044"/>
    <w:rsid w:val="00263759"/>
    <w:rsid w:val="002638BD"/>
    <w:rsid w:val="0026470B"/>
    <w:rsid w:val="0026486D"/>
    <w:rsid w:val="00264C4B"/>
    <w:rsid w:val="00264ED0"/>
    <w:rsid w:val="00265346"/>
    <w:rsid w:val="00266045"/>
    <w:rsid w:val="002660C3"/>
    <w:rsid w:val="00266C21"/>
    <w:rsid w:val="00266DE1"/>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51CA"/>
    <w:rsid w:val="0027544D"/>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67C6"/>
    <w:rsid w:val="0028744E"/>
    <w:rsid w:val="002876D2"/>
    <w:rsid w:val="00287936"/>
    <w:rsid w:val="00287BB7"/>
    <w:rsid w:val="002903C5"/>
    <w:rsid w:val="0029041B"/>
    <w:rsid w:val="00290A99"/>
    <w:rsid w:val="00290EAF"/>
    <w:rsid w:val="0029159A"/>
    <w:rsid w:val="00291CF1"/>
    <w:rsid w:val="00292AA1"/>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2001"/>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71DF"/>
    <w:rsid w:val="002A7748"/>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635"/>
    <w:rsid w:val="002C3890"/>
    <w:rsid w:val="002C3AD9"/>
    <w:rsid w:val="002C4286"/>
    <w:rsid w:val="002C43FC"/>
    <w:rsid w:val="002C45C3"/>
    <w:rsid w:val="002C483B"/>
    <w:rsid w:val="002C4DFE"/>
    <w:rsid w:val="002C519E"/>
    <w:rsid w:val="002C5D5E"/>
    <w:rsid w:val="002C6116"/>
    <w:rsid w:val="002C643D"/>
    <w:rsid w:val="002C645F"/>
    <w:rsid w:val="002C66B8"/>
    <w:rsid w:val="002C70E7"/>
    <w:rsid w:val="002D0C27"/>
    <w:rsid w:val="002D0E88"/>
    <w:rsid w:val="002D0EA7"/>
    <w:rsid w:val="002D0F31"/>
    <w:rsid w:val="002D1593"/>
    <w:rsid w:val="002D1A1E"/>
    <w:rsid w:val="002D22A6"/>
    <w:rsid w:val="002D26AF"/>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7C5"/>
    <w:rsid w:val="002E3956"/>
    <w:rsid w:val="002E3C08"/>
    <w:rsid w:val="002E3CF2"/>
    <w:rsid w:val="002E469E"/>
    <w:rsid w:val="002E4C01"/>
    <w:rsid w:val="002E4D50"/>
    <w:rsid w:val="002E4D8D"/>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18A6"/>
    <w:rsid w:val="003025FE"/>
    <w:rsid w:val="00302A27"/>
    <w:rsid w:val="00303AB6"/>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18C"/>
    <w:rsid w:val="00313C9D"/>
    <w:rsid w:val="0031430C"/>
    <w:rsid w:val="00314919"/>
    <w:rsid w:val="00314C5A"/>
    <w:rsid w:val="0031531A"/>
    <w:rsid w:val="00315394"/>
    <w:rsid w:val="003154E2"/>
    <w:rsid w:val="00315D77"/>
    <w:rsid w:val="00315D8E"/>
    <w:rsid w:val="00316002"/>
    <w:rsid w:val="00316CDE"/>
    <w:rsid w:val="00316E94"/>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3337"/>
    <w:rsid w:val="00333A28"/>
    <w:rsid w:val="00333B6C"/>
    <w:rsid w:val="00334927"/>
    <w:rsid w:val="003360AD"/>
    <w:rsid w:val="0033631D"/>
    <w:rsid w:val="003369C7"/>
    <w:rsid w:val="003373A6"/>
    <w:rsid w:val="00337409"/>
    <w:rsid w:val="00337E18"/>
    <w:rsid w:val="003405AF"/>
    <w:rsid w:val="0034088F"/>
    <w:rsid w:val="00340B3E"/>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455F"/>
    <w:rsid w:val="00355D75"/>
    <w:rsid w:val="00355D8F"/>
    <w:rsid w:val="00356A73"/>
    <w:rsid w:val="00356FF0"/>
    <w:rsid w:val="003577EF"/>
    <w:rsid w:val="00357A3A"/>
    <w:rsid w:val="00357A60"/>
    <w:rsid w:val="00360304"/>
    <w:rsid w:val="00360A78"/>
    <w:rsid w:val="00361750"/>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71A1"/>
    <w:rsid w:val="003A0F6B"/>
    <w:rsid w:val="003A12B6"/>
    <w:rsid w:val="003A1804"/>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A6B"/>
    <w:rsid w:val="003B0D79"/>
    <w:rsid w:val="003B2930"/>
    <w:rsid w:val="003B31A7"/>
    <w:rsid w:val="003B4587"/>
    <w:rsid w:val="003B4B51"/>
    <w:rsid w:val="003B4FE1"/>
    <w:rsid w:val="003B514E"/>
    <w:rsid w:val="003B5531"/>
    <w:rsid w:val="003B636A"/>
    <w:rsid w:val="003B69CE"/>
    <w:rsid w:val="003B7403"/>
    <w:rsid w:val="003C011C"/>
    <w:rsid w:val="003C0E32"/>
    <w:rsid w:val="003C11D7"/>
    <w:rsid w:val="003C16CB"/>
    <w:rsid w:val="003C1B97"/>
    <w:rsid w:val="003C247B"/>
    <w:rsid w:val="003C3292"/>
    <w:rsid w:val="003C3C1E"/>
    <w:rsid w:val="003C3D88"/>
    <w:rsid w:val="003C4134"/>
    <w:rsid w:val="003C435B"/>
    <w:rsid w:val="003C4EBE"/>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336A"/>
    <w:rsid w:val="003E3E2F"/>
    <w:rsid w:val="003E4048"/>
    <w:rsid w:val="003E4CE5"/>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CB4"/>
    <w:rsid w:val="00401386"/>
    <w:rsid w:val="004013E6"/>
    <w:rsid w:val="00401E31"/>
    <w:rsid w:val="00402BBA"/>
    <w:rsid w:val="004035D0"/>
    <w:rsid w:val="0040361D"/>
    <w:rsid w:val="00403795"/>
    <w:rsid w:val="004041FB"/>
    <w:rsid w:val="0040443E"/>
    <w:rsid w:val="004056B6"/>
    <w:rsid w:val="00405764"/>
    <w:rsid w:val="00406745"/>
    <w:rsid w:val="0040674B"/>
    <w:rsid w:val="00406B32"/>
    <w:rsid w:val="004074FA"/>
    <w:rsid w:val="00407A56"/>
    <w:rsid w:val="00407FCC"/>
    <w:rsid w:val="0041035A"/>
    <w:rsid w:val="00410E76"/>
    <w:rsid w:val="004112D1"/>
    <w:rsid w:val="004113C9"/>
    <w:rsid w:val="00411D1E"/>
    <w:rsid w:val="00411DF2"/>
    <w:rsid w:val="004120DF"/>
    <w:rsid w:val="004126B5"/>
    <w:rsid w:val="00413FEE"/>
    <w:rsid w:val="00414909"/>
    <w:rsid w:val="00415034"/>
    <w:rsid w:val="00415B1A"/>
    <w:rsid w:val="00415DFD"/>
    <w:rsid w:val="00416208"/>
    <w:rsid w:val="0041690F"/>
    <w:rsid w:val="004169D3"/>
    <w:rsid w:val="00416C2B"/>
    <w:rsid w:val="00416D41"/>
    <w:rsid w:val="00416E70"/>
    <w:rsid w:val="00417264"/>
    <w:rsid w:val="004210C0"/>
    <w:rsid w:val="004211DD"/>
    <w:rsid w:val="00421762"/>
    <w:rsid w:val="00421D4B"/>
    <w:rsid w:val="00421ED8"/>
    <w:rsid w:val="00422907"/>
    <w:rsid w:val="00423125"/>
    <w:rsid w:val="00423309"/>
    <w:rsid w:val="004233AD"/>
    <w:rsid w:val="00424446"/>
    <w:rsid w:val="00424867"/>
    <w:rsid w:val="00425341"/>
    <w:rsid w:val="004255FE"/>
    <w:rsid w:val="00425674"/>
    <w:rsid w:val="00425A82"/>
    <w:rsid w:val="00425C60"/>
    <w:rsid w:val="00426B2C"/>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439"/>
    <w:rsid w:val="004375E1"/>
    <w:rsid w:val="00437A2F"/>
    <w:rsid w:val="00440262"/>
    <w:rsid w:val="004406BF"/>
    <w:rsid w:val="00440814"/>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43AB"/>
    <w:rsid w:val="004545EC"/>
    <w:rsid w:val="00455967"/>
    <w:rsid w:val="00455F71"/>
    <w:rsid w:val="00456272"/>
    <w:rsid w:val="0045679C"/>
    <w:rsid w:val="004570EF"/>
    <w:rsid w:val="00457517"/>
    <w:rsid w:val="00457CF7"/>
    <w:rsid w:val="00457D37"/>
    <w:rsid w:val="00457D7B"/>
    <w:rsid w:val="0046028A"/>
    <w:rsid w:val="00460E3A"/>
    <w:rsid w:val="00460E68"/>
    <w:rsid w:val="004614BC"/>
    <w:rsid w:val="004619A5"/>
    <w:rsid w:val="00461F80"/>
    <w:rsid w:val="0046240D"/>
    <w:rsid w:val="00462898"/>
    <w:rsid w:val="00462D84"/>
    <w:rsid w:val="00463208"/>
    <w:rsid w:val="00463576"/>
    <w:rsid w:val="004636D6"/>
    <w:rsid w:val="0046399D"/>
    <w:rsid w:val="00463D23"/>
    <w:rsid w:val="00463EA4"/>
    <w:rsid w:val="00465A21"/>
    <w:rsid w:val="00465DE5"/>
    <w:rsid w:val="00466978"/>
    <w:rsid w:val="00466ABA"/>
    <w:rsid w:val="004672E3"/>
    <w:rsid w:val="0046775D"/>
    <w:rsid w:val="00467823"/>
    <w:rsid w:val="00467FA0"/>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3DD1"/>
    <w:rsid w:val="0047471E"/>
    <w:rsid w:val="004749DA"/>
    <w:rsid w:val="00474DEF"/>
    <w:rsid w:val="00475729"/>
    <w:rsid w:val="004758E7"/>
    <w:rsid w:val="00475BAB"/>
    <w:rsid w:val="004764C6"/>
    <w:rsid w:val="00476AC1"/>
    <w:rsid w:val="00476F97"/>
    <w:rsid w:val="00477247"/>
    <w:rsid w:val="004776BB"/>
    <w:rsid w:val="004776FB"/>
    <w:rsid w:val="0048055E"/>
    <w:rsid w:val="00480653"/>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4E90"/>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0D94"/>
    <w:rsid w:val="004C114F"/>
    <w:rsid w:val="004C11A9"/>
    <w:rsid w:val="004C27CF"/>
    <w:rsid w:val="004C2CA7"/>
    <w:rsid w:val="004C3592"/>
    <w:rsid w:val="004C45C8"/>
    <w:rsid w:val="004C4F8F"/>
    <w:rsid w:val="004C5F4B"/>
    <w:rsid w:val="004C612E"/>
    <w:rsid w:val="004C61B8"/>
    <w:rsid w:val="004C69FE"/>
    <w:rsid w:val="004C6C0A"/>
    <w:rsid w:val="004C6C6D"/>
    <w:rsid w:val="004C77FF"/>
    <w:rsid w:val="004C7A0B"/>
    <w:rsid w:val="004C7DB0"/>
    <w:rsid w:val="004C7FFC"/>
    <w:rsid w:val="004D0223"/>
    <w:rsid w:val="004D0809"/>
    <w:rsid w:val="004D0C4C"/>
    <w:rsid w:val="004D16A3"/>
    <w:rsid w:val="004D1934"/>
    <w:rsid w:val="004D1E41"/>
    <w:rsid w:val="004D2326"/>
    <w:rsid w:val="004D2E11"/>
    <w:rsid w:val="004D3108"/>
    <w:rsid w:val="004D329C"/>
    <w:rsid w:val="004D34D1"/>
    <w:rsid w:val="004D4523"/>
    <w:rsid w:val="004D4990"/>
    <w:rsid w:val="004D4B05"/>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289D"/>
    <w:rsid w:val="004E3117"/>
    <w:rsid w:val="004E3A2A"/>
    <w:rsid w:val="004E3AB1"/>
    <w:rsid w:val="004E4003"/>
    <w:rsid w:val="004E428D"/>
    <w:rsid w:val="004E4626"/>
    <w:rsid w:val="004E4984"/>
    <w:rsid w:val="004E5101"/>
    <w:rsid w:val="004E5380"/>
    <w:rsid w:val="004E6746"/>
    <w:rsid w:val="004E6CAC"/>
    <w:rsid w:val="004E6F69"/>
    <w:rsid w:val="004E75C1"/>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861"/>
    <w:rsid w:val="0050591C"/>
    <w:rsid w:val="005059BD"/>
    <w:rsid w:val="005060AE"/>
    <w:rsid w:val="0050790B"/>
    <w:rsid w:val="00507FDF"/>
    <w:rsid w:val="0051037C"/>
    <w:rsid w:val="0051050F"/>
    <w:rsid w:val="0051058B"/>
    <w:rsid w:val="00510DDC"/>
    <w:rsid w:val="00511166"/>
    <w:rsid w:val="00511A7A"/>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D47"/>
    <w:rsid w:val="00540EE7"/>
    <w:rsid w:val="00541A22"/>
    <w:rsid w:val="00541EAD"/>
    <w:rsid w:val="005424C2"/>
    <w:rsid w:val="005426B2"/>
    <w:rsid w:val="00543519"/>
    <w:rsid w:val="00543640"/>
    <w:rsid w:val="00544019"/>
    <w:rsid w:val="005444C6"/>
    <w:rsid w:val="00544BF9"/>
    <w:rsid w:val="00544F05"/>
    <w:rsid w:val="00544FCC"/>
    <w:rsid w:val="005454B8"/>
    <w:rsid w:val="00545ACB"/>
    <w:rsid w:val="00545DB9"/>
    <w:rsid w:val="005462ED"/>
    <w:rsid w:val="00546585"/>
    <w:rsid w:val="0054680A"/>
    <w:rsid w:val="00546BF8"/>
    <w:rsid w:val="00547BA2"/>
    <w:rsid w:val="00550AC5"/>
    <w:rsid w:val="00550B7E"/>
    <w:rsid w:val="00551052"/>
    <w:rsid w:val="005524ED"/>
    <w:rsid w:val="00553F0C"/>
    <w:rsid w:val="00553F91"/>
    <w:rsid w:val="00554007"/>
    <w:rsid w:val="00554C03"/>
    <w:rsid w:val="00554C58"/>
    <w:rsid w:val="00554D5D"/>
    <w:rsid w:val="005550F9"/>
    <w:rsid w:val="00556338"/>
    <w:rsid w:val="00556441"/>
    <w:rsid w:val="00557031"/>
    <w:rsid w:val="00557F87"/>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E7B"/>
    <w:rsid w:val="00574F36"/>
    <w:rsid w:val="00576B5C"/>
    <w:rsid w:val="005770CC"/>
    <w:rsid w:val="005802F9"/>
    <w:rsid w:val="005806D5"/>
    <w:rsid w:val="00580DFC"/>
    <w:rsid w:val="0058134C"/>
    <w:rsid w:val="005815CD"/>
    <w:rsid w:val="005827A7"/>
    <w:rsid w:val="00583D43"/>
    <w:rsid w:val="005846C3"/>
    <w:rsid w:val="00584F04"/>
    <w:rsid w:val="0058544C"/>
    <w:rsid w:val="00585623"/>
    <w:rsid w:val="005857F7"/>
    <w:rsid w:val="005865E9"/>
    <w:rsid w:val="005868FD"/>
    <w:rsid w:val="0058769F"/>
    <w:rsid w:val="00587D7B"/>
    <w:rsid w:val="005904DB"/>
    <w:rsid w:val="005905ED"/>
    <w:rsid w:val="00590D11"/>
    <w:rsid w:val="00591BA6"/>
    <w:rsid w:val="00592825"/>
    <w:rsid w:val="00594437"/>
    <w:rsid w:val="00594B70"/>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703"/>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B7840"/>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AAB"/>
    <w:rsid w:val="005C6D5D"/>
    <w:rsid w:val="005C6FD0"/>
    <w:rsid w:val="005D01C3"/>
    <w:rsid w:val="005D05FF"/>
    <w:rsid w:val="005D0FB4"/>
    <w:rsid w:val="005D1176"/>
    <w:rsid w:val="005D1747"/>
    <w:rsid w:val="005D266D"/>
    <w:rsid w:val="005D306D"/>
    <w:rsid w:val="005D3327"/>
    <w:rsid w:val="005D4854"/>
    <w:rsid w:val="005D5BCF"/>
    <w:rsid w:val="005D5CA3"/>
    <w:rsid w:val="005D65BF"/>
    <w:rsid w:val="005D6D84"/>
    <w:rsid w:val="005D70A1"/>
    <w:rsid w:val="005D79D1"/>
    <w:rsid w:val="005D79F2"/>
    <w:rsid w:val="005D7CB1"/>
    <w:rsid w:val="005D7F57"/>
    <w:rsid w:val="005E0067"/>
    <w:rsid w:val="005E0141"/>
    <w:rsid w:val="005E09CA"/>
    <w:rsid w:val="005E1AB4"/>
    <w:rsid w:val="005E1F81"/>
    <w:rsid w:val="005E255B"/>
    <w:rsid w:val="005E2CF7"/>
    <w:rsid w:val="005E37FD"/>
    <w:rsid w:val="005E4543"/>
    <w:rsid w:val="005E4A1C"/>
    <w:rsid w:val="005E56C9"/>
    <w:rsid w:val="005E5CF7"/>
    <w:rsid w:val="005E5FF0"/>
    <w:rsid w:val="005E642A"/>
    <w:rsid w:val="005E65A7"/>
    <w:rsid w:val="005E721E"/>
    <w:rsid w:val="005F0857"/>
    <w:rsid w:val="005F1470"/>
    <w:rsid w:val="005F15A9"/>
    <w:rsid w:val="005F2807"/>
    <w:rsid w:val="005F2CD5"/>
    <w:rsid w:val="005F3382"/>
    <w:rsid w:val="005F3720"/>
    <w:rsid w:val="005F4F0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32C"/>
    <w:rsid w:val="00602764"/>
    <w:rsid w:val="00602B29"/>
    <w:rsid w:val="00602DAD"/>
    <w:rsid w:val="00603373"/>
    <w:rsid w:val="006036D0"/>
    <w:rsid w:val="00603B1C"/>
    <w:rsid w:val="006042CD"/>
    <w:rsid w:val="00605217"/>
    <w:rsid w:val="006054A5"/>
    <w:rsid w:val="006059E4"/>
    <w:rsid w:val="00605D60"/>
    <w:rsid w:val="006062A0"/>
    <w:rsid w:val="00607015"/>
    <w:rsid w:val="0061098D"/>
    <w:rsid w:val="00610B78"/>
    <w:rsid w:val="006115EF"/>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12D3"/>
    <w:rsid w:val="00621639"/>
    <w:rsid w:val="00622B22"/>
    <w:rsid w:val="00622F67"/>
    <w:rsid w:val="00623571"/>
    <w:rsid w:val="00623A5E"/>
    <w:rsid w:val="00625008"/>
    <w:rsid w:val="0062548B"/>
    <w:rsid w:val="006257A3"/>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2CDB"/>
    <w:rsid w:val="00633769"/>
    <w:rsid w:val="00633FE3"/>
    <w:rsid w:val="00634276"/>
    <w:rsid w:val="00634570"/>
    <w:rsid w:val="0063487C"/>
    <w:rsid w:val="00635B73"/>
    <w:rsid w:val="00635BB7"/>
    <w:rsid w:val="00636CC7"/>
    <w:rsid w:val="00637F27"/>
    <w:rsid w:val="006405EC"/>
    <w:rsid w:val="00640A4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2CD"/>
    <w:rsid w:val="00647664"/>
    <w:rsid w:val="006506AA"/>
    <w:rsid w:val="00650D19"/>
    <w:rsid w:val="00652CF5"/>
    <w:rsid w:val="0065343E"/>
    <w:rsid w:val="00653446"/>
    <w:rsid w:val="00653672"/>
    <w:rsid w:val="006536BB"/>
    <w:rsid w:val="0065398F"/>
    <w:rsid w:val="00653C7C"/>
    <w:rsid w:val="00654252"/>
    <w:rsid w:val="006543B7"/>
    <w:rsid w:val="00654EA5"/>
    <w:rsid w:val="0065587E"/>
    <w:rsid w:val="006558CD"/>
    <w:rsid w:val="00655C26"/>
    <w:rsid w:val="0065637A"/>
    <w:rsid w:val="00656998"/>
    <w:rsid w:val="00656E4D"/>
    <w:rsid w:val="006576BA"/>
    <w:rsid w:val="006600BF"/>
    <w:rsid w:val="00660AF7"/>
    <w:rsid w:val="00660D3E"/>
    <w:rsid w:val="00661691"/>
    <w:rsid w:val="00662D3D"/>
    <w:rsid w:val="00662F1F"/>
    <w:rsid w:val="00663D15"/>
    <w:rsid w:val="00665030"/>
    <w:rsid w:val="00665670"/>
    <w:rsid w:val="006659EA"/>
    <w:rsid w:val="006661E8"/>
    <w:rsid w:val="00666424"/>
    <w:rsid w:val="0066676C"/>
    <w:rsid w:val="00666895"/>
    <w:rsid w:val="006673B9"/>
    <w:rsid w:val="0066790C"/>
    <w:rsid w:val="00667A67"/>
    <w:rsid w:val="00667FF0"/>
    <w:rsid w:val="00670C7C"/>
    <w:rsid w:val="00671480"/>
    <w:rsid w:val="006717E7"/>
    <w:rsid w:val="00671FD5"/>
    <w:rsid w:val="006720BC"/>
    <w:rsid w:val="00672906"/>
    <w:rsid w:val="00672C73"/>
    <w:rsid w:val="00673B64"/>
    <w:rsid w:val="006746F6"/>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3068"/>
    <w:rsid w:val="00683DAD"/>
    <w:rsid w:val="00683F81"/>
    <w:rsid w:val="00684592"/>
    <w:rsid w:val="00684963"/>
    <w:rsid w:val="00685033"/>
    <w:rsid w:val="0068517F"/>
    <w:rsid w:val="00685D65"/>
    <w:rsid w:val="00685FC8"/>
    <w:rsid w:val="00686E80"/>
    <w:rsid w:val="0068790B"/>
    <w:rsid w:val="00687AF2"/>
    <w:rsid w:val="006901AC"/>
    <w:rsid w:val="00690C8D"/>
    <w:rsid w:val="00691890"/>
    <w:rsid w:val="00691AAD"/>
    <w:rsid w:val="00691CD1"/>
    <w:rsid w:val="00691FF1"/>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F60"/>
    <w:rsid w:val="006B33DB"/>
    <w:rsid w:val="006B33DD"/>
    <w:rsid w:val="006B3669"/>
    <w:rsid w:val="006B36E5"/>
    <w:rsid w:val="006B3D00"/>
    <w:rsid w:val="006B4CF8"/>
    <w:rsid w:val="006B506B"/>
    <w:rsid w:val="006B54E8"/>
    <w:rsid w:val="006B5FBC"/>
    <w:rsid w:val="006B6ED2"/>
    <w:rsid w:val="006B79A8"/>
    <w:rsid w:val="006B7F74"/>
    <w:rsid w:val="006C0230"/>
    <w:rsid w:val="006C05BE"/>
    <w:rsid w:val="006C05C7"/>
    <w:rsid w:val="006C25AB"/>
    <w:rsid w:val="006C2DA6"/>
    <w:rsid w:val="006C3581"/>
    <w:rsid w:val="006C39A0"/>
    <w:rsid w:val="006C3EFE"/>
    <w:rsid w:val="006C46C7"/>
    <w:rsid w:val="006C4767"/>
    <w:rsid w:val="006C4A1A"/>
    <w:rsid w:val="006C4D02"/>
    <w:rsid w:val="006C53A4"/>
    <w:rsid w:val="006C54DF"/>
    <w:rsid w:val="006C5D5D"/>
    <w:rsid w:val="006C627E"/>
    <w:rsid w:val="006C6303"/>
    <w:rsid w:val="006C6A51"/>
    <w:rsid w:val="006C6EBD"/>
    <w:rsid w:val="006C7E04"/>
    <w:rsid w:val="006C7F79"/>
    <w:rsid w:val="006D0004"/>
    <w:rsid w:val="006D015F"/>
    <w:rsid w:val="006D060E"/>
    <w:rsid w:val="006D0681"/>
    <w:rsid w:val="006D0A80"/>
    <w:rsid w:val="006D0AE8"/>
    <w:rsid w:val="006D135C"/>
    <w:rsid w:val="006D2F72"/>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6A5"/>
    <w:rsid w:val="006F41F4"/>
    <w:rsid w:val="006F4576"/>
    <w:rsid w:val="006F5813"/>
    <w:rsid w:val="006F59A8"/>
    <w:rsid w:val="006F5A1D"/>
    <w:rsid w:val="006F71A6"/>
    <w:rsid w:val="006F7974"/>
    <w:rsid w:val="006F7C2C"/>
    <w:rsid w:val="006F7FD5"/>
    <w:rsid w:val="00700405"/>
    <w:rsid w:val="00700D18"/>
    <w:rsid w:val="00700FEA"/>
    <w:rsid w:val="0070168D"/>
    <w:rsid w:val="00701C36"/>
    <w:rsid w:val="00702F2D"/>
    <w:rsid w:val="0070353F"/>
    <w:rsid w:val="00703ABE"/>
    <w:rsid w:val="0070415E"/>
    <w:rsid w:val="00704631"/>
    <w:rsid w:val="00704B79"/>
    <w:rsid w:val="00704E7D"/>
    <w:rsid w:val="00705060"/>
    <w:rsid w:val="00705351"/>
    <w:rsid w:val="00705619"/>
    <w:rsid w:val="00705E93"/>
    <w:rsid w:val="007062AF"/>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0F1"/>
    <w:rsid w:val="00716C67"/>
    <w:rsid w:val="007170AB"/>
    <w:rsid w:val="0071779C"/>
    <w:rsid w:val="00717808"/>
    <w:rsid w:val="007208A7"/>
    <w:rsid w:val="00720B3D"/>
    <w:rsid w:val="00720B6A"/>
    <w:rsid w:val="007210F6"/>
    <w:rsid w:val="0072129A"/>
    <w:rsid w:val="0072139F"/>
    <w:rsid w:val="0072198A"/>
    <w:rsid w:val="00721AD9"/>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3EE"/>
    <w:rsid w:val="00733772"/>
    <w:rsid w:val="00733A43"/>
    <w:rsid w:val="00733AE4"/>
    <w:rsid w:val="00733D5F"/>
    <w:rsid w:val="00734932"/>
    <w:rsid w:val="00734AF7"/>
    <w:rsid w:val="00735D53"/>
    <w:rsid w:val="0073618A"/>
    <w:rsid w:val="007364A3"/>
    <w:rsid w:val="00736740"/>
    <w:rsid w:val="007378FD"/>
    <w:rsid w:val="007403FE"/>
    <w:rsid w:val="007413EB"/>
    <w:rsid w:val="007413FB"/>
    <w:rsid w:val="00742D32"/>
    <w:rsid w:val="00742E9B"/>
    <w:rsid w:val="007444E6"/>
    <w:rsid w:val="0074592C"/>
    <w:rsid w:val="00745C91"/>
    <w:rsid w:val="00746098"/>
    <w:rsid w:val="00746D58"/>
    <w:rsid w:val="00747578"/>
    <w:rsid w:val="00750ACA"/>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6FC"/>
    <w:rsid w:val="00760A5A"/>
    <w:rsid w:val="00760D96"/>
    <w:rsid w:val="0076124A"/>
    <w:rsid w:val="0076161B"/>
    <w:rsid w:val="0076182A"/>
    <w:rsid w:val="00761950"/>
    <w:rsid w:val="00761CB5"/>
    <w:rsid w:val="0076216B"/>
    <w:rsid w:val="00762948"/>
    <w:rsid w:val="00762A81"/>
    <w:rsid w:val="00763137"/>
    <w:rsid w:val="00763AED"/>
    <w:rsid w:val="00763F8B"/>
    <w:rsid w:val="007640F3"/>
    <w:rsid w:val="0076417E"/>
    <w:rsid w:val="0076497F"/>
    <w:rsid w:val="007660EC"/>
    <w:rsid w:val="007662C7"/>
    <w:rsid w:val="00766862"/>
    <w:rsid w:val="007675DD"/>
    <w:rsid w:val="007702BF"/>
    <w:rsid w:val="007705F0"/>
    <w:rsid w:val="00771CAC"/>
    <w:rsid w:val="00772036"/>
    <w:rsid w:val="00773098"/>
    <w:rsid w:val="007739A3"/>
    <w:rsid w:val="00773BD9"/>
    <w:rsid w:val="00773CB0"/>
    <w:rsid w:val="00773D71"/>
    <w:rsid w:val="00775526"/>
    <w:rsid w:val="00775651"/>
    <w:rsid w:val="00775F3F"/>
    <w:rsid w:val="0077710B"/>
    <w:rsid w:val="0077765A"/>
    <w:rsid w:val="007778AE"/>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87639"/>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0D9"/>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6E3"/>
    <w:rsid w:val="007B08E4"/>
    <w:rsid w:val="007B0D86"/>
    <w:rsid w:val="007B28C3"/>
    <w:rsid w:val="007B3A8E"/>
    <w:rsid w:val="007B3C9B"/>
    <w:rsid w:val="007B4271"/>
    <w:rsid w:val="007B497D"/>
    <w:rsid w:val="007B4EE9"/>
    <w:rsid w:val="007B5234"/>
    <w:rsid w:val="007B530C"/>
    <w:rsid w:val="007B54C7"/>
    <w:rsid w:val="007B5637"/>
    <w:rsid w:val="007B5DC5"/>
    <w:rsid w:val="007B5F32"/>
    <w:rsid w:val="007B63FC"/>
    <w:rsid w:val="007B6708"/>
    <w:rsid w:val="007B6C20"/>
    <w:rsid w:val="007B6E8D"/>
    <w:rsid w:val="007C029E"/>
    <w:rsid w:val="007C0636"/>
    <w:rsid w:val="007C10E4"/>
    <w:rsid w:val="007C17B4"/>
    <w:rsid w:val="007C20F8"/>
    <w:rsid w:val="007C21C5"/>
    <w:rsid w:val="007C2229"/>
    <w:rsid w:val="007C2313"/>
    <w:rsid w:val="007C2D47"/>
    <w:rsid w:val="007C3590"/>
    <w:rsid w:val="007C387A"/>
    <w:rsid w:val="007C3A0D"/>
    <w:rsid w:val="007C3EB0"/>
    <w:rsid w:val="007C43D6"/>
    <w:rsid w:val="007C47FF"/>
    <w:rsid w:val="007C5397"/>
    <w:rsid w:val="007C60A8"/>
    <w:rsid w:val="007C6158"/>
    <w:rsid w:val="007C660F"/>
    <w:rsid w:val="007C6664"/>
    <w:rsid w:val="007C66FF"/>
    <w:rsid w:val="007C69AE"/>
    <w:rsid w:val="007C6FE9"/>
    <w:rsid w:val="007C7688"/>
    <w:rsid w:val="007C76E3"/>
    <w:rsid w:val="007C76F3"/>
    <w:rsid w:val="007C7DD9"/>
    <w:rsid w:val="007D03BC"/>
    <w:rsid w:val="007D0418"/>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654"/>
    <w:rsid w:val="007E0A63"/>
    <w:rsid w:val="007E0C63"/>
    <w:rsid w:val="007E0E05"/>
    <w:rsid w:val="007E0F5D"/>
    <w:rsid w:val="007E23A1"/>
    <w:rsid w:val="007E259F"/>
    <w:rsid w:val="007E2887"/>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7A"/>
    <w:rsid w:val="007F30C6"/>
    <w:rsid w:val="007F38FD"/>
    <w:rsid w:val="007F3C18"/>
    <w:rsid w:val="007F4318"/>
    <w:rsid w:val="007F4709"/>
    <w:rsid w:val="007F47DA"/>
    <w:rsid w:val="007F4E52"/>
    <w:rsid w:val="007F4F84"/>
    <w:rsid w:val="007F5382"/>
    <w:rsid w:val="007F55A4"/>
    <w:rsid w:val="007F5D28"/>
    <w:rsid w:val="007F6260"/>
    <w:rsid w:val="007F6603"/>
    <w:rsid w:val="007F682B"/>
    <w:rsid w:val="007F78E8"/>
    <w:rsid w:val="007F79FA"/>
    <w:rsid w:val="007F7F8F"/>
    <w:rsid w:val="00800509"/>
    <w:rsid w:val="0080078E"/>
    <w:rsid w:val="00800B7F"/>
    <w:rsid w:val="008012B1"/>
    <w:rsid w:val="008019E5"/>
    <w:rsid w:val="00801D63"/>
    <w:rsid w:val="0080348B"/>
    <w:rsid w:val="00803D82"/>
    <w:rsid w:val="00803D98"/>
    <w:rsid w:val="008052CE"/>
    <w:rsid w:val="0080548A"/>
    <w:rsid w:val="008058D0"/>
    <w:rsid w:val="00806A4C"/>
    <w:rsid w:val="0080705B"/>
    <w:rsid w:val="0080723C"/>
    <w:rsid w:val="00807F71"/>
    <w:rsid w:val="0081000F"/>
    <w:rsid w:val="00812657"/>
    <w:rsid w:val="00812A1A"/>
    <w:rsid w:val="00812DFF"/>
    <w:rsid w:val="008135BD"/>
    <w:rsid w:val="0081362F"/>
    <w:rsid w:val="0081383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3819"/>
    <w:rsid w:val="00823C4B"/>
    <w:rsid w:val="0082427D"/>
    <w:rsid w:val="00825441"/>
    <w:rsid w:val="00826855"/>
    <w:rsid w:val="00830052"/>
    <w:rsid w:val="008300D0"/>
    <w:rsid w:val="008308D8"/>
    <w:rsid w:val="008320D2"/>
    <w:rsid w:val="008321CE"/>
    <w:rsid w:val="0083257C"/>
    <w:rsid w:val="0083261B"/>
    <w:rsid w:val="00832B44"/>
    <w:rsid w:val="00832EC9"/>
    <w:rsid w:val="00833307"/>
    <w:rsid w:val="00833583"/>
    <w:rsid w:val="00833B5B"/>
    <w:rsid w:val="00833E9A"/>
    <w:rsid w:val="00834FEF"/>
    <w:rsid w:val="00836323"/>
    <w:rsid w:val="008379FF"/>
    <w:rsid w:val="00837D3D"/>
    <w:rsid w:val="00837E9B"/>
    <w:rsid w:val="00840004"/>
    <w:rsid w:val="008404AA"/>
    <w:rsid w:val="008406D7"/>
    <w:rsid w:val="0084074F"/>
    <w:rsid w:val="008407BA"/>
    <w:rsid w:val="00840AA3"/>
    <w:rsid w:val="00840AAC"/>
    <w:rsid w:val="0084101C"/>
    <w:rsid w:val="0084181B"/>
    <w:rsid w:val="00841F29"/>
    <w:rsid w:val="008425CC"/>
    <w:rsid w:val="00842DC2"/>
    <w:rsid w:val="0084357B"/>
    <w:rsid w:val="00845B14"/>
    <w:rsid w:val="008465B4"/>
    <w:rsid w:val="00846D25"/>
    <w:rsid w:val="0084780A"/>
    <w:rsid w:val="00847B75"/>
    <w:rsid w:val="00850013"/>
    <w:rsid w:val="008500DD"/>
    <w:rsid w:val="00850A0A"/>
    <w:rsid w:val="00850A94"/>
    <w:rsid w:val="00851E96"/>
    <w:rsid w:val="00851F1C"/>
    <w:rsid w:val="00852FA5"/>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598A"/>
    <w:rsid w:val="00865C3D"/>
    <w:rsid w:val="00865F4C"/>
    <w:rsid w:val="00866453"/>
    <w:rsid w:val="0086707F"/>
    <w:rsid w:val="00867227"/>
    <w:rsid w:val="00867501"/>
    <w:rsid w:val="00867D8E"/>
    <w:rsid w:val="008700C0"/>
    <w:rsid w:val="0087058B"/>
    <w:rsid w:val="008705AA"/>
    <w:rsid w:val="0087099A"/>
    <w:rsid w:val="00870D79"/>
    <w:rsid w:val="00871333"/>
    <w:rsid w:val="00871952"/>
    <w:rsid w:val="00872006"/>
    <w:rsid w:val="00872386"/>
    <w:rsid w:val="008726D7"/>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6D7"/>
    <w:rsid w:val="00882991"/>
    <w:rsid w:val="00882EC1"/>
    <w:rsid w:val="00883236"/>
    <w:rsid w:val="0088324E"/>
    <w:rsid w:val="0088434F"/>
    <w:rsid w:val="00884371"/>
    <w:rsid w:val="008848E2"/>
    <w:rsid w:val="00884B7A"/>
    <w:rsid w:val="00884D47"/>
    <w:rsid w:val="008856C5"/>
    <w:rsid w:val="00886112"/>
    <w:rsid w:val="008872B3"/>
    <w:rsid w:val="00887392"/>
    <w:rsid w:val="00890A64"/>
    <w:rsid w:val="00890C40"/>
    <w:rsid w:val="0089122E"/>
    <w:rsid w:val="008912A7"/>
    <w:rsid w:val="0089183A"/>
    <w:rsid w:val="008920B4"/>
    <w:rsid w:val="008925EB"/>
    <w:rsid w:val="0089275E"/>
    <w:rsid w:val="00892B43"/>
    <w:rsid w:val="00893432"/>
    <w:rsid w:val="00893936"/>
    <w:rsid w:val="00893CE2"/>
    <w:rsid w:val="00893F41"/>
    <w:rsid w:val="00894775"/>
    <w:rsid w:val="00895144"/>
    <w:rsid w:val="00895963"/>
    <w:rsid w:val="008972B6"/>
    <w:rsid w:val="00897339"/>
    <w:rsid w:val="00897697"/>
    <w:rsid w:val="008977E1"/>
    <w:rsid w:val="00897BFA"/>
    <w:rsid w:val="00897D19"/>
    <w:rsid w:val="008A0044"/>
    <w:rsid w:val="008A0156"/>
    <w:rsid w:val="008A0BFE"/>
    <w:rsid w:val="008A1932"/>
    <w:rsid w:val="008A21D9"/>
    <w:rsid w:val="008A232D"/>
    <w:rsid w:val="008A3182"/>
    <w:rsid w:val="008A3C76"/>
    <w:rsid w:val="008A3D54"/>
    <w:rsid w:val="008A3E10"/>
    <w:rsid w:val="008A411C"/>
    <w:rsid w:val="008A4630"/>
    <w:rsid w:val="008A47CE"/>
    <w:rsid w:val="008A4DFA"/>
    <w:rsid w:val="008A5F2F"/>
    <w:rsid w:val="008A6BAE"/>
    <w:rsid w:val="008A7350"/>
    <w:rsid w:val="008A7A72"/>
    <w:rsid w:val="008B09F3"/>
    <w:rsid w:val="008B111A"/>
    <w:rsid w:val="008B16E6"/>
    <w:rsid w:val="008B1AB2"/>
    <w:rsid w:val="008B1D9B"/>
    <w:rsid w:val="008B2042"/>
    <w:rsid w:val="008B20FF"/>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1B6"/>
    <w:rsid w:val="008D1612"/>
    <w:rsid w:val="008D20CE"/>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7247"/>
    <w:rsid w:val="008D7567"/>
    <w:rsid w:val="008E0EE4"/>
    <w:rsid w:val="008E109B"/>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3FA1"/>
    <w:rsid w:val="0090408F"/>
    <w:rsid w:val="0090446A"/>
    <w:rsid w:val="00904537"/>
    <w:rsid w:val="00904DC3"/>
    <w:rsid w:val="0090534A"/>
    <w:rsid w:val="00905469"/>
    <w:rsid w:val="009054F4"/>
    <w:rsid w:val="00906078"/>
    <w:rsid w:val="0090629C"/>
    <w:rsid w:val="00906EA2"/>
    <w:rsid w:val="00907278"/>
    <w:rsid w:val="00910041"/>
    <w:rsid w:val="0091112B"/>
    <w:rsid w:val="00911D61"/>
    <w:rsid w:val="00912850"/>
    <w:rsid w:val="009128B8"/>
    <w:rsid w:val="0091472C"/>
    <w:rsid w:val="00914DC9"/>
    <w:rsid w:val="00914F4F"/>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94"/>
    <w:rsid w:val="00936EA5"/>
    <w:rsid w:val="00937114"/>
    <w:rsid w:val="0094015D"/>
    <w:rsid w:val="00940916"/>
    <w:rsid w:val="009412B7"/>
    <w:rsid w:val="00941B13"/>
    <w:rsid w:val="0094215C"/>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573"/>
    <w:rsid w:val="009537C0"/>
    <w:rsid w:val="009557A9"/>
    <w:rsid w:val="00956647"/>
    <w:rsid w:val="00956CF3"/>
    <w:rsid w:val="00957380"/>
    <w:rsid w:val="00957409"/>
    <w:rsid w:val="00957499"/>
    <w:rsid w:val="00957ED2"/>
    <w:rsid w:val="009604AE"/>
    <w:rsid w:val="009609AF"/>
    <w:rsid w:val="00960DE4"/>
    <w:rsid w:val="009610C7"/>
    <w:rsid w:val="00961164"/>
    <w:rsid w:val="009612A4"/>
    <w:rsid w:val="00961867"/>
    <w:rsid w:val="00961A4F"/>
    <w:rsid w:val="009625B7"/>
    <w:rsid w:val="00962FB8"/>
    <w:rsid w:val="00963183"/>
    <w:rsid w:val="0096373F"/>
    <w:rsid w:val="00964007"/>
    <w:rsid w:val="00964283"/>
    <w:rsid w:val="009642A4"/>
    <w:rsid w:val="009643F4"/>
    <w:rsid w:val="009645A6"/>
    <w:rsid w:val="00964F5A"/>
    <w:rsid w:val="0096527F"/>
    <w:rsid w:val="009653ED"/>
    <w:rsid w:val="00965B85"/>
    <w:rsid w:val="00966A21"/>
    <w:rsid w:val="00966AD2"/>
    <w:rsid w:val="0097025C"/>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77349"/>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2F7F"/>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239"/>
    <w:rsid w:val="009A1ECA"/>
    <w:rsid w:val="009A2BE9"/>
    <w:rsid w:val="009A2BF3"/>
    <w:rsid w:val="009A3688"/>
    <w:rsid w:val="009A3713"/>
    <w:rsid w:val="009A3C3E"/>
    <w:rsid w:val="009A4153"/>
    <w:rsid w:val="009A4C2C"/>
    <w:rsid w:val="009A59B3"/>
    <w:rsid w:val="009A5FAE"/>
    <w:rsid w:val="009A6B3A"/>
    <w:rsid w:val="009A70A3"/>
    <w:rsid w:val="009A73C5"/>
    <w:rsid w:val="009A7E7C"/>
    <w:rsid w:val="009B05D2"/>
    <w:rsid w:val="009B152B"/>
    <w:rsid w:val="009B2731"/>
    <w:rsid w:val="009B2DCF"/>
    <w:rsid w:val="009B39D8"/>
    <w:rsid w:val="009B3D38"/>
    <w:rsid w:val="009B4368"/>
    <w:rsid w:val="009B4D4C"/>
    <w:rsid w:val="009B66F5"/>
    <w:rsid w:val="009B7505"/>
    <w:rsid w:val="009C0020"/>
    <w:rsid w:val="009C03F7"/>
    <w:rsid w:val="009C10DA"/>
    <w:rsid w:val="009C19F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FB"/>
    <w:rsid w:val="009E7D6B"/>
    <w:rsid w:val="009E7E81"/>
    <w:rsid w:val="009F020A"/>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A000C5"/>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4AA"/>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1770E"/>
    <w:rsid w:val="00A21838"/>
    <w:rsid w:val="00A22C3E"/>
    <w:rsid w:val="00A22C4D"/>
    <w:rsid w:val="00A2334E"/>
    <w:rsid w:val="00A23442"/>
    <w:rsid w:val="00A249D2"/>
    <w:rsid w:val="00A254AB"/>
    <w:rsid w:val="00A259F2"/>
    <w:rsid w:val="00A266CC"/>
    <w:rsid w:val="00A26DB4"/>
    <w:rsid w:val="00A27425"/>
    <w:rsid w:val="00A27F0F"/>
    <w:rsid w:val="00A27FC4"/>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685"/>
    <w:rsid w:val="00A40E2F"/>
    <w:rsid w:val="00A41819"/>
    <w:rsid w:val="00A41C9A"/>
    <w:rsid w:val="00A41D73"/>
    <w:rsid w:val="00A42406"/>
    <w:rsid w:val="00A433E8"/>
    <w:rsid w:val="00A43A1D"/>
    <w:rsid w:val="00A43AB0"/>
    <w:rsid w:val="00A44854"/>
    <w:rsid w:val="00A44A45"/>
    <w:rsid w:val="00A4665D"/>
    <w:rsid w:val="00A46859"/>
    <w:rsid w:val="00A46D39"/>
    <w:rsid w:val="00A47019"/>
    <w:rsid w:val="00A472B8"/>
    <w:rsid w:val="00A47E11"/>
    <w:rsid w:val="00A47F4D"/>
    <w:rsid w:val="00A5004A"/>
    <w:rsid w:val="00A5013E"/>
    <w:rsid w:val="00A5017C"/>
    <w:rsid w:val="00A502D6"/>
    <w:rsid w:val="00A502F5"/>
    <w:rsid w:val="00A504F4"/>
    <w:rsid w:val="00A507C4"/>
    <w:rsid w:val="00A508AA"/>
    <w:rsid w:val="00A50EE7"/>
    <w:rsid w:val="00A51A6F"/>
    <w:rsid w:val="00A526CE"/>
    <w:rsid w:val="00A5468F"/>
    <w:rsid w:val="00A54909"/>
    <w:rsid w:val="00A54DC0"/>
    <w:rsid w:val="00A550C9"/>
    <w:rsid w:val="00A55228"/>
    <w:rsid w:val="00A55410"/>
    <w:rsid w:val="00A55A04"/>
    <w:rsid w:val="00A564DE"/>
    <w:rsid w:val="00A6054E"/>
    <w:rsid w:val="00A60799"/>
    <w:rsid w:val="00A6170B"/>
    <w:rsid w:val="00A61991"/>
    <w:rsid w:val="00A61B7F"/>
    <w:rsid w:val="00A61B91"/>
    <w:rsid w:val="00A61C3A"/>
    <w:rsid w:val="00A620E8"/>
    <w:rsid w:val="00A63335"/>
    <w:rsid w:val="00A634EB"/>
    <w:rsid w:val="00A635B2"/>
    <w:rsid w:val="00A63685"/>
    <w:rsid w:val="00A63EA5"/>
    <w:rsid w:val="00A64545"/>
    <w:rsid w:val="00A645AC"/>
    <w:rsid w:val="00A64C79"/>
    <w:rsid w:val="00A65EFB"/>
    <w:rsid w:val="00A66E28"/>
    <w:rsid w:val="00A67429"/>
    <w:rsid w:val="00A677E7"/>
    <w:rsid w:val="00A67CE9"/>
    <w:rsid w:val="00A70590"/>
    <w:rsid w:val="00A7062E"/>
    <w:rsid w:val="00A70834"/>
    <w:rsid w:val="00A71542"/>
    <w:rsid w:val="00A7171F"/>
    <w:rsid w:val="00A71FA0"/>
    <w:rsid w:val="00A71FBD"/>
    <w:rsid w:val="00A72727"/>
    <w:rsid w:val="00A727D8"/>
    <w:rsid w:val="00A72C1A"/>
    <w:rsid w:val="00A732FB"/>
    <w:rsid w:val="00A7463E"/>
    <w:rsid w:val="00A75185"/>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3F85"/>
    <w:rsid w:val="00A94423"/>
    <w:rsid w:val="00A94A32"/>
    <w:rsid w:val="00A94AFC"/>
    <w:rsid w:val="00A94BF5"/>
    <w:rsid w:val="00A94D97"/>
    <w:rsid w:val="00A9686A"/>
    <w:rsid w:val="00A96B4A"/>
    <w:rsid w:val="00A97BDA"/>
    <w:rsid w:val="00AA0118"/>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3CCB"/>
    <w:rsid w:val="00AA408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227A"/>
    <w:rsid w:val="00AB22BF"/>
    <w:rsid w:val="00AB256E"/>
    <w:rsid w:val="00AB3466"/>
    <w:rsid w:val="00AB38B2"/>
    <w:rsid w:val="00AB3BBB"/>
    <w:rsid w:val="00AB408C"/>
    <w:rsid w:val="00AB40DD"/>
    <w:rsid w:val="00AB43AF"/>
    <w:rsid w:val="00AB4E41"/>
    <w:rsid w:val="00AB5EB1"/>
    <w:rsid w:val="00AB6003"/>
    <w:rsid w:val="00AB759A"/>
    <w:rsid w:val="00AB7B06"/>
    <w:rsid w:val="00AB7EAA"/>
    <w:rsid w:val="00AC0432"/>
    <w:rsid w:val="00AC0770"/>
    <w:rsid w:val="00AC1683"/>
    <w:rsid w:val="00AC1D82"/>
    <w:rsid w:val="00AC2D5F"/>
    <w:rsid w:val="00AC4094"/>
    <w:rsid w:val="00AC42B6"/>
    <w:rsid w:val="00AC4AB7"/>
    <w:rsid w:val="00AC51E0"/>
    <w:rsid w:val="00AC55E0"/>
    <w:rsid w:val="00AC6D24"/>
    <w:rsid w:val="00AC6E18"/>
    <w:rsid w:val="00AC7F64"/>
    <w:rsid w:val="00AD1065"/>
    <w:rsid w:val="00AD159E"/>
    <w:rsid w:val="00AD2AB1"/>
    <w:rsid w:val="00AD3132"/>
    <w:rsid w:val="00AD3DA6"/>
    <w:rsid w:val="00AD3F3C"/>
    <w:rsid w:val="00AD447E"/>
    <w:rsid w:val="00AD4B2F"/>
    <w:rsid w:val="00AD5F0A"/>
    <w:rsid w:val="00AD6A5B"/>
    <w:rsid w:val="00AD6B4F"/>
    <w:rsid w:val="00AD6D19"/>
    <w:rsid w:val="00AD7812"/>
    <w:rsid w:val="00AD7C42"/>
    <w:rsid w:val="00AD7CFA"/>
    <w:rsid w:val="00AE06B0"/>
    <w:rsid w:val="00AE0BD6"/>
    <w:rsid w:val="00AE0E72"/>
    <w:rsid w:val="00AE11C1"/>
    <w:rsid w:val="00AE163D"/>
    <w:rsid w:val="00AE1A42"/>
    <w:rsid w:val="00AE1C5C"/>
    <w:rsid w:val="00AE315E"/>
    <w:rsid w:val="00AE319F"/>
    <w:rsid w:val="00AE31D9"/>
    <w:rsid w:val="00AE3CF0"/>
    <w:rsid w:val="00AE4546"/>
    <w:rsid w:val="00AE6575"/>
    <w:rsid w:val="00AE71EE"/>
    <w:rsid w:val="00AE7368"/>
    <w:rsid w:val="00AE7ADA"/>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107"/>
    <w:rsid w:val="00B05700"/>
    <w:rsid w:val="00B05BA6"/>
    <w:rsid w:val="00B066FE"/>
    <w:rsid w:val="00B06912"/>
    <w:rsid w:val="00B06CF6"/>
    <w:rsid w:val="00B07316"/>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676"/>
    <w:rsid w:val="00B219E1"/>
    <w:rsid w:val="00B21ECF"/>
    <w:rsid w:val="00B22150"/>
    <w:rsid w:val="00B226DE"/>
    <w:rsid w:val="00B22FB5"/>
    <w:rsid w:val="00B241D5"/>
    <w:rsid w:val="00B24BE9"/>
    <w:rsid w:val="00B2547E"/>
    <w:rsid w:val="00B2551D"/>
    <w:rsid w:val="00B25F8C"/>
    <w:rsid w:val="00B260BE"/>
    <w:rsid w:val="00B26677"/>
    <w:rsid w:val="00B26A96"/>
    <w:rsid w:val="00B26F5E"/>
    <w:rsid w:val="00B274E3"/>
    <w:rsid w:val="00B2765C"/>
    <w:rsid w:val="00B27C4B"/>
    <w:rsid w:val="00B30563"/>
    <w:rsid w:val="00B3069E"/>
    <w:rsid w:val="00B30A76"/>
    <w:rsid w:val="00B31246"/>
    <w:rsid w:val="00B32295"/>
    <w:rsid w:val="00B33AB5"/>
    <w:rsid w:val="00B3412E"/>
    <w:rsid w:val="00B343E0"/>
    <w:rsid w:val="00B34478"/>
    <w:rsid w:val="00B35B6D"/>
    <w:rsid w:val="00B35D53"/>
    <w:rsid w:val="00B367C4"/>
    <w:rsid w:val="00B36D3E"/>
    <w:rsid w:val="00B37B8E"/>
    <w:rsid w:val="00B40222"/>
    <w:rsid w:val="00B404C3"/>
    <w:rsid w:val="00B41A04"/>
    <w:rsid w:val="00B42743"/>
    <w:rsid w:val="00B430E9"/>
    <w:rsid w:val="00B4311F"/>
    <w:rsid w:val="00B431AE"/>
    <w:rsid w:val="00B43A43"/>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D1D"/>
    <w:rsid w:val="00B53E98"/>
    <w:rsid w:val="00B53F9B"/>
    <w:rsid w:val="00B54B19"/>
    <w:rsid w:val="00B54DD1"/>
    <w:rsid w:val="00B55F64"/>
    <w:rsid w:val="00B56ECA"/>
    <w:rsid w:val="00B57093"/>
    <w:rsid w:val="00B574DA"/>
    <w:rsid w:val="00B57B5D"/>
    <w:rsid w:val="00B60613"/>
    <w:rsid w:val="00B61AEC"/>
    <w:rsid w:val="00B6244C"/>
    <w:rsid w:val="00B62774"/>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6D0C"/>
    <w:rsid w:val="00B672EA"/>
    <w:rsid w:val="00B6747B"/>
    <w:rsid w:val="00B70200"/>
    <w:rsid w:val="00B702D7"/>
    <w:rsid w:val="00B70389"/>
    <w:rsid w:val="00B70E01"/>
    <w:rsid w:val="00B713F0"/>
    <w:rsid w:val="00B72A0B"/>
    <w:rsid w:val="00B72CF0"/>
    <w:rsid w:val="00B7380E"/>
    <w:rsid w:val="00B740F6"/>
    <w:rsid w:val="00B74615"/>
    <w:rsid w:val="00B74789"/>
    <w:rsid w:val="00B755B6"/>
    <w:rsid w:val="00B75977"/>
    <w:rsid w:val="00B75A48"/>
    <w:rsid w:val="00B75CC0"/>
    <w:rsid w:val="00B76021"/>
    <w:rsid w:val="00B76FCD"/>
    <w:rsid w:val="00B76FFF"/>
    <w:rsid w:val="00B7764D"/>
    <w:rsid w:val="00B77BB2"/>
    <w:rsid w:val="00B8003B"/>
    <w:rsid w:val="00B804F8"/>
    <w:rsid w:val="00B8095A"/>
    <w:rsid w:val="00B81274"/>
    <w:rsid w:val="00B815D3"/>
    <w:rsid w:val="00B81742"/>
    <w:rsid w:val="00B817B5"/>
    <w:rsid w:val="00B823A6"/>
    <w:rsid w:val="00B83E76"/>
    <w:rsid w:val="00B83FA0"/>
    <w:rsid w:val="00B84156"/>
    <w:rsid w:val="00B846E6"/>
    <w:rsid w:val="00B8537B"/>
    <w:rsid w:val="00B85586"/>
    <w:rsid w:val="00B859FB"/>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532"/>
    <w:rsid w:val="00BA3869"/>
    <w:rsid w:val="00BA39EB"/>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CE"/>
    <w:rsid w:val="00BB2E4E"/>
    <w:rsid w:val="00BB2E62"/>
    <w:rsid w:val="00BB36C9"/>
    <w:rsid w:val="00BB3A66"/>
    <w:rsid w:val="00BB40D1"/>
    <w:rsid w:val="00BB777D"/>
    <w:rsid w:val="00BB7EC0"/>
    <w:rsid w:val="00BB7F88"/>
    <w:rsid w:val="00BC0207"/>
    <w:rsid w:val="00BC089F"/>
    <w:rsid w:val="00BC0A0C"/>
    <w:rsid w:val="00BC0A5A"/>
    <w:rsid w:val="00BC0E64"/>
    <w:rsid w:val="00BC25D1"/>
    <w:rsid w:val="00BC2DBD"/>
    <w:rsid w:val="00BC3BCB"/>
    <w:rsid w:val="00BC3CF1"/>
    <w:rsid w:val="00BC428A"/>
    <w:rsid w:val="00BC4C40"/>
    <w:rsid w:val="00BC5854"/>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B0E"/>
    <w:rsid w:val="00BD734D"/>
    <w:rsid w:val="00BD7532"/>
    <w:rsid w:val="00BD7941"/>
    <w:rsid w:val="00BE0591"/>
    <w:rsid w:val="00BE0C55"/>
    <w:rsid w:val="00BE0F03"/>
    <w:rsid w:val="00BE11A2"/>
    <w:rsid w:val="00BE13D8"/>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04C"/>
    <w:rsid w:val="00BF739A"/>
    <w:rsid w:val="00BF7EF5"/>
    <w:rsid w:val="00C00BF6"/>
    <w:rsid w:val="00C01146"/>
    <w:rsid w:val="00C0234A"/>
    <w:rsid w:val="00C0247B"/>
    <w:rsid w:val="00C0378E"/>
    <w:rsid w:val="00C04314"/>
    <w:rsid w:val="00C04BD0"/>
    <w:rsid w:val="00C05063"/>
    <w:rsid w:val="00C05730"/>
    <w:rsid w:val="00C05AF4"/>
    <w:rsid w:val="00C05AFD"/>
    <w:rsid w:val="00C0661C"/>
    <w:rsid w:val="00C0675F"/>
    <w:rsid w:val="00C06ECC"/>
    <w:rsid w:val="00C0702A"/>
    <w:rsid w:val="00C0724C"/>
    <w:rsid w:val="00C07C11"/>
    <w:rsid w:val="00C07E10"/>
    <w:rsid w:val="00C10015"/>
    <w:rsid w:val="00C10AA3"/>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AB5"/>
    <w:rsid w:val="00C17BDC"/>
    <w:rsid w:val="00C20051"/>
    <w:rsid w:val="00C2021B"/>
    <w:rsid w:val="00C20B6C"/>
    <w:rsid w:val="00C20B86"/>
    <w:rsid w:val="00C21145"/>
    <w:rsid w:val="00C215ED"/>
    <w:rsid w:val="00C22350"/>
    <w:rsid w:val="00C2302B"/>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379F5"/>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6E10"/>
    <w:rsid w:val="00C57120"/>
    <w:rsid w:val="00C571D5"/>
    <w:rsid w:val="00C575D4"/>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3D8"/>
    <w:rsid w:val="00CA3CAB"/>
    <w:rsid w:val="00CA3FC0"/>
    <w:rsid w:val="00CA5685"/>
    <w:rsid w:val="00CA6A2E"/>
    <w:rsid w:val="00CA6B56"/>
    <w:rsid w:val="00CA7D3E"/>
    <w:rsid w:val="00CB0317"/>
    <w:rsid w:val="00CB0662"/>
    <w:rsid w:val="00CB06C7"/>
    <w:rsid w:val="00CB0A82"/>
    <w:rsid w:val="00CB0F2F"/>
    <w:rsid w:val="00CB0F76"/>
    <w:rsid w:val="00CB1556"/>
    <w:rsid w:val="00CB2913"/>
    <w:rsid w:val="00CB3970"/>
    <w:rsid w:val="00CB42B9"/>
    <w:rsid w:val="00CB4550"/>
    <w:rsid w:val="00CB4F39"/>
    <w:rsid w:val="00CB52A4"/>
    <w:rsid w:val="00CB537C"/>
    <w:rsid w:val="00CB5A26"/>
    <w:rsid w:val="00CB645B"/>
    <w:rsid w:val="00CB6A93"/>
    <w:rsid w:val="00CB6C79"/>
    <w:rsid w:val="00CB77C3"/>
    <w:rsid w:val="00CB7E9C"/>
    <w:rsid w:val="00CC0072"/>
    <w:rsid w:val="00CC027A"/>
    <w:rsid w:val="00CC0915"/>
    <w:rsid w:val="00CC0FBD"/>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544"/>
    <w:rsid w:val="00CD78D4"/>
    <w:rsid w:val="00CE0697"/>
    <w:rsid w:val="00CE11FA"/>
    <w:rsid w:val="00CE14CB"/>
    <w:rsid w:val="00CE2E2E"/>
    <w:rsid w:val="00CE3A51"/>
    <w:rsid w:val="00CE41F9"/>
    <w:rsid w:val="00CE59F6"/>
    <w:rsid w:val="00CE66CD"/>
    <w:rsid w:val="00CE6BA9"/>
    <w:rsid w:val="00CE71C3"/>
    <w:rsid w:val="00CE727A"/>
    <w:rsid w:val="00CF029C"/>
    <w:rsid w:val="00CF0AF0"/>
    <w:rsid w:val="00CF157E"/>
    <w:rsid w:val="00CF1631"/>
    <w:rsid w:val="00CF1834"/>
    <w:rsid w:val="00CF1AAA"/>
    <w:rsid w:val="00CF1EC2"/>
    <w:rsid w:val="00CF237B"/>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38DC"/>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225"/>
    <w:rsid w:val="00D3046D"/>
    <w:rsid w:val="00D30497"/>
    <w:rsid w:val="00D30C4D"/>
    <w:rsid w:val="00D30F5F"/>
    <w:rsid w:val="00D31243"/>
    <w:rsid w:val="00D316D9"/>
    <w:rsid w:val="00D31B07"/>
    <w:rsid w:val="00D31B9D"/>
    <w:rsid w:val="00D3272E"/>
    <w:rsid w:val="00D32D38"/>
    <w:rsid w:val="00D32FA0"/>
    <w:rsid w:val="00D33112"/>
    <w:rsid w:val="00D331CB"/>
    <w:rsid w:val="00D3497A"/>
    <w:rsid w:val="00D35F2F"/>
    <w:rsid w:val="00D35FC6"/>
    <w:rsid w:val="00D36BB8"/>
    <w:rsid w:val="00D377D4"/>
    <w:rsid w:val="00D401A1"/>
    <w:rsid w:val="00D40217"/>
    <w:rsid w:val="00D40385"/>
    <w:rsid w:val="00D404CE"/>
    <w:rsid w:val="00D40E8F"/>
    <w:rsid w:val="00D412BF"/>
    <w:rsid w:val="00D417C6"/>
    <w:rsid w:val="00D417D0"/>
    <w:rsid w:val="00D42B0C"/>
    <w:rsid w:val="00D42D6E"/>
    <w:rsid w:val="00D43DEF"/>
    <w:rsid w:val="00D44259"/>
    <w:rsid w:val="00D45C61"/>
    <w:rsid w:val="00D45DDC"/>
    <w:rsid w:val="00D5064C"/>
    <w:rsid w:val="00D50C94"/>
    <w:rsid w:val="00D511E7"/>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1D50"/>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2F4"/>
    <w:rsid w:val="00D91337"/>
    <w:rsid w:val="00D915C9"/>
    <w:rsid w:val="00D918DA"/>
    <w:rsid w:val="00D9198F"/>
    <w:rsid w:val="00D92078"/>
    <w:rsid w:val="00D926F0"/>
    <w:rsid w:val="00D92A87"/>
    <w:rsid w:val="00D9384E"/>
    <w:rsid w:val="00D93AEE"/>
    <w:rsid w:val="00D93E95"/>
    <w:rsid w:val="00D9413E"/>
    <w:rsid w:val="00D94C8D"/>
    <w:rsid w:val="00D95F88"/>
    <w:rsid w:val="00D96698"/>
    <w:rsid w:val="00D96876"/>
    <w:rsid w:val="00D96940"/>
    <w:rsid w:val="00D96B12"/>
    <w:rsid w:val="00D96F59"/>
    <w:rsid w:val="00DA0175"/>
    <w:rsid w:val="00DA099C"/>
    <w:rsid w:val="00DA0F18"/>
    <w:rsid w:val="00DA118F"/>
    <w:rsid w:val="00DA2125"/>
    <w:rsid w:val="00DA21EC"/>
    <w:rsid w:val="00DA24DE"/>
    <w:rsid w:val="00DA270C"/>
    <w:rsid w:val="00DA281F"/>
    <w:rsid w:val="00DA3C5B"/>
    <w:rsid w:val="00DA3D23"/>
    <w:rsid w:val="00DA3D5D"/>
    <w:rsid w:val="00DA4A61"/>
    <w:rsid w:val="00DA5897"/>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3E38"/>
    <w:rsid w:val="00DB440B"/>
    <w:rsid w:val="00DB4426"/>
    <w:rsid w:val="00DB4522"/>
    <w:rsid w:val="00DB4B40"/>
    <w:rsid w:val="00DB4F12"/>
    <w:rsid w:val="00DB4F21"/>
    <w:rsid w:val="00DB4F42"/>
    <w:rsid w:val="00DB540C"/>
    <w:rsid w:val="00DB6F96"/>
    <w:rsid w:val="00DB71B9"/>
    <w:rsid w:val="00DB7662"/>
    <w:rsid w:val="00DB7E46"/>
    <w:rsid w:val="00DC1395"/>
    <w:rsid w:val="00DC32FC"/>
    <w:rsid w:val="00DC3D89"/>
    <w:rsid w:val="00DC402D"/>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B9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1EA4"/>
    <w:rsid w:val="00DE2073"/>
    <w:rsid w:val="00DE30AC"/>
    <w:rsid w:val="00DE38D1"/>
    <w:rsid w:val="00DE4106"/>
    <w:rsid w:val="00DE466B"/>
    <w:rsid w:val="00DE48F4"/>
    <w:rsid w:val="00DE5563"/>
    <w:rsid w:val="00DE5C19"/>
    <w:rsid w:val="00DE5D48"/>
    <w:rsid w:val="00DE6157"/>
    <w:rsid w:val="00DE6DA1"/>
    <w:rsid w:val="00DE6E4D"/>
    <w:rsid w:val="00DE7498"/>
    <w:rsid w:val="00DE75EF"/>
    <w:rsid w:val="00DE7611"/>
    <w:rsid w:val="00DE7D19"/>
    <w:rsid w:val="00DF05A0"/>
    <w:rsid w:val="00DF1162"/>
    <w:rsid w:val="00DF1BA8"/>
    <w:rsid w:val="00DF1DDB"/>
    <w:rsid w:val="00DF1F63"/>
    <w:rsid w:val="00DF28F2"/>
    <w:rsid w:val="00DF2BFF"/>
    <w:rsid w:val="00DF3798"/>
    <w:rsid w:val="00DF4FF1"/>
    <w:rsid w:val="00DF56A3"/>
    <w:rsid w:val="00DF5B33"/>
    <w:rsid w:val="00DF6FD2"/>
    <w:rsid w:val="00DF72EF"/>
    <w:rsid w:val="00DF743D"/>
    <w:rsid w:val="00DF7724"/>
    <w:rsid w:val="00E000D8"/>
    <w:rsid w:val="00E00C1E"/>
    <w:rsid w:val="00E00F5F"/>
    <w:rsid w:val="00E010E6"/>
    <w:rsid w:val="00E01377"/>
    <w:rsid w:val="00E014E7"/>
    <w:rsid w:val="00E017DE"/>
    <w:rsid w:val="00E0232F"/>
    <w:rsid w:val="00E026A9"/>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7B8F"/>
    <w:rsid w:val="00E10712"/>
    <w:rsid w:val="00E10DD1"/>
    <w:rsid w:val="00E1224C"/>
    <w:rsid w:val="00E1254C"/>
    <w:rsid w:val="00E12BDF"/>
    <w:rsid w:val="00E13326"/>
    <w:rsid w:val="00E13D07"/>
    <w:rsid w:val="00E14356"/>
    <w:rsid w:val="00E14961"/>
    <w:rsid w:val="00E14D76"/>
    <w:rsid w:val="00E15183"/>
    <w:rsid w:val="00E15D6C"/>
    <w:rsid w:val="00E1720B"/>
    <w:rsid w:val="00E203DE"/>
    <w:rsid w:val="00E20CE7"/>
    <w:rsid w:val="00E217B1"/>
    <w:rsid w:val="00E222FA"/>
    <w:rsid w:val="00E229CE"/>
    <w:rsid w:val="00E22B4A"/>
    <w:rsid w:val="00E2376D"/>
    <w:rsid w:val="00E2449B"/>
    <w:rsid w:val="00E24A62"/>
    <w:rsid w:val="00E24F52"/>
    <w:rsid w:val="00E255CC"/>
    <w:rsid w:val="00E25636"/>
    <w:rsid w:val="00E25755"/>
    <w:rsid w:val="00E25F90"/>
    <w:rsid w:val="00E266DD"/>
    <w:rsid w:val="00E26D2E"/>
    <w:rsid w:val="00E279B2"/>
    <w:rsid w:val="00E303C0"/>
    <w:rsid w:val="00E3055B"/>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6795"/>
    <w:rsid w:val="00E57932"/>
    <w:rsid w:val="00E606C4"/>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6F2"/>
    <w:rsid w:val="00E728E2"/>
    <w:rsid w:val="00E738FA"/>
    <w:rsid w:val="00E739B6"/>
    <w:rsid w:val="00E74A2B"/>
    <w:rsid w:val="00E75667"/>
    <w:rsid w:val="00E756D3"/>
    <w:rsid w:val="00E75A5A"/>
    <w:rsid w:val="00E76004"/>
    <w:rsid w:val="00E7608F"/>
    <w:rsid w:val="00E760D7"/>
    <w:rsid w:val="00E769CC"/>
    <w:rsid w:val="00E77124"/>
    <w:rsid w:val="00E77341"/>
    <w:rsid w:val="00E7783E"/>
    <w:rsid w:val="00E778B8"/>
    <w:rsid w:val="00E801C7"/>
    <w:rsid w:val="00E80AF8"/>
    <w:rsid w:val="00E80BED"/>
    <w:rsid w:val="00E816E8"/>
    <w:rsid w:val="00E819C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7A37"/>
    <w:rsid w:val="00E87CF7"/>
    <w:rsid w:val="00E9036E"/>
    <w:rsid w:val="00E9078A"/>
    <w:rsid w:val="00E912FD"/>
    <w:rsid w:val="00E91B26"/>
    <w:rsid w:val="00E92C6E"/>
    <w:rsid w:val="00E92D0B"/>
    <w:rsid w:val="00E92FFF"/>
    <w:rsid w:val="00E93195"/>
    <w:rsid w:val="00E9391C"/>
    <w:rsid w:val="00E93D05"/>
    <w:rsid w:val="00E950D4"/>
    <w:rsid w:val="00E951D8"/>
    <w:rsid w:val="00E95C2A"/>
    <w:rsid w:val="00E95F03"/>
    <w:rsid w:val="00E961CB"/>
    <w:rsid w:val="00E963BC"/>
    <w:rsid w:val="00E966A6"/>
    <w:rsid w:val="00E96E91"/>
    <w:rsid w:val="00E9751D"/>
    <w:rsid w:val="00E97DC6"/>
    <w:rsid w:val="00E97F7A"/>
    <w:rsid w:val="00EA0010"/>
    <w:rsid w:val="00EA0143"/>
    <w:rsid w:val="00EA089B"/>
    <w:rsid w:val="00EA1ACC"/>
    <w:rsid w:val="00EA29E4"/>
    <w:rsid w:val="00EA2E21"/>
    <w:rsid w:val="00EA2EAA"/>
    <w:rsid w:val="00EA380C"/>
    <w:rsid w:val="00EA587E"/>
    <w:rsid w:val="00EA613D"/>
    <w:rsid w:val="00EA6744"/>
    <w:rsid w:val="00EA7077"/>
    <w:rsid w:val="00EA7308"/>
    <w:rsid w:val="00EA7474"/>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6257"/>
    <w:rsid w:val="00EB68E6"/>
    <w:rsid w:val="00EB6AE9"/>
    <w:rsid w:val="00EB6B2D"/>
    <w:rsid w:val="00EB71C9"/>
    <w:rsid w:val="00EB763E"/>
    <w:rsid w:val="00EB7B67"/>
    <w:rsid w:val="00EC07F1"/>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6F9A"/>
    <w:rsid w:val="00ED71BA"/>
    <w:rsid w:val="00ED728F"/>
    <w:rsid w:val="00ED73A1"/>
    <w:rsid w:val="00ED7CA2"/>
    <w:rsid w:val="00EE04F9"/>
    <w:rsid w:val="00EE05E0"/>
    <w:rsid w:val="00EE0FF6"/>
    <w:rsid w:val="00EE13DA"/>
    <w:rsid w:val="00EE1595"/>
    <w:rsid w:val="00EE1E71"/>
    <w:rsid w:val="00EE2087"/>
    <w:rsid w:val="00EE20C2"/>
    <w:rsid w:val="00EE224D"/>
    <w:rsid w:val="00EE2A9D"/>
    <w:rsid w:val="00EE3384"/>
    <w:rsid w:val="00EE499F"/>
    <w:rsid w:val="00EE56E2"/>
    <w:rsid w:val="00EE5FCD"/>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DB4"/>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2D1"/>
    <w:rsid w:val="00F04D19"/>
    <w:rsid w:val="00F050A3"/>
    <w:rsid w:val="00F06340"/>
    <w:rsid w:val="00F0665D"/>
    <w:rsid w:val="00F06D42"/>
    <w:rsid w:val="00F07134"/>
    <w:rsid w:val="00F0724D"/>
    <w:rsid w:val="00F07378"/>
    <w:rsid w:val="00F10B81"/>
    <w:rsid w:val="00F10BC9"/>
    <w:rsid w:val="00F113C9"/>
    <w:rsid w:val="00F11C01"/>
    <w:rsid w:val="00F11D80"/>
    <w:rsid w:val="00F12129"/>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0E2D"/>
    <w:rsid w:val="00F213D8"/>
    <w:rsid w:val="00F21A5D"/>
    <w:rsid w:val="00F21C13"/>
    <w:rsid w:val="00F22362"/>
    <w:rsid w:val="00F22796"/>
    <w:rsid w:val="00F2296A"/>
    <w:rsid w:val="00F234A4"/>
    <w:rsid w:val="00F2363A"/>
    <w:rsid w:val="00F238F7"/>
    <w:rsid w:val="00F23BA0"/>
    <w:rsid w:val="00F2420C"/>
    <w:rsid w:val="00F24B10"/>
    <w:rsid w:val="00F24C28"/>
    <w:rsid w:val="00F254C4"/>
    <w:rsid w:val="00F25641"/>
    <w:rsid w:val="00F256D8"/>
    <w:rsid w:val="00F25824"/>
    <w:rsid w:val="00F25E8C"/>
    <w:rsid w:val="00F26065"/>
    <w:rsid w:val="00F266E3"/>
    <w:rsid w:val="00F2689C"/>
    <w:rsid w:val="00F26D17"/>
    <w:rsid w:val="00F27E44"/>
    <w:rsid w:val="00F30313"/>
    <w:rsid w:val="00F303BC"/>
    <w:rsid w:val="00F30472"/>
    <w:rsid w:val="00F31052"/>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EDB"/>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57E2D"/>
    <w:rsid w:val="00F60938"/>
    <w:rsid w:val="00F60C7E"/>
    <w:rsid w:val="00F60E0A"/>
    <w:rsid w:val="00F61606"/>
    <w:rsid w:val="00F61918"/>
    <w:rsid w:val="00F62151"/>
    <w:rsid w:val="00F62CA8"/>
    <w:rsid w:val="00F62F92"/>
    <w:rsid w:val="00F630B4"/>
    <w:rsid w:val="00F635EF"/>
    <w:rsid w:val="00F63BF4"/>
    <w:rsid w:val="00F63C55"/>
    <w:rsid w:val="00F63C60"/>
    <w:rsid w:val="00F64991"/>
    <w:rsid w:val="00F65BA9"/>
    <w:rsid w:val="00F65BC8"/>
    <w:rsid w:val="00F65EEA"/>
    <w:rsid w:val="00F66205"/>
    <w:rsid w:val="00F6630F"/>
    <w:rsid w:val="00F66419"/>
    <w:rsid w:val="00F66944"/>
    <w:rsid w:val="00F67079"/>
    <w:rsid w:val="00F67B58"/>
    <w:rsid w:val="00F67E81"/>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7A34"/>
    <w:rsid w:val="00F97E4A"/>
    <w:rsid w:val="00F97EA1"/>
    <w:rsid w:val="00FA003A"/>
    <w:rsid w:val="00FA05C8"/>
    <w:rsid w:val="00FA0678"/>
    <w:rsid w:val="00FA0DB6"/>
    <w:rsid w:val="00FA23F7"/>
    <w:rsid w:val="00FA27EB"/>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33DB"/>
    <w:rsid w:val="00FE33F5"/>
    <w:rsid w:val="00FE352A"/>
    <w:rsid w:val="00FE37DD"/>
    <w:rsid w:val="00FE3C31"/>
    <w:rsid w:val="00FE4015"/>
    <w:rsid w:val="00FE41EF"/>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9B4"/>
    <w:rsid w:val="00FF49F4"/>
    <w:rsid w:val="00FF5B8D"/>
    <w:rsid w:val="00FF5C6A"/>
    <w:rsid w:val="00FF651D"/>
    <w:rsid w:val="00FF6843"/>
    <w:rsid w:val="00FF6C25"/>
    <w:rsid w:val="010651D9"/>
    <w:rsid w:val="011C32AB"/>
    <w:rsid w:val="011F6449"/>
    <w:rsid w:val="01236AFB"/>
    <w:rsid w:val="01541149"/>
    <w:rsid w:val="019F7441"/>
    <w:rsid w:val="01B37585"/>
    <w:rsid w:val="01D55165"/>
    <w:rsid w:val="01DF6BF8"/>
    <w:rsid w:val="01EC2C57"/>
    <w:rsid w:val="025F0711"/>
    <w:rsid w:val="026B2E25"/>
    <w:rsid w:val="02824D4D"/>
    <w:rsid w:val="02DC4B10"/>
    <w:rsid w:val="02DD76CE"/>
    <w:rsid w:val="02F36323"/>
    <w:rsid w:val="02F5619C"/>
    <w:rsid w:val="0326446A"/>
    <w:rsid w:val="032D5555"/>
    <w:rsid w:val="036634D2"/>
    <w:rsid w:val="03BE6034"/>
    <w:rsid w:val="03DD35E4"/>
    <w:rsid w:val="04076900"/>
    <w:rsid w:val="041A5A3B"/>
    <w:rsid w:val="042311BA"/>
    <w:rsid w:val="042B157A"/>
    <w:rsid w:val="044D2C6F"/>
    <w:rsid w:val="048F763B"/>
    <w:rsid w:val="049F330E"/>
    <w:rsid w:val="04AA775C"/>
    <w:rsid w:val="04AF1889"/>
    <w:rsid w:val="04F66F48"/>
    <w:rsid w:val="05251E14"/>
    <w:rsid w:val="05A16594"/>
    <w:rsid w:val="05A7762D"/>
    <w:rsid w:val="060E5941"/>
    <w:rsid w:val="06110FAF"/>
    <w:rsid w:val="06493CA7"/>
    <w:rsid w:val="065A6178"/>
    <w:rsid w:val="066F1CF3"/>
    <w:rsid w:val="06930BB8"/>
    <w:rsid w:val="07180DCA"/>
    <w:rsid w:val="07245D42"/>
    <w:rsid w:val="07264C62"/>
    <w:rsid w:val="0779354C"/>
    <w:rsid w:val="08061376"/>
    <w:rsid w:val="08452D77"/>
    <w:rsid w:val="086401F8"/>
    <w:rsid w:val="08751CAA"/>
    <w:rsid w:val="087E4C40"/>
    <w:rsid w:val="08A871D0"/>
    <w:rsid w:val="08D66AD6"/>
    <w:rsid w:val="08DA33A3"/>
    <w:rsid w:val="08E80F13"/>
    <w:rsid w:val="09335624"/>
    <w:rsid w:val="0944690F"/>
    <w:rsid w:val="09535675"/>
    <w:rsid w:val="095F057D"/>
    <w:rsid w:val="09642282"/>
    <w:rsid w:val="09733572"/>
    <w:rsid w:val="09772C16"/>
    <w:rsid w:val="098353B5"/>
    <w:rsid w:val="09A92330"/>
    <w:rsid w:val="09B06B87"/>
    <w:rsid w:val="09C13146"/>
    <w:rsid w:val="09E04166"/>
    <w:rsid w:val="0A1C0718"/>
    <w:rsid w:val="0A3E7710"/>
    <w:rsid w:val="0A5B7E63"/>
    <w:rsid w:val="0AA374A5"/>
    <w:rsid w:val="0AAB7649"/>
    <w:rsid w:val="0ABC5606"/>
    <w:rsid w:val="0B30404E"/>
    <w:rsid w:val="0B4C6C14"/>
    <w:rsid w:val="0B547599"/>
    <w:rsid w:val="0B631A88"/>
    <w:rsid w:val="0B683D45"/>
    <w:rsid w:val="0B7F3F11"/>
    <w:rsid w:val="0B884417"/>
    <w:rsid w:val="0BF6188C"/>
    <w:rsid w:val="0BF73C91"/>
    <w:rsid w:val="0C170175"/>
    <w:rsid w:val="0C571A41"/>
    <w:rsid w:val="0C5C1171"/>
    <w:rsid w:val="0C5E1CBC"/>
    <w:rsid w:val="0C615B50"/>
    <w:rsid w:val="0C8445DA"/>
    <w:rsid w:val="0C87121B"/>
    <w:rsid w:val="0CC007F7"/>
    <w:rsid w:val="0CC617AC"/>
    <w:rsid w:val="0CE618DF"/>
    <w:rsid w:val="0CFE707A"/>
    <w:rsid w:val="0D063BDA"/>
    <w:rsid w:val="0D08375F"/>
    <w:rsid w:val="0D184CFB"/>
    <w:rsid w:val="0D4A7419"/>
    <w:rsid w:val="0D827401"/>
    <w:rsid w:val="0D84094E"/>
    <w:rsid w:val="0D8A00E9"/>
    <w:rsid w:val="0D8D589E"/>
    <w:rsid w:val="0DA01C73"/>
    <w:rsid w:val="0DD63300"/>
    <w:rsid w:val="0DF50604"/>
    <w:rsid w:val="0DF702FE"/>
    <w:rsid w:val="0E060E51"/>
    <w:rsid w:val="0E5604B2"/>
    <w:rsid w:val="0E6D5D79"/>
    <w:rsid w:val="0E9D0089"/>
    <w:rsid w:val="0EB803EE"/>
    <w:rsid w:val="0EF94D4B"/>
    <w:rsid w:val="0F4958DC"/>
    <w:rsid w:val="0F515DF7"/>
    <w:rsid w:val="0F596BA8"/>
    <w:rsid w:val="0F6248D2"/>
    <w:rsid w:val="0F693536"/>
    <w:rsid w:val="0F7B0511"/>
    <w:rsid w:val="0F7B76D9"/>
    <w:rsid w:val="0F816ACD"/>
    <w:rsid w:val="0F9832DB"/>
    <w:rsid w:val="0FBF3FD2"/>
    <w:rsid w:val="0FBF7FF3"/>
    <w:rsid w:val="100059C0"/>
    <w:rsid w:val="10646583"/>
    <w:rsid w:val="107D4B15"/>
    <w:rsid w:val="108A3C80"/>
    <w:rsid w:val="10C26171"/>
    <w:rsid w:val="10C70674"/>
    <w:rsid w:val="10F33360"/>
    <w:rsid w:val="10FC16EA"/>
    <w:rsid w:val="110F1D40"/>
    <w:rsid w:val="11266F33"/>
    <w:rsid w:val="118963A1"/>
    <w:rsid w:val="11C6522A"/>
    <w:rsid w:val="11E104CC"/>
    <w:rsid w:val="11E20309"/>
    <w:rsid w:val="12255233"/>
    <w:rsid w:val="12530213"/>
    <w:rsid w:val="127723A9"/>
    <w:rsid w:val="12862074"/>
    <w:rsid w:val="12883966"/>
    <w:rsid w:val="129E45B4"/>
    <w:rsid w:val="12D81596"/>
    <w:rsid w:val="13072A44"/>
    <w:rsid w:val="135F4BE2"/>
    <w:rsid w:val="139B1A0A"/>
    <w:rsid w:val="139D25C7"/>
    <w:rsid w:val="13BF3CE4"/>
    <w:rsid w:val="141008D8"/>
    <w:rsid w:val="14125FE6"/>
    <w:rsid w:val="146D271E"/>
    <w:rsid w:val="14982588"/>
    <w:rsid w:val="149A5AD9"/>
    <w:rsid w:val="14A7619D"/>
    <w:rsid w:val="150536C3"/>
    <w:rsid w:val="150C1963"/>
    <w:rsid w:val="151447A0"/>
    <w:rsid w:val="154A6454"/>
    <w:rsid w:val="15762120"/>
    <w:rsid w:val="16A8729C"/>
    <w:rsid w:val="16B33777"/>
    <w:rsid w:val="16BC70A7"/>
    <w:rsid w:val="16C6339E"/>
    <w:rsid w:val="172F2D79"/>
    <w:rsid w:val="17557BEF"/>
    <w:rsid w:val="17AE026A"/>
    <w:rsid w:val="17D349C1"/>
    <w:rsid w:val="1830729E"/>
    <w:rsid w:val="1870062C"/>
    <w:rsid w:val="18817102"/>
    <w:rsid w:val="18830A15"/>
    <w:rsid w:val="18852B28"/>
    <w:rsid w:val="188B5321"/>
    <w:rsid w:val="1920337C"/>
    <w:rsid w:val="19932372"/>
    <w:rsid w:val="19A20DD5"/>
    <w:rsid w:val="19AE03F1"/>
    <w:rsid w:val="1A071A03"/>
    <w:rsid w:val="1A1F16AE"/>
    <w:rsid w:val="1A3B5C77"/>
    <w:rsid w:val="1A984BAD"/>
    <w:rsid w:val="1AB8220E"/>
    <w:rsid w:val="1AE4166C"/>
    <w:rsid w:val="1AF06CFB"/>
    <w:rsid w:val="1AF11B8D"/>
    <w:rsid w:val="1B11359C"/>
    <w:rsid w:val="1B2A271F"/>
    <w:rsid w:val="1B530544"/>
    <w:rsid w:val="1B713184"/>
    <w:rsid w:val="1B83082F"/>
    <w:rsid w:val="1BA209CF"/>
    <w:rsid w:val="1BB4777D"/>
    <w:rsid w:val="1BD75AB8"/>
    <w:rsid w:val="1C0459C2"/>
    <w:rsid w:val="1C1B3B4A"/>
    <w:rsid w:val="1C88086E"/>
    <w:rsid w:val="1CF40C85"/>
    <w:rsid w:val="1D266CE1"/>
    <w:rsid w:val="1D3963AF"/>
    <w:rsid w:val="1D55566A"/>
    <w:rsid w:val="1D6A673C"/>
    <w:rsid w:val="1D9247AE"/>
    <w:rsid w:val="1DB567EC"/>
    <w:rsid w:val="1DF51A98"/>
    <w:rsid w:val="1E293195"/>
    <w:rsid w:val="1E3D060F"/>
    <w:rsid w:val="1E3F7D2E"/>
    <w:rsid w:val="1E4134E4"/>
    <w:rsid w:val="1E5062B3"/>
    <w:rsid w:val="1E523514"/>
    <w:rsid w:val="1E714A66"/>
    <w:rsid w:val="1E802593"/>
    <w:rsid w:val="1E8B6156"/>
    <w:rsid w:val="1EA703CC"/>
    <w:rsid w:val="1EB7330C"/>
    <w:rsid w:val="1F0A0FF3"/>
    <w:rsid w:val="1F5771FF"/>
    <w:rsid w:val="1FE868A9"/>
    <w:rsid w:val="20034907"/>
    <w:rsid w:val="20173E4B"/>
    <w:rsid w:val="204E48BC"/>
    <w:rsid w:val="208921B3"/>
    <w:rsid w:val="20973DEB"/>
    <w:rsid w:val="20B26522"/>
    <w:rsid w:val="20B44310"/>
    <w:rsid w:val="211116EB"/>
    <w:rsid w:val="216133FC"/>
    <w:rsid w:val="21D34BB6"/>
    <w:rsid w:val="21D56769"/>
    <w:rsid w:val="21E52EF3"/>
    <w:rsid w:val="21FB5D7B"/>
    <w:rsid w:val="22015E94"/>
    <w:rsid w:val="220B1C3D"/>
    <w:rsid w:val="221D1D20"/>
    <w:rsid w:val="22334A87"/>
    <w:rsid w:val="22BE6801"/>
    <w:rsid w:val="233500BF"/>
    <w:rsid w:val="23377FF7"/>
    <w:rsid w:val="236B425F"/>
    <w:rsid w:val="23836192"/>
    <w:rsid w:val="23901F29"/>
    <w:rsid w:val="239C0061"/>
    <w:rsid w:val="23B908A4"/>
    <w:rsid w:val="23E95BEF"/>
    <w:rsid w:val="23FD0064"/>
    <w:rsid w:val="23FF188B"/>
    <w:rsid w:val="24476BBD"/>
    <w:rsid w:val="245375B0"/>
    <w:rsid w:val="24642C0A"/>
    <w:rsid w:val="24B22173"/>
    <w:rsid w:val="24B95AD9"/>
    <w:rsid w:val="24BE24DA"/>
    <w:rsid w:val="24CF5825"/>
    <w:rsid w:val="24D663E6"/>
    <w:rsid w:val="24D77F2B"/>
    <w:rsid w:val="258B00E2"/>
    <w:rsid w:val="25A917A6"/>
    <w:rsid w:val="25BE27CC"/>
    <w:rsid w:val="25CC175F"/>
    <w:rsid w:val="25F74A5C"/>
    <w:rsid w:val="2628662C"/>
    <w:rsid w:val="262D45DE"/>
    <w:rsid w:val="26871DC8"/>
    <w:rsid w:val="26A53EF9"/>
    <w:rsid w:val="26A94201"/>
    <w:rsid w:val="26AC274F"/>
    <w:rsid w:val="27044A29"/>
    <w:rsid w:val="271D34C8"/>
    <w:rsid w:val="274A6102"/>
    <w:rsid w:val="276142BF"/>
    <w:rsid w:val="27783712"/>
    <w:rsid w:val="27907362"/>
    <w:rsid w:val="28333E1D"/>
    <w:rsid w:val="28454BD6"/>
    <w:rsid w:val="28455253"/>
    <w:rsid w:val="28551971"/>
    <w:rsid w:val="285B1C53"/>
    <w:rsid w:val="289F7086"/>
    <w:rsid w:val="28C32028"/>
    <w:rsid w:val="28CC490F"/>
    <w:rsid w:val="28DE40AA"/>
    <w:rsid w:val="29345E77"/>
    <w:rsid w:val="29363ABF"/>
    <w:rsid w:val="294C65AD"/>
    <w:rsid w:val="29806583"/>
    <w:rsid w:val="298B3C4C"/>
    <w:rsid w:val="29F26D24"/>
    <w:rsid w:val="2A15033F"/>
    <w:rsid w:val="2A1662C1"/>
    <w:rsid w:val="2A1C7367"/>
    <w:rsid w:val="2A2815FA"/>
    <w:rsid w:val="2A6D6092"/>
    <w:rsid w:val="2A7D76B4"/>
    <w:rsid w:val="2B437463"/>
    <w:rsid w:val="2B7807EE"/>
    <w:rsid w:val="2BA50BF7"/>
    <w:rsid w:val="2BBF00EC"/>
    <w:rsid w:val="2BC37CFD"/>
    <w:rsid w:val="2BD5237F"/>
    <w:rsid w:val="2BE536CE"/>
    <w:rsid w:val="2BE758D9"/>
    <w:rsid w:val="2C09049E"/>
    <w:rsid w:val="2C0A653C"/>
    <w:rsid w:val="2C191F85"/>
    <w:rsid w:val="2CE82D6F"/>
    <w:rsid w:val="2D343236"/>
    <w:rsid w:val="2DD15014"/>
    <w:rsid w:val="2DF72DE4"/>
    <w:rsid w:val="2E0220AF"/>
    <w:rsid w:val="2E4B082A"/>
    <w:rsid w:val="2E5D4E86"/>
    <w:rsid w:val="2E5D790B"/>
    <w:rsid w:val="2E9A3C18"/>
    <w:rsid w:val="2EBB0FEE"/>
    <w:rsid w:val="2EC63002"/>
    <w:rsid w:val="2F0A6B38"/>
    <w:rsid w:val="2F946CCB"/>
    <w:rsid w:val="2FD25781"/>
    <w:rsid w:val="2FDC745C"/>
    <w:rsid w:val="2FFD7934"/>
    <w:rsid w:val="30733ACD"/>
    <w:rsid w:val="308C3862"/>
    <w:rsid w:val="309379D8"/>
    <w:rsid w:val="30A270F7"/>
    <w:rsid w:val="30DF1478"/>
    <w:rsid w:val="30EC586F"/>
    <w:rsid w:val="319C6071"/>
    <w:rsid w:val="31AC537E"/>
    <w:rsid w:val="31E3679B"/>
    <w:rsid w:val="31E732FD"/>
    <w:rsid w:val="324B0876"/>
    <w:rsid w:val="32517576"/>
    <w:rsid w:val="32BE5C2C"/>
    <w:rsid w:val="32BF7090"/>
    <w:rsid w:val="32FB6478"/>
    <w:rsid w:val="33263B3F"/>
    <w:rsid w:val="336963EB"/>
    <w:rsid w:val="33816EEB"/>
    <w:rsid w:val="33EB55CD"/>
    <w:rsid w:val="33EC4C02"/>
    <w:rsid w:val="340D2360"/>
    <w:rsid w:val="3410665D"/>
    <w:rsid w:val="34211214"/>
    <w:rsid w:val="342E63AB"/>
    <w:rsid w:val="34950E68"/>
    <w:rsid w:val="34986E94"/>
    <w:rsid w:val="34AF62C9"/>
    <w:rsid w:val="34CB4388"/>
    <w:rsid w:val="34FA6E12"/>
    <w:rsid w:val="354D7158"/>
    <w:rsid w:val="35785C04"/>
    <w:rsid w:val="358D5588"/>
    <w:rsid w:val="363A3B40"/>
    <w:rsid w:val="365302AE"/>
    <w:rsid w:val="36607A0A"/>
    <w:rsid w:val="366E227C"/>
    <w:rsid w:val="366F2E0D"/>
    <w:rsid w:val="367B6A5C"/>
    <w:rsid w:val="369E361B"/>
    <w:rsid w:val="36A74ADA"/>
    <w:rsid w:val="36AD60D5"/>
    <w:rsid w:val="36B224F9"/>
    <w:rsid w:val="36EC0CC9"/>
    <w:rsid w:val="37377380"/>
    <w:rsid w:val="373F410B"/>
    <w:rsid w:val="37EE7094"/>
    <w:rsid w:val="38296C89"/>
    <w:rsid w:val="383002EB"/>
    <w:rsid w:val="38586797"/>
    <w:rsid w:val="38BC0149"/>
    <w:rsid w:val="38D87D1C"/>
    <w:rsid w:val="39636459"/>
    <w:rsid w:val="396B7F6C"/>
    <w:rsid w:val="39B417A9"/>
    <w:rsid w:val="39F63CA8"/>
    <w:rsid w:val="39FC5695"/>
    <w:rsid w:val="3A006D8E"/>
    <w:rsid w:val="3A3651E5"/>
    <w:rsid w:val="3A744481"/>
    <w:rsid w:val="3A772A1D"/>
    <w:rsid w:val="3A8C7BEF"/>
    <w:rsid w:val="3A906246"/>
    <w:rsid w:val="3B2349B7"/>
    <w:rsid w:val="3B616CFF"/>
    <w:rsid w:val="3B6259F6"/>
    <w:rsid w:val="3B8678B6"/>
    <w:rsid w:val="3B976654"/>
    <w:rsid w:val="3BC01EFC"/>
    <w:rsid w:val="3BCA786A"/>
    <w:rsid w:val="3BD31E2F"/>
    <w:rsid w:val="3BF15831"/>
    <w:rsid w:val="3C105946"/>
    <w:rsid w:val="3C471448"/>
    <w:rsid w:val="3C5F759A"/>
    <w:rsid w:val="3C6C525A"/>
    <w:rsid w:val="3CCE23CB"/>
    <w:rsid w:val="3CD17D17"/>
    <w:rsid w:val="3D3C7F39"/>
    <w:rsid w:val="3D440F09"/>
    <w:rsid w:val="3D4504A0"/>
    <w:rsid w:val="3D8734BB"/>
    <w:rsid w:val="3D9A11D4"/>
    <w:rsid w:val="3DA16D89"/>
    <w:rsid w:val="3DA364BE"/>
    <w:rsid w:val="3DE041CB"/>
    <w:rsid w:val="3E0D48F6"/>
    <w:rsid w:val="3E1868B4"/>
    <w:rsid w:val="3E377251"/>
    <w:rsid w:val="3E42664B"/>
    <w:rsid w:val="3E5A7334"/>
    <w:rsid w:val="3E7B5D6B"/>
    <w:rsid w:val="3E843E66"/>
    <w:rsid w:val="3E8F51FE"/>
    <w:rsid w:val="3E926F87"/>
    <w:rsid w:val="3E9A59DE"/>
    <w:rsid w:val="3EAF4836"/>
    <w:rsid w:val="3EC33DFA"/>
    <w:rsid w:val="3F060E16"/>
    <w:rsid w:val="3F1D1096"/>
    <w:rsid w:val="3F2F0234"/>
    <w:rsid w:val="3F6363FE"/>
    <w:rsid w:val="3F756B8F"/>
    <w:rsid w:val="3F95482B"/>
    <w:rsid w:val="4019356B"/>
    <w:rsid w:val="40592157"/>
    <w:rsid w:val="406E1CAE"/>
    <w:rsid w:val="40A0133A"/>
    <w:rsid w:val="40C31A53"/>
    <w:rsid w:val="40FF545D"/>
    <w:rsid w:val="410067C8"/>
    <w:rsid w:val="418F0D2A"/>
    <w:rsid w:val="41D01505"/>
    <w:rsid w:val="42474939"/>
    <w:rsid w:val="424C3C57"/>
    <w:rsid w:val="42613FF3"/>
    <w:rsid w:val="42660D96"/>
    <w:rsid w:val="428667D2"/>
    <w:rsid w:val="42CD1CE0"/>
    <w:rsid w:val="42E1381E"/>
    <w:rsid w:val="42ED6459"/>
    <w:rsid w:val="42FE58DD"/>
    <w:rsid w:val="43174B3D"/>
    <w:rsid w:val="434B790E"/>
    <w:rsid w:val="4360274F"/>
    <w:rsid w:val="43977AB6"/>
    <w:rsid w:val="439A302D"/>
    <w:rsid w:val="43A3342B"/>
    <w:rsid w:val="43C77C27"/>
    <w:rsid w:val="43DE09EE"/>
    <w:rsid w:val="43F565F9"/>
    <w:rsid w:val="44002FAD"/>
    <w:rsid w:val="449101DD"/>
    <w:rsid w:val="44DE1391"/>
    <w:rsid w:val="44F462AF"/>
    <w:rsid w:val="451B225C"/>
    <w:rsid w:val="452410C9"/>
    <w:rsid w:val="45317DFB"/>
    <w:rsid w:val="456D3CE4"/>
    <w:rsid w:val="4579042C"/>
    <w:rsid w:val="457F0571"/>
    <w:rsid w:val="45851176"/>
    <w:rsid w:val="45C63B94"/>
    <w:rsid w:val="460E7DA5"/>
    <w:rsid w:val="46422483"/>
    <w:rsid w:val="4659254A"/>
    <w:rsid w:val="465B0637"/>
    <w:rsid w:val="465E3F0D"/>
    <w:rsid w:val="466A16E6"/>
    <w:rsid w:val="46893F2B"/>
    <w:rsid w:val="46C4686E"/>
    <w:rsid w:val="475C24EB"/>
    <w:rsid w:val="477B778F"/>
    <w:rsid w:val="478203EC"/>
    <w:rsid w:val="47B025FA"/>
    <w:rsid w:val="4809698F"/>
    <w:rsid w:val="4811697D"/>
    <w:rsid w:val="487A3E25"/>
    <w:rsid w:val="488B5503"/>
    <w:rsid w:val="48937E21"/>
    <w:rsid w:val="489A0361"/>
    <w:rsid w:val="48B94FF3"/>
    <w:rsid w:val="48E37AAB"/>
    <w:rsid w:val="48FD4B4C"/>
    <w:rsid w:val="490A68E0"/>
    <w:rsid w:val="491055FE"/>
    <w:rsid w:val="495F5B3E"/>
    <w:rsid w:val="496F77D7"/>
    <w:rsid w:val="497654FD"/>
    <w:rsid w:val="49B64211"/>
    <w:rsid w:val="49F6167F"/>
    <w:rsid w:val="4A064FA0"/>
    <w:rsid w:val="4A16615C"/>
    <w:rsid w:val="4A4424D7"/>
    <w:rsid w:val="4AB82D0F"/>
    <w:rsid w:val="4AEB7664"/>
    <w:rsid w:val="4AFD7C19"/>
    <w:rsid w:val="4B0567D1"/>
    <w:rsid w:val="4B236AAE"/>
    <w:rsid w:val="4B707271"/>
    <w:rsid w:val="4B9739F7"/>
    <w:rsid w:val="4BEE2503"/>
    <w:rsid w:val="4C245A30"/>
    <w:rsid w:val="4CB6685F"/>
    <w:rsid w:val="4CC367FE"/>
    <w:rsid w:val="4D077F3C"/>
    <w:rsid w:val="4D123355"/>
    <w:rsid w:val="4D2A3B31"/>
    <w:rsid w:val="4D312C52"/>
    <w:rsid w:val="4D905305"/>
    <w:rsid w:val="4D964A72"/>
    <w:rsid w:val="4D9C1254"/>
    <w:rsid w:val="4D9C6E2F"/>
    <w:rsid w:val="4E693057"/>
    <w:rsid w:val="4E793892"/>
    <w:rsid w:val="4E800872"/>
    <w:rsid w:val="4EC569ED"/>
    <w:rsid w:val="4ED50EA1"/>
    <w:rsid w:val="4EEC050C"/>
    <w:rsid w:val="4F104EC3"/>
    <w:rsid w:val="4F47354A"/>
    <w:rsid w:val="4F911C54"/>
    <w:rsid w:val="4FE625E0"/>
    <w:rsid w:val="5021480F"/>
    <w:rsid w:val="50962ECB"/>
    <w:rsid w:val="50A42E38"/>
    <w:rsid w:val="50A4577F"/>
    <w:rsid w:val="50B73D1F"/>
    <w:rsid w:val="50BD5BC9"/>
    <w:rsid w:val="50C11EEE"/>
    <w:rsid w:val="50E97CFC"/>
    <w:rsid w:val="50FA4028"/>
    <w:rsid w:val="510D65B7"/>
    <w:rsid w:val="511157AB"/>
    <w:rsid w:val="5142540C"/>
    <w:rsid w:val="518832C8"/>
    <w:rsid w:val="519D3C50"/>
    <w:rsid w:val="51A0432A"/>
    <w:rsid w:val="51A86090"/>
    <w:rsid w:val="51B7396D"/>
    <w:rsid w:val="522E4CC3"/>
    <w:rsid w:val="5244713B"/>
    <w:rsid w:val="52615633"/>
    <w:rsid w:val="526F4DE4"/>
    <w:rsid w:val="52977FD4"/>
    <w:rsid w:val="52A25790"/>
    <w:rsid w:val="52A96B6F"/>
    <w:rsid w:val="52B45975"/>
    <w:rsid w:val="52BC7E8B"/>
    <w:rsid w:val="52D94AA4"/>
    <w:rsid w:val="52EA3A62"/>
    <w:rsid w:val="52F50BB8"/>
    <w:rsid w:val="53097272"/>
    <w:rsid w:val="53544462"/>
    <w:rsid w:val="5397158E"/>
    <w:rsid w:val="54013861"/>
    <w:rsid w:val="54487265"/>
    <w:rsid w:val="544D6070"/>
    <w:rsid w:val="54605E1E"/>
    <w:rsid w:val="54B3506A"/>
    <w:rsid w:val="54CA0D16"/>
    <w:rsid w:val="54DD4057"/>
    <w:rsid w:val="54E7490F"/>
    <w:rsid w:val="550764A4"/>
    <w:rsid w:val="550B2BF6"/>
    <w:rsid w:val="55214EB5"/>
    <w:rsid w:val="552A2BBF"/>
    <w:rsid w:val="55364EFD"/>
    <w:rsid w:val="555D4828"/>
    <w:rsid w:val="557A4C8B"/>
    <w:rsid w:val="558931E1"/>
    <w:rsid w:val="55923347"/>
    <w:rsid w:val="55925180"/>
    <w:rsid w:val="55983B1B"/>
    <w:rsid w:val="55A8376B"/>
    <w:rsid w:val="55DC29B6"/>
    <w:rsid w:val="55DD4241"/>
    <w:rsid w:val="566B6D1E"/>
    <w:rsid w:val="56A7044E"/>
    <w:rsid w:val="57032A2C"/>
    <w:rsid w:val="570452C9"/>
    <w:rsid w:val="570F5219"/>
    <w:rsid w:val="575D12B5"/>
    <w:rsid w:val="57610A87"/>
    <w:rsid w:val="577B1140"/>
    <w:rsid w:val="577B7F21"/>
    <w:rsid w:val="577F181B"/>
    <w:rsid w:val="57921984"/>
    <w:rsid w:val="579737F0"/>
    <w:rsid w:val="57AB7B30"/>
    <w:rsid w:val="57AF5251"/>
    <w:rsid w:val="57B26373"/>
    <w:rsid w:val="57B63F04"/>
    <w:rsid w:val="57CD20C2"/>
    <w:rsid w:val="57D3104A"/>
    <w:rsid w:val="57D675AB"/>
    <w:rsid w:val="57D95FDD"/>
    <w:rsid w:val="58423463"/>
    <w:rsid w:val="58917D2F"/>
    <w:rsid w:val="5894085C"/>
    <w:rsid w:val="58AE4F0C"/>
    <w:rsid w:val="58B85899"/>
    <w:rsid w:val="58E363A9"/>
    <w:rsid w:val="595E1678"/>
    <w:rsid w:val="596D5BD4"/>
    <w:rsid w:val="597E3DD8"/>
    <w:rsid w:val="59F80043"/>
    <w:rsid w:val="5A09252F"/>
    <w:rsid w:val="5A0B2778"/>
    <w:rsid w:val="5A2A7C7B"/>
    <w:rsid w:val="5A3E2560"/>
    <w:rsid w:val="5A413124"/>
    <w:rsid w:val="5A5D3B6E"/>
    <w:rsid w:val="5A637A76"/>
    <w:rsid w:val="5A6D33BA"/>
    <w:rsid w:val="5A792B1F"/>
    <w:rsid w:val="5A874767"/>
    <w:rsid w:val="5AA85BE2"/>
    <w:rsid w:val="5AAD6F28"/>
    <w:rsid w:val="5AD63A24"/>
    <w:rsid w:val="5B2E1A1D"/>
    <w:rsid w:val="5B843A1C"/>
    <w:rsid w:val="5B873E3F"/>
    <w:rsid w:val="5C02690E"/>
    <w:rsid w:val="5C196DA7"/>
    <w:rsid w:val="5C2A048C"/>
    <w:rsid w:val="5C80234E"/>
    <w:rsid w:val="5C8A680C"/>
    <w:rsid w:val="5D0C4701"/>
    <w:rsid w:val="5D0F0395"/>
    <w:rsid w:val="5D221076"/>
    <w:rsid w:val="5D235B2D"/>
    <w:rsid w:val="5D397964"/>
    <w:rsid w:val="5D5A391C"/>
    <w:rsid w:val="5D5F10C0"/>
    <w:rsid w:val="5D891B7B"/>
    <w:rsid w:val="5DAD38EE"/>
    <w:rsid w:val="5E006862"/>
    <w:rsid w:val="5E0207B9"/>
    <w:rsid w:val="5E1834A1"/>
    <w:rsid w:val="5E261785"/>
    <w:rsid w:val="5E4A7017"/>
    <w:rsid w:val="5E552BBA"/>
    <w:rsid w:val="5E611C10"/>
    <w:rsid w:val="5E7A0F3F"/>
    <w:rsid w:val="5EFC7377"/>
    <w:rsid w:val="5F06174D"/>
    <w:rsid w:val="5F0E1A83"/>
    <w:rsid w:val="5F3A3602"/>
    <w:rsid w:val="5F45733B"/>
    <w:rsid w:val="5F6277C6"/>
    <w:rsid w:val="5F6D0B1D"/>
    <w:rsid w:val="5F8D0B82"/>
    <w:rsid w:val="5FCC5339"/>
    <w:rsid w:val="5FE34A5B"/>
    <w:rsid w:val="5FFE1E36"/>
    <w:rsid w:val="60232584"/>
    <w:rsid w:val="607330CE"/>
    <w:rsid w:val="60825176"/>
    <w:rsid w:val="609F2AC4"/>
    <w:rsid w:val="60E73507"/>
    <w:rsid w:val="60FA2EE8"/>
    <w:rsid w:val="61054A27"/>
    <w:rsid w:val="610A52BC"/>
    <w:rsid w:val="611D2366"/>
    <w:rsid w:val="61421856"/>
    <w:rsid w:val="615227C4"/>
    <w:rsid w:val="61524EF4"/>
    <w:rsid w:val="61654E3F"/>
    <w:rsid w:val="6182292A"/>
    <w:rsid w:val="619F7F92"/>
    <w:rsid w:val="61F94C26"/>
    <w:rsid w:val="62000E56"/>
    <w:rsid w:val="624F3E49"/>
    <w:rsid w:val="62632286"/>
    <w:rsid w:val="62885958"/>
    <w:rsid w:val="62F40B65"/>
    <w:rsid w:val="62FC2CFE"/>
    <w:rsid w:val="63024505"/>
    <w:rsid w:val="635600A5"/>
    <w:rsid w:val="635B1DB5"/>
    <w:rsid w:val="63711FED"/>
    <w:rsid w:val="63880DDC"/>
    <w:rsid w:val="638D750D"/>
    <w:rsid w:val="63AC6CC0"/>
    <w:rsid w:val="64055776"/>
    <w:rsid w:val="64240056"/>
    <w:rsid w:val="643E143A"/>
    <w:rsid w:val="64491666"/>
    <w:rsid w:val="648B6EEF"/>
    <w:rsid w:val="64C158BF"/>
    <w:rsid w:val="64CE2EAA"/>
    <w:rsid w:val="64E61819"/>
    <w:rsid w:val="653C3090"/>
    <w:rsid w:val="65854376"/>
    <w:rsid w:val="658767BE"/>
    <w:rsid w:val="65892531"/>
    <w:rsid w:val="66195831"/>
    <w:rsid w:val="662E75B1"/>
    <w:rsid w:val="66342C2E"/>
    <w:rsid w:val="663E784C"/>
    <w:rsid w:val="668B6A45"/>
    <w:rsid w:val="672F3F24"/>
    <w:rsid w:val="673E055F"/>
    <w:rsid w:val="67551CE3"/>
    <w:rsid w:val="67A22552"/>
    <w:rsid w:val="67B22DCC"/>
    <w:rsid w:val="67BE71AA"/>
    <w:rsid w:val="67D90273"/>
    <w:rsid w:val="67DE5875"/>
    <w:rsid w:val="67E55852"/>
    <w:rsid w:val="67EB1AB4"/>
    <w:rsid w:val="67FA1285"/>
    <w:rsid w:val="68551F4F"/>
    <w:rsid w:val="687C10C9"/>
    <w:rsid w:val="68840C16"/>
    <w:rsid w:val="68876EFB"/>
    <w:rsid w:val="68884654"/>
    <w:rsid w:val="689F444F"/>
    <w:rsid w:val="68B96DBB"/>
    <w:rsid w:val="68CA2805"/>
    <w:rsid w:val="68E937A3"/>
    <w:rsid w:val="693E15D3"/>
    <w:rsid w:val="69627681"/>
    <w:rsid w:val="6977531D"/>
    <w:rsid w:val="69CC2BFF"/>
    <w:rsid w:val="69FD55B8"/>
    <w:rsid w:val="6A0B1C62"/>
    <w:rsid w:val="6A143CBD"/>
    <w:rsid w:val="6A2406C8"/>
    <w:rsid w:val="6A9D13FA"/>
    <w:rsid w:val="6ADE0BD1"/>
    <w:rsid w:val="6AE96859"/>
    <w:rsid w:val="6B147746"/>
    <w:rsid w:val="6B24787C"/>
    <w:rsid w:val="6B573233"/>
    <w:rsid w:val="6B5B6274"/>
    <w:rsid w:val="6B935D53"/>
    <w:rsid w:val="6C196F71"/>
    <w:rsid w:val="6C226FCB"/>
    <w:rsid w:val="6C31226F"/>
    <w:rsid w:val="6C552F0B"/>
    <w:rsid w:val="6C8C67B7"/>
    <w:rsid w:val="6C9B343E"/>
    <w:rsid w:val="6C9D744C"/>
    <w:rsid w:val="6D167928"/>
    <w:rsid w:val="6D26299B"/>
    <w:rsid w:val="6D4772EC"/>
    <w:rsid w:val="6D9078AF"/>
    <w:rsid w:val="6DAA3FEF"/>
    <w:rsid w:val="6DBE0F5A"/>
    <w:rsid w:val="6DC0172B"/>
    <w:rsid w:val="6DCB690C"/>
    <w:rsid w:val="6DD41A5B"/>
    <w:rsid w:val="6DF43C2E"/>
    <w:rsid w:val="6DF51CA3"/>
    <w:rsid w:val="6E8335BD"/>
    <w:rsid w:val="6E8E12EF"/>
    <w:rsid w:val="6E972936"/>
    <w:rsid w:val="6ED446C5"/>
    <w:rsid w:val="6F2A7D94"/>
    <w:rsid w:val="6F8331F1"/>
    <w:rsid w:val="6FAA5C3A"/>
    <w:rsid w:val="6FAE1A09"/>
    <w:rsid w:val="6FD75BF8"/>
    <w:rsid w:val="6FFF1196"/>
    <w:rsid w:val="707723D0"/>
    <w:rsid w:val="70F5661B"/>
    <w:rsid w:val="71360107"/>
    <w:rsid w:val="713B688E"/>
    <w:rsid w:val="71D43752"/>
    <w:rsid w:val="71F1796A"/>
    <w:rsid w:val="72154626"/>
    <w:rsid w:val="72262B5D"/>
    <w:rsid w:val="72283FF7"/>
    <w:rsid w:val="722E7212"/>
    <w:rsid w:val="723A0474"/>
    <w:rsid w:val="725923E4"/>
    <w:rsid w:val="72864BF7"/>
    <w:rsid w:val="729023FC"/>
    <w:rsid w:val="73C0646E"/>
    <w:rsid w:val="742222F5"/>
    <w:rsid w:val="74476126"/>
    <w:rsid w:val="74706664"/>
    <w:rsid w:val="747F3682"/>
    <w:rsid w:val="749C4185"/>
    <w:rsid w:val="75067759"/>
    <w:rsid w:val="752E6DCD"/>
    <w:rsid w:val="7551380D"/>
    <w:rsid w:val="75600BE5"/>
    <w:rsid w:val="7564475C"/>
    <w:rsid w:val="7583797F"/>
    <w:rsid w:val="758B5587"/>
    <w:rsid w:val="75D20F1D"/>
    <w:rsid w:val="75DA2C18"/>
    <w:rsid w:val="75F54412"/>
    <w:rsid w:val="761D08E0"/>
    <w:rsid w:val="765D347C"/>
    <w:rsid w:val="76826699"/>
    <w:rsid w:val="76C87133"/>
    <w:rsid w:val="76CD08D5"/>
    <w:rsid w:val="76DB4B92"/>
    <w:rsid w:val="77052AA4"/>
    <w:rsid w:val="77136511"/>
    <w:rsid w:val="77340A39"/>
    <w:rsid w:val="77351FD0"/>
    <w:rsid w:val="77373422"/>
    <w:rsid w:val="77472422"/>
    <w:rsid w:val="777F31F2"/>
    <w:rsid w:val="77D1700D"/>
    <w:rsid w:val="77EC04CC"/>
    <w:rsid w:val="78775729"/>
    <w:rsid w:val="78A42DB0"/>
    <w:rsid w:val="78A656AB"/>
    <w:rsid w:val="78B2245C"/>
    <w:rsid w:val="78E172CC"/>
    <w:rsid w:val="78EA1D1F"/>
    <w:rsid w:val="7904172F"/>
    <w:rsid w:val="790F7E27"/>
    <w:rsid w:val="792A231A"/>
    <w:rsid w:val="79316829"/>
    <w:rsid w:val="797E66A9"/>
    <w:rsid w:val="798518A4"/>
    <w:rsid w:val="79A97383"/>
    <w:rsid w:val="79BD70A9"/>
    <w:rsid w:val="79E27E8B"/>
    <w:rsid w:val="79F850CE"/>
    <w:rsid w:val="79FD443C"/>
    <w:rsid w:val="7A1D1975"/>
    <w:rsid w:val="7A3E5150"/>
    <w:rsid w:val="7A4670D6"/>
    <w:rsid w:val="7A534B63"/>
    <w:rsid w:val="7A615382"/>
    <w:rsid w:val="7A67303B"/>
    <w:rsid w:val="7AAB1D04"/>
    <w:rsid w:val="7ABA4368"/>
    <w:rsid w:val="7AD05746"/>
    <w:rsid w:val="7B257FFD"/>
    <w:rsid w:val="7B343476"/>
    <w:rsid w:val="7B5A2978"/>
    <w:rsid w:val="7B5A7E4C"/>
    <w:rsid w:val="7B667AF9"/>
    <w:rsid w:val="7B7468F8"/>
    <w:rsid w:val="7BEE0103"/>
    <w:rsid w:val="7C0A0FE4"/>
    <w:rsid w:val="7C254906"/>
    <w:rsid w:val="7C590818"/>
    <w:rsid w:val="7C7C10F6"/>
    <w:rsid w:val="7C853BEA"/>
    <w:rsid w:val="7C881368"/>
    <w:rsid w:val="7CE27788"/>
    <w:rsid w:val="7D0C32F1"/>
    <w:rsid w:val="7D0F408D"/>
    <w:rsid w:val="7D491C6C"/>
    <w:rsid w:val="7D5429C0"/>
    <w:rsid w:val="7D6E6D43"/>
    <w:rsid w:val="7DB57A34"/>
    <w:rsid w:val="7DE60973"/>
    <w:rsid w:val="7DEF0916"/>
    <w:rsid w:val="7E0929FF"/>
    <w:rsid w:val="7E1E5218"/>
    <w:rsid w:val="7E3231B3"/>
    <w:rsid w:val="7E9A4E1F"/>
    <w:rsid w:val="7EA7723A"/>
    <w:rsid w:val="7EF56FBB"/>
    <w:rsid w:val="7F0768EB"/>
    <w:rsid w:val="7F143BEC"/>
    <w:rsid w:val="7F715AF2"/>
    <w:rsid w:val="7F886E69"/>
    <w:rsid w:val="BB7FA927"/>
    <w:rsid w:val="F5FFD31F"/>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98"/>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2">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5"/>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838"/>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808"/>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677"/>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820"/>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865"/>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708"/>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2">
    <w:name w:val="Default Paragraph Font"/>
    <w:link w:val="63"/>
    <w:unhideWhenUsed/>
    <w:qFormat/>
    <w:uiPriority w:val="1"/>
    <w:rPr>
      <w:rFonts w:ascii="仿宋_GB2312" w:eastAsia="仿宋_GB2312"/>
      <w:b/>
      <w:sz w:val="32"/>
      <w:szCs w:val="32"/>
    </w:rPr>
  </w:style>
  <w:style w:type="table" w:default="1" w:styleId="73">
    <w:name w:val="Normal Table"/>
    <w:unhideWhenUsed/>
    <w:qFormat/>
    <w:uiPriority w:val="99"/>
    <w:tblPr>
      <w:tblStyle w:val="73"/>
      <w:tblLayout w:type="fixed"/>
      <w:tblCellMar>
        <w:top w:w="0" w:type="dxa"/>
        <w:left w:w="108" w:type="dxa"/>
        <w:bottom w:w="0" w:type="dxa"/>
        <w:right w:w="108" w:type="dxa"/>
      </w:tblCellMar>
    </w:tblPr>
    <w:tcPr>
      <w:textDirection w:val="lrTb"/>
    </w:tcPr>
  </w:style>
  <w:style w:type="paragraph" w:styleId="5">
    <w:name w:val="Normal Indent"/>
    <w:basedOn w:val="1"/>
    <w:link w:val="718"/>
    <w:qFormat/>
    <w:uiPriority w:val="0"/>
    <w:pPr>
      <w:widowControl/>
      <w:snapToGrid w:val="0"/>
      <w:spacing w:line="480" w:lineRule="exact"/>
      <w:ind w:firstLine="567"/>
    </w:pPr>
    <w:rPr>
      <w:rFonts w:ascii="宋体"/>
      <w:snapToGrid w:val="0"/>
      <w:color w:val="000000"/>
      <w:kern w:val="28"/>
      <w:sz w:val="28"/>
      <w:szCs w:val="20"/>
    </w:rPr>
  </w:style>
  <w:style w:type="paragraph" w:styleId="12">
    <w:name w:val="annotation subject"/>
    <w:basedOn w:val="13"/>
    <w:next w:val="13"/>
    <w:link w:val="630"/>
    <w:qFormat/>
    <w:uiPriority w:val="0"/>
    <w:rPr>
      <w:b/>
      <w:bCs/>
    </w:rPr>
  </w:style>
  <w:style w:type="paragraph" w:styleId="13">
    <w:name w:val="annotation text"/>
    <w:basedOn w:val="1"/>
    <w:link w:val="853"/>
    <w:qFormat/>
    <w:uiPriority w:val="99"/>
    <w:pPr>
      <w:jc w:val="left"/>
    </w:pPr>
  </w:style>
  <w:style w:type="paragraph" w:styleId="14">
    <w:name w:val="toc 7"/>
    <w:basedOn w:val="1"/>
    <w:next w:val="1"/>
    <w:qFormat/>
    <w:uiPriority w:val="0"/>
    <w:pPr>
      <w:ind w:left="2520" w:leftChars="1200"/>
    </w:pPr>
  </w:style>
  <w:style w:type="paragraph" w:styleId="15">
    <w:name w:val="Body Text First Indent"/>
    <w:basedOn w:val="16"/>
    <w:link w:val="832"/>
    <w:qFormat/>
    <w:uiPriority w:val="0"/>
    <w:pPr>
      <w:ind w:firstLine="420"/>
    </w:pPr>
    <w:rPr>
      <w:rFonts w:hAnsi="Calibri" w:cs="Times New Roman"/>
      <w:szCs w:val="20"/>
    </w:rPr>
  </w:style>
  <w:style w:type="paragraph" w:styleId="16">
    <w:name w:val="Body Text"/>
    <w:basedOn w:val="1"/>
    <w:link w:val="930"/>
    <w:qFormat/>
    <w:uiPriority w:val="0"/>
    <w:pPr>
      <w:autoSpaceDE w:val="0"/>
      <w:autoSpaceDN w:val="0"/>
      <w:spacing w:line="360" w:lineRule="auto"/>
    </w:pPr>
    <w:rPr>
      <w:rFonts w:ascii="宋体" w:hAnsi="Arial" w:cs="Arial"/>
      <w:snapToGrid w:val="0"/>
      <w:sz w:val="24"/>
      <w:szCs w:val="21"/>
      <w:lang w:val="zh-CN"/>
    </w:rPr>
  </w:style>
  <w:style w:type="paragraph" w:styleId="17">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8">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9">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20">
    <w:name w:val="caption"/>
    <w:basedOn w:val="1"/>
    <w:next w:val="1"/>
    <w:link w:val="750"/>
    <w:qFormat/>
    <w:uiPriority w:val="0"/>
    <w:rPr>
      <w:b/>
      <w:sz w:val="28"/>
      <w:szCs w:val="20"/>
    </w:rPr>
  </w:style>
  <w:style w:type="paragraph" w:styleId="21">
    <w:name w:val="index 5"/>
    <w:basedOn w:val="1"/>
    <w:next w:val="1"/>
    <w:qFormat/>
    <w:uiPriority w:val="0"/>
    <w:pPr>
      <w:adjustRightInd/>
      <w:ind w:left="800" w:leftChars="800" w:firstLine="200" w:firstLineChars="200"/>
    </w:pPr>
  </w:style>
  <w:style w:type="paragraph" w:styleId="22">
    <w:name w:val="Document Map"/>
    <w:basedOn w:val="1"/>
    <w:link w:val="725"/>
    <w:qFormat/>
    <w:uiPriority w:val="0"/>
    <w:pPr>
      <w:shd w:val="clear" w:color="auto" w:fill="000080"/>
    </w:pPr>
  </w:style>
  <w:style w:type="paragraph" w:styleId="23">
    <w:name w:val="Salutation"/>
    <w:basedOn w:val="1"/>
    <w:next w:val="1"/>
    <w:link w:val="813"/>
    <w:qFormat/>
    <w:uiPriority w:val="0"/>
    <w:rPr>
      <w:rFonts w:ascii="仿宋_GB2312" w:eastAsia="仿宋_GB2312"/>
      <w:sz w:val="28"/>
      <w:szCs w:val="20"/>
    </w:rPr>
  </w:style>
  <w:style w:type="paragraph" w:styleId="24">
    <w:name w:val="Body Text 3"/>
    <w:basedOn w:val="1"/>
    <w:link w:val="841"/>
    <w:qFormat/>
    <w:uiPriority w:val="0"/>
    <w:pPr>
      <w:jc w:val="center"/>
    </w:pPr>
    <w:rPr>
      <w:szCs w:val="20"/>
    </w:rPr>
  </w:style>
  <w:style w:type="paragraph" w:styleId="25">
    <w:name w:val="List Bullet 3"/>
    <w:basedOn w:val="1"/>
    <w:unhideWhenUsed/>
    <w:qFormat/>
    <w:uiPriority w:val="0"/>
    <w:pPr>
      <w:snapToGrid w:val="0"/>
      <w:spacing w:line="360" w:lineRule="auto"/>
      <w:ind w:left="360" w:right="238" w:hanging="360"/>
      <w:contextualSpacing/>
    </w:pPr>
    <w:rPr>
      <w:sz w:val="24"/>
    </w:rPr>
  </w:style>
  <w:style w:type="paragraph" w:styleId="26">
    <w:name w:val="Body Text Indent"/>
    <w:basedOn w:val="1"/>
    <w:link w:val="781"/>
    <w:qFormat/>
    <w:uiPriority w:val="0"/>
    <w:pPr>
      <w:spacing w:line="480" w:lineRule="exact"/>
      <w:ind w:firstLine="480" w:firstLineChars="200"/>
    </w:pPr>
    <w:rPr>
      <w:rFonts w:ascii="宋体" w:hAnsi="宋体"/>
      <w:sz w:val="24"/>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742"/>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657"/>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707"/>
    <w:qFormat/>
    <w:uiPriority w:val="0"/>
    <w:pPr>
      <w:ind w:left="100" w:leftChars="2500"/>
    </w:pPr>
    <w:rPr>
      <w:rFonts w:ascii="宋体"/>
      <w:sz w:val="24"/>
      <w:szCs w:val="21"/>
      <w:lang w:val="zh-CN"/>
    </w:rPr>
  </w:style>
  <w:style w:type="paragraph" w:styleId="38">
    <w:name w:val="Body Text Indent 2"/>
    <w:basedOn w:val="1"/>
    <w:link w:val="821"/>
    <w:qFormat/>
    <w:uiPriority w:val="0"/>
    <w:pPr>
      <w:spacing w:line="360" w:lineRule="auto"/>
      <w:ind w:firstLine="601"/>
      <w:textAlignment w:val="baseline"/>
    </w:pPr>
    <w:rPr>
      <w:rFonts w:ascii="宋体"/>
      <w:kern w:val="0"/>
      <w:sz w:val="28"/>
      <w:szCs w:val="20"/>
    </w:rPr>
  </w:style>
  <w:style w:type="paragraph" w:styleId="39">
    <w:name w:val="endnote text"/>
    <w:basedOn w:val="1"/>
    <w:link w:val="938"/>
    <w:qFormat/>
    <w:uiPriority w:val="0"/>
    <w:rPr>
      <w:lang w:val="zh-CN"/>
    </w:rPr>
  </w:style>
  <w:style w:type="paragraph" w:styleId="40">
    <w:name w:val="Balloon Text"/>
    <w:basedOn w:val="1"/>
    <w:link w:val="714"/>
    <w:qFormat/>
    <w:uiPriority w:val="0"/>
    <w:rPr>
      <w:sz w:val="18"/>
      <w:szCs w:val="18"/>
    </w:rPr>
  </w:style>
  <w:style w:type="paragraph" w:styleId="41">
    <w:name w:val="footer"/>
    <w:basedOn w:val="1"/>
    <w:link w:val="889"/>
    <w:qFormat/>
    <w:uiPriority w:val="99"/>
    <w:pPr>
      <w:tabs>
        <w:tab w:val="center" w:pos="4153"/>
        <w:tab w:val="right" w:pos="8306"/>
      </w:tabs>
      <w:snapToGrid w:val="0"/>
      <w:jc w:val="left"/>
    </w:pPr>
    <w:rPr>
      <w:sz w:val="18"/>
      <w:szCs w:val="18"/>
    </w:rPr>
  </w:style>
  <w:style w:type="paragraph" w:styleId="42">
    <w:name w:val="Body Text First Indent 2"/>
    <w:basedOn w:val="26"/>
    <w:link w:val="653"/>
    <w:qFormat/>
    <w:uiPriority w:val="0"/>
    <w:pPr>
      <w:adjustRightInd/>
      <w:spacing w:after="120" w:line="240" w:lineRule="auto"/>
      <w:ind w:left="420" w:leftChars="200" w:firstLine="210"/>
    </w:pPr>
    <w:rPr>
      <w:sz w:val="21"/>
    </w:rPr>
  </w:style>
  <w:style w:type="paragraph" w:styleId="43">
    <w:name w:val="header"/>
    <w:basedOn w:val="1"/>
    <w:link w:val="897"/>
    <w:qFormat/>
    <w:uiPriority w:val="99"/>
    <w:pPr>
      <w:pBdr>
        <w:bottom w:val="single" w:color="auto" w:sz="6" w:space="1"/>
      </w:pBdr>
      <w:tabs>
        <w:tab w:val="center" w:pos="4153"/>
        <w:tab w:val="right" w:pos="8306"/>
      </w:tabs>
      <w:snapToGrid w:val="0"/>
      <w:jc w:val="center"/>
    </w:pPr>
    <w:rPr>
      <w:sz w:val="18"/>
      <w:szCs w:val="18"/>
    </w:rPr>
  </w:style>
  <w:style w:type="paragraph" w:styleId="44">
    <w:name w:val="Signature"/>
    <w:basedOn w:val="1"/>
    <w:link w:val="854"/>
    <w:qFormat/>
    <w:uiPriority w:val="0"/>
    <w:pPr>
      <w:spacing w:after="600" w:line="312" w:lineRule="atLeast"/>
      <w:jc w:val="center"/>
      <w:textAlignment w:val="baseline"/>
    </w:pPr>
    <w:rPr>
      <w:rFonts w:eastAsia="仿宋_GB2312"/>
      <w:kern w:val="0"/>
      <w:sz w:val="24"/>
      <w:szCs w:val="20"/>
    </w:rPr>
  </w:style>
  <w:style w:type="paragraph" w:styleId="45">
    <w:name w:val="toc 1"/>
    <w:basedOn w:val="1"/>
    <w:next w:val="1"/>
    <w:qFormat/>
    <w:uiPriority w:val="0"/>
  </w:style>
  <w:style w:type="paragraph" w:styleId="46">
    <w:name w:val="toc 4"/>
    <w:basedOn w:val="1"/>
    <w:next w:val="1"/>
    <w:qFormat/>
    <w:uiPriority w:val="0"/>
    <w:pPr>
      <w:ind w:left="1260" w:leftChars="600"/>
    </w:pPr>
  </w:style>
  <w:style w:type="paragraph" w:styleId="47">
    <w:name w:val="index heading"/>
    <w:basedOn w:val="1"/>
    <w:next w:val="48"/>
    <w:qFormat/>
    <w:uiPriority w:val="0"/>
    <w:pPr>
      <w:adjustRightInd/>
      <w:ind w:firstLine="200" w:firstLineChars="200"/>
    </w:pPr>
  </w:style>
  <w:style w:type="paragraph" w:styleId="48">
    <w:name w:val="index 1"/>
    <w:basedOn w:val="1"/>
    <w:next w:val="1"/>
    <w:qFormat/>
    <w:uiPriority w:val="0"/>
    <w:pPr>
      <w:adjustRightInd/>
      <w:spacing w:line="360" w:lineRule="auto"/>
      <w:ind w:firstLine="200" w:firstLineChars="200"/>
      <w:jc w:val="center"/>
    </w:pPr>
    <w:rPr>
      <w:sz w:val="24"/>
      <w:szCs w:val="20"/>
    </w:rPr>
  </w:style>
  <w:style w:type="paragraph" w:styleId="49">
    <w:name w:val="Subtitle"/>
    <w:link w:val="66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50">
    <w:name w:val="List Number 5"/>
    <w:basedOn w:val="1"/>
    <w:qFormat/>
    <w:uiPriority w:val="0"/>
    <w:pPr>
      <w:tabs>
        <w:tab w:val="left" w:pos="902"/>
      </w:tabs>
      <w:adjustRightInd/>
      <w:spacing w:line="400" w:lineRule="exact"/>
      <w:ind w:left="902" w:hanging="420"/>
    </w:pPr>
    <w:rPr>
      <w:sz w:val="24"/>
      <w:szCs w:val="20"/>
    </w:rPr>
  </w:style>
  <w:style w:type="paragraph" w:styleId="51">
    <w:name w:val="List"/>
    <w:basedOn w:val="1"/>
    <w:qFormat/>
    <w:uiPriority w:val="0"/>
    <w:pPr>
      <w:ind w:left="200" w:hanging="200" w:hangingChars="200"/>
    </w:pPr>
  </w:style>
  <w:style w:type="paragraph" w:styleId="52">
    <w:name w:val="footnote text"/>
    <w:basedOn w:val="5"/>
    <w:link w:val="823"/>
    <w:qFormat/>
    <w:uiPriority w:val="0"/>
    <w:pPr>
      <w:adjustRightInd/>
      <w:snapToGrid/>
      <w:spacing w:before="60" w:after="60" w:line="300" w:lineRule="exact"/>
      <w:ind w:firstLine="0"/>
    </w:pPr>
    <w:rPr>
      <w:rFonts w:ascii="Calibri"/>
      <w:color w:val="0000FF"/>
      <w:kern w:val="0"/>
      <w:sz w:val="21"/>
    </w:rPr>
  </w:style>
  <w:style w:type="paragraph" w:styleId="53">
    <w:name w:val="toc 6"/>
    <w:basedOn w:val="1"/>
    <w:next w:val="1"/>
    <w:qFormat/>
    <w:uiPriority w:val="0"/>
    <w:pPr>
      <w:ind w:left="2100" w:leftChars="1000"/>
    </w:pPr>
  </w:style>
  <w:style w:type="paragraph" w:styleId="54">
    <w:name w:val="List 5"/>
    <w:basedOn w:val="1"/>
    <w:qFormat/>
    <w:uiPriority w:val="0"/>
    <w:pPr>
      <w:adjustRightInd/>
      <w:ind w:left="100" w:leftChars="800" w:hanging="200" w:hangingChars="200"/>
    </w:pPr>
  </w:style>
  <w:style w:type="paragraph" w:styleId="55">
    <w:name w:val="Body Text Indent 3"/>
    <w:basedOn w:val="1"/>
    <w:link w:val="882"/>
    <w:qFormat/>
    <w:uiPriority w:val="0"/>
    <w:pPr>
      <w:spacing w:line="360" w:lineRule="auto"/>
      <w:ind w:firstLine="420"/>
    </w:pPr>
    <w:rPr>
      <w:sz w:val="24"/>
      <w:szCs w:val="20"/>
    </w:rPr>
  </w:style>
  <w:style w:type="paragraph" w:styleId="56">
    <w:name w:val="toc 2"/>
    <w:basedOn w:val="1"/>
    <w:next w:val="1"/>
    <w:qFormat/>
    <w:uiPriority w:val="0"/>
    <w:pPr>
      <w:ind w:left="420" w:leftChars="200"/>
    </w:pPr>
  </w:style>
  <w:style w:type="paragraph" w:styleId="57">
    <w:name w:val="toc 9"/>
    <w:basedOn w:val="1"/>
    <w:next w:val="1"/>
    <w:qFormat/>
    <w:uiPriority w:val="0"/>
    <w:pPr>
      <w:ind w:left="3360" w:leftChars="1600"/>
    </w:pPr>
  </w:style>
  <w:style w:type="paragraph" w:styleId="58">
    <w:name w:val="Body Text 2"/>
    <w:basedOn w:val="1"/>
    <w:link w:val="817"/>
    <w:qFormat/>
    <w:uiPriority w:val="0"/>
    <w:pPr>
      <w:spacing w:after="120" w:line="480" w:lineRule="auto"/>
    </w:pPr>
  </w:style>
  <w:style w:type="paragraph" w:styleId="59">
    <w:name w:val="HTML Preformatted"/>
    <w:basedOn w:val="1"/>
    <w:link w:val="81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60">
    <w:name w:val="Normal (Web)"/>
    <w:basedOn w:val="1"/>
    <w:qFormat/>
    <w:uiPriority w:val="99"/>
    <w:pPr>
      <w:widowControl/>
      <w:spacing w:before="100" w:beforeAutospacing="1" w:after="100" w:afterAutospacing="1"/>
      <w:jc w:val="left"/>
    </w:pPr>
    <w:rPr>
      <w:rFonts w:ascii="宋体" w:hAnsi="宋体"/>
      <w:kern w:val="0"/>
      <w:sz w:val="24"/>
    </w:rPr>
  </w:style>
  <w:style w:type="paragraph" w:styleId="61">
    <w:name w:val="Title"/>
    <w:basedOn w:val="1"/>
    <w:link w:val="801"/>
    <w:qFormat/>
    <w:uiPriority w:val="10"/>
    <w:pPr>
      <w:widowControl/>
      <w:overflowPunct w:val="0"/>
      <w:autoSpaceDE w:val="0"/>
      <w:autoSpaceDN w:val="0"/>
      <w:jc w:val="center"/>
      <w:textAlignment w:val="baseline"/>
    </w:pPr>
    <w:rPr>
      <w:b/>
      <w:kern w:val="0"/>
      <w:sz w:val="24"/>
      <w:szCs w:val="20"/>
    </w:rPr>
  </w:style>
  <w:style w:type="paragraph" w:customStyle="1" w:styleId="63">
    <w:name w:val="Char1"/>
    <w:basedOn w:val="1"/>
    <w:link w:val="62"/>
    <w:qFormat/>
    <w:uiPriority w:val="0"/>
    <w:rPr>
      <w:rFonts w:ascii="仿宋_GB2312" w:eastAsia="仿宋_GB2312"/>
      <w:b/>
      <w:sz w:val="32"/>
      <w:szCs w:val="32"/>
    </w:rPr>
  </w:style>
  <w:style w:type="character" w:styleId="64">
    <w:name w:val="Strong"/>
    <w:qFormat/>
    <w:uiPriority w:val="22"/>
    <w:rPr>
      <w:b/>
      <w:bCs/>
    </w:rPr>
  </w:style>
  <w:style w:type="character" w:styleId="65">
    <w:name w:val="endnote reference"/>
    <w:qFormat/>
    <w:uiPriority w:val="0"/>
    <w:rPr>
      <w:vertAlign w:val="superscript"/>
    </w:rPr>
  </w:style>
  <w:style w:type="character" w:styleId="66">
    <w:name w:val="page number"/>
    <w:basedOn w:val="62"/>
    <w:qFormat/>
    <w:uiPriority w:val="0"/>
    <w:rPr>
      <w:rFonts w:ascii="Arial" w:hAnsi="Arial" w:eastAsia="黑体" w:cs="Arial"/>
      <w:snapToGrid w:val="0"/>
      <w:kern w:val="0"/>
      <w:szCs w:val="21"/>
    </w:rPr>
  </w:style>
  <w:style w:type="character" w:styleId="67">
    <w:name w:val="FollowedHyperlink"/>
    <w:qFormat/>
    <w:uiPriority w:val="99"/>
    <w:rPr>
      <w:rFonts w:ascii="Arial" w:hAnsi="Arial" w:eastAsia="黑体" w:cs="Arial"/>
      <w:snapToGrid w:val="0"/>
      <w:color w:val="000000"/>
      <w:kern w:val="0"/>
      <w:sz w:val="18"/>
      <w:szCs w:val="18"/>
      <w:u w:val="none"/>
    </w:rPr>
  </w:style>
  <w:style w:type="character" w:styleId="68">
    <w:name w:val="Emphasis"/>
    <w:qFormat/>
    <w:uiPriority w:val="20"/>
    <w:rPr>
      <w:color w:val="CC0033"/>
    </w:rPr>
  </w:style>
  <w:style w:type="character" w:styleId="69">
    <w:name w:val="line number"/>
    <w:basedOn w:val="62"/>
    <w:qFormat/>
    <w:uiPriority w:val="0"/>
    <w:rPr>
      <w:rFonts w:ascii="Arial" w:hAnsi="Arial" w:eastAsia="黑体" w:cs="Arial"/>
      <w:snapToGrid w:val="0"/>
      <w:kern w:val="0"/>
      <w:szCs w:val="21"/>
    </w:rPr>
  </w:style>
  <w:style w:type="character" w:styleId="70">
    <w:name w:val="Hyperlink"/>
    <w:qFormat/>
    <w:uiPriority w:val="99"/>
    <w:rPr>
      <w:rFonts w:ascii="Arial" w:hAnsi="Arial" w:eastAsia="黑体" w:cs="Arial"/>
      <w:snapToGrid w:val="0"/>
      <w:color w:val="000000"/>
      <w:kern w:val="0"/>
      <w:sz w:val="18"/>
      <w:szCs w:val="18"/>
      <w:u w:val="none"/>
    </w:rPr>
  </w:style>
  <w:style w:type="character" w:styleId="71">
    <w:name w:val="HTML Code"/>
    <w:qFormat/>
    <w:uiPriority w:val="0"/>
    <w:rPr>
      <w:rFonts w:ascii="黑体" w:hAnsi="Courier New" w:eastAsia="黑体" w:cs="楷体_GB2312"/>
      <w:sz w:val="20"/>
      <w:szCs w:val="20"/>
    </w:rPr>
  </w:style>
  <w:style w:type="character" w:styleId="72">
    <w:name w:val="annotation reference"/>
    <w:qFormat/>
    <w:uiPriority w:val="99"/>
    <w:rPr>
      <w:sz w:val="21"/>
      <w:szCs w:val="21"/>
    </w:rPr>
  </w:style>
  <w:style w:type="table" w:styleId="74">
    <w:name w:val="Table Grid"/>
    <w:basedOn w:val="73"/>
    <w:qFormat/>
    <w:uiPriority w:val="0"/>
    <w:pPr>
      <w:widowControl w:val="0"/>
      <w:jc w:val="both"/>
    </w:pPr>
    <w:tblPr>
      <w:tblStyle w:val="7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table" w:styleId="75">
    <w:name w:val="Table Theme"/>
    <w:basedOn w:val="73"/>
    <w:qFormat/>
    <w:uiPriority w:val="0"/>
    <w:pPr/>
    <w:tblPr>
      <w:tblStyle w:val="7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table" w:styleId="76">
    <w:name w:val="Table Elegant"/>
    <w:basedOn w:val="73"/>
    <w:qFormat/>
    <w:uiPriority w:val="0"/>
    <w:pPr>
      <w:widowControl w:val="0"/>
      <w:jc w:val="both"/>
    </w:pPr>
    <w:tblPr>
      <w:tblStyle w:val="73"/>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extDirection w:val="lrTb"/>
    </w:tcPr>
    <w:tblStylePr w:type="firstRow">
      <w:rPr>
        <w:caps/>
        <w:color w:val="auto"/>
      </w:rPr>
      <w:tblPr>
        <w:tblStyle w:val="73"/>
        <w:tblLayout w:type="fixed"/>
      </w:tblPr>
      <w:tcPr>
        <w:tcBorders>
          <w:top w:val="nil"/>
          <w:left w:val="nil"/>
          <w:bottom w:val="nil"/>
          <w:right w:val="nil"/>
          <w:insideH w:val="nil"/>
          <w:insideV w:val="nil"/>
          <w:tl2br w:val="nil"/>
          <w:tr2bl w:val="nil"/>
        </w:tcBorders>
        <w:textDirection w:val="lrTb"/>
      </w:tcPr>
    </w:tblStylePr>
  </w:style>
  <w:style w:type="table" w:styleId="77">
    <w:name w:val="Table Grid 5"/>
    <w:basedOn w:val="73"/>
    <w:qFormat/>
    <w:uiPriority w:val="0"/>
    <w:pPr>
      <w:widowControl w:val="0"/>
      <w:jc w:val="both"/>
    </w:pPr>
    <w:tblPr>
      <w:tblStyle w:val="73"/>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extDirection w:val="lrTb"/>
    </w:tcPr>
    <w:tblStylePr w:type="firstRow">
      <w:tblPr>
        <w:tblStyle w:val="73"/>
        <w:tblLayout w:type="fixed"/>
      </w:tblPr>
      <w:tcPr>
        <w:tcBorders>
          <w:top w:val="nil"/>
          <w:left w:val="nil"/>
          <w:bottom w:val="single" w:color="000000" w:sz="12" w:space="0"/>
          <w:right w:val="nil"/>
          <w:insideH w:val="nil"/>
          <w:insideV w:val="nil"/>
          <w:tl2br w:val="nil"/>
          <w:tr2bl w:val="nil"/>
        </w:tcBorders>
        <w:textDirection w:val="lrTb"/>
      </w:tcPr>
    </w:tblStylePr>
    <w:tblStylePr w:type="lastRow">
      <w:rPr>
        <w:b/>
        <w:bCs/>
      </w:rPr>
      <w:tblPr>
        <w:tblStyle w:val="73"/>
        <w:tblLayout w:type="fixed"/>
      </w:tblPr>
      <w:tcPr>
        <w:tcBorders>
          <w:top w:val="nil"/>
          <w:left w:val="nil"/>
          <w:bottom w:val="nil"/>
          <w:right w:val="nil"/>
          <w:insideH w:val="nil"/>
          <w:insideV w:val="nil"/>
          <w:tl2br w:val="nil"/>
          <w:tr2bl w:val="nil"/>
        </w:tcBorders>
        <w:textDirection w:val="lrTb"/>
      </w:tcPr>
    </w:tblStylePr>
    <w:tblStylePr w:type="lastCol">
      <w:rPr>
        <w:b/>
        <w:bCs/>
      </w:rPr>
      <w:tblPr>
        <w:tblStyle w:val="73"/>
        <w:tblLayout w:type="fixed"/>
      </w:tblPr>
      <w:tcPr>
        <w:tcBorders>
          <w:top w:val="nil"/>
          <w:left w:val="nil"/>
          <w:bottom w:val="nil"/>
          <w:right w:val="nil"/>
          <w:insideH w:val="nil"/>
          <w:insideV w:val="nil"/>
          <w:tl2br w:val="nil"/>
          <w:tr2bl w:val="nil"/>
        </w:tcBorders>
        <w:textDirection w:val="lrTb"/>
      </w:tcPr>
    </w:tblStylePr>
    <w:tblStylePr w:type="nwCell">
      <w:tblPr>
        <w:tblStyle w:val="73"/>
        <w:tblLayout w:type="fixed"/>
      </w:tblPr>
      <w:tcPr>
        <w:tcBorders>
          <w:top w:val="nil"/>
          <w:left w:val="nil"/>
          <w:bottom w:val="nil"/>
          <w:right w:val="nil"/>
          <w:insideH w:val="nil"/>
          <w:insideV w:val="nil"/>
          <w:tl2br w:val="single" w:color="000000" w:sz="6" w:space="0"/>
          <w:tr2bl w:val="nil"/>
        </w:tcBorders>
        <w:textDirection w:val="lrTb"/>
      </w:tcPr>
    </w:tblStylePr>
  </w:style>
  <w:style w:type="table" w:styleId="78">
    <w:name w:val="Table Grid 8"/>
    <w:basedOn w:val="73"/>
    <w:qFormat/>
    <w:uiPriority w:val="0"/>
    <w:pPr>
      <w:widowControl w:val="0"/>
      <w:jc w:val="both"/>
    </w:pPr>
    <w:tblPr>
      <w:tblStyle w:val="73"/>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ayout w:type="fixed"/>
      <w:tblCellMar>
        <w:top w:w="0" w:type="dxa"/>
        <w:left w:w="108" w:type="dxa"/>
        <w:bottom w:w="0" w:type="dxa"/>
        <w:right w:w="108" w:type="dxa"/>
      </w:tblCellMar>
    </w:tblPr>
    <w:tcPr>
      <w:shd w:val="clear" w:color="auto" w:fill="auto"/>
      <w:textDirection w:val="lrTb"/>
    </w:tcPr>
    <w:tblStylePr w:type="firstRow">
      <w:rPr>
        <w:b/>
        <w:bCs/>
        <w:color w:val="FFFFFF"/>
      </w:rPr>
      <w:tblPr>
        <w:tblStyle w:val="73"/>
        <w:tblLayout w:type="fixed"/>
      </w:tblPr>
      <w:tcPr>
        <w:tcBorders>
          <w:top w:val="nil"/>
          <w:left w:val="nil"/>
          <w:bottom w:val="nil"/>
          <w:right w:val="nil"/>
          <w:insideH w:val="nil"/>
          <w:insideV w:val="nil"/>
          <w:tl2br w:val="nil"/>
          <w:tr2bl w:val="nil"/>
        </w:tcBorders>
        <w:shd w:val="solid" w:color="000080" w:fill="FFFFFF"/>
        <w:textDirection w:val="lrTb"/>
      </w:tcPr>
    </w:tblStylePr>
    <w:tblStylePr w:type="lastRow">
      <w:rPr>
        <w:b/>
        <w:bCs/>
        <w:color w:val="auto"/>
      </w:rPr>
      <w:tblPr>
        <w:tblStyle w:val="73"/>
        <w:tblLayout w:type="fixed"/>
      </w:tblPr>
      <w:tcPr>
        <w:tcBorders>
          <w:top w:val="nil"/>
          <w:left w:val="nil"/>
          <w:bottom w:val="nil"/>
          <w:right w:val="nil"/>
          <w:insideH w:val="nil"/>
          <w:insideV w:val="nil"/>
          <w:tl2br w:val="nil"/>
          <w:tr2bl w:val="nil"/>
        </w:tcBorders>
        <w:textDirection w:val="lrTb"/>
      </w:tcPr>
    </w:tblStylePr>
    <w:tblStylePr w:type="lastCol">
      <w:rPr>
        <w:b/>
        <w:bCs/>
        <w:color w:val="auto"/>
      </w:rPr>
      <w:tblPr>
        <w:tblStyle w:val="73"/>
        <w:tblLayout w:type="fixed"/>
      </w:tblPr>
      <w:tcPr>
        <w:tcBorders>
          <w:top w:val="nil"/>
          <w:left w:val="nil"/>
          <w:bottom w:val="nil"/>
          <w:right w:val="nil"/>
          <w:insideH w:val="nil"/>
          <w:insideV w:val="nil"/>
          <w:tl2br w:val="nil"/>
          <w:tr2bl w:val="nil"/>
        </w:tcBorders>
        <w:textDirection w:val="lrTb"/>
      </w:tcPr>
    </w:tblStylePr>
  </w:style>
  <w:style w:type="table" w:styleId="79">
    <w:name w:val="Table Professional"/>
    <w:basedOn w:val="73"/>
    <w:qFormat/>
    <w:uiPriority w:val="0"/>
    <w:pPr>
      <w:widowControl w:val="0"/>
      <w:jc w:val="both"/>
    </w:pPr>
    <w:tblPr>
      <w:tblStyle w:val="73"/>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cPr>
      <w:shd w:val="clear" w:color="auto" w:fill="auto"/>
      <w:textDirection w:val="lrTb"/>
    </w:tcPr>
    <w:tblStylePr w:type="firstRow">
      <w:rPr>
        <w:b/>
        <w:bCs/>
        <w:color w:val="auto"/>
      </w:rPr>
      <w:tblPr>
        <w:tblStyle w:val="73"/>
        <w:tblLayout w:type="fixed"/>
      </w:tblPr>
      <w:tcPr>
        <w:tcBorders>
          <w:top w:val="nil"/>
          <w:left w:val="nil"/>
          <w:bottom w:val="nil"/>
          <w:right w:val="nil"/>
          <w:insideH w:val="nil"/>
          <w:insideV w:val="nil"/>
          <w:tl2br w:val="nil"/>
          <w:tr2bl w:val="nil"/>
        </w:tcBorders>
        <w:shd w:val="solid" w:color="000000" w:fill="FFFFFF"/>
        <w:textDirection w:val="lrTb"/>
      </w:tcPr>
    </w:tblStylePr>
  </w:style>
  <w:style w:type="paragraph" w:customStyle="1" w:styleId="80">
    <w:name w:val="表格非标题文字"/>
    <w:link w:val="619"/>
    <w:qFormat/>
    <w:uiPriority w:val="0"/>
    <w:pPr>
      <w:snapToGrid w:val="0"/>
      <w:spacing w:before="80" w:after="40"/>
    </w:pPr>
    <w:rPr>
      <w:rFonts w:ascii="Futura Bk" w:hAnsi="Futura Bk" w:eastAsia="宋体" w:cs="Times New Roman"/>
      <w:kern w:val="2"/>
      <w:sz w:val="18"/>
      <w:szCs w:val="21"/>
      <w:lang w:val="en-US" w:eastAsia="zh-CN" w:bidi="ar-SA"/>
    </w:rPr>
  </w:style>
  <w:style w:type="paragraph" w:customStyle="1" w:styleId="81">
    <w:name w:val="*正文"/>
    <w:basedOn w:val="1"/>
    <w:link w:val="620"/>
    <w:qFormat/>
    <w:uiPriority w:val="0"/>
    <w:pPr>
      <w:snapToGrid w:val="0"/>
      <w:spacing w:line="360" w:lineRule="auto"/>
      <w:ind w:firstLine="482"/>
      <w:jc w:val="left"/>
    </w:pPr>
    <w:rPr>
      <w:rFonts w:ascii="宋体" w:hAnsi="宋体"/>
      <w:kern w:val="0"/>
      <w:sz w:val="24"/>
      <w:szCs w:val="20"/>
    </w:rPr>
  </w:style>
  <w:style w:type="paragraph" w:customStyle="1" w:styleId="82">
    <w:name w:val="U_正文"/>
    <w:basedOn w:val="1"/>
    <w:link w:val="628"/>
    <w:qFormat/>
    <w:uiPriority w:val="0"/>
    <w:pPr>
      <w:adjustRightInd/>
      <w:spacing w:beforeLines="20" w:afterLines="20" w:line="300" w:lineRule="auto"/>
      <w:ind w:firstLine="200" w:firstLineChars="200"/>
    </w:pPr>
    <w:rPr>
      <w:kern w:val="0"/>
      <w:sz w:val="24"/>
    </w:rPr>
  </w:style>
  <w:style w:type="paragraph" w:customStyle="1" w:styleId="83">
    <w:name w:val="哈哈正文"/>
    <w:basedOn w:val="1"/>
    <w:link w:val="635"/>
    <w:qFormat/>
    <w:uiPriority w:val="0"/>
    <w:pPr>
      <w:adjustRightInd/>
      <w:spacing w:line="360" w:lineRule="auto"/>
      <w:ind w:firstLine="200" w:firstLineChars="200"/>
    </w:pPr>
    <w:rPr>
      <w:rFonts w:ascii="宋体" w:hAnsi="宋体"/>
      <w:sz w:val="24"/>
      <w:szCs w:val="20"/>
    </w:rPr>
  </w:style>
  <w:style w:type="paragraph" w:customStyle="1" w:styleId="84">
    <w:name w:val="5正文"/>
    <w:basedOn w:val="1"/>
    <w:link w:val="648"/>
    <w:qFormat/>
    <w:uiPriority w:val="0"/>
    <w:pPr>
      <w:adjustRightInd/>
      <w:spacing w:line="360" w:lineRule="auto"/>
      <w:ind w:firstLine="566" w:firstLineChars="202"/>
      <w:jc w:val="left"/>
    </w:pPr>
    <w:rPr>
      <w:rFonts w:ascii="仿宋_GB2312" w:hAnsi="微软雅黑" w:eastAsia="仿宋_GB2312"/>
      <w:kern w:val="0"/>
      <w:sz w:val="28"/>
      <w:szCs w:val="21"/>
    </w:rPr>
  </w:style>
  <w:style w:type="paragraph" w:customStyle="1" w:styleId="85">
    <w:name w:val="正文2"/>
    <w:basedOn w:val="1"/>
    <w:link w:val="662"/>
    <w:qFormat/>
    <w:uiPriority w:val="0"/>
    <w:pPr>
      <w:spacing w:before="156" w:line="360" w:lineRule="auto"/>
      <w:ind w:firstLine="510" w:firstLineChars="200"/>
    </w:pPr>
    <w:rPr>
      <w:sz w:val="24"/>
      <w:szCs w:val="20"/>
    </w:rPr>
  </w:style>
  <w:style w:type="paragraph" w:customStyle="1" w:styleId="86">
    <w:name w:val="无间隔1"/>
    <w:link w:val="670"/>
    <w:qFormat/>
    <w:uiPriority w:val="1"/>
    <w:rPr>
      <w:rFonts w:ascii="Times New Roman" w:hAnsi="Times New Roman" w:eastAsia="宋体" w:cs="Times New Roman"/>
      <w:sz w:val="22"/>
      <w:szCs w:val="22"/>
      <w:lang w:val="en-US" w:eastAsia="zh-CN" w:bidi="ar-SA"/>
    </w:rPr>
  </w:style>
  <w:style w:type="paragraph" w:customStyle="1" w:styleId="87">
    <w:name w:val="纯文本_0_0"/>
    <w:basedOn w:val="88"/>
    <w:link w:val="678"/>
    <w:qFormat/>
    <w:uiPriority w:val="0"/>
    <w:rPr>
      <w:rFonts w:ascii="宋体" w:hAnsi="Courier New"/>
      <w:szCs w:val="21"/>
    </w:rPr>
  </w:style>
  <w:style w:type="paragraph" w:customStyle="1" w:styleId="8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
    <w:name w:val="正文（绿盟科技）"/>
    <w:link w:val="688"/>
    <w:qFormat/>
    <w:uiPriority w:val="0"/>
    <w:pPr>
      <w:spacing w:line="300" w:lineRule="auto"/>
    </w:pPr>
    <w:rPr>
      <w:rFonts w:ascii="Arial" w:hAnsi="Arial" w:eastAsia="宋体" w:cs="Times New Roman"/>
      <w:sz w:val="21"/>
      <w:szCs w:val="21"/>
      <w:lang w:val="en-US" w:eastAsia="zh-CN" w:bidi="ar-SA"/>
    </w:rPr>
  </w:style>
  <w:style w:type="paragraph" w:customStyle="1" w:styleId="90">
    <w:name w:val="表格名称"/>
    <w:basedOn w:val="2"/>
    <w:link w:val="697"/>
    <w:qFormat/>
    <w:uiPriority w:val="0"/>
    <w:pPr>
      <w:snapToGrid w:val="0"/>
      <w:spacing w:before="240" w:after="240" w:line="240" w:lineRule="auto"/>
      <w:ind w:left="0" w:firstLine="0"/>
      <w:jc w:val="center"/>
    </w:pPr>
    <w:rPr>
      <w:rFonts w:ascii="Calibri" w:hAnsi="Calibri" w:eastAsia="宋体"/>
      <w:b w:val="0"/>
      <w:bCs w:val="0"/>
      <w:kern w:val="0"/>
      <w:szCs w:val="20"/>
    </w:rPr>
  </w:style>
  <w:style w:type="paragraph" w:customStyle="1" w:styleId="91">
    <w:name w:val="my正文"/>
    <w:basedOn w:val="1"/>
    <w:link w:val="717"/>
    <w:qFormat/>
    <w:uiPriority w:val="0"/>
    <w:pPr>
      <w:adjustRightInd/>
      <w:spacing w:line="360" w:lineRule="auto"/>
      <w:ind w:firstLine="480" w:firstLineChars="200"/>
    </w:pPr>
    <w:rPr>
      <w:rFonts w:ascii="Tahoma" w:hAnsi="Tahoma"/>
      <w:kern w:val="0"/>
      <w:sz w:val="24"/>
    </w:rPr>
  </w:style>
  <w:style w:type="paragraph" w:customStyle="1" w:styleId="92">
    <w:name w:val="3级"/>
    <w:basedOn w:val="93"/>
    <w:link w:val="723"/>
    <w:qFormat/>
    <w:uiPriority w:val="0"/>
    <w:pPr>
      <w:ind w:left="0" w:right="466" w:firstLine="288"/>
    </w:pPr>
    <w:rPr>
      <w:rFonts w:hAnsi="宋体"/>
    </w:rPr>
  </w:style>
  <w:style w:type="paragraph" w:customStyle="1" w:styleId="93">
    <w:name w:val="样式 标题 3h33rd level3BOD 0H3l3CTHeading 3 - oldLevel 3 He..."/>
    <w:basedOn w:val="4"/>
    <w:qFormat/>
    <w:uiPriority w:val="99"/>
    <w:pPr>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paragraph" w:customStyle="1" w:styleId="94">
    <w:name w:val="标题4-dyf"/>
    <w:basedOn w:val="6"/>
    <w:link w:val="745"/>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95">
    <w:name w:val="冯"/>
    <w:basedOn w:val="1"/>
    <w:link w:val="747"/>
    <w:qFormat/>
    <w:uiPriority w:val="0"/>
    <w:pPr>
      <w:widowControl/>
      <w:adjustRightInd/>
      <w:spacing w:line="360" w:lineRule="auto"/>
      <w:ind w:firstLine="480" w:firstLineChars="200"/>
    </w:pPr>
    <w:rPr>
      <w:rFonts w:ascii="宋体" w:hAnsi="宋体"/>
      <w:color w:val="000000"/>
      <w:kern w:val="0"/>
      <w:sz w:val="24"/>
    </w:rPr>
  </w:style>
  <w:style w:type="paragraph" w:customStyle="1" w:styleId="96">
    <w:name w:val="Default"/>
    <w:link w:val="75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7">
    <w:name w:val="正文样式"/>
    <w:basedOn w:val="1"/>
    <w:link w:val="765"/>
    <w:qFormat/>
    <w:uiPriority w:val="0"/>
    <w:pPr>
      <w:adjustRightInd/>
      <w:spacing w:line="360" w:lineRule="auto"/>
      <w:ind w:firstLine="480" w:firstLineChars="200"/>
    </w:pPr>
    <w:rPr>
      <w:kern w:val="0"/>
      <w:sz w:val="24"/>
    </w:rPr>
  </w:style>
  <w:style w:type="paragraph" w:customStyle="1" w:styleId="98">
    <w:name w:val="gf正文1"/>
    <w:basedOn w:val="1"/>
    <w:link w:val="771"/>
    <w:qFormat/>
    <w:uiPriority w:val="0"/>
    <w:pPr>
      <w:tabs>
        <w:tab w:val="left" w:pos="3240"/>
        <w:tab w:val="left" w:pos="3960"/>
      </w:tabs>
      <w:snapToGrid w:val="0"/>
      <w:spacing w:line="360" w:lineRule="auto"/>
      <w:ind w:firstLine="480" w:firstLineChars="200"/>
    </w:pPr>
    <w:rPr>
      <w:rFonts w:ascii="宋体" w:hAnsi="宋体"/>
      <w:sz w:val="24"/>
    </w:rPr>
  </w:style>
  <w:style w:type="paragraph" w:customStyle="1" w:styleId="99">
    <w:name w:val="列表1"/>
    <w:basedOn w:val="1"/>
    <w:next w:val="100"/>
    <w:link w:val="774"/>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100">
    <w:name w:val="List Paragraph"/>
    <w:basedOn w:val="1"/>
    <w:qFormat/>
    <w:uiPriority w:val="34"/>
    <w:pPr>
      <w:spacing w:line="360" w:lineRule="auto"/>
      <w:ind w:firstLine="200" w:firstLineChars="200"/>
    </w:pPr>
    <w:rPr>
      <w:rFonts w:eastAsia="楷体_GB2312" w:cs="Lucida Sans"/>
      <w:sz w:val="24"/>
    </w:rPr>
  </w:style>
  <w:style w:type="paragraph" w:customStyle="1" w:styleId="101">
    <w:name w:val="此正文"/>
    <w:basedOn w:val="1"/>
    <w:link w:val="796"/>
    <w:qFormat/>
    <w:uiPriority w:val="0"/>
    <w:pPr>
      <w:adjustRightInd/>
      <w:spacing w:line="360" w:lineRule="auto"/>
      <w:ind w:firstLine="200" w:firstLineChars="200"/>
    </w:pPr>
    <w:rPr>
      <w:sz w:val="24"/>
    </w:rPr>
  </w:style>
  <w:style w:type="paragraph" w:customStyle="1" w:styleId="102">
    <w:name w:val="样式 样式 标题 4h4H4Fab-4T5Ref Heading 1rh1Heading sqlsect 1.2.3.... +..."/>
    <w:basedOn w:val="103"/>
    <w:link w:val="818"/>
    <w:qFormat/>
    <w:uiPriority w:val="0"/>
    <w:pPr>
      <w:tabs>
        <w:tab w:val="left" w:pos="2356"/>
      </w:tabs>
    </w:pPr>
  </w:style>
  <w:style w:type="paragraph" w:customStyle="1" w:styleId="103">
    <w:name w:val="样式 标题 4h4H4Fab-4T5Ref Heading 1rh1Heading sqlsect 1.2.3...."/>
    <w:basedOn w:val="6"/>
    <w:link w:val="915"/>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04">
    <w:name w:val="Item List"/>
    <w:link w:val="829"/>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105">
    <w:name w:val="纯文本1"/>
    <w:basedOn w:val="1"/>
    <w:link w:val="831"/>
    <w:qFormat/>
    <w:uiPriority w:val="0"/>
    <w:pPr>
      <w:adjustRightInd/>
    </w:pPr>
    <w:rPr>
      <w:rFonts w:ascii="宋体" w:hAnsi="Courier New"/>
      <w:kern w:val="0"/>
      <w:sz w:val="20"/>
      <w:szCs w:val="20"/>
    </w:rPr>
  </w:style>
  <w:style w:type="paragraph" w:customStyle="1" w:styleId="106">
    <w:name w:val="正文说明"/>
    <w:basedOn w:val="1"/>
    <w:link w:val="843"/>
    <w:qFormat/>
    <w:uiPriority w:val="0"/>
    <w:pPr>
      <w:adjustRightInd/>
      <w:spacing w:line="360" w:lineRule="auto"/>
    </w:pPr>
    <w:rPr>
      <w:kern w:val="0"/>
      <w:sz w:val="24"/>
    </w:rPr>
  </w:style>
  <w:style w:type="paragraph" w:customStyle="1" w:styleId="107">
    <w:name w:val="Table Text"/>
    <w:basedOn w:val="1"/>
    <w:link w:val="849"/>
    <w:qFormat/>
    <w:uiPriority w:val="0"/>
    <w:pPr>
      <w:widowControl/>
      <w:spacing w:before="60" w:after="60"/>
      <w:jc w:val="left"/>
    </w:pPr>
    <w:rPr>
      <w:kern w:val="0"/>
      <w:sz w:val="24"/>
    </w:rPr>
  </w:style>
  <w:style w:type="paragraph" w:customStyle="1" w:styleId="108">
    <w:name w:val="公文正文"/>
    <w:basedOn w:val="1"/>
    <w:link w:val="861"/>
    <w:qFormat/>
    <w:uiPriority w:val="0"/>
    <w:pPr>
      <w:adjustRightInd/>
      <w:spacing w:before="156" w:line="360" w:lineRule="auto"/>
      <w:ind w:firstLine="360" w:firstLineChars="200"/>
    </w:pPr>
    <w:rPr>
      <w:rFonts w:ascii="仿宋_GB2312" w:eastAsia="仿宋_GB2312"/>
      <w:sz w:val="24"/>
    </w:rPr>
  </w:style>
  <w:style w:type="paragraph" w:customStyle="1" w:styleId="109">
    <w:name w:val="正文（缩进2汉字）"/>
    <w:basedOn w:val="1"/>
    <w:link w:val="86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110">
    <w:name w:val="b11_01b"/>
    <w:basedOn w:val="1"/>
    <w:next w:val="1"/>
    <w:link w:val="886"/>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111">
    <w:name w:val="段落"/>
    <w:basedOn w:val="1"/>
    <w:link w:val="894"/>
    <w:qFormat/>
    <w:uiPriority w:val="0"/>
    <w:pPr>
      <w:adjustRightInd/>
      <w:spacing w:line="360" w:lineRule="auto"/>
      <w:ind w:firstLine="480" w:firstLineChars="200"/>
    </w:pPr>
    <w:rPr>
      <w:rFonts w:ascii="宋体" w:hAnsi="宋体"/>
      <w:kern w:val="0"/>
      <w:sz w:val="24"/>
      <w:szCs w:val="20"/>
    </w:rPr>
  </w:style>
  <w:style w:type="paragraph" w:customStyle="1" w:styleId="112">
    <w:name w:val="正文段"/>
    <w:basedOn w:val="1"/>
    <w:link w:val="901"/>
    <w:qFormat/>
    <w:uiPriority w:val="0"/>
    <w:pPr>
      <w:widowControl/>
      <w:snapToGrid w:val="0"/>
      <w:spacing w:after="156" w:afterLines="50"/>
      <w:ind w:firstLine="200" w:firstLineChars="200"/>
    </w:pPr>
    <w:rPr>
      <w:kern w:val="0"/>
      <w:sz w:val="24"/>
      <w:szCs w:val="20"/>
    </w:rPr>
  </w:style>
  <w:style w:type="paragraph" w:customStyle="1" w:styleId="113">
    <w:name w:val="冯广丽"/>
    <w:basedOn w:val="1"/>
    <w:link w:val="904"/>
    <w:qFormat/>
    <w:uiPriority w:val="0"/>
    <w:pPr>
      <w:adjustRightInd/>
      <w:spacing w:line="360" w:lineRule="auto"/>
      <w:ind w:firstLine="480" w:firstLineChars="200"/>
    </w:pPr>
    <w:rPr>
      <w:rFonts w:ascii="宋体" w:hAnsi="宋体"/>
      <w:sz w:val="24"/>
      <w:szCs w:val="22"/>
    </w:rPr>
  </w:style>
  <w:style w:type="paragraph" w:customStyle="1" w:styleId="114">
    <w:name w:val="编号，小四"/>
    <w:basedOn w:val="1"/>
    <w:link w:val="910"/>
    <w:qFormat/>
    <w:uiPriority w:val="0"/>
    <w:pPr>
      <w:tabs>
        <w:tab w:val="left" w:pos="432"/>
      </w:tabs>
      <w:adjustRightInd/>
      <w:spacing w:line="360" w:lineRule="auto"/>
      <w:ind w:left="432" w:hanging="432"/>
    </w:pPr>
    <w:rPr>
      <w:rFonts w:ascii="Arial" w:hAnsi="Arial"/>
      <w:kern w:val="0"/>
      <w:sz w:val="24"/>
      <w:szCs w:val="20"/>
    </w:rPr>
  </w:style>
  <w:style w:type="paragraph" w:customStyle="1" w:styleId="115">
    <w:name w:val="仿宋正文"/>
    <w:basedOn w:val="1"/>
    <w:link w:val="917"/>
    <w:qFormat/>
    <w:uiPriority w:val="0"/>
    <w:pPr>
      <w:adjustRightInd/>
      <w:spacing w:line="360" w:lineRule="auto"/>
      <w:ind w:firstLine="480" w:firstLineChars="200"/>
    </w:pPr>
    <w:rPr>
      <w:rFonts w:ascii="仿宋_GB2312" w:eastAsia="仿宋_GB2312"/>
      <w:sz w:val="24"/>
      <w:szCs w:val="20"/>
    </w:rPr>
  </w:style>
  <w:style w:type="paragraph" w:customStyle="1" w:styleId="116">
    <w:name w:val="样式 正文缩进 + 首行缩进:  2 字符"/>
    <w:basedOn w:val="5"/>
    <w:link w:val="929"/>
    <w:qFormat/>
    <w:uiPriority w:val="0"/>
    <w:pPr>
      <w:widowControl w:val="0"/>
      <w:adjustRightInd/>
      <w:snapToGrid/>
      <w:spacing w:line="360" w:lineRule="auto"/>
      <w:ind w:firstLine="200" w:firstLineChars="200"/>
    </w:pPr>
    <w:rPr>
      <w:rFonts w:ascii="Calibri"/>
      <w:color w:val="auto"/>
      <w:kern w:val="2"/>
      <w:sz w:val="24"/>
    </w:rPr>
  </w:style>
  <w:style w:type="paragraph" w:customStyle="1" w:styleId="117">
    <w:name w:val="样式 正文文本缩进 + 左侧:  2 字符 首行缩进:  2 字符"/>
    <w:basedOn w:val="26"/>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8">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119">
    <w:name w:val="正文文本 221"/>
    <w:basedOn w:val="1"/>
    <w:qFormat/>
    <w:uiPriority w:val="0"/>
    <w:pPr>
      <w:widowControl/>
      <w:overflowPunct w:val="0"/>
      <w:autoSpaceDE w:val="0"/>
      <w:autoSpaceDN w:val="0"/>
      <w:ind w:left="720" w:hanging="720"/>
      <w:textAlignment w:val="baseline"/>
    </w:pPr>
    <w:rPr>
      <w:kern w:val="0"/>
      <w:sz w:val="24"/>
      <w:szCs w:val="20"/>
    </w:rPr>
  </w:style>
  <w:style w:type="paragraph" w:customStyle="1" w:styleId="120">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121">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122">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123">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124">
    <w:name w:val="标题4_自定义"/>
    <w:basedOn w:val="6"/>
    <w:qFormat/>
    <w:uiPriority w:val="0"/>
    <w:pPr>
      <w:adjustRightInd/>
      <w:spacing w:before="0" w:after="0" w:line="360" w:lineRule="auto"/>
    </w:pPr>
    <w:rPr>
      <w:rFonts w:ascii="Verdana" w:eastAsia="Verdana"/>
      <w:sz w:val="21"/>
      <w:lang w:val="en-US"/>
    </w:rPr>
  </w:style>
  <w:style w:type="paragraph" w:customStyle="1" w:styleId="125">
    <w:name w:val="正文 内标 序号标"/>
    <w:basedOn w:val="126"/>
    <w:qFormat/>
    <w:uiPriority w:val="0"/>
    <w:pPr>
      <w:tabs>
        <w:tab w:val="left" w:pos="0"/>
      </w:tabs>
      <w:adjustRightInd/>
      <w:spacing w:before="0"/>
      <w:ind w:firstLine="482"/>
    </w:pPr>
    <w:rPr>
      <w:rFonts w:ascii="微软雅黑" w:hAnsi="微软雅黑"/>
      <w:sz w:val="24"/>
      <w:szCs w:val="24"/>
    </w:rPr>
  </w:style>
  <w:style w:type="paragraph" w:customStyle="1" w:styleId="126">
    <w:name w:val="My正文"/>
    <w:basedOn w:val="1"/>
    <w:qFormat/>
    <w:uiPriority w:val="0"/>
    <w:pPr>
      <w:spacing w:before="120" w:line="360" w:lineRule="auto"/>
      <w:ind w:firstLine="567"/>
    </w:pPr>
    <w:rPr>
      <w:rFonts w:ascii="Arial" w:hAnsi="Arial"/>
      <w:sz w:val="20"/>
      <w:szCs w:val="20"/>
    </w:rPr>
  </w:style>
  <w:style w:type="paragraph" w:customStyle="1" w:styleId="127">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28">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129">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130">
    <w:name w:val="修订2"/>
    <w:qFormat/>
    <w:uiPriority w:val="0"/>
    <w:rPr>
      <w:rFonts w:ascii="Times New Roman" w:hAnsi="Times New Roman" w:eastAsia="宋体" w:cs="Times New Roman"/>
      <w:kern w:val="2"/>
      <w:sz w:val="21"/>
      <w:lang w:val="en-US" w:eastAsia="zh-CN" w:bidi="ar-SA"/>
    </w:rPr>
  </w:style>
  <w:style w:type="paragraph" w:customStyle="1" w:styleId="131">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32">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133">
    <w:name w:val="文章标题"/>
    <w:next w:val="134"/>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134">
    <w:name w:val="封面公司名"/>
    <w:qFormat/>
    <w:uiPriority w:val="0"/>
    <w:pPr>
      <w:jc w:val="center"/>
    </w:pPr>
    <w:rPr>
      <w:rFonts w:ascii="Arial" w:hAnsi="Arial" w:eastAsia="楷体_GB2312" w:cs="宋体"/>
      <w:bCs/>
      <w:kern w:val="2"/>
      <w:sz w:val="28"/>
      <w:lang w:val="en-US" w:eastAsia="zh-CN" w:bidi="ar-SA"/>
    </w:rPr>
  </w:style>
  <w:style w:type="paragraph" w:customStyle="1" w:styleId="135">
    <w:name w:val="Char1 Char Char Char5"/>
    <w:basedOn w:val="1"/>
    <w:qFormat/>
    <w:uiPriority w:val="0"/>
    <w:pPr>
      <w:adjustRightInd/>
      <w:ind w:firstLine="200" w:firstLineChars="200"/>
    </w:pPr>
    <w:rPr>
      <w:rFonts w:ascii="Tahoma" w:hAnsi="Tahoma"/>
      <w:sz w:val="24"/>
      <w:szCs w:val="20"/>
    </w:rPr>
  </w:style>
  <w:style w:type="paragraph" w:customStyle="1" w:styleId="136">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137">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138">
    <w:name w:val="Char Char Char Char Char Char Char Char"/>
    <w:basedOn w:val="1"/>
    <w:qFormat/>
    <w:uiPriority w:val="0"/>
    <w:pPr>
      <w:tabs>
        <w:tab w:val="left" w:pos="360"/>
      </w:tabs>
    </w:pPr>
    <w:rPr>
      <w:sz w:val="24"/>
      <w:szCs w:val="20"/>
    </w:rPr>
  </w:style>
  <w:style w:type="paragraph" w:customStyle="1" w:styleId="139">
    <w:name w:val="Char Char11 Char Char Char"/>
    <w:basedOn w:val="1"/>
    <w:qFormat/>
    <w:uiPriority w:val="0"/>
    <w:pPr>
      <w:spacing w:line="360" w:lineRule="auto"/>
    </w:pPr>
    <w:rPr>
      <w:szCs w:val="20"/>
    </w:rPr>
  </w:style>
  <w:style w:type="paragraph" w:customStyle="1" w:styleId="140">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val="none" w:color="000000"/>
      <w:lang w:val="en-US" w:eastAsia="zh-CN" w:bidi="ar-SA"/>
    </w:rPr>
  </w:style>
  <w:style w:type="paragraph" w:customStyle="1" w:styleId="141">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142">
    <w:name w:val="样式3"/>
    <w:basedOn w:val="143"/>
    <w:qFormat/>
    <w:uiPriority w:val="0"/>
    <w:pPr>
      <w:tabs>
        <w:tab w:val="left" w:pos="2790"/>
        <w:tab w:val="left" w:pos="4230"/>
      </w:tabs>
      <w:spacing w:before="312" w:beforeLines="100"/>
      <w:jc w:val="left"/>
    </w:pPr>
  </w:style>
  <w:style w:type="paragraph" w:customStyle="1" w:styleId="143">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144">
    <w:name w:val="Char Char1 Char Char1 Char Char1"/>
    <w:basedOn w:val="1"/>
    <w:qFormat/>
    <w:uiPriority w:val="0"/>
    <w:pPr>
      <w:tabs>
        <w:tab w:val="left" w:pos="840"/>
      </w:tabs>
      <w:ind w:left="840" w:hanging="420"/>
    </w:pPr>
    <w:rPr>
      <w:rFonts w:ascii="Tahoma" w:hAnsi="Tahoma"/>
      <w:sz w:val="24"/>
    </w:rPr>
  </w:style>
  <w:style w:type="paragraph" w:customStyle="1" w:styleId="145">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146">
    <w:name w:val="标书标题2"/>
    <w:basedOn w:val="2"/>
    <w:qFormat/>
    <w:uiPriority w:val="0"/>
    <w:pPr>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147">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148">
    <w:name w:val="正文21"/>
    <w:basedOn w:val="1"/>
    <w:qFormat/>
    <w:uiPriority w:val="0"/>
    <w:pPr>
      <w:adjustRightInd/>
      <w:spacing w:before="156" w:line="360" w:lineRule="auto"/>
      <w:ind w:firstLine="510" w:firstLineChars="200"/>
    </w:pPr>
    <w:rPr>
      <w:sz w:val="24"/>
      <w:szCs w:val="20"/>
    </w:rPr>
  </w:style>
  <w:style w:type="paragraph" w:customStyle="1" w:styleId="149">
    <w:name w:val="Test2"/>
    <w:basedOn w:val="2"/>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150">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151">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152">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153">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154">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155">
    <w:name w:val="6级标题"/>
    <w:basedOn w:val="156"/>
    <w:qFormat/>
    <w:uiPriority w:val="0"/>
    <w:pPr>
      <w:keepNext/>
      <w:tabs>
        <w:tab w:val="left" w:pos="360"/>
      </w:tabs>
      <w:spacing w:before="0" w:after="0"/>
      <w:outlineLvl w:val="5"/>
    </w:pPr>
  </w:style>
  <w:style w:type="paragraph" w:customStyle="1" w:styleId="156">
    <w:name w:val="5级标题"/>
    <w:basedOn w:val="157"/>
    <w:qFormat/>
    <w:uiPriority w:val="0"/>
    <w:pPr>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157">
    <w:name w:val="4级标题"/>
    <w:basedOn w:val="100"/>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158">
    <w:name w:val="样式 正文文本缩进 + 段前: 2 字符"/>
    <w:basedOn w:val="1"/>
    <w:qFormat/>
    <w:uiPriority w:val="0"/>
    <w:pPr>
      <w:adjustRightInd/>
      <w:ind w:left="420" w:leftChars="200"/>
      <w:jc w:val="left"/>
    </w:pPr>
    <w:rPr>
      <w:sz w:val="28"/>
      <w:szCs w:val="20"/>
      <w:lang w:eastAsia="zh-TW"/>
    </w:rPr>
  </w:style>
  <w:style w:type="paragraph" w:customStyle="1" w:styleId="159">
    <w:name w:val="Char2 Char Char"/>
    <w:basedOn w:val="1"/>
    <w:qFormat/>
    <w:uiPriority w:val="0"/>
    <w:pPr>
      <w:adjustRightInd/>
    </w:pPr>
    <w:rPr>
      <w:rFonts w:ascii="Tahoma" w:hAnsi="Tahoma"/>
      <w:sz w:val="24"/>
      <w:szCs w:val="20"/>
    </w:rPr>
  </w:style>
  <w:style w:type="paragraph" w:customStyle="1" w:styleId="160">
    <w:name w:val="_Style 11"/>
    <w:basedOn w:val="1"/>
    <w:qFormat/>
    <w:uiPriority w:val="34"/>
    <w:pPr>
      <w:adjustRightInd/>
      <w:ind w:firstLine="420" w:firstLineChars="200"/>
    </w:pPr>
    <w:rPr>
      <w:rFonts w:eastAsia="仿宋_GB2312"/>
      <w:sz w:val="28"/>
    </w:rPr>
  </w:style>
  <w:style w:type="paragraph" w:customStyle="1" w:styleId="161">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162">
    <w:name w:val="Char Char Char"/>
    <w:basedOn w:val="1"/>
    <w:qFormat/>
    <w:uiPriority w:val="0"/>
    <w:rPr>
      <w:rFonts w:ascii="Tahoma" w:hAnsi="Tahoma"/>
      <w:sz w:val="24"/>
      <w:szCs w:val="20"/>
    </w:rPr>
  </w:style>
  <w:style w:type="paragraph" w:customStyle="1" w:styleId="163">
    <w:name w:val="数字标题6"/>
    <w:basedOn w:val="8"/>
    <w:next w:val="1"/>
    <w:qFormat/>
    <w:uiPriority w:val="0"/>
    <w:pPr>
      <w:tabs>
        <w:tab w:val="left" w:pos="1080"/>
        <w:tab w:val="clear" w:pos="1152"/>
      </w:tabs>
      <w:ind w:left="1080" w:hanging="1080"/>
    </w:pPr>
    <w:rPr>
      <w:rFonts w:ascii="Times New Roman" w:hAnsi="Times New Roman" w:eastAsia="宋体"/>
      <w:i/>
    </w:rPr>
  </w:style>
  <w:style w:type="paragraph" w:customStyle="1" w:styleId="164">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165">
    <w:name w:val="No Spacing"/>
    <w:basedOn w:val="1"/>
    <w:link w:val="939"/>
    <w:qFormat/>
    <w:uiPriority w:val="99"/>
    <w:rPr>
      <w:szCs w:val="22"/>
    </w:rPr>
  </w:style>
  <w:style w:type="paragraph" w:customStyle="1" w:styleId="166">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167">
    <w:name w:val="Char Char Char Char Char Char Char Char Char Char Char Char1 Char1"/>
    <w:basedOn w:val="1"/>
    <w:qFormat/>
    <w:uiPriority w:val="6"/>
    <w:rPr>
      <w:rFonts w:ascii="Tahoma" w:hAnsi="Tahoma" w:cs="仿宋_GB2312"/>
      <w:sz w:val="24"/>
      <w:szCs w:val="20"/>
    </w:rPr>
  </w:style>
  <w:style w:type="paragraph" w:customStyle="1" w:styleId="168">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169">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170">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171">
    <w:name w:val="MM Topic 2"/>
    <w:basedOn w:val="2"/>
    <w:qFormat/>
    <w:uiPriority w:val="0"/>
    <w:pPr>
      <w:tabs>
        <w:tab w:val="left" w:pos="1260"/>
        <w:tab w:val="clear" w:pos="432"/>
      </w:tabs>
      <w:ind w:left="1260" w:hanging="420"/>
    </w:pPr>
    <w:rPr>
      <w:rFonts w:ascii="Arial" w:hAnsi="Arial" w:eastAsia="黑体"/>
      <w:lang w:val="en-US"/>
    </w:rPr>
  </w:style>
  <w:style w:type="paragraph" w:customStyle="1" w:styleId="172">
    <w:name w:val="五级无标题条"/>
    <w:basedOn w:val="1"/>
    <w:qFormat/>
    <w:uiPriority w:val="0"/>
    <w:pPr>
      <w:adjustRightInd/>
    </w:pPr>
  </w:style>
  <w:style w:type="paragraph" w:customStyle="1" w:styleId="173">
    <w:name w:val="Char5"/>
    <w:basedOn w:val="1"/>
    <w:qFormat/>
    <w:uiPriority w:val="0"/>
    <w:rPr>
      <w:rFonts w:ascii="仿宋_GB2312" w:eastAsia="仿宋_GB2312"/>
      <w:b/>
      <w:sz w:val="32"/>
      <w:szCs w:val="32"/>
    </w:rPr>
  </w:style>
  <w:style w:type="paragraph" w:customStyle="1" w:styleId="174">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75">
    <w:name w:val="彩色列表 - 强调文字颜色 12"/>
    <w:basedOn w:val="1"/>
    <w:qFormat/>
    <w:uiPriority w:val="0"/>
    <w:pPr>
      <w:adjustRightInd/>
      <w:ind w:firstLine="420" w:firstLineChars="200"/>
    </w:pPr>
    <w:rPr>
      <w:rFonts w:ascii="Calibri" w:hAnsi="Calibri"/>
      <w:szCs w:val="22"/>
    </w:rPr>
  </w:style>
  <w:style w:type="paragraph" w:customStyle="1" w:styleId="176">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177">
    <w:name w:val="Char2"/>
    <w:basedOn w:val="1"/>
    <w:qFormat/>
    <w:uiPriority w:val="0"/>
    <w:rPr>
      <w:rFonts w:ascii="仿宋_GB2312" w:eastAsia="仿宋_GB2312"/>
      <w:b/>
      <w:sz w:val="32"/>
      <w:szCs w:val="32"/>
    </w:rPr>
  </w:style>
  <w:style w:type="paragraph" w:customStyle="1" w:styleId="178">
    <w:name w:val="数字标题3"/>
    <w:basedOn w:val="4"/>
    <w:next w:val="1"/>
    <w:qFormat/>
    <w:uiPriority w:val="0"/>
    <w:pPr>
      <w:spacing w:line="240" w:lineRule="auto"/>
    </w:pPr>
    <w:rPr>
      <w:sz w:val="28"/>
      <w:szCs w:val="28"/>
    </w:rPr>
  </w:style>
  <w:style w:type="paragraph" w:customStyle="1" w:styleId="179">
    <w:name w:val="FA正文"/>
    <w:basedOn w:val="1"/>
    <w:qFormat/>
    <w:uiPriority w:val="0"/>
    <w:pPr>
      <w:spacing w:line="360" w:lineRule="auto"/>
      <w:ind w:firstLine="480" w:firstLineChars="200"/>
    </w:pPr>
    <w:rPr>
      <w:rFonts w:hAnsi="宋体"/>
      <w:sz w:val="24"/>
      <w:szCs w:val="20"/>
    </w:rPr>
  </w:style>
  <w:style w:type="paragraph" w:customStyle="1" w:styleId="180">
    <w:name w:val="MM Topic 5"/>
    <w:basedOn w:val="7"/>
    <w:qFormat/>
    <w:uiPriority w:val="0"/>
    <w:pPr>
      <w:tabs>
        <w:tab w:val="left" w:pos="2520"/>
        <w:tab w:val="clear" w:pos="1008"/>
      </w:tabs>
      <w:adjustRightInd/>
      <w:ind w:left="2520" w:hanging="420"/>
    </w:pPr>
  </w:style>
  <w:style w:type="paragraph" w:customStyle="1" w:styleId="181">
    <w:name w:val="Char Char Char Char Char Char Char Char Char Char1"/>
    <w:basedOn w:val="1"/>
    <w:qFormat/>
    <w:uiPriority w:val="0"/>
    <w:rPr>
      <w:rFonts w:ascii="仿宋_GB2312" w:eastAsia="仿宋_GB2312"/>
      <w:b/>
      <w:sz w:val="32"/>
      <w:szCs w:val="32"/>
    </w:rPr>
  </w:style>
  <w:style w:type="paragraph" w:customStyle="1" w:styleId="182">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183">
    <w:name w:val="修订1"/>
    <w:qFormat/>
    <w:uiPriority w:val="3"/>
    <w:rPr>
      <w:rFonts w:ascii="Times New Roman" w:hAnsi="Times New Roman" w:eastAsia="宋体" w:cs="Times New Roman"/>
      <w:color w:val="000000"/>
      <w:kern w:val="1"/>
      <w:sz w:val="21"/>
      <w:lang w:val="en-US" w:eastAsia="zh-CN" w:bidi="ar-SA"/>
    </w:rPr>
  </w:style>
  <w:style w:type="paragraph" w:customStyle="1" w:styleId="184">
    <w:name w:val="Char2 Char Char Char"/>
    <w:basedOn w:val="1"/>
    <w:qFormat/>
    <w:uiPriority w:val="0"/>
    <w:rPr>
      <w:rFonts w:ascii="仿宋_GB2312" w:eastAsia="仿宋_GB2312"/>
      <w:b/>
      <w:sz w:val="32"/>
      <w:szCs w:val="32"/>
    </w:rPr>
  </w:style>
  <w:style w:type="paragraph" w:customStyle="1" w:styleId="185">
    <w:name w:val="Char2 Char Char Char1"/>
    <w:basedOn w:val="1"/>
    <w:qFormat/>
    <w:uiPriority w:val="6"/>
    <w:rPr>
      <w:rFonts w:ascii="仿宋_GB2312" w:eastAsia="仿宋_GB2312"/>
      <w:b/>
      <w:sz w:val="32"/>
      <w:szCs w:val="32"/>
    </w:rPr>
  </w:style>
  <w:style w:type="paragraph" w:customStyle="1" w:styleId="186">
    <w:name w:val="默认段落样式"/>
    <w:basedOn w:val="85"/>
    <w:qFormat/>
    <w:uiPriority w:val="0"/>
    <w:pPr>
      <w:spacing w:before="0"/>
      <w:ind w:firstLine="480"/>
      <w:outlineLvl w:val="2"/>
    </w:pPr>
    <w:rPr>
      <w:rFonts w:ascii="仿宋_GB2312" w:hAnsi="宋体" w:eastAsia="仿宋_GB2312"/>
      <w:color w:val="000000"/>
      <w:szCs w:val="24"/>
    </w:rPr>
  </w:style>
  <w:style w:type="paragraph" w:customStyle="1" w:styleId="187">
    <w:name w:val="图中文字"/>
    <w:basedOn w:val="1"/>
    <w:qFormat/>
    <w:uiPriority w:val="0"/>
    <w:pPr>
      <w:snapToGrid w:val="0"/>
      <w:spacing w:line="0" w:lineRule="atLeast"/>
      <w:ind w:firstLine="200" w:firstLineChars="200"/>
      <w:jc w:val="center"/>
    </w:pPr>
    <w:rPr>
      <w:sz w:val="24"/>
      <w:szCs w:val="20"/>
    </w:rPr>
  </w:style>
  <w:style w:type="paragraph" w:customStyle="1" w:styleId="188">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89">
    <w:name w:val="MM Topic 3"/>
    <w:basedOn w:val="4"/>
    <w:qFormat/>
    <w:uiPriority w:val="0"/>
    <w:pPr>
      <w:tabs>
        <w:tab w:val="left" w:pos="1680"/>
        <w:tab w:val="clear" w:pos="900"/>
      </w:tabs>
      <w:adjustRightInd/>
      <w:ind w:left="1680" w:hanging="420"/>
    </w:pPr>
  </w:style>
  <w:style w:type="paragraph" w:customStyle="1" w:styleId="190">
    <w:name w:val="标准小四"/>
    <w:basedOn w:val="1"/>
    <w:qFormat/>
    <w:uiPriority w:val="0"/>
    <w:pPr>
      <w:spacing w:line="360" w:lineRule="auto"/>
      <w:ind w:firstLine="480" w:firstLineChars="200"/>
    </w:pPr>
    <w:rPr>
      <w:rFonts w:ascii="Arial" w:hAnsi="Arial"/>
      <w:sz w:val="24"/>
      <w:szCs w:val="21"/>
    </w:rPr>
  </w:style>
  <w:style w:type="paragraph" w:customStyle="1" w:styleId="191">
    <w:name w:val="样式 标题 2H2h2Underrubrik1prop2l2Chapter Titlesect 1.2DO NO..."/>
    <w:basedOn w:val="2"/>
    <w:qFormat/>
    <w:uiPriority w:val="0"/>
    <w:pPr>
      <w:spacing w:before="120" w:after="120"/>
      <w:ind w:left="425" w:hanging="425"/>
    </w:pPr>
    <w:rPr>
      <w:rFonts w:ascii="微软雅黑" w:hAnsi="微软雅黑" w:eastAsia="微软雅黑" w:cs="宋体"/>
      <w:szCs w:val="20"/>
      <w:lang w:val="en-US"/>
    </w:rPr>
  </w:style>
  <w:style w:type="paragraph" w:customStyle="1" w:styleId="192">
    <w:name w:val="表格（小）"/>
    <w:basedOn w:val="1"/>
    <w:qFormat/>
    <w:uiPriority w:val="0"/>
    <w:pPr>
      <w:adjustRightInd/>
      <w:snapToGrid w:val="0"/>
      <w:spacing w:line="300" w:lineRule="auto"/>
    </w:pPr>
    <w:rPr>
      <w:rFonts w:eastAsia="仿宋"/>
      <w:szCs w:val="21"/>
    </w:rPr>
  </w:style>
  <w:style w:type="paragraph" w:customStyle="1" w:styleId="19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194">
    <w:name w:val="Char2 Char Char1"/>
    <w:basedOn w:val="1"/>
    <w:qFormat/>
    <w:uiPriority w:val="6"/>
    <w:pPr>
      <w:adjustRightInd/>
    </w:pPr>
    <w:rPr>
      <w:rFonts w:ascii="Tahoma" w:hAnsi="Tahoma"/>
      <w:sz w:val="24"/>
      <w:szCs w:val="20"/>
    </w:rPr>
  </w:style>
  <w:style w:type="paragraph" w:customStyle="1" w:styleId="195">
    <w:name w:val="列出段落5"/>
    <w:basedOn w:val="1"/>
    <w:qFormat/>
    <w:uiPriority w:val="0"/>
    <w:pPr>
      <w:spacing w:line="360" w:lineRule="auto"/>
      <w:ind w:firstLine="200" w:firstLineChars="200"/>
    </w:pPr>
    <w:rPr>
      <w:rFonts w:eastAsia="楷体_GB2312" w:cs="Lucida Sans"/>
      <w:sz w:val="24"/>
    </w:rPr>
  </w:style>
  <w:style w:type="paragraph" w:customStyle="1" w:styleId="196">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97">
    <w:name w:val="表格文字"/>
    <w:basedOn w:val="1"/>
    <w:next w:val="5"/>
    <w:qFormat/>
    <w:uiPriority w:val="0"/>
    <w:pPr>
      <w:adjustRightInd/>
      <w:ind w:firstLine="200" w:firstLineChars="200"/>
    </w:pPr>
    <w:rPr>
      <w:rFonts w:ascii="Arial" w:hAnsi="Arial"/>
      <w:spacing w:val="-5"/>
      <w:kern w:val="0"/>
      <w:sz w:val="24"/>
      <w:szCs w:val="20"/>
    </w:rPr>
  </w:style>
  <w:style w:type="paragraph" w:customStyle="1" w:styleId="198">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199">
    <w:name w:val="TOC 标题111"/>
    <w:basedOn w:val="3"/>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200">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201">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202">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03">
    <w:name w:val="_Style 3"/>
    <w:basedOn w:val="1"/>
    <w:qFormat/>
    <w:uiPriority w:val="0"/>
    <w:pPr>
      <w:adjustRightInd/>
      <w:ind w:firstLine="420" w:firstLineChars="200"/>
    </w:pPr>
    <w:rPr>
      <w:rFonts w:eastAsia="仿宋_GB2312"/>
      <w:sz w:val="28"/>
    </w:rPr>
  </w:style>
  <w:style w:type="paragraph" w:customStyle="1" w:styleId="204">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05">
    <w:name w:val="Bulleting First Indent 1"/>
    <w:basedOn w:val="15"/>
    <w:qFormat/>
    <w:uiPriority w:val="0"/>
    <w:pPr>
      <w:tabs>
        <w:tab w:val="left" w:pos="840"/>
      </w:tabs>
      <w:adjustRightInd/>
      <w:spacing w:before="20" w:after="20" w:line="300" w:lineRule="auto"/>
      <w:ind w:left="840" w:hanging="420"/>
    </w:pPr>
    <w:rPr>
      <w:rFonts w:ascii="Tahoma" w:hAnsi="Tahoma"/>
      <w:kern w:val="0"/>
      <w:sz w:val="21"/>
      <w:szCs w:val="21"/>
      <w:lang w:val="en-US"/>
    </w:rPr>
  </w:style>
  <w:style w:type="paragraph" w:customStyle="1" w:styleId="206">
    <w:name w:val="左对齐表格文字"/>
    <w:basedOn w:val="1"/>
    <w:qFormat/>
    <w:uiPriority w:val="0"/>
    <w:pPr>
      <w:adjustRightInd/>
      <w:ind w:firstLine="200" w:firstLineChars="200"/>
      <w:jc w:val="right"/>
    </w:pPr>
  </w:style>
  <w:style w:type="paragraph" w:customStyle="1" w:styleId="207">
    <w:name w:val="Char Char11 Char Char Char Char Char Char Char Char Char"/>
    <w:basedOn w:val="1"/>
    <w:qFormat/>
    <w:uiPriority w:val="0"/>
    <w:pPr>
      <w:spacing w:line="360" w:lineRule="auto"/>
    </w:pPr>
    <w:rPr>
      <w:szCs w:val="20"/>
    </w:rPr>
  </w:style>
  <w:style w:type="paragraph" w:customStyle="1" w:styleId="208">
    <w:name w:val="正文1.25"/>
    <w:basedOn w:val="1"/>
    <w:qFormat/>
    <w:uiPriority w:val="0"/>
    <w:pPr>
      <w:adjustRightInd/>
      <w:spacing w:line="300" w:lineRule="auto"/>
      <w:ind w:firstLine="480" w:firstLineChars="200"/>
    </w:pPr>
    <w:rPr>
      <w:sz w:val="24"/>
      <w:szCs w:val="20"/>
    </w:rPr>
  </w:style>
  <w:style w:type="paragraph" w:customStyle="1" w:styleId="209">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21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211">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212">
    <w:name w:val="Char Char1 Char Char Char1"/>
    <w:basedOn w:val="1"/>
    <w:qFormat/>
    <w:uiPriority w:val="6"/>
    <w:rPr>
      <w:rFonts w:ascii="仿宋_GB2312" w:eastAsia="仿宋_GB2312"/>
      <w:b/>
      <w:sz w:val="32"/>
      <w:szCs w:val="20"/>
    </w:rPr>
  </w:style>
  <w:style w:type="paragraph" w:customStyle="1" w:styleId="213">
    <w:name w:val="列出段落2"/>
    <w:basedOn w:val="1"/>
    <w:qFormat/>
    <w:uiPriority w:val="0"/>
    <w:pPr>
      <w:adjustRightInd/>
      <w:ind w:firstLine="420" w:firstLineChars="200"/>
    </w:pPr>
    <w:rPr>
      <w:rFonts w:ascii="宋体" w:hAnsi="宋体"/>
      <w:sz w:val="24"/>
    </w:rPr>
  </w:style>
  <w:style w:type="paragraph" w:customStyle="1" w:styleId="214">
    <w:name w:val="默认段落字体 Para Char Char Char Char Char Char Char"/>
    <w:basedOn w:val="1"/>
    <w:qFormat/>
    <w:uiPriority w:val="0"/>
    <w:rPr>
      <w:rFonts w:eastAsia="仿宋_GB2312"/>
      <w:sz w:val="28"/>
      <w:szCs w:val="20"/>
    </w:rPr>
  </w:style>
  <w:style w:type="paragraph" w:customStyle="1" w:styleId="215">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216">
    <w:name w:val="样式 标题 4PIM 4H4h4bulletblbbH41H42H43H44H45H46H47H48...1"/>
    <w:basedOn w:val="6"/>
    <w:qFormat/>
    <w:uiPriority w:val="0"/>
    <w:pPr>
      <w:widowControl/>
      <w:jc w:val="left"/>
    </w:pPr>
    <w:rPr>
      <w:rFonts w:cs="宋体"/>
      <w:sz w:val="24"/>
      <w:szCs w:val="20"/>
    </w:rPr>
  </w:style>
  <w:style w:type="paragraph" w:customStyle="1" w:styleId="217">
    <w:name w:val="彩色列表 - 强调文字颜色 11"/>
    <w:basedOn w:val="1"/>
    <w:qFormat/>
    <w:uiPriority w:val="0"/>
    <w:pPr>
      <w:adjustRightInd/>
      <w:ind w:firstLine="420" w:firstLineChars="200"/>
    </w:pPr>
    <w:rPr>
      <w:rFonts w:ascii="Calibri" w:hAnsi="Calibri"/>
      <w:szCs w:val="22"/>
    </w:rPr>
  </w:style>
  <w:style w:type="paragraph" w:customStyle="1" w:styleId="218">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219">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220">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221">
    <w:name w:val="Char Char Char1 Char1"/>
    <w:basedOn w:val="1"/>
    <w:qFormat/>
    <w:uiPriority w:val="6"/>
    <w:rPr>
      <w:szCs w:val="20"/>
    </w:rPr>
  </w:style>
  <w:style w:type="paragraph" w:customStyle="1" w:styleId="222">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223">
    <w:name w:val="样式 标题 2 + 宋体 左侧:  1.76 厘米 首行缩进:  0 厘米"/>
    <w:basedOn w:val="2"/>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224">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225">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226">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27">
    <w:name w:val="CM14"/>
    <w:basedOn w:val="96"/>
    <w:next w:val="96"/>
    <w:qFormat/>
    <w:uiPriority w:val="0"/>
    <w:pPr>
      <w:spacing w:after="68"/>
    </w:pPr>
    <w:rPr>
      <w:rFonts w:ascii="FHLHE E+ Futura Bk" w:eastAsia="FHLHE E+ Futura Bk" w:cs="Times New Roman"/>
      <w:color w:val="auto"/>
    </w:rPr>
  </w:style>
  <w:style w:type="paragraph" w:customStyle="1" w:styleId="228">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229">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230">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231">
    <w:name w:val="正文文字 2"/>
    <w:basedOn w:val="96"/>
    <w:next w:val="96"/>
    <w:qFormat/>
    <w:uiPriority w:val="0"/>
    <w:rPr>
      <w:rFonts w:ascii="宋体" w:eastAsia="宋体" w:cs="Times New Roman"/>
      <w:color w:val="auto"/>
    </w:rPr>
  </w:style>
  <w:style w:type="paragraph" w:customStyle="1" w:styleId="232">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233">
    <w:name w:val="Char Char1 Char"/>
    <w:basedOn w:val="1"/>
    <w:qFormat/>
    <w:uiPriority w:val="0"/>
    <w:rPr>
      <w:rFonts w:ascii="仿宋_GB2312" w:eastAsia="仿宋_GB2312"/>
      <w:b/>
      <w:sz w:val="32"/>
      <w:szCs w:val="32"/>
    </w:rPr>
  </w:style>
  <w:style w:type="paragraph" w:customStyle="1" w:styleId="234">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235">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236">
    <w:name w:val="Char Char111"/>
    <w:basedOn w:val="1"/>
    <w:qFormat/>
    <w:uiPriority w:val="0"/>
    <w:pPr>
      <w:spacing w:line="360" w:lineRule="auto"/>
    </w:pPr>
    <w:rPr>
      <w:szCs w:val="20"/>
    </w:rPr>
  </w:style>
  <w:style w:type="paragraph" w:customStyle="1" w:styleId="237">
    <w:name w:val="Char"/>
    <w:basedOn w:val="1"/>
    <w:qFormat/>
    <w:uiPriority w:val="0"/>
    <w:rPr>
      <w:rFonts w:ascii="仿宋_GB2312" w:eastAsia="仿宋_GB2312"/>
      <w:b/>
      <w:sz w:val="32"/>
      <w:szCs w:val="32"/>
    </w:rPr>
  </w:style>
  <w:style w:type="paragraph" w:customStyle="1" w:styleId="238">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eastAsia="en-US"/>
    </w:rPr>
  </w:style>
  <w:style w:type="paragraph" w:customStyle="1" w:styleId="239">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40">
    <w:name w:val="Char Char Char1 Char"/>
    <w:basedOn w:val="1"/>
    <w:qFormat/>
    <w:uiPriority w:val="0"/>
    <w:rPr>
      <w:szCs w:val="20"/>
    </w:rPr>
  </w:style>
  <w:style w:type="paragraph" w:customStyle="1" w:styleId="241">
    <w:name w:val="正文标准"/>
    <w:basedOn w:val="1"/>
    <w:qFormat/>
    <w:uiPriority w:val="0"/>
    <w:pPr>
      <w:adjustRightInd/>
      <w:spacing w:line="360" w:lineRule="auto"/>
      <w:ind w:firstLine="200" w:firstLineChars="200"/>
    </w:pPr>
    <w:rPr>
      <w:rFonts w:ascii="宋体" w:hAnsi="Calibri"/>
      <w:sz w:val="24"/>
    </w:rPr>
  </w:style>
  <w:style w:type="paragraph" w:customStyle="1" w:styleId="242">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243">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44">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245">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246">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247">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248">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4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25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251">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252">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3">
    <w:name w:val="标准有序列表（L1）"/>
    <w:basedOn w:val="5"/>
    <w:qFormat/>
    <w:uiPriority w:val="0"/>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254">
    <w:name w:val="Char Char Char Char Char Char Char Char Char Char"/>
    <w:basedOn w:val="1"/>
    <w:qFormat/>
    <w:uiPriority w:val="0"/>
    <w:rPr>
      <w:rFonts w:ascii="仿宋_GB2312" w:eastAsia="仿宋_GB2312"/>
      <w:b/>
      <w:sz w:val="32"/>
      <w:szCs w:val="32"/>
    </w:rPr>
  </w:style>
  <w:style w:type="paragraph" w:customStyle="1" w:styleId="255">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56">
    <w:name w:val="_正文段落"/>
    <w:basedOn w:val="1"/>
    <w:qFormat/>
    <w:uiPriority w:val="0"/>
    <w:pPr>
      <w:adjustRightInd/>
      <w:ind w:firstLine="560"/>
    </w:pPr>
    <w:rPr>
      <w:rFonts w:ascii="仿宋_GB2312" w:hAnsi="仿宋" w:eastAsia="仿宋_GB2312"/>
      <w:kern w:val="0"/>
      <w:sz w:val="28"/>
      <w:szCs w:val="28"/>
    </w:rPr>
  </w:style>
  <w:style w:type="paragraph" w:customStyle="1" w:styleId="257">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258">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59">
    <w:name w:val="正文（首行缩进）"/>
    <w:basedOn w:val="26"/>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260">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61">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262">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263">
    <w:name w:val="Char Char Char1 Char2"/>
    <w:basedOn w:val="1"/>
    <w:qFormat/>
    <w:uiPriority w:val="0"/>
    <w:rPr>
      <w:szCs w:val="20"/>
    </w:rPr>
  </w:style>
  <w:style w:type="paragraph" w:customStyle="1" w:styleId="264">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5">
    <w:name w:val="默认段落字体 Para Char"/>
    <w:basedOn w:val="1"/>
    <w:qFormat/>
    <w:uiPriority w:val="0"/>
    <w:rPr>
      <w:rFonts w:ascii="Tahoma" w:hAnsi="Tahoma"/>
      <w:sz w:val="24"/>
      <w:szCs w:val="20"/>
    </w:rPr>
  </w:style>
  <w:style w:type="paragraph" w:customStyle="1" w:styleId="266">
    <w:name w:val="标题五"/>
    <w:basedOn w:val="1"/>
    <w:qFormat/>
    <w:uiPriority w:val="0"/>
    <w:pPr>
      <w:adjustRightInd/>
      <w:spacing w:before="156" w:beforeLines="50" w:line="360" w:lineRule="auto"/>
    </w:pPr>
    <w:rPr>
      <w:b/>
      <w:sz w:val="24"/>
    </w:rPr>
  </w:style>
  <w:style w:type="paragraph" w:customStyle="1" w:styleId="267">
    <w:name w:val="Char Char1101"/>
    <w:basedOn w:val="1"/>
    <w:qFormat/>
    <w:uiPriority w:val="0"/>
    <w:pPr>
      <w:spacing w:line="360" w:lineRule="auto"/>
    </w:pPr>
    <w:rPr>
      <w:rFonts w:ascii="Tahoma" w:hAnsi="Tahoma"/>
      <w:sz w:val="24"/>
      <w:szCs w:val="20"/>
    </w:rPr>
  </w:style>
  <w:style w:type="paragraph" w:customStyle="1" w:styleId="268">
    <w:name w:val="Char Char Char Char Char Char Char Char1"/>
    <w:basedOn w:val="1"/>
    <w:qFormat/>
    <w:uiPriority w:val="0"/>
    <w:pPr>
      <w:tabs>
        <w:tab w:val="left" w:pos="360"/>
      </w:tabs>
    </w:pPr>
    <w:rPr>
      <w:sz w:val="24"/>
      <w:szCs w:val="20"/>
    </w:rPr>
  </w:style>
  <w:style w:type="paragraph" w:customStyle="1" w:styleId="269">
    <w:name w:val="Char Char Char 字元 字元"/>
    <w:basedOn w:val="1"/>
    <w:qFormat/>
    <w:uiPriority w:val="0"/>
    <w:pPr>
      <w:adjustRightInd/>
      <w:spacing w:line="360" w:lineRule="auto"/>
      <w:ind w:firstLine="200" w:firstLineChars="200"/>
    </w:pPr>
    <w:rPr>
      <w:szCs w:val="20"/>
    </w:rPr>
  </w:style>
  <w:style w:type="paragraph" w:customStyle="1" w:styleId="270">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271">
    <w:name w:val="Char Char Char Char Char Char Char"/>
    <w:basedOn w:val="1"/>
    <w:qFormat/>
    <w:uiPriority w:val="0"/>
    <w:rPr>
      <w:rFonts w:ascii="仿宋_GB2312" w:eastAsia="仿宋_GB2312"/>
      <w:b/>
      <w:sz w:val="32"/>
      <w:szCs w:val="32"/>
    </w:rPr>
  </w:style>
  <w:style w:type="paragraph" w:customStyle="1" w:styleId="272">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27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74">
    <w:name w:val="样式 标题 22h2L1 Heading 2H2sect 1.2H21sect 1.21H22sect 1.2..."/>
    <w:basedOn w:val="2"/>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275">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276">
    <w:name w:val="批注框文本 Char Char"/>
    <w:basedOn w:val="1"/>
    <w:qFormat/>
    <w:uiPriority w:val="0"/>
    <w:pPr>
      <w:adjustRightInd/>
    </w:pPr>
    <w:rPr>
      <w:sz w:val="18"/>
      <w:szCs w:val="20"/>
    </w:rPr>
  </w:style>
  <w:style w:type="paragraph" w:customStyle="1" w:styleId="277">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278">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79">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80">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val="none" w:color="000000"/>
      <w:lang w:val="en-US" w:eastAsia="zh-CN" w:bidi="ar-SA"/>
    </w:rPr>
  </w:style>
  <w:style w:type="paragraph" w:customStyle="1" w:styleId="281">
    <w:name w:val="索引 11"/>
    <w:basedOn w:val="1"/>
    <w:next w:val="1"/>
    <w:qFormat/>
    <w:uiPriority w:val="99"/>
    <w:pPr>
      <w:adjustRightInd/>
      <w:spacing w:line="360" w:lineRule="auto"/>
    </w:pPr>
    <w:rPr>
      <w:rFonts w:ascii="仿宋_GB2312" w:eastAsia="仿宋_GB2312"/>
      <w:sz w:val="24"/>
      <w:szCs w:val="20"/>
    </w:rPr>
  </w:style>
  <w:style w:type="paragraph" w:customStyle="1" w:styleId="282">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283">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284">
    <w:name w:val="正文文字缩进项目"/>
    <w:basedOn w:val="26"/>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285">
    <w:name w:val="文档正文"/>
    <w:basedOn w:val="1"/>
    <w:qFormat/>
    <w:uiPriority w:val="0"/>
    <w:pPr>
      <w:spacing w:line="480" w:lineRule="atLeast"/>
      <w:ind w:firstLine="567"/>
      <w:textAlignment w:val="baseline"/>
    </w:pPr>
    <w:rPr>
      <w:kern w:val="0"/>
      <w:sz w:val="24"/>
      <w:szCs w:val="20"/>
    </w:rPr>
  </w:style>
  <w:style w:type="paragraph" w:customStyle="1" w:styleId="286">
    <w:name w:val="正文文字表格居中"/>
    <w:basedOn w:val="1"/>
    <w:next w:val="58"/>
    <w:qFormat/>
    <w:uiPriority w:val="0"/>
    <w:pPr>
      <w:snapToGrid w:val="0"/>
      <w:spacing w:line="360" w:lineRule="auto"/>
    </w:pPr>
    <w:rPr>
      <w:rFonts w:ascii="宋体"/>
      <w:b/>
      <w:sz w:val="24"/>
      <w:szCs w:val="20"/>
    </w:rPr>
  </w:style>
  <w:style w:type="paragraph" w:customStyle="1" w:styleId="287">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288">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289">
    <w:name w:val="Plain Text1"/>
    <w:basedOn w:val="1"/>
    <w:qFormat/>
    <w:uiPriority w:val="7"/>
    <w:pPr>
      <w:adjustRightInd/>
    </w:pPr>
    <w:rPr>
      <w:rFonts w:ascii="宋体" w:hAnsi="Courier New"/>
    </w:rPr>
  </w:style>
  <w:style w:type="paragraph" w:customStyle="1" w:styleId="290">
    <w:name w:val="Char3"/>
    <w:basedOn w:val="1"/>
    <w:qFormat/>
    <w:uiPriority w:val="0"/>
    <w:pPr>
      <w:adjustRightInd/>
    </w:pPr>
    <w:rPr>
      <w:rFonts w:ascii="仿宋_GB2312" w:eastAsia="仿宋_GB2312"/>
      <w:b/>
      <w:sz w:val="32"/>
      <w:szCs w:val="32"/>
    </w:rPr>
  </w:style>
  <w:style w:type="paragraph" w:customStyle="1" w:styleId="291">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92">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293">
    <w:name w:val="标题2"/>
    <w:basedOn w:val="2"/>
    <w:next w:val="1"/>
    <w:qFormat/>
    <w:uiPriority w:val="0"/>
    <w:pPr>
      <w:tabs>
        <w:tab w:val="left" w:pos="578"/>
        <w:tab w:val="left" w:pos="900"/>
        <w:tab w:val="left" w:pos="1440"/>
        <w:tab w:val="clear" w:pos="432"/>
      </w:tabs>
      <w:ind w:left="1440" w:hanging="360"/>
    </w:pPr>
    <w:rPr>
      <w:rFonts w:ascii="仿宋" w:eastAsia="仿宋" w:cs="宋体"/>
      <w:bCs w:val="0"/>
      <w:szCs w:val="28"/>
    </w:rPr>
  </w:style>
  <w:style w:type="paragraph" w:customStyle="1" w:styleId="294">
    <w:name w:val="List Paragraph1"/>
    <w:basedOn w:val="1"/>
    <w:qFormat/>
    <w:uiPriority w:val="0"/>
    <w:pPr>
      <w:spacing w:line="360" w:lineRule="auto"/>
      <w:ind w:firstLine="200" w:firstLineChars="200"/>
    </w:pPr>
    <w:rPr>
      <w:rFonts w:eastAsia="楷体_GB2312" w:cs="Lucida Sans"/>
      <w:sz w:val="24"/>
    </w:rPr>
  </w:style>
  <w:style w:type="paragraph" w:customStyle="1" w:styleId="295">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296">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97">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298">
    <w:name w:val="Char3 Char Char Char"/>
    <w:basedOn w:val="1"/>
    <w:qFormat/>
    <w:uiPriority w:val="0"/>
    <w:pPr>
      <w:widowControl/>
      <w:adjustRightInd/>
      <w:spacing w:after="160" w:line="240" w:lineRule="exact"/>
      <w:jc w:val="left"/>
    </w:pPr>
    <w:rPr>
      <w:szCs w:val="20"/>
    </w:rPr>
  </w:style>
  <w:style w:type="paragraph" w:customStyle="1" w:styleId="299">
    <w:name w:val="表格标题2"/>
    <w:basedOn w:val="300"/>
    <w:qFormat/>
    <w:uiPriority w:val="0"/>
    <w:rPr>
      <w:b/>
    </w:rPr>
  </w:style>
  <w:style w:type="paragraph" w:customStyle="1" w:styleId="300">
    <w:name w:val="表格内文"/>
    <w:basedOn w:val="1"/>
    <w:qFormat/>
    <w:uiPriority w:val="0"/>
    <w:pPr>
      <w:adjustRightInd/>
      <w:spacing w:line="360" w:lineRule="auto"/>
    </w:pPr>
    <w:rPr>
      <w:rFonts w:ascii="宋体" w:hAnsi="宋体" w:cs="宋体"/>
      <w:color w:val="000000"/>
      <w:szCs w:val="20"/>
    </w:rPr>
  </w:style>
  <w:style w:type="paragraph" w:customStyle="1" w:styleId="301">
    <w:name w:val="Char Char Char Char Char Char Char Char Char Char2"/>
    <w:basedOn w:val="1"/>
    <w:qFormat/>
    <w:uiPriority w:val="0"/>
    <w:rPr>
      <w:rFonts w:ascii="仿宋_GB2312" w:eastAsia="仿宋_GB2312"/>
      <w:b/>
      <w:sz w:val="32"/>
      <w:szCs w:val="32"/>
    </w:rPr>
  </w:style>
  <w:style w:type="paragraph" w:customStyle="1" w:styleId="302">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303">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04">
    <w:name w:val="Char Char11 Char Char Char Char Char Char Char Char Char11"/>
    <w:basedOn w:val="1"/>
    <w:qFormat/>
    <w:uiPriority w:val="0"/>
    <w:pPr>
      <w:spacing w:line="360" w:lineRule="auto"/>
    </w:pPr>
    <w:rPr>
      <w:szCs w:val="20"/>
    </w:rPr>
  </w:style>
  <w:style w:type="paragraph" w:customStyle="1" w:styleId="305">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306">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307">
    <w:name w:val="MM Topic 1"/>
    <w:basedOn w:val="3"/>
    <w:qFormat/>
    <w:uiPriority w:val="0"/>
    <w:pPr>
      <w:tabs>
        <w:tab w:val="left" w:pos="840"/>
        <w:tab w:val="clear" w:pos="432"/>
      </w:tabs>
      <w:adjustRightInd/>
      <w:ind w:left="840" w:hanging="420"/>
    </w:pPr>
  </w:style>
  <w:style w:type="paragraph" w:customStyle="1" w:styleId="308">
    <w:name w:val="样式 标题 2标题2H2Heading 2 HiddenHeading 2 CCBSheading 22nd lev..."/>
    <w:basedOn w:val="2"/>
    <w:qFormat/>
    <w:uiPriority w:val="0"/>
    <w:pPr>
      <w:widowControl/>
      <w:spacing w:before="260" w:after="260" w:line="416" w:lineRule="auto"/>
      <w:ind w:left="0" w:firstLine="0"/>
    </w:pPr>
    <w:rPr>
      <w:rFonts w:ascii="Arial" w:hAnsi="Arial" w:eastAsia="黑体"/>
      <w:sz w:val="30"/>
      <w:szCs w:val="21"/>
    </w:rPr>
  </w:style>
  <w:style w:type="paragraph" w:customStyle="1" w:styleId="309">
    <w:name w:val="文本正文 Char"/>
    <w:basedOn w:val="1"/>
    <w:qFormat/>
    <w:uiPriority w:val="0"/>
    <w:pPr>
      <w:spacing w:line="360" w:lineRule="auto"/>
      <w:ind w:firstLine="200" w:firstLineChars="200"/>
    </w:pPr>
    <w:rPr>
      <w:kern w:val="0"/>
      <w:sz w:val="24"/>
      <w:szCs w:val="20"/>
    </w:rPr>
  </w:style>
  <w:style w:type="paragraph" w:customStyle="1" w:styleId="310">
    <w:name w:val="表格"/>
    <w:basedOn w:val="1"/>
    <w:qFormat/>
    <w:uiPriority w:val="0"/>
    <w:pPr>
      <w:snapToGrid w:val="0"/>
      <w:ind w:firstLine="42" w:firstLineChars="21"/>
    </w:pPr>
    <w:rPr>
      <w:rFonts w:ascii="宋体" w:hAnsi="宋体"/>
      <w:kern w:val="0"/>
      <w:sz w:val="20"/>
      <w:szCs w:val="20"/>
    </w:rPr>
  </w:style>
  <w:style w:type="paragraph" w:customStyle="1" w:styleId="311">
    <w:name w:val="标书标题4"/>
    <w:basedOn w:val="6"/>
    <w:qFormat/>
    <w:uiPriority w:val="0"/>
    <w:pPr>
      <w:snapToGrid w:val="0"/>
      <w:spacing w:before="0" w:after="0" w:line="300" w:lineRule="auto"/>
    </w:pPr>
    <w:rPr>
      <w:rFonts w:ascii="Arial Narrow" w:hAnsi="Arial Narrow" w:eastAsia="仿宋_GB2312"/>
      <w:bCs w:val="0"/>
      <w:color w:val="000000"/>
      <w:kern w:val="0"/>
      <w:szCs w:val="32"/>
      <w:lang w:val="en-US"/>
    </w:rPr>
  </w:style>
  <w:style w:type="paragraph" w:customStyle="1" w:styleId="312">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313">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314">
    <w:name w:val="表格项目符号 2"/>
    <w:basedOn w:val="30"/>
    <w:qFormat/>
    <w:uiPriority w:val="0"/>
    <w:pPr>
      <w:tabs>
        <w:tab w:val="left" w:pos="624"/>
      </w:tabs>
      <w:adjustRightInd/>
      <w:snapToGrid w:val="0"/>
      <w:spacing w:line="300" w:lineRule="auto"/>
      <w:ind w:left="623" w:hanging="374"/>
      <w:jc w:val="both"/>
    </w:pPr>
    <w:rPr>
      <w:rFonts w:ascii="Times New Roman" w:hAnsi="Times New Roman"/>
      <w:color w:val="auto"/>
      <w:kern w:val="2"/>
      <w:sz w:val="21"/>
      <w:szCs w:val="24"/>
    </w:rPr>
  </w:style>
  <w:style w:type="paragraph" w:customStyle="1" w:styleId="315">
    <w:name w:val="EB_表格"/>
    <w:basedOn w:val="1"/>
    <w:qFormat/>
    <w:uiPriority w:val="0"/>
    <w:pPr>
      <w:adjustRightInd/>
      <w:spacing w:line="300" w:lineRule="auto"/>
      <w:jc w:val="center"/>
    </w:pPr>
  </w:style>
  <w:style w:type="paragraph" w:customStyle="1" w:styleId="316">
    <w:name w:val="_Style 6"/>
    <w:basedOn w:val="1"/>
    <w:qFormat/>
    <w:uiPriority w:val="34"/>
    <w:pPr>
      <w:adjustRightInd/>
      <w:ind w:firstLine="420" w:firstLineChars="200"/>
    </w:pPr>
    <w:rPr>
      <w:rFonts w:eastAsia="仿宋_GB2312"/>
      <w:sz w:val="28"/>
    </w:rPr>
  </w:style>
  <w:style w:type="paragraph" w:customStyle="1" w:styleId="317">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1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319">
    <w:name w:val="!大节"/>
    <w:basedOn w:val="2"/>
    <w:qFormat/>
    <w:uiPriority w:val="0"/>
    <w:pPr>
      <w:spacing w:before="260" w:after="260" w:line="415" w:lineRule="auto"/>
      <w:ind w:left="420" w:hanging="420"/>
    </w:pPr>
    <w:rPr>
      <w:rFonts w:ascii="Arial" w:hAnsi="Arial" w:eastAsia="微软雅黑"/>
      <w:lang w:val="en-US"/>
    </w:rPr>
  </w:style>
  <w:style w:type="paragraph" w:customStyle="1" w:styleId="320">
    <w:name w:val="正文文本 22"/>
    <w:basedOn w:val="1"/>
    <w:qFormat/>
    <w:uiPriority w:val="0"/>
    <w:pPr>
      <w:widowControl/>
      <w:overflowPunct w:val="0"/>
      <w:autoSpaceDE w:val="0"/>
      <w:autoSpaceDN w:val="0"/>
      <w:ind w:left="720" w:hanging="720"/>
      <w:textAlignment w:val="baseline"/>
    </w:pPr>
    <w:rPr>
      <w:kern w:val="0"/>
      <w:sz w:val="24"/>
      <w:szCs w:val="20"/>
    </w:rPr>
  </w:style>
  <w:style w:type="paragraph" w:customStyle="1" w:styleId="321">
    <w:name w:val="正文表标题"/>
    <w:next w:val="322"/>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2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23">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324">
    <w:name w:val="trademark"/>
    <w:qFormat/>
    <w:uiPriority w:val="0"/>
    <w:pPr>
      <w:spacing w:after="60"/>
    </w:pPr>
    <w:rPr>
      <w:rFonts w:ascii="Futura Bk" w:hAnsi="Futura Bk" w:eastAsia="宋体" w:cs="Times New Roman"/>
      <w:sz w:val="15"/>
      <w:lang w:val="en-US" w:eastAsia="en-US" w:bidi="ar-SA"/>
    </w:rPr>
  </w:style>
  <w:style w:type="paragraph" w:customStyle="1" w:styleId="325">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eastAsia="en-US"/>
    </w:rPr>
  </w:style>
  <w:style w:type="paragraph" w:customStyle="1" w:styleId="326">
    <w:name w:val="Char Char1 Char Char Char Char Char Char1"/>
    <w:basedOn w:val="1"/>
    <w:qFormat/>
    <w:uiPriority w:val="0"/>
    <w:rPr>
      <w:rFonts w:ascii="仿宋_GB2312" w:eastAsia="仿宋_GB2312"/>
      <w:b/>
      <w:sz w:val="32"/>
      <w:szCs w:val="20"/>
    </w:rPr>
  </w:style>
  <w:style w:type="paragraph" w:customStyle="1" w:styleId="327">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328">
    <w:name w:val="Char1 Char Char Char1"/>
    <w:basedOn w:val="1"/>
    <w:qFormat/>
    <w:uiPriority w:val="0"/>
    <w:pPr>
      <w:adjustRightInd/>
      <w:ind w:firstLine="200" w:firstLineChars="200"/>
    </w:pPr>
    <w:rPr>
      <w:rFonts w:ascii="Tahoma" w:hAnsi="Tahoma"/>
      <w:sz w:val="24"/>
      <w:szCs w:val="20"/>
    </w:rPr>
  </w:style>
  <w:style w:type="paragraph" w:customStyle="1" w:styleId="329">
    <w:name w:val="a1"/>
    <w:basedOn w:val="1"/>
    <w:qFormat/>
    <w:uiPriority w:val="0"/>
    <w:pPr>
      <w:widowControl/>
      <w:spacing w:line="300" w:lineRule="atLeast"/>
      <w:jc w:val="left"/>
    </w:pPr>
    <w:rPr>
      <w:rFonts w:ascii="宋体" w:hAnsi="宋体"/>
      <w:kern w:val="0"/>
      <w:sz w:val="18"/>
      <w:szCs w:val="20"/>
    </w:rPr>
  </w:style>
  <w:style w:type="paragraph" w:customStyle="1" w:styleId="330">
    <w:name w:val="样式7"/>
    <w:basedOn w:val="331"/>
    <w:next w:val="1"/>
    <w:qFormat/>
    <w:uiPriority w:val="0"/>
    <w:pPr>
      <w:spacing w:after="156" w:afterLines="50"/>
      <w:jc w:val="left"/>
      <w:outlineLvl w:val="3"/>
    </w:pPr>
    <w:rPr>
      <w:sz w:val="24"/>
      <w:szCs w:val="24"/>
    </w:rPr>
  </w:style>
  <w:style w:type="paragraph" w:customStyle="1" w:styleId="331">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332">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33">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334">
    <w:name w:val="样式 样式2 + 左侧:  1 字符 右侧:  1 字符"/>
    <w:basedOn w:val="143"/>
    <w:qFormat/>
    <w:uiPriority w:val="0"/>
    <w:pPr>
      <w:tabs>
        <w:tab w:val="clear" w:pos="2790"/>
        <w:tab w:val="clear" w:pos="4230"/>
      </w:tabs>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35">
    <w:name w:val="Char2 Char Char2"/>
    <w:basedOn w:val="1"/>
    <w:qFormat/>
    <w:uiPriority w:val="0"/>
    <w:pPr>
      <w:adjustRightInd/>
    </w:pPr>
    <w:rPr>
      <w:rFonts w:ascii="Tahoma" w:hAnsi="Tahoma"/>
      <w:sz w:val="24"/>
      <w:szCs w:val="20"/>
    </w:rPr>
  </w:style>
  <w:style w:type="paragraph" w:customStyle="1" w:styleId="336">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337">
    <w:name w:val="三级条标题"/>
    <w:basedOn w:val="338"/>
    <w:next w:val="322"/>
    <w:qFormat/>
    <w:uiPriority w:val="0"/>
    <w:pPr>
      <w:tabs>
        <w:tab w:val="left" w:pos="1260"/>
        <w:tab w:val="left" w:pos="1680"/>
        <w:tab w:val="left" w:pos="2100"/>
        <w:tab w:val="left" w:pos="2520"/>
      </w:tabs>
      <w:ind w:left="2520"/>
      <w:outlineLvl w:val="4"/>
    </w:pPr>
  </w:style>
  <w:style w:type="paragraph" w:customStyle="1" w:styleId="338">
    <w:name w:val="二级条标题"/>
    <w:basedOn w:val="339"/>
    <w:next w:val="322"/>
    <w:qFormat/>
    <w:uiPriority w:val="0"/>
    <w:pPr>
      <w:tabs>
        <w:tab w:val="left" w:pos="1260"/>
        <w:tab w:val="left" w:pos="1680"/>
        <w:tab w:val="left" w:pos="2100"/>
      </w:tabs>
      <w:ind w:left="0"/>
      <w:outlineLvl w:val="3"/>
    </w:pPr>
  </w:style>
  <w:style w:type="paragraph" w:customStyle="1" w:styleId="339">
    <w:name w:val="一级条标题"/>
    <w:basedOn w:val="340"/>
    <w:next w:val="322"/>
    <w:qFormat/>
    <w:uiPriority w:val="0"/>
    <w:pPr>
      <w:tabs>
        <w:tab w:val="left" w:pos="1260"/>
        <w:tab w:val="left" w:pos="1680"/>
      </w:tabs>
      <w:spacing w:before="0" w:beforeLines="0" w:after="0" w:afterLines="0"/>
      <w:ind w:left="1680"/>
      <w:outlineLvl w:val="2"/>
    </w:pPr>
  </w:style>
  <w:style w:type="paragraph" w:customStyle="1" w:styleId="340">
    <w:name w:val="章标题"/>
    <w:next w:val="322"/>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341">
    <w:name w:val="数字标题2"/>
    <w:basedOn w:val="2"/>
    <w:next w:val="1"/>
    <w:qFormat/>
    <w:uiPriority w:val="0"/>
    <w:pPr>
      <w:tabs>
        <w:tab w:val="left" w:pos="480"/>
        <w:tab w:val="clear" w:pos="432"/>
      </w:tabs>
      <w:ind w:left="480" w:hanging="480"/>
    </w:pPr>
    <w:rPr>
      <w:rFonts w:ascii="Times New Roman" w:eastAsia="宋体"/>
      <w:i/>
      <w:sz w:val="36"/>
      <w:szCs w:val="36"/>
      <w:lang w:val="en-US"/>
    </w:rPr>
  </w:style>
  <w:style w:type="paragraph" w:customStyle="1" w:styleId="342">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43">
    <w:name w:val="样式 标题 1Level 1 HeadPIM 1Section Headh1l11Heading 0Datash..."/>
    <w:basedOn w:val="3"/>
    <w:qFormat/>
    <w:uiPriority w:val="0"/>
    <w:pPr>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344">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345">
    <w:name w:val="样式 标题 1章节第一层h1H"/>
    <w:basedOn w:val="3"/>
    <w:qFormat/>
    <w:uiPriority w:val="0"/>
    <w:pPr>
      <w:autoSpaceDE w:val="0"/>
      <w:autoSpaceDN w:val="0"/>
      <w:spacing w:before="0" w:after="0" w:line="240" w:lineRule="auto"/>
      <w:ind w:left="0" w:firstLine="0"/>
      <w:jc w:val="left"/>
      <w:outlineLvl w:val="9"/>
    </w:pPr>
    <w:rPr>
      <w:kern w:val="0"/>
      <w:sz w:val="52"/>
      <w:szCs w:val="52"/>
      <w:lang w:val="zh-CN"/>
    </w:rPr>
  </w:style>
  <w:style w:type="paragraph" w:customStyle="1" w:styleId="346">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47">
    <w:name w:val="正文 项目2"/>
    <w:basedOn w:val="348"/>
    <w:qFormat/>
    <w:uiPriority w:val="0"/>
    <w:pPr>
      <w:tabs>
        <w:tab w:val="left" w:pos="840"/>
      </w:tabs>
      <w:spacing w:after="0"/>
      <w:ind w:left="900"/>
    </w:pPr>
  </w:style>
  <w:style w:type="paragraph" w:customStyle="1" w:styleId="348">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49">
    <w:name w:val="Body Text 2*"/>
    <w:basedOn w:val="1"/>
    <w:qFormat/>
    <w:uiPriority w:val="6"/>
    <w:pPr>
      <w:widowControl/>
      <w:adjustRightInd/>
      <w:ind w:left="720" w:hanging="720"/>
    </w:pPr>
    <w:rPr>
      <w:color w:val="000000"/>
      <w:kern w:val="0"/>
      <w:sz w:val="24"/>
      <w:szCs w:val="20"/>
    </w:rPr>
  </w:style>
  <w:style w:type="paragraph" w:customStyle="1" w:styleId="350">
    <w:name w:val="表1"/>
    <w:basedOn w:val="1"/>
    <w:qFormat/>
    <w:uiPriority w:val="0"/>
    <w:pPr>
      <w:tabs>
        <w:tab w:val="left" w:pos="703"/>
      </w:tabs>
      <w:adjustRightInd/>
      <w:spacing w:line="360" w:lineRule="auto"/>
      <w:ind w:left="703"/>
      <w:jc w:val="center"/>
    </w:pPr>
  </w:style>
  <w:style w:type="paragraph" w:customStyle="1" w:styleId="351">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352">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353">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354">
    <w:name w:val="2级标题"/>
    <w:basedOn w:val="355"/>
    <w:qFormat/>
    <w:uiPriority w:val="0"/>
    <w:pPr>
      <w:jc w:val="left"/>
      <w:outlineLvl w:val="1"/>
    </w:pPr>
    <w:rPr>
      <w:rFonts w:ascii="Times New Roman" w:hAnsi="Times New Roman" w:eastAsia="仿宋"/>
      <w:sz w:val="30"/>
    </w:rPr>
  </w:style>
  <w:style w:type="paragraph" w:customStyle="1" w:styleId="355">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356">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357">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35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359">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60">
    <w:name w:val="bullet"/>
    <w:basedOn w:val="1"/>
    <w:qFormat/>
    <w:uiPriority w:val="0"/>
    <w:pPr>
      <w:tabs>
        <w:tab w:val="left" w:pos="840"/>
      </w:tabs>
      <w:adjustRightInd/>
      <w:ind w:left="840" w:hanging="420"/>
    </w:pPr>
  </w:style>
  <w:style w:type="paragraph" w:customStyle="1" w:styleId="361">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362">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363">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364">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3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366">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367">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368">
    <w:name w:val="MM Topic 4"/>
    <w:basedOn w:val="6"/>
    <w:qFormat/>
    <w:uiPriority w:val="0"/>
    <w:pPr>
      <w:tabs>
        <w:tab w:val="left" w:pos="2100"/>
        <w:tab w:val="clear" w:pos="864"/>
      </w:tabs>
      <w:adjustRightInd/>
      <w:ind w:left="2100" w:hanging="420"/>
    </w:pPr>
    <w:rPr>
      <w:lang w:val="en-US"/>
    </w:rPr>
  </w:style>
  <w:style w:type="paragraph" w:customStyle="1" w:styleId="369">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370">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val="none" w:color="000000"/>
      <w:lang w:val="en-US" w:eastAsia="zh-CN" w:bidi="ar-SA"/>
    </w:rPr>
  </w:style>
  <w:style w:type="paragraph" w:customStyle="1" w:styleId="371">
    <w:name w:val="Char Char11 Char Char Char Char Char Char Char Char Char1"/>
    <w:basedOn w:val="1"/>
    <w:qFormat/>
    <w:uiPriority w:val="6"/>
    <w:pPr>
      <w:spacing w:line="360" w:lineRule="auto"/>
    </w:pPr>
    <w:rPr>
      <w:szCs w:val="20"/>
    </w:rPr>
  </w:style>
  <w:style w:type="paragraph" w:customStyle="1" w:styleId="372">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373">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374">
    <w:name w:val="body text bold"/>
    <w:basedOn w:val="16"/>
    <w:qFormat/>
    <w:uiPriority w:val="0"/>
    <w:pPr>
      <w:widowControl/>
      <w:adjustRightInd/>
      <w:spacing w:line="240" w:lineRule="auto"/>
      <w:ind w:firstLine="200" w:firstLineChars="200"/>
      <w:jc w:val="left"/>
    </w:pPr>
    <w:rPr>
      <w:rFonts w:ascii="Futura Hv" w:hAnsi="Futura Hv"/>
      <w:kern w:val="0"/>
      <w:sz w:val="18"/>
      <w:szCs w:val="20"/>
      <w:lang w:val="en-US" w:eastAsia="en-US"/>
    </w:rPr>
  </w:style>
  <w:style w:type="paragraph" w:customStyle="1" w:styleId="375">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76">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377">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378">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79">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380">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381">
    <w:name w:val="单元格居中"/>
    <w:basedOn w:val="1"/>
    <w:qFormat/>
    <w:uiPriority w:val="0"/>
    <w:pPr>
      <w:adjustRightInd/>
      <w:spacing w:line="360" w:lineRule="auto"/>
      <w:jc w:val="center"/>
    </w:pPr>
    <w:rPr>
      <w:sz w:val="24"/>
    </w:rPr>
  </w:style>
  <w:style w:type="paragraph" w:customStyle="1" w:styleId="38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383">
    <w:name w:val="Char Char Char Char Char Char Char1"/>
    <w:basedOn w:val="1"/>
    <w:qFormat/>
    <w:uiPriority w:val="6"/>
    <w:rPr>
      <w:rFonts w:ascii="仿宋_GB2312" w:eastAsia="仿宋_GB2312"/>
      <w:b/>
      <w:sz w:val="32"/>
      <w:szCs w:val="32"/>
    </w:rPr>
  </w:style>
  <w:style w:type="paragraph" w:customStyle="1" w:styleId="384">
    <w:name w:val="正文缩进1"/>
    <w:basedOn w:val="1"/>
    <w:next w:val="26"/>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385">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386">
    <w:name w:val="Char3 Char Char Char11"/>
    <w:basedOn w:val="1"/>
    <w:qFormat/>
    <w:uiPriority w:val="0"/>
    <w:pPr>
      <w:widowControl/>
      <w:adjustRightInd/>
      <w:spacing w:after="160" w:line="240" w:lineRule="exact"/>
      <w:jc w:val="left"/>
    </w:pPr>
    <w:rPr>
      <w:szCs w:val="20"/>
    </w:rPr>
  </w:style>
  <w:style w:type="paragraph" w:customStyle="1" w:styleId="387">
    <w:name w:val="Char Char1121"/>
    <w:basedOn w:val="1"/>
    <w:qFormat/>
    <w:uiPriority w:val="0"/>
    <w:pPr>
      <w:spacing w:line="360" w:lineRule="auto"/>
    </w:pPr>
    <w:rPr>
      <w:szCs w:val="20"/>
    </w:rPr>
  </w:style>
  <w:style w:type="paragraph" w:customStyle="1" w:styleId="388">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389">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val="none" w:color="000000"/>
      <w:lang w:val="en-US" w:eastAsia="zh-CN" w:bidi="ar-SA"/>
    </w:rPr>
  </w:style>
  <w:style w:type="paragraph" w:customStyle="1" w:styleId="390">
    <w:name w:val="Normal0"/>
    <w:qFormat/>
    <w:uiPriority w:val="0"/>
    <w:rPr>
      <w:rFonts w:ascii="Times New Roman" w:hAnsi="Times New Roman" w:eastAsia="宋体" w:cs="Times New Roman"/>
      <w:lang w:val="en-US" w:eastAsia="en-US" w:bidi="ar-SA"/>
    </w:rPr>
  </w:style>
  <w:style w:type="paragraph" w:customStyle="1" w:styleId="391">
    <w:name w:val="带编号样式"/>
    <w:basedOn w:val="309"/>
    <w:qFormat/>
    <w:uiPriority w:val="0"/>
    <w:pPr>
      <w:tabs>
        <w:tab w:val="left" w:pos="840"/>
      </w:tabs>
      <w:snapToGrid w:val="0"/>
      <w:ind w:left="840" w:hanging="420" w:firstLineChars="0"/>
    </w:pPr>
    <w:rPr>
      <w:rFonts w:ascii="仿宋_GB2312" w:eastAsia="仿宋_GB2312"/>
      <w:color w:val="000000"/>
    </w:rPr>
  </w:style>
  <w:style w:type="paragraph" w:customStyle="1" w:styleId="392">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393">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394">
    <w:name w:val="封面"/>
    <w:basedOn w:val="1"/>
    <w:qFormat/>
    <w:uiPriority w:val="0"/>
    <w:pPr>
      <w:spacing w:line="360" w:lineRule="atLeast"/>
      <w:jc w:val="right"/>
      <w:textAlignment w:val="baseline"/>
    </w:pPr>
    <w:rPr>
      <w:rFonts w:ascii="Symbol" w:hAnsi="Symbol"/>
      <w:kern w:val="0"/>
      <w:szCs w:val="20"/>
    </w:rPr>
  </w:style>
  <w:style w:type="paragraph" w:customStyle="1" w:styleId="395">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396">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397">
    <w:name w:val="默认段落字体 Para Char Char Char1 Char"/>
    <w:basedOn w:val="1"/>
    <w:qFormat/>
    <w:uiPriority w:val="0"/>
    <w:pPr>
      <w:spacing w:line="240" w:lineRule="atLeast"/>
      <w:ind w:left="420" w:firstLine="420"/>
    </w:pPr>
    <w:rPr>
      <w:sz w:val="24"/>
    </w:rPr>
  </w:style>
  <w:style w:type="paragraph" w:customStyle="1" w:styleId="398">
    <w:name w:val="WW-正文文字缩进 2"/>
    <w:basedOn w:val="1"/>
    <w:qFormat/>
    <w:uiPriority w:val="0"/>
    <w:pPr>
      <w:suppressAutoHyphens/>
      <w:adjustRightInd/>
      <w:ind w:firstLine="420"/>
    </w:pPr>
    <w:rPr>
      <w:kern w:val="1"/>
      <w:szCs w:val="20"/>
    </w:rPr>
  </w:style>
  <w:style w:type="paragraph" w:customStyle="1" w:styleId="399">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400">
    <w:name w:val="样式 标题 2 + 四号"/>
    <w:basedOn w:val="2"/>
    <w:qFormat/>
    <w:uiPriority w:val="0"/>
    <w:pPr>
      <w:spacing w:before="120" w:after="120"/>
      <w:ind w:left="0" w:firstLine="0"/>
      <w:jc w:val="both"/>
    </w:pPr>
    <w:rPr>
      <w:rFonts w:ascii="宋体" w:hAnsi="Arial" w:eastAsia="宋体"/>
      <w:sz w:val="28"/>
      <w:lang w:val="en-US"/>
    </w:rPr>
  </w:style>
  <w:style w:type="paragraph" w:customStyle="1" w:styleId="401">
    <w:name w:val="有符号正文"/>
    <w:basedOn w:val="1"/>
    <w:qFormat/>
    <w:uiPriority w:val="0"/>
    <w:pPr>
      <w:adjustRightInd/>
      <w:spacing w:line="400" w:lineRule="exact"/>
      <w:ind w:firstLine="200" w:firstLineChars="200"/>
    </w:pPr>
    <w:rPr>
      <w:rFonts w:ascii="Arial" w:hAnsi="Arial"/>
    </w:rPr>
  </w:style>
  <w:style w:type="paragraph" w:customStyle="1" w:styleId="402">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40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404">
    <w:name w:val="4"/>
    <w:basedOn w:val="1"/>
    <w:next w:val="38"/>
    <w:qFormat/>
    <w:uiPriority w:val="0"/>
    <w:pPr>
      <w:spacing w:after="120" w:line="480" w:lineRule="auto"/>
      <w:ind w:left="420" w:leftChars="200"/>
    </w:pPr>
    <w:rPr>
      <w:sz w:val="24"/>
      <w:szCs w:val="20"/>
    </w:rPr>
  </w:style>
  <w:style w:type="paragraph" w:customStyle="1" w:styleId="405">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06">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407">
    <w:name w:val="样式 标题 3H3 + 两端对齐"/>
    <w:basedOn w:val="4"/>
    <w:qFormat/>
    <w:uiPriority w:val="0"/>
    <w:pPr>
      <w:spacing w:before="0" w:after="0" w:line="240" w:lineRule="auto"/>
      <w:jc w:val="left"/>
    </w:pPr>
    <w:rPr>
      <w:rFonts w:cs="宋体"/>
      <w:sz w:val="21"/>
      <w:szCs w:val="20"/>
    </w:rPr>
  </w:style>
  <w:style w:type="paragraph" w:customStyle="1" w:styleId="408">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409">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410">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1">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412">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413">
    <w:name w:val="Char Char1 Char Char Char"/>
    <w:basedOn w:val="1"/>
    <w:qFormat/>
    <w:uiPriority w:val="0"/>
    <w:rPr>
      <w:rFonts w:ascii="仿宋_GB2312" w:eastAsia="仿宋_GB2312"/>
      <w:b/>
      <w:sz w:val="32"/>
      <w:szCs w:val="20"/>
    </w:rPr>
  </w:style>
  <w:style w:type="paragraph" w:customStyle="1" w:styleId="414">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415">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416">
    <w:name w:val="Picture"/>
    <w:basedOn w:val="1"/>
    <w:next w:val="20"/>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417">
    <w:name w:val="Char Char1 Char Char Char2"/>
    <w:basedOn w:val="1"/>
    <w:qFormat/>
    <w:uiPriority w:val="0"/>
    <w:rPr>
      <w:rFonts w:ascii="仿宋_GB2312" w:eastAsia="仿宋_GB2312"/>
      <w:b/>
      <w:sz w:val="32"/>
      <w:szCs w:val="32"/>
    </w:rPr>
  </w:style>
  <w:style w:type="paragraph" w:customStyle="1" w:styleId="418">
    <w:name w:val="Char3 Char Char Char1"/>
    <w:basedOn w:val="1"/>
    <w:qFormat/>
    <w:uiPriority w:val="6"/>
    <w:pPr>
      <w:widowControl/>
      <w:adjustRightInd/>
      <w:spacing w:after="160" w:line="240" w:lineRule="exact"/>
      <w:jc w:val="left"/>
    </w:pPr>
    <w:rPr>
      <w:szCs w:val="20"/>
    </w:rPr>
  </w:style>
  <w:style w:type="paragraph" w:customStyle="1" w:styleId="419">
    <w:name w:val="Char1 Char Char Char21"/>
    <w:basedOn w:val="1"/>
    <w:qFormat/>
    <w:uiPriority w:val="0"/>
    <w:rPr>
      <w:rFonts w:ascii="Tahoma" w:hAnsi="Tahoma"/>
      <w:sz w:val="24"/>
      <w:szCs w:val="20"/>
    </w:rPr>
  </w:style>
  <w:style w:type="paragraph" w:customStyle="1" w:styleId="420">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21">
    <w:name w:val="正文（标题三）"/>
    <w:basedOn w:val="1"/>
    <w:qFormat/>
    <w:uiPriority w:val="0"/>
    <w:pPr>
      <w:spacing w:line="360" w:lineRule="auto"/>
      <w:ind w:firstLine="200" w:firstLineChars="200"/>
    </w:pPr>
    <w:rPr>
      <w:sz w:val="24"/>
    </w:rPr>
  </w:style>
  <w:style w:type="paragraph" w:customStyle="1" w:styleId="422">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423">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24">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425">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426">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427">
    <w:name w:val="Char1 Char Char Char4"/>
    <w:basedOn w:val="1"/>
    <w:qFormat/>
    <w:uiPriority w:val="0"/>
    <w:pPr>
      <w:adjustRightInd/>
      <w:ind w:firstLine="200" w:firstLineChars="200"/>
    </w:pPr>
    <w:rPr>
      <w:rFonts w:ascii="Tahoma" w:hAnsi="Tahoma"/>
      <w:sz w:val="24"/>
      <w:szCs w:val="20"/>
    </w:rPr>
  </w:style>
  <w:style w:type="paragraph" w:customStyle="1" w:styleId="428">
    <w:name w:val="_标题2"/>
    <w:basedOn w:val="395"/>
    <w:next w:val="395"/>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429">
    <w:name w:val="样式1 + (中宋体"/>
    <w:basedOn w:val="406"/>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430">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31">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432">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433">
    <w:name w:val="四号　首行缩进"/>
    <w:basedOn w:val="1"/>
    <w:qFormat/>
    <w:uiPriority w:val="0"/>
    <w:pPr>
      <w:adjustRightInd/>
      <w:spacing w:line="360" w:lineRule="auto"/>
    </w:pPr>
    <w:rPr>
      <w:rFonts w:ascii="宋体" w:hAnsi="宋体"/>
      <w:szCs w:val="20"/>
    </w:rPr>
  </w:style>
  <w:style w:type="paragraph" w:customStyle="1" w:styleId="43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35">
    <w:name w:val="Char Char Char Char Char Char Char Char Char Char Char1 Char"/>
    <w:basedOn w:val="1"/>
    <w:qFormat/>
    <w:uiPriority w:val="0"/>
    <w:pPr>
      <w:adjustRightInd/>
    </w:pPr>
    <w:rPr>
      <w:rFonts w:ascii="Tahoma" w:hAnsi="Tahoma"/>
      <w:sz w:val="24"/>
    </w:rPr>
  </w:style>
  <w:style w:type="paragraph" w:customStyle="1" w:styleId="436">
    <w:name w:val="Char Char Char Char11"/>
    <w:basedOn w:val="1"/>
    <w:qFormat/>
    <w:uiPriority w:val="0"/>
    <w:rPr>
      <w:rFonts w:ascii="Tahoma" w:hAnsi="Tahoma"/>
      <w:sz w:val="24"/>
      <w:szCs w:val="20"/>
    </w:rPr>
  </w:style>
  <w:style w:type="paragraph" w:customStyle="1" w:styleId="437">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438">
    <w:name w:val="Char Char Char Char"/>
    <w:basedOn w:val="1"/>
    <w:qFormat/>
    <w:uiPriority w:val="0"/>
    <w:rPr>
      <w:rFonts w:ascii="Tahoma" w:hAnsi="Tahoma"/>
      <w:sz w:val="24"/>
      <w:szCs w:val="20"/>
    </w:rPr>
  </w:style>
  <w:style w:type="paragraph" w:customStyle="1" w:styleId="439">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440">
    <w:name w:val="Char19"/>
    <w:basedOn w:val="1"/>
    <w:qFormat/>
    <w:uiPriority w:val="0"/>
    <w:pPr>
      <w:adjustRightInd/>
    </w:pPr>
    <w:rPr>
      <w:szCs w:val="20"/>
    </w:rPr>
  </w:style>
  <w:style w:type="paragraph" w:customStyle="1" w:styleId="441">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442">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443">
    <w:name w:val="_Style 5"/>
    <w:basedOn w:val="1"/>
    <w:qFormat/>
    <w:uiPriority w:val="34"/>
    <w:pPr>
      <w:adjustRightInd/>
      <w:ind w:firstLine="420" w:firstLineChars="200"/>
    </w:pPr>
    <w:rPr>
      <w:rFonts w:eastAsia="仿宋_GB2312"/>
      <w:sz w:val="28"/>
    </w:rPr>
  </w:style>
  <w:style w:type="paragraph" w:customStyle="1" w:styleId="444">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445">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446">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447">
    <w:name w:val="标书表格字体格式"/>
    <w:next w:val="441"/>
    <w:qFormat/>
    <w:uiPriority w:val="0"/>
    <w:rPr>
      <w:rFonts w:ascii="Times New Roman" w:hAnsi="Times New Roman" w:eastAsia="宋体" w:cs="Times New Roman"/>
      <w:kern w:val="2"/>
      <w:sz w:val="21"/>
      <w:szCs w:val="24"/>
      <w:lang w:val="en-US" w:eastAsia="zh-CN" w:bidi="ar-SA"/>
    </w:rPr>
  </w:style>
  <w:style w:type="paragraph" w:customStyle="1" w:styleId="448">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449">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50">
    <w:name w:val="修订3"/>
    <w:qFormat/>
    <w:uiPriority w:val="0"/>
    <w:rPr>
      <w:rFonts w:ascii="Times New Roman" w:hAnsi="Times New Roman" w:eastAsia="宋体" w:cs="Times New Roman"/>
      <w:kern w:val="2"/>
      <w:sz w:val="21"/>
      <w:lang w:val="en-US" w:eastAsia="zh-CN" w:bidi="ar-SA"/>
    </w:rPr>
  </w:style>
  <w:style w:type="paragraph" w:customStyle="1" w:styleId="451">
    <w:name w:val="CSS1级正文 Char"/>
    <w:basedOn w:val="16"/>
    <w:qFormat/>
    <w:uiPriority w:val="0"/>
    <w:pPr>
      <w:snapToGrid w:val="0"/>
      <w:ind w:firstLine="480" w:firstLineChars="200"/>
    </w:pPr>
    <w:rPr>
      <w:rFonts w:ascii="Times New Roman"/>
      <w:szCs w:val="24"/>
      <w:lang w:val="en-US"/>
    </w:rPr>
  </w:style>
  <w:style w:type="paragraph" w:customStyle="1" w:styleId="452">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53">
    <w:name w:val="表文字"/>
    <w:qFormat/>
    <w:uiPriority w:val="0"/>
    <w:rPr>
      <w:rFonts w:ascii="宋体" w:hAnsi="Times New Roman" w:eastAsia="宋体" w:cs="Times New Roman"/>
      <w:kern w:val="2"/>
      <w:lang w:val="en-US" w:eastAsia="zh-CN" w:bidi="ar-SA"/>
    </w:rPr>
  </w:style>
  <w:style w:type="paragraph" w:customStyle="1" w:styleId="454">
    <w:name w:val="MM Title"/>
    <w:basedOn w:val="61"/>
    <w:qFormat/>
    <w:uiPriority w:val="0"/>
    <w:pPr>
      <w:widowControl w:val="0"/>
      <w:adjustRightInd/>
      <w:spacing w:before="240" w:after="60"/>
      <w:textAlignment w:val="auto"/>
      <w:outlineLvl w:val="0"/>
    </w:pPr>
    <w:rPr>
      <w:rFonts w:ascii="Arial" w:hAnsi="Arial" w:cs="Arial"/>
      <w:bCs/>
      <w:kern w:val="2"/>
      <w:sz w:val="32"/>
      <w:szCs w:val="32"/>
      <w:lang w:val="en-US"/>
    </w:rPr>
  </w:style>
  <w:style w:type="paragraph" w:customStyle="1" w:styleId="455">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456">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457">
    <w:name w:val="Char Char Char Char Char Char Char Char2"/>
    <w:basedOn w:val="1"/>
    <w:qFormat/>
    <w:uiPriority w:val="0"/>
    <w:pPr>
      <w:tabs>
        <w:tab w:val="left" w:pos="360"/>
      </w:tabs>
    </w:pPr>
    <w:rPr>
      <w:sz w:val="24"/>
      <w:szCs w:val="20"/>
    </w:rPr>
  </w:style>
  <w:style w:type="paragraph" w:customStyle="1" w:styleId="458">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459">
    <w:name w:val="正文文本 21"/>
    <w:basedOn w:val="1"/>
    <w:qFormat/>
    <w:uiPriority w:val="0"/>
    <w:pPr>
      <w:widowControl/>
      <w:overflowPunct w:val="0"/>
      <w:autoSpaceDE w:val="0"/>
      <w:autoSpaceDN w:val="0"/>
      <w:ind w:left="720" w:hanging="720"/>
      <w:textAlignment w:val="baseline"/>
    </w:pPr>
    <w:rPr>
      <w:kern w:val="0"/>
      <w:sz w:val="24"/>
      <w:szCs w:val="20"/>
    </w:rPr>
  </w:style>
  <w:style w:type="paragraph" w:customStyle="1" w:styleId="460">
    <w:name w:val="中文标题 3"/>
    <w:basedOn w:val="26"/>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461">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46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63">
    <w:name w:val="正文－恩普"/>
    <w:basedOn w:val="5"/>
    <w:qFormat/>
    <w:uiPriority w:val="0"/>
    <w:pPr>
      <w:adjustRightInd/>
      <w:snapToGrid/>
      <w:spacing w:before="100" w:beforeAutospacing="1" w:after="100" w:afterLines="50" w:afterAutospacing="1" w:line="360" w:lineRule="auto"/>
      <w:ind w:firstLine="480" w:firstLineChars="200"/>
      <w:jc w:val="left"/>
    </w:pPr>
    <w:rPr>
      <w:rFonts w:ascii="Times New Roman"/>
      <w:color w:val="auto"/>
      <w:kern w:val="0"/>
      <w:sz w:val="24"/>
    </w:rPr>
  </w:style>
  <w:style w:type="paragraph" w:customStyle="1" w:styleId="464">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465">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466">
    <w:name w:val="p0"/>
    <w:basedOn w:val="1"/>
    <w:qFormat/>
    <w:uiPriority w:val="0"/>
    <w:pPr>
      <w:widowControl/>
      <w:adjustRightInd/>
    </w:pPr>
    <w:rPr>
      <w:kern w:val="0"/>
      <w:szCs w:val="21"/>
    </w:rPr>
  </w:style>
  <w:style w:type="paragraph" w:customStyle="1" w:styleId="467">
    <w:name w:val="Char6"/>
    <w:basedOn w:val="1"/>
    <w:qFormat/>
    <w:uiPriority w:val="0"/>
    <w:rPr>
      <w:rFonts w:ascii="仿宋_GB2312" w:eastAsia="仿宋_GB2312"/>
      <w:b/>
      <w:sz w:val="32"/>
      <w:szCs w:val="32"/>
    </w:rPr>
  </w:style>
  <w:style w:type="paragraph" w:customStyle="1" w:styleId="468">
    <w:name w:val="Char111"/>
    <w:basedOn w:val="1"/>
    <w:qFormat/>
    <w:uiPriority w:val="0"/>
    <w:rPr>
      <w:rFonts w:ascii="仿宋_GB2312" w:eastAsia="仿宋_GB2312"/>
      <w:b/>
      <w:sz w:val="32"/>
      <w:szCs w:val="32"/>
    </w:rPr>
  </w:style>
  <w:style w:type="paragraph" w:customStyle="1" w:styleId="469">
    <w:name w:val="标题3"/>
    <w:basedOn w:val="4"/>
    <w:next w:val="55"/>
    <w:qFormat/>
    <w:uiPriority w:val="0"/>
    <w:pPr>
      <w:tabs>
        <w:tab w:val="clear" w:pos="900"/>
      </w:tabs>
      <w:spacing w:after="0" w:line="360" w:lineRule="auto"/>
    </w:pPr>
    <w:rPr>
      <w:rFonts w:ascii="仿宋" w:hAnsi="仿宋" w:eastAsia="仿宋" w:cs="仿宋"/>
    </w:rPr>
  </w:style>
  <w:style w:type="paragraph" w:customStyle="1" w:styleId="470">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471">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472">
    <w:name w:val="Char1 Char Char Char2"/>
    <w:basedOn w:val="1"/>
    <w:qFormat/>
    <w:uiPriority w:val="0"/>
    <w:pPr>
      <w:adjustRightInd/>
      <w:ind w:firstLine="200" w:firstLineChars="200"/>
    </w:pPr>
    <w:rPr>
      <w:rFonts w:ascii="Tahoma" w:hAnsi="Tahoma"/>
      <w:sz w:val="24"/>
      <w:szCs w:val="20"/>
    </w:rPr>
  </w:style>
  <w:style w:type="paragraph" w:customStyle="1" w:styleId="473">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474">
    <w:name w:val="样式 标题 1 + 黑色 段前: 0.5 行 段后: 0.5 行1"/>
    <w:basedOn w:val="3"/>
    <w:qFormat/>
    <w:uiPriority w:val="0"/>
    <w:pPr>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475">
    <w:name w:val="Char Char Char Char Char Char Char2"/>
    <w:basedOn w:val="1"/>
    <w:qFormat/>
    <w:uiPriority w:val="0"/>
    <w:rPr>
      <w:rFonts w:ascii="仿宋_GB2312" w:eastAsia="仿宋_GB2312"/>
      <w:b/>
      <w:sz w:val="32"/>
      <w:szCs w:val="32"/>
    </w:rPr>
  </w:style>
  <w:style w:type="paragraph" w:customStyle="1" w:styleId="476">
    <w:name w:val="五级条标题"/>
    <w:basedOn w:val="477"/>
    <w:next w:val="322"/>
    <w:qFormat/>
    <w:uiPriority w:val="0"/>
    <w:pPr>
      <w:tabs>
        <w:tab w:val="left" w:pos="1260"/>
        <w:tab w:val="left" w:pos="1680"/>
        <w:tab w:val="left" w:pos="2100"/>
        <w:tab w:val="left" w:pos="2940"/>
        <w:tab w:val="left" w:pos="3360"/>
      </w:tabs>
      <w:ind w:left="3360"/>
      <w:outlineLvl w:val="6"/>
    </w:pPr>
  </w:style>
  <w:style w:type="paragraph" w:customStyle="1" w:styleId="477">
    <w:name w:val="四级条标题"/>
    <w:basedOn w:val="337"/>
    <w:next w:val="322"/>
    <w:qFormat/>
    <w:uiPriority w:val="0"/>
    <w:pPr>
      <w:tabs>
        <w:tab w:val="left" w:pos="2940"/>
        <w:tab w:val="clear" w:pos="1260"/>
        <w:tab w:val="clear" w:pos="1680"/>
        <w:tab w:val="clear" w:pos="2100"/>
        <w:tab w:val="clear" w:pos="2520"/>
      </w:tabs>
      <w:ind w:left="2940"/>
      <w:outlineLvl w:val="5"/>
    </w:pPr>
  </w:style>
  <w:style w:type="paragraph" w:customStyle="1" w:styleId="478">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479">
    <w:name w:val="Char23"/>
    <w:basedOn w:val="1"/>
    <w:qFormat/>
    <w:uiPriority w:val="0"/>
    <w:rPr>
      <w:rFonts w:ascii="仿宋_GB2312" w:eastAsia="仿宋_GB2312"/>
      <w:b/>
      <w:sz w:val="32"/>
      <w:szCs w:val="32"/>
    </w:rPr>
  </w:style>
  <w:style w:type="paragraph" w:customStyle="1" w:styleId="480">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481">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482">
    <w:name w:val="首行缩进"/>
    <w:basedOn w:val="1"/>
    <w:qFormat/>
    <w:uiPriority w:val="0"/>
    <w:pPr>
      <w:spacing w:line="360" w:lineRule="auto"/>
      <w:ind w:firstLine="480" w:firstLineChars="200"/>
    </w:pPr>
    <w:rPr>
      <w:rFonts w:ascii="宋体"/>
      <w:sz w:val="24"/>
      <w:szCs w:val="20"/>
    </w:rPr>
  </w:style>
  <w:style w:type="paragraph" w:customStyle="1" w:styleId="48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484">
    <w:name w:val="单元格左对齐"/>
    <w:basedOn w:val="1"/>
    <w:qFormat/>
    <w:uiPriority w:val="0"/>
    <w:pPr>
      <w:adjustRightInd/>
      <w:spacing w:line="360" w:lineRule="auto"/>
    </w:pPr>
    <w:rPr>
      <w:sz w:val="24"/>
    </w:rPr>
  </w:style>
  <w:style w:type="paragraph" w:customStyle="1" w:styleId="485">
    <w:name w:val="正文主体"/>
    <w:basedOn w:val="306"/>
    <w:qFormat/>
    <w:uiPriority w:val="0"/>
  </w:style>
  <w:style w:type="paragraph" w:customStyle="1" w:styleId="486">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487">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488">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489">
    <w:name w:val="正文（首行缩进2字符）"/>
    <w:basedOn w:val="1"/>
    <w:qFormat/>
    <w:uiPriority w:val="0"/>
    <w:pPr>
      <w:adjustRightInd/>
      <w:spacing w:line="360" w:lineRule="auto"/>
      <w:ind w:firstLine="480" w:firstLineChars="200"/>
    </w:pPr>
    <w:rPr>
      <w:sz w:val="24"/>
      <w:szCs w:val="20"/>
    </w:rPr>
  </w:style>
  <w:style w:type="paragraph" w:customStyle="1" w:styleId="490">
    <w:name w:val="P1"/>
    <w:basedOn w:val="1"/>
    <w:qFormat/>
    <w:uiPriority w:val="0"/>
    <w:pPr>
      <w:adjustRightInd/>
      <w:spacing w:line="288" w:lineRule="auto"/>
      <w:ind w:firstLine="425" w:firstLineChars="200"/>
    </w:pPr>
  </w:style>
  <w:style w:type="paragraph" w:customStyle="1" w:styleId="491">
    <w:name w:val="列表内容"/>
    <w:basedOn w:val="1"/>
    <w:next w:val="1"/>
    <w:qFormat/>
    <w:uiPriority w:val="0"/>
    <w:pPr>
      <w:widowControl/>
      <w:tabs>
        <w:tab w:val="left" w:pos="840"/>
      </w:tabs>
      <w:ind w:left="840" w:hanging="420"/>
      <w:jc w:val="left"/>
    </w:pPr>
    <w:rPr>
      <w:kern w:val="0"/>
      <w:sz w:val="18"/>
    </w:rPr>
  </w:style>
  <w:style w:type="paragraph" w:customStyle="1" w:styleId="492">
    <w:name w:val="Char Char11 Char Char Char1"/>
    <w:basedOn w:val="1"/>
    <w:qFormat/>
    <w:uiPriority w:val="6"/>
    <w:pPr>
      <w:spacing w:line="360" w:lineRule="auto"/>
    </w:pPr>
    <w:rPr>
      <w:szCs w:val="20"/>
    </w:rPr>
  </w:style>
  <w:style w:type="paragraph" w:customStyle="1" w:styleId="493">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494">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495">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496">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497">
    <w:name w:val="正文文字缩进2字"/>
    <w:basedOn w:val="16"/>
    <w:qFormat/>
    <w:uiPriority w:val="0"/>
    <w:pPr>
      <w:adjustRightInd/>
      <w:spacing w:before="60" w:after="60"/>
      <w:ind w:firstLine="200" w:firstLineChars="200"/>
    </w:pPr>
    <w:rPr>
      <w:rFonts w:ascii="Times New Roman"/>
      <w:szCs w:val="20"/>
      <w:lang w:val="en-US"/>
    </w:rPr>
  </w:style>
  <w:style w:type="paragraph" w:customStyle="1" w:styleId="498">
    <w:name w:val="默认段落字体 Para Char Char Char Char"/>
    <w:basedOn w:val="1"/>
    <w:qFormat/>
    <w:uiPriority w:val="0"/>
    <w:pPr>
      <w:spacing w:line="360" w:lineRule="auto"/>
    </w:pPr>
    <w:rPr>
      <w:szCs w:val="20"/>
    </w:rPr>
  </w:style>
  <w:style w:type="paragraph" w:customStyle="1" w:styleId="499">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500">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501">
    <w:name w:val="Char2 Char Char Char2"/>
    <w:basedOn w:val="1"/>
    <w:qFormat/>
    <w:uiPriority w:val="0"/>
    <w:rPr>
      <w:rFonts w:ascii="仿宋_GB2312" w:eastAsia="仿宋_GB2312"/>
      <w:b/>
      <w:sz w:val="32"/>
      <w:szCs w:val="32"/>
    </w:rPr>
  </w:style>
  <w:style w:type="paragraph" w:customStyle="1" w:styleId="502">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503">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504">
    <w:name w:val="正文 首行缩进:  2 字符 Char"/>
    <w:basedOn w:val="1"/>
    <w:qFormat/>
    <w:uiPriority w:val="0"/>
    <w:pPr>
      <w:adjustRightInd/>
      <w:spacing w:line="360" w:lineRule="auto"/>
      <w:ind w:firstLine="480"/>
    </w:pPr>
    <w:rPr>
      <w:rFonts w:cs="宋体"/>
      <w:sz w:val="24"/>
      <w:szCs w:val="20"/>
    </w:rPr>
  </w:style>
  <w:style w:type="paragraph" w:customStyle="1" w:styleId="505">
    <w:name w:val="Char Char4 Char Char"/>
    <w:basedOn w:val="1"/>
    <w:qFormat/>
    <w:uiPriority w:val="0"/>
    <w:pPr>
      <w:widowControl/>
      <w:adjustRightInd/>
      <w:spacing w:after="160" w:line="240" w:lineRule="exact"/>
      <w:jc w:val="left"/>
    </w:pPr>
  </w:style>
  <w:style w:type="paragraph" w:customStyle="1" w:styleId="50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507">
    <w:name w:val="Char Char11 Char Char Char2"/>
    <w:basedOn w:val="1"/>
    <w:qFormat/>
    <w:uiPriority w:val="0"/>
    <w:pPr>
      <w:spacing w:line="360" w:lineRule="auto"/>
    </w:pPr>
    <w:rPr>
      <w:szCs w:val="20"/>
    </w:rPr>
  </w:style>
  <w:style w:type="paragraph" w:customStyle="1" w:styleId="508">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509">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0">
    <w:name w:val="数字标题4"/>
    <w:basedOn w:val="6"/>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511">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51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513">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514">
    <w:name w:val="Char311"/>
    <w:basedOn w:val="1"/>
    <w:qFormat/>
    <w:uiPriority w:val="0"/>
    <w:pPr>
      <w:adjustRightInd/>
      <w:ind w:firstLine="200" w:firstLineChars="200"/>
    </w:pPr>
    <w:rPr>
      <w:rFonts w:ascii="Tahoma" w:hAnsi="Tahoma"/>
      <w:sz w:val="24"/>
      <w:szCs w:val="20"/>
    </w:rPr>
  </w:style>
  <w:style w:type="paragraph" w:customStyle="1" w:styleId="515">
    <w:name w:val="正文文本 23"/>
    <w:basedOn w:val="1"/>
    <w:qFormat/>
    <w:uiPriority w:val="0"/>
    <w:pPr>
      <w:widowControl/>
      <w:overflowPunct w:val="0"/>
      <w:autoSpaceDE w:val="0"/>
      <w:autoSpaceDN w:val="0"/>
      <w:ind w:left="720" w:hanging="720"/>
      <w:textAlignment w:val="baseline"/>
    </w:pPr>
    <w:rPr>
      <w:kern w:val="0"/>
      <w:sz w:val="24"/>
      <w:szCs w:val="20"/>
    </w:rPr>
  </w:style>
  <w:style w:type="paragraph" w:customStyle="1" w:styleId="516">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517">
    <w:name w:val="正文 内标"/>
    <w:basedOn w:val="432"/>
    <w:qFormat/>
    <w:uiPriority w:val="0"/>
    <w:pPr>
      <w:tabs>
        <w:tab w:val="left" w:pos="0"/>
      </w:tabs>
      <w:ind w:left="900" w:firstLine="0" w:firstLineChars="0"/>
    </w:pPr>
  </w:style>
  <w:style w:type="paragraph" w:customStyle="1" w:styleId="518">
    <w:name w:val="Bulleted List"/>
    <w:basedOn w:val="1"/>
    <w:qFormat/>
    <w:uiPriority w:val="0"/>
    <w:pPr>
      <w:tabs>
        <w:tab w:val="left" w:pos="1260"/>
      </w:tabs>
      <w:adjustRightInd/>
      <w:ind w:left="1260" w:hanging="420"/>
    </w:pPr>
  </w:style>
  <w:style w:type="paragraph" w:customStyle="1" w:styleId="519">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520">
    <w:name w:val="样式 左侧:  0.85 厘米"/>
    <w:basedOn w:val="1"/>
    <w:qFormat/>
    <w:uiPriority w:val="2"/>
    <w:pPr>
      <w:adjustRightInd/>
      <w:spacing w:line="360" w:lineRule="auto"/>
    </w:pPr>
    <w:rPr>
      <w:rFonts w:cs="宋体"/>
      <w:sz w:val="24"/>
      <w:szCs w:val="20"/>
    </w:rPr>
  </w:style>
  <w:style w:type="paragraph" w:customStyle="1" w:styleId="521">
    <w:name w:val="Char Char Char Char Char Char Char Char Char Char Char Char1 Char"/>
    <w:basedOn w:val="1"/>
    <w:qFormat/>
    <w:uiPriority w:val="0"/>
    <w:rPr>
      <w:rFonts w:ascii="Tahoma" w:hAnsi="Tahoma" w:cs="仿宋_GB2312"/>
      <w:sz w:val="24"/>
      <w:szCs w:val="20"/>
    </w:rPr>
  </w:style>
  <w:style w:type="paragraph" w:customStyle="1" w:styleId="522">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523">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524">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5">
    <w:name w:val="模板普通正文"/>
    <w:basedOn w:val="26"/>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526">
    <w:name w:val="Char Char1 Char Char Char Char Char Char"/>
    <w:basedOn w:val="1"/>
    <w:qFormat/>
    <w:uiPriority w:val="0"/>
    <w:rPr>
      <w:rFonts w:ascii="仿宋_GB2312" w:eastAsia="仿宋_GB2312"/>
      <w:b/>
      <w:sz w:val="32"/>
      <w:szCs w:val="20"/>
    </w:rPr>
  </w:style>
  <w:style w:type="paragraph" w:customStyle="1" w:styleId="527">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528">
    <w:name w:val="Char Char1 Char Char Char Char Char Char2"/>
    <w:basedOn w:val="1"/>
    <w:qFormat/>
    <w:uiPriority w:val="0"/>
    <w:rPr>
      <w:rFonts w:ascii="仿宋_GB2312" w:eastAsia="仿宋_GB2312"/>
      <w:b/>
      <w:sz w:val="32"/>
      <w:szCs w:val="20"/>
    </w:rPr>
  </w:style>
  <w:style w:type="paragraph" w:customStyle="1" w:styleId="529">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530">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531">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532">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33">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534">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535">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536">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7">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538">
    <w:name w:val="Char31"/>
    <w:basedOn w:val="1"/>
    <w:qFormat/>
    <w:uiPriority w:val="0"/>
    <w:pPr>
      <w:adjustRightInd/>
    </w:pPr>
    <w:rPr>
      <w:rFonts w:ascii="仿宋_GB2312" w:eastAsia="仿宋_GB2312"/>
      <w:b/>
      <w:sz w:val="32"/>
      <w:szCs w:val="32"/>
    </w:rPr>
  </w:style>
  <w:style w:type="paragraph" w:customStyle="1" w:styleId="539">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540">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541">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542">
    <w:name w:val="Char Char1"/>
    <w:basedOn w:val="1"/>
    <w:qFormat/>
    <w:uiPriority w:val="0"/>
    <w:pPr>
      <w:widowControl/>
      <w:spacing w:after="160" w:line="240" w:lineRule="exact"/>
      <w:jc w:val="left"/>
    </w:pPr>
    <w:rPr>
      <w:rFonts w:eastAsia="仿宋_GB2312"/>
      <w:sz w:val="28"/>
    </w:rPr>
  </w:style>
  <w:style w:type="paragraph" w:customStyle="1" w:styleId="543">
    <w:name w:val="Char21"/>
    <w:basedOn w:val="1"/>
    <w:qFormat/>
    <w:uiPriority w:val="0"/>
    <w:pPr>
      <w:adjustRightInd/>
      <w:ind w:firstLine="200" w:firstLineChars="200"/>
    </w:pPr>
    <w:rPr>
      <w:rFonts w:ascii="仿宋_GB2312" w:eastAsia="仿宋_GB2312"/>
      <w:b/>
      <w:sz w:val="32"/>
      <w:szCs w:val="32"/>
    </w:rPr>
  </w:style>
  <w:style w:type="paragraph" w:customStyle="1" w:styleId="544">
    <w:name w:val="列表段落1"/>
    <w:basedOn w:val="1"/>
    <w:qFormat/>
    <w:uiPriority w:val="34"/>
    <w:pPr>
      <w:adjustRightInd/>
      <w:ind w:right="238" w:firstLine="420"/>
    </w:pPr>
    <w:rPr>
      <w:rFonts w:ascii="Calibri" w:hAnsi="Calibri"/>
      <w:sz w:val="24"/>
    </w:rPr>
  </w:style>
  <w:style w:type="paragraph" w:customStyle="1" w:styleId="545">
    <w:name w:val="Char Char110"/>
    <w:basedOn w:val="1"/>
    <w:qFormat/>
    <w:uiPriority w:val="6"/>
    <w:pPr>
      <w:spacing w:line="360" w:lineRule="auto"/>
    </w:pPr>
    <w:rPr>
      <w:rFonts w:ascii="Tahoma" w:hAnsi="Tahoma"/>
      <w:sz w:val="24"/>
      <w:szCs w:val="20"/>
    </w:rPr>
  </w:style>
  <w:style w:type="paragraph" w:customStyle="1" w:styleId="546">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547">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48">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549">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550">
    <w:name w:val="Char Char Char Char Char Char Char Char Char Char Char Char1 Char2"/>
    <w:basedOn w:val="1"/>
    <w:qFormat/>
    <w:uiPriority w:val="0"/>
    <w:rPr>
      <w:rFonts w:ascii="Tahoma" w:hAnsi="Tahoma" w:cs="仿宋_GB2312"/>
      <w:sz w:val="24"/>
      <w:szCs w:val="20"/>
    </w:rPr>
  </w:style>
  <w:style w:type="paragraph" w:customStyle="1" w:styleId="551">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552">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553">
    <w:name w:val="样式 列表编号 + 段后: 0.5 行"/>
    <w:basedOn w:val="19"/>
    <w:qFormat/>
    <w:uiPriority w:val="2"/>
    <w:pPr>
      <w:tabs>
        <w:tab w:val="clear" w:pos="390"/>
        <w:tab w:val="clear" w:pos="454"/>
      </w:tabs>
      <w:spacing w:after="0"/>
      <w:ind w:left="840" w:hanging="420"/>
      <w:contextualSpacing/>
    </w:pPr>
    <w:rPr>
      <w:rFonts w:cs="宋体"/>
    </w:rPr>
  </w:style>
  <w:style w:type="paragraph" w:customStyle="1" w:styleId="554">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555">
    <w:name w:val="_Style 12"/>
    <w:basedOn w:val="22"/>
    <w:qFormat/>
    <w:uiPriority w:val="0"/>
    <w:pPr>
      <w:snapToGrid w:val="0"/>
      <w:spacing w:line="360" w:lineRule="auto"/>
    </w:pPr>
  </w:style>
  <w:style w:type="paragraph" w:customStyle="1" w:styleId="556">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557">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558">
    <w:name w:val="_Style 94"/>
    <w:basedOn w:val="1"/>
    <w:next w:val="100"/>
    <w:qFormat/>
    <w:uiPriority w:val="34"/>
    <w:pPr>
      <w:adjustRightInd/>
      <w:spacing w:line="360" w:lineRule="auto"/>
      <w:ind w:firstLine="200" w:firstLineChars="200"/>
    </w:pPr>
    <w:rPr>
      <w:rFonts w:ascii="Calibri" w:hAnsi="Calibri"/>
      <w:sz w:val="28"/>
      <w:szCs w:val="20"/>
    </w:rPr>
  </w:style>
  <w:style w:type="paragraph" w:customStyle="1" w:styleId="559">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560">
    <w:name w:val="正文 A"/>
    <w:qFormat/>
    <w:uiPriority w:val="0"/>
    <w:pPr>
      <w:widowControl w:val="0"/>
      <w:jc w:val="both"/>
    </w:pPr>
    <w:rPr>
      <w:rFonts w:ascii="Times New Roman" w:hAnsi="Times New Roman" w:eastAsia="Arial Unicode MS" w:cs="Arial Unicode MS"/>
      <w:color w:val="000000"/>
      <w:kern w:val="2"/>
      <w:sz w:val="21"/>
      <w:szCs w:val="21"/>
      <w:u w:val="none" w:color="000000"/>
      <w:lang w:val="en-US" w:eastAsia="zh-CN" w:bidi="ar-SA"/>
    </w:rPr>
  </w:style>
  <w:style w:type="paragraph" w:customStyle="1" w:styleId="561">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562">
    <w:name w:val="3级标题"/>
    <w:basedOn w:val="354"/>
    <w:qFormat/>
    <w:uiPriority w:val="0"/>
    <w:pPr>
      <w:outlineLvl w:val="2"/>
    </w:pPr>
  </w:style>
  <w:style w:type="paragraph" w:customStyle="1" w:styleId="563">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564">
    <w:name w:val="Char1 Char Char Char3"/>
    <w:basedOn w:val="1"/>
    <w:qFormat/>
    <w:uiPriority w:val="0"/>
    <w:pPr>
      <w:adjustRightInd/>
      <w:ind w:firstLine="200" w:firstLineChars="200"/>
    </w:pPr>
    <w:rPr>
      <w:rFonts w:ascii="Tahoma" w:hAnsi="Tahoma"/>
      <w:sz w:val="24"/>
      <w:szCs w:val="20"/>
    </w:rPr>
  </w:style>
  <w:style w:type="paragraph" w:customStyle="1" w:styleId="565">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566">
    <w:name w:val="MM Empty"/>
    <w:basedOn w:val="1"/>
    <w:qFormat/>
    <w:uiPriority w:val="0"/>
    <w:pPr>
      <w:adjustRightInd/>
    </w:pPr>
  </w:style>
  <w:style w:type="paragraph" w:customStyle="1" w:styleId="567">
    <w:name w:val="Char24"/>
    <w:basedOn w:val="1"/>
    <w:qFormat/>
    <w:uiPriority w:val="0"/>
    <w:rPr>
      <w:rFonts w:ascii="仿宋_GB2312" w:eastAsia="仿宋_GB2312"/>
      <w:b/>
      <w:sz w:val="32"/>
      <w:szCs w:val="32"/>
    </w:rPr>
  </w:style>
  <w:style w:type="paragraph" w:customStyle="1" w:styleId="568">
    <w:name w:val="正文箭头"/>
    <w:basedOn w:val="220"/>
    <w:qFormat/>
    <w:uiPriority w:val="0"/>
  </w:style>
  <w:style w:type="paragraph" w:customStyle="1" w:styleId="569">
    <w:name w:val="U_编号2"/>
    <w:basedOn w:val="1"/>
    <w:qFormat/>
    <w:uiPriority w:val="0"/>
    <w:pPr>
      <w:tabs>
        <w:tab w:val="left" w:pos="785"/>
      </w:tabs>
      <w:adjustRightInd/>
      <w:spacing w:beforeLines="10" w:afterLines="10" w:line="300" w:lineRule="auto"/>
    </w:pPr>
    <w:rPr>
      <w:sz w:val="24"/>
    </w:rPr>
  </w:style>
  <w:style w:type="paragraph" w:customStyle="1" w:styleId="570">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71">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72">
    <w:name w:val="标书标题3"/>
    <w:basedOn w:val="4"/>
    <w:qFormat/>
    <w:uiPriority w:val="0"/>
    <w:pPr>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573">
    <w:name w:val="TOC 标题11"/>
    <w:basedOn w:val="3"/>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74">
    <w:name w:val="_Style 1"/>
    <w:basedOn w:val="1"/>
    <w:qFormat/>
    <w:uiPriority w:val="34"/>
    <w:pPr>
      <w:adjustRightInd/>
      <w:ind w:firstLine="420" w:firstLineChars="200"/>
    </w:pPr>
    <w:rPr>
      <w:rFonts w:eastAsia="仿宋_GB2312"/>
      <w:sz w:val="28"/>
    </w:rPr>
  </w:style>
  <w:style w:type="paragraph" w:customStyle="1" w:styleId="575">
    <w:name w:val="表格 内容"/>
    <w:basedOn w:val="411"/>
    <w:qFormat/>
    <w:uiPriority w:val="0"/>
    <w:rPr>
      <w:b w:val="0"/>
      <w:sz w:val="20"/>
    </w:rPr>
  </w:style>
  <w:style w:type="paragraph" w:customStyle="1" w:styleId="576">
    <w:name w:val="正文首行缩进1"/>
    <w:basedOn w:val="16"/>
    <w:qFormat/>
    <w:uiPriority w:val="0"/>
    <w:pPr>
      <w:suppressAutoHyphens/>
      <w:adjustRightInd/>
      <w:spacing w:after="120" w:line="240" w:lineRule="auto"/>
      <w:ind w:firstLine="420"/>
      <w:jc w:val="left"/>
    </w:pPr>
    <w:rPr>
      <w:rFonts w:ascii="Times New Roman"/>
      <w:kern w:val="1"/>
      <w:sz w:val="28"/>
      <w:szCs w:val="24"/>
      <w:lang w:val="en-US" w:eastAsia="ar-SA"/>
    </w:rPr>
  </w:style>
  <w:style w:type="paragraph" w:customStyle="1" w:styleId="577">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578">
    <w:name w:val="数字标题5"/>
    <w:basedOn w:val="7"/>
    <w:next w:val="1"/>
    <w:qFormat/>
    <w:uiPriority w:val="0"/>
    <w:pPr>
      <w:tabs>
        <w:tab w:val="left" w:pos="1080"/>
        <w:tab w:val="clear" w:pos="1008"/>
      </w:tabs>
      <w:ind w:left="1080" w:hanging="1080"/>
    </w:pPr>
  </w:style>
  <w:style w:type="paragraph" w:customStyle="1" w:styleId="579">
    <w:name w:val="数字标题1"/>
    <w:basedOn w:val="3"/>
    <w:next w:val="1"/>
    <w:qFormat/>
    <w:uiPriority w:val="0"/>
    <w:pPr>
      <w:tabs>
        <w:tab w:val="left" w:pos="480"/>
        <w:tab w:val="clear" w:pos="432"/>
      </w:tabs>
      <w:ind w:left="480" w:hanging="480"/>
    </w:pPr>
  </w:style>
  <w:style w:type="paragraph" w:customStyle="1" w:styleId="580">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58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582">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583">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eastAsia="en-US"/>
    </w:rPr>
  </w:style>
  <w:style w:type="paragraph" w:customStyle="1" w:styleId="584">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58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586">
    <w:name w:val="0"/>
    <w:basedOn w:val="1"/>
    <w:qFormat/>
    <w:uiPriority w:val="0"/>
    <w:pPr>
      <w:widowControl/>
    </w:pPr>
    <w:rPr>
      <w:kern w:val="0"/>
      <w:sz w:val="24"/>
      <w:szCs w:val="20"/>
    </w:rPr>
  </w:style>
  <w:style w:type="paragraph" w:customStyle="1" w:styleId="587">
    <w:name w:val="Char Char113"/>
    <w:basedOn w:val="1"/>
    <w:qFormat/>
    <w:uiPriority w:val="0"/>
    <w:pPr>
      <w:widowControl/>
      <w:spacing w:after="160" w:line="240" w:lineRule="exact"/>
      <w:jc w:val="left"/>
    </w:pPr>
    <w:rPr>
      <w:rFonts w:eastAsia="仿宋_GB2312"/>
      <w:sz w:val="28"/>
    </w:rPr>
  </w:style>
  <w:style w:type="paragraph" w:customStyle="1" w:styleId="588">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589">
    <w:name w:val="_Style 8"/>
    <w:basedOn w:val="1"/>
    <w:qFormat/>
    <w:uiPriority w:val="34"/>
    <w:pPr>
      <w:adjustRightInd/>
      <w:ind w:firstLine="420" w:firstLineChars="200"/>
    </w:pPr>
    <w:rPr>
      <w:rFonts w:eastAsia="仿宋_GB2312"/>
      <w:sz w:val="28"/>
    </w:rPr>
  </w:style>
  <w:style w:type="paragraph" w:customStyle="1" w:styleId="590">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91">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592">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3">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594">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595">
    <w:name w:val="Char Char112"/>
    <w:basedOn w:val="1"/>
    <w:qFormat/>
    <w:uiPriority w:val="6"/>
    <w:pPr>
      <w:widowControl/>
      <w:spacing w:after="160" w:line="240" w:lineRule="exact"/>
      <w:jc w:val="left"/>
    </w:pPr>
    <w:rPr>
      <w:rFonts w:eastAsia="仿宋_GB2312"/>
      <w:sz w:val="28"/>
    </w:rPr>
  </w:style>
  <w:style w:type="paragraph" w:customStyle="1" w:styleId="596">
    <w:name w:val="正文 图"/>
    <w:basedOn w:val="126"/>
    <w:qFormat/>
    <w:uiPriority w:val="0"/>
    <w:pPr>
      <w:adjustRightInd/>
      <w:spacing w:before="0"/>
      <w:ind w:firstLine="0"/>
      <w:jc w:val="center"/>
    </w:pPr>
    <w:rPr>
      <w:rFonts w:ascii="微软雅黑" w:hAnsi="微软雅黑"/>
    </w:rPr>
  </w:style>
  <w:style w:type="paragraph" w:customStyle="1" w:styleId="597">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598">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599">
    <w:name w:val="Thf"/>
    <w:basedOn w:val="244"/>
    <w:qFormat/>
    <w:uiPriority w:val="0"/>
    <w:pPr>
      <w:ind w:left="0"/>
    </w:pPr>
  </w:style>
  <w:style w:type="paragraph" w:customStyle="1" w:styleId="600">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6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602">
    <w:name w:val="注释"/>
    <w:basedOn w:val="1"/>
    <w:qFormat/>
    <w:uiPriority w:val="0"/>
    <w:pPr>
      <w:adjustRightInd/>
      <w:spacing w:line="360" w:lineRule="auto"/>
      <w:ind w:firstLine="480"/>
    </w:pPr>
    <w:rPr>
      <w:sz w:val="24"/>
    </w:rPr>
  </w:style>
  <w:style w:type="paragraph" w:customStyle="1" w:styleId="603">
    <w:name w:val="列出段落111"/>
    <w:basedOn w:val="1"/>
    <w:qFormat/>
    <w:uiPriority w:val="34"/>
    <w:pPr>
      <w:ind w:firstLine="420" w:firstLineChars="200"/>
    </w:pPr>
  </w:style>
  <w:style w:type="paragraph" w:customStyle="1" w:styleId="604">
    <w:name w:val="标准文本"/>
    <w:basedOn w:val="1"/>
    <w:link w:val="940"/>
    <w:qFormat/>
    <w:uiPriority w:val="0"/>
    <w:pPr>
      <w:adjustRightInd/>
      <w:spacing w:line="360" w:lineRule="auto"/>
      <w:ind w:firstLine="480" w:firstLineChars="200"/>
    </w:pPr>
    <w:rPr>
      <w:rFonts w:cs="宋体"/>
      <w:sz w:val="24"/>
      <w:szCs w:val="20"/>
    </w:rPr>
  </w:style>
  <w:style w:type="paragraph" w:customStyle="1" w:styleId="605">
    <w:name w:val="_Style 947"/>
    <w:basedOn w:val="1"/>
    <w:next w:val="100"/>
    <w:qFormat/>
    <w:uiPriority w:val="34"/>
    <w:pPr>
      <w:adjustRightInd/>
      <w:ind w:firstLine="420" w:firstLineChars="200"/>
    </w:pPr>
  </w:style>
  <w:style w:type="paragraph" w:customStyle="1" w:styleId="606">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607">
    <w:name w:val="纯文本2"/>
    <w:basedOn w:val="1"/>
    <w:qFormat/>
    <w:uiPriority w:val="0"/>
    <w:pPr>
      <w:adjustRightInd/>
      <w:snapToGrid w:val="0"/>
      <w:jc w:val="left"/>
    </w:pPr>
    <w:rPr>
      <w:rFonts w:ascii="Century Gothic" w:hAnsi="楷体_GB2312" w:eastAsia="Century Gothic"/>
      <w:szCs w:val="20"/>
    </w:rPr>
  </w:style>
  <w:style w:type="paragraph" w:customStyle="1" w:styleId="608">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609">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610">
    <w:name w:val="节"/>
    <w:basedOn w:val="2"/>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611">
    <w:name w:val="Blockquote"/>
    <w:basedOn w:val="1"/>
    <w:qFormat/>
    <w:uiPriority w:val="0"/>
    <w:pPr>
      <w:autoSpaceDE w:val="0"/>
      <w:autoSpaceDN w:val="0"/>
      <w:spacing w:before="100" w:after="100"/>
      <w:ind w:left="360" w:right="360"/>
      <w:jc w:val="left"/>
    </w:pPr>
    <w:rPr>
      <w:kern w:val="0"/>
      <w:sz w:val="24"/>
      <w:szCs w:val="20"/>
    </w:rPr>
  </w:style>
  <w:style w:type="paragraph" w:customStyle="1" w:styleId="612">
    <w:name w:val="p1"/>
    <w:basedOn w:val="1"/>
    <w:qFormat/>
    <w:uiPriority w:val="0"/>
    <w:pPr>
      <w:widowControl/>
      <w:adjustRightInd/>
      <w:jc w:val="left"/>
    </w:pPr>
    <w:rPr>
      <w:rFonts w:ascii=".PingFang SC" w:eastAsia=".PingFang SC"/>
      <w:color w:val="454545"/>
      <w:kern w:val="0"/>
      <w:sz w:val="18"/>
      <w:szCs w:val="18"/>
    </w:rPr>
  </w:style>
  <w:style w:type="paragraph" w:customStyle="1" w:styleId="613">
    <w:name w:val="Table Paragraph"/>
    <w:basedOn w:val="1"/>
    <w:qFormat/>
    <w:uiPriority w:val="0"/>
    <w:pPr>
      <w:adjustRightInd/>
      <w:jc w:val="left"/>
    </w:pPr>
    <w:rPr>
      <w:rFonts w:ascii="Calibri" w:hAnsi="Calibri"/>
      <w:kern w:val="0"/>
      <w:sz w:val="22"/>
      <w:szCs w:val="22"/>
      <w:lang w:eastAsia="en-US"/>
    </w:rPr>
  </w:style>
  <w:style w:type="paragraph" w:customStyle="1" w:styleId="61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615">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616">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paragraph" w:customStyle="1" w:styleId="617">
    <w:name w:val="修订4"/>
    <w:hidden/>
    <w:semiHidden/>
    <w:uiPriority w:val="99"/>
    <w:rPr>
      <w:rFonts w:ascii="Times New Roman" w:hAnsi="Times New Roman" w:eastAsia="宋体" w:cs="Times New Roman"/>
      <w:kern w:val="2"/>
      <w:sz w:val="21"/>
      <w:szCs w:val="24"/>
      <w:lang w:val="en-US" w:eastAsia="zh-CN" w:bidi="ar-SA"/>
    </w:rPr>
  </w:style>
  <w:style w:type="paragraph" w:customStyle="1" w:styleId="618">
    <w:name w:val="2"/>
    <w:basedOn w:val="1"/>
    <w:next w:val="1"/>
    <w:qFormat/>
    <w:uiPriority w:val="0"/>
    <w:rPr>
      <w:rFonts w:eastAsia="仿宋_GB2312"/>
      <w:sz w:val="18"/>
      <w:szCs w:val="20"/>
    </w:rPr>
  </w:style>
  <w:style w:type="character" w:customStyle="1" w:styleId="619">
    <w:name w:val="表格非标题文字 Char"/>
    <w:link w:val="80"/>
    <w:qFormat/>
    <w:uiPriority w:val="0"/>
    <w:rPr>
      <w:rFonts w:ascii="Futura Bk" w:hAnsi="Futura Bk"/>
      <w:kern w:val="2"/>
      <w:sz w:val="18"/>
      <w:szCs w:val="21"/>
      <w:lang w:val="en-US" w:eastAsia="zh-CN" w:bidi="ar-SA"/>
    </w:rPr>
  </w:style>
  <w:style w:type="character" w:customStyle="1" w:styleId="620">
    <w:name w:val="*正文 Char"/>
    <w:link w:val="81"/>
    <w:qFormat/>
    <w:locked/>
    <w:uiPriority w:val="0"/>
    <w:rPr>
      <w:rFonts w:ascii="宋体" w:hAnsi="宋体"/>
      <w:sz w:val="24"/>
    </w:rPr>
  </w:style>
  <w:style w:type="character" w:customStyle="1" w:styleId="621">
    <w:name w:val="Char Char71"/>
    <w:semiHidden/>
    <w:qFormat/>
    <w:uiPriority w:val="0"/>
    <w:rPr>
      <w:rFonts w:eastAsia="宋体"/>
      <w:kern w:val="2"/>
      <w:sz w:val="21"/>
      <w:szCs w:val="24"/>
      <w:lang w:val="en-US" w:eastAsia="zh-CN" w:bidi="ar-SA"/>
    </w:rPr>
  </w:style>
  <w:style w:type="character" w:customStyle="1" w:styleId="622">
    <w:name w:val="Char Char6"/>
    <w:qFormat/>
    <w:uiPriority w:val="0"/>
    <w:rPr>
      <w:rFonts w:eastAsia="宋体"/>
      <w:kern w:val="2"/>
      <w:sz w:val="21"/>
      <w:szCs w:val="24"/>
      <w:lang w:val="en-US" w:eastAsia="zh-CN" w:bidi="ar-SA"/>
    </w:rPr>
  </w:style>
  <w:style w:type="character" w:customStyle="1" w:styleId="623">
    <w:name w:val="正文缩进 Char"/>
    <w:qFormat/>
    <w:uiPriority w:val="0"/>
    <w:rPr>
      <w:rFonts w:eastAsia="宋体"/>
      <w:kern w:val="2"/>
      <w:sz w:val="21"/>
      <w:lang w:val="en-US" w:eastAsia="zh-CN"/>
    </w:rPr>
  </w:style>
  <w:style w:type="character" w:customStyle="1" w:styleId="624">
    <w:name w:val="正文首行缩进 Char1"/>
    <w:qFormat/>
    <w:uiPriority w:val="0"/>
    <w:rPr>
      <w:rFonts w:ascii="宋体" w:hAnsi="Times New Roman" w:eastAsia="宋体" w:cs="Times New Roman"/>
      <w:snapToGrid w:val="0"/>
      <w:kern w:val="2"/>
      <w:sz w:val="24"/>
      <w:szCs w:val="21"/>
      <w:lang w:val="zh-CN"/>
    </w:rPr>
  </w:style>
  <w:style w:type="character" w:customStyle="1" w:styleId="625">
    <w:name w:val="Char Char28"/>
    <w:qFormat/>
    <w:uiPriority w:val="6"/>
    <w:rPr>
      <w:rFonts w:ascii="仿宋_GB2312" w:hAnsi="仿宋_GB2312" w:eastAsia="仿宋_GB2312"/>
      <w:kern w:val="1"/>
      <w:sz w:val="28"/>
    </w:rPr>
  </w:style>
  <w:style w:type="character" w:customStyle="1" w:styleId="626">
    <w:name w:val="标题 3 Char1"/>
    <w:qFormat/>
    <w:uiPriority w:val="0"/>
    <w:rPr>
      <w:rFonts w:hint="eastAsia" w:ascii="华文中宋" w:hAnsi="华文中宋" w:eastAsia="华文中宋"/>
      <w:b/>
      <w:bCs/>
      <w:kern w:val="2"/>
      <w:sz w:val="32"/>
      <w:szCs w:val="32"/>
      <w:lang w:val="en-US" w:eastAsia="zh-CN" w:bidi="ar-SA"/>
    </w:rPr>
  </w:style>
  <w:style w:type="character" w:customStyle="1" w:styleId="627">
    <w:name w:val="Heading 1 Char"/>
    <w:qFormat/>
    <w:uiPriority w:val="6"/>
    <w:rPr>
      <w:rFonts w:ascii="Times New Roman" w:hAnsi="Times New Roman" w:eastAsia="黑体" w:cs="Times New Roman"/>
      <w:b/>
      <w:kern w:val="0"/>
      <w:sz w:val="24"/>
      <w:szCs w:val="24"/>
    </w:rPr>
  </w:style>
  <w:style w:type="character" w:customStyle="1" w:styleId="628">
    <w:name w:val="U_正文 Char"/>
    <w:link w:val="82"/>
    <w:qFormat/>
    <w:uiPriority w:val="0"/>
    <w:rPr>
      <w:sz w:val="24"/>
      <w:szCs w:val="24"/>
    </w:rPr>
  </w:style>
  <w:style w:type="character" w:customStyle="1" w:styleId="629">
    <w:name w:val="HTML 地址 Char1"/>
    <w:qFormat/>
    <w:uiPriority w:val="0"/>
    <w:rPr>
      <w:rFonts w:ascii="Times New Roman" w:hAnsi="Times New Roman" w:eastAsia="宋体" w:cs="Times New Roman"/>
      <w:i/>
      <w:iCs/>
      <w:szCs w:val="24"/>
    </w:rPr>
  </w:style>
  <w:style w:type="character" w:customStyle="1" w:styleId="630">
    <w:name w:val="批注主题 Char1"/>
    <w:link w:val="12"/>
    <w:qFormat/>
    <w:uiPriority w:val="0"/>
    <w:rPr>
      <w:b/>
      <w:bCs/>
      <w:kern w:val="2"/>
      <w:sz w:val="21"/>
      <w:szCs w:val="24"/>
    </w:rPr>
  </w:style>
  <w:style w:type="character" w:customStyle="1" w:styleId="631">
    <w:name w:val="Char Char51"/>
    <w:qFormat/>
    <w:uiPriority w:val="0"/>
    <w:rPr>
      <w:rFonts w:ascii="宋体" w:hAnsi="Courier New" w:eastAsia="宋体"/>
      <w:kern w:val="2"/>
      <w:sz w:val="21"/>
      <w:lang w:val="en-US" w:eastAsia="zh-CN"/>
    </w:rPr>
  </w:style>
  <w:style w:type="character" w:customStyle="1" w:styleId="632">
    <w:name w:val="表正文 Char"/>
    <w:qFormat/>
    <w:uiPriority w:val="0"/>
    <w:rPr>
      <w:rFonts w:ascii="宋体" w:eastAsia="宋体"/>
      <w:snapToGrid w:val="0"/>
      <w:color w:val="000000"/>
      <w:kern w:val="28"/>
      <w:sz w:val="28"/>
      <w:lang w:val="en-US" w:eastAsia="zh-CN" w:bidi="ar-SA"/>
    </w:rPr>
  </w:style>
  <w:style w:type="character" w:customStyle="1" w:styleId="633">
    <w:name w:val="Char Char34"/>
    <w:qFormat/>
    <w:uiPriority w:val="6"/>
    <w:rPr>
      <w:b/>
      <w:kern w:val="1"/>
      <w:sz w:val="28"/>
      <w:szCs w:val="28"/>
    </w:rPr>
  </w:style>
  <w:style w:type="character" w:customStyle="1" w:styleId="634">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635">
    <w:name w:val="哈哈正文 Char"/>
    <w:link w:val="83"/>
    <w:qFormat/>
    <w:uiPriority w:val="0"/>
    <w:rPr>
      <w:rFonts w:ascii="宋体" w:hAnsi="宋体" w:eastAsia="宋体"/>
      <w:kern w:val="2"/>
      <w:sz w:val="24"/>
      <w:lang w:bidi="ar-SA"/>
    </w:rPr>
  </w:style>
  <w:style w:type="character" w:customStyle="1" w:styleId="636">
    <w:name w:val="未处理的提及1"/>
    <w:qFormat/>
    <w:uiPriority w:val="0"/>
    <w:rPr>
      <w:color w:val="808080"/>
      <w:shd w:val="clear" w:color="auto" w:fill="E6E6E6"/>
    </w:rPr>
  </w:style>
  <w:style w:type="character" w:customStyle="1" w:styleId="637">
    <w:name w:val="txt"/>
    <w:qFormat/>
    <w:uiPriority w:val="0"/>
    <w:rPr>
      <w:rFonts w:ascii="仿宋_GB2312" w:eastAsia="微软雅黑"/>
      <w:b/>
      <w:kern w:val="2"/>
      <w:sz w:val="32"/>
      <w:szCs w:val="32"/>
      <w:lang w:val="en-US" w:eastAsia="zh-CN" w:bidi="ar-SA"/>
    </w:rPr>
  </w:style>
  <w:style w:type="character" w:customStyle="1" w:styleId="638">
    <w:name w:val="二级标题 Char Char"/>
    <w:qFormat/>
    <w:uiPriority w:val="0"/>
    <w:rPr>
      <w:rFonts w:ascii="宋体" w:hAnsi="宋体" w:eastAsia="宋体"/>
      <w:b/>
      <w:snapToGrid w:val="0"/>
      <w:kern w:val="2"/>
      <w:sz w:val="24"/>
      <w:szCs w:val="24"/>
      <w:lang w:val="en-US" w:eastAsia="zh-CN" w:bidi="ar-SA"/>
    </w:rPr>
  </w:style>
  <w:style w:type="character" w:customStyle="1" w:styleId="639">
    <w:name w:val="Char Char32"/>
    <w:qFormat/>
    <w:uiPriority w:val="6"/>
    <w:rPr>
      <w:b/>
      <w:kern w:val="1"/>
      <w:sz w:val="24"/>
      <w:szCs w:val="24"/>
    </w:rPr>
  </w:style>
  <w:style w:type="character" w:customStyle="1" w:styleId="640">
    <w:name w:val="PI Char1"/>
    <w:qFormat/>
    <w:uiPriority w:val="0"/>
    <w:rPr>
      <w:rFonts w:ascii="宋体" w:hAnsi="宋体"/>
      <w:kern w:val="2"/>
      <w:sz w:val="24"/>
      <w:szCs w:val="24"/>
    </w:rPr>
  </w:style>
  <w:style w:type="character" w:customStyle="1" w:styleId="641">
    <w:name w:val="tw4winTerm"/>
    <w:qFormat/>
    <w:uiPriority w:val="0"/>
    <w:rPr>
      <w:color w:val="0000FF"/>
    </w:rPr>
  </w:style>
  <w:style w:type="character" w:customStyle="1" w:styleId="642">
    <w:name w:val="Footer Char"/>
    <w:qFormat/>
    <w:locked/>
    <w:uiPriority w:val="0"/>
    <w:rPr>
      <w:rFonts w:eastAsia="宋体"/>
      <w:kern w:val="2"/>
      <w:sz w:val="18"/>
      <w:lang w:val="en-US" w:eastAsia="zh-CN" w:bidi="ar-SA"/>
    </w:rPr>
  </w:style>
  <w:style w:type="character" w:customStyle="1" w:styleId="643">
    <w:name w:val="普通文字 Char Char1"/>
    <w:qFormat/>
    <w:uiPriority w:val="0"/>
    <w:rPr>
      <w:rFonts w:ascii="宋体" w:hAnsi="Courier New"/>
      <w:kern w:val="2"/>
      <w:sz w:val="21"/>
    </w:rPr>
  </w:style>
  <w:style w:type="character" w:customStyle="1" w:styleId="644">
    <w:name w:val="Char Char101"/>
    <w:qFormat/>
    <w:uiPriority w:val="6"/>
    <w:rPr>
      <w:rFonts w:ascii="宋体" w:hAnsi="宋体"/>
      <w:kern w:val="2"/>
      <w:sz w:val="21"/>
      <w:szCs w:val="24"/>
      <w:lang w:val="en-US" w:eastAsia="zh-CN"/>
    </w:rPr>
  </w:style>
  <w:style w:type="character" w:customStyle="1" w:styleId="645">
    <w:name w:val="标题 4 Char"/>
    <w:qFormat/>
    <w:uiPriority w:val="0"/>
    <w:rPr>
      <w:rFonts w:ascii="Arial" w:hAnsi="Arial" w:eastAsia="黑体"/>
      <w:b/>
      <w:kern w:val="2"/>
      <w:sz w:val="28"/>
    </w:rPr>
  </w:style>
  <w:style w:type="character" w:customStyle="1" w:styleId="646">
    <w:name w:val="链接"/>
    <w:qFormat/>
    <w:uiPriority w:val="0"/>
    <w:rPr>
      <w:color w:val="0000FF"/>
      <w:sz w:val="21"/>
      <w:szCs w:val="21"/>
      <w:u w:val="single"/>
    </w:rPr>
  </w:style>
  <w:style w:type="character" w:customStyle="1" w:styleId="647">
    <w:name w:val="h4 Char"/>
    <w:qFormat/>
    <w:uiPriority w:val="0"/>
    <w:rPr>
      <w:rFonts w:ascii="Arial" w:hAnsi="Arial" w:eastAsia="黑体"/>
      <w:b/>
      <w:bCs/>
      <w:kern w:val="2"/>
      <w:sz w:val="28"/>
      <w:szCs w:val="28"/>
      <w:lang w:val="zh-CN" w:eastAsia="zh-CN" w:bidi="ar-SA"/>
    </w:rPr>
  </w:style>
  <w:style w:type="character" w:customStyle="1" w:styleId="648">
    <w:name w:val="5正文 Char"/>
    <w:link w:val="84"/>
    <w:qFormat/>
    <w:uiPriority w:val="0"/>
    <w:rPr>
      <w:rFonts w:ascii="仿宋_GB2312" w:hAnsi="微软雅黑" w:eastAsia="仿宋_GB2312"/>
      <w:sz w:val="28"/>
      <w:szCs w:val="21"/>
    </w:rPr>
  </w:style>
  <w:style w:type="character" w:customStyle="1" w:styleId="649">
    <w:name w:val="标题 3 字符"/>
    <w:qFormat/>
    <w:uiPriority w:val="9"/>
    <w:rPr>
      <w:b/>
      <w:bCs/>
      <w:kern w:val="2"/>
      <w:sz w:val="32"/>
      <w:szCs w:val="32"/>
    </w:rPr>
  </w:style>
  <w:style w:type="character" w:customStyle="1" w:styleId="650">
    <w:name w:val="样式6 Char"/>
    <w:qFormat/>
    <w:uiPriority w:val="0"/>
    <w:rPr>
      <w:rFonts w:ascii="仿宋_GB2312" w:hAnsi="宋体" w:eastAsia="仿宋_GB2312"/>
      <w:b/>
      <w:bCs/>
      <w:kern w:val="2"/>
      <w:sz w:val="24"/>
      <w:szCs w:val="24"/>
      <w:lang w:val="en-US" w:eastAsia="zh-CN" w:bidi="ar-SA"/>
    </w:rPr>
  </w:style>
  <w:style w:type="character" w:customStyle="1" w:styleId="651">
    <w:name w:val="Char Char14"/>
    <w:qFormat/>
    <w:uiPriority w:val="6"/>
    <w:rPr>
      <w:rFonts w:ascii="黑体" w:hAnsi="黑体" w:eastAsia="黑体"/>
    </w:rPr>
  </w:style>
  <w:style w:type="character" w:customStyle="1" w:styleId="652">
    <w:name w:val="Heading 2 Hidden Char"/>
    <w:qFormat/>
    <w:uiPriority w:val="0"/>
    <w:rPr>
      <w:rFonts w:ascii="仿宋_GB2312" w:eastAsia="仿宋_GB2312"/>
      <w:b/>
      <w:bCs/>
      <w:kern w:val="2"/>
      <w:sz w:val="24"/>
      <w:szCs w:val="24"/>
      <w:lang w:val="zh-CN" w:eastAsia="zh-CN" w:bidi="ar-SA"/>
    </w:rPr>
  </w:style>
  <w:style w:type="character" w:customStyle="1" w:styleId="653">
    <w:name w:val="正文首行缩进 2 Char"/>
    <w:link w:val="42"/>
    <w:qFormat/>
    <w:uiPriority w:val="0"/>
    <w:rPr>
      <w:rFonts w:ascii="宋体" w:hAnsi="宋体"/>
      <w:kern w:val="2"/>
      <w:sz w:val="21"/>
      <w:szCs w:val="24"/>
    </w:rPr>
  </w:style>
  <w:style w:type="character" w:customStyle="1" w:styleId="654">
    <w:name w:val="font11"/>
    <w:qFormat/>
    <w:uiPriority w:val="0"/>
    <w:rPr>
      <w:rFonts w:hint="default" w:ascii="Times New Roman" w:hAnsi="Times New Roman" w:cs="Times New Roman"/>
      <w:color w:val="000000"/>
      <w:sz w:val="22"/>
      <w:szCs w:val="22"/>
      <w:u w:val="none"/>
    </w:rPr>
  </w:style>
  <w:style w:type="character" w:customStyle="1" w:styleId="655">
    <w:name w:val="表正文 Char1"/>
    <w:qFormat/>
    <w:uiPriority w:val="0"/>
    <w:rPr>
      <w:rFonts w:ascii="宋体" w:eastAsia="宋体"/>
      <w:snapToGrid w:val="0"/>
      <w:color w:val="000000"/>
      <w:kern w:val="28"/>
      <w:sz w:val="28"/>
    </w:rPr>
  </w:style>
  <w:style w:type="character" w:customStyle="1" w:styleId="656">
    <w:name w:val="blue1"/>
    <w:basedOn w:val="62"/>
    <w:qFormat/>
    <w:uiPriority w:val="0"/>
    <w:rPr>
      <w:rFonts w:ascii="Arial" w:hAnsi="Arial" w:eastAsia="黑体" w:cs="Arial"/>
      <w:snapToGrid w:val="0"/>
      <w:kern w:val="0"/>
      <w:szCs w:val="21"/>
    </w:rPr>
  </w:style>
  <w:style w:type="character" w:customStyle="1" w:styleId="657">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658">
    <w:name w:val="标书1 Char"/>
    <w:qFormat/>
    <w:uiPriority w:val="0"/>
    <w:rPr>
      <w:rFonts w:eastAsia="宋体"/>
      <w:b/>
      <w:bCs/>
      <w:kern w:val="44"/>
      <w:sz w:val="44"/>
      <w:szCs w:val="44"/>
      <w:lang w:val="en-US" w:eastAsia="zh-CN" w:bidi="ar-SA"/>
    </w:rPr>
  </w:style>
  <w:style w:type="character" w:customStyle="1" w:styleId="659">
    <w:name w:val="样式5 Char"/>
    <w:qFormat/>
    <w:uiPriority w:val="0"/>
    <w:rPr>
      <w:rFonts w:ascii="仿宋_GB2312" w:hAnsi="仿宋" w:eastAsia="仿宋_GB2312"/>
      <w:kern w:val="2"/>
      <w:sz w:val="24"/>
      <w:szCs w:val="24"/>
    </w:rPr>
  </w:style>
  <w:style w:type="character" w:customStyle="1" w:styleId="660">
    <w:name w:val="样式4 Char"/>
    <w:qFormat/>
    <w:uiPriority w:val="0"/>
    <w:rPr>
      <w:rFonts w:ascii="仿宋_GB2312" w:hAnsi="仿宋" w:eastAsia="仿宋_GB2312"/>
      <w:b/>
      <w:kern w:val="2"/>
      <w:sz w:val="32"/>
      <w:szCs w:val="32"/>
      <w:lang w:bidi="ar-SA"/>
    </w:rPr>
  </w:style>
  <w:style w:type="character" w:customStyle="1" w:styleId="661">
    <w:name w:val="插图说明 Char"/>
    <w:qFormat/>
    <w:uiPriority w:val="0"/>
    <w:rPr>
      <w:rFonts w:eastAsia="黑体"/>
      <w:sz w:val="24"/>
      <w:lang w:val="en-US" w:eastAsia="zh-CN"/>
    </w:rPr>
  </w:style>
  <w:style w:type="character" w:customStyle="1" w:styleId="662">
    <w:name w:val="正文2 Char Char"/>
    <w:link w:val="85"/>
    <w:qFormat/>
    <w:uiPriority w:val="0"/>
    <w:rPr>
      <w:rFonts w:eastAsia="宋体"/>
      <w:kern w:val="2"/>
      <w:sz w:val="24"/>
      <w:lang w:val="en-US" w:eastAsia="zh-CN" w:bidi="ar-SA"/>
    </w:rPr>
  </w:style>
  <w:style w:type="character" w:customStyle="1" w:styleId="663">
    <w:name w:val="Char Char24"/>
    <w:qFormat/>
    <w:uiPriority w:val="6"/>
    <w:rPr>
      <w:kern w:val="1"/>
      <w:sz w:val="21"/>
    </w:rPr>
  </w:style>
  <w:style w:type="character" w:customStyle="1" w:styleId="664">
    <w:name w:val="副标题 Char"/>
    <w:link w:val="49"/>
    <w:qFormat/>
    <w:uiPriority w:val="0"/>
    <w:rPr>
      <w:rFonts w:ascii="Arial" w:hAnsi="Arial" w:eastAsia="隶书"/>
      <w:b/>
      <w:bCs/>
      <w:kern w:val="28"/>
      <w:sz w:val="44"/>
      <w:szCs w:val="32"/>
      <w:lang w:val="en-US" w:eastAsia="zh-CN" w:bidi="ar-SA"/>
    </w:rPr>
  </w:style>
  <w:style w:type="character" w:customStyle="1" w:styleId="665">
    <w:name w:val="普通文字 Char1 Char"/>
    <w:qFormat/>
    <w:uiPriority w:val="0"/>
    <w:rPr>
      <w:rFonts w:ascii="宋体" w:hAnsi="Courier New" w:eastAsia="宋体"/>
      <w:kern w:val="2"/>
      <w:sz w:val="21"/>
      <w:szCs w:val="24"/>
      <w:lang w:val="en-US" w:eastAsia="zh-CN" w:bidi="ar-SA"/>
    </w:rPr>
  </w:style>
  <w:style w:type="character" w:customStyle="1" w:styleId="666">
    <w:name w:val="h3 Char1"/>
    <w:qFormat/>
    <w:uiPriority w:val="0"/>
    <w:rPr>
      <w:rFonts w:eastAsia="宋体"/>
      <w:b/>
      <w:bCs/>
      <w:kern w:val="2"/>
      <w:sz w:val="32"/>
      <w:szCs w:val="32"/>
      <w:lang w:bidi="ar-SA"/>
    </w:rPr>
  </w:style>
  <w:style w:type="character" w:customStyle="1" w:styleId="667">
    <w:name w:val="标题 Char1"/>
    <w:qFormat/>
    <w:uiPriority w:val="0"/>
    <w:rPr>
      <w:rFonts w:ascii="Cambria" w:hAnsi="Cambria" w:eastAsia="宋体" w:cs="Times New Roman"/>
      <w:b/>
      <w:bCs/>
      <w:sz w:val="32"/>
      <w:szCs w:val="32"/>
      <w:lang w:bidi="ar-SA"/>
    </w:rPr>
  </w:style>
  <w:style w:type="character" w:customStyle="1" w:styleId="668">
    <w:name w:val="gf正文1 Char"/>
    <w:qFormat/>
    <w:uiPriority w:val="0"/>
    <w:rPr>
      <w:rFonts w:ascii="宋体" w:hAnsi="宋体" w:eastAsia="宋体" w:cs="宋体"/>
      <w:kern w:val="2"/>
      <w:sz w:val="24"/>
      <w:szCs w:val="24"/>
      <w:lang w:val="en-US" w:eastAsia="zh-CN" w:bidi="ar-SA"/>
    </w:rPr>
  </w:style>
  <w:style w:type="character" w:customStyle="1" w:styleId="669">
    <w:name w:val="正文文本缩进 Char1"/>
    <w:qFormat/>
    <w:uiPriority w:val="0"/>
    <w:rPr>
      <w:rFonts w:ascii="Calibri" w:hAnsi="Calibri"/>
      <w:sz w:val="28"/>
    </w:rPr>
  </w:style>
  <w:style w:type="character" w:customStyle="1" w:styleId="670">
    <w:name w:val="No Spacing Char"/>
    <w:link w:val="86"/>
    <w:qFormat/>
    <w:uiPriority w:val="1"/>
    <w:rPr>
      <w:sz w:val="22"/>
      <w:szCs w:val="22"/>
      <w:lang w:val="en-US" w:eastAsia="zh-CN" w:bidi="ar-SA"/>
    </w:rPr>
  </w:style>
  <w:style w:type="character" w:customStyle="1" w:styleId="671">
    <w:name w:val="样式7 Char"/>
    <w:qFormat/>
    <w:uiPriority w:val="0"/>
    <w:rPr>
      <w:rFonts w:ascii="仿宋_GB2312" w:hAnsi="仿宋" w:eastAsia="仿宋_GB2312"/>
      <w:b/>
      <w:kern w:val="2"/>
      <w:sz w:val="24"/>
      <w:szCs w:val="24"/>
    </w:rPr>
  </w:style>
  <w:style w:type="character" w:customStyle="1" w:styleId="672">
    <w:name w:val="font12gray1"/>
    <w:qFormat/>
    <w:uiPriority w:val="0"/>
    <w:rPr>
      <w:rFonts w:ascii="仿宋_GB2312" w:eastAsia="微软雅黑"/>
      <w:b/>
      <w:spacing w:val="300"/>
      <w:kern w:val="2"/>
      <w:sz w:val="18"/>
      <w:szCs w:val="18"/>
      <w:lang w:val="en-US" w:eastAsia="zh-CN" w:bidi="ar-SA"/>
    </w:rPr>
  </w:style>
  <w:style w:type="character" w:customStyle="1" w:styleId="673">
    <w:name w:val="Char Char7"/>
    <w:semiHidden/>
    <w:qFormat/>
    <w:uiPriority w:val="0"/>
    <w:rPr>
      <w:rFonts w:eastAsia="宋体"/>
      <w:kern w:val="2"/>
      <w:sz w:val="21"/>
      <w:szCs w:val="24"/>
      <w:lang w:val="en-US" w:eastAsia="zh-CN" w:bidi="ar-SA"/>
    </w:rPr>
  </w:style>
  <w:style w:type="character" w:customStyle="1" w:styleId="674">
    <w:name w:val="表名 Char"/>
    <w:qFormat/>
    <w:uiPriority w:val="0"/>
    <w:rPr>
      <w:rFonts w:eastAsia="宋体"/>
      <w:b/>
      <w:bCs/>
      <w:kern w:val="2"/>
      <w:sz w:val="24"/>
      <w:szCs w:val="24"/>
      <w:lang w:val="en-US" w:eastAsia="zh-CN" w:bidi="ar-SA"/>
    </w:rPr>
  </w:style>
  <w:style w:type="character" w:customStyle="1" w:styleId="675">
    <w:name w:val="Document Map Char"/>
    <w:qFormat/>
    <w:locked/>
    <w:uiPriority w:val="0"/>
    <w:rPr>
      <w:rFonts w:eastAsia="宋体"/>
      <w:kern w:val="2"/>
      <w:sz w:val="21"/>
      <w:szCs w:val="24"/>
      <w:lang w:val="en-US" w:eastAsia="zh-CN" w:bidi="ar-SA"/>
    </w:rPr>
  </w:style>
  <w:style w:type="character" w:customStyle="1" w:styleId="676">
    <w:name w:val="font41"/>
    <w:qFormat/>
    <w:uiPriority w:val="0"/>
    <w:rPr>
      <w:rFonts w:hint="eastAsia" w:ascii="仿宋_GB2312" w:eastAsia="仿宋_GB2312" w:cs="仿宋_GB2312"/>
      <w:color w:val="000000"/>
      <w:sz w:val="22"/>
      <w:szCs w:val="22"/>
      <w:u w:val="none"/>
    </w:rPr>
  </w:style>
  <w:style w:type="character" w:customStyle="1" w:styleId="677">
    <w:name w:val="标题 6 Char"/>
    <w:link w:val="8"/>
    <w:qFormat/>
    <w:uiPriority w:val="0"/>
    <w:rPr>
      <w:rFonts w:ascii="Arial" w:hAnsi="Arial" w:eastAsia="黑体"/>
      <w:b/>
      <w:bCs/>
      <w:kern w:val="2"/>
      <w:sz w:val="24"/>
      <w:szCs w:val="24"/>
    </w:rPr>
  </w:style>
  <w:style w:type="character" w:customStyle="1" w:styleId="678">
    <w:name w:val="纯文本 Char_0"/>
    <w:link w:val="87"/>
    <w:qFormat/>
    <w:uiPriority w:val="0"/>
    <w:rPr>
      <w:rFonts w:ascii="宋体" w:hAnsi="Courier New"/>
      <w:kern w:val="2"/>
      <w:sz w:val="21"/>
      <w:szCs w:val="21"/>
      <w:lang w:val="en-US" w:eastAsia="zh-CN"/>
    </w:rPr>
  </w:style>
  <w:style w:type="character" w:customStyle="1" w:styleId="679">
    <w:name w:val="Balloon Text Char"/>
    <w:qFormat/>
    <w:locked/>
    <w:uiPriority w:val="0"/>
    <w:rPr>
      <w:rFonts w:eastAsia="宋体"/>
      <w:kern w:val="2"/>
      <w:sz w:val="18"/>
      <w:szCs w:val="18"/>
      <w:lang w:val="en-US" w:eastAsia="zh-CN" w:bidi="ar-SA"/>
    </w:rPr>
  </w:style>
  <w:style w:type="character" w:customStyle="1" w:styleId="680">
    <w:name w:val="正文 项目2 Char"/>
    <w:basedOn w:val="681"/>
    <w:qFormat/>
    <w:uiPriority w:val="0"/>
    <w:rPr>
      <w:rFonts w:ascii="仿宋_GB2312" w:hAnsi="仿宋_GB2312" w:eastAsia="仿宋_GB2312"/>
      <w:kern w:val="2"/>
      <w:sz w:val="24"/>
      <w:lang w:bidi="ar-SA"/>
    </w:rPr>
  </w:style>
  <w:style w:type="character" w:customStyle="1" w:styleId="681">
    <w:name w:val="正文 项目 Char"/>
    <w:qFormat/>
    <w:uiPriority w:val="0"/>
    <w:rPr>
      <w:rFonts w:ascii="仿宋_GB2312" w:hAnsi="仿宋_GB2312" w:eastAsia="仿宋_GB2312"/>
      <w:kern w:val="2"/>
      <w:sz w:val="24"/>
      <w:lang w:bidi="ar-SA"/>
    </w:rPr>
  </w:style>
  <w:style w:type="character" w:customStyle="1" w:styleId="682">
    <w:name w:val="h Char Char1"/>
    <w:qFormat/>
    <w:uiPriority w:val="0"/>
    <w:rPr>
      <w:rFonts w:eastAsia="宋体"/>
      <w:kern w:val="2"/>
      <w:sz w:val="18"/>
      <w:szCs w:val="18"/>
      <w:lang w:val="en-US" w:eastAsia="zh-CN" w:bidi="ar-SA"/>
    </w:rPr>
  </w:style>
  <w:style w:type="character" w:customStyle="1" w:styleId="683">
    <w:name w:val="Char Char27"/>
    <w:qFormat/>
    <w:uiPriority w:val="6"/>
    <w:rPr>
      <w:rFonts w:ascii="宋体" w:hAnsi="宋体" w:eastAsia="宋体"/>
      <w:color w:val="000000"/>
      <w:kern w:val="1"/>
      <w:sz w:val="28"/>
      <w:lang w:val="en-US" w:eastAsia="zh-CN" w:bidi="ar-SA"/>
    </w:rPr>
  </w:style>
  <w:style w:type="character" w:customStyle="1" w:styleId="684">
    <w:name w:val="px14"/>
    <w:qFormat/>
    <w:uiPriority w:val="0"/>
    <w:rPr>
      <w:rFonts w:ascii="仿宋_GB2312" w:eastAsia="微软雅黑" w:cs="Times New Roman"/>
      <w:b/>
      <w:kern w:val="2"/>
      <w:sz w:val="32"/>
      <w:szCs w:val="32"/>
      <w:lang w:val="en-US" w:eastAsia="zh-CN" w:bidi="ar-SA"/>
    </w:rPr>
  </w:style>
  <w:style w:type="character" w:customStyle="1" w:styleId="685">
    <w:name w:val="HTML 预设格式 Char1"/>
    <w:qFormat/>
    <w:uiPriority w:val="0"/>
    <w:rPr>
      <w:rFonts w:ascii="Courier New" w:hAnsi="Courier New" w:eastAsia="宋体" w:cs="Courier New"/>
      <w:sz w:val="20"/>
      <w:szCs w:val="20"/>
    </w:rPr>
  </w:style>
  <w:style w:type="character" w:customStyle="1" w:styleId="686">
    <w:name w:val="普通文字 Char1"/>
    <w:qFormat/>
    <w:uiPriority w:val="0"/>
    <w:rPr>
      <w:rFonts w:ascii="宋体" w:hAnsi="Courier New" w:eastAsia="宋体"/>
      <w:kern w:val="2"/>
      <w:sz w:val="21"/>
      <w:lang w:val="en-US" w:eastAsia="zh-CN"/>
    </w:rPr>
  </w:style>
  <w:style w:type="character" w:customStyle="1" w:styleId="687">
    <w:name w:val="hei16b1"/>
    <w:qFormat/>
    <w:uiPriority w:val="0"/>
    <w:rPr>
      <w:rFonts w:hint="default" w:ascii="Arial" w:hAnsi="Arial" w:cs="Arial"/>
      <w:b/>
      <w:bCs/>
      <w:color w:val="000000"/>
      <w:sz w:val="24"/>
      <w:szCs w:val="24"/>
    </w:rPr>
  </w:style>
  <w:style w:type="character" w:customStyle="1" w:styleId="688">
    <w:name w:val="正文（绿盟科技） Char"/>
    <w:link w:val="89"/>
    <w:qFormat/>
    <w:uiPriority w:val="0"/>
    <w:rPr>
      <w:rFonts w:ascii="Arial" w:hAnsi="Arial"/>
      <w:sz w:val="21"/>
      <w:szCs w:val="21"/>
    </w:rPr>
  </w:style>
  <w:style w:type="character" w:customStyle="1" w:styleId="689">
    <w:name w:val="Char Char19"/>
    <w:qFormat/>
    <w:uiPriority w:val="6"/>
    <w:rPr>
      <w:rFonts w:ascii="宋体" w:hAnsi="宋体"/>
      <w:i/>
      <w:sz w:val="24"/>
      <w:szCs w:val="24"/>
    </w:rPr>
  </w:style>
  <w:style w:type="character" w:customStyle="1" w:styleId="690">
    <w:name w:val="页脚 Char"/>
    <w:qFormat/>
    <w:uiPriority w:val="0"/>
    <w:rPr>
      <w:rFonts w:eastAsia="仿宋_GB2312"/>
      <w:kern w:val="2"/>
      <w:sz w:val="18"/>
      <w:lang w:val="en-US" w:eastAsia="zh-CN"/>
    </w:rPr>
  </w:style>
  <w:style w:type="character" w:customStyle="1" w:styleId="691">
    <w:name w:val="批注主题 Char"/>
    <w:qFormat/>
    <w:uiPriority w:val="0"/>
    <w:rPr>
      <w:rFonts w:eastAsia="宋体"/>
      <w:b/>
      <w:bCs/>
      <w:kern w:val="2"/>
      <w:sz w:val="21"/>
      <w:szCs w:val="24"/>
      <w:lang w:val="en-US" w:eastAsia="zh-CN" w:bidi="ar-SA"/>
    </w:rPr>
  </w:style>
  <w:style w:type="character" w:customStyle="1" w:styleId="692">
    <w:name w:val="Comment Text Char"/>
    <w:qFormat/>
    <w:locked/>
    <w:uiPriority w:val="0"/>
    <w:rPr>
      <w:rFonts w:ascii="宋体" w:hAnsi="宋体" w:eastAsia="宋体"/>
      <w:kern w:val="2"/>
      <w:sz w:val="24"/>
      <w:lang w:val="en-US" w:eastAsia="zh-CN" w:bidi="ar-SA"/>
    </w:rPr>
  </w:style>
  <w:style w:type="character" w:customStyle="1" w:styleId="693">
    <w:name w:val="标题 2 字符"/>
    <w:qFormat/>
    <w:uiPriority w:val="1"/>
    <w:rPr>
      <w:rFonts w:ascii="仿宋_GB2312" w:hAnsi="Times New Roman" w:eastAsia="仿宋_GB2312" w:cs="Times New Roman"/>
      <w:b/>
      <w:kern w:val="2"/>
      <w:sz w:val="24"/>
      <w:lang w:val="zh-CN"/>
    </w:rPr>
  </w:style>
  <w:style w:type="character" w:customStyle="1" w:styleId="694">
    <w:name w:val="Char Char72"/>
    <w:qFormat/>
    <w:uiPriority w:val="0"/>
    <w:rPr>
      <w:rFonts w:eastAsia="宋体"/>
      <w:kern w:val="2"/>
      <w:sz w:val="21"/>
      <w:szCs w:val="24"/>
      <w:lang w:val="en-US" w:eastAsia="zh-CN" w:bidi="ar-SA"/>
    </w:rPr>
  </w:style>
  <w:style w:type="character" w:customStyle="1" w:styleId="695">
    <w:name w:val="正文文本缩进 Char2"/>
    <w:qFormat/>
    <w:uiPriority w:val="0"/>
    <w:rPr>
      <w:rFonts w:ascii="Times New Roman" w:hAnsi="Times New Roman" w:eastAsia="宋体" w:cs="Times New Roman"/>
      <w:snapToGrid w:val="0"/>
      <w:kern w:val="0"/>
      <w:szCs w:val="24"/>
    </w:rPr>
  </w:style>
  <w:style w:type="character" w:customStyle="1" w:styleId="696">
    <w:name w:val="样式2 Char"/>
    <w:qFormat/>
    <w:uiPriority w:val="0"/>
    <w:rPr>
      <w:rFonts w:ascii="仿宋_GB2312" w:hAnsi="仿宋" w:eastAsia="仿宋_GB2312" w:cs="仿宋_GB2312"/>
      <w:b/>
      <w:bCs/>
      <w:sz w:val="32"/>
      <w:szCs w:val="30"/>
      <w:lang w:val="zh-CN"/>
    </w:rPr>
  </w:style>
  <w:style w:type="character" w:customStyle="1" w:styleId="697">
    <w:name w:val="表格名称[858D7CFB-ED40-4347-BF05-701D383B685F]"/>
    <w:link w:val="90"/>
    <w:qFormat/>
    <w:uiPriority w:val="0"/>
    <w:rPr>
      <w:sz w:val="32"/>
    </w:rPr>
  </w:style>
  <w:style w:type="character" w:customStyle="1" w:styleId="698">
    <w:name w:val="Char Char4"/>
    <w:qFormat/>
    <w:uiPriority w:val="0"/>
    <w:rPr>
      <w:rFonts w:eastAsia="宋体"/>
      <w:b/>
      <w:sz w:val="24"/>
      <w:lang w:eastAsia="zh-CN" w:bidi="ar-SA"/>
    </w:rPr>
  </w:style>
  <w:style w:type="character" w:customStyle="1" w:styleId="699">
    <w:name w:val="c7 style3"/>
    <w:qFormat/>
    <w:uiPriority w:val="0"/>
  </w:style>
  <w:style w:type="character" w:customStyle="1" w:styleId="700">
    <w:name w:val="正文文本 3 Char1"/>
    <w:semiHidden/>
    <w:qFormat/>
    <w:uiPriority w:val="99"/>
    <w:rPr>
      <w:rFonts w:ascii="Times New Roman" w:hAnsi="Times New Roman" w:eastAsia="宋体" w:cs="Times New Roman"/>
      <w:sz w:val="16"/>
      <w:szCs w:val="16"/>
    </w:rPr>
  </w:style>
  <w:style w:type="character" w:customStyle="1" w:styleId="701">
    <w:name w:val="tw4winInternal"/>
    <w:qFormat/>
    <w:uiPriority w:val="0"/>
    <w:rPr>
      <w:rFonts w:ascii="Courier New" w:hAnsi="Courier New" w:cs="Courier New"/>
      <w:color w:val="FF0000"/>
      <w:lang w:val="en-US" w:eastAsia="zh-CN"/>
    </w:rPr>
  </w:style>
  <w:style w:type="character" w:customStyle="1" w:styleId="702">
    <w:name w:val="Char Char10"/>
    <w:semiHidden/>
    <w:qFormat/>
    <w:uiPriority w:val="0"/>
    <w:rPr>
      <w:rFonts w:ascii="宋体" w:hAnsi="宋体"/>
      <w:kern w:val="2"/>
      <w:sz w:val="21"/>
      <w:szCs w:val="24"/>
      <w:lang w:val="en-US" w:eastAsia="zh-CN"/>
    </w:rPr>
  </w:style>
  <w:style w:type="character" w:customStyle="1" w:styleId="703">
    <w:name w:val="shadow11"/>
    <w:qFormat/>
    <w:uiPriority w:val="0"/>
    <w:rPr>
      <w:color w:val="000000"/>
      <w:sz w:val="21"/>
    </w:rPr>
  </w:style>
  <w:style w:type="character" w:customStyle="1" w:styleId="704">
    <w:name w:val="正文非缩进 Char3"/>
    <w:qFormat/>
    <w:uiPriority w:val="0"/>
    <w:rPr>
      <w:rFonts w:ascii="宋体" w:eastAsia="宋体"/>
      <w:snapToGrid w:val="0"/>
      <w:color w:val="000000"/>
      <w:kern w:val="28"/>
      <w:sz w:val="28"/>
      <w:lang w:val="en-US" w:eastAsia="zh-CN" w:bidi="ar-SA"/>
    </w:rPr>
  </w:style>
  <w:style w:type="character" w:customStyle="1" w:styleId="705">
    <w:name w:val="Char Char"/>
    <w:qFormat/>
    <w:uiPriority w:val="0"/>
    <w:rPr>
      <w:rFonts w:ascii="宋体" w:hAnsi="Courier New" w:eastAsia="宋体"/>
      <w:kern w:val="2"/>
      <w:sz w:val="21"/>
      <w:lang w:val="en-US" w:eastAsia="zh-CN" w:bidi="ar-SA"/>
    </w:rPr>
  </w:style>
  <w:style w:type="character" w:customStyle="1" w:styleId="706">
    <w:name w:val="签名 Char1"/>
    <w:qFormat/>
    <w:uiPriority w:val="0"/>
    <w:rPr>
      <w:rFonts w:ascii="Times New Roman" w:hAnsi="Times New Roman" w:eastAsia="宋体" w:cs="Times New Roman"/>
      <w:szCs w:val="24"/>
    </w:rPr>
  </w:style>
  <w:style w:type="character" w:customStyle="1" w:styleId="707">
    <w:name w:val="日期 Char"/>
    <w:link w:val="37"/>
    <w:qFormat/>
    <w:uiPriority w:val="0"/>
    <w:rPr>
      <w:rFonts w:ascii="宋体"/>
      <w:kern w:val="2"/>
      <w:sz w:val="24"/>
      <w:szCs w:val="21"/>
      <w:lang w:val="zh-CN"/>
    </w:rPr>
  </w:style>
  <w:style w:type="character" w:customStyle="1" w:styleId="708">
    <w:name w:val="标题 9 Char"/>
    <w:link w:val="11"/>
    <w:qFormat/>
    <w:uiPriority w:val="0"/>
    <w:rPr>
      <w:rFonts w:ascii="Arial" w:hAnsi="Arial" w:eastAsia="黑体"/>
      <w:kern w:val="2"/>
      <w:sz w:val="21"/>
      <w:szCs w:val="21"/>
    </w:rPr>
  </w:style>
  <w:style w:type="character" w:customStyle="1" w:styleId="709">
    <w:name w:val="Char Char18"/>
    <w:qFormat/>
    <w:uiPriority w:val="6"/>
    <w:rPr>
      <w:rFonts w:ascii="宋体" w:hAnsi="宋体"/>
      <w:sz w:val="28"/>
    </w:rPr>
  </w:style>
  <w:style w:type="character" w:customStyle="1" w:styleId="710">
    <w:name w:val="批注文字 Char"/>
    <w:qFormat/>
    <w:uiPriority w:val="99"/>
    <w:rPr>
      <w:kern w:val="2"/>
      <w:sz w:val="21"/>
      <w:szCs w:val="24"/>
    </w:rPr>
  </w:style>
  <w:style w:type="character" w:customStyle="1" w:styleId="711">
    <w:name w:val="Char Char22"/>
    <w:qFormat/>
    <w:uiPriority w:val="6"/>
    <w:rPr>
      <w:rFonts w:ascii="宋体" w:hAnsi="宋体"/>
      <w:kern w:val="1"/>
      <w:sz w:val="24"/>
      <w:szCs w:val="24"/>
    </w:rPr>
  </w:style>
  <w:style w:type="character" w:customStyle="1" w:styleId="712">
    <w:name w:val="pt141"/>
    <w:qFormat/>
    <w:uiPriority w:val="0"/>
    <w:rPr>
      <w:color w:val="330066"/>
      <w:sz w:val="22"/>
      <w:szCs w:val="22"/>
    </w:rPr>
  </w:style>
  <w:style w:type="character" w:customStyle="1" w:styleId="713">
    <w:name w:val="正文文本缩进 2 Char1"/>
    <w:semiHidden/>
    <w:qFormat/>
    <w:uiPriority w:val="99"/>
    <w:rPr>
      <w:rFonts w:ascii="Times New Roman" w:hAnsi="Times New Roman" w:eastAsia="宋体" w:cs="Times New Roman"/>
      <w:szCs w:val="24"/>
    </w:rPr>
  </w:style>
  <w:style w:type="character" w:customStyle="1" w:styleId="714">
    <w:name w:val="批注框文本 Char"/>
    <w:link w:val="40"/>
    <w:qFormat/>
    <w:uiPriority w:val="0"/>
    <w:rPr>
      <w:kern w:val="2"/>
      <w:sz w:val="18"/>
      <w:szCs w:val="18"/>
    </w:rPr>
  </w:style>
  <w:style w:type="character" w:customStyle="1" w:styleId="715">
    <w:name w:val="Char Char611"/>
    <w:qFormat/>
    <w:uiPriority w:val="0"/>
    <w:rPr>
      <w:rFonts w:eastAsia="宋体"/>
      <w:kern w:val="2"/>
      <w:sz w:val="21"/>
      <w:szCs w:val="24"/>
      <w:lang w:val="en-US" w:eastAsia="zh-CN" w:bidi="ar-SA"/>
    </w:rPr>
  </w:style>
  <w:style w:type="character" w:customStyle="1" w:styleId="716">
    <w:name w:val="highlight1"/>
    <w:qFormat/>
    <w:uiPriority w:val="0"/>
    <w:rPr>
      <w:rFonts w:ascii="仿宋_GB2312" w:eastAsia="微软雅黑"/>
      <w:b/>
      <w:kern w:val="2"/>
      <w:sz w:val="23"/>
      <w:szCs w:val="23"/>
      <w:lang w:val="en-US" w:eastAsia="zh-CN" w:bidi="ar-SA"/>
    </w:rPr>
  </w:style>
  <w:style w:type="character" w:customStyle="1" w:styleId="717">
    <w:name w:val="my正文 Char"/>
    <w:link w:val="91"/>
    <w:qFormat/>
    <w:locked/>
    <w:uiPriority w:val="0"/>
    <w:rPr>
      <w:rFonts w:ascii="Tahoma" w:hAnsi="Tahoma"/>
      <w:sz w:val="24"/>
      <w:szCs w:val="24"/>
    </w:rPr>
  </w:style>
  <w:style w:type="character" w:customStyle="1" w:styleId="718">
    <w:name w:val="正文缩进 Char2"/>
    <w:link w:val="5"/>
    <w:qFormat/>
    <w:uiPriority w:val="0"/>
    <w:rPr>
      <w:rFonts w:ascii="宋体" w:eastAsia="宋体"/>
      <w:snapToGrid w:val="0"/>
      <w:color w:val="000000"/>
      <w:kern w:val="28"/>
      <w:sz w:val="28"/>
      <w:lang w:val="en-US" w:eastAsia="zh-CN" w:bidi="ar-SA"/>
    </w:rPr>
  </w:style>
  <w:style w:type="character" w:customStyle="1" w:styleId="719">
    <w:name w:val="Used by Word for text of Help footnotes Char Char1"/>
    <w:qFormat/>
    <w:uiPriority w:val="0"/>
    <w:rPr>
      <w:color w:val="0000FF"/>
      <w:sz w:val="21"/>
    </w:rPr>
  </w:style>
  <w:style w:type="character" w:customStyle="1" w:styleId="720">
    <w:name w:val="页眉 Char"/>
    <w:qFormat/>
    <w:uiPriority w:val="0"/>
    <w:rPr>
      <w:rFonts w:eastAsia="仿宋_GB2312"/>
      <w:kern w:val="2"/>
      <w:sz w:val="18"/>
      <w:lang w:val="en-US" w:eastAsia="zh-CN"/>
    </w:rPr>
  </w:style>
  <w:style w:type="character" w:customStyle="1" w:styleId="721">
    <w:name w:val="FA正文 Char Char"/>
    <w:qFormat/>
    <w:uiPriority w:val="0"/>
    <w:rPr>
      <w:rFonts w:hAnsi="宋体"/>
      <w:kern w:val="2"/>
      <w:sz w:val="24"/>
      <w:lang w:bidi="ar-SA"/>
    </w:rPr>
  </w:style>
  <w:style w:type="character" w:customStyle="1" w:styleId="722">
    <w:name w:val="纯文本 字符"/>
    <w:qFormat/>
    <w:uiPriority w:val="0"/>
    <w:rPr>
      <w:rFonts w:ascii="宋体" w:hAnsi="Courier New" w:eastAsia="宋体" w:cs="Arial"/>
      <w:snapToGrid w:val="0"/>
      <w:kern w:val="2"/>
      <w:sz w:val="21"/>
      <w:szCs w:val="21"/>
      <w:lang w:val="en-US" w:eastAsia="zh-CN" w:bidi="ar-SA"/>
    </w:rPr>
  </w:style>
  <w:style w:type="character" w:customStyle="1" w:styleId="723">
    <w:name w:val="3级 Char"/>
    <w:link w:val="92"/>
    <w:qFormat/>
    <w:uiPriority w:val="0"/>
    <w:rPr>
      <w:rFonts w:ascii="宋体" w:hAnsi="宋体"/>
      <w:b/>
      <w:bCs/>
      <w:sz w:val="28"/>
    </w:rPr>
  </w:style>
  <w:style w:type="character" w:customStyle="1" w:styleId="724">
    <w:name w:val="myp11"/>
    <w:qFormat/>
    <w:uiPriority w:val="0"/>
    <w:rPr>
      <w:rFonts w:ascii="仿宋_GB2312" w:eastAsia="微软雅黑"/>
      <w:b/>
      <w:kern w:val="2"/>
      <w:sz w:val="32"/>
      <w:szCs w:val="32"/>
      <w:lang w:val="en-US" w:eastAsia="zh-CN" w:bidi="ar-SA"/>
    </w:rPr>
  </w:style>
  <w:style w:type="character" w:customStyle="1" w:styleId="725">
    <w:name w:val="文档结构图 Char1"/>
    <w:link w:val="22"/>
    <w:qFormat/>
    <w:uiPriority w:val="0"/>
    <w:rPr>
      <w:kern w:val="2"/>
      <w:sz w:val="21"/>
      <w:szCs w:val="24"/>
      <w:shd w:val="clear" w:color="auto" w:fill="000080"/>
    </w:rPr>
  </w:style>
  <w:style w:type="character" w:customStyle="1" w:styleId="726">
    <w:name w:val="H6 Char"/>
    <w:qFormat/>
    <w:uiPriority w:val="0"/>
    <w:rPr>
      <w:rFonts w:ascii="Arial" w:hAnsi="Arial" w:eastAsia="黑体"/>
      <w:b/>
      <w:bCs/>
      <w:kern w:val="2"/>
      <w:sz w:val="24"/>
      <w:szCs w:val="24"/>
    </w:rPr>
  </w:style>
  <w:style w:type="character" w:customStyle="1" w:styleId="727">
    <w:name w:val="Char Char91"/>
    <w:qFormat/>
    <w:uiPriority w:val="0"/>
    <w:rPr>
      <w:rFonts w:eastAsia="宋体"/>
      <w:kern w:val="2"/>
      <w:sz w:val="18"/>
      <w:szCs w:val="18"/>
      <w:lang w:val="en-US" w:eastAsia="zh-CN" w:bidi="ar-SA"/>
    </w:rPr>
  </w:style>
  <w:style w:type="character" w:customStyle="1" w:styleId="728">
    <w:name w:val="副标题 Char1"/>
    <w:qFormat/>
    <w:uiPriority w:val="0"/>
    <w:rPr>
      <w:rFonts w:ascii="Cambria" w:hAnsi="Cambria" w:eastAsia="宋体" w:cs="Times New Roman"/>
      <w:b/>
      <w:bCs/>
      <w:snapToGrid w:val="0"/>
      <w:kern w:val="28"/>
      <w:sz w:val="32"/>
      <w:szCs w:val="32"/>
    </w:rPr>
  </w:style>
  <w:style w:type="character" w:customStyle="1" w:styleId="729">
    <w:name w:val="font61"/>
    <w:qFormat/>
    <w:uiPriority w:val="0"/>
    <w:rPr>
      <w:rFonts w:hint="eastAsia" w:ascii="仿宋" w:hAnsi="仿宋" w:eastAsia="仿宋" w:cs="仿宋"/>
      <w:color w:val="000000"/>
      <w:sz w:val="20"/>
      <w:szCs w:val="20"/>
      <w:u w:val="none"/>
    </w:rPr>
  </w:style>
  <w:style w:type="character" w:customStyle="1" w:styleId="73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731">
    <w:name w:val="Char Char211"/>
    <w:qFormat/>
    <w:uiPriority w:val="0"/>
    <w:rPr>
      <w:rFonts w:eastAsia="宋体"/>
      <w:b/>
      <w:bCs/>
      <w:kern w:val="2"/>
      <w:sz w:val="21"/>
      <w:szCs w:val="24"/>
      <w:lang w:val="en-US" w:eastAsia="zh-CN" w:bidi="ar-SA"/>
    </w:rPr>
  </w:style>
  <w:style w:type="character" w:customStyle="1" w:styleId="732">
    <w:name w:val="标题 2 Char"/>
    <w:qFormat/>
    <w:uiPriority w:val="0"/>
    <w:rPr>
      <w:rFonts w:ascii="Arial" w:hAnsi="Arial" w:eastAsia="黑体"/>
      <w:b/>
      <w:kern w:val="2"/>
      <w:sz w:val="32"/>
      <w:lang w:val="en-US" w:eastAsia="zh-CN"/>
    </w:rPr>
  </w:style>
  <w:style w:type="character" w:customStyle="1" w:styleId="733">
    <w:name w:val="maywed421"/>
    <w:qFormat/>
    <w:uiPriority w:val="0"/>
    <w:rPr>
      <w:color w:val="366FB6"/>
      <w:u w:val="none"/>
    </w:rPr>
  </w:style>
  <w:style w:type="character" w:customStyle="1" w:styleId="734">
    <w:name w:val="正文文本缩进 Char"/>
    <w:qFormat/>
    <w:uiPriority w:val="0"/>
    <w:rPr>
      <w:rFonts w:ascii="宋体" w:hAnsi="宋体"/>
      <w:kern w:val="2"/>
      <w:sz w:val="24"/>
      <w:szCs w:val="24"/>
    </w:rPr>
  </w:style>
  <w:style w:type="character" w:customStyle="1" w:styleId="735">
    <w:name w:val="Char Char102"/>
    <w:semiHidden/>
    <w:qFormat/>
    <w:uiPriority w:val="0"/>
    <w:rPr>
      <w:rFonts w:ascii="宋体" w:hAnsi="宋体"/>
      <w:kern w:val="2"/>
      <w:sz w:val="21"/>
      <w:szCs w:val="24"/>
      <w:lang w:val="en-US" w:eastAsia="zh-CN"/>
    </w:rPr>
  </w:style>
  <w:style w:type="character" w:customStyle="1" w:styleId="736">
    <w:name w:val="页眉 Char1"/>
    <w:qFormat/>
    <w:uiPriority w:val="0"/>
    <w:rPr>
      <w:rFonts w:eastAsia="宋体"/>
      <w:kern w:val="2"/>
      <w:sz w:val="18"/>
      <w:szCs w:val="18"/>
      <w:lang w:val="en-US" w:eastAsia="zh-CN" w:bidi="ar-SA"/>
    </w:rPr>
  </w:style>
  <w:style w:type="character" w:customStyle="1" w:styleId="737">
    <w:name w:val="md"/>
    <w:basedOn w:val="62"/>
    <w:qFormat/>
    <w:uiPriority w:val="0"/>
    <w:rPr>
      <w:rFonts w:ascii="Arial" w:hAnsi="Arial" w:eastAsia="黑体" w:cs="Arial"/>
      <w:snapToGrid w:val="0"/>
      <w:kern w:val="0"/>
      <w:szCs w:val="21"/>
    </w:rPr>
  </w:style>
  <w:style w:type="character" w:customStyle="1" w:styleId="738">
    <w:name w:val="big1"/>
    <w:qFormat/>
    <w:uiPriority w:val="0"/>
    <w:rPr>
      <w:rFonts w:hint="eastAsia" w:ascii="宋体" w:hAnsi="宋体" w:eastAsia="宋体"/>
      <w:color w:val="333333"/>
      <w:sz w:val="22"/>
      <w:szCs w:val="22"/>
    </w:rPr>
  </w:style>
  <w:style w:type="character" w:customStyle="1" w:styleId="739">
    <w:name w:val="Char Char311"/>
    <w:qFormat/>
    <w:uiPriority w:val="0"/>
    <w:rPr>
      <w:rFonts w:eastAsia="宋体"/>
      <w:kern w:val="2"/>
      <w:sz w:val="21"/>
      <w:szCs w:val="24"/>
      <w:lang w:val="en-US" w:eastAsia="zh-CN" w:bidi="ar-SA"/>
    </w:rPr>
  </w:style>
  <w:style w:type="character" w:customStyle="1" w:styleId="740">
    <w:name w:val="Char Char81"/>
    <w:qFormat/>
    <w:uiPriority w:val="6"/>
    <w:rPr>
      <w:rFonts w:eastAsia="宋体"/>
      <w:b/>
      <w:sz w:val="24"/>
      <w:lang w:eastAsia="zh-CN"/>
    </w:rPr>
  </w:style>
  <w:style w:type="character" w:customStyle="1" w:styleId="741">
    <w:name w:val="样式3 Char"/>
    <w:basedOn w:val="696"/>
    <w:qFormat/>
    <w:uiPriority w:val="0"/>
    <w:rPr>
      <w:rFonts w:ascii="仿宋_GB2312" w:hAnsi="仿宋" w:eastAsia="仿宋_GB2312" w:cs="仿宋_GB2312"/>
      <w:sz w:val="32"/>
      <w:szCs w:val="30"/>
      <w:lang w:val="zh-CN"/>
    </w:rPr>
  </w:style>
  <w:style w:type="character" w:customStyle="1" w:styleId="742">
    <w:name w:val="HTML 地址 Char"/>
    <w:link w:val="31"/>
    <w:qFormat/>
    <w:uiPriority w:val="0"/>
    <w:rPr>
      <w:rFonts w:ascii="宋体" w:hAnsi="宋体"/>
      <w:i/>
      <w:iCs/>
      <w:sz w:val="24"/>
      <w:szCs w:val="24"/>
    </w:rPr>
  </w:style>
  <w:style w:type="character" w:customStyle="1" w:styleId="743">
    <w:name w:val="正文首行缩进 2 Char1"/>
    <w:qFormat/>
    <w:uiPriority w:val="0"/>
    <w:rPr>
      <w:rFonts w:ascii="Times New Roman" w:hAnsi="Times New Roman" w:eastAsia="宋体" w:cs="Times New Roman"/>
      <w:kern w:val="2"/>
      <w:sz w:val="24"/>
      <w:szCs w:val="24"/>
    </w:rPr>
  </w:style>
  <w:style w:type="character" w:customStyle="1" w:styleId="744">
    <w:name w:val="副标题 Char2"/>
    <w:qFormat/>
    <w:uiPriority w:val="0"/>
    <w:rPr>
      <w:rFonts w:ascii="Cambria" w:hAnsi="Cambria" w:eastAsia="宋体" w:cs="Times New Roman"/>
      <w:b/>
      <w:bCs/>
      <w:snapToGrid w:val="0"/>
      <w:kern w:val="28"/>
      <w:sz w:val="32"/>
      <w:szCs w:val="32"/>
    </w:rPr>
  </w:style>
  <w:style w:type="character" w:customStyle="1" w:styleId="745">
    <w:name w:val="标题4-dyf Char"/>
    <w:link w:val="94"/>
    <w:qFormat/>
    <w:uiPriority w:val="0"/>
    <w:rPr>
      <w:rFonts w:ascii="Cambria" w:hAnsi="Cambria"/>
      <w:b/>
      <w:bCs/>
      <w:color w:val="000000"/>
      <w:kern w:val="2"/>
      <w:sz w:val="21"/>
      <w:szCs w:val="21"/>
    </w:rPr>
  </w:style>
  <w:style w:type="character" w:customStyle="1" w:styleId="746">
    <w:name w:val="dectext1"/>
    <w:qFormat/>
    <w:uiPriority w:val="0"/>
    <w:rPr>
      <w:rFonts w:ascii="宋体" w:hAnsi="宋体" w:eastAsia="宋体"/>
      <w:color w:val="333333"/>
      <w:sz w:val="21"/>
      <w:szCs w:val="21"/>
      <w:u w:val="none"/>
    </w:rPr>
  </w:style>
  <w:style w:type="character" w:customStyle="1" w:styleId="747">
    <w:name w:val="冯 Char"/>
    <w:link w:val="95"/>
    <w:qFormat/>
    <w:uiPriority w:val="0"/>
    <w:rPr>
      <w:rFonts w:ascii="宋体" w:hAnsi="宋体"/>
      <w:color w:val="000000"/>
      <w:sz w:val="24"/>
      <w:szCs w:val="24"/>
    </w:rPr>
  </w:style>
  <w:style w:type="character" w:customStyle="1" w:styleId="748">
    <w:name w:val="Header Char"/>
    <w:qFormat/>
    <w:locked/>
    <w:uiPriority w:val="0"/>
    <w:rPr>
      <w:rFonts w:eastAsia="宋体"/>
      <w:kern w:val="2"/>
      <w:sz w:val="18"/>
      <w:szCs w:val="18"/>
      <w:lang w:val="en-US" w:eastAsia="zh-CN" w:bidi="ar-SA"/>
    </w:rPr>
  </w:style>
  <w:style w:type="character" w:customStyle="1" w:styleId="749">
    <w:name w:val="Char Char12"/>
    <w:qFormat/>
    <w:uiPriority w:val="0"/>
    <w:rPr>
      <w:rFonts w:ascii="仿宋_GB2312" w:eastAsia="仿宋_GB2312"/>
      <w:b/>
      <w:bCs/>
      <w:kern w:val="2"/>
      <w:sz w:val="24"/>
      <w:szCs w:val="24"/>
      <w:lang w:val="zh-CN" w:eastAsia="zh-CN" w:bidi="ar-SA"/>
    </w:rPr>
  </w:style>
  <w:style w:type="character" w:customStyle="1" w:styleId="750">
    <w:name w:val="题注 Char"/>
    <w:link w:val="20"/>
    <w:qFormat/>
    <w:uiPriority w:val="0"/>
    <w:rPr>
      <w:b/>
      <w:kern w:val="2"/>
      <w:sz w:val="28"/>
    </w:rPr>
  </w:style>
  <w:style w:type="character" w:customStyle="1" w:styleId="751">
    <w:name w:val="普通文字 Char3"/>
    <w:qFormat/>
    <w:uiPriority w:val="0"/>
    <w:rPr>
      <w:rFonts w:ascii="宋体" w:hAnsi="Courier New" w:eastAsia="宋体"/>
      <w:kern w:val="2"/>
      <w:sz w:val="21"/>
      <w:lang w:val="en-US" w:eastAsia="zh-CN" w:bidi="ar-SA"/>
    </w:rPr>
  </w:style>
  <w:style w:type="character" w:customStyle="1" w:styleId="752">
    <w:name w:val="公文正文 Char"/>
    <w:qFormat/>
    <w:uiPriority w:val="0"/>
    <w:rPr>
      <w:rFonts w:ascii="仿宋_GB2312" w:eastAsia="仿宋_GB2312"/>
      <w:kern w:val="2"/>
      <w:sz w:val="24"/>
      <w:szCs w:val="24"/>
      <w:lang w:val="en-US" w:eastAsia="zh-CN" w:bidi="ar-SA"/>
    </w:rPr>
  </w:style>
  <w:style w:type="character" w:customStyle="1" w:styleId="753">
    <w:name w:val="正文首行缩进 Char Char Char Char Char"/>
    <w:qFormat/>
    <w:uiPriority w:val="0"/>
    <w:rPr>
      <w:rFonts w:ascii="宋体"/>
      <w:kern w:val="2"/>
      <w:sz w:val="24"/>
      <w:lang w:val="zh-CN"/>
    </w:rPr>
  </w:style>
  <w:style w:type="character" w:customStyle="1" w:styleId="754">
    <w:name w:val="PI Char"/>
    <w:qFormat/>
    <w:uiPriority w:val="0"/>
    <w:rPr>
      <w:rFonts w:ascii="宋体" w:hAnsi="宋体" w:eastAsia="宋体"/>
      <w:kern w:val="2"/>
      <w:sz w:val="24"/>
      <w:szCs w:val="24"/>
      <w:lang w:val="en-US" w:eastAsia="zh-CN" w:bidi="ar-SA"/>
    </w:rPr>
  </w:style>
  <w:style w:type="character" w:customStyle="1" w:styleId="755">
    <w:name w:val="Default Char"/>
    <w:link w:val="96"/>
    <w:qFormat/>
    <w:uiPriority w:val="0"/>
    <w:rPr>
      <w:rFonts w:ascii="仿宋_GB2312" w:eastAsia="仿宋_GB2312" w:cs="仿宋_GB2312"/>
      <w:color w:val="000000"/>
      <w:sz w:val="24"/>
      <w:szCs w:val="24"/>
      <w:lang w:val="en-US" w:eastAsia="zh-CN" w:bidi="ar-SA"/>
    </w:rPr>
  </w:style>
  <w:style w:type="character" w:customStyle="1" w:styleId="756">
    <w:name w:val="style91"/>
    <w:qFormat/>
    <w:uiPriority w:val="0"/>
    <w:rPr>
      <w:color w:val="333333"/>
    </w:rPr>
  </w:style>
  <w:style w:type="character" w:customStyle="1" w:styleId="757">
    <w:name w:val="列出段落 Char2"/>
    <w:qFormat/>
    <w:uiPriority w:val="34"/>
    <w:rPr>
      <w:rFonts w:ascii="Calibri" w:hAnsi="Calibri"/>
      <w:kern w:val="2"/>
      <w:sz w:val="28"/>
    </w:rPr>
  </w:style>
  <w:style w:type="character" w:customStyle="1" w:styleId="758">
    <w:name w:val="mdeck"/>
    <w:qFormat/>
    <w:uiPriority w:val="0"/>
    <w:rPr>
      <w:rFonts w:ascii="仿宋_GB2312" w:eastAsia="微软雅黑"/>
      <w:b/>
      <w:kern w:val="2"/>
      <w:sz w:val="32"/>
      <w:szCs w:val="32"/>
      <w:lang w:val="en-US" w:eastAsia="zh-CN" w:bidi="ar-SA"/>
    </w:rPr>
  </w:style>
  <w:style w:type="character" w:customStyle="1" w:styleId="759">
    <w:name w:val="unnamed11"/>
    <w:qFormat/>
    <w:uiPriority w:val="0"/>
    <w:rPr>
      <w:sz w:val="20"/>
      <w:szCs w:val="20"/>
    </w:rPr>
  </w:style>
  <w:style w:type="character" w:customStyle="1" w:styleId="760">
    <w:name w:val="正文文本 Char2"/>
    <w:semiHidden/>
    <w:qFormat/>
    <w:uiPriority w:val="99"/>
    <w:rPr>
      <w:rFonts w:ascii="Times New Roman" w:hAnsi="Times New Roman" w:eastAsia="宋体" w:cs="Times New Roman"/>
      <w:snapToGrid w:val="0"/>
      <w:kern w:val="0"/>
      <w:szCs w:val="24"/>
    </w:rPr>
  </w:style>
  <w:style w:type="character" w:customStyle="1" w:styleId="761">
    <w:name w:val="标书正文格式 Char"/>
    <w:qFormat/>
    <w:uiPriority w:val="0"/>
    <w:rPr>
      <w:rFonts w:eastAsia="楷体_GB2312"/>
      <w:kern w:val="2"/>
      <w:sz w:val="24"/>
      <w:szCs w:val="24"/>
      <w:lang w:bidi="ar-SA"/>
    </w:rPr>
  </w:style>
  <w:style w:type="character" w:customStyle="1" w:styleId="762">
    <w:name w:val="Char Char11"/>
    <w:qFormat/>
    <w:locked/>
    <w:uiPriority w:val="0"/>
    <w:rPr>
      <w:rFonts w:ascii="宋体" w:hAnsi="宋体" w:eastAsia="宋体"/>
      <w:b/>
      <w:kern w:val="2"/>
      <w:sz w:val="24"/>
      <w:szCs w:val="24"/>
      <w:lang w:val="en-US" w:eastAsia="zh-CN" w:bidi="ar-SA"/>
    </w:rPr>
  </w:style>
  <w:style w:type="character" w:customStyle="1" w:styleId="763">
    <w:name w:val="ca-131"/>
    <w:qFormat/>
    <w:uiPriority w:val="0"/>
    <w:rPr>
      <w:rFonts w:hint="eastAsia" w:ascii="仿宋_GB2312" w:eastAsia="仿宋_GB2312"/>
      <w:b/>
      <w:bCs/>
      <w:color w:val="000000"/>
      <w:spacing w:val="-20"/>
      <w:sz w:val="24"/>
      <w:szCs w:val="24"/>
    </w:rPr>
  </w:style>
  <w:style w:type="character" w:customStyle="1" w:styleId="764">
    <w:name w:val="tw4winMark"/>
    <w:qFormat/>
    <w:uiPriority w:val="0"/>
    <w:rPr>
      <w:rFonts w:ascii="Courier New" w:hAnsi="Courier New" w:cs="Courier New"/>
      <w:vanish/>
      <w:color w:val="800080"/>
      <w:sz w:val="24"/>
      <w:szCs w:val="24"/>
      <w:vertAlign w:val="subscript"/>
    </w:rPr>
  </w:style>
  <w:style w:type="character" w:customStyle="1" w:styleId="765">
    <w:name w:val="正文样式 Char"/>
    <w:link w:val="97"/>
    <w:qFormat/>
    <w:uiPriority w:val="0"/>
    <w:rPr>
      <w:rFonts w:ascii="Calibri" w:hAnsi="Calibri"/>
      <w:sz w:val="24"/>
      <w:szCs w:val="24"/>
    </w:rPr>
  </w:style>
  <w:style w:type="character" w:customStyle="1" w:styleId="766">
    <w:name w:val="表正文 Char3"/>
    <w:qFormat/>
    <w:uiPriority w:val="0"/>
    <w:rPr>
      <w:rFonts w:eastAsia="宋体"/>
    </w:rPr>
  </w:style>
  <w:style w:type="character" w:customStyle="1" w:styleId="767">
    <w:name w:val="H5 Char"/>
    <w:qFormat/>
    <w:uiPriority w:val="0"/>
    <w:rPr>
      <w:b/>
      <w:bCs/>
      <w:kern w:val="2"/>
      <w:sz w:val="28"/>
      <w:szCs w:val="28"/>
    </w:rPr>
  </w:style>
  <w:style w:type="character" w:customStyle="1" w:styleId="768">
    <w:name w:val="Char Char3"/>
    <w:qFormat/>
    <w:uiPriority w:val="0"/>
    <w:rPr>
      <w:rFonts w:eastAsia="宋体"/>
      <w:kern w:val="2"/>
      <w:sz w:val="21"/>
      <w:szCs w:val="24"/>
      <w:lang w:val="en-US" w:eastAsia="zh-CN" w:bidi="ar-SA"/>
    </w:rPr>
  </w:style>
  <w:style w:type="character" w:customStyle="1" w:styleId="769">
    <w:name w:val="正文 编号 Char"/>
    <w:qFormat/>
    <w:uiPriority w:val="0"/>
    <w:rPr>
      <w:rFonts w:ascii="仿宋_GB2312" w:hAnsi="仿宋_GB2312" w:eastAsia="仿宋_GB2312"/>
      <w:kern w:val="2"/>
      <w:sz w:val="24"/>
      <w:lang w:bidi="ar-SA"/>
    </w:rPr>
  </w:style>
  <w:style w:type="character" w:customStyle="1" w:styleId="770">
    <w:name w:val="question-title2"/>
    <w:qFormat/>
    <w:uiPriority w:val="6"/>
    <w:rPr>
      <w:rFonts w:ascii="Arial" w:hAnsi="Arial" w:eastAsia="黑体" w:cs="Arial"/>
      <w:snapToGrid w:val="0"/>
      <w:kern w:val="0"/>
      <w:szCs w:val="21"/>
    </w:rPr>
  </w:style>
  <w:style w:type="character" w:customStyle="1" w:styleId="771">
    <w:name w:val="gf正文1 Char Char"/>
    <w:link w:val="98"/>
    <w:qFormat/>
    <w:uiPriority w:val="0"/>
    <w:rPr>
      <w:rFonts w:ascii="宋体" w:hAnsi="宋体" w:cs="宋体"/>
      <w:kern w:val="2"/>
      <w:sz w:val="24"/>
      <w:szCs w:val="24"/>
    </w:rPr>
  </w:style>
  <w:style w:type="character" w:customStyle="1" w:styleId="772">
    <w:name w:val="Char Char15"/>
    <w:qFormat/>
    <w:uiPriority w:val="6"/>
    <w:rPr>
      <w:rFonts w:ascii="宋体" w:hAnsi="宋体"/>
      <w:kern w:val="1"/>
      <w:sz w:val="21"/>
    </w:rPr>
  </w:style>
  <w:style w:type="character" w:customStyle="1" w:styleId="773">
    <w:name w:val="正文缩进 Char3"/>
    <w:qFormat/>
    <w:uiPriority w:val="0"/>
    <w:rPr>
      <w:rFonts w:ascii="宋体" w:eastAsia="宋体"/>
      <w:snapToGrid w:val="0"/>
      <w:color w:val="000000"/>
      <w:kern w:val="28"/>
      <w:sz w:val="28"/>
      <w:lang w:val="en-US" w:eastAsia="zh-CN" w:bidi="ar-SA"/>
    </w:rPr>
  </w:style>
  <w:style w:type="character" w:customStyle="1" w:styleId="774">
    <w:name w:val="列出段落 Char1"/>
    <w:link w:val="99"/>
    <w:qFormat/>
    <w:uiPriority w:val="0"/>
    <w:rPr>
      <w:rFonts w:ascii="Calibri" w:hAnsi="Calibri"/>
      <w:sz w:val="24"/>
      <w:lang w:eastAsia="en-US"/>
    </w:rPr>
  </w:style>
  <w:style w:type="character" w:customStyle="1" w:styleId="775">
    <w:name w:val="Char Char8"/>
    <w:qFormat/>
    <w:uiPriority w:val="0"/>
    <w:rPr>
      <w:rFonts w:eastAsia="宋体"/>
      <w:b/>
      <w:sz w:val="24"/>
      <w:lang w:eastAsia="zh-CN"/>
    </w:rPr>
  </w:style>
  <w:style w:type="character" w:customStyle="1" w:styleId="776">
    <w:name w:val="Normal Indent Char Char"/>
    <w:qFormat/>
    <w:uiPriority w:val="0"/>
    <w:rPr>
      <w:rFonts w:eastAsia="宋体"/>
      <w:kern w:val="2"/>
      <w:sz w:val="21"/>
      <w:lang w:val="en-US" w:eastAsia="zh-CN" w:bidi="ar-SA"/>
    </w:rPr>
  </w:style>
  <w:style w:type="character" w:customStyle="1" w:styleId="777">
    <w:name w:val="列表段落 字符"/>
    <w:qFormat/>
    <w:uiPriority w:val="99"/>
  </w:style>
  <w:style w:type="character" w:customStyle="1" w:styleId="778">
    <w:name w:val="Ò³Ã¼ Char Char1"/>
    <w:qFormat/>
    <w:uiPriority w:val="0"/>
    <w:rPr>
      <w:rFonts w:eastAsia="宋体"/>
      <w:kern w:val="2"/>
      <w:sz w:val="18"/>
      <w:szCs w:val="18"/>
      <w:lang w:val="en-US" w:eastAsia="zh-CN" w:bidi="ar-SA"/>
    </w:rPr>
  </w:style>
  <w:style w:type="character" w:customStyle="1" w:styleId="779">
    <w:name w:val="方案正文 Char"/>
    <w:qFormat/>
    <w:uiPriority w:val="0"/>
    <w:rPr>
      <w:rFonts w:ascii="仿宋_GB2312" w:eastAsia="仿宋_GB2312"/>
      <w:b/>
      <w:color w:val="000000"/>
      <w:kern w:val="2"/>
      <w:sz w:val="24"/>
      <w:lang w:val="en-US" w:eastAsia="zh-CN" w:bidi="ar-SA"/>
    </w:rPr>
  </w:style>
  <w:style w:type="character" w:customStyle="1" w:styleId="780">
    <w:name w:val="Char Char30"/>
    <w:qFormat/>
    <w:uiPriority w:val="6"/>
    <w:rPr>
      <w:rFonts w:ascii="Arial" w:hAnsi="Arial" w:eastAsia="黑体"/>
      <w:kern w:val="1"/>
      <w:sz w:val="21"/>
      <w:szCs w:val="21"/>
    </w:rPr>
  </w:style>
  <w:style w:type="character" w:customStyle="1" w:styleId="781">
    <w:name w:val="正文文本缩进 Char3"/>
    <w:link w:val="26"/>
    <w:qFormat/>
    <w:uiPriority w:val="0"/>
    <w:rPr>
      <w:rFonts w:ascii="宋体" w:hAnsi="宋体"/>
      <w:kern w:val="2"/>
      <w:sz w:val="24"/>
      <w:szCs w:val="24"/>
    </w:rPr>
  </w:style>
  <w:style w:type="character" w:customStyle="1" w:styleId="782">
    <w:name w:val="font01"/>
    <w:qFormat/>
    <w:uiPriority w:val="0"/>
    <w:rPr>
      <w:rFonts w:hint="eastAsia" w:ascii="微软雅黑" w:hAnsi="微软雅黑" w:eastAsia="微软雅黑" w:cs="微软雅黑"/>
      <w:color w:val="000000"/>
      <w:sz w:val="20"/>
      <w:szCs w:val="20"/>
      <w:u w:val="none"/>
    </w:rPr>
  </w:style>
  <w:style w:type="character" w:customStyle="1" w:styleId="783">
    <w:name w:val="Char Char20"/>
    <w:qFormat/>
    <w:uiPriority w:val="6"/>
    <w:rPr>
      <w:kern w:val="1"/>
      <w:sz w:val="24"/>
    </w:rPr>
  </w:style>
  <w:style w:type="character" w:customStyle="1" w:styleId="784">
    <w:name w:val="tw4winExternal"/>
    <w:qFormat/>
    <w:uiPriority w:val="0"/>
    <w:rPr>
      <w:rFonts w:ascii="Courier New" w:hAnsi="Courier New" w:cs="Courier New"/>
      <w:color w:val="808080"/>
      <w:lang w:val="en-US" w:eastAsia="zh-CN"/>
    </w:rPr>
  </w:style>
  <w:style w:type="character" w:customStyle="1" w:styleId="785">
    <w:name w:val="标题 4 Char1"/>
    <w:qFormat/>
    <w:uiPriority w:val="9"/>
    <w:rPr>
      <w:rFonts w:ascii="Cambria" w:hAnsi="Cambria" w:eastAsia="宋体" w:cs="Times New Roman"/>
      <w:b/>
      <w:bCs/>
      <w:kern w:val="2"/>
      <w:sz w:val="28"/>
      <w:szCs w:val="28"/>
    </w:rPr>
  </w:style>
  <w:style w:type="character" w:customStyle="1" w:styleId="786">
    <w:name w:val="批注文字 Char2"/>
    <w:qFormat/>
    <w:uiPriority w:val="99"/>
    <w:rPr>
      <w:rFonts w:ascii="Times New Roman" w:hAnsi="Times New Roman" w:eastAsia="宋体" w:cs="Times New Roman"/>
      <w:snapToGrid w:val="0"/>
      <w:kern w:val="0"/>
      <w:szCs w:val="24"/>
    </w:rPr>
  </w:style>
  <w:style w:type="character" w:customStyle="1" w:styleId="787">
    <w:name w:val="正文文本 2 Char"/>
    <w:qFormat/>
    <w:uiPriority w:val="0"/>
    <w:rPr>
      <w:rFonts w:eastAsia="宋体"/>
      <w:kern w:val="2"/>
      <w:sz w:val="21"/>
      <w:szCs w:val="24"/>
      <w:lang w:val="en-US" w:eastAsia="zh-CN" w:bidi="ar-SA"/>
    </w:rPr>
  </w:style>
  <w:style w:type="character" w:customStyle="1" w:styleId="788">
    <w:name w:val="Ò³Ã¼ Char Char"/>
    <w:qFormat/>
    <w:uiPriority w:val="0"/>
    <w:rPr>
      <w:rFonts w:eastAsia="宋体"/>
      <w:kern w:val="2"/>
      <w:sz w:val="18"/>
      <w:lang w:val="en-US" w:eastAsia="zh-CN" w:bidi="ar-SA"/>
    </w:rPr>
  </w:style>
  <w:style w:type="character" w:customStyle="1" w:styleId="789">
    <w:name w:val="message1"/>
    <w:qFormat/>
    <w:uiPriority w:val="0"/>
    <w:rPr>
      <w:rFonts w:hint="default" w:ascii="Tahoma" w:hAnsi="Tahoma" w:cs="Tahoma"/>
      <w:sz w:val="18"/>
      <w:szCs w:val="18"/>
    </w:rPr>
  </w:style>
  <w:style w:type="character" w:customStyle="1" w:styleId="790">
    <w:name w:val="Char Char23"/>
    <w:qFormat/>
    <w:uiPriority w:val="6"/>
    <w:rPr>
      <w:color w:val="0000FF"/>
      <w:sz w:val="21"/>
    </w:rPr>
  </w:style>
  <w:style w:type="character" w:customStyle="1" w:styleId="791">
    <w:name w:val="批注框文本 字符"/>
    <w:qFormat/>
    <w:uiPriority w:val="0"/>
    <w:rPr>
      <w:rFonts w:ascii="Arial" w:hAnsi="Arial" w:eastAsia="黑体" w:cs="Arial"/>
      <w:snapToGrid w:val="0"/>
      <w:kern w:val="0"/>
      <w:sz w:val="18"/>
      <w:szCs w:val="18"/>
    </w:rPr>
  </w:style>
  <w:style w:type="character" w:customStyle="1" w:styleId="792">
    <w:name w:val="纯文本 Char2"/>
    <w:semiHidden/>
    <w:qFormat/>
    <w:uiPriority w:val="99"/>
    <w:rPr>
      <w:rFonts w:ascii="宋体" w:hAnsi="Courier New" w:eastAsia="宋体" w:cs="Courier New"/>
    </w:rPr>
  </w:style>
  <w:style w:type="character" w:customStyle="1" w:styleId="793">
    <w:name w:val="Char Char25"/>
    <w:qFormat/>
    <w:uiPriority w:val="6"/>
    <w:rPr>
      <w:rFonts w:ascii="宋体" w:hAnsi="宋体"/>
      <w:kern w:val="1"/>
      <w:sz w:val="24"/>
      <w:lang w:val="zh-CN"/>
    </w:rPr>
  </w:style>
  <w:style w:type="character" w:customStyle="1" w:styleId="794">
    <w:name w:val="Char Char411"/>
    <w:qFormat/>
    <w:uiPriority w:val="0"/>
    <w:rPr>
      <w:rFonts w:eastAsia="宋体"/>
      <w:b/>
      <w:sz w:val="24"/>
      <w:lang w:eastAsia="zh-CN" w:bidi="ar-SA"/>
    </w:rPr>
  </w:style>
  <w:style w:type="character" w:customStyle="1" w:styleId="795">
    <w:name w:val="Heading 7 Char"/>
    <w:qFormat/>
    <w:locked/>
    <w:uiPriority w:val="0"/>
    <w:rPr>
      <w:rFonts w:ascii="宋体" w:hAnsi="宋体" w:eastAsia="宋体"/>
      <w:b/>
      <w:bCs/>
      <w:kern w:val="2"/>
      <w:sz w:val="24"/>
      <w:szCs w:val="24"/>
      <w:lang w:val="en-US" w:eastAsia="zh-CN" w:bidi="ar-SA"/>
    </w:rPr>
  </w:style>
  <w:style w:type="character" w:customStyle="1" w:styleId="796">
    <w:name w:val="此正文 Char"/>
    <w:link w:val="101"/>
    <w:qFormat/>
    <w:uiPriority w:val="0"/>
    <w:rPr>
      <w:kern w:val="2"/>
      <w:sz w:val="24"/>
      <w:szCs w:val="24"/>
    </w:rPr>
  </w:style>
  <w:style w:type="character" w:customStyle="1" w:styleId="797">
    <w:name w:val="Char Char2"/>
    <w:qFormat/>
    <w:uiPriority w:val="0"/>
    <w:rPr>
      <w:rFonts w:eastAsia="宋体"/>
      <w:b/>
      <w:bCs/>
      <w:kern w:val="2"/>
      <w:sz w:val="21"/>
      <w:szCs w:val="24"/>
      <w:lang w:val="en-US" w:eastAsia="zh-CN" w:bidi="ar-SA"/>
    </w:rPr>
  </w:style>
  <w:style w:type="character" w:customStyle="1" w:styleId="798">
    <w:name w:val="标题 1 Char"/>
    <w:link w:val="3"/>
    <w:qFormat/>
    <w:uiPriority w:val="9"/>
    <w:rPr>
      <w:b/>
      <w:bCs/>
      <w:kern w:val="44"/>
      <w:sz w:val="44"/>
      <w:szCs w:val="44"/>
    </w:rPr>
  </w:style>
  <w:style w:type="character" w:customStyle="1" w:styleId="799">
    <w:name w:val="Footer-Even Char1"/>
    <w:qFormat/>
    <w:uiPriority w:val="0"/>
    <w:rPr>
      <w:rFonts w:eastAsia="宋体"/>
      <w:kern w:val="2"/>
      <w:sz w:val="18"/>
      <w:szCs w:val="18"/>
      <w:lang w:val="en-US" w:eastAsia="zh-CN" w:bidi="ar-SA"/>
    </w:rPr>
  </w:style>
  <w:style w:type="character" w:customStyle="1" w:styleId="800">
    <w:name w:val="Char Char29"/>
    <w:qFormat/>
    <w:uiPriority w:val="6"/>
    <w:rPr>
      <w:rFonts w:ascii="Arial" w:hAnsi="Arial" w:eastAsia="微软雅黑"/>
      <w:b/>
      <w:kern w:val="1"/>
      <w:sz w:val="44"/>
      <w:szCs w:val="32"/>
      <w:lang w:val="en-US" w:eastAsia="zh-CN" w:bidi="ar-SA"/>
    </w:rPr>
  </w:style>
  <w:style w:type="character" w:customStyle="1" w:styleId="801">
    <w:name w:val="标题 Char2"/>
    <w:link w:val="61"/>
    <w:qFormat/>
    <w:uiPriority w:val="10"/>
    <w:rPr>
      <w:b/>
      <w:sz w:val="24"/>
    </w:rPr>
  </w:style>
  <w:style w:type="character" w:customStyle="1" w:styleId="802">
    <w:name w:val="font81"/>
    <w:qFormat/>
    <w:uiPriority w:val="0"/>
    <w:rPr>
      <w:rFonts w:ascii="微软雅黑" w:hAnsi="微软雅黑" w:eastAsia="微软雅黑" w:cs="微软雅黑"/>
      <w:color w:val="000000"/>
      <w:sz w:val="20"/>
      <w:szCs w:val="20"/>
      <w:u w:val="none"/>
    </w:rPr>
  </w:style>
  <w:style w:type="character" w:customStyle="1" w:styleId="803">
    <w:name w:val="Char Char312"/>
    <w:qFormat/>
    <w:uiPriority w:val="0"/>
    <w:rPr>
      <w:rFonts w:ascii="Times New Roman" w:hAnsi="Times New Roman" w:eastAsia="宋体" w:cs="Times New Roman"/>
      <w:b/>
      <w:kern w:val="2"/>
      <w:sz w:val="32"/>
      <w:szCs w:val="24"/>
      <w:lang w:val="en-US" w:eastAsia="zh-CN" w:bidi="ar-SA"/>
    </w:rPr>
  </w:style>
  <w:style w:type="character" w:customStyle="1" w:styleId="804">
    <w:name w:val="t21"/>
    <w:qFormat/>
    <w:uiPriority w:val="0"/>
    <w:rPr>
      <w:rFonts w:ascii="仿宋_GB2312" w:eastAsia="微软雅黑"/>
      <w:b/>
      <w:kern w:val="2"/>
      <w:sz w:val="23"/>
      <w:szCs w:val="23"/>
      <w:lang w:val="en-US" w:eastAsia="zh-CN" w:bidi="ar-SA"/>
    </w:rPr>
  </w:style>
  <w:style w:type="character" w:customStyle="1" w:styleId="805">
    <w:name w:val="样式8 Char"/>
    <w:qFormat/>
    <w:uiPriority w:val="0"/>
    <w:rPr>
      <w:rFonts w:ascii="仿宋_GB2312" w:hAnsi="宋体" w:eastAsia="仿宋_GB2312"/>
      <w:b/>
      <w:bCs/>
      <w:kern w:val="2"/>
      <w:sz w:val="24"/>
      <w:szCs w:val="24"/>
    </w:rPr>
  </w:style>
  <w:style w:type="character" w:customStyle="1" w:styleId="806">
    <w:name w:val="表格 Char Char"/>
    <w:qFormat/>
    <w:uiPriority w:val="0"/>
    <w:rPr>
      <w:rFonts w:ascii="宋体" w:hAnsi="宋体" w:eastAsia="宋体"/>
      <w:lang w:bidi="ar-SA"/>
    </w:rPr>
  </w:style>
  <w:style w:type="character" w:customStyle="1" w:styleId="807">
    <w:name w:val="正文文本 字符1"/>
    <w:qFormat/>
    <w:uiPriority w:val="0"/>
    <w:rPr>
      <w:rFonts w:ascii="Calibri" w:hAnsi="Calibri" w:eastAsia="黑体" w:cs="Arial"/>
      <w:snapToGrid w:val="0"/>
      <w:kern w:val="2"/>
      <w:sz w:val="28"/>
      <w:szCs w:val="21"/>
    </w:rPr>
  </w:style>
  <w:style w:type="character" w:customStyle="1" w:styleId="808">
    <w:name w:val="标题 5 Char"/>
    <w:link w:val="7"/>
    <w:qFormat/>
    <w:uiPriority w:val="9"/>
    <w:rPr>
      <w:b/>
      <w:bCs/>
      <w:kern w:val="2"/>
      <w:sz w:val="28"/>
      <w:szCs w:val="28"/>
    </w:rPr>
  </w:style>
  <w:style w:type="character" w:customStyle="1" w:styleId="809">
    <w:name w:val="标题 6 Char1"/>
    <w:qFormat/>
    <w:uiPriority w:val="0"/>
    <w:rPr>
      <w:rFonts w:ascii="Arial" w:hAnsi="Arial" w:eastAsia="黑体" w:cs="Times New Roman"/>
      <w:b/>
      <w:sz w:val="24"/>
      <w:szCs w:val="20"/>
      <w:lang w:bidi="ar-SA"/>
    </w:rPr>
  </w:style>
  <w:style w:type="character" w:customStyle="1" w:styleId="810">
    <w:name w:val="带编号样式 Char"/>
    <w:qFormat/>
    <w:uiPriority w:val="0"/>
    <w:rPr>
      <w:rFonts w:ascii="仿宋_GB2312" w:eastAsia="仿宋_GB2312"/>
      <w:color w:val="000000"/>
      <w:sz w:val="24"/>
      <w:lang w:bidi="ar-SA"/>
    </w:rPr>
  </w:style>
  <w:style w:type="character" w:customStyle="1" w:styleId="811">
    <w:name w:val="unnamed31"/>
    <w:qFormat/>
    <w:uiPriority w:val="0"/>
    <w:rPr>
      <w:rFonts w:ascii="Tahoma" w:hAnsi="Tahoma" w:eastAsia="宋体"/>
      <w:b/>
      <w:kern w:val="2"/>
      <w:sz w:val="24"/>
      <w:szCs w:val="32"/>
      <w:u w:val="none"/>
      <w:lang w:val="en-US" w:eastAsia="zh-CN" w:bidi="ar-SA"/>
    </w:rPr>
  </w:style>
  <w:style w:type="character" w:customStyle="1" w:styleId="812">
    <w:name w:val="正文首行缩进 Char Char Char Char Char Char1"/>
    <w:qFormat/>
    <w:uiPriority w:val="0"/>
    <w:rPr>
      <w:rFonts w:ascii="宋体" w:eastAsia="宋体"/>
      <w:kern w:val="2"/>
      <w:sz w:val="24"/>
      <w:szCs w:val="24"/>
      <w:lang w:val="zh-CN" w:bidi="ar-SA"/>
    </w:rPr>
  </w:style>
  <w:style w:type="character" w:customStyle="1" w:styleId="813">
    <w:name w:val="称呼 Char"/>
    <w:link w:val="23"/>
    <w:qFormat/>
    <w:uiPriority w:val="0"/>
    <w:rPr>
      <w:rFonts w:ascii="仿宋_GB2312" w:eastAsia="仿宋_GB2312"/>
      <w:kern w:val="2"/>
      <w:sz w:val="28"/>
    </w:rPr>
  </w:style>
  <w:style w:type="character" w:customStyle="1" w:styleId="814">
    <w:name w:val="文本正文 Char Char"/>
    <w:qFormat/>
    <w:locked/>
    <w:uiPriority w:val="0"/>
    <w:rPr>
      <w:sz w:val="24"/>
      <w:lang w:bidi="ar-SA"/>
    </w:rPr>
  </w:style>
  <w:style w:type="character" w:customStyle="1" w:styleId="815">
    <w:name w:val="正文缩进 字符"/>
    <w:qFormat/>
    <w:uiPriority w:val="0"/>
    <w:rPr>
      <w:rFonts w:ascii="宋体" w:eastAsia="宋体"/>
      <w:snapToGrid w:val="0"/>
      <w:color w:val="000000"/>
      <w:kern w:val="28"/>
      <w:sz w:val="28"/>
      <w:lang w:val="en-US" w:eastAsia="zh-CN" w:bidi="ar-SA"/>
    </w:rPr>
  </w:style>
  <w:style w:type="character" w:customStyle="1" w:styleId="816">
    <w:name w:val="HTML 预设格式 Char"/>
    <w:link w:val="59"/>
    <w:qFormat/>
    <w:uiPriority w:val="0"/>
    <w:rPr>
      <w:rFonts w:ascii="黑体" w:hAnsi="Courier New" w:eastAsia="黑体"/>
    </w:rPr>
  </w:style>
  <w:style w:type="character" w:customStyle="1" w:styleId="817">
    <w:name w:val="正文文本 2 Char1"/>
    <w:link w:val="58"/>
    <w:qFormat/>
    <w:uiPriority w:val="0"/>
    <w:rPr>
      <w:kern w:val="2"/>
      <w:sz w:val="21"/>
      <w:szCs w:val="24"/>
    </w:rPr>
  </w:style>
  <w:style w:type="character" w:customStyle="1" w:styleId="818">
    <w:name w:val="样式 样式 标题 4h4H4Fab-4T5Ref Heading 1rh1Heading sqlsect 1.2.3.... +... Char"/>
    <w:link w:val="102"/>
    <w:qFormat/>
    <w:uiPriority w:val="0"/>
    <w:rPr>
      <w:rFonts w:ascii="微软雅黑" w:hAnsi="微软雅黑" w:eastAsia="微软雅黑"/>
      <w:b/>
      <w:bCs/>
      <w:kern w:val="2"/>
      <w:sz w:val="24"/>
      <w:szCs w:val="28"/>
    </w:rPr>
  </w:style>
  <w:style w:type="character" w:customStyle="1" w:styleId="819">
    <w:name w:val="正文非缩进 Char"/>
    <w:qFormat/>
    <w:uiPriority w:val="0"/>
    <w:rPr>
      <w:rFonts w:ascii="宋体" w:eastAsia="宋体"/>
      <w:snapToGrid w:val="0"/>
      <w:color w:val="000000"/>
      <w:kern w:val="28"/>
      <w:sz w:val="28"/>
      <w:lang w:val="en-US" w:eastAsia="zh-CN" w:bidi="ar-SA"/>
    </w:rPr>
  </w:style>
  <w:style w:type="character" w:customStyle="1" w:styleId="820">
    <w:name w:val="标题 7 Char"/>
    <w:link w:val="9"/>
    <w:qFormat/>
    <w:uiPriority w:val="0"/>
    <w:rPr>
      <w:b/>
      <w:bCs/>
      <w:kern w:val="2"/>
      <w:sz w:val="24"/>
      <w:szCs w:val="24"/>
    </w:rPr>
  </w:style>
  <w:style w:type="character" w:customStyle="1" w:styleId="821">
    <w:name w:val="正文文本缩进 2 Char"/>
    <w:link w:val="38"/>
    <w:qFormat/>
    <w:uiPriority w:val="0"/>
    <w:rPr>
      <w:rFonts w:ascii="宋体"/>
      <w:sz w:val="28"/>
    </w:rPr>
  </w:style>
  <w:style w:type="character" w:customStyle="1" w:styleId="822">
    <w:name w:val="Char Char5"/>
    <w:qFormat/>
    <w:uiPriority w:val="0"/>
    <w:rPr>
      <w:rFonts w:ascii="宋体" w:hAnsi="Courier New" w:eastAsia="宋体"/>
      <w:kern w:val="2"/>
      <w:sz w:val="21"/>
      <w:lang w:val="en-US" w:eastAsia="zh-CN"/>
    </w:rPr>
  </w:style>
  <w:style w:type="character" w:customStyle="1" w:styleId="823">
    <w:name w:val="脚注文本 Char"/>
    <w:link w:val="52"/>
    <w:qFormat/>
    <w:uiPriority w:val="0"/>
    <w:rPr>
      <w:color w:val="0000FF"/>
      <w:sz w:val="21"/>
    </w:rPr>
  </w:style>
  <w:style w:type="character" w:customStyle="1" w:styleId="824">
    <w:name w:val="称呼 Char1"/>
    <w:qFormat/>
    <w:uiPriority w:val="0"/>
    <w:rPr>
      <w:rFonts w:ascii="Times New Roman" w:hAnsi="Times New Roman" w:eastAsia="宋体" w:cs="Times New Roman"/>
      <w:szCs w:val="24"/>
    </w:rPr>
  </w:style>
  <w:style w:type="character" w:customStyle="1" w:styleId="825">
    <w:name w:val="正文1 Char"/>
    <w:qFormat/>
    <w:uiPriority w:val="0"/>
    <w:rPr>
      <w:rFonts w:ascii="宋体" w:eastAsia="宋体"/>
      <w:snapToGrid w:val="0"/>
      <w:color w:val="000000"/>
      <w:kern w:val="28"/>
      <w:sz w:val="28"/>
      <w:lang w:val="en-US" w:eastAsia="zh-CN" w:bidi="ar-SA"/>
    </w:rPr>
  </w:style>
  <w:style w:type="character" w:customStyle="1" w:styleId="826">
    <w:name w:val="正文缩进 Char1"/>
    <w:qFormat/>
    <w:uiPriority w:val="0"/>
    <w:rPr>
      <w:rFonts w:ascii="宋体" w:eastAsia="宋体"/>
      <w:snapToGrid w:val="0"/>
      <w:color w:val="000000"/>
      <w:kern w:val="28"/>
      <w:sz w:val="28"/>
      <w:lang w:val="en-US" w:eastAsia="zh-CN" w:bidi="ar-SA"/>
    </w:rPr>
  </w:style>
  <w:style w:type="character" w:customStyle="1" w:styleId="827">
    <w:name w:val="font21"/>
    <w:qFormat/>
    <w:uiPriority w:val="0"/>
    <w:rPr>
      <w:rFonts w:hint="eastAsia" w:ascii="宋体" w:hAnsi="宋体" w:eastAsia="宋体"/>
      <w:kern w:val="2"/>
      <w:sz w:val="28"/>
      <w:szCs w:val="28"/>
      <w:lang w:val="en-US" w:eastAsia="zh-CN" w:bidi="ar-SA"/>
    </w:rPr>
  </w:style>
  <w:style w:type="character" w:customStyle="1" w:styleId="828">
    <w:name w:val="Char Char26"/>
    <w:qFormat/>
    <w:uiPriority w:val="6"/>
    <w:rPr>
      <w:kern w:val="1"/>
      <w:sz w:val="21"/>
      <w:szCs w:val="24"/>
    </w:rPr>
  </w:style>
  <w:style w:type="character" w:customStyle="1" w:styleId="829">
    <w:name w:val="Item List Char"/>
    <w:link w:val="104"/>
    <w:qFormat/>
    <w:uiPriority w:val="0"/>
    <w:rPr>
      <w:rFonts w:ascii="Arial"/>
      <w:bCs/>
      <w:sz w:val="21"/>
      <w:szCs w:val="21"/>
      <w:lang w:val="en-US" w:eastAsia="zh-CN" w:bidi="ar-SA"/>
    </w:rPr>
  </w:style>
  <w:style w:type="character" w:customStyle="1" w:styleId="830">
    <w:name w:val="批注框文本 Char1"/>
    <w:qFormat/>
    <w:uiPriority w:val="0"/>
    <w:rPr>
      <w:rFonts w:ascii="Times New Roman" w:hAnsi="Times New Roman" w:eastAsia="宋体" w:cs="Times New Roman"/>
      <w:sz w:val="18"/>
      <w:szCs w:val="18"/>
    </w:rPr>
  </w:style>
  <w:style w:type="character" w:customStyle="1" w:styleId="831">
    <w:name w:val="纯文本 Char1"/>
    <w:link w:val="105"/>
    <w:qFormat/>
    <w:uiPriority w:val="0"/>
    <w:rPr>
      <w:rFonts w:ascii="宋体" w:hAnsi="Courier New"/>
    </w:rPr>
  </w:style>
  <w:style w:type="character" w:customStyle="1" w:styleId="832">
    <w:name w:val="正文首行缩进 Char"/>
    <w:link w:val="15"/>
    <w:qFormat/>
    <w:uiPriority w:val="0"/>
    <w:rPr>
      <w:rFonts w:ascii="宋体"/>
      <w:kern w:val="2"/>
      <w:sz w:val="24"/>
      <w:lang w:val="zh-CN"/>
    </w:rPr>
  </w:style>
  <w:style w:type="character" w:customStyle="1" w:styleId="833">
    <w:name w:val="h3 Char"/>
    <w:qFormat/>
    <w:uiPriority w:val="0"/>
    <w:rPr>
      <w:rFonts w:eastAsia="宋体"/>
      <w:b/>
      <w:kern w:val="2"/>
      <w:sz w:val="32"/>
      <w:lang w:val="en-US" w:eastAsia="zh-CN" w:bidi="ar-SA"/>
    </w:rPr>
  </w:style>
  <w:style w:type="character" w:customStyle="1" w:styleId="834">
    <w:name w:val="dandyren_title1"/>
    <w:qFormat/>
    <w:uiPriority w:val="0"/>
    <w:rPr>
      <w:b/>
      <w:bCs/>
      <w:color w:val="FF6633"/>
      <w:sz w:val="18"/>
      <w:szCs w:val="18"/>
    </w:rPr>
  </w:style>
  <w:style w:type="character" w:customStyle="1" w:styleId="835">
    <w:name w:val="Char Char31"/>
    <w:qFormat/>
    <w:uiPriority w:val="6"/>
    <w:rPr>
      <w:rFonts w:ascii="Arial" w:hAnsi="Arial" w:eastAsia="黑体"/>
      <w:kern w:val="1"/>
      <w:sz w:val="24"/>
      <w:szCs w:val="24"/>
    </w:rPr>
  </w:style>
  <w:style w:type="character" w:customStyle="1" w:styleId="836">
    <w:name w:val="h Char1"/>
    <w:qFormat/>
    <w:uiPriority w:val="0"/>
    <w:rPr>
      <w:sz w:val="18"/>
      <w:szCs w:val="18"/>
    </w:rPr>
  </w:style>
  <w:style w:type="character" w:customStyle="1" w:styleId="837">
    <w:name w:val="solutionfonts"/>
    <w:qFormat/>
    <w:uiPriority w:val="0"/>
  </w:style>
  <w:style w:type="character" w:customStyle="1" w:styleId="838">
    <w:name w:val="标题 4 Char2"/>
    <w:link w:val="6"/>
    <w:qFormat/>
    <w:uiPriority w:val="9"/>
    <w:rPr>
      <w:rFonts w:ascii="Arial" w:hAnsi="Arial" w:eastAsia="黑体"/>
      <w:b/>
      <w:bCs/>
      <w:kern w:val="2"/>
      <w:sz w:val="28"/>
      <w:szCs w:val="28"/>
      <w:lang w:val="zh-CN"/>
    </w:rPr>
  </w:style>
  <w:style w:type="character" w:customStyle="1" w:styleId="839">
    <w:name w:val="首行缩进 Char"/>
    <w:qFormat/>
    <w:uiPriority w:val="0"/>
    <w:rPr>
      <w:rFonts w:ascii="宋体" w:eastAsia="宋体"/>
      <w:kern w:val="2"/>
      <w:sz w:val="24"/>
      <w:lang w:val="en-US" w:eastAsia="zh-CN" w:bidi="ar-SA"/>
    </w:rPr>
  </w:style>
  <w:style w:type="character" w:customStyle="1" w:styleId="840">
    <w:name w:val="Char Char52"/>
    <w:qFormat/>
    <w:uiPriority w:val="0"/>
    <w:rPr>
      <w:rFonts w:ascii="宋体" w:hAnsi="Courier New" w:eastAsia="宋体"/>
      <w:kern w:val="2"/>
      <w:sz w:val="21"/>
      <w:lang w:val="en-US" w:eastAsia="zh-CN"/>
    </w:rPr>
  </w:style>
  <w:style w:type="character" w:customStyle="1" w:styleId="841">
    <w:name w:val="正文文本 3 Char"/>
    <w:link w:val="24"/>
    <w:qFormat/>
    <w:uiPriority w:val="0"/>
    <w:rPr>
      <w:kern w:val="2"/>
      <w:sz w:val="21"/>
    </w:rPr>
  </w:style>
  <w:style w:type="character" w:customStyle="1" w:styleId="842">
    <w:name w:val="font31"/>
    <w:qFormat/>
    <w:uiPriority w:val="0"/>
    <w:rPr>
      <w:rFonts w:hint="eastAsia" w:ascii="仿宋" w:hAnsi="仿宋" w:eastAsia="仿宋" w:cs="仿宋"/>
      <w:color w:val="000000"/>
      <w:sz w:val="20"/>
      <w:szCs w:val="20"/>
      <w:u w:val="none"/>
    </w:rPr>
  </w:style>
  <w:style w:type="character" w:customStyle="1" w:styleId="843">
    <w:name w:val="正文说明 Char"/>
    <w:link w:val="106"/>
    <w:qFormat/>
    <w:uiPriority w:val="0"/>
    <w:rPr>
      <w:sz w:val="24"/>
      <w:szCs w:val="24"/>
    </w:rPr>
  </w:style>
  <w:style w:type="character" w:customStyle="1" w:styleId="844">
    <w:name w:val="脚注文本 Char1"/>
    <w:qFormat/>
    <w:uiPriority w:val="0"/>
    <w:rPr>
      <w:rFonts w:ascii="Times New Roman" w:hAnsi="Times New Roman" w:eastAsia="宋体" w:cs="Times New Roman"/>
      <w:sz w:val="18"/>
      <w:szCs w:val="18"/>
    </w:rPr>
  </w:style>
  <w:style w:type="character" w:customStyle="1" w:styleId="845">
    <w:name w:val="Char Char1211"/>
    <w:qFormat/>
    <w:uiPriority w:val="0"/>
    <w:rPr>
      <w:rFonts w:ascii="仿宋_GB2312" w:eastAsia="仿宋_GB2312"/>
      <w:b/>
      <w:bCs/>
      <w:kern w:val="2"/>
      <w:sz w:val="24"/>
      <w:szCs w:val="24"/>
      <w:lang w:val="zh-CN" w:eastAsia="zh-CN" w:bidi="ar-SA"/>
    </w:rPr>
  </w:style>
  <w:style w:type="character" w:customStyle="1" w:styleId="846">
    <w:name w:val="标题 Char"/>
    <w:qFormat/>
    <w:uiPriority w:val="0"/>
    <w:rPr>
      <w:rFonts w:eastAsia="宋体"/>
      <w:b/>
      <w:sz w:val="24"/>
      <w:lang w:eastAsia="zh-CN" w:bidi="ar-SA"/>
    </w:rPr>
  </w:style>
  <w:style w:type="character" w:customStyle="1" w:styleId="847">
    <w:name w:val="Char Char35"/>
    <w:qFormat/>
    <w:uiPriority w:val="6"/>
    <w:rPr>
      <w:rFonts w:ascii="Arial" w:hAnsi="Arial" w:eastAsia="黑体"/>
      <w:b/>
      <w:kern w:val="1"/>
      <w:sz w:val="28"/>
      <w:szCs w:val="28"/>
      <w:lang w:val="zh-CN"/>
    </w:rPr>
  </w:style>
  <w:style w:type="character" w:customStyle="1" w:styleId="848">
    <w:name w:val="纯文本 Char Char Char"/>
    <w:qFormat/>
    <w:uiPriority w:val="0"/>
    <w:rPr>
      <w:rFonts w:ascii="宋体" w:hAnsi="Courier New" w:eastAsia="宋体"/>
      <w:kern w:val="2"/>
      <w:sz w:val="21"/>
      <w:lang w:val="en-US" w:eastAsia="zh-CN" w:bidi="ar-SA"/>
    </w:rPr>
  </w:style>
  <w:style w:type="character" w:customStyle="1" w:styleId="849">
    <w:name w:val="Table Text Char"/>
    <w:link w:val="107"/>
    <w:qFormat/>
    <w:uiPriority w:val="0"/>
    <w:rPr>
      <w:sz w:val="24"/>
      <w:szCs w:val="24"/>
    </w:rPr>
  </w:style>
  <w:style w:type="character" w:customStyle="1" w:styleId="850">
    <w:name w:val="正文1 Char1"/>
    <w:qFormat/>
    <w:uiPriority w:val="0"/>
    <w:rPr>
      <w:rFonts w:ascii="仿宋_GB2312" w:hAnsi="Courier New" w:eastAsia="仿宋_GB2312"/>
      <w:kern w:val="28"/>
      <w:sz w:val="24"/>
      <w:szCs w:val="24"/>
      <w:lang w:val="en-US" w:eastAsia="zh-CN"/>
    </w:rPr>
  </w:style>
  <w:style w:type="character" w:customStyle="1" w:styleId="851">
    <w:name w:val="页脚 Char1"/>
    <w:qFormat/>
    <w:uiPriority w:val="0"/>
    <w:rPr>
      <w:rFonts w:eastAsia="宋体"/>
      <w:kern w:val="2"/>
      <w:sz w:val="18"/>
      <w:szCs w:val="18"/>
      <w:lang w:val="en-US" w:eastAsia="zh-CN" w:bidi="ar-SA"/>
    </w:rPr>
  </w:style>
  <w:style w:type="character" w:customStyle="1" w:styleId="852">
    <w:name w:val="Bold"/>
    <w:qFormat/>
    <w:uiPriority w:val="0"/>
    <w:rPr>
      <w:rFonts w:ascii="Arial" w:hAnsi="Arial" w:eastAsia="黑体" w:cs="Times New Roman"/>
      <w:b/>
      <w:kern w:val="2"/>
      <w:sz w:val="32"/>
      <w:szCs w:val="32"/>
      <w:lang w:val="en-US" w:eastAsia="zh-CN" w:bidi="ar-SA"/>
    </w:rPr>
  </w:style>
  <w:style w:type="character" w:customStyle="1" w:styleId="853">
    <w:name w:val="批注文字 Char1"/>
    <w:link w:val="13"/>
    <w:qFormat/>
    <w:uiPriority w:val="0"/>
    <w:rPr>
      <w:kern w:val="2"/>
      <w:sz w:val="21"/>
      <w:szCs w:val="24"/>
    </w:rPr>
  </w:style>
  <w:style w:type="character" w:customStyle="1" w:styleId="854">
    <w:name w:val="签名 Char"/>
    <w:link w:val="44"/>
    <w:qFormat/>
    <w:uiPriority w:val="0"/>
    <w:rPr>
      <w:rFonts w:eastAsia="仿宋_GB2312"/>
      <w:sz w:val="24"/>
    </w:rPr>
  </w:style>
  <w:style w:type="character" w:customStyle="1" w:styleId="855">
    <w:name w:val="hui3"/>
    <w:qFormat/>
    <w:uiPriority w:val="0"/>
    <w:rPr>
      <w:color w:val="333333"/>
    </w:rPr>
  </w:style>
  <w:style w:type="character" w:customStyle="1" w:styleId="856">
    <w:name w:val="Char Char17"/>
    <w:qFormat/>
    <w:uiPriority w:val="6"/>
    <w:rPr>
      <w:rFonts w:eastAsia="仿宋_GB2312"/>
      <w:sz w:val="24"/>
    </w:rPr>
  </w:style>
  <w:style w:type="character" w:customStyle="1" w:styleId="857">
    <w:name w:val="标题 4 字符"/>
    <w:qFormat/>
    <w:uiPriority w:val="9"/>
    <w:rPr>
      <w:rFonts w:ascii="等线 Light" w:hAnsi="等线 Light" w:eastAsia="等线 Light" w:cs="Times New Roman"/>
      <w:b/>
      <w:bCs/>
      <w:snapToGrid w:val="0"/>
      <w:kern w:val="0"/>
      <w:sz w:val="28"/>
      <w:szCs w:val="28"/>
    </w:rPr>
  </w:style>
  <w:style w:type="character" w:customStyle="1" w:styleId="858">
    <w:name w:val="Char Char37"/>
    <w:qFormat/>
    <w:uiPriority w:val="6"/>
    <w:rPr>
      <w:b/>
      <w:kern w:val="1"/>
      <w:sz w:val="44"/>
      <w:szCs w:val="44"/>
    </w:rPr>
  </w:style>
  <w:style w:type="character" w:customStyle="1" w:styleId="859">
    <w:name w:val="列出段落 Char"/>
    <w:qFormat/>
    <w:uiPriority w:val="0"/>
    <w:rPr>
      <w:rFonts w:eastAsia="楷体_GB2312" w:cs="Lucida Sans"/>
      <w:kern w:val="2"/>
      <w:sz w:val="24"/>
      <w:szCs w:val="24"/>
      <w:lang w:val="en-US" w:eastAsia="zh-CN" w:bidi="ar-SA"/>
    </w:rPr>
  </w:style>
  <w:style w:type="character" w:customStyle="1" w:styleId="860">
    <w:name w:val="正文文本缩进 3 Char1"/>
    <w:semiHidden/>
    <w:qFormat/>
    <w:uiPriority w:val="99"/>
    <w:rPr>
      <w:rFonts w:ascii="Times New Roman" w:hAnsi="Times New Roman" w:eastAsia="宋体" w:cs="Times New Roman"/>
      <w:sz w:val="16"/>
      <w:szCs w:val="16"/>
    </w:rPr>
  </w:style>
  <w:style w:type="character" w:customStyle="1" w:styleId="861">
    <w:name w:val="公文正文 Char Char"/>
    <w:link w:val="108"/>
    <w:qFormat/>
    <w:uiPriority w:val="0"/>
    <w:rPr>
      <w:rFonts w:ascii="仿宋_GB2312" w:eastAsia="仿宋_GB2312"/>
      <w:kern w:val="2"/>
      <w:sz w:val="24"/>
      <w:szCs w:val="24"/>
    </w:rPr>
  </w:style>
  <w:style w:type="character" w:customStyle="1" w:styleId="862">
    <w:name w:val="Table Text Char1"/>
    <w:qFormat/>
    <w:uiPriority w:val="0"/>
    <w:rPr>
      <w:rFonts w:eastAsia="宋体"/>
      <w:sz w:val="24"/>
      <w:szCs w:val="24"/>
      <w:lang w:val="en-US" w:eastAsia="zh-CN" w:bidi="ar-SA"/>
    </w:rPr>
  </w:style>
  <w:style w:type="character" w:customStyle="1" w:styleId="863">
    <w:name w:val="标题 1 Char Char"/>
    <w:qFormat/>
    <w:uiPriority w:val="0"/>
    <w:rPr>
      <w:rFonts w:hint="eastAsia" w:ascii="宋体" w:hAnsi="宋体" w:eastAsia="宋体"/>
      <w:b/>
      <w:spacing w:val="-2"/>
      <w:sz w:val="24"/>
      <w:lang w:val="en-US" w:eastAsia="zh-CN" w:bidi="ar-SA"/>
    </w:rPr>
  </w:style>
  <w:style w:type="character" w:customStyle="1" w:styleId="864">
    <w:name w:val="正文（缩进2汉字） Char"/>
    <w:link w:val="109"/>
    <w:qFormat/>
    <w:uiPriority w:val="0"/>
    <w:rPr>
      <w:rFonts w:ascii="宋体"/>
    </w:rPr>
  </w:style>
  <w:style w:type="character" w:customStyle="1" w:styleId="865">
    <w:name w:val="标题 8 Char"/>
    <w:link w:val="10"/>
    <w:qFormat/>
    <w:uiPriority w:val="0"/>
    <w:rPr>
      <w:rFonts w:ascii="Arial" w:hAnsi="Arial" w:eastAsia="黑体"/>
      <w:kern w:val="2"/>
      <w:sz w:val="24"/>
      <w:szCs w:val="24"/>
    </w:rPr>
  </w:style>
  <w:style w:type="character" w:customStyle="1" w:styleId="866">
    <w:name w:val="标书表格字体格式 Char"/>
    <w:qFormat/>
    <w:uiPriority w:val="0"/>
    <w:rPr>
      <w:kern w:val="2"/>
      <w:sz w:val="21"/>
      <w:szCs w:val="24"/>
      <w:lang w:bidi="ar-SA"/>
    </w:rPr>
  </w:style>
  <w:style w:type="character" w:customStyle="1" w:styleId="867">
    <w:name w:val="tw4winError"/>
    <w:qFormat/>
    <w:uiPriority w:val="0"/>
    <w:rPr>
      <w:rFonts w:ascii="Courier New" w:hAnsi="Courier New" w:cs="Courier New"/>
      <w:color w:val="00FF00"/>
      <w:sz w:val="40"/>
      <w:szCs w:val="40"/>
    </w:rPr>
  </w:style>
  <w:style w:type="character" w:customStyle="1" w:styleId="868">
    <w:name w:val="Body Text(ch) Char Char"/>
    <w:qFormat/>
    <w:uiPriority w:val="0"/>
    <w:rPr>
      <w:rFonts w:ascii="宋体"/>
      <w:kern w:val="2"/>
      <w:sz w:val="24"/>
      <w:szCs w:val="21"/>
      <w:lang w:val="zh-CN"/>
    </w:rPr>
  </w:style>
  <w:style w:type="character" w:customStyle="1" w:styleId="869">
    <w:name w:val="正文首行缩进两字 Char"/>
    <w:qFormat/>
    <w:uiPriority w:val="0"/>
    <w:rPr>
      <w:sz w:val="24"/>
      <w:szCs w:val="24"/>
      <w:lang w:val="en-US" w:eastAsia="zh-CN" w:bidi="ar-SA"/>
    </w:rPr>
  </w:style>
  <w:style w:type="character" w:customStyle="1" w:styleId="870">
    <w:name w:val="正文文本 Char"/>
    <w:qFormat/>
    <w:uiPriority w:val="0"/>
    <w:rPr>
      <w:rFonts w:eastAsia="宋体"/>
      <w:kern w:val="2"/>
      <w:sz w:val="24"/>
      <w:szCs w:val="24"/>
      <w:lang w:val="en-US" w:eastAsia="zh-CN" w:bidi="ar-SA"/>
    </w:rPr>
  </w:style>
  <w:style w:type="character" w:customStyle="1" w:styleId="871">
    <w:name w:val="文档结构图 字符1"/>
    <w:qFormat/>
    <w:uiPriority w:val="0"/>
    <w:rPr>
      <w:rFonts w:ascii="宋体" w:hAnsi="Calibri" w:eastAsia="黑体" w:cs="Arial"/>
      <w:snapToGrid w:val="0"/>
      <w:kern w:val="2"/>
      <w:sz w:val="18"/>
      <w:szCs w:val="18"/>
    </w:rPr>
  </w:style>
  <w:style w:type="character" w:customStyle="1" w:styleId="872">
    <w:name w:val="content"/>
    <w:qFormat/>
    <w:uiPriority w:val="0"/>
  </w:style>
  <w:style w:type="character" w:customStyle="1" w:styleId="873">
    <w:name w:val="tw4winPopup"/>
    <w:qFormat/>
    <w:uiPriority w:val="0"/>
    <w:rPr>
      <w:rFonts w:ascii="Courier New" w:hAnsi="Courier New" w:cs="Courier New"/>
      <w:color w:val="008000"/>
      <w:lang w:val="en-US" w:eastAsia="zh-CN"/>
    </w:rPr>
  </w:style>
  <w:style w:type="character" w:customStyle="1" w:styleId="874">
    <w:name w:val="param-name"/>
    <w:qFormat/>
    <w:uiPriority w:val="99"/>
    <w:rPr>
      <w:rFonts w:ascii="Arial" w:hAnsi="Arial" w:eastAsia="黑体" w:cs="Arial"/>
      <w:snapToGrid w:val="0"/>
      <w:kern w:val="0"/>
      <w:szCs w:val="21"/>
    </w:rPr>
  </w:style>
  <w:style w:type="character" w:customStyle="1" w:styleId="875">
    <w:name w:val="标准正文格式 Char"/>
    <w:qFormat/>
    <w:uiPriority w:val="0"/>
    <w:rPr>
      <w:rFonts w:ascii="宋体" w:eastAsia="仿宋_GB2312" w:cs="宋体"/>
      <w:color w:val="000000"/>
      <w:sz w:val="24"/>
      <w:lang w:val="en-US" w:eastAsia="zh-CN" w:bidi="ar-SA"/>
    </w:rPr>
  </w:style>
  <w:style w:type="character" w:customStyle="1" w:styleId="876">
    <w:name w:val="Char Char212"/>
    <w:qFormat/>
    <w:uiPriority w:val="0"/>
    <w:rPr>
      <w:rFonts w:eastAsia="宋体"/>
      <w:b/>
      <w:bCs/>
      <w:kern w:val="2"/>
      <w:sz w:val="21"/>
      <w:szCs w:val="24"/>
      <w:lang w:val="en-US" w:eastAsia="zh-CN" w:bidi="ar-SA"/>
    </w:rPr>
  </w:style>
  <w:style w:type="character" w:customStyle="1" w:styleId="877">
    <w:name w:val="文档结构图 Char"/>
    <w:qFormat/>
    <w:uiPriority w:val="0"/>
    <w:rPr>
      <w:rFonts w:eastAsia="宋体"/>
      <w:kern w:val="2"/>
      <w:sz w:val="21"/>
      <w:szCs w:val="24"/>
      <w:lang w:val="en-US" w:eastAsia="zh-CN" w:bidi="ar-SA"/>
    </w:rPr>
  </w:style>
  <w:style w:type="character" w:customStyle="1" w:styleId="878">
    <w:name w:val="zbggmain style9"/>
    <w:qFormat/>
    <w:uiPriority w:val="0"/>
  </w:style>
  <w:style w:type="character" w:customStyle="1" w:styleId="879">
    <w:name w:val="Char Char16"/>
    <w:qFormat/>
    <w:uiPriority w:val="6"/>
    <w:rPr>
      <w:kern w:val="1"/>
      <w:sz w:val="18"/>
      <w:szCs w:val="18"/>
    </w:rPr>
  </w:style>
  <w:style w:type="character" w:customStyle="1" w:styleId="880">
    <w:name w:val="font51"/>
    <w:qFormat/>
    <w:uiPriority w:val="0"/>
    <w:rPr>
      <w:rFonts w:hint="eastAsia" w:ascii="仿宋" w:hAnsi="仿宋" w:eastAsia="仿宋" w:cs="仿宋"/>
      <w:color w:val="000000"/>
      <w:sz w:val="20"/>
      <w:szCs w:val="20"/>
      <w:u w:val="none"/>
    </w:rPr>
  </w:style>
  <w:style w:type="character" w:customStyle="1" w:styleId="881">
    <w:name w:val="Char Char82"/>
    <w:qFormat/>
    <w:uiPriority w:val="0"/>
    <w:rPr>
      <w:rFonts w:eastAsia="宋体"/>
      <w:b/>
      <w:sz w:val="24"/>
      <w:lang w:eastAsia="zh-CN"/>
    </w:rPr>
  </w:style>
  <w:style w:type="character" w:customStyle="1" w:styleId="882">
    <w:name w:val="正文文本缩进 3 Char"/>
    <w:link w:val="55"/>
    <w:qFormat/>
    <w:uiPriority w:val="0"/>
    <w:rPr>
      <w:kern w:val="2"/>
      <w:sz w:val="24"/>
    </w:rPr>
  </w:style>
  <w:style w:type="character" w:customStyle="1" w:styleId="883">
    <w:name w:val="日期 Char1"/>
    <w:semiHidden/>
    <w:qFormat/>
    <w:uiPriority w:val="99"/>
    <w:rPr>
      <w:rFonts w:ascii="Times New Roman" w:hAnsi="Times New Roman" w:eastAsia="宋体" w:cs="Times New Roman"/>
      <w:szCs w:val="24"/>
    </w:rPr>
  </w:style>
  <w:style w:type="character" w:customStyle="1" w:styleId="884">
    <w:name w:val="页眉 字符"/>
    <w:qFormat/>
    <w:uiPriority w:val="99"/>
    <w:rPr>
      <w:kern w:val="2"/>
      <w:sz w:val="18"/>
      <w:szCs w:val="18"/>
    </w:rPr>
  </w:style>
  <w:style w:type="character" w:customStyle="1" w:styleId="885">
    <w:name w:val="Char Char33"/>
    <w:qFormat/>
    <w:uiPriority w:val="6"/>
    <w:rPr>
      <w:rFonts w:ascii="Arial" w:hAnsi="Arial" w:eastAsia="黑体"/>
      <w:b/>
      <w:kern w:val="1"/>
      <w:sz w:val="24"/>
      <w:szCs w:val="24"/>
    </w:rPr>
  </w:style>
  <w:style w:type="character" w:customStyle="1" w:styleId="886">
    <w:name w:val="b11_01b Char"/>
    <w:link w:val="110"/>
    <w:qFormat/>
    <w:uiPriority w:val="0"/>
    <w:rPr>
      <w:rFonts w:ascii="Verdana" w:hAnsi="Verdana"/>
      <w:b/>
      <w:bCs/>
      <w:color w:val="4A82CA"/>
      <w:sz w:val="17"/>
      <w:szCs w:val="17"/>
    </w:rPr>
  </w:style>
  <w:style w:type="character" w:customStyle="1" w:styleId="887">
    <w:name w:val="Char Char121"/>
    <w:qFormat/>
    <w:uiPriority w:val="6"/>
    <w:rPr>
      <w:rFonts w:ascii="仿宋_GB2312" w:eastAsia="仿宋_GB2312"/>
      <w:b/>
      <w:bCs/>
      <w:kern w:val="2"/>
      <w:sz w:val="24"/>
      <w:szCs w:val="24"/>
      <w:lang w:val="zh-CN" w:eastAsia="zh-CN" w:bidi="ar-SA"/>
    </w:rPr>
  </w:style>
  <w:style w:type="character" w:customStyle="1" w:styleId="888">
    <w:name w:val="Footer-Even Char"/>
    <w:qFormat/>
    <w:uiPriority w:val="0"/>
    <w:rPr>
      <w:rFonts w:eastAsia="宋体"/>
      <w:kern w:val="2"/>
      <w:sz w:val="18"/>
      <w:lang w:val="en-US" w:eastAsia="zh-CN" w:bidi="ar-SA"/>
    </w:rPr>
  </w:style>
  <w:style w:type="character" w:customStyle="1" w:styleId="889">
    <w:name w:val="页脚 Char2"/>
    <w:link w:val="41"/>
    <w:qFormat/>
    <w:locked/>
    <w:uiPriority w:val="99"/>
    <w:rPr>
      <w:kern w:val="2"/>
      <w:sz w:val="18"/>
      <w:szCs w:val="18"/>
    </w:rPr>
  </w:style>
  <w:style w:type="character" w:customStyle="1" w:styleId="890">
    <w:name w:val="Char Char36"/>
    <w:qFormat/>
    <w:uiPriority w:val="6"/>
    <w:rPr>
      <w:rFonts w:ascii="仿宋_GB2312" w:hAnsi="仿宋_GB2312" w:eastAsia="仿宋_GB2312" w:cs="Arial"/>
      <w:b/>
      <w:kern w:val="1"/>
      <w:sz w:val="32"/>
      <w:szCs w:val="32"/>
      <w:lang w:val="zh-CN" w:eastAsia="zh-CN" w:bidi="ar-SA"/>
    </w:rPr>
  </w:style>
  <w:style w:type="character" w:customStyle="1" w:styleId="891">
    <w:name w:val="Char Char61"/>
    <w:qFormat/>
    <w:uiPriority w:val="6"/>
    <w:rPr>
      <w:rFonts w:eastAsia="宋体"/>
      <w:kern w:val="2"/>
      <w:sz w:val="21"/>
      <w:szCs w:val="24"/>
      <w:lang w:val="en-US" w:eastAsia="zh-CN" w:bidi="ar-SA"/>
    </w:rPr>
  </w:style>
  <w:style w:type="character" w:customStyle="1" w:styleId="892">
    <w:name w:val="正文文字缩进 2 Char Char"/>
    <w:qFormat/>
    <w:uiPriority w:val="0"/>
    <w:rPr>
      <w:rFonts w:ascii="宋体"/>
      <w:sz w:val="28"/>
    </w:rPr>
  </w:style>
  <w:style w:type="character" w:customStyle="1" w:styleId="893">
    <w:name w:val="f141"/>
    <w:qFormat/>
    <w:uiPriority w:val="0"/>
    <w:rPr>
      <w:rFonts w:ascii="Tahoma" w:hAnsi="Tahoma" w:eastAsia="宋体"/>
      <w:b/>
      <w:kern w:val="2"/>
      <w:sz w:val="21"/>
      <w:szCs w:val="21"/>
      <w:lang w:val="en-US" w:eastAsia="zh-CN" w:bidi="ar-SA"/>
    </w:rPr>
  </w:style>
  <w:style w:type="character" w:customStyle="1" w:styleId="894">
    <w:name w:val="段落 Char Char"/>
    <w:link w:val="111"/>
    <w:qFormat/>
    <w:uiPriority w:val="0"/>
    <w:rPr>
      <w:rFonts w:ascii="宋体" w:hAnsi="宋体"/>
      <w:sz w:val="24"/>
    </w:rPr>
  </w:style>
  <w:style w:type="character" w:customStyle="1" w:styleId="895">
    <w:name w:val="标题 3 Char2"/>
    <w:qFormat/>
    <w:uiPriority w:val="0"/>
    <w:rPr>
      <w:rFonts w:eastAsia="宋体"/>
      <w:b/>
      <w:bCs/>
      <w:kern w:val="2"/>
      <w:sz w:val="32"/>
      <w:szCs w:val="32"/>
      <w:lang w:val="en-US" w:eastAsia="zh-CN" w:bidi="ar-SA"/>
    </w:rPr>
  </w:style>
  <w:style w:type="character" w:customStyle="1" w:styleId="896">
    <w:name w:val="apple-converted-space"/>
    <w:qFormat/>
    <w:uiPriority w:val="0"/>
  </w:style>
  <w:style w:type="character" w:customStyle="1" w:styleId="897">
    <w:name w:val="页眉 Char2"/>
    <w:link w:val="43"/>
    <w:qFormat/>
    <w:uiPriority w:val="99"/>
    <w:rPr>
      <w:kern w:val="2"/>
      <w:sz w:val="18"/>
      <w:szCs w:val="18"/>
    </w:rPr>
  </w:style>
  <w:style w:type="character" w:customStyle="1" w:styleId="898">
    <w:name w:val="Char Char9"/>
    <w:qFormat/>
    <w:uiPriority w:val="0"/>
    <w:rPr>
      <w:rFonts w:eastAsia="宋体"/>
      <w:kern w:val="2"/>
      <w:sz w:val="18"/>
      <w:szCs w:val="18"/>
      <w:lang w:val="en-US" w:eastAsia="zh-CN" w:bidi="ar-SA"/>
    </w:rPr>
  </w:style>
  <w:style w:type="character" w:customStyle="1" w:styleId="899">
    <w:name w:val="Char Char41"/>
    <w:qFormat/>
    <w:uiPriority w:val="0"/>
    <w:rPr>
      <w:rFonts w:eastAsia="宋体"/>
      <w:b/>
      <w:sz w:val="24"/>
      <w:lang w:eastAsia="zh-CN" w:bidi="ar-SA"/>
    </w:rPr>
  </w:style>
  <w:style w:type="character" w:customStyle="1" w:styleId="900">
    <w:name w:val="large1"/>
    <w:qFormat/>
    <w:uiPriority w:val="0"/>
    <w:rPr>
      <w:rFonts w:hint="eastAsia" w:ascii="宋体" w:hAnsi="宋体" w:eastAsia="宋体"/>
      <w:sz w:val="21"/>
      <w:szCs w:val="21"/>
    </w:rPr>
  </w:style>
  <w:style w:type="character" w:customStyle="1" w:styleId="901">
    <w:name w:val="正文段 Char"/>
    <w:link w:val="112"/>
    <w:qFormat/>
    <w:uiPriority w:val="0"/>
    <w:rPr>
      <w:sz w:val="24"/>
    </w:rPr>
  </w:style>
  <w:style w:type="character" w:customStyle="1" w:styleId="902">
    <w:name w:val="Char Char13"/>
    <w:qFormat/>
    <w:uiPriority w:val="6"/>
    <w:rPr>
      <w:rFonts w:ascii="宋体" w:hAnsi="宋体"/>
      <w:kern w:val="1"/>
      <w:sz w:val="21"/>
      <w:szCs w:val="24"/>
    </w:rPr>
  </w:style>
  <w:style w:type="character" w:customStyle="1" w:styleId="903">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904">
    <w:name w:val="冯广丽 Char"/>
    <w:link w:val="113"/>
    <w:qFormat/>
    <w:uiPriority w:val="0"/>
    <w:rPr>
      <w:rFonts w:ascii="宋体" w:hAnsi="宋体"/>
      <w:kern w:val="2"/>
      <w:sz w:val="24"/>
      <w:szCs w:val="22"/>
    </w:rPr>
  </w:style>
  <w:style w:type="character" w:customStyle="1" w:styleId="905">
    <w:name w:val="批注文字 字符"/>
    <w:qFormat/>
    <w:uiPriority w:val="0"/>
    <w:rPr>
      <w:rFonts w:ascii="Arial" w:hAnsi="Arial" w:eastAsia="黑体" w:cs="Arial"/>
      <w:snapToGrid w:val="0"/>
      <w:kern w:val="0"/>
      <w:szCs w:val="21"/>
    </w:rPr>
  </w:style>
  <w:style w:type="character" w:customStyle="1" w:styleId="906">
    <w:name w:val="Char Char161"/>
    <w:qFormat/>
    <w:uiPriority w:val="0"/>
    <w:rPr>
      <w:rFonts w:eastAsia="宋体"/>
      <w:b/>
      <w:kern w:val="2"/>
      <w:sz w:val="32"/>
      <w:lang w:val="en-US" w:eastAsia="zh-CN"/>
    </w:rPr>
  </w:style>
  <w:style w:type="character" w:customStyle="1" w:styleId="907">
    <w:name w:val="javascript"/>
    <w:qFormat/>
    <w:uiPriority w:val="0"/>
  </w:style>
  <w:style w:type="character" w:customStyle="1" w:styleId="908">
    <w:name w:val="图名 Char"/>
    <w:qFormat/>
    <w:uiPriority w:val="0"/>
    <w:rPr>
      <w:rFonts w:ascii="Arial" w:hAnsi="Arial" w:eastAsia="黑体"/>
      <w:kern w:val="2"/>
      <w:sz w:val="24"/>
      <w:szCs w:val="24"/>
      <w:lang w:val="en-US" w:eastAsia="zh-CN" w:bidi="ar-SA"/>
    </w:rPr>
  </w:style>
  <w:style w:type="character" w:customStyle="1" w:styleId="909">
    <w:name w:val="Used by Word for text of Help footnotes Char Char"/>
    <w:qFormat/>
    <w:uiPriority w:val="0"/>
    <w:rPr>
      <w:rFonts w:ascii="Times New Roman" w:hAnsi="Times New Roman" w:eastAsia="宋体" w:cs="Times New Roman"/>
      <w:sz w:val="20"/>
      <w:szCs w:val="20"/>
    </w:rPr>
  </w:style>
  <w:style w:type="character" w:customStyle="1" w:styleId="910">
    <w:name w:val="编号，小四 Char"/>
    <w:link w:val="114"/>
    <w:qFormat/>
    <w:uiPriority w:val="0"/>
    <w:rPr>
      <w:rFonts w:ascii="Arial" w:hAnsi="Arial"/>
      <w:sz w:val="24"/>
    </w:rPr>
  </w:style>
  <w:style w:type="character" w:customStyle="1" w:styleId="911">
    <w:name w:val="Font Style82"/>
    <w:qFormat/>
    <w:uiPriority w:val="99"/>
    <w:rPr>
      <w:rFonts w:ascii="宋体" w:eastAsia="宋体" w:cs="宋体"/>
      <w:color w:val="000000"/>
      <w:sz w:val="14"/>
      <w:szCs w:val="14"/>
    </w:rPr>
  </w:style>
  <w:style w:type="character" w:customStyle="1" w:styleId="912">
    <w:name w:val="标题 2 Char Char"/>
    <w:qFormat/>
    <w:uiPriority w:val="0"/>
    <w:rPr>
      <w:rFonts w:ascii="楷体_GB2312" w:hAnsi="Arial" w:eastAsia="楷体_GB2312"/>
      <w:b/>
      <w:bCs/>
      <w:kern w:val="2"/>
      <w:sz w:val="24"/>
      <w:szCs w:val="32"/>
      <w:lang w:val="en-US" w:eastAsia="zh-CN" w:bidi="ar-SA"/>
    </w:rPr>
  </w:style>
  <w:style w:type="character" w:customStyle="1" w:styleId="913">
    <w:name w:val="未用 Char"/>
    <w:qFormat/>
    <w:uiPriority w:val="0"/>
    <w:rPr>
      <w:rFonts w:ascii="Arial" w:hAnsi="Arial" w:eastAsia="黑体"/>
      <w:kern w:val="2"/>
      <w:sz w:val="21"/>
      <w:szCs w:val="21"/>
      <w:lang w:val="en-US" w:eastAsia="zh-CN" w:bidi="ar-SA"/>
    </w:rPr>
  </w:style>
  <w:style w:type="character" w:customStyle="1" w:styleId="914">
    <w:name w:val="myp1111"/>
    <w:qFormat/>
    <w:uiPriority w:val="0"/>
    <w:rPr>
      <w:rFonts w:hint="default" w:ascii="ˎ̥" w:hAnsi="ˎ̥"/>
      <w:color w:val="000000"/>
      <w:sz w:val="20"/>
      <w:szCs w:val="20"/>
      <w:u w:val="none"/>
    </w:rPr>
  </w:style>
  <w:style w:type="character" w:customStyle="1" w:styleId="915">
    <w:name w:val="样式 标题 4h4H4Fab-4T5Ref Heading 1rh1Heading sqlsect 1.2.3.... Char"/>
    <w:link w:val="103"/>
    <w:qFormat/>
    <w:uiPriority w:val="0"/>
    <w:rPr>
      <w:rFonts w:ascii="微软雅黑" w:hAnsi="微软雅黑" w:eastAsia="微软雅黑"/>
      <w:b/>
      <w:bCs/>
      <w:kern w:val="2"/>
      <w:sz w:val="24"/>
      <w:szCs w:val="28"/>
    </w:rPr>
  </w:style>
  <w:style w:type="character" w:customStyle="1" w:styleId="916">
    <w:name w:val="h Char Char"/>
    <w:qFormat/>
    <w:uiPriority w:val="0"/>
    <w:rPr>
      <w:rFonts w:eastAsia="宋体"/>
      <w:kern w:val="2"/>
      <w:sz w:val="18"/>
      <w:lang w:val="en-US" w:eastAsia="zh-CN" w:bidi="ar-SA"/>
    </w:rPr>
  </w:style>
  <w:style w:type="character" w:customStyle="1" w:styleId="917">
    <w:name w:val="仿宋正文 Char"/>
    <w:link w:val="115"/>
    <w:qFormat/>
    <w:uiPriority w:val="0"/>
    <w:rPr>
      <w:rFonts w:ascii="仿宋_GB2312" w:eastAsia="仿宋_GB2312"/>
      <w:kern w:val="2"/>
      <w:sz w:val="24"/>
      <w:lang w:val="en-US" w:eastAsia="zh-CN" w:bidi="ar-SA"/>
    </w:rPr>
  </w:style>
  <w:style w:type="character" w:customStyle="1" w:styleId="918">
    <w:name w:val="正文首行缩进 Char Char Char Char Char Char"/>
    <w:qFormat/>
    <w:uiPriority w:val="0"/>
    <w:rPr>
      <w:rFonts w:ascii="宋体" w:eastAsia="宋体"/>
      <w:kern w:val="2"/>
      <w:sz w:val="24"/>
      <w:lang w:val="zh-CN" w:bidi="ar-SA"/>
    </w:rPr>
  </w:style>
  <w:style w:type="character" w:customStyle="1" w:styleId="919">
    <w:name w:val="样式 宋体"/>
    <w:qFormat/>
    <w:uiPriority w:val="0"/>
    <w:rPr>
      <w:rFonts w:ascii="宋体" w:hAnsi="宋体"/>
      <w:sz w:val="24"/>
    </w:rPr>
  </w:style>
  <w:style w:type="character" w:customStyle="1" w:styleId="920">
    <w:name w:val="tw4winJump"/>
    <w:qFormat/>
    <w:uiPriority w:val="0"/>
    <w:rPr>
      <w:rFonts w:ascii="Courier New" w:hAnsi="Courier New" w:cs="Courier New"/>
      <w:color w:val="008080"/>
      <w:lang w:val="en-US" w:eastAsia="zh-CN"/>
    </w:rPr>
  </w:style>
  <w:style w:type="character" w:customStyle="1" w:styleId="921">
    <w:name w:val="标题 1 字符"/>
    <w:qFormat/>
    <w:uiPriority w:val="9"/>
    <w:rPr>
      <w:rFonts w:ascii="Arial" w:hAnsi="Arial" w:eastAsia="黑体" w:cs="Arial"/>
      <w:b/>
      <w:bCs/>
      <w:snapToGrid w:val="0"/>
      <w:kern w:val="44"/>
      <w:sz w:val="44"/>
      <w:szCs w:val="44"/>
    </w:rPr>
  </w:style>
  <w:style w:type="character" w:customStyle="1" w:styleId="922">
    <w:name w:val="style36"/>
    <w:basedOn w:val="62"/>
    <w:qFormat/>
    <w:uiPriority w:val="0"/>
    <w:rPr>
      <w:rFonts w:ascii="Arial" w:hAnsi="Arial" w:eastAsia="黑体" w:cs="Arial"/>
      <w:snapToGrid w:val="0"/>
      <w:kern w:val="0"/>
      <w:szCs w:val="21"/>
    </w:rPr>
  </w:style>
  <w:style w:type="character" w:customStyle="1" w:styleId="923">
    <w:name w:val="pt9"/>
    <w:qFormat/>
    <w:uiPriority w:val="0"/>
    <w:rPr>
      <w:rFonts w:ascii="仿宋_GB2312" w:eastAsia="微软雅黑"/>
      <w:b/>
      <w:kern w:val="2"/>
      <w:sz w:val="32"/>
      <w:szCs w:val="32"/>
      <w:lang w:val="en-US" w:eastAsia="zh-CN" w:bidi="ar-SA"/>
    </w:rPr>
  </w:style>
  <w:style w:type="character" w:customStyle="1" w:styleId="924">
    <w:name w:val="DO_NOT_TRANSLATE"/>
    <w:qFormat/>
    <w:uiPriority w:val="0"/>
    <w:rPr>
      <w:rFonts w:ascii="Courier New" w:hAnsi="Courier New" w:cs="Courier New"/>
      <w:color w:val="800000"/>
      <w:lang w:val="en-US" w:eastAsia="zh-CN"/>
    </w:rPr>
  </w:style>
  <w:style w:type="character" w:customStyle="1" w:styleId="925">
    <w:name w:val="标书1 Char1"/>
    <w:qFormat/>
    <w:uiPriority w:val="0"/>
    <w:rPr>
      <w:rFonts w:eastAsia="宋体"/>
      <w:b/>
      <w:bCs/>
      <w:kern w:val="44"/>
      <w:sz w:val="44"/>
      <w:szCs w:val="44"/>
      <w:lang w:val="en-US" w:eastAsia="zh-CN" w:bidi="ar-SA"/>
    </w:rPr>
  </w:style>
  <w:style w:type="character" w:customStyle="1" w:styleId="926">
    <w:name w:val="页脚 字符"/>
    <w:qFormat/>
    <w:uiPriority w:val="99"/>
    <w:rPr>
      <w:kern w:val="2"/>
      <w:sz w:val="18"/>
      <w:szCs w:val="18"/>
    </w:rPr>
  </w:style>
  <w:style w:type="character" w:customStyle="1" w:styleId="927">
    <w:name w:val="正文2 Char"/>
    <w:qFormat/>
    <w:uiPriority w:val="0"/>
    <w:rPr>
      <w:rFonts w:eastAsia="宋体"/>
      <w:kern w:val="2"/>
      <w:sz w:val="24"/>
      <w:lang w:val="en-US" w:eastAsia="zh-CN" w:bidi="ar-SA"/>
    </w:rPr>
  </w:style>
  <w:style w:type="character" w:customStyle="1" w:styleId="928">
    <w:name w:val="Char Char21"/>
    <w:qFormat/>
    <w:uiPriority w:val="6"/>
    <w:rPr>
      <w:rFonts w:ascii="宋体" w:hAnsi="宋体"/>
      <w:kern w:val="1"/>
      <w:sz w:val="24"/>
      <w:szCs w:val="21"/>
      <w:lang w:val="zh-CN"/>
    </w:rPr>
  </w:style>
  <w:style w:type="character" w:customStyle="1" w:styleId="929">
    <w:name w:val="样式 正文缩进 + 首行缩进:  2 字符 Char Char"/>
    <w:link w:val="116"/>
    <w:qFormat/>
    <w:uiPriority w:val="0"/>
    <w:rPr>
      <w:rFonts w:cs="宋体"/>
      <w:kern w:val="2"/>
      <w:sz w:val="24"/>
    </w:rPr>
  </w:style>
  <w:style w:type="character" w:customStyle="1" w:styleId="930">
    <w:name w:val="正文文本 Char1"/>
    <w:link w:val="16"/>
    <w:qFormat/>
    <w:uiPriority w:val="0"/>
    <w:rPr>
      <w:rFonts w:ascii="宋体" w:hAnsi="Arial" w:eastAsia="宋体" w:cs="Arial"/>
      <w:snapToGrid w:val="0"/>
      <w:kern w:val="2"/>
      <w:sz w:val="24"/>
      <w:szCs w:val="21"/>
      <w:lang w:val="zh-CN" w:eastAsia="zh-CN" w:bidi="ar-SA"/>
    </w:rPr>
  </w:style>
  <w:style w:type="character" w:customStyle="1" w:styleId="931">
    <w:name w:val="gray6"/>
    <w:basedOn w:val="62"/>
    <w:qFormat/>
    <w:uiPriority w:val="0"/>
    <w:rPr>
      <w:rFonts w:ascii="Arial" w:hAnsi="Arial" w:eastAsia="黑体" w:cs="Arial"/>
      <w:snapToGrid w:val="0"/>
      <w:kern w:val="0"/>
      <w:szCs w:val="21"/>
    </w:rPr>
  </w:style>
  <w:style w:type="character" w:customStyle="1" w:styleId="932">
    <w:name w:val="hui"/>
    <w:basedOn w:val="62"/>
    <w:qFormat/>
    <w:uiPriority w:val="0"/>
    <w:rPr>
      <w:rFonts w:ascii="Arial" w:hAnsi="Arial" w:eastAsia="黑体" w:cs="Arial"/>
      <w:snapToGrid w:val="0"/>
      <w:kern w:val="0"/>
      <w:szCs w:val="21"/>
    </w:rPr>
  </w:style>
  <w:style w:type="character" w:customStyle="1" w:styleId="933">
    <w:name w:val="哈哈正文 Char Char"/>
    <w:qFormat/>
    <w:uiPriority w:val="0"/>
    <w:rPr>
      <w:rFonts w:ascii="宋体" w:hAnsi="宋体" w:eastAsia="宋体" w:cs="宋体"/>
      <w:kern w:val="2"/>
      <w:sz w:val="24"/>
      <w:lang w:val="en-US" w:eastAsia="zh-CN" w:bidi="ar-SA"/>
    </w:rPr>
  </w:style>
  <w:style w:type="character" w:customStyle="1" w:styleId="934">
    <w:name w:val="交叉引用"/>
    <w:qFormat/>
    <w:uiPriority w:val="1"/>
    <w:rPr>
      <w:rFonts w:ascii="Arial" w:hAnsi="Arial" w:eastAsia="黑体"/>
      <w:snapToGrid w:val="0"/>
      <w:color w:val="0000FF"/>
      <w:kern w:val="0"/>
      <w:sz w:val="20"/>
      <w:szCs w:val="21"/>
      <w:u w:val="single"/>
      <w:lang w:val="en-US" w:eastAsia="zh-CN"/>
    </w:rPr>
  </w:style>
  <w:style w:type="character" w:customStyle="1" w:styleId="935">
    <w:name w:val="正文缩进 字符1"/>
    <w:qFormat/>
    <w:uiPriority w:val="0"/>
    <w:rPr>
      <w:rFonts w:ascii="宋体" w:eastAsia="宋体"/>
      <w:snapToGrid w:val="0"/>
      <w:color w:val="000000"/>
      <w:kern w:val="28"/>
      <w:sz w:val="28"/>
      <w:lang w:val="en-US" w:eastAsia="zh-CN" w:bidi="ar-SA"/>
    </w:rPr>
  </w:style>
  <w:style w:type="character" w:customStyle="1" w:styleId="936">
    <w:name w:val="页脚 字符1"/>
    <w:qFormat/>
    <w:locked/>
    <w:uiPriority w:val="99"/>
    <w:rPr>
      <w:kern w:val="2"/>
      <w:sz w:val="18"/>
      <w:szCs w:val="18"/>
    </w:rPr>
  </w:style>
  <w:style w:type="character" w:customStyle="1" w:styleId="937">
    <w:name w:val="页眉 字符1"/>
    <w:qFormat/>
    <w:uiPriority w:val="99"/>
    <w:rPr>
      <w:kern w:val="2"/>
      <w:sz w:val="18"/>
      <w:szCs w:val="18"/>
    </w:rPr>
  </w:style>
  <w:style w:type="character" w:customStyle="1" w:styleId="938">
    <w:name w:val="尾注文本 Char"/>
    <w:link w:val="39"/>
    <w:qFormat/>
    <w:uiPriority w:val="0"/>
    <w:rPr>
      <w:kern w:val="2"/>
      <w:sz w:val="21"/>
      <w:szCs w:val="24"/>
      <w:lang w:val="zh-CN"/>
    </w:rPr>
  </w:style>
  <w:style w:type="character" w:customStyle="1" w:styleId="939">
    <w:name w:val="无间隔 Char"/>
    <w:link w:val="165"/>
    <w:qFormat/>
    <w:uiPriority w:val="99"/>
    <w:rPr>
      <w:kern w:val="2"/>
      <w:sz w:val="21"/>
      <w:szCs w:val="22"/>
    </w:rPr>
  </w:style>
  <w:style w:type="character" w:customStyle="1" w:styleId="940">
    <w:name w:val="标准文本 Char Char"/>
    <w:link w:val="604"/>
    <w:qFormat/>
    <w:uiPriority w:val="0"/>
    <w:rPr>
      <w:rFonts w:cs="宋体"/>
      <w:kern w:val="2"/>
      <w:sz w:val="24"/>
    </w:rPr>
  </w:style>
  <w:style w:type="character" w:customStyle="1" w:styleId="941">
    <w:name w:val="Char Char213"/>
    <w:qFormat/>
    <w:uiPriority w:val="0"/>
    <w:rPr>
      <w:rFonts w:eastAsia="Century Gothic"/>
      <w:b/>
      <w:bCs/>
      <w:kern w:val="44"/>
      <w:sz w:val="32"/>
      <w:szCs w:val="44"/>
      <w:lang w:val="en-US" w:eastAsia="zh-CN" w:bidi="ar-SA"/>
    </w:rPr>
  </w:style>
  <w:style w:type="character" w:customStyle="1" w:styleId="942">
    <w:name w:val="apple-style-span"/>
    <w:qFormat/>
    <w:uiPriority w:val="0"/>
    <w:rPr>
      <w:rFonts w:ascii="Arial" w:hAnsi="Arial" w:eastAsia="黑体" w:cs="Arial"/>
      <w:snapToGrid w:val="0"/>
      <w:kern w:val="0"/>
      <w:szCs w:val="21"/>
    </w:rPr>
  </w:style>
  <w:style w:type="character" w:customStyle="1" w:styleId="943">
    <w:name w:val="15"/>
    <w:qFormat/>
    <w:uiPriority w:val="0"/>
    <w:rPr>
      <w:rFonts w:hint="default" w:ascii="Calibri" w:hAnsi="Calibri"/>
      <w:color w:val="0000FF"/>
      <w:u w:val="single"/>
    </w:rPr>
  </w:style>
  <w:style w:type="character" w:customStyle="1" w:styleId="944">
    <w:name w:val="16"/>
    <w:qFormat/>
    <w:uiPriority w:val="0"/>
    <w:rPr>
      <w:rFonts w:hint="eastAsia" w:ascii="宋体" w:hAnsi="宋体" w:eastAsia="宋体"/>
      <w:color w:val="000000"/>
      <w:sz w:val="20"/>
      <w:szCs w:val="20"/>
    </w:rPr>
  </w:style>
  <w:style w:type="character" w:customStyle="1" w:styleId="945">
    <w:name w:val="edui-unclickable"/>
    <w:qFormat/>
    <w:uiPriority w:val="0"/>
    <w:rPr>
      <w:color w:val="808080"/>
    </w:rPr>
  </w:style>
  <w:style w:type="character" w:customStyle="1" w:styleId="946">
    <w:name w:val="tpc_content1"/>
    <w:qFormat/>
    <w:uiPriority w:val="0"/>
    <w:rPr>
      <w:sz w:val="20"/>
      <w:szCs w:val="20"/>
    </w:rPr>
  </w:style>
  <w:style w:type="character" w:customStyle="1" w:styleId="947">
    <w:name w:val="正文文本缩进 字符"/>
    <w:qFormat/>
    <w:uiPriority w:val="0"/>
    <w:rPr>
      <w:rFonts w:ascii="Century Gothic" w:hAnsi="Century Gothic" w:eastAsia="Century Gothic"/>
      <w:kern w:val="2"/>
      <w:sz w:val="24"/>
      <w:lang w:val="en-US" w:eastAsia="zh-CN" w:bidi="ar-SA"/>
    </w:rPr>
  </w:style>
  <w:style w:type="character" w:customStyle="1" w:styleId="948">
    <w:name w:val="正文文本 2 字符"/>
    <w:qFormat/>
    <w:uiPriority w:val="0"/>
    <w:rPr>
      <w:rFonts w:ascii="Arial" w:hAnsi="Arial" w:eastAsia="宋体"/>
      <w:kern w:val="2"/>
      <w:sz w:val="24"/>
      <w:szCs w:val="24"/>
      <w:lang w:val="en-US" w:eastAsia="zh-CN" w:bidi="ar-SA"/>
    </w:rPr>
  </w:style>
  <w:style w:type="character" w:customStyle="1" w:styleId="949">
    <w:name w:val="edui-clickable2"/>
    <w:qFormat/>
    <w:uiPriority w:val="0"/>
    <w:rPr>
      <w:color w:val="0000FF"/>
      <w:u w:val="single"/>
    </w:rPr>
  </w:style>
  <w:style w:type="character" w:customStyle="1" w:styleId="950">
    <w:name w:val="style1"/>
    <w:qFormat/>
    <w:uiPriority w:val="0"/>
    <w:rPr>
      <w:rFonts w:ascii="Arial" w:hAnsi="Arial" w:eastAsia="黑体" w:cs="Arial"/>
      <w:snapToGrid w:val="0"/>
      <w:kern w:val="0"/>
      <w:szCs w:val="21"/>
    </w:rPr>
  </w:style>
  <w:style w:type="character" w:customStyle="1" w:styleId="951">
    <w:name w:val="zbggtop11 style5"/>
    <w:qFormat/>
    <w:uiPriority w:val="0"/>
    <w:rPr>
      <w:rFonts w:ascii="Arial" w:hAnsi="Arial" w:eastAsia="黑体" w:cs="Arial"/>
      <w:snapToGrid w:val="0"/>
      <w:kern w:val="0"/>
      <w:szCs w:val="21"/>
    </w:rPr>
  </w:style>
  <w:style w:type="character" w:customStyle="1" w:styleId="952">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53">
    <w:name w:val="bulletintext1"/>
    <w:qFormat/>
    <w:uiPriority w:val="0"/>
    <w:rPr>
      <w:color w:val="000000"/>
      <w:sz w:val="18"/>
    </w:rPr>
  </w:style>
  <w:style w:type="character" w:customStyle="1" w:styleId="954">
    <w:name w:val="ksfind_class_select1"/>
    <w:basedOn w:val="62"/>
    <w:qFormat/>
    <w:uiPriority w:val="0"/>
    <w:rPr>
      <w:color w:val="000000"/>
      <w:shd w:val="clear" w:color="auto" w:fill="EFD200"/>
    </w:rPr>
  </w:style>
  <w:style w:type="character" w:customStyle="1" w:styleId="955">
    <w:name w:val="font71"/>
    <w:qFormat/>
    <w:uiPriority w:val="0"/>
    <w:rPr>
      <w:rFonts w:hint="eastAsia" w:ascii="宋体" w:hAnsi="宋体" w:eastAsia="宋体" w:cs="宋体"/>
      <w:color w:val="000000"/>
      <w:sz w:val="22"/>
      <w:szCs w:val="22"/>
      <w:u w:val="none"/>
    </w:rPr>
  </w:style>
  <w:style w:type="character" w:customStyle="1" w:styleId="956">
    <w:name w:val="font91"/>
    <w:qFormat/>
    <w:uiPriority w:val="0"/>
    <w:rPr>
      <w:rFonts w:hint="eastAsia" w:ascii="仿宋" w:hAnsi="仿宋" w:eastAsia="仿宋" w:cs="仿宋"/>
      <w:color w:val="000000"/>
      <w:sz w:val="22"/>
      <w:szCs w:val="22"/>
      <w:u w:val="none"/>
    </w:rPr>
  </w:style>
  <w:style w:type="table" w:customStyle="1" w:styleId="957">
    <w:name w:val="网格型2"/>
    <w:basedOn w:val="73"/>
    <w:qFormat/>
    <w:uiPriority w:val="39"/>
    <w:pPr/>
    <w:rPr>
      <w:rFonts w:ascii="等线" w:hAnsi="等线" w:eastAsia="等线"/>
    </w:rPr>
    <w:tblPr>
      <w:tblStyle w:val="7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table" w:customStyle="1" w:styleId="958">
    <w:name w:val="网格型1"/>
    <w:basedOn w:val="73"/>
    <w:qFormat/>
    <w:uiPriority w:val="39"/>
    <w:pPr/>
    <w:rPr>
      <w:rFonts w:ascii="等线" w:hAnsi="等线" w:eastAsia="等线"/>
    </w:rPr>
    <w:tblPr>
      <w:tblStyle w:val="7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table" w:customStyle="1" w:styleId="959">
    <w:name w:val="网格型6"/>
    <w:basedOn w:val="73"/>
    <w:qFormat/>
    <w:uiPriority w:val="39"/>
    <w:pPr/>
    <w:rPr>
      <w:rFonts w:ascii="等线" w:hAnsi="等线" w:eastAsia="等线"/>
    </w:rPr>
    <w:tblPr>
      <w:tblStyle w:val="7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table" w:customStyle="1" w:styleId="960">
    <w:name w:val="网格型3"/>
    <w:basedOn w:val="73"/>
    <w:qFormat/>
    <w:uiPriority w:val="39"/>
    <w:pPr/>
    <w:rPr>
      <w:rFonts w:ascii="等线" w:hAnsi="等线" w:eastAsia="等线"/>
    </w:rPr>
    <w:tblPr>
      <w:tblStyle w:val="7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table" w:customStyle="1" w:styleId="961">
    <w:name w:val="网格型4"/>
    <w:basedOn w:val="73"/>
    <w:qFormat/>
    <w:uiPriority w:val="39"/>
    <w:pPr/>
    <w:rPr>
      <w:rFonts w:ascii="等线" w:hAnsi="等线" w:eastAsia="等线"/>
    </w:rPr>
    <w:tblPr>
      <w:tblStyle w:val="7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table" w:customStyle="1" w:styleId="962">
    <w:name w:val="网格型5"/>
    <w:basedOn w:val="73"/>
    <w:qFormat/>
    <w:uiPriority w:val="39"/>
    <w:pPr/>
    <w:rPr>
      <w:rFonts w:ascii="等线" w:hAnsi="等线" w:eastAsia="等线"/>
    </w:rPr>
    <w:tblPr>
      <w:tblStyle w:val="7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settings" Target="settings.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theme" Target="theme/theme1.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9.xml"/><Relationship Id="rId2" Type="http://schemas.openxmlformats.org/officeDocument/2006/relationships/styles" Target="styles.xml"/><Relationship Id="rId19" Type="http://schemas.openxmlformats.org/officeDocument/2006/relationships/footer" Target="footer8.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4.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70</Pages>
  <Words>6057</Words>
  <Characters>34526</Characters>
  <Lines>287</Lines>
  <Paragraphs>81</Paragraphs>
  <ScaleCrop>false</ScaleCrop>
  <LinksUpToDate>false</LinksUpToDate>
  <CharactersWithSpaces>0</CharactersWithSpaces>
  <Application>WPS Office 专业版_9.1.0.5343_F1E327BC-269C-435d-A152-05C5408002CA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2021-07-30T00:22:00Z</dcterms:created>
  <dc:creator>玥</dc:creator>
  <cp:lastModifiedBy>Administrator</cp:lastModifiedBy>
  <cp:lastPrinted>2021-12-27T03:06:00Z</cp:lastPrinted>
  <dcterms:modified xsi:type="dcterms:W3CDTF">2023-12-01T00:38:51Z</dcterms:modified>
  <dc:title>杭州市市民卡扩大发卡工程</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2052-9.1.0.5343</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0FD1A88BCBDC48C0BE7BED3F6297D455</vt:lpwstr>
  </property>
</Properties>
</file>