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10163">
      <w:pPr>
        <w:pStyle w:val="2"/>
        <w:numPr>
          <w:ilvl w:val="0"/>
          <w:numId w:val="0"/>
        </w:numPr>
        <w:ind w:left="0" w:leftChars="0" w:firstLine="0" w:firstLineChars="0"/>
        <w:jc w:val="center"/>
        <w:rPr>
          <w:highlight w:val="none"/>
        </w:rPr>
      </w:pPr>
      <w:bookmarkStart w:id="0" w:name="_Toc17690"/>
      <w:r>
        <w:rPr>
          <w:rFonts w:hint="eastAsia" w:ascii="Times New Roman" w:hAnsi="Times New Roman" w:eastAsia="宋体" w:cs="Times New Roman"/>
          <w:b/>
          <w:bCs/>
          <w:kern w:val="44"/>
          <w:sz w:val="36"/>
          <w:szCs w:val="36"/>
          <w:lang w:val="en-US" w:eastAsia="zh-CN" w:bidi="ar-SA"/>
        </w:rPr>
        <w:t>四川铁塔2026年智联业务DICT行业合作伙伴公开招募项目（第</w:t>
      </w:r>
      <w:r>
        <w:rPr>
          <w:rFonts w:hint="eastAsia" w:cs="Times New Roman"/>
          <w:b/>
          <w:bCs/>
          <w:kern w:val="44"/>
          <w:sz w:val="36"/>
          <w:szCs w:val="36"/>
          <w:lang w:val="en-US" w:eastAsia="zh-CN" w:bidi="ar-SA"/>
        </w:rPr>
        <w:t>二</w:t>
      </w:r>
      <w:r>
        <w:rPr>
          <w:rFonts w:hint="eastAsia" w:ascii="Times New Roman" w:hAnsi="Times New Roman" w:eastAsia="宋体" w:cs="Times New Roman"/>
          <w:b/>
          <w:bCs/>
          <w:kern w:val="44"/>
          <w:sz w:val="36"/>
          <w:szCs w:val="36"/>
          <w:lang w:val="en-US" w:eastAsia="zh-CN" w:bidi="ar-SA"/>
        </w:rPr>
        <w:t>批）</w:t>
      </w:r>
      <w:r>
        <w:rPr>
          <w:highlight w:val="none"/>
        </w:rPr>
        <w:t>招募公告</w:t>
      </w:r>
      <w:bookmarkEnd w:id="0"/>
    </w:p>
    <w:p w14:paraId="185C43E2">
      <w:pPr>
        <w:spacing w:line="360" w:lineRule="auto"/>
        <w:ind w:firstLine="480" w:firstLineChars="200"/>
        <w:rPr>
          <w:sz w:val="24"/>
          <w:highlight w:val="none"/>
        </w:rPr>
      </w:pPr>
      <w:r>
        <w:rPr>
          <w:rFonts w:hint="eastAsia" w:eastAsia="宋体"/>
          <w:sz w:val="24"/>
          <w:highlight w:val="none"/>
          <w:lang w:eastAsia="zh-CN"/>
        </w:rPr>
        <w:t>四川铁塔2026年智联业务DICT行业合作伙伴公开招募项目（第二批）</w:t>
      </w:r>
      <w:r>
        <w:rPr>
          <w:sz w:val="24"/>
          <w:highlight w:val="none"/>
        </w:rPr>
        <w:t>由</w:t>
      </w:r>
      <w:bookmarkStart w:id="1" w:name="_Hlk131065573"/>
      <w:r>
        <w:rPr>
          <w:sz w:val="24"/>
          <w:highlight w:val="none"/>
        </w:rPr>
        <w:t>中国铁塔股份有限公司四川省分公司（以下简称“四川铁塔”）及铁塔智联技术有限公司四川省分公司</w:t>
      </w:r>
      <w:bookmarkEnd w:id="1"/>
      <w:r>
        <w:rPr>
          <w:sz w:val="24"/>
          <w:highlight w:val="none"/>
        </w:rPr>
        <w:t>（以下简称“四川智联”）批准，项目招募单位为四川铁塔和四川智联。欢迎具有提供本项目所需服务能力的供应商参与报名。</w:t>
      </w:r>
    </w:p>
    <w:p w14:paraId="371929D7">
      <w:pPr>
        <w:keepNext/>
        <w:keepLines/>
        <w:widowControl w:val="0"/>
        <w:numPr>
          <w:ilvl w:val="1"/>
          <w:numId w:val="1"/>
        </w:numPr>
        <w:spacing w:line="360" w:lineRule="auto"/>
        <w:jc w:val="both"/>
        <w:outlineLvl w:val="1"/>
        <w:rPr>
          <w:rFonts w:ascii="Times New Roman" w:hAnsi="Times New Roman" w:eastAsia="宋体" w:cs="Times New Roman"/>
          <w:b/>
          <w:bCs/>
          <w:kern w:val="2"/>
          <w:sz w:val="32"/>
          <w:szCs w:val="32"/>
          <w:highlight w:val="none"/>
          <w:lang w:val="en-US" w:eastAsia="zh-CN" w:bidi="ar-SA"/>
        </w:rPr>
      </w:pPr>
      <w:bookmarkStart w:id="2" w:name="_Toc8538"/>
      <w:r>
        <w:rPr>
          <w:rFonts w:ascii="Times New Roman" w:hAnsi="Times New Roman" w:eastAsia="宋体" w:cs="Times New Roman"/>
          <w:b/>
          <w:bCs/>
          <w:kern w:val="2"/>
          <w:sz w:val="32"/>
          <w:szCs w:val="32"/>
          <w:highlight w:val="none"/>
          <w:lang w:val="en-US" w:eastAsia="zh-CN" w:bidi="ar-SA"/>
        </w:rPr>
        <w:t>招募内容</w:t>
      </w:r>
      <w:bookmarkEnd w:id="2"/>
    </w:p>
    <w:p w14:paraId="2942447A">
      <w:pPr>
        <w:widowControl/>
        <w:shd w:val="clear" w:color="auto" w:fill="FFFFFF"/>
        <w:spacing w:line="360" w:lineRule="auto"/>
        <w:ind w:firstLine="482" w:firstLineChars="200"/>
        <w:rPr>
          <w:kern w:val="0"/>
          <w:sz w:val="24"/>
          <w:highlight w:val="none"/>
        </w:rPr>
      </w:pPr>
      <w:r>
        <w:rPr>
          <w:b/>
          <w:bCs/>
          <w:kern w:val="0"/>
          <w:sz w:val="24"/>
          <w:highlight w:val="none"/>
        </w:rPr>
        <w:t>1、项目名称</w:t>
      </w:r>
      <w:r>
        <w:rPr>
          <w:kern w:val="0"/>
          <w:sz w:val="24"/>
          <w:highlight w:val="none"/>
        </w:rPr>
        <w:t>：</w:t>
      </w:r>
      <w:r>
        <w:rPr>
          <w:rFonts w:hint="eastAsia" w:eastAsia="宋体"/>
          <w:kern w:val="0"/>
          <w:sz w:val="24"/>
          <w:highlight w:val="none"/>
          <w:lang w:eastAsia="zh-CN"/>
        </w:rPr>
        <w:t>四川铁塔2026年智联业务DICT行业合作伙伴公开招募项目（第二批）</w:t>
      </w:r>
      <w:r>
        <w:rPr>
          <w:kern w:val="0"/>
          <w:sz w:val="24"/>
          <w:highlight w:val="none"/>
        </w:rPr>
        <w:t>。</w:t>
      </w:r>
    </w:p>
    <w:p w14:paraId="650F7964">
      <w:pPr>
        <w:widowControl/>
        <w:shd w:val="clear" w:color="auto" w:fill="FFFFFF"/>
        <w:spacing w:line="360" w:lineRule="auto"/>
        <w:ind w:firstLine="482" w:firstLineChars="200"/>
        <w:jc w:val="left"/>
        <w:rPr>
          <w:kern w:val="0"/>
          <w:sz w:val="24"/>
          <w:highlight w:val="none"/>
        </w:rPr>
      </w:pPr>
      <w:r>
        <w:rPr>
          <w:b/>
          <w:bCs/>
          <w:kern w:val="0"/>
          <w:sz w:val="24"/>
          <w:highlight w:val="none"/>
        </w:rPr>
        <w:t>2、实施地点</w:t>
      </w:r>
      <w:r>
        <w:rPr>
          <w:kern w:val="0"/>
          <w:sz w:val="24"/>
          <w:highlight w:val="none"/>
        </w:rPr>
        <w:t>：四川省内。</w:t>
      </w:r>
    </w:p>
    <w:p w14:paraId="05F3F96E">
      <w:pPr>
        <w:widowControl/>
        <w:shd w:val="clear" w:color="auto" w:fill="FFFFFF"/>
        <w:spacing w:line="360" w:lineRule="auto"/>
        <w:ind w:firstLine="482" w:firstLineChars="200"/>
        <w:rPr>
          <w:kern w:val="0"/>
          <w:sz w:val="24"/>
          <w:highlight w:val="none"/>
        </w:rPr>
      </w:pPr>
      <w:r>
        <w:rPr>
          <w:b/>
          <w:bCs/>
          <w:kern w:val="0"/>
          <w:sz w:val="24"/>
          <w:highlight w:val="none"/>
        </w:rPr>
        <w:t>3、招募背景与范围</w:t>
      </w:r>
      <w:r>
        <w:rPr>
          <w:kern w:val="0"/>
          <w:sz w:val="24"/>
          <w:highlight w:val="none"/>
        </w:rPr>
        <w:t>：为推动中国铁塔股份有限公司四川省分公司（以下简称“四川铁塔”）、铁塔智联技术有限公司四川省分公司（以下简称“四川智联”）行业业务的高质量发展，结合省内21个地市提出的业务发展需求，本次拟在1</w:t>
      </w:r>
      <w:r>
        <w:rPr>
          <w:rFonts w:hint="eastAsia" w:ascii="Times New Roman" w:eastAsia="宋体"/>
          <w:kern w:val="0"/>
          <w:sz w:val="24"/>
          <w:highlight w:val="none"/>
          <w:lang w:val="en-US" w:eastAsia="zh-CN"/>
        </w:rPr>
        <w:t>2</w:t>
      </w:r>
      <w:r>
        <w:rPr>
          <w:kern w:val="0"/>
          <w:sz w:val="24"/>
          <w:highlight w:val="none"/>
        </w:rPr>
        <w:t>个行业</w:t>
      </w:r>
      <w:r>
        <w:rPr>
          <w:rFonts w:hint="eastAsia" w:ascii="Times New Roman" w:eastAsia="宋体"/>
          <w:kern w:val="0"/>
          <w:sz w:val="24"/>
          <w:highlight w:val="none"/>
          <w:lang w:val="en-US" w:eastAsia="zh-CN"/>
        </w:rPr>
        <w:t>46个场景</w:t>
      </w:r>
      <w:r>
        <w:rPr>
          <w:kern w:val="0"/>
          <w:sz w:val="24"/>
          <w:highlight w:val="none"/>
        </w:rPr>
        <w:t>内招募二级库合作伙伴，配合四川铁塔、四川智联及各级地市分公司在四川省范围内开展DICT类项目拓展。</w:t>
      </w:r>
    </w:p>
    <w:p w14:paraId="5A956536">
      <w:pPr>
        <w:widowControl/>
        <w:shd w:val="clear" w:color="auto" w:fill="FFFFFF"/>
        <w:spacing w:line="360" w:lineRule="auto"/>
        <w:ind w:firstLine="482" w:firstLineChars="200"/>
        <w:jc w:val="left"/>
        <w:rPr>
          <w:kern w:val="0"/>
          <w:sz w:val="24"/>
          <w:highlight w:val="none"/>
        </w:rPr>
      </w:pPr>
      <w:r>
        <w:rPr>
          <w:b/>
          <w:bCs/>
          <w:kern w:val="0"/>
          <w:sz w:val="24"/>
          <w:highlight w:val="none"/>
        </w:rPr>
        <w:t>4、招募方式：</w:t>
      </w:r>
      <w:r>
        <w:rPr>
          <w:kern w:val="0"/>
          <w:sz w:val="24"/>
          <w:highlight w:val="none"/>
        </w:rPr>
        <w:t>公开招募。</w:t>
      </w:r>
    </w:p>
    <w:p w14:paraId="7BDADF4B">
      <w:pPr>
        <w:widowControl/>
        <w:shd w:val="clear" w:color="auto" w:fill="FFFFFF"/>
        <w:spacing w:line="360" w:lineRule="auto"/>
        <w:ind w:firstLine="482" w:firstLineChars="200"/>
        <w:jc w:val="left"/>
        <w:rPr>
          <w:kern w:val="0"/>
          <w:sz w:val="24"/>
          <w:highlight w:val="none"/>
        </w:rPr>
      </w:pPr>
      <w:r>
        <w:rPr>
          <w:b/>
          <w:bCs/>
          <w:kern w:val="0"/>
          <w:sz w:val="24"/>
          <w:highlight w:val="none"/>
        </w:rPr>
        <w:t>5、服务期限：</w:t>
      </w:r>
      <w:r>
        <w:rPr>
          <w:rFonts w:hint="eastAsia" w:ascii="Times New Roman" w:eastAsia="宋体"/>
          <w:kern w:val="0"/>
          <w:sz w:val="24"/>
          <w:highlight w:val="none"/>
          <w:lang w:val="en-US" w:eastAsia="zh-CN"/>
        </w:rPr>
        <w:t>结果公告发布起</w:t>
      </w:r>
      <w:r>
        <w:rPr>
          <w:kern w:val="0"/>
          <w:sz w:val="24"/>
          <w:highlight w:val="none"/>
        </w:rPr>
        <w:t>2年。</w:t>
      </w:r>
    </w:p>
    <w:p w14:paraId="1A23E8B5">
      <w:pPr>
        <w:widowControl/>
        <w:shd w:val="clear" w:color="auto" w:fill="FFFFFF"/>
        <w:spacing w:line="360" w:lineRule="auto"/>
        <w:ind w:firstLine="482" w:firstLineChars="200"/>
        <w:jc w:val="left"/>
        <w:rPr>
          <w:kern w:val="0"/>
          <w:sz w:val="24"/>
          <w:highlight w:val="none"/>
        </w:rPr>
      </w:pPr>
      <w:r>
        <w:rPr>
          <w:b/>
          <w:bCs/>
          <w:kern w:val="0"/>
          <w:sz w:val="24"/>
          <w:highlight w:val="none"/>
        </w:rPr>
        <w:t>6、意向合作区域：</w:t>
      </w:r>
      <w:r>
        <w:rPr>
          <w:kern w:val="0"/>
          <w:sz w:val="24"/>
          <w:highlight w:val="none"/>
        </w:rPr>
        <w:t>合作伙伴按照支撑能力覆盖范围填报意向合作区域，作为后续各分公司选定合作伙伴的参考。</w:t>
      </w:r>
    </w:p>
    <w:p w14:paraId="53D4B936">
      <w:pPr>
        <w:widowControl/>
        <w:shd w:val="clear" w:color="auto" w:fill="FFFFFF"/>
        <w:spacing w:line="360" w:lineRule="auto"/>
        <w:ind w:firstLine="482" w:firstLineChars="200"/>
        <w:jc w:val="left"/>
        <w:rPr>
          <w:kern w:val="0"/>
          <w:sz w:val="24"/>
          <w:highlight w:val="none"/>
        </w:rPr>
      </w:pPr>
      <w:r>
        <w:rPr>
          <w:b/>
          <w:bCs/>
          <w:kern w:val="0"/>
          <w:sz w:val="24"/>
          <w:highlight w:val="none"/>
        </w:rPr>
        <w:t>7、有效期及招募数量：</w:t>
      </w:r>
      <w:r>
        <w:rPr>
          <w:kern w:val="0"/>
          <w:sz w:val="24"/>
          <w:highlight w:val="none"/>
        </w:rPr>
        <w:t>招募公告有效期为</w:t>
      </w:r>
      <w:r>
        <w:rPr>
          <w:rFonts w:hint="eastAsia"/>
          <w:kern w:val="0"/>
          <w:sz w:val="24"/>
          <w:highlight w:val="none"/>
        </w:rPr>
        <w:t>北京时间202</w:t>
      </w:r>
      <w:r>
        <w:rPr>
          <w:rFonts w:hint="eastAsia" w:ascii="Times New Roman" w:eastAsia="宋体"/>
          <w:kern w:val="0"/>
          <w:sz w:val="24"/>
          <w:highlight w:val="none"/>
          <w:lang w:val="en-US" w:eastAsia="zh-CN"/>
        </w:rPr>
        <w:t>6</w:t>
      </w:r>
      <w:r>
        <w:rPr>
          <w:rFonts w:hint="eastAsia"/>
          <w:kern w:val="0"/>
          <w:sz w:val="24"/>
          <w:highlight w:val="none"/>
        </w:rPr>
        <w:t>年</w:t>
      </w:r>
      <w:r>
        <w:rPr>
          <w:rFonts w:hint="eastAsia" w:ascii="Times New Roman" w:eastAsia="宋体"/>
          <w:kern w:val="0"/>
          <w:sz w:val="24"/>
          <w:highlight w:val="none"/>
          <w:lang w:val="en-US" w:eastAsia="zh-CN"/>
        </w:rPr>
        <w:t>3</w:t>
      </w:r>
      <w:r>
        <w:rPr>
          <w:rFonts w:hint="eastAsia"/>
          <w:kern w:val="0"/>
          <w:sz w:val="24"/>
          <w:highlight w:val="none"/>
        </w:rPr>
        <w:t>月</w:t>
      </w:r>
      <w:r>
        <w:rPr>
          <w:rFonts w:hint="eastAsia" w:ascii="Times New Roman" w:eastAsia="宋体"/>
          <w:kern w:val="0"/>
          <w:sz w:val="24"/>
          <w:highlight w:val="none"/>
          <w:lang w:val="en-US" w:eastAsia="zh-CN"/>
        </w:rPr>
        <w:t>11</w:t>
      </w:r>
      <w:r>
        <w:rPr>
          <w:rFonts w:hint="eastAsia"/>
          <w:kern w:val="0"/>
          <w:sz w:val="24"/>
          <w:highlight w:val="none"/>
        </w:rPr>
        <w:t>日18时00分至202</w:t>
      </w:r>
      <w:r>
        <w:rPr>
          <w:rFonts w:hint="eastAsia" w:ascii="Times New Roman" w:eastAsia="宋体"/>
          <w:kern w:val="0"/>
          <w:sz w:val="24"/>
          <w:highlight w:val="none"/>
          <w:lang w:val="en-US" w:eastAsia="zh-CN"/>
        </w:rPr>
        <w:t>6</w:t>
      </w:r>
      <w:r>
        <w:rPr>
          <w:rFonts w:hint="eastAsia"/>
          <w:kern w:val="0"/>
          <w:sz w:val="24"/>
          <w:highlight w:val="none"/>
        </w:rPr>
        <w:t>年</w:t>
      </w:r>
      <w:r>
        <w:rPr>
          <w:rFonts w:hint="eastAsia" w:ascii="Times New Roman" w:eastAsia="宋体"/>
          <w:kern w:val="0"/>
          <w:sz w:val="24"/>
          <w:highlight w:val="none"/>
          <w:lang w:val="en-US" w:eastAsia="zh-CN"/>
        </w:rPr>
        <w:t>3</w:t>
      </w:r>
      <w:r>
        <w:rPr>
          <w:rFonts w:hint="eastAsia"/>
          <w:kern w:val="0"/>
          <w:sz w:val="24"/>
          <w:highlight w:val="none"/>
        </w:rPr>
        <w:t>月</w:t>
      </w:r>
      <w:r>
        <w:rPr>
          <w:rFonts w:hint="eastAsia" w:ascii="Times New Roman" w:eastAsia="宋体"/>
          <w:kern w:val="0"/>
          <w:sz w:val="24"/>
          <w:highlight w:val="none"/>
          <w:lang w:val="en-US" w:eastAsia="zh-CN"/>
        </w:rPr>
        <w:t>18</w:t>
      </w:r>
      <w:r>
        <w:rPr>
          <w:rFonts w:hint="eastAsia"/>
          <w:kern w:val="0"/>
          <w:sz w:val="24"/>
          <w:highlight w:val="none"/>
        </w:rPr>
        <w:t>日18时00分</w:t>
      </w:r>
      <w:r>
        <w:rPr>
          <w:kern w:val="0"/>
          <w:sz w:val="24"/>
          <w:highlight w:val="none"/>
        </w:rPr>
        <w:t>，在此期间随时接受供应商报名，招募方将</w:t>
      </w:r>
      <w:r>
        <w:rPr>
          <w:rFonts w:hint="eastAsia" w:ascii="Times New Roman" w:eastAsia="宋体"/>
          <w:kern w:val="0"/>
          <w:sz w:val="24"/>
          <w:highlight w:val="none"/>
          <w:lang w:val="en-US" w:eastAsia="zh-CN"/>
        </w:rPr>
        <w:t>在递交文件时间截止后</w:t>
      </w:r>
      <w:r>
        <w:rPr>
          <w:kern w:val="0"/>
          <w:sz w:val="24"/>
          <w:highlight w:val="none"/>
        </w:rPr>
        <w:t>组织评审。</w:t>
      </w:r>
    </w:p>
    <w:p w14:paraId="1F853A58">
      <w:pPr>
        <w:widowControl/>
        <w:shd w:val="clear" w:color="auto" w:fill="FFFFFF"/>
        <w:spacing w:line="360" w:lineRule="auto"/>
        <w:ind w:firstLine="480" w:firstLineChars="200"/>
        <w:rPr>
          <w:kern w:val="0"/>
          <w:sz w:val="24"/>
          <w:highlight w:val="none"/>
        </w:rPr>
      </w:pPr>
      <w:r>
        <w:rPr>
          <w:kern w:val="0"/>
          <w:sz w:val="24"/>
          <w:highlight w:val="none"/>
        </w:rPr>
        <w:t>招募期间各</w:t>
      </w:r>
      <w:r>
        <w:rPr>
          <w:rFonts w:hint="eastAsia"/>
          <w:kern w:val="0"/>
          <w:sz w:val="24"/>
          <w:highlight w:val="none"/>
        </w:rPr>
        <w:t>场景</w:t>
      </w:r>
      <w:r>
        <w:rPr>
          <w:kern w:val="0"/>
          <w:sz w:val="24"/>
          <w:highlight w:val="none"/>
        </w:rPr>
        <w:t>合作伙伴累计</w:t>
      </w:r>
      <w:r>
        <w:rPr>
          <w:rFonts w:hint="eastAsia"/>
          <w:kern w:val="0"/>
          <w:sz w:val="24"/>
          <w:highlight w:val="none"/>
        </w:rPr>
        <w:t>上限均为3</w:t>
      </w:r>
      <w:r>
        <w:rPr>
          <w:kern w:val="0"/>
          <w:sz w:val="24"/>
          <w:highlight w:val="none"/>
        </w:rPr>
        <w:t>0家，</w:t>
      </w:r>
      <w:r>
        <w:rPr>
          <w:rFonts w:hint="eastAsia"/>
          <w:kern w:val="0"/>
          <w:sz w:val="24"/>
          <w:highlight w:val="none"/>
        </w:rPr>
        <w:t>新报名的合作伙伴，实行“兼投兼中”原则：当“已入围+新报名”数量小于等于30家时，满足合作伙伴资格要求的合作伙伴纳入入围名单；当“已入围+新报名”报名数量大于等于30家时，按照打分选择排名靠前的合作伙伴入围（得分相同的情况下以服务支撑能力总得分高低进行排序）。</w:t>
      </w:r>
      <w:r>
        <w:rPr>
          <w:kern w:val="0"/>
          <w:sz w:val="24"/>
          <w:highlight w:val="none"/>
        </w:rPr>
        <w:t>在公告发布有效期内，如招募方因为政策变化等因素有新的要求，将重新发布招募公告，招募公告以最新发布为准。</w:t>
      </w:r>
    </w:p>
    <w:p w14:paraId="05AFB9BA">
      <w:pPr>
        <w:widowControl/>
        <w:shd w:val="clear" w:color="auto" w:fill="FFFFFF"/>
        <w:spacing w:line="360" w:lineRule="auto"/>
        <w:ind w:firstLine="482" w:firstLineChars="200"/>
        <w:rPr>
          <w:kern w:val="0"/>
          <w:sz w:val="24"/>
          <w:highlight w:val="none"/>
        </w:rPr>
      </w:pPr>
      <w:r>
        <w:rPr>
          <w:b/>
          <w:bCs/>
          <w:kern w:val="0"/>
          <w:sz w:val="24"/>
          <w:highlight w:val="none"/>
        </w:rPr>
        <w:t>8、入围合作伙伴平台服务能力：</w:t>
      </w:r>
      <w:r>
        <w:rPr>
          <w:kern w:val="0"/>
          <w:sz w:val="24"/>
          <w:highlight w:val="none"/>
        </w:rPr>
        <w:t>项目合作伙伴提供行业级专业应用和解决方案，涉及视频监控相关的功能，合作伙伴原则上须使用铁塔视联统一平台功能、算法和API接口能力，入库合作伙伴须实现自身平台与铁塔视联统一平台对接，并于签约后3个月内具备平台演示的能力。</w:t>
      </w:r>
    </w:p>
    <w:p w14:paraId="3891D760">
      <w:pPr>
        <w:keepNext/>
        <w:keepLines/>
        <w:widowControl w:val="0"/>
        <w:numPr>
          <w:ilvl w:val="1"/>
          <w:numId w:val="1"/>
        </w:numPr>
        <w:spacing w:line="360" w:lineRule="auto"/>
        <w:jc w:val="both"/>
        <w:outlineLvl w:val="1"/>
        <w:rPr>
          <w:rFonts w:ascii="Times New Roman" w:hAnsi="Times New Roman" w:eastAsia="宋体" w:cs="Times New Roman"/>
          <w:b/>
          <w:bCs/>
          <w:kern w:val="2"/>
          <w:sz w:val="32"/>
          <w:szCs w:val="32"/>
          <w:highlight w:val="none"/>
          <w:lang w:val="en-US" w:eastAsia="zh-CN" w:bidi="ar-SA"/>
        </w:rPr>
      </w:pPr>
      <w:bookmarkStart w:id="3" w:name="_Toc16271"/>
      <w:r>
        <w:rPr>
          <w:rFonts w:ascii="Times New Roman" w:hAnsi="Times New Roman" w:eastAsia="宋体" w:cs="Times New Roman"/>
          <w:b/>
          <w:bCs/>
          <w:kern w:val="2"/>
          <w:sz w:val="32"/>
          <w:szCs w:val="32"/>
          <w:highlight w:val="none"/>
          <w:lang w:val="en-US" w:eastAsia="zh-CN" w:bidi="ar-SA"/>
        </w:rPr>
        <w:t>招募方案</w:t>
      </w:r>
      <w:bookmarkEnd w:id="3"/>
    </w:p>
    <w:p w14:paraId="37BE82E5">
      <w:pPr>
        <w:keepNext/>
        <w:keepLines/>
        <w:widowControl w:val="0"/>
        <w:numPr>
          <w:ilvl w:val="2"/>
          <w:numId w:val="1"/>
        </w:numPr>
        <w:spacing w:line="360" w:lineRule="auto"/>
        <w:jc w:val="both"/>
        <w:outlineLvl w:val="2"/>
        <w:rPr>
          <w:rFonts w:ascii="Times New Roman" w:hAnsi="Times New Roman" w:eastAsia="宋体" w:cs="Times New Roman"/>
          <w:b/>
          <w:bCs/>
          <w:kern w:val="2"/>
          <w:sz w:val="28"/>
          <w:szCs w:val="28"/>
          <w:highlight w:val="none"/>
          <w:lang w:val="en-US" w:eastAsia="zh-CN" w:bidi="ar-SA"/>
        </w:rPr>
      </w:pPr>
      <w:bookmarkStart w:id="4" w:name="_Toc7173"/>
      <w:r>
        <w:rPr>
          <w:rFonts w:hint="eastAsia" w:ascii="Times New Roman" w:hAnsi="Times New Roman" w:eastAsia="宋体" w:cs="Times New Roman"/>
          <w:b/>
          <w:bCs/>
          <w:kern w:val="2"/>
          <w:sz w:val="28"/>
          <w:szCs w:val="28"/>
          <w:highlight w:val="none"/>
          <w:lang w:val="en-US" w:eastAsia="zh-CN" w:bidi="ar-SA"/>
        </w:rPr>
        <w:t>行业及场景</w:t>
      </w:r>
      <w:r>
        <w:rPr>
          <w:rFonts w:ascii="Times New Roman" w:hAnsi="Times New Roman" w:eastAsia="宋体" w:cs="Times New Roman"/>
          <w:b/>
          <w:bCs/>
          <w:kern w:val="2"/>
          <w:sz w:val="28"/>
          <w:szCs w:val="28"/>
          <w:highlight w:val="none"/>
          <w:lang w:val="en-US" w:eastAsia="zh-CN" w:bidi="ar-SA"/>
        </w:rPr>
        <w:t>划分</w:t>
      </w:r>
      <w:bookmarkEnd w:id="4"/>
    </w:p>
    <w:p w14:paraId="0FD082A4">
      <w:pPr>
        <w:widowControl/>
        <w:shd w:val="clear" w:color="auto" w:fill="FFFFFF"/>
        <w:spacing w:line="360" w:lineRule="auto"/>
        <w:ind w:firstLine="480" w:firstLineChars="200"/>
        <w:jc w:val="left"/>
        <w:rPr>
          <w:kern w:val="0"/>
          <w:sz w:val="24"/>
          <w:highlight w:val="none"/>
        </w:rPr>
      </w:pPr>
      <w:r>
        <w:rPr>
          <w:kern w:val="0"/>
          <w:sz w:val="24"/>
          <w:highlight w:val="none"/>
        </w:rPr>
        <w:t>划分1</w:t>
      </w:r>
      <w:r>
        <w:rPr>
          <w:rFonts w:hint="eastAsia" w:ascii="Times New Roman" w:eastAsia="宋体"/>
          <w:kern w:val="0"/>
          <w:sz w:val="24"/>
          <w:highlight w:val="none"/>
          <w:lang w:val="en-US" w:eastAsia="zh-CN"/>
        </w:rPr>
        <w:t>2</w:t>
      </w:r>
      <w:r>
        <w:rPr>
          <w:kern w:val="0"/>
          <w:sz w:val="24"/>
          <w:highlight w:val="none"/>
        </w:rPr>
        <w:t>个</w:t>
      </w:r>
      <w:r>
        <w:rPr>
          <w:rFonts w:hint="eastAsia"/>
          <w:kern w:val="0"/>
          <w:sz w:val="24"/>
          <w:highlight w:val="none"/>
        </w:rPr>
        <w:t>行业</w:t>
      </w:r>
      <w:r>
        <w:rPr>
          <w:rFonts w:hint="eastAsia" w:ascii="Times New Roman" w:eastAsia="宋体"/>
          <w:kern w:val="0"/>
          <w:sz w:val="24"/>
          <w:highlight w:val="none"/>
          <w:lang w:val="en-US" w:eastAsia="zh-CN"/>
        </w:rPr>
        <w:t>46个场景</w:t>
      </w:r>
      <w:r>
        <w:rPr>
          <w:kern w:val="0"/>
          <w:sz w:val="24"/>
          <w:highlight w:val="none"/>
        </w:rPr>
        <w:t>，具体服务能力要求详见行业技术规范书。</w:t>
      </w:r>
    </w:p>
    <w:tbl>
      <w:tblPr>
        <w:tblStyle w:val="7"/>
        <w:tblW w:w="84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2" w:type="dxa"/>
          <w:left w:w="64" w:type="dxa"/>
          <w:bottom w:w="32" w:type="dxa"/>
          <w:right w:w="64" w:type="dxa"/>
        </w:tblCellMar>
      </w:tblPr>
      <w:tblGrid>
        <w:gridCol w:w="1291"/>
        <w:gridCol w:w="1287"/>
        <w:gridCol w:w="1291"/>
        <w:gridCol w:w="2652"/>
        <w:gridCol w:w="1910"/>
      </w:tblGrid>
      <w:tr w14:paraId="4DFA5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blHeader/>
          <w:jc w:val="center"/>
        </w:trPr>
        <w:tc>
          <w:tcPr>
            <w:tcW w:w="1291" w:type="dxa"/>
            <w:tcBorders>
              <w:top w:val="single" w:color="000000" w:sz="8" w:space="0"/>
              <w:left w:val="single" w:color="000000" w:sz="8" w:space="0"/>
              <w:bottom w:val="nil"/>
              <w:right w:val="single" w:color="000000" w:sz="8" w:space="0"/>
            </w:tcBorders>
            <w:noWrap/>
            <w:vAlign w:val="center"/>
          </w:tcPr>
          <w:p w14:paraId="5DF6AAC7">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行业序号</w:t>
            </w:r>
          </w:p>
        </w:tc>
        <w:tc>
          <w:tcPr>
            <w:tcW w:w="1287" w:type="dxa"/>
            <w:tcBorders>
              <w:top w:val="single" w:color="000000" w:sz="8" w:space="0"/>
              <w:left w:val="nil"/>
              <w:bottom w:val="nil"/>
              <w:right w:val="single" w:color="000000" w:sz="8" w:space="0"/>
            </w:tcBorders>
            <w:noWrap/>
            <w:vAlign w:val="center"/>
          </w:tcPr>
          <w:p w14:paraId="1EC95B45">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行业</w:t>
            </w:r>
          </w:p>
        </w:tc>
        <w:tc>
          <w:tcPr>
            <w:tcW w:w="1291" w:type="dxa"/>
            <w:tcBorders>
              <w:top w:val="single" w:color="000000" w:sz="8" w:space="0"/>
              <w:left w:val="nil"/>
              <w:bottom w:val="nil"/>
              <w:right w:val="single" w:color="000000" w:sz="8" w:space="0"/>
            </w:tcBorders>
            <w:noWrap/>
            <w:vAlign w:val="center"/>
          </w:tcPr>
          <w:p w14:paraId="38D55337">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场景序号</w:t>
            </w:r>
          </w:p>
        </w:tc>
        <w:tc>
          <w:tcPr>
            <w:tcW w:w="2652" w:type="dxa"/>
            <w:tcBorders>
              <w:top w:val="single" w:color="000000" w:sz="8" w:space="0"/>
              <w:left w:val="nil"/>
              <w:bottom w:val="nil"/>
              <w:right w:val="single" w:color="000000" w:sz="8" w:space="0"/>
            </w:tcBorders>
            <w:noWrap/>
            <w:vAlign w:val="center"/>
          </w:tcPr>
          <w:p w14:paraId="53C7A8FF">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场景</w:t>
            </w:r>
          </w:p>
        </w:tc>
        <w:tc>
          <w:tcPr>
            <w:tcW w:w="1910" w:type="dxa"/>
            <w:tcBorders>
              <w:top w:val="single" w:color="000000" w:sz="8" w:space="0"/>
              <w:left w:val="nil"/>
              <w:bottom w:val="nil"/>
              <w:right w:val="single" w:color="000000" w:sz="8" w:space="0"/>
            </w:tcBorders>
            <w:noWrap w:val="0"/>
            <w:vAlign w:val="center"/>
          </w:tcPr>
          <w:p w14:paraId="452DE026">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服务类别</w:t>
            </w:r>
          </w:p>
        </w:tc>
      </w:tr>
      <w:tr w14:paraId="5DFF9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7828940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05BD9AF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林草</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509AF0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9DEAF6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病虫害防治</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6A35D6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B386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E1EFB2E">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0D15149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8396073">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2419BD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森林防火</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B76E22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5AF4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3B55DF1">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58952E0F">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CE948B5">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DF8FEC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湿地、保护区监管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95F6E6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3911A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05CA34E0">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5E0C501F">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EA97F7B">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BCE0A4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生物多样性</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9B0F5F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52485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5E03E5D6">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4FCE5AA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水利</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4634C99">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5</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E1D265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防汛抗旱</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959A03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7723F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BDFE691">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1F421EDC">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BF83E92">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6</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C1E6A1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灌区管理</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491CE4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F2F7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5604549F">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1E9C24EE">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FA14DC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7</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7BF2C08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河湖立体监测感知</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06441C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028F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7D6689D">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41C71F65">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7E65E4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8</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C8FFC3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城乡供水</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580F4C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7AE2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7926B1B">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268A8760">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17E11A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9</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63EF9FF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水库大坝安全监测预警</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E269A3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33549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11D2D6C">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72F704E2">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2E852E9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10</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77BAD7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数字孪生流域</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96F0E4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426D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5944C21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w:t>
            </w:r>
          </w:p>
        </w:tc>
        <w:tc>
          <w:tcPr>
            <w:tcW w:w="1287" w:type="dxa"/>
            <w:vMerge w:val="restart"/>
            <w:tcBorders>
              <w:top w:val="single" w:color="000000" w:sz="4" w:space="0"/>
              <w:left w:val="single" w:color="000000" w:sz="4" w:space="0"/>
              <w:bottom w:val="single" w:color="000000" w:sz="4" w:space="0"/>
              <w:right w:val="single" w:color="000000" w:sz="4" w:space="0"/>
            </w:tcBorders>
            <w:noWrap w:val="0"/>
            <w:vAlign w:val="center"/>
          </w:tcPr>
          <w:p w14:paraId="1E611E6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交通</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3CF24E5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11</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7D15F3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高速应用</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F92656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E26D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47E211AC">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A5D128">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040A821">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12</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2A2ED2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国省干道监控监管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C4EFAD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7F3B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4560DE12">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A13E1A">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1D11216">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13</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95634F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航道安全</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42FEDA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53070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49DDEEB7">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296147">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5D990DE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14</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95C9FE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铁路监管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46F620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33A1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2C94B3ED">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98987">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0F9A521F">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15</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34986A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智慧停车</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D069DB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41D0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63834E4E">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w:t>
            </w:r>
          </w:p>
        </w:tc>
        <w:tc>
          <w:tcPr>
            <w:tcW w:w="1287" w:type="dxa"/>
            <w:vMerge w:val="restart"/>
            <w:tcBorders>
              <w:top w:val="single" w:color="000000" w:sz="4" w:space="0"/>
              <w:left w:val="single" w:color="000000" w:sz="4" w:space="0"/>
              <w:bottom w:val="single" w:color="000000" w:sz="4" w:space="0"/>
              <w:right w:val="single" w:color="000000" w:sz="4" w:space="0"/>
            </w:tcBorders>
            <w:noWrap w:val="0"/>
            <w:vAlign w:val="center"/>
          </w:tcPr>
          <w:p w14:paraId="0CC37F8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国土</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590D7F3F">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16</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BCA450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耕地保护</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8D2663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59CF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0620590D">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0EF3A5">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3BA8A582">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17</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03F230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矿山监管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61E6AC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5BFA6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0189AA77">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028915">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805DA5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18</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F9AAD0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地灾监测</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D52336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8C52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5D9FF170">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E74191">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2027E823">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19</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09FC970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实景三维及生态修复</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D88C35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9E4F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0958FC43">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5</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1DB3ECE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农业</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04DB34F">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20</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094D4A6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渔政执法</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F073F0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FADE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2CCDC648">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091616C4">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7441D07">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21</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7505865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数字农业监管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866C0D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DB0E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29D3359">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367E1400">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3079D007">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22</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4E45338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高标准农田</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34CAA1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B5B7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63150FDC">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2139E38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0791E8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23</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7003B28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数字乡村监管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B3AF06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D46C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3E4B6B2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6</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676743F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环保</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A2C7E73">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24</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06AB1B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大气污染防治</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DC3205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067C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2F7213CA">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5320FB7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5C2BFCF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25</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6A682F0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秸秆禁烧监控</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5747EE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328F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04D48E7E">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3E590922">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06E1C56">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26</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4E6626E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土壤监测</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9F84FC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BFAF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7810C300">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69F4696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53F35916">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27</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78AEFD6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水环境污染防治</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F01210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71756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2DD1FF0E">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2A927C5B">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77A78C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28</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09576F5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噪声污染防治</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4B8779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0CC3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2F3014D7">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7</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1395A70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政法</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4E3FBE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29</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C58ADA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公安专网</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615159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F296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423725A">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3A3A0BD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2B018699">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30</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C4624E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系统集成</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199E6E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6FBE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6557A632">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7C44891A">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2086C1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31</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486DAB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城市数字安防</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6F6902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A6F1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4BB7BD43">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8</w:t>
            </w:r>
          </w:p>
        </w:tc>
        <w:tc>
          <w:tcPr>
            <w:tcW w:w="1287" w:type="dxa"/>
            <w:vMerge w:val="restart"/>
            <w:tcBorders>
              <w:top w:val="single" w:color="000000" w:sz="4" w:space="0"/>
              <w:left w:val="single" w:color="000000" w:sz="4" w:space="0"/>
              <w:bottom w:val="single" w:color="000000" w:sz="4" w:space="0"/>
              <w:right w:val="single" w:color="000000" w:sz="4" w:space="0"/>
            </w:tcBorders>
            <w:noWrap w:val="0"/>
            <w:vAlign w:val="center"/>
          </w:tcPr>
          <w:p w14:paraId="547BFA2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应急</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60D1F31">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32</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A32E9B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油气管道安全监管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E29E7C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E36F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D3CBB8F">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FFBD46">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61EE14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33</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642021E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智慧人防</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B7CA61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1390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C7D5F91">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CEDC47">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AE60A66">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34</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6DA7E08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自然灾害风险隐患监测预警</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BCCED0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773E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66C1950E">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62FB1D">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09531AB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35</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DC8641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应急通信专网</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A28385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91FB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7FC2302">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2AC2CA">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5ACE9A32">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36</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0180367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危化品园区监管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D9182C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E241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46D4E804">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6328E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571176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37</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BFC773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指挥调度</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F7149D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C129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49D03CD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9</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5055615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住建</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349910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38</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47BDA6D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城市安全</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72798F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5599E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6AA20D93">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4FD7E867">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03DE8161">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39</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6950F3A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灯联网</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7642B2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A102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1B1E16D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10</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7D24C65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文旅</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847547A">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40</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4B3740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文物保护</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775869D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4680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AE8E820">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018BAA7F">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6FD389B">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41</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63EF4C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数字景区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72F1BAA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DBFF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78FBD179">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11</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023B344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科教文卫</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05EDD3D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42</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BC4C9C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科技教育</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5DFBCB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50B0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66FC4EC6">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422066A7">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C9DFCCE">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43</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0396566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卫生医疗</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22C633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78604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7E84978F">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12</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3EAFB6F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低空经济</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03427AD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44</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767CD0B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软件基础设施</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BF2D28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1BC2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2B74AEB6">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7C5651BE">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3EA6541">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45</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47E834C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物理基础设施</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6C8A48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54513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0A9527AC">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023A702A">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28F37847">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46</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4643215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信息基础设施</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D6335B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bl>
    <w:p w14:paraId="795482C4">
      <w:pPr>
        <w:keepNext/>
        <w:keepLines/>
        <w:widowControl w:val="0"/>
        <w:numPr>
          <w:ilvl w:val="2"/>
          <w:numId w:val="1"/>
        </w:numPr>
        <w:spacing w:line="360" w:lineRule="auto"/>
        <w:jc w:val="both"/>
        <w:outlineLvl w:val="2"/>
        <w:rPr>
          <w:rFonts w:ascii="Times New Roman" w:hAnsi="Times New Roman" w:eastAsia="宋体" w:cs="Times New Roman"/>
          <w:b/>
          <w:bCs/>
          <w:kern w:val="2"/>
          <w:sz w:val="28"/>
          <w:szCs w:val="28"/>
          <w:highlight w:val="none"/>
          <w:lang w:val="en-US" w:eastAsia="zh-CN" w:bidi="ar-SA"/>
        </w:rPr>
      </w:pPr>
      <w:bookmarkStart w:id="5" w:name="_Toc12688"/>
      <w:r>
        <w:rPr>
          <w:rFonts w:ascii="Times New Roman" w:hAnsi="Times New Roman" w:eastAsia="宋体" w:cs="Times New Roman"/>
          <w:b/>
          <w:bCs/>
          <w:kern w:val="2"/>
          <w:sz w:val="28"/>
          <w:szCs w:val="28"/>
          <w:highlight w:val="none"/>
          <w:lang w:val="en-US" w:eastAsia="zh-CN" w:bidi="ar-SA"/>
        </w:rPr>
        <w:t>合作伙伴资格要求</w:t>
      </w:r>
      <w:bookmarkEnd w:id="5"/>
    </w:p>
    <w:p w14:paraId="7F049368">
      <w:pPr>
        <w:widowControl w:val="0"/>
        <w:spacing w:before="0" w:line="360" w:lineRule="auto"/>
        <w:ind w:left="0" w:firstLine="480" w:firstLineChars="200"/>
        <w:jc w:val="both"/>
        <w:rPr>
          <w:rFonts w:hint="eastAsia"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1、</w:t>
      </w:r>
      <w:r>
        <w:rPr>
          <w:rFonts w:hint="eastAsia" w:ascii="Times New Roman" w:hAnsi="Times New Roman" w:eastAsia="宋体" w:cs="Times New Roman"/>
          <w:kern w:val="0"/>
          <w:sz w:val="24"/>
          <w:szCs w:val="24"/>
          <w:highlight w:val="none"/>
          <w:lang w:val="en-US" w:eastAsia="zh-CN" w:bidi="ar-SA"/>
        </w:rPr>
        <w:t>供应商应为在中华人民共和国境内（不含香港、澳门、台湾地区）法律上和财务上独立的法人或依法登记注册的非法人组织，合法运作并独立于招募人和招募代理机构,且注册资金或开办资金300万元人民币及以上。法人下属不具备法人资格的分支机构参与响应的，应提供所属法人针对本项目或覆盖本项目的经营事项的有效授权。</w:t>
      </w:r>
    </w:p>
    <w:p w14:paraId="164FAD45">
      <w:pPr>
        <w:widowControl w:val="0"/>
        <w:spacing w:before="0" w:line="360" w:lineRule="auto"/>
        <w:ind w:left="0" w:firstLine="480" w:firstLineChars="200"/>
        <w:jc w:val="both"/>
        <w:rPr>
          <w:rFonts w:hint="eastAsia"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注：须提供合法有效的登记(或注册)证明文件扫描件，如：营业执照、事业单位法人证书、社会团体法人登记证书等。如为不具备法人资格的分支机构，还须提供法人针对本项目或覆盖本项目的经营事项的有效授权。</w:t>
      </w:r>
    </w:p>
    <w:p w14:paraId="10001A28">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2、在中华人民共和国境内合法登记注册、根据中华人民共和国有关法律合法成立并存续，具有承担民事责任能力；</w:t>
      </w:r>
    </w:p>
    <w:p w14:paraId="5E94E05C">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3、单位负责人为同一人或者存在直接控股、管理关系的不同合作伙伴，不得参加同一合同项下的招募活动；</w:t>
      </w:r>
    </w:p>
    <w:p w14:paraId="3AF2439E">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4、不接受联合体投标。</w:t>
      </w:r>
    </w:p>
    <w:p w14:paraId="7AEF8CD6">
      <w:pPr>
        <w:widowControl/>
        <w:shd w:val="clear" w:color="auto" w:fill="FFFFFF"/>
        <w:spacing w:line="360" w:lineRule="auto"/>
        <w:ind w:firstLine="480" w:firstLineChars="200"/>
        <w:jc w:val="left"/>
        <w:rPr>
          <w:rFonts w:hint="eastAsia"/>
          <w:kern w:val="0"/>
          <w:sz w:val="24"/>
          <w:highlight w:val="none"/>
        </w:rPr>
      </w:pPr>
      <w:r>
        <w:rPr>
          <w:kern w:val="0"/>
          <w:sz w:val="24"/>
          <w:highlight w:val="none"/>
        </w:rPr>
        <w:t>5、业绩要求：</w:t>
      </w:r>
      <w:r>
        <w:rPr>
          <w:rFonts w:hint="eastAsia"/>
          <w:kern w:val="0"/>
          <w:sz w:val="24"/>
          <w:highlight w:val="none"/>
        </w:rPr>
        <w:t>按照合作伙伴报名的行业及场景，自2023年1月1日及以后对应场景的累计业绩。根据供应商参与的行业分别进行累计业绩的认定。具体要求如下：</w:t>
      </w:r>
    </w:p>
    <w:p w14:paraId="6DD3B556">
      <w:pPr>
        <w:widowControl/>
        <w:shd w:val="clear" w:color="auto" w:fill="FFFFFF"/>
        <w:spacing w:line="360" w:lineRule="auto"/>
        <w:ind w:firstLine="480" w:firstLineChars="200"/>
        <w:jc w:val="left"/>
        <w:rPr>
          <w:rFonts w:hint="eastAsia"/>
          <w:kern w:val="0"/>
          <w:sz w:val="24"/>
          <w:highlight w:val="none"/>
        </w:rPr>
      </w:pPr>
      <w:r>
        <w:rPr>
          <w:rFonts w:hint="eastAsia" w:eastAsia="宋体"/>
          <w:kern w:val="0"/>
          <w:sz w:val="24"/>
          <w:highlight w:val="none"/>
          <w:lang w:eastAsia="zh-CN"/>
        </w:rPr>
        <w:t>【</w:t>
      </w:r>
      <w:r>
        <w:rPr>
          <w:rFonts w:hint="eastAsia"/>
          <w:kern w:val="0"/>
          <w:sz w:val="24"/>
          <w:highlight w:val="none"/>
        </w:rPr>
        <w:t>1</w:t>
      </w:r>
      <w:r>
        <w:rPr>
          <w:rFonts w:hint="eastAsia" w:eastAsia="宋体"/>
          <w:kern w:val="0"/>
          <w:sz w:val="24"/>
          <w:highlight w:val="none"/>
          <w:lang w:eastAsia="zh-CN"/>
        </w:rPr>
        <w:t>】</w:t>
      </w:r>
      <w:r>
        <w:rPr>
          <w:rFonts w:hint="eastAsia"/>
          <w:kern w:val="0"/>
          <w:sz w:val="24"/>
          <w:highlight w:val="none"/>
        </w:rPr>
        <w:t>、环保、林草、农业行业及其对应的下属各场景，该3类行业累计业绩须分别达到150万元及以上。例如：参与环保和林草两个行业，环保须满足150万元，林草须满足150万元，共计300万元。</w:t>
      </w:r>
    </w:p>
    <w:p w14:paraId="0A3B8F1B">
      <w:pPr>
        <w:widowControl/>
        <w:shd w:val="clear" w:color="auto" w:fill="FFFFFF"/>
        <w:spacing w:line="360" w:lineRule="auto"/>
        <w:ind w:firstLine="480" w:firstLineChars="200"/>
        <w:jc w:val="left"/>
        <w:rPr>
          <w:rFonts w:hint="eastAsia"/>
          <w:kern w:val="0"/>
          <w:sz w:val="24"/>
          <w:highlight w:val="none"/>
        </w:rPr>
      </w:pPr>
      <w:r>
        <w:rPr>
          <w:rFonts w:hint="eastAsia" w:eastAsia="宋体"/>
          <w:kern w:val="0"/>
          <w:sz w:val="24"/>
          <w:highlight w:val="none"/>
          <w:lang w:eastAsia="zh-CN"/>
        </w:rPr>
        <w:t>【</w:t>
      </w:r>
      <w:r>
        <w:rPr>
          <w:rFonts w:hint="eastAsia" w:ascii="Times New Roman" w:eastAsia="宋体"/>
          <w:kern w:val="0"/>
          <w:sz w:val="24"/>
          <w:highlight w:val="none"/>
          <w:lang w:val="en-US" w:eastAsia="zh-CN"/>
        </w:rPr>
        <w:t>2</w:t>
      </w:r>
      <w:r>
        <w:rPr>
          <w:rFonts w:hint="eastAsia" w:eastAsia="宋体"/>
          <w:kern w:val="0"/>
          <w:sz w:val="24"/>
          <w:highlight w:val="none"/>
          <w:lang w:eastAsia="zh-CN"/>
        </w:rPr>
        <w:t>】</w:t>
      </w:r>
      <w:r>
        <w:rPr>
          <w:rFonts w:hint="eastAsia"/>
          <w:kern w:val="0"/>
          <w:sz w:val="24"/>
          <w:highlight w:val="none"/>
        </w:rPr>
        <w:t>、除上述行业外，其他行业及其下属各场景的累计业绩须分别达到50万元及以上。例如：参与住建和文旅两个行业，住建须满足50万元，文旅须满足50万元，共计100万元。</w:t>
      </w:r>
    </w:p>
    <w:p w14:paraId="1DB4C84D">
      <w:pPr>
        <w:widowControl/>
        <w:shd w:val="clear" w:color="auto" w:fill="FFFFFF"/>
        <w:spacing w:line="360" w:lineRule="auto"/>
        <w:ind w:firstLine="480" w:firstLineChars="200"/>
        <w:jc w:val="left"/>
        <w:rPr>
          <w:rFonts w:hint="eastAsia" w:eastAsia="宋体"/>
          <w:kern w:val="0"/>
          <w:sz w:val="24"/>
          <w:highlight w:val="none"/>
          <w:lang w:val="en-US" w:eastAsia="zh-CN"/>
        </w:rPr>
      </w:pPr>
      <w:r>
        <w:rPr>
          <w:rFonts w:hint="eastAsia"/>
          <w:kern w:val="0"/>
          <w:sz w:val="24"/>
          <w:highlight w:val="none"/>
        </w:rPr>
        <w:t>注：（1）DICT信息化项目经验指与客户合作的系统集成类或软件开发类或IT产品供货类或IT运维类项目。（2）须提供合同关键页扫描件（包括合同名称、甲乙方、合同内容、合同金额（若有）、签字盖章情况等），每个合同至少提供一张发票，且发票开具日期不早于合同签订日期或合同履行开始时间。合同中有明确金额的则以合同金额为准（固定金额或框架合同金额均可，累计业绩金额以签订的合同含税金额为准，合同中未能体现明确金额的需提供框架合同关键页扫描件、发票（评审时以发票含税累计金额为准）。未按要求提供相关证明材料的不予认可。（3）如证明文件模糊不清或缺失的，视为无效业绩。不提供、描述不清晰或无法证明属于同类业绩的，视为无效业绩。（4）本项目供应商之间的业绩为无效业绩。（5）业绩时间以合同签订时间或合同履行开始时间为准（任意一个时间属于本项目要求时间范围均可），未明确规定合同签订时间和合同开始履行时间的，须单独出具能证明合同签订时间或合同履行开始时间的证明材料（如甲方开具的盖章证明或甲方系统上的合同履行有效期截图等）。（6）以上纸质材料原件备查。（7）本项目所要求的业绩必须是供应商的业绩：①如分公司响应，不得使用总公司的业绩；②如总公司授权分公司代表总公司响应本项目，且响应主体及合同签订主体为总公司的，总公司和分公司的业绩均认可；③如总公司授权分公司响应本项目，且响应主体及合同签订主体为分公司的，则总公司的业绩均不予认可；④有母公司、子公司关系的，其业绩资料均不得通用</w:t>
      </w:r>
      <w:r>
        <w:rPr>
          <w:rFonts w:hint="eastAsia" w:eastAsia="宋体"/>
          <w:kern w:val="0"/>
          <w:sz w:val="24"/>
          <w:highlight w:val="none"/>
          <w:lang w:eastAsia="zh-CN"/>
        </w:rPr>
        <w:t>。</w:t>
      </w:r>
    </w:p>
    <w:p w14:paraId="6B50CA00">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6、不得存在情形：</w:t>
      </w:r>
    </w:p>
    <w:p w14:paraId="5CFB85AE">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（1）被依法暂停或取消投标资格的；</w:t>
      </w:r>
    </w:p>
    <w:p w14:paraId="692F26E6">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（2）被责令停产停业、暂扣或者吊销许可证、暂扣或者吊销执照；</w:t>
      </w:r>
    </w:p>
    <w:p w14:paraId="4F5FA509">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（3）进入清算程序，或被宣告破产，或其他丧失履约能力的情形；</w:t>
      </w:r>
    </w:p>
    <w:p w14:paraId="065084E3">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（4）在最近三年内（</w:t>
      </w:r>
      <w:r>
        <w:rPr>
          <w:rFonts w:hint="eastAsia" w:ascii="Times New Roman" w:hAnsi="Times New Roman" w:eastAsia="宋体" w:cs="Times New Roman"/>
          <w:kern w:val="0"/>
          <w:sz w:val="24"/>
          <w:szCs w:val="24"/>
          <w:highlight w:val="none"/>
          <w:lang w:val="en-US" w:eastAsia="zh-CN" w:bidi="ar-SA"/>
        </w:rPr>
        <w:t>自应答截止前三年</w:t>
      </w:r>
      <w:r>
        <w:rPr>
          <w:rFonts w:ascii="Times New Roman" w:hAnsi="Times New Roman" w:eastAsia="宋体" w:cs="Times New Roman"/>
          <w:kern w:val="0"/>
          <w:sz w:val="24"/>
          <w:szCs w:val="24"/>
          <w:highlight w:val="none"/>
          <w:lang w:val="en-US" w:eastAsia="zh-CN" w:bidi="ar-SA"/>
        </w:rPr>
        <w:t>）有骗取中标/中选、严重违约、重大工程质量或者安全问题的（以相关行业主管部门的行政处罚决定或司法机关出具的有关法律文书为准）的；</w:t>
      </w:r>
    </w:p>
    <w:p w14:paraId="15F70650">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（5）在最近五年内（</w:t>
      </w:r>
      <w:r>
        <w:rPr>
          <w:rFonts w:hint="eastAsia" w:ascii="Times New Roman" w:hAnsi="Times New Roman" w:eastAsia="宋体" w:cs="Times New Roman"/>
          <w:kern w:val="0"/>
          <w:sz w:val="24"/>
          <w:szCs w:val="24"/>
          <w:highlight w:val="none"/>
          <w:lang w:val="en-US" w:eastAsia="zh-CN" w:bidi="ar-SA"/>
        </w:rPr>
        <w:t>自应答截止前五年</w:t>
      </w:r>
      <w:r>
        <w:rPr>
          <w:rFonts w:ascii="Times New Roman" w:hAnsi="Times New Roman" w:eastAsia="宋体" w:cs="Times New Roman"/>
          <w:kern w:val="0"/>
          <w:sz w:val="24"/>
          <w:szCs w:val="24"/>
          <w:highlight w:val="none"/>
          <w:lang w:val="en-US" w:eastAsia="zh-CN" w:bidi="ar-SA"/>
        </w:rPr>
        <w:t>）被判处单位行贿罪，且行贿行为与采购活动相关的（以“中国裁判文书网”的生效判决为准）；</w:t>
      </w:r>
    </w:p>
    <w:p w14:paraId="40E2CE49">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（6）在最近五年内（</w:t>
      </w:r>
      <w:r>
        <w:rPr>
          <w:rFonts w:hint="eastAsia" w:ascii="Times New Roman" w:hAnsi="Times New Roman" w:eastAsia="宋体" w:cs="Times New Roman"/>
          <w:kern w:val="0"/>
          <w:sz w:val="24"/>
          <w:szCs w:val="24"/>
          <w:highlight w:val="none"/>
          <w:lang w:val="en-US" w:eastAsia="zh-CN" w:bidi="ar-SA"/>
        </w:rPr>
        <w:t>自应答截止前五年</w:t>
      </w:r>
      <w:r>
        <w:rPr>
          <w:rFonts w:ascii="Times New Roman" w:hAnsi="Times New Roman" w:eastAsia="宋体" w:cs="Times New Roman"/>
          <w:kern w:val="0"/>
          <w:sz w:val="24"/>
          <w:szCs w:val="24"/>
          <w:highlight w:val="none"/>
          <w:lang w:val="en-US" w:eastAsia="zh-CN" w:bidi="ar-SA"/>
        </w:rPr>
        <w:t>）被判处合同诈骗罪的（以“中国裁判文书网”的生效判决为准）；</w:t>
      </w:r>
    </w:p>
    <w:p w14:paraId="2AF142CD">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（7）被最高人民法院认定为失信被执行人的(以“信用中国”网站（www.creditchina.gov.cn）或各级信用信息共享平台公布的失信被执行人名单为准）；</w:t>
      </w:r>
    </w:p>
    <w:p w14:paraId="4958FE2D">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（8）被中国铁塔列为全国范围内的“禁止交易企业”的；</w:t>
      </w:r>
    </w:p>
    <w:p w14:paraId="1EB5A60E">
      <w:pPr>
        <w:widowControl w:val="0"/>
        <w:spacing w:before="0" w:line="360" w:lineRule="auto"/>
        <w:ind w:left="0" w:firstLine="480" w:firstLineChars="200"/>
        <w:jc w:val="both"/>
        <w:rPr>
          <w:rFonts w:ascii="Times New Roman" w:hAnsi="Times New Roman" w:eastAsia="宋体" w:cs="Times New Roman"/>
          <w:kern w:val="0"/>
          <w:sz w:val="24"/>
          <w:szCs w:val="24"/>
          <w:highlight w:val="none"/>
          <w:lang w:val="en-US" w:eastAsia="zh-CN" w:bidi="ar-SA"/>
        </w:rPr>
      </w:pPr>
      <w:r>
        <w:rPr>
          <w:rFonts w:ascii="Times New Roman" w:hAnsi="Times New Roman" w:eastAsia="宋体" w:cs="Times New Roman"/>
          <w:kern w:val="0"/>
          <w:sz w:val="24"/>
          <w:szCs w:val="24"/>
          <w:highlight w:val="none"/>
          <w:lang w:val="en-US" w:eastAsia="zh-CN" w:bidi="ar-SA"/>
        </w:rPr>
        <w:t>（9）被中国铁塔列入同类软件/集成服务“中国铁塔全国级或四川省级供应商黑名单”的。</w:t>
      </w:r>
    </w:p>
    <w:p w14:paraId="08BB8825">
      <w:pPr>
        <w:keepNext/>
        <w:keepLines/>
        <w:widowControl w:val="0"/>
        <w:numPr>
          <w:ilvl w:val="1"/>
          <w:numId w:val="1"/>
        </w:numPr>
        <w:spacing w:line="360" w:lineRule="auto"/>
        <w:jc w:val="both"/>
        <w:outlineLvl w:val="1"/>
        <w:rPr>
          <w:rFonts w:ascii="Times New Roman" w:hAnsi="Times New Roman" w:eastAsia="宋体" w:cs="Times New Roman"/>
          <w:b/>
          <w:bCs/>
          <w:kern w:val="2"/>
          <w:sz w:val="32"/>
          <w:szCs w:val="32"/>
          <w:highlight w:val="none"/>
          <w:lang w:val="en-US" w:eastAsia="zh-CN" w:bidi="ar-SA"/>
        </w:rPr>
      </w:pPr>
      <w:bookmarkStart w:id="6" w:name="_Toc16281"/>
      <w:r>
        <w:rPr>
          <w:rFonts w:ascii="Times New Roman" w:hAnsi="Times New Roman" w:eastAsia="宋体" w:cs="Times New Roman"/>
          <w:b/>
          <w:bCs/>
          <w:kern w:val="2"/>
          <w:sz w:val="32"/>
          <w:szCs w:val="32"/>
          <w:highlight w:val="none"/>
          <w:lang w:val="en-US" w:eastAsia="zh-CN" w:bidi="ar-SA"/>
        </w:rPr>
        <w:t>项目报名与招募文件的获取</w:t>
      </w:r>
      <w:bookmarkEnd w:id="6"/>
    </w:p>
    <w:p w14:paraId="200E68C3">
      <w:pPr>
        <w:widowControl/>
        <w:spacing w:before="0" w:beforeAutospacing="0" w:after="0" w:afterAutospacing="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1、报名时间：</w:t>
      </w:r>
      <w:r>
        <w:rPr>
          <w:rFonts w:hint="eastAsia" w:ascii="Times New Roman" w:hAnsi="Times New Roman" w:eastAsia="宋体" w:cs="Times New Roman"/>
          <w:kern w:val="2"/>
          <w:sz w:val="24"/>
          <w:szCs w:val="24"/>
          <w:highlight w:val="none"/>
          <w:lang w:val="en-US" w:eastAsia="zh-CN" w:bidi="ar-SA"/>
        </w:rPr>
        <w:t>北京时间2026年3月11日18时00分至2026年3月18日18时00分。</w:t>
      </w:r>
    </w:p>
    <w:p w14:paraId="4340E977">
      <w:pPr>
        <w:widowControl/>
        <w:spacing w:before="0" w:beforeAutospacing="0" w:after="0" w:afterAutospacing="0" w:line="360" w:lineRule="auto"/>
        <w:ind w:firstLine="480" w:firstLineChars="200"/>
        <w:jc w:val="left"/>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2、报名方式：</w:t>
      </w:r>
    </w:p>
    <w:p w14:paraId="1EF11E6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default"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线上报名：</w:t>
      </w:r>
      <w:r>
        <w:rPr>
          <w:rFonts w:hint="eastAsia" w:ascii="Times New Roman" w:hAnsi="Times New Roman" w:eastAsia="宋体" w:cs="Times New Roman"/>
          <w:kern w:val="2"/>
          <w:sz w:val="24"/>
          <w:szCs w:val="24"/>
          <w:highlight w:val="none"/>
          <w:lang w:val="en-US" w:eastAsia="zh-CN" w:bidi="ar-SA"/>
        </w:rPr>
        <w:t>在中国铁塔生态合作平台（https://partner.chinatowercom.cn:16203/）进行注册报名。</w:t>
      </w:r>
      <w:r>
        <w:rPr>
          <w:rFonts w:hint="eastAsia" w:ascii="Times New Roman" w:hAnsi="Times New Roman" w:eastAsia="宋体" w:cs="Times New Roman"/>
          <w:kern w:val="2"/>
          <w:sz w:val="24"/>
          <w:szCs w:val="24"/>
          <w:highlight w:val="none"/>
          <w:u w:val="none"/>
          <w:lang w:val="en-US" w:eastAsia="zh-CN" w:bidi="ar-SA"/>
        </w:rPr>
        <w:t>生态合作平台注册及操作手册详见公告附件，公告在此三个平台发布（中国铁塔在线商务平台（www.tower.com.cn）、中国铁塔生态合作平台（https://partner.chinatowercom.cn:16203/#/home/cooperation）、中国铁塔电子采购平台（https://ebid.chinatowercom.cn））。</w:t>
      </w:r>
    </w:p>
    <w:p w14:paraId="4DA3D665">
      <w:pPr>
        <w:widowControl/>
        <w:spacing w:before="0" w:beforeAutospacing="0" w:after="0" w:afterAutospacing="0" w:line="360" w:lineRule="auto"/>
        <w:ind w:firstLine="480" w:firstLineChars="200"/>
        <w:jc w:val="left"/>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3、招募文件获取：</w:t>
      </w:r>
      <w:r>
        <w:rPr>
          <w:rFonts w:hint="eastAsia" w:ascii="Times New Roman" w:hAnsi="Times New Roman" w:eastAsia="宋体" w:cs="Times New Roman"/>
          <w:kern w:val="2"/>
          <w:sz w:val="24"/>
          <w:szCs w:val="24"/>
          <w:highlight w:val="none"/>
          <w:lang w:val="en-US" w:eastAsia="zh-CN" w:bidi="ar-SA"/>
        </w:rPr>
        <w:t>生态合作平台报名成功后可自行下载。招募文件不收取费用。</w:t>
      </w:r>
    </w:p>
    <w:p w14:paraId="1ABE4BBD">
      <w:pPr>
        <w:keepNext/>
        <w:keepLines/>
        <w:widowControl w:val="0"/>
        <w:numPr>
          <w:ilvl w:val="1"/>
          <w:numId w:val="1"/>
        </w:numPr>
        <w:spacing w:line="360" w:lineRule="auto"/>
        <w:jc w:val="both"/>
        <w:outlineLvl w:val="1"/>
        <w:rPr>
          <w:rFonts w:ascii="Times New Roman" w:hAnsi="Times New Roman" w:eastAsia="宋体" w:cs="Times New Roman"/>
          <w:b/>
          <w:bCs/>
          <w:kern w:val="2"/>
          <w:sz w:val="32"/>
          <w:szCs w:val="32"/>
          <w:highlight w:val="none"/>
          <w:lang w:val="en-US" w:eastAsia="zh-CN" w:bidi="ar-SA"/>
        </w:rPr>
      </w:pPr>
      <w:bookmarkStart w:id="7" w:name="_Toc31538"/>
      <w:r>
        <w:rPr>
          <w:rFonts w:ascii="Times New Roman" w:hAnsi="Times New Roman" w:eastAsia="宋体" w:cs="Times New Roman"/>
          <w:b/>
          <w:bCs/>
          <w:kern w:val="2"/>
          <w:sz w:val="32"/>
          <w:szCs w:val="32"/>
          <w:highlight w:val="none"/>
          <w:lang w:val="en-US" w:eastAsia="zh-CN" w:bidi="ar-SA"/>
        </w:rPr>
        <w:t>应答文件的递交</w:t>
      </w:r>
      <w:bookmarkEnd w:id="7"/>
    </w:p>
    <w:p w14:paraId="6F784E2B">
      <w:pPr>
        <w:widowControl/>
        <w:spacing w:after="0" w:line="360" w:lineRule="auto"/>
        <w:ind w:firstLine="420" w:firstLineChars="200"/>
        <w:jc w:val="both"/>
        <w:rPr>
          <w:rFonts w:hint="eastAsia" w:ascii="Times New Roman" w:hAnsi="Times New Roman" w:eastAsia="宋体" w:cs="Times New Roman"/>
          <w:sz w:val="24"/>
          <w:highlight w:val="none"/>
        </w:rPr>
      </w:pPr>
      <w:r>
        <w:rPr>
          <w:rFonts w:hint="eastAsia" w:ascii="Times New Roman" w:hAnsi="Times New Roman" w:cs="Times New Roman"/>
          <w:kern w:val="2"/>
          <w:highlight w:val="none"/>
        </w:rPr>
        <w:t>1、</w:t>
      </w:r>
      <w:r>
        <w:rPr>
          <w:rFonts w:hint="eastAsia" w:cs="Times New Roman"/>
          <w:sz w:val="24"/>
          <w:highlight w:val="none"/>
          <w:lang w:eastAsia="zh-CN"/>
        </w:rPr>
        <w:t>第</w:t>
      </w:r>
      <w:r>
        <w:rPr>
          <w:rFonts w:hint="eastAsia" w:cs="Times New Roman"/>
          <w:sz w:val="24"/>
          <w:highlight w:val="none"/>
          <w:lang w:val="en-US" w:eastAsia="zh-CN"/>
        </w:rPr>
        <w:t>一</w:t>
      </w:r>
      <w:r>
        <w:rPr>
          <w:rFonts w:hint="eastAsia" w:cs="Times New Roman"/>
          <w:sz w:val="24"/>
          <w:highlight w:val="none"/>
          <w:lang w:eastAsia="zh-CN"/>
        </w:rPr>
        <w:t>批</w:t>
      </w:r>
      <w:r>
        <w:rPr>
          <w:rFonts w:hint="eastAsia" w:ascii="Times New Roman" w:hAnsi="Times New Roman" w:eastAsia="宋体" w:cs="Times New Roman"/>
          <w:sz w:val="24"/>
          <w:highlight w:val="none"/>
        </w:rPr>
        <w:t>应答文件递交时间</w:t>
      </w:r>
      <w:r>
        <w:rPr>
          <w:rFonts w:ascii="Times New Roman" w:hAnsi="Times New Roman" w:eastAsia="宋体" w:cs="Times New Roman"/>
          <w:sz w:val="24"/>
          <w:highlight w:val="none"/>
        </w:rPr>
        <w:t>：</w:t>
      </w:r>
      <w:r>
        <w:rPr>
          <w:rFonts w:hint="eastAsia" w:cs="Times New Roman"/>
          <w:sz w:val="24"/>
          <w:highlight w:val="none"/>
          <w:lang w:val="en-US" w:eastAsia="zh-CN"/>
        </w:rPr>
        <w:t>北京时间2026年3月11日18时00分至2026年3月19日09时00分</w:t>
      </w:r>
      <w:r>
        <w:rPr>
          <w:rFonts w:hint="eastAsia" w:ascii="Times New Roman" w:hAnsi="Times New Roman" w:eastAsia="宋体" w:cs="Times New Roman"/>
          <w:sz w:val="24"/>
          <w:highlight w:val="none"/>
        </w:rPr>
        <w:t>（中国铁塔生态合作平台报名完成后，即可递交应答文件。）</w:t>
      </w:r>
    </w:p>
    <w:p w14:paraId="3752AB39">
      <w:pPr>
        <w:widowControl/>
        <w:spacing w:before="0" w:beforeAutospacing="0" w:after="0" w:afterAutospacing="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2、递交方式：详见供应商须知前附表</w:t>
      </w:r>
      <w:r>
        <w:rPr>
          <w:rFonts w:hint="eastAsia" w:ascii="Times New Roman" w:hAnsi="Times New Roman" w:eastAsia="宋体" w:cs="Times New Roman"/>
          <w:kern w:val="2"/>
          <w:sz w:val="24"/>
          <w:szCs w:val="24"/>
          <w:highlight w:val="none"/>
          <w:lang w:val="en-US" w:eastAsia="zh-CN" w:bidi="ar-SA"/>
        </w:rPr>
        <w:t>。</w:t>
      </w:r>
    </w:p>
    <w:p w14:paraId="292705A5">
      <w:pPr>
        <w:keepNext/>
        <w:keepLines/>
        <w:widowControl w:val="0"/>
        <w:numPr>
          <w:ilvl w:val="1"/>
          <w:numId w:val="1"/>
        </w:numPr>
        <w:spacing w:line="360" w:lineRule="auto"/>
        <w:jc w:val="both"/>
        <w:outlineLvl w:val="1"/>
        <w:rPr>
          <w:rFonts w:ascii="Times New Roman" w:hAnsi="Times New Roman" w:eastAsia="宋体" w:cs="Times New Roman"/>
          <w:b/>
          <w:bCs/>
          <w:kern w:val="2"/>
          <w:sz w:val="32"/>
          <w:szCs w:val="32"/>
          <w:highlight w:val="none"/>
          <w:lang w:val="en-US" w:eastAsia="zh-CN" w:bidi="ar-SA"/>
        </w:rPr>
      </w:pPr>
      <w:bookmarkStart w:id="8" w:name="_Toc25141"/>
      <w:bookmarkStart w:id="9" w:name="_Toc179638538"/>
      <w:r>
        <w:rPr>
          <w:rFonts w:hint="eastAsia" w:ascii="Times New Roman" w:hAnsi="Times New Roman" w:eastAsia="宋体" w:cs="Times New Roman"/>
          <w:b/>
          <w:bCs/>
          <w:kern w:val="2"/>
          <w:sz w:val="32"/>
          <w:szCs w:val="32"/>
          <w:highlight w:val="none"/>
          <w:lang w:val="en-US" w:eastAsia="zh-CN" w:bidi="ar-SA"/>
        </w:rPr>
        <w:t>注意事项：</w:t>
      </w:r>
      <w:bookmarkStart w:id="10" w:name="_Hlk184115859"/>
      <w:r>
        <w:rPr>
          <w:rFonts w:hint="eastAsia" w:ascii="Times New Roman" w:hAnsi="Times New Roman" w:eastAsia="宋体" w:cs="Times New Roman"/>
          <w:b/>
          <w:bCs/>
          <w:kern w:val="2"/>
          <w:sz w:val="32"/>
          <w:szCs w:val="32"/>
          <w:highlight w:val="none"/>
          <w:lang w:val="en-US" w:eastAsia="zh-CN" w:bidi="ar-SA"/>
        </w:rPr>
        <w:t>请合作伙伴认真阅读</w:t>
      </w:r>
      <w:bookmarkEnd w:id="8"/>
      <w:bookmarkEnd w:id="9"/>
      <w:bookmarkEnd w:id="10"/>
    </w:p>
    <w:p w14:paraId="03E0CC38">
      <w:pPr>
        <w:widowControl/>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1.合作伙伴在生态合作平台进行注册及信息完善，注册后需要审核信息才可进行登录、招募报名。凡是遇到无法登陆或点击招募公告后无报名按钮的情况，请检查是否通过审核。</w:t>
      </w:r>
    </w:p>
    <w:p w14:paraId="6F51AAC8">
      <w:pPr>
        <w:widowControl/>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 xml:space="preserve">2.报名材料或应答文件的递交：合作伙伴登录系统后首页处浏览招募公告，点击招募公告卡片进入详情。 </w:t>
      </w:r>
    </w:p>
    <w:p w14:paraId="38230B96">
      <w:pPr>
        <w:widowControl/>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点击公告后报名按钮页面弹出弹窗，输入联系人/电话/邮箱信息，</w:t>
      </w:r>
    </w:p>
    <w:p w14:paraId="6ED1E031">
      <w:pPr>
        <w:widowControl/>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招募公告报名需要校验条件：</w:t>
      </w:r>
    </w:p>
    <w:p w14:paraId="5A1F5672">
      <w:pPr>
        <w:widowControl/>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1.该合作伙伴未入库本次报名方案的行业场景中，或不在有效期内</w:t>
      </w:r>
    </w:p>
    <w:p w14:paraId="65A78B75">
      <w:pPr>
        <w:widowControl/>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2.该合作伙伴需完成企业详细信息录入并通过审批</w:t>
      </w:r>
    </w:p>
    <w:p w14:paraId="64C1899F">
      <w:pPr>
        <w:widowControl/>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跳转到我参与的模块，招募活动管理列表找到报名的公告进入详情，点击“递交文件”按钮。</w:t>
      </w:r>
    </w:p>
    <w:p w14:paraId="4948945B">
      <w:pPr>
        <w:widowControl/>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点击“上传材料”按钮可进行文件上传。可点击“删除”按钮，先删除之前的文件，再通过“上传”按钮，上传新的文件，点提交按钮即可修改已递交文件成功。</w:t>
      </w:r>
    </w:p>
    <w:p w14:paraId="6BC4B386">
      <w:pPr>
        <w:widowControl/>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3.在报名招募前，确认企业信息是否正确，若信息有误，应进入历史菜单—信息管理—申请修改”，修改后需审核通过，方可进行报名。在报名页面，无法修改企业信息，请提前确认企业信息是否正确！</w:t>
      </w:r>
    </w:p>
    <w:p w14:paraId="6B933475">
      <w:pPr>
        <w:widowControl/>
        <w:spacing w:before="0" w:beforeAutospacing="0" w:after="0" w:afterAutospacing="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4、流程为：平台注册→信息审核→招募报名。</w:t>
      </w:r>
    </w:p>
    <w:p w14:paraId="562B6E63">
      <w:pPr>
        <w:keepNext/>
        <w:keepLines/>
        <w:widowControl w:val="0"/>
        <w:numPr>
          <w:ilvl w:val="1"/>
          <w:numId w:val="1"/>
        </w:numPr>
        <w:spacing w:line="360" w:lineRule="auto"/>
        <w:jc w:val="both"/>
        <w:outlineLvl w:val="1"/>
        <w:rPr>
          <w:rFonts w:ascii="Times New Roman" w:hAnsi="Times New Roman" w:eastAsia="宋体" w:cs="Times New Roman"/>
          <w:b/>
          <w:bCs/>
          <w:kern w:val="2"/>
          <w:sz w:val="32"/>
          <w:szCs w:val="32"/>
          <w:highlight w:val="none"/>
          <w:lang w:val="en-US" w:eastAsia="zh-CN" w:bidi="ar-SA"/>
        </w:rPr>
      </w:pPr>
      <w:bookmarkStart w:id="11" w:name="_Toc16115"/>
      <w:r>
        <w:rPr>
          <w:rFonts w:ascii="Times New Roman" w:hAnsi="Times New Roman" w:eastAsia="宋体" w:cs="Times New Roman"/>
          <w:b/>
          <w:bCs/>
          <w:kern w:val="2"/>
          <w:sz w:val="32"/>
          <w:szCs w:val="32"/>
          <w:highlight w:val="none"/>
          <w:lang w:val="en-US" w:eastAsia="zh-CN" w:bidi="ar-SA"/>
        </w:rPr>
        <w:t>发布公告的媒介</w:t>
      </w:r>
      <w:bookmarkEnd w:id="11"/>
    </w:p>
    <w:p w14:paraId="6FD24CC7">
      <w:pPr>
        <w:widowControl/>
        <w:spacing w:before="0" w:beforeAutospacing="0" w:after="0" w:afterAutospacing="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1、本次招募公告在中国铁塔在线商务平台（www.tower.com.cn）</w:t>
      </w:r>
      <w:r>
        <w:rPr>
          <w:rFonts w:hint="eastAsia" w:ascii="Times New Roman" w:hAnsi="Times New Roman" w:eastAsia="宋体" w:cs="Times New Roman"/>
          <w:kern w:val="2"/>
          <w:sz w:val="24"/>
          <w:szCs w:val="24"/>
          <w:highlight w:val="none"/>
          <w:lang w:val="en-US" w:eastAsia="zh-CN" w:bidi="ar-SA"/>
        </w:rPr>
        <w:t>、中国铁塔生态合作平台（</w:t>
      </w:r>
      <w:r>
        <w:rPr>
          <w:rFonts w:ascii="Times New Roman" w:hAnsi="Times New Roman" w:eastAsia="宋体" w:cs="Times New Roman"/>
          <w:kern w:val="2"/>
          <w:sz w:val="24"/>
          <w:szCs w:val="24"/>
          <w:highlight w:val="none"/>
          <w:lang w:val="en-US" w:eastAsia="zh-CN" w:bidi="ar-SA"/>
        </w:rPr>
        <w:t>https://partner.chinatowercom.cn:16203/#/home/cooperation</w:t>
      </w:r>
      <w:r>
        <w:rPr>
          <w:rFonts w:hint="eastAsia" w:ascii="Times New Roman" w:hAnsi="Times New Roman" w:eastAsia="宋体" w:cs="Times New Roman"/>
          <w:kern w:val="2"/>
          <w:sz w:val="24"/>
          <w:szCs w:val="24"/>
          <w:highlight w:val="none"/>
          <w:lang w:val="en-US" w:eastAsia="zh-CN" w:bidi="ar-SA"/>
        </w:rPr>
        <w:t>）、中国铁塔电子采购平台（https://ebid.chinatowercom.cn）</w:t>
      </w:r>
      <w:r>
        <w:rPr>
          <w:rFonts w:ascii="Times New Roman" w:hAnsi="Times New Roman" w:eastAsia="宋体" w:cs="Times New Roman"/>
          <w:kern w:val="2"/>
          <w:sz w:val="24"/>
          <w:szCs w:val="24"/>
          <w:highlight w:val="none"/>
          <w:lang w:val="en-US" w:eastAsia="zh-CN" w:bidi="ar-SA"/>
        </w:rPr>
        <w:t>上发布。</w:t>
      </w:r>
    </w:p>
    <w:p w14:paraId="7CC2176B">
      <w:pPr>
        <w:widowControl/>
        <w:spacing w:before="0" w:beforeAutospacing="0" w:after="0" w:afterAutospacing="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2、除上述媒介之外我公司不会在其他任何网站、论坛等媒体上发布该项目公告，对于非法转载、篡改信息内容的组织或个人，我公司保留追究其法律责任的权利。</w:t>
      </w:r>
    </w:p>
    <w:p w14:paraId="1957382F">
      <w:pPr>
        <w:widowControl/>
        <w:spacing w:before="0" w:beforeAutospacing="0" w:after="0" w:afterAutospacing="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3、请申请人提高警惕，不要向其他组织、个人支付相关款项，避免上当受骗。申请人由此而造成的经济损失，我公司不承担任何责任。</w:t>
      </w:r>
    </w:p>
    <w:p w14:paraId="3A1FAC93">
      <w:pPr>
        <w:keepNext/>
        <w:keepLines/>
        <w:widowControl w:val="0"/>
        <w:numPr>
          <w:ilvl w:val="1"/>
          <w:numId w:val="1"/>
        </w:numPr>
        <w:spacing w:line="360" w:lineRule="auto"/>
        <w:jc w:val="both"/>
        <w:outlineLvl w:val="1"/>
        <w:rPr>
          <w:rFonts w:ascii="Times New Roman" w:hAnsi="Times New Roman" w:eastAsia="宋体" w:cs="Times New Roman"/>
          <w:b/>
          <w:bCs/>
          <w:kern w:val="2"/>
          <w:sz w:val="32"/>
          <w:szCs w:val="32"/>
          <w:highlight w:val="none"/>
          <w:lang w:val="en-US" w:eastAsia="zh-CN" w:bidi="ar-SA"/>
        </w:rPr>
      </w:pPr>
      <w:bookmarkStart w:id="12" w:name="_Toc5592"/>
      <w:r>
        <w:rPr>
          <w:rFonts w:ascii="Times New Roman" w:hAnsi="Times New Roman" w:eastAsia="宋体" w:cs="Times New Roman"/>
          <w:b/>
          <w:bCs/>
          <w:kern w:val="2"/>
          <w:sz w:val="32"/>
          <w:szCs w:val="32"/>
          <w:highlight w:val="none"/>
          <w:lang w:val="en-US" w:eastAsia="zh-CN" w:bidi="ar-SA"/>
        </w:rPr>
        <w:t>免责声明</w:t>
      </w:r>
      <w:bookmarkEnd w:id="12"/>
    </w:p>
    <w:p w14:paraId="5FC1BBEE">
      <w:pPr>
        <w:widowControl/>
        <w:spacing w:before="0" w:beforeAutospacing="0" w:after="0" w:afterAutospacing="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我公司发布本次项目招募信息的官方媒介为：中国铁塔在线商务平台（www.tower.com.cn）</w:t>
      </w:r>
      <w:r>
        <w:rPr>
          <w:rFonts w:hint="eastAsia" w:ascii="Times New Roman" w:hAnsi="Times New Roman" w:eastAsia="宋体" w:cs="Times New Roman"/>
          <w:kern w:val="2"/>
          <w:sz w:val="24"/>
          <w:szCs w:val="24"/>
          <w:highlight w:val="none"/>
          <w:lang w:val="en-US" w:eastAsia="zh-CN" w:bidi="ar-SA"/>
        </w:rPr>
        <w:t>、中国铁塔生态合作平台（</w:t>
      </w:r>
      <w:r>
        <w:rPr>
          <w:rFonts w:ascii="Times New Roman" w:hAnsi="Times New Roman" w:eastAsia="宋体" w:cs="Times New Roman"/>
          <w:kern w:val="2"/>
          <w:sz w:val="24"/>
          <w:szCs w:val="24"/>
          <w:highlight w:val="none"/>
          <w:lang w:val="en-US" w:eastAsia="zh-CN" w:bidi="ar-SA"/>
        </w:rPr>
        <w:t>https://partner.chinatowercom.cn:16203/#/home/cooperation</w:t>
      </w:r>
      <w:r>
        <w:rPr>
          <w:rFonts w:hint="eastAsia" w:ascii="Times New Roman" w:hAnsi="Times New Roman" w:eastAsia="宋体" w:cs="Times New Roman"/>
          <w:kern w:val="2"/>
          <w:sz w:val="24"/>
          <w:szCs w:val="24"/>
          <w:highlight w:val="none"/>
          <w:lang w:val="en-US" w:eastAsia="zh-CN" w:bidi="ar-SA"/>
        </w:rPr>
        <w:t>）、中国铁塔电子采购平台（https://ebid.chinatowercom.cn）</w:t>
      </w:r>
      <w:r>
        <w:rPr>
          <w:rFonts w:ascii="Times New Roman" w:hAnsi="Times New Roman" w:eastAsia="宋体" w:cs="Times New Roman"/>
          <w:kern w:val="2"/>
          <w:sz w:val="24"/>
          <w:szCs w:val="24"/>
          <w:highlight w:val="none"/>
          <w:lang w:val="en-US" w:eastAsia="zh-CN" w:bidi="ar-SA"/>
        </w:rPr>
        <w:t>。除上述媒介外，我公司不在其他任何网站、论坛等媒介上发布任何招募信息，其他任何媒介上转载的、以我公司为主体的招募信息均为非法转载，均为无效。请报名单位提高警惕，不要向其他组织、个人支付相关款项，避免上当受骗。报名单位由此而造成的经济损失，我公司不承担任何责任。</w:t>
      </w:r>
    </w:p>
    <w:p w14:paraId="2813B403">
      <w:pPr>
        <w:keepNext/>
        <w:keepLines/>
        <w:widowControl w:val="0"/>
        <w:numPr>
          <w:ilvl w:val="1"/>
          <w:numId w:val="1"/>
        </w:numPr>
        <w:spacing w:line="360" w:lineRule="auto"/>
        <w:jc w:val="both"/>
        <w:outlineLvl w:val="1"/>
        <w:rPr>
          <w:rFonts w:ascii="Times New Roman" w:hAnsi="Times New Roman" w:eastAsia="宋体" w:cs="Times New Roman"/>
          <w:b/>
          <w:bCs/>
          <w:kern w:val="2"/>
          <w:sz w:val="32"/>
          <w:szCs w:val="32"/>
          <w:highlight w:val="none"/>
          <w:lang w:val="en-US" w:eastAsia="zh-CN" w:bidi="ar-SA"/>
        </w:rPr>
      </w:pPr>
      <w:bookmarkStart w:id="13" w:name="_Toc8831"/>
      <w:r>
        <w:rPr>
          <w:rFonts w:ascii="Times New Roman" w:hAnsi="Times New Roman" w:eastAsia="宋体" w:cs="Times New Roman"/>
          <w:b/>
          <w:bCs/>
          <w:kern w:val="2"/>
          <w:sz w:val="32"/>
          <w:szCs w:val="32"/>
          <w:highlight w:val="none"/>
          <w:lang w:val="en-US" w:eastAsia="zh-CN" w:bidi="ar-SA"/>
        </w:rPr>
        <w:t>联系方式</w:t>
      </w:r>
      <w:bookmarkEnd w:id="13"/>
    </w:p>
    <w:p w14:paraId="6271588E">
      <w:pPr>
        <w:widowControl/>
        <w:spacing w:before="0" w:beforeAutospacing="0" w:after="0" w:afterAutospacing="0" w:line="360" w:lineRule="auto"/>
        <w:ind w:firstLine="480" w:firstLineChars="200"/>
        <w:jc w:val="left"/>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招募单位：中国铁塔股份有限公司四川省分公司、铁塔智联技术有限公司四川省分公司</w:t>
      </w:r>
    </w:p>
    <w:p w14:paraId="4F2CB8DD">
      <w:pPr>
        <w:widowControl/>
        <w:spacing w:before="0" w:beforeAutospacing="0" w:after="0" w:afterAutospacing="0" w:line="360" w:lineRule="auto"/>
        <w:ind w:firstLine="480" w:firstLineChars="200"/>
        <w:jc w:val="left"/>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地址：四川省成都市锦江区银木街</w:t>
      </w:r>
      <w:r>
        <w:rPr>
          <w:rFonts w:hint="eastAsia" w:ascii="Times New Roman" w:hAnsi="Times New Roman" w:eastAsia="宋体" w:cs="Times New Roman"/>
          <w:kern w:val="2"/>
          <w:sz w:val="24"/>
          <w:szCs w:val="24"/>
          <w:highlight w:val="none"/>
          <w:lang w:val="en-US" w:eastAsia="zh-CN" w:bidi="ar-SA"/>
        </w:rPr>
        <w:t>1</w:t>
      </w:r>
      <w:r>
        <w:rPr>
          <w:rFonts w:ascii="Times New Roman" w:hAnsi="Times New Roman" w:eastAsia="宋体" w:cs="Times New Roman"/>
          <w:kern w:val="2"/>
          <w:sz w:val="24"/>
          <w:szCs w:val="24"/>
          <w:highlight w:val="none"/>
          <w:lang w:val="en-US" w:eastAsia="zh-CN" w:bidi="ar-SA"/>
        </w:rPr>
        <w:t>9号</w:t>
      </w:r>
    </w:p>
    <w:p w14:paraId="32600671">
      <w:pPr>
        <w:widowControl/>
        <w:spacing w:before="0" w:beforeAutospacing="0" w:after="0" w:afterAutospacing="0" w:line="360" w:lineRule="auto"/>
        <w:ind w:firstLine="480" w:firstLineChars="200"/>
        <w:jc w:val="left"/>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联系人：靳先生</w:t>
      </w:r>
    </w:p>
    <w:p w14:paraId="72E150EE">
      <w:pPr>
        <w:widowControl/>
        <w:spacing w:before="0" w:beforeAutospacing="0" w:after="0" w:afterAutospacing="0" w:line="360" w:lineRule="auto"/>
        <w:ind w:firstLine="480" w:firstLineChars="200"/>
        <w:jc w:val="left"/>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联系电话：13881789495</w:t>
      </w:r>
    </w:p>
    <w:p w14:paraId="5E7A4377">
      <w:pPr>
        <w:widowControl/>
        <w:spacing w:before="0" w:beforeAutospacing="0" w:after="0" w:afterAutospacing="0" w:line="360" w:lineRule="auto"/>
        <w:ind w:firstLine="480" w:firstLineChars="200"/>
        <w:jc w:val="left"/>
        <w:rPr>
          <w:rFonts w:hint="eastAsia" w:ascii="宋体" w:hAnsi="宋体" w:eastAsia="宋体" w:cs="宋体"/>
          <w:kern w:val="0"/>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联系邮箱：</w:t>
      </w:r>
      <w:r>
        <w:rPr>
          <w:rFonts w:ascii="宋体" w:hAnsi="宋体" w:eastAsia="宋体" w:cs="宋体"/>
          <w:kern w:val="0"/>
          <w:sz w:val="24"/>
          <w:szCs w:val="24"/>
          <w:highlight w:val="none"/>
          <w:lang w:val="en-US" w:eastAsia="zh-CN" w:bidi="ar-SA"/>
        </w:rPr>
        <w:fldChar w:fldCharType="begin"/>
      </w:r>
      <w:r>
        <w:rPr>
          <w:rFonts w:ascii="宋体" w:hAnsi="宋体" w:eastAsia="宋体" w:cs="宋体"/>
          <w:kern w:val="0"/>
          <w:sz w:val="24"/>
          <w:szCs w:val="24"/>
          <w:highlight w:val="none"/>
          <w:lang w:val="en-US" w:eastAsia="zh-CN" w:bidi="ar-SA"/>
        </w:rPr>
        <w:instrText xml:space="preserve"> HYPERLINK "mailto:jinzd@chinatowercom.cn" </w:instrText>
      </w:r>
      <w:r>
        <w:rPr>
          <w:rFonts w:ascii="宋体" w:hAnsi="宋体" w:eastAsia="宋体" w:cs="宋体"/>
          <w:kern w:val="0"/>
          <w:sz w:val="24"/>
          <w:szCs w:val="24"/>
          <w:highlight w:val="none"/>
          <w:lang w:val="en-US" w:eastAsia="zh-CN" w:bidi="ar-SA"/>
        </w:rPr>
        <w:fldChar w:fldCharType="separate"/>
      </w:r>
      <w:r>
        <w:rPr>
          <w:rFonts w:ascii="Times New Roman" w:hAnsi="Times New Roman" w:eastAsia="宋体" w:cs="Times New Roman"/>
          <w:color w:val="auto"/>
          <w:kern w:val="2"/>
          <w:sz w:val="21"/>
          <w:szCs w:val="24"/>
          <w:highlight w:val="none"/>
          <w:u w:val="single"/>
          <w:lang w:val="en-US" w:eastAsia="zh-CN" w:bidi="ar-SA"/>
        </w:rPr>
        <w:t>jinzd@chinatowercom.cn</w:t>
      </w:r>
      <w:r>
        <w:rPr>
          <w:rFonts w:ascii="Times New Roman" w:hAnsi="Times New Roman" w:eastAsia="宋体" w:cs="Times New Roman"/>
          <w:color w:val="auto"/>
          <w:kern w:val="2"/>
          <w:sz w:val="21"/>
          <w:szCs w:val="24"/>
          <w:highlight w:val="none"/>
          <w:u w:val="single"/>
          <w:lang w:val="en-US" w:eastAsia="zh-CN" w:bidi="ar-SA"/>
        </w:rPr>
        <w:fldChar w:fldCharType="end"/>
      </w:r>
    </w:p>
    <w:p w14:paraId="3B5CF2B9">
      <w:pPr>
        <w:widowControl/>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招募代理机构名称：中通服咨询设计研究院有限公司</w:t>
      </w:r>
    </w:p>
    <w:p w14:paraId="00A7559A">
      <w:pPr>
        <w:widowControl/>
        <w:spacing w:before="0" w:beforeAutospacing="0" w:after="0" w:afterAutospacing="0"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招募代理机构地址：四川省成都市蜀兴西街36号凤翔大厦</w:t>
      </w:r>
    </w:p>
    <w:p w14:paraId="4111C293">
      <w:pPr>
        <w:widowControl/>
        <w:spacing w:before="0" w:beforeAutospacing="0" w:after="0" w:afterAutospacing="0" w:line="360" w:lineRule="auto"/>
        <w:ind w:firstLine="480" w:firstLineChars="200"/>
        <w:jc w:val="both"/>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联系人：武琛翔、黎泽敏</w:t>
      </w:r>
    </w:p>
    <w:p w14:paraId="0226C105">
      <w:pPr>
        <w:ind w:firstLine="480" w:firstLineChars="200"/>
      </w:pPr>
      <w:bookmarkStart w:id="14" w:name="_GoBack"/>
      <w:bookmarkEnd w:id="14"/>
      <w:r>
        <w:rPr>
          <w:rFonts w:hint="eastAsia" w:ascii="Times New Roman" w:hAnsi="Times New Roman" w:eastAsia="宋体" w:cs="Times New Roman"/>
          <w:kern w:val="2"/>
          <w:sz w:val="24"/>
          <w:szCs w:val="24"/>
          <w:highlight w:val="none"/>
          <w:lang w:val="en-US" w:eastAsia="zh-CN" w:bidi="ar-SA"/>
        </w:rPr>
        <w:t>联系电话：18595044028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1C58BE"/>
    <w:multiLevelType w:val="multilevel"/>
    <w:tmpl w:val="041C58BE"/>
    <w:lvl w:ilvl="0" w:tentative="0">
      <w:start w:val="1"/>
      <w:numFmt w:val="chineseCountingThousand"/>
      <w:pStyle w:val="2"/>
      <w:suff w:val="space"/>
      <w:lvlText w:val="第%1章"/>
      <w:lvlJc w:val="left"/>
      <w:pPr>
        <w:ind w:left="0" w:firstLine="0"/>
      </w:pPr>
    </w:lvl>
    <w:lvl w:ilvl="1" w:tentative="0">
      <w:start w:val="1"/>
      <w:numFmt w:val="chineseCountingThousand"/>
      <w:pStyle w:val="3"/>
      <w:suff w:val="nothing"/>
      <w:lvlText w:val="%2、"/>
      <w:lvlJc w:val="left"/>
      <w:pPr>
        <w:ind w:left="0" w:firstLine="0"/>
      </w:pPr>
    </w:lvl>
    <w:lvl w:ilvl="2" w:tentative="0">
      <w:start w:val="1"/>
      <w:numFmt w:val="decimal"/>
      <w:pStyle w:val="4"/>
      <w:suff w:val="nothing"/>
      <w:lvlText w:val="%3."/>
      <w:lvlJc w:val="left"/>
      <w:pPr>
        <w:ind w:left="0" w:firstLine="0"/>
      </w:pPr>
      <w:rPr>
        <w:rFonts w:hint="default" w:ascii="Times New Roman" w:hAnsi="Times New Roman" w:eastAsia="宋体"/>
        <w:b/>
        <w:i w:val="0"/>
        <w:caps w:val="0"/>
        <w:strike w:val="0"/>
        <w:dstrike w:val="0"/>
        <w:vanish w:val="0"/>
        <w:sz w:val="32"/>
        <w:vertAlign w:val="baseline"/>
      </w:rPr>
    </w:lvl>
    <w:lvl w:ilvl="3" w:tentative="0">
      <w:start w:val="1"/>
      <w:numFmt w:val="decimal"/>
      <w:suff w:val="nothing"/>
      <w:lvlText w:val="%3.%4."/>
      <w:lvlJc w:val="left"/>
      <w:pPr>
        <w:ind w:left="0" w:firstLine="0"/>
      </w:pPr>
      <w:rPr>
        <w:rFonts w:hint="default" w:ascii="Times New Roman" w:hAnsi="Times New Roman" w:eastAsia="宋体"/>
        <w:b/>
        <w:i w:val="0"/>
        <w:caps w:val="0"/>
        <w:strike w:val="0"/>
        <w:dstrike w:val="0"/>
        <w:vanish w:val="0"/>
        <w:sz w:val="30"/>
        <w:vertAlign w:val="baseline"/>
      </w:rPr>
    </w:lvl>
    <w:lvl w:ilvl="4" w:tentative="0">
      <w:start w:val="1"/>
      <w:numFmt w:val="decimal"/>
      <w:suff w:val="nothing"/>
      <w:lvlText w:val="%3.%4.%5."/>
      <w:lvlJc w:val="left"/>
      <w:pPr>
        <w:ind w:left="0" w:firstLine="0"/>
      </w:pPr>
      <w:rPr>
        <w:rFonts w:hint="default" w:ascii="Times New Roman" w:hAnsi="Times New Roman" w:eastAsia="宋体"/>
        <w:b/>
        <w:i w:val="0"/>
        <w:caps w:val="0"/>
        <w:strike w:val="0"/>
        <w:dstrike w:val="0"/>
        <w:vanish w:val="0"/>
        <w:sz w:val="28"/>
        <w:vertAlign w:val="baseline"/>
      </w:rPr>
    </w:lvl>
    <w:lvl w:ilvl="5" w:tentative="0">
      <w:start w:val="1"/>
      <w:numFmt w:val="decimal"/>
      <w:suff w:val="nothing"/>
      <w:lvlText w:val="%3.%4.%5.%6."/>
      <w:lvlJc w:val="left"/>
      <w:pPr>
        <w:ind w:left="0" w:firstLine="0"/>
      </w:pPr>
      <w:rPr>
        <w:rFonts w:hint="default" w:ascii="Times New Roman" w:hAnsi="Times New Roman" w:eastAsia="宋体"/>
        <w:b/>
        <w:i w:val="0"/>
        <w:caps w:val="0"/>
        <w:strike w:val="0"/>
        <w:dstrike w:val="0"/>
        <w:vanish w:val="0"/>
        <w:sz w:val="24"/>
        <w:vertAlign w:val="baseline"/>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624F0A"/>
    <w:rsid w:val="4DA90878"/>
    <w:rsid w:val="4E353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keepNext/>
      <w:keepLines/>
      <w:widowControl w:val="0"/>
      <w:numPr>
        <w:ilvl w:val="0"/>
        <w:numId w:val="1"/>
      </w:numPr>
      <w:spacing w:line="360" w:lineRule="auto"/>
      <w:jc w:val="both"/>
      <w:outlineLvl w:val="0"/>
    </w:pPr>
    <w:rPr>
      <w:rFonts w:ascii="Times New Roman" w:hAnsi="Times New Roman" w:eastAsia="宋体" w:cs="Times New Roman"/>
      <w:b/>
      <w:bCs/>
      <w:kern w:val="44"/>
      <w:sz w:val="36"/>
      <w:szCs w:val="36"/>
      <w:lang w:val="en-US" w:eastAsia="zh-CN" w:bidi="ar-SA"/>
    </w:rPr>
  </w:style>
  <w:style w:type="paragraph" w:styleId="3">
    <w:name w:val="heading 2"/>
    <w:next w:val="1"/>
    <w:unhideWhenUsed/>
    <w:qFormat/>
    <w:uiPriority w:val="0"/>
    <w:pPr>
      <w:keepNext/>
      <w:keepLines/>
      <w:widowControl w:val="0"/>
      <w:numPr>
        <w:ilvl w:val="1"/>
        <w:numId w:val="1"/>
      </w:numPr>
      <w:spacing w:line="360" w:lineRule="auto"/>
      <w:jc w:val="both"/>
      <w:outlineLvl w:val="1"/>
    </w:pPr>
    <w:rPr>
      <w:rFonts w:ascii="Times New Roman" w:hAnsi="Times New Roman" w:eastAsia="宋体" w:cs="Times New Roman"/>
      <w:b/>
      <w:bCs/>
      <w:kern w:val="2"/>
      <w:sz w:val="32"/>
      <w:szCs w:val="32"/>
      <w:lang w:val="en-US" w:eastAsia="zh-CN" w:bidi="ar-SA"/>
    </w:rPr>
  </w:style>
  <w:style w:type="paragraph" w:styleId="4">
    <w:name w:val="heading 3"/>
    <w:next w:val="1"/>
    <w:unhideWhenUsed/>
    <w:qFormat/>
    <w:uiPriority w:val="9"/>
    <w:pPr>
      <w:keepNext/>
      <w:keepLines/>
      <w:widowControl w:val="0"/>
      <w:numPr>
        <w:ilvl w:val="2"/>
        <w:numId w:val="1"/>
      </w:numPr>
      <w:spacing w:line="360" w:lineRule="auto"/>
      <w:jc w:val="both"/>
      <w:outlineLvl w:val="2"/>
    </w:pPr>
    <w:rPr>
      <w:rFonts w:ascii="宋体" w:hAnsi="宋体" w:eastAsia="宋体" w:cs="Times New Roman"/>
      <w:b/>
      <w:bCs/>
      <w:kern w:val="2"/>
      <w:sz w:val="28"/>
      <w:szCs w:val="28"/>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Body Text"/>
    <w:qFormat/>
    <w:uiPriority w:val="1"/>
    <w:pPr>
      <w:widowControl w:val="0"/>
      <w:spacing w:before="36"/>
      <w:ind w:left="113"/>
      <w:jc w:val="left"/>
    </w:pPr>
    <w:rPr>
      <w:rFonts w:ascii="宋体" w:hAnsi="宋体" w:eastAsia="宋体" w:cs="Times New Roman"/>
      <w:kern w:val="0"/>
      <w:sz w:val="24"/>
      <w:szCs w:val="24"/>
      <w:lang w:val="en-US" w:eastAsia="en-US" w:bidi="ar-SA"/>
    </w:rPr>
  </w:style>
  <w:style w:type="paragraph" w:styleId="6">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character" w:styleId="9">
    <w:name w:val="Hyperlink"/>
    <w:unhideWhenUsed/>
    <w:qFormat/>
    <w:uiPriority w:val="99"/>
    <w:rPr>
      <w:color w:val="0563C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926</Words>
  <Characters>970</Characters>
  <Lines>0</Lines>
  <Paragraphs>0</Paragraphs>
  <TotalTime>1</TotalTime>
  <ScaleCrop>false</ScaleCrop>
  <LinksUpToDate>false</LinksUpToDate>
  <CharactersWithSpaces>970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2026-01-22T03:05:00Z</dcterms:created>
  <dc:creator>wuche</dc:creator>
  <cp:lastModifiedBy>wuche</cp:lastModifiedBy>
  <dcterms:modified xsi:type="dcterms:W3CDTF">2026-03-11T07:42:21Z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eyJoZGlkIjoiYWM4MmZjYjZmZjFiZjEyODA1NDRiZjUyOTFhNTIyNTIiLCJ1c2VySWQiOiIxMDY2NDQ1ODQ5In0=</vt:lpwstr>
  </property>
  <property fmtid="{D5CDD505-2E9C-101B-9397-08002B2CF9AE}" pid="4" name="ICV">
    <vt:lpwstr>6301B2FE86074DA995CFC19709388F1E_12</vt:lpwstr>
  </property>
</Properties>
</file>