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right="-512" w:rightChars="-244"/>
        <w:jc w:val="center"/>
        <w:rPr>
          <w:rFonts w:hint="eastAsia" w:ascii="宋体" w:hAnsi="宋体"/>
          <w:b/>
          <w:bCs/>
          <w:color w:val="auto"/>
          <w:sz w:val="32"/>
          <w:szCs w:val="32"/>
          <w:lang w:eastAsia="zh-CN"/>
        </w:rPr>
      </w:pPr>
      <w:bookmarkStart w:id="0" w:name="_GoBack"/>
      <w:bookmarkEnd w:id="0"/>
      <w:r>
        <w:rPr>
          <w:rFonts w:hint="eastAsia" w:ascii="宋体" w:hAnsi="宋体"/>
          <w:b/>
          <w:bCs/>
          <w:color w:val="auto"/>
          <w:sz w:val="32"/>
          <w:szCs w:val="32"/>
          <w:lang w:eastAsia="zh-CN"/>
        </w:rPr>
        <w:t>2024年桂阳八中理化生实验室提升改造建设采购项目</w:t>
      </w:r>
    </w:p>
    <w:p>
      <w:pPr>
        <w:pStyle w:val="4"/>
        <w:spacing w:before="5" w:line="480" w:lineRule="auto"/>
        <w:jc w:val="both"/>
        <w:rPr>
          <w:rFonts w:hint="eastAsia" w:ascii="宋体" w:hAnsi="宋体"/>
          <w:b/>
          <w:bCs/>
          <w:color w:val="auto"/>
          <w:sz w:val="32"/>
          <w:szCs w:val="32"/>
          <w:lang w:eastAsia="zh-CN"/>
        </w:rPr>
      </w:pPr>
      <w:r>
        <w:rPr>
          <w:rFonts w:hint="eastAsia" w:ascii="宋体" w:hAnsi="宋体"/>
          <w:b/>
          <w:bCs/>
          <w:color w:val="auto"/>
          <w:sz w:val="28"/>
          <w:szCs w:val="28"/>
          <w:lang w:val="en-US" w:eastAsia="zh-CN"/>
        </w:rPr>
        <w:t>一、电教平台及学生凳</w:t>
      </w:r>
    </w:p>
    <w:tbl>
      <w:tblPr>
        <w:tblStyle w:val="10"/>
        <w:tblW w:w="1002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75"/>
        <w:gridCol w:w="3063"/>
        <w:gridCol w:w="825"/>
        <w:gridCol w:w="1062"/>
        <w:gridCol w:w="120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序号</w:t>
            </w:r>
          </w:p>
        </w:tc>
        <w:tc>
          <w:tcPr>
            <w:tcW w:w="15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货物名称</w:t>
            </w:r>
          </w:p>
        </w:tc>
        <w:tc>
          <w:tcPr>
            <w:tcW w:w="3063"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规格、品名、教学性能要求</w:t>
            </w:r>
          </w:p>
        </w:tc>
        <w:tc>
          <w:tcPr>
            <w:tcW w:w="8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数量</w:t>
            </w:r>
          </w:p>
        </w:tc>
        <w:tc>
          <w:tcPr>
            <w:tcW w:w="1062"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单位</w:t>
            </w:r>
          </w:p>
        </w:tc>
        <w:tc>
          <w:tcPr>
            <w:tcW w:w="1200"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单价</w:t>
            </w:r>
          </w:p>
        </w:tc>
        <w:tc>
          <w:tcPr>
            <w:tcW w:w="13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480" w:lineRule="auto"/>
              <w:jc w:val="center"/>
              <w:rPr>
                <w:rFonts w:hint="eastAsia" w:ascii="宋体" w:hAnsi="宋体"/>
                <w:b/>
                <w:bCs/>
                <w:sz w:val="24"/>
                <w:szCs w:val="24"/>
                <w:vertAlign w:val="baseline"/>
                <w:lang w:val="en-US" w:eastAsia="zh-CN"/>
              </w:rPr>
            </w:pPr>
            <w:r>
              <w:rPr>
                <w:rFonts w:hint="eastAsia" w:ascii="宋体" w:hAnsi="宋体"/>
                <w:b w:val="0"/>
                <w:bCs w:val="0"/>
                <w:sz w:val="24"/>
                <w:szCs w:val="24"/>
                <w:vertAlign w:val="baseline"/>
                <w:lang w:val="en-US" w:eastAsia="zh-CN"/>
              </w:rPr>
              <w:t>1</w:t>
            </w:r>
          </w:p>
        </w:tc>
        <w:tc>
          <w:tcPr>
            <w:tcW w:w="1575" w:type="dxa"/>
            <w:vAlign w:val="center"/>
          </w:tcPr>
          <w:p>
            <w:pPr>
              <w:jc w:val="both"/>
              <w:rPr>
                <w:rFonts w:hint="eastAsia" w:ascii="宋体" w:hAnsi="宋体"/>
                <w:b/>
                <w:bCs/>
                <w:sz w:val="24"/>
                <w:szCs w:val="24"/>
                <w:vertAlign w:val="baseline"/>
                <w:lang w:val="en-US" w:eastAsia="zh-CN"/>
              </w:rPr>
            </w:pPr>
            <w:r>
              <w:rPr>
                <w:rFonts w:hint="eastAsia" w:ascii="宋体" w:hAnsi="宋体"/>
                <w:sz w:val="24"/>
                <w:szCs w:val="24"/>
              </w:rPr>
              <w:t>电教平台</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1、整机屏幕尺寸≥</w:t>
            </w:r>
            <w:r>
              <w:rPr>
                <w:rFonts w:hint="eastAsia" w:asciiTheme="minorEastAsia" w:hAnsiTheme="minorEastAsia" w:eastAsiaTheme="minorEastAsia" w:cstheme="minorEastAsia"/>
                <w:color w:val="000000"/>
                <w:sz w:val="24"/>
                <w:szCs w:val="24"/>
                <w:lang w:val="en-US" w:eastAsia="zh-CN"/>
              </w:rPr>
              <w:t>75</w:t>
            </w:r>
            <w:r>
              <w:rPr>
                <w:rFonts w:hint="eastAsia" w:asciiTheme="minorEastAsia" w:hAnsiTheme="minorEastAsia" w:eastAsiaTheme="minorEastAsia" w:cstheme="minorEastAsia"/>
                <w:color w:val="000000"/>
                <w:sz w:val="24"/>
                <w:szCs w:val="24"/>
              </w:rPr>
              <w:t>英寸 LED 液晶A规屏,显示比例满足：16:9（全屏）；采用全贴合设计；玻璃厚度≤3.2mm（提供CMA认证的第三方检验机构或者质量技术监督部门所出具的权威检测报告复印件加盖投标人公章）；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2、可视角度：≥178度,物理分辨率：≥3840×2160,整机在Windows与Android下均支持≥20点同时触控及书写；</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3、整机安卓配置：Android 11.0及以上版本，RAM≥2GB,ROM≥8G；;</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4、整机内置2.1或以上声道扬声器，额定总功率≥40W;</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无需工具即可实现一键还原功能且能有效的防止学生好奇而误操作，需具有边框前置针孔式还原Windows系统的物理按钮，（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整机具备采用物理减滤蓝光设计，无需其他操作即可实现防蓝光，且设备具备智能护眼组合功能，并符合GB40070-2021视力防护标准，蓝光危害为RGO豁免级（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为方便外接信号源的输入，设备≥1路前置HDMI接口（非转接），≥1路前置USB3.0接口,≥1路Type-C接口；（提供CMA认证的第三方检验机构或者质量技术监督部门所出具的权威检测报告复印件及接口截图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8、前置接口具备金属防撞保护结构设计，可隐藏接口，防撞挡板采用转轴式翻转。（提供CMA认证的第三方检验机构或者质量技术监督部门所出具的权威检测报告复印件加盖投标人公章）；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为保证售后维修便捷性，当前置接口面板、按键面板发生故障时，需支持不从墙上拆下交互智能平板就能实现维修目的（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10.支持护眼模式，可通过前置面板物理功能按键一键启用护眼模式（提供CMA认证的第三方检验机构或者质量技术监督部门所出具的权威检测报告复印件加盖投标人公章）；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11、支持推拉绿板合拢后，黑暗环境下自动进入息屏待机状态，推拉绿板打开后，可自动恢复开机状态；</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12、整机内置专业硬件自检维护工具，需支持对系统内存、存储、触控系统、光感系统、内置电脑、屏体信息、主板型号、CPU型号、CPU使用率、设备名称等进行状态提示及故障提示（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13、支持手机端、电脑端与交互显示设备无线投屏，可将笔记本电脑、手机、平板等移动终端文件传至交互显示设备，方便教师在接收端打开并操作文件; 支持Android、IOS、Windows系统的投屏画面，可支持不少于6个终端设备同时投屏，并自动分屏排布，可将任意一路画面全屏播放，并支持所投视频音频同时播放；支持多手机同时连接交互显示设备，可设置指定设备为主控设备（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14、整机具有一体化4K高清摄像头，像素不低于1300万，水平视角 120°；拾音单元有效保真拾音距离可达12米，全结构无外部连线与屏体齐平；高清摄像头模组支持远程巡课系统，并可对接人脸识别软件进行使用；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整机摄像头支持人脸识别、点人数、随机抽人；识别所有学生，显示标记，然后随机抽选，同时显示标记不少于60人（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16、整机前面板具有标识的天线模块，包含 2.4G 、5G双频 Wifi及蓝牙接发装置，保证信号使用稳定性（提供CMA认证的第三方检验机构或者质量技术监督部门所出具的权威检测报告复印件加盖投标人公章）；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17、微课录制：设备支持通过前置面板物理按键一键启动录屏功能；（提供CMA认证的第三方检验机构或者质量技术监督部门所出具的权威检测报告复印件加盖投标人公章）；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18、整机支持蓝牙不低于Bluetooth 5.2标准，支持主动发现蓝牙外设从而连接，支持连接外部蓝牙音箱播放音频。</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19、支持单独听功能，显示屏息屏关闭后，在黑屏状态下，可进行音频播放，有助于语音类教学学生精力更集中。</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20、采用OPS-C 标准的80pin针口设计，方便用户后续自主升级维护或对接第三方智慧教室类插拔电脑产品；</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电脑模块：</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 处理器：采用intel 酷睿i5 1</w:t>
            </w: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rPr>
              <w:t>代及以上; 内存规格：≥</w:t>
            </w:r>
            <w:r>
              <w:rPr>
                <w:rFonts w:hint="eastAsia" w:asciiTheme="minorEastAsia" w:hAnsiTheme="minorEastAsia" w:eastAsiaTheme="minorEastAsia" w:cstheme="minorEastAsia"/>
                <w:color w:val="000000"/>
                <w:sz w:val="24"/>
                <w:szCs w:val="24"/>
                <w:lang w:val="en-US" w:eastAsia="zh-CN"/>
              </w:rPr>
              <w:t>8</w:t>
            </w:r>
            <w:r>
              <w:rPr>
                <w:rFonts w:hint="eastAsia" w:asciiTheme="minorEastAsia" w:hAnsiTheme="minorEastAsia" w:eastAsiaTheme="minorEastAsia" w:cstheme="minorEastAsia"/>
                <w:color w:val="000000"/>
                <w:sz w:val="24"/>
                <w:szCs w:val="24"/>
              </w:rPr>
              <w:t>GB DDR4内存；硬盘：≥</w:t>
            </w:r>
            <w:r>
              <w:rPr>
                <w:rFonts w:hint="eastAsia" w:asciiTheme="minorEastAsia" w:hAnsiTheme="minorEastAsia" w:eastAsiaTheme="minorEastAsia" w:cstheme="minorEastAsia"/>
                <w:color w:val="000000"/>
                <w:sz w:val="24"/>
                <w:szCs w:val="24"/>
                <w:lang w:val="en-US" w:eastAsia="zh-CN"/>
              </w:rPr>
              <w:t>256</w:t>
            </w:r>
            <w:r>
              <w:rPr>
                <w:rFonts w:hint="eastAsia" w:asciiTheme="minorEastAsia" w:hAnsiTheme="minorEastAsia" w:eastAsiaTheme="minorEastAsia" w:cstheme="minorEastAsia"/>
                <w:color w:val="000000"/>
                <w:sz w:val="24"/>
                <w:szCs w:val="24"/>
              </w:rPr>
              <w:t>GB 固态硬盘或以上；</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2.电脑模块和整机连接采用万兆级接口，传输速率≥10Gpbs；</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3.采用抽拉内置式模块化电脑，抽拉内置式，PC模块可插入整机，可实现无单独接线的插拔；</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4.电脑USB接口：≥3个USB3.0 TypeA接口，PC模块的USB接口（Type-A）须为冗余备份接口；</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5.具有独立非外扩展的视频输出接口：≥1路HDMI；</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6.具有标准PC防盗锁孔，确保电脑模块安全防盗；</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7.带系统一键还原功能。</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Ⅱ、推拉绿板</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1、结构：分内外双层结构，四块同等大小的内板组成，整体尺寸≥4</w:t>
            </w:r>
            <w:r>
              <w:rPr>
                <w:rFonts w:hint="eastAsia" w:asciiTheme="minorEastAsia" w:hAnsi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00*1300mm。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2、组成：内层为两块固定书写板，安装后与智能平板一体机外边框平行，外层为两块滑动书写板，可以左右双向滑动，配有带品牌标识高档挂锁。</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3、边框：采用高强度电泳香槟色铝合金，经氧化涂层处理，无明显炫光。上下边框规格78*57mm，外边框必须采用双层加强加厚结构，厚度1</w:t>
            </w:r>
            <w:r>
              <w:rPr>
                <w:rFonts w:hint="eastAsia" w:asciiTheme="minorEastAsia" w:hAnsiTheme="minorEastAsia" w:cstheme="minorEastAsia"/>
                <w:color w:val="000000"/>
                <w:sz w:val="24"/>
                <w:szCs w:val="24"/>
                <w:lang w:val="en-US" w:eastAsia="zh-CN"/>
              </w:rPr>
              <w:t>0</w:t>
            </w:r>
            <w:r>
              <w:rPr>
                <w:rFonts w:hint="eastAsia" w:asciiTheme="minorEastAsia" w:hAnsiTheme="minorEastAsia" w:eastAsiaTheme="minorEastAsia" w:cstheme="minorEastAsia"/>
                <w:color w:val="000000"/>
                <w:sz w:val="24"/>
                <w:szCs w:val="24"/>
              </w:rPr>
              <w:t>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4、板面：采用金属烤漆书写板面，亚光、墨绿色，厚度≥0.3mm，光泽度≤12光泽单位，没有因黑板本身原因产生的眩光，书写流畅、字迹清晰、色彩协调可视效果佳。</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5、内板：正面左右两侧采用无边框设计，无同色小边结构，上下边框高度不超8mm，最大限度的增大书写面积，书写板尺寸≥1005*1212mm。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6、内芯：选用高强度吸音、防潮、阻燃聚苯乙烯板，厚度≥1</w:t>
            </w:r>
            <w:r>
              <w:rPr>
                <w:rFonts w:hint="eastAsia" w:asciiTheme="minorEastAsia" w:hAnsi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7、背板：选用优质钢板，增强书写板整体承重能力。</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滑轮与轨道：上轮采用减震消音双滑道吊轮，下轮采用一字型平轮单滑动结构，各四组，使用高精度轴承，滑动流畅，噪音小，下滑轮采用弹片式结构，有效降低书写晃动。轨道上置隐藏式滑动系统，杜绝灰尘及杂物进入，结构性解决滑动受灰尘影响的问题。</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9、限位：中间加两侧使用长条式限位滑轮的限位卡，不会与滑动板产生碰撞。</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10、铝合金粉尘储物槽：铝合金材质，并有多功能多用配槽，多用槽与滑动系统分离，与边框一次模具成形，可放置书写笔、教鞭等教具，不影响滑动板滑动，也可用于灰尘集中处理。</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Ⅲ、视频展台</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一、硬件参数：</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1.▲壁挂箱体采用铝合金外壳，美观耐用，四周无锐角无利边设计，关注师生安全。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2.文稿展示区域采用三折叠式开合托板，展开后托板≥A4 面积，高效利用挂墙面积。</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3.展台像素：800 万像素自动对焦镜头，最高分辨率：3264*2448。</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4.▲采用 USB 高速接口，单根 USB 线实现数据传输和供电，环保无辐射，箱内 USB 连线采用隐藏式设计，且 USB 口下出，有效防止积尘；箱内展台要求模块化前拆设计，不用拆卸挂箱即可更换展台，方便布线和返修。</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5.▲带 1 个 5V 2A 电源接口，在超五米远距离传输时可选择辅助供电，确保高清数据和供电传输的稳定性。</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6.整机自带 LED 补光灯，可触摸式三级灯光调节。</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7.展台按键均采用电容式触摸控制，无缝防尘，使用寿命长。</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8.制造商通过环境管理体系、职业健康安全管理体系、质量管理体系认证；3C证书；视频展台软件著作权证书。</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二、软件参数：</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 界面与各功能图标内嵌中文，清晰易用，老师不用查阅帮助就能使用，减少误操作。</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 软件基础功能：可预设画笔批注的粗细及颜色，支持对展台画面进行移动、缩放。</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 故障检测：软件支持故障自检功能，帮助用户检测“无画面”的原因，可判断硬件连接、解码器、显卡驱动、摄像头通道占用等问题，并给出引导性的修复和解决方案，同时也有显示微信和技术电话提供协助。</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 二维码扫码功能：打开扫一扫功能后，将书本上的二维码放入扫描框内即可自动扫描，并进入系统浏览器获取二维码的链接内容，帮助老师快速获取电子教学资源。</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 ▲软件自带虚拟黑板功能，截取实物展示的某一重点内容在虚拟黑板模式下进行单独批注讲解，板书支持保存和二次打开、编辑，使授课变得简单轻松。</w:t>
            </w:r>
          </w:p>
          <w:p>
            <w:pPr>
              <w:keepNext w:val="0"/>
              <w:keepLines w:val="0"/>
              <w:widowControl/>
              <w:suppressLineNumbers w:val="0"/>
              <w:jc w:val="left"/>
              <w:textAlignment w:val="center"/>
              <w:rPr>
                <w:rFonts w:hint="eastAsia" w:ascii="宋体" w:hAnsi="宋体"/>
                <w:b/>
                <w:bCs/>
                <w:sz w:val="24"/>
                <w:szCs w:val="24"/>
                <w:vertAlign w:val="baseline"/>
                <w:lang w:eastAsia="zh-CN"/>
              </w:rPr>
            </w:pPr>
            <w:r>
              <w:rPr>
                <w:rFonts w:hint="eastAsia" w:asciiTheme="minorEastAsia" w:hAnsiTheme="minorEastAsia" w:eastAsiaTheme="minorEastAsia" w:cstheme="minorEastAsia"/>
                <w:color w:val="000000"/>
                <w:sz w:val="24"/>
                <w:szCs w:val="24"/>
              </w:rPr>
              <w:t>6. ▲图像特技：延时拍照、聚光灯、负片、镜像、黑白、自动曝光、视频冻结、同屏对比、旋转、屏幕录制。</w:t>
            </w:r>
          </w:p>
        </w:tc>
        <w:tc>
          <w:tcPr>
            <w:tcW w:w="825" w:type="dxa"/>
            <w:vAlign w:val="center"/>
          </w:tcPr>
          <w:p>
            <w:pPr>
              <w:jc w:val="center"/>
              <w:rPr>
                <w:rFonts w:hint="eastAsia" w:ascii="宋体" w:hAnsi="宋体"/>
                <w:b/>
                <w:bCs/>
                <w:sz w:val="24"/>
                <w:szCs w:val="24"/>
                <w:vertAlign w:val="baseline"/>
                <w:lang w:eastAsia="zh-CN"/>
              </w:rPr>
            </w:pPr>
            <w:r>
              <w:rPr>
                <w:rFonts w:hint="eastAsia" w:ascii="宋体" w:hAnsi="宋体" w:eastAsia="宋体"/>
                <w:color w:val="000000"/>
                <w:sz w:val="24"/>
                <w:szCs w:val="24"/>
                <w:lang w:val="en-US" w:eastAsia="zh-CN"/>
              </w:rPr>
              <w:t>6</w:t>
            </w:r>
          </w:p>
        </w:tc>
        <w:tc>
          <w:tcPr>
            <w:tcW w:w="1062" w:type="dxa"/>
            <w:vAlign w:val="center"/>
          </w:tcPr>
          <w:p>
            <w:pPr>
              <w:jc w:val="center"/>
              <w:rPr>
                <w:rFonts w:hint="eastAsia" w:ascii="宋体" w:hAnsi="宋体"/>
                <w:b/>
                <w:bCs/>
                <w:sz w:val="24"/>
                <w:szCs w:val="24"/>
                <w:vertAlign w:val="baseline"/>
                <w:lang w:eastAsia="zh-CN"/>
              </w:rPr>
            </w:pPr>
            <w:r>
              <w:rPr>
                <w:rFonts w:hint="eastAsia" w:ascii="宋体" w:hAnsi="宋体"/>
                <w:color w:val="000000"/>
                <w:sz w:val="24"/>
                <w:szCs w:val="24"/>
              </w:rPr>
              <w:t>套</w:t>
            </w:r>
          </w:p>
        </w:tc>
        <w:tc>
          <w:tcPr>
            <w:tcW w:w="1200"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宋体" w:hAnsi="宋体" w:eastAsia="宋体" w:cs="宋体"/>
                <w:i w:val="0"/>
                <w:iCs w:val="0"/>
                <w:color w:val="000000"/>
                <w:kern w:val="0"/>
                <w:sz w:val="22"/>
                <w:szCs w:val="22"/>
                <w:u w:val="none"/>
                <w:lang w:val="en-US" w:eastAsia="zh-CN" w:bidi="ar"/>
              </w:rPr>
              <w:t>21750</w:t>
            </w:r>
          </w:p>
        </w:tc>
        <w:tc>
          <w:tcPr>
            <w:tcW w:w="1325"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宋体" w:hAnsi="宋体" w:eastAsia="宋体" w:cs="宋体"/>
                <w:i w:val="0"/>
                <w:iCs w:val="0"/>
                <w:color w:val="000000"/>
                <w:kern w:val="0"/>
                <w:sz w:val="22"/>
                <w:szCs w:val="22"/>
                <w:u w:val="none"/>
                <w:lang w:val="en-US" w:eastAsia="zh-CN" w:bidi="ar"/>
              </w:rPr>
              <w:t>130500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480" w:lineRule="auto"/>
              <w:jc w:val="center"/>
              <w:rPr>
                <w:rFonts w:hint="eastAsia" w:ascii="宋体" w:hAnsi="宋体"/>
                <w:b/>
                <w:bCs/>
                <w:sz w:val="24"/>
                <w:szCs w:val="24"/>
                <w:vertAlign w:val="baseline"/>
                <w:lang w:val="en-US" w:eastAsia="zh-CN"/>
              </w:rPr>
            </w:pPr>
            <w:r>
              <w:rPr>
                <w:rFonts w:hint="eastAsia" w:ascii="宋体" w:hAnsi="宋体"/>
                <w:b w:val="0"/>
                <w:bCs w:val="0"/>
                <w:sz w:val="24"/>
                <w:szCs w:val="24"/>
                <w:vertAlign w:val="baseline"/>
                <w:lang w:val="en-US" w:eastAsia="zh-CN"/>
              </w:rPr>
              <w:t>2</w:t>
            </w:r>
          </w:p>
        </w:tc>
        <w:tc>
          <w:tcPr>
            <w:tcW w:w="1575" w:type="dxa"/>
            <w:vAlign w:val="center"/>
          </w:tcPr>
          <w:p>
            <w:pPr>
              <w:jc w:val="center"/>
              <w:rPr>
                <w:rFonts w:hint="eastAsia" w:ascii="宋体" w:hAnsi="宋体"/>
                <w:b/>
                <w:bCs/>
                <w:sz w:val="24"/>
                <w:szCs w:val="24"/>
                <w:vertAlign w:val="baseline"/>
                <w:lang w:val="en-US" w:eastAsia="zh-CN"/>
              </w:rPr>
            </w:pPr>
            <w:r>
              <w:rPr>
                <w:rFonts w:hint="eastAsia" w:ascii="宋体" w:hAnsi="宋体"/>
                <w:sz w:val="24"/>
                <w:szCs w:val="24"/>
              </w:rPr>
              <w:t>学生凳</w:t>
            </w:r>
          </w:p>
        </w:tc>
        <w:tc>
          <w:tcPr>
            <w:tcW w:w="3063"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Theme="minorEastAsia" w:hAnsiTheme="minorEastAsia" w:cstheme="minorEastAsia"/>
                <w:sz w:val="24"/>
                <w:szCs w:val="24"/>
                <w:lang w:eastAsia="zh-CN"/>
              </w:rPr>
              <w:t>全塑方凳，</w:t>
            </w:r>
            <w:r>
              <w:rPr>
                <w:rFonts w:hint="eastAsia" w:asciiTheme="minorEastAsia" w:hAnsiTheme="minorEastAsia" w:eastAsiaTheme="minorEastAsia" w:cstheme="minorEastAsia"/>
                <w:sz w:val="24"/>
                <w:szCs w:val="24"/>
              </w:rPr>
              <w:t>凳面尺寸：</w:t>
            </w:r>
            <w:r>
              <w:rPr>
                <w:rFonts w:hint="eastAsia" w:asciiTheme="minorEastAsia" w:hAnsiTheme="minorEastAsia" w:cstheme="minorEastAsia"/>
                <w:color w:val="auto"/>
                <w:sz w:val="24"/>
                <w:szCs w:val="24"/>
                <w:lang w:val="en-US" w:eastAsia="zh-CN"/>
              </w:rPr>
              <w:t>320</w:t>
            </w:r>
            <w:r>
              <w:rPr>
                <w:rFonts w:hint="eastAsia" w:asciiTheme="minorEastAsia" w:hAnsiTheme="minorEastAsia" w:eastAsiaTheme="minorEastAsia" w:cstheme="minorEastAsia"/>
                <w:color w:val="auto"/>
                <w:sz w:val="24"/>
                <w:szCs w:val="24"/>
              </w:rPr>
              <w:t>mm×</w:t>
            </w:r>
            <w:r>
              <w:rPr>
                <w:rFonts w:hint="eastAsia" w:asciiTheme="minorEastAsia" w:hAnsiTheme="minorEastAsia" w:cstheme="minorEastAsia"/>
                <w:color w:val="auto"/>
                <w:sz w:val="24"/>
                <w:szCs w:val="24"/>
                <w:lang w:val="en-US" w:eastAsia="zh-CN"/>
              </w:rPr>
              <w:t>240</w:t>
            </w:r>
            <w:r>
              <w:rPr>
                <w:rFonts w:hint="eastAsia" w:asciiTheme="minorEastAsia" w:hAnsiTheme="minorEastAsia" w:eastAsiaTheme="minorEastAsia" w:cstheme="minorEastAsia"/>
                <w:color w:val="auto"/>
                <w:sz w:val="24"/>
                <w:szCs w:val="24"/>
              </w:rPr>
              <w:t>mm×</w:t>
            </w:r>
            <w:r>
              <w:rPr>
                <w:rFonts w:hint="eastAsia" w:asciiTheme="minorEastAsia" w:hAnsiTheme="minorEastAsia" w:cstheme="minorEastAsia"/>
                <w:color w:val="auto"/>
                <w:sz w:val="24"/>
                <w:szCs w:val="24"/>
                <w:lang w:val="en-US" w:eastAsia="zh-CN"/>
              </w:rPr>
              <w:t>420</w:t>
            </w:r>
            <w:r>
              <w:rPr>
                <w:rFonts w:hint="eastAsia" w:asciiTheme="minorEastAsia" w:hAnsiTheme="minorEastAsia" w:eastAsiaTheme="minorEastAsia" w:cstheme="minorEastAsia"/>
                <w:sz w:val="24"/>
                <w:szCs w:val="24"/>
              </w:rPr>
              <w:t>mm 采用环保型ABS改性塑料一次性注塑成型，</w:t>
            </w:r>
            <w:r>
              <w:rPr>
                <w:rFonts w:hint="eastAsia" w:asciiTheme="minorEastAsia" w:hAnsiTheme="minorEastAsia" w:cstheme="minorEastAsia"/>
                <w:sz w:val="24"/>
                <w:szCs w:val="24"/>
                <w:lang w:eastAsia="zh-CN"/>
              </w:rPr>
              <w:t>防酸防碱，表面光滑，美观大方。</w:t>
            </w:r>
            <w:r>
              <w:rPr>
                <w:rFonts w:hint="eastAsia" w:asciiTheme="minorEastAsia" w:hAnsiTheme="minorEastAsia" w:cstheme="minorEastAsia"/>
                <w:sz w:val="24"/>
                <w:szCs w:val="24"/>
                <w:lang w:val="en-US" w:eastAsia="zh-CN"/>
              </w:rPr>
              <w:t>提供样品</w:t>
            </w:r>
          </w:p>
        </w:tc>
        <w:tc>
          <w:tcPr>
            <w:tcW w:w="825" w:type="dxa"/>
            <w:vAlign w:val="center"/>
          </w:tcPr>
          <w:p>
            <w:pPr>
              <w:jc w:val="center"/>
              <w:rPr>
                <w:rFonts w:hint="eastAsia" w:ascii="宋体" w:hAnsi="宋体"/>
                <w:b/>
                <w:bCs/>
                <w:sz w:val="24"/>
                <w:szCs w:val="24"/>
                <w:vertAlign w:val="baseline"/>
                <w:lang w:eastAsia="zh-CN"/>
              </w:rPr>
            </w:pPr>
            <w:r>
              <w:rPr>
                <w:rFonts w:hint="eastAsia" w:ascii="宋体" w:hAnsi="宋体"/>
                <w:sz w:val="24"/>
                <w:szCs w:val="24"/>
                <w:lang w:val="en-US" w:eastAsia="zh-CN"/>
              </w:rPr>
              <w:t>196</w:t>
            </w:r>
            <w:r>
              <w:rPr>
                <w:rFonts w:hint="eastAsia" w:ascii="宋体" w:hAnsi="宋体"/>
                <w:sz w:val="24"/>
                <w:szCs w:val="24"/>
              </w:rPr>
              <w:t xml:space="preserve"> </w:t>
            </w:r>
          </w:p>
        </w:tc>
        <w:tc>
          <w:tcPr>
            <w:tcW w:w="1062" w:type="dxa"/>
            <w:vAlign w:val="center"/>
          </w:tcPr>
          <w:p>
            <w:pPr>
              <w:jc w:val="center"/>
              <w:rPr>
                <w:rFonts w:hint="eastAsia" w:ascii="宋体" w:hAnsi="宋体"/>
                <w:b/>
                <w:bCs/>
                <w:sz w:val="24"/>
                <w:szCs w:val="24"/>
                <w:vertAlign w:val="baseline"/>
                <w:lang w:eastAsia="zh-CN"/>
              </w:rPr>
            </w:pPr>
            <w:r>
              <w:rPr>
                <w:rFonts w:hint="eastAsia" w:ascii="宋体" w:hAnsi="宋体"/>
                <w:sz w:val="24"/>
                <w:szCs w:val="24"/>
              </w:rPr>
              <w:t>张</w:t>
            </w:r>
          </w:p>
        </w:tc>
        <w:tc>
          <w:tcPr>
            <w:tcW w:w="1200"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宋体" w:hAnsi="宋体" w:eastAsia="宋体" w:cs="宋体"/>
                <w:i w:val="0"/>
                <w:iCs w:val="0"/>
                <w:color w:val="000000"/>
                <w:kern w:val="0"/>
                <w:sz w:val="22"/>
                <w:szCs w:val="22"/>
                <w:u w:val="none"/>
                <w:lang w:val="en-US" w:eastAsia="zh-CN" w:bidi="ar"/>
              </w:rPr>
              <w:t>69</w:t>
            </w:r>
          </w:p>
        </w:tc>
        <w:tc>
          <w:tcPr>
            <w:tcW w:w="1325"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宋体" w:hAnsi="宋体" w:eastAsia="宋体" w:cs="宋体"/>
                <w:i w:val="0"/>
                <w:iCs w:val="0"/>
                <w:color w:val="000000"/>
                <w:kern w:val="0"/>
                <w:sz w:val="22"/>
                <w:szCs w:val="22"/>
                <w:u w:val="none"/>
                <w:lang w:val="en-US" w:eastAsia="zh-CN" w:bidi="ar"/>
              </w:rPr>
              <w:t>13524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480" w:lineRule="auto"/>
              <w:jc w:val="center"/>
              <w:rPr>
                <w:rFonts w:hint="eastAsia" w:ascii="宋体" w:hAnsi="宋体"/>
                <w:b/>
                <w:bCs/>
                <w:sz w:val="24"/>
                <w:szCs w:val="24"/>
                <w:vertAlign w:val="baseline"/>
                <w:lang w:val="en-US" w:eastAsia="zh-CN"/>
              </w:rPr>
            </w:pPr>
          </w:p>
        </w:tc>
        <w:tc>
          <w:tcPr>
            <w:tcW w:w="1575" w:type="dxa"/>
            <w:vAlign w:val="center"/>
          </w:tcPr>
          <w:p>
            <w:pPr>
              <w:jc w:val="center"/>
              <w:rPr>
                <w:rFonts w:hint="eastAsia" w:ascii="宋体" w:hAnsi="宋体"/>
                <w:b/>
                <w:bCs/>
                <w:sz w:val="24"/>
                <w:szCs w:val="24"/>
                <w:vertAlign w:val="baseline"/>
                <w:lang w:val="en-US" w:eastAsia="zh-CN"/>
              </w:rPr>
            </w:pPr>
            <w:r>
              <w:rPr>
                <w:rFonts w:hint="eastAsia" w:ascii="宋体" w:hAnsi="宋体"/>
                <w:sz w:val="24"/>
                <w:szCs w:val="24"/>
                <w:lang w:val="en-US" w:eastAsia="zh-CN"/>
              </w:rPr>
              <w:t>合计</w:t>
            </w:r>
          </w:p>
        </w:tc>
        <w:tc>
          <w:tcPr>
            <w:tcW w:w="3063"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p>
        </w:tc>
        <w:tc>
          <w:tcPr>
            <w:tcW w:w="825" w:type="dxa"/>
            <w:vAlign w:val="center"/>
          </w:tcPr>
          <w:p>
            <w:pPr>
              <w:jc w:val="center"/>
              <w:rPr>
                <w:rFonts w:hint="eastAsia" w:ascii="宋体" w:hAnsi="宋体"/>
                <w:b/>
                <w:bCs/>
                <w:sz w:val="24"/>
                <w:szCs w:val="24"/>
                <w:vertAlign w:val="baseline"/>
                <w:lang w:eastAsia="zh-CN"/>
              </w:rPr>
            </w:pPr>
          </w:p>
        </w:tc>
        <w:tc>
          <w:tcPr>
            <w:tcW w:w="1062" w:type="dxa"/>
            <w:vAlign w:val="center"/>
          </w:tcPr>
          <w:p>
            <w:pPr>
              <w:jc w:val="center"/>
              <w:rPr>
                <w:rFonts w:hint="eastAsia" w:ascii="宋体" w:hAnsi="宋体"/>
                <w:b/>
                <w:bCs/>
                <w:sz w:val="24"/>
                <w:szCs w:val="24"/>
                <w:vertAlign w:val="baseline"/>
                <w:lang w:eastAsia="zh-CN"/>
              </w:rPr>
            </w:pPr>
          </w:p>
        </w:tc>
        <w:tc>
          <w:tcPr>
            <w:tcW w:w="1200" w:type="dxa"/>
            <w:vAlign w:val="center"/>
          </w:tcPr>
          <w:p>
            <w:pPr>
              <w:jc w:val="center"/>
              <w:rPr>
                <w:rFonts w:hint="eastAsia" w:ascii="宋体" w:hAnsi="宋体"/>
                <w:b/>
                <w:bCs/>
                <w:sz w:val="24"/>
                <w:szCs w:val="24"/>
                <w:vertAlign w:val="baseline"/>
                <w:lang w:eastAsia="zh-CN"/>
              </w:rPr>
            </w:pPr>
          </w:p>
        </w:tc>
        <w:tc>
          <w:tcPr>
            <w:tcW w:w="1325" w:type="dxa"/>
            <w:vAlign w:val="center"/>
          </w:tcPr>
          <w:p>
            <w:pPr>
              <w:keepNext w:val="0"/>
              <w:keepLines w:val="0"/>
              <w:widowControl/>
              <w:suppressLineNumbers w:val="0"/>
              <w:jc w:val="center"/>
              <w:textAlignment w:val="center"/>
              <w:rPr>
                <w:rFonts w:hint="eastAsia" w:ascii="宋体" w:hAnsi="宋体"/>
                <w:b/>
                <w:bCs/>
                <w:sz w:val="24"/>
                <w:szCs w:val="24"/>
                <w:vertAlign w:val="baseline"/>
                <w:lang w:eastAsia="zh-CN"/>
              </w:rPr>
            </w:pPr>
            <w:r>
              <w:rPr>
                <w:rFonts w:hint="eastAsia" w:ascii="宋体" w:hAnsi="宋体" w:eastAsia="宋体" w:cs="宋体"/>
                <w:i w:val="0"/>
                <w:iCs w:val="0"/>
                <w:color w:val="000000"/>
                <w:kern w:val="0"/>
                <w:sz w:val="22"/>
                <w:szCs w:val="22"/>
                <w:u w:val="none"/>
                <w:lang w:val="en-US" w:eastAsia="zh-CN" w:bidi="ar"/>
              </w:rPr>
              <w:t>144024</w:t>
            </w:r>
          </w:p>
        </w:tc>
      </w:tr>
    </w:tbl>
    <w:p>
      <w:pPr>
        <w:jc w:val="both"/>
        <w:rPr>
          <w:rFonts w:hint="eastAsia" w:ascii="宋体" w:hAnsi="宋体"/>
          <w:b/>
          <w:bCs/>
          <w:sz w:val="24"/>
          <w:szCs w:val="24"/>
          <w:lang w:eastAsia="zh-CN"/>
        </w:rPr>
      </w:pPr>
      <w:r>
        <w:rPr>
          <w:rFonts w:hint="eastAsia" w:ascii="宋体" w:hAnsi="宋体"/>
          <w:b/>
          <w:bCs/>
          <w:sz w:val="24"/>
          <w:szCs w:val="24"/>
          <w:lang w:val="en-US" w:eastAsia="zh-CN"/>
        </w:rPr>
        <w:t>二、</w:t>
      </w:r>
      <w:r>
        <w:rPr>
          <w:rFonts w:hint="eastAsia" w:ascii="宋体" w:hAnsi="宋体"/>
          <w:b/>
          <w:bCs/>
          <w:sz w:val="24"/>
          <w:szCs w:val="24"/>
          <w:lang w:eastAsia="zh-CN"/>
        </w:rPr>
        <w:t>生物实验室</w:t>
      </w:r>
    </w:p>
    <w:tbl>
      <w:tblPr>
        <w:tblStyle w:val="10"/>
        <w:tblW w:w="1002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75"/>
        <w:gridCol w:w="3063"/>
        <w:gridCol w:w="825"/>
        <w:gridCol w:w="1062"/>
        <w:gridCol w:w="120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序号</w:t>
            </w:r>
          </w:p>
        </w:tc>
        <w:tc>
          <w:tcPr>
            <w:tcW w:w="15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货物名称</w:t>
            </w:r>
          </w:p>
        </w:tc>
        <w:tc>
          <w:tcPr>
            <w:tcW w:w="3063"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规格、品名、教学性能要求</w:t>
            </w:r>
          </w:p>
        </w:tc>
        <w:tc>
          <w:tcPr>
            <w:tcW w:w="8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数量</w:t>
            </w:r>
          </w:p>
        </w:tc>
        <w:tc>
          <w:tcPr>
            <w:tcW w:w="1062"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单位</w:t>
            </w:r>
          </w:p>
        </w:tc>
        <w:tc>
          <w:tcPr>
            <w:tcW w:w="1200"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单价</w:t>
            </w:r>
          </w:p>
        </w:tc>
        <w:tc>
          <w:tcPr>
            <w:tcW w:w="13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w:t>
            </w:r>
          </w:p>
        </w:tc>
        <w:tc>
          <w:tcPr>
            <w:tcW w:w="1575" w:type="dxa"/>
            <w:vAlign w:val="center"/>
          </w:tcPr>
          <w:p>
            <w:pPr>
              <w:jc w:val="center"/>
              <w:rPr>
                <w:rFonts w:hint="eastAsia" w:ascii="宋体" w:hAnsi="宋体" w:cs="宋体"/>
                <w:sz w:val="24"/>
                <w:szCs w:val="24"/>
                <w:lang w:val="en-US" w:eastAsia="zh-CN"/>
              </w:rPr>
            </w:pPr>
          </w:p>
          <w:p>
            <w:pPr>
              <w:jc w:val="center"/>
              <w:rPr>
                <w:rFonts w:hint="eastAsia" w:ascii="宋体" w:hAnsi="宋体" w:cs="宋体"/>
                <w:sz w:val="24"/>
                <w:szCs w:val="24"/>
                <w:lang w:val="en-US" w:eastAsia="zh-CN"/>
              </w:rPr>
            </w:pPr>
          </w:p>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教师演示台</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规格：尺寸不小于2400*</w:t>
            </w:r>
            <w:r>
              <w:rPr>
                <w:rFonts w:hint="eastAsia" w:ascii="宋体" w:hAnsi="宋体" w:cs="宋体"/>
                <w:sz w:val="24"/>
                <w:szCs w:val="24"/>
                <w:lang w:val="en-US" w:eastAsia="zh-CN"/>
              </w:rPr>
              <w:t>6</w:t>
            </w:r>
            <w:r>
              <w:rPr>
                <w:rFonts w:hint="eastAsia" w:ascii="宋体" w:hAnsi="宋体" w:cs="宋体"/>
                <w:sz w:val="24"/>
                <w:szCs w:val="24"/>
              </w:rPr>
              <w:t>00*850mm；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1、台面:采用12.7mm厚耐磨、耐刮擦、防火的实芯理化板，四边厚度25.4㎜；一次性加工成型，表面光滑、不变形、平整，用连接件组装，牢固可靠。</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2、台身：铝合金框架结构，立柱采用壁厚1.0mm、截面为50mm圆弧形的铝合金制作。横梁采用壁厚1.0mm、截面35mm×35mm（长×宽）铝合金制作。连接件应一次成型与铝合金型材紧紧扣牢；铝合金立柱和横梁与连接件配套使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3、台体衬板：用厚度为16mm双面三聚氰胺板（即双饰面板）作为台体衬板，所有截面采用PVC优质封边条，采用全自动机械热熔封边.</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4、桌脚：采用ABS工程塑料一次注塑成型的脚垫，高度可调。</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5、抽屉滑道：采用消声三节珠轨，合金钢板一次性成型加工，表面经环氧树脂静电喷涂。</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提供台面板样品  150mm×200mm</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提供侧面板样品  150mm×200mm</w:t>
            </w:r>
          </w:p>
        </w:tc>
        <w:tc>
          <w:tcPr>
            <w:tcW w:w="82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1062" w:type="dxa"/>
            <w:vAlign w:val="center"/>
          </w:tcPr>
          <w:p>
            <w:pPr>
              <w:jc w:val="center"/>
              <w:rPr>
                <w:rFonts w:hint="eastAsia" w:ascii="宋体" w:hAnsi="宋体" w:eastAsiaTheme="minorEastAsia" w:cstheme="minorBidi"/>
                <w:color w:val="000000"/>
                <w:kern w:val="2"/>
                <w:sz w:val="24"/>
                <w:szCs w:val="24"/>
                <w:lang w:val="en-US" w:eastAsia="zh-CN" w:bidi="ar-SA"/>
              </w:rPr>
            </w:pPr>
            <w:r>
              <w:rPr>
                <w:rFonts w:hint="eastAsia" w:ascii="宋体" w:hAnsi="宋体" w:cs="宋体"/>
                <w:sz w:val="24"/>
                <w:szCs w:val="24"/>
              </w:rPr>
              <w:t>张</w:t>
            </w:r>
          </w:p>
        </w:tc>
        <w:tc>
          <w:tcPr>
            <w:tcW w:w="1200"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4320</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8640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2</w:t>
            </w:r>
          </w:p>
        </w:tc>
        <w:tc>
          <w:tcPr>
            <w:tcW w:w="1575" w:type="dxa"/>
            <w:vAlign w:val="center"/>
          </w:tcPr>
          <w:p>
            <w:pPr>
              <w:jc w:val="center"/>
              <w:rPr>
                <w:rFonts w:hint="eastAsia" w:ascii="宋体" w:hAnsi="宋体" w:cs="宋体"/>
                <w:sz w:val="24"/>
                <w:szCs w:val="24"/>
                <w:lang w:val="en-US" w:eastAsia="zh-CN"/>
              </w:rPr>
            </w:pPr>
          </w:p>
          <w:p>
            <w:pPr>
              <w:jc w:val="center"/>
              <w:rPr>
                <w:rFonts w:hint="eastAsia" w:ascii="宋体" w:hAnsi="宋体" w:cs="宋体"/>
                <w:sz w:val="24"/>
                <w:szCs w:val="24"/>
                <w:lang w:val="en-US" w:eastAsia="zh-CN"/>
              </w:rPr>
            </w:pPr>
          </w:p>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学生实验桌</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规格：尺寸不小于</w:t>
            </w: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00×</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00×780mm</w:t>
            </w:r>
            <w:r>
              <w:rPr>
                <w:rFonts w:hint="eastAsia" w:ascii="宋体" w:hAnsi="宋体" w:cs="宋体"/>
                <w:sz w:val="24"/>
                <w:szCs w:val="24"/>
              </w:rPr>
              <w:t>；</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台面：一体化台面，采用12.7mm厚，四周边缘双层加至25.4mm厚防腐蚀、耐酸碱、防静电、防火、耐烟酌、抗污染的实芯理化板，结构加工坚固致密、机械精打磨圆滑细致，造型美观，经久耐用。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台身：采用耐腐蚀、防潮湿、防白蚁的高级铝合金（有四种不同功能外凸卡槽组合的立柱规格：直径45mm带外凸卡槽，厚度≧1.0mm；横挡规格：31*31，厚度≧1.0mm）配有插件式组合连接件，台身采用三聚氰胺浸渍板，其截面由PVC封边带利用机械高温热熔胶封边，密封性好，外形美观，经久耐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结构：每台为</w:t>
            </w:r>
            <w:r>
              <w:rPr>
                <w:rFonts w:hint="eastAsia" w:ascii="宋体" w:hAnsi="宋体" w:cs="宋体"/>
                <w:sz w:val="24"/>
                <w:szCs w:val="24"/>
                <w:lang w:val="en-US" w:eastAsia="zh-CN"/>
              </w:rPr>
              <w:t>四</w:t>
            </w:r>
            <w:r>
              <w:rPr>
                <w:rFonts w:hint="eastAsia" w:ascii="宋体" w:hAnsi="宋体" w:cs="宋体"/>
                <w:sz w:val="24"/>
                <w:szCs w:val="24"/>
              </w:rPr>
              <w:t>座，高级铝木结构，注重人性化设计。采用一体化台面，探究台为双面设计，台面中间设有学生电源盒和学生探究实验台两侧各装有两个交流220V市电输出插座。双面均设有存放传感器及数字采集器的抽屉及开门式储藏柜，均采用开门式设计。台两侧设有实验分析专用区，且设有活动键盘抽屉及主机存放柜。设有信息网络接口，整体结构科学合理，美观实用。</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4.</w:t>
            </w:r>
            <w:r>
              <w:rPr>
                <w:rFonts w:hint="eastAsia" w:ascii="宋体" w:hAnsi="宋体" w:cs="宋体"/>
                <w:sz w:val="24"/>
                <w:szCs w:val="24"/>
              </w:rPr>
              <w:t>脚垫：采用注塑成型地脚并带鸭嘴紧固件，具有防滑减震，可有效防止桌身受潮，延长设备的使用寿命。</w:t>
            </w:r>
          </w:p>
        </w:tc>
        <w:tc>
          <w:tcPr>
            <w:tcW w:w="825" w:type="dxa"/>
            <w:vAlign w:val="center"/>
          </w:tcPr>
          <w:p>
            <w:pPr>
              <w:jc w:val="center"/>
              <w:rPr>
                <w:rFonts w:hint="eastAsia" w:ascii="宋体" w:hAnsi="宋体" w:cs="宋体"/>
                <w:sz w:val="24"/>
                <w:szCs w:val="24"/>
              </w:rPr>
            </w:pPr>
          </w:p>
          <w:p>
            <w:pPr>
              <w:jc w:val="center"/>
              <w:rPr>
                <w:rFonts w:hint="eastAsia" w:ascii="宋体" w:hAnsi="宋体" w:cs="宋体"/>
                <w:sz w:val="24"/>
                <w:szCs w:val="24"/>
              </w:rPr>
            </w:pPr>
          </w:p>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24</w:t>
            </w:r>
            <w:r>
              <w:rPr>
                <w:rFonts w:hint="eastAsia" w:ascii="宋体" w:hAnsi="宋体" w:cs="宋体"/>
                <w:sz w:val="24"/>
                <w:szCs w:val="24"/>
              </w:rPr>
              <w:t xml:space="preserve"> </w:t>
            </w:r>
          </w:p>
        </w:tc>
        <w:tc>
          <w:tcPr>
            <w:tcW w:w="1062" w:type="dxa"/>
            <w:vAlign w:val="center"/>
          </w:tcPr>
          <w:p>
            <w:pPr>
              <w:jc w:val="center"/>
              <w:rPr>
                <w:rFonts w:hint="eastAsia" w:ascii="宋体" w:hAnsi="宋体" w:cs="宋体"/>
                <w:sz w:val="24"/>
                <w:szCs w:val="24"/>
              </w:rPr>
            </w:pPr>
          </w:p>
          <w:p>
            <w:pPr>
              <w:jc w:val="center"/>
              <w:rPr>
                <w:rFonts w:hint="eastAsia" w:ascii="宋体" w:hAnsi="宋体" w:cs="宋体"/>
                <w:sz w:val="24"/>
                <w:szCs w:val="24"/>
              </w:rPr>
            </w:pPr>
          </w:p>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张</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2880</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69120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3</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水槽</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both"/>
              <w:rPr>
                <w:rFonts w:hint="eastAsia" w:ascii="宋体" w:hAnsi="宋体" w:cs="宋体"/>
                <w:sz w:val="24"/>
                <w:szCs w:val="24"/>
              </w:rPr>
            </w:pPr>
            <w:r>
              <w:rPr>
                <w:rFonts w:hint="eastAsia" w:ascii="宋体" w:hAnsi="宋体" w:cs="宋体"/>
                <w:sz w:val="24"/>
                <w:szCs w:val="24"/>
              </w:rPr>
              <w:t>规格：380mm×270mm×180mm</w:t>
            </w:r>
          </w:p>
          <w:p>
            <w:pPr>
              <w:keepNext w:val="0"/>
              <w:keepLines w:val="0"/>
              <w:pageBreakBefore w:val="0"/>
              <w:widowControl w:val="0"/>
              <w:kinsoku/>
              <w:wordWrap/>
              <w:overflowPunct/>
              <w:topLinePunct w:val="0"/>
              <w:autoSpaceDE/>
              <w:autoSpaceDN/>
              <w:bidi w:val="0"/>
              <w:adjustRightInd/>
              <w:snapToGrid/>
              <w:spacing w:after="0" w:line="360" w:lineRule="exact"/>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采用优质PP水槽，耐酸、耐碱、耐老化，采用水封式装置可防止废气回流与废渣堵塞</w:t>
            </w:r>
            <w:r>
              <w:rPr>
                <w:rFonts w:hint="eastAsia" w:ascii="宋体" w:hAnsi="宋体" w:cs="宋体"/>
                <w:sz w:val="24"/>
                <w:szCs w:val="24"/>
                <w:lang w:eastAsia="zh-CN"/>
              </w:rPr>
              <w:t>高中实验室专用水</w:t>
            </w:r>
            <w:r>
              <w:rPr>
                <w:rFonts w:hint="eastAsia" w:ascii="宋体" w:hAnsi="宋体" w:cs="宋体"/>
                <w:sz w:val="24"/>
                <w:szCs w:val="24"/>
              </w:rPr>
              <w:t>槽</w:t>
            </w:r>
            <w:r>
              <w:rPr>
                <w:rFonts w:hint="eastAsia" w:ascii="宋体" w:hAnsi="宋体" w:cs="宋体"/>
                <w:sz w:val="24"/>
                <w:szCs w:val="24"/>
                <w:lang w:eastAsia="zh-CN"/>
              </w:rPr>
              <w:t>。</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kern w:val="2"/>
                <w:sz w:val="24"/>
                <w:szCs w:val="24"/>
                <w:lang w:val="en-US" w:eastAsia="zh-CN" w:bidi="ar-SA"/>
              </w:rPr>
              <w:t>24</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个</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98</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4</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三联水咀</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both"/>
              <w:rPr>
                <w:rFonts w:hint="eastAsia" w:ascii="宋体" w:hAnsi="宋体" w:cs="宋体"/>
                <w:sz w:val="24"/>
                <w:szCs w:val="24"/>
              </w:rPr>
            </w:pPr>
            <w:r>
              <w:rPr>
                <w:rFonts w:hint="eastAsia" w:ascii="宋体" w:hAnsi="宋体" w:cs="宋体"/>
                <w:sz w:val="24"/>
                <w:szCs w:val="24"/>
                <w:lang w:eastAsia="zh-CN"/>
              </w:rPr>
              <w:t>规格：</w:t>
            </w:r>
            <w:r>
              <w:rPr>
                <w:rFonts w:hint="eastAsia" w:ascii="宋体" w:hAnsi="宋体" w:cs="宋体"/>
                <w:sz w:val="24"/>
                <w:szCs w:val="24"/>
              </w:rPr>
              <w:t>220*130*600mm</w:t>
            </w:r>
          </w:p>
          <w:p>
            <w:pPr>
              <w:keepNext w:val="0"/>
              <w:keepLines w:val="0"/>
              <w:pageBreakBefore w:val="0"/>
              <w:widowControl w:val="0"/>
              <w:kinsoku/>
              <w:wordWrap/>
              <w:overflowPunct/>
              <w:topLinePunct w:val="0"/>
              <w:autoSpaceDE/>
              <w:autoSpaceDN/>
              <w:bidi w:val="0"/>
              <w:adjustRightInd/>
              <w:snapToGrid/>
              <w:spacing w:after="0" w:line="360" w:lineRule="exact"/>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eastAsia="zh-CN"/>
              </w:rPr>
              <w:t>全铜</w:t>
            </w:r>
            <w:r>
              <w:rPr>
                <w:rFonts w:hint="eastAsia" w:ascii="宋体" w:hAnsi="宋体" w:cs="宋体"/>
                <w:sz w:val="24"/>
                <w:szCs w:val="24"/>
              </w:rPr>
              <w:t>三联水嘴，防腐蚀，耐酸碱，抗氧化</w:t>
            </w:r>
            <w:r>
              <w:rPr>
                <w:rFonts w:hint="eastAsia" w:ascii="宋体" w:hAnsi="宋体" w:cs="宋体"/>
                <w:sz w:val="24"/>
                <w:szCs w:val="24"/>
                <w:lang w:eastAsia="zh-CN"/>
              </w:rPr>
              <w:t>高中实验室专用三联水嘴，</w:t>
            </w:r>
            <w:r>
              <w:rPr>
                <w:rFonts w:hint="eastAsia" w:ascii="宋体" w:hAnsi="宋体" w:cs="宋体"/>
                <w:sz w:val="24"/>
                <w:szCs w:val="24"/>
              </w:rPr>
              <w:t>长期使用不易褪色。</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24</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235</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5</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洗眼器</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洗眼喷头：采用不助燃PC材质模铸一体成形制作，具有过滤泡棉及防尘功能，上面防尘盖平常可防尘，使用时可随时被水冲开，并降低突然打开时短暂的高水压，避免冲伤眼睛，单眼。</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1025</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6</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教师电源</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1.教师控制电源部分采用抽屉式：①设教学安全电源控制台，分4组向学生实验桌输出安全的220V交流电源，对学生实验电源进行分组控制，具备漏电及过载保护功能。  ②实验总电源及学生实验电源均设有：短路、过载、自动断电功能；投标产品</w:t>
            </w:r>
            <w:r>
              <w:rPr>
                <w:rFonts w:hint="eastAsia" w:ascii="宋体" w:hAnsi="宋体" w:cs="宋体"/>
                <w:sz w:val="24"/>
                <w:szCs w:val="24"/>
                <w:lang w:val="en-US" w:eastAsia="zh-CN"/>
              </w:rPr>
              <w:t>需提供省级以上的生产许可证.投标商应提供环境管理体系、职业健康安全管理体系、质量管理体系认证。</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1050</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7</w:t>
            </w:r>
          </w:p>
        </w:tc>
        <w:tc>
          <w:tcPr>
            <w:tcW w:w="1575" w:type="dxa"/>
            <w:vAlign w:val="center"/>
          </w:tcPr>
          <w:p>
            <w:pPr>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sz w:val="24"/>
                <w:szCs w:val="24"/>
              </w:rPr>
              <w:t>抽斗电源</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宋体" w:hAnsi="宋体" w:eastAsia="宋体" w:cs="宋体"/>
                <w:color w:val="auto"/>
                <w:sz w:val="24"/>
                <w:szCs w:val="24"/>
                <w:lang w:eastAsia="zh-CN"/>
              </w:rPr>
            </w:pPr>
            <w:r>
              <w:rPr>
                <w:rFonts w:hint="eastAsia" w:ascii="宋体" w:hAnsi="宋体" w:cs="宋体"/>
                <w:color w:val="auto"/>
                <w:sz w:val="24"/>
                <w:szCs w:val="24"/>
              </w:rPr>
              <w:t>接受教师安全电源控制台控制。技术指标：220V交流输出多功能五孔插座 ，配有高压电源保险管：2A</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color w:val="auto"/>
                <w:kern w:val="2"/>
                <w:sz w:val="24"/>
                <w:szCs w:val="24"/>
                <w:lang w:val="en-US" w:eastAsia="zh-CN" w:bidi="ar-SA"/>
              </w:rPr>
            </w:pPr>
            <w:r>
              <w:rPr>
                <w:rFonts w:hint="eastAsia" w:ascii="宋体" w:hAnsi="宋体" w:cs="宋体"/>
                <w:color w:val="auto"/>
                <w:sz w:val="24"/>
                <w:szCs w:val="24"/>
              </w:rPr>
              <w:t>学生实验电源均设有：过载保护功能</w:t>
            </w:r>
            <w:r>
              <w:rPr>
                <w:rFonts w:hint="eastAsia" w:ascii="宋体" w:hAnsi="宋体" w:cs="宋体"/>
                <w:color w:val="auto"/>
                <w:sz w:val="24"/>
                <w:szCs w:val="24"/>
                <w:lang w:eastAsia="zh-CN"/>
              </w:rPr>
              <w:t>。</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48</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8</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辅助光源及控制开关</w:t>
            </w:r>
          </w:p>
        </w:tc>
        <w:tc>
          <w:tcPr>
            <w:tcW w:w="3063" w:type="dxa"/>
            <w:vAlign w:val="center"/>
          </w:tcPr>
          <w:p>
            <w:pP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桌面式，LED节能灯，高度可调</w:t>
            </w:r>
            <w:r>
              <w:rPr>
                <w:rFonts w:hint="eastAsia" w:ascii="宋体" w:hAnsi="宋体" w:cs="宋体"/>
                <w:sz w:val="24"/>
                <w:szCs w:val="24"/>
                <w:lang w:eastAsia="zh-CN"/>
              </w:rPr>
              <w:t>。</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48</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288</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13824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9</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实验室交、直流供电系统</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符合JY0374-2004《教学实验室设备 电源系统》，采用PVC阻燃线管穿线到学生台及教师台，分支线沿多功能护罩暗槽引到学生电源接线柱。另供电应充分接上地线，供教师演示台电线线径不小于4㎡，供学生实验台电线线径不小于1.5㎡。线材采用双塑铜芯线材。所有线管采用φ20PVC线管，按配电标准预埋敷设，采用优质PVC线管。</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4120</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10</w:t>
            </w:r>
          </w:p>
        </w:tc>
        <w:tc>
          <w:tcPr>
            <w:tcW w:w="157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室内给排水系统</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在室内校方指定处设有给水总控制阀门，教师可以灵活方便对全室给水系统进行控制，给水管采用φ20-32mmPPR国标管，专业工具热熔连接，耐压、耐用安全可靠，排水管采用加厚PVC-U φ50mm国标管，专用PVC胶连接，每个水位都要独立安张φ20球阀，国标金属软管与水嘴相连，下水装制中含沉水弯检修口，方便维修检查，不易堵塞，防异味上窜到教室。</w:t>
            </w:r>
          </w:p>
        </w:tc>
        <w:tc>
          <w:tcPr>
            <w:tcW w:w="825"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1062" w:type="dxa"/>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项</w:t>
            </w:r>
          </w:p>
        </w:tc>
        <w:tc>
          <w:tcPr>
            <w:tcW w:w="120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4120</w:t>
            </w:r>
          </w:p>
        </w:tc>
        <w:tc>
          <w:tcPr>
            <w:tcW w:w="1325" w:type="dxa"/>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11</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附件</w:t>
            </w:r>
          </w:p>
        </w:tc>
        <w:tc>
          <w:tcPr>
            <w:tcW w:w="0" w:type="auto"/>
            <w:vAlign w:val="center"/>
          </w:tcPr>
          <w:p>
            <w:pP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三通、直通、弯头、电箱空气开关、胶布等辅材</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室</w:t>
            </w:r>
          </w:p>
        </w:tc>
        <w:tc>
          <w:tcPr>
            <w:tcW w:w="0" w:type="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0" w:type="auto"/>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12</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设备安装调试</w:t>
            </w:r>
          </w:p>
        </w:tc>
        <w:tc>
          <w:tcPr>
            <w:tcW w:w="0" w:type="auto"/>
            <w:vAlign w:val="center"/>
          </w:tcPr>
          <w:p>
            <w:pP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按学校实际情况现场施工（含桌椅，实验室电源等）及全室现场卫生清理</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室</w:t>
            </w:r>
          </w:p>
        </w:tc>
        <w:tc>
          <w:tcPr>
            <w:tcW w:w="0" w:type="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4120</w:t>
            </w:r>
          </w:p>
        </w:tc>
        <w:tc>
          <w:tcPr>
            <w:tcW w:w="0" w:type="auto"/>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cs="宋体"/>
                <w:sz w:val="24"/>
                <w:szCs w:val="24"/>
                <w:lang w:val="en-US" w:eastAsia="zh-CN"/>
              </w:rPr>
              <w:t>13</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实验室环境改造</w:t>
            </w:r>
          </w:p>
        </w:tc>
        <w:tc>
          <w:tcPr>
            <w:tcW w:w="0" w:type="auto"/>
            <w:vAlign w:val="center"/>
          </w:tcPr>
          <w:p>
            <w:pP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实验室窗帘，环境渲染（操作规范流程图，名人名言挂图</w:t>
            </w:r>
            <w:r>
              <w:rPr>
                <w:rFonts w:hint="eastAsia" w:ascii="宋体" w:hAnsi="宋体" w:cs="宋体"/>
                <w:sz w:val="24"/>
                <w:szCs w:val="24"/>
                <w:lang w:eastAsia="zh-CN"/>
              </w:rPr>
              <w:t>不少于</w:t>
            </w:r>
            <w:r>
              <w:rPr>
                <w:rFonts w:hint="eastAsia" w:ascii="宋体" w:hAnsi="宋体" w:cs="宋体"/>
                <w:sz w:val="24"/>
                <w:szCs w:val="24"/>
                <w:lang w:val="en-US" w:eastAsia="zh-CN"/>
              </w:rPr>
              <w:t>6幅</w:t>
            </w:r>
            <w:r>
              <w:rPr>
                <w:rFonts w:hint="eastAsia" w:ascii="宋体" w:hAnsi="宋体" w:cs="宋体"/>
                <w:sz w:val="24"/>
                <w:szCs w:val="24"/>
              </w:rPr>
              <w:t>）</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 xml:space="preserve"> </w:t>
            </w:r>
          </w:p>
        </w:tc>
        <w:tc>
          <w:tcPr>
            <w:tcW w:w="0" w:type="auto"/>
            <w:vAlign w:val="center"/>
          </w:tcPr>
          <w:p>
            <w:pPr>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sz w:val="24"/>
                <w:szCs w:val="24"/>
              </w:rPr>
              <w:t>间</w:t>
            </w:r>
          </w:p>
        </w:tc>
        <w:tc>
          <w:tcPr>
            <w:tcW w:w="0" w:type="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6980</w:t>
            </w:r>
          </w:p>
        </w:tc>
        <w:tc>
          <w:tcPr>
            <w:tcW w:w="0" w:type="auto"/>
            <w:vAlign w:val="center"/>
          </w:tcPr>
          <w:p>
            <w:pPr>
              <w:keepNext w:val="0"/>
              <w:keepLines w:val="0"/>
              <w:widowControl/>
              <w:suppressLineNumbers w:val="0"/>
              <w:jc w:val="center"/>
              <w:textAlignment w:val="center"/>
              <w:rPr>
                <w:rFonts w:hint="eastAsia" w:ascii="宋体" w:hAnsi="宋体" w:cs="宋体" w:eastAsiaTheme="minorEastAsia"/>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13960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p>
        </w:tc>
        <w:tc>
          <w:tcPr>
            <w:tcW w:w="0" w:type="auto"/>
            <w:vAlign w:val="center"/>
          </w:tcPr>
          <w:p>
            <w:pPr>
              <w:jc w:val="center"/>
              <w:rPr>
                <w:rFonts w:hint="eastAsia" w:ascii="宋体" w:hAnsi="宋体" w:cs="宋体" w:eastAsiaTheme="minorEastAsia"/>
                <w:kern w:val="2"/>
                <w:sz w:val="24"/>
                <w:szCs w:val="24"/>
                <w:lang w:val="en-US" w:eastAsia="zh-CN" w:bidi="ar-SA"/>
              </w:rPr>
            </w:pPr>
            <w:r>
              <w:rPr>
                <w:rFonts w:hint="eastAsia" w:ascii="宋体" w:hAnsi="宋体" w:cs="宋体"/>
                <w:b/>
                <w:bCs/>
                <w:sz w:val="24"/>
                <w:szCs w:val="24"/>
                <w:lang w:val="en-US" w:eastAsia="zh-CN"/>
              </w:rPr>
              <w:t>合计</w:t>
            </w:r>
          </w:p>
        </w:tc>
        <w:tc>
          <w:tcPr>
            <w:tcW w:w="0" w:type="auto"/>
            <w:vAlign w:val="center"/>
          </w:tcPr>
          <w:p>
            <w:pPr>
              <w:rPr>
                <w:rFonts w:hint="eastAsia" w:ascii="宋体" w:hAnsi="宋体" w:cs="宋体" w:eastAsiaTheme="minorEastAsia"/>
                <w:kern w:val="2"/>
                <w:sz w:val="24"/>
                <w:szCs w:val="24"/>
                <w:lang w:val="en-US" w:eastAsia="zh-CN" w:bidi="ar-SA"/>
              </w:rPr>
            </w:pPr>
          </w:p>
        </w:tc>
        <w:tc>
          <w:tcPr>
            <w:tcW w:w="0" w:type="auto"/>
            <w:vAlign w:val="center"/>
          </w:tcPr>
          <w:p>
            <w:pPr>
              <w:jc w:val="center"/>
              <w:rPr>
                <w:rFonts w:hint="eastAsia" w:ascii="宋体" w:hAnsi="宋体" w:cs="宋体" w:eastAsiaTheme="minorEastAsia"/>
                <w:kern w:val="2"/>
                <w:sz w:val="24"/>
                <w:szCs w:val="24"/>
                <w:lang w:val="en-US" w:eastAsia="zh-CN" w:bidi="ar-SA"/>
              </w:rPr>
            </w:pPr>
          </w:p>
        </w:tc>
        <w:tc>
          <w:tcPr>
            <w:tcW w:w="0" w:type="auto"/>
            <w:vAlign w:val="center"/>
          </w:tcPr>
          <w:p>
            <w:pPr>
              <w:jc w:val="center"/>
              <w:rPr>
                <w:rFonts w:hint="eastAsia" w:ascii="宋体" w:hAnsi="宋体" w:cs="宋体" w:eastAsiaTheme="minorEastAsia"/>
                <w:kern w:val="2"/>
                <w:sz w:val="24"/>
                <w:szCs w:val="24"/>
                <w:lang w:val="en-US" w:eastAsia="zh-CN" w:bidi="ar-SA"/>
              </w:rPr>
            </w:pPr>
          </w:p>
        </w:tc>
        <w:tc>
          <w:tcPr>
            <w:tcW w:w="0" w:type="auto"/>
            <w:vAlign w:val="center"/>
          </w:tcPr>
          <w:p>
            <w:pPr>
              <w:jc w:val="center"/>
              <w:rPr>
                <w:rFonts w:hint="eastAsia" w:ascii="宋体" w:hAnsi="宋体" w:cs="宋体" w:eastAsiaTheme="minorEastAsia"/>
                <w:color w:val="000000"/>
                <w:kern w:val="2"/>
                <w:sz w:val="24"/>
                <w:szCs w:val="24"/>
                <w:lang w:val="en-US" w:eastAsia="zh-CN" w:bidi="ar-SA"/>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152934</w:t>
            </w:r>
          </w:p>
        </w:tc>
      </w:tr>
    </w:tbl>
    <w:p>
      <w:pPr>
        <w:pStyle w:val="8"/>
        <w:ind w:left="0" w:leftChars="0" w:firstLine="0" w:firstLineChars="0"/>
        <w:rPr>
          <w:rFonts w:hint="eastAsia"/>
          <w:b/>
          <w:bCs/>
          <w:lang w:eastAsia="zh-CN"/>
        </w:rPr>
      </w:pPr>
      <w:r>
        <w:rPr>
          <w:rFonts w:hint="eastAsia" w:ascii="宋体" w:hAnsi="宋体"/>
          <w:b/>
          <w:bCs/>
          <w:sz w:val="24"/>
          <w:szCs w:val="24"/>
          <w:lang w:val="en-US" w:eastAsia="zh-CN"/>
        </w:rPr>
        <w:t>三、</w:t>
      </w:r>
      <w:r>
        <w:rPr>
          <w:rFonts w:hint="eastAsia" w:ascii="宋体" w:hAnsi="宋体"/>
          <w:b/>
          <w:bCs/>
          <w:sz w:val="24"/>
          <w:szCs w:val="24"/>
          <w:lang w:eastAsia="zh-CN"/>
        </w:rPr>
        <w:t>教师办公室（含生物准备室）</w:t>
      </w:r>
    </w:p>
    <w:tbl>
      <w:tblPr>
        <w:tblStyle w:val="10"/>
        <w:tblW w:w="1002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75"/>
        <w:gridCol w:w="3063"/>
        <w:gridCol w:w="825"/>
        <w:gridCol w:w="1062"/>
        <w:gridCol w:w="120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序号</w:t>
            </w:r>
          </w:p>
        </w:tc>
        <w:tc>
          <w:tcPr>
            <w:tcW w:w="15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货物名称</w:t>
            </w:r>
          </w:p>
        </w:tc>
        <w:tc>
          <w:tcPr>
            <w:tcW w:w="3063"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规格、品名、教学性能要求</w:t>
            </w:r>
          </w:p>
        </w:tc>
        <w:tc>
          <w:tcPr>
            <w:tcW w:w="8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数量</w:t>
            </w:r>
          </w:p>
        </w:tc>
        <w:tc>
          <w:tcPr>
            <w:tcW w:w="1062"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单位</w:t>
            </w:r>
          </w:p>
        </w:tc>
        <w:tc>
          <w:tcPr>
            <w:tcW w:w="1200"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单价</w:t>
            </w:r>
          </w:p>
        </w:tc>
        <w:tc>
          <w:tcPr>
            <w:tcW w:w="13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s="宋体"/>
                <w:color w:val="000000"/>
                <w:sz w:val="24"/>
                <w:szCs w:val="24"/>
              </w:rPr>
              <w:t>准备台</w:t>
            </w:r>
          </w:p>
        </w:tc>
        <w:tc>
          <w:tcPr>
            <w:tcW w:w="3063" w:type="dxa"/>
            <w:vAlign w:val="center"/>
          </w:tcPr>
          <w:p>
            <w:pPr>
              <w:spacing w:line="240" w:lineRule="auto"/>
              <w:jc w:val="both"/>
              <w:rPr>
                <w:rFonts w:hint="eastAsia" w:ascii="宋体" w:hAnsi="宋体" w:eastAsia="宋体" w:cs="宋体"/>
                <w:sz w:val="24"/>
                <w:szCs w:val="24"/>
              </w:rPr>
            </w:pPr>
            <w:r>
              <w:rPr>
                <w:rFonts w:hint="eastAsia" w:ascii="宋体" w:hAnsi="宋体" w:eastAsia="宋体" w:cs="宋体"/>
                <w:sz w:val="24"/>
                <w:szCs w:val="24"/>
              </w:rPr>
              <w:t>规格：2400*1000*850</w:t>
            </w:r>
          </w:p>
          <w:p>
            <w:pPr>
              <w:keepNext w:val="0"/>
              <w:keepLines w:val="0"/>
              <w:pageBreakBefore w:val="0"/>
              <w:widowControl w:val="0"/>
              <w:kinsoku/>
              <w:wordWrap/>
              <w:overflowPunct/>
              <w:topLinePunct w:val="0"/>
              <w:autoSpaceDE/>
              <w:autoSpaceDN/>
              <w:bidi w:val="0"/>
              <w:adjustRightInd/>
              <w:snapToGrid/>
              <w:spacing w:after="0" w:line="360" w:lineRule="exact"/>
              <w:rPr>
                <w:rFonts w:hint="eastAsia" w:eastAsia="宋体" w:asciiTheme="minorEastAsia" w:hAnsiTheme="minorEastAsia" w:cstheme="minorEastAsia"/>
                <w:kern w:val="2"/>
                <w:sz w:val="24"/>
                <w:szCs w:val="24"/>
                <w:lang w:val="en-US" w:eastAsia="zh-CN" w:bidi="ar-SA"/>
              </w:rPr>
            </w:pPr>
            <w:r>
              <w:rPr>
                <w:rFonts w:hint="eastAsia" w:ascii="宋体" w:hAnsi="宋体" w:eastAsia="宋体" w:cs="宋体"/>
                <w:sz w:val="24"/>
                <w:szCs w:val="24"/>
              </w:rPr>
              <w:t>1.台面：采用厚度为12.7mm的实心理化板加厚至25mm四周倒二分之一圆弧，具有防火、防酸碱、耐磨、防静电、抗烟灼、抗污等功能，整体美观、坚固耐用。选配优质ABS连接件组装。2.台身：采用</w:t>
            </w:r>
            <w:r>
              <w:rPr>
                <w:rFonts w:hint="eastAsia" w:ascii="宋体" w:hAnsi="宋体" w:eastAsia="宋体" w:cs="宋体"/>
                <w:sz w:val="24"/>
                <w:szCs w:val="24"/>
                <w:lang w:eastAsia="zh-CN"/>
              </w:rPr>
              <w:t>铝合金框架</w:t>
            </w:r>
            <w:r>
              <w:rPr>
                <w:rFonts w:hint="eastAsia" w:ascii="宋体" w:hAnsi="宋体" w:eastAsia="宋体" w:cs="宋体"/>
                <w:sz w:val="24"/>
                <w:szCs w:val="24"/>
              </w:rPr>
              <w:t>结构，背身采用16MM厚三聚氰胺浸渍贴面板，对板材截面进行封边，粘力强、密封性能好、外形美观、经久耐用。3.台面储物架装有储物层板，分上下两层，中间装有220V电源插座4个，储物架一端装有滴水架。4、结构：</w:t>
            </w:r>
            <w:r>
              <w:rPr>
                <w:rFonts w:hint="eastAsia" w:ascii="宋体" w:hAnsi="宋体" w:eastAsia="宋体" w:cs="宋体"/>
                <w:sz w:val="24"/>
                <w:szCs w:val="24"/>
                <w:lang w:eastAsia="zh-CN"/>
              </w:rPr>
              <w:t>铝合金</w:t>
            </w:r>
            <w:r>
              <w:rPr>
                <w:rFonts w:hint="eastAsia" w:ascii="宋体" w:hAnsi="宋体" w:eastAsia="宋体" w:cs="宋体"/>
                <w:sz w:val="24"/>
                <w:szCs w:val="24"/>
              </w:rPr>
              <w:t>框架结构，以塑钢架为支撑，坚固结实。承重大于400kg/m，耐腐蚀、结构灵活，调整性强，柜底悬离地面，塑胶可调脚便于地面清洁，也可调节整体水平</w:t>
            </w:r>
            <w:r>
              <w:rPr>
                <w:rFonts w:hint="eastAsia" w:ascii="宋体" w:hAnsi="宋体" w:eastAsia="宋体" w:cs="宋体"/>
                <w:sz w:val="24"/>
                <w:szCs w:val="24"/>
                <w:lang w:eastAsia="zh-CN"/>
              </w:rPr>
              <w:t>。</w:t>
            </w:r>
          </w:p>
        </w:tc>
        <w:tc>
          <w:tcPr>
            <w:tcW w:w="82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sz w:val="24"/>
                <w:szCs w:val="24"/>
                <w:lang w:val="en-US" w:eastAsia="zh-CN"/>
              </w:rPr>
              <w:t>1</w:t>
            </w:r>
          </w:p>
        </w:tc>
        <w:tc>
          <w:tcPr>
            <w:tcW w:w="1062"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5978</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top"/>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2</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rPr>
                <w:rFonts w:hint="eastAsia" w:asciiTheme="minorHAnsi" w:hAnsiTheme="minorHAnsi" w:eastAsiaTheme="minorEastAsia" w:cstheme="minorBidi"/>
                <w:kern w:val="2"/>
                <w:sz w:val="24"/>
                <w:szCs w:val="24"/>
                <w:lang w:val="en-US" w:eastAsia="zh-CN" w:bidi="ar-SA"/>
              </w:rPr>
            </w:pPr>
            <w:r>
              <w:rPr>
                <w:rFonts w:hint="eastAsia"/>
                <w:sz w:val="24"/>
                <w:szCs w:val="24"/>
                <w:lang w:val="en-US" w:eastAsia="zh-CN"/>
              </w:rPr>
              <w:t>教师办公桌</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rPr>
                <w:rFonts w:hint="eastAsia" w:asciiTheme="minorHAnsi" w:hAnsiTheme="minorHAnsi" w:eastAsiaTheme="minorEastAsia" w:cstheme="minorBidi"/>
                <w:kern w:val="2"/>
                <w:sz w:val="24"/>
                <w:szCs w:val="24"/>
                <w:lang w:val="en-US" w:eastAsia="zh-CN" w:bidi="ar-SA"/>
              </w:rPr>
            </w:pPr>
            <w:r>
              <w:rPr>
                <w:rFonts w:hint="eastAsia" w:ascii="宋体" w:hAnsi="宋体" w:cs="宋体"/>
                <w:color w:val="000000"/>
                <w:sz w:val="24"/>
                <w:szCs w:val="24"/>
              </w:rPr>
              <w:t>1200*600*780台面采用25mm厚单贴面三聚氰胺板外贴防火板，台前做半圆,其余采用18mm厚双贴面三聚氰胺板，所有板材外露端面利用机械高温封边；左边为三个抽屉，右边为二个抽屉</w:t>
            </w:r>
            <w:r>
              <w:rPr>
                <w:rFonts w:hint="eastAsia" w:ascii="宋体" w:hAnsi="宋体" w:cs="宋体"/>
                <w:color w:val="000000"/>
                <w:sz w:val="24"/>
                <w:szCs w:val="24"/>
                <w:lang w:eastAsia="zh-CN"/>
              </w:rPr>
              <w:t>。</w:t>
            </w:r>
          </w:p>
        </w:tc>
        <w:tc>
          <w:tcPr>
            <w:tcW w:w="825" w:type="dxa"/>
            <w:vAlign w:val="center"/>
          </w:tcPr>
          <w:p>
            <w:pPr>
              <w:jc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sz w:val="24"/>
                <w:szCs w:val="24"/>
                <w:lang w:val="en-US" w:eastAsia="zh-CN"/>
              </w:rPr>
              <w:t>1</w:t>
            </w:r>
          </w:p>
        </w:tc>
        <w:tc>
          <w:tcPr>
            <w:tcW w:w="1062" w:type="dxa"/>
            <w:vAlign w:val="center"/>
          </w:tcPr>
          <w:p>
            <w:pPr>
              <w:jc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cs="宋体"/>
                <w:sz w:val="24"/>
                <w:szCs w:val="24"/>
              </w:rPr>
              <w:t>套</w:t>
            </w:r>
          </w:p>
        </w:tc>
        <w:tc>
          <w:tcPr>
            <w:tcW w:w="1200" w:type="dxa"/>
            <w:vAlign w:val="center"/>
          </w:tcPr>
          <w:p>
            <w:pPr>
              <w:keepNext w:val="0"/>
              <w:keepLines w:val="0"/>
              <w:widowControl/>
              <w:suppressLineNumbers w:val="0"/>
              <w:jc w:val="center"/>
              <w:textAlignment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1320</w:t>
            </w:r>
          </w:p>
        </w:tc>
        <w:tc>
          <w:tcPr>
            <w:tcW w:w="1325" w:type="dxa"/>
            <w:vAlign w:val="center"/>
          </w:tcPr>
          <w:p>
            <w:pPr>
              <w:keepNext w:val="0"/>
              <w:keepLines w:val="0"/>
              <w:widowControl/>
              <w:suppressLineNumbers w:val="0"/>
              <w:jc w:val="center"/>
              <w:textAlignment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top"/>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3</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both"/>
              <w:rPr>
                <w:rFonts w:hint="eastAsia" w:asciiTheme="minorHAnsi" w:hAnsiTheme="minorHAnsi" w:eastAsiaTheme="minorEastAsia" w:cstheme="minorBidi"/>
                <w:kern w:val="2"/>
                <w:sz w:val="24"/>
                <w:szCs w:val="24"/>
                <w:lang w:val="en-US" w:eastAsia="zh-CN" w:bidi="ar-SA"/>
              </w:rPr>
            </w:pPr>
            <w:r>
              <w:rPr>
                <w:rFonts w:hint="eastAsia" w:ascii="宋体" w:hAnsi="宋体" w:cs="宋体"/>
                <w:sz w:val="24"/>
                <w:szCs w:val="24"/>
              </w:rPr>
              <w:t>教师椅</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rPr>
                <w:rFonts w:hint="eastAsia" w:asciiTheme="minorHAnsi" w:hAnsiTheme="minorHAnsi" w:eastAsiaTheme="minorEastAsia" w:cstheme="minorBidi"/>
                <w:kern w:val="2"/>
                <w:sz w:val="24"/>
                <w:szCs w:val="24"/>
                <w:lang w:val="en-US" w:eastAsia="zh-CN" w:bidi="ar-SA"/>
              </w:rPr>
            </w:pPr>
            <w:r>
              <w:rPr>
                <w:rFonts w:hint="eastAsia" w:ascii="宋体" w:hAnsi="宋体" w:cs="宋体"/>
                <w:color w:val="000000"/>
                <w:sz w:val="24"/>
                <w:szCs w:val="24"/>
              </w:rPr>
              <w:t>500*500*800靠背及下座采用高密度泡棉，阻燃、舒适、回弹性好。面料为优质西皮，依照人体工程学设计，线条流畅，美观大方。</w:t>
            </w:r>
          </w:p>
        </w:tc>
        <w:tc>
          <w:tcPr>
            <w:tcW w:w="0" w:type="auto"/>
            <w:vAlign w:val="center"/>
          </w:tcPr>
          <w:p>
            <w:pPr>
              <w:jc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sz w:val="24"/>
                <w:szCs w:val="24"/>
                <w:lang w:val="en-US" w:eastAsia="zh-CN"/>
              </w:rPr>
              <w:t>1</w:t>
            </w:r>
          </w:p>
        </w:tc>
        <w:tc>
          <w:tcPr>
            <w:tcW w:w="0" w:type="auto"/>
            <w:vAlign w:val="center"/>
          </w:tcPr>
          <w:p>
            <w:pPr>
              <w:jc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cs="宋体"/>
                <w:sz w:val="24"/>
                <w:szCs w:val="24"/>
              </w:rPr>
              <w:t>套</w:t>
            </w:r>
          </w:p>
        </w:tc>
        <w:tc>
          <w:tcPr>
            <w:tcW w:w="0" w:type="auto"/>
            <w:vAlign w:val="center"/>
          </w:tcPr>
          <w:p>
            <w:pPr>
              <w:keepNext w:val="0"/>
              <w:keepLines w:val="0"/>
              <w:widowControl/>
              <w:suppressLineNumbers w:val="0"/>
              <w:jc w:val="center"/>
              <w:textAlignment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485</w:t>
            </w:r>
          </w:p>
        </w:tc>
        <w:tc>
          <w:tcPr>
            <w:tcW w:w="0" w:type="auto"/>
            <w:vAlign w:val="center"/>
          </w:tcPr>
          <w:p>
            <w:pPr>
              <w:keepNext w:val="0"/>
              <w:keepLines w:val="0"/>
              <w:widowControl/>
              <w:suppressLineNumbers w:val="0"/>
              <w:jc w:val="center"/>
              <w:textAlignment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top"/>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p>
        </w:tc>
        <w:tc>
          <w:tcPr>
            <w:tcW w:w="0" w:type="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both"/>
              <w:rPr>
                <w:rFonts w:hint="eastAsia" w:ascii="宋体" w:hAnsi="宋体" w:cs="宋体" w:eastAsiaTheme="minorEastAsia"/>
                <w:kern w:val="2"/>
                <w:sz w:val="24"/>
                <w:szCs w:val="24"/>
                <w:lang w:val="en-US" w:eastAsia="zh-CN" w:bidi="ar-SA"/>
              </w:rPr>
            </w:pPr>
            <w:r>
              <w:rPr>
                <w:rFonts w:hint="eastAsia" w:ascii="宋体" w:hAnsi="宋体" w:cs="宋体"/>
                <w:b/>
                <w:bCs/>
                <w:sz w:val="24"/>
                <w:szCs w:val="24"/>
                <w:lang w:val="en-US" w:eastAsia="zh-CN"/>
              </w:rPr>
              <w:t>合计</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rPr>
                <w:rFonts w:hint="eastAsia" w:ascii="宋体" w:hAnsi="宋体" w:cs="宋体" w:eastAsiaTheme="minorEastAsia"/>
                <w:color w:val="000000"/>
                <w:kern w:val="2"/>
                <w:sz w:val="24"/>
                <w:szCs w:val="24"/>
                <w:lang w:val="en-US" w:eastAsia="zh-CN" w:bidi="ar-SA"/>
              </w:rPr>
            </w:pPr>
          </w:p>
        </w:tc>
        <w:tc>
          <w:tcPr>
            <w:tcW w:w="0" w:type="auto"/>
            <w:vAlign w:val="center"/>
          </w:tcPr>
          <w:p>
            <w:pPr>
              <w:jc w:val="center"/>
              <w:rPr>
                <w:rFonts w:hint="eastAsia" w:ascii="宋体" w:hAnsi="宋体" w:eastAsiaTheme="minorEastAsia" w:cstheme="minorBidi"/>
                <w:kern w:val="2"/>
                <w:sz w:val="24"/>
                <w:szCs w:val="24"/>
                <w:lang w:val="en-US" w:eastAsia="zh-CN" w:bidi="ar-SA"/>
              </w:rPr>
            </w:pPr>
          </w:p>
        </w:tc>
        <w:tc>
          <w:tcPr>
            <w:tcW w:w="0" w:type="auto"/>
            <w:vAlign w:val="center"/>
          </w:tcPr>
          <w:p>
            <w:pPr>
              <w:jc w:val="center"/>
              <w:rPr>
                <w:rFonts w:hint="eastAsia" w:ascii="宋体" w:hAnsi="宋体" w:cs="宋体" w:eastAsiaTheme="minorEastAsia"/>
                <w:kern w:val="2"/>
                <w:sz w:val="24"/>
                <w:szCs w:val="24"/>
                <w:lang w:val="en-US" w:eastAsia="zh-CN" w:bidi="ar-SA"/>
              </w:rPr>
            </w:pPr>
          </w:p>
        </w:tc>
        <w:tc>
          <w:tcPr>
            <w:tcW w:w="0" w:type="auto"/>
            <w:vAlign w:val="center"/>
          </w:tcPr>
          <w:p>
            <w:pPr>
              <w:jc w:val="center"/>
              <w:rPr>
                <w:rFonts w:hint="eastAsia" w:ascii="宋体" w:hAnsi="宋体" w:eastAsiaTheme="minorEastAsia" w:cstheme="minorBidi"/>
                <w:b w:val="0"/>
                <w:bCs w:val="0"/>
                <w:kern w:val="2"/>
                <w:sz w:val="24"/>
                <w:szCs w:val="24"/>
                <w:vertAlign w:val="baseline"/>
                <w:lang w:val="en-US" w:eastAsia="zh-CN" w:bidi="ar-SA"/>
              </w:rPr>
            </w:pPr>
          </w:p>
        </w:tc>
        <w:tc>
          <w:tcPr>
            <w:tcW w:w="0" w:type="auto"/>
            <w:vAlign w:val="center"/>
          </w:tcPr>
          <w:p>
            <w:pPr>
              <w:keepNext w:val="0"/>
              <w:keepLines w:val="0"/>
              <w:widowControl/>
              <w:suppressLineNumbers w:val="0"/>
              <w:jc w:val="center"/>
              <w:textAlignment w:val="center"/>
              <w:rPr>
                <w:rFonts w:hint="eastAsia" w:ascii="宋体" w:hAnsi="宋体" w:eastAsiaTheme="minorEastAsia" w:cstheme="minorBidi"/>
                <w:b w:val="0"/>
                <w:bCs w:val="0"/>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7783</w:t>
            </w:r>
          </w:p>
        </w:tc>
      </w:tr>
    </w:tbl>
    <w:p>
      <w:pPr>
        <w:pStyle w:val="2"/>
        <w:rPr>
          <w:rFonts w:hint="eastAsia"/>
          <w:b/>
          <w:bCs/>
          <w:lang w:val="en-US" w:eastAsia="zh-CN"/>
        </w:rPr>
      </w:pPr>
      <w:r>
        <w:rPr>
          <w:rFonts w:hint="eastAsia"/>
          <w:b/>
          <w:bCs/>
          <w:lang w:val="en-US" w:eastAsia="zh-CN"/>
        </w:rPr>
        <w:t>四、其他项目</w:t>
      </w:r>
    </w:p>
    <w:tbl>
      <w:tblPr>
        <w:tblStyle w:val="10"/>
        <w:tblW w:w="10025"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75"/>
        <w:gridCol w:w="3063"/>
        <w:gridCol w:w="825"/>
        <w:gridCol w:w="1062"/>
        <w:gridCol w:w="120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序号</w:t>
            </w:r>
          </w:p>
        </w:tc>
        <w:tc>
          <w:tcPr>
            <w:tcW w:w="1575" w:type="dxa"/>
            <w:vAlign w:val="center"/>
          </w:tcPr>
          <w:p>
            <w:pPr>
              <w:pStyle w:val="4"/>
              <w:spacing w:before="5" w:line="240" w:lineRule="auto"/>
              <w:jc w:val="center"/>
              <w:rPr>
                <w:rFonts w:hint="default" w:ascii="宋体" w:hAnsi="宋体"/>
                <w:b/>
                <w:bCs/>
                <w:sz w:val="24"/>
                <w:szCs w:val="24"/>
                <w:vertAlign w:val="baseline"/>
                <w:lang w:val="en-US" w:eastAsia="zh-CN"/>
              </w:rPr>
            </w:pPr>
            <w:r>
              <w:rPr>
                <w:rFonts w:hint="eastAsia" w:ascii="宋体" w:hAnsi="宋体"/>
                <w:b/>
                <w:bCs/>
                <w:sz w:val="24"/>
                <w:szCs w:val="24"/>
                <w:vertAlign w:val="baseline"/>
                <w:lang w:val="en-US" w:eastAsia="zh-CN"/>
              </w:rPr>
              <w:t>货物名称</w:t>
            </w:r>
          </w:p>
        </w:tc>
        <w:tc>
          <w:tcPr>
            <w:tcW w:w="3063"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规格、品名、教学性能要求</w:t>
            </w:r>
          </w:p>
        </w:tc>
        <w:tc>
          <w:tcPr>
            <w:tcW w:w="8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数量</w:t>
            </w:r>
          </w:p>
        </w:tc>
        <w:tc>
          <w:tcPr>
            <w:tcW w:w="1062"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单位</w:t>
            </w:r>
          </w:p>
        </w:tc>
        <w:tc>
          <w:tcPr>
            <w:tcW w:w="1200"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单价</w:t>
            </w:r>
          </w:p>
        </w:tc>
        <w:tc>
          <w:tcPr>
            <w:tcW w:w="1325" w:type="dxa"/>
            <w:vAlign w:val="center"/>
          </w:tcPr>
          <w:p>
            <w:pPr>
              <w:pStyle w:val="4"/>
              <w:spacing w:before="5" w:line="240" w:lineRule="auto"/>
              <w:jc w:val="center"/>
              <w:rPr>
                <w:rFonts w:hint="eastAsia" w:ascii="宋体" w:hAnsi="宋体" w:eastAsia="宋体" w:cs="Times New Roman"/>
                <w:b/>
                <w:bCs/>
                <w:kern w:val="2"/>
                <w:sz w:val="24"/>
                <w:szCs w:val="24"/>
                <w:vertAlign w:val="baseline"/>
                <w:lang w:val="en-US" w:eastAsia="zh-CN" w:bidi="ar-SA"/>
              </w:rPr>
            </w:pPr>
            <w:r>
              <w:rPr>
                <w:rFonts w:hint="eastAsia" w:ascii="宋体" w:hAnsi="宋体"/>
                <w:b/>
                <w:bCs/>
                <w:sz w:val="24"/>
                <w:szCs w:val="24"/>
                <w:vertAlign w:val="baseline"/>
                <w:lang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1</w:t>
            </w:r>
          </w:p>
        </w:tc>
        <w:tc>
          <w:tcPr>
            <w:tcW w:w="157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eastAsia="宋体"/>
                <w:sz w:val="24"/>
                <w:szCs w:val="24"/>
                <w:lang w:eastAsia="zh-CN"/>
              </w:rPr>
              <w:t>生物实验室顶棚</w:t>
            </w:r>
            <w:r>
              <w:rPr>
                <w:rFonts w:hint="eastAsia" w:ascii="宋体" w:hAnsi="宋体" w:eastAsia="宋体"/>
                <w:sz w:val="24"/>
                <w:szCs w:val="24"/>
                <w:lang w:val="en-US" w:eastAsia="zh-CN"/>
              </w:rPr>
              <w:t>墙面器材</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sz w:val="24"/>
                <w:szCs w:val="24"/>
                <w:lang w:eastAsia="zh-CN"/>
              </w:rPr>
              <w:t>室内顶棚修复</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eastAsia="zh-CN"/>
              </w:rPr>
              <w:t>墙面刮胶。</w:t>
            </w:r>
          </w:p>
        </w:tc>
        <w:tc>
          <w:tcPr>
            <w:tcW w:w="825" w:type="dxa"/>
            <w:vAlign w:val="center"/>
          </w:tcPr>
          <w:p>
            <w:pPr>
              <w:jc w:val="center"/>
              <w:rPr>
                <w:rFonts w:hint="eastAsia" w:ascii="宋体" w:hAnsi="宋体" w:cs="宋体"/>
                <w:sz w:val="24"/>
                <w:szCs w:val="24"/>
              </w:rPr>
            </w:pPr>
          </w:p>
          <w:p>
            <w:pPr>
              <w:jc w:val="center"/>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 xml:space="preserve"> </w:t>
            </w:r>
          </w:p>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 xml:space="preserve"> </w:t>
            </w:r>
          </w:p>
        </w:tc>
        <w:tc>
          <w:tcPr>
            <w:tcW w:w="1062" w:type="dxa"/>
            <w:vAlign w:val="center"/>
          </w:tcPr>
          <w:p>
            <w:pPr>
              <w:jc w:val="center"/>
              <w:rPr>
                <w:rFonts w:hint="eastAsia" w:ascii="宋体" w:hAnsi="宋体" w:cs="宋体"/>
                <w:sz w:val="24"/>
                <w:szCs w:val="24"/>
              </w:rPr>
            </w:pPr>
          </w:p>
          <w:p>
            <w:pPr>
              <w:jc w:val="center"/>
              <w:rPr>
                <w:rFonts w:hint="eastAsia" w:ascii="宋体" w:hAnsi="宋体" w:cs="宋体"/>
                <w:sz w:val="24"/>
                <w:szCs w:val="24"/>
              </w:rPr>
            </w:pPr>
            <w:r>
              <w:rPr>
                <w:rFonts w:hint="eastAsia" w:ascii="宋体" w:hAnsi="宋体" w:cs="宋体"/>
                <w:sz w:val="24"/>
                <w:szCs w:val="24"/>
              </w:rPr>
              <w:t>套</w:t>
            </w:r>
          </w:p>
          <w:p>
            <w:pPr>
              <w:jc w:val="center"/>
              <w:rPr>
                <w:rFonts w:hint="eastAsia" w:ascii="宋体" w:hAnsi="宋体" w:eastAsiaTheme="minorEastAsia" w:cstheme="minorBidi"/>
                <w:kern w:val="2"/>
                <w:sz w:val="24"/>
                <w:szCs w:val="24"/>
                <w:lang w:val="en-US" w:eastAsia="zh-CN" w:bidi="ar-SA"/>
              </w:rPr>
            </w:pPr>
          </w:p>
        </w:tc>
        <w:tc>
          <w:tcPr>
            <w:tcW w:w="1200"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8889</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top"/>
          </w:tcPr>
          <w:p>
            <w:pPr>
              <w:pStyle w:val="4"/>
              <w:spacing w:before="5" w:line="240" w:lineRule="auto"/>
              <w:jc w:val="center"/>
              <w:rPr>
                <w:rFonts w:hint="eastAsia" w:ascii="宋体" w:hAnsi="宋体"/>
                <w:b w:val="0"/>
                <w:bCs w:val="0"/>
                <w:sz w:val="24"/>
                <w:szCs w:val="24"/>
                <w:vertAlign w:val="baseline"/>
                <w:lang w:val="en-US" w:eastAsia="zh-CN"/>
              </w:rPr>
            </w:pPr>
          </w:p>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2</w:t>
            </w:r>
          </w:p>
        </w:tc>
        <w:tc>
          <w:tcPr>
            <w:tcW w:w="157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lang w:eastAsia="zh-CN"/>
              </w:rPr>
              <w:t>物理化学实验室修复</w:t>
            </w:r>
            <w:r>
              <w:rPr>
                <w:rFonts w:hint="eastAsia" w:ascii="宋体" w:hAnsi="宋体" w:cs="宋体"/>
                <w:sz w:val="24"/>
                <w:szCs w:val="24"/>
                <w:lang w:val="en-US" w:eastAsia="zh-CN"/>
              </w:rPr>
              <w:t>器材</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按学校实际情况现场施工</w:t>
            </w:r>
            <w:r>
              <w:rPr>
                <w:rFonts w:hint="eastAsia" w:asciiTheme="minorEastAsia" w:hAnsiTheme="minorEastAsia" w:eastAsiaTheme="minorEastAsia" w:cstheme="minorEastAsia"/>
                <w:sz w:val="24"/>
                <w:szCs w:val="24"/>
                <w:lang w:eastAsia="zh-CN"/>
              </w:rPr>
              <w:t>，对</w:t>
            </w:r>
            <w:r>
              <w:rPr>
                <w:rFonts w:hint="eastAsia" w:asciiTheme="minorEastAsia" w:hAnsiTheme="minorEastAsia" w:cstheme="minorEastAsia"/>
                <w:sz w:val="24"/>
                <w:szCs w:val="24"/>
                <w:lang w:eastAsia="zh-CN"/>
              </w:rPr>
              <w:t>物理、化学</w:t>
            </w:r>
            <w:r>
              <w:rPr>
                <w:rFonts w:hint="eastAsia" w:asciiTheme="minorEastAsia" w:hAnsiTheme="minorEastAsia" w:eastAsiaTheme="minorEastAsia" w:cstheme="minorEastAsia"/>
                <w:sz w:val="24"/>
                <w:szCs w:val="24"/>
                <w:lang w:eastAsia="zh-CN"/>
              </w:rPr>
              <w:t>实验室设备进行维护、维修。</w:t>
            </w:r>
          </w:p>
        </w:tc>
        <w:tc>
          <w:tcPr>
            <w:tcW w:w="82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lang w:val="en-US" w:eastAsia="zh-CN"/>
              </w:rPr>
              <w:t>4</w:t>
            </w:r>
            <w:r>
              <w:rPr>
                <w:rFonts w:hint="eastAsia" w:ascii="宋体" w:hAnsi="宋体" w:cs="宋体"/>
                <w:sz w:val="24"/>
                <w:szCs w:val="24"/>
              </w:rPr>
              <w:t xml:space="preserve"> </w:t>
            </w:r>
          </w:p>
        </w:tc>
        <w:tc>
          <w:tcPr>
            <w:tcW w:w="1062"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室</w:t>
            </w:r>
          </w:p>
        </w:tc>
        <w:tc>
          <w:tcPr>
            <w:tcW w:w="1200"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4980</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19920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top"/>
          </w:tcPr>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3</w:t>
            </w:r>
          </w:p>
        </w:tc>
        <w:tc>
          <w:tcPr>
            <w:tcW w:w="157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实验室环境改造</w:t>
            </w:r>
            <w:r>
              <w:rPr>
                <w:rFonts w:hint="eastAsia" w:ascii="宋体" w:hAnsi="宋体" w:cs="宋体"/>
                <w:sz w:val="24"/>
                <w:szCs w:val="24"/>
                <w:lang w:val="en-US" w:eastAsia="zh-CN"/>
              </w:rPr>
              <w:t>器材</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sz w:val="24"/>
                <w:szCs w:val="24"/>
                <w:lang w:eastAsia="zh-CN"/>
              </w:rPr>
              <w:t>物理、化学</w:t>
            </w:r>
            <w:r>
              <w:rPr>
                <w:rFonts w:hint="eastAsia" w:asciiTheme="minorEastAsia" w:hAnsiTheme="minorEastAsia" w:eastAsiaTheme="minorEastAsia" w:cstheme="minorEastAsia"/>
                <w:sz w:val="24"/>
                <w:szCs w:val="24"/>
              </w:rPr>
              <w:t>实验室窗帘</w:t>
            </w:r>
            <w:r>
              <w:rPr>
                <w:rFonts w:hint="eastAsia" w:asciiTheme="minorEastAsia" w:hAnsiTheme="minorEastAsia" w:cstheme="minorEastAsia"/>
                <w:sz w:val="24"/>
                <w:szCs w:val="24"/>
                <w:lang w:eastAsia="zh-CN"/>
              </w:rPr>
              <w:t>修复</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教室</w:t>
            </w:r>
            <w:r>
              <w:rPr>
                <w:rFonts w:hint="eastAsia" w:asciiTheme="minorEastAsia" w:hAnsiTheme="minorEastAsia" w:eastAsiaTheme="minorEastAsia" w:cstheme="minorEastAsia"/>
                <w:sz w:val="24"/>
                <w:szCs w:val="24"/>
              </w:rPr>
              <w:t>环境渲染</w:t>
            </w:r>
            <w:r>
              <w:rPr>
                <w:rFonts w:hint="eastAsia" w:asciiTheme="minorEastAsia" w:hAnsiTheme="minorEastAsia" w:cstheme="minorEastAsia"/>
                <w:sz w:val="24"/>
                <w:szCs w:val="24"/>
                <w:lang w:eastAsia="zh-CN"/>
              </w:rPr>
              <w:t>。</w:t>
            </w:r>
          </w:p>
        </w:tc>
        <w:tc>
          <w:tcPr>
            <w:tcW w:w="825"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lang w:val="en-US" w:eastAsia="zh-CN"/>
              </w:rPr>
              <w:t>4</w:t>
            </w:r>
            <w:r>
              <w:rPr>
                <w:rFonts w:hint="eastAsia" w:ascii="宋体" w:hAnsi="宋体" w:cs="宋体"/>
                <w:sz w:val="24"/>
                <w:szCs w:val="24"/>
              </w:rPr>
              <w:t xml:space="preserve"> </w:t>
            </w:r>
          </w:p>
        </w:tc>
        <w:tc>
          <w:tcPr>
            <w:tcW w:w="1062" w:type="dxa"/>
            <w:vAlign w:val="center"/>
          </w:tcPr>
          <w:p>
            <w:pPr>
              <w:jc w:val="center"/>
              <w:rPr>
                <w:rFonts w:hint="eastAsia" w:ascii="宋体" w:hAnsi="宋体" w:eastAsiaTheme="minorEastAsia" w:cstheme="minorBidi"/>
                <w:kern w:val="2"/>
                <w:sz w:val="24"/>
                <w:szCs w:val="24"/>
                <w:lang w:val="en-US" w:eastAsia="zh-CN" w:bidi="ar-SA"/>
              </w:rPr>
            </w:pPr>
            <w:r>
              <w:rPr>
                <w:rFonts w:hint="eastAsia" w:ascii="宋体" w:hAnsi="宋体" w:cs="宋体"/>
                <w:sz w:val="24"/>
                <w:szCs w:val="24"/>
              </w:rPr>
              <w:t>间</w:t>
            </w:r>
          </w:p>
        </w:tc>
        <w:tc>
          <w:tcPr>
            <w:tcW w:w="1200"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3690</w:t>
            </w:r>
          </w:p>
        </w:tc>
        <w:tc>
          <w:tcPr>
            <w:tcW w:w="1325" w:type="dxa"/>
            <w:vAlign w:val="center"/>
          </w:tcPr>
          <w:p>
            <w:pPr>
              <w:keepNext w:val="0"/>
              <w:keepLines w:val="0"/>
              <w:widowControl/>
              <w:suppressLineNumbers w:val="0"/>
              <w:jc w:val="center"/>
              <w:textAlignment w:val="center"/>
              <w:rPr>
                <w:rFonts w:hint="eastAsia" w:ascii="宋体" w:hAnsi="宋体" w:eastAsiaTheme="minorEastAsia"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75" w:type="dxa"/>
            <w:vAlign w:val="center"/>
          </w:tcPr>
          <w:p>
            <w:pPr>
              <w:pStyle w:val="4"/>
              <w:spacing w:before="5" w:line="240" w:lineRule="auto"/>
              <w:jc w:val="center"/>
              <w:rPr>
                <w:rFonts w:hint="eastAsia" w:ascii="宋体" w:hAnsi="宋体"/>
                <w:b w:val="0"/>
                <w:bCs w:val="0"/>
                <w:sz w:val="24"/>
                <w:szCs w:val="24"/>
                <w:vertAlign w:val="baseline"/>
                <w:lang w:val="en-US" w:eastAsia="zh-CN"/>
              </w:rPr>
            </w:pPr>
          </w:p>
          <w:p>
            <w:pPr>
              <w:pStyle w:val="4"/>
              <w:spacing w:before="5" w:line="240" w:lineRule="auto"/>
              <w:jc w:val="center"/>
              <w:rPr>
                <w:rFonts w:hint="eastAsia" w:ascii="宋体" w:hAnsi="宋体"/>
                <w:b w:val="0"/>
                <w:bCs w:val="0"/>
                <w:sz w:val="24"/>
                <w:szCs w:val="24"/>
                <w:vertAlign w:val="baseline"/>
                <w:lang w:val="en-US" w:eastAsia="zh-CN"/>
              </w:rPr>
            </w:pPr>
          </w:p>
          <w:p>
            <w:pPr>
              <w:pStyle w:val="4"/>
              <w:spacing w:before="5" w:line="240" w:lineRule="auto"/>
              <w:jc w:val="center"/>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4</w:t>
            </w:r>
          </w:p>
        </w:tc>
        <w:tc>
          <w:tcPr>
            <w:tcW w:w="1575" w:type="dxa"/>
            <w:vAlign w:val="center"/>
          </w:tcPr>
          <w:p>
            <w:pPr>
              <w:jc w:val="both"/>
              <w:rPr>
                <w:rFonts w:hint="eastAsia" w:ascii="宋体" w:hAnsi="宋体" w:eastAsia="宋体" w:cstheme="minorBidi"/>
                <w:kern w:val="2"/>
                <w:sz w:val="24"/>
                <w:szCs w:val="24"/>
                <w:lang w:val="en-US" w:eastAsia="zh-CN" w:bidi="ar-SA"/>
              </w:rPr>
            </w:pPr>
            <w:r>
              <w:rPr>
                <w:rFonts w:hint="eastAsia" w:ascii="宋体" w:hAnsi="宋体" w:eastAsia="宋体"/>
                <w:sz w:val="24"/>
                <w:szCs w:val="24"/>
                <w:lang w:eastAsia="zh-CN"/>
              </w:rPr>
              <w:t>仪器柜</w:t>
            </w:r>
          </w:p>
        </w:tc>
        <w:tc>
          <w:tcPr>
            <w:tcW w:w="3063" w:type="dxa"/>
            <w:vAlign w:val="center"/>
          </w:tcPr>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规格（长×宽×高）：1000×500×2000mm</w:t>
            </w:r>
          </w:p>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★1、结构：铝合金框架结构，柜子上部为双开内嵌式玻璃门，下部柜门采用16mm三聚氰胺双饰面浸渍板，上部各层板高度可调，柜体为灰色。</w:t>
            </w:r>
          </w:p>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★2、柜身：框架采用专用仪器柜铝合金型材，立柱30*25mm（厚度1.0mm），表面经环氧树脂喷涂高温固化处理,耐酸碱、外型美观，连接件承重能力强，不变形。</w:t>
            </w:r>
          </w:p>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3、立板、侧板、顶板、背板：均采用16mm三聚氰胺双饰面浸渍板；板材截面采用全自动封边机、进口封边胶、优质PVC封边条封边防水处理，确保粘力强，密封性好，外形美观、经久耐用。</w:t>
            </w:r>
          </w:p>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层板高度可调装置：层板底部设有两根20×20×1mm矩形钢管作为横梁，立杆和横梁组成了活动隔板的可调装置，托杆可按照所需的高度位置平稳牢固地安装在立杆上，立杆上有不少于8个调节孔，钢管和立杆需经环氧树脂高温固化处理。</w:t>
            </w:r>
          </w:p>
          <w:p>
            <w:pPr>
              <w:keepNext w:val="0"/>
              <w:keepLines w:val="0"/>
              <w:pageBreakBefore w:val="0"/>
              <w:widowControl w:val="0"/>
              <w:kinsoku/>
              <w:wordWrap/>
              <w:overflowPunct/>
              <w:topLinePunct w:val="0"/>
              <w:autoSpaceDE/>
              <w:autoSpaceDN/>
              <w:bidi w:val="0"/>
              <w:adjustRightInd/>
              <w:snapToGrid/>
              <w:spacing w:after="0" w:line="400" w:lineRule="exac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5、拉手：采用优质铝合金或不锈钢材质。</w:t>
            </w:r>
          </w:p>
        </w:tc>
        <w:tc>
          <w:tcPr>
            <w:tcW w:w="825" w:type="dxa"/>
            <w:vAlign w:val="center"/>
          </w:tcPr>
          <w:p>
            <w:pPr>
              <w:jc w:val="center"/>
              <w:rPr>
                <w:rFonts w:hint="eastAsia" w:ascii="宋体" w:hAnsi="宋体" w:eastAsia="宋体" w:cstheme="minorBidi"/>
                <w:kern w:val="2"/>
                <w:sz w:val="24"/>
                <w:szCs w:val="24"/>
                <w:lang w:val="en-US" w:eastAsia="zh-CN" w:bidi="ar-SA"/>
              </w:rPr>
            </w:pPr>
            <w:r>
              <w:rPr>
                <w:rFonts w:hint="eastAsia" w:ascii="宋体" w:hAnsi="宋体" w:eastAsia="宋体"/>
                <w:sz w:val="24"/>
                <w:szCs w:val="24"/>
                <w:lang w:val="en-US" w:eastAsia="zh-CN"/>
              </w:rPr>
              <w:t>24</w:t>
            </w:r>
          </w:p>
        </w:tc>
        <w:tc>
          <w:tcPr>
            <w:tcW w:w="1062" w:type="dxa"/>
            <w:vAlign w:val="center"/>
          </w:tcPr>
          <w:p>
            <w:pPr>
              <w:jc w:val="center"/>
              <w:rPr>
                <w:rFonts w:hint="eastAsia" w:ascii="宋体" w:hAnsi="宋体" w:eastAsia="宋体" w:cstheme="minorBidi"/>
                <w:kern w:val="2"/>
                <w:sz w:val="24"/>
                <w:szCs w:val="24"/>
                <w:lang w:val="en-US" w:eastAsia="zh-CN" w:bidi="ar-SA"/>
              </w:rPr>
            </w:pPr>
            <w:r>
              <w:rPr>
                <w:rFonts w:hint="eastAsia" w:ascii="宋体" w:hAnsi="宋体" w:eastAsia="宋体"/>
                <w:sz w:val="24"/>
                <w:szCs w:val="24"/>
                <w:lang w:eastAsia="zh-CN"/>
              </w:rPr>
              <w:t>个</w:t>
            </w:r>
          </w:p>
        </w:tc>
        <w:tc>
          <w:tcPr>
            <w:tcW w:w="1200" w:type="dxa"/>
            <w:vAlign w:val="center"/>
          </w:tcPr>
          <w:p>
            <w:pPr>
              <w:keepNext w:val="0"/>
              <w:keepLines w:val="0"/>
              <w:widowControl/>
              <w:suppressLineNumbers w:val="0"/>
              <w:jc w:val="center"/>
              <w:textAlignment w:val="center"/>
              <w:rPr>
                <w:rFonts w:hint="eastAsia" w:ascii="宋体" w:hAnsi="宋体" w:eastAsia="宋体"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1520</w:t>
            </w:r>
          </w:p>
        </w:tc>
        <w:tc>
          <w:tcPr>
            <w:tcW w:w="1325" w:type="dxa"/>
            <w:vAlign w:val="center"/>
          </w:tcPr>
          <w:p>
            <w:pPr>
              <w:keepNext w:val="0"/>
              <w:keepLines w:val="0"/>
              <w:widowControl/>
              <w:suppressLineNumbers w:val="0"/>
              <w:jc w:val="center"/>
              <w:textAlignment w:val="center"/>
              <w:rPr>
                <w:rFonts w:hint="eastAsia" w:ascii="宋体" w:hAnsi="宋体" w:eastAsia="宋体"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36480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both"/>
              <w:rPr>
                <w:rFonts w:hint="eastAsia" w:ascii="宋体" w:hAnsi="宋体" w:eastAsia="宋体" w:cs="Times New Roman"/>
                <w:b w:val="0"/>
                <w:bCs w:val="0"/>
                <w:kern w:val="2"/>
                <w:sz w:val="24"/>
                <w:szCs w:val="24"/>
                <w:vertAlign w:val="baseline"/>
                <w:lang w:val="en-US" w:eastAsia="zh-CN" w:bidi="ar-SA"/>
              </w:rPr>
            </w:pPr>
            <w:r>
              <w:rPr>
                <w:rFonts w:hint="eastAsia" w:ascii="宋体" w:hAnsi="宋体"/>
                <w:b w:val="0"/>
                <w:bCs w:val="0"/>
                <w:sz w:val="24"/>
                <w:szCs w:val="24"/>
                <w:vertAlign w:val="baseline"/>
                <w:lang w:val="en-US" w:eastAsia="zh-CN"/>
              </w:rPr>
              <w:t>5</w:t>
            </w:r>
          </w:p>
        </w:tc>
        <w:tc>
          <w:tcPr>
            <w:tcW w:w="0" w:type="auto"/>
            <w:vAlign w:val="top"/>
          </w:tcPr>
          <w:p>
            <w:pPr>
              <w:jc w:val="both"/>
              <w:rPr>
                <w:rFonts w:hint="eastAsia" w:ascii="宋体" w:hAnsi="宋体" w:eastAsia="宋体" w:cstheme="minorBidi"/>
                <w:kern w:val="2"/>
                <w:sz w:val="24"/>
                <w:szCs w:val="24"/>
                <w:lang w:val="en-US" w:eastAsia="zh-CN" w:bidi="ar-SA"/>
              </w:rPr>
            </w:pPr>
            <w:r>
              <w:rPr>
                <w:rFonts w:hint="eastAsia"/>
                <w:lang w:val="en-US" w:eastAsia="zh-CN"/>
              </w:rPr>
              <w:t>仪器室设备维护</w:t>
            </w:r>
          </w:p>
        </w:tc>
        <w:tc>
          <w:tcPr>
            <w:tcW w:w="0" w:type="auto"/>
            <w:vAlign w:val="center"/>
          </w:tcPr>
          <w:p>
            <w:pPr>
              <w:pStyle w:val="2"/>
              <w:numPr>
                <w:ilvl w:val="0"/>
                <w:numId w:val="1"/>
              </w:numPr>
              <w:ind w:left="0" w:leftChars="0" w:firstLine="0" w:firstLineChars="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仪器柜修整。</w:t>
            </w:r>
          </w:p>
          <w:p>
            <w:pPr>
              <w:pStyle w:val="2"/>
              <w:numPr>
                <w:ilvl w:val="0"/>
                <w:numId w:val="0"/>
              </w:numPr>
              <w:ind w:left="0" w:leftChars="0" w:firstLine="0" w:firstLineChars="0"/>
              <w:rPr>
                <w:rFonts w:hint="eastAsia" w:ascii="Times New Roman" w:hAnsi="Times New Roman" w:eastAsia="宋体" w:cs="Times New Roman"/>
                <w:kern w:val="2"/>
                <w:sz w:val="21"/>
                <w:szCs w:val="21"/>
                <w:lang w:val="en-US" w:eastAsia="zh-CN" w:bidi="ar-SA"/>
              </w:rPr>
            </w:pPr>
            <w:r>
              <w:rPr>
                <w:rFonts w:hint="eastAsia" w:asciiTheme="minorEastAsia" w:hAnsiTheme="minorEastAsia" w:cstheme="minorEastAsia"/>
                <w:sz w:val="24"/>
                <w:szCs w:val="24"/>
                <w:lang w:val="en-US" w:eastAsia="zh-CN"/>
              </w:rPr>
              <w:t>2.实验教学仪器清理修复。</w:t>
            </w:r>
          </w:p>
        </w:tc>
        <w:tc>
          <w:tcPr>
            <w:tcW w:w="0" w:type="auto"/>
            <w:vAlign w:val="center"/>
          </w:tcPr>
          <w:p>
            <w:pPr>
              <w:jc w:val="center"/>
              <w:rPr>
                <w:rFonts w:hint="eastAsia" w:ascii="宋体" w:hAnsi="宋体" w:eastAsia="宋体" w:cstheme="minorBidi"/>
                <w:kern w:val="2"/>
                <w:sz w:val="24"/>
                <w:szCs w:val="24"/>
                <w:lang w:val="en-US" w:eastAsia="zh-CN" w:bidi="ar-SA"/>
              </w:rPr>
            </w:pPr>
            <w:r>
              <w:rPr>
                <w:rFonts w:hint="eastAsia" w:ascii="宋体" w:hAnsi="宋体" w:eastAsia="宋体"/>
                <w:sz w:val="24"/>
                <w:szCs w:val="24"/>
                <w:lang w:val="en-US" w:eastAsia="zh-CN"/>
              </w:rPr>
              <w:t>3</w:t>
            </w:r>
          </w:p>
        </w:tc>
        <w:tc>
          <w:tcPr>
            <w:tcW w:w="0" w:type="auto"/>
            <w:vAlign w:val="center"/>
          </w:tcPr>
          <w:p>
            <w:pPr>
              <w:jc w:val="center"/>
              <w:rPr>
                <w:rFonts w:hint="eastAsia" w:ascii="宋体" w:hAnsi="宋体" w:eastAsia="宋体" w:cstheme="minorBidi"/>
                <w:kern w:val="2"/>
                <w:sz w:val="24"/>
                <w:szCs w:val="24"/>
                <w:lang w:val="en-US" w:eastAsia="zh-CN" w:bidi="ar-SA"/>
              </w:rPr>
            </w:pPr>
            <w:r>
              <w:rPr>
                <w:rFonts w:hint="eastAsia" w:ascii="宋体" w:hAnsi="宋体" w:eastAsia="宋体"/>
                <w:sz w:val="24"/>
                <w:szCs w:val="24"/>
                <w:lang w:val="en-US" w:eastAsia="zh-CN"/>
              </w:rPr>
              <w:t>间</w:t>
            </w:r>
          </w:p>
        </w:tc>
        <w:tc>
          <w:tcPr>
            <w:tcW w:w="0" w:type="auto"/>
            <w:vAlign w:val="center"/>
          </w:tcPr>
          <w:p>
            <w:pPr>
              <w:keepNext w:val="0"/>
              <w:keepLines w:val="0"/>
              <w:widowControl/>
              <w:suppressLineNumbers w:val="0"/>
              <w:jc w:val="center"/>
              <w:textAlignment w:val="center"/>
              <w:rPr>
                <w:rFonts w:hint="eastAsia" w:ascii="宋体" w:hAnsi="宋体" w:eastAsia="宋体"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4260</w:t>
            </w:r>
          </w:p>
        </w:tc>
        <w:tc>
          <w:tcPr>
            <w:tcW w:w="0" w:type="auto"/>
            <w:vAlign w:val="center"/>
          </w:tcPr>
          <w:p>
            <w:pPr>
              <w:keepNext w:val="0"/>
              <w:keepLines w:val="0"/>
              <w:widowControl/>
              <w:suppressLineNumbers w:val="0"/>
              <w:jc w:val="center"/>
              <w:textAlignment w:val="center"/>
              <w:rPr>
                <w:rFonts w:hint="eastAsia" w:ascii="宋体" w:hAnsi="宋体" w:eastAsia="宋体" w:cstheme="minorBidi"/>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0" w:type="auto"/>
            <w:vAlign w:val="center"/>
          </w:tcPr>
          <w:p>
            <w:pPr>
              <w:pStyle w:val="4"/>
              <w:spacing w:before="5" w:line="240" w:lineRule="auto"/>
              <w:jc w:val="both"/>
              <w:rPr>
                <w:rFonts w:hint="eastAsia" w:ascii="宋体" w:hAnsi="宋体" w:eastAsia="宋体" w:cs="Times New Roman"/>
                <w:b w:val="0"/>
                <w:bCs w:val="0"/>
                <w:kern w:val="2"/>
                <w:sz w:val="24"/>
                <w:szCs w:val="24"/>
                <w:vertAlign w:val="baseline"/>
                <w:lang w:val="en-US" w:eastAsia="zh-CN" w:bidi="ar-SA"/>
              </w:rPr>
            </w:pPr>
          </w:p>
        </w:tc>
        <w:tc>
          <w:tcPr>
            <w:tcW w:w="0" w:type="auto"/>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合计</w:t>
            </w:r>
          </w:p>
        </w:tc>
        <w:tc>
          <w:tcPr>
            <w:tcW w:w="0" w:type="auto"/>
            <w:vAlign w:val="center"/>
          </w:tcPr>
          <w:p>
            <w:pPr>
              <w:pStyle w:val="2"/>
              <w:numPr>
                <w:ilvl w:val="0"/>
                <w:numId w:val="0"/>
              </w:numPr>
              <w:ind w:left="0" w:leftChars="0" w:firstLine="0" w:firstLineChars="0"/>
              <w:rPr>
                <w:rFonts w:hint="eastAsia" w:asciiTheme="minorEastAsia" w:hAnsiTheme="minorEastAsia" w:eastAsiaTheme="minorEastAsia" w:cstheme="minorEastAsia"/>
                <w:kern w:val="0"/>
                <w:sz w:val="24"/>
                <w:szCs w:val="24"/>
                <w:lang w:val="en-US" w:eastAsia="zh-CN" w:bidi="ar-SA"/>
              </w:rPr>
            </w:pPr>
          </w:p>
        </w:tc>
        <w:tc>
          <w:tcPr>
            <w:tcW w:w="0" w:type="auto"/>
            <w:vAlign w:val="center"/>
          </w:tcPr>
          <w:p>
            <w:pPr>
              <w:jc w:val="center"/>
              <w:rPr>
                <w:rFonts w:hint="eastAsia" w:ascii="宋体" w:hAnsi="宋体" w:eastAsia="宋体" w:cstheme="minorBidi"/>
                <w:kern w:val="2"/>
                <w:sz w:val="24"/>
                <w:szCs w:val="24"/>
                <w:lang w:val="en-US" w:eastAsia="zh-CN" w:bidi="ar-SA"/>
              </w:rPr>
            </w:pPr>
          </w:p>
        </w:tc>
        <w:tc>
          <w:tcPr>
            <w:tcW w:w="0" w:type="auto"/>
            <w:vAlign w:val="center"/>
          </w:tcPr>
          <w:p>
            <w:pPr>
              <w:jc w:val="center"/>
              <w:rPr>
                <w:rFonts w:hint="eastAsia" w:ascii="宋体" w:hAnsi="宋体" w:eastAsia="宋体" w:cstheme="minorBidi"/>
                <w:kern w:val="2"/>
                <w:sz w:val="24"/>
                <w:szCs w:val="24"/>
                <w:lang w:val="en-US" w:eastAsia="zh-CN" w:bidi="ar-SA"/>
              </w:rPr>
            </w:pPr>
          </w:p>
        </w:tc>
        <w:tc>
          <w:tcPr>
            <w:tcW w:w="0" w:type="auto"/>
            <w:vAlign w:val="center"/>
          </w:tcPr>
          <w:p>
            <w:pPr>
              <w:jc w:val="center"/>
              <w:rPr>
                <w:rFonts w:hint="eastAsia" w:ascii="宋体" w:hAnsi="宋体" w:eastAsia="宋体" w:cstheme="minorBidi"/>
                <w:b/>
                <w:bCs/>
                <w:color w:val="000000"/>
                <w:kern w:val="2"/>
                <w:sz w:val="24"/>
                <w:szCs w:val="24"/>
                <w:lang w:val="en-US" w:eastAsia="zh-CN" w:bidi="ar-SA"/>
              </w:rPr>
            </w:pPr>
          </w:p>
        </w:tc>
        <w:tc>
          <w:tcPr>
            <w:tcW w:w="0" w:type="auto"/>
            <w:vAlign w:val="center"/>
          </w:tcPr>
          <w:p>
            <w:pPr>
              <w:jc w:val="center"/>
              <w:rPr>
                <w:rFonts w:hint="eastAsia" w:ascii="宋体" w:hAnsi="宋体" w:eastAsia="宋体" w:cstheme="minorBidi"/>
                <w:b/>
                <w:bCs/>
                <w:color w:val="000000"/>
                <w:kern w:val="2"/>
                <w:sz w:val="24"/>
                <w:szCs w:val="24"/>
                <w:lang w:val="en-US" w:eastAsia="zh-CN" w:bidi="ar-SA"/>
              </w:rPr>
            </w:pPr>
            <w:r>
              <w:rPr>
                <w:rFonts w:hint="eastAsia" w:ascii="宋体" w:hAnsi="宋体" w:eastAsia="宋体"/>
                <w:b/>
                <w:bCs/>
                <w:color w:val="000000"/>
                <w:sz w:val="24"/>
                <w:szCs w:val="24"/>
                <w:lang w:val="en-US" w:eastAsia="zh-CN"/>
              </w:rPr>
              <w:t>92829</w:t>
            </w:r>
          </w:p>
        </w:tc>
      </w:tr>
    </w:tbl>
    <w:p>
      <w:pPr>
        <w:pStyle w:val="2"/>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总金额：¥：397570元  人民币叁拾玖万柒仟伍佰柒拾元整。</w:t>
      </w:r>
    </w:p>
    <w:p>
      <w:pPr>
        <w:jc w:val="both"/>
        <w:rPr>
          <w:rFonts w:hint="eastAsia" w:ascii="宋体" w:hAnsi="宋体"/>
          <w:b/>
          <w:bCs/>
          <w:sz w:val="24"/>
          <w:szCs w:val="24"/>
          <w:lang w:eastAsia="zh-CN"/>
        </w:rPr>
      </w:pPr>
    </w:p>
    <w:p>
      <w:pPr>
        <w:spacing w:after="0" w:line="240" w:lineRule="auto"/>
        <w:ind w:right="-512" w:rightChars="-244"/>
        <w:jc w:val="center"/>
        <w:rPr>
          <w:rFonts w:hint="default" w:ascii="宋体" w:hAnsi="宋体"/>
          <w:b/>
          <w:bCs/>
          <w:color w:val="auto"/>
          <w:sz w:val="32"/>
          <w:szCs w:val="32"/>
          <w:lang w:val="en-US" w:eastAsia="zh-CN"/>
        </w:rPr>
      </w:pP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8751B"/>
    <w:multiLevelType w:val="singleLevel"/>
    <w:tmpl w:val="C768751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1AD"/>
    <w:rsid w:val="00026426"/>
    <w:rsid w:val="000266D1"/>
    <w:rsid w:val="00047040"/>
    <w:rsid w:val="00083ABF"/>
    <w:rsid w:val="00095D0B"/>
    <w:rsid w:val="000F73B8"/>
    <w:rsid w:val="00116A7C"/>
    <w:rsid w:val="00123639"/>
    <w:rsid w:val="00127902"/>
    <w:rsid w:val="00130306"/>
    <w:rsid w:val="00134C51"/>
    <w:rsid w:val="00233256"/>
    <w:rsid w:val="00282AFD"/>
    <w:rsid w:val="002B5478"/>
    <w:rsid w:val="00313DA5"/>
    <w:rsid w:val="003402BA"/>
    <w:rsid w:val="00344D2D"/>
    <w:rsid w:val="0035725E"/>
    <w:rsid w:val="003709E2"/>
    <w:rsid w:val="003B6F41"/>
    <w:rsid w:val="0040025F"/>
    <w:rsid w:val="00411C7E"/>
    <w:rsid w:val="00416071"/>
    <w:rsid w:val="0044492B"/>
    <w:rsid w:val="00470EC5"/>
    <w:rsid w:val="00482A7B"/>
    <w:rsid w:val="004D4903"/>
    <w:rsid w:val="004F1AE0"/>
    <w:rsid w:val="005011F1"/>
    <w:rsid w:val="0051284D"/>
    <w:rsid w:val="005146D2"/>
    <w:rsid w:val="0052384E"/>
    <w:rsid w:val="005465E1"/>
    <w:rsid w:val="0055619A"/>
    <w:rsid w:val="00573124"/>
    <w:rsid w:val="00582603"/>
    <w:rsid w:val="005920AA"/>
    <w:rsid w:val="005C65FB"/>
    <w:rsid w:val="005D41AD"/>
    <w:rsid w:val="00657E1D"/>
    <w:rsid w:val="00680DAF"/>
    <w:rsid w:val="00682FE3"/>
    <w:rsid w:val="006849EC"/>
    <w:rsid w:val="006D4D64"/>
    <w:rsid w:val="0074180F"/>
    <w:rsid w:val="00774CF9"/>
    <w:rsid w:val="007A380E"/>
    <w:rsid w:val="00821A41"/>
    <w:rsid w:val="00824EF7"/>
    <w:rsid w:val="0084083D"/>
    <w:rsid w:val="00873B70"/>
    <w:rsid w:val="00880F37"/>
    <w:rsid w:val="008A3AFB"/>
    <w:rsid w:val="008A75AB"/>
    <w:rsid w:val="0094713F"/>
    <w:rsid w:val="009A440C"/>
    <w:rsid w:val="009A6D62"/>
    <w:rsid w:val="009D60B8"/>
    <w:rsid w:val="00A173DC"/>
    <w:rsid w:val="00A348AF"/>
    <w:rsid w:val="00A74A45"/>
    <w:rsid w:val="00AD2013"/>
    <w:rsid w:val="00AD46EB"/>
    <w:rsid w:val="00B04EB8"/>
    <w:rsid w:val="00B100AF"/>
    <w:rsid w:val="00B82F15"/>
    <w:rsid w:val="00BE6D68"/>
    <w:rsid w:val="00C33FE7"/>
    <w:rsid w:val="00C718F2"/>
    <w:rsid w:val="00C94E6F"/>
    <w:rsid w:val="00D03925"/>
    <w:rsid w:val="00D46819"/>
    <w:rsid w:val="00E52D67"/>
    <w:rsid w:val="00EB5B62"/>
    <w:rsid w:val="00ED5308"/>
    <w:rsid w:val="00EF60A6"/>
    <w:rsid w:val="00F76D53"/>
    <w:rsid w:val="00FB2E63"/>
    <w:rsid w:val="02AE51BE"/>
    <w:rsid w:val="03174F3D"/>
    <w:rsid w:val="0CEA2466"/>
    <w:rsid w:val="0D544959"/>
    <w:rsid w:val="12200BCD"/>
    <w:rsid w:val="16B20DAC"/>
    <w:rsid w:val="188E0A8C"/>
    <w:rsid w:val="22F35EA3"/>
    <w:rsid w:val="254718FB"/>
    <w:rsid w:val="272B3293"/>
    <w:rsid w:val="2D473B0E"/>
    <w:rsid w:val="316A6E4B"/>
    <w:rsid w:val="3FB269FF"/>
    <w:rsid w:val="5957473A"/>
    <w:rsid w:val="5C98118F"/>
    <w:rsid w:val="62843094"/>
    <w:rsid w:val="65194D4A"/>
    <w:rsid w:val="690571E3"/>
    <w:rsid w:val="6FA76FD7"/>
    <w:rsid w:val="727643B8"/>
    <w:rsid w:val="7B56317F"/>
    <w:rsid w:val="7F9C6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80" w:line="480" w:lineRule="exact"/>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jc w:val="left"/>
    </w:pPr>
    <w:rPr>
      <w:kern w:val="0"/>
      <w:sz w:val="20"/>
      <w:szCs w:val="20"/>
    </w:rPr>
  </w:style>
  <w:style w:type="paragraph" w:styleId="3">
    <w:name w:val="annotation text"/>
    <w:basedOn w:val="1"/>
    <w:semiHidden/>
    <w:qFormat/>
    <w:uiPriority w:val="99"/>
    <w:pPr>
      <w:jc w:val="left"/>
    </w:pPr>
  </w:style>
  <w:style w:type="paragraph" w:styleId="4">
    <w:name w:val="Body Text"/>
    <w:basedOn w:val="1"/>
    <w:qFormat/>
    <w:uiPriority w:val="0"/>
    <w:pPr>
      <w:spacing w:after="120"/>
    </w:pPr>
    <w:rPr>
      <w:rFonts w:ascii="Calibri" w:hAnsi="Calibri" w:eastAsia="宋体" w:cs="Times New Roman"/>
    </w:rPr>
  </w:style>
  <w:style w:type="paragraph" w:styleId="5">
    <w:name w:val="Body Text Indent"/>
    <w:basedOn w:val="1"/>
    <w:next w:val="3"/>
    <w:semiHidden/>
    <w:unhideWhenUsed/>
    <w:qFormat/>
    <w:uiPriority w:val="99"/>
    <w:pPr>
      <w:spacing w:after="120"/>
      <w:ind w:left="420" w:leftChars="200"/>
    </w:pPr>
  </w:style>
  <w:style w:type="paragraph" w:styleId="6">
    <w:name w:val="footer"/>
    <w:basedOn w:val="1"/>
    <w:semiHidden/>
    <w:unhideWhenUsed/>
    <w:uiPriority w:val="99"/>
    <w:pPr>
      <w:tabs>
        <w:tab w:val="center" w:pos="4153"/>
        <w:tab w:val="right" w:pos="8306"/>
      </w:tabs>
      <w:snapToGrid w:val="0"/>
      <w:jc w:val="left"/>
    </w:pPr>
    <w:rPr>
      <w:sz w:val="18"/>
    </w:rPr>
  </w:style>
  <w:style w:type="paragraph" w:styleId="7">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next w:val="2"/>
    <w:qFormat/>
    <w:uiPriority w:val="99"/>
    <w:pPr>
      <w:ind w:firstLine="420" w:firstLineChars="200"/>
    </w:pPr>
    <w:rPr>
      <w:rFonts w:ascii="Times New Roman" w:hAnsi="Times New Roman" w:eastAsia="宋体" w:cs="Times New Roman"/>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Char Char Char"/>
    <w:basedOn w:val="1"/>
    <w:qFormat/>
    <w:uiPriority w:val="0"/>
    <w:pPr>
      <w:adjustRightInd w:val="0"/>
      <w:spacing w:after="0" w:line="360" w:lineRule="atLeast"/>
    </w:pPr>
    <w:rPr>
      <w:rFonts w:ascii="宋体" w:hAnsi="宋体" w:eastAsia="宋体" w:cs="Times New Roman"/>
      <w:b/>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17346</Words>
  <Characters>21095</Characters>
  <Lines>9</Lines>
  <Paragraphs>2</Paragraphs>
  <TotalTime>14</TotalTime>
  <ScaleCrop>false</ScaleCrop>
  <LinksUpToDate>false</LinksUpToDate>
  <CharactersWithSpaces>23141</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2021-04-29T00:33:00Z</dcterms:created>
  <dc:creator>dreamsummit</dc:creator>
  <cp:lastModifiedBy>WPS_1690594013</cp:lastModifiedBy>
  <cp:lastPrinted>2024-03-05T00:03:00Z</cp:lastPrinted>
  <dcterms:modified xsi:type="dcterms:W3CDTF">2024-03-12T03:12:21Z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eyJoZGlkIjoiNDY3ZDQ0ODBiMjhiYzRkNzAzZDk1YzJjYWJmY2U0YmUifQ==</vt:lpwstr>
  </property>
  <property fmtid="{D5CDD505-2E9C-101B-9397-08002B2CF9AE}" pid="3" name="KSOProductBuildVer">
    <vt:lpwstr>2052-11.8.2.12055</vt:lpwstr>
  </property>
  <property fmtid="{D5CDD505-2E9C-101B-9397-08002B2CF9AE}" pid="4" name="ICV">
    <vt:lpwstr>C0DD5F5C76CF4C9494CE713630AA804D</vt:lpwstr>
  </property>
</Properties>
</file>