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4BC11D">
      <w:pPr>
        <w:pStyle w:val="4"/>
      </w:pPr>
    </w:p>
    <w:p w14:paraId="61A679FB">
      <w:pPr>
        <w:pStyle w:val="4"/>
        <w:jc w:val="center"/>
        <w:outlineLvl w:val="1"/>
      </w:pPr>
      <w:bookmarkStart w:id="0" w:name="_GoBack"/>
      <w:bookmarkEnd w:id="0"/>
      <w:r>
        <w:rPr>
          <w:rFonts w:ascii="仿宋_GB2312" w:hAnsi="仿宋_GB2312" w:eastAsia="仿宋_GB2312" w:cs="仿宋_GB2312"/>
          <w:b/>
          <w:sz w:val="36"/>
        </w:rPr>
        <w:t>第三章 技术、服务及其他要求</w:t>
      </w:r>
    </w:p>
    <w:p w14:paraId="26B24769">
      <w:pPr>
        <w:pStyle w:val="4"/>
        <w:ind w:firstLine="480"/>
        <w:jc w:val="left"/>
      </w:pPr>
      <w:r>
        <w:rPr>
          <w:rFonts w:ascii="仿宋_GB2312" w:hAnsi="仿宋_GB2312" w:eastAsia="仿宋_GB2312" w:cs="仿宋_GB2312"/>
        </w:rPr>
        <w:t>（注：本章的技术、服务及其他要求中，带“★”的要求为实质性要求。采购人、代理机构应当根据项目实际要求合理设定，并在第五章符合性审查中明确响应要求。）</w:t>
      </w:r>
    </w:p>
    <w:p w14:paraId="566B582D">
      <w:pPr>
        <w:pStyle w:val="4"/>
        <w:jc w:val="left"/>
        <w:outlineLvl w:val="2"/>
      </w:pPr>
      <w:r>
        <w:rPr>
          <w:rFonts w:ascii="仿宋_GB2312" w:hAnsi="仿宋_GB2312" w:eastAsia="仿宋_GB2312" w:cs="仿宋_GB2312"/>
          <w:b/>
          <w:sz w:val="28"/>
        </w:rPr>
        <w:t>3.1.采购内容</w:t>
      </w:r>
    </w:p>
    <w:p w14:paraId="67B537E3">
      <w:pPr>
        <w:pStyle w:val="4"/>
        <w:jc w:val="left"/>
      </w:pPr>
      <w:r>
        <w:rPr>
          <w:rFonts w:ascii="仿宋_GB2312" w:hAnsi="仿宋_GB2312" w:eastAsia="仿宋_GB2312" w:cs="仿宋_GB2312"/>
        </w:rPr>
        <w:t>采购包1：</w:t>
      </w:r>
    </w:p>
    <w:p w14:paraId="34E61583">
      <w:pPr>
        <w:pStyle w:val="4"/>
        <w:jc w:val="left"/>
      </w:pPr>
      <w:r>
        <w:rPr>
          <w:rFonts w:ascii="仿宋_GB2312" w:hAnsi="仿宋_GB2312" w:eastAsia="仿宋_GB2312" w:cs="仿宋_GB2312"/>
        </w:rPr>
        <w:t>采购包预算金额（元）: 745,250.76</w:t>
      </w:r>
    </w:p>
    <w:p w14:paraId="10F47E27">
      <w:pPr>
        <w:pStyle w:val="4"/>
        <w:jc w:val="left"/>
      </w:pPr>
      <w:r>
        <w:rPr>
          <w:rFonts w:ascii="仿宋_GB2312" w:hAnsi="仿宋_GB2312" w:eastAsia="仿宋_GB2312" w:cs="仿宋_GB2312"/>
        </w:rPr>
        <w:t>采购包最高限价（元）: 745,250.76</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47"/>
        <w:gridCol w:w="1116"/>
        <w:gridCol w:w="779"/>
        <w:gridCol w:w="820"/>
        <w:gridCol w:w="1216"/>
        <w:gridCol w:w="739"/>
        <w:gridCol w:w="739"/>
        <w:gridCol w:w="739"/>
        <w:gridCol w:w="739"/>
        <w:gridCol w:w="594"/>
        <w:gridCol w:w="594"/>
      </w:tblGrid>
      <w:tr w14:paraId="69AD28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6FDDA8C8">
            <w:pPr>
              <w:pStyle w:val="4"/>
              <w:jc w:val="center"/>
            </w:pPr>
            <w:r>
              <w:rPr>
                <w:rFonts w:ascii="仿宋_GB2312" w:hAnsi="仿宋_GB2312" w:eastAsia="仿宋_GB2312" w:cs="仿宋_GB2312"/>
              </w:rPr>
              <w:t>序号</w:t>
            </w:r>
          </w:p>
        </w:tc>
        <w:tc>
          <w:tcPr>
            <w:tcW w:w="821" w:type="dxa"/>
          </w:tcPr>
          <w:p w14:paraId="5D12605E">
            <w:pPr>
              <w:pStyle w:val="4"/>
              <w:jc w:val="center"/>
            </w:pPr>
            <w:r>
              <w:rPr>
                <w:rFonts w:ascii="仿宋_GB2312" w:hAnsi="仿宋_GB2312" w:eastAsia="仿宋_GB2312" w:cs="仿宋_GB2312"/>
              </w:rPr>
              <w:t>采购品目名称</w:t>
            </w:r>
          </w:p>
        </w:tc>
        <w:tc>
          <w:tcPr>
            <w:tcW w:w="821" w:type="dxa"/>
          </w:tcPr>
          <w:p w14:paraId="12022F57">
            <w:pPr>
              <w:pStyle w:val="4"/>
              <w:jc w:val="center"/>
            </w:pPr>
            <w:r>
              <w:rPr>
                <w:rFonts w:ascii="仿宋_GB2312" w:hAnsi="仿宋_GB2312" w:eastAsia="仿宋_GB2312" w:cs="仿宋_GB2312"/>
              </w:rPr>
              <w:t>标的名称</w:t>
            </w:r>
          </w:p>
        </w:tc>
        <w:tc>
          <w:tcPr>
            <w:tcW w:w="821" w:type="dxa"/>
          </w:tcPr>
          <w:p w14:paraId="0C756289">
            <w:pPr>
              <w:pStyle w:val="4"/>
              <w:jc w:val="center"/>
            </w:pPr>
            <w:r>
              <w:rPr>
                <w:rFonts w:ascii="仿宋_GB2312" w:hAnsi="仿宋_GB2312" w:eastAsia="仿宋_GB2312" w:cs="仿宋_GB2312"/>
              </w:rPr>
              <w:t>数量</w:t>
            </w:r>
            <w:r>
              <w:br w:type="textWrapping"/>
            </w:r>
            <w:r>
              <w:rPr>
                <w:rFonts w:ascii="仿宋_GB2312" w:hAnsi="仿宋_GB2312" w:eastAsia="仿宋_GB2312" w:cs="仿宋_GB2312"/>
              </w:rPr>
              <w:t>(计量单位)</w:t>
            </w:r>
          </w:p>
        </w:tc>
        <w:tc>
          <w:tcPr>
            <w:tcW w:w="821" w:type="dxa"/>
          </w:tcPr>
          <w:p w14:paraId="57BA26EF">
            <w:pPr>
              <w:pStyle w:val="4"/>
              <w:jc w:val="center"/>
            </w:pPr>
            <w:r>
              <w:rPr>
                <w:rFonts w:ascii="仿宋_GB2312" w:hAnsi="仿宋_GB2312" w:eastAsia="仿宋_GB2312" w:cs="仿宋_GB2312"/>
              </w:rPr>
              <w:t>标的金额 （元）</w:t>
            </w:r>
          </w:p>
        </w:tc>
        <w:tc>
          <w:tcPr>
            <w:tcW w:w="821" w:type="dxa"/>
          </w:tcPr>
          <w:p w14:paraId="27338E37">
            <w:pPr>
              <w:pStyle w:val="4"/>
              <w:jc w:val="center"/>
            </w:pPr>
            <w:r>
              <w:rPr>
                <w:rFonts w:ascii="仿宋_GB2312" w:hAnsi="仿宋_GB2312" w:eastAsia="仿宋_GB2312" w:cs="仿宋_GB2312"/>
              </w:rPr>
              <w:t>所属行业</w:t>
            </w:r>
          </w:p>
        </w:tc>
        <w:tc>
          <w:tcPr>
            <w:tcW w:w="821" w:type="dxa"/>
          </w:tcPr>
          <w:p w14:paraId="7F1E3475">
            <w:pPr>
              <w:pStyle w:val="4"/>
              <w:jc w:val="center"/>
            </w:pPr>
            <w:r>
              <w:rPr>
                <w:rFonts w:ascii="仿宋_GB2312" w:hAnsi="仿宋_GB2312" w:eastAsia="仿宋_GB2312" w:cs="仿宋_GB2312"/>
              </w:rPr>
              <w:t>是否涉及核心产品</w:t>
            </w:r>
          </w:p>
        </w:tc>
        <w:tc>
          <w:tcPr>
            <w:tcW w:w="821" w:type="dxa"/>
          </w:tcPr>
          <w:p w14:paraId="5D021498">
            <w:pPr>
              <w:pStyle w:val="4"/>
              <w:jc w:val="center"/>
            </w:pPr>
            <w:r>
              <w:rPr>
                <w:rFonts w:ascii="仿宋_GB2312" w:hAnsi="仿宋_GB2312" w:eastAsia="仿宋_GB2312" w:cs="仿宋_GB2312"/>
              </w:rPr>
              <w:t>是否涉及采购进口产品</w:t>
            </w:r>
          </w:p>
        </w:tc>
        <w:tc>
          <w:tcPr>
            <w:tcW w:w="821" w:type="dxa"/>
          </w:tcPr>
          <w:p w14:paraId="2A7F3494">
            <w:pPr>
              <w:pStyle w:val="4"/>
              <w:jc w:val="center"/>
            </w:pPr>
            <w:r>
              <w:rPr>
                <w:rFonts w:ascii="仿宋_GB2312" w:hAnsi="仿宋_GB2312" w:eastAsia="仿宋_GB2312" w:cs="仿宋_GB2312"/>
              </w:rPr>
              <w:t>是否涉及强制采购节能产品</w:t>
            </w:r>
          </w:p>
        </w:tc>
        <w:tc>
          <w:tcPr>
            <w:tcW w:w="639" w:type="dxa"/>
          </w:tcPr>
          <w:p w14:paraId="0A367616">
            <w:pPr>
              <w:pStyle w:val="4"/>
              <w:jc w:val="center"/>
            </w:pPr>
            <w:r>
              <w:rPr>
                <w:rFonts w:ascii="仿宋_GB2312" w:hAnsi="仿宋_GB2312" w:eastAsia="仿宋_GB2312" w:cs="仿宋_GB2312"/>
              </w:rPr>
              <w:t>是否涉及优先采购节能产品</w:t>
            </w:r>
          </w:p>
        </w:tc>
        <w:tc>
          <w:tcPr>
            <w:tcW w:w="639" w:type="dxa"/>
          </w:tcPr>
          <w:p w14:paraId="2E3AE9A1">
            <w:pPr>
              <w:pStyle w:val="4"/>
              <w:jc w:val="center"/>
            </w:pPr>
            <w:r>
              <w:rPr>
                <w:rFonts w:ascii="仿宋_GB2312" w:hAnsi="仿宋_GB2312" w:eastAsia="仿宋_GB2312" w:cs="仿宋_GB2312"/>
              </w:rPr>
              <w:t>是否涉及优先采购环境标志产品</w:t>
            </w:r>
          </w:p>
        </w:tc>
      </w:tr>
      <w:tr w14:paraId="65A225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6" w:type="dxa"/>
          </w:tcPr>
          <w:p w14:paraId="22D40C8B">
            <w:pPr>
              <w:pStyle w:val="4"/>
              <w:jc w:val="left"/>
            </w:pPr>
            <w:r>
              <w:rPr>
                <w:rFonts w:ascii="仿宋_GB2312" w:hAnsi="仿宋_GB2312" w:eastAsia="仿宋_GB2312" w:cs="仿宋_GB2312"/>
              </w:rPr>
              <w:t>1</w:t>
            </w:r>
          </w:p>
        </w:tc>
        <w:tc>
          <w:tcPr>
            <w:tcW w:w="821" w:type="dxa"/>
          </w:tcPr>
          <w:p w14:paraId="699ACA87">
            <w:pPr>
              <w:pStyle w:val="4"/>
              <w:jc w:val="left"/>
            </w:pPr>
            <w:r>
              <w:rPr>
                <w:rFonts w:ascii="仿宋_GB2312" w:hAnsi="仿宋_GB2312" w:eastAsia="仿宋_GB2312" w:cs="仿宋_GB2312"/>
              </w:rPr>
              <w:t>C19990000 其他专业技术服务</w:t>
            </w:r>
          </w:p>
        </w:tc>
        <w:tc>
          <w:tcPr>
            <w:tcW w:w="821" w:type="dxa"/>
          </w:tcPr>
          <w:p w14:paraId="7DECC573">
            <w:pPr>
              <w:pStyle w:val="4"/>
              <w:jc w:val="left"/>
            </w:pPr>
            <w:r>
              <w:rPr>
                <w:rFonts w:ascii="仿宋_GB2312" w:hAnsi="仿宋_GB2312" w:eastAsia="仿宋_GB2312" w:cs="仿宋_GB2312"/>
              </w:rPr>
              <w:t>新龙县2025年度国土变更调查工作</w:t>
            </w:r>
          </w:p>
        </w:tc>
        <w:tc>
          <w:tcPr>
            <w:tcW w:w="821" w:type="dxa"/>
          </w:tcPr>
          <w:p w14:paraId="087D8069">
            <w:pPr>
              <w:pStyle w:val="4"/>
              <w:jc w:val="right"/>
            </w:pPr>
            <w:r>
              <w:rPr>
                <w:rFonts w:ascii="仿宋_GB2312" w:hAnsi="仿宋_GB2312" w:eastAsia="仿宋_GB2312" w:cs="仿宋_GB2312"/>
              </w:rPr>
              <w:t>1.00（项）</w:t>
            </w:r>
          </w:p>
        </w:tc>
        <w:tc>
          <w:tcPr>
            <w:tcW w:w="821" w:type="dxa"/>
          </w:tcPr>
          <w:p w14:paraId="7DB301DB">
            <w:pPr>
              <w:pStyle w:val="4"/>
              <w:jc w:val="right"/>
            </w:pPr>
            <w:r>
              <w:rPr>
                <w:rFonts w:ascii="仿宋_GB2312" w:hAnsi="仿宋_GB2312" w:eastAsia="仿宋_GB2312" w:cs="仿宋_GB2312"/>
              </w:rPr>
              <w:t>745,250.76</w:t>
            </w:r>
          </w:p>
        </w:tc>
        <w:tc>
          <w:tcPr>
            <w:tcW w:w="821" w:type="dxa"/>
          </w:tcPr>
          <w:p w14:paraId="5CF0C534">
            <w:pPr>
              <w:pStyle w:val="4"/>
              <w:jc w:val="left"/>
            </w:pPr>
            <w:r>
              <w:rPr>
                <w:rFonts w:ascii="仿宋_GB2312" w:hAnsi="仿宋_GB2312" w:eastAsia="仿宋_GB2312" w:cs="仿宋_GB2312"/>
              </w:rPr>
              <w:t>其他未列明行业</w:t>
            </w:r>
          </w:p>
        </w:tc>
        <w:tc>
          <w:tcPr>
            <w:tcW w:w="821" w:type="dxa"/>
          </w:tcPr>
          <w:p w14:paraId="5BE583E1">
            <w:pPr>
              <w:pStyle w:val="4"/>
              <w:jc w:val="left"/>
            </w:pPr>
            <w:r>
              <w:rPr>
                <w:rFonts w:ascii="仿宋_GB2312" w:hAnsi="仿宋_GB2312" w:eastAsia="仿宋_GB2312" w:cs="仿宋_GB2312"/>
              </w:rPr>
              <w:t>否</w:t>
            </w:r>
          </w:p>
        </w:tc>
        <w:tc>
          <w:tcPr>
            <w:tcW w:w="821" w:type="dxa"/>
          </w:tcPr>
          <w:p w14:paraId="097F54E4">
            <w:pPr>
              <w:pStyle w:val="4"/>
              <w:jc w:val="left"/>
            </w:pPr>
            <w:r>
              <w:rPr>
                <w:rFonts w:ascii="仿宋_GB2312" w:hAnsi="仿宋_GB2312" w:eastAsia="仿宋_GB2312" w:cs="仿宋_GB2312"/>
              </w:rPr>
              <w:t>否</w:t>
            </w:r>
          </w:p>
        </w:tc>
        <w:tc>
          <w:tcPr>
            <w:tcW w:w="821" w:type="dxa"/>
          </w:tcPr>
          <w:p w14:paraId="464397DB">
            <w:pPr>
              <w:pStyle w:val="4"/>
              <w:jc w:val="left"/>
            </w:pPr>
            <w:r>
              <w:rPr>
                <w:rFonts w:ascii="仿宋_GB2312" w:hAnsi="仿宋_GB2312" w:eastAsia="仿宋_GB2312" w:cs="仿宋_GB2312"/>
              </w:rPr>
              <w:t>否</w:t>
            </w:r>
          </w:p>
        </w:tc>
        <w:tc>
          <w:tcPr>
            <w:tcW w:w="639" w:type="dxa"/>
          </w:tcPr>
          <w:p w14:paraId="16946923">
            <w:pPr>
              <w:pStyle w:val="4"/>
              <w:jc w:val="left"/>
            </w:pPr>
            <w:r>
              <w:rPr>
                <w:rFonts w:ascii="仿宋_GB2312" w:hAnsi="仿宋_GB2312" w:eastAsia="仿宋_GB2312" w:cs="仿宋_GB2312"/>
              </w:rPr>
              <w:t>否</w:t>
            </w:r>
          </w:p>
        </w:tc>
        <w:tc>
          <w:tcPr>
            <w:tcW w:w="639" w:type="dxa"/>
          </w:tcPr>
          <w:p w14:paraId="222713B7">
            <w:pPr>
              <w:pStyle w:val="4"/>
              <w:jc w:val="left"/>
            </w:pPr>
            <w:r>
              <w:rPr>
                <w:rFonts w:ascii="仿宋_GB2312" w:hAnsi="仿宋_GB2312" w:eastAsia="仿宋_GB2312" w:cs="仿宋_GB2312"/>
              </w:rPr>
              <w:t>否</w:t>
            </w:r>
          </w:p>
        </w:tc>
      </w:tr>
    </w:tbl>
    <w:p w14:paraId="4FBBA3A1">
      <w:pPr>
        <w:pStyle w:val="4"/>
        <w:jc w:val="left"/>
        <w:outlineLvl w:val="3"/>
      </w:pPr>
      <w:r>
        <w:rPr>
          <w:rFonts w:ascii="仿宋_GB2312" w:hAnsi="仿宋_GB2312" w:eastAsia="仿宋_GB2312" w:cs="仿宋_GB2312"/>
          <w:b/>
          <w:sz w:val="24"/>
        </w:rPr>
        <w:t>报价要求</w:t>
      </w:r>
    </w:p>
    <w:p w14:paraId="0D95CF65">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24"/>
        <w:gridCol w:w="1707"/>
        <w:gridCol w:w="1138"/>
        <w:gridCol w:w="1365"/>
        <w:gridCol w:w="1138"/>
        <w:gridCol w:w="1934"/>
      </w:tblGrid>
      <w:tr w14:paraId="6FFDD3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tcPr>
          <w:p w14:paraId="34257328">
            <w:pPr>
              <w:pStyle w:val="4"/>
              <w:jc w:val="center"/>
            </w:pPr>
            <w:r>
              <w:rPr>
                <w:rFonts w:ascii="仿宋_GB2312" w:hAnsi="仿宋_GB2312" w:eastAsia="仿宋_GB2312" w:cs="仿宋_GB2312"/>
              </w:rPr>
              <w:t>序号</w:t>
            </w:r>
          </w:p>
        </w:tc>
        <w:tc>
          <w:tcPr>
            <w:tcW w:w="1707" w:type="dxa"/>
          </w:tcPr>
          <w:p w14:paraId="395DDD3F">
            <w:pPr>
              <w:pStyle w:val="4"/>
              <w:jc w:val="center"/>
            </w:pPr>
            <w:r>
              <w:rPr>
                <w:rFonts w:ascii="仿宋_GB2312" w:hAnsi="仿宋_GB2312" w:eastAsia="仿宋_GB2312" w:cs="仿宋_GB2312"/>
              </w:rPr>
              <w:t>报价内容</w:t>
            </w:r>
          </w:p>
        </w:tc>
        <w:tc>
          <w:tcPr>
            <w:tcW w:w="1138" w:type="dxa"/>
          </w:tcPr>
          <w:p w14:paraId="5E3113C6">
            <w:pPr>
              <w:pStyle w:val="4"/>
              <w:jc w:val="center"/>
            </w:pPr>
            <w:r>
              <w:rPr>
                <w:rFonts w:ascii="仿宋_GB2312" w:hAnsi="仿宋_GB2312" w:eastAsia="仿宋_GB2312" w:cs="仿宋_GB2312"/>
              </w:rPr>
              <w:t>数量（计量单位）</w:t>
            </w:r>
          </w:p>
        </w:tc>
        <w:tc>
          <w:tcPr>
            <w:tcW w:w="1365" w:type="dxa"/>
          </w:tcPr>
          <w:p w14:paraId="5E6D675B">
            <w:pPr>
              <w:pStyle w:val="4"/>
              <w:jc w:val="center"/>
            </w:pPr>
            <w:r>
              <w:rPr>
                <w:rFonts w:ascii="仿宋_GB2312" w:hAnsi="仿宋_GB2312" w:eastAsia="仿宋_GB2312" w:cs="仿宋_GB2312"/>
              </w:rPr>
              <w:t>最高限价</w:t>
            </w:r>
          </w:p>
        </w:tc>
        <w:tc>
          <w:tcPr>
            <w:tcW w:w="1138" w:type="dxa"/>
          </w:tcPr>
          <w:p w14:paraId="1CFA78EC">
            <w:pPr>
              <w:pStyle w:val="4"/>
              <w:jc w:val="center"/>
            </w:pPr>
            <w:r>
              <w:rPr>
                <w:rFonts w:ascii="仿宋_GB2312" w:hAnsi="仿宋_GB2312" w:eastAsia="仿宋_GB2312" w:cs="仿宋_GB2312"/>
              </w:rPr>
              <w:t>价款形式</w:t>
            </w:r>
          </w:p>
        </w:tc>
        <w:tc>
          <w:tcPr>
            <w:tcW w:w="1934" w:type="dxa"/>
          </w:tcPr>
          <w:p w14:paraId="75E61C00">
            <w:pPr>
              <w:pStyle w:val="4"/>
              <w:jc w:val="center"/>
            </w:pPr>
            <w:r>
              <w:rPr>
                <w:rFonts w:ascii="仿宋_GB2312" w:hAnsi="仿宋_GB2312" w:eastAsia="仿宋_GB2312" w:cs="仿宋_GB2312"/>
              </w:rPr>
              <w:t>报价说明</w:t>
            </w:r>
          </w:p>
        </w:tc>
      </w:tr>
      <w:tr w14:paraId="357120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24" w:type="dxa"/>
          </w:tcPr>
          <w:p w14:paraId="4B8FDE98">
            <w:pPr>
              <w:pStyle w:val="4"/>
              <w:jc w:val="center"/>
            </w:pPr>
            <w:r>
              <w:rPr>
                <w:rFonts w:ascii="仿宋_GB2312" w:hAnsi="仿宋_GB2312" w:eastAsia="仿宋_GB2312" w:cs="仿宋_GB2312"/>
              </w:rPr>
              <w:t>1</w:t>
            </w:r>
          </w:p>
        </w:tc>
        <w:tc>
          <w:tcPr>
            <w:tcW w:w="1707" w:type="dxa"/>
          </w:tcPr>
          <w:p w14:paraId="77FCD5CC">
            <w:pPr>
              <w:pStyle w:val="4"/>
              <w:jc w:val="center"/>
            </w:pPr>
            <w:r>
              <w:rPr>
                <w:rFonts w:ascii="仿宋_GB2312" w:hAnsi="仿宋_GB2312" w:eastAsia="仿宋_GB2312" w:cs="仿宋_GB2312"/>
              </w:rPr>
              <w:t>新龙县2025年度国土变更调查工作</w:t>
            </w:r>
          </w:p>
        </w:tc>
        <w:tc>
          <w:tcPr>
            <w:tcW w:w="1138" w:type="dxa"/>
          </w:tcPr>
          <w:p w14:paraId="62AB1090">
            <w:pPr>
              <w:pStyle w:val="4"/>
              <w:jc w:val="center"/>
            </w:pPr>
            <w:r>
              <w:rPr>
                <w:rFonts w:ascii="仿宋_GB2312" w:hAnsi="仿宋_GB2312" w:eastAsia="仿宋_GB2312" w:cs="仿宋_GB2312"/>
              </w:rPr>
              <w:t>1.00（项）</w:t>
            </w:r>
          </w:p>
        </w:tc>
        <w:tc>
          <w:tcPr>
            <w:tcW w:w="1365" w:type="dxa"/>
          </w:tcPr>
          <w:p w14:paraId="46D951B4">
            <w:pPr>
              <w:pStyle w:val="4"/>
              <w:jc w:val="center"/>
            </w:pPr>
            <w:r>
              <w:rPr>
                <w:rFonts w:ascii="仿宋_GB2312" w:hAnsi="仿宋_GB2312" w:eastAsia="仿宋_GB2312" w:cs="仿宋_GB2312"/>
              </w:rPr>
              <w:t>745,250.76</w:t>
            </w:r>
          </w:p>
        </w:tc>
        <w:tc>
          <w:tcPr>
            <w:tcW w:w="1138" w:type="dxa"/>
          </w:tcPr>
          <w:p w14:paraId="3353FD86">
            <w:pPr>
              <w:pStyle w:val="4"/>
              <w:jc w:val="center"/>
            </w:pPr>
            <w:r>
              <w:rPr>
                <w:rFonts w:ascii="仿宋_GB2312" w:hAnsi="仿宋_GB2312" w:eastAsia="仿宋_GB2312" w:cs="仿宋_GB2312"/>
              </w:rPr>
              <w:t>总价</w:t>
            </w:r>
          </w:p>
        </w:tc>
        <w:tc>
          <w:tcPr>
            <w:tcW w:w="1934" w:type="dxa"/>
          </w:tcPr>
          <w:p w14:paraId="60B15A67">
            <w:pPr>
              <w:pStyle w:val="4"/>
              <w:jc w:val="left"/>
            </w:pPr>
            <w:r>
              <w:rPr>
                <w:rFonts w:ascii="仿宋_GB2312" w:hAnsi="仿宋_GB2312" w:eastAsia="仿宋_GB2312" w:cs="仿宋_GB2312"/>
              </w:rPr>
              <w:t>无</w:t>
            </w:r>
          </w:p>
        </w:tc>
      </w:tr>
    </w:tbl>
    <w:p w14:paraId="32B3A3E8">
      <w:pPr>
        <w:pStyle w:val="4"/>
        <w:ind w:firstLine="480"/>
        <w:jc w:val="left"/>
      </w:pPr>
      <w:r>
        <w:rPr>
          <w:rFonts w:ascii="仿宋_GB2312" w:hAnsi="仿宋_GB2312" w:eastAsia="仿宋_GB2312" w:cs="仿宋_GB2312"/>
        </w:rPr>
        <w:t>★注：本采购包涉及采购货物的，供应商响应产品应当明确品牌和规格型号并指向唯一产品，不能指向唯一产品的，应通过报价表唯一产品说明栏补充说明。</w:t>
      </w:r>
    </w:p>
    <w:p w14:paraId="20A7E9F6">
      <w:pPr>
        <w:pStyle w:val="4"/>
        <w:jc w:val="left"/>
        <w:outlineLvl w:val="3"/>
      </w:pPr>
      <w:r>
        <w:rPr>
          <w:rFonts w:ascii="仿宋_GB2312" w:hAnsi="仿宋_GB2312" w:eastAsia="仿宋_GB2312" w:cs="仿宋_GB2312"/>
          <w:b/>
          <w:sz w:val="24"/>
        </w:rPr>
        <w:t>本项目涉及核心产品：</w:t>
      </w:r>
    </w:p>
    <w:p w14:paraId="08C18CC5">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492"/>
        <w:gridCol w:w="2492"/>
        <w:gridCol w:w="2492"/>
      </w:tblGrid>
      <w:tr w14:paraId="2F1247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8EDEC99">
            <w:pPr>
              <w:pStyle w:val="4"/>
              <w:jc w:val="center"/>
            </w:pPr>
            <w:r>
              <w:rPr>
                <w:rFonts w:ascii="仿宋_GB2312" w:hAnsi="仿宋_GB2312" w:eastAsia="仿宋_GB2312" w:cs="仿宋_GB2312"/>
              </w:rPr>
              <w:t>序号</w:t>
            </w:r>
          </w:p>
        </w:tc>
        <w:tc>
          <w:tcPr>
            <w:tcW w:w="2492" w:type="dxa"/>
          </w:tcPr>
          <w:p w14:paraId="1B5A3E62">
            <w:pPr>
              <w:pStyle w:val="4"/>
              <w:jc w:val="center"/>
            </w:pPr>
            <w:r>
              <w:rPr>
                <w:rFonts w:ascii="仿宋_GB2312" w:hAnsi="仿宋_GB2312" w:eastAsia="仿宋_GB2312" w:cs="仿宋_GB2312"/>
              </w:rPr>
              <w:t>采购品目名称</w:t>
            </w:r>
          </w:p>
        </w:tc>
        <w:tc>
          <w:tcPr>
            <w:tcW w:w="2492" w:type="dxa"/>
          </w:tcPr>
          <w:p w14:paraId="7074E94A">
            <w:pPr>
              <w:pStyle w:val="4"/>
              <w:jc w:val="center"/>
            </w:pPr>
            <w:r>
              <w:rPr>
                <w:rFonts w:ascii="仿宋_GB2312" w:hAnsi="仿宋_GB2312" w:eastAsia="仿宋_GB2312" w:cs="仿宋_GB2312"/>
              </w:rPr>
              <w:t>标的名称</w:t>
            </w:r>
          </w:p>
        </w:tc>
        <w:tc>
          <w:tcPr>
            <w:tcW w:w="2492" w:type="dxa"/>
          </w:tcPr>
          <w:p w14:paraId="6528D5BC">
            <w:pPr>
              <w:pStyle w:val="4"/>
              <w:jc w:val="center"/>
            </w:pPr>
            <w:r>
              <w:rPr>
                <w:rFonts w:ascii="仿宋_GB2312" w:hAnsi="仿宋_GB2312" w:eastAsia="仿宋_GB2312" w:cs="仿宋_GB2312"/>
              </w:rPr>
              <w:t>产品名称</w:t>
            </w:r>
          </w:p>
        </w:tc>
      </w:tr>
      <w:tr w14:paraId="670B4E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4"/>
          </w:tcPr>
          <w:p w14:paraId="3ECB5F09">
            <w:pPr>
              <w:pStyle w:val="4"/>
              <w:jc w:val="center"/>
            </w:pPr>
            <w:r>
              <w:rPr>
                <w:rFonts w:ascii="仿宋_GB2312" w:hAnsi="仿宋_GB2312" w:eastAsia="仿宋_GB2312" w:cs="仿宋_GB2312"/>
              </w:rPr>
              <w:t>不涉及</w:t>
            </w:r>
          </w:p>
        </w:tc>
      </w:tr>
    </w:tbl>
    <w:p w14:paraId="5CCEFCB9">
      <w:pPr>
        <w:pStyle w:val="4"/>
        <w:ind w:firstLine="480"/>
        <w:jc w:val="left"/>
      </w:pPr>
      <w:r>
        <w:rPr>
          <w:rFonts w:ascii="仿宋_GB2312" w:hAnsi="仿宋_GB2312" w:eastAsia="仿宋_GB2312" w:cs="仿宋_GB2312"/>
        </w:rPr>
        <w:t>注：涉及核心产品的，具体评审规定见第五章。</w:t>
      </w:r>
    </w:p>
    <w:p w14:paraId="7828D268">
      <w:pPr>
        <w:pStyle w:val="4"/>
        <w:jc w:val="left"/>
        <w:outlineLvl w:val="3"/>
      </w:pPr>
      <w:r>
        <w:rPr>
          <w:rFonts w:ascii="仿宋_GB2312" w:hAnsi="仿宋_GB2312" w:eastAsia="仿宋_GB2312" w:cs="仿宋_GB2312"/>
          <w:b/>
          <w:sz w:val="24"/>
        </w:rPr>
        <w:t>本项目涉及采购进口产品：</w:t>
      </w:r>
    </w:p>
    <w:p w14:paraId="1CBAD367">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492"/>
        <w:gridCol w:w="2492"/>
        <w:gridCol w:w="2492"/>
      </w:tblGrid>
      <w:tr w14:paraId="67DDAE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D9866BF">
            <w:pPr>
              <w:pStyle w:val="4"/>
              <w:jc w:val="center"/>
            </w:pPr>
            <w:r>
              <w:rPr>
                <w:rFonts w:ascii="仿宋_GB2312" w:hAnsi="仿宋_GB2312" w:eastAsia="仿宋_GB2312" w:cs="仿宋_GB2312"/>
              </w:rPr>
              <w:t>序号</w:t>
            </w:r>
          </w:p>
        </w:tc>
        <w:tc>
          <w:tcPr>
            <w:tcW w:w="2492" w:type="dxa"/>
          </w:tcPr>
          <w:p w14:paraId="6310CA56">
            <w:pPr>
              <w:pStyle w:val="4"/>
              <w:jc w:val="center"/>
            </w:pPr>
            <w:r>
              <w:rPr>
                <w:rFonts w:ascii="仿宋_GB2312" w:hAnsi="仿宋_GB2312" w:eastAsia="仿宋_GB2312" w:cs="仿宋_GB2312"/>
              </w:rPr>
              <w:t>采购品目名称</w:t>
            </w:r>
          </w:p>
        </w:tc>
        <w:tc>
          <w:tcPr>
            <w:tcW w:w="2492" w:type="dxa"/>
          </w:tcPr>
          <w:p w14:paraId="7DCAF4AF">
            <w:pPr>
              <w:pStyle w:val="4"/>
              <w:jc w:val="center"/>
            </w:pPr>
            <w:r>
              <w:rPr>
                <w:rFonts w:ascii="仿宋_GB2312" w:hAnsi="仿宋_GB2312" w:eastAsia="仿宋_GB2312" w:cs="仿宋_GB2312"/>
              </w:rPr>
              <w:t>标的名称</w:t>
            </w:r>
          </w:p>
        </w:tc>
        <w:tc>
          <w:tcPr>
            <w:tcW w:w="2492" w:type="dxa"/>
          </w:tcPr>
          <w:p w14:paraId="39C6F29A">
            <w:pPr>
              <w:pStyle w:val="4"/>
              <w:jc w:val="center"/>
            </w:pPr>
            <w:r>
              <w:rPr>
                <w:rFonts w:ascii="仿宋_GB2312" w:hAnsi="仿宋_GB2312" w:eastAsia="仿宋_GB2312" w:cs="仿宋_GB2312"/>
              </w:rPr>
              <w:t>产品名称</w:t>
            </w:r>
          </w:p>
        </w:tc>
      </w:tr>
      <w:tr w14:paraId="5513F9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4"/>
          </w:tcPr>
          <w:p w14:paraId="6C20EB05">
            <w:pPr>
              <w:pStyle w:val="4"/>
              <w:jc w:val="center"/>
            </w:pPr>
            <w:r>
              <w:rPr>
                <w:rFonts w:ascii="仿宋_GB2312" w:hAnsi="仿宋_GB2312" w:eastAsia="仿宋_GB2312" w:cs="仿宋_GB2312"/>
              </w:rPr>
              <w:t>不涉及</w:t>
            </w:r>
          </w:p>
        </w:tc>
      </w:tr>
    </w:tbl>
    <w:p w14:paraId="5F3B48FA">
      <w:pPr>
        <w:pStyle w:val="4"/>
        <w:ind w:firstLine="480"/>
        <w:jc w:val="left"/>
      </w:pPr>
      <w:r>
        <w:rPr>
          <w:rFonts w:ascii="仿宋_GB2312" w:hAnsi="仿宋_GB2312" w:eastAsia="仿宋_GB2312" w:cs="仿宋_GB2312"/>
        </w:rPr>
        <w:t>★注：不涉及采购进口产品时，供应商不得提供进口产品进行响应；涉及采购进口产品时，如国产产品满足采购需求，也可提供国产产品进行响应。</w:t>
      </w:r>
    </w:p>
    <w:p w14:paraId="43CEEFB1">
      <w:pPr>
        <w:pStyle w:val="4"/>
        <w:jc w:val="left"/>
        <w:outlineLvl w:val="3"/>
      </w:pPr>
      <w:r>
        <w:rPr>
          <w:rFonts w:ascii="仿宋_GB2312" w:hAnsi="仿宋_GB2312" w:eastAsia="仿宋_GB2312" w:cs="仿宋_GB2312"/>
          <w:b/>
          <w:sz w:val="24"/>
        </w:rPr>
        <w:t>本项目涉及强制采购节能产品：</w:t>
      </w:r>
    </w:p>
    <w:p w14:paraId="0A21D6A4">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492"/>
        <w:gridCol w:w="2492"/>
        <w:gridCol w:w="2492"/>
      </w:tblGrid>
      <w:tr w14:paraId="09971A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5C7D580">
            <w:pPr>
              <w:pStyle w:val="4"/>
              <w:jc w:val="center"/>
            </w:pPr>
            <w:r>
              <w:rPr>
                <w:rFonts w:ascii="仿宋_GB2312" w:hAnsi="仿宋_GB2312" w:eastAsia="仿宋_GB2312" w:cs="仿宋_GB2312"/>
              </w:rPr>
              <w:t>序号</w:t>
            </w:r>
          </w:p>
        </w:tc>
        <w:tc>
          <w:tcPr>
            <w:tcW w:w="2492" w:type="dxa"/>
          </w:tcPr>
          <w:p w14:paraId="79FB80A4">
            <w:pPr>
              <w:pStyle w:val="4"/>
              <w:jc w:val="center"/>
            </w:pPr>
            <w:r>
              <w:rPr>
                <w:rFonts w:ascii="仿宋_GB2312" w:hAnsi="仿宋_GB2312" w:eastAsia="仿宋_GB2312" w:cs="仿宋_GB2312"/>
              </w:rPr>
              <w:t>采购品目名称</w:t>
            </w:r>
          </w:p>
        </w:tc>
        <w:tc>
          <w:tcPr>
            <w:tcW w:w="2492" w:type="dxa"/>
          </w:tcPr>
          <w:p w14:paraId="61D9E38A">
            <w:pPr>
              <w:pStyle w:val="4"/>
              <w:jc w:val="center"/>
            </w:pPr>
            <w:r>
              <w:rPr>
                <w:rFonts w:ascii="仿宋_GB2312" w:hAnsi="仿宋_GB2312" w:eastAsia="仿宋_GB2312" w:cs="仿宋_GB2312"/>
              </w:rPr>
              <w:t>标的名称</w:t>
            </w:r>
          </w:p>
        </w:tc>
        <w:tc>
          <w:tcPr>
            <w:tcW w:w="2492" w:type="dxa"/>
          </w:tcPr>
          <w:p w14:paraId="0D82A351">
            <w:pPr>
              <w:pStyle w:val="4"/>
              <w:jc w:val="center"/>
            </w:pPr>
            <w:r>
              <w:rPr>
                <w:rFonts w:ascii="仿宋_GB2312" w:hAnsi="仿宋_GB2312" w:eastAsia="仿宋_GB2312" w:cs="仿宋_GB2312"/>
              </w:rPr>
              <w:t>产品名称</w:t>
            </w:r>
          </w:p>
        </w:tc>
      </w:tr>
      <w:tr w14:paraId="34E8AD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4"/>
          </w:tcPr>
          <w:p w14:paraId="2F2BD4EA">
            <w:pPr>
              <w:pStyle w:val="4"/>
              <w:jc w:val="center"/>
            </w:pPr>
            <w:r>
              <w:rPr>
                <w:rFonts w:ascii="仿宋_GB2312" w:hAnsi="仿宋_GB2312" w:eastAsia="仿宋_GB2312" w:cs="仿宋_GB2312"/>
              </w:rPr>
              <w:t>不涉及</w:t>
            </w:r>
          </w:p>
        </w:tc>
      </w:tr>
    </w:tbl>
    <w:p w14:paraId="5D67518A">
      <w:pPr>
        <w:pStyle w:val="4"/>
        <w:ind w:firstLine="480"/>
        <w:jc w:val="left"/>
      </w:pPr>
      <w:r>
        <w:rPr>
          <w:rFonts w:ascii="仿宋_GB2312" w:hAnsi="仿宋_GB2312" w:eastAsia="仿宋_GB2312" w:cs="仿宋_GB2312"/>
        </w:rPr>
        <w:t>★注：响应产品属于《节能产品政府采购品目清单》中政府强制采购的产品，供应商应当提供由国家确定的认证机构出具的、处于有效期之内的节能产品认证证书的原件扫描件或“全国认证认可信息公共服务平台”（http://cx.cnca.cn）的认证信息截图，否则作无效响应处理。具体要求详见第五章符合性审查表。</w:t>
      </w:r>
    </w:p>
    <w:p w14:paraId="6508B838">
      <w:pPr>
        <w:pStyle w:val="4"/>
        <w:jc w:val="left"/>
      </w:pPr>
      <w:r>
        <w:rPr>
          <w:rFonts w:ascii="仿宋_GB2312" w:hAnsi="仿宋_GB2312" w:eastAsia="仿宋_GB2312" w:cs="仿宋_GB2312"/>
          <w:b/>
        </w:rPr>
        <w:t>本项目涉及优先采购节能产品：</w:t>
      </w:r>
    </w:p>
    <w:p w14:paraId="41A1CCEA">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492"/>
        <w:gridCol w:w="2492"/>
        <w:gridCol w:w="2492"/>
      </w:tblGrid>
      <w:tr w14:paraId="487219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F6C8922">
            <w:pPr>
              <w:pStyle w:val="4"/>
              <w:jc w:val="center"/>
            </w:pPr>
            <w:r>
              <w:rPr>
                <w:rFonts w:ascii="仿宋_GB2312" w:hAnsi="仿宋_GB2312" w:eastAsia="仿宋_GB2312" w:cs="仿宋_GB2312"/>
              </w:rPr>
              <w:t>序号</w:t>
            </w:r>
          </w:p>
        </w:tc>
        <w:tc>
          <w:tcPr>
            <w:tcW w:w="2492" w:type="dxa"/>
          </w:tcPr>
          <w:p w14:paraId="1F92586E">
            <w:pPr>
              <w:pStyle w:val="4"/>
              <w:jc w:val="center"/>
            </w:pPr>
            <w:r>
              <w:rPr>
                <w:rFonts w:ascii="仿宋_GB2312" w:hAnsi="仿宋_GB2312" w:eastAsia="仿宋_GB2312" w:cs="仿宋_GB2312"/>
              </w:rPr>
              <w:t>采购品目名称</w:t>
            </w:r>
          </w:p>
        </w:tc>
        <w:tc>
          <w:tcPr>
            <w:tcW w:w="2492" w:type="dxa"/>
          </w:tcPr>
          <w:p w14:paraId="26FF5323">
            <w:pPr>
              <w:pStyle w:val="4"/>
              <w:jc w:val="center"/>
            </w:pPr>
            <w:r>
              <w:rPr>
                <w:rFonts w:ascii="仿宋_GB2312" w:hAnsi="仿宋_GB2312" w:eastAsia="仿宋_GB2312" w:cs="仿宋_GB2312"/>
              </w:rPr>
              <w:t>标的名称</w:t>
            </w:r>
          </w:p>
        </w:tc>
        <w:tc>
          <w:tcPr>
            <w:tcW w:w="2492" w:type="dxa"/>
          </w:tcPr>
          <w:p w14:paraId="3F61AFBA">
            <w:pPr>
              <w:pStyle w:val="4"/>
              <w:jc w:val="center"/>
            </w:pPr>
            <w:r>
              <w:rPr>
                <w:rFonts w:ascii="仿宋_GB2312" w:hAnsi="仿宋_GB2312" w:eastAsia="仿宋_GB2312" w:cs="仿宋_GB2312"/>
              </w:rPr>
              <w:t>产品名称</w:t>
            </w:r>
          </w:p>
        </w:tc>
      </w:tr>
      <w:tr w14:paraId="646D2B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4"/>
          </w:tcPr>
          <w:p w14:paraId="526074D1">
            <w:pPr>
              <w:pStyle w:val="4"/>
              <w:jc w:val="center"/>
            </w:pPr>
            <w:r>
              <w:rPr>
                <w:rFonts w:ascii="仿宋_GB2312" w:hAnsi="仿宋_GB2312" w:eastAsia="仿宋_GB2312" w:cs="仿宋_GB2312"/>
              </w:rPr>
              <w:t>不涉及</w:t>
            </w:r>
          </w:p>
        </w:tc>
      </w:tr>
    </w:tbl>
    <w:p w14:paraId="2F96EB4C">
      <w:pPr>
        <w:pStyle w:val="4"/>
        <w:ind w:firstLine="480"/>
        <w:jc w:val="left"/>
      </w:pPr>
      <w:r>
        <w:rPr>
          <w:rFonts w:ascii="仿宋_GB2312" w:hAnsi="仿宋_GB2312" w:eastAsia="仿宋_GB2312" w:cs="仿宋_GB2312"/>
        </w:rPr>
        <w:t>注：响应产品属于《节能产品政府采购品目清单》中优先采购的产品，供应商提供由国家确定的认证机构出具的、处于有效期之内的节能产品认证证书的原件扫描件或“全国认证认可信息公共服务平台”（http://cx.cnca.cn）的认证信息截图，可以享受优先采购政策。具体要求详见第五章规定。</w:t>
      </w:r>
    </w:p>
    <w:p w14:paraId="2DAF93B5">
      <w:pPr>
        <w:pStyle w:val="4"/>
        <w:jc w:val="left"/>
        <w:outlineLvl w:val="3"/>
      </w:pPr>
      <w:r>
        <w:rPr>
          <w:rFonts w:ascii="仿宋_GB2312" w:hAnsi="仿宋_GB2312" w:eastAsia="仿宋_GB2312" w:cs="仿宋_GB2312"/>
          <w:b/>
          <w:sz w:val="24"/>
        </w:rPr>
        <w:t>本项目涉及优先采购环境标志产品：</w:t>
      </w:r>
    </w:p>
    <w:p w14:paraId="046EF124">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2492"/>
        <w:gridCol w:w="2492"/>
        <w:gridCol w:w="2492"/>
      </w:tblGrid>
      <w:tr w14:paraId="245D62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40EF64A">
            <w:pPr>
              <w:pStyle w:val="4"/>
              <w:jc w:val="center"/>
            </w:pPr>
            <w:r>
              <w:rPr>
                <w:rFonts w:ascii="仿宋_GB2312" w:hAnsi="仿宋_GB2312" w:eastAsia="仿宋_GB2312" w:cs="仿宋_GB2312"/>
              </w:rPr>
              <w:t>序号</w:t>
            </w:r>
          </w:p>
        </w:tc>
        <w:tc>
          <w:tcPr>
            <w:tcW w:w="2492" w:type="dxa"/>
          </w:tcPr>
          <w:p w14:paraId="44A42888">
            <w:pPr>
              <w:pStyle w:val="4"/>
              <w:jc w:val="center"/>
            </w:pPr>
            <w:r>
              <w:rPr>
                <w:rFonts w:ascii="仿宋_GB2312" w:hAnsi="仿宋_GB2312" w:eastAsia="仿宋_GB2312" w:cs="仿宋_GB2312"/>
              </w:rPr>
              <w:t>采购品目名称</w:t>
            </w:r>
          </w:p>
        </w:tc>
        <w:tc>
          <w:tcPr>
            <w:tcW w:w="2492" w:type="dxa"/>
          </w:tcPr>
          <w:p w14:paraId="5F2E7F61">
            <w:pPr>
              <w:pStyle w:val="4"/>
              <w:jc w:val="center"/>
            </w:pPr>
            <w:r>
              <w:rPr>
                <w:rFonts w:ascii="仿宋_GB2312" w:hAnsi="仿宋_GB2312" w:eastAsia="仿宋_GB2312" w:cs="仿宋_GB2312"/>
              </w:rPr>
              <w:t>标的名称</w:t>
            </w:r>
          </w:p>
        </w:tc>
        <w:tc>
          <w:tcPr>
            <w:tcW w:w="2492" w:type="dxa"/>
          </w:tcPr>
          <w:p w14:paraId="37CEDACC">
            <w:pPr>
              <w:pStyle w:val="4"/>
              <w:jc w:val="center"/>
            </w:pPr>
            <w:r>
              <w:rPr>
                <w:rFonts w:ascii="仿宋_GB2312" w:hAnsi="仿宋_GB2312" w:eastAsia="仿宋_GB2312" w:cs="仿宋_GB2312"/>
              </w:rPr>
              <w:t>产品名称</w:t>
            </w:r>
          </w:p>
        </w:tc>
      </w:tr>
      <w:tr w14:paraId="7F05CF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4"/>
          </w:tcPr>
          <w:p w14:paraId="14CE0D04">
            <w:pPr>
              <w:pStyle w:val="4"/>
              <w:jc w:val="center"/>
            </w:pPr>
            <w:r>
              <w:rPr>
                <w:rFonts w:ascii="仿宋_GB2312" w:hAnsi="仿宋_GB2312" w:eastAsia="仿宋_GB2312" w:cs="仿宋_GB2312"/>
              </w:rPr>
              <w:t>不涉及</w:t>
            </w:r>
          </w:p>
        </w:tc>
      </w:tr>
    </w:tbl>
    <w:p w14:paraId="499F81EA">
      <w:pPr>
        <w:pStyle w:val="4"/>
        <w:ind w:firstLine="480"/>
        <w:jc w:val="left"/>
      </w:pPr>
      <w:r>
        <w:rPr>
          <w:rFonts w:ascii="仿宋_GB2312" w:hAnsi="仿宋_GB2312" w:eastAsia="仿宋_GB2312" w:cs="仿宋_GB2312"/>
        </w:rPr>
        <w:t>注：响应产品属于《环境标志产品政府采购品目清单》中的产品，供应商提供由国家确定的认证机构出具的、处于有效期之内的环境标志产品认证证书的原件扫描件或“全国认证认可信息公共服务平台”（http://cx.cnca.cn）的认证信息截图，可以享受优先采购政策。具体要求详见第五章规定。</w:t>
      </w:r>
    </w:p>
    <w:p w14:paraId="0B797A5A">
      <w:pPr>
        <w:pStyle w:val="4"/>
        <w:jc w:val="left"/>
        <w:outlineLvl w:val="2"/>
      </w:pPr>
      <w:r>
        <w:rPr>
          <w:rFonts w:ascii="仿宋_GB2312" w:hAnsi="仿宋_GB2312" w:eastAsia="仿宋_GB2312" w:cs="仿宋_GB2312"/>
          <w:b/>
          <w:sz w:val="28"/>
        </w:rPr>
        <w:t>3.2.技术要求</w:t>
      </w:r>
    </w:p>
    <w:p w14:paraId="662321BF">
      <w:pPr>
        <w:pStyle w:val="4"/>
        <w:jc w:val="left"/>
      </w:pPr>
      <w:r>
        <w:rPr>
          <w:rFonts w:ascii="仿宋_GB2312" w:hAnsi="仿宋_GB2312" w:eastAsia="仿宋_GB2312" w:cs="仿宋_GB2312"/>
        </w:rPr>
        <w:t>采购包1：</w:t>
      </w:r>
    </w:p>
    <w:p w14:paraId="20E4A9FE">
      <w:pPr>
        <w:pStyle w:val="4"/>
        <w:jc w:val="left"/>
      </w:pPr>
      <w:r>
        <w:rPr>
          <w:rFonts w:ascii="仿宋_GB2312" w:hAnsi="仿宋_GB2312" w:eastAsia="仿宋_GB2312" w:cs="仿宋_GB2312"/>
        </w:rPr>
        <w:t>标的名称：新龙县2025年度国土变更调查工作</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581"/>
        <w:gridCol w:w="1495"/>
        <w:gridCol w:w="5814"/>
      </w:tblGrid>
      <w:tr w14:paraId="654C1D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E6AB0F5">
            <w:pPr>
              <w:pStyle w:val="4"/>
              <w:jc w:val="center"/>
            </w:pPr>
            <w:r>
              <w:rPr>
                <w:rFonts w:ascii="仿宋_GB2312" w:hAnsi="仿宋_GB2312" w:eastAsia="仿宋_GB2312" w:cs="仿宋_GB2312"/>
              </w:rPr>
              <w:t>序号</w:t>
            </w:r>
          </w:p>
        </w:tc>
        <w:tc>
          <w:tcPr>
            <w:tcW w:w="581" w:type="dxa"/>
          </w:tcPr>
          <w:p w14:paraId="034B20D3">
            <w:pPr>
              <w:pStyle w:val="4"/>
              <w:jc w:val="center"/>
            </w:pPr>
            <w:r>
              <w:rPr>
                <w:rFonts w:ascii="仿宋_GB2312" w:hAnsi="仿宋_GB2312" w:eastAsia="仿宋_GB2312" w:cs="仿宋_GB2312"/>
              </w:rPr>
              <w:t>符号标识</w:t>
            </w:r>
          </w:p>
        </w:tc>
        <w:tc>
          <w:tcPr>
            <w:tcW w:w="1495" w:type="dxa"/>
          </w:tcPr>
          <w:p w14:paraId="22756AFF">
            <w:pPr>
              <w:pStyle w:val="4"/>
              <w:jc w:val="center"/>
            </w:pPr>
            <w:r>
              <w:rPr>
                <w:rFonts w:ascii="仿宋_GB2312" w:hAnsi="仿宋_GB2312" w:eastAsia="仿宋_GB2312" w:cs="仿宋_GB2312"/>
              </w:rPr>
              <w:t>技术要求名称</w:t>
            </w:r>
          </w:p>
        </w:tc>
        <w:tc>
          <w:tcPr>
            <w:tcW w:w="5814" w:type="dxa"/>
          </w:tcPr>
          <w:p w14:paraId="10C08705">
            <w:pPr>
              <w:pStyle w:val="4"/>
              <w:jc w:val="center"/>
            </w:pPr>
            <w:r>
              <w:rPr>
                <w:rFonts w:ascii="仿宋_GB2312" w:hAnsi="仿宋_GB2312" w:eastAsia="仿宋_GB2312" w:cs="仿宋_GB2312"/>
              </w:rPr>
              <w:t>技术参数与性能指标</w:t>
            </w:r>
          </w:p>
        </w:tc>
      </w:tr>
      <w:tr w14:paraId="6F5C6C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3546361D">
            <w:pPr>
              <w:pStyle w:val="4"/>
              <w:jc w:val="center"/>
            </w:pPr>
            <w:r>
              <w:rPr>
                <w:rFonts w:ascii="仿宋_GB2312" w:hAnsi="仿宋_GB2312" w:eastAsia="仿宋_GB2312" w:cs="仿宋_GB2312"/>
              </w:rPr>
              <w:t>1</w:t>
            </w:r>
          </w:p>
        </w:tc>
        <w:tc>
          <w:tcPr>
            <w:tcW w:w="581" w:type="dxa"/>
          </w:tcPr>
          <w:p w14:paraId="4B8ED03E">
            <w:pPr>
              <w:pStyle w:val="4"/>
              <w:jc w:val="center"/>
            </w:pPr>
            <w:r>
              <w:rPr>
                <w:rFonts w:ascii="仿宋_GB2312" w:hAnsi="仿宋_GB2312" w:eastAsia="仿宋_GB2312" w:cs="仿宋_GB2312"/>
              </w:rPr>
              <w:t>★</w:t>
            </w:r>
          </w:p>
        </w:tc>
        <w:tc>
          <w:tcPr>
            <w:tcW w:w="1495" w:type="dxa"/>
          </w:tcPr>
          <w:p w14:paraId="6217CA61">
            <w:pPr>
              <w:pStyle w:val="4"/>
              <w:jc w:val="left"/>
            </w:pPr>
            <w:r>
              <w:rPr>
                <w:rFonts w:ascii="仿宋_GB2312" w:hAnsi="仿宋_GB2312" w:eastAsia="仿宋_GB2312" w:cs="仿宋_GB2312"/>
              </w:rPr>
              <w:t>一、服务依据</w:t>
            </w:r>
          </w:p>
        </w:tc>
        <w:tc>
          <w:tcPr>
            <w:tcW w:w="5814" w:type="dxa"/>
          </w:tcPr>
          <w:p w14:paraId="6706B255">
            <w:pPr>
              <w:pStyle w:val="4"/>
              <w:ind w:firstLine="480"/>
              <w:jc w:val="both"/>
            </w:pPr>
            <w:r>
              <w:rPr>
                <w:rFonts w:ascii="仿宋_GB2312" w:hAnsi="仿宋_GB2312" w:eastAsia="仿宋_GB2312" w:cs="仿宋_GB2312"/>
                <w:sz w:val="24"/>
              </w:rPr>
              <w:t>1.《中华人民共和国土地管理法》、《土地调查条例》</w:t>
            </w:r>
          </w:p>
          <w:p w14:paraId="773A97A3">
            <w:pPr>
              <w:pStyle w:val="4"/>
              <w:ind w:firstLine="480"/>
              <w:jc w:val="both"/>
            </w:pPr>
            <w:r>
              <w:rPr>
                <w:rFonts w:ascii="仿宋_GB2312" w:hAnsi="仿宋_GB2312" w:eastAsia="仿宋_GB2312" w:cs="仿宋_GB2312"/>
                <w:sz w:val="24"/>
              </w:rPr>
              <w:t>2.《中华人民共和国土地管理法实施条例》</w:t>
            </w:r>
          </w:p>
          <w:p w14:paraId="26257115">
            <w:pPr>
              <w:pStyle w:val="4"/>
              <w:ind w:firstLine="480"/>
              <w:jc w:val="both"/>
            </w:pPr>
            <w:r>
              <w:rPr>
                <w:rFonts w:ascii="仿宋_GB2312" w:hAnsi="仿宋_GB2312" w:eastAsia="仿宋_GB2312" w:cs="仿宋_GB2312"/>
                <w:sz w:val="24"/>
              </w:rPr>
              <w:t>3.《土地利用现状分类》</w:t>
            </w:r>
          </w:p>
          <w:p w14:paraId="4BD9010C">
            <w:pPr>
              <w:pStyle w:val="4"/>
              <w:ind w:firstLine="480"/>
              <w:jc w:val="both"/>
            </w:pPr>
            <w:r>
              <w:rPr>
                <w:rFonts w:ascii="仿宋_GB2312" w:hAnsi="仿宋_GB2312" w:eastAsia="仿宋_GB2312" w:cs="仿宋_GB2312"/>
                <w:sz w:val="24"/>
              </w:rPr>
              <w:t>4.《2025年度全国国土变更调查及森林草原湿地荒漠调查监测实施方案》</w:t>
            </w:r>
          </w:p>
          <w:p w14:paraId="4CC0C3F2">
            <w:pPr>
              <w:pStyle w:val="4"/>
              <w:ind w:firstLine="480"/>
              <w:jc w:val="both"/>
            </w:pPr>
            <w:r>
              <w:rPr>
                <w:rFonts w:ascii="仿宋_GB2312" w:hAnsi="仿宋_GB2312" w:eastAsia="仿宋_GB2312" w:cs="仿宋_GB2312"/>
                <w:sz w:val="24"/>
              </w:rPr>
              <w:t>5.《四川省自然资源厅 四川省林业和草原局关于做好2025年度国土变更调查及森林草原湿地荒漠调查监测工作的通知》（川自然资发〔2025〕23号）</w:t>
            </w:r>
          </w:p>
          <w:p w14:paraId="1C9D86FE">
            <w:pPr>
              <w:pStyle w:val="4"/>
              <w:ind w:firstLine="480"/>
              <w:jc w:val="both"/>
            </w:pPr>
            <w:r>
              <w:rPr>
                <w:rFonts w:ascii="仿宋_GB2312" w:hAnsi="仿宋_GB2312" w:eastAsia="仿宋_GB2312" w:cs="仿宋_GB2312"/>
                <w:sz w:val="24"/>
              </w:rPr>
              <w:t>6.《四川省国土变更调查技术细则》（2025年度适用）</w:t>
            </w:r>
          </w:p>
          <w:p w14:paraId="6FF35912">
            <w:pPr>
              <w:pStyle w:val="4"/>
              <w:ind w:firstLine="480"/>
              <w:jc w:val="both"/>
            </w:pPr>
            <w:r>
              <w:rPr>
                <w:rFonts w:ascii="仿宋_GB2312" w:hAnsi="仿宋_GB2312" w:eastAsia="仿宋_GB2312" w:cs="仿宋_GB2312"/>
                <w:sz w:val="24"/>
              </w:rPr>
              <w:t>7.《自然资源部办公厅 国家林业和草原局办公室关于开展2025年度全国国土变更调查及森林草原湿地荒漠调查监测工作的通知》（自然资办发〔2025〕33号）</w:t>
            </w:r>
          </w:p>
        </w:tc>
      </w:tr>
      <w:tr w14:paraId="1C84D2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C2260D2">
            <w:pPr>
              <w:pStyle w:val="4"/>
              <w:jc w:val="center"/>
            </w:pPr>
            <w:r>
              <w:rPr>
                <w:rFonts w:ascii="仿宋_GB2312" w:hAnsi="仿宋_GB2312" w:eastAsia="仿宋_GB2312" w:cs="仿宋_GB2312"/>
              </w:rPr>
              <w:t>2</w:t>
            </w:r>
          </w:p>
        </w:tc>
        <w:tc>
          <w:tcPr>
            <w:tcW w:w="581" w:type="dxa"/>
          </w:tcPr>
          <w:p w14:paraId="3C00EEF7">
            <w:pPr>
              <w:pStyle w:val="4"/>
              <w:jc w:val="center"/>
            </w:pPr>
            <w:r>
              <w:rPr>
                <w:rFonts w:ascii="仿宋_GB2312" w:hAnsi="仿宋_GB2312" w:eastAsia="仿宋_GB2312" w:cs="仿宋_GB2312"/>
              </w:rPr>
              <w:t>★</w:t>
            </w:r>
          </w:p>
        </w:tc>
        <w:tc>
          <w:tcPr>
            <w:tcW w:w="1495" w:type="dxa"/>
          </w:tcPr>
          <w:p w14:paraId="5281F996">
            <w:pPr>
              <w:pStyle w:val="4"/>
              <w:jc w:val="left"/>
            </w:pPr>
            <w:r>
              <w:rPr>
                <w:rFonts w:ascii="仿宋_GB2312" w:hAnsi="仿宋_GB2312" w:eastAsia="仿宋_GB2312" w:cs="仿宋_GB2312"/>
              </w:rPr>
              <w:t>二、服务内容</w:t>
            </w:r>
          </w:p>
        </w:tc>
        <w:tc>
          <w:tcPr>
            <w:tcW w:w="5814" w:type="dxa"/>
          </w:tcPr>
          <w:p w14:paraId="1A60CD7E">
            <w:pPr>
              <w:pStyle w:val="4"/>
              <w:ind w:firstLine="480"/>
              <w:jc w:val="both"/>
            </w:pPr>
            <w:r>
              <w:rPr>
                <w:rFonts w:ascii="仿宋_GB2312" w:hAnsi="仿宋_GB2312" w:eastAsia="仿宋_GB2312" w:cs="仿宋_GB2312"/>
                <w:sz w:val="24"/>
              </w:rPr>
              <w:t>1.调查前期准备</w:t>
            </w:r>
          </w:p>
          <w:p w14:paraId="04B683A1">
            <w:pPr>
              <w:pStyle w:val="4"/>
              <w:ind w:firstLine="480"/>
              <w:jc w:val="both"/>
            </w:pPr>
            <w:r>
              <w:rPr>
                <w:rFonts w:ascii="仿宋_GB2312" w:hAnsi="仿宋_GB2312" w:eastAsia="仿宋_GB2312" w:cs="仿宋_GB2312"/>
                <w:sz w:val="24"/>
              </w:rPr>
              <w:t>按照2025年度国土变更调查工作总体部署和具体要求，编制实施方案，开展技术培训，做好前期准备工作。</w:t>
            </w:r>
          </w:p>
          <w:p w14:paraId="7717F47A">
            <w:pPr>
              <w:pStyle w:val="4"/>
              <w:ind w:firstLine="480"/>
              <w:jc w:val="both"/>
            </w:pPr>
            <w:r>
              <w:rPr>
                <w:rFonts w:ascii="仿宋_GB2312" w:hAnsi="仿宋_GB2312" w:eastAsia="仿宋_GB2312" w:cs="仿宋_GB2312"/>
                <w:sz w:val="24"/>
              </w:rPr>
              <w:t>2.资料领取与收集</w:t>
            </w:r>
          </w:p>
          <w:p w14:paraId="2483CBD7">
            <w:pPr>
              <w:pStyle w:val="4"/>
              <w:ind w:firstLine="480"/>
              <w:jc w:val="both"/>
            </w:pPr>
            <w:r>
              <w:rPr>
                <w:rFonts w:ascii="仿宋_GB2312" w:hAnsi="仿宋_GB2312" w:eastAsia="仿宋_GB2312" w:cs="仿宋_GB2312"/>
                <w:sz w:val="24"/>
              </w:rPr>
              <w:t>及时领取国家、省、市（州）下发的图斑和基础数据，要明确专人并签订保密责任书。</w:t>
            </w:r>
          </w:p>
          <w:p w14:paraId="5C77DCF8">
            <w:pPr>
              <w:pStyle w:val="4"/>
              <w:ind w:firstLine="480"/>
              <w:jc w:val="both"/>
            </w:pPr>
            <w:r>
              <w:rPr>
                <w:rFonts w:ascii="仿宋_GB2312" w:hAnsi="仿宋_GB2312" w:eastAsia="仿宋_GB2312" w:cs="仿宋_GB2312"/>
                <w:sz w:val="24"/>
              </w:rPr>
              <w:t>3.调查界线调整</w:t>
            </w:r>
          </w:p>
          <w:p w14:paraId="06577169">
            <w:pPr>
              <w:pStyle w:val="4"/>
              <w:ind w:firstLine="480"/>
              <w:jc w:val="both"/>
            </w:pPr>
            <w:r>
              <w:rPr>
                <w:rFonts w:ascii="仿宋_GB2312" w:hAnsi="仿宋_GB2312" w:eastAsia="仿宋_GB2312" w:cs="仿宋_GB2312"/>
                <w:sz w:val="24"/>
              </w:rPr>
              <w:t>收集整理民政部门认定的各级行政界线、行政区划名称、行政区划代码调整情况。县级及以上界线、名称、代码等调整的，及时将调整方案和民政部门的批复报送至自然资源厅，经省级报自然资源部批准后纳入变更调查成果。县级以下因撤乡并镇、村组合并等导致乡镇级、村级调查界线、名称、代码发生变化的，各县【市（州）、区】要依据民政部门相关成果和批复，及时调整完善调查界线等及时纳入变更调查成果。</w:t>
            </w:r>
          </w:p>
          <w:p w14:paraId="067C7264">
            <w:pPr>
              <w:pStyle w:val="4"/>
              <w:ind w:firstLine="480"/>
              <w:jc w:val="both"/>
            </w:pPr>
            <w:r>
              <w:rPr>
                <w:rFonts w:ascii="仿宋_GB2312" w:hAnsi="仿宋_GB2312" w:eastAsia="仿宋_GB2312" w:cs="仿宋_GB2312"/>
                <w:sz w:val="24"/>
              </w:rPr>
              <w:t>4.变化图斑补充提取</w:t>
            </w:r>
          </w:p>
          <w:p w14:paraId="56B8B7B7">
            <w:pPr>
              <w:pStyle w:val="4"/>
              <w:ind w:firstLine="480"/>
              <w:jc w:val="both"/>
            </w:pPr>
            <w:r>
              <w:rPr>
                <w:rFonts w:ascii="仿宋_GB2312" w:hAnsi="仿宋_GB2312" w:eastAsia="仿宋_GB2312" w:cs="仿宋_GB2312"/>
                <w:sz w:val="24"/>
              </w:rPr>
              <w:t>利用国家下发的正射影像图，充分收集调查时点前后更高分辨率的遥感影像，比对省、市（州）下发的相关管理数据，结合自行掌握的相关变化线索，在部、省提取的监测图斑基础上，通过遥感影像与2024年度国土调查数据库比对，内业判读提取2025年度国土利用变化图斑。</w:t>
            </w:r>
          </w:p>
          <w:p w14:paraId="53FBD4A4">
            <w:pPr>
              <w:pStyle w:val="4"/>
              <w:ind w:firstLine="480"/>
              <w:jc w:val="both"/>
            </w:pPr>
            <w:r>
              <w:rPr>
                <w:rFonts w:ascii="仿宋_GB2312" w:hAnsi="仿宋_GB2312" w:eastAsia="仿宋_GB2312" w:cs="仿宋_GB2312"/>
                <w:sz w:val="24"/>
              </w:rPr>
              <w:t>5.调查底图制作</w:t>
            </w:r>
          </w:p>
          <w:p w14:paraId="55753D05">
            <w:pPr>
              <w:pStyle w:val="4"/>
              <w:ind w:firstLine="480"/>
              <w:jc w:val="both"/>
            </w:pPr>
            <w:r>
              <w:rPr>
                <w:rFonts w:ascii="仿宋_GB2312" w:hAnsi="仿宋_GB2312" w:eastAsia="仿宋_GB2312" w:cs="仿宋_GB2312"/>
                <w:sz w:val="24"/>
              </w:rPr>
              <w:t>以县级单元为单位，在自然资源部下发的2025年度正射影像图基础上，叠加图斑或矢量数据，制作县级2025年度国土变更调查工作底图，用于开展实地调查工作。</w:t>
            </w:r>
          </w:p>
          <w:p w14:paraId="4F0CD322">
            <w:pPr>
              <w:pStyle w:val="4"/>
              <w:ind w:firstLine="480"/>
              <w:jc w:val="both"/>
            </w:pPr>
            <w:r>
              <w:rPr>
                <w:rFonts w:ascii="仿宋_GB2312" w:hAnsi="仿宋_GB2312" w:eastAsia="仿宋_GB2312" w:cs="仿宋_GB2312"/>
                <w:sz w:val="24"/>
              </w:rPr>
              <w:t>6.农村土地利用现状变化调查</w:t>
            </w:r>
          </w:p>
          <w:p w14:paraId="5495DBDC">
            <w:pPr>
              <w:pStyle w:val="4"/>
              <w:jc w:val="left"/>
            </w:pPr>
            <w:r>
              <w:rPr>
                <w:rFonts w:ascii="仿宋_GB2312" w:hAnsi="仿宋_GB2312" w:eastAsia="仿宋_GB2312" w:cs="仿宋_GB2312"/>
                <w:sz w:val="24"/>
              </w:rPr>
              <w:t>2025年度变更调查的地类调查认定要求应与“三调”和“统一时点更新”年度国土变更调查的《实施方案》、《技术规程》、《补充通知》、《技术问答》以及国务院第三次全国国土调查领导小组办公室对地方调查问题的答复等保持一致。</w:t>
            </w:r>
          </w:p>
          <w:p w14:paraId="45E41E95">
            <w:pPr>
              <w:pStyle w:val="4"/>
              <w:ind w:firstLine="480"/>
              <w:jc w:val="both"/>
            </w:pPr>
            <w:r>
              <w:rPr>
                <w:rFonts w:ascii="仿宋_GB2312" w:hAnsi="仿宋_GB2312" w:eastAsia="仿宋_GB2312" w:cs="仿宋_GB2312"/>
                <w:sz w:val="24"/>
              </w:rPr>
              <w:t>以实地现状认定地类为原则，对县级工作底图中所有的外业调查图斑以及自然资源管理涉及的地块，实地逐图斑核实确认图斑地类，调绘图斑边界，记录更新图斑权属、恢复属性、城镇村、采矿用地、特殊用地、废弃、种植属性、耕地细化等各类属性信息标注的变化情况。对影像未能反映的新增地物进行补充调查。调查确定2025年度国土变更调查数据库中的城市、建制镇、村庄、推堆土区、光伏板、拆除未尽等单独图层范围变化情况。</w:t>
            </w:r>
          </w:p>
          <w:p w14:paraId="65B5D9F7">
            <w:pPr>
              <w:pStyle w:val="4"/>
              <w:ind w:firstLine="480"/>
              <w:jc w:val="both"/>
            </w:pPr>
            <w:r>
              <w:rPr>
                <w:rFonts w:ascii="仿宋_GB2312" w:hAnsi="仿宋_GB2312" w:eastAsia="仿宋_GB2312" w:cs="仿宋_GB2312"/>
                <w:sz w:val="24"/>
              </w:rPr>
              <w:t>7.“天府调查云”外业举证</w:t>
            </w:r>
          </w:p>
          <w:p w14:paraId="03D2BF46">
            <w:pPr>
              <w:pStyle w:val="4"/>
              <w:ind w:firstLine="480"/>
              <w:jc w:val="both"/>
            </w:pPr>
            <w:r>
              <w:rPr>
                <w:rFonts w:ascii="仿宋_GB2312" w:hAnsi="仿宋_GB2312" w:eastAsia="仿宋_GB2312" w:cs="仿宋_GB2312"/>
                <w:sz w:val="24"/>
              </w:rPr>
              <w:t>在开展外业调查时，使用带卫星定位和方向传感器的设备，利用“互联网+”举证软件，对需举证的图斑地块拍摄包含图斑坐标、拍摄方位角、拍摄时间、实地照片及举证说明等综合信息，形成加密举证数据包，上传至全省统一的举证平台（天府调查云）。</w:t>
            </w:r>
          </w:p>
          <w:p w14:paraId="0527951A">
            <w:pPr>
              <w:pStyle w:val="4"/>
              <w:ind w:firstLine="480"/>
              <w:jc w:val="both"/>
            </w:pPr>
            <w:r>
              <w:rPr>
                <w:rFonts w:ascii="仿宋_GB2312" w:hAnsi="仿宋_GB2312" w:eastAsia="仿宋_GB2312" w:cs="仿宋_GB2312"/>
                <w:sz w:val="24"/>
              </w:rPr>
              <w:t>8.调查成果质量控制</w:t>
            </w:r>
          </w:p>
          <w:p w14:paraId="267E5F55">
            <w:pPr>
              <w:pStyle w:val="4"/>
              <w:ind w:firstLine="480"/>
              <w:jc w:val="both"/>
            </w:pPr>
            <w:r>
              <w:rPr>
                <w:rFonts w:ascii="仿宋_GB2312" w:hAnsi="仿宋_GB2312" w:eastAsia="仿宋_GB2312" w:cs="仿宋_GB2312"/>
                <w:sz w:val="24"/>
              </w:rPr>
              <w:t>对举证成果进行100%全面检查，确保举证成果的完整性、规范性、真实性、准确性。涉及林地、草地、湿地地类变化图斑的，会同同级林草主管部门共同审核。</w:t>
            </w:r>
          </w:p>
          <w:p w14:paraId="38AD575D">
            <w:pPr>
              <w:pStyle w:val="4"/>
              <w:ind w:firstLine="480"/>
              <w:jc w:val="both"/>
            </w:pPr>
            <w:r>
              <w:rPr>
                <w:rFonts w:ascii="仿宋_GB2312" w:hAnsi="仿宋_GB2312" w:eastAsia="仿宋_GB2312" w:cs="仿宋_GB2312"/>
                <w:sz w:val="24"/>
              </w:rPr>
              <w:t>9.更新耕地图斑坡度级和田坎系数</w:t>
            </w:r>
          </w:p>
          <w:p w14:paraId="425475E8">
            <w:pPr>
              <w:pStyle w:val="4"/>
              <w:jc w:val="left"/>
            </w:pPr>
            <w:r>
              <w:rPr>
                <w:rFonts w:ascii="仿宋_GB2312" w:hAnsi="仿宋_GB2312" w:eastAsia="仿宋_GB2312" w:cs="仿宋_GB2312"/>
                <w:sz w:val="24"/>
              </w:rPr>
              <w:t>将数据库中新增耕地图斑与全国国土调查时利用DEM制作的坡度图套合，按2025年变更调查规则确定新增耕地坡度分级。由于工程等原因，造成耕地图斑合并、分割的，按2025年变更调查规则更新耕地坡度级。</w:t>
            </w:r>
          </w:p>
          <w:p w14:paraId="0C95F721">
            <w:pPr>
              <w:pStyle w:val="4"/>
              <w:ind w:firstLine="480"/>
              <w:jc w:val="both"/>
            </w:pPr>
            <w:r>
              <w:rPr>
                <w:rFonts w:ascii="仿宋_GB2312" w:hAnsi="仿宋_GB2312" w:eastAsia="仿宋_GB2312" w:cs="仿宋_GB2312"/>
                <w:sz w:val="24"/>
              </w:rPr>
              <w:t>田坎系数应与耕地坡度级保持一致。因土地综合整治项目引起实际田坎系数与区域田坎系数不一致的，须依据工程验收资料确定耕地图斑的实际田坎系数，报省厅审查并报自然资源部备案，通过后在数据库中录入实际田坎系数。</w:t>
            </w:r>
          </w:p>
          <w:p w14:paraId="73BC1572">
            <w:pPr>
              <w:pStyle w:val="4"/>
              <w:ind w:firstLine="480"/>
              <w:jc w:val="both"/>
            </w:pPr>
            <w:r>
              <w:rPr>
                <w:rFonts w:ascii="仿宋_GB2312" w:hAnsi="仿宋_GB2312" w:eastAsia="仿宋_GB2312" w:cs="仿宋_GB2312"/>
                <w:sz w:val="24"/>
              </w:rPr>
              <w:t>10.权属更新以及年度国土变更调查数据更新</w:t>
            </w:r>
          </w:p>
          <w:p w14:paraId="4B5024FF">
            <w:pPr>
              <w:pStyle w:val="4"/>
              <w:ind w:firstLine="480"/>
              <w:jc w:val="both"/>
            </w:pPr>
            <w:r>
              <w:rPr>
                <w:rFonts w:ascii="仿宋_GB2312" w:hAnsi="仿宋_GB2312" w:eastAsia="仿宋_GB2312" w:cs="仿宋_GB2312"/>
                <w:sz w:val="24"/>
              </w:rPr>
              <w:t>土地权属信息以确权登记机构的登记结果为准。根据确权登记机构提供的登记结果，开展2025年度变更调查成果中的相关权属信息更新工作。</w:t>
            </w:r>
          </w:p>
          <w:p w14:paraId="24B7AC54">
            <w:pPr>
              <w:pStyle w:val="4"/>
              <w:ind w:firstLine="480"/>
              <w:jc w:val="both"/>
            </w:pPr>
            <w:r>
              <w:rPr>
                <w:rFonts w:ascii="仿宋_GB2312" w:hAnsi="仿宋_GB2312" w:eastAsia="仿宋_GB2312" w:cs="仿宋_GB2312"/>
                <w:sz w:val="24"/>
              </w:rPr>
              <w:t>按照统一的2025年度国土变更调查数据更新技术要求、数据库变更方法、标准及相关质量要求，采用增量更新的方式，开展2025年度国土变更调查数据库更新工作，同时将涉及林地、草地、湿地地类变化的图斑，以及国家下发的历史批文清理结果、在部监管平台上已备案的批文等按规程在国土变更调查中进行数据变更，同时将林草部门判定的疑似违法违规、耕保部门编制的已纳入过渡期范围图层等信息同步更新到2025年度变更调查成果中，利用全国统一的数据库质量检查软件开展数据库质量检查，确保更新数据库成果完全通过国家下发的质检软件检查。</w:t>
            </w:r>
          </w:p>
          <w:p w14:paraId="6AA319BF">
            <w:pPr>
              <w:pStyle w:val="4"/>
              <w:ind w:firstLine="480"/>
              <w:jc w:val="both"/>
            </w:pPr>
            <w:r>
              <w:rPr>
                <w:rFonts w:ascii="仿宋_GB2312" w:hAnsi="仿宋_GB2312" w:eastAsia="仿宋_GB2312" w:cs="仿宋_GB2312"/>
                <w:sz w:val="24"/>
              </w:rPr>
              <w:t>11.配合开展国家级变更调查数据成果整理和数据库质检入库。</w:t>
            </w:r>
          </w:p>
          <w:p w14:paraId="23AC6043">
            <w:pPr>
              <w:pStyle w:val="4"/>
              <w:ind w:firstLine="480"/>
              <w:jc w:val="both"/>
            </w:pPr>
            <w:r>
              <w:rPr>
                <w:rFonts w:ascii="仿宋_GB2312" w:hAnsi="仿宋_GB2312" w:eastAsia="仿宋_GB2312" w:cs="仿宋_GB2312"/>
                <w:sz w:val="24"/>
              </w:rPr>
              <w:t>将通过省级核查的县级调查成果，配合省级统一报自然资源部进行国家级变更调查数据成果整理和数据库质检入库。确保全省调查成果数据顺利录入国家级数据库。</w:t>
            </w:r>
          </w:p>
          <w:p w14:paraId="06184A68">
            <w:pPr>
              <w:pStyle w:val="4"/>
              <w:ind w:firstLine="480"/>
              <w:jc w:val="both"/>
            </w:pPr>
            <w:r>
              <w:rPr>
                <w:rFonts w:ascii="仿宋_GB2312" w:hAnsi="仿宋_GB2312" w:eastAsia="仿宋_GB2312" w:cs="仿宋_GB2312"/>
                <w:sz w:val="24"/>
              </w:rPr>
              <w:t>12.分析汇总调查成果</w:t>
            </w:r>
          </w:p>
          <w:p w14:paraId="2F523A39">
            <w:pPr>
              <w:pStyle w:val="4"/>
              <w:ind w:firstLine="480"/>
              <w:jc w:val="both"/>
            </w:pPr>
            <w:r>
              <w:rPr>
                <w:rFonts w:ascii="仿宋_GB2312" w:hAnsi="仿宋_GB2312" w:eastAsia="仿宋_GB2312" w:cs="仿宋_GB2312"/>
                <w:sz w:val="24"/>
              </w:rPr>
              <w:t>形成初步调查成果后即可开展汇总分析工作。成果通过国家级变更调查数据成果整理与质检入库后，开展最终成果的汇总分析工作，形成新龙县2025年度国土变更调查成果和各类分析报告成果，经采购人单位相关股室把关后汇总上报。</w:t>
            </w:r>
          </w:p>
          <w:p w14:paraId="76CCE91F">
            <w:pPr>
              <w:pStyle w:val="4"/>
              <w:ind w:firstLine="480"/>
              <w:jc w:val="both"/>
            </w:pPr>
            <w:r>
              <w:rPr>
                <w:rFonts w:ascii="仿宋_GB2312" w:hAnsi="仿宋_GB2312" w:eastAsia="仿宋_GB2312" w:cs="仿宋_GB2312"/>
                <w:sz w:val="24"/>
              </w:rPr>
              <w:t>13.配合采购人开展调查成果检查验收</w:t>
            </w:r>
          </w:p>
          <w:p w14:paraId="3F9DE26F">
            <w:pPr>
              <w:pStyle w:val="4"/>
              <w:ind w:firstLine="480"/>
              <w:jc w:val="both"/>
            </w:pPr>
            <w:r>
              <w:rPr>
                <w:rFonts w:ascii="仿宋_GB2312" w:hAnsi="仿宋_GB2312" w:eastAsia="仿宋_GB2312" w:cs="仿宋_GB2312"/>
                <w:sz w:val="24"/>
              </w:rPr>
              <w:t>调查成果通过国家级质检入库后，开展成果整理，汇总形成新龙县调查成果并由县级进行预检。供应商负责汇总整理形成县级国土变更调查成果。省厅将适时对县级调查成果进行验收。省级国土调查成果报自然资源部接受国家级验收。配合采购人做好国家、省、市（州）调查成果验收工作。</w:t>
            </w:r>
          </w:p>
        </w:tc>
      </w:tr>
      <w:tr w14:paraId="6A3568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8812FEC">
            <w:pPr>
              <w:pStyle w:val="4"/>
              <w:jc w:val="center"/>
            </w:pPr>
            <w:r>
              <w:rPr>
                <w:rFonts w:ascii="仿宋_GB2312" w:hAnsi="仿宋_GB2312" w:eastAsia="仿宋_GB2312" w:cs="仿宋_GB2312"/>
              </w:rPr>
              <w:t>3</w:t>
            </w:r>
          </w:p>
        </w:tc>
        <w:tc>
          <w:tcPr>
            <w:tcW w:w="581" w:type="dxa"/>
          </w:tcPr>
          <w:p w14:paraId="429750D1">
            <w:pPr>
              <w:pStyle w:val="4"/>
              <w:jc w:val="center"/>
            </w:pPr>
            <w:r>
              <w:rPr>
                <w:rFonts w:ascii="仿宋_GB2312" w:hAnsi="仿宋_GB2312" w:eastAsia="仿宋_GB2312" w:cs="仿宋_GB2312"/>
              </w:rPr>
              <w:t>★</w:t>
            </w:r>
          </w:p>
        </w:tc>
        <w:tc>
          <w:tcPr>
            <w:tcW w:w="1495" w:type="dxa"/>
          </w:tcPr>
          <w:p w14:paraId="0E1A0271">
            <w:pPr>
              <w:pStyle w:val="4"/>
              <w:jc w:val="left"/>
            </w:pPr>
            <w:r>
              <w:rPr>
                <w:rFonts w:ascii="仿宋_GB2312" w:hAnsi="仿宋_GB2312" w:eastAsia="仿宋_GB2312" w:cs="仿宋_GB2312"/>
              </w:rPr>
              <w:t>三、成果要求</w:t>
            </w:r>
          </w:p>
        </w:tc>
        <w:tc>
          <w:tcPr>
            <w:tcW w:w="5814" w:type="dxa"/>
          </w:tcPr>
          <w:p w14:paraId="0DA336C0">
            <w:pPr>
              <w:pStyle w:val="4"/>
              <w:ind w:firstLine="480"/>
              <w:jc w:val="both"/>
            </w:pPr>
            <w:r>
              <w:rPr>
                <w:rFonts w:ascii="仿宋_GB2312" w:hAnsi="仿宋_GB2312" w:eastAsia="仿宋_GB2312" w:cs="仿宋_GB2312"/>
                <w:sz w:val="24"/>
              </w:rPr>
              <w:t>供应商须向采购人提供以下要求的变化图斑数据成果和增量数据库成果电子版1份，纸质版1份：</w:t>
            </w:r>
          </w:p>
          <w:p w14:paraId="78F1B6C8">
            <w:pPr>
              <w:pStyle w:val="4"/>
              <w:ind w:firstLine="480"/>
              <w:jc w:val="both"/>
            </w:pPr>
            <w:r>
              <w:rPr>
                <w:rFonts w:ascii="仿宋_GB2312" w:hAnsi="仿宋_GB2312" w:eastAsia="仿宋_GB2312" w:cs="仿宋_GB2312"/>
                <w:sz w:val="24"/>
              </w:rPr>
              <w:t>1.变化图斑数据成果</w:t>
            </w:r>
          </w:p>
          <w:p w14:paraId="4C5BC8F5">
            <w:pPr>
              <w:pStyle w:val="4"/>
              <w:ind w:firstLine="480"/>
              <w:jc w:val="both"/>
            </w:pPr>
            <w:r>
              <w:rPr>
                <w:rFonts w:ascii="仿宋_GB2312" w:hAnsi="仿宋_GB2312" w:eastAsia="仿宋_GB2312" w:cs="仿宋_GB2312"/>
                <w:sz w:val="24"/>
              </w:rPr>
              <w:t>2025年度变更调查参照自然资源综合动态监测成果提交格式采取单图斑建库，先开展变化图斑变更符合性审查。成果包括：</w:t>
            </w:r>
          </w:p>
          <w:p w14:paraId="195851BD">
            <w:pPr>
              <w:pStyle w:val="4"/>
              <w:ind w:firstLine="480"/>
              <w:jc w:val="both"/>
            </w:pPr>
            <w:r>
              <w:rPr>
                <w:rFonts w:ascii="仿宋_GB2312" w:hAnsi="仿宋_GB2312" w:eastAsia="仿宋_GB2312" w:cs="仿宋_GB2312"/>
                <w:sz w:val="24"/>
              </w:rPr>
              <w:t>（1）外业调查成果：图斑举证数据包（DB格式）。</w:t>
            </w:r>
          </w:p>
          <w:p w14:paraId="361489B0">
            <w:pPr>
              <w:pStyle w:val="4"/>
              <w:ind w:firstLine="480"/>
              <w:jc w:val="both"/>
            </w:pPr>
            <w:r>
              <w:rPr>
                <w:rFonts w:ascii="仿宋_GB2312" w:hAnsi="仿宋_GB2312" w:eastAsia="仿宋_GB2312" w:cs="仿宋_GB2312"/>
                <w:sz w:val="24"/>
              </w:rPr>
              <w:t>（2）数据库成果：更新后的变更矢量数据（gdb格式）。</w:t>
            </w:r>
          </w:p>
          <w:p w14:paraId="731D48C7">
            <w:pPr>
              <w:pStyle w:val="4"/>
              <w:ind w:firstLine="480"/>
              <w:jc w:val="both"/>
            </w:pPr>
            <w:r>
              <w:rPr>
                <w:rFonts w:ascii="仿宋_GB2312" w:hAnsi="仿宋_GB2312" w:eastAsia="仿宋_GB2312" w:cs="仿宋_GB2312"/>
                <w:sz w:val="24"/>
              </w:rPr>
              <w:t>（3）图斑信息核实各类报表：举证图斑信息表（MDB格式）。</w:t>
            </w:r>
          </w:p>
          <w:p w14:paraId="6BA62B5B">
            <w:pPr>
              <w:pStyle w:val="4"/>
              <w:ind w:firstLine="480"/>
              <w:jc w:val="both"/>
            </w:pPr>
            <w:r>
              <w:rPr>
                <w:rFonts w:ascii="仿宋_GB2312" w:hAnsi="仿宋_GB2312" w:eastAsia="仿宋_GB2312" w:cs="仿宋_GB2312"/>
                <w:sz w:val="24"/>
              </w:rPr>
              <w:t>（4）其他资料：513329新龙县情况说明表（水旱轮种，农用地变更为未利用地等）、临时用地扫描件。</w:t>
            </w:r>
          </w:p>
          <w:p w14:paraId="63205276">
            <w:pPr>
              <w:pStyle w:val="4"/>
              <w:ind w:firstLine="480"/>
              <w:jc w:val="both"/>
            </w:pPr>
            <w:r>
              <w:rPr>
                <w:rFonts w:ascii="仿宋_GB2312" w:hAnsi="仿宋_GB2312" w:eastAsia="仿宋_GB2312" w:cs="仿宋_GB2312"/>
                <w:sz w:val="24"/>
              </w:rPr>
              <w:t>2.增量数据库成果</w:t>
            </w:r>
          </w:p>
          <w:p w14:paraId="4D1DABD4">
            <w:pPr>
              <w:pStyle w:val="4"/>
              <w:ind w:firstLine="480"/>
              <w:jc w:val="both"/>
            </w:pPr>
            <w:r>
              <w:rPr>
                <w:rFonts w:ascii="仿宋_GB2312" w:hAnsi="仿宋_GB2312" w:eastAsia="仿宋_GB2312" w:cs="仿宋_GB2312"/>
                <w:sz w:val="24"/>
              </w:rPr>
              <w:t>变化图斑审查锁定后，以此为基础开展增量数据库成果提交，省级组织开展增量数据库质检工作。增量数据库成果包括：</w:t>
            </w:r>
          </w:p>
          <w:p w14:paraId="1B9A7B51">
            <w:pPr>
              <w:pStyle w:val="4"/>
              <w:ind w:firstLine="480"/>
              <w:jc w:val="both"/>
            </w:pPr>
            <w:r>
              <w:rPr>
                <w:rFonts w:ascii="仿宋_GB2312" w:hAnsi="仿宋_GB2312" w:eastAsia="仿宋_GB2312" w:cs="仿宋_GB2312"/>
                <w:sz w:val="24"/>
              </w:rPr>
              <w:t>（1）外业调查成果：图斑举证数据包DB格式。</w:t>
            </w:r>
          </w:p>
          <w:p w14:paraId="63A85113">
            <w:pPr>
              <w:pStyle w:val="4"/>
              <w:ind w:firstLine="480"/>
              <w:jc w:val="both"/>
            </w:pPr>
            <w:r>
              <w:rPr>
                <w:rFonts w:ascii="仿宋_GB2312" w:hAnsi="仿宋_GB2312" w:eastAsia="仿宋_GB2312" w:cs="仿宋_GB2312"/>
                <w:sz w:val="24"/>
              </w:rPr>
              <w:t>（2）数据库成果：国土调查矢量数据包括2025年度变更调查更新数据包（含增量信息与统计报表，由数据库质检软件打包生成）。</w:t>
            </w:r>
          </w:p>
          <w:p w14:paraId="27E2EB15">
            <w:pPr>
              <w:pStyle w:val="4"/>
              <w:ind w:firstLine="480"/>
              <w:jc w:val="both"/>
            </w:pPr>
            <w:r>
              <w:rPr>
                <w:rFonts w:ascii="仿宋_GB2312" w:hAnsi="仿宋_GB2312" w:eastAsia="仿宋_GB2312" w:cs="仿宋_GB2312"/>
                <w:sz w:val="24"/>
              </w:rPr>
              <w:t>（3）图斑信息核实各类报表：举证信息表为MDB格式；水旱轮作等情况说明表、历史批文清理结果上图情况表、历史批文清理结果范围外上图情况表按照要求填写，格式为.xlsx。</w:t>
            </w:r>
          </w:p>
          <w:p w14:paraId="52EC7246">
            <w:pPr>
              <w:pStyle w:val="4"/>
              <w:ind w:firstLine="480"/>
              <w:jc w:val="both"/>
            </w:pPr>
            <w:r>
              <w:rPr>
                <w:rFonts w:ascii="仿宋_GB2312" w:hAnsi="仿宋_GB2312" w:eastAsia="仿宋_GB2312" w:cs="仿宋_GB2312"/>
                <w:sz w:val="24"/>
              </w:rPr>
              <w:t>（4）文字成果：土地利用变化情况分析报告。</w:t>
            </w:r>
          </w:p>
          <w:p w14:paraId="05339592">
            <w:pPr>
              <w:pStyle w:val="4"/>
              <w:ind w:firstLine="480"/>
              <w:jc w:val="both"/>
            </w:pPr>
            <w:r>
              <w:rPr>
                <w:rFonts w:ascii="仿宋_GB2312" w:hAnsi="仿宋_GB2312" w:eastAsia="仿宋_GB2312" w:cs="仿宋_GB2312"/>
                <w:sz w:val="24"/>
              </w:rPr>
              <w:t>（5）新龙县2025年度国土变更调查初报成果主要地类变化情况表。</w:t>
            </w:r>
          </w:p>
        </w:tc>
      </w:tr>
    </w:tbl>
    <w:p w14:paraId="0F776E12">
      <w:pPr>
        <w:pStyle w:val="4"/>
        <w:jc w:val="left"/>
        <w:outlineLvl w:val="2"/>
      </w:pPr>
      <w:r>
        <w:rPr>
          <w:rFonts w:ascii="仿宋_GB2312" w:hAnsi="仿宋_GB2312" w:eastAsia="仿宋_GB2312" w:cs="仿宋_GB2312"/>
          <w:b/>
          <w:sz w:val="28"/>
        </w:rPr>
        <w:t>3.3.服务要求</w:t>
      </w:r>
    </w:p>
    <w:p w14:paraId="57CF3456">
      <w:pPr>
        <w:pStyle w:val="4"/>
        <w:jc w:val="left"/>
        <w:outlineLvl w:val="3"/>
      </w:pPr>
      <w:r>
        <w:rPr>
          <w:rFonts w:ascii="仿宋_GB2312" w:hAnsi="仿宋_GB2312" w:eastAsia="仿宋_GB2312" w:cs="仿宋_GB2312"/>
          <w:b/>
          <w:sz w:val="24"/>
        </w:rPr>
        <w:t>3.3.1服务内容要求</w:t>
      </w:r>
    </w:p>
    <w:p w14:paraId="5027306F">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581"/>
        <w:gridCol w:w="1495"/>
        <w:gridCol w:w="5814"/>
      </w:tblGrid>
      <w:tr w14:paraId="2577FB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D130110">
            <w:pPr>
              <w:pStyle w:val="4"/>
              <w:jc w:val="center"/>
            </w:pPr>
            <w:r>
              <w:rPr>
                <w:rFonts w:ascii="仿宋_GB2312" w:hAnsi="仿宋_GB2312" w:eastAsia="仿宋_GB2312" w:cs="仿宋_GB2312"/>
              </w:rPr>
              <w:t xml:space="preserve"> 序号</w:t>
            </w:r>
          </w:p>
        </w:tc>
        <w:tc>
          <w:tcPr>
            <w:tcW w:w="581" w:type="dxa"/>
          </w:tcPr>
          <w:p w14:paraId="01249660">
            <w:pPr>
              <w:pStyle w:val="4"/>
              <w:jc w:val="center"/>
            </w:pPr>
            <w:r>
              <w:rPr>
                <w:rFonts w:ascii="仿宋_GB2312" w:hAnsi="仿宋_GB2312" w:eastAsia="仿宋_GB2312" w:cs="仿宋_GB2312"/>
              </w:rPr>
              <w:t xml:space="preserve"> 符号标识</w:t>
            </w:r>
          </w:p>
        </w:tc>
        <w:tc>
          <w:tcPr>
            <w:tcW w:w="1495" w:type="dxa"/>
          </w:tcPr>
          <w:p w14:paraId="2A19C68E">
            <w:pPr>
              <w:pStyle w:val="4"/>
              <w:jc w:val="center"/>
            </w:pPr>
            <w:r>
              <w:rPr>
                <w:rFonts w:ascii="仿宋_GB2312" w:hAnsi="仿宋_GB2312" w:eastAsia="仿宋_GB2312" w:cs="仿宋_GB2312"/>
              </w:rPr>
              <w:t xml:space="preserve"> 服务要求名称</w:t>
            </w:r>
          </w:p>
        </w:tc>
        <w:tc>
          <w:tcPr>
            <w:tcW w:w="5814" w:type="dxa"/>
          </w:tcPr>
          <w:p w14:paraId="2DE54A2A">
            <w:pPr>
              <w:pStyle w:val="4"/>
              <w:jc w:val="center"/>
            </w:pPr>
            <w:r>
              <w:rPr>
                <w:rFonts w:ascii="仿宋_GB2312" w:hAnsi="仿宋_GB2312" w:eastAsia="仿宋_GB2312" w:cs="仿宋_GB2312"/>
              </w:rPr>
              <w:t xml:space="preserve"> 服务要求内容</w:t>
            </w:r>
          </w:p>
        </w:tc>
      </w:tr>
      <w:tr w14:paraId="0D775E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03778299">
            <w:pPr>
              <w:pStyle w:val="4"/>
              <w:jc w:val="center"/>
            </w:pPr>
            <w:r>
              <w:rPr>
                <w:rFonts w:ascii="仿宋_GB2312" w:hAnsi="仿宋_GB2312" w:eastAsia="仿宋_GB2312" w:cs="仿宋_GB2312"/>
              </w:rPr>
              <w:t>1</w:t>
            </w:r>
          </w:p>
        </w:tc>
        <w:tc>
          <w:tcPr>
            <w:tcW w:w="581" w:type="dxa"/>
          </w:tcPr>
          <w:p w14:paraId="0B9BCCCA">
            <w:pPr>
              <w:pStyle w:val="4"/>
              <w:jc w:val="center"/>
            </w:pPr>
            <w:r>
              <w:rPr>
                <w:rFonts w:ascii="仿宋_GB2312" w:hAnsi="仿宋_GB2312" w:eastAsia="仿宋_GB2312" w:cs="仿宋_GB2312"/>
              </w:rPr>
              <w:t>★</w:t>
            </w:r>
          </w:p>
        </w:tc>
        <w:tc>
          <w:tcPr>
            <w:tcW w:w="1495" w:type="dxa"/>
          </w:tcPr>
          <w:p w14:paraId="69A5CE34">
            <w:pPr>
              <w:pStyle w:val="4"/>
              <w:jc w:val="left"/>
            </w:pPr>
            <w:r>
              <w:rPr>
                <w:rFonts w:ascii="仿宋_GB2312" w:hAnsi="仿宋_GB2312" w:eastAsia="仿宋_GB2312" w:cs="仿宋_GB2312"/>
              </w:rPr>
              <w:t>报价要求</w:t>
            </w:r>
          </w:p>
        </w:tc>
        <w:tc>
          <w:tcPr>
            <w:tcW w:w="5814" w:type="dxa"/>
          </w:tcPr>
          <w:p w14:paraId="6857DE95">
            <w:pPr>
              <w:pStyle w:val="4"/>
              <w:jc w:val="both"/>
            </w:pPr>
            <w:r>
              <w:rPr>
                <w:rFonts w:ascii="仿宋_GB2312" w:hAnsi="仿宋_GB2312" w:eastAsia="仿宋_GB2312" w:cs="仿宋_GB2312"/>
                <w:sz w:val="24"/>
              </w:rPr>
              <w:t>供应商的报价是供应商响应采购项目要求的全部工作内容的价格体现，应是最终采购人验收合格后的总价，包括实施和完成本项目所需的设备、劳务、管理、材料、差旅、保险、税金、利润等一切费用，采购人不再支付其他任何费用。</w:t>
            </w:r>
          </w:p>
        </w:tc>
      </w:tr>
      <w:tr w14:paraId="1649F4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F8EA28C">
            <w:pPr>
              <w:pStyle w:val="4"/>
              <w:jc w:val="center"/>
            </w:pPr>
            <w:r>
              <w:rPr>
                <w:rFonts w:ascii="仿宋_GB2312" w:hAnsi="仿宋_GB2312" w:eastAsia="仿宋_GB2312" w:cs="仿宋_GB2312"/>
              </w:rPr>
              <w:t>2</w:t>
            </w:r>
          </w:p>
        </w:tc>
        <w:tc>
          <w:tcPr>
            <w:tcW w:w="581" w:type="dxa"/>
          </w:tcPr>
          <w:p w14:paraId="5B551FFA">
            <w:pPr>
              <w:pStyle w:val="4"/>
              <w:jc w:val="center"/>
            </w:pPr>
            <w:r>
              <w:rPr>
                <w:rFonts w:ascii="仿宋_GB2312" w:hAnsi="仿宋_GB2312" w:eastAsia="仿宋_GB2312" w:cs="仿宋_GB2312"/>
              </w:rPr>
              <w:t>★</w:t>
            </w:r>
          </w:p>
        </w:tc>
        <w:tc>
          <w:tcPr>
            <w:tcW w:w="1495" w:type="dxa"/>
          </w:tcPr>
          <w:p w14:paraId="05343289">
            <w:pPr>
              <w:pStyle w:val="4"/>
              <w:jc w:val="left"/>
            </w:pPr>
            <w:r>
              <w:rPr>
                <w:rFonts w:ascii="仿宋_GB2312" w:hAnsi="仿宋_GB2312" w:eastAsia="仿宋_GB2312" w:cs="仿宋_GB2312"/>
              </w:rPr>
              <w:t>安全要求</w:t>
            </w:r>
          </w:p>
        </w:tc>
        <w:tc>
          <w:tcPr>
            <w:tcW w:w="5814" w:type="dxa"/>
          </w:tcPr>
          <w:p w14:paraId="2A87E2D7">
            <w:pPr>
              <w:pStyle w:val="4"/>
              <w:jc w:val="both"/>
            </w:pPr>
            <w:r>
              <w:rPr>
                <w:rFonts w:ascii="仿宋_GB2312" w:hAnsi="仿宋_GB2312" w:eastAsia="仿宋_GB2312" w:cs="仿宋_GB2312"/>
                <w:sz w:val="24"/>
              </w:rPr>
              <w:t>本项目实施过程中，由成交供应商引起的人身安全、财产安全等一切安全责任均由成交供应商自行承担；在项目实施过程中由成交供应商造成的直接或间接损失，均由成交供应商自行承担。</w:t>
            </w:r>
          </w:p>
        </w:tc>
      </w:tr>
    </w:tbl>
    <w:p w14:paraId="08DD37C5">
      <w:pPr>
        <w:pStyle w:val="4"/>
        <w:jc w:val="left"/>
        <w:outlineLvl w:val="3"/>
      </w:pPr>
      <w:r>
        <w:rPr>
          <w:rFonts w:ascii="仿宋_GB2312" w:hAnsi="仿宋_GB2312" w:eastAsia="仿宋_GB2312" w:cs="仿宋_GB2312"/>
          <w:b/>
          <w:sz w:val="24"/>
        </w:rPr>
        <w:t>3.3.2.商务要求</w:t>
      </w:r>
    </w:p>
    <w:p w14:paraId="2A77B1AF">
      <w:pPr>
        <w:pStyle w:val="4"/>
        <w:jc w:val="left"/>
      </w:pPr>
      <w:r>
        <w:rPr>
          <w:rFonts w:ascii="仿宋_GB2312" w:hAnsi="仿宋_GB2312" w:eastAsia="仿宋_GB2312" w:cs="仿宋_GB2312"/>
        </w:rPr>
        <w:t>采购包1：</w:t>
      </w:r>
    </w:p>
    <w:tbl>
      <w:tblPr>
        <w:tblStyle w:val="2"/>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581"/>
        <w:gridCol w:w="1495"/>
        <w:gridCol w:w="5814"/>
      </w:tblGrid>
      <w:tr w14:paraId="219F99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9EBD93D">
            <w:pPr>
              <w:pStyle w:val="4"/>
              <w:jc w:val="center"/>
            </w:pPr>
            <w:r>
              <w:rPr>
                <w:rFonts w:ascii="仿宋_GB2312" w:hAnsi="仿宋_GB2312" w:eastAsia="仿宋_GB2312" w:cs="仿宋_GB2312"/>
              </w:rPr>
              <w:t>序号</w:t>
            </w:r>
          </w:p>
        </w:tc>
        <w:tc>
          <w:tcPr>
            <w:tcW w:w="581" w:type="dxa"/>
          </w:tcPr>
          <w:p w14:paraId="4B8AB7BA">
            <w:pPr>
              <w:pStyle w:val="4"/>
              <w:jc w:val="center"/>
            </w:pPr>
            <w:r>
              <w:rPr>
                <w:rFonts w:ascii="仿宋_GB2312" w:hAnsi="仿宋_GB2312" w:eastAsia="仿宋_GB2312" w:cs="仿宋_GB2312"/>
              </w:rPr>
              <w:t>符号标识</w:t>
            </w:r>
          </w:p>
        </w:tc>
        <w:tc>
          <w:tcPr>
            <w:tcW w:w="1495" w:type="dxa"/>
          </w:tcPr>
          <w:p w14:paraId="20CF52F0">
            <w:pPr>
              <w:pStyle w:val="4"/>
              <w:jc w:val="center"/>
            </w:pPr>
            <w:r>
              <w:rPr>
                <w:rFonts w:ascii="仿宋_GB2312" w:hAnsi="仿宋_GB2312" w:eastAsia="仿宋_GB2312" w:cs="仿宋_GB2312"/>
              </w:rPr>
              <w:t>商务要求名称</w:t>
            </w:r>
          </w:p>
        </w:tc>
        <w:tc>
          <w:tcPr>
            <w:tcW w:w="5814" w:type="dxa"/>
          </w:tcPr>
          <w:p w14:paraId="12365683">
            <w:pPr>
              <w:pStyle w:val="4"/>
              <w:jc w:val="center"/>
            </w:pPr>
            <w:r>
              <w:rPr>
                <w:rFonts w:ascii="仿宋_GB2312" w:hAnsi="仿宋_GB2312" w:eastAsia="仿宋_GB2312" w:cs="仿宋_GB2312"/>
              </w:rPr>
              <w:t>商务要求内容</w:t>
            </w:r>
          </w:p>
        </w:tc>
      </w:tr>
      <w:tr w14:paraId="6D0C53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9E220C8">
            <w:pPr>
              <w:pStyle w:val="4"/>
              <w:jc w:val="center"/>
            </w:pPr>
            <w:r>
              <w:rPr>
                <w:rFonts w:ascii="仿宋_GB2312" w:hAnsi="仿宋_GB2312" w:eastAsia="仿宋_GB2312" w:cs="仿宋_GB2312"/>
              </w:rPr>
              <w:t>1</w:t>
            </w:r>
          </w:p>
        </w:tc>
        <w:tc>
          <w:tcPr>
            <w:tcW w:w="581" w:type="dxa"/>
          </w:tcPr>
          <w:p w14:paraId="5278353A">
            <w:pPr>
              <w:pStyle w:val="4"/>
              <w:jc w:val="center"/>
            </w:pPr>
            <w:r>
              <w:rPr>
                <w:rFonts w:ascii="仿宋_GB2312" w:hAnsi="仿宋_GB2312" w:eastAsia="仿宋_GB2312" w:cs="仿宋_GB2312"/>
              </w:rPr>
              <w:t>★</w:t>
            </w:r>
          </w:p>
        </w:tc>
        <w:tc>
          <w:tcPr>
            <w:tcW w:w="1495" w:type="dxa"/>
          </w:tcPr>
          <w:p w14:paraId="193BE505">
            <w:pPr>
              <w:pStyle w:val="4"/>
              <w:jc w:val="left"/>
            </w:pPr>
            <w:r>
              <w:rPr>
                <w:rFonts w:ascii="仿宋_GB2312" w:hAnsi="仿宋_GB2312" w:eastAsia="仿宋_GB2312" w:cs="仿宋_GB2312"/>
              </w:rPr>
              <w:t>服务期限</w:t>
            </w:r>
          </w:p>
        </w:tc>
        <w:tc>
          <w:tcPr>
            <w:tcW w:w="5814" w:type="dxa"/>
          </w:tcPr>
          <w:p w14:paraId="24255604">
            <w:pPr>
              <w:pStyle w:val="4"/>
              <w:jc w:val="left"/>
            </w:pPr>
            <w:r>
              <w:rPr>
                <w:rFonts w:ascii="仿宋_GB2312" w:hAnsi="仿宋_GB2312" w:eastAsia="仿宋_GB2312" w:cs="仿宋_GB2312"/>
              </w:rPr>
              <w:t>自合同签订之日起365日（一年）</w:t>
            </w:r>
          </w:p>
        </w:tc>
      </w:tr>
      <w:tr w14:paraId="5FF98B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0D5FE9D">
            <w:pPr>
              <w:pStyle w:val="4"/>
              <w:jc w:val="center"/>
            </w:pPr>
            <w:r>
              <w:rPr>
                <w:rFonts w:ascii="仿宋_GB2312" w:hAnsi="仿宋_GB2312" w:eastAsia="仿宋_GB2312" w:cs="仿宋_GB2312"/>
              </w:rPr>
              <w:t>2</w:t>
            </w:r>
          </w:p>
        </w:tc>
        <w:tc>
          <w:tcPr>
            <w:tcW w:w="581" w:type="dxa"/>
          </w:tcPr>
          <w:p w14:paraId="68A72E37">
            <w:pPr>
              <w:pStyle w:val="4"/>
              <w:jc w:val="center"/>
            </w:pPr>
            <w:r>
              <w:rPr>
                <w:rFonts w:ascii="仿宋_GB2312" w:hAnsi="仿宋_GB2312" w:eastAsia="仿宋_GB2312" w:cs="仿宋_GB2312"/>
              </w:rPr>
              <w:t>★</w:t>
            </w:r>
          </w:p>
        </w:tc>
        <w:tc>
          <w:tcPr>
            <w:tcW w:w="1495" w:type="dxa"/>
          </w:tcPr>
          <w:p w14:paraId="25B47A59">
            <w:pPr>
              <w:pStyle w:val="4"/>
              <w:jc w:val="left"/>
            </w:pPr>
            <w:r>
              <w:rPr>
                <w:rFonts w:ascii="仿宋_GB2312" w:hAnsi="仿宋_GB2312" w:eastAsia="仿宋_GB2312" w:cs="仿宋_GB2312"/>
              </w:rPr>
              <w:t>服务地点</w:t>
            </w:r>
          </w:p>
        </w:tc>
        <w:tc>
          <w:tcPr>
            <w:tcW w:w="5814" w:type="dxa"/>
          </w:tcPr>
          <w:p w14:paraId="1294288D">
            <w:pPr>
              <w:pStyle w:val="4"/>
              <w:jc w:val="left"/>
            </w:pPr>
            <w:r>
              <w:rPr>
                <w:rFonts w:ascii="仿宋_GB2312" w:hAnsi="仿宋_GB2312" w:eastAsia="仿宋_GB2312" w:cs="仿宋_GB2312"/>
              </w:rPr>
              <w:t>新龙县，采购人指定地点</w:t>
            </w:r>
          </w:p>
        </w:tc>
      </w:tr>
      <w:tr w14:paraId="665C57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795642BC">
            <w:pPr>
              <w:pStyle w:val="4"/>
              <w:jc w:val="center"/>
            </w:pPr>
            <w:r>
              <w:rPr>
                <w:rFonts w:ascii="仿宋_GB2312" w:hAnsi="仿宋_GB2312" w:eastAsia="仿宋_GB2312" w:cs="仿宋_GB2312"/>
              </w:rPr>
              <w:t>3</w:t>
            </w:r>
          </w:p>
        </w:tc>
        <w:tc>
          <w:tcPr>
            <w:tcW w:w="581" w:type="dxa"/>
          </w:tcPr>
          <w:p w14:paraId="6A26A888">
            <w:pPr>
              <w:pStyle w:val="4"/>
              <w:jc w:val="center"/>
            </w:pPr>
            <w:r>
              <w:rPr>
                <w:rFonts w:ascii="仿宋_GB2312" w:hAnsi="仿宋_GB2312" w:eastAsia="仿宋_GB2312" w:cs="仿宋_GB2312"/>
              </w:rPr>
              <w:t>★</w:t>
            </w:r>
          </w:p>
        </w:tc>
        <w:tc>
          <w:tcPr>
            <w:tcW w:w="1495" w:type="dxa"/>
          </w:tcPr>
          <w:p w14:paraId="70BE0A68">
            <w:pPr>
              <w:pStyle w:val="4"/>
              <w:jc w:val="left"/>
            </w:pPr>
            <w:r>
              <w:rPr>
                <w:rFonts w:ascii="仿宋_GB2312" w:hAnsi="仿宋_GB2312" w:eastAsia="仿宋_GB2312" w:cs="仿宋_GB2312"/>
              </w:rPr>
              <w:t>验收、交付标准和方法</w:t>
            </w:r>
          </w:p>
        </w:tc>
        <w:tc>
          <w:tcPr>
            <w:tcW w:w="5814" w:type="dxa"/>
          </w:tcPr>
          <w:p w14:paraId="0E70BB00">
            <w:pPr>
              <w:pStyle w:val="4"/>
              <w:jc w:val="left"/>
            </w:pPr>
            <w:r>
              <w:rPr>
                <w:rFonts w:ascii="仿宋_GB2312" w:hAnsi="仿宋_GB2312" w:eastAsia="仿宋_GB2312" w:cs="仿宋_GB2312"/>
              </w:rPr>
              <w:t>（1）验收按照《政府采购需求管理办法》（财库〔2021〕22号）、《财政部关于进一步加强政府采购需求和履约验收管理的指导意见》（财库〔2016〕205号）等政府采购相关法律法规执行，验收内容包含采购文件中的所有技术和商务要求的履约情况，由采购人组织，供应商配合进行，如质量验收合格，双方签署验收报告；验收结果不合格的，采购人不予支付采购资金，还可能会报告本项目同级财政部门按照政府采购法律法规等有关规定给予行政处罚或者以失信行为记入诚信档案。 （2）验收标准：按国家有关规定以及采购文件的质量要求和技术指标、供应商的响应文件及承诺与本合同约定标准进行验收；双方如对质量要求和技术指标的约定标准有相互抵触或异议的事项，由采购人在采购文件和响应文件中按质量要求和技术指标比较优胜的原则确定该项的约定标准进行验收。</w:t>
            </w:r>
          </w:p>
        </w:tc>
      </w:tr>
      <w:tr w14:paraId="3B12C4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97D4C90">
            <w:pPr>
              <w:pStyle w:val="4"/>
              <w:jc w:val="center"/>
            </w:pPr>
            <w:r>
              <w:rPr>
                <w:rFonts w:ascii="仿宋_GB2312" w:hAnsi="仿宋_GB2312" w:eastAsia="仿宋_GB2312" w:cs="仿宋_GB2312"/>
              </w:rPr>
              <w:t>4</w:t>
            </w:r>
          </w:p>
        </w:tc>
        <w:tc>
          <w:tcPr>
            <w:tcW w:w="581" w:type="dxa"/>
          </w:tcPr>
          <w:p w14:paraId="4B3A0ED1">
            <w:pPr>
              <w:pStyle w:val="4"/>
              <w:jc w:val="center"/>
            </w:pPr>
            <w:r>
              <w:rPr>
                <w:rFonts w:ascii="仿宋_GB2312" w:hAnsi="仿宋_GB2312" w:eastAsia="仿宋_GB2312" w:cs="仿宋_GB2312"/>
              </w:rPr>
              <w:t>★</w:t>
            </w:r>
          </w:p>
        </w:tc>
        <w:tc>
          <w:tcPr>
            <w:tcW w:w="1495" w:type="dxa"/>
          </w:tcPr>
          <w:p w14:paraId="0242F405">
            <w:pPr>
              <w:pStyle w:val="4"/>
              <w:jc w:val="left"/>
            </w:pPr>
            <w:r>
              <w:rPr>
                <w:rFonts w:ascii="仿宋_GB2312" w:hAnsi="仿宋_GB2312" w:eastAsia="仿宋_GB2312" w:cs="仿宋_GB2312"/>
              </w:rPr>
              <w:t>支付方式</w:t>
            </w:r>
          </w:p>
        </w:tc>
        <w:tc>
          <w:tcPr>
            <w:tcW w:w="5814" w:type="dxa"/>
          </w:tcPr>
          <w:p w14:paraId="6553B4E7">
            <w:pPr>
              <w:pStyle w:val="4"/>
              <w:jc w:val="left"/>
            </w:pPr>
            <w:r>
              <w:rPr>
                <w:rFonts w:ascii="仿宋_GB2312" w:hAnsi="仿宋_GB2312" w:eastAsia="仿宋_GB2312" w:cs="仿宋_GB2312"/>
              </w:rPr>
              <w:t>分期付款</w:t>
            </w:r>
          </w:p>
        </w:tc>
      </w:tr>
      <w:tr w14:paraId="332D23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4B7C735E">
            <w:pPr>
              <w:pStyle w:val="4"/>
              <w:jc w:val="center"/>
            </w:pPr>
            <w:r>
              <w:rPr>
                <w:rFonts w:ascii="仿宋_GB2312" w:hAnsi="仿宋_GB2312" w:eastAsia="仿宋_GB2312" w:cs="仿宋_GB2312"/>
              </w:rPr>
              <w:t>5</w:t>
            </w:r>
          </w:p>
        </w:tc>
        <w:tc>
          <w:tcPr>
            <w:tcW w:w="581" w:type="dxa"/>
          </w:tcPr>
          <w:p w14:paraId="39125B6B"/>
        </w:tc>
        <w:tc>
          <w:tcPr>
            <w:tcW w:w="1495" w:type="dxa"/>
          </w:tcPr>
          <w:p w14:paraId="7557AA0D">
            <w:pPr>
              <w:pStyle w:val="4"/>
              <w:jc w:val="left"/>
            </w:pPr>
            <w:r>
              <w:rPr>
                <w:rFonts w:ascii="仿宋_GB2312" w:hAnsi="仿宋_GB2312" w:eastAsia="仿宋_GB2312" w:cs="仿宋_GB2312"/>
              </w:rPr>
              <w:t>付款进度安排</w:t>
            </w:r>
          </w:p>
        </w:tc>
        <w:tc>
          <w:tcPr>
            <w:tcW w:w="5814" w:type="dxa"/>
          </w:tcPr>
          <w:p w14:paraId="03CBB0AE">
            <w:pPr>
              <w:pStyle w:val="4"/>
              <w:jc w:val="left"/>
            </w:pPr>
            <w:r>
              <w:rPr>
                <w:rFonts w:ascii="仿宋_GB2312" w:hAnsi="仿宋_GB2312" w:eastAsia="仿宋_GB2312" w:cs="仿宋_GB2312"/>
              </w:rPr>
              <w:t>1、预付款，合同签订后，采购人收到供应商出具的完税发票及凭证资料，达到付款条件起10日内，支付合同总金额的40.00%</w:t>
            </w:r>
          </w:p>
          <w:p w14:paraId="5C15BE89">
            <w:pPr>
              <w:pStyle w:val="4"/>
              <w:jc w:val="left"/>
            </w:pPr>
            <w:r>
              <w:rPr>
                <w:rFonts w:ascii="仿宋_GB2312" w:hAnsi="仿宋_GB2312" w:eastAsia="仿宋_GB2312" w:cs="仿宋_GB2312"/>
              </w:rPr>
              <w:t>2、进度款，提交初步成果后，采购人收到供应商出具的完税发票及凭证资料，达到付款条件起10日内，支付合同总金额的40.00%</w:t>
            </w:r>
          </w:p>
          <w:p w14:paraId="59F21514">
            <w:pPr>
              <w:pStyle w:val="4"/>
              <w:jc w:val="left"/>
            </w:pPr>
            <w:r>
              <w:rPr>
                <w:rFonts w:ascii="仿宋_GB2312" w:hAnsi="仿宋_GB2312" w:eastAsia="仿宋_GB2312" w:cs="仿宋_GB2312"/>
              </w:rPr>
              <w:t>3、尾款，服务期满且最终履约验收合格后，采购人收到供应商出具的完税发票及凭证资料，达到付款条件起10日内，支付合同总金额的20.00%</w:t>
            </w:r>
          </w:p>
        </w:tc>
      </w:tr>
      <w:tr w14:paraId="0BEFA2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68E6CB4D">
            <w:pPr>
              <w:pStyle w:val="4"/>
              <w:jc w:val="center"/>
            </w:pPr>
            <w:r>
              <w:rPr>
                <w:rFonts w:ascii="仿宋_GB2312" w:hAnsi="仿宋_GB2312" w:eastAsia="仿宋_GB2312" w:cs="仿宋_GB2312"/>
              </w:rPr>
              <w:t>6</w:t>
            </w:r>
          </w:p>
        </w:tc>
        <w:tc>
          <w:tcPr>
            <w:tcW w:w="581" w:type="dxa"/>
          </w:tcPr>
          <w:p w14:paraId="4C1FE436">
            <w:pPr>
              <w:pStyle w:val="4"/>
              <w:jc w:val="center"/>
            </w:pPr>
            <w:r>
              <w:rPr>
                <w:rFonts w:ascii="仿宋_GB2312" w:hAnsi="仿宋_GB2312" w:eastAsia="仿宋_GB2312" w:cs="仿宋_GB2312"/>
              </w:rPr>
              <w:t>★</w:t>
            </w:r>
          </w:p>
        </w:tc>
        <w:tc>
          <w:tcPr>
            <w:tcW w:w="1495" w:type="dxa"/>
          </w:tcPr>
          <w:p w14:paraId="6056FB50">
            <w:pPr>
              <w:pStyle w:val="4"/>
              <w:jc w:val="left"/>
            </w:pPr>
            <w:r>
              <w:rPr>
                <w:rFonts w:ascii="仿宋_GB2312" w:hAnsi="仿宋_GB2312" w:eastAsia="仿宋_GB2312" w:cs="仿宋_GB2312"/>
              </w:rPr>
              <w:t>违约责任与解决争议的方法</w:t>
            </w:r>
          </w:p>
        </w:tc>
        <w:tc>
          <w:tcPr>
            <w:tcW w:w="5814" w:type="dxa"/>
          </w:tcPr>
          <w:p w14:paraId="60665AF8">
            <w:pPr>
              <w:pStyle w:val="4"/>
              <w:jc w:val="left"/>
            </w:pPr>
            <w:r>
              <w:rPr>
                <w:rFonts w:ascii="仿宋_GB2312" w:hAnsi="仿宋_GB2312" w:eastAsia="仿宋_GB2312" w:cs="仿宋_GB2312"/>
              </w:rPr>
              <w:t>（1）采购人及供应商必须遵守采购合同并执行合同中的各项规定，保证采购合同的正常履行。任何一方违约给对方造成的直接损失均负有赔偿责任，对方均有权视情况要求对方继续履行合同或提出解除合同。 （2）采购人及供应商就采购合同所产生的任何争议都应该进行友好协商，协商解决不成的，任何一方均可向项目所在地人民法院提起诉讼。诉讼费应由败诉方承担。在诉讼期间，除正在进行诉讼的部分外，合同其他部分继续执行。</w:t>
            </w:r>
          </w:p>
        </w:tc>
      </w:tr>
    </w:tbl>
    <w:p w14:paraId="4C7EFBF6">
      <w:pPr>
        <w:pStyle w:val="4"/>
        <w:jc w:val="left"/>
        <w:outlineLvl w:val="2"/>
      </w:pPr>
      <w:r>
        <w:rPr>
          <w:rFonts w:ascii="仿宋_GB2312" w:hAnsi="仿宋_GB2312" w:eastAsia="仿宋_GB2312" w:cs="仿宋_GB2312"/>
          <w:b/>
          <w:sz w:val="28"/>
        </w:rPr>
        <w:t>3.4.其他要求</w:t>
      </w:r>
    </w:p>
    <w:p w14:paraId="1236FBFD">
      <w:pPr>
        <w:pStyle w:val="4"/>
        <w:ind w:firstLine="480"/>
        <w:jc w:val="left"/>
      </w:pPr>
      <w:r>
        <w:rPr>
          <w:rFonts w:ascii="仿宋_GB2312" w:hAnsi="仿宋_GB2312" w:eastAsia="仿宋_GB2312" w:cs="仿宋_GB2312"/>
        </w:rPr>
        <w:t>采购包1：</w:t>
      </w:r>
    </w:p>
    <w:p w14:paraId="125157D1">
      <w:pPr>
        <w:pStyle w:val="4"/>
        <w:jc w:val="left"/>
      </w:pPr>
      <w:r>
        <w:rPr>
          <w:rFonts w:ascii="仿宋_GB2312" w:hAnsi="仿宋_GB2312" w:eastAsia="仿宋_GB2312" w:cs="仿宋_GB2312"/>
        </w:rPr>
        <w:t>1.供应商需在响应文件中针对本项目提供项目实施方案，内容包括：①对本项目的理解和认识、②工作流程及方法、③重点、难点分析、④项目管理措施（组织机构设置、岗位职责）。 2.供应商需在响应文件中针对本项目提供保障措施方案，内容包括：①计划安排及进度保障措施、②质量保障措施、③安全保障措施、④保密保障措施。 3.供应商需在响应文件中针对本项目提供后续服务方案，内容包括：①后续服务人员保障措施、②后续服务计划方案。 4.供应商需在响应文件中提供项目人员的相关证书，具体要求详见5.4.2.评审细则及标准。 5.供应商需具有完成本项目所需的相关设备，具体要求详见5.4.2.评审细则及标准。 6.供应商需在响应文件中提供类似业绩的证明材料，具体要求详见5.4.2.评审细则及标准。</w:t>
      </w:r>
    </w:p>
    <w:p w14:paraId="04CC0B51">
      <w:pPr>
        <w:pStyle w:val="4"/>
        <w:rPr>
          <w:rFonts w:hint="eastAsia"/>
          <w:lang w:val="en-US" w:eastAsia="zh-Hans"/>
        </w:rPr>
      </w:pPr>
      <w:r>
        <w:rPr>
          <w:rFonts w:ascii="仿宋_GB2312" w:hAnsi="仿宋_GB2312" w:eastAsia="仿宋_GB2312" w:cs="仿宋_GB2312"/>
        </w:rPr>
        <w:t xml:space="preserve"> </w:t>
      </w:r>
      <w:r>
        <w:rPr>
          <w:rFonts w:ascii="仿宋_GB2312" w:hAnsi="仿宋_GB2312" w:eastAsia="仿宋_GB2312" w:cs="仿宋_GB2312"/>
        </w:rPr>
        <w:br w:type="textWrapp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177F50ED"/>
    <w:rsid w:val="1C326C20"/>
    <w:rsid w:val="53B52B8D"/>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ull3"/>
    <w:hidden/>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12445</Words>
  <Characters>13084</Characters>
  <Lines>0</Lines>
  <Paragraphs>0</Paragraphs>
  <TotalTime>0</TotalTime>
  <ScaleCrop>false</ScaleCrop>
  <LinksUpToDate>false</LinksUpToDate>
  <CharactersWithSpaces>13170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五块钱</dc:creator>
  <cp:lastModifiedBy>咕噜咕噜</cp:lastModifiedBy>
  <dcterms:modified xsi:type="dcterms:W3CDTF">2026-02-11T07:24:46Z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eyJoZGlkIjoiNWFlMDJjNGI5MTNmNDQyNGU1NzBhMGZkMDYzM2VjYjIiLCJ1c2VySWQiOiI1MzU1OTc5MDIifQ==</vt:lpwstr>
  </property>
  <property fmtid="{D5CDD505-2E9C-101B-9397-08002B2CF9AE}" pid="4" name="ICV">
    <vt:lpwstr>390EA7CBF3784D9EAA5E9A3FD6B54EA7_12</vt:lpwstr>
  </property>
</Properties>
</file>