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366D4">
      <w:pPr>
        <w:spacing w:line="20" w:lineRule="exact"/>
        <w:jc w:val="center"/>
        <w:rPr>
          <w:rFonts w:hint="eastAsia" w:ascii="宋体" w:hAnsi="宋体" w:eastAsia="宋体" w:cs="宋体"/>
          <w:b/>
          <w:color w:val="auto"/>
          <w:sz w:val="18"/>
          <w:szCs w:val="18"/>
          <w:highlight w:val="none"/>
        </w:rPr>
      </w:pPr>
      <w:bookmarkStart w:id="16" w:name="_GoBack"/>
      <w:bookmarkEnd w:id="16"/>
    </w:p>
    <w:p w14:paraId="638E6588">
      <w:pPr>
        <w:pStyle w:val="4"/>
        <w:spacing w:before="0" w:after="0" w:line="360" w:lineRule="auto"/>
        <w:rPr>
          <w:rFonts w:hint="eastAsia" w:eastAsia="宋体" w:cs="宋体"/>
          <w:b/>
          <w:bCs w:val="0"/>
          <w:i w:val="0"/>
          <w:iCs w:val="0"/>
          <w:color w:val="auto"/>
          <w:sz w:val="32"/>
          <w:szCs w:val="32"/>
          <w:highlight w:val="none"/>
        </w:rPr>
      </w:pPr>
      <w:bookmarkStart w:id="0" w:name="_Toc508984264"/>
      <w:bookmarkStart w:id="1" w:name="_Toc508984065"/>
      <w:bookmarkStart w:id="2" w:name="_Toc503235736"/>
      <w:bookmarkStart w:id="3" w:name="_Toc234832863"/>
      <w:r>
        <w:rPr>
          <w:rFonts w:hint="eastAsia" w:eastAsia="宋体" w:cs="宋体"/>
          <w:b/>
          <w:bCs w:val="0"/>
          <w:i w:val="0"/>
          <w:iCs w:val="0"/>
          <w:color w:val="auto"/>
          <w:sz w:val="32"/>
          <w:szCs w:val="32"/>
          <w:highlight w:val="none"/>
        </w:rPr>
        <w:t>附录1  资格审查条件（资质最低要求）</w:t>
      </w:r>
      <w:bookmarkEnd w:id="0"/>
      <w:bookmarkEnd w:id="1"/>
      <w:bookmarkEnd w:id="2"/>
      <w:bookmarkEnd w:id="3"/>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14:paraId="68A7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8307" w:type="dxa"/>
            <w:noWrap w:val="0"/>
            <w:vAlign w:val="center"/>
          </w:tcPr>
          <w:p w14:paraId="049B66BA">
            <w:pPr>
              <w:adjustRightInd w:val="0"/>
              <w:snapToGrid w:val="0"/>
              <w:spacing w:line="40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企业资质等级要求</w:t>
            </w:r>
          </w:p>
        </w:tc>
      </w:tr>
      <w:tr w14:paraId="6632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8307" w:type="dxa"/>
            <w:noWrap w:val="0"/>
            <w:vAlign w:val="center"/>
          </w:tcPr>
          <w:p w14:paraId="2BFB9559">
            <w:pPr>
              <w:adjustRightInd w:val="0"/>
              <w:snapToGrid w:val="0"/>
              <w:spacing w:line="360" w:lineRule="auto"/>
              <w:ind w:firstLine="312" w:firstLineChars="150"/>
              <w:rPr>
                <w:rFonts w:hint="eastAsia" w:ascii="宋体" w:hAnsi="宋体" w:eastAsia="宋体" w:cs="宋体"/>
                <w:color w:val="auto"/>
                <w:sz w:val="24"/>
                <w:highlight w:val="none"/>
              </w:rPr>
            </w:pPr>
            <w:r>
              <w:rPr>
                <w:color w:val="auto"/>
                <w:spacing w:val="-1"/>
                <w:highlight w:val="none"/>
              </w:rPr>
              <w:t>持有工商行政管理部门核发的企业法人营业执照或国家事业单位登记管理部门核发的事业单位法人证书。</w:t>
            </w:r>
          </w:p>
        </w:tc>
      </w:tr>
    </w:tbl>
    <w:p w14:paraId="3B92E36B">
      <w:pPr>
        <w:adjustRightInd w:val="0"/>
        <w:snapToGrid w:val="0"/>
        <w:spacing w:line="300" w:lineRule="exact"/>
        <w:rPr>
          <w:rFonts w:hint="eastAsia" w:ascii="宋体" w:hAnsi="宋体" w:eastAsia="宋体" w:cs="宋体"/>
          <w:b/>
          <w:color w:val="auto"/>
          <w:sz w:val="32"/>
          <w:highlight w:val="none"/>
        </w:rPr>
      </w:pPr>
    </w:p>
    <w:p w14:paraId="79ADA85A">
      <w:pPr>
        <w:pStyle w:val="4"/>
        <w:spacing w:before="0" w:after="0" w:line="360" w:lineRule="auto"/>
        <w:rPr>
          <w:rFonts w:hint="eastAsia" w:eastAsia="宋体" w:cs="宋体"/>
          <w:b/>
          <w:bCs w:val="0"/>
          <w:i w:val="0"/>
          <w:iCs w:val="0"/>
          <w:color w:val="auto"/>
          <w:sz w:val="32"/>
          <w:szCs w:val="32"/>
          <w:highlight w:val="none"/>
        </w:rPr>
      </w:pPr>
      <w:r>
        <w:rPr>
          <w:rFonts w:hint="eastAsia" w:eastAsia="宋体" w:cs="宋体"/>
          <w:color w:val="auto"/>
          <w:highlight w:val="none"/>
        </w:rPr>
        <w:br w:type="page"/>
      </w:r>
      <w:bookmarkStart w:id="4" w:name="_Toc503235737"/>
      <w:bookmarkStart w:id="5" w:name="_Toc234832865"/>
      <w:bookmarkStart w:id="6" w:name="_Toc508984265"/>
      <w:bookmarkStart w:id="7" w:name="_Toc508984066"/>
      <w:r>
        <w:rPr>
          <w:rFonts w:hint="eastAsia" w:eastAsia="宋体" w:cs="宋体"/>
          <w:b/>
          <w:bCs w:val="0"/>
          <w:i w:val="0"/>
          <w:iCs w:val="0"/>
          <w:color w:val="auto"/>
          <w:sz w:val="32"/>
          <w:szCs w:val="32"/>
          <w:highlight w:val="none"/>
        </w:rPr>
        <w:t>附录2 资格审查条件（业绩最低要求）</w:t>
      </w:r>
      <w:bookmarkEnd w:id="4"/>
      <w:bookmarkEnd w:id="5"/>
      <w:bookmarkEnd w:id="6"/>
      <w:bookmarkEnd w:id="7"/>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4"/>
      </w:tblGrid>
      <w:tr w14:paraId="714C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8524" w:type="dxa"/>
            <w:noWrap w:val="0"/>
            <w:vAlign w:val="center"/>
          </w:tcPr>
          <w:p w14:paraId="5A0334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 绩 要 求</w:t>
            </w:r>
          </w:p>
        </w:tc>
      </w:tr>
      <w:tr w14:paraId="332F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8524" w:type="dxa"/>
            <w:noWrap w:val="0"/>
            <w:vAlign w:val="center"/>
          </w:tcPr>
          <w:p w14:paraId="25B9C269">
            <w:pPr>
              <w:keepNext w:val="0"/>
              <w:keepLines w:val="0"/>
              <w:pageBreakBefore w:val="0"/>
              <w:widowControl w:val="0"/>
              <w:kinsoku/>
              <w:wordWrap/>
              <w:overflowPunct/>
              <w:topLinePunct w:val="0"/>
              <w:autoSpaceDE/>
              <w:autoSpaceDN/>
              <w:bidi w:val="0"/>
              <w:adjustRightInd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近</w:t>
            </w:r>
            <w:r>
              <w:rPr>
                <w:rFonts w:hint="eastAsia" w:ascii="宋体" w:hAnsi="宋体" w:eastAsia="宋体" w:cs="宋体"/>
                <w:color w:val="auto"/>
                <w:kern w:val="0"/>
                <w:szCs w:val="21"/>
                <w:highlight w:val="none"/>
                <w:u w:val="single"/>
              </w:rPr>
              <w:t>5</w:t>
            </w:r>
            <w:r>
              <w:rPr>
                <w:rFonts w:hint="eastAsia" w:ascii="宋体" w:hAnsi="宋体" w:eastAsia="宋体" w:cs="宋体"/>
                <w:color w:val="auto"/>
                <w:kern w:val="0"/>
                <w:szCs w:val="21"/>
                <w:highlight w:val="none"/>
              </w:rPr>
              <w:t>年内</w:t>
            </w:r>
            <w:r>
              <w:rPr>
                <w:rFonts w:hint="eastAsia" w:ascii="宋体" w:hAnsi="宋体" w:eastAsia="宋体" w:cs="宋体"/>
                <w:color w:val="auto"/>
                <w:kern w:val="0"/>
                <w:szCs w:val="21"/>
                <w:highlight w:val="none"/>
                <w:lang w:val="en-US" w:eastAsia="zh-CN"/>
              </w:rPr>
              <w:t>承担过（同时具备）：</w:t>
            </w:r>
          </w:p>
          <w:p w14:paraId="16086ADA">
            <w:pPr>
              <w:keepNext w:val="0"/>
              <w:keepLines w:val="0"/>
              <w:pageBreakBefore w:val="0"/>
              <w:widowControl w:val="0"/>
              <w:kinsoku/>
              <w:wordWrap/>
              <w:overflowPunct/>
              <w:topLinePunct w:val="0"/>
              <w:autoSpaceDE/>
              <w:autoSpaceDN/>
              <w:bidi w:val="0"/>
              <w:adjustRightIn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①不少于 1 项总投资大于50亿元（含）类似工程土建工程造价咨询工作；</w:t>
            </w:r>
          </w:p>
          <w:p w14:paraId="6048F6E3">
            <w:pPr>
              <w:keepNext w:val="0"/>
              <w:keepLines w:val="0"/>
              <w:pageBreakBefore w:val="0"/>
              <w:widowControl w:val="0"/>
              <w:kinsoku/>
              <w:wordWrap/>
              <w:overflowPunct/>
              <w:topLinePunct w:val="0"/>
              <w:autoSpaceDE/>
              <w:autoSpaceDN/>
              <w:bidi w:val="0"/>
              <w:adjustRightInd w:val="0"/>
              <w:spacing w:line="400" w:lineRule="exact"/>
              <w:ind w:firstLine="420"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②不少于 1 项总投资大于50亿元（含）类似工程交通工程造价咨询工作。</w:t>
            </w:r>
          </w:p>
        </w:tc>
      </w:tr>
    </w:tbl>
    <w:p w14:paraId="1D0FCF68">
      <w:pPr>
        <w:topLinePunct/>
        <w:adjustRightInd w:val="0"/>
        <w:jc w:val="left"/>
        <w:textAlignment w:val="baseline"/>
        <w:rPr>
          <w:rFonts w:hint="eastAsia" w:ascii="宋体" w:hAnsi="宋体" w:eastAsia="宋体" w:cs="宋体"/>
          <w:color w:val="auto"/>
          <w:kern w:val="0"/>
          <w:sz w:val="18"/>
          <w:szCs w:val="18"/>
          <w:highlight w:val="none"/>
        </w:rPr>
      </w:pPr>
    </w:p>
    <w:p w14:paraId="2FE204BA">
      <w:pPr>
        <w:topLinePunct/>
        <w:adjustRightInd w:val="0"/>
        <w:jc w:val="left"/>
        <w:textAlignment w:val="baseline"/>
        <w:rPr>
          <w:rFonts w:hint="eastAsia" w:ascii="宋体" w:hAnsi="宋体" w:eastAsia="宋体" w:cs="宋体"/>
          <w:color w:val="auto"/>
          <w:kern w:val="0"/>
          <w:sz w:val="18"/>
          <w:szCs w:val="18"/>
          <w:highlight w:val="none"/>
        </w:rPr>
      </w:pPr>
    </w:p>
    <w:p w14:paraId="029F3825">
      <w:pPr>
        <w:topLinePunct/>
        <w:adjustRightInd w:val="0"/>
        <w:spacing w:line="360" w:lineRule="auto"/>
        <w:jc w:val="left"/>
        <w:textAlignment w:val="baseline"/>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、近五年是指：</w:t>
      </w:r>
      <w:r>
        <w:rPr>
          <w:rFonts w:hint="eastAsia" w:ascii="宋体" w:hAnsi="宋体" w:eastAsia="宋体" w:cs="宋体"/>
          <w:color w:val="auto"/>
          <w:kern w:val="0"/>
          <w:szCs w:val="21"/>
          <w:highlight w:val="none"/>
          <w:lang w:val="en-US" w:eastAsia="zh-CN"/>
        </w:rPr>
        <w:t>2021</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月1日至投标文件递交截止之日止</w:t>
      </w:r>
      <w:r>
        <w:rPr>
          <w:rFonts w:hint="eastAsia" w:ascii="宋体" w:hAnsi="宋体" w:eastAsia="宋体" w:cs="宋体"/>
          <w:color w:val="auto"/>
          <w:kern w:val="0"/>
          <w:szCs w:val="21"/>
          <w:highlight w:val="none"/>
          <w:lang w:eastAsia="zh-CN"/>
        </w:rPr>
        <w:t>，业绩计算时间以合同签订时间为准。</w:t>
      </w:r>
      <w:r>
        <w:rPr>
          <w:rFonts w:hint="eastAsia" w:ascii="宋体" w:hAnsi="宋体" w:eastAsia="宋体" w:cs="宋体"/>
          <w:color w:val="auto"/>
          <w:kern w:val="0"/>
          <w:szCs w:val="21"/>
          <w:highlight w:val="none"/>
          <w:lang w:val="zh-CN"/>
        </w:rPr>
        <w:t xml:space="preserve"> “类似工程”指</w:t>
      </w:r>
      <w:r>
        <w:rPr>
          <w:rFonts w:hint="eastAsia" w:ascii="宋体" w:hAnsi="宋体" w:eastAsia="宋体" w:cs="宋体"/>
          <w:color w:val="auto"/>
          <w:szCs w:val="21"/>
          <w:highlight w:val="none"/>
          <w:u w:val="single"/>
        </w:rPr>
        <w:t>新建或改、扩建高速公路项目</w:t>
      </w:r>
      <w:r>
        <w:rPr>
          <w:color w:val="auto"/>
          <w:spacing w:val="7"/>
          <w:sz w:val="21"/>
          <w:szCs w:val="21"/>
          <w:highlight w:val="none"/>
        </w:rPr>
        <w:t>，除此之外的高</w:t>
      </w:r>
      <w:r>
        <w:rPr>
          <w:color w:val="auto"/>
          <w:spacing w:val="8"/>
          <w:sz w:val="21"/>
          <w:szCs w:val="21"/>
          <w:highlight w:val="none"/>
        </w:rPr>
        <w:t>速公路大、中、小修，</w:t>
      </w:r>
      <w:r>
        <w:rPr>
          <w:color w:val="auto"/>
          <w:spacing w:val="-47"/>
          <w:sz w:val="21"/>
          <w:szCs w:val="21"/>
          <w:highlight w:val="none"/>
        </w:rPr>
        <w:t xml:space="preserve"> </w:t>
      </w:r>
      <w:r>
        <w:rPr>
          <w:color w:val="auto"/>
          <w:spacing w:val="8"/>
          <w:sz w:val="21"/>
          <w:szCs w:val="21"/>
          <w:highlight w:val="none"/>
        </w:rPr>
        <w:t>日常养护、路面改造</w:t>
      </w:r>
      <w:r>
        <w:rPr>
          <w:color w:val="auto"/>
          <w:spacing w:val="7"/>
          <w:sz w:val="21"/>
          <w:szCs w:val="21"/>
          <w:highlight w:val="none"/>
        </w:rPr>
        <w:t>、维修加固等均不予计算。</w:t>
      </w:r>
    </w:p>
    <w:p w14:paraId="463AD132">
      <w:pPr>
        <w:topLinePunct/>
        <w:adjustRightIn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2、若投标人提供的业绩证明为联合体业绩，需提交联合体协议书，如联合体协议书中无法界定其完成的工作量，此业绩不予认定。</w:t>
      </w:r>
    </w:p>
    <w:p w14:paraId="56B6EC66">
      <w:pPr>
        <w:topLinePunct/>
        <w:adjustRightIn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土建工程是指路基、桥涵、隧道等高速公路主体工程或路面工程，包含其中一项工程的均视为有效的土建工程业绩。交通工程是指收费、通信、监控、沿线供配电系统、照明系统及通信管道工程，包含其中一项工程的均视为有效的交通工程业绩。造价咨询工作应至少包括以下一项：施工图预算编制或审核、三级清单及清单预算编制或审核、招标控制价编制、工程结算编制或审核、项目竣工决算编制或审核。</w:t>
      </w:r>
    </w:p>
    <w:p w14:paraId="6671F2A0">
      <w:pPr>
        <w:topLinePunct/>
        <w:adjustRightIn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4、业绩数量按合同数计算，时间以合同签订时间为准，1个合同对应1个业绩，但如1个合同包含按上述业绩分类标准划分的多项工作内容，可按其工作内容分别计算1个业绩。</w:t>
      </w:r>
    </w:p>
    <w:p w14:paraId="22A6FA67">
      <w:pPr>
        <w:topLinePunct/>
        <w:adjustRightIn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5、业绩证明材料须提供咨询合同（或协议书）复印件。如果投标人提供的上述证明材料无法体现上述业绩的技术指标，则投标人还应提供委托人出具的能体现上述业绩技术指标的证明材料。</w:t>
      </w:r>
    </w:p>
    <w:p w14:paraId="4AA5660B">
      <w:pPr>
        <w:topLinePunct/>
        <w:adjustRightInd w:val="0"/>
        <w:spacing w:line="360" w:lineRule="auto"/>
        <w:ind w:firstLine="420" w:firstLine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6、投标人法人机构如近年来发生合法变更或重组或法人名称变更的，应提供相关部门的合法批件或其他相关证明材料来证明其所附业绩的继承性。</w:t>
      </w:r>
    </w:p>
    <w:p w14:paraId="2BDE0307">
      <w:pPr>
        <w:adjustRightInd w:val="0"/>
        <w:spacing w:line="360" w:lineRule="auto"/>
        <w:ind w:left="425"/>
        <w:jc w:val="left"/>
        <w:textAlignment w:val="baseline"/>
        <w:rPr>
          <w:rFonts w:hint="eastAsia" w:ascii="宋体" w:hAnsi="宋体" w:eastAsia="宋体" w:cs="宋体"/>
          <w:color w:val="auto"/>
          <w:kern w:val="0"/>
          <w:szCs w:val="21"/>
          <w:highlight w:val="none"/>
        </w:rPr>
      </w:pPr>
    </w:p>
    <w:p w14:paraId="5BA8C903">
      <w:pPr>
        <w:wordWrap w:val="0"/>
        <w:topLinePunct/>
        <w:adjustRightInd w:val="0"/>
        <w:spacing w:line="400" w:lineRule="exact"/>
        <w:ind w:left="425"/>
        <w:jc w:val="left"/>
        <w:textAlignment w:val="baseline"/>
        <w:rPr>
          <w:rFonts w:hint="eastAsia" w:ascii="宋体" w:hAnsi="宋体" w:eastAsia="宋体" w:cs="宋体"/>
          <w:color w:val="auto"/>
          <w:kern w:val="0"/>
          <w:sz w:val="18"/>
          <w:szCs w:val="18"/>
          <w:highlight w:val="none"/>
        </w:rPr>
      </w:pPr>
    </w:p>
    <w:p w14:paraId="0403F7F2">
      <w:pPr>
        <w:pStyle w:val="4"/>
        <w:spacing w:before="0" w:after="0" w:line="360" w:lineRule="auto"/>
        <w:rPr>
          <w:rFonts w:hint="eastAsia" w:eastAsia="宋体" w:cs="宋体"/>
          <w:b/>
          <w:bCs w:val="0"/>
          <w:i w:val="0"/>
          <w:iCs w:val="0"/>
          <w:color w:val="auto"/>
          <w:sz w:val="32"/>
          <w:szCs w:val="32"/>
          <w:highlight w:val="none"/>
        </w:rPr>
      </w:pPr>
      <w:bookmarkStart w:id="8" w:name="_Toc508984067"/>
      <w:bookmarkStart w:id="9" w:name="_Toc503235738"/>
      <w:bookmarkStart w:id="10" w:name="_Toc508984266"/>
      <w:bookmarkStart w:id="11" w:name="_Toc234832866"/>
      <w:r>
        <w:rPr>
          <w:rFonts w:hint="eastAsia" w:ascii="宋体" w:eastAsia="宋体" w:cs="宋体"/>
          <w:color w:val="auto"/>
          <w:sz w:val="28"/>
          <w:szCs w:val="28"/>
          <w:highlight w:val="none"/>
        </w:rPr>
        <w:br w:type="page"/>
      </w:r>
      <w:r>
        <w:rPr>
          <w:rFonts w:hint="eastAsia" w:eastAsia="宋体" w:cs="宋体"/>
          <w:b/>
          <w:bCs w:val="0"/>
          <w:i w:val="0"/>
          <w:iCs w:val="0"/>
          <w:color w:val="auto"/>
          <w:sz w:val="32"/>
          <w:szCs w:val="32"/>
          <w:highlight w:val="none"/>
        </w:rPr>
        <w:t>附录3  资格审查条件（信誉最低要求）</w:t>
      </w:r>
      <w:bookmarkEnd w:id="8"/>
      <w:bookmarkEnd w:id="9"/>
      <w:bookmarkEnd w:id="10"/>
      <w:bookmarkEnd w:id="11"/>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6"/>
      </w:tblGrid>
      <w:tr w14:paraId="612D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8976" w:type="dxa"/>
            <w:noWrap w:val="0"/>
            <w:vAlign w:val="center"/>
          </w:tcPr>
          <w:p w14:paraId="7965E90C">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 誉 要 求</w:t>
            </w:r>
          </w:p>
        </w:tc>
      </w:tr>
      <w:tr w14:paraId="6686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8976" w:type="dxa"/>
            <w:noWrap w:val="0"/>
            <w:vAlign w:val="center"/>
          </w:tcPr>
          <w:p w14:paraId="10B4C686">
            <w:pPr>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w:t>
            </w:r>
            <w:r>
              <w:rPr>
                <w:rFonts w:hint="eastAsia" w:ascii="宋体" w:hAnsi="宋体" w:eastAsia="宋体" w:cs="宋体"/>
                <w:color w:val="auto"/>
                <w:szCs w:val="21"/>
                <w:highlight w:val="none"/>
              </w:rPr>
              <w:t>“投标人须知”正文第1.4.4项</w:t>
            </w:r>
            <w:r>
              <w:rPr>
                <w:rFonts w:hint="eastAsia" w:ascii="宋体" w:hAnsi="宋体" w:eastAsia="宋体" w:cs="宋体"/>
                <w:color w:val="auto"/>
                <w:szCs w:val="21"/>
                <w:highlight w:val="none"/>
                <w:lang w:eastAsia="zh-CN"/>
              </w:rPr>
              <w:t>。</w:t>
            </w:r>
          </w:p>
        </w:tc>
      </w:tr>
    </w:tbl>
    <w:p w14:paraId="78091F2A">
      <w:pPr>
        <w:keepNext w:val="0"/>
        <w:keepLines w:val="0"/>
        <w:pageBreakBefore w:val="0"/>
        <w:widowControl w:val="0"/>
        <w:kinsoku/>
        <w:wordWrap/>
        <w:overflowPunct/>
        <w:topLinePunct w:val="0"/>
        <w:autoSpaceDE/>
        <w:autoSpaceDN/>
        <w:bidi w:val="0"/>
        <w:adjustRightInd w:val="0"/>
        <w:snapToGrid w:val="0"/>
        <w:spacing w:line="400" w:lineRule="atLeast"/>
        <w:ind w:firstLine="420" w:firstLineChars="200"/>
        <w:jc w:val="left"/>
        <w:textAlignment w:val="auto"/>
        <w:rPr>
          <w:rFonts w:hint="eastAsia" w:ascii="宋体" w:hAnsi="宋体" w:eastAsia="宋体" w:cs="宋体"/>
          <w:color w:val="auto"/>
          <w:szCs w:val="21"/>
          <w:highlight w:val="none"/>
          <w:lang w:eastAsia="zh-CN"/>
        </w:rPr>
      </w:pPr>
    </w:p>
    <w:p w14:paraId="50BD4B0F">
      <w:pPr>
        <w:adjustRightInd w:val="0"/>
        <w:snapToGrid w:val="0"/>
        <w:spacing w:line="300" w:lineRule="auto"/>
        <w:ind w:firstLine="420" w:firstLineChars="200"/>
        <w:rPr>
          <w:rFonts w:hint="eastAsia" w:ascii="宋体" w:hAnsi="宋体" w:eastAsia="宋体" w:cs="宋体"/>
          <w:bCs/>
          <w:color w:val="auto"/>
          <w:highlight w:val="none"/>
        </w:rPr>
      </w:pPr>
    </w:p>
    <w:p w14:paraId="1CC5FD83">
      <w:pPr>
        <w:adjustRightInd w:val="0"/>
        <w:snapToGrid w:val="0"/>
        <w:spacing w:line="300" w:lineRule="auto"/>
        <w:ind w:firstLine="964" w:firstLineChars="400"/>
        <w:jc w:val="center"/>
        <w:rPr>
          <w:rFonts w:hint="eastAsia" w:ascii="宋体" w:hAnsi="宋体" w:eastAsia="宋体" w:cs="宋体"/>
          <w:b/>
          <w:color w:val="auto"/>
          <w:sz w:val="24"/>
          <w:highlight w:val="none"/>
        </w:rPr>
      </w:pPr>
    </w:p>
    <w:p w14:paraId="2611633C">
      <w:pPr>
        <w:adjustRightInd w:val="0"/>
        <w:snapToGrid w:val="0"/>
        <w:spacing w:line="300" w:lineRule="auto"/>
        <w:ind w:firstLine="964" w:firstLineChars="400"/>
        <w:jc w:val="center"/>
        <w:rPr>
          <w:rFonts w:hint="eastAsia" w:ascii="宋体" w:hAnsi="宋体" w:eastAsia="宋体" w:cs="宋体"/>
          <w:b/>
          <w:color w:val="auto"/>
          <w:sz w:val="24"/>
          <w:highlight w:val="none"/>
        </w:rPr>
      </w:pPr>
    </w:p>
    <w:p w14:paraId="2118E3EF">
      <w:pPr>
        <w:adjustRightInd w:val="0"/>
        <w:snapToGrid w:val="0"/>
        <w:spacing w:line="300" w:lineRule="auto"/>
        <w:ind w:firstLine="964" w:firstLineChars="400"/>
        <w:jc w:val="center"/>
        <w:rPr>
          <w:rFonts w:hint="eastAsia" w:ascii="宋体" w:hAnsi="宋体" w:eastAsia="宋体" w:cs="宋体"/>
          <w:b/>
          <w:color w:val="auto"/>
          <w:sz w:val="24"/>
          <w:highlight w:val="none"/>
        </w:rPr>
      </w:pPr>
    </w:p>
    <w:p w14:paraId="3B706B14">
      <w:pPr>
        <w:pStyle w:val="2"/>
        <w:rPr>
          <w:rFonts w:hint="eastAsia" w:ascii="宋体" w:hAnsi="宋体" w:eastAsia="宋体" w:cs="宋体"/>
          <w:b/>
          <w:color w:val="auto"/>
          <w:sz w:val="24"/>
          <w:highlight w:val="none"/>
        </w:rPr>
      </w:pPr>
    </w:p>
    <w:p w14:paraId="3E7D951D">
      <w:pPr>
        <w:pStyle w:val="2"/>
        <w:rPr>
          <w:rFonts w:hint="eastAsia" w:ascii="宋体" w:hAnsi="宋体" w:eastAsia="宋体" w:cs="宋体"/>
          <w:b/>
          <w:color w:val="auto"/>
          <w:sz w:val="24"/>
          <w:highlight w:val="none"/>
        </w:rPr>
      </w:pPr>
    </w:p>
    <w:p w14:paraId="44D79C26">
      <w:pPr>
        <w:pStyle w:val="2"/>
        <w:rPr>
          <w:rFonts w:hint="eastAsia" w:ascii="宋体" w:hAnsi="宋体" w:eastAsia="宋体" w:cs="宋体"/>
          <w:b/>
          <w:color w:val="auto"/>
          <w:sz w:val="24"/>
          <w:highlight w:val="none"/>
        </w:rPr>
      </w:pPr>
    </w:p>
    <w:p w14:paraId="1C015EDE">
      <w:pPr>
        <w:pStyle w:val="2"/>
        <w:rPr>
          <w:rFonts w:hint="eastAsia" w:ascii="宋体" w:hAnsi="宋体" w:eastAsia="宋体" w:cs="宋体"/>
          <w:b/>
          <w:color w:val="auto"/>
          <w:sz w:val="24"/>
          <w:highlight w:val="none"/>
        </w:rPr>
      </w:pPr>
    </w:p>
    <w:p w14:paraId="489BA30E">
      <w:pPr>
        <w:pStyle w:val="2"/>
        <w:rPr>
          <w:rFonts w:hint="eastAsia" w:ascii="宋体" w:hAnsi="宋体" w:eastAsia="宋体" w:cs="宋体"/>
          <w:b/>
          <w:color w:val="auto"/>
          <w:sz w:val="24"/>
          <w:highlight w:val="none"/>
        </w:rPr>
      </w:pPr>
    </w:p>
    <w:p w14:paraId="6693E0C2">
      <w:pPr>
        <w:pStyle w:val="2"/>
        <w:rPr>
          <w:rFonts w:hint="eastAsia" w:ascii="宋体" w:hAnsi="宋体" w:eastAsia="宋体" w:cs="宋体"/>
          <w:b/>
          <w:color w:val="auto"/>
          <w:sz w:val="24"/>
          <w:highlight w:val="none"/>
        </w:rPr>
      </w:pPr>
    </w:p>
    <w:p w14:paraId="304471A7">
      <w:pPr>
        <w:pStyle w:val="2"/>
        <w:rPr>
          <w:rFonts w:hint="eastAsia" w:ascii="宋体" w:hAnsi="宋体" w:eastAsia="宋体" w:cs="宋体"/>
          <w:b/>
          <w:color w:val="auto"/>
          <w:sz w:val="24"/>
          <w:highlight w:val="none"/>
        </w:rPr>
      </w:pPr>
    </w:p>
    <w:p w14:paraId="20D1D69E">
      <w:pPr>
        <w:pStyle w:val="2"/>
        <w:rPr>
          <w:rFonts w:hint="eastAsia" w:ascii="宋体" w:hAnsi="宋体" w:eastAsia="宋体" w:cs="宋体"/>
          <w:b/>
          <w:color w:val="auto"/>
          <w:sz w:val="24"/>
          <w:highlight w:val="none"/>
        </w:rPr>
      </w:pPr>
    </w:p>
    <w:p w14:paraId="4B8933C3">
      <w:pPr>
        <w:pStyle w:val="2"/>
        <w:rPr>
          <w:rFonts w:hint="eastAsia" w:ascii="宋体" w:hAnsi="宋体" w:eastAsia="宋体" w:cs="宋体"/>
          <w:b/>
          <w:color w:val="auto"/>
          <w:sz w:val="24"/>
          <w:highlight w:val="none"/>
        </w:rPr>
      </w:pPr>
    </w:p>
    <w:p w14:paraId="10C586BE">
      <w:pPr>
        <w:pStyle w:val="2"/>
        <w:rPr>
          <w:rFonts w:hint="eastAsia" w:ascii="宋体" w:hAnsi="宋体" w:eastAsia="宋体" w:cs="宋体"/>
          <w:b/>
          <w:color w:val="auto"/>
          <w:sz w:val="24"/>
          <w:highlight w:val="none"/>
        </w:rPr>
      </w:pPr>
    </w:p>
    <w:p w14:paraId="0887B55E">
      <w:pPr>
        <w:pStyle w:val="2"/>
        <w:rPr>
          <w:rFonts w:hint="eastAsia" w:ascii="宋体" w:hAnsi="宋体" w:eastAsia="宋体" w:cs="宋体"/>
          <w:b/>
          <w:color w:val="auto"/>
          <w:sz w:val="24"/>
          <w:highlight w:val="none"/>
        </w:rPr>
      </w:pPr>
    </w:p>
    <w:p w14:paraId="36EE72DE">
      <w:pPr>
        <w:pStyle w:val="2"/>
        <w:rPr>
          <w:rFonts w:hint="eastAsia" w:ascii="宋体" w:hAnsi="宋体" w:eastAsia="宋体" w:cs="宋体"/>
          <w:b/>
          <w:color w:val="auto"/>
          <w:sz w:val="24"/>
          <w:highlight w:val="none"/>
        </w:rPr>
      </w:pPr>
    </w:p>
    <w:p w14:paraId="1A1D7672">
      <w:pPr>
        <w:pStyle w:val="2"/>
        <w:rPr>
          <w:rFonts w:hint="eastAsia" w:ascii="宋体" w:hAnsi="宋体" w:eastAsia="宋体" w:cs="宋体"/>
          <w:b/>
          <w:color w:val="auto"/>
          <w:sz w:val="24"/>
          <w:highlight w:val="none"/>
        </w:rPr>
      </w:pPr>
    </w:p>
    <w:p w14:paraId="02FFEC69">
      <w:pPr>
        <w:pStyle w:val="2"/>
        <w:rPr>
          <w:rFonts w:hint="eastAsia" w:ascii="宋体" w:hAnsi="宋体" w:eastAsia="宋体" w:cs="宋体"/>
          <w:b/>
          <w:color w:val="auto"/>
          <w:sz w:val="24"/>
          <w:highlight w:val="none"/>
        </w:rPr>
      </w:pPr>
    </w:p>
    <w:p w14:paraId="4AA64458">
      <w:pPr>
        <w:pStyle w:val="2"/>
        <w:rPr>
          <w:rFonts w:hint="eastAsia" w:ascii="宋体" w:hAnsi="宋体" w:eastAsia="宋体" w:cs="宋体"/>
          <w:b/>
          <w:color w:val="auto"/>
          <w:sz w:val="24"/>
          <w:highlight w:val="none"/>
        </w:rPr>
      </w:pPr>
    </w:p>
    <w:p w14:paraId="11DC85BF">
      <w:pPr>
        <w:pStyle w:val="2"/>
        <w:rPr>
          <w:rFonts w:hint="eastAsia" w:ascii="宋体" w:hAnsi="宋体" w:eastAsia="宋体" w:cs="宋体"/>
          <w:b/>
          <w:color w:val="auto"/>
          <w:sz w:val="24"/>
          <w:highlight w:val="none"/>
        </w:rPr>
      </w:pPr>
    </w:p>
    <w:p w14:paraId="112429F7">
      <w:pPr>
        <w:pStyle w:val="2"/>
        <w:rPr>
          <w:rFonts w:hint="eastAsia" w:ascii="宋体" w:hAnsi="宋体" w:eastAsia="宋体" w:cs="宋体"/>
          <w:b/>
          <w:color w:val="auto"/>
          <w:sz w:val="24"/>
          <w:highlight w:val="none"/>
        </w:rPr>
      </w:pPr>
    </w:p>
    <w:p w14:paraId="0C9DCF35">
      <w:pPr>
        <w:pStyle w:val="2"/>
        <w:rPr>
          <w:rFonts w:hint="eastAsia" w:ascii="宋体" w:hAnsi="宋体" w:eastAsia="宋体" w:cs="宋体"/>
          <w:b/>
          <w:color w:val="auto"/>
          <w:sz w:val="24"/>
          <w:highlight w:val="none"/>
        </w:rPr>
      </w:pPr>
    </w:p>
    <w:p w14:paraId="086C57DB">
      <w:pPr>
        <w:pStyle w:val="2"/>
        <w:rPr>
          <w:rFonts w:hint="eastAsia" w:ascii="宋体" w:hAnsi="宋体" w:eastAsia="宋体" w:cs="宋体"/>
          <w:b/>
          <w:color w:val="auto"/>
          <w:sz w:val="24"/>
          <w:highlight w:val="none"/>
        </w:rPr>
      </w:pPr>
    </w:p>
    <w:p w14:paraId="0DB6A6EA">
      <w:pPr>
        <w:pStyle w:val="2"/>
        <w:rPr>
          <w:rFonts w:hint="eastAsia" w:ascii="宋体" w:hAnsi="宋体" w:eastAsia="宋体" w:cs="宋体"/>
          <w:b/>
          <w:color w:val="auto"/>
          <w:sz w:val="24"/>
          <w:highlight w:val="none"/>
        </w:rPr>
      </w:pPr>
    </w:p>
    <w:p w14:paraId="253DFA22">
      <w:pPr>
        <w:pStyle w:val="4"/>
        <w:spacing w:before="0" w:after="0" w:line="360" w:lineRule="auto"/>
        <w:rPr>
          <w:rFonts w:hint="eastAsia" w:eastAsia="宋体" w:cs="宋体"/>
          <w:b/>
          <w:bCs w:val="0"/>
          <w:i w:val="0"/>
          <w:iCs w:val="0"/>
          <w:color w:val="auto"/>
          <w:sz w:val="32"/>
          <w:szCs w:val="32"/>
          <w:highlight w:val="none"/>
        </w:rPr>
      </w:pPr>
      <w:bookmarkStart w:id="12" w:name="_Toc234832867"/>
      <w:bookmarkStart w:id="13" w:name="_Toc503235739"/>
      <w:bookmarkStart w:id="14" w:name="_Toc508984267"/>
      <w:bookmarkStart w:id="15" w:name="_Toc508984068"/>
      <w:r>
        <w:rPr>
          <w:rFonts w:hint="eastAsia" w:eastAsia="宋体" w:cs="宋体"/>
          <w:b/>
          <w:bCs w:val="0"/>
          <w:i w:val="0"/>
          <w:iCs w:val="0"/>
          <w:color w:val="auto"/>
          <w:sz w:val="32"/>
          <w:szCs w:val="32"/>
          <w:highlight w:val="none"/>
        </w:rPr>
        <w:t>附录4  资格审查条件（项目负责人最低要求）</w:t>
      </w:r>
      <w:bookmarkEnd w:id="12"/>
      <w:bookmarkEnd w:id="13"/>
      <w:bookmarkEnd w:id="14"/>
      <w:bookmarkEnd w:id="15"/>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5"/>
        <w:gridCol w:w="1787"/>
        <w:gridCol w:w="5004"/>
      </w:tblGrid>
      <w:tr w14:paraId="0E93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85" w:type="dxa"/>
            <w:noWrap w:val="0"/>
            <w:vAlign w:val="center"/>
          </w:tcPr>
          <w:p w14:paraId="018C61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  员</w:t>
            </w:r>
          </w:p>
        </w:tc>
        <w:tc>
          <w:tcPr>
            <w:tcW w:w="1787" w:type="dxa"/>
            <w:noWrap w:val="0"/>
            <w:vAlign w:val="center"/>
          </w:tcPr>
          <w:p w14:paraId="14FF30F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5004" w:type="dxa"/>
            <w:noWrap w:val="0"/>
            <w:vAlign w:val="center"/>
          </w:tcPr>
          <w:p w14:paraId="0E0C5A0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 格 要 求</w:t>
            </w:r>
          </w:p>
        </w:tc>
      </w:tr>
      <w:tr w14:paraId="32EF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2185" w:type="dxa"/>
            <w:noWrap w:val="0"/>
            <w:vAlign w:val="center"/>
          </w:tcPr>
          <w:p w14:paraId="708A931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787" w:type="dxa"/>
            <w:noWrap w:val="0"/>
            <w:vAlign w:val="center"/>
          </w:tcPr>
          <w:p w14:paraId="1F22CC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004" w:type="dxa"/>
            <w:noWrap w:val="0"/>
            <w:vAlign w:val="center"/>
          </w:tcPr>
          <w:p w14:paraId="4FFA206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cs="宋体"/>
                <w:color w:val="auto"/>
                <w:sz w:val="21"/>
                <w:szCs w:val="21"/>
                <w:highlight w:val="none"/>
                <w:lang w:val="en-US" w:eastAsia="zh-CN"/>
              </w:rPr>
              <w:t>路桥或工程经济相关专业的高级职称，持有</w:t>
            </w:r>
            <w:r>
              <w:rPr>
                <w:rFonts w:hint="eastAsia" w:ascii="宋体" w:hAnsi="宋体" w:eastAsia="宋体" w:cs="宋体"/>
                <w:color w:val="auto"/>
                <w:sz w:val="21"/>
                <w:szCs w:val="21"/>
                <w:highlight w:val="none"/>
              </w:rPr>
              <w:t>一级注册造价工程师</w:t>
            </w:r>
            <w:r>
              <w:rPr>
                <w:rFonts w:hint="eastAsia" w:cs="宋体"/>
                <w:color w:val="auto"/>
                <w:sz w:val="21"/>
                <w:szCs w:val="21"/>
                <w:highlight w:val="none"/>
                <w:lang w:eastAsia="zh-CN"/>
              </w:rPr>
              <w:t>（</w:t>
            </w:r>
            <w:r>
              <w:rPr>
                <w:rFonts w:hint="eastAsia" w:cs="宋体"/>
                <w:color w:val="auto"/>
                <w:sz w:val="21"/>
                <w:szCs w:val="21"/>
                <w:highlight w:val="none"/>
                <w:lang w:val="en-US" w:eastAsia="zh-CN"/>
              </w:rPr>
              <w:t>交通运输工程专业</w:t>
            </w:r>
            <w:r>
              <w:rPr>
                <w:rFonts w:hint="eastAsia" w:cs="宋体"/>
                <w:color w:val="auto"/>
                <w:sz w:val="21"/>
                <w:szCs w:val="21"/>
                <w:highlight w:val="none"/>
                <w:lang w:eastAsia="zh-CN"/>
              </w:rPr>
              <w:t>）</w:t>
            </w:r>
            <w:r>
              <w:rPr>
                <w:rFonts w:hint="eastAsia" w:cs="宋体"/>
                <w:color w:val="auto"/>
                <w:sz w:val="21"/>
                <w:szCs w:val="21"/>
                <w:highlight w:val="none"/>
                <w:lang w:val="en-US" w:eastAsia="zh-CN"/>
              </w:rPr>
              <w:t>或交通部颁发的公路甲级造价资格证书，并在投标单位注册；至少担任过</w:t>
            </w:r>
            <w:r>
              <w:rPr>
                <w:rFonts w:hint="eastAsia" w:ascii="Times New Roman" w:hAnsi="Times New Roman" w:eastAsia="宋体" w:cs="宋体"/>
                <w:color w:val="auto"/>
                <w:sz w:val="21"/>
                <w:szCs w:val="21"/>
                <w:highlight w:val="none"/>
                <w:lang w:val="en-US" w:eastAsia="zh-CN"/>
              </w:rPr>
              <w:t xml:space="preserve"> 1 个总投资大于50亿元（含）类似工</w:t>
            </w:r>
            <w:r>
              <w:rPr>
                <w:rFonts w:hint="eastAsia" w:cs="宋体"/>
                <w:color w:val="auto"/>
                <w:sz w:val="21"/>
                <w:szCs w:val="21"/>
                <w:highlight w:val="none"/>
                <w:lang w:val="en-US" w:eastAsia="zh-CN"/>
              </w:rPr>
              <w:t>程造价咨询工作的项目负责人。</w:t>
            </w:r>
          </w:p>
        </w:tc>
      </w:tr>
    </w:tbl>
    <w:p w14:paraId="7C7F1A5D">
      <w:pPr>
        <w:adjustRightInd w:val="0"/>
        <w:spacing w:line="280" w:lineRule="exact"/>
        <w:ind w:firstLine="210" w:firstLineChars="100"/>
        <w:jc w:val="left"/>
        <w:textAlignment w:val="baseline"/>
        <w:rPr>
          <w:rFonts w:hint="eastAsia" w:ascii="宋体" w:hAnsi="宋体" w:eastAsia="宋体" w:cs="宋体"/>
          <w:color w:val="auto"/>
          <w:kern w:val="0"/>
          <w:szCs w:val="21"/>
          <w:highlight w:val="none"/>
        </w:rPr>
      </w:pPr>
    </w:p>
    <w:p w14:paraId="580BC4FF">
      <w:pPr>
        <w:adjustRightInd w:val="0"/>
        <w:spacing w:line="360" w:lineRule="auto"/>
        <w:ind w:firstLine="210" w:firstLineChars="1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val="zh-CN"/>
        </w:rPr>
        <w:t>“类似工程”指</w:t>
      </w:r>
      <w:r>
        <w:rPr>
          <w:rFonts w:hint="eastAsia" w:ascii="宋体" w:hAnsi="宋体" w:eastAsia="宋体" w:cs="宋体"/>
          <w:color w:val="auto"/>
          <w:szCs w:val="21"/>
          <w:highlight w:val="none"/>
          <w:u w:val="single"/>
        </w:rPr>
        <w:t>新建或改、扩建高速公路项目</w:t>
      </w:r>
      <w:r>
        <w:rPr>
          <w:color w:val="auto"/>
          <w:spacing w:val="7"/>
          <w:sz w:val="20"/>
          <w:szCs w:val="20"/>
          <w:highlight w:val="none"/>
        </w:rPr>
        <w:t>，除此之外的高</w:t>
      </w:r>
      <w:r>
        <w:rPr>
          <w:color w:val="auto"/>
          <w:spacing w:val="8"/>
          <w:sz w:val="20"/>
          <w:szCs w:val="20"/>
          <w:highlight w:val="none"/>
        </w:rPr>
        <w:t>速公路大、中、小修，</w:t>
      </w:r>
      <w:r>
        <w:rPr>
          <w:color w:val="auto"/>
          <w:spacing w:val="-47"/>
          <w:sz w:val="20"/>
          <w:szCs w:val="20"/>
          <w:highlight w:val="none"/>
        </w:rPr>
        <w:t xml:space="preserve"> </w:t>
      </w:r>
      <w:r>
        <w:rPr>
          <w:color w:val="auto"/>
          <w:spacing w:val="8"/>
          <w:sz w:val="20"/>
          <w:szCs w:val="20"/>
          <w:highlight w:val="none"/>
        </w:rPr>
        <w:t>日常养护、路面改造</w:t>
      </w:r>
      <w:r>
        <w:rPr>
          <w:color w:val="auto"/>
          <w:spacing w:val="7"/>
          <w:sz w:val="20"/>
          <w:szCs w:val="20"/>
          <w:highlight w:val="none"/>
        </w:rPr>
        <w:t>、维修加固等均不予计算</w:t>
      </w:r>
      <w:r>
        <w:rPr>
          <w:rFonts w:hint="eastAsia" w:ascii="宋体" w:hAnsi="宋体" w:eastAsia="宋体" w:cs="宋体"/>
          <w:color w:val="auto"/>
          <w:kern w:val="0"/>
          <w:szCs w:val="21"/>
          <w:highlight w:val="none"/>
        </w:rPr>
        <w:t>。</w:t>
      </w:r>
    </w:p>
    <w:p w14:paraId="60211C7A">
      <w:pPr>
        <w:adjustRightInd w:val="0"/>
        <w:spacing w:line="360" w:lineRule="auto"/>
        <w:ind w:left="598" w:leftChars="285" w:firstLine="0" w:firstLineChars="0"/>
        <w:jc w:val="left"/>
        <w:textAlignment w:val="baseline"/>
        <w:rPr>
          <w:rFonts w:hint="eastAsia" w:ascii="宋体" w:hAnsi="宋体" w:eastAsia="宋体" w:cs="宋体"/>
          <w:color w:val="auto"/>
          <w:kern w:val="0"/>
          <w:szCs w:val="21"/>
          <w:highlight w:val="none"/>
          <w:lang w:eastAsia="zh-CN"/>
        </w:rPr>
      </w:pPr>
    </w:p>
    <w:p w14:paraId="494FA80B">
      <w:pPr>
        <w:pStyle w:val="2"/>
        <w:rPr>
          <w:rFonts w:hint="eastAsia" w:ascii="宋体" w:hAnsi="宋体" w:eastAsia="宋体" w:cs="宋体"/>
          <w:color w:val="auto"/>
          <w:kern w:val="0"/>
          <w:szCs w:val="21"/>
          <w:highlight w:val="none"/>
          <w:lang w:eastAsia="zh-CN"/>
        </w:rPr>
      </w:pPr>
    </w:p>
    <w:p w14:paraId="52A22075">
      <w:pPr>
        <w:pStyle w:val="2"/>
        <w:rPr>
          <w:rFonts w:hint="eastAsia" w:ascii="宋体" w:hAnsi="宋体" w:eastAsia="宋体" w:cs="宋体"/>
          <w:color w:val="auto"/>
          <w:kern w:val="0"/>
          <w:szCs w:val="21"/>
          <w:highlight w:val="none"/>
          <w:lang w:eastAsia="zh-CN"/>
        </w:rPr>
      </w:pPr>
    </w:p>
    <w:p w14:paraId="3568953F">
      <w:pPr>
        <w:adjustRightInd w:val="0"/>
        <w:spacing w:line="280" w:lineRule="exact"/>
        <w:ind w:firstLine="0" w:firstLineChars="0"/>
        <w:jc w:val="left"/>
        <w:textAlignment w:val="baseline"/>
        <w:rPr>
          <w:rFonts w:hint="eastAsia" w:ascii="宋体" w:hAnsi="宋体" w:eastAsia="宋体" w:cs="宋体"/>
          <w:color w:val="auto"/>
          <w:kern w:val="0"/>
          <w:szCs w:val="21"/>
          <w:highlight w:val="none"/>
        </w:rPr>
        <w:sectPr>
          <w:footerReference r:id="rId3" w:type="default"/>
          <w:footnotePr>
            <w:numFmt w:val="decimalEnclosedCircleChinese"/>
            <w:numRestart w:val="eachPage"/>
          </w:footnotePr>
          <w:pgSz w:w="11907" w:h="16840"/>
          <w:pgMar w:top="1588" w:right="1559" w:bottom="1531" w:left="1588" w:header="851" w:footer="851" w:gutter="0"/>
          <w:pgNumType w:fmt="decimal"/>
          <w:cols w:space="720" w:num="1"/>
          <w:docGrid w:linePitch="312" w:charSpace="0"/>
        </w:sectPr>
      </w:pPr>
    </w:p>
    <w:p w14:paraId="01A8C16C">
      <w:pPr>
        <w:adjustRightInd w:val="0"/>
        <w:snapToGrid w:val="0"/>
        <w:spacing w:line="300" w:lineRule="auto"/>
        <w:ind w:right="-512" w:rightChars="-244" w:firstLine="643" w:firstLineChars="200"/>
        <w:rPr>
          <w:rFonts w:hint="eastAsia" w:ascii="宋体" w:hAnsi="宋体" w:eastAsia="宋体" w:cs="宋体"/>
          <w:b/>
          <w:bCs/>
          <w:i w:val="0"/>
          <w:iCs w:val="0"/>
          <w:color w:val="auto"/>
          <w:kern w:val="2"/>
          <w:sz w:val="32"/>
          <w:szCs w:val="32"/>
          <w:highlight w:val="none"/>
          <w:lang w:val="en-US" w:eastAsia="zh-CN" w:bidi="ar-SA"/>
        </w:rPr>
      </w:pPr>
      <w:r>
        <w:rPr>
          <w:rFonts w:hint="eastAsia" w:ascii="宋体" w:hAnsi="宋体" w:eastAsia="宋体" w:cs="宋体"/>
          <w:b/>
          <w:bCs/>
          <w:i w:val="0"/>
          <w:iCs w:val="0"/>
          <w:color w:val="auto"/>
          <w:kern w:val="2"/>
          <w:sz w:val="32"/>
          <w:szCs w:val="32"/>
          <w:highlight w:val="none"/>
          <w:lang w:val="en-US" w:eastAsia="zh-CN" w:bidi="ar-SA"/>
        </w:rPr>
        <w:t>附录5  资格审查条件（其他人员最低要求）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995"/>
        <w:gridCol w:w="5916"/>
      </w:tblGrid>
      <w:tr w14:paraId="1E93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207" w:type="dxa"/>
            <w:noWrap w:val="0"/>
            <w:vAlign w:val="center"/>
          </w:tcPr>
          <w:p w14:paraId="1309492F">
            <w:pPr>
              <w:keepNext w:val="0"/>
              <w:keepLines w:val="0"/>
              <w:pageBreakBefore w:val="0"/>
              <w:widowControl w:val="0"/>
              <w:kinsoku/>
              <w:overflowPunct/>
              <w:autoSpaceDE/>
              <w:autoSpaceDN/>
              <w:bidi w:val="0"/>
              <w:adjustRightInd w:val="0"/>
              <w:snapToGri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人  员</w:t>
            </w:r>
          </w:p>
        </w:tc>
        <w:tc>
          <w:tcPr>
            <w:tcW w:w="995" w:type="dxa"/>
            <w:noWrap w:val="0"/>
            <w:vAlign w:val="center"/>
          </w:tcPr>
          <w:p w14:paraId="53F51D98">
            <w:pPr>
              <w:keepNext w:val="0"/>
              <w:keepLines w:val="0"/>
              <w:pageBreakBefore w:val="0"/>
              <w:widowControl w:val="0"/>
              <w:kinsoku/>
              <w:overflowPunct/>
              <w:autoSpaceDE/>
              <w:autoSpaceDN/>
              <w:bidi w:val="0"/>
              <w:adjustRightInd w:val="0"/>
              <w:snapToGri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数  量</w:t>
            </w:r>
          </w:p>
        </w:tc>
        <w:tc>
          <w:tcPr>
            <w:tcW w:w="5916" w:type="dxa"/>
            <w:noWrap w:val="0"/>
            <w:vAlign w:val="center"/>
          </w:tcPr>
          <w:p w14:paraId="16CCF92F">
            <w:pPr>
              <w:keepNext w:val="0"/>
              <w:keepLines w:val="0"/>
              <w:pageBreakBefore w:val="0"/>
              <w:widowControl w:val="0"/>
              <w:kinsoku/>
              <w:overflowPunct/>
              <w:autoSpaceDE/>
              <w:autoSpaceDN/>
              <w:bidi w:val="0"/>
              <w:adjustRightInd w:val="0"/>
              <w:snapToGri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 格 要 求</w:t>
            </w:r>
          </w:p>
        </w:tc>
      </w:tr>
      <w:tr w14:paraId="3951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07" w:type="dxa"/>
            <w:noWrap w:val="0"/>
            <w:vAlign w:val="center"/>
          </w:tcPr>
          <w:p w14:paraId="27C61191">
            <w:pPr>
              <w:pStyle w:val="7"/>
              <w:widowControl w:val="0"/>
              <w:spacing w:line="36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造价工程师</w:t>
            </w:r>
          </w:p>
        </w:tc>
        <w:tc>
          <w:tcPr>
            <w:tcW w:w="995" w:type="dxa"/>
            <w:noWrap w:val="0"/>
            <w:vAlign w:val="center"/>
          </w:tcPr>
          <w:p w14:paraId="5E763F9A">
            <w:pPr>
              <w:keepNext w:val="0"/>
              <w:keepLines w:val="0"/>
              <w:pageBreakBefore w:val="0"/>
              <w:widowControl w:val="0"/>
              <w:kinsoku/>
              <w:wordWrap w:val="0"/>
              <w:overflowPunct/>
              <w:topLinePunct/>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5916" w:type="dxa"/>
            <w:noWrap w:val="0"/>
            <w:vAlign w:val="center"/>
          </w:tcPr>
          <w:p w14:paraId="1180B6AE">
            <w:pPr>
              <w:widowControl w:val="0"/>
              <w:spacing w:line="360" w:lineRule="auto"/>
              <w:jc w:val="both"/>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路桥或工程经济相关专业中级工程师职称；具有交通运输部交通运输工程一级注册造价工程师（交通运输工程专业）或交通部颁发的</w:t>
            </w:r>
            <w:r>
              <w:rPr>
                <w:rFonts w:hint="eastAsia" w:ascii="宋体" w:hAnsi="宋体" w:eastAsia="宋体" w:cs="宋体"/>
                <w:color w:val="auto"/>
                <w:kern w:val="2"/>
                <w:sz w:val="21"/>
                <w:szCs w:val="21"/>
                <w:highlight w:val="none"/>
                <w:lang w:val="en-US" w:eastAsia="zh-CN" w:bidi="ar-SA"/>
              </w:rPr>
              <w:t>公路</w:t>
            </w:r>
            <w:r>
              <w:rPr>
                <w:rFonts w:hint="default" w:ascii="宋体" w:hAnsi="宋体" w:eastAsia="宋体" w:cs="宋体"/>
                <w:color w:val="auto"/>
                <w:kern w:val="2"/>
                <w:sz w:val="21"/>
                <w:szCs w:val="21"/>
                <w:highlight w:val="none"/>
                <w:lang w:val="en-US" w:eastAsia="zh-CN" w:bidi="ar-SA"/>
              </w:rPr>
              <w:t>甲级造价资格证书，并在单位注册；近5年内参与过1个高速公路造价咨询项目。</w:t>
            </w:r>
          </w:p>
        </w:tc>
      </w:tr>
      <w:tr w14:paraId="1F11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07" w:type="dxa"/>
            <w:noWrap w:val="0"/>
            <w:vAlign w:val="center"/>
          </w:tcPr>
          <w:p w14:paraId="4C482255">
            <w:pPr>
              <w:pStyle w:val="7"/>
              <w:widowControl w:val="0"/>
              <w:spacing w:line="360" w:lineRule="auto"/>
              <w:jc w:val="center"/>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造价员</w:t>
            </w:r>
          </w:p>
        </w:tc>
        <w:tc>
          <w:tcPr>
            <w:tcW w:w="995" w:type="dxa"/>
            <w:noWrap w:val="0"/>
            <w:vAlign w:val="center"/>
          </w:tcPr>
          <w:p w14:paraId="0FA62F9B">
            <w:pPr>
              <w:keepNext w:val="0"/>
              <w:keepLines w:val="0"/>
              <w:pageBreakBefore w:val="0"/>
              <w:widowControl w:val="0"/>
              <w:kinsoku/>
              <w:wordWrap w:val="0"/>
              <w:overflowPunct/>
              <w:topLinePunct/>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5916" w:type="dxa"/>
            <w:noWrap w:val="0"/>
            <w:vAlign w:val="center"/>
          </w:tcPr>
          <w:p w14:paraId="03875119">
            <w:pPr>
              <w:widowControl w:val="0"/>
              <w:spacing w:line="360" w:lineRule="auto"/>
              <w:jc w:val="both"/>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路桥或工程经济相关专业中级工程师职称；近5年内参与过1个高速公路造价咨询项目。</w:t>
            </w:r>
          </w:p>
        </w:tc>
      </w:tr>
    </w:tbl>
    <w:p w14:paraId="73EB5058">
      <w:pPr>
        <w:spacing w:before="15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注：</w:t>
      </w:r>
      <w:r>
        <w:rPr>
          <w:rFonts w:hint="eastAsia" w:ascii="宋体" w:hAnsi="宋体" w:eastAsia="宋体" w:cs="宋体"/>
          <w:color w:val="auto"/>
          <w:szCs w:val="21"/>
          <w:highlight w:val="none"/>
        </w:rPr>
        <w:t>上述人员在投标阶段无需提供，具体人选由招标人和中标人在合同谈判阶段确定，且经招标人审批后作为派驻本标段的主要人员。如中标人拟派驻的人员数量和资格条件不满足本表要求，招标人应取消其中标资格。</w:t>
      </w:r>
    </w:p>
    <w:p w14:paraId="33B6D5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1091">
    <w:pPr>
      <w:pStyle w:val="6"/>
      <w:spacing w:line="240" w:lineRule="exact"/>
      <w:ind w:right="360" w:firstLine="360"/>
      <w:jc w:val="center"/>
      <w:rPr>
        <w:rFonts w:eastAsia="黑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7FBB61">
                          <w:pPr>
                            <w:pStyle w:val="6"/>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77FBB61">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4385D"/>
    <w:rsid w:val="4CB43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s>
      <w:spacing w:line="240" w:lineRule="auto"/>
      <w:ind w:left="420" w:firstLine="420"/>
    </w:pPr>
    <w:rPr>
      <w:szCs w:val="24"/>
    </w:rPr>
  </w:style>
  <w:style w:type="paragraph" w:styleId="3">
    <w:name w:val="Body Text Indent"/>
    <w:basedOn w:val="1"/>
    <w:qFormat/>
    <w:uiPriority w:val="0"/>
    <w:pPr>
      <w:spacing w:after="120"/>
      <w:ind w:left="420" w:leftChars="200"/>
    </w:p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2026-03-02T02:03:00Z</dcterms:created>
  <dc:creator>zgl</dc:creator>
  <cp:lastModifiedBy>zgl</cp:lastModifiedBy>
  <dcterms:modified xsi:type="dcterms:W3CDTF">2026-03-02T02:04:10Z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63A77883A1E540F2BFF1601834283E81_11</vt:lpwstr>
  </property>
  <property fmtid="{D5CDD505-2E9C-101B-9397-08002B2CF9AE}" pid="4" name="KSOTemplateDocerSaveRecord">
    <vt:lpwstr>eyJoZGlkIjoiOGQxYjRhNzI5ODE4YjEzNjRmMjJhYjNiZGVkY2NlZjgiLCJ1c2VySWQiOiIyMjcwMDI0MjgifQ==</vt:lpwstr>
  </property>
</Properties>
</file>