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54589">
      <w:pPr>
        <w:keepNext w:val="0"/>
        <w:keepLines w:val="0"/>
        <w:widowControl/>
        <w:suppressLineNumbers w:val="0"/>
        <w:autoSpaceDE w:val="0"/>
        <w:autoSpaceDN/>
        <w:spacing w:before="0" w:beforeAutospacing="1" w:after="0" w:afterAutospacing="0" w:line="560" w:lineRule="exact"/>
        <w:ind w:left="0" w:right="0"/>
        <w:jc w:val="center"/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"/>
        </w:rPr>
        <w:t xml:space="preserve">国网甘肃电力定西供电公司2025年原集体企业第六次服务授权竞争性谈判采购（1）         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推荐的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  <w:lang w:eastAsia="zh-CN"/>
        </w:rPr>
        <w:t>成交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候选人公示</w:t>
      </w:r>
    </w:p>
    <w:p w14:paraId="1C3D8489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（采购项目编号:</w:t>
      </w:r>
      <w:r>
        <w:rPr>
          <w:rFonts w:hint="eastAsia" w:ascii="方正小标宋_GBK" w:hAnsi="方正小标宋_GBK" w:eastAsia="方正小标宋_GBK" w:cs="方正小标宋_GBK"/>
          <w:sz w:val="30"/>
          <w:szCs w:val="30"/>
          <w:lang w:eastAsia="zh-CN"/>
        </w:rPr>
        <w:t>CY2725S2710066-1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）   </w:t>
      </w:r>
    </w:p>
    <w:p w14:paraId="4FD9EC42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各相关应答人：</w:t>
      </w:r>
    </w:p>
    <w:p w14:paraId="56F10CFC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eastAsia="zh-CN"/>
        </w:rPr>
        <w:t>国网甘肃电力定西供电公司2025年原集体企业第六次服务授权竞争性谈判采购（1）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评审工作已经结束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现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</w:rPr>
        <w:t>将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评审委员会推荐的成交候选人予以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eastAsia="zh-CN"/>
        </w:rPr>
        <w:t>公示，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公示期3日。应答人或者其他利害关系人若对评审结果有异议的，请在成交候选人公示期间以书面形式提出。</w:t>
      </w:r>
    </w:p>
    <w:tbl>
      <w:tblPr>
        <w:tblStyle w:val="11"/>
        <w:tblW w:w="92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2126"/>
        <w:gridCol w:w="1698"/>
        <w:gridCol w:w="4282"/>
      </w:tblGrid>
      <w:tr w14:paraId="06BA6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F5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91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35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分包编号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F2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推荐的成交候选人</w:t>
            </w:r>
          </w:p>
        </w:tc>
      </w:tr>
      <w:tr w14:paraId="47FB2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90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09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CY2725S2710066-1</w:t>
            </w: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B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49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评审流标</w:t>
            </w:r>
          </w:p>
        </w:tc>
      </w:tr>
      <w:tr w14:paraId="0E3D8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23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E96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63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AF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甘肃荣源盛达电力科技有限公司</w:t>
            </w:r>
          </w:p>
        </w:tc>
      </w:tr>
      <w:tr w14:paraId="27BFB9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21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FB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FD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11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深圳市科迪讯电力设备有限公司</w:t>
            </w:r>
          </w:p>
        </w:tc>
      </w:tr>
      <w:tr w14:paraId="43A55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C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E9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76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E6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评审流标</w:t>
            </w:r>
          </w:p>
        </w:tc>
      </w:tr>
      <w:tr w14:paraId="09FAC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61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30E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CE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A3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南京科朗光电科技有限公司</w:t>
            </w:r>
          </w:p>
        </w:tc>
      </w:tr>
      <w:tr w14:paraId="4A30F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84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19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CE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81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深圳市子汇管理咨询有限公司</w:t>
            </w:r>
          </w:p>
        </w:tc>
      </w:tr>
      <w:tr w14:paraId="5D4C0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4F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D8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07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FE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湖南匡安网络技术有限公司</w:t>
            </w:r>
          </w:p>
        </w:tc>
      </w:tr>
      <w:tr w14:paraId="76B37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27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DA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F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88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评审流标</w:t>
            </w:r>
          </w:p>
        </w:tc>
      </w:tr>
      <w:tr w14:paraId="25A12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90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C72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36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54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甘肃荣源盛达电力科技有限公司</w:t>
            </w:r>
          </w:p>
        </w:tc>
      </w:tr>
      <w:tr w14:paraId="2C8A2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27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262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1B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8B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评审流标</w:t>
            </w:r>
          </w:p>
        </w:tc>
      </w:tr>
      <w:tr w14:paraId="47B48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AB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331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17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CA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评审流标</w:t>
            </w:r>
          </w:p>
        </w:tc>
      </w:tr>
      <w:tr w14:paraId="148C6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82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AF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C9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48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评审流标</w:t>
            </w:r>
          </w:p>
        </w:tc>
      </w:tr>
      <w:tr w14:paraId="29817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1E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80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2D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7A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评审流标</w:t>
            </w:r>
          </w:p>
        </w:tc>
      </w:tr>
      <w:tr w14:paraId="35045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73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12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2B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1A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评审流标</w:t>
            </w:r>
          </w:p>
        </w:tc>
      </w:tr>
      <w:tr w14:paraId="3877A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8C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358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55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FC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评审流标</w:t>
            </w:r>
          </w:p>
        </w:tc>
      </w:tr>
      <w:tr w14:paraId="3B190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06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95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D2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D4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甘肃天茂盛园林绿化工程有限责任公司</w:t>
            </w:r>
          </w:p>
        </w:tc>
      </w:tr>
      <w:tr w14:paraId="638D4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AA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84E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39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E0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甘肃天茂盛园林绿化工程有限责任公司</w:t>
            </w:r>
          </w:p>
        </w:tc>
      </w:tr>
      <w:tr w14:paraId="3ECD5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DF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A3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E9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D7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同瀚科技有限公司</w:t>
            </w:r>
          </w:p>
        </w:tc>
      </w:tr>
      <w:tr w14:paraId="6C250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0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5B2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7E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56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成都常寻电力科技有限公司</w:t>
            </w:r>
          </w:p>
        </w:tc>
      </w:tr>
      <w:tr w14:paraId="6E08C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AD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630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95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9003001-</w:t>
            </w:r>
            <w:r>
              <w:rPr>
                <w:rStyle w:val="15"/>
                <w:lang w:val="en-US" w:eastAsia="zh-CN" w:bidi="ar"/>
              </w:rPr>
              <w:t>包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4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FD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甘肃送变电工程有限公司</w:t>
            </w:r>
          </w:p>
        </w:tc>
      </w:tr>
    </w:tbl>
    <w:p w14:paraId="386C709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</w:p>
    <w:p w14:paraId="0B58BF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对以上结果如有异议，可以自公示之日起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日内，向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提出。</w:t>
      </w:r>
    </w:p>
    <w:p w14:paraId="4FA251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根据招标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eastAsia="zh-CN"/>
        </w:rPr>
        <w:t>应答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法及相关法规规定，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活动有着直接利害关系的当事人有异议的，有权依法进行异议，提出异议时应注意以下事项：</w:t>
      </w:r>
    </w:p>
    <w:p w14:paraId="3586FF0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异议必须在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成交候选人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公示结束前以书面形式提出。 </w:t>
      </w:r>
    </w:p>
    <w:p w14:paraId="46693CC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应当提交异议书，并包括下列内容： </w:t>
      </w:r>
    </w:p>
    <w:p w14:paraId="2AB4959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（1）异议人的名称、地址、联系人及有效联系方式；</w:t>
      </w:r>
    </w:p>
    <w:p w14:paraId="09FE1E5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（2）被异议人的名称；  </w:t>
      </w:r>
    </w:p>
    <w:p w14:paraId="1C6C124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（3）异议事项的基本事实；  </w:t>
      </w:r>
    </w:p>
    <w:p w14:paraId="4459EAE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（4）有效线索和相关证明材料。 </w:t>
      </w:r>
    </w:p>
    <w:p w14:paraId="6AAE56C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异议人为法人的，异议书必须由其法定代表人或者授权代表签字并加盖公章，同时还需提交授权委托书；异议人为个人的，异议书必须由异议人本人签字，并附有效身份证明，由本人提交。 </w:t>
      </w:r>
    </w:p>
    <w:p w14:paraId="4F9679F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下列异议将不予接收：  </w:t>
      </w:r>
    </w:p>
    <w:p w14:paraId="51B6574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（1）在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成交候选人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公示结束后提出的；</w:t>
      </w:r>
    </w:p>
    <w:p w14:paraId="6255D7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（2）异议人不能证明是所异议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活动的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活动有着直接利害关系的当事人；</w:t>
      </w:r>
    </w:p>
    <w:p w14:paraId="4A70543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（3）异议事项不具体，且未提供有效线索，难以查证的；</w:t>
      </w:r>
    </w:p>
    <w:p w14:paraId="4281D65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（4）对异议事项已经答复，且异议人没有提出新的证据的。</w:t>
      </w:r>
    </w:p>
    <w:p w14:paraId="3EC80E7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异议人不得以异议为名排挤竞争对手，进行虚假、恶意异议，阻碍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u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活动的正常进行。</w:t>
      </w:r>
    </w:p>
    <w:p w14:paraId="32EB477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>联系电话：</w:t>
      </w: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>0931-83966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val="en-US" w:eastAsia="zh-CN"/>
        </w:rPr>
        <w:t>76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 xml:space="preserve"> </w:t>
      </w:r>
    </w:p>
    <w:p w14:paraId="70AA2FC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right"/>
        <w:textAlignment w:val="auto"/>
        <w:rPr>
          <w:rFonts w:hint="eastAsia" w:ascii="方正仿宋_GBK" w:eastAsia="方正仿宋_GBK" w:hAnsiTheme="minorEastAsia"/>
          <w:color w:val="000000"/>
          <w:sz w:val="28"/>
          <w:szCs w:val="28"/>
        </w:rPr>
      </w:pP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>联系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eastAsia="zh-CN"/>
        </w:rPr>
        <w:t>邮箱</w:t>
      </w: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>：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val="en-US" w:eastAsia="zh-CN"/>
        </w:rPr>
        <w:t>987205797</w:t>
      </w: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 xml:space="preserve">@qq.com </w:t>
      </w:r>
    </w:p>
    <w:p w14:paraId="163D4AA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  <w:r>
        <w:rPr>
          <w:rFonts w:hint="eastAsia" w:ascii="方正仿宋_GBK" w:eastAsia="方正仿宋_GBK" w:hAnsiTheme="minorEastAsia"/>
          <w:color w:val="000000"/>
          <w:sz w:val="28"/>
          <w:szCs w:val="28"/>
          <w:lang w:eastAsia="zh-CN"/>
        </w:rPr>
        <w:t>202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  <w:t>年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  <w:lang w:val="en-US" w:eastAsia="zh-CN"/>
        </w:rPr>
        <w:t>07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  <w:t>月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  <w:lang w:val="en-US" w:eastAsia="zh-CN"/>
        </w:rPr>
        <w:t>04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  <w:t>日</w:t>
      </w:r>
    </w:p>
    <w:p w14:paraId="58BBF6D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 w14:paraId="3815CE2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国网甘肃电力定西供电公司2025年原集体企业第六次服务授权竞争性谈判采购（1）</w:t>
      </w:r>
    </w:p>
    <w:p w14:paraId="410D9818">
      <w:pPr>
        <w:pStyle w:val="2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eastAsia="zh-CN"/>
        </w:rPr>
        <w:t>否决原因</w:t>
      </w:r>
      <w:r>
        <w:rPr>
          <w:rFonts w:hint="eastAsia" w:ascii="宋体" w:hAnsi="宋体"/>
          <w:sz w:val="36"/>
          <w:szCs w:val="36"/>
        </w:rPr>
        <w:t>公示</w:t>
      </w:r>
    </w:p>
    <w:p w14:paraId="1B88D63B">
      <w:pPr>
        <w:rPr>
          <w:rFonts w:hint="eastAsia"/>
        </w:rPr>
      </w:pPr>
    </w:p>
    <w:p w14:paraId="07DFD5B4">
      <w:pPr>
        <w:jc w:val="both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各相关</w:t>
      </w:r>
      <w:bookmarkStart w:id="0" w:name="_GoBack"/>
      <w:bookmarkEnd w:id="0"/>
      <w:r>
        <w:rPr>
          <w:rFonts w:hint="eastAsia" w:ascii="宋体" w:hAnsi="宋体"/>
          <w:sz w:val="30"/>
          <w:szCs w:val="30"/>
          <w:lang w:eastAsia="zh-CN"/>
        </w:rPr>
        <w:t>应答人：</w:t>
      </w:r>
    </w:p>
    <w:p w14:paraId="2DAD8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国网甘肃电力定西供电公司2025年原集体企业第六次服务授权竞争性谈判采购（1）</w:t>
      </w:r>
      <w:r>
        <w:rPr>
          <w:rFonts w:hint="eastAsia" w:ascii="宋体" w:hAnsi="宋体"/>
          <w:sz w:val="30"/>
          <w:szCs w:val="30"/>
        </w:rPr>
        <w:t>工作已经</w:t>
      </w:r>
      <w:r>
        <w:rPr>
          <w:rFonts w:hint="eastAsia" w:ascii="宋体" w:hAnsi="宋体"/>
          <w:sz w:val="30"/>
          <w:szCs w:val="30"/>
          <w:lang w:eastAsia="zh-CN"/>
        </w:rPr>
        <w:t>完成</w:t>
      </w:r>
      <w:r>
        <w:rPr>
          <w:rFonts w:hint="eastAsia" w:ascii="宋体" w:hAnsi="宋体"/>
          <w:sz w:val="30"/>
          <w:szCs w:val="30"/>
        </w:rPr>
        <w:t>，</w:t>
      </w:r>
      <w:r>
        <w:rPr>
          <w:rFonts w:hint="eastAsia" w:ascii="宋体" w:hAnsi="宋体"/>
          <w:sz w:val="30"/>
          <w:szCs w:val="30"/>
          <w:lang w:eastAsia="zh-CN"/>
        </w:rPr>
        <w:t>现将招评标有关主要否决原因公示如下：</w:t>
      </w:r>
    </w:p>
    <w:tbl>
      <w:tblPr>
        <w:tblStyle w:val="11"/>
        <w:tblW w:w="91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2049"/>
        <w:gridCol w:w="2839"/>
        <w:gridCol w:w="2958"/>
      </w:tblGrid>
      <w:tr w14:paraId="6E528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  <w:jc w:val="center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2D5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88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未进入详评原因</w:t>
            </w:r>
          </w:p>
        </w:tc>
        <w:tc>
          <w:tcPr>
            <w:tcW w:w="2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9E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未实质响应的应答人数量</w:t>
            </w:r>
          </w:p>
        </w:tc>
        <w:tc>
          <w:tcPr>
            <w:tcW w:w="2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1D0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未实质响应的应答文件数量</w:t>
            </w:r>
          </w:p>
        </w:tc>
      </w:tr>
      <w:tr w14:paraId="5FEA9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B83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C50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格式内容</w:t>
            </w:r>
          </w:p>
        </w:tc>
        <w:tc>
          <w:tcPr>
            <w:tcW w:w="2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6B2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FFD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</w:tr>
    </w:tbl>
    <w:p w14:paraId="3C5E75DB">
      <w:pPr>
        <w:ind w:firstLine="600" w:firstLineChars="200"/>
        <w:jc w:val="both"/>
        <w:rPr>
          <w:rFonts w:hint="eastAsia" w:ascii="宋体" w:hAnsi="宋体"/>
          <w:sz w:val="30"/>
          <w:szCs w:val="30"/>
          <w:lang w:val="en-US" w:eastAsia="zh-CN"/>
        </w:rPr>
      </w:pPr>
    </w:p>
    <w:p w14:paraId="38E63329">
      <w:pPr>
        <w:ind w:firstLine="600" w:firstLineChars="200"/>
        <w:jc w:val="both"/>
        <w:rPr>
          <w:rFonts w:hint="eastAsia" w:ascii="宋体" w:hAnsi="宋体"/>
          <w:sz w:val="30"/>
          <w:szCs w:val="30"/>
          <w:lang w:val="en-US" w:eastAsia="zh-CN"/>
        </w:rPr>
      </w:pPr>
    </w:p>
    <w:p w14:paraId="641E9948">
      <w:pPr>
        <w:ind w:firstLine="600" w:firstLineChars="200"/>
        <w:jc w:val="both"/>
        <w:rPr>
          <w:rFonts w:hint="eastAsia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特此公示。</w:t>
      </w:r>
    </w:p>
    <w:p w14:paraId="334877EC"/>
    <w:p w14:paraId="4F227384"/>
    <w:p w14:paraId="58807C93">
      <w:pPr>
        <w:ind w:firstLine="600" w:firstLineChars="200"/>
        <w:jc w:val="right"/>
        <w:rPr>
          <w:rFonts w:hint="eastAsia" w:ascii="方正仿宋_GBK" w:hAnsi="方正仿宋_GBK" w:eastAsia="方正仿宋_GBK" w:cs="方正仿宋_GBK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30"/>
          <w:szCs w:val="30"/>
        </w:rPr>
        <w:t>招标人：国网甘肃电力</w:t>
      </w: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定西</w:t>
      </w:r>
      <w:r>
        <w:rPr>
          <w:rFonts w:hint="eastAsia" w:ascii="宋体" w:hAnsi="宋体"/>
          <w:b w:val="0"/>
          <w:bCs w:val="0"/>
          <w:sz w:val="30"/>
          <w:szCs w:val="30"/>
        </w:rPr>
        <w:t>供电公司</w:t>
      </w:r>
    </w:p>
    <w:p w14:paraId="7A2F597F">
      <w:pPr>
        <w:ind w:firstLine="600" w:firstLineChars="200"/>
        <w:jc w:val="right"/>
        <w:rPr>
          <w:rFonts w:hint="eastAsia" w:ascii="宋体" w:hAnsi="宋体" w:cs="Times New Roman"/>
          <w:b w:val="0"/>
          <w:bCs w:val="0"/>
          <w:sz w:val="30"/>
          <w:szCs w:val="30"/>
        </w:rPr>
      </w:pPr>
      <w:r>
        <w:rPr>
          <w:rFonts w:hint="eastAsia" w:ascii="宋体" w:hAnsi="宋体"/>
          <w:b w:val="0"/>
          <w:bCs w:val="0"/>
          <w:sz w:val="30"/>
          <w:szCs w:val="30"/>
        </w:rPr>
        <w:t>招标代理机构：</w:t>
      </w: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甘肃科源电力集团有限公司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 xml:space="preserve">          </w:t>
      </w:r>
    </w:p>
    <w:p w14:paraId="3ABACBA2">
      <w:pPr>
        <w:ind w:firstLine="600" w:firstLineChars="200"/>
        <w:jc w:val="right"/>
        <w:rPr>
          <w:rFonts w:hint="eastAsia" w:ascii="宋体" w:hAnsi="宋体" w:cs="Times New Roman"/>
          <w:b w:val="0"/>
          <w:bCs w:val="0"/>
          <w:sz w:val="30"/>
          <w:szCs w:val="30"/>
        </w:rPr>
      </w:pP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2025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>年</w:t>
      </w: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07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>月</w:t>
      </w: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04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>日</w:t>
      </w:r>
    </w:p>
    <w:p w14:paraId="5B4DFE62">
      <w:pPr>
        <w:pStyle w:val="4"/>
        <w:wordWrap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</w:p>
    <w:p w14:paraId="23CB74B9">
      <w:pPr>
        <w:pStyle w:val="4"/>
        <w:wordWrap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</w:p>
    <w:p w14:paraId="29C226A0">
      <w:pPr>
        <w:pStyle w:val="4"/>
        <w:wordWrap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FE4EABC6-C1B5-4C5D-9E06-0C2F19319C76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7F518F63-5CC2-47EB-8025-DA73FD9168B9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F9605191-859E-4C0F-B948-F4CF0F20BA3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jZDMxZmY1ZDBiMWZmYjBlOWZlMDliMjZmN2ZhZDEifQ=="/>
  </w:docVars>
  <w:rsids>
    <w:rsidRoot w:val="44A77C57"/>
    <w:rsid w:val="002C05EF"/>
    <w:rsid w:val="03273356"/>
    <w:rsid w:val="03A5079A"/>
    <w:rsid w:val="046F4330"/>
    <w:rsid w:val="04743E2C"/>
    <w:rsid w:val="04D53301"/>
    <w:rsid w:val="05A4520C"/>
    <w:rsid w:val="05ED2A31"/>
    <w:rsid w:val="06A64F55"/>
    <w:rsid w:val="06EC7CF1"/>
    <w:rsid w:val="07FE491D"/>
    <w:rsid w:val="0830171C"/>
    <w:rsid w:val="09181A0E"/>
    <w:rsid w:val="0A560642"/>
    <w:rsid w:val="0A6A257C"/>
    <w:rsid w:val="0A806A02"/>
    <w:rsid w:val="0CB10423"/>
    <w:rsid w:val="0D046532"/>
    <w:rsid w:val="0DA6583B"/>
    <w:rsid w:val="0EA15BA6"/>
    <w:rsid w:val="0F5650EE"/>
    <w:rsid w:val="10D421FF"/>
    <w:rsid w:val="11335637"/>
    <w:rsid w:val="12BB3B36"/>
    <w:rsid w:val="138C102F"/>
    <w:rsid w:val="145A6EED"/>
    <w:rsid w:val="147026FF"/>
    <w:rsid w:val="151A266A"/>
    <w:rsid w:val="15AE625B"/>
    <w:rsid w:val="1713029A"/>
    <w:rsid w:val="178A7480"/>
    <w:rsid w:val="17BC0BA2"/>
    <w:rsid w:val="180355BA"/>
    <w:rsid w:val="183F48C2"/>
    <w:rsid w:val="18666B56"/>
    <w:rsid w:val="1A6E5932"/>
    <w:rsid w:val="1ADB4503"/>
    <w:rsid w:val="1B6E4200"/>
    <w:rsid w:val="1B8151F1"/>
    <w:rsid w:val="1C4F709D"/>
    <w:rsid w:val="1CC85C0E"/>
    <w:rsid w:val="1D2D73DF"/>
    <w:rsid w:val="1DF738E9"/>
    <w:rsid w:val="1F2E743E"/>
    <w:rsid w:val="1FC14756"/>
    <w:rsid w:val="20007DFC"/>
    <w:rsid w:val="20234AC9"/>
    <w:rsid w:val="206550E2"/>
    <w:rsid w:val="213A348A"/>
    <w:rsid w:val="238C6E29"/>
    <w:rsid w:val="238E0DF3"/>
    <w:rsid w:val="240F3CE2"/>
    <w:rsid w:val="24F11399"/>
    <w:rsid w:val="27AE55C0"/>
    <w:rsid w:val="281B7DCC"/>
    <w:rsid w:val="285F68BA"/>
    <w:rsid w:val="298736A5"/>
    <w:rsid w:val="29BB2D35"/>
    <w:rsid w:val="2ACF3ADF"/>
    <w:rsid w:val="2B0C74E7"/>
    <w:rsid w:val="2B977972"/>
    <w:rsid w:val="2D1B6B7E"/>
    <w:rsid w:val="2DC773DC"/>
    <w:rsid w:val="2FD656B4"/>
    <w:rsid w:val="2FF722FC"/>
    <w:rsid w:val="3161104B"/>
    <w:rsid w:val="31964DC7"/>
    <w:rsid w:val="332E1CAB"/>
    <w:rsid w:val="337771AE"/>
    <w:rsid w:val="3387267D"/>
    <w:rsid w:val="34812A39"/>
    <w:rsid w:val="34B625F2"/>
    <w:rsid w:val="34C05684"/>
    <w:rsid w:val="34EE67C5"/>
    <w:rsid w:val="35410E83"/>
    <w:rsid w:val="366473DC"/>
    <w:rsid w:val="37940E03"/>
    <w:rsid w:val="3830277A"/>
    <w:rsid w:val="38D155B2"/>
    <w:rsid w:val="39C1487F"/>
    <w:rsid w:val="3A8A5A19"/>
    <w:rsid w:val="3ACC4283"/>
    <w:rsid w:val="3B0D7415"/>
    <w:rsid w:val="3BE31C74"/>
    <w:rsid w:val="3C487939"/>
    <w:rsid w:val="3F220194"/>
    <w:rsid w:val="400242A3"/>
    <w:rsid w:val="41017407"/>
    <w:rsid w:val="42127FFC"/>
    <w:rsid w:val="42A24E54"/>
    <w:rsid w:val="42AF42F7"/>
    <w:rsid w:val="44613C8E"/>
    <w:rsid w:val="44A77C57"/>
    <w:rsid w:val="44A973E3"/>
    <w:rsid w:val="454964D0"/>
    <w:rsid w:val="46936785"/>
    <w:rsid w:val="46C46EB5"/>
    <w:rsid w:val="48D03190"/>
    <w:rsid w:val="4A1C2F48"/>
    <w:rsid w:val="4C714C8A"/>
    <w:rsid w:val="4C8524E4"/>
    <w:rsid w:val="4DDA060D"/>
    <w:rsid w:val="4E984750"/>
    <w:rsid w:val="51D27F79"/>
    <w:rsid w:val="53B844C3"/>
    <w:rsid w:val="54295E4B"/>
    <w:rsid w:val="544E272A"/>
    <w:rsid w:val="559D43FA"/>
    <w:rsid w:val="55A82D9F"/>
    <w:rsid w:val="56F33A85"/>
    <w:rsid w:val="5706471F"/>
    <w:rsid w:val="58247055"/>
    <w:rsid w:val="5839653A"/>
    <w:rsid w:val="58AF3A7A"/>
    <w:rsid w:val="5AEC407C"/>
    <w:rsid w:val="5B377B70"/>
    <w:rsid w:val="5B6C6B97"/>
    <w:rsid w:val="5CDA23D8"/>
    <w:rsid w:val="5D891708"/>
    <w:rsid w:val="5DE74DAC"/>
    <w:rsid w:val="5F991CC2"/>
    <w:rsid w:val="5FB1193E"/>
    <w:rsid w:val="6044119A"/>
    <w:rsid w:val="60563B24"/>
    <w:rsid w:val="60870181"/>
    <w:rsid w:val="613E4173"/>
    <w:rsid w:val="621456D4"/>
    <w:rsid w:val="622421D1"/>
    <w:rsid w:val="623B7794"/>
    <w:rsid w:val="62EE79D5"/>
    <w:rsid w:val="63AC5C42"/>
    <w:rsid w:val="63D13FB9"/>
    <w:rsid w:val="6417181C"/>
    <w:rsid w:val="64803865"/>
    <w:rsid w:val="64D94D23"/>
    <w:rsid w:val="65605AD8"/>
    <w:rsid w:val="66952ECC"/>
    <w:rsid w:val="6700230F"/>
    <w:rsid w:val="67446DCC"/>
    <w:rsid w:val="69250E15"/>
    <w:rsid w:val="69913E1E"/>
    <w:rsid w:val="6A2A361C"/>
    <w:rsid w:val="6D57537F"/>
    <w:rsid w:val="6D904215"/>
    <w:rsid w:val="6E453429"/>
    <w:rsid w:val="708F3365"/>
    <w:rsid w:val="70904E30"/>
    <w:rsid w:val="71DB20DB"/>
    <w:rsid w:val="71EF7094"/>
    <w:rsid w:val="72514A93"/>
    <w:rsid w:val="73014D0C"/>
    <w:rsid w:val="73EF00BF"/>
    <w:rsid w:val="75522E02"/>
    <w:rsid w:val="75531D96"/>
    <w:rsid w:val="75EC73E6"/>
    <w:rsid w:val="7827272D"/>
    <w:rsid w:val="78283BA0"/>
    <w:rsid w:val="786355CF"/>
    <w:rsid w:val="78DF4BA6"/>
    <w:rsid w:val="7AE1082E"/>
    <w:rsid w:val="7AF1471D"/>
    <w:rsid w:val="7B5D0004"/>
    <w:rsid w:val="7D2A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qFormat/>
    <w:uiPriority w:val="0"/>
    <w:rPr>
      <w:rFonts w:ascii="Tahoma" w:hAnsi="Tahoma"/>
      <w:sz w:val="16"/>
      <w:szCs w:val="16"/>
    </w:rPr>
  </w:style>
  <w:style w:type="paragraph" w:styleId="5">
    <w:name w:val="Body Text"/>
    <w:basedOn w:val="1"/>
    <w:unhideWhenUsed/>
    <w:qFormat/>
    <w:uiPriority w:val="1"/>
    <w:pPr>
      <w:ind w:left="1240" w:right="1237" w:firstLine="600"/>
      <w:jc w:val="both"/>
    </w:pPr>
    <w:rPr>
      <w:rFonts w:hint="eastAsia"/>
      <w:sz w:val="30"/>
    </w:rPr>
  </w:style>
  <w:style w:type="paragraph" w:styleId="6">
    <w:name w:val="Body Text Indent"/>
    <w:basedOn w:val="1"/>
    <w:next w:val="7"/>
    <w:qFormat/>
    <w:uiPriority w:val="0"/>
    <w:pPr>
      <w:spacing w:after="120" w:afterLines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paragraph" w:styleId="8">
    <w:name w:val="List"/>
    <w:basedOn w:val="1"/>
    <w:qFormat/>
    <w:uiPriority w:val="0"/>
    <w:pPr>
      <w:ind w:left="200" w:hanging="200" w:hangingChars="200"/>
      <w:contextualSpacing/>
    </w:pPr>
  </w:style>
  <w:style w:type="paragraph" w:styleId="9">
    <w:name w:val="Body Text First Indent 2"/>
    <w:basedOn w:val="6"/>
    <w:next w:val="10"/>
    <w:qFormat/>
    <w:uiPriority w:val="0"/>
    <w:pPr>
      <w:tabs>
        <w:tab w:val="left" w:pos="1176"/>
      </w:tabs>
      <w:ind w:firstLine="420" w:firstLineChars="200"/>
    </w:pPr>
  </w:style>
  <w:style w:type="paragraph" w:customStyle="1" w:styleId="10">
    <w:name w:val="表格文字"/>
    <w:basedOn w:val="8"/>
    <w:next w:val="1"/>
    <w:qFormat/>
    <w:uiPriority w:val="0"/>
    <w:pPr>
      <w:ind w:firstLine="0" w:firstLineChars="0"/>
      <w:jc w:val="center"/>
    </w:pPr>
    <w:rPr>
      <w:szCs w:val="20"/>
    </w:rPr>
  </w:style>
  <w:style w:type="character" w:customStyle="1" w:styleId="13">
    <w:name w:val="font31"/>
    <w:basedOn w:val="12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14">
    <w:name w:val="font21"/>
    <w:basedOn w:val="12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font4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1125</Words>
  <Characters>1373</Characters>
  <Lines>1</Lines>
  <Paragraphs>1</Paragraphs>
  <TotalTime>8</TotalTime>
  <ScaleCrop>false</ScaleCrop>
  <LinksUpToDate>false</LinksUpToDate>
  <CharactersWithSpaces>1429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2023-06-05T09:12:00Z</dcterms:created>
  <dc:creator>Administrator</dc:creator>
  <cp:lastModifiedBy>悠然</cp:lastModifiedBy>
  <dcterms:modified xsi:type="dcterms:W3CDTF">2025-07-04T11:14:24Z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2138E57658C04C05BA757C480BCD1B9A</vt:lpwstr>
  </property>
  <property fmtid="{D5CDD505-2E9C-101B-9397-08002B2CF9AE}" pid="4" name="KSOTemplateDocerSaveRecord">
    <vt:lpwstr>eyJoZGlkIjoiMjA3YTAwYTI2ZTY5MzdkOTQwYTZjZmRhZDE3N2M4OTgiLCJ1c2VySWQiOiI2ODA5OTAyNjcifQ==</vt:lpwstr>
  </property>
</Properties>
</file>