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jc w:val="center"/>
        <w:outlineLvl w:val="0"/>
        <w:rPr>
          <w:rFonts w:ascii="黑体" w:hAnsi="黑体" w:eastAsia="黑体" w:cstheme="minorEastAsia"/>
          <w:b/>
          <w:color w:val="auto"/>
          <w:sz w:val="28"/>
          <w:szCs w:val="21"/>
          <w:highlight w:val="none"/>
        </w:rPr>
      </w:pPr>
      <w:bookmarkStart w:id="0" w:name="OLE_LINK5"/>
      <w:r>
        <w:rPr>
          <w:rFonts w:hint="eastAsia" w:ascii="黑体" w:hAnsi="黑体" w:eastAsia="黑体" w:cstheme="minorEastAsia"/>
          <w:b/>
          <w:color w:val="auto"/>
          <w:sz w:val="28"/>
          <w:szCs w:val="21"/>
          <w:highlight w:val="none"/>
        </w:rPr>
        <w:t>采购公告</w:t>
      </w:r>
    </w:p>
    <w:p>
      <w:pPr>
        <w:adjustRightInd w:val="0"/>
        <w:snapToGrid w:val="0"/>
        <w:rPr>
          <w:rFonts w:asciiTheme="minorEastAsia" w:hAnsiTheme="minorEastAsia" w:eastAsiaTheme="minorEastAsia" w:cstheme="minorEastAsia"/>
          <w:color w:val="auto"/>
          <w:szCs w:val="21"/>
          <w:highlight w:val="none"/>
        </w:rPr>
      </w:pPr>
      <w:bookmarkStart w:id="1" w:name="OLE_LINK2"/>
    </w:p>
    <w:p>
      <w:pPr>
        <w:adjustRightInd w:val="0"/>
        <w:snapToGrid w:val="0"/>
        <w:jc w:val="center"/>
        <w:rPr>
          <w:rFonts w:hint="eastAsia" w:ascii="黑体" w:hAnsi="黑体" w:eastAsia="黑体" w:cstheme="minorEastAsia"/>
          <w:color w:val="auto"/>
          <w:sz w:val="28"/>
          <w:szCs w:val="21"/>
          <w:highlight w:val="none"/>
          <w:lang w:eastAsia="zh-CN"/>
        </w:rPr>
      </w:pPr>
      <w:bookmarkStart w:id="2" w:name="OLE_LINK1"/>
      <w:bookmarkStart w:id="3" w:name="_Toc160"/>
      <w:r>
        <w:rPr>
          <w:rFonts w:hint="eastAsia" w:ascii="黑体" w:hAnsi="黑体" w:eastAsia="黑体" w:cstheme="minorEastAsia"/>
          <w:color w:val="auto"/>
          <w:sz w:val="28"/>
          <w:szCs w:val="21"/>
          <w:highlight w:val="none"/>
          <w:lang w:eastAsia="zh-CN"/>
        </w:rPr>
        <w:t>国网山东电力烟台供电公司2025年原集体企业第二十次服务授权公开竞争性谈判采购</w:t>
      </w:r>
    </w:p>
    <w:bookmarkEnd w:id="1"/>
    <w:bookmarkEnd w:id="2"/>
    <w:p>
      <w:pPr>
        <w:adjustRightInd w:val="0"/>
        <w:snapToGrid w:val="0"/>
        <w:jc w:val="center"/>
        <w:rPr>
          <w:rFonts w:ascii="黑体" w:hAnsi="黑体" w:eastAsia="黑体" w:cstheme="minorEastAsia"/>
          <w:color w:val="auto"/>
          <w:sz w:val="28"/>
          <w:szCs w:val="21"/>
          <w:highlight w:val="none"/>
        </w:rPr>
      </w:pPr>
      <w:r>
        <w:rPr>
          <w:rFonts w:hint="eastAsia" w:ascii="黑体" w:hAnsi="黑体" w:eastAsia="黑体" w:cstheme="minorEastAsia"/>
          <w:color w:val="auto"/>
          <w:sz w:val="28"/>
          <w:szCs w:val="21"/>
          <w:highlight w:val="none"/>
        </w:rPr>
        <w:t>采购公告</w:t>
      </w:r>
      <w:bookmarkEnd w:id="3"/>
    </w:p>
    <w:p>
      <w:pPr>
        <w:adjustRightInd w:val="0"/>
        <w:snapToGrid w:val="0"/>
        <w:jc w:val="center"/>
        <w:rPr>
          <w:rFonts w:hint="eastAsia" w:ascii="黑体" w:hAnsi="黑体" w:eastAsia="黑体" w:cstheme="minorEastAsia"/>
          <w:color w:val="auto"/>
          <w:sz w:val="28"/>
          <w:szCs w:val="21"/>
          <w:highlight w:val="none"/>
        </w:rPr>
      </w:pPr>
      <w:r>
        <w:rPr>
          <w:rFonts w:hint="eastAsia" w:ascii="黑体" w:hAnsi="黑体" w:eastAsia="黑体" w:cstheme="minorEastAsia"/>
          <w:color w:val="auto"/>
          <w:sz w:val="28"/>
          <w:szCs w:val="21"/>
          <w:highlight w:val="none"/>
        </w:rPr>
        <w:t>采购编号：</w:t>
      </w:r>
      <w:r>
        <w:rPr>
          <w:rFonts w:hint="eastAsia" w:ascii="黑体" w:hAnsi="黑体" w:eastAsia="黑体" w:cstheme="minorEastAsia"/>
          <w:color w:val="auto"/>
          <w:sz w:val="28"/>
          <w:szCs w:val="21"/>
          <w:highlight w:val="none"/>
          <w:lang w:val="en-US" w:eastAsia="zh-CN"/>
        </w:rPr>
        <w:t>CY0625SFEP20</w:t>
      </w:r>
    </w:p>
    <w:p>
      <w:pPr>
        <w:adjustRightInd w:val="0"/>
        <w:snapToGrid w:val="0"/>
        <w:jc w:val="center"/>
        <w:rPr>
          <w:rFonts w:ascii="黑体" w:hAnsi="黑体" w:eastAsia="黑体" w:cstheme="minorEastAsia"/>
          <w:b/>
          <w:color w:val="auto"/>
          <w:szCs w:val="21"/>
          <w:highlight w:val="none"/>
        </w:rPr>
      </w:pP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4" w:name="_Toc7788"/>
      <w:bookmarkStart w:id="5" w:name="_Toc62566117"/>
      <w:bookmarkStart w:id="6" w:name="_Toc11488"/>
      <w:r>
        <w:rPr>
          <w:rFonts w:hint="eastAsia" w:ascii="黑体" w:eastAsia="黑体" w:hAnsiTheme="majorHAnsi" w:cstheme="majorBidi"/>
          <w:b/>
          <w:color w:val="auto"/>
          <w:kern w:val="0"/>
          <w:sz w:val="24"/>
          <w:highlight w:val="none"/>
          <w:lang w:bidi="en-US"/>
        </w:rPr>
        <w:t>1.采购条件</w:t>
      </w:r>
      <w:bookmarkEnd w:id="4"/>
      <w:bookmarkEnd w:id="5"/>
      <w:bookmarkEnd w:id="6"/>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项目建设单位为</w:t>
      </w:r>
      <w:r>
        <w:rPr>
          <w:rFonts w:hint="eastAsia" w:ascii="宋体" w:hAnsi="宋体" w:cs="Times New Roman"/>
          <w:color w:val="auto"/>
          <w:highlight w:val="none"/>
        </w:rPr>
        <w:t>烟台东源投资有限公司及其分支机构、控股公司和全资子公司</w:t>
      </w:r>
      <w:r>
        <w:rPr>
          <w:rFonts w:hint="eastAsia" w:ascii="宋体" w:hAnsi="宋体"/>
          <w:color w:val="auto"/>
          <w:highlight w:val="none"/>
        </w:rPr>
        <w:t>（以下简称“项目单位”），项目资金来自企业自有资金，出资比例为100%，资金来源已落实，并委托</w:t>
      </w:r>
      <w:r>
        <w:rPr>
          <w:rFonts w:hint="eastAsia" w:ascii="宋体" w:hAnsi="宋体"/>
          <w:highlight w:val="none"/>
          <w:lang w:eastAsia="zh-CN"/>
        </w:rPr>
        <w:t>国网电子商务（北京）有限公司</w:t>
      </w:r>
      <w:r>
        <w:rPr>
          <w:rFonts w:hint="eastAsia" w:ascii="宋体" w:hAnsi="宋体"/>
          <w:color w:val="auto"/>
          <w:highlight w:val="none"/>
        </w:rPr>
        <w:t>为采购代理机构。项目已具备采购条件，现对该项目进行公开竞争性谈判采购。</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本项目积极响应《中共中央国务院关于开展质量提升行动的指导意见》，倡导潜在应答人用先进标准引领服务质量提升，有效治理质量突出问题，推动形成优质优价的采购机制。</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7" w:name="_Toc15047"/>
      <w:bookmarkStart w:id="8" w:name="_Toc62566118"/>
      <w:bookmarkStart w:id="9" w:name="_Toc31701"/>
      <w:r>
        <w:rPr>
          <w:rFonts w:hint="eastAsia" w:ascii="黑体" w:eastAsia="黑体" w:hAnsiTheme="majorHAnsi" w:cstheme="majorBidi"/>
          <w:b/>
          <w:color w:val="auto"/>
          <w:kern w:val="0"/>
          <w:sz w:val="24"/>
          <w:highlight w:val="none"/>
          <w:lang w:bidi="en-US"/>
        </w:rPr>
        <w:t>2.</w:t>
      </w:r>
      <w:bookmarkEnd w:id="7"/>
      <w:bookmarkEnd w:id="8"/>
      <w:bookmarkEnd w:id="9"/>
      <w:r>
        <w:rPr>
          <w:rFonts w:hint="eastAsia" w:ascii="黑体" w:eastAsia="黑体"/>
          <w:b/>
          <w:color w:val="auto"/>
          <w:sz w:val="24"/>
          <w:highlight w:val="none"/>
        </w:rPr>
        <w:t>项目概况与采购范围</w:t>
      </w:r>
    </w:p>
    <w:p>
      <w:pPr>
        <w:adjustRightInd w:val="0"/>
        <w:snapToGrid w:val="0"/>
        <w:spacing w:line="400" w:lineRule="exact"/>
        <w:ind w:firstLine="420" w:firstLineChars="200"/>
        <w:rPr>
          <w:rFonts w:hint="eastAsia" w:ascii="宋体" w:hAnsi="宋体" w:eastAsia="宋体"/>
          <w:color w:val="auto"/>
          <w:highlight w:val="none"/>
          <w:lang w:eastAsia="zh-CN"/>
        </w:rPr>
      </w:pPr>
      <w:bookmarkStart w:id="10" w:name="_Toc2249"/>
      <w:bookmarkStart w:id="11" w:name="_Toc62566119"/>
      <w:bookmarkStart w:id="12" w:name="_Toc24269"/>
      <w:r>
        <w:rPr>
          <w:rFonts w:hint="eastAsia" w:ascii="宋体" w:hAnsi="宋体" w:cs="宋体"/>
          <w:color w:val="auto"/>
          <w:szCs w:val="21"/>
          <w:highlight w:val="none"/>
        </w:rPr>
        <w:t>详见采购公告附件</w:t>
      </w:r>
      <w:r>
        <w:rPr>
          <w:rFonts w:hint="eastAsia" w:ascii="宋体" w:hAnsi="宋体"/>
          <w:color w:val="auto"/>
          <w:highlight w:val="none"/>
        </w:rPr>
        <w:t>。</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3.应答人资格要求</w:t>
      </w:r>
      <w:bookmarkEnd w:id="10"/>
      <w:bookmarkEnd w:id="11"/>
      <w:bookmarkEnd w:id="12"/>
    </w:p>
    <w:p>
      <w:pPr>
        <w:widowControl/>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3.1</w:t>
      </w:r>
      <w:r>
        <w:rPr>
          <w:rFonts w:hint="eastAsia" w:ascii="宋体" w:hAnsi="宋体"/>
          <w:b/>
          <w:color w:val="auto"/>
          <w:highlight w:val="none"/>
        </w:rPr>
        <w:t xml:space="preserve"> 应答人须满足如下通用资格要求：</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（1）本次采购要求应答人须为中华人民共和国境内依法注册的法人或</w:t>
      </w:r>
      <w:r>
        <w:rPr>
          <w:rFonts w:hint="eastAsia" w:ascii="宋体" w:hAnsi="宋体"/>
          <w:color w:val="auto"/>
          <w:highlight w:val="none"/>
          <w:lang w:eastAsia="zh-CN"/>
        </w:rPr>
        <w:t>其他</w:t>
      </w:r>
      <w:r>
        <w:rPr>
          <w:rFonts w:hint="eastAsia" w:ascii="宋体" w:hAnsi="宋体"/>
          <w:color w:val="auto"/>
          <w:highlight w:val="none"/>
        </w:rPr>
        <w:t>组织，须具备承担所应答项目的资格条件；并在人员、设备、资金等方面具有保障如期完成采购项目的能力。</w:t>
      </w:r>
    </w:p>
    <w:p>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（2）法定代表人或单位负责人为同一人或者存在控股、管理关系的不同单位，不得参加同一标包应答或者未划分标包的同一采购项目应答</w:t>
      </w:r>
      <w:r>
        <w:rPr>
          <w:rFonts w:hint="eastAsia" w:ascii="宋体" w:hAnsi="宋体"/>
          <w:color w:val="auto"/>
          <w:highlight w:val="none"/>
          <w:lang w:eastAsia="zh-CN"/>
        </w:rPr>
        <w:t>。</w:t>
      </w:r>
    </w:p>
    <w:p>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（3）</w:t>
      </w:r>
      <w:r>
        <w:rPr>
          <w:rFonts w:hint="eastAsia" w:ascii="宋体" w:hAnsi="宋体" w:cs="宋体"/>
          <w:color w:val="auto"/>
          <w:szCs w:val="21"/>
          <w:highlight w:val="none"/>
        </w:rPr>
        <w:t>取得国家法律、法规、规章规定的有效许可证。取得采购文件要求的国家强制认证证书</w:t>
      </w:r>
      <w:r>
        <w:rPr>
          <w:rFonts w:hint="eastAsia" w:ascii="宋体" w:hAnsi="宋体"/>
          <w:color w:val="auto"/>
          <w:highlight w:val="none"/>
        </w:rPr>
        <w:t>。</w:t>
      </w:r>
    </w:p>
    <w:p>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4</w:t>
      </w:r>
      <w:r>
        <w:rPr>
          <w:rFonts w:hint="eastAsia" w:ascii="宋体" w:hAnsi="宋体"/>
          <w:color w:val="auto"/>
          <w:highlight w:val="none"/>
        </w:rPr>
        <w:t>）应有良好的财务状况和商业信用。</w:t>
      </w:r>
    </w:p>
    <w:p>
      <w:pPr>
        <w:adjustRightInd w:val="0"/>
        <w:snapToGrid w:val="0"/>
        <w:spacing w:line="400" w:lineRule="exact"/>
        <w:ind w:firstLine="420" w:firstLineChars="200"/>
        <w:rPr>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5</w:t>
      </w:r>
      <w:r>
        <w:rPr>
          <w:rFonts w:hint="eastAsia" w:ascii="宋体" w:hAnsi="宋体"/>
          <w:color w:val="auto"/>
          <w:highlight w:val="none"/>
        </w:rPr>
        <w:t>）根据《国家电网有限公司供应商关系管理办法》的规定，应答人存在导致其被暂停成交资格或取消成交资格的不良行为且在处理有效期内的，应答人在首次应答截止之日至成交通知书到达之日前，任一日在</w:t>
      </w:r>
      <w:r>
        <w:rPr>
          <w:rFonts w:hint="eastAsia" w:asciiTheme="minorEastAsia" w:hAnsiTheme="minorEastAsia" w:eastAsiaTheme="minorEastAsia" w:cstheme="minorEastAsia"/>
          <w:color w:val="auto"/>
          <w:sz w:val="21"/>
          <w:szCs w:val="22"/>
          <w:highlight w:val="none"/>
        </w:rPr>
        <w:t>《国家电网有限公司关于供应商不良行为处理情况的通报》</w:t>
      </w:r>
      <w:r>
        <w:rPr>
          <w:rFonts w:hint="eastAsia" w:ascii="宋体" w:hAnsi="宋体"/>
          <w:color w:val="auto"/>
          <w:highlight w:val="none"/>
        </w:rPr>
        <w:t>处理期内的均适用不良行为处理结果。或应答人存在触发《国家电网有限公司供应商关系管理办法》第六十三条安全及质量重大问题“熔断机制”情形的，其应答将被否决。即使应答人在应答截止日尚不存在上述情况，但在成交通知书到达之日前，出现上述情况的，采购人亦有权取消其成交资格</w:t>
      </w:r>
      <w:r>
        <w:rPr>
          <w:rFonts w:hint="eastAsia"/>
          <w:color w:val="auto"/>
          <w:highlight w:val="none"/>
        </w:rPr>
        <w:t>。</w:t>
      </w:r>
    </w:p>
    <w:p>
      <w:pPr>
        <w:adjustRightInd w:val="0"/>
        <w:snapToGrid w:val="0"/>
        <w:spacing w:line="400" w:lineRule="exact"/>
        <w:ind w:firstLine="420" w:firstLineChars="200"/>
        <w:rPr>
          <w:rFonts w:hint="eastAsia" w:ascii="宋体" w:hAnsi="宋体" w:eastAsia="宋体"/>
          <w:color w:val="auto"/>
          <w:highlight w:val="none"/>
          <w:lang w:val="en-US" w:eastAsia="zh-CN"/>
        </w:rPr>
      </w:pPr>
      <w:r>
        <w:rPr>
          <w:rFonts w:hint="eastAsia" w:ascii="宋体" w:hAnsi="宋体"/>
          <w:color w:val="auto"/>
          <w:highlight w:val="none"/>
        </w:rPr>
        <w:t>（</w:t>
      </w:r>
      <w:r>
        <w:rPr>
          <w:rFonts w:hint="eastAsia" w:ascii="宋体" w:hAnsi="宋体"/>
          <w:color w:val="auto"/>
          <w:highlight w:val="none"/>
          <w:lang w:val="en-US" w:eastAsia="zh-CN"/>
        </w:rPr>
        <w:t>6</w:t>
      </w:r>
      <w:r>
        <w:rPr>
          <w:rFonts w:hint="eastAsia" w:ascii="宋体" w:hAnsi="宋体"/>
          <w:color w:val="auto"/>
          <w:highlight w:val="none"/>
        </w:rPr>
        <w:t>）</w:t>
      </w:r>
      <w:r>
        <w:rPr>
          <w:rFonts w:hint="eastAsia" w:ascii="宋体" w:hAnsi="宋体" w:eastAsia="宋体" w:cs="宋体"/>
          <w:color w:val="auto"/>
          <w:sz w:val="21"/>
          <w:szCs w:val="21"/>
          <w:highlight w:val="none"/>
          <w:lang w:eastAsia="zh-CN"/>
        </w:rPr>
        <w:t>根据最高人民法院、国家发展改革委、国家铁路局等九部门联合印发的《关于在招标投标活动中对失信被执行人实施联合惩戒的通知》（法〔2016〕285号），应答人不得被人民法院列为失信被执行人。应答人不得存在违法失信行为，不得被“信用中国”网站（www.creditchina.gov.cn）列入严重失信主体名单。即使应答人在开标当日未出现被列入失信被执行人或严重失信主体名单的情形，但在成交通知书到达之日前，存在上述情形的，采购人有权取消其成交资格。</w:t>
      </w:r>
    </w:p>
    <w:p>
      <w:pPr>
        <w:tabs>
          <w:tab w:val="left" w:pos="1134"/>
        </w:tabs>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7</w:t>
      </w:r>
      <w:r>
        <w:rPr>
          <w:rFonts w:hint="eastAsia" w:ascii="宋体" w:hAnsi="宋体"/>
          <w:color w:val="auto"/>
          <w:highlight w:val="none"/>
        </w:rPr>
        <w:t>）应答人不得被市场监督管理机关在国家企业信用信息公示系统中列入严重违法失信企业名单或列入经营异常名录信息。</w:t>
      </w:r>
      <w:r>
        <w:rPr>
          <w:rFonts w:hint="eastAsia" w:ascii="宋体" w:hAnsi="宋体"/>
          <w:color w:val="auto"/>
          <w:highlight w:val="none"/>
          <w:lang w:eastAsia="zh-CN"/>
        </w:rPr>
        <w:t>应答人需同时在商务文件中提供在国家企业信用信息公示系统（www.gsxt.gov.cn）查询的，包含“营业执照信息”、“列入严重违法失信企业名单（黑名单）”、“列入经营异常名录信息”、“行政处罚信息”、“清算信息”的查询结果，</w:t>
      </w:r>
      <w:r>
        <w:rPr>
          <w:rFonts w:hint="eastAsia" w:ascii="宋体" w:hAnsi="宋体"/>
          <w:color w:val="auto"/>
          <w:highlight w:val="none"/>
        </w:rPr>
        <w:t>如</w:t>
      </w:r>
      <w:r>
        <w:rPr>
          <w:rFonts w:hint="eastAsia" w:ascii="宋体" w:hAnsi="宋体"/>
          <w:color w:val="auto"/>
          <w:highlight w:val="none"/>
          <w:lang w:eastAsia="zh-CN"/>
        </w:rPr>
        <w:t>应答人</w:t>
      </w:r>
      <w:r>
        <w:rPr>
          <w:rFonts w:hint="eastAsia" w:ascii="宋体" w:hAnsi="宋体"/>
          <w:color w:val="auto"/>
          <w:highlight w:val="none"/>
        </w:rPr>
        <w:t>未提供企业信用信息公示报告，或提供的报告不符合</w:t>
      </w:r>
      <w:r>
        <w:rPr>
          <w:rFonts w:hint="eastAsia" w:ascii="宋体" w:hAnsi="宋体"/>
          <w:color w:val="auto"/>
          <w:highlight w:val="none"/>
          <w:lang w:eastAsia="zh-CN"/>
        </w:rPr>
        <w:t>采购文件</w:t>
      </w:r>
      <w:r>
        <w:rPr>
          <w:rFonts w:hint="eastAsia" w:ascii="宋体" w:hAnsi="宋体"/>
          <w:color w:val="auto"/>
          <w:highlight w:val="none"/>
        </w:rPr>
        <w:t>规定的格式与内容，或报告内容被</w:t>
      </w:r>
      <w:r>
        <w:rPr>
          <w:rFonts w:hint="eastAsia" w:ascii="宋体" w:hAnsi="宋体"/>
          <w:color w:val="auto"/>
          <w:highlight w:val="none"/>
          <w:lang w:eastAsia="zh-CN"/>
        </w:rPr>
        <w:t>评审委员会</w:t>
      </w:r>
      <w:r>
        <w:rPr>
          <w:rFonts w:hint="eastAsia" w:ascii="宋体" w:hAnsi="宋体"/>
          <w:color w:val="auto"/>
          <w:highlight w:val="none"/>
        </w:rPr>
        <w:t>认定有异议的，</w:t>
      </w:r>
      <w:r>
        <w:rPr>
          <w:rFonts w:hint="eastAsia" w:ascii="宋体" w:hAnsi="宋体"/>
          <w:color w:val="auto"/>
          <w:highlight w:val="none"/>
          <w:lang w:eastAsia="zh-CN"/>
        </w:rPr>
        <w:t>应答人</w:t>
      </w:r>
      <w:r>
        <w:rPr>
          <w:rFonts w:hint="eastAsia" w:ascii="宋体" w:hAnsi="宋体"/>
          <w:color w:val="auto"/>
          <w:highlight w:val="none"/>
        </w:rPr>
        <w:t>的“列入经营异常名录信息”和“列入严重违法失信企业名单（黑名单）信息”以</w:t>
      </w:r>
      <w:r>
        <w:rPr>
          <w:rFonts w:hint="eastAsia" w:ascii="宋体" w:hAnsi="宋体"/>
          <w:color w:val="auto"/>
          <w:highlight w:val="none"/>
          <w:lang w:eastAsia="zh-CN"/>
        </w:rPr>
        <w:t>评审委员会</w:t>
      </w:r>
      <w:r>
        <w:rPr>
          <w:rFonts w:hint="eastAsia" w:ascii="宋体" w:hAnsi="宋体"/>
          <w:color w:val="auto"/>
          <w:highlight w:val="none"/>
        </w:rPr>
        <w:t>在国家企业信用信息公示系统（www.gsxt.gov.cn）查询的结果为准。</w:t>
      </w:r>
      <w:r>
        <w:rPr>
          <w:rFonts w:hint="eastAsia" w:ascii="宋体" w:hAnsi="宋体"/>
          <w:color w:val="auto"/>
          <w:highlight w:val="none"/>
          <w:lang w:eastAsia="zh-CN"/>
        </w:rPr>
        <w:t>应答人</w:t>
      </w:r>
      <w:r>
        <w:rPr>
          <w:rFonts w:hint="eastAsia" w:ascii="宋体" w:hAnsi="宋体"/>
          <w:color w:val="auto"/>
          <w:highlight w:val="none"/>
        </w:rPr>
        <w:t>未提供或提供的企业信用信息公示报告不符合</w:t>
      </w:r>
      <w:r>
        <w:rPr>
          <w:rFonts w:hint="eastAsia" w:ascii="宋体" w:hAnsi="宋体"/>
          <w:color w:val="auto"/>
          <w:highlight w:val="none"/>
          <w:lang w:eastAsia="zh-CN"/>
        </w:rPr>
        <w:t>采购文件</w:t>
      </w:r>
      <w:r>
        <w:rPr>
          <w:rFonts w:hint="eastAsia" w:ascii="宋体" w:hAnsi="宋体"/>
          <w:color w:val="auto"/>
          <w:highlight w:val="none"/>
        </w:rPr>
        <w:t>规定的格式与内容的，</w:t>
      </w:r>
      <w:r>
        <w:rPr>
          <w:rFonts w:hint="eastAsia" w:ascii="宋体" w:hAnsi="宋体"/>
          <w:color w:val="auto"/>
          <w:highlight w:val="none"/>
          <w:lang w:eastAsia="zh-CN"/>
        </w:rPr>
        <w:t>评审委员会</w:t>
      </w:r>
      <w:r>
        <w:rPr>
          <w:rFonts w:hint="eastAsia" w:ascii="宋体" w:hAnsi="宋体"/>
          <w:color w:val="auto"/>
          <w:highlight w:val="none"/>
        </w:rPr>
        <w:t>将会对</w:t>
      </w:r>
      <w:r>
        <w:rPr>
          <w:rFonts w:hint="eastAsia" w:ascii="宋体" w:hAnsi="宋体"/>
          <w:color w:val="auto"/>
          <w:highlight w:val="none"/>
          <w:lang w:eastAsia="zh-CN"/>
        </w:rPr>
        <w:t>应答人</w:t>
      </w:r>
      <w:r>
        <w:rPr>
          <w:rFonts w:hint="eastAsia" w:ascii="宋体" w:hAnsi="宋体"/>
          <w:color w:val="auto"/>
          <w:highlight w:val="none"/>
        </w:rPr>
        <w:t>进行不利评价。</w:t>
      </w:r>
      <w:r>
        <w:rPr>
          <w:rFonts w:hint="eastAsia" w:ascii="宋体" w:hAnsi="宋体"/>
          <w:color w:val="auto"/>
          <w:highlight w:val="none"/>
          <w:lang w:eastAsia="zh-CN"/>
        </w:rPr>
        <w:t>应答人</w:t>
      </w:r>
      <w:r>
        <w:rPr>
          <w:rFonts w:hint="eastAsia" w:ascii="宋体" w:hAnsi="宋体"/>
          <w:color w:val="auto"/>
          <w:highlight w:val="none"/>
        </w:rPr>
        <w:t>提供虚假企业信用信息公示报告的，按照虚假</w:t>
      </w:r>
      <w:r>
        <w:rPr>
          <w:rFonts w:hint="eastAsia" w:ascii="宋体" w:hAnsi="宋体"/>
          <w:color w:val="auto"/>
          <w:highlight w:val="none"/>
          <w:lang w:val="en-US" w:eastAsia="zh-CN"/>
        </w:rPr>
        <w:t>应答</w:t>
      </w:r>
      <w:r>
        <w:rPr>
          <w:rFonts w:hint="eastAsia" w:ascii="宋体" w:hAnsi="宋体"/>
          <w:color w:val="auto"/>
          <w:highlight w:val="none"/>
        </w:rPr>
        <w:t>进行否决，并根据《</w:t>
      </w:r>
      <w:r>
        <w:rPr>
          <w:rFonts w:hint="eastAsia" w:ascii="宋体" w:hAnsi="宋体"/>
          <w:color w:val="auto"/>
          <w:highlight w:val="none"/>
          <w:lang w:eastAsia="zh-CN"/>
        </w:rPr>
        <w:t>国家电网有限公司供应商关系管理办法</w:t>
      </w:r>
      <w:r>
        <w:rPr>
          <w:rFonts w:hint="eastAsia" w:ascii="宋体" w:hAnsi="宋体"/>
          <w:color w:val="auto"/>
          <w:highlight w:val="none"/>
        </w:rPr>
        <w:t>》进行相应处理。</w:t>
      </w:r>
      <w:r>
        <w:rPr>
          <w:rFonts w:hint="eastAsia" w:ascii="宋体" w:hAnsi="宋体" w:eastAsia="宋体" w:cs="宋体"/>
          <w:color w:val="auto"/>
          <w:sz w:val="21"/>
          <w:szCs w:val="21"/>
          <w:highlight w:val="none"/>
          <w:lang w:eastAsia="zh-CN"/>
        </w:rPr>
        <w:t>即使应答人在开标当日未出现被市场监督管理机关列入经营异常名录或严重违法失信企业名单的情形，但在成交通知书到达之日前，存在上述情形的，采购人有权取消其成交资格。</w:t>
      </w:r>
    </w:p>
    <w:p>
      <w:pPr>
        <w:adjustRightInd w:val="0"/>
        <w:snapToGrid w:val="0"/>
        <w:spacing w:line="400" w:lineRule="exact"/>
        <w:ind w:firstLine="420" w:firstLineChars="200"/>
        <w:rPr>
          <w:rFonts w:hint="eastAsia"/>
          <w:color w:val="000000"/>
          <w:sz w:val="21"/>
          <w:szCs w:val="21"/>
          <w:highlight w:val="none"/>
        </w:rPr>
      </w:pPr>
      <w:r>
        <w:rPr>
          <w:rFonts w:hint="eastAsia" w:ascii="宋体" w:hAnsi="宋体"/>
          <w:bCs/>
          <w:color w:val="auto"/>
          <w:highlight w:val="none"/>
        </w:rPr>
        <w:t>（</w:t>
      </w:r>
      <w:r>
        <w:rPr>
          <w:rFonts w:hint="eastAsia" w:ascii="宋体" w:hAnsi="宋体"/>
          <w:bCs/>
          <w:color w:val="auto"/>
          <w:highlight w:val="none"/>
          <w:lang w:val="en-US" w:eastAsia="zh-CN"/>
        </w:rPr>
        <w:t>8</w:t>
      </w:r>
      <w:r>
        <w:rPr>
          <w:rFonts w:hint="eastAsia" w:ascii="宋体" w:hAnsi="宋体"/>
          <w:bCs/>
          <w:color w:val="auto"/>
          <w:highlight w:val="none"/>
        </w:rPr>
        <w:t>）</w:t>
      </w:r>
      <w:r>
        <w:rPr>
          <w:rFonts w:hint="eastAsia" w:ascii="宋体" w:hAnsi="宋体"/>
          <w:color w:val="auto"/>
          <w:highlight w:val="none"/>
          <w:lang w:val="en-US" w:eastAsia="zh-CN"/>
        </w:rPr>
        <w:t>不得</w:t>
      </w:r>
      <w:r>
        <w:rPr>
          <w:rFonts w:hint="eastAsia"/>
          <w:color w:val="000000"/>
          <w:sz w:val="21"/>
          <w:szCs w:val="21"/>
          <w:highlight w:val="none"/>
        </w:rPr>
        <w:t>存在由于安全黑名单或安全负面清单禁入承揽外包项目</w:t>
      </w:r>
    </w:p>
    <w:p>
      <w:pPr>
        <w:adjustRightInd w:val="0"/>
        <w:snapToGrid w:val="0"/>
        <w:spacing w:line="400" w:lineRule="exact"/>
        <w:ind w:firstLine="420" w:firstLineChars="200"/>
        <w:rPr>
          <w:rFonts w:hint="eastAsia" w:ascii="宋体" w:hAnsi="宋体" w:eastAsia="宋体"/>
          <w:b/>
          <w:color w:val="auto"/>
          <w:highlight w:val="none"/>
          <w:lang w:eastAsia="zh-CN"/>
        </w:rPr>
      </w:pPr>
      <w:r>
        <w:rPr>
          <w:rFonts w:hint="eastAsia" w:ascii="宋体" w:hAnsi="宋体" w:cs="Times New Roman"/>
          <w:bCs/>
          <w:color w:val="auto"/>
          <w:highlight w:val="none"/>
          <w:lang w:eastAsia="zh-CN"/>
        </w:rPr>
        <w:t>（</w:t>
      </w:r>
      <w:r>
        <w:rPr>
          <w:rFonts w:hint="eastAsia" w:ascii="宋体" w:hAnsi="宋体" w:cs="Times New Roman"/>
          <w:bCs/>
          <w:color w:val="auto"/>
          <w:highlight w:val="none"/>
          <w:lang w:val="en-US" w:eastAsia="zh-CN"/>
        </w:rPr>
        <w:t>9</w:t>
      </w:r>
      <w:r>
        <w:rPr>
          <w:rFonts w:hint="eastAsia" w:ascii="宋体" w:hAnsi="宋体" w:cs="Times New Roman"/>
          <w:bCs/>
          <w:color w:val="auto"/>
          <w:highlight w:val="none"/>
          <w:lang w:eastAsia="zh-CN"/>
        </w:rPr>
        <w:t>）</w:t>
      </w:r>
      <w:r>
        <w:rPr>
          <w:rFonts w:hint="eastAsia" w:ascii="宋体" w:hAnsi="宋体"/>
          <w:bCs/>
          <w:color w:val="auto"/>
          <w:highlight w:val="none"/>
        </w:rPr>
        <w:t>其他</w:t>
      </w:r>
      <w:r>
        <w:rPr>
          <w:rFonts w:hint="eastAsia" w:ascii="宋体" w:hAnsi="宋体"/>
          <w:bCs/>
          <w:color w:val="auto"/>
          <w:highlight w:val="none"/>
          <w:lang w:eastAsia="zh-CN"/>
        </w:rPr>
        <w:t>。</w:t>
      </w:r>
    </w:p>
    <w:p>
      <w:pPr>
        <w:widowControl/>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 xml:space="preserve">3.2 </w:t>
      </w:r>
      <w:r>
        <w:rPr>
          <w:rFonts w:hint="eastAsia" w:ascii="宋体" w:hAnsi="宋体"/>
          <w:b/>
          <w:color w:val="auto"/>
          <w:highlight w:val="none"/>
        </w:rPr>
        <w:t>应答人须满足如下专用资格要求：</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详见采购公告附件。</w:t>
      </w:r>
    </w:p>
    <w:p>
      <w:pPr>
        <w:widowControl/>
        <w:adjustRightInd w:val="0"/>
        <w:snapToGrid w:val="0"/>
        <w:spacing w:line="400" w:lineRule="exact"/>
        <w:ind w:firstLine="422" w:firstLineChars="200"/>
        <w:outlineLvl w:val="2"/>
        <w:rPr>
          <w:b/>
          <w:color w:val="auto"/>
          <w:highlight w:val="none"/>
        </w:rPr>
      </w:pPr>
      <w:r>
        <w:rPr>
          <w:rFonts w:ascii="宋体" w:hAnsi="宋体"/>
          <w:b/>
          <w:color w:val="auto"/>
          <w:highlight w:val="none"/>
        </w:rPr>
        <w:t>3.</w:t>
      </w:r>
      <w:r>
        <w:rPr>
          <w:rFonts w:hint="eastAsia" w:ascii="宋体" w:hAnsi="宋体"/>
          <w:b/>
          <w:color w:val="auto"/>
          <w:highlight w:val="none"/>
        </w:rPr>
        <w:t xml:space="preserve">3 </w:t>
      </w:r>
      <w:r>
        <w:rPr>
          <w:rFonts w:hint="eastAsia"/>
          <w:b/>
          <w:color w:val="auto"/>
          <w:highlight w:val="none"/>
        </w:rPr>
        <w:t>除专用资格要求中明确接受联合体应答的项目外，不接受联合体应答。</w:t>
      </w:r>
    </w:p>
    <w:p>
      <w:pPr>
        <w:adjustRightInd w:val="0"/>
        <w:snapToGrid w:val="0"/>
        <w:spacing w:line="400" w:lineRule="exact"/>
        <w:ind w:firstLine="422" w:firstLineChars="200"/>
        <w:outlineLvl w:val="2"/>
        <w:rPr>
          <w:rFonts w:ascii="宋体" w:hAnsi="宋体"/>
          <w:b/>
          <w:color w:val="auto"/>
          <w:highlight w:val="none"/>
        </w:rPr>
      </w:pPr>
      <w:r>
        <w:rPr>
          <w:rFonts w:ascii="宋体" w:hAnsi="宋体"/>
          <w:b/>
          <w:color w:val="auto"/>
          <w:highlight w:val="none"/>
        </w:rPr>
        <w:t>3.</w:t>
      </w:r>
      <w:r>
        <w:rPr>
          <w:rFonts w:hint="eastAsia" w:ascii="宋体" w:hAnsi="宋体"/>
          <w:b/>
          <w:color w:val="auto"/>
          <w:highlight w:val="none"/>
        </w:rPr>
        <w:t>4 如接受联合体应答的，应答人还应遵守以下规定：</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（1）联合体各方均应满足3.1款和3.2款的规定。</w:t>
      </w:r>
    </w:p>
    <w:p>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（2</w:t>
      </w:r>
      <w:r>
        <w:rPr>
          <w:rFonts w:ascii="宋体" w:hAnsi="宋体"/>
          <w:color w:val="auto"/>
          <w:highlight w:val="none"/>
        </w:rPr>
        <w:t>）联合体各方应按照采购文件提供的格式签订联合体协议书，明确联合体牵头人和各方的权利义务</w:t>
      </w:r>
      <w:r>
        <w:rPr>
          <w:rFonts w:hint="eastAsia" w:ascii="宋体" w:hAnsi="宋体"/>
          <w:color w:val="auto"/>
          <w:highlight w:val="none"/>
          <w:lang w:eastAsia="zh-CN"/>
        </w:rPr>
        <w:t>。</w:t>
      </w:r>
    </w:p>
    <w:p>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（3）联合体牵头人代表联合体各方负责获取本项目的采购文件及应答工作</w:t>
      </w:r>
      <w:r>
        <w:rPr>
          <w:rFonts w:hint="eastAsia" w:ascii="宋体" w:hAnsi="宋体"/>
          <w:color w:val="auto"/>
          <w:highlight w:val="none"/>
          <w:lang w:eastAsia="zh-CN"/>
        </w:rPr>
        <w:t>。</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（4）由同一专业的单位组成的联合体，按照资质等级较低的单位确定资质等级；不同专业分工由不同单位分别承担的，按照各自的专业资质确定联合体的资质。</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（5）联合体各方不得再以自己名义单独或参加其他联合体在同一标包中应答。</w:t>
      </w:r>
    </w:p>
    <w:p>
      <w:pPr>
        <w:adjustRightInd w:val="0"/>
        <w:snapToGrid w:val="0"/>
        <w:spacing w:line="400" w:lineRule="exact"/>
        <w:ind w:firstLine="422" w:firstLineChars="200"/>
        <w:rPr>
          <w:color w:val="auto"/>
          <w:highlight w:val="none"/>
        </w:rPr>
      </w:pPr>
      <w:r>
        <w:rPr>
          <w:rFonts w:ascii="宋体" w:hAnsi="宋体"/>
          <w:b/>
          <w:color w:val="auto"/>
          <w:highlight w:val="none"/>
        </w:rPr>
        <w:t>3.5</w:t>
      </w:r>
      <w:r>
        <w:rPr>
          <w:rFonts w:hint="eastAsia"/>
          <w:color w:val="auto"/>
          <w:highlight w:val="none"/>
        </w:rPr>
        <w:t>除专用资格要求中明确接受代理商应答的项目外，不接受代理商应答。</w:t>
      </w:r>
    </w:p>
    <w:p>
      <w:pPr>
        <w:adjustRightInd w:val="0"/>
        <w:snapToGrid w:val="0"/>
        <w:spacing w:line="400" w:lineRule="exact"/>
        <w:ind w:firstLine="422" w:firstLineChars="200"/>
        <w:rPr>
          <w:color w:val="auto"/>
          <w:highlight w:val="none"/>
        </w:rPr>
      </w:pPr>
      <w:r>
        <w:rPr>
          <w:rFonts w:ascii="宋体" w:hAnsi="宋体"/>
          <w:b/>
          <w:color w:val="auto"/>
          <w:highlight w:val="none"/>
        </w:rPr>
        <w:t>3.6</w:t>
      </w:r>
      <w:r>
        <w:rPr>
          <w:rFonts w:hint="eastAsia"/>
          <w:color w:val="auto"/>
          <w:highlight w:val="none"/>
        </w:rPr>
        <w:t>本次</w:t>
      </w:r>
      <w:r>
        <w:rPr>
          <w:rFonts w:hint="eastAsia"/>
          <w:color w:val="auto"/>
          <w:highlight w:val="none"/>
          <w:lang w:val="en-US" w:eastAsia="zh-CN"/>
        </w:rPr>
        <w:t>采购</w:t>
      </w:r>
      <w:r>
        <w:rPr>
          <w:rFonts w:hint="eastAsia" w:ascii="宋体" w:hAnsi="宋体"/>
          <w:color w:val="auto"/>
          <w:szCs w:val="21"/>
          <w:highlight w:val="none"/>
        </w:rPr>
        <w:t>不接受</w:t>
      </w:r>
      <w:r>
        <w:rPr>
          <w:rFonts w:hint="eastAsia"/>
          <w:color w:val="auto"/>
          <w:highlight w:val="none"/>
          <w:lang w:eastAsia="zh-CN"/>
        </w:rPr>
        <w:t>应答人委托中介机构或者中间人编制应答文件或代行办理应答事宜</w:t>
      </w:r>
      <w:r>
        <w:rPr>
          <w:rFonts w:hint="eastAsia"/>
          <w:color w:val="auto"/>
          <w:highlight w:val="none"/>
        </w:rPr>
        <w:t>。</w:t>
      </w:r>
    </w:p>
    <w:p>
      <w:pPr>
        <w:adjustRightInd w:val="0"/>
        <w:snapToGrid w:val="0"/>
        <w:spacing w:line="400" w:lineRule="exact"/>
        <w:ind w:firstLine="420" w:firstLineChars="199"/>
        <w:rPr>
          <w:color w:val="auto"/>
          <w:highlight w:val="none"/>
        </w:rPr>
      </w:pPr>
      <w:r>
        <w:rPr>
          <w:rFonts w:ascii="宋体" w:hAnsi="宋体"/>
          <w:b/>
          <w:color w:val="auto"/>
          <w:highlight w:val="none"/>
        </w:rPr>
        <w:t>3.7</w:t>
      </w:r>
      <w:r>
        <w:rPr>
          <w:rFonts w:hint="eastAsia"/>
          <w:color w:val="auto"/>
          <w:highlight w:val="none"/>
        </w:rPr>
        <w:t>各应答人均可就本次采购的部分或全部标包应答。</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13" w:name="_Toc3136"/>
      <w:bookmarkStart w:id="14" w:name="_Toc26765"/>
      <w:bookmarkStart w:id="15" w:name="_Toc62566120"/>
      <w:r>
        <w:rPr>
          <w:rFonts w:hint="eastAsia" w:ascii="黑体" w:eastAsia="黑体" w:hAnsiTheme="majorHAnsi" w:cstheme="majorBidi"/>
          <w:b/>
          <w:color w:val="auto"/>
          <w:kern w:val="0"/>
          <w:sz w:val="24"/>
          <w:highlight w:val="none"/>
          <w:lang w:bidi="en-US"/>
        </w:rPr>
        <w:t>4.采购文件的获取</w:t>
      </w:r>
      <w:bookmarkEnd w:id="13"/>
      <w:bookmarkEnd w:id="14"/>
      <w:bookmarkEnd w:id="15"/>
    </w:p>
    <w:p>
      <w:pPr>
        <w:adjustRightInd w:val="0"/>
        <w:snapToGrid w:val="0"/>
        <w:spacing w:line="400" w:lineRule="exact"/>
        <w:ind w:firstLine="420" w:firstLineChars="200"/>
        <w:outlineLvl w:val="2"/>
        <w:rPr>
          <w:rFonts w:ascii="宋体" w:hAnsi="宋体"/>
          <w:color w:val="auto"/>
          <w:highlight w:val="none"/>
        </w:rPr>
      </w:pPr>
      <w:r>
        <w:rPr>
          <w:rFonts w:hint="eastAsia" w:ascii="宋体" w:hAnsi="宋体"/>
          <w:color w:val="auto"/>
          <w:highlight w:val="none"/>
        </w:rPr>
        <w:t>4.1 采购文件（电子文件）免费获取。</w:t>
      </w:r>
    </w:p>
    <w:p>
      <w:pPr>
        <w:adjustRightInd w:val="0"/>
        <w:snapToGrid w:val="0"/>
        <w:spacing w:line="400" w:lineRule="exact"/>
        <w:ind w:firstLine="420" w:firstLineChars="200"/>
        <w:outlineLvl w:val="2"/>
        <w:rPr>
          <w:rFonts w:ascii="宋体" w:hAnsi="宋体"/>
          <w:color w:val="auto"/>
          <w:highlight w:val="none"/>
        </w:rPr>
      </w:pPr>
      <w:r>
        <w:rPr>
          <w:rFonts w:hint="eastAsia" w:ascii="宋体" w:hAnsi="宋体"/>
          <w:color w:val="auto"/>
          <w:highlight w:val="none"/>
        </w:rPr>
        <w:t>4.2</w:t>
      </w:r>
      <w:r>
        <w:rPr>
          <w:rFonts w:hint="eastAsia" w:ascii="宋体" w:hAnsi="宋体" w:cs="宋体"/>
          <w:color w:val="auto"/>
          <w:szCs w:val="21"/>
          <w:highlight w:val="none"/>
        </w:rPr>
        <w:t>凡有意参加应答者，请于</w:t>
      </w:r>
      <w:r>
        <w:rPr>
          <w:rFonts w:hint="eastAsia" w:ascii="宋体"/>
          <w:color w:val="auto"/>
          <w:szCs w:val="21"/>
          <w:highlight w:val="none"/>
          <w:lang w:val="en-US" w:eastAsia="zh-CN"/>
        </w:rPr>
        <w:t>2025</w:t>
      </w:r>
      <w:r>
        <w:rPr>
          <w:rFonts w:hint="eastAsia" w:ascii="宋体"/>
          <w:color w:val="auto"/>
          <w:szCs w:val="21"/>
          <w:highlight w:val="none"/>
        </w:rPr>
        <w:t>年</w:t>
      </w:r>
      <w:r>
        <w:rPr>
          <w:rFonts w:hint="eastAsia" w:ascii="宋体"/>
          <w:color w:val="auto"/>
          <w:szCs w:val="21"/>
          <w:highlight w:val="none"/>
          <w:lang w:val="en-US" w:eastAsia="zh-CN"/>
        </w:rPr>
        <w:t>7</w:t>
      </w:r>
      <w:r>
        <w:rPr>
          <w:rFonts w:hint="eastAsia" w:ascii="宋体"/>
          <w:color w:val="auto"/>
          <w:szCs w:val="21"/>
          <w:highlight w:val="none"/>
        </w:rPr>
        <w:t>月</w:t>
      </w:r>
      <w:r>
        <w:rPr>
          <w:rFonts w:hint="eastAsia" w:ascii="宋体"/>
          <w:color w:val="auto"/>
          <w:szCs w:val="21"/>
          <w:highlight w:val="none"/>
          <w:lang w:val="en-US" w:eastAsia="zh-CN"/>
        </w:rPr>
        <w:t>9</w:t>
      </w:r>
      <w:r>
        <w:rPr>
          <w:rFonts w:hint="eastAsia" w:ascii="宋体"/>
          <w:color w:val="auto"/>
          <w:szCs w:val="21"/>
          <w:highlight w:val="none"/>
        </w:rPr>
        <w:t>日-</w:t>
      </w:r>
      <w:r>
        <w:rPr>
          <w:rFonts w:hint="eastAsia" w:ascii="宋体"/>
          <w:color w:val="auto"/>
          <w:szCs w:val="21"/>
          <w:highlight w:val="none"/>
          <w:lang w:val="en-US" w:eastAsia="zh-CN"/>
        </w:rPr>
        <w:t>2025</w:t>
      </w:r>
      <w:r>
        <w:rPr>
          <w:rFonts w:hint="eastAsia" w:ascii="宋体"/>
          <w:color w:val="auto"/>
          <w:szCs w:val="21"/>
          <w:highlight w:val="none"/>
        </w:rPr>
        <w:t>年</w:t>
      </w:r>
      <w:r>
        <w:rPr>
          <w:rFonts w:hint="eastAsia" w:ascii="宋体"/>
          <w:color w:val="auto"/>
          <w:szCs w:val="21"/>
          <w:highlight w:val="none"/>
          <w:lang w:val="en-US" w:eastAsia="zh-CN"/>
        </w:rPr>
        <w:t>7</w:t>
      </w:r>
      <w:r>
        <w:rPr>
          <w:rFonts w:hint="eastAsia" w:ascii="宋体"/>
          <w:color w:val="auto"/>
          <w:szCs w:val="21"/>
          <w:highlight w:val="none"/>
        </w:rPr>
        <w:t>月</w:t>
      </w:r>
      <w:r>
        <w:rPr>
          <w:rFonts w:hint="eastAsia" w:ascii="宋体"/>
          <w:color w:val="auto"/>
          <w:szCs w:val="21"/>
          <w:highlight w:val="none"/>
          <w:lang w:val="en-US" w:eastAsia="zh-CN"/>
        </w:rPr>
        <w:t>17</w:t>
      </w:r>
      <w:r>
        <w:rPr>
          <w:rFonts w:hint="eastAsia" w:ascii="宋体"/>
          <w:color w:val="auto"/>
          <w:szCs w:val="21"/>
          <w:highlight w:val="none"/>
        </w:rPr>
        <w:t>日</w:t>
      </w:r>
      <w:r>
        <w:rPr>
          <w:rFonts w:hint="eastAsia" w:ascii="宋体"/>
          <w:color w:val="auto"/>
          <w:szCs w:val="21"/>
          <w:highlight w:val="none"/>
          <w:lang w:val="en-US" w:eastAsia="zh-CN"/>
        </w:rPr>
        <w:t>17</w:t>
      </w:r>
      <w:r>
        <w:rPr>
          <w:rFonts w:hint="eastAsia" w:ascii="宋体"/>
          <w:color w:val="auto"/>
          <w:szCs w:val="21"/>
          <w:highlight w:val="none"/>
        </w:rPr>
        <w:t>:</w:t>
      </w:r>
      <w:r>
        <w:rPr>
          <w:rFonts w:hint="eastAsia" w:ascii="宋体"/>
          <w:color w:val="auto"/>
          <w:szCs w:val="21"/>
          <w:highlight w:val="none"/>
          <w:lang w:val="en-US" w:eastAsia="zh-CN"/>
        </w:rPr>
        <w:t>00</w:t>
      </w:r>
      <w:r>
        <w:rPr>
          <w:rFonts w:hint="eastAsia" w:ascii="宋体"/>
          <w:color w:val="auto"/>
          <w:szCs w:val="21"/>
          <w:highlight w:val="none"/>
        </w:rPr>
        <w:t>时</w:t>
      </w:r>
      <w:r>
        <w:rPr>
          <w:rFonts w:ascii="宋体" w:hAnsi="宋体"/>
          <w:color w:val="auto"/>
          <w:highlight w:val="none"/>
        </w:rPr>
        <w:t>（北京时间，下同），</w:t>
      </w:r>
      <w:r>
        <w:rPr>
          <w:rFonts w:hint="eastAsia" w:ascii="宋体" w:hAnsi="宋体"/>
          <w:color w:val="auto"/>
          <w:highlight w:val="none"/>
        </w:rPr>
        <w:t>登录</w:t>
      </w:r>
      <w:r>
        <w:rPr>
          <w:rFonts w:hint="eastAsia" w:ascii="宋体" w:hAnsi="宋体"/>
          <w:color w:val="auto"/>
          <w:highlight w:val="none"/>
          <w:lang w:val="en-US" w:eastAsia="zh-CN"/>
        </w:rPr>
        <w:t>采购</w:t>
      </w:r>
      <w:r>
        <w:rPr>
          <w:rFonts w:hint="eastAsia" w:ascii="宋体" w:hAnsi="宋体"/>
          <w:color w:val="auto"/>
          <w:highlight w:val="none"/>
          <w:lang w:eastAsia="zh-CN"/>
        </w:rPr>
        <w:t>人招投标交易平台信息系统</w:t>
      </w:r>
      <w:r>
        <w:rPr>
          <w:rFonts w:hint="eastAsia" w:ascii="宋体" w:hAnsi="宋体"/>
          <w:color w:val="auto"/>
          <w:highlight w:val="none"/>
        </w:rPr>
        <w:t>（</w:t>
      </w:r>
      <w:r>
        <w:rPr>
          <w:rFonts w:hint="eastAsia" w:ascii="宋体" w:hAnsi="宋体"/>
          <w:b/>
          <w:color w:val="auto"/>
          <w:highlight w:val="none"/>
        </w:rPr>
        <w:t>电子商务平台（</w:t>
      </w:r>
      <w:r>
        <w:rPr>
          <w:rFonts w:ascii="宋体" w:hAnsi="宋体"/>
          <w:b/>
          <w:color w:val="auto"/>
          <w:highlight w:val="none"/>
        </w:rPr>
        <w:t>ECP</w:t>
      </w:r>
      <w:r>
        <w:rPr>
          <w:rFonts w:hint="eastAsia" w:ascii="宋体" w:hAnsi="宋体"/>
          <w:b/>
          <w:color w:val="auto"/>
          <w:highlight w:val="none"/>
        </w:rPr>
        <w:t>）</w:t>
      </w:r>
      <w:r>
        <w:rPr>
          <w:rFonts w:ascii="宋体" w:hAnsi="宋体"/>
          <w:b/>
          <w:color w:val="auto"/>
          <w:highlight w:val="none"/>
        </w:rPr>
        <w:t>-</w:t>
      </w:r>
      <w:r>
        <w:rPr>
          <w:rFonts w:hint="eastAsia" w:ascii="宋体" w:hAnsi="宋体"/>
          <w:b/>
          <w:color w:val="auto"/>
          <w:highlight w:val="none"/>
        </w:rPr>
        <w:t>电工交易专区</w:t>
      </w:r>
      <w:r>
        <w:rPr>
          <w:rFonts w:ascii="宋体" w:hAnsi="宋体"/>
          <w:b/>
          <w:color w:val="auto"/>
          <w:highlight w:val="none"/>
        </w:rPr>
        <w:t>https://sgccetp.com.cn/portal/#/</w:t>
      </w:r>
      <w:r>
        <w:rPr>
          <w:rFonts w:hint="eastAsia" w:ascii="宋体" w:hAnsi="宋体"/>
          <w:b/>
          <w:color w:val="auto"/>
          <w:highlight w:val="none"/>
        </w:rPr>
        <w:t>，下同</w:t>
      </w:r>
      <w:r>
        <w:rPr>
          <w:rFonts w:hint="eastAsia" w:ascii="宋体" w:hAnsi="宋体"/>
          <w:color w:val="auto"/>
          <w:highlight w:val="none"/>
        </w:rPr>
        <w:t>）获取采购文件，并按《电子招标投标办法》等国家法律法规要求，到第三方认证机构办理CA证书电子钥匙。应答人应妥善保管</w:t>
      </w:r>
      <w:r>
        <w:rPr>
          <w:rFonts w:hint="eastAsia" w:ascii="宋体" w:hAnsi="宋体"/>
          <w:color w:val="auto"/>
          <w:highlight w:val="none"/>
          <w:lang w:eastAsia="zh-CN"/>
        </w:rPr>
        <w:t>采购人招投标交易平台信息系统</w:t>
      </w:r>
      <w:r>
        <w:rPr>
          <w:rFonts w:hint="eastAsia" w:ascii="宋体" w:hAnsi="宋体"/>
          <w:color w:val="auto"/>
          <w:highlight w:val="none"/>
        </w:rPr>
        <w:t>账号和密码，以及CA数字证书和密码，因上述账号、数字证书或密码保管不当造成的损失，由应答人自行承担。</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应答人应在</w:t>
      </w:r>
      <w:r>
        <w:rPr>
          <w:rFonts w:hint="eastAsia" w:ascii="宋体" w:hAnsi="宋体"/>
          <w:color w:val="auto"/>
          <w:highlight w:val="none"/>
          <w:lang w:eastAsia="zh-CN"/>
        </w:rPr>
        <w:t>采购人招投标交易平台信息系统</w:t>
      </w:r>
      <w:r>
        <w:rPr>
          <w:rFonts w:hint="eastAsia" w:ascii="宋体" w:hAnsi="宋体"/>
          <w:color w:val="auto"/>
          <w:highlight w:val="none"/>
        </w:rPr>
        <w:t>注册并办理</w:t>
      </w:r>
      <w:r>
        <w:rPr>
          <w:rFonts w:ascii="宋体" w:hAnsi="宋体"/>
          <w:color w:val="auto"/>
          <w:highlight w:val="none"/>
        </w:rPr>
        <w:t>CA</w:t>
      </w:r>
      <w:r>
        <w:rPr>
          <w:rFonts w:hint="eastAsia" w:ascii="宋体" w:hAnsi="宋体"/>
          <w:color w:val="auto"/>
          <w:highlight w:val="none"/>
        </w:rPr>
        <w:t>证书电子钥匙方可获取采购文件，电子钥匙的办理流程请登录</w:t>
      </w:r>
      <w:r>
        <w:rPr>
          <w:rFonts w:hint="eastAsia" w:ascii="宋体" w:hAnsi="宋体"/>
          <w:color w:val="auto"/>
          <w:highlight w:val="none"/>
          <w:lang w:eastAsia="zh-CN"/>
        </w:rPr>
        <w:t>采购人招投标交易平台信息系统</w:t>
      </w:r>
      <w:r>
        <w:rPr>
          <w:rFonts w:hint="eastAsia" w:ascii="宋体" w:hAnsi="宋体"/>
          <w:color w:val="auto"/>
          <w:highlight w:val="none"/>
        </w:rPr>
        <w:t>首页“新手指引”→“电子钥匙办理须知”下载所有文件仔细阅读。电子钥匙的办理需要一定的时间，请潜在应答人高度重视。由于没有及时办理电子钥匙导致获取采购文件失败，由应答人自行承担相关责任。支持电话为：4009915500。</w:t>
      </w:r>
    </w:p>
    <w:p>
      <w:pPr>
        <w:adjustRightInd w:val="0"/>
        <w:snapToGrid w:val="0"/>
        <w:spacing w:line="400" w:lineRule="exact"/>
        <w:ind w:firstLine="422" w:firstLineChars="200"/>
        <w:outlineLvl w:val="2"/>
        <w:rPr>
          <w:rFonts w:hint="default" w:ascii="宋体" w:hAnsi="宋体" w:eastAsia="宋体"/>
          <w:b/>
          <w:bCs/>
          <w:color w:val="auto"/>
          <w:highlight w:val="none"/>
          <w:lang w:val="en-US" w:eastAsia="zh-CN"/>
        </w:rPr>
      </w:pPr>
      <w:r>
        <w:rPr>
          <w:rFonts w:ascii="宋体" w:hAnsi="宋体"/>
          <w:b/>
          <w:bCs/>
          <w:color w:val="auto"/>
          <w:highlight w:val="none"/>
        </w:rPr>
        <w:t>4.</w:t>
      </w:r>
      <w:r>
        <w:rPr>
          <w:rFonts w:hint="eastAsia" w:ascii="宋体" w:hAnsi="宋体"/>
          <w:b/>
          <w:bCs/>
          <w:color w:val="auto"/>
          <w:highlight w:val="none"/>
        </w:rPr>
        <w:t>3</w:t>
      </w:r>
      <w:r>
        <w:rPr>
          <w:rFonts w:hint="eastAsia" w:ascii="宋体" w:hAnsi="宋体"/>
          <w:b/>
          <w:bCs/>
          <w:color w:val="auto"/>
          <w:highlight w:val="none"/>
          <w:lang w:val="en-US" w:eastAsia="zh-CN"/>
        </w:rPr>
        <w:t>未按上述时间和方式获取采购文件的，将无法进行后续的应答及报价。</w:t>
      </w:r>
    </w:p>
    <w:p>
      <w:pPr>
        <w:adjustRightInd w:val="0"/>
        <w:snapToGrid w:val="0"/>
        <w:spacing w:line="400" w:lineRule="exact"/>
        <w:ind w:firstLine="422" w:firstLineChars="200"/>
        <w:outlineLvl w:val="2"/>
        <w:rPr>
          <w:rFonts w:hint="eastAsia" w:ascii="宋体" w:hAnsi="宋体"/>
          <w:color w:val="auto"/>
          <w:highlight w:val="none"/>
          <w:lang w:val="en-US" w:eastAsia="zh-CN"/>
        </w:rPr>
      </w:pPr>
      <w:r>
        <w:rPr>
          <w:rFonts w:hint="eastAsia" w:ascii="宋体" w:hAnsi="宋体"/>
          <w:b/>
          <w:bCs/>
          <w:color w:val="auto"/>
          <w:highlight w:val="none"/>
          <w:lang w:val="en-US" w:eastAsia="zh-CN"/>
        </w:rPr>
        <w:t>4.4应答人需利用投标工具进行电子应答文件编制。投标工具下载方式：</w:t>
      </w:r>
      <w:r>
        <w:rPr>
          <w:rFonts w:hint="eastAsia" w:ascii="宋体" w:hAnsi="宋体"/>
          <w:color w:val="auto"/>
          <w:highlight w:val="none"/>
          <w:lang w:val="en-US" w:eastAsia="zh-CN"/>
        </w:rPr>
        <w:t>请各应答人在采购人招投标交易平台信息系统首页“下载专区→供应商投标工具”下载并安装。操作手册及注意事项见首页“操作说明→ECP2.0招标采购流程供应商操作手册“或“演示视频→投标工具新U+操作指导视频”。投标工具操作问题联系采购人招投标交易平台信息系统支持服务电话：010-63411000。使用投标工具电脑配置要求：内存大于8GB，64位操作系统。</w:t>
      </w:r>
    </w:p>
    <w:p>
      <w:pPr>
        <w:adjustRightInd w:val="0"/>
        <w:snapToGrid w:val="0"/>
        <w:spacing w:line="400" w:lineRule="exact"/>
        <w:ind w:firstLine="422" w:firstLineChars="200"/>
        <w:outlineLvl w:val="2"/>
        <w:rPr>
          <w:rFonts w:ascii="宋体" w:hAnsi="宋体"/>
          <w:b/>
          <w:bCs/>
          <w:color w:val="auto"/>
          <w:highlight w:val="none"/>
        </w:rPr>
      </w:pPr>
      <w:r>
        <w:rPr>
          <w:rFonts w:ascii="宋体" w:hAnsi="宋体"/>
          <w:b/>
          <w:bCs/>
          <w:color w:val="auto"/>
          <w:highlight w:val="none"/>
        </w:rPr>
        <w:t>4.</w:t>
      </w:r>
      <w:r>
        <w:rPr>
          <w:rFonts w:hint="eastAsia" w:ascii="宋体" w:hAnsi="宋体"/>
          <w:b/>
          <w:bCs/>
          <w:color w:val="auto"/>
          <w:highlight w:val="none"/>
          <w:lang w:val="en-US" w:eastAsia="zh-CN"/>
        </w:rPr>
        <w:t>5</w:t>
      </w:r>
      <w:r>
        <w:rPr>
          <w:rFonts w:ascii="宋体" w:hAnsi="宋体"/>
          <w:b/>
          <w:bCs/>
          <w:color w:val="auto"/>
          <w:highlight w:val="none"/>
        </w:rPr>
        <w:t xml:space="preserve"> </w:t>
      </w:r>
      <w:r>
        <w:rPr>
          <w:rFonts w:hint="eastAsia" w:ascii="宋体" w:hAnsi="宋体"/>
          <w:b/>
          <w:bCs/>
          <w:color w:val="auto"/>
          <w:highlight w:val="none"/>
        </w:rPr>
        <w:t>注意事项</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16" w:name="_Toc62566121"/>
      <w:bookmarkStart w:id="17" w:name="_Toc26882"/>
      <w:bookmarkStart w:id="18" w:name="_Toc6421"/>
      <w:r>
        <w:rPr>
          <w:rFonts w:hint="eastAsia" w:ascii="黑体" w:eastAsia="黑体" w:hAnsiTheme="majorHAnsi" w:cstheme="majorBidi"/>
          <w:b/>
          <w:color w:val="auto"/>
          <w:kern w:val="0"/>
          <w:sz w:val="24"/>
          <w:highlight w:val="none"/>
          <w:lang w:bidi="en-US"/>
        </w:rPr>
        <w:t>5.首次应答文件的提交</w:t>
      </w:r>
      <w:bookmarkEnd w:id="16"/>
      <w:bookmarkEnd w:id="17"/>
      <w:bookmarkEnd w:id="18"/>
    </w:p>
    <w:p>
      <w:pPr>
        <w:adjustRightInd w:val="0"/>
        <w:snapToGrid w:val="0"/>
        <w:spacing w:line="400" w:lineRule="exact"/>
        <w:ind w:firstLine="420" w:firstLineChars="200"/>
        <w:outlineLvl w:val="2"/>
        <w:rPr>
          <w:rFonts w:ascii="宋体" w:hAnsi="宋体"/>
          <w:highlight w:val="none"/>
        </w:rPr>
      </w:pPr>
      <w:r>
        <w:rPr>
          <w:rFonts w:hint="eastAsia" w:ascii="宋体" w:hAnsi="宋体"/>
          <w:highlight w:val="none"/>
        </w:rPr>
        <w:t>5.1</w:t>
      </w:r>
      <w:r>
        <w:rPr>
          <w:rFonts w:hint="eastAsia" w:ascii="Calibri" w:hAnsi="Calibri"/>
          <w:b/>
          <w:color w:val="auto"/>
          <w:highlight w:val="none"/>
        </w:rPr>
        <w:t>首次应答文件提交的截止时间（首次应答截止时间，下同）</w:t>
      </w:r>
      <w:r>
        <w:rPr>
          <w:rFonts w:hint="eastAsia"/>
          <w:b/>
          <w:highlight w:val="none"/>
        </w:rPr>
        <w:t>：</w:t>
      </w:r>
      <w:r>
        <w:rPr>
          <w:rFonts w:hint="eastAsia" w:ascii="宋体"/>
          <w:color w:val="auto"/>
          <w:szCs w:val="21"/>
          <w:highlight w:val="none"/>
          <w:lang w:val="en-US" w:eastAsia="zh-CN"/>
        </w:rPr>
        <w:t>2025</w:t>
      </w:r>
      <w:r>
        <w:rPr>
          <w:rFonts w:hint="eastAsia" w:ascii="宋体"/>
          <w:color w:val="auto"/>
          <w:szCs w:val="21"/>
          <w:highlight w:val="none"/>
        </w:rPr>
        <w:t>年</w:t>
      </w:r>
      <w:r>
        <w:rPr>
          <w:rFonts w:hint="eastAsia" w:ascii="宋体"/>
          <w:color w:val="auto"/>
          <w:szCs w:val="21"/>
          <w:highlight w:val="none"/>
          <w:lang w:val="en-US" w:eastAsia="zh-CN"/>
        </w:rPr>
        <w:t>7月31日8</w:t>
      </w:r>
      <w:r>
        <w:rPr>
          <w:rFonts w:hint="eastAsia" w:ascii="宋体"/>
          <w:color w:val="auto"/>
          <w:szCs w:val="21"/>
          <w:highlight w:val="none"/>
        </w:rPr>
        <w:t>:</w:t>
      </w:r>
      <w:r>
        <w:rPr>
          <w:rFonts w:hint="eastAsia" w:ascii="宋体"/>
          <w:color w:val="auto"/>
          <w:szCs w:val="21"/>
          <w:highlight w:val="none"/>
          <w:lang w:val="en-US" w:eastAsia="zh-CN"/>
        </w:rPr>
        <w:t>30</w:t>
      </w:r>
      <w:r>
        <w:rPr>
          <w:rFonts w:hint="eastAsia" w:ascii="宋体"/>
          <w:color w:val="auto"/>
          <w:szCs w:val="21"/>
          <w:highlight w:val="none"/>
        </w:rPr>
        <w:t>时</w:t>
      </w:r>
      <w:r>
        <w:rPr>
          <w:rFonts w:hint="eastAsia" w:ascii="宋体" w:hAnsi="宋体"/>
          <w:color w:val="auto"/>
          <w:highlight w:val="none"/>
        </w:rPr>
        <w:t>。</w:t>
      </w:r>
      <w:r>
        <w:rPr>
          <w:rFonts w:ascii="宋体" w:hAnsi="宋体" w:cs="宋体"/>
          <w:szCs w:val="21"/>
          <w:highlight w:val="none"/>
        </w:rPr>
        <w:t>未按期在ETP上传投标文件的，线下投标将视为无效投标。</w:t>
      </w:r>
    </w:p>
    <w:p>
      <w:pPr>
        <w:pStyle w:val="10"/>
        <w:spacing w:line="400" w:lineRule="exact"/>
        <w:rPr>
          <w:rFonts w:ascii="Calibri" w:hAnsi="Calibri"/>
          <w:bCs/>
          <w:szCs w:val="22"/>
          <w:highlight w:val="none"/>
        </w:rPr>
      </w:pPr>
      <w:r>
        <w:rPr>
          <w:rFonts w:hint="eastAsia"/>
          <w:b/>
          <w:highlight w:val="none"/>
        </w:rPr>
        <w:t>应答文件</w:t>
      </w:r>
      <w:r>
        <w:rPr>
          <w:rFonts w:hint="eastAsia"/>
          <w:b/>
          <w:highlight w:val="none"/>
          <w:lang w:val="en-US" w:eastAsia="zh-CN"/>
        </w:rPr>
        <w:t>提</w:t>
      </w:r>
      <w:r>
        <w:rPr>
          <w:rFonts w:hint="eastAsia"/>
          <w:b/>
          <w:highlight w:val="none"/>
        </w:rPr>
        <w:t>交时间：</w:t>
      </w:r>
      <w:r>
        <w:rPr>
          <w:rFonts w:hint="eastAsia" w:ascii="Calibri" w:hAnsi="Calibri"/>
          <w:bCs/>
          <w:color w:val="auto"/>
          <w:szCs w:val="22"/>
          <w:highlight w:val="none"/>
        </w:rPr>
        <w:t>所有应答文件应当在首次应答截止时间递交（提交）采购人。</w:t>
      </w:r>
    </w:p>
    <w:p>
      <w:pPr>
        <w:adjustRightInd w:val="0"/>
        <w:snapToGrid w:val="0"/>
        <w:spacing w:line="400" w:lineRule="exact"/>
        <w:ind w:firstLine="422" w:firstLineChars="200"/>
        <w:rPr>
          <w:rFonts w:ascii="宋体" w:hAnsi="宋体" w:cs="宋体"/>
          <w:szCs w:val="21"/>
          <w:highlight w:val="none"/>
        </w:rPr>
      </w:pPr>
      <w:r>
        <w:rPr>
          <w:b/>
          <w:highlight w:val="none"/>
        </w:rPr>
        <w:t>应答文件</w:t>
      </w:r>
      <w:r>
        <w:rPr>
          <w:rFonts w:hint="eastAsia"/>
          <w:b/>
          <w:highlight w:val="none"/>
          <w:lang w:val="en-US" w:eastAsia="zh-CN"/>
        </w:rPr>
        <w:t>提</w:t>
      </w:r>
      <w:r>
        <w:rPr>
          <w:b/>
          <w:highlight w:val="none"/>
        </w:rPr>
        <w:t>交</w:t>
      </w:r>
      <w:r>
        <w:rPr>
          <w:rFonts w:hint="eastAsia"/>
          <w:b/>
          <w:highlight w:val="none"/>
        </w:rPr>
        <w:t>地点</w:t>
      </w:r>
      <w:r>
        <w:rPr>
          <w:b/>
          <w:highlight w:val="none"/>
        </w:rPr>
        <w:t>：</w:t>
      </w:r>
      <w:r>
        <w:rPr>
          <w:rFonts w:hint="eastAsia"/>
          <w:bCs/>
          <w:color w:val="auto"/>
          <w:highlight w:val="none"/>
        </w:rPr>
        <w:t>电子应答文件提交</w:t>
      </w:r>
      <w:r>
        <w:rPr>
          <w:rFonts w:hint="eastAsia"/>
          <w:bCs/>
          <w:color w:val="auto"/>
          <w:highlight w:val="none"/>
          <w:lang w:eastAsia="zh-CN"/>
        </w:rPr>
        <w:t>采购人招投标交易平台信息系统</w:t>
      </w:r>
      <w:r>
        <w:rPr>
          <w:rFonts w:hint="eastAsia"/>
          <w:bCs/>
          <w:color w:val="auto"/>
          <w:highlight w:val="none"/>
        </w:rPr>
        <w:t>。</w:t>
      </w:r>
    </w:p>
    <w:p>
      <w:pPr>
        <w:adjustRightInd w:val="0"/>
        <w:snapToGrid w:val="0"/>
        <w:spacing w:line="400" w:lineRule="exact"/>
        <w:ind w:firstLine="422" w:firstLineChars="200"/>
        <w:rPr>
          <w:rFonts w:ascii="宋体" w:hAnsi="宋体" w:cs="宋体"/>
          <w:szCs w:val="21"/>
          <w:highlight w:val="none"/>
        </w:rPr>
      </w:pPr>
      <w:r>
        <w:rPr>
          <w:rFonts w:hint="eastAsia" w:ascii="宋体" w:hAnsi="宋体" w:cs="宋体"/>
          <w:b/>
          <w:highlight w:val="none"/>
        </w:rPr>
        <w:t>谈判时间</w:t>
      </w:r>
      <w:r>
        <w:rPr>
          <w:rFonts w:hint="eastAsia" w:ascii="宋体" w:hAnsi="宋体" w:cs="宋体"/>
          <w:highlight w:val="none"/>
        </w:rPr>
        <w:t>：二轮报价开启通知会在开标当天上午 9：00前通过电子商务平台-电工交易专区平台发给各应答人(请注意查收平台短信通知)，二轮报价截止时间为开标当天 12：00(具体时间以短信通知为准)。</w:t>
      </w:r>
    </w:p>
    <w:p>
      <w:pPr>
        <w:adjustRightInd w:val="0"/>
        <w:snapToGrid w:val="0"/>
        <w:spacing w:line="400" w:lineRule="exact"/>
        <w:ind w:firstLine="422" w:firstLineChars="200"/>
        <w:rPr>
          <w:rFonts w:hint="eastAsia" w:ascii="宋体" w:hAnsi="宋体" w:eastAsia="宋体" w:cs="宋体"/>
          <w:kern w:val="2"/>
          <w:sz w:val="21"/>
          <w:szCs w:val="21"/>
          <w:highlight w:val="none"/>
          <w:lang w:val="en-US" w:eastAsia="zh-CN" w:bidi="ar-SA"/>
        </w:rPr>
      </w:pPr>
      <w:r>
        <w:rPr>
          <w:rFonts w:hint="eastAsia" w:ascii="宋体" w:hAnsi="宋体" w:cs="宋体"/>
          <w:b/>
          <w:highlight w:val="none"/>
        </w:rPr>
        <w:t>谈判地点：</w:t>
      </w:r>
      <w:r>
        <w:rPr>
          <w:rFonts w:hint="eastAsia"/>
          <w:bCs/>
          <w:color w:val="auto"/>
          <w:highlight w:val="none"/>
          <w:lang w:eastAsia="zh-CN"/>
        </w:rPr>
        <w:t>采购人招投标交易平台信息系统</w:t>
      </w:r>
      <w:r>
        <w:rPr>
          <w:rFonts w:hint="eastAsia" w:ascii="宋体" w:hAnsi="宋体" w:eastAsia="宋体" w:cs="宋体"/>
          <w:kern w:val="2"/>
          <w:sz w:val="21"/>
          <w:szCs w:val="21"/>
          <w:highlight w:val="none"/>
          <w:lang w:val="en-US" w:eastAsia="zh-CN" w:bidi="ar-SA"/>
        </w:rPr>
        <w:t>响应二轮报价。</w:t>
      </w:r>
    </w:p>
    <w:p>
      <w:pPr>
        <w:pStyle w:val="2"/>
        <w:adjustRightInd w:val="0"/>
        <w:snapToGrid w:val="0"/>
        <w:spacing w:before="0" w:beforeAutospacing="0" w:after="0" w:line="400" w:lineRule="exact"/>
        <w:ind w:left="0" w:leftChars="0"/>
        <w:rPr>
          <w:rFonts w:ascii="宋体" w:hAnsi="宋体" w:cs="宋体"/>
          <w:highlight w:val="none"/>
        </w:rPr>
      </w:pPr>
      <w:r>
        <w:rPr>
          <w:rFonts w:hint="eastAsia" w:ascii="宋体" w:hAnsi="宋体"/>
          <w:b/>
          <w:bCs/>
          <w:color w:val="auto"/>
          <w:highlight w:val="none"/>
        </w:rPr>
        <w:t>电子应答文件递交方式详见第五章应答文件格式。如要求全部文件上传电子商务平台，应答人仅可通过电子商务平台提交全部应答文件；对于受电子商务平台容量限制，要求通过网盘递交的文件，应答人需应用投标工具U+商务技术大文件功能加密提交网盘文件，在应答截止时间前完成上传提交。</w:t>
      </w:r>
    </w:p>
    <w:p>
      <w:pPr>
        <w:adjustRightInd w:val="0"/>
        <w:snapToGrid w:val="0"/>
        <w:spacing w:line="400" w:lineRule="exact"/>
        <w:ind w:firstLine="420" w:firstLineChars="200"/>
        <w:outlineLvl w:val="2"/>
        <w:rPr>
          <w:rFonts w:hint="eastAsia" w:ascii="宋体" w:hAnsi="宋体" w:cs="宋体"/>
          <w:highlight w:val="none"/>
        </w:rPr>
      </w:pPr>
      <w:r>
        <w:rPr>
          <w:rFonts w:hint="eastAsia" w:ascii="宋体" w:hAnsi="宋体" w:cs="宋体"/>
          <w:highlight w:val="none"/>
        </w:rPr>
        <w:t>5.2首次应答截止时间之前未成功提交至招标人招投标交易平台信息系统的电子应答文件，采购人不予受理。不接受未按规定加密的应答文件及应答文件的修改文件。</w:t>
      </w:r>
    </w:p>
    <w:p>
      <w:pPr>
        <w:adjustRightInd w:val="0"/>
        <w:snapToGrid w:val="0"/>
        <w:spacing w:line="400" w:lineRule="exact"/>
        <w:ind w:firstLine="420" w:firstLineChars="200"/>
        <w:outlineLvl w:val="2"/>
        <w:rPr>
          <w:rFonts w:hint="default" w:ascii="宋体" w:hAnsi="宋体" w:eastAsia="宋体" w:cs="宋体"/>
          <w:color w:val="auto"/>
          <w:highlight w:val="none"/>
          <w:lang w:val="en-US" w:eastAsia="zh-CN"/>
        </w:rPr>
      </w:pPr>
      <w:r>
        <w:rPr>
          <w:rFonts w:ascii="宋体" w:hAnsi="宋体" w:cs="宋体"/>
          <w:highlight w:val="none"/>
        </w:rPr>
        <w:t>5.3 未按采购公告规定的时间和方式获取并下载采购文件的应答</w:t>
      </w:r>
      <w:r>
        <w:rPr>
          <w:rFonts w:hint="eastAsia" w:ascii="宋体" w:hAnsi="宋体" w:cs="宋体"/>
          <w:highlight w:val="none"/>
          <w:lang w:eastAsia="zh-CN"/>
        </w:rPr>
        <w:t>，</w:t>
      </w:r>
      <w:r>
        <w:rPr>
          <w:rFonts w:hint="eastAsia" w:ascii="宋体" w:hAnsi="宋体" w:cs="宋体"/>
          <w:highlight w:val="none"/>
          <w:lang w:val="en-US" w:eastAsia="zh-CN"/>
        </w:rPr>
        <w:t>采购人将不予受理。</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19" w:name="_Toc20595"/>
      <w:bookmarkStart w:id="20" w:name="_Toc62566122"/>
      <w:bookmarkStart w:id="21" w:name="_Toc10970"/>
      <w:r>
        <w:rPr>
          <w:rFonts w:hint="eastAsia" w:ascii="黑体" w:eastAsia="黑体" w:hAnsiTheme="majorHAnsi" w:cstheme="majorBidi"/>
          <w:b/>
          <w:color w:val="auto"/>
          <w:kern w:val="0"/>
          <w:sz w:val="24"/>
          <w:highlight w:val="none"/>
          <w:lang w:bidi="en-US"/>
        </w:rPr>
        <w:t>6.发布公告的媒介</w:t>
      </w:r>
      <w:bookmarkEnd w:id="19"/>
      <w:bookmarkEnd w:id="20"/>
      <w:bookmarkEnd w:id="21"/>
    </w:p>
    <w:p>
      <w:pPr>
        <w:adjustRightInd w:val="0"/>
        <w:snapToGrid w:val="0"/>
        <w:spacing w:line="400" w:lineRule="exact"/>
        <w:ind w:firstLine="420" w:firstLineChars="200"/>
        <w:rPr>
          <w:rFonts w:ascii="宋体" w:hAnsi="宋体"/>
          <w:color w:val="auto"/>
          <w:highlight w:val="none"/>
        </w:rPr>
      </w:pPr>
      <w:r>
        <w:rPr>
          <w:rFonts w:hint="eastAsia" w:ascii="宋体" w:hAnsi="宋体" w:eastAsia="宋体" w:cs="Times New Roman"/>
          <w:color w:val="auto"/>
          <w:sz w:val="21"/>
          <w:szCs w:val="22"/>
          <w:highlight w:val="none"/>
        </w:rPr>
        <w:t>本次采购公告在采购人招投标交易平台信息系统（https://sgccetp.com.cn/portal/#/）上发布</w:t>
      </w:r>
      <w:r>
        <w:rPr>
          <w:rFonts w:hint="eastAsia" w:ascii="宋体" w:hAnsi="宋体"/>
          <w:color w:val="auto"/>
          <w:highlight w:val="none"/>
        </w:rPr>
        <w:t>。</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bookmarkStart w:id="22" w:name="_Toc1702"/>
      <w:bookmarkStart w:id="23" w:name="_Toc26152"/>
      <w:bookmarkStart w:id="24" w:name="_Toc62566123"/>
      <w:r>
        <w:rPr>
          <w:rFonts w:hint="eastAsia" w:ascii="黑体" w:eastAsia="黑体" w:hAnsiTheme="majorHAnsi" w:cstheme="majorBidi"/>
          <w:b/>
          <w:color w:val="auto"/>
          <w:kern w:val="0"/>
          <w:sz w:val="24"/>
          <w:highlight w:val="none"/>
          <w:lang w:bidi="en-US"/>
        </w:rPr>
        <w:t>7.采购文件获取联系方式</w:t>
      </w:r>
      <w:bookmarkEnd w:id="22"/>
      <w:bookmarkEnd w:id="23"/>
      <w:bookmarkEnd w:id="24"/>
    </w:p>
    <w:p>
      <w:pPr>
        <w:pStyle w:val="16"/>
        <w:spacing w:after="0" w:line="340" w:lineRule="exact"/>
        <w:ind w:firstLine="420" w:firstLineChars="200"/>
        <w:rPr>
          <w:rFonts w:hint="eastAsia" w:ascii="宋体" w:hAnsi="宋体" w:cs="宋体"/>
          <w:highlight w:val="none"/>
        </w:rPr>
      </w:pPr>
      <w:bookmarkStart w:id="25" w:name="_Toc21046"/>
      <w:bookmarkStart w:id="26" w:name="_Toc62566124"/>
      <w:bookmarkStart w:id="27" w:name="_Toc28046"/>
      <w:r>
        <w:rPr>
          <w:rFonts w:hint="eastAsia" w:ascii="宋体" w:hAnsi="宋体"/>
          <w:color w:val="auto"/>
          <w:highlight w:val="none"/>
        </w:rPr>
        <w:t>采购人:烟台东源投资有限公司及其分支机构、控股公司和全资子公司</w:t>
      </w:r>
      <w:r>
        <w:rPr>
          <w:rFonts w:hint="eastAsia" w:ascii="宋体" w:hAnsi="宋体"/>
          <w:color w:val="auto"/>
          <w:highlight w:val="none"/>
          <w:lang w:eastAsia="zh-CN"/>
        </w:rPr>
        <w:t>。</w:t>
      </w:r>
    </w:p>
    <w:p>
      <w:pPr>
        <w:adjustRightInd w:val="0"/>
        <w:snapToGrid w:val="0"/>
        <w:spacing w:line="400" w:lineRule="exact"/>
        <w:ind w:firstLine="420" w:firstLineChars="200"/>
        <w:rPr>
          <w:rFonts w:hint="eastAsia" w:ascii="宋体" w:hAnsi="宋体" w:cs="宋体"/>
          <w:highlight w:val="none"/>
        </w:rPr>
      </w:pPr>
      <w:r>
        <w:rPr>
          <w:rFonts w:hint="eastAsia" w:ascii="宋体" w:hAnsi="宋体"/>
          <w:color w:val="auto"/>
          <w:highlight w:val="none"/>
        </w:rPr>
        <w:t>地址：</w:t>
      </w:r>
      <w:r>
        <w:rPr>
          <w:rFonts w:hint="eastAsia" w:ascii="宋体" w:hAnsi="宋体" w:cs="宋体"/>
          <w:highlight w:val="none"/>
        </w:rPr>
        <w:t>烟台市</w:t>
      </w:r>
      <w:r>
        <w:rPr>
          <w:rFonts w:hint="eastAsia" w:ascii="宋体" w:hAnsi="宋体" w:cs="宋体"/>
          <w:highlight w:val="none"/>
          <w:lang w:val="en-US" w:eastAsia="zh-CN"/>
        </w:rPr>
        <w:t>高新</w:t>
      </w:r>
      <w:r>
        <w:rPr>
          <w:rFonts w:hint="eastAsia" w:ascii="宋体" w:hAnsi="宋体" w:cs="宋体"/>
          <w:highlight w:val="none"/>
        </w:rPr>
        <w:t>区</w:t>
      </w:r>
      <w:r>
        <w:rPr>
          <w:rFonts w:hint="eastAsia" w:ascii="宋体" w:hAnsi="宋体" w:cs="宋体"/>
          <w:highlight w:val="none"/>
          <w:lang w:val="en-US" w:eastAsia="zh-CN"/>
        </w:rPr>
        <w:t>创新</w:t>
      </w:r>
      <w:r>
        <w:rPr>
          <w:rFonts w:hint="eastAsia" w:ascii="宋体" w:hAnsi="宋体" w:cs="宋体"/>
          <w:highlight w:val="none"/>
        </w:rPr>
        <w:t>路3</w:t>
      </w:r>
      <w:r>
        <w:rPr>
          <w:rFonts w:hint="eastAsia" w:ascii="宋体" w:hAnsi="宋体" w:cs="宋体"/>
          <w:highlight w:val="none"/>
          <w:lang w:val="en-US" w:eastAsia="zh-CN"/>
        </w:rPr>
        <w:t>8</w:t>
      </w:r>
      <w:r>
        <w:rPr>
          <w:rFonts w:hint="eastAsia" w:ascii="宋体" w:hAnsi="宋体" w:cs="宋体"/>
          <w:highlight w:val="none"/>
        </w:rPr>
        <w:t>号</w:t>
      </w:r>
    </w:p>
    <w:p>
      <w:pPr>
        <w:adjustRightInd w:val="0"/>
        <w:snapToGrid w:val="0"/>
        <w:spacing w:line="400" w:lineRule="exact"/>
        <w:ind w:firstLine="420" w:firstLineChars="200"/>
        <w:rPr>
          <w:rFonts w:hint="eastAsia" w:ascii="宋体" w:cs="Times New Roman"/>
          <w:color w:val="auto"/>
          <w:szCs w:val="21"/>
          <w:highlight w:val="none"/>
          <w:lang w:val="en-US" w:eastAsia="zh-CN"/>
        </w:rPr>
      </w:pPr>
      <w:r>
        <w:rPr>
          <w:rFonts w:hint="eastAsia" w:ascii="宋体" w:hAnsi="宋体"/>
          <w:color w:val="auto"/>
          <w:highlight w:val="none"/>
        </w:rPr>
        <w:t>邮编：</w:t>
      </w:r>
      <w:r>
        <w:rPr>
          <w:rFonts w:hint="eastAsia" w:ascii="宋体" w:hAnsi="宋体" w:cs="宋体"/>
          <w:highlight w:val="none"/>
        </w:rPr>
        <w:t>264000</w:t>
      </w:r>
    </w:p>
    <w:p>
      <w:pPr>
        <w:pStyle w:val="16"/>
        <w:spacing w:after="0" w:line="340" w:lineRule="exact"/>
        <w:ind w:firstLine="420" w:firstLineChars="200"/>
        <w:rPr>
          <w:rFonts w:hint="default" w:ascii="宋体" w:cs="Times New Roman"/>
          <w:color w:val="auto"/>
          <w:szCs w:val="21"/>
          <w:highlight w:val="none"/>
          <w:lang w:val="en-US" w:eastAsia="zh-CN"/>
        </w:rPr>
      </w:pPr>
      <w:r>
        <w:rPr>
          <w:rFonts w:hint="eastAsia" w:ascii="宋体" w:eastAsia="宋体" w:cs="Times New Roman"/>
          <w:color w:val="auto"/>
          <w:szCs w:val="21"/>
          <w:highlight w:val="none"/>
          <w:lang w:eastAsia="zh-CN"/>
        </w:rPr>
        <w:t>联系人：</w:t>
      </w:r>
      <w:r>
        <w:rPr>
          <w:rFonts w:hint="eastAsia" w:ascii="宋体" w:cs="Times New Roman"/>
          <w:color w:val="auto"/>
          <w:szCs w:val="21"/>
          <w:highlight w:val="none"/>
          <w:lang w:val="en-US" w:eastAsia="zh-CN"/>
        </w:rPr>
        <w:t xml:space="preserve">辛鑫 </w:t>
      </w:r>
      <w:r>
        <w:rPr>
          <w:rFonts w:hint="eastAsia" w:ascii="宋体" w:eastAsia="宋体" w:cs="Times New Roman"/>
          <w:color w:val="auto"/>
          <w:szCs w:val="21"/>
          <w:highlight w:val="none"/>
          <w:lang w:eastAsia="zh-CN"/>
        </w:rPr>
        <w:t xml:space="preserve"> </w:t>
      </w:r>
      <w:r>
        <w:rPr>
          <w:rFonts w:hint="eastAsia" w:ascii="宋体" w:cs="Times New Roman"/>
          <w:color w:val="auto"/>
          <w:szCs w:val="21"/>
          <w:highlight w:val="none"/>
          <w:lang w:val="en-US" w:eastAsia="zh-CN"/>
        </w:rPr>
        <w:t xml:space="preserve">  </w:t>
      </w:r>
      <w:r>
        <w:rPr>
          <w:rFonts w:hint="eastAsia"/>
          <w:color w:val="auto"/>
          <w:highlight w:val="none"/>
        </w:rPr>
        <w:t>电话</w:t>
      </w:r>
      <w:r>
        <w:rPr>
          <w:rFonts w:hint="eastAsia"/>
          <w:color w:val="auto"/>
          <w:highlight w:val="none"/>
          <w:lang w:eastAsia="zh-CN"/>
        </w:rPr>
        <w:t>：</w:t>
      </w:r>
      <w:r>
        <w:rPr>
          <w:rFonts w:hint="eastAsia" w:ascii="宋体" w:cs="Times New Roman"/>
          <w:color w:val="auto"/>
          <w:szCs w:val="21"/>
          <w:highlight w:val="none"/>
          <w:lang w:val="en-US" w:eastAsia="zh-CN"/>
        </w:rPr>
        <w:t>15264501668</w:t>
      </w:r>
      <w:r>
        <w:rPr>
          <w:rFonts w:hint="eastAsia" w:ascii="宋体" w:eastAsia="宋体" w:cs="Times New Roman"/>
          <w:color w:val="auto"/>
          <w:szCs w:val="21"/>
          <w:highlight w:val="none"/>
          <w:lang w:val="en-US" w:eastAsia="zh-CN"/>
        </w:rPr>
        <w:t xml:space="preserve"> </w:t>
      </w:r>
    </w:p>
    <w:p>
      <w:pPr>
        <w:adjustRightInd w:val="0"/>
        <w:snapToGrid w:val="0"/>
        <w:spacing w:line="400" w:lineRule="exact"/>
        <w:ind w:firstLine="420" w:firstLineChars="200"/>
        <w:rPr>
          <w:rFonts w:hint="eastAsia" w:ascii="宋体" w:hAnsi="宋体" w:eastAsia="宋体" w:cs="宋体"/>
          <w:szCs w:val="21"/>
          <w:highlight w:val="none"/>
          <w:lang w:eastAsia="zh-CN"/>
        </w:rPr>
      </w:pPr>
      <w:r>
        <w:rPr>
          <w:rFonts w:hint="eastAsia" w:ascii="宋体" w:hAnsi="宋体"/>
          <w:color w:val="auto"/>
          <w:highlight w:val="none"/>
        </w:rPr>
        <w:t>采购代理机构：</w:t>
      </w:r>
      <w:r>
        <w:rPr>
          <w:rFonts w:hint="eastAsia" w:ascii="宋体" w:hAnsi="宋体" w:cs="宋体"/>
          <w:szCs w:val="21"/>
          <w:highlight w:val="none"/>
          <w:lang w:eastAsia="zh-CN"/>
        </w:rPr>
        <w:t>国网电子商务（北京）有限公司</w:t>
      </w:r>
    </w:p>
    <w:p>
      <w:pPr>
        <w:adjustRightInd w:val="0"/>
        <w:snapToGrid w:val="0"/>
        <w:spacing w:line="400" w:lineRule="exact"/>
        <w:ind w:firstLine="420" w:firstLineChars="200"/>
        <w:rPr>
          <w:rFonts w:hint="default" w:ascii="宋体" w:hAnsi="宋体"/>
          <w:color w:val="auto"/>
          <w:highlight w:val="none"/>
          <w:lang w:val="en-US" w:eastAsia="zh-CN"/>
        </w:rPr>
      </w:pPr>
      <w:r>
        <w:rPr>
          <w:rFonts w:hint="eastAsia" w:ascii="宋体" w:hAnsi="宋体"/>
          <w:color w:val="auto"/>
          <w:highlight w:val="none"/>
        </w:rPr>
        <w:t>联系人</w:t>
      </w:r>
      <w:r>
        <w:rPr>
          <w:rFonts w:hint="eastAsia" w:ascii="宋体" w:hAnsi="宋体"/>
          <w:color w:val="auto"/>
          <w:highlight w:val="none"/>
          <w:lang w:eastAsia="zh-CN"/>
        </w:rPr>
        <w:t>：</w:t>
      </w:r>
      <w:r>
        <w:rPr>
          <w:rFonts w:hint="eastAsia" w:ascii="宋体" w:hAnsi="宋体"/>
          <w:color w:val="auto"/>
          <w:highlight w:val="none"/>
          <w:lang w:val="en-US" w:eastAsia="zh-CN"/>
        </w:rPr>
        <w:t xml:space="preserve"> 初工   电话：0535-3051405</w:t>
      </w:r>
    </w:p>
    <w:p>
      <w:pPr>
        <w:tabs>
          <w:tab w:val="left" w:pos="1134"/>
        </w:tabs>
        <w:adjustRightInd w:val="0"/>
        <w:snapToGrid w:val="0"/>
        <w:spacing w:line="400" w:lineRule="exact"/>
        <w:ind w:firstLine="420" w:firstLineChars="200"/>
        <w:rPr>
          <w:color w:val="auto"/>
          <w:highlight w:val="none"/>
        </w:rPr>
      </w:pPr>
      <w:r>
        <w:rPr>
          <w:rFonts w:hint="eastAsia"/>
          <w:color w:val="auto"/>
          <w:highlight w:val="none"/>
        </w:rPr>
        <w:t>电子邮件：</w:t>
      </w:r>
      <w:r>
        <w:rPr>
          <w:highlight w:val="none"/>
        </w:rPr>
        <w:fldChar w:fldCharType="begin"/>
      </w:r>
      <w:r>
        <w:rPr>
          <w:highlight w:val="none"/>
        </w:rPr>
        <w:instrText xml:space="preserve"> HYPERLINK "mailto:ythxzb@163.com" </w:instrText>
      </w:r>
      <w:r>
        <w:rPr>
          <w:highlight w:val="none"/>
        </w:rPr>
        <w:fldChar w:fldCharType="separate"/>
      </w:r>
      <w:r>
        <w:rPr>
          <w:rStyle w:val="20"/>
          <w:rFonts w:hint="eastAsia" w:ascii="宋体" w:hAnsi="宋体" w:cs="宋体"/>
          <w:highlight w:val="none"/>
        </w:rPr>
        <w:t>ythxzb@163.com</w:t>
      </w:r>
      <w:r>
        <w:rPr>
          <w:rStyle w:val="20"/>
          <w:rFonts w:hint="eastAsia" w:ascii="宋体" w:hAnsi="宋体" w:cs="宋体"/>
          <w:highlight w:val="none"/>
        </w:rPr>
        <w:fldChar w:fldCharType="end"/>
      </w:r>
    </w:p>
    <w:p>
      <w:pPr>
        <w:adjustRightInd w:val="0"/>
        <w:snapToGrid w:val="0"/>
        <w:spacing w:line="400" w:lineRule="exact"/>
        <w:ind w:firstLine="422" w:firstLineChars="200"/>
        <w:rPr>
          <w:rFonts w:hint="eastAsia" w:ascii="宋体" w:hAnsi="宋体"/>
          <w:b/>
          <w:highlight w:val="none"/>
        </w:rPr>
      </w:pPr>
      <w:r>
        <w:rPr>
          <w:rFonts w:hint="eastAsia" w:ascii="宋体" w:hAnsi="宋体"/>
          <w:b/>
          <w:highlight w:val="none"/>
        </w:rPr>
        <w:t>采购人招投标交易平台信息系统（国家电网有限公司新一代电子商务平台）</w:t>
      </w:r>
    </w:p>
    <w:p>
      <w:pPr>
        <w:adjustRightInd w:val="0"/>
        <w:snapToGrid w:val="0"/>
        <w:spacing w:line="400" w:lineRule="exact"/>
        <w:ind w:firstLine="422" w:firstLineChars="200"/>
        <w:rPr>
          <w:rFonts w:ascii="宋体" w:hAnsi="宋体"/>
          <w:color w:val="auto"/>
          <w:highlight w:val="none"/>
        </w:rPr>
      </w:pPr>
      <w:r>
        <w:rPr>
          <w:rFonts w:hint="eastAsia" w:ascii="宋体" w:hAnsi="宋体"/>
          <w:b/>
          <w:highlight w:val="none"/>
        </w:rPr>
        <w:t>网址</w:t>
      </w:r>
      <w:r>
        <w:rPr>
          <w:rFonts w:hint="eastAsia" w:ascii="宋体" w:hAnsi="宋体"/>
          <w:b/>
          <w:highlight w:val="none"/>
          <w:lang w:eastAsia="zh-CN"/>
        </w:rPr>
        <w:t>：</w:t>
      </w:r>
      <w:r>
        <w:rPr>
          <w:rFonts w:ascii="宋体" w:hAnsi="宋体"/>
          <w:highlight w:val="none"/>
        </w:rPr>
        <w:fldChar w:fldCharType="begin"/>
      </w:r>
      <w:r>
        <w:rPr>
          <w:rFonts w:ascii="宋体" w:hAnsi="宋体"/>
          <w:highlight w:val="none"/>
        </w:rPr>
        <w:instrText xml:space="preserve"> HYPERLINK "https://ecp.sgcc.com.cn（新手指引中提供的浏览器）。" </w:instrText>
      </w:r>
      <w:r>
        <w:rPr>
          <w:rFonts w:ascii="宋体" w:hAnsi="宋体"/>
          <w:highlight w:val="none"/>
        </w:rPr>
        <w:fldChar w:fldCharType="separate"/>
      </w:r>
      <w:r>
        <w:rPr>
          <w:rFonts w:ascii="宋体" w:hAnsi="宋体"/>
          <w:b/>
          <w:color w:val="auto"/>
          <w:highlight w:val="none"/>
        </w:rPr>
        <w:t>https://sgccetp.com.cn/portal/#/</w:t>
      </w:r>
      <w:r>
        <w:rPr>
          <w:rStyle w:val="20"/>
          <w:rFonts w:ascii="宋体" w:hAnsi="宋体"/>
          <w:b/>
          <w:highlight w:val="none"/>
        </w:rPr>
        <w:t>（</w:t>
      </w:r>
      <w:r>
        <w:rPr>
          <w:rStyle w:val="20"/>
          <w:rFonts w:hint="eastAsia" w:ascii="宋体" w:hAnsi="宋体"/>
          <w:b/>
          <w:highlight w:val="none"/>
        </w:rPr>
        <w:t>新手指引中提供的浏览器）</w:t>
      </w:r>
      <w:r>
        <w:rPr>
          <w:rStyle w:val="20"/>
          <w:rFonts w:hint="eastAsia" w:ascii="宋体" w:hAnsi="宋体"/>
          <w:highlight w:val="none"/>
        </w:rPr>
        <w:t>。</w:t>
      </w:r>
      <w:r>
        <w:rPr>
          <w:rFonts w:ascii="宋体" w:hAnsi="宋体"/>
          <w:highlight w:val="none"/>
        </w:rPr>
        <w:fldChar w:fldCharType="end"/>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8.合规声明</w:t>
      </w:r>
      <w:bookmarkEnd w:id="25"/>
      <w:bookmarkEnd w:id="26"/>
      <w:bookmarkEnd w:id="27"/>
    </w:p>
    <w:p>
      <w:pPr>
        <w:adjustRightInd w:val="0"/>
        <w:snapToGrid w:val="0"/>
        <w:spacing w:line="400" w:lineRule="exact"/>
        <w:ind w:firstLine="420" w:firstLineChars="200"/>
        <w:rPr>
          <w:rFonts w:hint="eastAsia" w:ascii="宋体" w:hAnsi="宋体" w:eastAsia="宋体"/>
          <w:color w:val="auto"/>
          <w:highlight w:val="none"/>
          <w:lang w:eastAsia="zh-CN"/>
        </w:rPr>
      </w:pPr>
      <w:r>
        <w:rPr>
          <w:rFonts w:hint="eastAsia" w:ascii="宋体" w:hAnsi="宋体"/>
          <w:color w:val="auto"/>
          <w:highlight w:val="none"/>
        </w:rPr>
        <w:t>本采购文件（包括商务部分和技术部分）符合国家现行法律法规规定，若国家颁布新的法律法规或对现有法律法规进行修订，以新施行的法律法规规</w:t>
      </w:r>
      <w:bookmarkStart w:id="32" w:name="_GoBack"/>
      <w:bookmarkEnd w:id="32"/>
      <w:r>
        <w:rPr>
          <w:rFonts w:hint="eastAsia" w:ascii="宋体" w:hAnsi="宋体"/>
          <w:color w:val="auto"/>
          <w:highlight w:val="none"/>
        </w:rPr>
        <w:t>定为准</w:t>
      </w:r>
      <w:r>
        <w:rPr>
          <w:rFonts w:hint="eastAsia" w:ascii="宋体" w:hAnsi="宋体"/>
          <w:color w:val="auto"/>
          <w:highlight w:val="none"/>
          <w:lang w:eastAsia="zh-CN"/>
        </w:rPr>
        <w:t>。</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auto"/>
          <w:kern w:val="0"/>
          <w:sz w:val="24"/>
          <w:highlight w:val="none"/>
          <w:lang w:bidi="en-US"/>
        </w:rPr>
      </w:pPr>
      <w:r>
        <w:rPr>
          <w:rFonts w:hint="eastAsia" w:ascii="黑体" w:eastAsia="黑体" w:hAnsiTheme="majorHAnsi" w:cstheme="majorBidi"/>
          <w:b/>
          <w:color w:val="auto"/>
          <w:kern w:val="0"/>
          <w:sz w:val="24"/>
          <w:highlight w:val="none"/>
          <w:lang w:bidi="en-US"/>
        </w:rPr>
        <w:t>9.权利声明</w:t>
      </w:r>
    </w:p>
    <w:p>
      <w:pPr>
        <w:adjustRightInd w:val="0"/>
        <w:snapToGrid w:val="0"/>
        <w:spacing w:line="400" w:lineRule="exact"/>
        <w:ind w:firstLine="420" w:firstLineChars="200"/>
        <w:rPr>
          <w:rFonts w:ascii="宋体" w:hAnsi="宋体"/>
          <w:color w:val="auto"/>
          <w:highlight w:val="none"/>
        </w:rPr>
      </w:pPr>
      <w:r>
        <w:rPr>
          <w:rFonts w:hint="eastAsia" w:ascii="宋体" w:hAnsi="宋体"/>
          <w:color w:val="auto"/>
          <w:highlight w:val="none"/>
        </w:rPr>
        <w:t>禁止对本采购文件或公示信息进行任何形式的转载（包括但不限于部分或全文转载、修改后转载）或任何未经书面授权的使用。任何单位或个人不得对采购公告或公示信息等内容进行不全面、不准确、不客观地分析或使用，任何单位或个人违法或违反本条规定转载、使用本采购文件或公示信息的，采购人将依法追究法律责任。</w:t>
      </w:r>
    </w:p>
    <w:p>
      <w:pPr>
        <w:widowControl/>
        <w:jc w:val="right"/>
        <w:rPr>
          <w:rFonts w:hint="eastAsia" w:ascii="宋体"/>
          <w:color w:val="auto"/>
          <w:szCs w:val="21"/>
          <w:highlight w:val="none"/>
          <w:lang w:val="en-US" w:eastAsia="zh-CN"/>
        </w:rPr>
      </w:pPr>
    </w:p>
    <w:p>
      <w:pPr>
        <w:widowControl/>
        <w:jc w:val="right"/>
        <w:rPr>
          <w:rFonts w:ascii="宋体" w:hAnsi="宋体"/>
          <w:b/>
          <w:color w:val="auto"/>
          <w:highlight w:val="none"/>
        </w:rPr>
        <w:sectPr>
          <w:headerReference r:id="rId5" w:type="first"/>
          <w:footerReference r:id="rId8" w:type="first"/>
          <w:headerReference r:id="rId3" w:type="default"/>
          <w:footerReference r:id="rId6" w:type="default"/>
          <w:headerReference r:id="rId4" w:type="even"/>
          <w:footerReference r:id="rId7" w:type="even"/>
          <w:pgSz w:w="11905" w:h="16838"/>
          <w:pgMar w:top="1134" w:right="1803" w:bottom="1134" w:left="1803" w:header="850" w:footer="992" w:gutter="0"/>
          <w:pgBorders>
            <w:top w:val="none" w:sz="0" w:space="0"/>
            <w:left w:val="none" w:sz="0" w:space="0"/>
            <w:bottom w:val="none" w:sz="0" w:space="0"/>
            <w:right w:val="none" w:sz="0" w:space="0"/>
          </w:pgBorders>
          <w:pgNumType w:start="0"/>
          <w:cols w:space="0" w:num="1"/>
          <w:docGrid w:type="lines" w:linePitch="317" w:charSpace="0"/>
        </w:sectPr>
      </w:pPr>
      <w:r>
        <w:rPr>
          <w:rFonts w:hint="eastAsia" w:ascii="宋体"/>
          <w:color w:val="auto"/>
          <w:szCs w:val="21"/>
          <w:highlight w:val="none"/>
          <w:lang w:val="en-US" w:eastAsia="zh-CN"/>
        </w:rPr>
        <w:t>2025</w:t>
      </w:r>
      <w:r>
        <w:rPr>
          <w:rFonts w:hint="eastAsia" w:ascii="宋体"/>
          <w:color w:val="auto"/>
          <w:szCs w:val="21"/>
          <w:highlight w:val="none"/>
        </w:rPr>
        <w:t>年</w:t>
      </w:r>
      <w:r>
        <w:rPr>
          <w:rFonts w:hint="eastAsia" w:ascii="宋体"/>
          <w:color w:val="auto"/>
          <w:szCs w:val="21"/>
          <w:highlight w:val="none"/>
          <w:lang w:val="en-US" w:eastAsia="zh-CN"/>
        </w:rPr>
        <w:t>7</w:t>
      </w:r>
      <w:r>
        <w:rPr>
          <w:rFonts w:hint="eastAsia" w:ascii="宋体"/>
          <w:color w:val="auto"/>
          <w:szCs w:val="21"/>
          <w:highlight w:val="none"/>
        </w:rPr>
        <w:t>月</w:t>
      </w:r>
      <w:r>
        <w:rPr>
          <w:rFonts w:hint="eastAsia" w:ascii="宋体"/>
          <w:color w:val="auto"/>
          <w:szCs w:val="21"/>
          <w:highlight w:val="none"/>
          <w:lang w:val="en-US" w:eastAsia="zh-CN"/>
        </w:rPr>
        <w:t>9</w:t>
      </w:r>
      <w:r>
        <w:rPr>
          <w:rFonts w:hint="eastAsia" w:ascii="宋体"/>
          <w:color w:val="auto"/>
          <w:szCs w:val="21"/>
          <w:highlight w:val="none"/>
        </w:rPr>
        <w:t>日</w:t>
      </w:r>
      <w:r>
        <w:rPr>
          <w:color w:val="auto"/>
          <w:highlight w:val="none"/>
        </w:rPr>
        <w:br w:type="page"/>
      </w:r>
    </w:p>
    <w:p>
      <w:pPr>
        <w:pStyle w:val="11"/>
        <w:spacing w:after="0"/>
        <w:jc w:val="left"/>
        <w:outlineLvl w:val="9"/>
        <w:rPr>
          <w:rFonts w:hint="eastAsia" w:ascii="黑体" w:hAnsi="黑体" w:eastAsia="黑体" w:cs="黑体"/>
          <w:b/>
          <w:bCs/>
          <w:color w:val="auto"/>
          <w:sz w:val="24"/>
          <w:highlight w:val="none"/>
        </w:rPr>
      </w:pPr>
      <w:r>
        <w:rPr>
          <w:rFonts w:hint="eastAsia" w:ascii="黑体" w:hAnsi="黑体" w:eastAsia="黑体" w:cs="黑体"/>
          <w:b/>
          <w:bCs/>
          <w:color w:val="auto"/>
          <w:sz w:val="24"/>
          <w:highlight w:val="none"/>
        </w:rPr>
        <w:t>采购公告附件</w:t>
      </w:r>
    </w:p>
    <w:p>
      <w:pPr>
        <w:pStyle w:val="11"/>
        <w:spacing w:after="0"/>
        <w:jc w:val="left"/>
        <w:outlineLvl w:val="9"/>
        <w:rPr>
          <w:rFonts w:hint="eastAsia" w:ascii="黑体" w:hAnsi="黑体" w:eastAsia="黑体" w:cs="黑体"/>
          <w:b/>
          <w:bCs/>
          <w:color w:val="auto"/>
          <w:sz w:val="24"/>
          <w:highlight w:val="none"/>
        </w:rPr>
      </w:pPr>
    </w:p>
    <w:tbl>
      <w:tblPr>
        <w:tblStyle w:val="18"/>
        <w:tblW w:w="157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1245"/>
        <w:gridCol w:w="1408"/>
        <w:gridCol w:w="1560"/>
        <w:gridCol w:w="885"/>
        <w:gridCol w:w="1725"/>
        <w:gridCol w:w="5040"/>
        <w:gridCol w:w="1275"/>
        <w:gridCol w:w="19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jc w:val="center"/>
        </w:trPr>
        <w:tc>
          <w:tcPr>
            <w:tcW w:w="687" w:type="dxa"/>
            <w:shd w:val="clear" w:color="auto" w:fill="auto"/>
            <w:vAlign w:val="center"/>
          </w:tcPr>
          <w:p>
            <w:pPr>
              <w:widowControl/>
              <w:shd w:val="clear"/>
              <w:jc w:val="center"/>
              <w:rPr>
                <w:rFonts w:hint="eastAsia" w:ascii="宋体" w:hAnsi="宋体" w:eastAsia="宋体" w:cs="宋体"/>
                <w:b/>
                <w:bCs/>
                <w:color w:val="auto"/>
                <w:kern w:val="0"/>
                <w:sz w:val="21"/>
                <w:szCs w:val="21"/>
                <w:highlight w:val="none"/>
              </w:rPr>
            </w:pPr>
            <w:r>
              <w:rPr>
                <w:rFonts w:hint="eastAsia" w:ascii="宋体" w:hAnsi="宋体" w:eastAsia="宋体" w:cs="宋体"/>
                <w:b/>
                <w:bCs/>
                <w:color w:val="auto"/>
                <w:kern w:val="0"/>
                <w:sz w:val="21"/>
                <w:szCs w:val="21"/>
                <w:highlight w:val="none"/>
              </w:rPr>
              <w:t>序号</w:t>
            </w:r>
          </w:p>
        </w:tc>
        <w:tc>
          <w:tcPr>
            <w:tcW w:w="1245" w:type="dxa"/>
            <w:shd w:val="clear" w:color="auto" w:fill="auto"/>
            <w:vAlign w:val="center"/>
          </w:tcPr>
          <w:p>
            <w:pPr>
              <w:widowControl/>
              <w:shd w:val="clear"/>
              <w:jc w:val="center"/>
              <w:rPr>
                <w:rFonts w:hint="eastAsia" w:ascii="宋体" w:hAnsi="宋体" w:eastAsia="宋体" w:cs="宋体"/>
                <w:b/>
                <w:bCs/>
                <w:color w:val="auto"/>
                <w:kern w:val="0"/>
                <w:sz w:val="21"/>
                <w:szCs w:val="21"/>
                <w:highlight w:val="none"/>
              </w:rPr>
            </w:pPr>
            <w:r>
              <w:rPr>
                <w:rFonts w:hint="eastAsia" w:ascii="宋体" w:hAnsi="宋体" w:eastAsia="宋体" w:cs="宋体"/>
                <w:b/>
                <w:bCs/>
                <w:color w:val="auto"/>
                <w:kern w:val="0"/>
                <w:sz w:val="21"/>
                <w:szCs w:val="21"/>
                <w:highlight w:val="none"/>
              </w:rPr>
              <w:t>分标编号</w:t>
            </w:r>
          </w:p>
        </w:tc>
        <w:tc>
          <w:tcPr>
            <w:tcW w:w="1408" w:type="dxa"/>
            <w:vAlign w:val="center"/>
          </w:tcPr>
          <w:p>
            <w:pPr>
              <w:widowControl/>
              <w:shd w:val="clear"/>
              <w:jc w:val="center"/>
              <w:rPr>
                <w:rFonts w:hint="eastAsia" w:ascii="宋体" w:hAnsi="宋体" w:eastAsia="宋体" w:cs="宋体"/>
                <w:b/>
                <w:bCs/>
                <w:color w:val="auto"/>
                <w:kern w:val="0"/>
                <w:sz w:val="21"/>
                <w:szCs w:val="21"/>
                <w:highlight w:val="none"/>
              </w:rPr>
            </w:pPr>
            <w:r>
              <w:rPr>
                <w:rFonts w:hint="eastAsia" w:ascii="宋体" w:hAnsi="宋体" w:eastAsia="宋体" w:cs="宋体"/>
                <w:b/>
                <w:bCs/>
                <w:color w:val="auto"/>
                <w:kern w:val="0"/>
                <w:sz w:val="21"/>
                <w:szCs w:val="21"/>
                <w:highlight w:val="none"/>
              </w:rPr>
              <w:t>分标名称</w:t>
            </w:r>
          </w:p>
        </w:tc>
        <w:tc>
          <w:tcPr>
            <w:tcW w:w="1560" w:type="dxa"/>
            <w:shd w:val="clear" w:color="auto" w:fill="auto"/>
            <w:vAlign w:val="center"/>
          </w:tcPr>
          <w:p>
            <w:pPr>
              <w:widowControl/>
              <w:spacing w:line="240" w:lineRule="atLeast"/>
              <w:jc w:val="center"/>
              <w:rPr>
                <w:rFonts w:hint="eastAsia" w:ascii="宋体" w:hAnsi="宋体" w:eastAsia="宋体" w:cs="宋体"/>
                <w:b/>
                <w:kern w:val="0"/>
                <w:sz w:val="21"/>
                <w:szCs w:val="21"/>
                <w:highlight w:val="none"/>
                <w:lang w:val="en-US" w:eastAsia="zh-CN"/>
              </w:rPr>
            </w:pPr>
            <w:r>
              <w:rPr>
                <w:rFonts w:hint="eastAsia" w:ascii="宋体" w:hAnsi="宋体" w:cs="宋体"/>
                <w:b/>
                <w:kern w:val="0"/>
                <w:sz w:val="21"/>
                <w:szCs w:val="21"/>
                <w:highlight w:val="none"/>
                <w:lang w:val="en-US" w:eastAsia="zh-CN"/>
              </w:rPr>
              <w:t>分包名称</w:t>
            </w:r>
          </w:p>
        </w:tc>
        <w:tc>
          <w:tcPr>
            <w:tcW w:w="885" w:type="dxa"/>
            <w:shd w:val="clear" w:color="auto" w:fill="auto"/>
            <w:vAlign w:val="center"/>
          </w:tcPr>
          <w:p>
            <w:pPr>
              <w:widowControl/>
              <w:spacing w:line="240" w:lineRule="atLeast"/>
              <w:jc w:val="center"/>
              <w:rPr>
                <w:rFonts w:hint="eastAsia" w:ascii="宋体" w:hAnsi="宋体" w:eastAsia="宋体" w:cs="宋体"/>
                <w:b/>
                <w:bCs/>
                <w:color w:val="auto"/>
                <w:kern w:val="0"/>
                <w:sz w:val="21"/>
                <w:szCs w:val="21"/>
                <w:highlight w:val="none"/>
                <w:lang w:eastAsia="zh-CN"/>
              </w:rPr>
            </w:pPr>
            <w:r>
              <w:rPr>
                <w:rFonts w:hint="eastAsia" w:ascii="宋体" w:hAnsi="宋体" w:eastAsia="宋体" w:cs="宋体"/>
                <w:b/>
                <w:kern w:val="0"/>
                <w:sz w:val="21"/>
                <w:szCs w:val="21"/>
                <w:highlight w:val="none"/>
              </w:rPr>
              <w:t>包</w:t>
            </w:r>
            <w:r>
              <w:rPr>
                <w:rFonts w:hint="eastAsia" w:ascii="宋体" w:hAnsi="宋体" w:eastAsia="宋体" w:cs="宋体"/>
                <w:b/>
                <w:kern w:val="0"/>
                <w:sz w:val="21"/>
                <w:szCs w:val="21"/>
                <w:highlight w:val="none"/>
                <w:lang w:eastAsia="zh-CN"/>
              </w:rPr>
              <w:t>号</w:t>
            </w:r>
          </w:p>
        </w:tc>
        <w:tc>
          <w:tcPr>
            <w:tcW w:w="1725" w:type="dxa"/>
            <w:vAlign w:val="center"/>
          </w:tcPr>
          <w:p>
            <w:pPr>
              <w:widowControl/>
              <w:shd w:val="clear"/>
              <w:jc w:val="center"/>
              <w:rPr>
                <w:rFonts w:hint="eastAsia" w:ascii="宋体" w:hAnsi="宋体" w:eastAsia="宋体" w:cs="宋体"/>
                <w:b/>
                <w:bCs/>
                <w:color w:val="auto"/>
                <w:kern w:val="0"/>
                <w:sz w:val="21"/>
                <w:szCs w:val="21"/>
                <w:highlight w:val="none"/>
              </w:rPr>
            </w:pPr>
            <w:r>
              <w:rPr>
                <w:rFonts w:hint="eastAsia" w:ascii="宋体" w:hAnsi="宋体" w:eastAsia="宋体" w:cs="宋体"/>
                <w:b/>
                <w:bCs/>
                <w:kern w:val="0"/>
                <w:sz w:val="21"/>
                <w:szCs w:val="21"/>
                <w:highlight w:val="none"/>
                <w:lang w:val="en-US" w:eastAsia="zh-CN"/>
              </w:rPr>
              <w:t>预计采购金额</w:t>
            </w:r>
            <w:r>
              <w:rPr>
                <w:rFonts w:hint="eastAsia" w:ascii="宋体" w:hAnsi="宋体" w:eastAsia="宋体" w:cs="宋体"/>
                <w:b/>
                <w:bCs/>
                <w:kern w:val="0"/>
                <w:sz w:val="21"/>
                <w:szCs w:val="21"/>
                <w:highlight w:val="none"/>
              </w:rPr>
              <w:t xml:space="preserve">    （万元）</w:t>
            </w:r>
          </w:p>
        </w:tc>
        <w:tc>
          <w:tcPr>
            <w:tcW w:w="5040" w:type="dxa"/>
            <w:shd w:val="clear" w:color="auto" w:fill="auto"/>
            <w:vAlign w:val="center"/>
          </w:tcPr>
          <w:p>
            <w:pPr>
              <w:widowControl/>
              <w:shd w:val="clear"/>
              <w:jc w:val="center"/>
              <w:rPr>
                <w:rFonts w:hint="eastAsia" w:ascii="宋体" w:hAnsi="宋体" w:eastAsia="宋体" w:cs="宋体"/>
                <w:b/>
                <w:bCs/>
                <w:color w:val="auto"/>
                <w:kern w:val="0"/>
                <w:sz w:val="21"/>
                <w:szCs w:val="21"/>
                <w:highlight w:val="none"/>
              </w:rPr>
            </w:pPr>
            <w:r>
              <w:rPr>
                <w:rFonts w:hint="eastAsia" w:ascii="宋体" w:hAnsi="宋体" w:eastAsia="宋体" w:cs="宋体"/>
                <w:b/>
                <w:color w:val="auto"/>
                <w:kern w:val="0"/>
                <w:sz w:val="21"/>
                <w:szCs w:val="21"/>
                <w:highlight w:val="none"/>
              </w:rPr>
              <w:t>专用资格要求</w:t>
            </w:r>
          </w:p>
        </w:tc>
        <w:tc>
          <w:tcPr>
            <w:tcW w:w="1275" w:type="dxa"/>
            <w:vAlign w:val="center"/>
          </w:tcPr>
          <w:p>
            <w:pPr>
              <w:widowControl/>
              <w:shd w:val="clear"/>
              <w:jc w:val="center"/>
              <w:rPr>
                <w:rFonts w:hint="eastAsia" w:ascii="宋体" w:hAnsi="宋体" w:eastAsia="宋体" w:cs="宋体"/>
                <w:b/>
                <w:color w:val="auto"/>
                <w:kern w:val="0"/>
                <w:sz w:val="21"/>
                <w:szCs w:val="21"/>
                <w:highlight w:val="none"/>
                <w:lang w:eastAsia="zh-CN"/>
              </w:rPr>
            </w:pPr>
            <w:r>
              <w:rPr>
                <w:rFonts w:hint="eastAsia" w:ascii="宋体" w:hAnsi="宋体" w:eastAsia="宋体" w:cs="宋体"/>
                <w:b/>
                <w:color w:val="auto"/>
                <w:kern w:val="0"/>
                <w:sz w:val="21"/>
                <w:szCs w:val="21"/>
                <w:highlight w:val="none"/>
                <w:lang w:eastAsia="zh-CN"/>
              </w:rPr>
              <w:t>报价方式</w:t>
            </w:r>
          </w:p>
        </w:tc>
        <w:tc>
          <w:tcPr>
            <w:tcW w:w="1958" w:type="dxa"/>
            <w:vAlign w:val="center"/>
          </w:tcPr>
          <w:p>
            <w:pPr>
              <w:widowControl/>
              <w:jc w:val="center"/>
              <w:textAlignment w:val="center"/>
              <w:rPr>
                <w:rFonts w:hint="eastAsia" w:ascii="宋体" w:hAnsi="宋体" w:eastAsia="宋体" w:cs="宋体"/>
                <w:b/>
                <w:bCs/>
                <w:kern w:val="0"/>
                <w:sz w:val="21"/>
                <w:szCs w:val="21"/>
                <w:highlight w:val="none"/>
              </w:rPr>
            </w:pPr>
            <w:r>
              <w:rPr>
                <w:rFonts w:hint="eastAsia" w:ascii="宋体" w:hAnsi="宋体" w:eastAsia="宋体" w:cs="宋体"/>
                <w:b/>
                <w:bCs/>
                <w:kern w:val="0"/>
                <w:sz w:val="21"/>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1" w:hRule="atLeast"/>
          <w:jc w:val="center"/>
        </w:trPr>
        <w:tc>
          <w:tcPr>
            <w:tcW w:w="687" w:type="dxa"/>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cs="宋体"/>
                <w:i w:val="0"/>
                <w:iCs w:val="0"/>
                <w:color w:val="000000"/>
                <w:kern w:val="0"/>
                <w:sz w:val="20"/>
                <w:szCs w:val="20"/>
                <w:u w:val="none"/>
                <w:lang w:val="en-US" w:eastAsia="zh-CN" w:bidi="ar"/>
              </w:rPr>
              <w:t>1</w:t>
            </w:r>
          </w:p>
        </w:tc>
        <w:tc>
          <w:tcPr>
            <w:tcW w:w="1245"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QG2025070100703728</w:t>
            </w:r>
          </w:p>
        </w:tc>
        <w:tc>
          <w:tcPr>
            <w:tcW w:w="1408" w:type="dxa"/>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电力物资质量检测中心技术服务包01</w:t>
            </w:r>
          </w:p>
        </w:tc>
        <w:tc>
          <w:tcPr>
            <w:tcW w:w="1560"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烟台东源2025年七月送变电电力物资质量检测中心技术服务项目（2025-2026）包01公开竞谈</w:t>
            </w:r>
          </w:p>
        </w:tc>
        <w:tc>
          <w:tcPr>
            <w:tcW w:w="885"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包01</w:t>
            </w:r>
          </w:p>
        </w:tc>
        <w:tc>
          <w:tcPr>
            <w:tcW w:w="1725" w:type="dxa"/>
            <w:vAlign w:val="center"/>
          </w:tcPr>
          <w:p>
            <w:pPr>
              <w:keepNext w:val="0"/>
              <w:keepLines w:val="0"/>
              <w:widowControl/>
              <w:suppressLineNumbers w:val="0"/>
              <w:jc w:val="center"/>
              <w:textAlignment w:val="center"/>
              <w:rPr>
                <w:rFonts w:hint="eastAsia" w:ascii="宋体" w:hAnsi="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124.455 </w:t>
            </w:r>
          </w:p>
        </w:tc>
        <w:tc>
          <w:tcPr>
            <w:tcW w:w="5040"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bookmarkStart w:id="28" w:name="OLE_LINK3"/>
            <w:r>
              <w:rPr>
                <w:rFonts w:hint="eastAsia" w:ascii="宋体" w:hAnsi="宋体" w:cs="宋体"/>
                <w:i w:val="0"/>
                <w:iCs w:val="0"/>
                <w:color w:val="000000"/>
                <w:kern w:val="0"/>
                <w:sz w:val="20"/>
                <w:szCs w:val="20"/>
                <w:u w:val="none"/>
                <w:lang w:val="en-US" w:eastAsia="zh-CN" w:bidi="ar"/>
              </w:rPr>
              <w:t>必须具有近5年，具有相关技术服务业绩不少于1份（附合同及发票扫描件）。</w:t>
            </w:r>
            <w:bookmarkEnd w:id="28"/>
          </w:p>
        </w:tc>
        <w:tc>
          <w:tcPr>
            <w:tcW w:w="1275" w:type="dxa"/>
            <w:vAlign w:val="center"/>
          </w:tcPr>
          <w:p>
            <w:pPr>
              <w:keepNext w:val="0"/>
              <w:keepLines w:val="0"/>
              <w:widowControl/>
              <w:suppressLineNumbers w:val="0"/>
              <w:jc w:val="center"/>
              <w:textAlignment w:val="center"/>
              <w:rPr>
                <w:rFonts w:hint="eastAsia" w:ascii="宋体" w:hAnsi="宋体" w:cs="宋体"/>
                <w:i w:val="0"/>
                <w:iCs w:val="0"/>
                <w:color w:val="000000"/>
                <w:kern w:val="0"/>
                <w:sz w:val="20"/>
                <w:szCs w:val="20"/>
                <w:u w:val="none"/>
                <w:lang w:val="en-US" w:eastAsia="zh-CN" w:bidi="ar"/>
              </w:rPr>
            </w:pPr>
            <w:r>
              <w:rPr>
                <w:rFonts w:hint="eastAsia" w:ascii="宋体" w:hAnsi="宋体" w:cs="宋体"/>
                <w:i w:val="0"/>
                <w:iCs w:val="0"/>
                <w:color w:val="000000"/>
                <w:kern w:val="0"/>
                <w:sz w:val="20"/>
                <w:szCs w:val="20"/>
                <w:u w:val="none"/>
                <w:lang w:val="en-US" w:eastAsia="zh-CN" w:bidi="ar"/>
              </w:rPr>
              <w:t>折扣率</w:t>
            </w:r>
          </w:p>
        </w:tc>
        <w:tc>
          <w:tcPr>
            <w:tcW w:w="1958" w:type="dxa"/>
            <w:vAlign w:val="center"/>
          </w:tcPr>
          <w:p>
            <w:pPr>
              <w:keepNext w:val="0"/>
              <w:keepLines w:val="0"/>
              <w:widowControl/>
              <w:suppressLineNumbers w:val="0"/>
              <w:jc w:val="center"/>
              <w:textAlignment w:val="center"/>
              <w:rPr>
                <w:rFonts w:hint="eastAsia" w:ascii="宋体" w:hAnsi="宋体" w:cs="宋体"/>
                <w:i w:val="0"/>
                <w:iCs w:val="0"/>
                <w:color w:val="000000"/>
                <w:kern w:val="0"/>
                <w:sz w:val="20"/>
                <w:szCs w:val="20"/>
                <w:u w:val="none"/>
                <w:lang w:val="en-US" w:eastAsia="zh-CN" w:bidi="ar"/>
              </w:rPr>
            </w:pPr>
            <w:bookmarkStart w:id="29" w:name="OLE_LINK4"/>
            <w:r>
              <w:rPr>
                <w:rFonts w:hint="eastAsia" w:ascii="宋体" w:hAnsi="宋体" w:cs="宋体"/>
                <w:i w:val="0"/>
                <w:iCs w:val="0"/>
                <w:color w:val="000000"/>
                <w:kern w:val="0"/>
                <w:sz w:val="20"/>
                <w:szCs w:val="20"/>
                <w:u w:val="none"/>
                <w:lang w:val="en-US" w:eastAsia="zh-CN" w:bidi="ar"/>
              </w:rPr>
              <w:t>限价98.00%</w:t>
            </w:r>
            <w:bookmarkEnd w:id="29"/>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1" w:hRule="atLeast"/>
          <w:jc w:val="center"/>
        </w:trPr>
        <w:tc>
          <w:tcPr>
            <w:tcW w:w="687" w:type="dxa"/>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cs="宋体"/>
                <w:i w:val="0"/>
                <w:iCs w:val="0"/>
                <w:color w:val="000000"/>
                <w:kern w:val="0"/>
                <w:sz w:val="20"/>
                <w:szCs w:val="20"/>
                <w:u w:val="none"/>
                <w:lang w:val="en-US" w:eastAsia="zh-CN" w:bidi="ar"/>
              </w:rPr>
              <w:t>2</w:t>
            </w:r>
          </w:p>
        </w:tc>
        <w:tc>
          <w:tcPr>
            <w:tcW w:w="1245"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QG2025070100703737</w:t>
            </w:r>
          </w:p>
        </w:tc>
        <w:tc>
          <w:tcPr>
            <w:tcW w:w="1408" w:type="dxa"/>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电力物资质量检测中心技术服务包02</w:t>
            </w:r>
          </w:p>
        </w:tc>
        <w:tc>
          <w:tcPr>
            <w:tcW w:w="1560"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烟台东源2025年七月送变电电力物资质量检测中心技术服务项目（2025-2026）包02公开竞谈</w:t>
            </w:r>
          </w:p>
        </w:tc>
        <w:tc>
          <w:tcPr>
            <w:tcW w:w="885"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包01</w:t>
            </w:r>
          </w:p>
        </w:tc>
        <w:tc>
          <w:tcPr>
            <w:tcW w:w="1725" w:type="dxa"/>
            <w:vAlign w:val="center"/>
          </w:tcPr>
          <w:p>
            <w:pPr>
              <w:keepNext w:val="0"/>
              <w:keepLines w:val="0"/>
              <w:widowControl/>
              <w:suppressLineNumbers w:val="0"/>
              <w:jc w:val="center"/>
              <w:textAlignment w:val="center"/>
              <w:rPr>
                <w:rFonts w:hint="eastAsia" w:ascii="宋体" w:hAnsi="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107.480 </w:t>
            </w:r>
          </w:p>
        </w:tc>
        <w:tc>
          <w:tcPr>
            <w:tcW w:w="5040" w:type="dxa"/>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cs="宋体"/>
                <w:i w:val="0"/>
                <w:iCs w:val="0"/>
                <w:color w:val="000000"/>
                <w:kern w:val="0"/>
                <w:sz w:val="20"/>
                <w:szCs w:val="20"/>
                <w:u w:val="none"/>
                <w:lang w:val="en-US" w:eastAsia="zh-CN" w:bidi="ar"/>
              </w:rPr>
              <w:t>必须具有近5年，具有相关技术服务业绩不少于1份（附合同及发票扫描件）。</w:t>
            </w:r>
          </w:p>
        </w:tc>
        <w:tc>
          <w:tcPr>
            <w:tcW w:w="1275" w:type="dxa"/>
            <w:vAlign w:val="center"/>
          </w:tcPr>
          <w:p>
            <w:pPr>
              <w:keepNext w:val="0"/>
              <w:keepLines w:val="0"/>
              <w:widowControl/>
              <w:suppressLineNumbers w:val="0"/>
              <w:jc w:val="center"/>
              <w:textAlignment w:val="center"/>
              <w:rPr>
                <w:rFonts w:hint="eastAsia" w:ascii="宋体" w:hAnsi="宋体" w:cs="宋体"/>
                <w:i w:val="0"/>
                <w:iCs w:val="0"/>
                <w:color w:val="000000"/>
                <w:kern w:val="0"/>
                <w:sz w:val="20"/>
                <w:szCs w:val="20"/>
                <w:u w:val="none"/>
                <w:lang w:val="en-US" w:eastAsia="zh-CN" w:bidi="ar"/>
              </w:rPr>
            </w:pPr>
            <w:r>
              <w:rPr>
                <w:rFonts w:hint="eastAsia" w:ascii="宋体" w:hAnsi="宋体" w:cs="宋体"/>
                <w:i w:val="0"/>
                <w:iCs w:val="0"/>
                <w:color w:val="000000"/>
                <w:kern w:val="0"/>
                <w:sz w:val="20"/>
                <w:szCs w:val="20"/>
                <w:u w:val="none"/>
                <w:lang w:val="en-US" w:eastAsia="zh-CN" w:bidi="ar"/>
              </w:rPr>
              <w:t>折扣率</w:t>
            </w:r>
          </w:p>
        </w:tc>
        <w:tc>
          <w:tcPr>
            <w:tcW w:w="1958" w:type="dxa"/>
            <w:vAlign w:val="center"/>
          </w:tcPr>
          <w:p>
            <w:pPr>
              <w:keepNext w:val="0"/>
              <w:keepLines w:val="0"/>
              <w:widowControl/>
              <w:suppressLineNumbers w:val="0"/>
              <w:jc w:val="center"/>
              <w:textAlignment w:val="center"/>
              <w:rPr>
                <w:rFonts w:hint="eastAsia" w:ascii="宋体" w:hAnsi="宋体" w:cs="宋体"/>
                <w:i w:val="0"/>
                <w:iCs w:val="0"/>
                <w:color w:val="000000"/>
                <w:kern w:val="0"/>
                <w:sz w:val="20"/>
                <w:szCs w:val="20"/>
                <w:u w:val="none"/>
                <w:lang w:val="en-US" w:eastAsia="zh-CN" w:bidi="ar"/>
              </w:rPr>
            </w:pPr>
            <w:r>
              <w:rPr>
                <w:rFonts w:hint="eastAsia" w:ascii="宋体" w:hAnsi="宋体" w:cs="宋体"/>
                <w:i w:val="0"/>
                <w:iCs w:val="0"/>
                <w:color w:val="000000"/>
                <w:kern w:val="0"/>
                <w:sz w:val="20"/>
                <w:szCs w:val="20"/>
                <w:u w:val="none"/>
                <w:lang w:val="en-US" w:eastAsia="zh-CN" w:bidi="ar"/>
              </w:rPr>
              <w:t>限价98.00%</w:t>
            </w:r>
          </w:p>
        </w:tc>
      </w:tr>
    </w:tbl>
    <w:p>
      <w:pPr>
        <w:jc w:val="left"/>
        <w:rPr>
          <w:rFonts w:hint="eastAsia" w:ascii="宋体" w:hAnsi="宋体" w:cs="宋体"/>
          <w:color w:val="auto"/>
          <w:szCs w:val="21"/>
          <w:highlight w:val="none"/>
        </w:rPr>
      </w:pPr>
    </w:p>
    <w:p>
      <w:pPr>
        <w:adjustRightInd w:val="0"/>
        <w:snapToGrid w:val="0"/>
        <w:spacing w:line="400" w:lineRule="exact"/>
        <w:rPr>
          <w:rFonts w:hint="eastAsia" w:ascii="宋体" w:hAnsi="宋体"/>
          <w:color w:val="auto"/>
          <w:highlight w:val="none"/>
        </w:rPr>
      </w:pPr>
      <w:r>
        <w:rPr>
          <w:rFonts w:hint="eastAsia" w:ascii="宋体" w:hAnsi="宋体"/>
          <w:color w:val="auto"/>
          <w:highlight w:val="none"/>
        </w:rPr>
        <w:t>说明：</w:t>
      </w:r>
    </w:p>
    <w:p>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1.招标业绩应同时提供合同、对应发票和发票查验截图。应提供合同关键部分，包括封面、合同协议书、签署页、合同金额、承包范围（工作内容）及其它关键条款等。发票至少提供预付款、进度款、结算款三种发票中的任意一种，发票影印件需清晰可辨，发票二维码区不得遮挡、涂抹。业绩发票影印件后须附通过国家税务总局全国增值税发票查验平台（网址：https://inv-veri.chinatax.gov.cn/）查验的发票结果截图，“一发票一截图”，所有业绩支撑证明材料内容须保证清晰、可辨认且不得遮盖、涂抹，如因影印件模糊无法查验的，该业绩可能不被认可。</w:t>
      </w:r>
    </w:p>
    <w:p>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业绩认定时间以合同签订时间为准，若合同无签署日期，且无其他可以证明合同签署日期的文件，则该项业绩无效。若合同上存在多个签署日期的，以最后一方签署的时间为准。</w:t>
      </w:r>
    </w:p>
    <w:p>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lang w:val="en-US" w:eastAsia="zh-CN"/>
        </w:rPr>
        <w:t>2.</w:t>
      </w:r>
      <w:r>
        <w:rPr>
          <w:rFonts w:hint="eastAsia" w:ascii="宋体" w:hAnsi="宋体"/>
          <w:color w:val="auto"/>
          <w:highlight w:val="none"/>
        </w:rPr>
        <w:t>投标人须提供招标文件要求的资质证书、许可证书、人员资格证书等证书影印件及证书的网上查询截屏（放在对应证书资格证明文件处）。</w:t>
      </w:r>
    </w:p>
    <w:p>
      <w:pPr>
        <w:rPr>
          <w:rFonts w:hint="eastAsia" w:ascii="宋体" w:hAnsi="宋体" w:cs="宋体"/>
          <w:color w:val="auto"/>
          <w:szCs w:val="21"/>
          <w:highlight w:val="none"/>
        </w:rPr>
      </w:pPr>
      <w:r>
        <w:rPr>
          <w:rFonts w:hint="eastAsia" w:ascii="宋体" w:hAnsi="宋体" w:cs="宋体"/>
          <w:color w:val="auto"/>
          <w:szCs w:val="21"/>
          <w:highlight w:val="none"/>
        </w:rPr>
        <w:br w:type="page"/>
      </w:r>
    </w:p>
    <w:bookmarkEnd w:id="0"/>
    <w:p>
      <w:pPr>
        <w:pStyle w:val="12"/>
        <w:rPr>
          <w:rFonts w:hint="eastAsia"/>
          <w:color w:val="auto"/>
          <w:highlight w:val="none"/>
        </w:rPr>
        <w:sectPr>
          <w:pgSz w:w="16838" w:h="11905" w:orient="landscape"/>
          <w:pgMar w:top="1803" w:right="1134" w:bottom="1803" w:left="1134" w:header="850" w:footer="992" w:gutter="0"/>
          <w:pgBorders>
            <w:top w:val="none" w:sz="0" w:space="0"/>
            <w:left w:val="none" w:sz="0" w:space="0"/>
            <w:bottom w:val="none" w:sz="0" w:space="0"/>
            <w:right w:val="none" w:sz="0" w:space="0"/>
          </w:pgBorders>
          <w:pgNumType w:start="0"/>
          <w:cols w:space="0" w:num="1"/>
          <w:docGrid w:type="lines" w:linePitch="317" w:charSpace="0"/>
        </w:sectPr>
      </w:pPr>
    </w:p>
    <w:p>
      <w:pPr>
        <w:pStyle w:val="12"/>
        <w:rPr>
          <w:rFonts w:hint="eastAsia"/>
          <w:color w:val="auto"/>
          <w:highlight w:val="none"/>
        </w:rPr>
      </w:pPr>
    </w:p>
    <w:p>
      <w:pPr>
        <w:spacing w:line="360" w:lineRule="auto"/>
        <w:rPr>
          <w:rFonts w:ascii="宋体" w:hAnsi="宋体" w:cs="宋体"/>
          <w:b/>
          <w:sz w:val="21"/>
          <w:szCs w:val="21"/>
          <w:highlight w:val="none"/>
          <w:lang w:eastAsia="zh-CN"/>
        </w:rPr>
      </w:pPr>
      <w:r>
        <w:rPr>
          <w:rFonts w:hint="eastAsia" w:ascii="黑体" w:hAnsi="黑体" w:eastAsia="黑体" w:cs="黑体"/>
          <w:b/>
          <w:sz w:val="21"/>
          <w:szCs w:val="21"/>
          <w:highlight w:val="none"/>
          <w:lang w:eastAsia="zh-CN"/>
        </w:rPr>
        <w:t>（此操作流程仅供参考）：</w:t>
      </w:r>
    </w:p>
    <w:p>
      <w:pPr>
        <w:spacing w:line="360" w:lineRule="auto"/>
        <w:rPr>
          <w:rFonts w:ascii="宋体" w:hAnsi="宋体" w:eastAsia="宋体"/>
          <w:sz w:val="21"/>
          <w:szCs w:val="21"/>
          <w:highlight w:val="none"/>
        </w:rPr>
      </w:pPr>
      <w:r>
        <w:rPr>
          <w:rFonts w:hint="eastAsia" w:ascii="宋体" w:hAnsi="宋体" w:eastAsia="宋体"/>
          <w:sz w:val="21"/>
          <w:szCs w:val="21"/>
          <w:highlight w:val="none"/>
        </w:rPr>
        <w:t>1</w:t>
      </w:r>
      <w:r>
        <w:rPr>
          <w:rFonts w:ascii="宋体" w:hAnsi="宋体" w:eastAsia="宋体"/>
          <w:sz w:val="21"/>
          <w:szCs w:val="21"/>
          <w:highlight w:val="none"/>
        </w:rPr>
        <w:t>.</w:t>
      </w:r>
      <w:r>
        <w:rPr>
          <w:rFonts w:hint="eastAsia" w:ascii="宋体" w:hAnsi="宋体" w:eastAsia="宋体"/>
          <w:sz w:val="21"/>
          <w:szCs w:val="21"/>
          <w:highlight w:val="none"/>
        </w:rPr>
        <w:t>登录平台务必使用谷歌浏览器，登录地址：https://sgccetp.com.cn/isc/newlogin.html</w:t>
      </w:r>
    </w:p>
    <w:p>
      <w:pPr>
        <w:rPr>
          <w:sz w:val="21"/>
          <w:szCs w:val="21"/>
          <w:highlight w:val="none"/>
        </w:rPr>
      </w:pPr>
    </w:p>
    <w:p>
      <w:pPr>
        <w:numPr>
          <w:ilvl w:val="0"/>
          <w:numId w:val="1"/>
        </w:numPr>
        <w:spacing w:line="360" w:lineRule="auto"/>
        <w:rPr>
          <w:rFonts w:hint="eastAsia" w:ascii="宋体" w:hAnsi="宋体" w:eastAsia="宋体"/>
          <w:color w:val="0000FF"/>
          <w:sz w:val="21"/>
          <w:szCs w:val="21"/>
          <w:highlight w:val="none"/>
          <w:u w:val="single"/>
        </w:rPr>
      </w:pPr>
      <w:r>
        <w:rPr>
          <w:rFonts w:hint="eastAsia" w:ascii="宋体" w:hAnsi="宋体" w:eastAsia="宋体"/>
          <w:sz w:val="21"/>
          <w:szCs w:val="21"/>
          <w:highlight w:val="none"/>
        </w:rPr>
        <w:t>请确认已有账号及C</w:t>
      </w:r>
      <w:r>
        <w:rPr>
          <w:rFonts w:ascii="宋体" w:hAnsi="宋体" w:eastAsia="宋体"/>
          <w:sz w:val="21"/>
          <w:szCs w:val="21"/>
          <w:highlight w:val="none"/>
        </w:rPr>
        <w:t>A</w:t>
      </w:r>
      <w:r>
        <w:rPr>
          <w:rFonts w:hint="eastAsia" w:ascii="宋体" w:hAnsi="宋体" w:eastAsia="宋体"/>
          <w:sz w:val="21"/>
          <w:szCs w:val="21"/>
          <w:highlight w:val="none"/>
        </w:rPr>
        <w:t>电子钥匙，并安装电子钥匙，电子钥匙安装包下载网址：</w:t>
      </w:r>
      <w:r>
        <w:rPr>
          <w:rFonts w:hint="eastAsia" w:ascii="宋体" w:hAnsi="宋体" w:eastAsia="宋体"/>
          <w:color w:val="0000FF"/>
          <w:sz w:val="21"/>
          <w:szCs w:val="21"/>
          <w:highlight w:val="none"/>
          <w:u w:val="single"/>
        </w:rPr>
        <w:fldChar w:fldCharType="begin"/>
      </w:r>
      <w:r>
        <w:rPr>
          <w:rFonts w:hint="eastAsia" w:ascii="宋体" w:hAnsi="宋体" w:eastAsia="宋体"/>
          <w:color w:val="0000FF"/>
          <w:sz w:val="21"/>
          <w:szCs w:val="21"/>
          <w:highlight w:val="none"/>
          <w:u w:val="single"/>
        </w:rPr>
        <w:instrText xml:space="preserve"> HYPERLINK "https://sgccetp.com.cn/portal/#/list/down/2022040178954615_4_2022040178961097请务必将电子钥匙和账号绑定" </w:instrText>
      </w:r>
      <w:r>
        <w:rPr>
          <w:rFonts w:hint="eastAsia" w:ascii="宋体" w:hAnsi="宋体" w:eastAsia="宋体"/>
          <w:color w:val="0000FF"/>
          <w:sz w:val="21"/>
          <w:szCs w:val="21"/>
          <w:highlight w:val="none"/>
          <w:u w:val="single"/>
        </w:rPr>
        <w:fldChar w:fldCharType="separate"/>
      </w:r>
      <w:r>
        <w:rPr>
          <w:rFonts w:hint="eastAsia" w:ascii="宋体" w:hAnsi="宋体" w:eastAsia="宋体"/>
          <w:color w:val="0000FF"/>
          <w:sz w:val="21"/>
          <w:szCs w:val="21"/>
          <w:highlight w:val="none"/>
          <w:u w:val="single"/>
        </w:rPr>
        <w:t>https://sgccetp.com.cn/portal/#/list/down/2022040178954615_4_2022040178961097请务必将电子钥匙和账号绑定</w:t>
      </w:r>
      <w:r>
        <w:rPr>
          <w:rFonts w:hint="eastAsia" w:ascii="宋体" w:hAnsi="宋体" w:eastAsia="宋体"/>
          <w:color w:val="0000FF"/>
          <w:sz w:val="21"/>
          <w:szCs w:val="21"/>
          <w:highlight w:val="none"/>
          <w:u w:val="single"/>
        </w:rPr>
        <w:fldChar w:fldCharType="end"/>
      </w:r>
      <w:r>
        <w:rPr>
          <w:rFonts w:hint="eastAsia" w:ascii="宋体" w:hAnsi="宋体" w:eastAsia="宋体"/>
          <w:color w:val="0000FF"/>
          <w:sz w:val="21"/>
          <w:szCs w:val="21"/>
          <w:highlight w:val="none"/>
          <w:u w:val="single"/>
          <w:lang w:eastAsia="zh-CN"/>
        </w:rPr>
        <w:t>。</w:t>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3</w:t>
      </w:r>
      <w:r>
        <w:rPr>
          <w:rFonts w:ascii="宋体" w:hAnsi="宋体" w:eastAsia="宋体"/>
          <w:sz w:val="21"/>
          <w:szCs w:val="21"/>
          <w:highlight w:val="none"/>
          <w:lang w:eastAsia="zh-CN"/>
        </w:rPr>
        <w:t>.</w:t>
      </w:r>
      <w:r>
        <w:rPr>
          <w:rFonts w:hint="eastAsia" w:ascii="宋体" w:hAnsi="宋体" w:eastAsia="宋体"/>
          <w:b/>
          <w:bCs/>
          <w:sz w:val="21"/>
          <w:szCs w:val="21"/>
          <w:highlight w:val="none"/>
          <w:lang w:eastAsia="zh-CN"/>
        </w:rPr>
        <w:t>招标项目获取招标文件路径：</w:t>
      </w:r>
      <w:r>
        <w:rPr>
          <w:rFonts w:hint="eastAsia" w:ascii="宋体" w:hAnsi="宋体" w:eastAsia="宋体"/>
          <w:sz w:val="21"/>
          <w:szCs w:val="21"/>
          <w:highlight w:val="none"/>
          <w:lang w:eastAsia="zh-CN"/>
        </w:rPr>
        <w:t>登录平台</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采购项目管理</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招标项目</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投标阶段</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获取招标文件</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获取文件（选择项目并获取）</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获取文件总览（选择项目并结算）</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支付及记录及文件下载（下载招标文件</w:t>
      </w:r>
      <w:r>
        <w:rPr>
          <w:rFonts w:ascii="宋体" w:hAnsi="宋体" w:eastAsia="宋体"/>
          <w:sz w:val="21"/>
          <w:szCs w:val="21"/>
          <w:highlight w:val="none"/>
          <w:lang w:eastAsia="zh-CN"/>
        </w:rPr>
        <w:t>-&gt;SGCC</w:t>
      </w:r>
      <w:r>
        <w:rPr>
          <w:rFonts w:hint="eastAsia" w:ascii="宋体" w:hAnsi="宋体" w:eastAsia="宋体"/>
          <w:sz w:val="21"/>
          <w:szCs w:val="21"/>
          <w:highlight w:val="none"/>
          <w:lang w:eastAsia="zh-CN"/>
        </w:rPr>
        <w:t>文件打包</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下载S</w:t>
      </w:r>
      <w:r>
        <w:rPr>
          <w:rFonts w:ascii="宋体" w:hAnsi="宋体" w:eastAsia="宋体"/>
          <w:sz w:val="21"/>
          <w:szCs w:val="21"/>
          <w:highlight w:val="none"/>
          <w:lang w:eastAsia="zh-CN"/>
        </w:rPr>
        <w:t>GCC</w:t>
      </w:r>
      <w:r>
        <w:rPr>
          <w:rFonts w:hint="eastAsia" w:ascii="宋体" w:hAnsi="宋体" w:eastAsia="宋体"/>
          <w:sz w:val="21"/>
          <w:szCs w:val="21"/>
          <w:highlight w:val="none"/>
          <w:lang w:eastAsia="zh-CN"/>
        </w:rPr>
        <w:t>包）</w:t>
      </w:r>
    </w:p>
    <w:p>
      <w:pPr>
        <w:spacing w:line="360" w:lineRule="auto"/>
        <w:rPr>
          <w:rFonts w:ascii="宋体" w:hAnsi="宋体" w:eastAsia="宋体"/>
          <w:sz w:val="21"/>
          <w:szCs w:val="21"/>
          <w:highlight w:val="none"/>
          <w:lang w:eastAsia="zh-CN"/>
        </w:rPr>
      </w:pPr>
    </w:p>
    <w:p>
      <w:pPr>
        <w:spacing w:line="360" w:lineRule="auto"/>
        <w:rPr>
          <w:rFonts w:ascii="宋体" w:hAnsi="宋体" w:eastAsia="宋体"/>
          <w:sz w:val="21"/>
          <w:szCs w:val="21"/>
          <w:highlight w:val="none"/>
          <w:lang w:eastAsia="zh-CN"/>
        </w:rPr>
      </w:pPr>
      <w:r>
        <w:rPr>
          <w:rFonts w:hint="eastAsia" w:ascii="宋体" w:hAnsi="宋体" w:eastAsia="宋体"/>
          <w:b/>
          <w:bCs/>
          <w:sz w:val="21"/>
          <w:szCs w:val="21"/>
          <w:highlight w:val="none"/>
          <w:lang w:eastAsia="zh-CN"/>
        </w:rPr>
        <w:t>非招标项目获取采购文件路径：</w:t>
      </w:r>
      <w:r>
        <w:rPr>
          <w:rFonts w:hint="eastAsia" w:ascii="宋体" w:hAnsi="宋体" w:eastAsia="宋体"/>
          <w:sz w:val="21"/>
          <w:szCs w:val="21"/>
          <w:highlight w:val="none"/>
          <w:lang w:eastAsia="zh-CN"/>
        </w:rPr>
        <w:t>登录平台</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采购项目管理</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非招标项目</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应答阶段</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获取文件（选择项目并获取）</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获取文件总览（选择项目并结算）</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支付及记录及文件下载（下载招标文件</w:t>
      </w:r>
      <w:r>
        <w:rPr>
          <w:rFonts w:ascii="宋体" w:hAnsi="宋体" w:eastAsia="宋体"/>
          <w:sz w:val="21"/>
          <w:szCs w:val="21"/>
          <w:highlight w:val="none"/>
          <w:lang w:eastAsia="zh-CN"/>
        </w:rPr>
        <w:t>-&gt;SGCC</w:t>
      </w:r>
      <w:r>
        <w:rPr>
          <w:rFonts w:hint="eastAsia" w:ascii="宋体" w:hAnsi="宋体" w:eastAsia="宋体"/>
          <w:sz w:val="21"/>
          <w:szCs w:val="21"/>
          <w:highlight w:val="none"/>
          <w:lang w:eastAsia="zh-CN"/>
        </w:rPr>
        <w:t>文件打包</w:t>
      </w:r>
      <w:r>
        <w:rPr>
          <w:rFonts w:ascii="宋体" w:hAnsi="宋体" w:eastAsia="宋体"/>
          <w:sz w:val="21"/>
          <w:szCs w:val="21"/>
          <w:highlight w:val="none"/>
          <w:lang w:eastAsia="zh-CN"/>
        </w:rPr>
        <w:t>-&gt;</w:t>
      </w:r>
      <w:r>
        <w:rPr>
          <w:rFonts w:hint="eastAsia" w:ascii="宋体" w:hAnsi="宋体" w:eastAsia="宋体"/>
          <w:sz w:val="21"/>
          <w:szCs w:val="21"/>
          <w:highlight w:val="none"/>
          <w:lang w:eastAsia="zh-CN"/>
        </w:rPr>
        <w:t>下载S</w:t>
      </w:r>
      <w:r>
        <w:rPr>
          <w:rFonts w:ascii="宋体" w:hAnsi="宋体" w:eastAsia="宋体"/>
          <w:sz w:val="21"/>
          <w:szCs w:val="21"/>
          <w:highlight w:val="none"/>
          <w:lang w:eastAsia="zh-CN"/>
        </w:rPr>
        <w:t>GCC</w:t>
      </w:r>
      <w:r>
        <w:rPr>
          <w:rFonts w:hint="eastAsia" w:ascii="宋体" w:hAnsi="宋体" w:eastAsia="宋体"/>
          <w:sz w:val="21"/>
          <w:szCs w:val="21"/>
          <w:highlight w:val="none"/>
          <w:lang w:eastAsia="zh-CN"/>
        </w:rPr>
        <w:t>包）</w:t>
      </w:r>
    </w:p>
    <w:p>
      <w:pPr>
        <w:spacing w:line="360" w:lineRule="auto"/>
        <w:rPr>
          <w:rFonts w:ascii="宋体" w:hAnsi="宋体" w:eastAsia="宋体"/>
          <w:color w:val="FF0000"/>
          <w:sz w:val="21"/>
          <w:szCs w:val="21"/>
          <w:highlight w:val="none"/>
          <w:lang w:eastAsia="zh-CN"/>
        </w:rPr>
      </w:pPr>
      <w:r>
        <w:rPr>
          <w:rFonts w:hint="eastAsia" w:ascii="宋体" w:hAnsi="宋体" w:eastAsia="宋体"/>
          <w:color w:val="FF0000"/>
          <w:sz w:val="21"/>
          <w:szCs w:val="21"/>
          <w:highlight w:val="none"/>
          <w:lang w:eastAsia="zh-CN"/>
        </w:rPr>
        <w:t>招标（采购）文件及S</w:t>
      </w:r>
      <w:r>
        <w:rPr>
          <w:rFonts w:ascii="宋体" w:hAnsi="宋体" w:eastAsia="宋体"/>
          <w:color w:val="FF0000"/>
          <w:sz w:val="21"/>
          <w:szCs w:val="21"/>
          <w:highlight w:val="none"/>
          <w:lang w:eastAsia="zh-CN"/>
        </w:rPr>
        <w:t>GCC</w:t>
      </w:r>
      <w:r>
        <w:rPr>
          <w:rFonts w:hint="eastAsia" w:ascii="宋体" w:hAnsi="宋体" w:eastAsia="宋体"/>
          <w:color w:val="FF0000"/>
          <w:sz w:val="21"/>
          <w:szCs w:val="21"/>
          <w:highlight w:val="none"/>
          <w:lang w:eastAsia="zh-CN"/>
        </w:rPr>
        <w:t>包可永久下载</w:t>
      </w:r>
    </w:p>
    <w:p>
      <w:pPr>
        <w:spacing w:line="360" w:lineRule="auto"/>
        <w:rPr>
          <w:rFonts w:ascii="宋体" w:hAnsi="宋体" w:eastAsia="宋体"/>
          <w:color w:val="FF0000"/>
          <w:sz w:val="21"/>
          <w:szCs w:val="21"/>
          <w:highlight w:val="none"/>
          <w:lang w:eastAsia="zh-CN"/>
        </w:rPr>
      </w:pP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4</w:t>
      </w:r>
      <w:r>
        <w:rPr>
          <w:rFonts w:ascii="宋体" w:hAnsi="宋体" w:eastAsia="宋体"/>
          <w:sz w:val="21"/>
          <w:szCs w:val="21"/>
          <w:highlight w:val="none"/>
          <w:lang w:eastAsia="zh-CN"/>
        </w:rPr>
        <w:t>.</w:t>
      </w:r>
      <w:r>
        <w:rPr>
          <w:rFonts w:hint="eastAsia" w:ascii="宋体" w:hAnsi="宋体" w:eastAsia="宋体"/>
          <w:sz w:val="21"/>
          <w:szCs w:val="21"/>
          <w:highlight w:val="none"/>
          <w:lang w:eastAsia="zh-CN"/>
        </w:rPr>
        <w:t>供应商投标工具准备工作：推荐使用W</w:t>
      </w:r>
      <w:r>
        <w:rPr>
          <w:rFonts w:ascii="宋体" w:hAnsi="宋体" w:eastAsia="宋体"/>
          <w:sz w:val="21"/>
          <w:szCs w:val="21"/>
          <w:highlight w:val="none"/>
          <w:lang w:eastAsia="zh-CN"/>
        </w:rPr>
        <w:t>IN7</w:t>
      </w:r>
      <w:r>
        <w:rPr>
          <w:rFonts w:hint="eastAsia" w:ascii="宋体" w:hAnsi="宋体" w:eastAsia="宋体"/>
          <w:sz w:val="21"/>
          <w:szCs w:val="21"/>
          <w:highlight w:val="none"/>
          <w:lang w:eastAsia="zh-CN"/>
        </w:rPr>
        <w:t>及以上操作系统“</w:t>
      </w:r>
      <w:r>
        <w:rPr>
          <w:rFonts w:ascii="宋体" w:hAnsi="宋体" w:eastAsia="宋体"/>
          <w:sz w:val="21"/>
          <w:szCs w:val="21"/>
          <w:highlight w:val="none"/>
          <w:lang w:eastAsia="zh-CN"/>
        </w:rPr>
        <w:t>8G，64位”配置以及优于此配置的</w:t>
      </w:r>
      <w:r>
        <w:rPr>
          <w:rFonts w:hint="eastAsia" w:ascii="宋体" w:hAnsi="宋体" w:eastAsia="宋体"/>
          <w:sz w:val="21"/>
          <w:szCs w:val="21"/>
          <w:highlight w:val="none"/>
          <w:lang w:eastAsia="zh-CN"/>
        </w:rPr>
        <w:t>的</w:t>
      </w:r>
      <w:r>
        <w:rPr>
          <w:rFonts w:ascii="宋体" w:hAnsi="宋体" w:eastAsia="宋体"/>
          <w:sz w:val="21"/>
          <w:szCs w:val="21"/>
          <w:highlight w:val="none"/>
          <w:lang w:eastAsia="zh-CN"/>
        </w:rPr>
        <w:t>电脑。同时，推荐安装</w:t>
      </w:r>
      <w:r>
        <w:rPr>
          <w:rFonts w:hint="eastAsia" w:ascii="宋体" w:hAnsi="宋体" w:eastAsia="宋体"/>
          <w:sz w:val="21"/>
          <w:szCs w:val="21"/>
          <w:highlight w:val="none"/>
          <w:lang w:eastAsia="zh-CN"/>
        </w:rPr>
        <w:t>2</w:t>
      </w:r>
      <w:r>
        <w:rPr>
          <w:rFonts w:ascii="宋体" w:hAnsi="宋体" w:eastAsia="宋体"/>
          <w:sz w:val="21"/>
          <w:szCs w:val="21"/>
          <w:highlight w:val="none"/>
          <w:lang w:eastAsia="zh-CN"/>
        </w:rPr>
        <w:t>010/2013/2016版本的OFFICE软件；</w:t>
      </w:r>
      <w:r>
        <w:rPr>
          <w:rFonts w:hint="eastAsia" w:ascii="宋体" w:hAnsi="宋体" w:eastAsia="宋体"/>
          <w:sz w:val="21"/>
          <w:szCs w:val="21"/>
          <w:highlight w:val="none"/>
          <w:lang w:eastAsia="zh-CN"/>
        </w:rPr>
        <w:t>请勿</w:t>
      </w:r>
      <w:r>
        <w:rPr>
          <w:rFonts w:ascii="宋体" w:hAnsi="宋体" w:eastAsia="宋体"/>
          <w:sz w:val="21"/>
          <w:szCs w:val="21"/>
          <w:highlight w:val="none"/>
          <w:lang w:eastAsia="zh-CN"/>
        </w:rPr>
        <w:t>使用WPS办公软件或者其他版本的OFFICE软件，</w:t>
      </w:r>
      <w:r>
        <w:rPr>
          <w:rFonts w:hint="eastAsia" w:ascii="宋体" w:hAnsi="宋体" w:eastAsia="宋体"/>
          <w:sz w:val="21"/>
          <w:szCs w:val="21"/>
          <w:highlight w:val="none"/>
          <w:lang w:eastAsia="zh-CN"/>
        </w:rPr>
        <w:t>请勿</w:t>
      </w:r>
      <w:r>
        <w:rPr>
          <w:rFonts w:ascii="宋体" w:hAnsi="宋体" w:eastAsia="宋体"/>
          <w:sz w:val="21"/>
          <w:szCs w:val="21"/>
          <w:highlight w:val="none"/>
          <w:lang w:eastAsia="zh-CN"/>
        </w:rPr>
        <w:t>混合使用OFFICE与WPS软件，都会导致投标失败。</w:t>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检查当前所使用的</w:t>
      </w:r>
      <w:r>
        <w:rPr>
          <w:rFonts w:ascii="宋体" w:hAnsi="宋体" w:eastAsia="宋体"/>
          <w:sz w:val="21"/>
          <w:szCs w:val="21"/>
          <w:highlight w:val="none"/>
          <w:lang w:eastAsia="zh-CN"/>
        </w:rPr>
        <w:t>Office是否具备“转PDF”功能，若不具备该功能，则需要用户额外安装“SaveAsPDFandXPS”插件（已附于投标工具下载的压</w:t>
      </w:r>
      <w:r>
        <w:rPr>
          <w:rFonts w:hint="eastAsia" w:ascii="宋体" w:hAnsi="宋体"/>
          <w:sz w:val="21"/>
          <w:szCs w:val="21"/>
          <w:highlight w:val="none"/>
          <w:lang w:val="en-US" w:eastAsia="zh-CN"/>
        </w:rPr>
        <w:t xml:space="preserve"> </w:t>
      </w:r>
      <w:r>
        <w:rPr>
          <w:rFonts w:ascii="宋体" w:hAnsi="宋体" w:eastAsia="宋体"/>
          <w:sz w:val="21"/>
          <w:szCs w:val="21"/>
          <w:highlight w:val="none"/>
          <w:lang w:eastAsia="zh-CN"/>
        </w:rPr>
        <w:t>缩包中）。</w:t>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rPr>
        <w:t>电脑准备好后安装投标工具，供应商投标工具下载地址：</w:t>
      </w:r>
      <w:r>
        <w:rPr>
          <w:rStyle w:val="20"/>
          <w:rFonts w:hint="eastAsia" w:ascii="Times New Roman" w:hAnsi="Times New Roman" w:eastAsia="宋体" w:cs="Times New Roman"/>
          <w:sz w:val="21"/>
          <w:szCs w:val="21"/>
          <w:highlight w:val="none"/>
        </w:rPr>
        <w:t>https://sgccetp.com.cn/portal/#/list/down/2022040178954615_4_2022040178961837</w:t>
      </w:r>
      <w:r>
        <w:rPr>
          <w:rFonts w:hint="eastAsia" w:ascii="宋体" w:hAnsi="宋体" w:eastAsia="宋体"/>
          <w:sz w:val="21"/>
          <w:szCs w:val="21"/>
          <w:highlight w:val="none"/>
        </w:rPr>
        <w:t>。</w:t>
      </w:r>
      <w:r>
        <w:rPr>
          <w:rFonts w:hint="eastAsia" w:ascii="宋体" w:hAnsi="宋体" w:eastAsia="宋体"/>
          <w:sz w:val="21"/>
          <w:szCs w:val="21"/>
          <w:highlight w:val="none"/>
          <w:lang w:eastAsia="zh-CN"/>
        </w:rPr>
        <w:t>两个版本的投标工具均可使用，请按照电脑的版本只安装1个供应商投标工具即可。</w:t>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5</w:t>
      </w:r>
      <w:r>
        <w:rPr>
          <w:rFonts w:ascii="宋体" w:hAnsi="宋体" w:eastAsia="宋体"/>
          <w:sz w:val="21"/>
          <w:szCs w:val="21"/>
          <w:highlight w:val="none"/>
          <w:lang w:eastAsia="zh-CN"/>
        </w:rPr>
        <w:t>.</w:t>
      </w:r>
      <w:r>
        <w:rPr>
          <w:rFonts w:hint="eastAsia" w:ascii="宋体" w:hAnsi="宋体" w:eastAsia="宋体"/>
          <w:sz w:val="21"/>
          <w:szCs w:val="21"/>
          <w:highlight w:val="none"/>
          <w:lang w:eastAsia="zh-CN"/>
        </w:rPr>
        <w:t>投标</w:t>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打开供应商投标工具，联网接受检测，检测通过后点击确定，</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882265"/>
            <wp:effectExtent l="0" t="0" r="2540" b="1333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6"/>
                    <a:stretch>
                      <a:fillRect/>
                    </a:stretch>
                  </pic:blipFill>
                  <pic:spPr>
                    <a:xfrm>
                      <a:off x="0" y="0"/>
                      <a:ext cx="5274310" cy="2882265"/>
                    </a:xfrm>
                    <a:prstGeom prst="rect">
                      <a:avLst/>
                    </a:prstGeom>
                    <a:noFill/>
                    <a:ln>
                      <a:noFill/>
                    </a:ln>
                  </pic:spPr>
                </pic:pic>
              </a:graphicData>
            </a:graphic>
          </wp:inline>
        </w:drawing>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点击导入按钮导入S</w:t>
      </w:r>
      <w:r>
        <w:rPr>
          <w:rFonts w:ascii="宋体" w:hAnsi="宋体" w:eastAsia="宋体"/>
          <w:sz w:val="21"/>
          <w:szCs w:val="21"/>
          <w:highlight w:val="none"/>
          <w:lang w:eastAsia="zh-CN"/>
        </w:rPr>
        <w:t>GCC</w:t>
      </w:r>
      <w:r>
        <w:rPr>
          <w:rFonts w:hint="eastAsia" w:ascii="宋体" w:hAnsi="宋体" w:eastAsia="宋体"/>
          <w:sz w:val="21"/>
          <w:szCs w:val="21"/>
          <w:highlight w:val="none"/>
          <w:lang w:eastAsia="zh-CN"/>
        </w:rPr>
        <w:t>包（请务必解压后再导入），弹出“进度提示”窗口，显示</w:t>
      </w:r>
      <w:r>
        <w:rPr>
          <w:rFonts w:ascii="宋体" w:hAnsi="宋体" w:eastAsia="宋体"/>
          <w:sz w:val="21"/>
          <w:szCs w:val="21"/>
          <w:highlight w:val="none"/>
          <w:lang w:eastAsia="zh-CN"/>
        </w:rPr>
        <w:t>SGCC包导入进度，导入完成后点击“确认”按钮。</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710815"/>
            <wp:effectExtent l="0" t="0" r="2540" b="1333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7"/>
                    <a:stretch>
                      <a:fillRect/>
                    </a:stretch>
                  </pic:blipFill>
                  <pic:spPr>
                    <a:xfrm>
                      <a:off x="0" y="0"/>
                      <a:ext cx="5274310" cy="2710815"/>
                    </a:xfrm>
                    <a:prstGeom prst="rect">
                      <a:avLst/>
                    </a:prstGeom>
                    <a:noFill/>
                    <a:ln>
                      <a:noFill/>
                    </a:ln>
                  </pic:spPr>
                </pic:pic>
              </a:graphicData>
            </a:graphic>
          </wp:inline>
        </w:drawing>
      </w:r>
    </w:p>
    <w:p>
      <w:pPr>
        <w:rPr>
          <w:rFonts w:ascii="宋体" w:hAnsi="宋体" w:eastAsia="宋体"/>
          <w:sz w:val="21"/>
          <w:szCs w:val="21"/>
          <w:highlight w:val="none"/>
        </w:rPr>
      </w:pPr>
      <w:r>
        <w:rPr>
          <w:rFonts w:ascii="宋体" w:hAnsi="宋体" w:eastAsia="宋体"/>
          <w:sz w:val="21"/>
          <w:szCs w:val="21"/>
          <w:highlight w:val="none"/>
        </w:rPr>
        <w:br w:type="page"/>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商务文件、价格文件、技术文件需要分别编辑</w:t>
      </w:r>
      <w:r>
        <w:rPr>
          <w:sz w:val="21"/>
          <w:szCs w:val="21"/>
          <w:highlight w:val="none"/>
          <w:lang w:eastAsia="zh-CN" w:bidi="ar-SA"/>
        </w:rPr>
        <w:drawing>
          <wp:inline distT="0" distB="0" distL="114300" distR="114300">
            <wp:extent cx="5274310" cy="2766695"/>
            <wp:effectExtent l="0" t="0" r="2540" b="1460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8"/>
                    <a:stretch>
                      <a:fillRect/>
                    </a:stretch>
                  </pic:blipFill>
                  <pic:spPr>
                    <a:xfrm>
                      <a:off x="0" y="0"/>
                      <a:ext cx="5274310" cy="2766695"/>
                    </a:xfrm>
                    <a:prstGeom prst="rect">
                      <a:avLst/>
                    </a:prstGeom>
                    <a:noFill/>
                    <a:ln>
                      <a:noFill/>
                    </a:ln>
                  </pic:spPr>
                </pic:pic>
              </a:graphicData>
            </a:graphic>
          </wp:inline>
        </w:drawing>
      </w:r>
    </w:p>
    <w:p>
      <w:pPr>
        <w:spacing w:line="360" w:lineRule="auto"/>
        <w:rPr>
          <w:rFonts w:ascii="宋体" w:hAnsi="宋体" w:eastAsia="宋体"/>
          <w:sz w:val="21"/>
          <w:szCs w:val="21"/>
          <w:highlight w:val="none"/>
          <w:lang w:eastAsia="zh-CN"/>
        </w:rPr>
      </w:pP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商务文件：请按照招标文件商务部分的要求，将商务文件中法定代表人授权委托书上传至1，将其余商务文件上传至2，点击保存。（注意总上传文件不得超过1</w:t>
      </w:r>
      <w:r>
        <w:rPr>
          <w:rFonts w:ascii="宋体" w:hAnsi="宋体" w:eastAsia="宋体"/>
          <w:sz w:val="21"/>
          <w:szCs w:val="21"/>
          <w:highlight w:val="none"/>
          <w:lang w:eastAsia="zh-CN"/>
        </w:rPr>
        <w:t>0MB</w:t>
      </w:r>
      <w:r>
        <w:rPr>
          <w:rFonts w:hint="eastAsia" w:ascii="宋体" w:hAnsi="宋体" w:eastAsia="宋体"/>
          <w:sz w:val="21"/>
          <w:szCs w:val="21"/>
          <w:highlight w:val="none"/>
          <w:lang w:eastAsia="zh-CN"/>
        </w:rPr>
        <w:t>）</w:t>
      </w:r>
    </w:p>
    <w:p>
      <w:pPr>
        <w:spacing w:line="360" w:lineRule="auto"/>
        <w:rPr>
          <w:rFonts w:ascii="宋体" w:hAnsi="宋体" w:eastAsia="宋体"/>
          <w:sz w:val="21"/>
          <w:szCs w:val="21"/>
          <w:highlight w:val="none"/>
        </w:rPr>
      </w:pPr>
      <w:r>
        <w:rPr>
          <w:rFonts w:hint="eastAsia" w:ascii="宋体" w:hAnsi="宋体" w:eastAsia="宋体"/>
          <w:sz w:val="21"/>
          <w:szCs w:val="21"/>
          <w:highlight w:val="none"/>
          <w:lang w:eastAsia="zh-CN"/>
        </w:rPr>
        <w:t>电子签章仅对上传文件中带有“</w:t>
      </w:r>
      <w:r>
        <w:rPr>
          <w:rFonts w:hint="eastAsia" w:ascii="宋体" w:hAnsi="宋体" w:eastAsia="宋体"/>
          <w:b/>
          <w:bCs/>
          <w:color w:val="FF0000"/>
          <w:sz w:val="21"/>
          <w:szCs w:val="21"/>
          <w:highlight w:val="none"/>
          <w:lang w:eastAsia="zh-CN"/>
        </w:rPr>
        <w:t>盖章</w:t>
      </w:r>
      <w:r>
        <w:rPr>
          <w:rFonts w:hint="eastAsia" w:ascii="宋体" w:hAnsi="宋体" w:eastAsia="宋体"/>
          <w:sz w:val="21"/>
          <w:szCs w:val="21"/>
          <w:highlight w:val="none"/>
          <w:lang w:eastAsia="zh-CN"/>
        </w:rPr>
        <w:t>”二字的文件生成电子章，请提前将需要盖电子章的文件加入“</w:t>
      </w:r>
      <w:r>
        <w:rPr>
          <w:rFonts w:hint="eastAsia" w:ascii="宋体" w:hAnsi="宋体" w:eastAsia="宋体"/>
          <w:b/>
          <w:bCs/>
          <w:color w:val="FF0000"/>
          <w:sz w:val="21"/>
          <w:szCs w:val="21"/>
          <w:highlight w:val="none"/>
          <w:lang w:eastAsia="zh-CN"/>
        </w:rPr>
        <w:t>盖章</w:t>
      </w:r>
      <w:r>
        <w:rPr>
          <w:rFonts w:hint="eastAsia" w:ascii="宋体" w:hAnsi="宋体" w:eastAsia="宋体"/>
          <w:sz w:val="21"/>
          <w:szCs w:val="21"/>
          <w:highlight w:val="none"/>
          <w:lang w:eastAsia="zh-CN"/>
        </w:rPr>
        <w:t>”二字。电子签章无法生成法人签字，其中规定需要签字、盖章的页面（如法人代表授权委托书、原厂商授权委托书等），需签字盖章扫描后插入对应</w:t>
      </w:r>
      <w:r>
        <w:rPr>
          <w:rFonts w:ascii="宋体" w:hAnsi="宋体" w:eastAsia="宋体"/>
          <w:sz w:val="21"/>
          <w:szCs w:val="21"/>
          <w:highlight w:val="none"/>
          <w:lang w:eastAsia="zh-CN"/>
        </w:rPr>
        <w:t>word</w:t>
      </w:r>
      <w:r>
        <w:rPr>
          <w:rFonts w:hint="eastAsia" w:ascii="宋体" w:hAnsi="宋体" w:eastAsia="宋体"/>
          <w:sz w:val="21"/>
          <w:szCs w:val="21"/>
          <w:highlight w:val="none"/>
          <w:lang w:eastAsia="zh-CN"/>
        </w:rPr>
        <w:t>文件中。由于投标工具对应答文件大小有限制，请合理使用图片工具对插入文件中的图片大小进行压缩，但需确保插入图片的清晰度。</w:t>
      </w:r>
      <w:r>
        <w:rPr>
          <w:rFonts w:hint="eastAsia" w:ascii="宋体" w:hAnsi="宋体" w:eastAsia="宋体"/>
          <w:sz w:val="21"/>
          <w:szCs w:val="21"/>
          <w:highlight w:val="none"/>
        </w:rPr>
        <w:t>（</w:t>
      </w:r>
      <w:r>
        <w:rPr>
          <w:rFonts w:hint="eastAsia" w:ascii="宋体" w:hAnsi="宋体" w:eastAsia="宋体"/>
          <w:b/>
          <w:bCs/>
          <w:color w:val="FF0000"/>
          <w:sz w:val="21"/>
          <w:szCs w:val="21"/>
          <w:highlight w:val="none"/>
        </w:rPr>
        <w:t>非常重要</w:t>
      </w:r>
      <w:r>
        <w:rPr>
          <w:rFonts w:hint="eastAsia" w:ascii="宋体" w:hAnsi="宋体" w:eastAsia="宋体"/>
          <w:sz w:val="21"/>
          <w:szCs w:val="21"/>
          <w:highlight w:val="none"/>
        </w:rPr>
        <w:t>）</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488565"/>
            <wp:effectExtent l="0" t="0" r="2540" b="698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9" cstate="print"/>
                    <a:stretch>
                      <a:fillRect/>
                    </a:stretch>
                  </pic:blipFill>
                  <pic:spPr>
                    <a:xfrm>
                      <a:off x="0" y="0"/>
                      <a:ext cx="5274310" cy="2488565"/>
                    </a:xfrm>
                    <a:prstGeom prst="rect">
                      <a:avLst/>
                    </a:prstGeom>
                    <a:noFill/>
                    <a:ln>
                      <a:noFill/>
                    </a:ln>
                  </pic:spPr>
                </pic:pic>
              </a:graphicData>
            </a:graphic>
          </wp:inline>
        </w:drawing>
      </w:r>
    </w:p>
    <w:p>
      <w:pPr>
        <w:rPr>
          <w:rFonts w:ascii="宋体" w:hAnsi="宋体" w:eastAsia="宋体"/>
          <w:sz w:val="21"/>
          <w:szCs w:val="21"/>
          <w:highlight w:val="none"/>
        </w:rPr>
      </w:pP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技术文件：请按照招标文件技术部分的要求，将技术文件上传至1，如有图纸可将图纸上传至2，点击保存。（注意总上传文件不得超过</w:t>
      </w:r>
      <w:r>
        <w:rPr>
          <w:rFonts w:ascii="宋体" w:hAnsi="宋体" w:eastAsia="宋体"/>
          <w:sz w:val="21"/>
          <w:szCs w:val="21"/>
          <w:highlight w:val="none"/>
          <w:lang w:eastAsia="zh-CN"/>
        </w:rPr>
        <w:t>60MB</w:t>
      </w:r>
      <w:r>
        <w:rPr>
          <w:rFonts w:hint="eastAsia" w:ascii="宋体" w:hAnsi="宋体" w:eastAsia="宋体"/>
          <w:sz w:val="21"/>
          <w:szCs w:val="21"/>
          <w:highlight w:val="none"/>
          <w:lang w:eastAsia="zh-CN"/>
        </w:rPr>
        <w:t>）</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409825"/>
            <wp:effectExtent l="0" t="0" r="2540" b="9525"/>
            <wp:docPr id="4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pic:cNvPicPr>
                      <a:picLocks noChangeAspect="1"/>
                    </pic:cNvPicPr>
                  </pic:nvPicPr>
                  <pic:blipFill>
                    <a:blip r:embed="rId20" cstate="print"/>
                    <a:stretch>
                      <a:fillRect/>
                    </a:stretch>
                  </pic:blipFill>
                  <pic:spPr>
                    <a:xfrm>
                      <a:off x="0" y="0"/>
                      <a:ext cx="5274310" cy="2409825"/>
                    </a:xfrm>
                    <a:prstGeom prst="rect">
                      <a:avLst/>
                    </a:prstGeom>
                    <a:noFill/>
                    <a:ln>
                      <a:noFill/>
                    </a:ln>
                  </pic:spPr>
                </pic:pic>
              </a:graphicData>
            </a:graphic>
          </wp:inline>
        </w:drawing>
      </w:r>
    </w:p>
    <w:p>
      <w:pPr>
        <w:rPr>
          <w:rFonts w:ascii="宋体" w:hAnsi="宋体" w:eastAsia="宋体"/>
          <w:sz w:val="21"/>
          <w:szCs w:val="21"/>
          <w:highlight w:val="none"/>
        </w:rPr>
      </w:pPr>
      <w:r>
        <w:rPr>
          <w:rFonts w:ascii="宋体" w:hAnsi="宋体" w:eastAsia="宋体"/>
          <w:sz w:val="21"/>
          <w:szCs w:val="21"/>
          <w:highlight w:val="none"/>
        </w:rPr>
        <w:br w:type="page"/>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价格文件（注意总上传文件不得超过</w:t>
      </w:r>
      <w:r>
        <w:rPr>
          <w:rFonts w:ascii="宋体" w:hAnsi="宋体" w:eastAsia="宋体"/>
          <w:sz w:val="21"/>
          <w:szCs w:val="21"/>
          <w:highlight w:val="none"/>
          <w:lang w:eastAsia="zh-CN"/>
        </w:rPr>
        <w:t>30MB</w:t>
      </w:r>
      <w:r>
        <w:rPr>
          <w:rFonts w:hint="eastAsia" w:ascii="宋体" w:hAnsi="宋体" w:eastAsia="宋体"/>
          <w:sz w:val="21"/>
          <w:szCs w:val="21"/>
          <w:highlight w:val="none"/>
          <w:lang w:eastAsia="zh-CN"/>
        </w:rPr>
        <w:t>）：请先维护投标人基本信息</w:t>
      </w:r>
      <w:r>
        <w:rPr>
          <w:sz w:val="21"/>
          <w:szCs w:val="21"/>
          <w:highlight w:val="none"/>
          <w:lang w:eastAsia="zh-CN" w:bidi="ar-SA"/>
        </w:rPr>
        <w:drawing>
          <wp:inline distT="0" distB="0" distL="114300" distR="114300">
            <wp:extent cx="5274310" cy="1834515"/>
            <wp:effectExtent l="0" t="0" r="2540"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5274310" cy="1834515"/>
                    </a:xfrm>
                    <a:prstGeom prst="rect">
                      <a:avLst/>
                    </a:prstGeom>
                    <a:noFill/>
                    <a:ln>
                      <a:noFill/>
                    </a:ln>
                  </pic:spPr>
                </pic:pic>
              </a:graphicData>
            </a:graphic>
          </wp:inline>
        </w:drawing>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投标人基本信息可手动填写，也可使用导出导入功能（介于投标人信息长期不变，可留存此份</w:t>
      </w:r>
      <w:r>
        <w:rPr>
          <w:rFonts w:ascii="宋体" w:hAnsi="宋体" w:eastAsia="宋体"/>
          <w:sz w:val="21"/>
          <w:szCs w:val="21"/>
          <w:highlight w:val="none"/>
          <w:lang w:eastAsia="zh-CN"/>
        </w:rPr>
        <w:t>Excel文件，在日后的相</w:t>
      </w:r>
      <w:r>
        <w:rPr>
          <w:rFonts w:hint="eastAsia" w:ascii="宋体" w:hAnsi="宋体" w:eastAsia="宋体"/>
          <w:sz w:val="21"/>
          <w:szCs w:val="21"/>
          <w:highlight w:val="none"/>
          <w:lang w:eastAsia="zh-CN"/>
        </w:rPr>
        <w:t>关编辑工作中可直接上传、以维护投标人基本信息。），请务必勾选保证金提交情况，点击保存。该信息维护后可自动生成投标（应答）函</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794635"/>
            <wp:effectExtent l="0" t="0" r="2540" b="5715"/>
            <wp:docPr id="4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
                    <pic:cNvPicPr>
                      <a:picLocks noChangeAspect="1"/>
                    </pic:cNvPicPr>
                  </pic:nvPicPr>
                  <pic:blipFill>
                    <a:blip r:embed="rId22"/>
                    <a:stretch>
                      <a:fillRect/>
                    </a:stretch>
                  </pic:blipFill>
                  <pic:spPr>
                    <a:xfrm>
                      <a:off x="0" y="0"/>
                      <a:ext cx="5274310" cy="2794635"/>
                    </a:xfrm>
                    <a:prstGeom prst="rect">
                      <a:avLst/>
                    </a:prstGeom>
                    <a:noFill/>
                    <a:ln>
                      <a:noFill/>
                    </a:ln>
                  </pic:spPr>
                </pic:pic>
              </a:graphicData>
            </a:graphic>
          </wp:inline>
        </w:drawing>
      </w:r>
    </w:p>
    <w:p>
      <w:pPr>
        <w:rPr>
          <w:rFonts w:ascii="宋体" w:hAnsi="宋体" w:eastAsia="宋体"/>
          <w:sz w:val="21"/>
          <w:szCs w:val="21"/>
          <w:highlight w:val="none"/>
        </w:rPr>
      </w:pPr>
      <w:r>
        <w:rPr>
          <w:rFonts w:ascii="宋体" w:hAnsi="宋体" w:eastAsia="宋体"/>
          <w:sz w:val="21"/>
          <w:szCs w:val="21"/>
          <w:highlight w:val="none"/>
        </w:rPr>
        <w:br w:type="page"/>
      </w:r>
    </w:p>
    <w:p>
      <w:pPr>
        <w:spacing w:line="360" w:lineRule="auto"/>
        <w:rPr>
          <w:rFonts w:ascii="宋体" w:hAnsi="宋体" w:eastAsia="宋体"/>
          <w:b/>
          <w:bCs/>
          <w:color w:val="FF0000"/>
          <w:sz w:val="21"/>
          <w:szCs w:val="21"/>
          <w:highlight w:val="none"/>
          <w:lang w:eastAsia="zh-CN"/>
        </w:rPr>
      </w:pPr>
      <w:r>
        <w:rPr>
          <w:rFonts w:hint="eastAsia" w:ascii="宋体" w:hAnsi="宋体" w:eastAsia="宋体"/>
          <w:sz w:val="21"/>
          <w:szCs w:val="21"/>
          <w:highlight w:val="none"/>
          <w:lang w:eastAsia="zh-CN"/>
        </w:rPr>
        <w:t>选择已标价货物清单，按照下图提示进行报价和上传报价文件，请注意报价单位</w:t>
      </w:r>
      <w:r>
        <w:rPr>
          <w:rFonts w:hint="eastAsia" w:ascii="宋体" w:hAnsi="宋体" w:eastAsia="宋体"/>
          <w:b/>
          <w:bCs/>
          <w:color w:val="FF0000"/>
          <w:sz w:val="21"/>
          <w:szCs w:val="21"/>
          <w:highlight w:val="none"/>
          <w:lang w:eastAsia="zh-CN"/>
        </w:rPr>
        <w:t>。</w:t>
      </w:r>
    </w:p>
    <w:p>
      <w:pPr>
        <w:pStyle w:val="21"/>
        <w:numPr>
          <w:ilvl w:val="0"/>
          <w:numId w:val="2"/>
        </w:numPr>
        <w:spacing w:line="360" w:lineRule="auto"/>
        <w:ind w:firstLineChars="0"/>
        <w:rPr>
          <w:rFonts w:ascii="宋体" w:hAnsi="宋体" w:eastAsia="宋体"/>
          <w:b/>
          <w:bCs/>
          <w:color w:val="FF0000"/>
          <w:sz w:val="21"/>
          <w:szCs w:val="21"/>
          <w:highlight w:val="none"/>
          <w:lang w:eastAsia="zh-CN"/>
        </w:rPr>
      </w:pPr>
      <w:r>
        <w:rPr>
          <w:rFonts w:hint="eastAsia" w:ascii="宋体" w:hAnsi="宋体" w:eastAsia="宋体"/>
          <w:b/>
          <w:bCs/>
          <w:color w:val="FF0000"/>
          <w:sz w:val="21"/>
          <w:szCs w:val="21"/>
          <w:highlight w:val="none"/>
          <w:lang w:eastAsia="zh-CN"/>
        </w:rPr>
        <w:t>框架无价格项目无此步骤</w:t>
      </w:r>
    </w:p>
    <w:p>
      <w:pPr>
        <w:pStyle w:val="21"/>
        <w:numPr>
          <w:ilvl w:val="0"/>
          <w:numId w:val="2"/>
        </w:numPr>
        <w:spacing w:line="360" w:lineRule="auto"/>
        <w:ind w:firstLineChars="0"/>
        <w:rPr>
          <w:rFonts w:ascii="宋体" w:hAnsi="宋体" w:eastAsia="宋体"/>
          <w:b/>
          <w:bCs/>
          <w:color w:val="FF0000"/>
          <w:sz w:val="21"/>
          <w:szCs w:val="21"/>
          <w:highlight w:val="none"/>
          <w:lang w:eastAsia="zh-CN"/>
        </w:rPr>
      </w:pPr>
      <w:r>
        <w:rPr>
          <w:rFonts w:hint="eastAsia" w:ascii="宋体" w:hAnsi="宋体" w:eastAsia="宋体"/>
          <w:b/>
          <w:bCs/>
          <w:color w:val="FF0000"/>
          <w:sz w:val="21"/>
          <w:szCs w:val="21"/>
          <w:highlight w:val="none"/>
          <w:lang w:eastAsia="zh-CN"/>
        </w:rPr>
        <w:t>单价项目需报税率和未含税报价，请注意数量及系统计算的总价</w:t>
      </w:r>
    </w:p>
    <w:p>
      <w:pPr>
        <w:pStyle w:val="21"/>
        <w:numPr>
          <w:ilvl w:val="0"/>
          <w:numId w:val="2"/>
        </w:numPr>
        <w:spacing w:line="360" w:lineRule="auto"/>
        <w:ind w:firstLineChars="0"/>
        <w:rPr>
          <w:rFonts w:ascii="宋体" w:hAnsi="宋体" w:eastAsia="宋体"/>
          <w:b/>
          <w:bCs/>
          <w:color w:val="FF0000"/>
          <w:sz w:val="21"/>
          <w:szCs w:val="21"/>
          <w:highlight w:val="none"/>
          <w:lang w:eastAsia="zh-CN"/>
        </w:rPr>
      </w:pPr>
      <w:r>
        <w:rPr>
          <w:rFonts w:hint="eastAsia" w:ascii="宋体" w:hAnsi="宋体" w:eastAsia="宋体"/>
          <w:b/>
          <w:bCs/>
          <w:color w:val="FF0000"/>
          <w:sz w:val="21"/>
          <w:szCs w:val="21"/>
          <w:highlight w:val="none"/>
          <w:lang w:eastAsia="zh-CN"/>
        </w:rPr>
        <w:t>是否上传报价文件请按照招标文件要求</w:t>
      </w:r>
    </w:p>
    <w:p>
      <w:pPr>
        <w:pStyle w:val="21"/>
        <w:numPr>
          <w:ilvl w:val="0"/>
          <w:numId w:val="2"/>
        </w:numPr>
        <w:spacing w:line="360" w:lineRule="auto"/>
        <w:ind w:firstLineChars="0"/>
        <w:rPr>
          <w:rFonts w:ascii="宋体" w:hAnsi="宋体" w:eastAsia="宋体"/>
          <w:b/>
          <w:bCs/>
          <w:color w:val="FF0000"/>
          <w:sz w:val="21"/>
          <w:szCs w:val="21"/>
          <w:highlight w:val="none"/>
          <w:lang w:eastAsia="zh-CN"/>
        </w:rPr>
      </w:pPr>
      <w:r>
        <w:rPr>
          <w:rFonts w:hint="eastAsia" w:ascii="宋体" w:hAnsi="宋体" w:eastAsia="宋体"/>
          <w:b/>
          <w:bCs/>
          <w:color w:val="FF0000"/>
          <w:sz w:val="21"/>
          <w:szCs w:val="21"/>
          <w:highlight w:val="none"/>
          <w:lang w:eastAsia="zh-CN"/>
        </w:rPr>
        <w:t>行项目较多时请使用批量导出和批量导入功能</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089150"/>
            <wp:effectExtent l="0" t="0" r="2540" b="635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23" cstate="print"/>
                    <a:stretch>
                      <a:fillRect/>
                    </a:stretch>
                  </pic:blipFill>
                  <pic:spPr>
                    <a:xfrm>
                      <a:off x="0" y="0"/>
                      <a:ext cx="5274310" cy="2089150"/>
                    </a:xfrm>
                    <a:prstGeom prst="rect">
                      <a:avLst/>
                    </a:prstGeom>
                    <a:noFill/>
                    <a:ln>
                      <a:noFill/>
                    </a:ln>
                  </pic:spPr>
                </pic:pic>
              </a:graphicData>
            </a:graphic>
          </wp:inline>
        </w:drawing>
      </w:r>
    </w:p>
    <w:p>
      <w:pPr>
        <w:rPr>
          <w:rFonts w:ascii="宋体" w:hAnsi="宋体" w:eastAsia="宋体"/>
          <w:sz w:val="21"/>
          <w:szCs w:val="21"/>
          <w:highlight w:val="none"/>
        </w:rPr>
      </w:pPr>
      <w:r>
        <w:rPr>
          <w:rFonts w:ascii="宋体" w:hAnsi="宋体" w:eastAsia="宋体"/>
          <w:sz w:val="21"/>
          <w:szCs w:val="21"/>
          <w:highlight w:val="none"/>
        </w:rPr>
        <w:br w:type="page"/>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请确保招标文件要求上传的文件均为已编辑状态的时候，可全选后同时生成</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702560"/>
            <wp:effectExtent l="0" t="0" r="2540" b="254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4"/>
                    <a:stretch>
                      <a:fillRect/>
                    </a:stretch>
                  </pic:blipFill>
                  <pic:spPr>
                    <a:xfrm>
                      <a:off x="0" y="0"/>
                      <a:ext cx="5274310" cy="2702560"/>
                    </a:xfrm>
                    <a:prstGeom prst="rect">
                      <a:avLst/>
                    </a:prstGeom>
                    <a:noFill/>
                    <a:ln>
                      <a:noFill/>
                    </a:ln>
                  </pic:spPr>
                </pic:pic>
              </a:graphicData>
            </a:graphic>
          </wp:inline>
        </w:drawing>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生成进度为1</w:t>
      </w:r>
      <w:r>
        <w:rPr>
          <w:rFonts w:ascii="宋体" w:hAnsi="宋体" w:eastAsia="宋体"/>
          <w:sz w:val="21"/>
          <w:szCs w:val="21"/>
          <w:highlight w:val="none"/>
          <w:lang w:eastAsia="zh-CN"/>
        </w:rPr>
        <w:t>00</w:t>
      </w:r>
      <w:r>
        <w:rPr>
          <w:rFonts w:hint="eastAsia" w:ascii="宋体" w:hAnsi="宋体" w:eastAsia="宋体"/>
          <w:sz w:val="21"/>
          <w:szCs w:val="21"/>
          <w:highlight w:val="none"/>
          <w:lang w:eastAsia="zh-CN"/>
        </w:rPr>
        <w:t>%，导出查看生成的投标文件（非常重要），若生成的文件中出现图片错乱等情况，请尽可能使用分页符代替空格回车等换页。</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251075"/>
            <wp:effectExtent l="0" t="0" r="2540" b="15875"/>
            <wp:docPr id="4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0"/>
                    <pic:cNvPicPr>
                      <a:picLocks noChangeAspect="1"/>
                    </pic:cNvPicPr>
                  </pic:nvPicPr>
                  <pic:blipFill>
                    <a:blip r:embed="rId25" cstate="print"/>
                    <a:stretch>
                      <a:fillRect/>
                    </a:stretch>
                  </pic:blipFill>
                  <pic:spPr>
                    <a:xfrm>
                      <a:off x="0" y="0"/>
                      <a:ext cx="5274310" cy="2251075"/>
                    </a:xfrm>
                    <a:prstGeom prst="rect">
                      <a:avLst/>
                    </a:prstGeom>
                    <a:noFill/>
                    <a:ln>
                      <a:noFill/>
                    </a:ln>
                  </pic:spPr>
                </pic:pic>
              </a:graphicData>
            </a:graphic>
          </wp:inline>
        </w:drawing>
      </w:r>
    </w:p>
    <w:p>
      <w:pPr>
        <w:rPr>
          <w:rFonts w:ascii="宋体" w:hAnsi="宋体" w:eastAsia="宋体"/>
          <w:sz w:val="21"/>
          <w:szCs w:val="21"/>
          <w:highlight w:val="none"/>
        </w:rPr>
      </w:pPr>
      <w:r>
        <w:rPr>
          <w:rFonts w:ascii="宋体" w:hAnsi="宋体" w:eastAsia="宋体"/>
          <w:sz w:val="21"/>
          <w:szCs w:val="21"/>
          <w:highlight w:val="none"/>
        </w:rPr>
        <w:br w:type="page"/>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确保投标文件无误，可全选后同时加密提交。加密提交时登录的用户名和密码是电子商务平台(ECP)-电工交易专区的用户名和密码。</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2701925"/>
            <wp:effectExtent l="0" t="0" r="2540" b="3175"/>
            <wp:docPr id="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pic:cNvPicPr>
                      <a:picLocks noChangeAspect="1"/>
                    </pic:cNvPicPr>
                  </pic:nvPicPr>
                  <pic:blipFill>
                    <a:blip r:embed="rId26"/>
                    <a:stretch>
                      <a:fillRect/>
                    </a:stretch>
                  </pic:blipFill>
                  <pic:spPr>
                    <a:xfrm>
                      <a:off x="0" y="0"/>
                      <a:ext cx="5274310" cy="2701925"/>
                    </a:xfrm>
                    <a:prstGeom prst="rect">
                      <a:avLst/>
                    </a:prstGeom>
                    <a:noFill/>
                    <a:ln>
                      <a:noFill/>
                    </a:ln>
                  </pic:spPr>
                </pic:pic>
              </a:graphicData>
            </a:graphic>
          </wp:inline>
        </w:drawing>
      </w:r>
    </w:p>
    <w:p>
      <w:pPr>
        <w:spacing w:line="360" w:lineRule="auto"/>
        <w:rPr>
          <w:rFonts w:ascii="宋体" w:hAnsi="宋体" w:eastAsia="宋体"/>
          <w:sz w:val="21"/>
          <w:szCs w:val="21"/>
          <w:highlight w:val="none"/>
          <w:lang w:eastAsia="zh-CN"/>
        </w:rPr>
      </w:pPr>
      <w:r>
        <w:rPr>
          <w:rFonts w:hint="eastAsia" w:ascii="宋体" w:hAnsi="宋体" w:eastAsia="宋体"/>
          <w:sz w:val="21"/>
          <w:szCs w:val="21"/>
          <w:highlight w:val="none"/>
          <w:lang w:eastAsia="zh-CN"/>
        </w:rPr>
        <w:t>加密提交进度为1</w:t>
      </w:r>
      <w:r>
        <w:rPr>
          <w:rFonts w:ascii="宋体" w:hAnsi="宋体" w:eastAsia="宋体"/>
          <w:sz w:val="21"/>
          <w:szCs w:val="21"/>
          <w:highlight w:val="none"/>
          <w:lang w:eastAsia="zh-CN"/>
        </w:rPr>
        <w:t>00</w:t>
      </w:r>
      <w:r>
        <w:rPr>
          <w:rFonts w:hint="eastAsia" w:ascii="宋体" w:hAnsi="宋体" w:eastAsia="宋体"/>
          <w:sz w:val="21"/>
          <w:szCs w:val="21"/>
          <w:highlight w:val="none"/>
          <w:lang w:eastAsia="zh-CN"/>
        </w:rPr>
        <w:t>%时完成投标。</w:t>
      </w:r>
    </w:p>
    <w:p>
      <w:pPr>
        <w:spacing w:line="360" w:lineRule="auto"/>
        <w:rPr>
          <w:rFonts w:ascii="宋体" w:hAnsi="宋体" w:eastAsia="宋体"/>
          <w:sz w:val="21"/>
          <w:szCs w:val="21"/>
          <w:highlight w:val="none"/>
        </w:rPr>
      </w:pPr>
      <w:r>
        <w:rPr>
          <w:sz w:val="21"/>
          <w:szCs w:val="21"/>
          <w:highlight w:val="none"/>
          <w:lang w:eastAsia="zh-CN" w:bidi="ar-SA"/>
        </w:rPr>
        <w:drawing>
          <wp:inline distT="0" distB="0" distL="114300" distR="114300">
            <wp:extent cx="5274310" cy="1838325"/>
            <wp:effectExtent l="0" t="0" r="2540" b="9525"/>
            <wp:docPr id="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2"/>
                    <pic:cNvPicPr>
                      <a:picLocks noChangeAspect="1"/>
                    </pic:cNvPicPr>
                  </pic:nvPicPr>
                  <pic:blipFill>
                    <a:blip r:embed="rId27"/>
                    <a:stretch>
                      <a:fillRect/>
                    </a:stretch>
                  </pic:blipFill>
                  <pic:spPr>
                    <a:xfrm>
                      <a:off x="0" y="0"/>
                      <a:ext cx="5274310" cy="1838325"/>
                    </a:xfrm>
                    <a:prstGeom prst="rect">
                      <a:avLst/>
                    </a:prstGeom>
                    <a:noFill/>
                    <a:ln>
                      <a:noFill/>
                    </a:ln>
                  </pic:spPr>
                </pic:pic>
              </a:graphicData>
            </a:graphic>
          </wp:inline>
        </w:drawing>
      </w:r>
    </w:p>
    <w:p>
      <w:pPr>
        <w:pStyle w:val="12"/>
        <w:rPr>
          <w:rFonts w:ascii="宋体" w:hAnsi="宋体" w:eastAsia="宋体"/>
          <w:sz w:val="21"/>
          <w:szCs w:val="21"/>
          <w:highlight w:val="none"/>
          <w:lang w:eastAsia="zh-CN"/>
        </w:rPr>
      </w:pPr>
      <w:r>
        <w:rPr>
          <w:rFonts w:hint="eastAsia" w:ascii="宋体" w:hAnsi="宋体" w:eastAsia="宋体"/>
          <w:sz w:val="21"/>
          <w:szCs w:val="21"/>
          <w:highlight w:val="none"/>
          <w:lang w:eastAsia="zh-CN"/>
        </w:rPr>
        <w:t>可自行登录电子商务平台(ECP)-电工交易专区平台查看投标文件上传情况统计检查。</w:t>
      </w: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ascii="宋体" w:hAnsi="宋体" w:eastAsia="宋体"/>
          <w:sz w:val="21"/>
          <w:szCs w:val="21"/>
          <w:highlight w:val="none"/>
          <w:lang w:eastAsia="zh-CN"/>
        </w:rPr>
      </w:pPr>
    </w:p>
    <w:p>
      <w:pPr>
        <w:pStyle w:val="12"/>
        <w:rPr>
          <w:rFonts w:hint="eastAsia" w:ascii="方正小标宋_GBK" w:hAnsi="Cambria" w:eastAsia="方正小标宋_GBK"/>
          <w:sz w:val="44"/>
          <w:szCs w:val="44"/>
          <w:highlight w:val="none"/>
          <w:lang w:eastAsia="zh-CN"/>
        </w:rPr>
      </w:pPr>
    </w:p>
    <w:p>
      <w:pPr>
        <w:pStyle w:val="12"/>
        <w:rPr>
          <w:rFonts w:hint="eastAsia" w:ascii="方正小标宋_GBK" w:hAnsi="Cambria" w:eastAsia="方正小标宋_GBK"/>
          <w:sz w:val="44"/>
          <w:szCs w:val="44"/>
          <w:highlight w:val="none"/>
          <w:lang w:eastAsia="zh-CN"/>
        </w:rPr>
      </w:pPr>
    </w:p>
    <w:p>
      <w:pPr>
        <w:pStyle w:val="12"/>
        <w:rPr>
          <w:rFonts w:ascii="方正小标宋_GBK" w:hAnsi="Cambria" w:eastAsia="方正小标宋_GBK"/>
          <w:sz w:val="44"/>
          <w:szCs w:val="44"/>
          <w:highlight w:val="none"/>
          <w:lang w:eastAsia="zh-CN"/>
        </w:rPr>
      </w:pPr>
      <w:r>
        <w:rPr>
          <w:rFonts w:hint="eastAsia" w:ascii="方正小标宋_GBK" w:hAnsi="Cambria" w:eastAsia="方正小标宋_GBK"/>
          <w:sz w:val="44"/>
          <w:szCs w:val="44"/>
          <w:highlight w:val="none"/>
          <w:lang w:eastAsia="zh-CN"/>
        </w:rPr>
        <w:t>提醒1：</w:t>
      </w:r>
    </w:p>
    <w:p>
      <w:pPr>
        <w:pStyle w:val="13"/>
        <w:jc w:val="center"/>
        <w:rPr>
          <w:rFonts w:hint="default" w:ascii="仿宋_GB2312" w:hAnsi="仿宋_GB2312" w:eastAsia="仿宋_GB2312" w:cs="仿宋_GB2312"/>
          <w:sz w:val="32"/>
          <w:szCs w:val="32"/>
          <w:lang w:val="en-US" w:eastAsia="zh-CN"/>
        </w:rPr>
      </w:pPr>
      <w:r>
        <w:rPr>
          <w:rFonts w:hint="eastAsia" w:ascii="宋体" w:hAnsi="宋体" w:eastAsia="宋体" w:cs="宋体"/>
          <w:b/>
          <w:bCs/>
          <w:kern w:val="2"/>
          <w:sz w:val="44"/>
          <w:szCs w:val="44"/>
          <w:lang w:val="en-US" w:eastAsia="zh-CN" w:bidi="ar-SA"/>
        </w:rPr>
        <w:t>招标文件新增开票小程序说明</w:t>
      </w:r>
    </w:p>
    <w:p>
      <w:pPr>
        <w:pStyle w:val="13"/>
        <w:ind w:firstLine="643" w:firstLineChars="200"/>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1.采购代理服务费发票申请。</w:t>
      </w:r>
    </w:p>
    <w:p>
      <w:pPr>
        <w:pStyle w:val="13"/>
        <w:ind w:firstLine="560" w:firstLineChars="200"/>
        <w:rPr>
          <w:rFonts w:hint="default" w:ascii="仿宋_GB2312" w:hAnsi="仿宋_GB2312" w:eastAsia="仿宋_GB2312" w:cs="仿宋_GB2312"/>
          <w:b w:val="0"/>
          <w:bCs w:val="0"/>
          <w:sz w:val="28"/>
          <w:szCs w:val="28"/>
          <w:highlight w:val="none"/>
          <w:lang w:val="en-US" w:eastAsia="zh-CN"/>
        </w:rPr>
      </w:pPr>
      <w:r>
        <w:rPr>
          <w:rFonts w:hint="eastAsia" w:ascii="仿宋_GB2312" w:hAnsi="仿宋_GB2312" w:eastAsia="仿宋_GB2312" w:cs="仿宋_GB2312"/>
          <w:b w:val="0"/>
          <w:bCs w:val="0"/>
          <w:sz w:val="28"/>
          <w:szCs w:val="28"/>
          <w:highlight w:val="none"/>
          <w:lang w:val="en-US" w:eastAsia="zh-CN"/>
        </w:rPr>
        <w:t>（1）中标供应商使用微信小程序“国网商城客户e助手”（以下简称“小程序”，见二维码）申请开具采购代理服务费发票。</w:t>
      </w:r>
    </w:p>
    <w:p>
      <w:pPr>
        <w:pStyle w:val="13"/>
        <w:ind w:firstLine="560" w:firstLineChars="200"/>
        <w:rPr>
          <w:rFonts w:hint="eastAsia" w:ascii="仿宋_GB2312" w:hAnsi="仿宋_GB2312" w:eastAsia="仿宋_GB2312" w:cs="仿宋_GB2312"/>
          <w:b w:val="0"/>
          <w:bCs w:val="0"/>
          <w:sz w:val="28"/>
          <w:szCs w:val="28"/>
          <w:highlight w:val="none"/>
        </w:rPr>
      </w:pPr>
      <w:r>
        <w:rPr>
          <w:rFonts w:hint="eastAsia" w:ascii="仿宋_GB2312" w:hAnsi="仿宋_GB2312" w:eastAsia="仿宋_GB2312" w:cs="仿宋_GB2312"/>
          <w:sz w:val="28"/>
          <w:szCs w:val="28"/>
          <w:highlight w:val="none"/>
        </w:rPr>
        <w:t>（</w:t>
      </w:r>
      <w:r>
        <w:rPr>
          <w:rFonts w:hint="eastAsia" w:ascii="仿宋_GB2312" w:hAnsi="仿宋_GB2312" w:eastAsia="仿宋_GB2312" w:cs="仿宋_GB2312"/>
          <w:sz w:val="28"/>
          <w:szCs w:val="28"/>
          <w:highlight w:val="none"/>
          <w:lang w:val="en-US" w:eastAsia="zh-CN"/>
        </w:rPr>
        <w:t>2</w:t>
      </w:r>
      <w:r>
        <w:rPr>
          <w:rFonts w:hint="eastAsia" w:ascii="仿宋_GB2312" w:hAnsi="仿宋_GB2312" w:eastAsia="仿宋_GB2312" w:cs="仿宋_GB2312"/>
          <w:sz w:val="28"/>
          <w:szCs w:val="28"/>
          <w:highlight w:val="none"/>
        </w:rPr>
        <w:t>）供应商预留的手机号</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sz w:val="28"/>
          <w:szCs w:val="28"/>
          <w:highlight w:val="none"/>
          <w:lang w:val="en-US" w:eastAsia="zh-CN"/>
        </w:rPr>
        <w:t>投标报名预留的手机号</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sz w:val="28"/>
          <w:szCs w:val="28"/>
          <w:highlight w:val="none"/>
        </w:rPr>
        <w:t>将作为登陆</w:t>
      </w:r>
      <w:r>
        <w:rPr>
          <w:rFonts w:hint="eastAsia" w:ascii="仿宋_GB2312" w:hAnsi="仿宋_GB2312" w:eastAsia="仿宋_GB2312" w:cs="仿宋_GB2312"/>
          <w:sz w:val="28"/>
          <w:szCs w:val="28"/>
          <w:highlight w:val="none"/>
          <w:lang w:val="en-US" w:eastAsia="zh-CN"/>
        </w:rPr>
        <w:t>小程序</w:t>
      </w:r>
      <w:r>
        <w:rPr>
          <w:rFonts w:hint="eastAsia" w:ascii="仿宋_GB2312" w:hAnsi="仿宋_GB2312" w:eastAsia="仿宋_GB2312" w:cs="仿宋_GB2312"/>
          <w:sz w:val="28"/>
          <w:szCs w:val="28"/>
          <w:highlight w:val="none"/>
        </w:rPr>
        <w:t>的账号，</w:t>
      </w:r>
      <w:r>
        <w:rPr>
          <w:rFonts w:hint="eastAsia" w:ascii="仿宋_GB2312" w:hAnsi="仿宋_GB2312" w:eastAsia="仿宋_GB2312" w:cs="仿宋_GB2312"/>
          <w:sz w:val="28"/>
          <w:szCs w:val="28"/>
          <w:highlight w:val="none"/>
          <w:lang w:val="en-US" w:eastAsia="zh-CN"/>
        </w:rPr>
        <w:t>支持小程序授权登录、手机号登录两种登录方式</w:t>
      </w:r>
      <w:r>
        <w:rPr>
          <w:rFonts w:hint="eastAsia" w:ascii="仿宋_GB2312" w:hAnsi="仿宋_GB2312" w:eastAsia="仿宋_GB2312" w:cs="仿宋_GB2312"/>
          <w:sz w:val="28"/>
          <w:szCs w:val="28"/>
          <w:highlight w:val="none"/>
        </w:rPr>
        <w:t>，当使用手机号登录时，</w:t>
      </w:r>
      <w:r>
        <w:rPr>
          <w:rFonts w:hint="eastAsia" w:ascii="仿宋_GB2312" w:hAnsi="仿宋_GB2312" w:eastAsia="仿宋_GB2312" w:cs="仿宋_GB2312"/>
          <w:sz w:val="28"/>
          <w:szCs w:val="28"/>
          <w:highlight w:val="none"/>
          <w:lang w:val="en-US" w:eastAsia="zh-CN"/>
        </w:rPr>
        <w:t>小程序</w:t>
      </w:r>
      <w:r>
        <w:rPr>
          <w:rFonts w:hint="eastAsia" w:ascii="仿宋_GB2312" w:hAnsi="仿宋_GB2312" w:eastAsia="仿宋_GB2312" w:cs="仿宋_GB2312"/>
          <w:sz w:val="28"/>
          <w:szCs w:val="28"/>
          <w:highlight w:val="none"/>
        </w:rPr>
        <w:t>会通过验证手机短信的方式校验登录资格。</w:t>
      </w:r>
      <w:r>
        <w:rPr>
          <w:rFonts w:hint="eastAsia" w:ascii="仿宋_GB2312" w:hAnsi="仿宋_GB2312" w:eastAsia="仿宋_GB2312" w:cs="仿宋_GB2312"/>
          <w:b w:val="0"/>
          <w:bCs w:val="0"/>
          <w:sz w:val="28"/>
          <w:szCs w:val="28"/>
          <w:highlight w:val="none"/>
        </w:rPr>
        <w:t>凡使用预留手机号登陆的主体，均视为供应商的真实意思表示和行为，一经成立生效即不可撤销，且对贵司具有法律约束力。</w:t>
      </w:r>
    </w:p>
    <w:p>
      <w:pPr>
        <w:pStyle w:val="13"/>
        <w:ind w:firstLine="56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28"/>
          <w:szCs w:val="28"/>
          <w:highlight w:val="none"/>
        </w:rPr>
        <w:t>（</w:t>
      </w:r>
      <w:r>
        <w:rPr>
          <w:rFonts w:hint="eastAsia" w:ascii="仿宋_GB2312" w:hAnsi="仿宋_GB2312" w:eastAsia="仿宋_GB2312" w:cs="仿宋_GB2312"/>
          <w:sz w:val="28"/>
          <w:szCs w:val="28"/>
          <w:highlight w:val="none"/>
          <w:lang w:val="en-US" w:eastAsia="zh-CN"/>
        </w:rPr>
        <w:t>3</w:t>
      </w:r>
      <w:r>
        <w:rPr>
          <w:rFonts w:hint="eastAsia" w:ascii="仿宋_GB2312" w:hAnsi="仿宋_GB2312" w:eastAsia="仿宋_GB2312" w:cs="仿宋_GB2312"/>
          <w:sz w:val="28"/>
          <w:szCs w:val="28"/>
          <w:highlight w:val="none"/>
        </w:rPr>
        <w:t>）供应商</w:t>
      </w:r>
      <w:r>
        <w:rPr>
          <w:rFonts w:hint="eastAsia" w:ascii="仿宋_GB2312" w:hAnsi="仿宋_GB2312" w:eastAsia="仿宋_GB2312" w:cs="仿宋_GB2312"/>
          <w:sz w:val="28"/>
          <w:szCs w:val="28"/>
          <w:highlight w:val="none"/>
          <w:lang w:val="en-US" w:eastAsia="zh-CN"/>
        </w:rPr>
        <w:t>中标</w:t>
      </w:r>
      <w:r>
        <w:rPr>
          <w:rFonts w:hint="eastAsia" w:ascii="仿宋_GB2312" w:hAnsi="仿宋_GB2312" w:eastAsia="仿宋_GB2312" w:cs="仿宋_GB2312"/>
          <w:sz w:val="28"/>
          <w:szCs w:val="28"/>
          <w:highlight w:val="none"/>
        </w:rPr>
        <w:t>的</w:t>
      </w:r>
      <w:r>
        <w:rPr>
          <w:rFonts w:hint="eastAsia" w:ascii="仿宋_GB2312" w:hAnsi="仿宋_GB2312" w:eastAsia="仿宋_GB2312" w:cs="仿宋_GB2312"/>
          <w:sz w:val="28"/>
          <w:szCs w:val="28"/>
          <w:highlight w:val="none"/>
          <w:lang w:val="en-US" w:eastAsia="zh-CN"/>
        </w:rPr>
        <w:t>项目信息，包括项目标包名称、代理费金额等</w:t>
      </w:r>
      <w:r>
        <w:rPr>
          <w:rFonts w:hint="eastAsia" w:ascii="仿宋_GB2312" w:hAnsi="仿宋_GB2312" w:eastAsia="仿宋_GB2312" w:cs="仿宋_GB2312"/>
          <w:sz w:val="28"/>
          <w:szCs w:val="28"/>
          <w:highlight w:val="none"/>
        </w:rPr>
        <w:t>订单信息将用于</w:t>
      </w:r>
      <w:r>
        <w:rPr>
          <w:rFonts w:hint="eastAsia" w:ascii="仿宋_GB2312" w:hAnsi="仿宋_GB2312" w:eastAsia="仿宋_GB2312" w:cs="仿宋_GB2312"/>
          <w:sz w:val="28"/>
          <w:szCs w:val="28"/>
          <w:highlight w:val="none"/>
          <w:lang w:val="en-US" w:eastAsia="zh-CN"/>
        </w:rPr>
        <w:t>小程序</w:t>
      </w:r>
      <w:r>
        <w:rPr>
          <w:rFonts w:hint="eastAsia" w:ascii="仿宋_GB2312" w:hAnsi="仿宋_GB2312" w:eastAsia="仿宋_GB2312" w:cs="仿宋_GB2312"/>
          <w:sz w:val="28"/>
          <w:szCs w:val="28"/>
          <w:highlight w:val="none"/>
        </w:rPr>
        <w:t>开具发票使用</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sz w:val="28"/>
          <w:szCs w:val="28"/>
          <w:highlight w:val="none"/>
        </w:rPr>
        <w:t>供应商</w:t>
      </w:r>
      <w:r>
        <w:rPr>
          <w:rFonts w:hint="eastAsia" w:ascii="仿宋_GB2312" w:hAnsi="仿宋_GB2312" w:eastAsia="仿宋_GB2312" w:cs="仿宋_GB2312"/>
          <w:sz w:val="28"/>
          <w:szCs w:val="28"/>
          <w:highlight w:val="none"/>
          <w:lang w:val="en-US" w:eastAsia="zh-CN"/>
        </w:rPr>
        <w:t>可使用小程序填写供应商的</w:t>
      </w:r>
      <w:r>
        <w:rPr>
          <w:rFonts w:hint="eastAsia" w:ascii="仿宋_GB2312" w:hAnsi="仿宋_GB2312" w:eastAsia="仿宋_GB2312" w:cs="仿宋_GB2312"/>
          <w:sz w:val="28"/>
          <w:szCs w:val="28"/>
          <w:highlight w:val="none"/>
          <w:lang w:eastAsia="zh-CN"/>
        </w:rPr>
        <w:t>开票信息（包括</w:t>
      </w:r>
      <w:r>
        <w:rPr>
          <w:rFonts w:hint="eastAsia" w:ascii="仿宋_GB2312" w:hAnsi="仿宋_GB2312" w:eastAsia="仿宋_GB2312" w:cs="仿宋_GB2312"/>
          <w:b w:val="0"/>
          <w:bCs w:val="0"/>
          <w:sz w:val="28"/>
          <w:szCs w:val="28"/>
          <w:highlight w:val="none"/>
          <w:lang w:eastAsia="zh-CN"/>
        </w:rPr>
        <w:t>抬头名称、单位税号、注册地址、注册电话、开户银行、银行账号</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sz w:val="28"/>
          <w:szCs w:val="28"/>
          <w:highlight w:val="none"/>
          <w:lang w:val="en-US" w:eastAsia="zh-CN"/>
        </w:rPr>
        <w:t>和</w:t>
      </w:r>
      <w:r>
        <w:rPr>
          <w:rFonts w:hint="eastAsia" w:ascii="仿宋_GB2312" w:hAnsi="仿宋_GB2312" w:eastAsia="仿宋_GB2312" w:cs="仿宋_GB2312"/>
          <w:sz w:val="28"/>
          <w:szCs w:val="28"/>
          <w:highlight w:val="yellow"/>
          <w:lang w:val="en-US" w:eastAsia="zh-CN"/>
        </w:rPr>
        <w:t>收票信息</w:t>
      </w:r>
      <w:r>
        <w:rPr>
          <w:rFonts w:hint="eastAsia" w:ascii="仿宋_GB2312" w:hAnsi="仿宋_GB2312" w:eastAsia="仿宋_GB2312" w:cs="仿宋_GB2312"/>
          <w:sz w:val="28"/>
          <w:szCs w:val="28"/>
          <w:highlight w:val="yellow"/>
          <w:lang w:eastAsia="zh-CN"/>
        </w:rPr>
        <w:t>（</w:t>
      </w:r>
      <w:r>
        <w:rPr>
          <w:rFonts w:hint="eastAsia" w:ascii="仿宋_GB2312" w:hAnsi="仿宋_GB2312" w:eastAsia="仿宋_GB2312" w:cs="仿宋_GB2312"/>
          <w:b w:val="0"/>
          <w:bCs w:val="0"/>
          <w:sz w:val="28"/>
          <w:szCs w:val="28"/>
          <w:highlight w:val="yellow"/>
          <w:lang w:eastAsia="zh-CN"/>
        </w:rPr>
        <w:t>收票人姓名、</w:t>
      </w:r>
      <w:r>
        <w:rPr>
          <w:rFonts w:hint="eastAsia" w:ascii="仿宋_GB2312" w:hAnsi="仿宋_GB2312" w:eastAsia="仿宋_GB2312" w:cs="仿宋_GB2312"/>
          <w:b w:val="0"/>
          <w:bCs w:val="0"/>
          <w:sz w:val="28"/>
          <w:szCs w:val="28"/>
          <w:highlight w:val="yellow"/>
          <w:lang w:val="en-US" w:eastAsia="zh-CN"/>
        </w:rPr>
        <w:t>手机号</w:t>
      </w:r>
      <w:r>
        <w:rPr>
          <w:rFonts w:hint="eastAsia" w:ascii="仿宋_GB2312" w:hAnsi="仿宋_GB2312" w:eastAsia="仿宋_GB2312" w:cs="仿宋_GB2312"/>
          <w:b w:val="0"/>
          <w:bCs w:val="0"/>
          <w:sz w:val="28"/>
          <w:szCs w:val="28"/>
          <w:highlight w:val="yellow"/>
          <w:lang w:eastAsia="zh-CN"/>
        </w:rPr>
        <w:t>、收票</w:t>
      </w:r>
      <w:r>
        <w:rPr>
          <w:rFonts w:hint="eastAsia" w:ascii="仿宋_GB2312" w:hAnsi="仿宋_GB2312" w:eastAsia="仿宋_GB2312" w:cs="仿宋_GB2312"/>
          <w:b w:val="0"/>
          <w:bCs w:val="0"/>
          <w:sz w:val="28"/>
          <w:szCs w:val="28"/>
          <w:highlight w:val="yellow"/>
          <w:lang w:val="en-US" w:eastAsia="zh-CN"/>
        </w:rPr>
        <w:t>邮箱</w:t>
      </w:r>
      <w:r>
        <w:rPr>
          <w:rFonts w:hint="eastAsia" w:ascii="仿宋_GB2312" w:hAnsi="仿宋_GB2312" w:eastAsia="仿宋_GB2312" w:cs="仿宋_GB2312"/>
          <w:sz w:val="28"/>
          <w:szCs w:val="28"/>
          <w:highlight w:val="yellow"/>
          <w:lang w:eastAsia="zh-CN"/>
        </w:rPr>
        <w:t>）</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sz w:val="28"/>
          <w:szCs w:val="28"/>
          <w:highlight w:val="none"/>
          <w:lang w:val="en-US" w:eastAsia="zh-CN"/>
        </w:rPr>
        <w:t>申请开具采购代理费发票。</w:t>
      </w:r>
    </w:p>
    <w:p>
      <w:pPr>
        <w:pStyle w:val="17"/>
        <w:widowControl/>
        <w:spacing w:before="0" w:beforeAutospacing="0" w:after="200" w:afterAutospacing="0"/>
        <w:ind w:firstLine="640" w:firstLineChars="200"/>
        <w:jc w:val="center"/>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drawing>
          <wp:inline distT="0" distB="0" distL="114300" distR="114300">
            <wp:extent cx="2184400" cy="2184400"/>
            <wp:effectExtent l="0" t="0" r="6350" b="6350"/>
            <wp:docPr id="3" name="图片 1" descr="68ecc2721079deb0c0660cd42e7c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68ecc2721079deb0c0660cd42e7c42a"/>
                    <pic:cNvPicPr>
                      <a:picLocks noChangeAspect="1"/>
                    </pic:cNvPicPr>
                  </pic:nvPicPr>
                  <pic:blipFill>
                    <a:blip r:embed="rId28"/>
                    <a:stretch>
                      <a:fillRect/>
                    </a:stretch>
                  </pic:blipFill>
                  <pic:spPr>
                    <a:xfrm>
                      <a:off x="0" y="0"/>
                      <a:ext cx="2184400" cy="2184400"/>
                    </a:xfrm>
                    <a:prstGeom prst="rect">
                      <a:avLst/>
                    </a:prstGeom>
                    <a:noFill/>
                    <a:ln>
                      <a:noFill/>
                    </a:ln>
                  </pic:spPr>
                </pic:pic>
              </a:graphicData>
            </a:graphic>
          </wp:inline>
        </w:drawing>
      </w:r>
    </w:p>
    <w:p>
      <w:pPr>
        <w:pStyle w:val="17"/>
        <w:widowControl/>
        <w:spacing w:before="0" w:beforeAutospacing="0" w:after="200" w:afterAutospacing="0"/>
        <w:ind w:firstLine="640" w:firstLineChars="200"/>
        <w:jc w:val="center"/>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“国网商城客户e助手”发票申请小程序</w:t>
      </w:r>
    </w:p>
    <w:p>
      <w:pPr>
        <w:rPr>
          <w:rFonts w:hint="eastAsia" w:ascii="方正小标宋_GBK" w:hAnsi="Cambria" w:eastAsia="方正小标宋_GBK"/>
          <w:sz w:val="44"/>
          <w:szCs w:val="44"/>
          <w:highlight w:val="none"/>
          <w:lang w:eastAsia="zh-CN"/>
        </w:rPr>
      </w:pPr>
      <w:r>
        <w:rPr>
          <w:rFonts w:hint="eastAsia" w:ascii="方正小标宋_GBK" w:hAnsi="Cambria" w:eastAsia="方正小标宋_GBK"/>
          <w:sz w:val="44"/>
          <w:szCs w:val="44"/>
          <w:highlight w:val="none"/>
          <w:lang w:eastAsia="zh-CN"/>
        </w:rPr>
        <w:br w:type="page"/>
      </w:r>
    </w:p>
    <w:p>
      <w:pPr>
        <w:pStyle w:val="12"/>
        <w:rPr>
          <w:rFonts w:ascii="方正小标宋_GBK" w:hAnsi="Cambria" w:eastAsia="方正小标宋_GBK"/>
          <w:sz w:val="44"/>
          <w:szCs w:val="44"/>
          <w:highlight w:val="none"/>
          <w:lang w:eastAsia="zh-CN"/>
        </w:rPr>
      </w:pPr>
      <w:r>
        <w:rPr>
          <w:rFonts w:hint="eastAsia" w:ascii="方正小标宋_GBK" w:hAnsi="Cambria" w:eastAsia="方正小标宋_GBK"/>
          <w:sz w:val="44"/>
          <w:szCs w:val="44"/>
          <w:highlight w:val="none"/>
          <w:lang w:eastAsia="zh-CN"/>
        </w:rPr>
        <w:t>提醒2：</w:t>
      </w:r>
    </w:p>
    <w:p>
      <w:pPr>
        <w:pStyle w:val="12"/>
        <w:rPr>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1040"/>
        <w:jc w:val="center"/>
        <w:rPr>
          <w:rFonts w:ascii="方正仿宋_GB2312" w:hAnsi="方正仿宋_GB2312" w:eastAsia="方正仿宋_GB2312" w:cs="方正仿宋_GB2312"/>
          <w:sz w:val="52"/>
          <w:szCs w:val="52"/>
          <w:highlight w:val="none"/>
          <w:lang w:eastAsia="zh-CN"/>
        </w:rPr>
      </w:pPr>
    </w:p>
    <w:p>
      <w:pPr>
        <w:ind w:firstLine="1040"/>
        <w:jc w:val="center"/>
        <w:rPr>
          <w:rFonts w:ascii="方正仿宋_GB2312" w:hAnsi="方正仿宋_GB2312" w:eastAsia="方正仿宋_GB2312" w:cs="方正仿宋_GB2312"/>
          <w:sz w:val="52"/>
          <w:szCs w:val="52"/>
          <w:highlight w:val="none"/>
          <w:lang w:eastAsia="zh-CN"/>
        </w:rPr>
      </w:pPr>
    </w:p>
    <w:p>
      <w:pPr>
        <w:ind w:left="420"/>
        <w:jc w:val="center"/>
        <w:rPr>
          <w:rFonts w:ascii="方正仿宋_GB2312" w:hAnsi="方正仿宋_GB2312" w:eastAsia="方正仿宋_GB2312" w:cs="方正仿宋_GB2312"/>
          <w:b/>
          <w:sz w:val="52"/>
          <w:highlight w:val="none"/>
          <w:lang w:eastAsia="zh-CN"/>
        </w:rPr>
      </w:pPr>
      <w:r>
        <w:rPr>
          <w:rFonts w:hint="eastAsia" w:ascii="方正仿宋_GB2312" w:hAnsi="方正仿宋_GB2312" w:eastAsia="方正仿宋_GB2312" w:cs="方正仿宋_GB2312"/>
          <w:b/>
          <w:sz w:val="52"/>
          <w:highlight w:val="none"/>
          <w:lang w:eastAsia="zh-CN"/>
        </w:rPr>
        <w:t>国网商城客户e助手</w:t>
      </w:r>
    </w:p>
    <w:p>
      <w:pPr>
        <w:ind w:left="420"/>
        <w:jc w:val="center"/>
        <w:rPr>
          <w:rFonts w:ascii="方正仿宋_GB2312" w:hAnsi="方正仿宋_GB2312" w:eastAsia="方正仿宋_GB2312" w:cs="方正仿宋_GB2312"/>
          <w:b/>
          <w:bCs/>
          <w:sz w:val="52"/>
          <w:szCs w:val="52"/>
          <w:highlight w:val="none"/>
          <w:lang w:eastAsia="zh-CN"/>
        </w:rPr>
      </w:pPr>
      <w:r>
        <w:rPr>
          <w:rFonts w:hint="eastAsia" w:ascii="方正仿宋_GB2312" w:hAnsi="方正仿宋_GB2312" w:eastAsia="方正仿宋_GB2312" w:cs="方正仿宋_GB2312"/>
          <w:b/>
          <w:bCs/>
          <w:sz w:val="52"/>
          <w:szCs w:val="52"/>
          <w:highlight w:val="none"/>
          <w:lang w:eastAsia="zh-CN"/>
        </w:rPr>
        <w:t>用户手册V1.0</w:t>
      </w: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pStyle w:val="10"/>
        <w:rPr>
          <w:rFonts w:ascii="方正仿宋_GB2312" w:hAnsi="方正仿宋_GB2312" w:eastAsia="方正仿宋_GB2312" w:cs="方正仿宋_GB2312"/>
          <w:szCs w:val="22"/>
          <w:highlight w:val="none"/>
          <w:lang w:eastAsia="zh-CN"/>
        </w:rPr>
      </w:pPr>
    </w:p>
    <w:p>
      <w:pPr>
        <w:pStyle w:val="11"/>
        <w:rPr>
          <w:rFonts w:ascii="方正仿宋_GB2312" w:hAnsi="方正仿宋_GB2312" w:eastAsia="方正仿宋_GB2312" w:cs="方正仿宋_GB2312"/>
          <w:szCs w:val="22"/>
          <w:highlight w:val="none"/>
          <w:lang w:eastAsia="zh-CN"/>
        </w:rPr>
      </w:pPr>
    </w:p>
    <w:p>
      <w:pPr>
        <w:rPr>
          <w:rFonts w:ascii="方正仿宋_GB2312" w:hAnsi="方正仿宋_GB2312" w:eastAsia="方正仿宋_GB2312" w:cs="方正仿宋_GB2312"/>
          <w:highlight w:val="none"/>
          <w:lang w:eastAsia="zh-CN"/>
        </w:rPr>
      </w:pPr>
    </w:p>
    <w:p>
      <w:pPr>
        <w:pStyle w:val="10"/>
        <w:rPr>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highlight w:val="none"/>
          <w:lang w:eastAsia="zh-CN"/>
        </w:rPr>
      </w:pPr>
    </w:p>
    <w:p>
      <w:pPr>
        <w:ind w:firstLine="643"/>
        <w:jc w:val="center"/>
        <w:rPr>
          <w:rFonts w:ascii="方正仿宋_GB2312" w:hAnsi="方正仿宋_GB2312" w:eastAsia="方正仿宋_GB2312" w:cs="方正仿宋_GB2312"/>
          <w:b/>
          <w:sz w:val="32"/>
          <w:szCs w:val="20"/>
          <w:highlight w:val="none"/>
          <w:lang w:eastAsia="zh-CN"/>
        </w:rPr>
      </w:pPr>
    </w:p>
    <w:p>
      <w:pPr>
        <w:ind w:firstLine="643"/>
        <w:jc w:val="center"/>
        <w:rPr>
          <w:rFonts w:ascii="方正仿宋_GB2312" w:hAnsi="方正仿宋_GB2312" w:eastAsia="方正仿宋_GB2312" w:cs="方正仿宋_GB2312"/>
          <w:b/>
          <w:sz w:val="32"/>
          <w:highlight w:val="none"/>
          <w:lang w:eastAsia="zh-CN"/>
        </w:rPr>
      </w:pPr>
      <w:r>
        <w:rPr>
          <w:rFonts w:hint="eastAsia" w:ascii="方正仿宋_GB2312" w:hAnsi="方正仿宋_GB2312" w:eastAsia="方正仿宋_GB2312" w:cs="方正仿宋_GB2312"/>
          <w:b/>
          <w:sz w:val="32"/>
          <w:highlight w:val="none"/>
          <w:lang w:eastAsia="zh-CN"/>
        </w:rPr>
        <w:t>国网电</w:t>
      </w:r>
      <w:r>
        <w:rPr>
          <w:rFonts w:hint="eastAsia" w:ascii="方正仿宋_GB2312" w:hAnsi="方正仿宋_GB2312" w:eastAsia="方正仿宋_GB2312" w:cs="方正仿宋_GB2312"/>
          <w:b/>
          <w:sz w:val="32"/>
          <w:highlight w:val="none"/>
          <w:lang w:val="en-US" w:eastAsia="zh-CN"/>
        </w:rPr>
        <w:t>子商务</w:t>
      </w:r>
      <w:r>
        <w:rPr>
          <w:rFonts w:hint="eastAsia" w:ascii="方正仿宋_GB2312" w:hAnsi="方正仿宋_GB2312" w:eastAsia="方正仿宋_GB2312" w:cs="方正仿宋_GB2312"/>
          <w:b/>
          <w:sz w:val="32"/>
          <w:highlight w:val="none"/>
          <w:lang w:eastAsia="zh-CN"/>
        </w:rPr>
        <w:t>（北京）有限公司</w:t>
      </w:r>
    </w:p>
    <w:p>
      <w:pPr>
        <w:ind w:firstLine="643"/>
        <w:jc w:val="center"/>
        <w:rPr>
          <w:rFonts w:ascii="方正仿宋_GB2312" w:hAnsi="方正仿宋_GB2312" w:eastAsia="方正仿宋_GB2312" w:cs="方正仿宋_GB2312"/>
          <w:b/>
          <w:sz w:val="32"/>
          <w:szCs w:val="32"/>
          <w:highlight w:val="none"/>
          <w:lang w:eastAsia="zh-CN"/>
        </w:rPr>
        <w:sectPr>
          <w:headerReference r:id="rId11" w:type="first"/>
          <w:footerReference r:id="rId14" w:type="first"/>
          <w:headerReference r:id="rId9" w:type="default"/>
          <w:footerReference r:id="rId12" w:type="default"/>
          <w:headerReference r:id="rId10" w:type="even"/>
          <w:footerReference r:id="rId13" w:type="even"/>
          <w:pgSz w:w="11906" w:h="16838"/>
          <w:pgMar w:top="1701" w:right="1134" w:bottom="1134" w:left="1134" w:header="851" w:footer="992" w:gutter="0"/>
          <w:cols w:space="720" w:num="1"/>
          <w:formProt w:val="0"/>
          <w:docGrid w:type="lines" w:linePitch="312" w:charSpace="0"/>
        </w:sectPr>
      </w:pPr>
    </w:p>
    <w:p>
      <w:pPr>
        <w:pStyle w:val="7"/>
        <w:numPr>
          <w:ilvl w:val="2"/>
          <w:numId w:val="0"/>
        </w:numPr>
        <w:tabs>
          <w:tab w:val="left" w:pos="142"/>
        </w:tabs>
        <w:spacing w:beforeLines="50" w:afterLines="50" w:line="240" w:lineRule="auto"/>
        <w:ind w:left="720"/>
        <w:rPr>
          <w:rFonts w:ascii="方正仿宋_GB2312" w:hAnsi="方正仿宋_GB2312" w:eastAsia="方正仿宋_GB2312" w:cs="方正仿宋_GB2312"/>
          <w:sz w:val="24"/>
          <w:szCs w:val="24"/>
          <w:highlight w:val="none"/>
          <w:lang w:eastAsia="zh-CN"/>
        </w:rPr>
      </w:pPr>
      <w:bookmarkStart w:id="30" w:name="_Toc104"/>
      <w:r>
        <w:rPr>
          <w:rFonts w:hint="eastAsia" w:ascii="方正仿宋_GB2312" w:hAnsi="方正仿宋_GB2312" w:eastAsia="方正仿宋_GB2312" w:cs="方正仿宋_GB2312"/>
          <w:sz w:val="24"/>
          <w:szCs w:val="24"/>
          <w:highlight w:val="none"/>
          <w:lang w:eastAsia="zh-CN"/>
        </w:rPr>
        <w:t>用户登录和退出</w:t>
      </w:r>
      <w:bookmarkEnd w:id="30"/>
    </w:p>
    <w:p>
      <w:pPr>
        <w:pStyle w:val="8"/>
        <w:numPr>
          <w:ilvl w:val="3"/>
          <w:numId w:val="0"/>
        </w:numPr>
        <w:spacing w:line="480" w:lineRule="auto"/>
        <w:ind w:left="864" w:right="210" w:rightChars="1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功能介绍</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面对国网电商科技的客户结算人员，提供用户登录服务，当前支持小程序授权登录、手机号登录两种登录方式。</w:t>
      </w:r>
    </w:p>
    <w:p>
      <w:pPr>
        <w:pStyle w:val="8"/>
        <w:numPr>
          <w:ilvl w:val="3"/>
          <w:numId w:val="0"/>
        </w:numPr>
        <w:spacing w:line="480" w:lineRule="auto"/>
        <w:ind w:left="864" w:right="210" w:rightChars="1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主要功能</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1.微信授权登录：通过微信授权，用微信绑定的手机号登录小程序</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2.手机号登录：录入手机号和验证码，登录小程序</w:t>
      </w:r>
    </w:p>
    <w:p>
      <w:pPr>
        <w:pStyle w:val="8"/>
        <w:numPr>
          <w:ilvl w:val="3"/>
          <w:numId w:val="0"/>
        </w:numPr>
        <w:spacing w:line="480" w:lineRule="auto"/>
        <w:ind w:left="864" w:right="210" w:rightChars="1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操作介绍</w:t>
      </w:r>
    </w:p>
    <w:p>
      <w:pPr>
        <w:spacing w:beforeLines="50" w:afterLines="50"/>
        <w:ind w:firstLine="482"/>
        <w:rPr>
          <w:rFonts w:ascii="方正仿宋_GB2312" w:hAnsi="方正仿宋_GB2312" w:eastAsia="方正仿宋_GB2312" w:cs="方正仿宋_GB2312"/>
          <w:bCs/>
          <w:color w:val="000000"/>
          <w:highlight w:val="none"/>
          <w:lang w:eastAsia="zh-CN"/>
        </w:rPr>
      </w:pPr>
      <w:r>
        <w:rPr>
          <w:rFonts w:hint="eastAsia" w:ascii="方正仿宋_GB2312" w:hAnsi="方正仿宋_GB2312" w:eastAsia="方正仿宋_GB2312" w:cs="方正仿宋_GB2312"/>
          <w:bCs/>
          <w:color w:val="000000"/>
          <w:highlight w:val="none"/>
          <w:lang w:eastAsia="zh-CN"/>
        </w:rPr>
        <w:t>核心操作场景有两种：一是微信登录，适用当前微信账号已绑定前置业务中（比如招投标业务）预留手机号；二是手机号登录，适用当前微信账号未绑定前置业务中（比如招投标业务）预留手机号。</w:t>
      </w: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搜索小程序</w:t>
      </w:r>
    </w:p>
    <w:p>
      <w:pPr>
        <w:spacing w:beforeLines="50" w:afterLines="50"/>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若用户已有小程序的二维码，用微信扫描二维码即可打开小程序；</w:t>
      </w:r>
    </w:p>
    <w:p>
      <w:pPr>
        <w:spacing w:beforeLines="50" w:afterLines="50"/>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若用户没有小程序的二维码，则在微信聊天页面下拉，打开最近页面，点击页面顶部搜索按钮，打开小程序搜索页，录入“国网商城客户e助手”搜索到小程序后，单击打开小程序。</w:t>
      </w:r>
    </w:p>
    <w:p>
      <w:pPr>
        <w:spacing w:beforeLines="50" w:afterLines="50"/>
        <w:ind w:firstLine="482"/>
        <w:jc w:val="center"/>
        <w:rPr>
          <w:rFonts w:ascii="仿宋_GB2312" w:hAnsi="仿宋_GB2312" w:eastAsia="仿宋_GB2312" w:cs="仿宋_GB2312"/>
          <w:sz w:val="32"/>
          <w:szCs w:val="32"/>
          <w:highlight w:val="none"/>
        </w:rPr>
      </w:pPr>
      <w:r>
        <w:rPr>
          <w:rFonts w:ascii="仿宋_GB2312" w:hAnsi="仿宋_GB2312" w:eastAsia="仿宋_GB2312" w:cs="仿宋_GB2312"/>
          <w:sz w:val="32"/>
          <w:szCs w:val="32"/>
          <w:highlight w:val="none"/>
          <w:lang w:eastAsia="zh-CN" w:bidi="ar-SA"/>
        </w:rPr>
        <w:drawing>
          <wp:inline distT="0" distB="0" distL="0" distR="0">
            <wp:extent cx="2188210" cy="2188210"/>
            <wp:effectExtent l="0" t="0" r="2540" b="2540"/>
            <wp:docPr id="14" name="图片 2" descr="68ecc2721079deb0c0660cd42e7c4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68ecc2721079deb0c0660cd42e7c42a"/>
                    <pic:cNvPicPr>
                      <a:picLocks noChangeAspect="1" noChangeArrowheads="1"/>
                    </pic:cNvPicPr>
                  </pic:nvPicPr>
                  <pic:blipFill>
                    <a:blip r:embed="rId28"/>
                    <a:srcRect/>
                    <a:stretch>
                      <a:fillRect/>
                    </a:stretch>
                  </pic:blipFill>
                  <pic:spPr>
                    <a:xfrm>
                      <a:off x="0" y="0"/>
                      <a:ext cx="2188210" cy="2188210"/>
                    </a:xfrm>
                    <a:prstGeom prst="rect">
                      <a:avLst/>
                    </a:prstGeom>
                    <a:noFill/>
                    <a:ln w="9525">
                      <a:noFill/>
                      <a:miter lim="800000"/>
                      <a:headEnd/>
                      <a:tailEnd/>
                    </a:ln>
                  </pic:spPr>
                </pic:pic>
              </a:graphicData>
            </a:graphic>
          </wp:inline>
        </w:drawing>
      </w:r>
    </w:p>
    <w:p>
      <w:pPr>
        <w:pStyle w:val="17"/>
        <w:widowControl w:val="0"/>
        <w:spacing w:after="200"/>
        <w:ind w:firstLine="640" w:firstLineChars="200"/>
        <w:jc w:val="center"/>
        <w:rPr>
          <w:rFonts w:ascii="仿宋_GB2312" w:hAnsi="仿宋_GB2312" w:eastAsia="仿宋_GB2312" w:cs="仿宋_GB2312"/>
          <w:sz w:val="32"/>
          <w:szCs w:val="32"/>
          <w:highlight w:val="none"/>
          <w:lang w:eastAsia="zh-CN"/>
        </w:rPr>
      </w:pPr>
      <w:r>
        <w:rPr>
          <w:rFonts w:hint="eastAsia" w:ascii="仿宋_GB2312" w:hAnsi="仿宋_GB2312" w:eastAsia="仿宋_GB2312" w:cs="仿宋_GB2312"/>
          <w:sz w:val="32"/>
          <w:szCs w:val="32"/>
          <w:highlight w:val="none"/>
          <w:lang w:eastAsia="zh-CN"/>
        </w:rPr>
        <w:t>“国网商城客户e助手”小程序二维码</w:t>
      </w:r>
    </w:p>
    <w:p>
      <w:pPr>
        <w:spacing w:beforeLines="50" w:afterLines="50"/>
        <w:ind w:firstLine="482"/>
        <w:rPr>
          <w:rFonts w:ascii="仿宋_GB2312" w:hAnsi="仿宋_GB2312" w:eastAsia="仿宋_GB2312" w:cs="仿宋_GB2312"/>
          <w:sz w:val="32"/>
          <w:szCs w:val="32"/>
          <w:highlight w:val="none"/>
          <w:lang w:eastAsia="zh-CN"/>
        </w:rPr>
      </w:pPr>
    </w:p>
    <w:p>
      <w:pPr>
        <w:spacing w:beforeLines="50" w:afterLines="50"/>
        <w:ind w:firstLine="482"/>
        <w:jc w:val="center"/>
        <w:rPr>
          <w:rFonts w:ascii="方正仿宋_GB2312" w:hAnsi="方正仿宋_GB2312" w:eastAsia="方正仿宋_GB2312" w:cs="方正仿宋_GB2312"/>
          <w:color w:val="000000"/>
          <w:sz w:val="24"/>
          <w:highlight w:val="none"/>
        </w:rPr>
      </w:pPr>
      <w:r>
        <w:rPr>
          <w:rFonts w:ascii="方正仿宋_GB2312" w:hAnsi="方正仿宋_GB2312" w:eastAsia="方正仿宋_GB2312" w:cs="方正仿宋_GB2312"/>
          <w:color w:val="000000"/>
          <w:sz w:val="24"/>
          <w:highlight w:val="none"/>
          <w:lang w:eastAsia="zh-CN" w:bidi="ar-SA"/>
        </w:rPr>
        <w:drawing>
          <wp:inline distT="0" distB="0" distL="0" distR="0">
            <wp:extent cx="1437005" cy="3113405"/>
            <wp:effectExtent l="0" t="0" r="10795" b="1079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noChangeArrowheads="1"/>
                    </pic:cNvPicPr>
                  </pic:nvPicPr>
                  <pic:blipFill>
                    <a:blip r:embed="rId29"/>
                    <a:srcRect/>
                    <a:stretch>
                      <a:fillRect/>
                    </a:stretch>
                  </pic:blipFill>
                  <pic:spPr>
                    <a:xfrm>
                      <a:off x="0" y="0"/>
                      <a:ext cx="1437005" cy="3113405"/>
                    </a:xfrm>
                    <a:prstGeom prst="rect">
                      <a:avLst/>
                    </a:prstGeom>
                    <a:noFill/>
                    <a:ln w="9525">
                      <a:noFill/>
                      <a:miter lim="800000"/>
                      <a:headEnd/>
                      <a:tailEnd/>
                    </a:ln>
                  </pic:spPr>
                </pic:pic>
              </a:graphicData>
            </a:graphic>
          </wp:inline>
        </w:drawing>
      </w:r>
      <w:r>
        <w:rPr>
          <w:rFonts w:ascii="方正仿宋_GB2312" w:hAnsi="方正仿宋_GB2312" w:eastAsia="方正仿宋_GB2312" w:cs="方正仿宋_GB2312"/>
          <w:color w:val="000000"/>
          <w:sz w:val="24"/>
          <w:highlight w:val="none"/>
          <w:lang w:eastAsia="zh-CN" w:bidi="ar-SA"/>
        </w:rPr>
        <w:drawing>
          <wp:inline distT="0" distB="0" distL="0" distR="0">
            <wp:extent cx="1371600" cy="2971800"/>
            <wp:effectExtent l="0" t="0" r="0" b="0"/>
            <wp:docPr id="16" name="图片 4" descr="e4b4df4a46cf96cc6a422c2e97e5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descr="e4b4df4a46cf96cc6a422c2e97e5499"/>
                    <pic:cNvPicPr>
                      <a:picLocks noChangeAspect="1" noChangeArrowheads="1"/>
                    </pic:cNvPicPr>
                  </pic:nvPicPr>
                  <pic:blipFill>
                    <a:blip r:embed="rId30" cstate="print"/>
                    <a:srcRect/>
                    <a:stretch>
                      <a:fillRect/>
                    </a:stretch>
                  </pic:blipFill>
                  <pic:spPr>
                    <a:xfrm>
                      <a:off x="0" y="0"/>
                      <a:ext cx="1371600" cy="2971800"/>
                    </a:xfrm>
                    <a:prstGeom prst="rect">
                      <a:avLst/>
                    </a:prstGeom>
                    <a:noFill/>
                    <a:ln w="9525">
                      <a:noFill/>
                      <a:miter lim="800000"/>
                      <a:headEnd/>
                      <a:tailEnd/>
                    </a:ln>
                  </pic:spPr>
                </pic:pic>
              </a:graphicData>
            </a:graphic>
          </wp:inline>
        </w:drawing>
      </w:r>
    </w:p>
    <w:p>
      <w:pPr>
        <w:spacing w:beforeLines="50" w:afterLines="50"/>
        <w:ind w:firstLine="482"/>
        <w:jc w:val="center"/>
        <w:rPr>
          <w:rFonts w:ascii="方正仿宋_GB2312" w:hAnsi="方正仿宋_GB2312" w:eastAsia="方正仿宋_GB2312" w:cs="方正仿宋_GB2312"/>
          <w:color w:val="000000"/>
          <w:sz w:val="18"/>
          <w:szCs w:val="18"/>
          <w:highlight w:val="none"/>
          <w:lang w:eastAsia="zh-CN"/>
        </w:rPr>
      </w:pPr>
      <w:r>
        <w:rPr>
          <w:rFonts w:hint="eastAsia" w:ascii="方正仿宋_GB2312" w:hAnsi="方正仿宋_GB2312" w:eastAsia="方正仿宋_GB2312" w:cs="方正仿宋_GB2312"/>
          <w:color w:val="000000"/>
          <w:sz w:val="18"/>
          <w:szCs w:val="18"/>
          <w:highlight w:val="none"/>
          <w:lang w:eastAsia="zh-CN"/>
        </w:rPr>
        <w:t>客户e助手引导页</w:t>
      </w:r>
    </w:p>
    <w:p>
      <w:pPr>
        <w:spacing w:beforeLines="50" w:afterLines="50"/>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打开小程序即可看到引导页面，登录小程序有两种方式：第一种，点击右侧浮动按钮，也可到达登录页面。第二种，将页面下滑到底端有【去开票】按钮，点击后到达登录页面。</w:t>
      </w:r>
    </w:p>
    <w:p>
      <w:pPr>
        <w:spacing w:beforeLines="50" w:afterLines="50"/>
        <w:ind w:firstLine="482"/>
        <w:jc w:val="center"/>
        <w:rPr>
          <w:rFonts w:ascii="方正仿宋_GB2312" w:hAnsi="方正仿宋_GB2312" w:eastAsia="方正仿宋_GB2312" w:cs="方正仿宋_GB2312"/>
          <w:color w:val="000000"/>
          <w:sz w:val="24"/>
          <w:highlight w:val="none"/>
        </w:rPr>
      </w:pPr>
      <w:r>
        <w:rPr>
          <w:rFonts w:ascii="方正仿宋_GB2312" w:hAnsi="方正仿宋_GB2312" w:eastAsia="方正仿宋_GB2312" w:cs="方正仿宋_GB2312"/>
          <w:color w:val="000000"/>
          <w:sz w:val="24"/>
          <w:highlight w:val="none"/>
          <w:lang w:eastAsia="zh-CN" w:bidi="ar-SA"/>
        </w:rPr>
        <w:drawing>
          <wp:inline distT="0" distB="0" distL="0" distR="0">
            <wp:extent cx="1437005" cy="3113405"/>
            <wp:effectExtent l="0" t="0" r="10795" b="10795"/>
            <wp:docPr id="17" name="图片 5" descr="5edf6f93ab67ccfd18e674f215d3d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descr="5edf6f93ab67ccfd18e674f215d3d1f"/>
                    <pic:cNvPicPr>
                      <a:picLocks noChangeAspect="1" noChangeArrowheads="1"/>
                    </pic:cNvPicPr>
                  </pic:nvPicPr>
                  <pic:blipFill>
                    <a:blip r:embed="rId31"/>
                    <a:srcRect/>
                    <a:stretch>
                      <a:fillRect/>
                    </a:stretch>
                  </pic:blipFill>
                  <pic:spPr>
                    <a:xfrm>
                      <a:off x="0" y="0"/>
                      <a:ext cx="1437005" cy="3113405"/>
                    </a:xfrm>
                    <a:prstGeom prst="rect">
                      <a:avLst/>
                    </a:prstGeom>
                    <a:noFill/>
                    <a:ln w="9525">
                      <a:noFill/>
                      <a:miter lim="800000"/>
                      <a:headEnd/>
                      <a:tailEnd/>
                    </a:ln>
                  </pic:spPr>
                </pic:pic>
              </a:graphicData>
            </a:graphic>
          </wp:inline>
        </w:drawing>
      </w:r>
    </w:p>
    <w:p>
      <w:pPr>
        <w:spacing w:beforeLines="50" w:afterLines="50"/>
        <w:ind w:firstLine="482"/>
        <w:jc w:val="center"/>
        <w:rPr>
          <w:rFonts w:ascii="方正仿宋_GB2312" w:hAnsi="方正仿宋_GB2312" w:eastAsia="方正仿宋_GB2312" w:cs="方正仿宋_GB2312"/>
          <w:color w:val="000000"/>
          <w:sz w:val="18"/>
          <w:szCs w:val="18"/>
          <w:highlight w:val="none"/>
          <w:lang w:eastAsia="zh-CN"/>
        </w:rPr>
      </w:pPr>
      <w:r>
        <w:rPr>
          <w:rFonts w:hint="eastAsia" w:ascii="方正仿宋_GB2312" w:hAnsi="方正仿宋_GB2312" w:eastAsia="方正仿宋_GB2312" w:cs="方正仿宋_GB2312"/>
          <w:color w:val="000000"/>
          <w:sz w:val="18"/>
          <w:szCs w:val="18"/>
          <w:highlight w:val="none"/>
          <w:lang w:eastAsia="zh-CN"/>
        </w:rPr>
        <w:t>客户e助手登录页</w:t>
      </w: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微信授权登录</w:t>
      </w:r>
    </w:p>
    <w:p>
      <w:pPr>
        <w:spacing w:beforeLines="50" w:afterLines="50" w:line="120" w:lineRule="auto"/>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首先，查看并同意《客户e助手用户服务协议》和《客户e助手个人信息保护及隐私协议》；</w:t>
      </w:r>
    </w:p>
    <w:p>
      <w:pPr>
        <w:spacing w:beforeLines="50" w:afterLines="50" w:line="360" w:lineRule="auto"/>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然后，点击【微信账号授权登录】，若微信只绑定了一个手机号，则完成登录；如果微信绑定多个手机号，则选择要使用的手机号后，点击【允许】后，即可完成登录，来到客户e助手首页。</w:t>
      </w: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手机号登录</w:t>
      </w:r>
    </w:p>
    <w:p>
      <w:pPr>
        <w:spacing w:beforeLines="50" w:afterLines="50" w:line="120" w:lineRule="auto"/>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首先，查看并同意《客户e助手用户服务协议》和《客户e助手个人信息保护及隐私协议》；</w:t>
      </w:r>
    </w:p>
    <w:p>
      <w:pPr>
        <w:spacing w:beforeLines="50" w:afterLines="50"/>
        <w:ind w:firstLine="482"/>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然后，点击【手机号登录】，进入手机号登录页，输入手机号，然后点击发送验证码，将收到的短信验证码输入后，点击【登录】，即完成手机号登录，来到客户e助手首页。</w:t>
      </w:r>
    </w:p>
    <w:p>
      <w:pPr>
        <w:spacing w:beforeLines="50" w:afterLines="50"/>
        <w:ind w:firstLine="482"/>
        <w:jc w:val="center"/>
        <w:rPr>
          <w:rFonts w:ascii="方正仿宋_GB2312" w:hAnsi="方正仿宋_GB2312" w:eastAsia="方正仿宋_GB2312" w:cs="方正仿宋_GB2312"/>
          <w:color w:val="000000"/>
          <w:sz w:val="24"/>
          <w:highlight w:val="none"/>
        </w:rPr>
      </w:pPr>
      <w:r>
        <w:rPr>
          <w:rFonts w:ascii="方正仿宋_GB2312" w:hAnsi="方正仿宋_GB2312" w:eastAsia="方正仿宋_GB2312" w:cs="方正仿宋_GB2312"/>
          <w:color w:val="000000"/>
          <w:sz w:val="24"/>
          <w:highlight w:val="none"/>
          <w:lang w:eastAsia="zh-CN" w:bidi="ar-SA"/>
        </w:rPr>
        <w:drawing>
          <wp:inline distT="0" distB="0" distL="0" distR="0">
            <wp:extent cx="1480185" cy="2906395"/>
            <wp:effectExtent l="0" t="0" r="5715" b="8255"/>
            <wp:docPr id="18" name="图片 6" descr="626c5389b6eeb413a9797655e8850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descr="626c5389b6eeb413a9797655e8850d7"/>
                    <pic:cNvPicPr>
                      <a:picLocks noChangeAspect="1" noChangeArrowheads="1"/>
                    </pic:cNvPicPr>
                  </pic:nvPicPr>
                  <pic:blipFill>
                    <a:blip r:embed="rId32" cstate="print"/>
                    <a:srcRect b="9453"/>
                    <a:stretch>
                      <a:fillRect/>
                    </a:stretch>
                  </pic:blipFill>
                  <pic:spPr>
                    <a:xfrm>
                      <a:off x="0" y="0"/>
                      <a:ext cx="1480185" cy="2906395"/>
                    </a:xfrm>
                    <a:prstGeom prst="rect">
                      <a:avLst/>
                    </a:prstGeom>
                    <a:noFill/>
                    <a:ln w="9525">
                      <a:noFill/>
                      <a:miter lim="800000"/>
                      <a:headEnd/>
                      <a:tailEnd/>
                    </a:ln>
                  </pic:spPr>
                </pic:pic>
              </a:graphicData>
            </a:graphic>
          </wp:inline>
        </w:drawing>
      </w:r>
    </w:p>
    <w:p>
      <w:pPr>
        <w:spacing w:beforeLines="50" w:afterLines="50"/>
        <w:ind w:firstLine="482"/>
        <w:jc w:val="center"/>
        <w:rPr>
          <w:rFonts w:ascii="方正仿宋_GB2312" w:hAnsi="方正仿宋_GB2312" w:eastAsia="方正仿宋_GB2312" w:cs="方正仿宋_GB2312"/>
          <w:color w:val="000000"/>
          <w:sz w:val="18"/>
          <w:szCs w:val="18"/>
          <w:highlight w:val="none"/>
          <w:lang w:eastAsia="zh-CN"/>
        </w:rPr>
      </w:pPr>
      <w:r>
        <w:rPr>
          <w:rFonts w:hint="eastAsia" w:ascii="方正仿宋_GB2312" w:hAnsi="方正仿宋_GB2312" w:eastAsia="方正仿宋_GB2312" w:cs="方正仿宋_GB2312"/>
          <w:color w:val="000000"/>
          <w:sz w:val="18"/>
          <w:szCs w:val="18"/>
          <w:highlight w:val="none"/>
          <w:lang w:eastAsia="zh-CN"/>
        </w:rPr>
        <w:t>客户e助手首页</w:t>
      </w: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退出登录</w:t>
      </w:r>
    </w:p>
    <w:p>
      <w:pPr>
        <w:rPr>
          <w:rFonts w:ascii="方正仿宋_GB2312" w:hAnsi="方正仿宋_GB2312" w:eastAsia="方正仿宋_GB2312" w:cs="方正仿宋_GB2312"/>
          <w:bCs/>
          <w:highlight w:val="none"/>
          <w:lang w:eastAsia="zh-CN"/>
        </w:rPr>
      </w:pPr>
      <w:r>
        <w:rPr>
          <w:rFonts w:hint="eastAsia" w:ascii="方正仿宋_GB2312" w:hAnsi="方正仿宋_GB2312" w:eastAsia="方正仿宋_GB2312" w:cs="方正仿宋_GB2312"/>
          <w:bCs/>
          <w:highlight w:val="none"/>
          <w:lang w:eastAsia="zh-CN"/>
        </w:rPr>
        <w:t>【退出】功能位置：小程序首页底部快捷菜单最右侧（其它有此快捷菜单的地方，都可点击），如下图：</w:t>
      </w:r>
    </w:p>
    <w:p>
      <w:pPr>
        <w:jc w:val="center"/>
        <w:rPr>
          <w:rFonts w:ascii="方正仿宋_GB2312" w:hAnsi="方正仿宋_GB2312" w:eastAsia="方正仿宋_GB2312" w:cs="方正仿宋_GB2312"/>
          <w:bCs/>
          <w:highlight w:val="none"/>
        </w:rPr>
      </w:pPr>
      <w:r>
        <w:rPr>
          <w:rFonts w:ascii="方正仿宋_GB2312" w:hAnsi="方正仿宋_GB2312" w:eastAsia="方正仿宋_GB2312" w:cs="方正仿宋_GB2312"/>
          <w:highlight w:val="none"/>
          <w:lang w:eastAsia="zh-CN" w:bidi="ar-SA"/>
        </w:rPr>
        <w:drawing>
          <wp:inline distT="0" distB="0" distL="0" distR="0">
            <wp:extent cx="1480185" cy="3200400"/>
            <wp:effectExtent l="0" t="0" r="5715" b="0"/>
            <wp:docPr id="19" name="图片 7" descr="948e4a473ac0a9b5459f1025adc8d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descr="948e4a473ac0a9b5459f1025adc8d4e"/>
                    <pic:cNvPicPr>
                      <a:picLocks noChangeAspect="1" noChangeArrowheads="1"/>
                    </pic:cNvPicPr>
                  </pic:nvPicPr>
                  <pic:blipFill>
                    <a:blip r:embed="rId33"/>
                    <a:srcRect/>
                    <a:stretch>
                      <a:fillRect/>
                    </a:stretch>
                  </pic:blipFill>
                  <pic:spPr>
                    <a:xfrm>
                      <a:off x="0" y="0"/>
                      <a:ext cx="1480185" cy="3200400"/>
                    </a:xfrm>
                    <a:prstGeom prst="rect">
                      <a:avLst/>
                    </a:prstGeom>
                    <a:noFill/>
                    <a:ln w="9525">
                      <a:noFill/>
                      <a:miter lim="800000"/>
                      <a:headEnd/>
                      <a:tailEnd/>
                    </a:ln>
                  </pic:spPr>
                </pic:pic>
              </a:graphicData>
            </a:graphic>
          </wp:inline>
        </w:drawing>
      </w:r>
      <w:r>
        <w:rPr>
          <w:rFonts w:ascii="方正仿宋_GB2312" w:hAnsi="方正仿宋_GB2312" w:eastAsia="方正仿宋_GB2312" w:cs="方正仿宋_GB2312"/>
          <w:highlight w:val="none"/>
          <w:lang w:eastAsia="zh-CN" w:bidi="ar-SA"/>
        </w:rPr>
        <w:drawing>
          <wp:inline distT="0" distB="0" distL="0" distR="0">
            <wp:extent cx="1491615" cy="3221990"/>
            <wp:effectExtent l="0" t="0" r="13335" b="16510"/>
            <wp:docPr id="20" name="图片 8" descr="fb7be611455f7dcf5c9766f44695c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fb7be611455f7dcf5c9766f44695c1b"/>
                    <pic:cNvPicPr>
                      <a:picLocks noChangeAspect="1" noChangeArrowheads="1"/>
                    </pic:cNvPicPr>
                  </pic:nvPicPr>
                  <pic:blipFill>
                    <a:blip r:embed="rId34"/>
                    <a:srcRect/>
                    <a:stretch>
                      <a:fillRect/>
                    </a:stretch>
                  </pic:blipFill>
                  <pic:spPr>
                    <a:xfrm>
                      <a:off x="0" y="0"/>
                      <a:ext cx="1491615" cy="3221990"/>
                    </a:xfrm>
                    <a:prstGeom prst="rect">
                      <a:avLst/>
                    </a:prstGeom>
                    <a:noFill/>
                    <a:ln w="9525">
                      <a:noFill/>
                      <a:miter lim="800000"/>
                      <a:headEnd/>
                      <a:tailEnd/>
                    </a:ln>
                  </pic:spPr>
                </pic:pic>
              </a:graphicData>
            </a:graphic>
          </wp:inline>
        </w:drawing>
      </w:r>
    </w:p>
    <w:p>
      <w:pPr>
        <w:jc w:val="center"/>
        <w:rPr>
          <w:rFonts w:ascii="方正仿宋_GB2312" w:hAnsi="方正仿宋_GB2312" w:eastAsia="方正仿宋_GB2312" w:cs="方正仿宋_GB2312"/>
          <w:bCs/>
          <w:sz w:val="18"/>
          <w:szCs w:val="18"/>
          <w:highlight w:val="none"/>
          <w:lang w:eastAsia="zh-CN"/>
        </w:rPr>
      </w:pPr>
      <w:r>
        <w:rPr>
          <w:rFonts w:hint="eastAsia" w:ascii="方正仿宋_GB2312" w:hAnsi="方正仿宋_GB2312" w:eastAsia="方正仿宋_GB2312" w:cs="方正仿宋_GB2312"/>
          <w:bCs/>
          <w:sz w:val="18"/>
          <w:szCs w:val="18"/>
          <w:highlight w:val="none"/>
          <w:lang w:eastAsia="zh-CN"/>
        </w:rPr>
        <w:t>客户e助手首页            退出提示框</w:t>
      </w:r>
    </w:p>
    <w:p>
      <w:pPr>
        <w:rPr>
          <w:rFonts w:ascii="方正仿宋_GB2312" w:hAnsi="方正仿宋_GB2312" w:eastAsia="方正仿宋_GB2312" w:cs="方正仿宋_GB2312"/>
          <w:bCs/>
          <w:highlight w:val="none"/>
          <w:lang w:eastAsia="zh-CN"/>
        </w:rPr>
      </w:pPr>
      <w:r>
        <w:rPr>
          <w:rFonts w:hint="eastAsia" w:ascii="方正仿宋_GB2312" w:hAnsi="方正仿宋_GB2312" w:eastAsia="方正仿宋_GB2312" w:cs="方正仿宋_GB2312"/>
          <w:bCs/>
          <w:highlight w:val="none"/>
          <w:lang w:eastAsia="zh-CN"/>
        </w:rPr>
        <w:t>点击【退出】，在系统弹出的退出提示框中，继续点击【退出】，即可退出。用户退出后，系统不会删除此账号任何历史数据，下次登录依然可正常使用。</w:t>
      </w:r>
    </w:p>
    <w:p>
      <w:pPr>
        <w:pStyle w:val="7"/>
        <w:numPr>
          <w:ilvl w:val="2"/>
          <w:numId w:val="0"/>
        </w:numPr>
        <w:tabs>
          <w:tab w:val="left" w:pos="142"/>
        </w:tabs>
        <w:spacing w:beforeLines="50" w:afterLines="50" w:line="240" w:lineRule="auto"/>
        <w:ind w:left="720"/>
        <w:rPr>
          <w:rFonts w:ascii="方正仿宋_GB2312" w:hAnsi="方正仿宋_GB2312" w:eastAsia="方正仿宋_GB2312" w:cs="方正仿宋_GB2312"/>
          <w:sz w:val="24"/>
          <w:szCs w:val="24"/>
          <w:highlight w:val="none"/>
          <w:lang w:eastAsia="zh-CN"/>
        </w:rPr>
      </w:pPr>
      <w:bookmarkStart w:id="31" w:name="_Toc27584"/>
      <w:r>
        <w:rPr>
          <w:rFonts w:hint="eastAsia" w:ascii="方正仿宋_GB2312" w:hAnsi="方正仿宋_GB2312" w:eastAsia="方正仿宋_GB2312" w:cs="方正仿宋_GB2312"/>
          <w:sz w:val="24"/>
          <w:szCs w:val="24"/>
          <w:highlight w:val="none"/>
          <w:lang w:eastAsia="zh-CN"/>
        </w:rPr>
        <w:t>在线申请发票</w:t>
      </w:r>
      <w:bookmarkEnd w:id="31"/>
    </w:p>
    <w:p>
      <w:pPr>
        <w:pStyle w:val="8"/>
        <w:numPr>
          <w:ilvl w:val="3"/>
          <w:numId w:val="0"/>
        </w:numPr>
        <w:spacing w:line="480" w:lineRule="auto"/>
        <w:ind w:left="864" w:right="210" w:rightChars="1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功能介绍</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面对国网电商科技的客户结算人员，提供查询、查看、核对当前时间可开票订单，以及对核对无误的订单在线申请发票服务。</w:t>
      </w:r>
    </w:p>
    <w:p>
      <w:pPr>
        <w:pStyle w:val="8"/>
        <w:numPr>
          <w:ilvl w:val="3"/>
          <w:numId w:val="0"/>
        </w:numPr>
        <w:spacing w:line="480" w:lineRule="auto"/>
        <w:ind w:left="864" w:right="210" w:rightChars="1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主要功能</w:t>
      </w:r>
    </w:p>
    <w:p>
      <w:pPr>
        <w:spacing w:beforeLines="50" w:afterLines="50"/>
        <w:ind w:firstLine="420"/>
        <w:rPr>
          <w:rFonts w:ascii="方正仿宋_GB2312" w:hAnsi="方正仿宋_GB2312" w:eastAsia="方正仿宋_GB2312" w:cs="方正仿宋_GB2312"/>
          <w:color w:val="000000"/>
          <w:sz w:val="24"/>
          <w:highlight w:val="none"/>
          <w:lang w:eastAsia="zh-CN"/>
        </w:rPr>
      </w:pPr>
      <w:r>
        <w:rPr>
          <w:rFonts w:hint="eastAsia" w:ascii="方正仿宋_GB2312" w:hAnsi="方正仿宋_GB2312" w:eastAsia="方正仿宋_GB2312" w:cs="方正仿宋_GB2312"/>
          <w:color w:val="000000"/>
          <w:highlight w:val="none"/>
          <w:lang w:eastAsia="zh-CN"/>
        </w:rPr>
        <w:t>选择可开票订单：在首页【选择订单开票】按钮后面，当有红色的“new”时，表示当前有可开票的订单，否则表示没有。有订单的情况下，点击进入可开票订单类型列表页面，可查看到当前不同业务的可开票的订单，以及订单的详细列表。</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单笔订单申请发票：适用于用户对某一笔订单申请发票。</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多笔订单合并申请发票：适用于用户对相同中标人/投标人、相同项目中相同费用类型的订单合并申请一张发票。（特殊的，如果合并申请后出现了超国网电子商务（北京）有限公司单张发票限额的情况，则系统会按照一定的业务规则拆分开具发票。）</w:t>
      </w:r>
    </w:p>
    <w:p>
      <w:pPr>
        <w:pStyle w:val="8"/>
        <w:numPr>
          <w:ilvl w:val="3"/>
          <w:numId w:val="0"/>
        </w:numPr>
        <w:spacing w:line="480" w:lineRule="auto"/>
        <w:ind w:left="864" w:right="210" w:rightChars="1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操作介绍</w:t>
      </w:r>
    </w:p>
    <w:p>
      <w:pPr>
        <w:spacing w:beforeLines="50" w:afterLines="50"/>
        <w:ind w:firstLine="482"/>
        <w:rPr>
          <w:rFonts w:ascii="方正仿宋_GB2312" w:hAnsi="方正仿宋_GB2312" w:eastAsia="方正仿宋_GB2312" w:cs="方正仿宋_GB2312"/>
          <w:bCs/>
          <w:color w:val="000000"/>
          <w:highlight w:val="none"/>
          <w:lang w:eastAsia="zh-CN"/>
        </w:rPr>
      </w:pPr>
      <w:r>
        <w:rPr>
          <w:rFonts w:hint="eastAsia" w:ascii="方正仿宋_GB2312" w:hAnsi="方正仿宋_GB2312" w:eastAsia="方正仿宋_GB2312" w:cs="方正仿宋_GB2312"/>
          <w:bCs/>
          <w:color w:val="000000"/>
          <w:highlight w:val="none"/>
          <w:lang w:eastAsia="zh-CN"/>
        </w:rPr>
        <w:t>下面包括查看可开票订单、单笔订单在线申请发票以及多笔订单合并开票的操作流程。</w:t>
      </w: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rPr>
      </w:pPr>
      <w:r>
        <w:rPr>
          <w:rFonts w:hint="eastAsia" w:ascii="方正仿宋_GB2312" w:hAnsi="方正仿宋_GB2312" w:eastAsia="方正仿宋_GB2312" w:cs="方正仿宋_GB2312"/>
          <w:highlight w:val="none"/>
        </w:rPr>
        <w:t>查看可开票订单</w:t>
      </w:r>
    </w:p>
    <w:p>
      <w:pPr>
        <w:numPr>
          <w:ilvl w:val="0"/>
          <w:numId w:val="3"/>
        </w:num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在客户e助手首页，查看【选择订单开票】按钮后面，是否</w:t>
      </w:r>
      <w:r>
        <w:rPr>
          <w:rFonts w:hint="eastAsia" w:ascii="方正仿宋_GB2312" w:hAnsi="方正仿宋_GB2312" w:eastAsia="方正仿宋_GB2312" w:cs="方正仿宋_GB2312"/>
          <w:color w:val="000000"/>
          <w:highlight w:val="none"/>
          <w:lang w:eastAsia="zh-CN"/>
        </w:rPr>
        <w:t>有红色的“new”，如果有，表示有</w:t>
      </w:r>
      <w:r>
        <w:rPr>
          <w:rFonts w:hint="eastAsia" w:ascii="方正仿宋_GB2312" w:hAnsi="方正仿宋_GB2312" w:eastAsia="方正仿宋_GB2312" w:cs="方正仿宋_GB2312"/>
          <w:highlight w:val="none"/>
          <w:lang w:eastAsia="zh-CN"/>
        </w:rPr>
        <w:t>新订单，用户点击【选择订单开票】，进入可开票订单类型列表页；</w:t>
      </w:r>
    </w:p>
    <w:p>
      <w:pPr>
        <w:jc w:val="center"/>
        <w:rPr>
          <w:rFonts w:ascii="方正仿宋_GB2312" w:hAnsi="方正仿宋_GB2312" w:eastAsia="方正仿宋_GB2312" w:cs="方正仿宋_GB2312"/>
          <w:highlight w:val="none"/>
        </w:rPr>
      </w:pPr>
      <w:r>
        <w:rPr>
          <w:rFonts w:ascii="方正仿宋_GB2312" w:hAnsi="方正仿宋_GB2312" w:eastAsia="方正仿宋_GB2312" w:cs="方正仿宋_GB2312"/>
          <w:color w:val="000000"/>
          <w:sz w:val="24"/>
          <w:highlight w:val="none"/>
          <w:lang w:eastAsia="zh-CN" w:bidi="ar-SA"/>
        </w:rPr>
        <w:drawing>
          <wp:inline distT="0" distB="0" distL="0" distR="0">
            <wp:extent cx="1316990" cy="2580005"/>
            <wp:effectExtent l="0" t="0" r="16510" b="10795"/>
            <wp:docPr id="21" name="图片 9" descr="3ce27d5812102ce2047825241504f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descr="3ce27d5812102ce2047825241504f28"/>
                    <pic:cNvPicPr>
                      <a:picLocks noChangeAspect="1" noChangeArrowheads="1"/>
                    </pic:cNvPicPr>
                  </pic:nvPicPr>
                  <pic:blipFill>
                    <a:blip r:embed="rId35"/>
                    <a:srcRect b="9183"/>
                    <a:stretch>
                      <a:fillRect/>
                    </a:stretch>
                  </pic:blipFill>
                  <pic:spPr>
                    <a:xfrm>
                      <a:off x="0" y="0"/>
                      <a:ext cx="1316990" cy="2580005"/>
                    </a:xfrm>
                    <a:prstGeom prst="rect">
                      <a:avLst/>
                    </a:prstGeom>
                    <a:noFill/>
                    <a:ln w="9525">
                      <a:noFill/>
                      <a:miter lim="800000"/>
                      <a:headEnd/>
                      <a:tailEnd/>
                    </a:ln>
                  </pic:spPr>
                </pic:pic>
              </a:graphicData>
            </a:graphic>
          </wp:inline>
        </w:drawing>
      </w:r>
      <w:r>
        <w:rPr>
          <w:rFonts w:ascii="方正仿宋_GB2312" w:hAnsi="方正仿宋_GB2312" w:eastAsia="方正仿宋_GB2312" w:cs="方正仿宋_GB2312"/>
          <w:highlight w:val="none"/>
          <w:lang w:eastAsia="zh-CN" w:bidi="ar-SA"/>
        </w:rPr>
        <w:drawing>
          <wp:inline distT="0" distB="0" distL="0" distR="0">
            <wp:extent cx="1327785" cy="2590800"/>
            <wp:effectExtent l="0" t="0" r="5715" b="0"/>
            <wp:docPr id="22" name="图片 10" descr="cc3dce7e1bbb10b14821f0d1f3adf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descr="cc3dce7e1bbb10b14821f0d1f3adf34"/>
                    <pic:cNvPicPr>
                      <a:picLocks noChangeAspect="1" noChangeArrowheads="1"/>
                    </pic:cNvPicPr>
                  </pic:nvPicPr>
                  <pic:blipFill>
                    <a:blip r:embed="rId36" cstate="print"/>
                    <a:srcRect b="9818"/>
                    <a:stretch>
                      <a:fillRect/>
                    </a:stretch>
                  </pic:blipFill>
                  <pic:spPr>
                    <a:xfrm>
                      <a:off x="0" y="0"/>
                      <a:ext cx="1327785" cy="2590800"/>
                    </a:xfrm>
                    <a:prstGeom prst="rect">
                      <a:avLst/>
                    </a:prstGeom>
                    <a:noFill/>
                    <a:ln w="9525">
                      <a:noFill/>
                      <a:miter lim="800000"/>
                      <a:headEnd/>
                      <a:tailEnd/>
                    </a:ln>
                  </pic:spPr>
                </pic:pic>
              </a:graphicData>
            </a:graphic>
          </wp:inline>
        </w:drawing>
      </w:r>
    </w:p>
    <w:p>
      <w:pPr>
        <w:jc w:val="center"/>
        <w:rPr>
          <w:rFonts w:ascii="方正仿宋_GB2312" w:hAnsi="方正仿宋_GB2312" w:eastAsia="方正仿宋_GB2312" w:cs="方正仿宋_GB2312"/>
          <w:sz w:val="18"/>
          <w:highlight w:val="none"/>
          <w:lang w:eastAsia="zh-CN"/>
        </w:rPr>
      </w:pPr>
      <w:r>
        <w:rPr>
          <w:rFonts w:hint="eastAsia" w:ascii="方正仿宋_GB2312" w:hAnsi="方正仿宋_GB2312" w:eastAsia="方正仿宋_GB2312" w:cs="方正仿宋_GB2312"/>
          <w:sz w:val="18"/>
          <w:highlight w:val="none"/>
          <w:lang w:eastAsia="zh-CN"/>
        </w:rPr>
        <w:t>客户e助手首页       可开票订单列表页</w:t>
      </w:r>
    </w:p>
    <w:p>
      <w:pPr>
        <w:numPr>
          <w:ilvl w:val="0"/>
          <w:numId w:val="3"/>
        </w:numPr>
        <w:ind w:firstLine="420" w:firstLineChars="20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在可开票订单类型列表页，会展示当前有哪些类可开票的订单，选择一类，进入订单详情页面</w:t>
      </w:r>
    </w:p>
    <w:p>
      <w:pPr>
        <w:spacing w:line="360" w:lineRule="auto"/>
        <w:jc w:val="center"/>
        <w:rPr>
          <w:highlight w:val="none"/>
          <w:lang w:eastAsia="zh-CN"/>
        </w:rPr>
      </w:pPr>
    </w:p>
    <w:p>
      <w:pPr>
        <w:spacing w:line="360" w:lineRule="auto"/>
        <w:jc w:val="center"/>
        <w:rPr>
          <w:highlight w:val="none"/>
        </w:rPr>
      </w:pPr>
      <w:r>
        <w:rPr>
          <w:highlight w:val="none"/>
          <w:lang w:eastAsia="zh-CN" w:bidi="ar-SA"/>
        </w:rPr>
        <w:drawing>
          <wp:inline distT="0" distB="0" distL="0" distR="0">
            <wp:extent cx="1263015" cy="2459990"/>
            <wp:effectExtent l="0" t="0" r="13335" b="16510"/>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noChangeArrowheads="1"/>
                    </pic:cNvPicPr>
                  </pic:nvPicPr>
                  <pic:blipFill>
                    <a:blip r:embed="rId37"/>
                    <a:srcRect b="9897"/>
                    <a:stretch>
                      <a:fillRect/>
                    </a:stretch>
                  </pic:blipFill>
                  <pic:spPr>
                    <a:xfrm>
                      <a:off x="0" y="0"/>
                      <a:ext cx="1263015" cy="2459990"/>
                    </a:xfrm>
                    <a:prstGeom prst="rect">
                      <a:avLst/>
                    </a:prstGeom>
                    <a:noFill/>
                    <a:ln w="9525">
                      <a:noFill/>
                      <a:miter lim="800000"/>
                      <a:headEnd/>
                      <a:tailEnd/>
                    </a:ln>
                  </pic:spPr>
                </pic:pic>
              </a:graphicData>
            </a:graphic>
          </wp:inline>
        </w:drawing>
      </w:r>
    </w:p>
    <w:p>
      <w:pPr>
        <w:spacing w:line="360" w:lineRule="auto"/>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可开票订单详情页</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页面中根据订单类型不同，展示的内容也不相同，其中招标代理服务类订单展示内容为：第一行为项目名称；第二行为该招标项目的分标名称；第三行为分包名称；第四行为中标商户名称；每笔订单的底部为招标代理的服务费，单价为元。</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每笔订单展示区都有一个【详情】，当订单信息内容较多，展示不全时，可点击此按钮，查看全部信息，查看后再点击【收起】，即可恢复订单信息简略模式，不点击【收起】也不影响功能的正常使用。</w:t>
      </w: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查询订单</w:t>
      </w:r>
    </w:p>
    <w:p>
      <w:pPr>
        <w:spacing w:beforeLines="50" w:afterLines="50"/>
        <w:ind w:firstLine="420"/>
        <w:rPr>
          <w:rFonts w:ascii="方正仿宋_GB2312" w:hAnsi="方正仿宋_GB2312" w:eastAsia="方正仿宋_GB2312" w:cs="方正仿宋_GB2312"/>
          <w:color w:val="000000"/>
          <w:highlight w:val="none"/>
          <w:lang w:eastAsia="zh-CN"/>
        </w:rPr>
      </w:pPr>
      <w:r>
        <w:rPr>
          <w:rFonts w:hint="eastAsia" w:ascii="方正仿宋_GB2312" w:hAnsi="方正仿宋_GB2312" w:eastAsia="方正仿宋_GB2312" w:cs="方正仿宋_GB2312"/>
          <w:color w:val="000000"/>
          <w:highlight w:val="none"/>
          <w:lang w:eastAsia="zh-CN"/>
        </w:rPr>
        <w:t>可开票订单详情页面支持按照中标人/投标人名称查找相关可开票订单，在页面的顶部，有个查询下拉框，展示是的手机号关联的存在可开票订单的所有商户名称，用户可选择其中一个，查看此商户的可开票订单。</w:t>
      </w:r>
    </w:p>
    <w:p>
      <w:pPr>
        <w:spacing w:line="360" w:lineRule="auto"/>
        <w:jc w:val="center"/>
        <w:rPr>
          <w:highlight w:val="none"/>
          <w:lang w:eastAsia="zh-CN"/>
        </w:rPr>
      </w:pPr>
    </w:p>
    <w:p>
      <w:pPr>
        <w:spacing w:line="360" w:lineRule="auto"/>
        <w:jc w:val="center"/>
        <w:rPr>
          <w:highlight w:val="none"/>
        </w:rPr>
      </w:pPr>
      <w:r>
        <w:rPr>
          <w:highlight w:val="none"/>
          <w:lang w:eastAsia="zh-CN" w:bidi="ar-SA"/>
        </w:rPr>
        <w:drawing>
          <wp:inline distT="0" distB="0" distL="0" distR="0">
            <wp:extent cx="1273810" cy="2493010"/>
            <wp:effectExtent l="0" t="0" r="2540" b="2540"/>
            <wp:docPr id="2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pic:cNvPicPr>
                      <a:picLocks noChangeAspect="1" noChangeArrowheads="1"/>
                    </pic:cNvPicPr>
                  </pic:nvPicPr>
                  <pic:blipFill>
                    <a:blip r:embed="rId38"/>
                    <a:srcRect b="9441"/>
                    <a:stretch>
                      <a:fillRect/>
                    </a:stretch>
                  </pic:blipFill>
                  <pic:spPr>
                    <a:xfrm>
                      <a:off x="0" y="0"/>
                      <a:ext cx="1273810" cy="2493010"/>
                    </a:xfrm>
                    <a:prstGeom prst="rect">
                      <a:avLst/>
                    </a:prstGeom>
                    <a:noFill/>
                    <a:ln w="9525">
                      <a:noFill/>
                      <a:miter lim="800000"/>
                      <a:headEnd/>
                      <a:tailEnd/>
                    </a:ln>
                  </pic:spPr>
                </pic:pic>
              </a:graphicData>
            </a:graphic>
          </wp:inline>
        </w:drawing>
      </w:r>
    </w:p>
    <w:p>
      <w:pPr>
        <w:spacing w:line="360" w:lineRule="auto"/>
        <w:jc w:val="center"/>
        <w:rPr>
          <w:rFonts w:ascii="方正仿宋_GB2312" w:hAnsi="方正仿宋_GB2312" w:eastAsia="方正仿宋_GB2312" w:cs="方正仿宋_GB2312"/>
          <w:sz w:val="20"/>
          <w:highlight w:val="none"/>
          <w:lang w:eastAsia="zh-CN"/>
        </w:rPr>
      </w:pPr>
      <w:r>
        <w:rPr>
          <w:rFonts w:hint="eastAsia" w:ascii="方正仿宋_GB2312" w:hAnsi="方正仿宋_GB2312" w:eastAsia="方正仿宋_GB2312" w:cs="方正仿宋_GB2312"/>
          <w:sz w:val="20"/>
          <w:highlight w:val="none"/>
          <w:lang w:eastAsia="zh-CN"/>
        </w:rPr>
        <w:t>可开票订单页</w:t>
      </w:r>
    </w:p>
    <w:p>
      <w:pPr>
        <w:spacing w:line="360" w:lineRule="auto"/>
        <w:rPr>
          <w:rFonts w:ascii="方正仿宋_GB2312" w:hAnsi="方正仿宋_GB2312" w:eastAsia="方正仿宋_GB2312" w:cs="方正仿宋_GB2312"/>
          <w:sz w:val="18"/>
          <w:szCs w:val="18"/>
          <w:highlight w:val="none"/>
          <w:lang w:eastAsia="zh-CN"/>
        </w:rPr>
      </w:pPr>
    </w:p>
    <w:p>
      <w:pPr>
        <w:pStyle w:val="9"/>
        <w:keepNext w:val="0"/>
        <w:keepLines w:val="0"/>
        <w:numPr>
          <w:ilvl w:val="4"/>
          <w:numId w:val="0"/>
        </w:numPr>
        <w:tabs>
          <w:tab w:val="left" w:pos="0"/>
        </w:tabs>
        <w:spacing w:line="372" w:lineRule="auto"/>
        <w:ind w:left="1008" w:hanging="1008"/>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单笔订单申请发票</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第一步，在订单详情列表页，选中一笔订单，点击【申请发票】，进入填写发票抬头页面。</w:t>
      </w:r>
    </w:p>
    <w:p>
      <w:pPr>
        <w:ind w:firstLine="420"/>
        <w:jc w:val="center"/>
        <w:rPr>
          <w:highlight w:val="none"/>
        </w:rPr>
      </w:pPr>
      <w:r>
        <w:rPr>
          <w:highlight w:val="none"/>
          <w:lang w:eastAsia="zh-CN" w:bidi="ar-SA"/>
        </w:rPr>
        <w:drawing>
          <wp:inline distT="0" distB="0" distL="0" distR="0">
            <wp:extent cx="1099185" cy="2372995"/>
            <wp:effectExtent l="0" t="0" r="5715" b="8255"/>
            <wp:docPr id="2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pic:cNvPicPr>
                      <a:picLocks noChangeAspect="1" noChangeArrowheads="1"/>
                    </pic:cNvPicPr>
                  </pic:nvPicPr>
                  <pic:blipFill>
                    <a:blip r:embed="rId39"/>
                    <a:srcRect/>
                    <a:stretch>
                      <a:fillRect/>
                    </a:stretch>
                  </pic:blipFill>
                  <pic:spPr>
                    <a:xfrm>
                      <a:off x="0" y="0"/>
                      <a:ext cx="1099185" cy="2372995"/>
                    </a:xfrm>
                    <a:prstGeom prst="rect">
                      <a:avLst/>
                    </a:prstGeom>
                    <a:noFill/>
                    <a:ln w="9525">
                      <a:noFill/>
                      <a:miter lim="800000"/>
                      <a:headEnd/>
                      <a:tailEnd/>
                    </a:ln>
                  </pic:spPr>
                </pic:pic>
              </a:graphicData>
            </a:graphic>
          </wp:inline>
        </w:drawing>
      </w:r>
      <w:r>
        <w:rPr>
          <w:rFonts w:ascii="方正仿宋_GB2312" w:hAnsi="方正仿宋_GB2312" w:eastAsia="方正仿宋_GB2312" w:cs="方正仿宋_GB2312"/>
          <w:sz w:val="18"/>
          <w:szCs w:val="18"/>
          <w:highlight w:val="none"/>
          <w:lang w:eastAsia="zh-CN" w:bidi="ar-SA"/>
        </w:rPr>
        <w:drawing>
          <wp:inline distT="0" distB="0" distL="0" distR="0">
            <wp:extent cx="1099185" cy="2394585"/>
            <wp:effectExtent l="0" t="0" r="5715" b="5715"/>
            <wp:docPr id="26" name="图片 14" descr="52457c8bb61e89b1057f9deda474b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descr="52457c8bb61e89b1057f9deda474b48"/>
                    <pic:cNvPicPr>
                      <a:picLocks noChangeAspect="1" noChangeArrowheads="1"/>
                    </pic:cNvPicPr>
                  </pic:nvPicPr>
                  <pic:blipFill>
                    <a:blip r:embed="rId40"/>
                    <a:srcRect/>
                    <a:stretch>
                      <a:fillRect/>
                    </a:stretch>
                  </pic:blipFill>
                  <pic:spPr>
                    <a:xfrm>
                      <a:off x="0" y="0"/>
                      <a:ext cx="1099185" cy="2394585"/>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填写发票抬头页面     抬头名称确认提示</w:t>
      </w:r>
    </w:p>
    <w:p>
      <w:pPr>
        <w:ind w:firstLine="420"/>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highlight w:val="none"/>
          <w:lang w:eastAsia="zh-CN"/>
        </w:rPr>
        <w:t>第二步，如果只对此一条订单申请开票，则可直接填写发票抬头信息（其中标有</w:t>
      </w:r>
      <w:r>
        <w:rPr>
          <w:rFonts w:hint="eastAsia" w:ascii="方正仿宋_GB2312" w:hAnsi="方正仿宋_GB2312" w:eastAsia="方正仿宋_GB2312" w:cs="方正仿宋_GB2312"/>
          <w:color w:val="FF0000"/>
          <w:highlight w:val="none"/>
          <w:lang w:eastAsia="zh-CN"/>
        </w:rPr>
        <w:t>*</w:t>
      </w:r>
      <w:r>
        <w:rPr>
          <w:rFonts w:hint="eastAsia" w:ascii="方正仿宋_GB2312" w:hAnsi="方正仿宋_GB2312" w:eastAsia="方正仿宋_GB2312" w:cs="方正仿宋_GB2312"/>
          <w:highlight w:val="none"/>
          <w:lang w:eastAsia="zh-CN"/>
        </w:rPr>
        <w:t>的字段都是必填项），然后点击【下一步】，进入发票邮寄信息填写页面；特别的，当用户填写的抬头名称与中标人/投标人的商户名称不一致时，系统会给出提示，用户如果确认按照所填的抬头开票，则可点击【按照抬头开票】，进入发票邮寄信息填写页面；否则，点击【司改发票抬头】，留在当前页面修改发票抬头后，再点击【下一步】。</w:t>
      </w:r>
    </w:p>
    <w:p>
      <w:pPr>
        <w:ind w:firstLine="420"/>
        <w:jc w:val="center"/>
        <w:rPr>
          <w:rFonts w:ascii="方正仿宋_GB2312" w:hAnsi="方正仿宋_GB2312" w:eastAsia="方正仿宋_GB2312" w:cs="方正仿宋_GB2312"/>
          <w:highlight w:val="none"/>
        </w:rPr>
      </w:pPr>
      <w:r>
        <w:rPr>
          <w:rFonts w:ascii="方正仿宋_GB2312" w:hAnsi="方正仿宋_GB2312" w:eastAsia="方正仿宋_GB2312" w:cs="方正仿宋_GB2312"/>
          <w:highlight w:val="none"/>
          <w:lang w:eastAsia="zh-CN" w:bidi="ar-SA"/>
        </w:rPr>
        <w:drawing>
          <wp:inline distT="0" distB="0" distL="0" distR="0">
            <wp:extent cx="1251585" cy="2710815"/>
            <wp:effectExtent l="0" t="0" r="5715" b="13335"/>
            <wp:docPr id="27" name="图片 15" descr="66706b138311466f1355f775496b2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5" descr="66706b138311466f1355f775496b2cb"/>
                    <pic:cNvPicPr>
                      <a:picLocks noChangeAspect="1" noChangeArrowheads="1"/>
                    </pic:cNvPicPr>
                  </pic:nvPicPr>
                  <pic:blipFill>
                    <a:blip r:embed="rId41" cstate="print"/>
                    <a:srcRect/>
                    <a:stretch>
                      <a:fillRect/>
                    </a:stretch>
                  </pic:blipFill>
                  <pic:spPr>
                    <a:xfrm>
                      <a:off x="0" y="0"/>
                      <a:ext cx="1251585" cy="2710815"/>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填写收票地址页面</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第三步，填写收票人信息和邮寄地址信息（其中标有</w:t>
      </w:r>
      <w:r>
        <w:rPr>
          <w:rFonts w:hint="eastAsia" w:ascii="方正仿宋_GB2312" w:hAnsi="方正仿宋_GB2312" w:eastAsia="方正仿宋_GB2312" w:cs="方正仿宋_GB2312"/>
          <w:color w:val="FF0000"/>
          <w:highlight w:val="none"/>
          <w:lang w:eastAsia="zh-CN"/>
        </w:rPr>
        <w:t>*</w:t>
      </w:r>
      <w:r>
        <w:rPr>
          <w:rFonts w:hint="eastAsia" w:ascii="方正仿宋_GB2312" w:hAnsi="方正仿宋_GB2312" w:eastAsia="方正仿宋_GB2312" w:cs="方正仿宋_GB2312"/>
          <w:highlight w:val="none"/>
          <w:lang w:eastAsia="zh-CN"/>
        </w:rPr>
        <w:t>的字段都是必填项），然后点击【下一步】，进入开票信息确认页面。</w:t>
      </w:r>
    </w:p>
    <w:p>
      <w:pPr>
        <w:ind w:firstLine="420"/>
        <w:jc w:val="center"/>
        <w:rPr>
          <w:highlight w:val="none"/>
        </w:rPr>
      </w:pPr>
      <w:r>
        <w:rPr>
          <w:highlight w:val="none"/>
          <w:lang w:eastAsia="zh-CN" w:bidi="ar-SA"/>
        </w:rPr>
        <w:drawing>
          <wp:inline distT="0" distB="0" distL="0" distR="0">
            <wp:extent cx="1251585" cy="2721610"/>
            <wp:effectExtent l="0" t="0" r="5715" b="2540"/>
            <wp:docPr id="2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6"/>
                    <pic:cNvPicPr>
                      <a:picLocks noChangeAspect="1" noChangeArrowheads="1"/>
                    </pic:cNvPicPr>
                  </pic:nvPicPr>
                  <pic:blipFill>
                    <a:blip r:embed="rId42"/>
                    <a:srcRect/>
                    <a:stretch>
                      <a:fillRect/>
                    </a:stretch>
                  </pic:blipFill>
                  <pic:spPr>
                    <a:xfrm>
                      <a:off x="0" y="0"/>
                      <a:ext cx="1251585" cy="2721610"/>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开票信息确认页面</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四步，请用户核对、确认当前开票信息是否准确，若有误，可点击【上一步】返回有问题的信息填写页面修改；若信息无误，用户可点击【下一步】，正式提交开票申请。看到开票成功页面，表示开票申请已成功提交，申请开票操作流程结束。</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用户可点击【我的订单】，返回可开票订单类型列表页，再对其它订单申请开票。</w:t>
      </w:r>
    </w:p>
    <w:p>
      <w:pPr>
        <w:ind w:firstLine="420"/>
        <w:jc w:val="center"/>
        <w:rPr>
          <w:rFonts w:ascii="方正仿宋_GB2312" w:hAnsi="方正仿宋_GB2312" w:eastAsia="方正仿宋_GB2312" w:cs="方正仿宋_GB2312"/>
          <w:highlight w:val="none"/>
        </w:rPr>
      </w:pPr>
      <w:r>
        <w:rPr>
          <w:rFonts w:ascii="方正仿宋_GB2312" w:hAnsi="方正仿宋_GB2312" w:eastAsia="方正仿宋_GB2312" w:cs="方正仿宋_GB2312"/>
          <w:highlight w:val="none"/>
          <w:lang w:eastAsia="zh-CN" w:bidi="ar-SA"/>
        </w:rPr>
        <w:drawing>
          <wp:inline distT="0" distB="0" distL="0" distR="0">
            <wp:extent cx="1164590" cy="2264410"/>
            <wp:effectExtent l="0" t="0" r="16510" b="2540"/>
            <wp:docPr id="29" name="图片 17" descr="ef7662c6c9b26e754f0be90b3b2f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7" descr="ef7662c6c9b26e754f0be90b3b2f239"/>
                    <pic:cNvPicPr>
                      <a:picLocks noChangeAspect="1" noChangeArrowheads="1"/>
                    </pic:cNvPicPr>
                  </pic:nvPicPr>
                  <pic:blipFill>
                    <a:blip r:embed="rId43"/>
                    <a:srcRect b="10043"/>
                    <a:stretch>
                      <a:fillRect/>
                    </a:stretch>
                  </pic:blipFill>
                  <pic:spPr>
                    <a:xfrm>
                      <a:off x="0" y="0"/>
                      <a:ext cx="1164590" cy="2264410"/>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开票申请成功页</w:t>
      </w:r>
    </w:p>
    <w:p>
      <w:pPr>
        <w:pStyle w:val="9"/>
        <w:keepNext w:val="0"/>
        <w:keepLines w:val="0"/>
        <w:numPr>
          <w:ilvl w:val="4"/>
          <w:numId w:val="0"/>
        </w:numPr>
        <w:tabs>
          <w:tab w:val="left" w:pos="0"/>
        </w:tabs>
        <w:spacing w:line="372" w:lineRule="auto"/>
        <w:ind w:left="1008" w:hanging="1008"/>
        <w:rPr>
          <w:highlight w:val="none"/>
          <w:lang w:eastAsia="zh-CN"/>
        </w:rPr>
      </w:pPr>
      <w:r>
        <w:rPr>
          <w:rFonts w:hint="eastAsia" w:ascii="方正仿宋_GB2312" w:hAnsi="方正仿宋_GB2312" w:eastAsia="方正仿宋_GB2312" w:cs="方正仿宋_GB2312"/>
          <w:highlight w:val="none"/>
          <w:lang w:eastAsia="zh-CN"/>
        </w:rPr>
        <w:t>多笔订单合并申请发票</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第一步，在订单详情列表页，选中一笔订单，点击【申请发票】，进入填写发票抬头页面。</w:t>
      </w:r>
    </w:p>
    <w:p>
      <w:pPr>
        <w:ind w:firstLine="420"/>
        <w:jc w:val="center"/>
        <w:rPr>
          <w:highlight w:val="none"/>
        </w:rPr>
      </w:pPr>
      <w:r>
        <w:rPr>
          <w:highlight w:val="none"/>
          <w:lang w:eastAsia="zh-CN" w:bidi="ar-SA"/>
        </w:rPr>
        <w:drawing>
          <wp:inline distT="0" distB="0" distL="0" distR="0">
            <wp:extent cx="1099185" cy="2372995"/>
            <wp:effectExtent l="0" t="0" r="5715" b="8255"/>
            <wp:docPr id="3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8"/>
                    <pic:cNvPicPr>
                      <a:picLocks noChangeAspect="1" noChangeArrowheads="1"/>
                    </pic:cNvPicPr>
                  </pic:nvPicPr>
                  <pic:blipFill>
                    <a:blip r:embed="rId39"/>
                    <a:srcRect/>
                    <a:stretch>
                      <a:fillRect/>
                    </a:stretch>
                  </pic:blipFill>
                  <pic:spPr>
                    <a:xfrm>
                      <a:off x="0" y="0"/>
                      <a:ext cx="1099185" cy="2372995"/>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填写发票抬头页面</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二步，在填写发票抬头页面点击【添加订单合并开票】按钮，打开可合并开票订单列表页面，选择要合并开票的订单，然后点击【合并开票】，进入填写发票抬头信息页，页面上的开票订单数量以及开票金额总计会更新为所选中订单合计数值。</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注：目前支持相同中标人/投标人、相同项目中、相同费用类型的订单合并开票，不满足这些条件的订单不可合并开票。</w:t>
      </w:r>
    </w:p>
    <w:p>
      <w:pPr>
        <w:ind w:firstLine="420"/>
        <w:jc w:val="center"/>
        <w:rPr>
          <w:highlight w:val="none"/>
        </w:rPr>
      </w:pPr>
      <w:r>
        <w:rPr>
          <w:highlight w:val="none"/>
          <w:lang w:eastAsia="zh-CN" w:bidi="ar-SA"/>
        </w:rPr>
        <w:drawing>
          <wp:inline distT="0" distB="0" distL="0" distR="0">
            <wp:extent cx="1219200" cy="2634615"/>
            <wp:effectExtent l="0" t="0" r="0" b="13335"/>
            <wp:docPr id="3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9"/>
                    <pic:cNvPicPr>
                      <a:picLocks noChangeAspect="1" noChangeArrowheads="1"/>
                    </pic:cNvPicPr>
                  </pic:nvPicPr>
                  <pic:blipFill>
                    <a:blip r:embed="rId44"/>
                    <a:srcRect/>
                    <a:stretch>
                      <a:fillRect/>
                    </a:stretch>
                  </pic:blipFill>
                  <pic:spPr>
                    <a:xfrm>
                      <a:off x="0" y="0"/>
                      <a:ext cx="1219200" cy="2634615"/>
                    </a:xfrm>
                    <a:prstGeom prst="rect">
                      <a:avLst/>
                    </a:prstGeom>
                    <a:noFill/>
                    <a:ln w="9525">
                      <a:noFill/>
                      <a:miter lim="800000"/>
                      <a:headEnd/>
                      <a:tailEnd/>
                    </a:ln>
                  </pic:spPr>
                </pic:pic>
              </a:graphicData>
            </a:graphic>
          </wp:inline>
        </w:drawing>
      </w:r>
      <w:r>
        <w:rPr>
          <w:highlight w:val="none"/>
          <w:lang w:eastAsia="zh-CN" w:bidi="ar-SA"/>
        </w:rPr>
        <w:drawing>
          <wp:inline distT="0" distB="0" distL="0" distR="0">
            <wp:extent cx="1219200" cy="2634615"/>
            <wp:effectExtent l="0" t="0" r="0" b="13335"/>
            <wp:docPr id="3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0"/>
                    <pic:cNvPicPr>
                      <a:picLocks noChangeAspect="1" noChangeArrowheads="1"/>
                    </pic:cNvPicPr>
                  </pic:nvPicPr>
                  <pic:blipFill>
                    <a:blip r:embed="rId45"/>
                    <a:srcRect/>
                    <a:stretch>
                      <a:fillRect/>
                    </a:stretch>
                  </pic:blipFill>
                  <pic:spPr>
                    <a:xfrm>
                      <a:off x="0" y="0"/>
                      <a:ext cx="1219200" cy="2634615"/>
                    </a:xfrm>
                    <a:prstGeom prst="rect">
                      <a:avLst/>
                    </a:prstGeom>
                    <a:noFill/>
                    <a:ln w="9525">
                      <a:noFill/>
                      <a:miter lim="800000"/>
                      <a:headEnd/>
                      <a:tailEnd/>
                    </a:ln>
                  </pic:spPr>
                </pic:pic>
              </a:graphicData>
            </a:graphic>
          </wp:inline>
        </w:drawing>
      </w:r>
      <w:r>
        <w:rPr>
          <w:highlight w:val="none"/>
          <w:lang w:eastAsia="zh-CN" w:bidi="ar-SA"/>
        </w:rPr>
        <w:drawing>
          <wp:inline distT="0" distB="0" distL="0" distR="0">
            <wp:extent cx="1208405" cy="2612390"/>
            <wp:effectExtent l="0" t="0" r="10795" b="16510"/>
            <wp:docPr id="3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1"/>
                    <pic:cNvPicPr>
                      <a:picLocks noChangeAspect="1" noChangeArrowheads="1"/>
                    </pic:cNvPicPr>
                  </pic:nvPicPr>
                  <pic:blipFill>
                    <a:blip r:embed="rId46"/>
                    <a:srcRect/>
                    <a:stretch>
                      <a:fillRect/>
                    </a:stretch>
                  </pic:blipFill>
                  <pic:spPr>
                    <a:xfrm>
                      <a:off x="0" y="0"/>
                      <a:ext cx="1208405" cy="2612390"/>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填写发票抬头页      选择合并开票订单页       填写发票抬头页</w:t>
      </w:r>
    </w:p>
    <w:p>
      <w:pPr>
        <w:ind w:firstLine="420"/>
        <w:rPr>
          <w:rFonts w:ascii="方正仿宋_GB2312" w:hAnsi="方正仿宋_GB2312" w:eastAsia="方正仿宋_GB2312" w:cs="方正仿宋_GB2312"/>
          <w:highlight w:val="none"/>
          <w:lang w:eastAsia="zh-CN"/>
        </w:rPr>
      </w:pPr>
    </w:p>
    <w:p>
      <w:pPr>
        <w:ind w:firstLine="420"/>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highlight w:val="none"/>
          <w:lang w:eastAsia="zh-CN"/>
        </w:rPr>
        <w:t>第三步，填写发票抬头信息（其中标有</w:t>
      </w:r>
      <w:r>
        <w:rPr>
          <w:rFonts w:hint="eastAsia" w:ascii="方正仿宋_GB2312" w:hAnsi="方正仿宋_GB2312" w:eastAsia="方正仿宋_GB2312" w:cs="方正仿宋_GB2312"/>
          <w:color w:val="FF0000"/>
          <w:highlight w:val="none"/>
          <w:lang w:eastAsia="zh-CN"/>
        </w:rPr>
        <w:t>*</w:t>
      </w:r>
      <w:r>
        <w:rPr>
          <w:rFonts w:hint="eastAsia" w:ascii="方正仿宋_GB2312" w:hAnsi="方正仿宋_GB2312" w:eastAsia="方正仿宋_GB2312" w:cs="方正仿宋_GB2312"/>
          <w:highlight w:val="none"/>
          <w:lang w:eastAsia="zh-CN"/>
        </w:rPr>
        <w:t>的字段都是必填项），然后点击【下一步】，进入发票邮寄信息填写页面；特别的，当用户填写的抬头名称与中标人/投标人的商户名称不一致时，系统会给出提示，用户如果确认按照所填的抬头开票，则可点击【按照抬头开票】，进入发票邮寄信息填写页面；否则，点击【司改发票抬头】，留在当前页面修改发票抬头后，再点击【下一步】。</w:t>
      </w:r>
    </w:p>
    <w:p>
      <w:pPr>
        <w:ind w:firstLine="420"/>
        <w:jc w:val="center"/>
        <w:rPr>
          <w:rFonts w:ascii="方正仿宋_GB2312" w:hAnsi="方正仿宋_GB2312" w:eastAsia="方正仿宋_GB2312" w:cs="方正仿宋_GB2312"/>
          <w:highlight w:val="none"/>
        </w:rPr>
      </w:pPr>
      <w:r>
        <w:rPr>
          <w:rFonts w:ascii="方正仿宋_GB2312" w:hAnsi="方正仿宋_GB2312" w:eastAsia="方正仿宋_GB2312" w:cs="方正仿宋_GB2312"/>
          <w:sz w:val="18"/>
          <w:szCs w:val="18"/>
          <w:highlight w:val="none"/>
          <w:lang w:eastAsia="zh-CN" w:bidi="ar-SA"/>
        </w:rPr>
        <w:drawing>
          <wp:inline distT="0" distB="0" distL="0" distR="0">
            <wp:extent cx="1251585" cy="2710815"/>
            <wp:effectExtent l="0" t="0" r="5715" b="13335"/>
            <wp:docPr id="34" name="图片 22" descr="52457c8bb61e89b1057f9deda474b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2" descr="52457c8bb61e89b1057f9deda474b48"/>
                    <pic:cNvPicPr>
                      <a:picLocks noChangeAspect="1" noChangeArrowheads="1"/>
                    </pic:cNvPicPr>
                  </pic:nvPicPr>
                  <pic:blipFill>
                    <a:blip r:embed="rId47"/>
                    <a:srcRect/>
                    <a:stretch>
                      <a:fillRect/>
                    </a:stretch>
                  </pic:blipFill>
                  <pic:spPr>
                    <a:xfrm>
                      <a:off x="0" y="0"/>
                      <a:ext cx="1251585" cy="2710815"/>
                    </a:xfrm>
                    <a:prstGeom prst="rect">
                      <a:avLst/>
                    </a:prstGeom>
                    <a:noFill/>
                    <a:ln w="9525">
                      <a:noFill/>
                      <a:miter lim="800000"/>
                      <a:headEnd/>
                      <a:tailEnd/>
                    </a:ln>
                  </pic:spPr>
                </pic:pic>
              </a:graphicData>
            </a:graphic>
          </wp:inline>
        </w:drawing>
      </w:r>
      <w:r>
        <w:rPr>
          <w:rFonts w:ascii="方正仿宋_GB2312" w:hAnsi="方正仿宋_GB2312" w:eastAsia="方正仿宋_GB2312" w:cs="方正仿宋_GB2312"/>
          <w:highlight w:val="none"/>
          <w:lang w:eastAsia="zh-CN" w:bidi="ar-SA"/>
        </w:rPr>
        <w:drawing>
          <wp:inline distT="0" distB="0" distL="0" distR="0">
            <wp:extent cx="1251585" cy="2710815"/>
            <wp:effectExtent l="0" t="0" r="5715" b="13335"/>
            <wp:docPr id="35" name="图片 23" descr="66706b138311466f1355f775496b2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3" descr="66706b138311466f1355f775496b2cb"/>
                    <pic:cNvPicPr>
                      <a:picLocks noChangeAspect="1" noChangeArrowheads="1"/>
                    </pic:cNvPicPr>
                  </pic:nvPicPr>
                  <pic:blipFill>
                    <a:blip r:embed="rId41" cstate="print"/>
                    <a:srcRect/>
                    <a:stretch>
                      <a:fillRect/>
                    </a:stretch>
                  </pic:blipFill>
                  <pic:spPr>
                    <a:xfrm>
                      <a:off x="0" y="0"/>
                      <a:ext cx="1251585" cy="2710815"/>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抬头名称确认提示      填写收票地址页面</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第四步，填写收票人信息和邮寄地址信息（其中标有</w:t>
      </w:r>
      <w:r>
        <w:rPr>
          <w:rFonts w:hint="eastAsia" w:ascii="方正仿宋_GB2312" w:hAnsi="方正仿宋_GB2312" w:eastAsia="方正仿宋_GB2312" w:cs="方正仿宋_GB2312"/>
          <w:color w:val="FF0000"/>
          <w:highlight w:val="none"/>
          <w:lang w:eastAsia="zh-CN"/>
        </w:rPr>
        <w:t>*</w:t>
      </w:r>
      <w:r>
        <w:rPr>
          <w:rFonts w:hint="eastAsia" w:ascii="方正仿宋_GB2312" w:hAnsi="方正仿宋_GB2312" w:eastAsia="方正仿宋_GB2312" w:cs="方正仿宋_GB2312"/>
          <w:highlight w:val="none"/>
          <w:lang w:eastAsia="zh-CN"/>
        </w:rPr>
        <w:t>的字段都是必填项），然后点击【下一步】，进入开票信息确认页面。</w:t>
      </w:r>
    </w:p>
    <w:p>
      <w:pPr>
        <w:ind w:firstLine="420"/>
        <w:jc w:val="center"/>
        <w:rPr>
          <w:highlight w:val="none"/>
        </w:rPr>
      </w:pPr>
      <w:r>
        <w:rPr>
          <w:highlight w:val="none"/>
          <w:lang w:eastAsia="zh-CN" w:bidi="ar-SA"/>
        </w:rPr>
        <w:drawing>
          <wp:inline distT="0" distB="0" distL="0" distR="0">
            <wp:extent cx="1251585" cy="2721610"/>
            <wp:effectExtent l="0" t="0" r="5715" b="2540"/>
            <wp:docPr id="3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4"/>
                    <pic:cNvPicPr>
                      <a:picLocks noChangeAspect="1" noChangeArrowheads="1"/>
                    </pic:cNvPicPr>
                  </pic:nvPicPr>
                  <pic:blipFill>
                    <a:blip r:embed="rId42"/>
                    <a:srcRect/>
                    <a:stretch>
                      <a:fillRect/>
                    </a:stretch>
                  </pic:blipFill>
                  <pic:spPr>
                    <a:xfrm>
                      <a:off x="0" y="0"/>
                      <a:ext cx="1251585" cy="2721610"/>
                    </a:xfrm>
                    <a:prstGeom prst="rect">
                      <a:avLst/>
                    </a:prstGeom>
                    <a:noFill/>
                    <a:ln w="9525">
                      <a:noFill/>
                      <a:miter lim="800000"/>
                      <a:headEnd/>
                      <a:tailEnd/>
                    </a:ln>
                  </pic:spPr>
                </pic:pic>
              </a:graphicData>
            </a:graphic>
          </wp:inline>
        </w:drawing>
      </w:r>
    </w:p>
    <w:p>
      <w:pPr>
        <w:ind w:firstLine="420"/>
        <w:jc w:val="center"/>
        <w:rPr>
          <w:rFonts w:ascii="方正仿宋_GB2312" w:hAnsi="方正仿宋_GB2312" w:eastAsia="方正仿宋_GB2312" w:cs="方正仿宋_GB2312"/>
          <w:sz w:val="18"/>
          <w:szCs w:val="18"/>
          <w:highlight w:val="none"/>
          <w:lang w:eastAsia="zh-CN"/>
        </w:rPr>
      </w:pPr>
      <w:r>
        <w:rPr>
          <w:rFonts w:hint="eastAsia" w:ascii="方正仿宋_GB2312" w:hAnsi="方正仿宋_GB2312" w:eastAsia="方正仿宋_GB2312" w:cs="方正仿宋_GB2312"/>
          <w:sz w:val="18"/>
          <w:szCs w:val="18"/>
          <w:highlight w:val="none"/>
          <w:lang w:eastAsia="zh-CN"/>
        </w:rPr>
        <w:t>开票信息确认页面</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第五步，请用户核对、确认当前开票信息是否准确，若有误，可点击【上一步】返回有问题的信息填写页面修改；若信息无误，用户可点击【下一步】，正式提交开票申请。看到开票成功页面，表示开票申请已成功提交，申请开票操作流程结束。</w:t>
      </w:r>
    </w:p>
    <w:p>
      <w:pPr>
        <w:ind w:firstLine="420"/>
        <w:rPr>
          <w:rFonts w:ascii="方正仿宋_GB2312" w:hAnsi="方正仿宋_GB2312" w:eastAsia="方正仿宋_GB2312" w:cs="方正仿宋_GB2312"/>
          <w:highlight w:val="none"/>
          <w:lang w:eastAsia="zh-CN"/>
        </w:rPr>
      </w:pPr>
      <w:r>
        <w:rPr>
          <w:rFonts w:hint="eastAsia" w:ascii="方正仿宋_GB2312" w:hAnsi="方正仿宋_GB2312" w:eastAsia="方正仿宋_GB2312" w:cs="方正仿宋_GB2312"/>
          <w:highlight w:val="none"/>
          <w:lang w:eastAsia="zh-CN"/>
        </w:rPr>
        <w:t>用户可点击【我的订单】，返回可开票订单类型列表页，再对其它订单申请开票。</w:t>
      </w:r>
    </w:p>
    <w:p>
      <w:pPr>
        <w:ind w:firstLine="420"/>
        <w:jc w:val="center"/>
        <w:rPr>
          <w:rFonts w:ascii="方正仿宋_GB2312" w:hAnsi="方正仿宋_GB2312" w:eastAsia="方正仿宋_GB2312" w:cs="方正仿宋_GB2312"/>
          <w:highlight w:val="none"/>
        </w:rPr>
      </w:pPr>
      <w:r>
        <w:rPr>
          <w:rFonts w:ascii="方正仿宋_GB2312" w:hAnsi="方正仿宋_GB2312" w:eastAsia="方正仿宋_GB2312" w:cs="方正仿宋_GB2312"/>
          <w:highlight w:val="none"/>
          <w:lang w:eastAsia="zh-CN" w:bidi="ar-SA"/>
        </w:rPr>
        <w:drawing>
          <wp:inline distT="0" distB="0" distL="0" distR="0">
            <wp:extent cx="1164590" cy="2264410"/>
            <wp:effectExtent l="0" t="0" r="16510" b="2540"/>
            <wp:docPr id="37" name="图片 25" descr="ef7662c6c9b26e754f0be90b3b2f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5" descr="ef7662c6c9b26e754f0be90b3b2f239"/>
                    <pic:cNvPicPr>
                      <a:picLocks noChangeAspect="1" noChangeArrowheads="1"/>
                    </pic:cNvPicPr>
                  </pic:nvPicPr>
                  <pic:blipFill>
                    <a:blip r:embed="rId43"/>
                    <a:srcRect b="10043"/>
                    <a:stretch>
                      <a:fillRect/>
                    </a:stretch>
                  </pic:blipFill>
                  <pic:spPr>
                    <a:xfrm>
                      <a:off x="0" y="0"/>
                      <a:ext cx="1164590" cy="2264410"/>
                    </a:xfrm>
                    <a:prstGeom prst="rect">
                      <a:avLst/>
                    </a:prstGeom>
                    <a:noFill/>
                    <a:ln w="9525">
                      <a:noFill/>
                      <a:miter lim="800000"/>
                      <a:headEnd/>
                      <a:tailEnd/>
                    </a:ln>
                  </pic:spPr>
                </pic:pic>
              </a:graphicData>
            </a:graphic>
          </wp:inline>
        </w:drawing>
      </w:r>
    </w:p>
    <w:p>
      <w:pPr>
        <w:jc w:val="center"/>
        <w:rPr>
          <w:highlight w:val="none"/>
          <w:lang w:eastAsia="zh-CN"/>
        </w:rPr>
      </w:pPr>
      <w:r>
        <w:rPr>
          <w:rFonts w:hint="eastAsia" w:ascii="方正仿宋_GB2312" w:hAnsi="方正仿宋_GB2312" w:eastAsia="方正仿宋_GB2312" w:cs="方正仿宋_GB2312"/>
          <w:sz w:val="18"/>
          <w:szCs w:val="18"/>
          <w:highlight w:val="none"/>
          <w:lang w:eastAsia="zh-CN"/>
        </w:rPr>
        <w:t>开票申请成功页。</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Tahoma">
    <w:panose1 w:val="020B0604030504040204"/>
    <w:charset w:val="00"/>
    <w:family w:val="auto"/>
    <w:pitch w:val="default"/>
    <w:sig w:usb0="E1002EFF" w:usb1="C000605B" w:usb2="00000029" w:usb3="00000000" w:csb0="200101FF" w:csb1="20280000"/>
  </w:font>
  <w:font w:name="Calibri Light">
    <w:panose1 w:val="020F0302020204030204"/>
    <w:charset w:val="00"/>
    <w:family w:val="auto"/>
    <w:pitch w:val="default"/>
    <w:sig w:usb0="E0002AFF" w:usb1="C000247B" w:usb2="00000009" w:usb3="00000000" w:csb0="200001FF" w:csb1="00000000"/>
  </w:font>
  <w:font w:name="方正小标宋_GBK">
    <w:panose1 w:val="03000509000000000000"/>
    <w:charset w:val="86"/>
    <w:family w:val="script"/>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00" w:usb3="00000000" w:csb0="00040000" w:csb1="00000000"/>
  </w:font>
  <w:font w:name="方正仿宋_GB2312">
    <w:altName w:val="仿宋"/>
    <w:panose1 w:val="00000000000000000000"/>
    <w:charset w:val="86"/>
    <w:family w:val="auto"/>
    <w:pitch w:val="default"/>
    <w:sig w:usb0="00000000" w:usb1="00000000" w:usb2="00000000" w:usb3="00000000" w:csb0="0004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line="14" w:lineRule="auto"/>
      <w:ind w:firstLine="240"/>
      <w:rPr>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fldChar w:fldCharType="begin"/>
    </w:r>
    <w:r>
      <w:instrText xml:space="preserve"> PAGE   \* MERGEFORMAT </w:instrText>
    </w:r>
    <w:r>
      <w:fldChar w:fldCharType="separate"/>
    </w:r>
    <w:r>
      <w:rPr>
        <w:lang w:val="zh-CN"/>
      </w:rPr>
      <w:t>18</w:t>
    </w:r>
    <w:r>
      <w:rPr>
        <w:lang w:val="zh-CN"/>
      </w:rPr>
      <w:fldChar w:fldCharType="end"/>
    </w:r>
  </w:p>
  <w:p>
    <w:pPr>
      <w:pStyle w:val="14"/>
      <w:ind w:firstLine="360"/>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right="990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p>
    <w:pPr>
      <w:ind w:firstLine="420"/>
    </w:pPr>
  </w:p>
  <w:p>
    <w:pPr>
      <w:ind w:firstLine="420"/>
    </w:pPr>
  </w:p>
  <w:p>
    <w:pPr>
      <w:ind w:firstLine="420"/>
    </w:pPr>
  </w:p>
  <w:p>
    <w:pPr>
      <w:ind w:firstLine="420"/>
    </w:pPr>
  </w:p>
  <w:p>
    <w:pPr>
      <w:ind w:firstLine="42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ind w:firstLine="360"/>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0FAF7C5"/>
    <w:multiLevelType w:val="singleLevel"/>
    <w:tmpl w:val="B0FAF7C5"/>
    <w:lvl w:ilvl="0" w:tentative="0">
      <w:start w:val="2"/>
      <w:numFmt w:val="decimal"/>
      <w:lvlText w:val="%1."/>
      <w:lvlJc w:val="left"/>
      <w:pPr>
        <w:tabs>
          <w:tab w:val="left" w:pos="312"/>
        </w:tabs>
      </w:pPr>
    </w:lvl>
  </w:abstractNum>
  <w:abstractNum w:abstractNumId="1">
    <w:nsid w:val="B6C9DAFC"/>
    <w:multiLevelType w:val="singleLevel"/>
    <w:tmpl w:val="B6C9DAFC"/>
    <w:lvl w:ilvl="0" w:tentative="0">
      <w:start w:val="1"/>
      <w:numFmt w:val="decimal"/>
      <w:lvlText w:val="%1."/>
      <w:lvlJc w:val="left"/>
      <w:pPr>
        <w:tabs>
          <w:tab w:val="left" w:pos="312"/>
        </w:tabs>
      </w:pPr>
    </w:lvl>
  </w:abstractNum>
  <w:abstractNum w:abstractNumId="2">
    <w:nsid w:val="07AF658A"/>
    <w:multiLevelType w:val="multilevel"/>
    <w:tmpl w:val="07AF658A"/>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7D139DB"/>
    <w:rsid w:val="054F16E7"/>
    <w:rsid w:val="19EF34BF"/>
    <w:rsid w:val="35AC2640"/>
    <w:rsid w:val="394673AE"/>
    <w:rsid w:val="43087D04"/>
    <w:rsid w:val="52062068"/>
    <w:rsid w:val="77D139DB"/>
    <w:rsid w:val="7C2E32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9" w:semiHidden="0" w:name="heading 4"/>
    <w:lsdException w:qFormat="1" w:uiPriority="9"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qFormat="1" w:uiPriority="99"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7">
    <w:name w:val="heading 3"/>
    <w:basedOn w:val="1"/>
    <w:next w:val="1"/>
    <w:qFormat/>
    <w:uiPriority w:val="0"/>
    <w:pPr>
      <w:autoSpaceDE w:val="0"/>
      <w:autoSpaceDN w:val="0"/>
      <w:ind w:left="866" w:hanging="489"/>
      <w:outlineLvl w:val="2"/>
    </w:pPr>
    <w:rPr>
      <w:rFonts w:ascii="宋体" w:hAnsi="宋体"/>
      <w:sz w:val="28"/>
      <w:szCs w:val="28"/>
      <w:lang w:val="zh-CN"/>
    </w:rPr>
  </w:style>
  <w:style w:type="paragraph" w:styleId="8">
    <w:name w:val="heading 4"/>
    <w:basedOn w:val="1"/>
    <w:next w:val="1"/>
    <w:unhideWhenUsed/>
    <w:qFormat/>
    <w:uiPriority w:val="9"/>
    <w:pPr>
      <w:spacing w:after="0" w:line="271" w:lineRule="auto"/>
      <w:outlineLvl w:val="3"/>
    </w:pPr>
    <w:rPr>
      <w:b/>
      <w:bCs/>
      <w:spacing w:val="5"/>
      <w:sz w:val="24"/>
      <w:szCs w:val="24"/>
    </w:rPr>
  </w:style>
  <w:style w:type="paragraph" w:styleId="9">
    <w:name w:val="heading 5"/>
    <w:basedOn w:val="1"/>
    <w:next w:val="1"/>
    <w:semiHidden/>
    <w:unhideWhenUsed/>
    <w:qFormat/>
    <w:uiPriority w:val="9"/>
    <w:pPr>
      <w:keepNext/>
      <w:keepLines/>
      <w:spacing w:before="280" w:after="290" w:line="376" w:lineRule="auto"/>
      <w:outlineLvl w:val="4"/>
    </w:pPr>
    <w:rPr>
      <w:rFonts w:ascii="Times New Roman" w:hAnsi="Times New Roman"/>
      <w:b/>
      <w:bCs/>
      <w:sz w:val="28"/>
      <w:szCs w:val="28"/>
    </w:rPr>
  </w:style>
  <w:style w:type="character" w:default="1" w:styleId="19">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5"/>
    <w:qFormat/>
    <w:uiPriority w:val="0"/>
    <w:pPr>
      <w:ind w:left="0" w:leftChars="0" w:firstLine="420"/>
    </w:pPr>
    <w:rPr>
      <w:rFonts w:ascii="Times New Roman" w:hAnsi="Times New Roman"/>
      <w:szCs w:val="24"/>
    </w:rPr>
  </w:style>
  <w:style w:type="paragraph" w:styleId="3">
    <w:name w:val="Body Text Indent"/>
    <w:basedOn w:val="1"/>
    <w:next w:val="4"/>
    <w:unhideWhenUsed/>
    <w:qFormat/>
    <w:uiPriority w:val="0"/>
    <w:pPr>
      <w:spacing w:after="120"/>
      <w:ind w:left="420" w:leftChars="200"/>
    </w:pPr>
  </w:style>
  <w:style w:type="paragraph" w:styleId="4">
    <w:name w:val="envelope return"/>
    <w:basedOn w:val="1"/>
    <w:qFormat/>
    <w:uiPriority w:val="99"/>
    <w:pPr>
      <w:snapToGrid w:val="0"/>
    </w:pPr>
    <w:rPr>
      <w:rFonts w:ascii="Arial" w:hAnsi="Arial" w:cs="Arial"/>
    </w:rPr>
  </w:style>
  <w:style w:type="paragraph" w:customStyle="1" w:styleId="5">
    <w:name w:val="表格文字"/>
    <w:basedOn w:val="6"/>
    <w:next w:val="1"/>
    <w:qFormat/>
    <w:uiPriority w:val="0"/>
    <w:pPr>
      <w:ind w:firstLine="0" w:firstLineChars="0"/>
      <w:jc w:val="center"/>
    </w:pPr>
    <w:rPr>
      <w:szCs w:val="20"/>
    </w:rPr>
  </w:style>
  <w:style w:type="paragraph" w:styleId="6">
    <w:name w:val="List"/>
    <w:basedOn w:val="1"/>
    <w:qFormat/>
    <w:uiPriority w:val="0"/>
    <w:pPr>
      <w:ind w:left="200" w:hanging="200" w:hangingChars="200"/>
      <w:contextualSpacing/>
    </w:pPr>
  </w:style>
  <w:style w:type="paragraph" w:styleId="10">
    <w:name w:val="Normal Indent"/>
    <w:basedOn w:val="1"/>
    <w:next w:val="11"/>
    <w:qFormat/>
    <w:uiPriority w:val="0"/>
    <w:pPr>
      <w:ind w:firstLine="420"/>
    </w:pPr>
    <w:rPr>
      <w:rFonts w:ascii="Times New Roman" w:hAnsi="Times New Roman"/>
      <w:szCs w:val="24"/>
    </w:rPr>
  </w:style>
  <w:style w:type="paragraph" w:styleId="11">
    <w:name w:val="Body Text"/>
    <w:basedOn w:val="1"/>
    <w:qFormat/>
    <w:uiPriority w:val="0"/>
    <w:pPr>
      <w:spacing w:after="120"/>
    </w:pPr>
    <w:rPr>
      <w:rFonts w:ascii="Times New Roman" w:hAnsi="Times New Roman"/>
      <w:szCs w:val="24"/>
    </w:rPr>
  </w:style>
  <w:style w:type="paragraph" w:styleId="12">
    <w:name w:val="Document Map"/>
    <w:basedOn w:val="1"/>
    <w:qFormat/>
    <w:uiPriority w:val="0"/>
    <w:rPr>
      <w:rFonts w:ascii="Tahoma" w:hAnsi="Tahoma"/>
      <w:sz w:val="16"/>
      <w:szCs w:val="16"/>
    </w:rPr>
  </w:style>
  <w:style w:type="paragraph" w:styleId="13">
    <w:name w:val="annotation text"/>
    <w:basedOn w:val="1"/>
    <w:unhideWhenUsed/>
    <w:qFormat/>
    <w:uiPriority w:val="0"/>
    <w:rPr>
      <w:rFonts w:ascii="Times New Roman" w:hAnsi="Times New Roman"/>
      <w:szCs w:val="24"/>
    </w:rPr>
  </w:style>
  <w:style w:type="paragraph" w:styleId="14">
    <w:name w:val="footer"/>
    <w:basedOn w:val="1"/>
    <w:unhideWhenUsed/>
    <w:qFormat/>
    <w:uiPriority w:val="99"/>
    <w:pPr>
      <w:tabs>
        <w:tab w:val="center" w:pos="4153"/>
        <w:tab w:val="right" w:pos="8306"/>
      </w:tabs>
      <w:snapToGrid w:val="0"/>
      <w:jc w:val="left"/>
    </w:pPr>
    <w:rPr>
      <w:sz w:val="18"/>
      <w:szCs w:val="18"/>
    </w:rPr>
  </w:style>
  <w:style w:type="paragraph" w:styleId="15">
    <w:name w:val="header"/>
    <w:basedOn w:val="1"/>
    <w:unhideWhenUsed/>
    <w:qFormat/>
    <w:uiPriority w:val="0"/>
    <w:pPr>
      <w:pBdr>
        <w:bottom w:val="single" w:color="auto" w:sz="6" w:space="1"/>
      </w:pBdr>
      <w:tabs>
        <w:tab w:val="center" w:pos="4153"/>
        <w:tab w:val="right" w:pos="8306"/>
      </w:tabs>
      <w:snapToGrid w:val="0"/>
      <w:jc w:val="center"/>
    </w:pPr>
    <w:rPr>
      <w:sz w:val="18"/>
      <w:szCs w:val="18"/>
    </w:rPr>
  </w:style>
  <w:style w:type="paragraph" w:styleId="16">
    <w:name w:val="Body Text 2"/>
    <w:basedOn w:val="1"/>
    <w:semiHidden/>
    <w:unhideWhenUsed/>
    <w:qFormat/>
    <w:uiPriority w:val="99"/>
    <w:pPr>
      <w:spacing w:after="120" w:line="480" w:lineRule="auto"/>
    </w:pPr>
  </w:style>
  <w:style w:type="paragraph" w:styleId="17">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character" w:styleId="20">
    <w:name w:val="Hyperlink"/>
    <w:qFormat/>
    <w:uiPriority w:val="99"/>
    <w:rPr>
      <w:color w:val="0000FF"/>
      <w:u w:val="single"/>
    </w:rPr>
  </w:style>
  <w:style w:type="paragraph" w:styleId="21">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9" Type="http://schemas.openxmlformats.org/officeDocument/2006/relationships/fontTable" Target="fontTable.xml"/><Relationship Id="rId48" Type="http://schemas.openxmlformats.org/officeDocument/2006/relationships/numbering" Target="numbering.xml"/><Relationship Id="rId47" Type="http://schemas.openxmlformats.org/officeDocument/2006/relationships/image" Target="media/image32.jpeg"/><Relationship Id="rId46" Type="http://schemas.openxmlformats.org/officeDocument/2006/relationships/image" Target="media/image31.png"/><Relationship Id="rId45" Type="http://schemas.openxmlformats.org/officeDocument/2006/relationships/image" Target="media/image30.png"/><Relationship Id="rId44" Type="http://schemas.openxmlformats.org/officeDocument/2006/relationships/image" Target="media/image29.png"/><Relationship Id="rId43" Type="http://schemas.openxmlformats.org/officeDocument/2006/relationships/image" Target="media/image28.jpeg"/><Relationship Id="rId42" Type="http://schemas.openxmlformats.org/officeDocument/2006/relationships/image" Target="media/image27.png"/><Relationship Id="rId41" Type="http://schemas.openxmlformats.org/officeDocument/2006/relationships/image" Target="media/image26.jpeg"/><Relationship Id="rId40" Type="http://schemas.openxmlformats.org/officeDocument/2006/relationships/image" Target="media/image25.jpeg"/><Relationship Id="rId4" Type="http://schemas.openxmlformats.org/officeDocument/2006/relationships/header" Target="header2.xml"/><Relationship Id="rId39" Type="http://schemas.openxmlformats.org/officeDocument/2006/relationships/image" Target="media/image24.png"/><Relationship Id="rId38" Type="http://schemas.openxmlformats.org/officeDocument/2006/relationships/image" Target="media/image23.png"/><Relationship Id="rId37" Type="http://schemas.openxmlformats.org/officeDocument/2006/relationships/image" Target="media/image22.png"/><Relationship Id="rId36" Type="http://schemas.openxmlformats.org/officeDocument/2006/relationships/image" Target="media/image21.jpeg"/><Relationship Id="rId35" Type="http://schemas.openxmlformats.org/officeDocument/2006/relationships/image" Target="media/image20.jpeg"/><Relationship Id="rId34" Type="http://schemas.openxmlformats.org/officeDocument/2006/relationships/image" Target="media/image19.jpeg"/><Relationship Id="rId33" Type="http://schemas.openxmlformats.org/officeDocument/2006/relationships/image" Target="media/image18.jpeg"/><Relationship Id="rId32" Type="http://schemas.openxmlformats.org/officeDocument/2006/relationships/image" Target="media/image17.jpeg"/><Relationship Id="rId31" Type="http://schemas.openxmlformats.org/officeDocument/2006/relationships/image" Target="media/image16.jpeg"/><Relationship Id="rId30" Type="http://schemas.openxmlformats.org/officeDocument/2006/relationships/image" Target="media/image15.jpeg"/><Relationship Id="rId3" Type="http://schemas.openxmlformats.org/officeDocument/2006/relationships/header" Target="header1.xml"/><Relationship Id="rId29" Type="http://schemas.openxmlformats.org/officeDocument/2006/relationships/image" Target="media/image14.png"/><Relationship Id="rId28" Type="http://schemas.openxmlformats.org/officeDocument/2006/relationships/image" Target="media/image13.jpe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26</Pages>
  <Words>0</Words>
  <Characters>0</Characters>
  <Lines>0</Lines>
  <Paragraphs>0</Paragraphs>
  <TotalTime>2</TotalTime>
  <ScaleCrop>false</ScaleCrop>
  <LinksUpToDate>false</LinksUpToDate>
  <CharactersWithSpaces>0</CharactersWithSpaces>
  <Application>WPS Office_11.8.2.12309_F1E327BC-269C-435d-A152-05C5408002CA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2025-06-17T06:24:00Z</dcterms:created>
  <dc:creator>我管你</dc:creator>
  <cp:lastModifiedBy>user</cp:lastModifiedBy>
  <dcterms:modified xsi:type="dcterms:W3CDTF">2025-07-09T01:05:05Z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2052-11.8.2.12309</vt:lpwstr>
  </property>
  <property fmtid="{D5CDD505-2E9C-101B-9397-08002B2CF9AE}" pid="3" name="ICV">
    <vt:lpwstr>12678803D5F24EC7BBAE5184C2C41A55</vt:lpwstr>
  </property>
</Properties>
</file>