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04E16">
      <w:pPr>
        <w:spacing w:before="480" w:beforeLines="200" w:line="360" w:lineRule="auto"/>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eastAsia="zh-CN"/>
        </w:rPr>
        <w:t>云南监狱项目管理系统建设项目</w:t>
      </w:r>
    </w:p>
    <w:p w14:paraId="0CC98576">
      <w:pPr>
        <w:spacing w:before="480" w:beforeLines="200" w:line="360" w:lineRule="auto"/>
        <w:jc w:val="center"/>
        <w:rPr>
          <w:rFonts w:ascii="宋体" w:hAnsi="宋体" w:cs="宋体"/>
          <w:b/>
          <w:bCs/>
          <w:color w:val="auto"/>
          <w:sz w:val="28"/>
          <w:szCs w:val="28"/>
        </w:rPr>
      </w:pPr>
    </w:p>
    <w:p w14:paraId="6F4204D0">
      <w:pPr>
        <w:spacing w:before="480" w:beforeLines="200" w:line="360" w:lineRule="auto"/>
        <w:jc w:val="center"/>
        <w:rPr>
          <w:rFonts w:ascii="宋体" w:hAnsi="宋体" w:cs="宋体"/>
          <w:b/>
          <w:bCs/>
          <w:color w:val="auto"/>
          <w:sz w:val="28"/>
          <w:szCs w:val="28"/>
        </w:rPr>
      </w:pPr>
    </w:p>
    <w:p w14:paraId="2D4BE678">
      <w:pPr>
        <w:spacing w:line="360" w:lineRule="auto"/>
        <w:jc w:val="center"/>
        <w:rPr>
          <w:rFonts w:ascii="宋体" w:hAnsi="宋体" w:cs="宋体"/>
          <w:color w:val="auto"/>
        </w:rPr>
      </w:pPr>
      <w:r>
        <w:rPr>
          <w:rFonts w:hint="eastAsia" w:ascii="宋体" w:hAnsi="宋体" w:cs="宋体"/>
          <w:b/>
          <w:color w:val="auto"/>
          <w:sz w:val="96"/>
          <w:szCs w:val="84"/>
        </w:rPr>
        <w:t>招 标 文 件</w:t>
      </w:r>
    </w:p>
    <w:p w14:paraId="5E009A11">
      <w:pPr>
        <w:spacing w:before="480" w:beforeLines="200" w:line="360" w:lineRule="auto"/>
        <w:jc w:val="center"/>
        <w:rPr>
          <w:rFonts w:hint="eastAsia" w:ascii="宋体" w:hAnsi="宋体" w:eastAsia="宋体" w:cs="宋体"/>
          <w:b/>
          <w:bCs/>
          <w:color w:val="auto"/>
          <w:sz w:val="28"/>
          <w:szCs w:val="28"/>
          <w:lang w:eastAsia="zh-CN"/>
        </w:rPr>
      </w:pPr>
      <w:bookmarkStart w:id="0" w:name="_Toc14712"/>
      <w:bookmarkStart w:id="1" w:name="_Toc22856"/>
      <w:bookmarkStart w:id="2" w:name="_Toc23819"/>
      <w:r>
        <w:rPr>
          <w:rFonts w:hint="eastAsia" w:ascii="宋体" w:hAnsi="宋体" w:cs="宋体"/>
          <w:b/>
          <w:bCs/>
          <w:color w:val="auto"/>
          <w:sz w:val="28"/>
          <w:szCs w:val="28"/>
        </w:rPr>
        <w:t>项目编号：</w:t>
      </w:r>
      <w:bookmarkEnd w:id="0"/>
      <w:bookmarkEnd w:id="1"/>
      <w:bookmarkEnd w:id="2"/>
      <w:r>
        <w:rPr>
          <w:rFonts w:hint="eastAsia" w:ascii="宋体" w:hAnsi="宋体" w:cs="宋体"/>
          <w:b/>
          <w:bCs/>
          <w:color w:val="auto"/>
          <w:sz w:val="28"/>
          <w:szCs w:val="28"/>
          <w:lang w:eastAsia="zh-CN"/>
        </w:rPr>
        <w:t>YNZC2025-G3-07926-YNGR-0452</w:t>
      </w:r>
    </w:p>
    <w:p w14:paraId="05FE0A03">
      <w:pPr>
        <w:spacing w:before="480" w:beforeLines="200" w:line="360" w:lineRule="auto"/>
        <w:jc w:val="center"/>
        <w:outlineLvl w:val="0"/>
        <w:rPr>
          <w:rFonts w:ascii="宋体" w:hAnsi="宋体" w:cs="宋体"/>
          <w:b/>
          <w:bCs/>
          <w:color w:val="auto"/>
          <w:sz w:val="28"/>
          <w:szCs w:val="28"/>
        </w:rPr>
      </w:pPr>
      <w:bookmarkStart w:id="3" w:name="_Toc15767"/>
    </w:p>
    <w:p w14:paraId="23909CDA">
      <w:pPr>
        <w:spacing w:before="480" w:beforeLines="200" w:line="360" w:lineRule="auto"/>
        <w:jc w:val="center"/>
        <w:outlineLvl w:val="0"/>
        <w:rPr>
          <w:rFonts w:ascii="宋体" w:hAnsi="宋体" w:cs="宋体"/>
          <w:b/>
          <w:bCs/>
          <w:color w:val="auto"/>
          <w:sz w:val="28"/>
          <w:szCs w:val="28"/>
        </w:rPr>
      </w:pPr>
    </w:p>
    <w:p w14:paraId="514C572D">
      <w:pPr>
        <w:pStyle w:val="2"/>
        <w:rPr>
          <w:rFonts w:ascii="宋体" w:hAnsi="宋体" w:cs="宋体"/>
          <w:b/>
          <w:bCs/>
          <w:color w:val="auto"/>
          <w:sz w:val="28"/>
          <w:szCs w:val="28"/>
        </w:rPr>
      </w:pPr>
    </w:p>
    <w:p w14:paraId="26C7D839">
      <w:pPr>
        <w:pStyle w:val="3"/>
        <w:rPr>
          <w:rFonts w:ascii="宋体" w:hAnsi="宋体" w:cs="宋体"/>
          <w:b/>
          <w:bCs/>
          <w:color w:val="auto"/>
          <w:sz w:val="28"/>
          <w:szCs w:val="28"/>
        </w:rPr>
      </w:pPr>
    </w:p>
    <w:p w14:paraId="533A8373">
      <w:pPr>
        <w:rPr>
          <w:rFonts w:ascii="宋体" w:hAnsi="宋体" w:cs="宋体"/>
          <w:b/>
          <w:bCs/>
          <w:color w:val="auto"/>
          <w:sz w:val="28"/>
          <w:szCs w:val="28"/>
        </w:rPr>
      </w:pPr>
    </w:p>
    <w:p w14:paraId="5CAE8A19">
      <w:pPr>
        <w:pStyle w:val="2"/>
      </w:pPr>
    </w:p>
    <w:p w14:paraId="1E4CACC5">
      <w:pPr>
        <w:spacing w:before="480" w:beforeLines="200" w:line="360" w:lineRule="auto"/>
        <w:jc w:val="center"/>
        <w:outlineLvl w:val="0"/>
        <w:rPr>
          <w:rFonts w:hint="eastAsia" w:ascii="宋体" w:hAnsi="宋体" w:eastAsia="宋体" w:cs="宋体"/>
          <w:b/>
          <w:bCs/>
          <w:color w:val="auto"/>
          <w:sz w:val="28"/>
          <w:szCs w:val="28"/>
          <w:lang w:eastAsia="zh-CN"/>
        </w:rPr>
      </w:pPr>
      <w:bookmarkStart w:id="4" w:name="_Toc31568"/>
      <w:bookmarkStart w:id="5" w:name="_Toc21863"/>
      <w:bookmarkStart w:id="6" w:name="_Toc8129"/>
      <w:r>
        <w:rPr>
          <w:rFonts w:hint="eastAsia" w:ascii="宋体" w:hAnsi="宋体" w:cs="宋体"/>
          <w:b/>
          <w:bCs/>
          <w:color w:val="auto"/>
          <w:sz w:val="28"/>
          <w:szCs w:val="28"/>
        </w:rPr>
        <w:t>采购人：</w:t>
      </w:r>
      <w:bookmarkEnd w:id="3"/>
      <w:bookmarkEnd w:id="4"/>
      <w:bookmarkEnd w:id="5"/>
      <w:bookmarkEnd w:id="6"/>
      <w:r>
        <w:rPr>
          <w:rFonts w:hint="eastAsia" w:ascii="宋体" w:hAnsi="宋体" w:cs="宋体"/>
          <w:b/>
          <w:bCs/>
          <w:color w:val="auto"/>
          <w:sz w:val="28"/>
          <w:szCs w:val="28"/>
          <w:lang w:eastAsia="zh-CN"/>
        </w:rPr>
        <w:t>云南省监狱管理局</w:t>
      </w:r>
    </w:p>
    <w:p w14:paraId="0A8B9207">
      <w:pPr>
        <w:spacing w:before="240" w:beforeLines="100" w:line="360" w:lineRule="auto"/>
        <w:jc w:val="center"/>
        <w:outlineLvl w:val="0"/>
        <w:rPr>
          <w:rFonts w:ascii="宋体" w:hAnsi="宋体" w:cs="宋体"/>
          <w:b/>
          <w:bCs/>
          <w:color w:val="auto"/>
          <w:sz w:val="28"/>
          <w:szCs w:val="28"/>
        </w:rPr>
      </w:pPr>
      <w:bookmarkStart w:id="7" w:name="_Toc137"/>
      <w:bookmarkStart w:id="8" w:name="_Toc26252"/>
      <w:bookmarkStart w:id="9" w:name="_Toc10623"/>
      <w:bookmarkStart w:id="10" w:name="_Toc4007"/>
      <w:r>
        <w:rPr>
          <w:rFonts w:hint="eastAsia" w:ascii="宋体" w:hAnsi="宋体" w:cs="宋体"/>
          <w:b/>
          <w:color w:val="auto"/>
          <w:sz w:val="28"/>
          <w:szCs w:val="28"/>
        </w:rPr>
        <w:t>采购代理机构：</w:t>
      </w:r>
      <w:bookmarkEnd w:id="7"/>
      <w:r>
        <w:rPr>
          <w:rFonts w:hint="eastAsia" w:ascii="宋体" w:hAnsi="宋体" w:cs="宋体"/>
          <w:b/>
          <w:bCs/>
          <w:color w:val="auto"/>
          <w:sz w:val="28"/>
          <w:szCs w:val="28"/>
        </w:rPr>
        <w:t>云南冠睿咨询有限公司</w:t>
      </w:r>
      <w:bookmarkEnd w:id="8"/>
      <w:bookmarkEnd w:id="9"/>
      <w:bookmarkEnd w:id="10"/>
    </w:p>
    <w:p w14:paraId="2B43D7B7">
      <w:pPr>
        <w:spacing w:before="240" w:beforeLines="100" w:line="360" w:lineRule="auto"/>
        <w:jc w:val="center"/>
        <w:rPr>
          <w:rFonts w:ascii="宋体" w:hAnsi="宋体" w:cs="宋体"/>
          <w:color w:val="auto"/>
          <w:sz w:val="38"/>
          <w:szCs w:val="24"/>
        </w:rPr>
      </w:pPr>
      <w:r>
        <w:rPr>
          <w:rFonts w:hint="eastAsia" w:ascii="宋体" w:hAnsi="宋体" w:cs="宋体"/>
          <w:b/>
          <w:bCs/>
          <w:color w:val="auto"/>
          <w:spacing w:val="20"/>
          <w:sz w:val="28"/>
          <w:szCs w:val="28"/>
        </w:rPr>
        <w:t>2025年</w:t>
      </w:r>
      <w:r>
        <w:rPr>
          <w:rFonts w:hint="eastAsia" w:ascii="宋体" w:hAnsi="宋体" w:cs="宋体"/>
          <w:b/>
          <w:bCs/>
          <w:color w:val="auto"/>
          <w:spacing w:val="20"/>
          <w:sz w:val="28"/>
          <w:szCs w:val="28"/>
          <w:lang w:val="en-US" w:eastAsia="zh-CN"/>
        </w:rPr>
        <w:t>12</w:t>
      </w:r>
      <w:r>
        <w:rPr>
          <w:rFonts w:hint="eastAsia" w:ascii="宋体" w:hAnsi="宋体" w:cs="宋体"/>
          <w:b/>
          <w:bCs/>
          <w:color w:val="auto"/>
          <w:spacing w:val="20"/>
          <w:sz w:val="28"/>
          <w:szCs w:val="28"/>
        </w:rPr>
        <w:t>月</w:t>
      </w:r>
      <w:bookmarkStart w:id="11" w:name="_Toc25875"/>
    </w:p>
    <w:p w14:paraId="5B0DFAF9">
      <w:pPr>
        <w:rPr>
          <w:rFonts w:ascii="宋体" w:hAnsi="宋体" w:cs="宋体"/>
          <w:color w:val="auto"/>
          <w:sz w:val="22"/>
          <w:szCs w:val="21"/>
        </w:rPr>
      </w:pPr>
      <w:r>
        <w:rPr>
          <w:rFonts w:ascii="宋体" w:hAnsi="宋体" w:cs="宋体"/>
          <w:color w:val="auto"/>
          <w:sz w:val="22"/>
          <w:szCs w:val="21"/>
        </w:rPr>
        <w:br w:type="page"/>
      </w:r>
    </w:p>
    <w:sdt>
      <w:sdtPr>
        <w:rPr>
          <w:rFonts w:ascii="宋体" w:hAnsi="宋体"/>
          <w:bCs/>
          <w:color w:val="auto"/>
          <w:spacing w:val="0"/>
          <w:kern w:val="2"/>
          <w:sz w:val="36"/>
          <w:szCs w:val="32"/>
        </w:rPr>
        <w:id w:val="147460261"/>
        <w15:color w:val="DBDBDB"/>
        <w:docPartObj>
          <w:docPartGallery w:val="Table of Contents"/>
          <w:docPartUnique/>
        </w:docPartObj>
      </w:sdtPr>
      <w:sdtEndPr>
        <w:rPr>
          <w:rFonts w:ascii="宋体" w:hAnsi="宋体"/>
          <w:bCs/>
          <w:color w:val="auto"/>
          <w:spacing w:val="0"/>
          <w:kern w:val="2"/>
          <w:sz w:val="36"/>
          <w:szCs w:val="32"/>
        </w:rPr>
      </w:sdtEndPr>
      <w:sdtContent>
        <w:p w14:paraId="27D614E0">
          <w:pPr>
            <w:pStyle w:val="4"/>
            <w:spacing w:line="360" w:lineRule="auto"/>
            <w:rPr>
              <w:color w:val="auto"/>
            </w:rPr>
          </w:pPr>
          <w:bookmarkStart w:id="12" w:name="_Toc6019"/>
          <w:r>
            <w:rPr>
              <w:rFonts w:ascii="宋体" w:hAnsi="宋体"/>
              <w:bCs/>
              <w:color w:val="auto"/>
              <w:sz w:val="36"/>
              <w:szCs w:val="32"/>
            </w:rPr>
            <w:t>目</w:t>
          </w:r>
          <w:r>
            <w:rPr>
              <w:rFonts w:hint="eastAsia" w:ascii="宋体" w:hAnsi="宋体"/>
              <w:bCs/>
              <w:color w:val="auto"/>
              <w:sz w:val="36"/>
              <w:szCs w:val="32"/>
            </w:rPr>
            <w:t xml:space="preserve"> </w:t>
          </w:r>
          <w:r>
            <w:rPr>
              <w:rFonts w:ascii="宋体" w:hAnsi="宋体"/>
              <w:bCs/>
              <w:color w:val="auto"/>
              <w:sz w:val="36"/>
              <w:szCs w:val="32"/>
            </w:rPr>
            <w:t>录</w:t>
          </w:r>
          <w:bookmarkEnd w:id="12"/>
          <w:r>
            <w:rPr>
              <w:color w:val="auto"/>
            </w:rPr>
            <w:fldChar w:fldCharType="begin"/>
          </w:r>
          <w:r>
            <w:rPr>
              <w:color w:val="auto"/>
            </w:rPr>
            <w:instrText xml:space="preserve">TOC \o "1-2" \h \u </w:instrText>
          </w:r>
          <w:r>
            <w:rPr>
              <w:color w:val="auto"/>
            </w:rPr>
            <w:fldChar w:fldCharType="separate"/>
          </w:r>
        </w:p>
        <w:p w14:paraId="6D0F2152">
          <w:pPr>
            <w:pStyle w:val="29"/>
            <w:tabs>
              <w:tab w:val="right" w:leader="dot" w:pos="8640"/>
              <w:tab w:val="clear" w:pos="9663"/>
            </w:tabs>
            <w:spacing w:line="360" w:lineRule="auto"/>
            <w:rPr>
              <w:rFonts w:ascii="宋体" w:hAnsi="宋体" w:cs="宋体"/>
              <w:b w:val="0"/>
              <w:bCs w:val="0"/>
              <w:color w:val="auto"/>
              <w:sz w:val="24"/>
              <w:szCs w:val="24"/>
            </w:rPr>
          </w:pPr>
          <w:r>
            <w:rPr>
              <w:color w:val="auto"/>
            </w:rPr>
            <w:fldChar w:fldCharType="begin"/>
          </w:r>
          <w:r>
            <w:rPr>
              <w:color w:val="auto"/>
            </w:rPr>
            <w:instrText xml:space="preserve"> HYPERLINK \l "_Toc12529" </w:instrText>
          </w:r>
          <w:r>
            <w:rPr>
              <w:color w:val="auto"/>
            </w:rPr>
            <w:fldChar w:fldCharType="separate"/>
          </w:r>
          <w:r>
            <w:rPr>
              <w:rFonts w:hint="eastAsia" w:ascii="宋体" w:hAnsi="宋体" w:cs="宋体"/>
              <w:b w:val="0"/>
              <w:bCs w:val="0"/>
              <w:color w:val="auto"/>
              <w:sz w:val="24"/>
              <w:szCs w:val="24"/>
            </w:rPr>
            <w:t>第一章 招标公告</w:t>
          </w:r>
          <w:r>
            <w:rPr>
              <w:rFonts w:hint="eastAsia" w:ascii="宋体" w:hAnsi="宋体" w:cs="宋体"/>
              <w:b w:val="0"/>
              <w:bCs w:val="0"/>
              <w:color w:val="auto"/>
              <w:sz w:val="24"/>
              <w:szCs w:val="24"/>
            </w:rPr>
            <w:tab/>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PAGEREF _Toc12529 \h </w:instrText>
          </w:r>
          <w:r>
            <w:rPr>
              <w:rFonts w:hint="eastAsia" w:ascii="宋体" w:hAnsi="宋体" w:cs="宋体"/>
              <w:b w:val="0"/>
              <w:bCs w:val="0"/>
              <w:color w:val="auto"/>
              <w:sz w:val="24"/>
              <w:szCs w:val="24"/>
            </w:rPr>
            <w:fldChar w:fldCharType="separate"/>
          </w:r>
          <w:r>
            <w:rPr>
              <w:rFonts w:hint="eastAsia" w:ascii="宋体" w:hAnsi="宋体" w:cs="宋体"/>
              <w:b w:val="0"/>
              <w:bCs w:val="0"/>
              <w:color w:val="auto"/>
              <w:sz w:val="24"/>
              <w:szCs w:val="24"/>
            </w:rPr>
            <w:t>1</w:t>
          </w:r>
          <w:r>
            <w:rPr>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fldChar w:fldCharType="end"/>
          </w:r>
        </w:p>
        <w:p w14:paraId="077A78D8">
          <w:pPr>
            <w:pStyle w:val="29"/>
            <w:tabs>
              <w:tab w:val="right" w:leader="dot" w:pos="8640"/>
              <w:tab w:val="clear" w:pos="9663"/>
            </w:tabs>
            <w:spacing w:line="360" w:lineRule="auto"/>
            <w:rPr>
              <w:rFonts w:ascii="宋体" w:hAnsi="宋体" w:cs="宋体"/>
              <w:b w:val="0"/>
              <w:bCs w:val="0"/>
              <w:color w:val="auto"/>
              <w:sz w:val="24"/>
              <w:szCs w:val="24"/>
            </w:rPr>
          </w:pPr>
          <w:r>
            <w:rPr>
              <w:color w:val="auto"/>
            </w:rPr>
            <w:fldChar w:fldCharType="begin"/>
          </w:r>
          <w:r>
            <w:rPr>
              <w:color w:val="auto"/>
            </w:rPr>
            <w:instrText xml:space="preserve"> HYPERLINK \l "_Toc22781" </w:instrText>
          </w:r>
          <w:r>
            <w:rPr>
              <w:color w:val="auto"/>
            </w:rPr>
            <w:fldChar w:fldCharType="separate"/>
          </w:r>
          <w:r>
            <w:rPr>
              <w:rFonts w:hint="eastAsia" w:ascii="宋体" w:hAnsi="宋体" w:cs="宋体"/>
              <w:b w:val="0"/>
              <w:bCs w:val="0"/>
              <w:color w:val="auto"/>
              <w:sz w:val="24"/>
              <w:szCs w:val="24"/>
            </w:rPr>
            <w:t>第二章投标人须知</w:t>
          </w:r>
          <w:r>
            <w:rPr>
              <w:rFonts w:hint="eastAsia" w:ascii="宋体" w:hAnsi="宋体" w:cs="宋体"/>
              <w:b w:val="0"/>
              <w:bCs w:val="0"/>
              <w:color w:val="auto"/>
              <w:sz w:val="24"/>
              <w:szCs w:val="24"/>
            </w:rPr>
            <w:tab/>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PAGEREF _Toc22781 \h </w:instrText>
          </w:r>
          <w:r>
            <w:rPr>
              <w:rFonts w:hint="eastAsia" w:ascii="宋体" w:hAnsi="宋体" w:cs="宋体"/>
              <w:b w:val="0"/>
              <w:bCs w:val="0"/>
              <w:color w:val="auto"/>
              <w:sz w:val="24"/>
              <w:szCs w:val="24"/>
            </w:rPr>
            <w:fldChar w:fldCharType="separate"/>
          </w:r>
          <w:r>
            <w:rPr>
              <w:rFonts w:hint="eastAsia" w:ascii="宋体" w:hAnsi="宋体" w:cs="宋体"/>
              <w:b w:val="0"/>
              <w:bCs w:val="0"/>
              <w:color w:val="auto"/>
              <w:sz w:val="24"/>
              <w:szCs w:val="24"/>
            </w:rPr>
            <w:t>6</w:t>
          </w:r>
          <w:r>
            <w:rPr>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fldChar w:fldCharType="end"/>
          </w:r>
        </w:p>
        <w:p w14:paraId="2E3E8C95">
          <w:pPr>
            <w:pStyle w:val="34"/>
            <w:tabs>
              <w:tab w:val="right" w:leader="dot" w:pos="8640"/>
            </w:tabs>
            <w:spacing w:line="360" w:lineRule="auto"/>
            <w:rPr>
              <w:rFonts w:ascii="宋体" w:hAnsi="宋体" w:cs="宋体"/>
              <w:color w:val="auto"/>
              <w:sz w:val="24"/>
              <w:szCs w:val="24"/>
            </w:rPr>
          </w:pPr>
          <w:r>
            <w:rPr>
              <w:color w:val="auto"/>
            </w:rPr>
            <w:fldChar w:fldCharType="begin"/>
          </w:r>
          <w:r>
            <w:rPr>
              <w:color w:val="auto"/>
            </w:rPr>
            <w:instrText xml:space="preserve"> HYPERLINK \l "_Toc17234" </w:instrText>
          </w:r>
          <w:r>
            <w:rPr>
              <w:color w:val="auto"/>
            </w:rPr>
            <w:fldChar w:fldCharType="separate"/>
          </w:r>
          <w:r>
            <w:rPr>
              <w:rFonts w:hint="eastAsia" w:ascii="宋体" w:hAnsi="宋体" w:cs="宋体"/>
              <w:color w:val="auto"/>
              <w:kern w:val="0"/>
              <w:sz w:val="24"/>
              <w:szCs w:val="24"/>
            </w:rPr>
            <w:t>投标人须知前附表</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_Toc17234 \h </w:instrText>
          </w:r>
          <w:r>
            <w:rPr>
              <w:rFonts w:hint="eastAsia" w:ascii="宋体" w:hAnsi="宋体" w:cs="宋体"/>
              <w:color w:val="auto"/>
              <w:sz w:val="24"/>
              <w:szCs w:val="24"/>
            </w:rPr>
            <w:fldChar w:fldCharType="separate"/>
          </w:r>
          <w:r>
            <w:rPr>
              <w:rFonts w:hint="eastAsia" w:ascii="宋体" w:hAnsi="宋体" w:cs="宋体"/>
              <w:color w:val="auto"/>
              <w:sz w:val="24"/>
              <w:szCs w:val="24"/>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C376751">
          <w:pPr>
            <w:pStyle w:val="29"/>
            <w:tabs>
              <w:tab w:val="right" w:leader="dot" w:pos="8640"/>
              <w:tab w:val="clear" w:pos="9663"/>
            </w:tabs>
            <w:spacing w:line="360" w:lineRule="auto"/>
            <w:rPr>
              <w:rFonts w:ascii="宋体" w:hAnsi="宋体" w:cs="宋体"/>
              <w:b w:val="0"/>
              <w:bCs w:val="0"/>
              <w:color w:val="auto"/>
              <w:sz w:val="24"/>
              <w:szCs w:val="24"/>
            </w:rPr>
          </w:pPr>
          <w:r>
            <w:rPr>
              <w:color w:val="auto"/>
            </w:rPr>
            <w:fldChar w:fldCharType="begin"/>
          </w:r>
          <w:r>
            <w:rPr>
              <w:color w:val="auto"/>
            </w:rPr>
            <w:instrText xml:space="preserve"> HYPERLINK \l "_Toc13322" </w:instrText>
          </w:r>
          <w:r>
            <w:rPr>
              <w:color w:val="auto"/>
            </w:rPr>
            <w:fldChar w:fldCharType="separate"/>
          </w:r>
          <w:r>
            <w:rPr>
              <w:rFonts w:hint="eastAsia" w:ascii="宋体" w:hAnsi="宋体" w:cs="宋体"/>
              <w:b w:val="0"/>
              <w:bCs w:val="0"/>
              <w:color w:val="auto"/>
              <w:sz w:val="24"/>
              <w:szCs w:val="24"/>
            </w:rPr>
            <w:t>第三章合同书样式及主要条款</w:t>
          </w:r>
          <w:r>
            <w:rPr>
              <w:rFonts w:hint="eastAsia" w:ascii="宋体" w:hAnsi="宋体" w:cs="宋体"/>
              <w:b w:val="0"/>
              <w:bCs w:val="0"/>
              <w:color w:val="auto"/>
              <w:sz w:val="24"/>
              <w:szCs w:val="24"/>
            </w:rPr>
            <w:tab/>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PAGEREF _Toc13322 \h </w:instrText>
          </w:r>
          <w:r>
            <w:rPr>
              <w:rFonts w:hint="eastAsia" w:ascii="宋体" w:hAnsi="宋体" w:cs="宋体"/>
              <w:b w:val="0"/>
              <w:bCs w:val="0"/>
              <w:color w:val="auto"/>
              <w:sz w:val="24"/>
              <w:szCs w:val="24"/>
            </w:rPr>
            <w:fldChar w:fldCharType="separate"/>
          </w:r>
          <w:r>
            <w:rPr>
              <w:rFonts w:hint="eastAsia" w:ascii="宋体" w:hAnsi="宋体" w:cs="宋体"/>
              <w:b w:val="0"/>
              <w:bCs w:val="0"/>
              <w:color w:val="auto"/>
              <w:sz w:val="24"/>
              <w:szCs w:val="24"/>
            </w:rPr>
            <w:t>29</w:t>
          </w:r>
          <w:r>
            <w:rPr>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fldChar w:fldCharType="end"/>
          </w:r>
        </w:p>
        <w:p w14:paraId="4560E752">
          <w:pPr>
            <w:pStyle w:val="34"/>
            <w:tabs>
              <w:tab w:val="right" w:leader="dot" w:pos="8640"/>
            </w:tabs>
            <w:spacing w:line="360" w:lineRule="auto"/>
            <w:rPr>
              <w:rFonts w:ascii="宋体" w:hAnsi="宋体" w:cs="宋体"/>
              <w:color w:val="auto"/>
              <w:sz w:val="24"/>
              <w:szCs w:val="24"/>
            </w:rPr>
          </w:pPr>
          <w:r>
            <w:rPr>
              <w:color w:val="auto"/>
            </w:rPr>
            <w:fldChar w:fldCharType="begin"/>
          </w:r>
          <w:r>
            <w:rPr>
              <w:color w:val="auto"/>
            </w:rPr>
            <w:instrText xml:space="preserve"> HYPERLINK \l "_Toc27642" </w:instrText>
          </w:r>
          <w:r>
            <w:rPr>
              <w:color w:val="auto"/>
            </w:rPr>
            <w:fldChar w:fldCharType="separate"/>
          </w:r>
          <w:r>
            <w:rPr>
              <w:rFonts w:hint="eastAsia" w:ascii="宋体" w:hAnsi="宋体" w:cs="宋体"/>
              <w:color w:val="auto"/>
              <w:sz w:val="24"/>
              <w:szCs w:val="24"/>
            </w:rPr>
            <w:t>合同条款前附表</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_Toc27642 \h </w:instrText>
          </w:r>
          <w:r>
            <w:rPr>
              <w:rFonts w:hint="eastAsia" w:ascii="宋体" w:hAnsi="宋体" w:cs="宋体"/>
              <w:color w:val="auto"/>
              <w:sz w:val="24"/>
              <w:szCs w:val="24"/>
            </w:rPr>
            <w:fldChar w:fldCharType="separate"/>
          </w:r>
          <w:r>
            <w:rPr>
              <w:rFonts w:hint="eastAsia" w:ascii="宋体" w:hAnsi="宋体" w:cs="宋体"/>
              <w:color w:val="auto"/>
              <w:sz w:val="24"/>
              <w:szCs w:val="24"/>
            </w:rPr>
            <w:t>29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F891D14">
          <w:pPr>
            <w:pStyle w:val="29"/>
            <w:tabs>
              <w:tab w:val="right" w:leader="dot" w:pos="8640"/>
              <w:tab w:val="clear" w:pos="9663"/>
            </w:tabs>
            <w:spacing w:line="360" w:lineRule="auto"/>
            <w:rPr>
              <w:rFonts w:ascii="宋体" w:hAnsi="宋体" w:cs="宋体"/>
              <w:b w:val="0"/>
              <w:bCs w:val="0"/>
              <w:color w:val="auto"/>
              <w:sz w:val="24"/>
              <w:szCs w:val="24"/>
            </w:rPr>
          </w:pPr>
          <w:r>
            <w:rPr>
              <w:color w:val="auto"/>
            </w:rPr>
            <w:fldChar w:fldCharType="begin"/>
          </w:r>
          <w:r>
            <w:rPr>
              <w:color w:val="auto"/>
            </w:rPr>
            <w:instrText xml:space="preserve"> HYPERLINK \l "_Toc29565" </w:instrText>
          </w:r>
          <w:r>
            <w:rPr>
              <w:color w:val="auto"/>
            </w:rPr>
            <w:fldChar w:fldCharType="separate"/>
          </w:r>
          <w:r>
            <w:rPr>
              <w:rFonts w:hint="eastAsia" w:ascii="宋体" w:hAnsi="宋体" w:cs="宋体"/>
              <w:b w:val="0"/>
              <w:bCs w:val="0"/>
              <w:color w:val="auto"/>
              <w:sz w:val="24"/>
              <w:szCs w:val="24"/>
            </w:rPr>
            <w:t>第四章 投标文件格式</w:t>
          </w:r>
          <w:r>
            <w:rPr>
              <w:rFonts w:hint="eastAsia" w:ascii="宋体" w:hAnsi="宋体" w:cs="宋体"/>
              <w:b w:val="0"/>
              <w:bCs w:val="0"/>
              <w:color w:val="auto"/>
              <w:sz w:val="24"/>
              <w:szCs w:val="24"/>
            </w:rPr>
            <w:tab/>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PAGEREF _Toc29565 \h </w:instrText>
          </w:r>
          <w:r>
            <w:rPr>
              <w:rFonts w:hint="eastAsia" w:ascii="宋体" w:hAnsi="宋体" w:cs="宋体"/>
              <w:b w:val="0"/>
              <w:bCs w:val="0"/>
              <w:color w:val="auto"/>
              <w:sz w:val="24"/>
              <w:szCs w:val="24"/>
            </w:rPr>
            <w:fldChar w:fldCharType="separate"/>
          </w:r>
          <w:r>
            <w:rPr>
              <w:rFonts w:hint="eastAsia" w:ascii="宋体" w:hAnsi="宋体" w:cs="宋体"/>
              <w:b w:val="0"/>
              <w:bCs w:val="0"/>
              <w:color w:val="auto"/>
              <w:sz w:val="24"/>
              <w:szCs w:val="24"/>
            </w:rPr>
            <w:t>38</w:t>
          </w:r>
          <w:r>
            <w:rPr>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fldChar w:fldCharType="end"/>
          </w:r>
        </w:p>
        <w:p w14:paraId="235D1657">
          <w:pPr>
            <w:pStyle w:val="29"/>
            <w:tabs>
              <w:tab w:val="right" w:leader="dot" w:pos="8640"/>
              <w:tab w:val="clear" w:pos="9663"/>
            </w:tabs>
            <w:spacing w:line="360" w:lineRule="auto"/>
            <w:rPr>
              <w:rFonts w:ascii="宋体" w:hAnsi="宋体" w:cs="宋体"/>
              <w:b w:val="0"/>
              <w:bCs w:val="0"/>
              <w:color w:val="auto"/>
              <w:sz w:val="24"/>
              <w:szCs w:val="24"/>
            </w:rPr>
          </w:pPr>
          <w:r>
            <w:rPr>
              <w:color w:val="auto"/>
            </w:rPr>
            <w:fldChar w:fldCharType="begin"/>
          </w:r>
          <w:r>
            <w:rPr>
              <w:color w:val="auto"/>
            </w:rPr>
            <w:instrText xml:space="preserve"> HYPERLINK \l "_Toc30799" </w:instrText>
          </w:r>
          <w:r>
            <w:rPr>
              <w:color w:val="auto"/>
            </w:rPr>
            <w:fldChar w:fldCharType="separate"/>
          </w:r>
          <w:r>
            <w:rPr>
              <w:rFonts w:hint="eastAsia" w:ascii="宋体" w:hAnsi="宋体" w:cs="宋体"/>
              <w:b w:val="0"/>
              <w:bCs w:val="0"/>
              <w:color w:val="auto"/>
              <w:sz w:val="24"/>
              <w:szCs w:val="24"/>
            </w:rPr>
            <w:t>第五章  采购需求</w:t>
          </w:r>
          <w:r>
            <w:rPr>
              <w:rFonts w:hint="eastAsia" w:ascii="宋体" w:hAnsi="宋体" w:cs="宋体"/>
              <w:b w:val="0"/>
              <w:bCs w:val="0"/>
              <w:color w:val="auto"/>
              <w:sz w:val="24"/>
              <w:szCs w:val="24"/>
            </w:rPr>
            <w:tab/>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PAGEREF _Toc30799 \h </w:instrText>
          </w:r>
          <w:r>
            <w:rPr>
              <w:rFonts w:hint="eastAsia" w:ascii="宋体" w:hAnsi="宋体" w:cs="宋体"/>
              <w:b w:val="0"/>
              <w:bCs w:val="0"/>
              <w:color w:val="auto"/>
              <w:sz w:val="24"/>
              <w:szCs w:val="24"/>
            </w:rPr>
            <w:fldChar w:fldCharType="separate"/>
          </w:r>
          <w:r>
            <w:rPr>
              <w:rFonts w:hint="eastAsia" w:ascii="宋体" w:hAnsi="宋体" w:cs="宋体"/>
              <w:b w:val="0"/>
              <w:bCs w:val="0"/>
              <w:color w:val="auto"/>
              <w:sz w:val="24"/>
              <w:szCs w:val="24"/>
            </w:rPr>
            <w:t>66</w:t>
          </w:r>
          <w:r>
            <w:rPr>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fldChar w:fldCharType="end"/>
          </w:r>
        </w:p>
        <w:p w14:paraId="49AC61B8">
          <w:pPr>
            <w:pStyle w:val="29"/>
            <w:tabs>
              <w:tab w:val="right" w:leader="dot" w:pos="8640"/>
              <w:tab w:val="clear" w:pos="9663"/>
            </w:tabs>
            <w:spacing w:line="360" w:lineRule="auto"/>
            <w:rPr>
              <w:rFonts w:ascii="宋体" w:hAnsi="宋体" w:cs="宋体"/>
              <w:b w:val="0"/>
              <w:bCs w:val="0"/>
              <w:color w:val="auto"/>
              <w:sz w:val="24"/>
              <w:szCs w:val="24"/>
            </w:rPr>
          </w:pPr>
          <w:r>
            <w:rPr>
              <w:color w:val="auto"/>
            </w:rPr>
            <w:fldChar w:fldCharType="begin"/>
          </w:r>
          <w:r>
            <w:rPr>
              <w:color w:val="auto"/>
            </w:rPr>
            <w:instrText xml:space="preserve"> HYPERLINK \l "_Toc14155" </w:instrText>
          </w:r>
          <w:r>
            <w:rPr>
              <w:color w:val="auto"/>
            </w:rPr>
            <w:fldChar w:fldCharType="separate"/>
          </w:r>
          <w:r>
            <w:rPr>
              <w:rFonts w:hint="eastAsia" w:ascii="宋体" w:hAnsi="宋体" w:cs="宋体"/>
              <w:b w:val="0"/>
              <w:bCs w:val="0"/>
              <w:color w:val="auto"/>
              <w:sz w:val="24"/>
              <w:szCs w:val="24"/>
            </w:rPr>
            <w:t>第六章 资格审查</w:t>
          </w:r>
          <w:r>
            <w:rPr>
              <w:rFonts w:hint="eastAsia" w:ascii="宋体" w:hAnsi="宋体" w:cs="宋体"/>
              <w:b w:val="0"/>
              <w:bCs w:val="0"/>
              <w:color w:val="auto"/>
              <w:sz w:val="24"/>
              <w:szCs w:val="24"/>
            </w:rPr>
            <w:tab/>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PAGEREF _Toc14155 \h </w:instrText>
          </w:r>
          <w:r>
            <w:rPr>
              <w:rFonts w:hint="eastAsia" w:ascii="宋体" w:hAnsi="宋体" w:cs="宋体"/>
              <w:b w:val="0"/>
              <w:bCs w:val="0"/>
              <w:color w:val="auto"/>
              <w:sz w:val="24"/>
              <w:szCs w:val="24"/>
            </w:rPr>
            <w:fldChar w:fldCharType="separate"/>
          </w:r>
          <w:r>
            <w:rPr>
              <w:rFonts w:hint="eastAsia" w:ascii="宋体" w:hAnsi="宋体" w:cs="宋体"/>
              <w:b w:val="0"/>
              <w:bCs w:val="0"/>
              <w:color w:val="auto"/>
              <w:sz w:val="24"/>
              <w:szCs w:val="24"/>
            </w:rPr>
            <w:t>67</w:t>
          </w:r>
          <w:r>
            <w:rPr>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fldChar w:fldCharType="end"/>
          </w:r>
        </w:p>
        <w:p w14:paraId="2EB83D7F">
          <w:pPr>
            <w:pStyle w:val="29"/>
            <w:tabs>
              <w:tab w:val="right" w:leader="dot" w:pos="8640"/>
              <w:tab w:val="clear" w:pos="9663"/>
            </w:tabs>
            <w:spacing w:line="360" w:lineRule="auto"/>
            <w:rPr>
              <w:rFonts w:ascii="宋体" w:hAnsi="宋体" w:cs="宋体"/>
              <w:b w:val="0"/>
              <w:bCs w:val="0"/>
              <w:color w:val="auto"/>
              <w:sz w:val="24"/>
              <w:szCs w:val="24"/>
            </w:rPr>
          </w:pPr>
          <w:r>
            <w:rPr>
              <w:color w:val="auto"/>
            </w:rPr>
            <w:fldChar w:fldCharType="begin"/>
          </w:r>
          <w:r>
            <w:rPr>
              <w:color w:val="auto"/>
            </w:rPr>
            <w:instrText xml:space="preserve"> HYPERLINK \l "_Toc20236" </w:instrText>
          </w:r>
          <w:r>
            <w:rPr>
              <w:color w:val="auto"/>
            </w:rPr>
            <w:fldChar w:fldCharType="separate"/>
          </w:r>
          <w:r>
            <w:rPr>
              <w:rFonts w:hint="eastAsia" w:ascii="宋体" w:hAnsi="宋体" w:cs="宋体"/>
              <w:b w:val="0"/>
              <w:bCs w:val="0"/>
              <w:color w:val="auto"/>
              <w:sz w:val="24"/>
              <w:szCs w:val="24"/>
            </w:rPr>
            <w:t>第七章 评标方法（综合评分法）</w:t>
          </w:r>
          <w:r>
            <w:rPr>
              <w:rFonts w:hint="eastAsia" w:ascii="宋体" w:hAnsi="宋体" w:cs="宋体"/>
              <w:b w:val="0"/>
              <w:bCs w:val="0"/>
              <w:color w:val="auto"/>
              <w:sz w:val="24"/>
              <w:szCs w:val="24"/>
            </w:rPr>
            <w:tab/>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PAGEREF _Toc20236 \h </w:instrText>
          </w:r>
          <w:r>
            <w:rPr>
              <w:rFonts w:hint="eastAsia" w:ascii="宋体" w:hAnsi="宋体" w:cs="宋体"/>
              <w:b w:val="0"/>
              <w:bCs w:val="0"/>
              <w:color w:val="auto"/>
              <w:sz w:val="24"/>
              <w:szCs w:val="24"/>
            </w:rPr>
            <w:fldChar w:fldCharType="separate"/>
          </w:r>
          <w:r>
            <w:rPr>
              <w:rFonts w:hint="eastAsia" w:ascii="宋体" w:hAnsi="宋体" w:cs="宋体"/>
              <w:b w:val="0"/>
              <w:bCs w:val="0"/>
              <w:color w:val="auto"/>
              <w:sz w:val="24"/>
              <w:szCs w:val="24"/>
            </w:rPr>
            <w:t>91</w:t>
          </w:r>
          <w:r>
            <w:rPr>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fldChar w:fldCharType="end"/>
          </w:r>
        </w:p>
        <w:p w14:paraId="6BD8E822">
          <w:pPr>
            <w:pStyle w:val="34"/>
            <w:tabs>
              <w:tab w:val="right" w:leader="dot" w:pos="8640"/>
            </w:tabs>
            <w:spacing w:line="360" w:lineRule="auto"/>
            <w:rPr>
              <w:rFonts w:ascii="宋体" w:hAnsi="宋体" w:cs="宋体"/>
              <w:color w:val="auto"/>
              <w:sz w:val="24"/>
              <w:szCs w:val="24"/>
            </w:rPr>
          </w:pPr>
          <w:r>
            <w:rPr>
              <w:color w:val="auto"/>
            </w:rPr>
            <w:fldChar w:fldCharType="begin"/>
          </w:r>
          <w:r>
            <w:rPr>
              <w:color w:val="auto"/>
            </w:rPr>
            <w:instrText xml:space="preserve"> HYPERLINK \l "_Toc26777" </w:instrText>
          </w:r>
          <w:r>
            <w:rPr>
              <w:color w:val="auto"/>
            </w:rPr>
            <w:fldChar w:fldCharType="separate"/>
          </w:r>
          <w:r>
            <w:rPr>
              <w:rFonts w:hint="eastAsia" w:ascii="宋体" w:hAnsi="宋体" w:cs="宋体"/>
              <w:color w:val="auto"/>
              <w:sz w:val="24"/>
              <w:szCs w:val="24"/>
            </w:rPr>
            <w:t>评标方法前附表</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_Toc26777 \h </w:instrText>
          </w:r>
          <w:r>
            <w:rPr>
              <w:rFonts w:hint="eastAsia" w:ascii="宋体" w:hAnsi="宋体" w:cs="宋体"/>
              <w:color w:val="auto"/>
              <w:sz w:val="24"/>
              <w:szCs w:val="24"/>
            </w:rPr>
            <w:fldChar w:fldCharType="separate"/>
          </w:r>
          <w:r>
            <w:rPr>
              <w:rFonts w:hint="eastAsia" w:ascii="宋体" w:hAnsi="宋体" w:cs="宋体"/>
              <w:color w:val="auto"/>
              <w:sz w:val="24"/>
              <w:szCs w:val="24"/>
            </w:rPr>
            <w:t>91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F689EA6">
          <w:pPr>
            <w:spacing w:line="360" w:lineRule="auto"/>
            <w:jc w:val="center"/>
            <w:rPr>
              <w:b/>
              <w:color w:val="auto"/>
              <w:spacing w:val="20"/>
              <w:kern w:val="44"/>
              <w:sz w:val="32"/>
            </w:rPr>
          </w:pPr>
          <w:r>
            <w:rPr>
              <w:color w:val="auto"/>
            </w:rPr>
            <w:fldChar w:fldCharType="end"/>
          </w:r>
        </w:p>
      </w:sdtContent>
    </w:sdt>
    <w:p w14:paraId="7DD3BD61">
      <w:pPr>
        <w:rPr>
          <w:color w:val="auto"/>
        </w:rPr>
      </w:pPr>
    </w:p>
    <w:p w14:paraId="13A2E58C">
      <w:pPr>
        <w:pStyle w:val="4"/>
        <w:spacing w:before="0" w:after="0" w:line="500" w:lineRule="exact"/>
        <w:rPr>
          <w:rFonts w:ascii="宋体" w:hAnsi="宋体" w:cs="宋体"/>
          <w:color w:val="auto"/>
          <w:szCs w:val="32"/>
        </w:rPr>
        <w:sectPr>
          <w:headerReference r:id="rId4" w:type="first"/>
          <w:footerReference r:id="rId6" w:type="first"/>
          <w:headerReference r:id="rId3" w:type="default"/>
          <w:footerReference r:id="rId5" w:type="default"/>
          <w:pgSz w:w="12240" w:h="15840"/>
          <w:pgMar w:top="1440" w:right="1800" w:bottom="1440" w:left="1800" w:header="567" w:footer="567" w:gutter="0"/>
          <w:cols w:space="720" w:num="1"/>
        </w:sectPr>
      </w:pPr>
    </w:p>
    <w:p w14:paraId="42C42ADF">
      <w:pPr>
        <w:pStyle w:val="4"/>
        <w:spacing w:before="0" w:after="0" w:line="500" w:lineRule="exact"/>
        <w:rPr>
          <w:rFonts w:ascii="宋体" w:hAnsi="宋体" w:cs="宋体"/>
          <w:color w:val="auto"/>
          <w:szCs w:val="32"/>
        </w:rPr>
      </w:pPr>
      <w:bookmarkStart w:id="13" w:name="_Toc12529"/>
      <w:bookmarkStart w:id="14" w:name="_Toc14692"/>
      <w:r>
        <w:rPr>
          <w:rFonts w:hint="eastAsia" w:ascii="宋体" w:hAnsi="宋体" w:cs="宋体"/>
          <w:color w:val="auto"/>
          <w:szCs w:val="32"/>
        </w:rPr>
        <w:t>第一章 招标公告</w:t>
      </w:r>
      <w:bookmarkEnd w:id="13"/>
      <w:bookmarkEnd w:id="14"/>
    </w:p>
    <w:p w14:paraId="65909562">
      <w:pPr>
        <w:pBdr>
          <w:top w:val="single" w:color="auto" w:sz="4" w:space="1"/>
          <w:left w:val="single" w:color="auto" w:sz="4" w:space="4"/>
          <w:bottom w:val="single" w:color="auto" w:sz="4" w:space="1"/>
          <w:right w:val="single" w:color="auto" w:sz="4" w:space="4"/>
        </w:pBdr>
        <w:spacing w:line="500" w:lineRule="exact"/>
        <w:ind w:firstLine="420" w:firstLineChars="200"/>
        <w:jc w:val="center"/>
        <w:rPr>
          <w:rFonts w:ascii="宋体" w:hAnsi="宋体" w:cs="宋体"/>
          <w:color w:val="auto"/>
          <w:szCs w:val="21"/>
        </w:rPr>
      </w:pPr>
      <w:r>
        <w:rPr>
          <w:rFonts w:hint="eastAsia" w:ascii="宋体" w:hAnsi="宋体" w:cs="宋体"/>
          <w:color w:val="auto"/>
          <w:szCs w:val="21"/>
        </w:rPr>
        <w:t>项目概况</w:t>
      </w:r>
    </w:p>
    <w:p w14:paraId="6E4A0C8B">
      <w:pPr>
        <w:pBdr>
          <w:top w:val="single" w:color="auto" w:sz="4" w:space="1"/>
          <w:left w:val="single" w:color="auto" w:sz="4" w:space="4"/>
          <w:bottom w:val="single" w:color="auto" w:sz="4" w:space="1"/>
          <w:right w:val="single" w:color="auto" w:sz="4" w:space="4"/>
        </w:pBdr>
        <w:spacing w:line="500" w:lineRule="exact"/>
        <w:ind w:firstLine="420" w:firstLineChars="200"/>
        <w:rPr>
          <w:rFonts w:ascii="宋体" w:hAnsi="宋体" w:cs="宋体"/>
          <w:color w:val="auto"/>
          <w:szCs w:val="21"/>
        </w:rPr>
      </w:pPr>
      <w:r>
        <w:rPr>
          <w:rFonts w:hint="eastAsia" w:ascii="宋体" w:hAnsi="宋体" w:cs="宋体"/>
          <w:color w:val="auto"/>
          <w:szCs w:val="21"/>
          <w:lang w:eastAsia="zh-CN"/>
        </w:rPr>
        <w:t>云南监狱项目管理系统建设项目</w:t>
      </w:r>
      <w:r>
        <w:rPr>
          <w:rFonts w:hint="eastAsia" w:ascii="宋体" w:hAnsi="宋体" w:cs="宋体"/>
          <w:color w:val="auto"/>
          <w:szCs w:val="21"/>
        </w:rPr>
        <w:t>的潜在投标人应在政采云平台（https://www.zcygov.cn/）获取招标文件，并于</w:t>
      </w:r>
      <w:r>
        <w:rPr>
          <w:rFonts w:hint="eastAsia" w:ascii="宋体" w:hAnsi="宋体" w:cs="宋体"/>
          <w:color w:val="auto"/>
          <w:kern w:val="0"/>
          <w:szCs w:val="21"/>
          <w:lang w:eastAsia="zh-CN"/>
        </w:rPr>
        <w:t>2025年12月26日10点00分</w:t>
      </w:r>
      <w:r>
        <w:rPr>
          <w:rFonts w:hint="eastAsia" w:ascii="宋体" w:hAnsi="宋体" w:cs="宋体"/>
          <w:color w:val="auto"/>
          <w:szCs w:val="21"/>
        </w:rPr>
        <w:t>（北京时间）前递交投标文件。</w:t>
      </w:r>
    </w:p>
    <w:p w14:paraId="68C5BE07">
      <w:pPr>
        <w:pStyle w:val="5"/>
        <w:spacing w:before="0" w:line="500" w:lineRule="exact"/>
        <w:rPr>
          <w:rFonts w:ascii="宋体" w:hAnsi="宋体" w:cs="宋体"/>
          <w:bCs/>
          <w:color w:val="auto"/>
          <w:spacing w:val="0"/>
          <w:sz w:val="30"/>
          <w:szCs w:val="30"/>
        </w:rPr>
      </w:pPr>
      <w:bookmarkStart w:id="15" w:name="_Toc4774"/>
      <w:bookmarkStart w:id="16" w:name="_Toc25932"/>
      <w:bookmarkStart w:id="17" w:name="_Toc3896"/>
      <w:r>
        <w:rPr>
          <w:rFonts w:hint="eastAsia" w:ascii="宋体" w:hAnsi="宋体" w:cs="宋体"/>
          <w:bCs/>
          <w:color w:val="auto"/>
          <w:spacing w:val="0"/>
          <w:sz w:val="30"/>
          <w:szCs w:val="30"/>
        </w:rPr>
        <w:t>一、项目基本情况</w:t>
      </w:r>
      <w:bookmarkEnd w:id="15"/>
      <w:bookmarkEnd w:id="16"/>
      <w:bookmarkEnd w:id="17"/>
    </w:p>
    <w:p w14:paraId="2881BB40">
      <w:pPr>
        <w:spacing w:line="5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1.项目编号：</w:t>
      </w:r>
      <w:r>
        <w:rPr>
          <w:rFonts w:hint="eastAsia" w:ascii="宋体" w:hAnsi="宋体" w:cs="宋体"/>
          <w:color w:val="auto"/>
          <w:szCs w:val="21"/>
          <w:lang w:eastAsia="zh-CN"/>
        </w:rPr>
        <w:t>YNZC2025-G3-07926-YNGR-0452</w:t>
      </w:r>
    </w:p>
    <w:p w14:paraId="760F20CD">
      <w:pPr>
        <w:spacing w:line="5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2.项目名称：</w:t>
      </w:r>
      <w:r>
        <w:rPr>
          <w:rFonts w:hint="eastAsia" w:ascii="宋体" w:hAnsi="宋体" w:cs="宋体"/>
          <w:color w:val="auto"/>
          <w:szCs w:val="21"/>
          <w:lang w:eastAsia="zh-CN"/>
        </w:rPr>
        <w:t>云南监狱项目管理系统建设项目</w:t>
      </w:r>
    </w:p>
    <w:p w14:paraId="3CD723DE">
      <w:pPr>
        <w:spacing w:line="500" w:lineRule="exact"/>
        <w:ind w:firstLine="420" w:firstLineChars="200"/>
        <w:rPr>
          <w:rFonts w:ascii="宋体" w:hAnsi="宋体" w:cs="宋体"/>
          <w:color w:val="auto"/>
          <w:szCs w:val="21"/>
        </w:rPr>
      </w:pPr>
      <w:r>
        <w:rPr>
          <w:rFonts w:hint="eastAsia" w:ascii="宋体" w:hAnsi="宋体" w:cs="宋体"/>
          <w:color w:val="auto"/>
          <w:szCs w:val="21"/>
        </w:rPr>
        <w:t>3.预算金额：</w:t>
      </w:r>
      <w:r>
        <w:rPr>
          <w:rFonts w:hint="eastAsia" w:ascii="宋体" w:hAnsi="宋体" w:cs="宋体"/>
          <w:color w:val="auto"/>
          <w:szCs w:val="21"/>
          <w:lang w:eastAsia="zh-CN"/>
        </w:rPr>
        <w:t>829800.00</w:t>
      </w:r>
      <w:r>
        <w:rPr>
          <w:rFonts w:hint="eastAsia" w:ascii="宋体" w:hAnsi="宋体" w:cs="宋体"/>
          <w:color w:val="auto"/>
          <w:szCs w:val="21"/>
        </w:rPr>
        <w:t>元</w:t>
      </w:r>
    </w:p>
    <w:p w14:paraId="1477BD01">
      <w:pPr>
        <w:spacing w:line="500" w:lineRule="exact"/>
        <w:ind w:firstLine="420" w:firstLineChars="200"/>
        <w:rPr>
          <w:rFonts w:ascii="宋体" w:hAnsi="宋体" w:cs="宋体"/>
          <w:color w:val="auto"/>
          <w:szCs w:val="21"/>
        </w:rPr>
      </w:pPr>
      <w:r>
        <w:rPr>
          <w:rFonts w:hint="eastAsia" w:ascii="宋体" w:hAnsi="宋体" w:cs="宋体"/>
          <w:color w:val="auto"/>
          <w:szCs w:val="21"/>
        </w:rPr>
        <w:t>4.最高限价：824500.00元</w:t>
      </w:r>
    </w:p>
    <w:p w14:paraId="2DDE863B">
      <w:pPr>
        <w:spacing w:line="500" w:lineRule="exact"/>
        <w:ind w:firstLine="420" w:firstLineChars="200"/>
        <w:rPr>
          <w:rFonts w:ascii="宋体" w:hAnsi="宋体" w:cs="宋体"/>
          <w:color w:val="auto"/>
          <w:szCs w:val="21"/>
        </w:rPr>
      </w:pPr>
      <w:r>
        <w:rPr>
          <w:rFonts w:hint="eastAsia" w:ascii="宋体" w:hAnsi="宋体" w:cs="宋体"/>
          <w:color w:val="auto"/>
          <w:szCs w:val="21"/>
        </w:rPr>
        <w:t>5.采购需求：</w:t>
      </w:r>
    </w:p>
    <w:tbl>
      <w:tblPr>
        <w:tblStyle w:val="41"/>
        <w:tblW w:w="86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919"/>
        <w:gridCol w:w="5135"/>
        <w:gridCol w:w="1312"/>
        <w:gridCol w:w="1312"/>
      </w:tblGrid>
      <w:tr w14:paraId="20B1A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3" w:hRule="atLeast"/>
          <w:jc w:val="center"/>
        </w:trPr>
        <w:tc>
          <w:tcPr>
            <w:tcW w:w="919" w:type="dxa"/>
            <w:tcBorders>
              <w:tl2br w:val="nil"/>
              <w:tr2bl w:val="nil"/>
            </w:tcBorders>
            <w:tcMar>
              <w:top w:w="0" w:type="dxa"/>
              <w:left w:w="108" w:type="dxa"/>
              <w:bottom w:w="0" w:type="dxa"/>
              <w:right w:w="108" w:type="dxa"/>
            </w:tcMar>
            <w:vAlign w:val="center"/>
          </w:tcPr>
          <w:p w14:paraId="06009A0C">
            <w:pPr>
              <w:pStyle w:val="36"/>
              <w:jc w:val="center"/>
              <w:rPr>
                <w:rFonts w:cs="宋体"/>
                <w:b/>
                <w:color w:val="auto"/>
                <w:sz w:val="21"/>
                <w:szCs w:val="21"/>
              </w:rPr>
            </w:pPr>
            <w:r>
              <w:rPr>
                <w:rFonts w:hint="eastAsia" w:cs="宋体"/>
                <w:b/>
                <w:color w:val="auto"/>
                <w:sz w:val="21"/>
                <w:szCs w:val="21"/>
              </w:rPr>
              <w:t>序号</w:t>
            </w:r>
          </w:p>
        </w:tc>
        <w:tc>
          <w:tcPr>
            <w:tcW w:w="5135" w:type="dxa"/>
            <w:tcBorders>
              <w:tl2br w:val="nil"/>
              <w:tr2bl w:val="nil"/>
            </w:tcBorders>
            <w:tcMar>
              <w:top w:w="0" w:type="dxa"/>
              <w:left w:w="108" w:type="dxa"/>
              <w:bottom w:w="0" w:type="dxa"/>
              <w:right w:w="108" w:type="dxa"/>
            </w:tcMar>
            <w:vAlign w:val="center"/>
          </w:tcPr>
          <w:p w14:paraId="742CC5DC">
            <w:pPr>
              <w:pStyle w:val="36"/>
              <w:jc w:val="center"/>
              <w:rPr>
                <w:rFonts w:cs="宋体"/>
                <w:b/>
                <w:color w:val="auto"/>
                <w:sz w:val="21"/>
                <w:szCs w:val="21"/>
              </w:rPr>
            </w:pPr>
            <w:r>
              <w:rPr>
                <w:rFonts w:hint="eastAsia" w:cs="宋体"/>
                <w:b/>
                <w:color w:val="auto"/>
                <w:sz w:val="21"/>
                <w:szCs w:val="21"/>
              </w:rPr>
              <w:t>产品（项目）名称</w:t>
            </w:r>
          </w:p>
        </w:tc>
        <w:tc>
          <w:tcPr>
            <w:tcW w:w="1312" w:type="dxa"/>
            <w:tcBorders>
              <w:tl2br w:val="nil"/>
              <w:tr2bl w:val="nil"/>
            </w:tcBorders>
            <w:tcMar>
              <w:top w:w="0" w:type="dxa"/>
              <w:left w:w="108" w:type="dxa"/>
              <w:bottom w:w="0" w:type="dxa"/>
              <w:right w:w="108" w:type="dxa"/>
            </w:tcMar>
            <w:vAlign w:val="center"/>
          </w:tcPr>
          <w:p w14:paraId="067C450E">
            <w:pPr>
              <w:pStyle w:val="36"/>
              <w:jc w:val="center"/>
              <w:rPr>
                <w:rFonts w:cs="宋体"/>
                <w:color w:val="auto"/>
                <w:sz w:val="21"/>
                <w:szCs w:val="21"/>
              </w:rPr>
            </w:pPr>
            <w:r>
              <w:rPr>
                <w:rStyle w:val="44"/>
                <w:rFonts w:hint="eastAsia" w:cs="宋体"/>
                <w:color w:val="auto"/>
                <w:sz w:val="21"/>
                <w:szCs w:val="21"/>
              </w:rPr>
              <w:t>数量</w:t>
            </w:r>
          </w:p>
        </w:tc>
        <w:tc>
          <w:tcPr>
            <w:tcW w:w="1312" w:type="dxa"/>
            <w:tcBorders>
              <w:tl2br w:val="nil"/>
              <w:tr2bl w:val="nil"/>
            </w:tcBorders>
            <w:tcMar>
              <w:top w:w="0" w:type="dxa"/>
              <w:left w:w="108" w:type="dxa"/>
              <w:bottom w:w="0" w:type="dxa"/>
              <w:right w:w="108" w:type="dxa"/>
            </w:tcMar>
            <w:vAlign w:val="center"/>
          </w:tcPr>
          <w:p w14:paraId="2755062F">
            <w:pPr>
              <w:pStyle w:val="36"/>
              <w:jc w:val="center"/>
              <w:rPr>
                <w:rFonts w:cs="宋体"/>
                <w:color w:val="auto"/>
                <w:sz w:val="21"/>
                <w:szCs w:val="21"/>
              </w:rPr>
            </w:pPr>
            <w:r>
              <w:rPr>
                <w:rStyle w:val="44"/>
                <w:rFonts w:hint="eastAsia" w:cs="宋体"/>
                <w:color w:val="auto"/>
                <w:sz w:val="21"/>
                <w:szCs w:val="21"/>
              </w:rPr>
              <w:t>计量单位</w:t>
            </w:r>
          </w:p>
        </w:tc>
      </w:tr>
      <w:tr w14:paraId="45419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5" w:hRule="atLeast"/>
          <w:jc w:val="center"/>
        </w:trPr>
        <w:tc>
          <w:tcPr>
            <w:tcW w:w="919" w:type="dxa"/>
            <w:tcBorders>
              <w:tl2br w:val="nil"/>
              <w:tr2bl w:val="nil"/>
            </w:tcBorders>
            <w:tcMar>
              <w:top w:w="0" w:type="dxa"/>
              <w:left w:w="108" w:type="dxa"/>
              <w:bottom w:w="0" w:type="dxa"/>
              <w:right w:w="108" w:type="dxa"/>
            </w:tcMar>
            <w:vAlign w:val="center"/>
          </w:tcPr>
          <w:p w14:paraId="5994C3C6">
            <w:pPr>
              <w:pStyle w:val="36"/>
              <w:jc w:val="center"/>
              <w:textAlignment w:val="center"/>
              <w:rPr>
                <w:rFonts w:cs="宋体"/>
                <w:color w:val="auto"/>
                <w:sz w:val="21"/>
                <w:szCs w:val="21"/>
              </w:rPr>
            </w:pPr>
            <w:r>
              <w:rPr>
                <w:rFonts w:hint="eastAsia" w:cs="宋体"/>
                <w:color w:val="auto"/>
                <w:sz w:val="21"/>
                <w:szCs w:val="21"/>
              </w:rPr>
              <w:t>1</w:t>
            </w:r>
          </w:p>
        </w:tc>
        <w:tc>
          <w:tcPr>
            <w:tcW w:w="5135" w:type="dxa"/>
            <w:tcBorders>
              <w:tl2br w:val="nil"/>
              <w:tr2bl w:val="nil"/>
            </w:tcBorders>
            <w:tcMar>
              <w:top w:w="0" w:type="dxa"/>
              <w:left w:w="108" w:type="dxa"/>
              <w:bottom w:w="0" w:type="dxa"/>
              <w:right w:w="108" w:type="dxa"/>
            </w:tcMar>
            <w:vAlign w:val="center"/>
          </w:tcPr>
          <w:p w14:paraId="328D87F2">
            <w:pPr>
              <w:pStyle w:val="36"/>
              <w:jc w:val="center"/>
              <w:textAlignment w:val="center"/>
              <w:rPr>
                <w:rFonts w:hint="eastAsia" w:ascii="Times New Roman" w:hAnsi="Times New Roman" w:eastAsia="宋体" w:cs="宋体"/>
                <w:color w:val="auto"/>
                <w:kern w:val="2"/>
                <w:sz w:val="21"/>
                <w:szCs w:val="21"/>
                <w:lang w:eastAsia="zh-CN"/>
              </w:rPr>
            </w:pPr>
            <w:r>
              <w:rPr>
                <w:rFonts w:hint="eastAsia" w:ascii="Times New Roman" w:hAnsi="Times New Roman" w:cs="宋体"/>
                <w:color w:val="auto"/>
                <w:kern w:val="2"/>
                <w:sz w:val="21"/>
                <w:szCs w:val="21"/>
                <w:lang w:eastAsia="zh-CN"/>
              </w:rPr>
              <w:t>云南监狱项目管理系统开发</w:t>
            </w:r>
          </w:p>
        </w:tc>
        <w:tc>
          <w:tcPr>
            <w:tcW w:w="1312" w:type="dxa"/>
            <w:tcBorders>
              <w:tl2br w:val="nil"/>
              <w:tr2bl w:val="nil"/>
            </w:tcBorders>
            <w:shd w:val="clear" w:color="auto" w:fill="auto"/>
            <w:tcMar>
              <w:top w:w="0" w:type="dxa"/>
              <w:left w:w="108" w:type="dxa"/>
              <w:bottom w:w="0" w:type="dxa"/>
              <w:right w:w="108" w:type="dxa"/>
            </w:tcMar>
            <w:vAlign w:val="center"/>
          </w:tcPr>
          <w:p w14:paraId="18916B0F">
            <w:pPr>
              <w:pStyle w:val="36"/>
              <w:jc w:val="center"/>
              <w:textAlignment w:val="center"/>
              <w:rPr>
                <w:rFonts w:ascii="Times New Roman" w:hAnsi="Times New Roman" w:cs="宋体"/>
                <w:color w:val="auto"/>
                <w:kern w:val="2"/>
                <w:sz w:val="21"/>
                <w:szCs w:val="21"/>
              </w:rPr>
            </w:pPr>
            <w:r>
              <w:rPr>
                <w:rFonts w:hint="eastAsia" w:ascii="宋体" w:hAnsi="宋体" w:eastAsia="宋体" w:cs="宋体"/>
                <w:color w:val="auto"/>
                <w:kern w:val="2"/>
                <w:sz w:val="21"/>
                <w:szCs w:val="21"/>
              </w:rPr>
              <w:t>1</w:t>
            </w:r>
          </w:p>
        </w:tc>
        <w:tc>
          <w:tcPr>
            <w:tcW w:w="1312" w:type="dxa"/>
            <w:tcBorders>
              <w:tl2br w:val="nil"/>
              <w:tr2bl w:val="nil"/>
            </w:tcBorders>
            <w:shd w:val="clear" w:color="auto" w:fill="auto"/>
            <w:tcMar>
              <w:top w:w="0" w:type="dxa"/>
              <w:left w:w="108" w:type="dxa"/>
              <w:bottom w:w="0" w:type="dxa"/>
              <w:right w:w="108" w:type="dxa"/>
            </w:tcMar>
            <w:vAlign w:val="center"/>
          </w:tcPr>
          <w:p w14:paraId="11CF31F2">
            <w:pPr>
              <w:pStyle w:val="36"/>
              <w:jc w:val="center"/>
              <w:textAlignment w:val="center"/>
              <w:rPr>
                <w:rFonts w:hint="default" w:ascii="Times New Roman" w:hAnsi="Times New Roman" w:eastAsia="宋体" w:cs="宋体"/>
                <w:color w:val="auto"/>
                <w:kern w:val="2"/>
                <w:sz w:val="21"/>
                <w:szCs w:val="21"/>
                <w:lang w:val="en-US" w:eastAsia="zh-CN"/>
              </w:rPr>
            </w:pPr>
            <w:r>
              <w:rPr>
                <w:rFonts w:hint="eastAsia" w:ascii="Times New Roman" w:hAnsi="Times New Roman" w:cs="宋体"/>
                <w:color w:val="auto"/>
                <w:kern w:val="2"/>
                <w:sz w:val="21"/>
                <w:szCs w:val="21"/>
                <w:lang w:val="en-US" w:eastAsia="zh-CN"/>
              </w:rPr>
              <w:t>项</w:t>
            </w:r>
          </w:p>
        </w:tc>
      </w:tr>
    </w:tbl>
    <w:p w14:paraId="4030620D">
      <w:pPr>
        <w:spacing w:line="500" w:lineRule="exact"/>
        <w:ind w:firstLine="422"/>
        <w:rPr>
          <w:rFonts w:ascii="宋体" w:hAnsi="宋体" w:cs="宋体"/>
          <w:bCs/>
          <w:color w:val="auto"/>
          <w:szCs w:val="21"/>
        </w:rPr>
      </w:pPr>
      <w:r>
        <w:rPr>
          <w:rFonts w:hint="eastAsia" w:ascii="宋体" w:hAnsi="宋体" w:cs="宋体"/>
          <w:bCs/>
          <w:color w:val="auto"/>
          <w:szCs w:val="21"/>
        </w:rPr>
        <w:t>注：本项目共设一个标段，投标人必须对本项目所有内容作出完整唯一的投标报价，不得出现缺项、漏项或无报价情况，否则投标文件将按无效处理，具体要求等详见本招标文件第五章《采购需求》。</w:t>
      </w:r>
    </w:p>
    <w:p w14:paraId="4572C27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rPr>
        <w:t>6.项目实施期限：</w:t>
      </w:r>
      <w:r>
        <w:rPr>
          <w:rFonts w:hint="eastAsia" w:ascii="宋体" w:hAnsi="宋体" w:cs="宋体"/>
          <w:color w:val="auto"/>
          <w:szCs w:val="21"/>
          <w:lang w:eastAsia="zh-CN"/>
        </w:rPr>
        <w:t>自合同签订之</w:t>
      </w:r>
      <w:r>
        <w:rPr>
          <w:rFonts w:hint="eastAsia" w:ascii="宋体" w:hAnsi="宋体" w:cs="宋体"/>
          <w:color w:val="auto"/>
          <w:szCs w:val="21"/>
          <w:highlight w:val="none"/>
          <w:lang w:eastAsia="zh-CN"/>
        </w:rPr>
        <w:t>日起90个</w:t>
      </w:r>
      <w:r>
        <w:rPr>
          <w:rFonts w:hint="eastAsia" w:ascii="宋体" w:hAnsi="宋体" w:cs="宋体"/>
          <w:b w:val="0"/>
          <w:bCs w:val="0"/>
          <w:color w:val="auto"/>
          <w:szCs w:val="21"/>
          <w:highlight w:val="none"/>
          <w:shd w:val="clear" w:color="auto" w:fill="auto"/>
          <w:lang w:val="en-US" w:eastAsia="zh-CN"/>
        </w:rPr>
        <w:t>日历日</w:t>
      </w:r>
      <w:r>
        <w:rPr>
          <w:rFonts w:hint="eastAsia" w:ascii="宋体" w:hAnsi="宋体" w:cs="宋体"/>
          <w:color w:val="auto"/>
          <w:szCs w:val="21"/>
          <w:highlight w:val="none"/>
          <w:lang w:eastAsia="zh-CN"/>
        </w:rPr>
        <w:t>内完成系统开发、测试与部署上线；系统上线后提供3年免费售后维护服务（包括缺陷修复、功能优化、技术支持等），</w:t>
      </w:r>
      <w:r>
        <w:rPr>
          <w:rFonts w:hint="eastAsia" w:ascii="宋体" w:hAnsi="宋体" w:cs="宋体"/>
          <w:color w:val="auto"/>
          <w:szCs w:val="21"/>
          <w:highlight w:val="none"/>
          <w:lang w:val="en-US" w:eastAsia="zh-CN"/>
        </w:rPr>
        <w:t>运维期间提供至少一人驻场运维服务</w:t>
      </w:r>
      <w:r>
        <w:rPr>
          <w:rFonts w:hint="eastAsia" w:ascii="宋体" w:hAnsi="宋体" w:cs="宋体"/>
          <w:color w:val="auto"/>
          <w:szCs w:val="21"/>
          <w:highlight w:val="none"/>
          <w:lang w:eastAsia="zh-CN"/>
        </w:rPr>
        <w:t>。</w:t>
      </w:r>
    </w:p>
    <w:p w14:paraId="49ADE438">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7.项目实施地点：</w:t>
      </w:r>
      <w:r>
        <w:rPr>
          <w:rFonts w:hint="eastAsia" w:ascii="宋体" w:hAnsi="宋体" w:cs="宋体"/>
          <w:color w:val="auto"/>
          <w:szCs w:val="21"/>
          <w:highlight w:val="none"/>
          <w:lang w:eastAsia="zh-CN"/>
        </w:rPr>
        <w:t>云南省监狱管理局指定地点</w:t>
      </w:r>
      <w:r>
        <w:rPr>
          <w:rFonts w:hint="eastAsia" w:ascii="宋体" w:hAnsi="宋体" w:cs="宋体"/>
          <w:color w:val="auto"/>
          <w:szCs w:val="21"/>
          <w:highlight w:val="none"/>
        </w:rPr>
        <w:t>。</w:t>
      </w:r>
    </w:p>
    <w:p w14:paraId="2FFB103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8.合同履行期限：</w:t>
      </w:r>
      <w:r>
        <w:rPr>
          <w:rFonts w:hint="eastAsia" w:ascii="宋体" w:hAnsi="宋体" w:cs="宋体"/>
          <w:color w:val="auto"/>
          <w:szCs w:val="21"/>
          <w:highlight w:val="none"/>
          <w:lang w:eastAsia="zh-CN"/>
        </w:rPr>
        <w:t>自合同签订之日起90个</w:t>
      </w:r>
      <w:r>
        <w:rPr>
          <w:rFonts w:hint="eastAsia" w:ascii="宋体" w:hAnsi="宋体" w:cs="宋体"/>
          <w:color w:val="auto"/>
          <w:szCs w:val="21"/>
          <w:highlight w:val="none"/>
          <w:lang w:val="en-US" w:eastAsia="zh-CN"/>
        </w:rPr>
        <w:t>日历日</w:t>
      </w:r>
      <w:r>
        <w:rPr>
          <w:rFonts w:hint="eastAsia" w:ascii="宋体" w:hAnsi="宋体" w:cs="宋体"/>
          <w:color w:val="auto"/>
          <w:szCs w:val="21"/>
          <w:highlight w:val="none"/>
          <w:lang w:eastAsia="zh-CN"/>
        </w:rPr>
        <w:t>内完成系统开发、测试与部署上线；系统上线后提供3年免费售后维护服务（包括缺陷修复、功能优化、技术支持等），</w:t>
      </w:r>
      <w:r>
        <w:rPr>
          <w:rFonts w:hint="eastAsia" w:ascii="宋体" w:hAnsi="宋体" w:cs="宋体"/>
          <w:color w:val="auto"/>
          <w:szCs w:val="21"/>
          <w:highlight w:val="none"/>
          <w:lang w:val="en-US" w:eastAsia="zh-CN"/>
        </w:rPr>
        <w:t>运维期间提供至少一人驻场运维服务</w:t>
      </w:r>
      <w:r>
        <w:rPr>
          <w:rFonts w:hint="eastAsia" w:ascii="宋体" w:hAnsi="宋体" w:cs="宋体"/>
          <w:color w:val="auto"/>
          <w:szCs w:val="21"/>
          <w:highlight w:val="none"/>
          <w:lang w:eastAsia="zh-CN"/>
        </w:rPr>
        <w:t>。</w:t>
      </w:r>
    </w:p>
    <w:p w14:paraId="4D80E188">
      <w:pPr>
        <w:spacing w:line="500" w:lineRule="exact"/>
        <w:ind w:firstLine="420" w:firstLineChars="200"/>
        <w:rPr>
          <w:rFonts w:ascii="宋体" w:hAnsi="宋体" w:cs="宋体"/>
          <w:color w:val="auto"/>
        </w:rPr>
      </w:pPr>
      <w:r>
        <w:rPr>
          <w:rFonts w:hint="eastAsia" w:ascii="宋体" w:hAnsi="宋体" w:cs="宋体"/>
          <w:color w:val="auto"/>
          <w:szCs w:val="21"/>
        </w:rPr>
        <w:t>★9.本项目不接受联合体投标。</w:t>
      </w:r>
    </w:p>
    <w:p w14:paraId="6C545917">
      <w:pPr>
        <w:pStyle w:val="5"/>
        <w:spacing w:before="0" w:line="500" w:lineRule="exact"/>
        <w:rPr>
          <w:rFonts w:ascii="宋体" w:hAnsi="宋体" w:cs="宋体"/>
          <w:bCs/>
          <w:color w:val="000000" w:themeColor="text1"/>
          <w:spacing w:val="0"/>
          <w:sz w:val="30"/>
          <w:szCs w:val="30"/>
          <w14:textFill>
            <w14:solidFill>
              <w14:schemeClr w14:val="tx1"/>
            </w14:solidFill>
          </w14:textFill>
        </w:rPr>
      </w:pPr>
      <w:bookmarkStart w:id="18" w:name="_Toc27904"/>
      <w:bookmarkStart w:id="19" w:name="_Toc16149"/>
      <w:bookmarkStart w:id="20" w:name="_Toc6717"/>
      <w:r>
        <w:rPr>
          <w:rFonts w:hint="eastAsia" w:ascii="宋体" w:hAnsi="宋体" w:cs="宋体"/>
          <w:bCs/>
          <w:color w:val="000000" w:themeColor="text1"/>
          <w:spacing w:val="0"/>
          <w:sz w:val="30"/>
          <w:szCs w:val="30"/>
          <w14:textFill>
            <w14:solidFill>
              <w14:schemeClr w14:val="tx1"/>
            </w14:solidFill>
          </w14:textFill>
        </w:rPr>
        <w:t>二、投标人的资格要求</w:t>
      </w:r>
      <w:bookmarkEnd w:id="18"/>
      <w:bookmarkEnd w:id="19"/>
      <w:bookmarkEnd w:id="20"/>
    </w:p>
    <w:p w14:paraId="2C62F141">
      <w:pPr>
        <w:spacing w:line="50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400EFD6D">
      <w:pPr>
        <w:spacing w:line="500" w:lineRule="exact"/>
        <w:ind w:firstLine="420" w:firstLineChars="200"/>
        <w:rPr>
          <w:rFonts w:ascii="宋体" w:hAnsi="宋体" w:cs="宋体"/>
          <w:color w:val="auto"/>
          <w:szCs w:val="21"/>
        </w:rPr>
      </w:pPr>
      <w:r>
        <w:rPr>
          <w:rFonts w:hint="eastAsia" w:ascii="宋体" w:hAnsi="宋体" w:cs="宋体"/>
          <w:color w:val="auto"/>
          <w:szCs w:val="21"/>
        </w:rPr>
        <w:t>1.1投标人须具有独立承担民事责任的能力：投标人须在中华人民共和国境内注册，提供市场监督管理部门核发的有效的三证合一营业执照或其他组织形式的相关主体资格证明材料（扫描件加盖投标人电子公章）；</w:t>
      </w:r>
    </w:p>
    <w:p w14:paraId="2947B520">
      <w:pPr>
        <w:spacing w:line="500" w:lineRule="exact"/>
        <w:ind w:firstLine="420" w:firstLineChars="200"/>
        <w:rPr>
          <w:rFonts w:ascii="宋体" w:hAnsi="宋体" w:cs="宋体"/>
          <w:color w:val="auto"/>
          <w:szCs w:val="21"/>
        </w:rPr>
      </w:pPr>
      <w:r>
        <w:rPr>
          <w:rFonts w:hint="eastAsia" w:ascii="宋体" w:hAnsi="宋体" w:cs="宋体"/>
          <w:color w:val="auto"/>
          <w:szCs w:val="21"/>
        </w:rPr>
        <w:t>1.2投标人具有良好的商业信誉和健全的财务会计制度：提供投标人2024年度经第三方审计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p>
    <w:p w14:paraId="56A353BD">
      <w:pPr>
        <w:spacing w:line="500" w:lineRule="exact"/>
        <w:ind w:firstLine="420" w:firstLineChars="200"/>
        <w:rPr>
          <w:rFonts w:ascii="宋体" w:hAnsi="宋体" w:cs="宋体"/>
          <w:color w:val="auto"/>
          <w:szCs w:val="21"/>
        </w:rPr>
      </w:pPr>
      <w:r>
        <w:rPr>
          <w:rFonts w:hint="eastAsia" w:ascii="宋体" w:hAnsi="宋体" w:cs="宋体"/>
          <w:color w:val="auto"/>
          <w:szCs w:val="21"/>
        </w:rPr>
        <w:t>1.3具有履行合同所必需的设备和专业技术能力：提供投标人具有履行合同所必需的设备和专业技术能力证明材料（扫描件加盖投标人电子公章）或书面声明（加盖投标人电子公章）；</w:t>
      </w:r>
    </w:p>
    <w:p w14:paraId="2046B29E">
      <w:pPr>
        <w:spacing w:line="500" w:lineRule="exact"/>
        <w:ind w:firstLine="420" w:firstLineChars="200"/>
        <w:rPr>
          <w:rFonts w:ascii="宋体" w:hAnsi="宋体" w:cs="宋体"/>
          <w:color w:val="auto"/>
          <w:szCs w:val="21"/>
        </w:rPr>
      </w:pPr>
      <w:r>
        <w:rPr>
          <w:rFonts w:hint="eastAsia" w:ascii="宋体" w:hAnsi="宋体" w:cs="宋体"/>
          <w:color w:val="auto"/>
          <w:szCs w:val="21"/>
        </w:rPr>
        <w:t>1.4投标人须具有依法缴纳税收和社会保障资金的良好记录：</w:t>
      </w:r>
    </w:p>
    <w:p w14:paraId="4CE3EA95">
      <w:pPr>
        <w:spacing w:line="500" w:lineRule="exact"/>
        <w:ind w:firstLine="420" w:firstLineChars="200"/>
        <w:rPr>
          <w:rFonts w:ascii="宋体" w:hAnsi="宋体" w:cs="宋体"/>
          <w:color w:val="auto"/>
          <w:szCs w:val="21"/>
        </w:rPr>
      </w:pPr>
      <w:r>
        <w:rPr>
          <w:rFonts w:hint="eastAsia" w:ascii="宋体" w:hAnsi="宋体" w:cs="宋体"/>
          <w:color w:val="auto"/>
          <w:szCs w:val="21"/>
        </w:rPr>
        <w:t>1.4.1提供投标人缴税所属时间在2024年01月至本项目提交投标文件截止时间前任意3个月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p w14:paraId="20C85D3A">
      <w:pPr>
        <w:spacing w:line="500" w:lineRule="exact"/>
        <w:ind w:firstLine="420" w:firstLineChars="200"/>
        <w:rPr>
          <w:rFonts w:ascii="宋体" w:hAnsi="宋体" w:cs="宋体"/>
          <w:color w:val="auto"/>
          <w:szCs w:val="21"/>
        </w:rPr>
      </w:pPr>
      <w:r>
        <w:rPr>
          <w:rFonts w:hint="eastAsia" w:ascii="宋体" w:hAnsi="宋体" w:cs="宋体"/>
          <w:color w:val="auto"/>
          <w:szCs w:val="21"/>
        </w:rPr>
        <w:t>1.4.2提供投标人缴费所属时间在2024年01月至本项目提交投标文件截止时间前任意3个月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p w14:paraId="011E178D">
      <w:pPr>
        <w:spacing w:line="500" w:lineRule="exact"/>
        <w:ind w:firstLine="420" w:firstLineChars="200"/>
        <w:rPr>
          <w:rFonts w:ascii="宋体" w:hAnsi="宋体" w:cs="宋体"/>
          <w:color w:val="auto"/>
          <w:szCs w:val="21"/>
        </w:rPr>
      </w:pPr>
      <w:r>
        <w:rPr>
          <w:rFonts w:hint="eastAsia" w:ascii="宋体" w:hAnsi="宋体" w:cs="宋体"/>
          <w:color w:val="auto"/>
          <w:szCs w:val="21"/>
        </w:rPr>
        <w:t>1.5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p>
    <w:p w14:paraId="055AB061">
      <w:pPr>
        <w:spacing w:line="500" w:lineRule="exact"/>
        <w:ind w:firstLine="420" w:firstLineChars="200"/>
        <w:rPr>
          <w:rFonts w:ascii="宋体" w:hAnsi="宋体" w:cs="宋体"/>
          <w:color w:val="auto"/>
          <w:szCs w:val="21"/>
        </w:rPr>
      </w:pPr>
      <w:r>
        <w:rPr>
          <w:rFonts w:hint="eastAsia" w:ascii="宋体" w:hAnsi="宋体" w:cs="宋体"/>
          <w:color w:val="auto"/>
          <w:szCs w:val="21"/>
        </w:rPr>
        <w:t>1.6法律、行政法规规定的其他条件：</w:t>
      </w:r>
    </w:p>
    <w:p w14:paraId="5E4A3FB8">
      <w:pPr>
        <w:wordWrap w:val="0"/>
        <w:spacing w:line="500" w:lineRule="exact"/>
        <w:ind w:firstLine="420" w:firstLineChars="200"/>
        <w:rPr>
          <w:rFonts w:ascii="宋体" w:hAnsi="宋体" w:cs="宋体"/>
          <w:color w:val="auto"/>
          <w:szCs w:val="21"/>
        </w:rPr>
      </w:pPr>
      <w:r>
        <w:rPr>
          <w:rFonts w:hint="eastAsia" w:ascii="宋体" w:hAnsi="宋体" w:cs="宋体"/>
          <w:color w:val="auto"/>
          <w:szCs w:val="21"/>
        </w:rPr>
        <w:t>1.6.1投标人在本项目投标文件提交截止时间前在“信用中国”网站（www.creditchina.gov.cn）“</w:t>
      </w:r>
      <w:r>
        <w:rPr>
          <w:rFonts w:hint="eastAsia" w:ascii="宋体" w:hAnsi="宋体" w:cs="宋体"/>
          <w:color w:val="auto"/>
          <w:szCs w:val="21"/>
          <w:lang w:eastAsia="zh-CN"/>
        </w:rPr>
        <w:t>专项查询</w:t>
      </w:r>
      <w:r>
        <w:rPr>
          <w:rFonts w:hint="eastAsia" w:ascii="宋体" w:hAnsi="宋体" w:cs="宋体"/>
          <w:color w:val="auto"/>
          <w:szCs w:val="21"/>
        </w:rPr>
        <w:t>”查询栏中查询结果应未被列入失信被执行人（按网站要求链接到中国执行信息网（http://zxgk.court.gov.cn/shixin/）查询）、重大税收违法失信主体、政府采购严重违法失信行为记录名单（查询时间为本公告发布之日起至提交投标文件截止之日止，查询结果以采购人、采购代理机构查询结果为准，并将查询记录和证据留存）；</w:t>
      </w:r>
    </w:p>
    <w:p w14:paraId="6A8395DD">
      <w:pPr>
        <w:spacing w:line="500" w:lineRule="exact"/>
        <w:ind w:firstLine="420" w:firstLineChars="200"/>
        <w:rPr>
          <w:rFonts w:ascii="宋体" w:hAnsi="宋体" w:cs="宋体"/>
          <w:color w:val="auto"/>
          <w:szCs w:val="21"/>
        </w:rPr>
      </w:pPr>
      <w:r>
        <w:rPr>
          <w:rFonts w:hint="eastAsia" w:ascii="宋体" w:hAnsi="宋体" w:cs="宋体"/>
          <w:color w:val="auto"/>
          <w:szCs w:val="21"/>
        </w:rPr>
        <w:t>1.6.2投标人在本项目投标文件提交截止时间前在“中国政府采购网”（www.ccgp.gov.cn）未被列入政府采购严重违法失信行为记录名单（查询时间为本公告发布之日起至提交投标文件截止之日止，查询结果以采购人、采购代理机构查询结果为准，并将查询记录和证据留存）；</w:t>
      </w:r>
    </w:p>
    <w:p w14:paraId="7C0CDA50">
      <w:pPr>
        <w:spacing w:line="500" w:lineRule="exact"/>
        <w:ind w:firstLine="420" w:firstLineChars="200"/>
        <w:rPr>
          <w:rFonts w:ascii="宋体" w:hAnsi="宋体" w:cs="宋体"/>
          <w:color w:val="auto"/>
          <w:szCs w:val="21"/>
        </w:rPr>
      </w:pPr>
      <w:r>
        <w:rPr>
          <w:rFonts w:hint="eastAsia" w:ascii="宋体" w:hAnsi="宋体" w:cs="宋体"/>
          <w:color w:val="auto"/>
          <w:szCs w:val="21"/>
        </w:rPr>
        <w:t>1.6.3单位负责人为同一人或者存在直接控股、管理关系</w:t>
      </w:r>
      <w:r>
        <w:rPr>
          <w:rFonts w:hint="eastAsia" w:ascii="宋体" w:hAnsi="宋体" w:cs="宋体"/>
          <w:color w:val="auto"/>
          <w:szCs w:val="21"/>
          <w:lang w:eastAsia="zh-CN"/>
        </w:rPr>
        <w:t>的不同</w:t>
      </w:r>
      <w:r>
        <w:rPr>
          <w:rFonts w:hint="eastAsia" w:ascii="宋体" w:hAnsi="宋体" w:cs="宋体"/>
          <w:color w:val="auto"/>
          <w:szCs w:val="21"/>
        </w:rPr>
        <w:t>投标人，不得同时参与本项目的采购活动。为采购项目提供整体设计、规范编制和项目管理、监理、检测等服务的投标人，不得参与本项目采购活动（提供承诺函加盖投标人电子公章）；</w:t>
      </w:r>
    </w:p>
    <w:p w14:paraId="64DB5600">
      <w:pPr>
        <w:spacing w:line="500" w:lineRule="exact"/>
        <w:ind w:firstLine="420" w:firstLineChars="200"/>
        <w:rPr>
          <w:rFonts w:ascii="宋体" w:hAnsi="宋体" w:cs="宋体"/>
          <w:color w:val="auto"/>
          <w:szCs w:val="21"/>
        </w:rPr>
      </w:pPr>
      <w:r>
        <w:rPr>
          <w:rFonts w:hint="eastAsia" w:ascii="宋体" w:hAnsi="宋体" w:cs="宋体"/>
          <w:color w:val="auto"/>
          <w:szCs w:val="21"/>
        </w:rPr>
        <w:t>2.落实政府采购政策需满足的资格要求：无；</w:t>
      </w:r>
    </w:p>
    <w:p w14:paraId="050C34E3">
      <w:pPr>
        <w:spacing w:line="50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619691B0">
      <w:pPr>
        <w:pStyle w:val="5"/>
        <w:spacing w:before="0" w:line="500" w:lineRule="exact"/>
        <w:rPr>
          <w:rFonts w:ascii="宋体" w:hAnsi="宋体" w:cs="宋体"/>
          <w:bCs/>
          <w:color w:val="auto"/>
          <w:spacing w:val="0"/>
          <w:sz w:val="30"/>
          <w:szCs w:val="30"/>
        </w:rPr>
      </w:pPr>
      <w:bookmarkStart w:id="21" w:name="_Toc24397"/>
      <w:bookmarkStart w:id="22" w:name="_Toc1567"/>
      <w:bookmarkStart w:id="23" w:name="_Toc6468"/>
      <w:r>
        <w:rPr>
          <w:rFonts w:hint="eastAsia" w:ascii="宋体" w:hAnsi="宋体" w:cs="宋体"/>
          <w:bCs/>
          <w:color w:val="auto"/>
          <w:spacing w:val="0"/>
          <w:sz w:val="30"/>
          <w:szCs w:val="30"/>
        </w:rPr>
        <w:t>三、获取招标文件</w:t>
      </w:r>
      <w:bookmarkEnd w:id="21"/>
      <w:bookmarkEnd w:id="22"/>
      <w:bookmarkEnd w:id="23"/>
    </w:p>
    <w:p w14:paraId="5B89D6A2">
      <w:pPr>
        <w:spacing w:line="500" w:lineRule="exact"/>
        <w:ind w:firstLine="420" w:firstLineChars="200"/>
        <w:rPr>
          <w:rFonts w:ascii="宋体" w:hAnsi="宋体" w:cs="宋体"/>
          <w:color w:val="auto"/>
          <w:szCs w:val="21"/>
        </w:rPr>
      </w:pPr>
      <w:r>
        <w:rPr>
          <w:rFonts w:hint="eastAsia" w:ascii="宋体" w:hAnsi="宋体" w:cs="宋体"/>
          <w:color w:val="auto"/>
          <w:szCs w:val="21"/>
        </w:rPr>
        <w:t>1.时间：2025年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05</w:t>
      </w:r>
      <w:r>
        <w:rPr>
          <w:rFonts w:hint="eastAsia" w:ascii="宋体" w:hAnsi="宋体" w:cs="宋体"/>
          <w:color w:val="auto"/>
          <w:szCs w:val="21"/>
        </w:rPr>
        <w:t>日至2025年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日23:59（北京</w:t>
      </w:r>
      <w:r>
        <w:rPr>
          <w:rFonts w:hint="eastAsia" w:ascii="宋体" w:hAnsi="宋体" w:cs="宋体"/>
          <w:bCs/>
          <w:color w:val="auto"/>
          <w:szCs w:val="21"/>
        </w:rPr>
        <w:t>时间，法定节假日除外）。</w:t>
      </w:r>
    </w:p>
    <w:p w14:paraId="5514111F">
      <w:pPr>
        <w:spacing w:line="500" w:lineRule="exact"/>
        <w:ind w:firstLine="420" w:firstLineChars="200"/>
        <w:rPr>
          <w:rFonts w:ascii="宋体" w:hAnsi="宋体" w:cs="宋体"/>
          <w:color w:val="auto"/>
          <w:szCs w:val="21"/>
        </w:rPr>
      </w:pPr>
      <w:r>
        <w:rPr>
          <w:rFonts w:hint="eastAsia" w:ascii="宋体" w:hAnsi="宋体" w:cs="宋体"/>
          <w:color w:val="auto"/>
          <w:szCs w:val="21"/>
        </w:rPr>
        <w:t>2.地点：“政采云”平台（https：//www.zcygov.cn）（操作路径：登录“政采云”平台-项目采购-获取采购文件 -找到本项目-点击“申请获取采购文件”）</w:t>
      </w:r>
    </w:p>
    <w:p w14:paraId="529C4D88">
      <w:pPr>
        <w:spacing w:line="500" w:lineRule="exact"/>
        <w:ind w:firstLine="420" w:firstLineChars="200"/>
        <w:rPr>
          <w:rFonts w:ascii="宋体" w:hAnsi="宋体" w:cs="宋体"/>
          <w:color w:val="auto"/>
          <w:szCs w:val="21"/>
        </w:rPr>
      </w:pPr>
      <w:r>
        <w:rPr>
          <w:rFonts w:hint="eastAsia" w:ascii="宋体" w:hAnsi="宋体" w:cs="宋体"/>
          <w:color w:val="auto"/>
          <w:szCs w:val="21"/>
        </w:rPr>
        <w:t>3.方式：凡有意参加投标者，须在政采云平台办理数字证书（CA)，CA申领链接https://yzt.ynsmartcert.cn/cms/yztgr.html，数字证书（CA）办理完成后需在政采云平台绑定数字证书(CA)并在平台获取采购文件及其它采购资料。</w:t>
      </w:r>
    </w:p>
    <w:p w14:paraId="1576AFCD">
      <w:pPr>
        <w:wordWrap w:val="0"/>
        <w:spacing w:line="500" w:lineRule="exact"/>
        <w:ind w:firstLine="420" w:firstLineChars="200"/>
        <w:rPr>
          <w:rFonts w:ascii="宋体" w:hAnsi="宋体" w:cs="宋体"/>
          <w:color w:val="auto"/>
          <w:szCs w:val="21"/>
        </w:rPr>
      </w:pPr>
      <w:r>
        <w:rPr>
          <w:rFonts w:hint="eastAsia" w:ascii="宋体" w:hAnsi="宋体" w:cs="宋体"/>
          <w:color w:val="auto"/>
          <w:szCs w:val="21"/>
        </w:rPr>
        <w:t>注:按上述要求获取文件的投标人视为合法获取了本项目采购文件，具备本项目的投标资格。各投标人应在开标前确保成为政采云平台供应商，并完成CA数字证书申领。因未注册入库，未办理CA数字证书等原因造成无法投标或投标失败等由投标人自行承担,有意参加投标的投标人，须在政采云平台办理数字证书(CA) ，CA申领链接:https://yzt.ynsmartcert.cn/cms/yztgr.html。</w:t>
      </w:r>
    </w:p>
    <w:p w14:paraId="01FB1965">
      <w:pPr>
        <w:spacing w:line="500" w:lineRule="exact"/>
        <w:ind w:firstLine="420" w:firstLineChars="200"/>
        <w:rPr>
          <w:rFonts w:ascii="宋体" w:hAnsi="宋体" w:cs="宋体"/>
          <w:color w:val="auto"/>
          <w:szCs w:val="21"/>
        </w:rPr>
      </w:pPr>
      <w:r>
        <w:rPr>
          <w:rFonts w:hint="eastAsia" w:ascii="宋体" w:hAnsi="宋体" w:cs="宋体"/>
          <w:color w:val="auto"/>
          <w:szCs w:val="21"/>
        </w:rPr>
        <w:t>（1.）如有问题可拨打政采云客户服务热线95763进行咨询，数字证书问题可咨询云南壹证通CA：0871-67276028（紧急可拨19988166369）。</w:t>
      </w:r>
    </w:p>
    <w:p w14:paraId="56DCCED8">
      <w:pPr>
        <w:spacing w:line="500" w:lineRule="exact"/>
        <w:ind w:firstLine="420" w:firstLineChars="200"/>
        <w:rPr>
          <w:rFonts w:ascii="宋体" w:hAnsi="宋体" w:cs="宋体"/>
          <w:color w:val="auto"/>
          <w:szCs w:val="21"/>
        </w:rPr>
      </w:pPr>
      <w:r>
        <w:rPr>
          <w:rFonts w:hint="eastAsia" w:ascii="宋体" w:hAnsi="宋体" w:cs="宋体"/>
          <w:color w:val="auto"/>
          <w:szCs w:val="21"/>
        </w:rPr>
        <w:t>如因投标人自身原因导致在规定时间内无法正常解密的(如:浏览器故障、未安装相关驱动、网络故障、加密CA与解密CA不一致等），视为投标人自动弃标，代理机构不予处理。</w:t>
      </w:r>
    </w:p>
    <w:p w14:paraId="62179628">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（2.）云南本地投标人如之前已在云南CA在线数字证书办理网进行过注册并办理过企业数字证书（CA），直接绑定即可，无需重复办理（2022年1月1日前办理的云南CA需到云南CA办理处进行升级）。 </w:t>
      </w:r>
    </w:p>
    <w:p w14:paraId="276ACB86">
      <w:pPr>
        <w:pStyle w:val="5"/>
        <w:spacing w:before="0" w:line="500" w:lineRule="exact"/>
        <w:rPr>
          <w:rFonts w:ascii="宋体" w:hAnsi="宋体" w:cs="宋体"/>
          <w:bCs/>
          <w:color w:val="auto"/>
          <w:spacing w:val="0"/>
          <w:sz w:val="30"/>
          <w:szCs w:val="30"/>
        </w:rPr>
      </w:pPr>
      <w:bookmarkStart w:id="24" w:name="_Toc11538"/>
      <w:bookmarkStart w:id="25" w:name="_Toc18168"/>
      <w:bookmarkStart w:id="26" w:name="_Toc7832"/>
      <w:r>
        <w:rPr>
          <w:rFonts w:hint="eastAsia" w:ascii="宋体" w:hAnsi="宋体" w:cs="宋体"/>
          <w:bCs/>
          <w:color w:val="auto"/>
          <w:spacing w:val="0"/>
          <w:sz w:val="30"/>
          <w:szCs w:val="30"/>
        </w:rPr>
        <w:t>四、提交投标文件截止时间、开标时间和地点</w:t>
      </w:r>
      <w:bookmarkEnd w:id="24"/>
      <w:bookmarkEnd w:id="25"/>
      <w:bookmarkEnd w:id="26"/>
    </w:p>
    <w:p w14:paraId="7372455C">
      <w:pPr>
        <w:spacing w:line="500" w:lineRule="exact"/>
        <w:ind w:firstLine="420" w:firstLineChars="200"/>
        <w:rPr>
          <w:rFonts w:ascii="宋体" w:hAnsi="宋体" w:cs="宋体"/>
          <w:bCs/>
          <w:color w:val="auto"/>
          <w:szCs w:val="21"/>
        </w:rPr>
      </w:pPr>
      <w:r>
        <w:rPr>
          <w:rFonts w:hint="eastAsia" w:ascii="宋体" w:hAnsi="宋体" w:cs="宋体"/>
          <w:bCs/>
          <w:color w:val="auto"/>
          <w:szCs w:val="21"/>
        </w:rPr>
        <w:t>1.提交投标文件截止时间、开标时间：</w:t>
      </w:r>
      <w:r>
        <w:rPr>
          <w:rFonts w:hint="eastAsia" w:ascii="宋体" w:hAnsi="宋体" w:cs="宋体"/>
          <w:color w:val="auto"/>
          <w:kern w:val="0"/>
          <w:szCs w:val="21"/>
          <w:lang w:eastAsia="zh-CN"/>
        </w:rPr>
        <w:t>2025年12月26日10点00分</w:t>
      </w:r>
      <w:r>
        <w:rPr>
          <w:rFonts w:hint="eastAsia" w:ascii="宋体" w:hAnsi="宋体" w:cs="宋体"/>
          <w:bCs/>
          <w:color w:val="auto"/>
          <w:szCs w:val="21"/>
        </w:rPr>
        <w:t>（北京时间）。</w:t>
      </w:r>
    </w:p>
    <w:p w14:paraId="52DCA8C2">
      <w:pPr>
        <w:spacing w:line="500" w:lineRule="exact"/>
        <w:ind w:firstLine="420" w:firstLineChars="200"/>
        <w:rPr>
          <w:rFonts w:ascii="宋体" w:hAnsi="宋体" w:cs="宋体"/>
          <w:color w:val="auto"/>
          <w:szCs w:val="21"/>
        </w:rPr>
      </w:pPr>
      <w:r>
        <w:rPr>
          <w:rFonts w:hint="eastAsia" w:ascii="宋体" w:hAnsi="宋体" w:cs="宋体"/>
          <w:bCs/>
          <w:color w:val="auto"/>
          <w:szCs w:val="21"/>
        </w:rPr>
        <w:t>2.提交投标文件地点：</w:t>
      </w:r>
      <w:r>
        <w:rPr>
          <w:rFonts w:hint="eastAsia" w:ascii="宋体" w:hAnsi="宋体" w:cs="宋体"/>
          <w:color w:val="auto"/>
          <w:szCs w:val="21"/>
        </w:rPr>
        <w:t>投标人应按照本项目采购文件和“政采云”平台的要求编制、加密投标文件后在投标文件提交截止时间前上传至“政采云”平台，投标人须在投标截止时间前完成所有电子投标文件的上传，投标截止时间前未完成投标文件传输的，视为撤回投标文件。投标人在“政采云”平台提交电子版投标文件时，请填写参加远程采购活动经办人联系方式。</w:t>
      </w:r>
    </w:p>
    <w:p w14:paraId="158E439C">
      <w:pPr>
        <w:spacing w:line="500" w:lineRule="exact"/>
        <w:ind w:firstLine="420" w:firstLineChars="200"/>
        <w:rPr>
          <w:rFonts w:ascii="宋体" w:hAnsi="宋体" w:cs="宋体"/>
          <w:b/>
          <w:color w:val="auto"/>
          <w:szCs w:val="21"/>
        </w:rPr>
      </w:pPr>
      <w:r>
        <w:rPr>
          <w:rFonts w:hint="eastAsia" w:ascii="宋体" w:hAnsi="宋体" w:cs="宋体"/>
          <w:color w:val="auto"/>
          <w:szCs w:val="21"/>
        </w:rPr>
        <w:t>3.开标地点：</w:t>
      </w:r>
      <w:r>
        <w:rPr>
          <w:rFonts w:hint="eastAsia" w:ascii="宋体" w:hAnsi="宋体" w:cs="宋体"/>
          <w:color w:val="auto"/>
          <w:kern w:val="0"/>
          <w:szCs w:val="21"/>
        </w:rPr>
        <w:t>云南冠睿咨询有限公司开标厅（云南省昆明市西山区万达广场南塔33层3310号），投标人无需到达</w:t>
      </w:r>
      <w:r>
        <w:rPr>
          <w:rFonts w:hint="eastAsia" w:ascii="宋体" w:hAnsi="宋体" w:cs="宋体"/>
          <w:color w:val="auto"/>
          <w:szCs w:val="21"/>
        </w:rPr>
        <w:t>开标地点</w:t>
      </w:r>
      <w:r>
        <w:rPr>
          <w:rFonts w:hint="eastAsia" w:ascii="宋体" w:hAnsi="宋体" w:cs="宋体"/>
          <w:color w:val="auto"/>
          <w:kern w:val="0"/>
          <w:szCs w:val="21"/>
        </w:rPr>
        <w:t>，须在“政采云”平台进行远程解密电子版投标文件</w:t>
      </w:r>
      <w:r>
        <w:rPr>
          <w:rFonts w:hint="eastAsia" w:ascii="宋体" w:hAnsi="宋体" w:cs="宋体"/>
          <w:color w:val="auto"/>
          <w:szCs w:val="21"/>
        </w:rPr>
        <w:t>。</w:t>
      </w:r>
    </w:p>
    <w:p w14:paraId="489384AE">
      <w:pPr>
        <w:pStyle w:val="5"/>
        <w:spacing w:before="0" w:line="500" w:lineRule="exact"/>
        <w:rPr>
          <w:rFonts w:ascii="宋体" w:hAnsi="宋体" w:cs="宋体"/>
          <w:bCs/>
          <w:color w:val="auto"/>
          <w:spacing w:val="0"/>
          <w:sz w:val="30"/>
          <w:szCs w:val="30"/>
        </w:rPr>
      </w:pPr>
      <w:bookmarkStart w:id="27" w:name="_Toc14578"/>
      <w:bookmarkStart w:id="28" w:name="_Toc18128"/>
      <w:bookmarkStart w:id="29" w:name="_Toc1074"/>
      <w:r>
        <w:rPr>
          <w:rFonts w:hint="eastAsia" w:ascii="宋体" w:hAnsi="宋体" w:cs="宋体"/>
          <w:bCs/>
          <w:color w:val="auto"/>
          <w:spacing w:val="0"/>
          <w:sz w:val="30"/>
          <w:szCs w:val="30"/>
        </w:rPr>
        <w:t>五、公告期限</w:t>
      </w:r>
      <w:bookmarkEnd w:id="27"/>
      <w:bookmarkEnd w:id="28"/>
      <w:bookmarkEnd w:id="29"/>
    </w:p>
    <w:p w14:paraId="044811FA">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147B2C24">
      <w:pPr>
        <w:pStyle w:val="5"/>
        <w:spacing w:before="0" w:line="500" w:lineRule="exact"/>
        <w:rPr>
          <w:rFonts w:ascii="宋体" w:hAnsi="宋体" w:cs="宋体"/>
          <w:bCs/>
          <w:color w:val="auto"/>
          <w:spacing w:val="0"/>
          <w:sz w:val="30"/>
          <w:szCs w:val="30"/>
        </w:rPr>
      </w:pPr>
      <w:bookmarkStart w:id="30" w:name="_Toc25037"/>
      <w:bookmarkStart w:id="31" w:name="_Toc16238"/>
      <w:bookmarkStart w:id="32" w:name="_Toc6743"/>
      <w:r>
        <w:rPr>
          <w:rFonts w:hint="eastAsia" w:ascii="宋体" w:hAnsi="宋体" w:cs="宋体"/>
          <w:bCs/>
          <w:color w:val="auto"/>
          <w:spacing w:val="0"/>
          <w:sz w:val="30"/>
          <w:szCs w:val="30"/>
        </w:rPr>
        <w:t>六、其他补充事宜</w:t>
      </w:r>
      <w:bookmarkEnd w:id="30"/>
      <w:bookmarkEnd w:id="31"/>
      <w:bookmarkEnd w:id="32"/>
    </w:p>
    <w:p w14:paraId="034CFBC7">
      <w:pPr>
        <w:pStyle w:val="72"/>
        <w:spacing w:line="500" w:lineRule="exact"/>
        <w:rPr>
          <w:rFonts w:ascii="宋体" w:hAnsi="宋体" w:cs="宋体"/>
          <w:color w:val="auto"/>
          <w:szCs w:val="21"/>
        </w:rPr>
      </w:pPr>
      <w:r>
        <w:rPr>
          <w:rFonts w:hint="eastAsia" w:ascii="宋体" w:hAnsi="宋体" w:cs="宋体"/>
          <w:color w:val="auto"/>
          <w:szCs w:val="21"/>
        </w:rPr>
        <w:t>1.发布公告的媒介：</w:t>
      </w:r>
      <w:r>
        <w:rPr>
          <w:rFonts w:hint="eastAsia" w:ascii="宋体" w:hAnsi="宋体" w:cs="宋体"/>
          <w:bCs/>
          <w:color w:val="auto"/>
          <w:szCs w:val="21"/>
        </w:rPr>
        <w:t>本次公开招标公告在“云南省政府采购网”上发布。</w:t>
      </w:r>
    </w:p>
    <w:p w14:paraId="0896B66E">
      <w:pPr>
        <w:pStyle w:val="72"/>
        <w:spacing w:line="500" w:lineRule="exact"/>
        <w:rPr>
          <w:rFonts w:ascii="宋体" w:hAnsi="宋体" w:cs="宋体"/>
          <w:color w:val="auto"/>
          <w:szCs w:val="21"/>
        </w:rPr>
      </w:pPr>
      <w:r>
        <w:rPr>
          <w:rFonts w:hint="eastAsia" w:ascii="宋体" w:hAnsi="宋体" w:cs="宋体"/>
          <w:color w:val="auto"/>
          <w:szCs w:val="21"/>
        </w:rPr>
        <w:t>2.本项目需要落实的政府采购政策：促进中小企业发展、促进残疾人就业、支持监狱企业发展、政府采购活动中查询及使用信用记录等，政府采购政策具体落实情况详见本项目招标文件。</w:t>
      </w:r>
    </w:p>
    <w:p w14:paraId="29528F32">
      <w:pPr>
        <w:pStyle w:val="72"/>
        <w:spacing w:line="500" w:lineRule="exact"/>
        <w:rPr>
          <w:rFonts w:ascii="宋体" w:hAnsi="宋体" w:cs="宋体"/>
          <w:color w:val="auto"/>
          <w:szCs w:val="21"/>
        </w:rPr>
      </w:pPr>
      <w:r>
        <w:rPr>
          <w:rFonts w:hint="eastAsia" w:ascii="宋体" w:hAnsi="宋体" w:cs="宋体"/>
          <w:color w:val="auto"/>
          <w:szCs w:val="21"/>
        </w:rPr>
        <w:t>3.采购代理机构账户信息：</w:t>
      </w:r>
    </w:p>
    <w:p w14:paraId="272AD1BE">
      <w:pPr>
        <w:pStyle w:val="72"/>
        <w:spacing w:line="500" w:lineRule="exact"/>
        <w:rPr>
          <w:rFonts w:ascii="宋体" w:hAnsi="宋体" w:cs="宋体"/>
          <w:color w:val="auto"/>
          <w:szCs w:val="21"/>
        </w:rPr>
      </w:pPr>
      <w:r>
        <w:rPr>
          <w:rFonts w:hint="eastAsia" w:ascii="宋体" w:hAnsi="宋体" w:cs="宋体"/>
          <w:color w:val="auto"/>
          <w:szCs w:val="21"/>
        </w:rPr>
        <w:t>开户名称：云南冠睿咨询有限公司</w:t>
      </w:r>
    </w:p>
    <w:p w14:paraId="0AC7FAEC">
      <w:pPr>
        <w:pStyle w:val="72"/>
        <w:spacing w:line="500" w:lineRule="exact"/>
        <w:rPr>
          <w:rFonts w:ascii="宋体" w:hAnsi="宋体" w:cs="宋体"/>
          <w:color w:val="auto"/>
          <w:szCs w:val="21"/>
        </w:rPr>
      </w:pPr>
      <w:r>
        <w:rPr>
          <w:rFonts w:hint="eastAsia" w:ascii="宋体" w:hAnsi="宋体" w:cs="宋体"/>
          <w:color w:val="auto"/>
          <w:szCs w:val="21"/>
        </w:rPr>
        <w:t>开户银行：中国民生银行股份有限公司昆明拓东路支行</w:t>
      </w:r>
    </w:p>
    <w:p w14:paraId="4997DCF7">
      <w:pPr>
        <w:pStyle w:val="72"/>
        <w:spacing w:line="500" w:lineRule="exact"/>
        <w:rPr>
          <w:rFonts w:ascii="宋体" w:hAnsi="宋体" w:cs="宋体"/>
          <w:color w:val="auto"/>
          <w:szCs w:val="21"/>
        </w:rPr>
      </w:pPr>
      <w:r>
        <w:rPr>
          <w:rFonts w:hint="eastAsia" w:ascii="宋体" w:hAnsi="宋体" w:cs="宋体"/>
          <w:color w:val="auto"/>
          <w:szCs w:val="21"/>
        </w:rPr>
        <w:t>账号：636611192</w:t>
      </w:r>
    </w:p>
    <w:p w14:paraId="614578B1">
      <w:pPr>
        <w:pStyle w:val="5"/>
        <w:spacing w:before="0" w:line="500" w:lineRule="exact"/>
        <w:rPr>
          <w:rFonts w:ascii="宋体" w:hAnsi="宋体" w:cs="宋体"/>
          <w:bCs/>
          <w:color w:val="auto"/>
          <w:spacing w:val="0"/>
          <w:sz w:val="30"/>
          <w:szCs w:val="30"/>
        </w:rPr>
      </w:pPr>
      <w:bookmarkStart w:id="33" w:name="_Toc28079"/>
      <w:bookmarkStart w:id="34" w:name="_Toc18186"/>
      <w:bookmarkStart w:id="35" w:name="_Toc17429"/>
      <w:r>
        <w:rPr>
          <w:rFonts w:hint="eastAsia" w:ascii="宋体" w:hAnsi="宋体" w:cs="宋体"/>
          <w:bCs/>
          <w:color w:val="auto"/>
          <w:spacing w:val="0"/>
          <w:sz w:val="30"/>
          <w:szCs w:val="30"/>
        </w:rPr>
        <w:t>七、对本次招标提出询问，请按以下方式联系</w:t>
      </w:r>
      <w:bookmarkEnd w:id="33"/>
      <w:bookmarkEnd w:id="34"/>
      <w:bookmarkEnd w:id="35"/>
    </w:p>
    <w:p w14:paraId="7D39FB9C">
      <w:pPr>
        <w:spacing w:line="480" w:lineRule="exact"/>
        <w:ind w:firstLine="420" w:firstLineChars="200"/>
        <w:rPr>
          <w:rFonts w:ascii="宋体" w:hAnsi="宋体" w:cs="宋体"/>
          <w:color w:val="auto"/>
        </w:rPr>
      </w:pPr>
      <w:r>
        <w:rPr>
          <w:rFonts w:hint="eastAsia" w:ascii="宋体" w:hAnsi="宋体" w:cs="宋体"/>
          <w:color w:val="auto"/>
        </w:rPr>
        <w:t>1.采购人信息</w:t>
      </w:r>
    </w:p>
    <w:p w14:paraId="5ACF281B">
      <w:pPr>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云南省监狱管理局</w:t>
      </w:r>
    </w:p>
    <w:p w14:paraId="0421B593">
      <w:pPr>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lang w:eastAsia="zh-CN"/>
        </w:rPr>
      </w:pPr>
      <w:r>
        <w:rPr>
          <w:rFonts w:hint="eastAsia" w:ascii="宋体" w:hAnsi="宋体" w:cs="宋体"/>
        </w:rPr>
        <w:t>地址：</w:t>
      </w:r>
      <w:r>
        <w:rPr>
          <w:rFonts w:hint="eastAsia" w:ascii="宋体" w:hAnsi="宋体" w:cs="宋体"/>
          <w:lang w:eastAsia="zh-CN"/>
        </w:rPr>
        <w:t>五华区翠湖南路138号</w:t>
      </w:r>
    </w:p>
    <w:p w14:paraId="613B2F45">
      <w:pPr>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lang w:eastAsia="zh-CN"/>
        </w:rPr>
      </w:pPr>
      <w:r>
        <w:rPr>
          <w:rFonts w:hint="eastAsia" w:ascii="宋体" w:hAnsi="宋体" w:cs="宋体"/>
        </w:rPr>
        <w:t>联系人：</w:t>
      </w:r>
      <w:r>
        <w:rPr>
          <w:rFonts w:hint="eastAsia" w:ascii="宋体" w:hAnsi="宋体" w:cs="宋体"/>
          <w:lang w:val="en-US" w:eastAsia="zh-CN"/>
        </w:rPr>
        <w:t>马老师</w:t>
      </w:r>
    </w:p>
    <w:p w14:paraId="0D565B16">
      <w:pPr>
        <w:pageBreakBefore w:val="0"/>
        <w:widowControl w:val="0"/>
        <w:kinsoku/>
        <w:overflowPunct/>
        <w:topLinePunct w:val="0"/>
        <w:autoSpaceDE/>
        <w:autoSpaceDN/>
        <w:bidi w:val="0"/>
        <w:adjustRightInd/>
        <w:snapToGrid/>
        <w:spacing w:line="440" w:lineRule="exact"/>
        <w:ind w:firstLine="420" w:firstLineChars="200"/>
        <w:textAlignment w:val="auto"/>
        <w:rPr>
          <w:rFonts w:ascii="宋体" w:hAnsi="宋体" w:cs="宋体"/>
        </w:rPr>
      </w:pPr>
      <w:r>
        <w:rPr>
          <w:rFonts w:hint="eastAsia" w:ascii="宋体" w:hAnsi="宋体" w:cs="宋体"/>
        </w:rPr>
        <w:t>联系方式：0871-66116989</w:t>
      </w:r>
    </w:p>
    <w:p w14:paraId="2700BAED">
      <w:pPr>
        <w:spacing w:line="500" w:lineRule="exact"/>
        <w:rPr>
          <w:rFonts w:ascii="宋体" w:hAnsi="宋体" w:cs="宋体"/>
          <w:color w:val="auto"/>
        </w:rPr>
      </w:pPr>
    </w:p>
    <w:p w14:paraId="6BE43697">
      <w:pPr>
        <w:spacing w:line="500" w:lineRule="exact"/>
        <w:ind w:firstLine="420" w:firstLineChars="200"/>
        <w:rPr>
          <w:rFonts w:ascii="宋体" w:hAnsi="宋体" w:cs="宋体"/>
          <w:color w:val="auto"/>
        </w:rPr>
      </w:pPr>
      <w:r>
        <w:rPr>
          <w:rFonts w:hint="eastAsia" w:ascii="宋体" w:hAnsi="宋体" w:cs="宋体"/>
          <w:color w:val="auto"/>
        </w:rPr>
        <w:t>2.采购代理机构信息</w:t>
      </w:r>
    </w:p>
    <w:p w14:paraId="2923A5EC">
      <w:pPr>
        <w:spacing w:line="500" w:lineRule="exact"/>
        <w:ind w:firstLine="420" w:firstLineChars="200"/>
        <w:rPr>
          <w:rFonts w:ascii="宋体" w:hAnsi="宋体" w:cs="宋体"/>
          <w:color w:val="auto"/>
        </w:rPr>
      </w:pPr>
      <w:r>
        <w:rPr>
          <w:rFonts w:hint="eastAsia" w:ascii="宋体" w:hAnsi="宋体" w:cs="宋体"/>
          <w:color w:val="auto"/>
        </w:rPr>
        <w:t>名称：云南冠睿咨询有限公司</w:t>
      </w:r>
    </w:p>
    <w:p w14:paraId="53F09917">
      <w:pPr>
        <w:spacing w:line="500" w:lineRule="exact"/>
        <w:ind w:firstLine="420" w:firstLineChars="200"/>
        <w:rPr>
          <w:rFonts w:ascii="宋体" w:hAnsi="宋体" w:cs="宋体"/>
          <w:color w:val="auto"/>
        </w:rPr>
      </w:pPr>
      <w:r>
        <w:rPr>
          <w:rFonts w:hint="eastAsia" w:ascii="宋体" w:hAnsi="宋体" w:cs="宋体"/>
          <w:color w:val="auto"/>
        </w:rPr>
        <w:t>地址：云南省昆明市西山区万达广场南塔32层3201号</w:t>
      </w:r>
    </w:p>
    <w:p w14:paraId="1BDDA6FB">
      <w:pPr>
        <w:spacing w:line="500" w:lineRule="exact"/>
        <w:ind w:firstLine="420" w:firstLineChars="200"/>
        <w:rPr>
          <w:rFonts w:ascii="宋体" w:hAnsi="宋体" w:cs="宋体"/>
          <w:color w:val="auto"/>
        </w:rPr>
      </w:pPr>
      <w:r>
        <w:rPr>
          <w:rFonts w:hint="eastAsia" w:ascii="宋体" w:hAnsi="宋体" w:cs="宋体"/>
          <w:color w:val="auto"/>
        </w:rPr>
        <w:t>联系人：祝欣、陈沿锦、丁传觐、王国玺、吴翊、李腾芳、王彦飞、汪怡含、肖枝莲、蒋兴杰、杨益鑫、邓楚卿、刘晓云、张振荣</w:t>
      </w:r>
    </w:p>
    <w:p w14:paraId="7DB820CC">
      <w:pPr>
        <w:spacing w:line="500" w:lineRule="exact"/>
        <w:ind w:firstLine="420" w:firstLineChars="200"/>
        <w:rPr>
          <w:rFonts w:ascii="宋体" w:hAnsi="宋体" w:cs="宋体"/>
          <w:color w:val="auto"/>
        </w:rPr>
      </w:pPr>
      <w:r>
        <w:rPr>
          <w:rFonts w:hint="eastAsia" w:ascii="宋体" w:hAnsi="宋体" w:cs="宋体"/>
          <w:color w:val="auto"/>
        </w:rPr>
        <w:t>联系方式：0871-65511240、0871-65511241</w:t>
      </w:r>
    </w:p>
    <w:p w14:paraId="716D4BF4">
      <w:pPr>
        <w:spacing w:line="500" w:lineRule="exact"/>
        <w:ind w:firstLine="420" w:firstLineChars="200"/>
        <w:rPr>
          <w:rFonts w:ascii="宋体" w:hAnsi="宋体" w:cs="宋体"/>
          <w:color w:val="auto"/>
        </w:rPr>
      </w:pPr>
    </w:p>
    <w:p w14:paraId="47407487">
      <w:pPr>
        <w:spacing w:line="500" w:lineRule="exact"/>
        <w:ind w:firstLine="420" w:firstLineChars="200"/>
        <w:rPr>
          <w:rFonts w:ascii="宋体" w:hAnsi="宋体" w:cs="宋体"/>
          <w:color w:val="auto"/>
        </w:rPr>
      </w:pPr>
      <w:r>
        <w:rPr>
          <w:rFonts w:hint="eastAsia" w:ascii="宋体" w:hAnsi="宋体" w:cs="宋体"/>
          <w:color w:val="auto"/>
        </w:rPr>
        <w:t>3.项目联系方式</w:t>
      </w:r>
    </w:p>
    <w:p w14:paraId="46A0F56E">
      <w:pPr>
        <w:spacing w:line="500" w:lineRule="exact"/>
        <w:ind w:firstLine="420" w:firstLineChars="200"/>
        <w:rPr>
          <w:rFonts w:ascii="宋体" w:hAnsi="宋体" w:cs="宋体"/>
          <w:color w:val="auto"/>
        </w:rPr>
      </w:pPr>
      <w:r>
        <w:rPr>
          <w:rFonts w:hint="eastAsia" w:ascii="宋体" w:hAnsi="宋体" w:cs="宋体"/>
          <w:color w:val="auto"/>
        </w:rPr>
        <w:t>项目联系人：祝欣、陈沿锦、丁传觐、王国玺、吴翊、李腾芳、王彦飞、汪怡含、肖枝莲、蒋兴杰、杨益鑫、邓楚卿、刘晓云、张振荣</w:t>
      </w:r>
    </w:p>
    <w:p w14:paraId="0C4BEA44">
      <w:pPr>
        <w:spacing w:line="500" w:lineRule="exact"/>
        <w:ind w:firstLine="420" w:firstLineChars="200"/>
        <w:rPr>
          <w:rFonts w:ascii="宋体" w:hAnsi="宋体" w:cs="宋体"/>
          <w:color w:val="auto"/>
        </w:rPr>
      </w:pPr>
      <w:r>
        <w:rPr>
          <w:rFonts w:hint="eastAsia" w:ascii="宋体" w:hAnsi="宋体" w:cs="宋体"/>
          <w:color w:val="auto"/>
        </w:rPr>
        <w:t>电话：0871-65511240、0871-65511241</w:t>
      </w:r>
    </w:p>
    <w:p w14:paraId="21A79EA8">
      <w:pPr>
        <w:spacing w:line="500" w:lineRule="exact"/>
        <w:ind w:firstLine="420" w:firstLineChars="200"/>
        <w:rPr>
          <w:rFonts w:ascii="宋体" w:hAnsi="宋体" w:cs="宋体"/>
          <w:color w:val="auto"/>
        </w:rPr>
      </w:pPr>
      <w:r>
        <w:rPr>
          <w:rFonts w:hint="eastAsia" w:ascii="宋体" w:hAnsi="宋体" w:cs="宋体"/>
          <w:color w:val="auto"/>
        </w:rPr>
        <w:br w:type="page"/>
      </w:r>
    </w:p>
    <w:p w14:paraId="6475A87A">
      <w:pPr>
        <w:pStyle w:val="4"/>
        <w:spacing w:before="0" w:after="0" w:line="500" w:lineRule="exact"/>
        <w:rPr>
          <w:rFonts w:ascii="宋体" w:hAnsi="宋体" w:cs="宋体"/>
          <w:color w:val="auto"/>
        </w:rPr>
      </w:pPr>
      <w:bookmarkStart w:id="36" w:name="_Toc22781"/>
      <w:bookmarkStart w:id="37" w:name="_Toc28283"/>
      <w:r>
        <w:rPr>
          <w:rFonts w:hint="eastAsia" w:ascii="宋体" w:hAnsi="宋体" w:cs="宋体"/>
          <w:color w:val="auto"/>
        </w:rPr>
        <w:t>第二章投标人须知</w:t>
      </w:r>
      <w:bookmarkEnd w:id="36"/>
      <w:bookmarkEnd w:id="37"/>
    </w:p>
    <w:p w14:paraId="1C8F5EED">
      <w:pPr>
        <w:pStyle w:val="5"/>
        <w:spacing w:before="0" w:line="500" w:lineRule="exact"/>
        <w:jc w:val="center"/>
        <w:rPr>
          <w:rFonts w:ascii="宋体" w:hAnsi="宋体" w:cs="宋体"/>
          <w:color w:val="auto"/>
          <w:spacing w:val="0"/>
          <w:kern w:val="0"/>
          <w:sz w:val="28"/>
          <w:szCs w:val="28"/>
        </w:rPr>
      </w:pPr>
      <w:bookmarkStart w:id="38" w:name="_Toc17234"/>
      <w:bookmarkStart w:id="39" w:name="_Toc16057"/>
      <w:r>
        <w:rPr>
          <w:rFonts w:hint="eastAsia" w:ascii="宋体" w:hAnsi="宋体" w:cs="宋体"/>
          <w:color w:val="auto"/>
          <w:spacing w:val="0"/>
          <w:kern w:val="0"/>
          <w:sz w:val="28"/>
          <w:szCs w:val="28"/>
        </w:rPr>
        <w:t>投标人须知前附表</w:t>
      </w:r>
      <w:bookmarkEnd w:id="38"/>
      <w:bookmarkEnd w:id="39"/>
    </w:p>
    <w:tbl>
      <w:tblPr>
        <w:tblStyle w:val="41"/>
        <w:tblW w:w="9511" w:type="dxa"/>
        <w:jc w:val="center"/>
        <w:tblLayout w:type="fixed"/>
        <w:tblCellMar>
          <w:top w:w="0" w:type="dxa"/>
          <w:left w:w="108" w:type="dxa"/>
          <w:bottom w:w="0" w:type="dxa"/>
          <w:right w:w="108" w:type="dxa"/>
        </w:tblCellMar>
      </w:tblPr>
      <w:tblGrid>
        <w:gridCol w:w="949"/>
        <w:gridCol w:w="2108"/>
        <w:gridCol w:w="6454"/>
      </w:tblGrid>
      <w:tr w14:paraId="14E7830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F508BD3">
            <w:pPr>
              <w:spacing w:before="120" w:beforeLines="50" w:line="360" w:lineRule="auto"/>
              <w:jc w:val="center"/>
              <w:rPr>
                <w:rFonts w:ascii="宋体" w:hAnsi="宋体" w:cs="宋体"/>
                <w:b/>
                <w:bCs/>
                <w:color w:val="auto"/>
              </w:rPr>
            </w:pPr>
            <w:r>
              <w:rPr>
                <w:rFonts w:hint="eastAsia" w:ascii="宋体" w:hAnsi="宋体" w:cs="宋体"/>
                <w:b/>
                <w:bCs/>
                <w:color w:val="auto"/>
              </w:rPr>
              <w:t>条款号</w:t>
            </w:r>
          </w:p>
        </w:tc>
        <w:tc>
          <w:tcPr>
            <w:tcW w:w="2108" w:type="dxa"/>
            <w:tcBorders>
              <w:top w:val="single" w:color="auto" w:sz="4" w:space="0"/>
              <w:left w:val="single" w:color="auto" w:sz="4" w:space="0"/>
              <w:bottom w:val="single" w:color="auto" w:sz="4" w:space="0"/>
              <w:right w:val="single" w:color="auto" w:sz="4" w:space="0"/>
            </w:tcBorders>
            <w:vAlign w:val="center"/>
          </w:tcPr>
          <w:p w14:paraId="45E9CDFE">
            <w:pPr>
              <w:spacing w:before="120" w:beforeLines="50" w:line="360" w:lineRule="auto"/>
              <w:jc w:val="center"/>
              <w:rPr>
                <w:rFonts w:ascii="宋体" w:hAnsi="宋体" w:cs="宋体"/>
                <w:b/>
                <w:bCs/>
                <w:color w:val="auto"/>
              </w:rPr>
            </w:pPr>
            <w:r>
              <w:rPr>
                <w:rFonts w:hint="eastAsia" w:ascii="宋体" w:hAnsi="宋体" w:cs="宋体"/>
                <w:b/>
                <w:bCs/>
                <w:color w:val="auto"/>
              </w:rPr>
              <w:t>条款名称</w:t>
            </w:r>
          </w:p>
        </w:tc>
        <w:tc>
          <w:tcPr>
            <w:tcW w:w="6454" w:type="dxa"/>
            <w:tcBorders>
              <w:top w:val="single" w:color="auto" w:sz="4" w:space="0"/>
              <w:left w:val="single" w:color="auto" w:sz="4" w:space="0"/>
              <w:bottom w:val="single" w:color="auto" w:sz="4" w:space="0"/>
              <w:right w:val="single" w:color="auto" w:sz="4" w:space="0"/>
            </w:tcBorders>
            <w:vAlign w:val="center"/>
          </w:tcPr>
          <w:p w14:paraId="7F2C7ADB">
            <w:pPr>
              <w:spacing w:before="120" w:beforeLines="50" w:line="360" w:lineRule="auto"/>
              <w:jc w:val="center"/>
              <w:rPr>
                <w:rFonts w:ascii="宋体" w:hAnsi="宋体" w:cs="宋体"/>
                <w:b/>
                <w:bCs/>
                <w:color w:val="auto"/>
              </w:rPr>
            </w:pPr>
            <w:r>
              <w:rPr>
                <w:rFonts w:hint="eastAsia" w:ascii="宋体" w:hAnsi="宋体" w:cs="宋体"/>
                <w:b/>
                <w:bCs/>
                <w:color w:val="auto"/>
              </w:rPr>
              <w:t>编列内容</w:t>
            </w:r>
          </w:p>
        </w:tc>
      </w:tr>
      <w:tr w14:paraId="2AAA46D9">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F12132E">
            <w:pPr>
              <w:spacing w:before="120" w:beforeLines="50" w:line="360" w:lineRule="auto"/>
              <w:jc w:val="center"/>
              <w:rPr>
                <w:rFonts w:ascii="宋体" w:hAnsi="宋体" w:cs="宋体"/>
                <w:color w:val="auto"/>
              </w:rPr>
            </w:pPr>
            <w:r>
              <w:rPr>
                <w:rFonts w:hint="eastAsia" w:ascii="宋体" w:hAnsi="宋体" w:cs="宋体"/>
                <w:color w:val="auto"/>
              </w:rPr>
              <w:t>1.2</w:t>
            </w:r>
          </w:p>
        </w:tc>
        <w:tc>
          <w:tcPr>
            <w:tcW w:w="2108" w:type="dxa"/>
            <w:tcBorders>
              <w:top w:val="single" w:color="auto" w:sz="4" w:space="0"/>
              <w:left w:val="single" w:color="auto" w:sz="4" w:space="0"/>
              <w:bottom w:val="single" w:color="auto" w:sz="4" w:space="0"/>
              <w:right w:val="single" w:color="auto" w:sz="4" w:space="0"/>
            </w:tcBorders>
            <w:vAlign w:val="center"/>
          </w:tcPr>
          <w:p w14:paraId="0314D2A9">
            <w:pPr>
              <w:spacing w:before="120" w:beforeLines="50" w:line="360" w:lineRule="auto"/>
              <w:jc w:val="center"/>
              <w:rPr>
                <w:rFonts w:ascii="宋体" w:hAnsi="宋体" w:cs="宋体"/>
                <w:color w:val="auto"/>
              </w:rPr>
            </w:pPr>
            <w:r>
              <w:rPr>
                <w:rFonts w:hint="eastAsia" w:ascii="宋体" w:hAnsi="宋体" w:cs="宋体"/>
                <w:color w:val="auto"/>
              </w:rPr>
              <w:t>采购人</w:t>
            </w:r>
          </w:p>
        </w:tc>
        <w:tc>
          <w:tcPr>
            <w:tcW w:w="6454" w:type="dxa"/>
            <w:tcBorders>
              <w:top w:val="single" w:color="auto" w:sz="4" w:space="0"/>
              <w:left w:val="single" w:color="auto" w:sz="4" w:space="0"/>
              <w:bottom w:val="single" w:color="auto" w:sz="4" w:space="0"/>
              <w:right w:val="single" w:color="auto" w:sz="4" w:space="0"/>
            </w:tcBorders>
            <w:vAlign w:val="center"/>
          </w:tcPr>
          <w:p w14:paraId="7DF09BD5">
            <w:pPr>
              <w:spacing w:before="120" w:beforeLines="50" w:line="360" w:lineRule="auto"/>
              <w:rPr>
                <w:rFonts w:hint="eastAsia" w:ascii="宋体" w:hAnsi="宋体" w:eastAsia="宋体" w:cs="宋体"/>
                <w:color w:val="auto"/>
                <w:lang w:eastAsia="zh-CN"/>
              </w:rPr>
            </w:pPr>
            <w:r>
              <w:rPr>
                <w:rFonts w:hint="eastAsia" w:ascii="宋体" w:hAnsi="宋体" w:cs="宋体"/>
                <w:color w:val="auto"/>
                <w:szCs w:val="22"/>
              </w:rPr>
              <w:t>采购人：</w:t>
            </w:r>
            <w:r>
              <w:rPr>
                <w:rFonts w:hint="eastAsia" w:ascii="宋体" w:hAnsi="宋体" w:cs="宋体"/>
                <w:color w:val="auto"/>
                <w:szCs w:val="22"/>
                <w:lang w:eastAsia="zh-CN"/>
              </w:rPr>
              <w:t>云南省监狱管理局</w:t>
            </w:r>
          </w:p>
        </w:tc>
      </w:tr>
      <w:tr w14:paraId="2FB1270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8ACCA08">
            <w:pPr>
              <w:spacing w:before="120" w:beforeLines="50" w:line="360" w:lineRule="auto"/>
              <w:jc w:val="center"/>
              <w:rPr>
                <w:rFonts w:ascii="宋体" w:hAnsi="宋体" w:cs="宋体"/>
                <w:color w:val="auto"/>
              </w:rPr>
            </w:pPr>
            <w:r>
              <w:rPr>
                <w:rFonts w:hint="eastAsia" w:ascii="宋体" w:hAnsi="宋体" w:cs="宋体"/>
                <w:color w:val="auto"/>
              </w:rPr>
              <w:t>1.3</w:t>
            </w:r>
          </w:p>
        </w:tc>
        <w:tc>
          <w:tcPr>
            <w:tcW w:w="2108" w:type="dxa"/>
            <w:tcBorders>
              <w:top w:val="single" w:color="auto" w:sz="4" w:space="0"/>
              <w:left w:val="single" w:color="auto" w:sz="4" w:space="0"/>
              <w:bottom w:val="single" w:color="auto" w:sz="4" w:space="0"/>
              <w:right w:val="single" w:color="auto" w:sz="4" w:space="0"/>
            </w:tcBorders>
            <w:vAlign w:val="center"/>
          </w:tcPr>
          <w:p w14:paraId="0B97190E">
            <w:pPr>
              <w:spacing w:before="120" w:beforeLines="50" w:line="360" w:lineRule="auto"/>
              <w:jc w:val="center"/>
              <w:rPr>
                <w:rFonts w:ascii="宋体" w:hAnsi="宋体" w:cs="宋体"/>
                <w:color w:val="auto"/>
              </w:rPr>
            </w:pPr>
            <w:r>
              <w:rPr>
                <w:rFonts w:hint="eastAsia" w:ascii="宋体" w:hAnsi="宋体" w:cs="宋体"/>
                <w:color w:val="auto"/>
              </w:rPr>
              <w:t>采购代理机构</w:t>
            </w:r>
          </w:p>
        </w:tc>
        <w:tc>
          <w:tcPr>
            <w:tcW w:w="6454" w:type="dxa"/>
            <w:tcBorders>
              <w:top w:val="single" w:color="auto" w:sz="4" w:space="0"/>
              <w:left w:val="single" w:color="auto" w:sz="4" w:space="0"/>
              <w:bottom w:val="single" w:color="auto" w:sz="4" w:space="0"/>
              <w:right w:val="single" w:color="auto" w:sz="4" w:space="0"/>
            </w:tcBorders>
            <w:vAlign w:val="center"/>
          </w:tcPr>
          <w:p w14:paraId="448BE778">
            <w:pPr>
              <w:spacing w:before="120" w:beforeLines="50" w:line="360" w:lineRule="auto"/>
              <w:rPr>
                <w:rFonts w:ascii="宋体" w:hAnsi="宋体" w:cs="宋体"/>
                <w:color w:val="auto"/>
              </w:rPr>
            </w:pPr>
            <w:r>
              <w:rPr>
                <w:rFonts w:hint="eastAsia" w:ascii="宋体" w:hAnsi="宋体" w:cs="宋体"/>
                <w:color w:val="auto"/>
              </w:rPr>
              <w:t>采购代理机构：云南冠睿咨询有限公司</w:t>
            </w:r>
          </w:p>
        </w:tc>
      </w:tr>
      <w:tr w14:paraId="75331903">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7731FFE">
            <w:pPr>
              <w:spacing w:before="120" w:beforeLines="50" w:line="360" w:lineRule="auto"/>
              <w:jc w:val="center"/>
              <w:rPr>
                <w:rFonts w:ascii="宋体" w:hAnsi="宋体" w:cs="宋体"/>
                <w:color w:val="auto"/>
              </w:rPr>
            </w:pPr>
            <w:r>
              <w:rPr>
                <w:rFonts w:hint="eastAsia" w:ascii="宋体" w:hAnsi="宋体" w:cs="宋体"/>
                <w:color w:val="auto"/>
              </w:rPr>
              <w:t>1.4</w:t>
            </w:r>
          </w:p>
        </w:tc>
        <w:tc>
          <w:tcPr>
            <w:tcW w:w="2108" w:type="dxa"/>
            <w:tcBorders>
              <w:top w:val="single" w:color="auto" w:sz="4" w:space="0"/>
              <w:left w:val="single" w:color="auto" w:sz="4" w:space="0"/>
              <w:bottom w:val="single" w:color="auto" w:sz="4" w:space="0"/>
              <w:right w:val="single" w:color="auto" w:sz="4" w:space="0"/>
            </w:tcBorders>
            <w:vAlign w:val="center"/>
          </w:tcPr>
          <w:p w14:paraId="348DD0AC">
            <w:pPr>
              <w:spacing w:before="120" w:beforeLines="50" w:line="360" w:lineRule="auto"/>
              <w:jc w:val="center"/>
              <w:rPr>
                <w:rFonts w:ascii="宋体" w:hAnsi="宋体" w:cs="宋体"/>
                <w:color w:val="auto"/>
              </w:rPr>
            </w:pPr>
            <w:r>
              <w:rPr>
                <w:rFonts w:hint="eastAsia" w:ascii="宋体" w:hAnsi="宋体" w:cs="宋体"/>
                <w:color w:val="auto"/>
              </w:rPr>
              <w:t>项目名称及项目编号</w:t>
            </w:r>
          </w:p>
        </w:tc>
        <w:tc>
          <w:tcPr>
            <w:tcW w:w="6454" w:type="dxa"/>
            <w:tcBorders>
              <w:top w:val="single" w:color="auto" w:sz="4" w:space="0"/>
              <w:left w:val="single" w:color="auto" w:sz="4" w:space="0"/>
              <w:bottom w:val="single" w:color="auto" w:sz="4" w:space="0"/>
              <w:right w:val="single" w:color="auto" w:sz="4" w:space="0"/>
            </w:tcBorders>
            <w:vAlign w:val="center"/>
          </w:tcPr>
          <w:p w14:paraId="24D396A8">
            <w:pPr>
              <w:spacing w:before="120" w:beforeLines="50" w:line="360" w:lineRule="auto"/>
              <w:rPr>
                <w:rFonts w:hint="eastAsia" w:ascii="宋体" w:hAnsi="宋体" w:eastAsia="宋体" w:cs="宋体"/>
                <w:color w:val="auto"/>
                <w:lang w:eastAsia="zh-CN"/>
              </w:rPr>
            </w:pPr>
            <w:r>
              <w:rPr>
                <w:rFonts w:hint="eastAsia" w:ascii="宋体" w:hAnsi="宋体" w:cs="宋体"/>
                <w:color w:val="auto"/>
              </w:rPr>
              <w:t>项目名称：</w:t>
            </w:r>
            <w:r>
              <w:rPr>
                <w:rFonts w:hint="eastAsia" w:ascii="宋体" w:hAnsi="宋体" w:cs="宋体"/>
                <w:color w:val="auto"/>
                <w:szCs w:val="21"/>
                <w:lang w:eastAsia="zh-CN"/>
              </w:rPr>
              <w:t>云南监狱项目管理系统建设项目</w:t>
            </w:r>
          </w:p>
          <w:p w14:paraId="4EABAB6C">
            <w:pPr>
              <w:spacing w:before="120" w:beforeLines="50" w:line="360" w:lineRule="auto"/>
              <w:rPr>
                <w:rFonts w:hint="eastAsia" w:ascii="宋体" w:hAnsi="宋体" w:eastAsia="宋体" w:cs="宋体"/>
                <w:color w:val="auto"/>
                <w:lang w:eastAsia="zh-CN"/>
              </w:rPr>
            </w:pPr>
            <w:r>
              <w:rPr>
                <w:rFonts w:hint="eastAsia" w:ascii="宋体" w:hAnsi="宋体" w:cs="宋体"/>
                <w:color w:val="auto"/>
              </w:rPr>
              <w:t>项目编号：</w:t>
            </w:r>
            <w:r>
              <w:rPr>
                <w:rFonts w:hint="eastAsia" w:ascii="宋体" w:hAnsi="宋体" w:cs="宋体"/>
                <w:color w:val="auto"/>
                <w:lang w:eastAsia="zh-CN"/>
              </w:rPr>
              <w:t>YNZC2025-G3-07926-YNGR-0452</w:t>
            </w:r>
          </w:p>
        </w:tc>
      </w:tr>
      <w:tr w14:paraId="4672EDC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98322BE">
            <w:pPr>
              <w:spacing w:before="120" w:beforeLines="50" w:line="360" w:lineRule="auto"/>
              <w:jc w:val="center"/>
              <w:rPr>
                <w:rFonts w:ascii="宋体" w:hAnsi="宋体" w:cs="宋体"/>
                <w:color w:val="auto"/>
              </w:rPr>
            </w:pPr>
            <w:r>
              <w:rPr>
                <w:rFonts w:hint="eastAsia" w:ascii="宋体" w:hAnsi="宋体" w:cs="宋体"/>
                <w:color w:val="auto"/>
              </w:rPr>
              <w:t>2.1</w:t>
            </w:r>
          </w:p>
        </w:tc>
        <w:tc>
          <w:tcPr>
            <w:tcW w:w="2108" w:type="dxa"/>
            <w:tcBorders>
              <w:top w:val="single" w:color="auto" w:sz="4" w:space="0"/>
              <w:left w:val="single" w:color="auto" w:sz="4" w:space="0"/>
              <w:bottom w:val="single" w:color="auto" w:sz="4" w:space="0"/>
              <w:right w:val="single" w:color="auto" w:sz="4" w:space="0"/>
            </w:tcBorders>
            <w:vAlign w:val="center"/>
          </w:tcPr>
          <w:p w14:paraId="44C39E7B">
            <w:pPr>
              <w:spacing w:before="120" w:beforeLines="50" w:line="360" w:lineRule="auto"/>
              <w:jc w:val="center"/>
              <w:rPr>
                <w:rFonts w:ascii="宋体" w:hAnsi="宋体" w:cs="宋体"/>
                <w:color w:val="auto"/>
              </w:rPr>
            </w:pPr>
            <w:r>
              <w:rPr>
                <w:rFonts w:hint="eastAsia" w:ascii="宋体" w:hAnsi="宋体" w:cs="宋体"/>
                <w:color w:val="auto"/>
              </w:rPr>
              <w:t>预算金额</w:t>
            </w:r>
          </w:p>
        </w:tc>
        <w:tc>
          <w:tcPr>
            <w:tcW w:w="6454" w:type="dxa"/>
            <w:tcBorders>
              <w:top w:val="single" w:color="auto" w:sz="4" w:space="0"/>
              <w:left w:val="single" w:color="auto" w:sz="4" w:space="0"/>
              <w:bottom w:val="single" w:color="auto" w:sz="4" w:space="0"/>
              <w:right w:val="single" w:color="auto" w:sz="4" w:space="0"/>
            </w:tcBorders>
            <w:vAlign w:val="center"/>
          </w:tcPr>
          <w:p w14:paraId="48A3D4E8">
            <w:pPr>
              <w:spacing w:before="120" w:beforeLines="50" w:line="360" w:lineRule="auto"/>
              <w:rPr>
                <w:rFonts w:ascii="宋体" w:hAnsi="宋体" w:cs="宋体"/>
                <w:color w:val="auto"/>
              </w:rPr>
            </w:pPr>
            <w:r>
              <w:rPr>
                <w:rFonts w:hint="eastAsia" w:ascii="宋体" w:hAnsi="宋体" w:cs="宋体"/>
                <w:color w:val="auto"/>
              </w:rPr>
              <w:t>详见招标文件第一章《招标公告》“</w:t>
            </w:r>
            <w:r>
              <w:rPr>
                <w:rFonts w:hint="eastAsia" w:ascii="宋体" w:hAnsi="宋体" w:cs="宋体"/>
                <w:bCs/>
                <w:color w:val="auto"/>
                <w:szCs w:val="21"/>
              </w:rPr>
              <w:t>一、项目基本情况</w:t>
            </w:r>
            <w:r>
              <w:rPr>
                <w:rFonts w:hint="eastAsia" w:ascii="宋体" w:hAnsi="宋体" w:cs="宋体"/>
                <w:color w:val="auto"/>
              </w:rPr>
              <w:t>”</w:t>
            </w:r>
          </w:p>
        </w:tc>
      </w:tr>
      <w:tr w14:paraId="4FF4AF6F">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7D91D3">
            <w:pPr>
              <w:spacing w:before="120" w:beforeLines="50" w:line="360" w:lineRule="auto"/>
              <w:jc w:val="center"/>
              <w:rPr>
                <w:rFonts w:ascii="宋体" w:hAnsi="宋体" w:cs="宋体"/>
                <w:color w:val="auto"/>
              </w:rPr>
            </w:pPr>
            <w:r>
              <w:rPr>
                <w:rFonts w:hint="eastAsia" w:ascii="宋体" w:hAnsi="宋体" w:cs="宋体"/>
                <w:color w:val="auto"/>
              </w:rPr>
              <w:t>3.1</w:t>
            </w:r>
          </w:p>
        </w:tc>
        <w:tc>
          <w:tcPr>
            <w:tcW w:w="2108" w:type="dxa"/>
            <w:tcBorders>
              <w:top w:val="single" w:color="auto" w:sz="4" w:space="0"/>
              <w:left w:val="single" w:color="auto" w:sz="4" w:space="0"/>
              <w:bottom w:val="single" w:color="auto" w:sz="4" w:space="0"/>
              <w:right w:val="single" w:color="auto" w:sz="4" w:space="0"/>
            </w:tcBorders>
            <w:vAlign w:val="center"/>
          </w:tcPr>
          <w:p w14:paraId="25270E34">
            <w:pPr>
              <w:spacing w:before="120" w:beforeLines="50" w:line="360" w:lineRule="auto"/>
              <w:jc w:val="center"/>
              <w:rPr>
                <w:rFonts w:ascii="宋体" w:hAnsi="宋体" w:cs="宋体"/>
                <w:color w:val="auto"/>
              </w:rPr>
            </w:pPr>
            <w:r>
              <w:rPr>
                <w:rFonts w:hint="eastAsia" w:ascii="宋体" w:hAnsi="宋体" w:cs="宋体"/>
                <w:color w:val="auto"/>
              </w:rPr>
              <w:t>采购需求</w:t>
            </w:r>
          </w:p>
        </w:tc>
        <w:tc>
          <w:tcPr>
            <w:tcW w:w="6454" w:type="dxa"/>
            <w:tcBorders>
              <w:top w:val="single" w:color="auto" w:sz="4" w:space="0"/>
              <w:left w:val="single" w:color="auto" w:sz="4" w:space="0"/>
              <w:bottom w:val="single" w:color="auto" w:sz="4" w:space="0"/>
              <w:right w:val="single" w:color="auto" w:sz="4" w:space="0"/>
            </w:tcBorders>
            <w:vAlign w:val="center"/>
          </w:tcPr>
          <w:p w14:paraId="226C82D3">
            <w:pPr>
              <w:spacing w:before="120" w:beforeLines="50" w:line="360" w:lineRule="auto"/>
              <w:rPr>
                <w:rFonts w:ascii="宋体" w:hAnsi="宋体" w:cs="宋体"/>
                <w:color w:val="auto"/>
                <w:kern w:val="0"/>
              </w:rPr>
            </w:pPr>
            <w:r>
              <w:rPr>
                <w:rFonts w:hint="eastAsia" w:ascii="宋体" w:hAnsi="宋体" w:cs="宋体"/>
                <w:color w:val="auto"/>
              </w:rPr>
              <w:t>详见招标文件第一章《招标公告》“</w:t>
            </w:r>
            <w:r>
              <w:rPr>
                <w:rFonts w:hint="eastAsia" w:ascii="宋体" w:hAnsi="宋体" w:cs="宋体"/>
                <w:bCs/>
                <w:color w:val="auto"/>
                <w:szCs w:val="21"/>
              </w:rPr>
              <w:t>一、项目基本情况</w:t>
            </w:r>
            <w:r>
              <w:rPr>
                <w:rFonts w:hint="eastAsia" w:ascii="宋体" w:hAnsi="宋体" w:cs="宋体"/>
                <w:color w:val="auto"/>
              </w:rPr>
              <w:t>”，具体要求等详见本招标文件第五章《采购需求》。</w:t>
            </w:r>
          </w:p>
        </w:tc>
      </w:tr>
      <w:tr w14:paraId="24EE26D0">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9867DDE">
            <w:pPr>
              <w:spacing w:before="120" w:beforeLines="50" w:line="360" w:lineRule="auto"/>
              <w:jc w:val="center"/>
              <w:rPr>
                <w:rFonts w:ascii="宋体" w:hAnsi="宋体" w:cs="宋体"/>
                <w:color w:val="auto"/>
              </w:rPr>
            </w:pPr>
            <w:r>
              <w:rPr>
                <w:rFonts w:hint="eastAsia" w:ascii="宋体" w:hAnsi="宋体" w:cs="宋体"/>
                <w:color w:val="auto"/>
              </w:rPr>
              <w:t>3.2</w:t>
            </w:r>
          </w:p>
        </w:tc>
        <w:tc>
          <w:tcPr>
            <w:tcW w:w="2108" w:type="dxa"/>
            <w:tcBorders>
              <w:top w:val="single" w:color="auto" w:sz="4" w:space="0"/>
              <w:left w:val="single" w:color="auto" w:sz="4" w:space="0"/>
              <w:bottom w:val="single" w:color="auto" w:sz="4" w:space="0"/>
              <w:right w:val="single" w:color="auto" w:sz="4" w:space="0"/>
            </w:tcBorders>
            <w:vAlign w:val="center"/>
          </w:tcPr>
          <w:p w14:paraId="6F880D61">
            <w:pPr>
              <w:spacing w:before="120" w:beforeLines="50" w:line="360" w:lineRule="auto"/>
              <w:jc w:val="center"/>
              <w:rPr>
                <w:rFonts w:ascii="宋体"/>
                <w:color w:val="auto"/>
                <w:szCs w:val="21"/>
              </w:rPr>
            </w:pPr>
            <w:r>
              <w:rPr>
                <w:rFonts w:hint="eastAsia" w:ascii="宋体" w:hAnsi="宋体"/>
                <w:bCs/>
                <w:color w:val="auto"/>
                <w:szCs w:val="21"/>
              </w:rPr>
              <w:t>项目实施期限</w:t>
            </w:r>
            <w:r>
              <w:rPr>
                <w:rFonts w:hint="eastAsia" w:ascii="宋体" w:hAnsi="宋体"/>
                <w:color w:val="auto"/>
                <w:szCs w:val="21"/>
              </w:rPr>
              <w:t>、</w:t>
            </w:r>
            <w:r>
              <w:rPr>
                <w:rFonts w:hint="eastAsia" w:ascii="宋体" w:hAnsi="宋体"/>
                <w:bCs/>
                <w:color w:val="auto"/>
                <w:szCs w:val="21"/>
              </w:rPr>
              <w:t>项目实施地点</w:t>
            </w:r>
          </w:p>
        </w:tc>
        <w:tc>
          <w:tcPr>
            <w:tcW w:w="6454" w:type="dxa"/>
            <w:tcBorders>
              <w:top w:val="single" w:color="auto" w:sz="4" w:space="0"/>
              <w:left w:val="single" w:color="auto" w:sz="4" w:space="0"/>
              <w:bottom w:val="single" w:color="auto" w:sz="4" w:space="0"/>
              <w:right w:val="single" w:color="auto" w:sz="4" w:space="0"/>
            </w:tcBorders>
            <w:vAlign w:val="center"/>
          </w:tcPr>
          <w:p w14:paraId="3A215358">
            <w:pPr>
              <w:spacing w:before="120" w:beforeLines="50" w:line="360" w:lineRule="auto"/>
              <w:rPr>
                <w:rFonts w:ascii="宋体" w:hAnsi="宋体" w:cs="宋体"/>
                <w:color w:val="auto"/>
              </w:rPr>
            </w:pPr>
            <w:r>
              <w:rPr>
                <w:rFonts w:hint="eastAsia" w:ascii="宋体" w:hAnsi="宋体" w:cs="宋体"/>
                <w:color w:val="auto"/>
              </w:rPr>
              <w:t>详见招标文件第一章《招标公告》“</w:t>
            </w:r>
            <w:r>
              <w:rPr>
                <w:rFonts w:hint="eastAsia" w:ascii="宋体" w:hAnsi="宋体" w:cs="宋体"/>
                <w:bCs/>
                <w:color w:val="auto"/>
                <w:szCs w:val="21"/>
              </w:rPr>
              <w:t>一、项目基本情况</w:t>
            </w:r>
            <w:r>
              <w:rPr>
                <w:rFonts w:hint="eastAsia" w:ascii="宋体" w:hAnsi="宋体" w:cs="宋体"/>
                <w:color w:val="auto"/>
              </w:rPr>
              <w:t>”</w:t>
            </w:r>
          </w:p>
        </w:tc>
      </w:tr>
      <w:tr w14:paraId="52AA4BC9">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0BF62DE">
            <w:pPr>
              <w:spacing w:before="120" w:beforeLines="50" w:line="360" w:lineRule="auto"/>
              <w:jc w:val="center"/>
              <w:rPr>
                <w:rFonts w:ascii="宋体" w:hAnsi="宋体" w:cs="宋体"/>
                <w:color w:val="auto"/>
              </w:rPr>
            </w:pPr>
            <w:r>
              <w:rPr>
                <w:rFonts w:hint="eastAsia" w:ascii="宋体" w:hAnsi="宋体" w:cs="宋体"/>
                <w:color w:val="auto"/>
              </w:rPr>
              <w:t>3.3</w:t>
            </w:r>
          </w:p>
        </w:tc>
        <w:tc>
          <w:tcPr>
            <w:tcW w:w="2108" w:type="dxa"/>
            <w:tcBorders>
              <w:top w:val="single" w:color="auto" w:sz="4" w:space="0"/>
              <w:left w:val="single" w:color="auto" w:sz="4" w:space="0"/>
              <w:bottom w:val="single" w:color="auto" w:sz="4" w:space="0"/>
              <w:right w:val="single" w:color="auto" w:sz="4" w:space="0"/>
            </w:tcBorders>
            <w:vAlign w:val="center"/>
          </w:tcPr>
          <w:p w14:paraId="1EB3B3E1">
            <w:pPr>
              <w:spacing w:before="120" w:beforeLines="50" w:line="360" w:lineRule="auto"/>
              <w:jc w:val="center"/>
              <w:rPr>
                <w:rFonts w:ascii="宋体" w:hAnsi="宋体"/>
                <w:bCs/>
                <w:color w:val="auto"/>
                <w:szCs w:val="21"/>
              </w:rPr>
            </w:pPr>
            <w:r>
              <w:rPr>
                <w:rFonts w:hint="eastAsia" w:ascii="宋体" w:hAnsi="宋体" w:cs="宋体"/>
                <w:color w:val="auto"/>
              </w:rPr>
              <w:t>是否接受联合体参加</w:t>
            </w:r>
          </w:p>
        </w:tc>
        <w:tc>
          <w:tcPr>
            <w:tcW w:w="6454" w:type="dxa"/>
            <w:tcBorders>
              <w:top w:val="single" w:color="auto" w:sz="4" w:space="0"/>
              <w:left w:val="single" w:color="auto" w:sz="4" w:space="0"/>
              <w:bottom w:val="single" w:color="auto" w:sz="4" w:space="0"/>
              <w:right w:val="single" w:color="auto" w:sz="4" w:space="0"/>
            </w:tcBorders>
            <w:vAlign w:val="center"/>
          </w:tcPr>
          <w:p w14:paraId="2E68207E">
            <w:pPr>
              <w:widowControl/>
              <w:spacing w:before="120" w:beforeLines="50" w:line="360" w:lineRule="auto"/>
              <w:jc w:val="left"/>
              <w:rPr>
                <w:rFonts w:ascii="宋体" w:hAnsi="宋体" w:cs="宋体"/>
                <w:color w:val="auto"/>
              </w:rPr>
            </w:pPr>
            <w:r>
              <w:rPr>
                <w:rFonts w:hint="eastAsia" w:ascii="宋体" w:hAnsi="宋体" w:cs="宋体"/>
                <w:color w:val="auto"/>
              </w:rPr>
              <w:t>详见招标文件第一章《招标公告》“</w:t>
            </w:r>
            <w:r>
              <w:rPr>
                <w:rFonts w:hint="eastAsia" w:ascii="宋体" w:hAnsi="宋体" w:cs="宋体"/>
                <w:bCs/>
                <w:color w:val="auto"/>
                <w:szCs w:val="21"/>
              </w:rPr>
              <w:t>一、项目基本情况</w:t>
            </w:r>
            <w:r>
              <w:rPr>
                <w:rFonts w:hint="eastAsia" w:ascii="宋体" w:hAnsi="宋体" w:cs="宋体"/>
                <w:color w:val="auto"/>
              </w:rPr>
              <w:t>”</w:t>
            </w:r>
          </w:p>
        </w:tc>
      </w:tr>
      <w:tr w14:paraId="6E7157E0">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95DFF41">
            <w:pPr>
              <w:spacing w:before="120" w:beforeLines="50" w:line="360" w:lineRule="auto"/>
              <w:jc w:val="center"/>
              <w:rPr>
                <w:rFonts w:ascii="宋体" w:hAnsi="宋体" w:cs="宋体"/>
                <w:color w:val="auto"/>
              </w:rPr>
            </w:pPr>
            <w:r>
              <w:rPr>
                <w:rFonts w:ascii="宋体" w:hAnsi="宋体"/>
                <w:color w:val="auto"/>
                <w:szCs w:val="21"/>
              </w:rPr>
              <w:t>4.1</w:t>
            </w:r>
          </w:p>
        </w:tc>
        <w:tc>
          <w:tcPr>
            <w:tcW w:w="2108" w:type="dxa"/>
            <w:tcBorders>
              <w:top w:val="single" w:color="auto" w:sz="4" w:space="0"/>
              <w:left w:val="single" w:color="auto" w:sz="4" w:space="0"/>
              <w:bottom w:val="single" w:color="auto" w:sz="4" w:space="0"/>
              <w:right w:val="single" w:color="auto" w:sz="4" w:space="0"/>
            </w:tcBorders>
            <w:vAlign w:val="center"/>
          </w:tcPr>
          <w:p w14:paraId="0AE4C400">
            <w:pPr>
              <w:spacing w:before="120" w:beforeLines="50" w:line="360" w:lineRule="auto"/>
              <w:jc w:val="center"/>
              <w:rPr>
                <w:rFonts w:ascii="宋体" w:hAnsi="宋体" w:cs="宋体"/>
                <w:color w:val="auto"/>
              </w:rPr>
            </w:pPr>
            <w:r>
              <w:rPr>
                <w:rFonts w:hint="eastAsia" w:ascii="宋体" w:hAnsi="宋体"/>
                <w:bCs/>
                <w:color w:val="auto"/>
                <w:szCs w:val="21"/>
              </w:rPr>
              <w:t>投标人资格要求</w:t>
            </w:r>
          </w:p>
        </w:tc>
        <w:tc>
          <w:tcPr>
            <w:tcW w:w="6454" w:type="dxa"/>
            <w:tcBorders>
              <w:top w:val="single" w:color="auto" w:sz="4" w:space="0"/>
              <w:left w:val="single" w:color="auto" w:sz="4" w:space="0"/>
              <w:bottom w:val="single" w:color="auto" w:sz="4" w:space="0"/>
              <w:right w:val="single" w:color="auto" w:sz="4" w:space="0"/>
            </w:tcBorders>
            <w:vAlign w:val="center"/>
          </w:tcPr>
          <w:p w14:paraId="78BE7B05">
            <w:pPr>
              <w:widowControl/>
              <w:spacing w:before="120" w:beforeLines="50" w:line="360" w:lineRule="auto"/>
              <w:jc w:val="left"/>
              <w:rPr>
                <w:rFonts w:ascii="宋体" w:hAnsi="宋体" w:cs="宋体"/>
                <w:color w:val="auto"/>
              </w:rPr>
            </w:pPr>
            <w:r>
              <w:rPr>
                <w:rFonts w:hint="eastAsia" w:ascii="宋体" w:hAnsi="宋体"/>
                <w:bCs/>
                <w:color w:val="auto"/>
                <w:szCs w:val="21"/>
              </w:rPr>
              <w:t>详见招标文件第一章《招标公告》“二、投标人资格要求”</w:t>
            </w:r>
          </w:p>
        </w:tc>
      </w:tr>
      <w:tr w14:paraId="007951F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758CFD">
            <w:pPr>
              <w:spacing w:before="120" w:beforeLines="50" w:line="360" w:lineRule="auto"/>
              <w:jc w:val="center"/>
              <w:rPr>
                <w:rFonts w:ascii="宋体" w:hAnsi="宋体" w:cs="宋体"/>
                <w:color w:val="auto"/>
              </w:rPr>
            </w:pPr>
            <w:r>
              <w:rPr>
                <w:rFonts w:ascii="宋体" w:hAnsi="宋体"/>
                <w:color w:val="auto"/>
                <w:szCs w:val="21"/>
              </w:rPr>
              <w:t>4.2</w:t>
            </w:r>
          </w:p>
        </w:tc>
        <w:tc>
          <w:tcPr>
            <w:tcW w:w="2108" w:type="dxa"/>
            <w:tcBorders>
              <w:top w:val="single" w:color="auto" w:sz="4" w:space="0"/>
              <w:left w:val="single" w:color="auto" w:sz="4" w:space="0"/>
              <w:bottom w:val="single" w:color="auto" w:sz="4" w:space="0"/>
              <w:right w:val="single" w:color="auto" w:sz="4" w:space="0"/>
            </w:tcBorders>
            <w:vAlign w:val="center"/>
          </w:tcPr>
          <w:p w14:paraId="2BBEA8B8">
            <w:pPr>
              <w:spacing w:before="120" w:beforeLines="50" w:line="360" w:lineRule="auto"/>
              <w:jc w:val="center"/>
              <w:rPr>
                <w:rFonts w:ascii="宋体" w:hAnsi="宋体" w:cs="宋体"/>
                <w:color w:val="auto"/>
              </w:rPr>
            </w:pPr>
            <w:r>
              <w:rPr>
                <w:rFonts w:hint="eastAsia" w:ascii="宋体" w:hAnsi="宋体"/>
                <w:color w:val="auto"/>
                <w:szCs w:val="21"/>
              </w:rPr>
              <w:t>采购人根据采购项目的特殊要求规定的特定条件</w:t>
            </w:r>
          </w:p>
        </w:tc>
        <w:tc>
          <w:tcPr>
            <w:tcW w:w="6454" w:type="dxa"/>
            <w:tcBorders>
              <w:top w:val="single" w:color="auto" w:sz="4" w:space="0"/>
              <w:left w:val="single" w:color="auto" w:sz="4" w:space="0"/>
              <w:bottom w:val="single" w:color="auto" w:sz="4" w:space="0"/>
              <w:right w:val="single" w:color="auto" w:sz="4" w:space="0"/>
            </w:tcBorders>
            <w:vAlign w:val="center"/>
          </w:tcPr>
          <w:p w14:paraId="62B561CD">
            <w:pPr>
              <w:widowControl/>
              <w:spacing w:before="120" w:beforeLines="50" w:line="360" w:lineRule="auto"/>
              <w:jc w:val="left"/>
              <w:rPr>
                <w:rFonts w:ascii="宋体" w:hAnsi="宋体" w:cs="宋体"/>
                <w:color w:val="auto"/>
              </w:rPr>
            </w:pPr>
            <w:r>
              <w:rPr>
                <w:rFonts w:hint="eastAsia" w:ascii="宋体" w:hAnsi="宋体"/>
                <w:bCs/>
                <w:color w:val="auto"/>
                <w:szCs w:val="21"/>
              </w:rPr>
              <w:t>详见招标文件第一章《招标公告》“二、投标人资格要求”</w:t>
            </w:r>
          </w:p>
        </w:tc>
      </w:tr>
      <w:tr w14:paraId="18390ED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0EFE6C3">
            <w:pPr>
              <w:spacing w:before="120" w:beforeLines="50" w:line="360" w:lineRule="auto"/>
              <w:jc w:val="center"/>
              <w:rPr>
                <w:rFonts w:ascii="宋体" w:hAnsi="宋体" w:cs="宋体"/>
                <w:color w:val="auto"/>
              </w:rPr>
            </w:pPr>
            <w:r>
              <w:rPr>
                <w:rFonts w:ascii="宋体" w:hAnsi="宋体"/>
                <w:color w:val="auto"/>
                <w:szCs w:val="21"/>
              </w:rPr>
              <w:t>4.6</w:t>
            </w:r>
          </w:p>
        </w:tc>
        <w:tc>
          <w:tcPr>
            <w:tcW w:w="2108" w:type="dxa"/>
            <w:tcBorders>
              <w:top w:val="single" w:color="auto" w:sz="4" w:space="0"/>
              <w:left w:val="single" w:color="auto" w:sz="4" w:space="0"/>
              <w:bottom w:val="single" w:color="auto" w:sz="4" w:space="0"/>
              <w:right w:val="single" w:color="auto" w:sz="4" w:space="0"/>
            </w:tcBorders>
            <w:vAlign w:val="center"/>
          </w:tcPr>
          <w:p w14:paraId="422D2824">
            <w:pPr>
              <w:spacing w:before="120" w:beforeLines="50" w:line="360" w:lineRule="auto"/>
              <w:jc w:val="center"/>
              <w:rPr>
                <w:rFonts w:ascii="宋体" w:hAnsi="宋体" w:cs="宋体"/>
                <w:color w:val="auto"/>
              </w:rPr>
            </w:pPr>
            <w:r>
              <w:rPr>
                <w:rFonts w:hint="eastAsia" w:ascii="宋体" w:hAnsi="宋体"/>
                <w:bCs/>
                <w:color w:val="auto"/>
                <w:szCs w:val="21"/>
              </w:rPr>
              <w:t>为采购项目提供整体设计、规范编制和项目管理、监理、检测等服务的投标人</w:t>
            </w:r>
          </w:p>
        </w:tc>
        <w:tc>
          <w:tcPr>
            <w:tcW w:w="6454" w:type="dxa"/>
            <w:tcBorders>
              <w:top w:val="single" w:color="auto" w:sz="4" w:space="0"/>
              <w:left w:val="single" w:color="auto" w:sz="4" w:space="0"/>
              <w:bottom w:val="single" w:color="auto" w:sz="4" w:space="0"/>
              <w:right w:val="single" w:color="auto" w:sz="4" w:space="0"/>
            </w:tcBorders>
            <w:vAlign w:val="center"/>
          </w:tcPr>
          <w:p w14:paraId="117D4314">
            <w:pPr>
              <w:spacing w:before="120" w:beforeLines="50" w:line="360" w:lineRule="auto"/>
              <w:rPr>
                <w:rFonts w:ascii="宋体" w:hAnsi="宋体" w:cs="宋体"/>
                <w:color w:val="auto"/>
              </w:rPr>
            </w:pPr>
            <w:r>
              <w:rPr>
                <w:rFonts w:hint="eastAsia" w:ascii="宋体" w:hAnsi="宋体"/>
                <w:bCs/>
                <w:color w:val="auto"/>
                <w:szCs w:val="21"/>
              </w:rPr>
              <w:t>无</w:t>
            </w:r>
          </w:p>
        </w:tc>
      </w:tr>
      <w:tr w14:paraId="38BF723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5B171A5">
            <w:pPr>
              <w:spacing w:before="120" w:beforeLines="50" w:line="360" w:lineRule="auto"/>
              <w:jc w:val="center"/>
              <w:rPr>
                <w:rFonts w:ascii="宋体" w:hAnsi="宋体" w:cs="宋体"/>
                <w:color w:val="auto"/>
              </w:rPr>
            </w:pPr>
            <w:r>
              <w:rPr>
                <w:rFonts w:hint="eastAsia" w:ascii="宋体" w:hAnsi="宋体" w:cs="宋体"/>
                <w:color w:val="auto"/>
              </w:rPr>
              <w:t>6.1</w:t>
            </w:r>
          </w:p>
        </w:tc>
        <w:tc>
          <w:tcPr>
            <w:tcW w:w="2108" w:type="dxa"/>
            <w:tcBorders>
              <w:top w:val="single" w:color="auto" w:sz="4" w:space="0"/>
              <w:left w:val="single" w:color="auto" w:sz="4" w:space="0"/>
              <w:bottom w:val="single" w:color="auto" w:sz="4" w:space="0"/>
              <w:right w:val="single" w:color="auto" w:sz="4" w:space="0"/>
            </w:tcBorders>
            <w:vAlign w:val="center"/>
          </w:tcPr>
          <w:p w14:paraId="148B6034">
            <w:pPr>
              <w:spacing w:before="120" w:beforeLines="50" w:line="360" w:lineRule="auto"/>
              <w:jc w:val="center"/>
              <w:rPr>
                <w:rFonts w:ascii="宋体" w:hAnsi="宋体" w:cs="宋体"/>
                <w:color w:val="auto"/>
              </w:rPr>
            </w:pPr>
            <w:r>
              <w:rPr>
                <w:rFonts w:hint="eastAsia" w:ascii="宋体" w:hAnsi="宋体" w:cs="宋体"/>
                <w:color w:val="auto"/>
              </w:rPr>
              <w:t>现场考察</w:t>
            </w:r>
          </w:p>
        </w:tc>
        <w:tc>
          <w:tcPr>
            <w:tcW w:w="6454" w:type="dxa"/>
            <w:tcBorders>
              <w:top w:val="single" w:color="auto" w:sz="4" w:space="0"/>
              <w:left w:val="single" w:color="auto" w:sz="4" w:space="0"/>
              <w:bottom w:val="single" w:color="auto" w:sz="4" w:space="0"/>
              <w:right w:val="single" w:color="auto" w:sz="4" w:space="0"/>
            </w:tcBorders>
            <w:vAlign w:val="center"/>
          </w:tcPr>
          <w:p w14:paraId="0DDAEC3E">
            <w:pPr>
              <w:spacing w:before="120" w:beforeLines="50" w:line="360" w:lineRule="auto"/>
              <w:rPr>
                <w:rFonts w:ascii="宋体" w:hAnsi="宋体" w:cs="宋体"/>
                <w:color w:val="auto"/>
              </w:rPr>
            </w:pPr>
            <w:r>
              <w:rPr>
                <w:rFonts w:hint="eastAsia" w:ascii="宋体" w:hAnsi="宋体" w:cs="宋体"/>
                <w:color w:val="auto"/>
              </w:rPr>
              <w:t>不组织</w:t>
            </w:r>
          </w:p>
        </w:tc>
      </w:tr>
      <w:tr w14:paraId="08686619">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8D521CC">
            <w:pPr>
              <w:spacing w:before="120" w:beforeLines="50" w:line="360" w:lineRule="auto"/>
              <w:jc w:val="center"/>
              <w:rPr>
                <w:rFonts w:ascii="宋体" w:hAnsi="宋体" w:cs="宋体"/>
                <w:color w:val="auto"/>
              </w:rPr>
            </w:pPr>
            <w:r>
              <w:rPr>
                <w:rFonts w:hint="eastAsia" w:ascii="宋体" w:hAnsi="宋体" w:cs="宋体"/>
                <w:color w:val="auto"/>
              </w:rPr>
              <w:t>7.1</w:t>
            </w:r>
          </w:p>
        </w:tc>
        <w:tc>
          <w:tcPr>
            <w:tcW w:w="2108" w:type="dxa"/>
            <w:tcBorders>
              <w:top w:val="single" w:color="auto" w:sz="4" w:space="0"/>
              <w:left w:val="single" w:color="auto" w:sz="4" w:space="0"/>
              <w:bottom w:val="single" w:color="auto" w:sz="4" w:space="0"/>
              <w:right w:val="single" w:color="auto" w:sz="4" w:space="0"/>
            </w:tcBorders>
            <w:vAlign w:val="center"/>
          </w:tcPr>
          <w:p w14:paraId="3B146F16">
            <w:pPr>
              <w:spacing w:before="120" w:beforeLines="50" w:line="360" w:lineRule="auto"/>
              <w:jc w:val="center"/>
              <w:rPr>
                <w:rFonts w:ascii="宋体" w:hAnsi="宋体" w:cs="宋体"/>
                <w:color w:val="auto"/>
              </w:rPr>
            </w:pPr>
            <w:r>
              <w:rPr>
                <w:rFonts w:hint="eastAsia" w:ascii="宋体" w:hAnsi="宋体" w:cs="宋体"/>
                <w:color w:val="auto"/>
              </w:rPr>
              <w:t>开标前答疑会</w:t>
            </w:r>
          </w:p>
        </w:tc>
        <w:tc>
          <w:tcPr>
            <w:tcW w:w="6454" w:type="dxa"/>
            <w:tcBorders>
              <w:top w:val="single" w:color="auto" w:sz="4" w:space="0"/>
              <w:left w:val="single" w:color="auto" w:sz="4" w:space="0"/>
              <w:bottom w:val="single" w:color="auto" w:sz="4" w:space="0"/>
              <w:right w:val="single" w:color="auto" w:sz="4" w:space="0"/>
            </w:tcBorders>
            <w:vAlign w:val="center"/>
          </w:tcPr>
          <w:p w14:paraId="57D1B2F9">
            <w:pPr>
              <w:spacing w:before="120" w:beforeLines="50" w:line="360" w:lineRule="auto"/>
              <w:rPr>
                <w:rFonts w:ascii="宋体" w:hAnsi="宋体" w:cs="宋体"/>
                <w:color w:val="auto"/>
              </w:rPr>
            </w:pPr>
            <w:r>
              <w:rPr>
                <w:rFonts w:hint="eastAsia" w:ascii="宋体" w:hAnsi="宋体" w:cs="宋体"/>
                <w:color w:val="auto"/>
              </w:rPr>
              <w:t>不组织</w:t>
            </w:r>
          </w:p>
        </w:tc>
      </w:tr>
      <w:tr w14:paraId="4060DD11">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63D62CC">
            <w:pPr>
              <w:spacing w:before="120" w:beforeLines="50" w:line="360" w:lineRule="auto"/>
              <w:jc w:val="center"/>
              <w:rPr>
                <w:rFonts w:ascii="宋体" w:hAnsi="宋体" w:cs="宋体"/>
                <w:color w:val="auto"/>
              </w:rPr>
            </w:pPr>
            <w:r>
              <w:rPr>
                <w:rFonts w:ascii="宋体" w:hAnsi="宋体"/>
                <w:color w:val="auto"/>
                <w:szCs w:val="21"/>
              </w:rPr>
              <w:t>11.1</w:t>
            </w:r>
          </w:p>
        </w:tc>
        <w:tc>
          <w:tcPr>
            <w:tcW w:w="2108" w:type="dxa"/>
            <w:tcBorders>
              <w:top w:val="single" w:color="auto" w:sz="4" w:space="0"/>
              <w:left w:val="single" w:color="auto" w:sz="4" w:space="0"/>
              <w:bottom w:val="single" w:color="auto" w:sz="4" w:space="0"/>
              <w:right w:val="single" w:color="auto" w:sz="4" w:space="0"/>
            </w:tcBorders>
            <w:vAlign w:val="center"/>
          </w:tcPr>
          <w:p w14:paraId="42BF9572">
            <w:pPr>
              <w:spacing w:before="120" w:beforeLines="50" w:line="360" w:lineRule="auto"/>
              <w:jc w:val="center"/>
              <w:rPr>
                <w:rFonts w:ascii="宋体" w:hAnsi="宋体" w:cs="宋体"/>
                <w:color w:val="auto"/>
              </w:rPr>
            </w:pPr>
            <w:r>
              <w:rPr>
                <w:rFonts w:hint="eastAsia" w:ascii="宋体" w:hAnsi="宋体"/>
                <w:color w:val="auto"/>
                <w:szCs w:val="21"/>
              </w:rPr>
              <w:t>招标文件的询问时间</w:t>
            </w:r>
          </w:p>
        </w:tc>
        <w:tc>
          <w:tcPr>
            <w:tcW w:w="6454" w:type="dxa"/>
            <w:tcBorders>
              <w:top w:val="single" w:color="auto" w:sz="4" w:space="0"/>
              <w:left w:val="single" w:color="auto" w:sz="4" w:space="0"/>
              <w:bottom w:val="single" w:color="auto" w:sz="4" w:space="0"/>
              <w:right w:val="single" w:color="auto" w:sz="4" w:space="0"/>
            </w:tcBorders>
            <w:vAlign w:val="center"/>
          </w:tcPr>
          <w:p w14:paraId="3BF20C9F">
            <w:pPr>
              <w:spacing w:before="120" w:beforeLines="50" w:line="360" w:lineRule="auto"/>
              <w:rPr>
                <w:rFonts w:ascii="宋体" w:hAnsi="宋体"/>
                <w:color w:val="auto"/>
                <w:szCs w:val="28"/>
              </w:rPr>
            </w:pPr>
            <w:r>
              <w:rPr>
                <w:rFonts w:hint="eastAsia" w:ascii="宋体" w:hAnsi="宋体"/>
                <w:color w:val="auto"/>
                <w:szCs w:val="28"/>
              </w:rPr>
              <w:t>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 项目采购”学习或致电政采云平台：4008817190。</w:t>
            </w:r>
          </w:p>
        </w:tc>
      </w:tr>
      <w:tr w14:paraId="4B41C52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1055E86">
            <w:pPr>
              <w:spacing w:before="120" w:beforeLines="50" w:line="360" w:lineRule="auto"/>
              <w:jc w:val="center"/>
              <w:rPr>
                <w:rFonts w:ascii="宋体" w:hAnsi="宋体" w:cs="宋体"/>
                <w:color w:val="auto"/>
              </w:rPr>
            </w:pPr>
            <w:r>
              <w:rPr>
                <w:rFonts w:ascii="宋体" w:hAnsi="宋体"/>
                <w:color w:val="auto"/>
                <w:szCs w:val="21"/>
              </w:rPr>
              <w:t>11.2</w:t>
            </w:r>
          </w:p>
        </w:tc>
        <w:tc>
          <w:tcPr>
            <w:tcW w:w="2108" w:type="dxa"/>
            <w:tcBorders>
              <w:top w:val="single" w:color="auto" w:sz="4" w:space="0"/>
              <w:left w:val="single" w:color="auto" w:sz="4" w:space="0"/>
              <w:bottom w:val="single" w:color="auto" w:sz="4" w:space="0"/>
              <w:right w:val="single" w:color="auto" w:sz="4" w:space="0"/>
            </w:tcBorders>
            <w:vAlign w:val="center"/>
          </w:tcPr>
          <w:p w14:paraId="45D40F46">
            <w:pPr>
              <w:spacing w:before="120" w:beforeLines="50" w:line="360" w:lineRule="auto"/>
              <w:jc w:val="center"/>
              <w:rPr>
                <w:rFonts w:ascii="宋体" w:hAnsi="宋体" w:cs="宋体"/>
                <w:color w:val="auto"/>
              </w:rPr>
            </w:pPr>
            <w:r>
              <w:rPr>
                <w:rFonts w:hint="eastAsia" w:ascii="宋体" w:hAnsi="宋体"/>
                <w:color w:val="auto"/>
                <w:szCs w:val="21"/>
              </w:rPr>
              <w:t>招标文件询问联系方式</w:t>
            </w:r>
          </w:p>
        </w:tc>
        <w:tc>
          <w:tcPr>
            <w:tcW w:w="6454" w:type="dxa"/>
            <w:tcBorders>
              <w:top w:val="single" w:color="auto" w:sz="4" w:space="0"/>
              <w:left w:val="single" w:color="auto" w:sz="4" w:space="0"/>
              <w:bottom w:val="single" w:color="auto" w:sz="4" w:space="0"/>
              <w:right w:val="single" w:color="auto" w:sz="4" w:space="0"/>
            </w:tcBorders>
            <w:vAlign w:val="center"/>
          </w:tcPr>
          <w:p w14:paraId="0D4B57E0">
            <w:pPr>
              <w:spacing w:before="120" w:beforeLines="50" w:line="360" w:lineRule="auto"/>
              <w:rPr>
                <w:rFonts w:ascii="宋体" w:hAnsi="宋体"/>
                <w:color w:val="auto"/>
                <w:szCs w:val="28"/>
              </w:rPr>
            </w:pPr>
            <w:r>
              <w:rPr>
                <w:rFonts w:hint="eastAsia" w:ascii="宋体" w:hAnsi="宋体"/>
                <w:color w:val="auto"/>
                <w:szCs w:val="28"/>
              </w:rPr>
              <w:t>询问联系人：祝欣、陈沿锦、丁传觐、王国玺、吴翊、李腾芳、王彦飞、汪怡含、肖枝莲、蒋兴杰、杨益鑫、邓楚卿、刘晓云、张振荣</w:t>
            </w:r>
          </w:p>
          <w:p w14:paraId="651EC968">
            <w:pPr>
              <w:spacing w:before="120" w:beforeLines="50" w:line="360" w:lineRule="auto"/>
              <w:rPr>
                <w:rFonts w:ascii="宋体" w:hAnsi="宋体"/>
                <w:color w:val="auto"/>
                <w:szCs w:val="28"/>
              </w:rPr>
            </w:pPr>
            <w:r>
              <w:rPr>
                <w:rFonts w:hint="eastAsia" w:ascii="宋体" w:hAnsi="宋体"/>
                <w:color w:val="auto"/>
                <w:szCs w:val="28"/>
              </w:rPr>
              <w:t>电话：0871-65511240、0871-65511241</w:t>
            </w:r>
          </w:p>
        </w:tc>
      </w:tr>
      <w:tr w14:paraId="49E13352">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BF22231">
            <w:pPr>
              <w:spacing w:before="120" w:beforeLines="50" w:line="360" w:lineRule="auto"/>
              <w:jc w:val="center"/>
              <w:rPr>
                <w:rFonts w:ascii="宋体" w:hAnsi="宋体" w:cs="宋体"/>
                <w:color w:val="auto"/>
              </w:rPr>
            </w:pPr>
            <w:r>
              <w:rPr>
                <w:rFonts w:ascii="宋体" w:hAnsi="宋体"/>
                <w:color w:val="auto"/>
                <w:szCs w:val="21"/>
              </w:rPr>
              <w:t>11.3</w:t>
            </w:r>
          </w:p>
        </w:tc>
        <w:tc>
          <w:tcPr>
            <w:tcW w:w="2108" w:type="dxa"/>
            <w:tcBorders>
              <w:top w:val="single" w:color="auto" w:sz="4" w:space="0"/>
              <w:left w:val="single" w:color="auto" w:sz="4" w:space="0"/>
              <w:bottom w:val="single" w:color="auto" w:sz="4" w:space="0"/>
              <w:right w:val="single" w:color="auto" w:sz="4" w:space="0"/>
            </w:tcBorders>
            <w:vAlign w:val="center"/>
          </w:tcPr>
          <w:p w14:paraId="447C3AC2">
            <w:pPr>
              <w:spacing w:before="120" w:beforeLines="50" w:line="360" w:lineRule="auto"/>
              <w:jc w:val="center"/>
              <w:rPr>
                <w:rFonts w:ascii="宋体" w:hAnsi="宋体" w:cs="宋体"/>
                <w:color w:val="auto"/>
              </w:rPr>
            </w:pPr>
            <w:r>
              <w:rPr>
                <w:rFonts w:hint="eastAsia" w:ascii="宋体" w:hAnsi="宋体"/>
                <w:color w:val="auto"/>
                <w:szCs w:val="21"/>
              </w:rPr>
              <w:t>招标文件澄清、修改时间</w:t>
            </w:r>
          </w:p>
        </w:tc>
        <w:tc>
          <w:tcPr>
            <w:tcW w:w="6454" w:type="dxa"/>
            <w:tcBorders>
              <w:top w:val="single" w:color="auto" w:sz="4" w:space="0"/>
              <w:left w:val="single" w:color="auto" w:sz="4" w:space="0"/>
              <w:bottom w:val="single" w:color="auto" w:sz="4" w:space="0"/>
              <w:right w:val="single" w:color="auto" w:sz="4" w:space="0"/>
            </w:tcBorders>
            <w:vAlign w:val="center"/>
          </w:tcPr>
          <w:p w14:paraId="7F7FD8F8">
            <w:pPr>
              <w:spacing w:before="120" w:beforeLines="50" w:line="360" w:lineRule="auto"/>
              <w:rPr>
                <w:rFonts w:ascii="宋体" w:hAnsi="宋体" w:cs="宋体"/>
                <w:color w:val="auto"/>
              </w:rPr>
            </w:pPr>
            <w:r>
              <w:rPr>
                <w:rFonts w:hint="eastAsia" w:ascii="宋体" w:hAnsi="宋体"/>
                <w:color w:val="auto"/>
                <w:szCs w:val="28"/>
              </w:rPr>
              <w:t>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tc>
      </w:tr>
      <w:tr w14:paraId="2F08FC90">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4966BC5">
            <w:pPr>
              <w:spacing w:before="120" w:beforeLines="50" w:line="360" w:lineRule="auto"/>
              <w:jc w:val="center"/>
              <w:rPr>
                <w:rFonts w:ascii="宋体" w:hAnsi="宋体" w:cs="宋体"/>
                <w:color w:val="auto"/>
              </w:rPr>
            </w:pPr>
            <w:r>
              <w:rPr>
                <w:rFonts w:hint="eastAsia" w:ascii="宋体" w:hAnsi="宋体" w:cs="宋体"/>
                <w:color w:val="auto"/>
              </w:rPr>
              <w:t>13.1</w:t>
            </w:r>
          </w:p>
        </w:tc>
        <w:tc>
          <w:tcPr>
            <w:tcW w:w="2108" w:type="dxa"/>
            <w:tcBorders>
              <w:top w:val="single" w:color="auto" w:sz="4" w:space="0"/>
              <w:left w:val="single" w:color="auto" w:sz="4" w:space="0"/>
              <w:bottom w:val="single" w:color="auto" w:sz="4" w:space="0"/>
              <w:right w:val="single" w:color="auto" w:sz="4" w:space="0"/>
            </w:tcBorders>
            <w:vAlign w:val="center"/>
          </w:tcPr>
          <w:p w14:paraId="532910C9">
            <w:pPr>
              <w:spacing w:before="120" w:beforeLines="50" w:line="360" w:lineRule="auto"/>
              <w:jc w:val="center"/>
              <w:rPr>
                <w:rFonts w:ascii="宋体" w:hAnsi="宋体" w:cs="宋体"/>
                <w:color w:val="auto"/>
              </w:rPr>
            </w:pPr>
            <w:r>
              <w:rPr>
                <w:rFonts w:hint="eastAsia" w:ascii="宋体" w:hAnsi="宋体" w:cs="宋体"/>
                <w:color w:val="auto"/>
              </w:rPr>
              <w:t>语言文字</w:t>
            </w:r>
          </w:p>
        </w:tc>
        <w:tc>
          <w:tcPr>
            <w:tcW w:w="6454" w:type="dxa"/>
            <w:tcBorders>
              <w:top w:val="single" w:color="auto" w:sz="4" w:space="0"/>
              <w:left w:val="single" w:color="auto" w:sz="4" w:space="0"/>
              <w:bottom w:val="single" w:color="auto" w:sz="4" w:space="0"/>
              <w:right w:val="single" w:color="auto" w:sz="4" w:space="0"/>
            </w:tcBorders>
            <w:vAlign w:val="center"/>
          </w:tcPr>
          <w:p w14:paraId="3FDC87BB">
            <w:pPr>
              <w:spacing w:before="120" w:beforeLines="50" w:line="360" w:lineRule="auto"/>
              <w:rPr>
                <w:rFonts w:ascii="宋体" w:hAnsi="宋体" w:cs="宋体"/>
                <w:color w:val="auto"/>
              </w:rPr>
            </w:pPr>
            <w:r>
              <w:rPr>
                <w:rFonts w:hint="eastAsia" w:ascii="宋体" w:hAnsi="宋体" w:cs="宋体"/>
                <w:color w:val="auto"/>
              </w:rPr>
              <w:t>投标人的投标文件以及投标人与采购代理机构就有关投标的所有来往函电统一使用中文（特别规定除外）。</w:t>
            </w:r>
          </w:p>
        </w:tc>
      </w:tr>
      <w:tr w14:paraId="455C646E">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D318B0A">
            <w:pPr>
              <w:spacing w:before="120" w:beforeLines="50" w:line="360" w:lineRule="auto"/>
              <w:jc w:val="center"/>
              <w:rPr>
                <w:rFonts w:ascii="宋体" w:hAnsi="宋体" w:cs="宋体"/>
                <w:color w:val="auto"/>
              </w:rPr>
            </w:pPr>
            <w:r>
              <w:rPr>
                <w:rFonts w:hint="eastAsia" w:ascii="宋体" w:hAnsi="宋体" w:cs="宋体"/>
                <w:color w:val="auto"/>
              </w:rPr>
              <w:t>14.1</w:t>
            </w:r>
          </w:p>
        </w:tc>
        <w:tc>
          <w:tcPr>
            <w:tcW w:w="2108" w:type="dxa"/>
            <w:tcBorders>
              <w:top w:val="single" w:color="auto" w:sz="4" w:space="0"/>
              <w:left w:val="single" w:color="auto" w:sz="4" w:space="0"/>
              <w:bottom w:val="single" w:color="auto" w:sz="4" w:space="0"/>
              <w:right w:val="single" w:color="auto" w:sz="4" w:space="0"/>
            </w:tcBorders>
            <w:vAlign w:val="center"/>
          </w:tcPr>
          <w:p w14:paraId="29A35CC7">
            <w:pPr>
              <w:spacing w:before="120" w:beforeLines="50" w:line="360" w:lineRule="auto"/>
              <w:jc w:val="center"/>
              <w:rPr>
                <w:rFonts w:ascii="宋体" w:hAnsi="宋体" w:cs="宋体"/>
                <w:color w:val="auto"/>
              </w:rPr>
            </w:pPr>
            <w:r>
              <w:rPr>
                <w:rFonts w:hint="eastAsia" w:ascii="宋体" w:hAnsi="宋体" w:cs="宋体"/>
                <w:color w:val="auto"/>
              </w:rPr>
              <w:t>计量单位</w:t>
            </w:r>
          </w:p>
        </w:tc>
        <w:tc>
          <w:tcPr>
            <w:tcW w:w="6454" w:type="dxa"/>
            <w:tcBorders>
              <w:top w:val="single" w:color="auto" w:sz="4" w:space="0"/>
              <w:left w:val="single" w:color="auto" w:sz="4" w:space="0"/>
              <w:bottom w:val="single" w:color="auto" w:sz="4" w:space="0"/>
              <w:right w:val="single" w:color="auto" w:sz="4" w:space="0"/>
            </w:tcBorders>
            <w:vAlign w:val="center"/>
          </w:tcPr>
          <w:p w14:paraId="46858705">
            <w:pPr>
              <w:spacing w:before="120" w:beforeLines="50" w:line="360" w:lineRule="auto"/>
              <w:rPr>
                <w:rFonts w:hint="eastAsia" w:ascii="宋体" w:hAnsi="宋体" w:cs="宋体"/>
                <w:color w:val="auto"/>
              </w:rPr>
            </w:pPr>
            <w:r>
              <w:rPr>
                <w:rFonts w:hint="eastAsia" w:ascii="宋体" w:hAnsi="宋体" w:cs="宋体"/>
                <w:color w:val="auto"/>
              </w:rPr>
              <w:t>投标文件中使用的计量单位除招标文件中有特殊规定外，一律使用中国法定计量单位。</w:t>
            </w:r>
          </w:p>
        </w:tc>
      </w:tr>
      <w:tr w14:paraId="01134F4D">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22BDD6B">
            <w:pPr>
              <w:spacing w:before="120" w:beforeLines="50" w:line="360" w:lineRule="auto"/>
              <w:jc w:val="center"/>
              <w:rPr>
                <w:rFonts w:ascii="宋体" w:hAnsi="宋体" w:cs="宋体"/>
                <w:color w:val="auto"/>
              </w:rPr>
            </w:pPr>
            <w:r>
              <w:rPr>
                <w:rFonts w:hint="eastAsia" w:ascii="宋体" w:hAnsi="宋体" w:cs="宋体"/>
                <w:color w:val="auto"/>
              </w:rPr>
              <w:t>15.2</w:t>
            </w:r>
          </w:p>
        </w:tc>
        <w:tc>
          <w:tcPr>
            <w:tcW w:w="2108" w:type="dxa"/>
            <w:tcBorders>
              <w:top w:val="single" w:color="auto" w:sz="4" w:space="0"/>
              <w:left w:val="single" w:color="auto" w:sz="4" w:space="0"/>
              <w:bottom w:val="single" w:color="auto" w:sz="4" w:space="0"/>
              <w:right w:val="single" w:color="auto" w:sz="4" w:space="0"/>
            </w:tcBorders>
            <w:vAlign w:val="center"/>
          </w:tcPr>
          <w:p w14:paraId="2932ED5F">
            <w:pPr>
              <w:spacing w:before="120" w:beforeLines="50" w:line="360" w:lineRule="auto"/>
              <w:jc w:val="center"/>
              <w:rPr>
                <w:rFonts w:ascii="宋体" w:hAnsi="宋体" w:cs="宋体"/>
                <w:color w:val="auto"/>
              </w:rPr>
            </w:pPr>
            <w:r>
              <w:rPr>
                <w:rFonts w:hint="eastAsia" w:ascii="宋体" w:hAnsi="宋体" w:cs="宋体"/>
                <w:color w:val="auto"/>
              </w:rPr>
              <w:t>构成投标文件的其他资料</w:t>
            </w:r>
          </w:p>
        </w:tc>
        <w:tc>
          <w:tcPr>
            <w:tcW w:w="6454" w:type="dxa"/>
            <w:tcBorders>
              <w:top w:val="single" w:color="auto" w:sz="4" w:space="0"/>
              <w:left w:val="single" w:color="auto" w:sz="4" w:space="0"/>
              <w:bottom w:val="single" w:color="auto" w:sz="4" w:space="0"/>
              <w:right w:val="single" w:color="auto" w:sz="4" w:space="0"/>
            </w:tcBorders>
            <w:vAlign w:val="center"/>
          </w:tcPr>
          <w:p w14:paraId="3E57C187">
            <w:pPr>
              <w:spacing w:before="120" w:beforeLines="50" w:line="360" w:lineRule="auto"/>
              <w:rPr>
                <w:rFonts w:hint="eastAsia" w:ascii="宋体" w:hAnsi="宋体" w:cs="宋体"/>
                <w:color w:val="auto"/>
              </w:rPr>
            </w:pPr>
            <w:r>
              <w:rPr>
                <w:rFonts w:hint="eastAsia" w:ascii="宋体" w:hAnsi="宋体" w:cs="宋体"/>
                <w:color w:val="auto"/>
              </w:rPr>
              <w:t>1.投标保证金交纳凭证或保函或投标（竞标）保证保险保单（扫描件加盖投标人电子公章）；</w:t>
            </w:r>
          </w:p>
          <w:p w14:paraId="71D182EE">
            <w:pPr>
              <w:spacing w:before="120" w:beforeLines="50" w:line="360" w:lineRule="auto"/>
              <w:rPr>
                <w:rFonts w:hint="eastAsia" w:ascii="宋体" w:hAnsi="宋体" w:cs="宋体"/>
                <w:color w:val="auto"/>
              </w:rPr>
            </w:pPr>
            <w:r>
              <w:rPr>
                <w:rFonts w:hint="eastAsia" w:ascii="宋体" w:hAnsi="宋体" w:cs="宋体"/>
                <w:color w:val="auto"/>
              </w:rPr>
              <w:t>2.第五章《采购需求》中要求提供的其他资料；</w:t>
            </w:r>
          </w:p>
          <w:p w14:paraId="4A4BAEA6">
            <w:pPr>
              <w:spacing w:before="120" w:beforeLines="50" w:line="360" w:lineRule="auto"/>
              <w:rPr>
                <w:rFonts w:hint="eastAsia" w:ascii="宋体" w:hAnsi="宋体" w:cs="宋体"/>
                <w:color w:val="auto"/>
              </w:rPr>
            </w:pPr>
            <w:r>
              <w:rPr>
                <w:rFonts w:hint="eastAsia" w:ascii="宋体" w:hAnsi="宋体" w:cs="宋体"/>
                <w:color w:val="auto"/>
              </w:rPr>
              <w:t>3.招标文件中所涉及到的相关资料及证明文件或投标人认为必须提供的其他相关资料。</w:t>
            </w:r>
          </w:p>
        </w:tc>
      </w:tr>
      <w:tr w14:paraId="78CDB669">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DFA80F0">
            <w:pPr>
              <w:spacing w:before="120" w:beforeLines="50" w:line="360" w:lineRule="auto"/>
              <w:jc w:val="center"/>
              <w:rPr>
                <w:rFonts w:ascii="宋体" w:hAnsi="宋体" w:cs="宋体"/>
                <w:color w:val="auto"/>
              </w:rPr>
            </w:pPr>
            <w:r>
              <w:rPr>
                <w:rFonts w:hint="eastAsia" w:ascii="宋体" w:hAnsi="宋体" w:cs="宋体"/>
                <w:color w:val="auto"/>
              </w:rPr>
              <w:t>17.1</w:t>
            </w:r>
          </w:p>
        </w:tc>
        <w:tc>
          <w:tcPr>
            <w:tcW w:w="2108" w:type="dxa"/>
            <w:tcBorders>
              <w:top w:val="single" w:color="auto" w:sz="4" w:space="0"/>
              <w:left w:val="single" w:color="auto" w:sz="4" w:space="0"/>
              <w:bottom w:val="single" w:color="auto" w:sz="4" w:space="0"/>
              <w:right w:val="single" w:color="auto" w:sz="4" w:space="0"/>
            </w:tcBorders>
            <w:vAlign w:val="center"/>
          </w:tcPr>
          <w:p w14:paraId="09AB5F08">
            <w:pPr>
              <w:spacing w:before="120" w:beforeLines="50" w:line="360" w:lineRule="auto"/>
              <w:jc w:val="center"/>
              <w:rPr>
                <w:rFonts w:ascii="宋体" w:hAnsi="宋体" w:cs="宋体"/>
                <w:color w:val="auto"/>
              </w:rPr>
            </w:pPr>
            <w:r>
              <w:rPr>
                <w:rFonts w:hint="eastAsia" w:ascii="宋体" w:hAnsi="宋体" w:cs="宋体"/>
                <w:color w:val="auto"/>
              </w:rPr>
              <w:t>投标有效期</w:t>
            </w:r>
          </w:p>
        </w:tc>
        <w:tc>
          <w:tcPr>
            <w:tcW w:w="6454" w:type="dxa"/>
            <w:tcBorders>
              <w:top w:val="single" w:color="auto" w:sz="4" w:space="0"/>
              <w:left w:val="single" w:color="auto" w:sz="4" w:space="0"/>
              <w:bottom w:val="single" w:color="auto" w:sz="4" w:space="0"/>
              <w:right w:val="single" w:color="auto" w:sz="4" w:space="0"/>
            </w:tcBorders>
            <w:vAlign w:val="center"/>
          </w:tcPr>
          <w:p w14:paraId="100CC1B9">
            <w:pPr>
              <w:spacing w:before="120" w:beforeLines="50" w:line="360" w:lineRule="auto"/>
              <w:rPr>
                <w:rFonts w:ascii="宋体" w:hAnsi="宋体" w:cs="宋体"/>
                <w:color w:val="auto"/>
              </w:rPr>
            </w:pPr>
            <w:r>
              <w:rPr>
                <w:rFonts w:hint="eastAsia" w:ascii="宋体" w:hAnsi="宋体" w:cs="宋体"/>
                <w:color w:val="auto"/>
              </w:rPr>
              <w:t>从提交投标文件截止之日起90日历天。</w:t>
            </w:r>
          </w:p>
        </w:tc>
      </w:tr>
      <w:tr w14:paraId="61E07A90">
        <w:tblPrEx>
          <w:tblCellMar>
            <w:top w:w="0" w:type="dxa"/>
            <w:left w:w="108" w:type="dxa"/>
            <w:bottom w:w="0" w:type="dxa"/>
            <w:right w:w="108" w:type="dxa"/>
          </w:tblCellMar>
        </w:tblPrEx>
        <w:trPr>
          <w:trHeight w:val="590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C42C23C">
            <w:pPr>
              <w:spacing w:before="120" w:beforeLines="50" w:line="360" w:lineRule="auto"/>
              <w:jc w:val="center"/>
              <w:rPr>
                <w:rFonts w:ascii="宋体" w:hAnsi="宋体" w:cs="宋体"/>
                <w:color w:val="auto"/>
              </w:rPr>
            </w:pPr>
            <w:r>
              <w:rPr>
                <w:rFonts w:hint="eastAsia" w:ascii="宋体" w:hAnsi="宋体" w:cs="宋体"/>
                <w:color w:val="auto"/>
              </w:rPr>
              <w:t>18.1</w:t>
            </w:r>
          </w:p>
        </w:tc>
        <w:tc>
          <w:tcPr>
            <w:tcW w:w="2108" w:type="dxa"/>
            <w:tcBorders>
              <w:top w:val="single" w:color="auto" w:sz="4" w:space="0"/>
              <w:left w:val="single" w:color="auto" w:sz="4" w:space="0"/>
              <w:bottom w:val="single" w:color="auto" w:sz="4" w:space="0"/>
              <w:right w:val="single" w:color="auto" w:sz="4" w:space="0"/>
            </w:tcBorders>
            <w:vAlign w:val="center"/>
          </w:tcPr>
          <w:p w14:paraId="5BA21695">
            <w:pPr>
              <w:spacing w:before="120" w:beforeLines="50" w:line="360" w:lineRule="auto"/>
              <w:jc w:val="center"/>
              <w:rPr>
                <w:rFonts w:ascii="宋体" w:hAnsi="宋体" w:cs="宋体"/>
                <w:color w:val="auto"/>
              </w:rPr>
            </w:pPr>
            <w:r>
              <w:rPr>
                <w:rFonts w:hint="eastAsia" w:ascii="宋体" w:hAnsi="宋体" w:cs="宋体"/>
                <w:color w:val="auto"/>
              </w:rPr>
              <w:t>投标保证金</w:t>
            </w: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22788C12">
            <w:pPr>
              <w:spacing w:before="120" w:beforeLines="50" w:line="360" w:lineRule="auto"/>
              <w:rPr>
                <w:rFonts w:ascii="宋体" w:hAnsi="宋体" w:cs="宋体"/>
                <w:color w:val="auto"/>
                <w:szCs w:val="21"/>
              </w:rPr>
            </w:pPr>
            <w:r>
              <w:rPr>
                <w:rFonts w:hint="eastAsia" w:ascii="宋体" w:hAnsi="宋体" w:cs="宋体"/>
                <w:color w:val="auto"/>
              </w:rPr>
              <w:t>保证金的形式：</w:t>
            </w:r>
            <w:r>
              <w:rPr>
                <w:rFonts w:hint="eastAsia" w:ascii="宋体" w:hAnsi="宋体" w:cs="宋体"/>
                <w:color w:val="auto"/>
                <w:szCs w:val="21"/>
              </w:rPr>
              <w:t>网银、电汇、支票、汇票、本票或者金融机构、担保机构出具的保函等非现金形式提交，也可以选择投标（竞标）保证保险。</w:t>
            </w:r>
          </w:p>
          <w:p w14:paraId="6A1DD360">
            <w:pPr>
              <w:spacing w:before="120" w:beforeLines="50" w:line="360" w:lineRule="auto"/>
              <w:rPr>
                <w:rFonts w:ascii="宋体" w:hAnsi="宋体" w:cs="宋体"/>
                <w:color w:val="auto"/>
              </w:rPr>
            </w:pPr>
            <w:r>
              <w:rPr>
                <w:rFonts w:hint="eastAsia" w:ascii="宋体" w:hAnsi="宋体" w:cs="宋体"/>
                <w:b/>
                <w:bCs/>
                <w:color w:val="auto"/>
              </w:rPr>
              <w:t>保证金的金额：¥</w:t>
            </w:r>
            <w:r>
              <w:rPr>
                <w:rFonts w:hint="eastAsia" w:ascii="宋体" w:hAnsi="宋体" w:cs="宋体"/>
                <w:b/>
                <w:bCs/>
                <w:color w:val="auto"/>
                <w:lang w:val="en-US" w:eastAsia="zh-CN"/>
              </w:rPr>
              <w:t>9</w:t>
            </w:r>
            <w:r>
              <w:rPr>
                <w:rFonts w:hint="eastAsia" w:ascii="宋体" w:hAnsi="宋体" w:cs="宋体"/>
                <w:b/>
                <w:bCs/>
                <w:color w:val="auto"/>
              </w:rPr>
              <w:t>000.00元（大写：</w:t>
            </w:r>
            <w:r>
              <w:rPr>
                <w:rFonts w:hint="eastAsia" w:ascii="宋体" w:hAnsi="宋体" w:cs="宋体"/>
                <w:b/>
                <w:bCs/>
                <w:color w:val="auto"/>
                <w:lang w:val="en-US" w:eastAsia="zh-CN"/>
              </w:rPr>
              <w:t>玖仟</w:t>
            </w:r>
            <w:r>
              <w:rPr>
                <w:rFonts w:hint="eastAsia" w:ascii="宋体" w:hAnsi="宋体" w:cs="宋体"/>
                <w:b/>
                <w:bCs/>
                <w:color w:val="auto"/>
              </w:rPr>
              <w:t>元整）</w:t>
            </w:r>
          </w:p>
          <w:p w14:paraId="121BCD6B">
            <w:pPr>
              <w:spacing w:before="120" w:beforeLines="50" w:line="360" w:lineRule="auto"/>
              <w:rPr>
                <w:rFonts w:ascii="宋体" w:hAnsi="宋体" w:cs="宋体"/>
                <w:color w:val="auto"/>
              </w:rPr>
            </w:pPr>
            <w:r>
              <w:rPr>
                <w:rFonts w:hint="eastAsia" w:ascii="宋体" w:hAnsi="宋体" w:cs="宋体"/>
                <w:color w:val="auto"/>
              </w:rPr>
              <w:t>保证金按规定数额从投标人基本账户直接转至</w:t>
            </w:r>
          </w:p>
          <w:p w14:paraId="3A845124">
            <w:pPr>
              <w:spacing w:before="120" w:beforeLines="50" w:line="360" w:lineRule="auto"/>
              <w:rPr>
                <w:rFonts w:ascii="宋体" w:hAnsi="宋体" w:cs="宋体"/>
                <w:b/>
                <w:bCs/>
                <w:color w:val="auto"/>
              </w:rPr>
            </w:pPr>
            <w:r>
              <w:rPr>
                <w:rFonts w:hint="eastAsia" w:ascii="宋体" w:hAnsi="宋体" w:cs="宋体"/>
                <w:b/>
                <w:bCs/>
                <w:color w:val="auto"/>
              </w:rPr>
              <w:t>账户名称：云南冠睿咨询有限公司</w:t>
            </w:r>
          </w:p>
          <w:p w14:paraId="6B65F096">
            <w:pPr>
              <w:spacing w:before="120" w:beforeLines="50" w:line="360" w:lineRule="auto"/>
              <w:rPr>
                <w:rFonts w:ascii="宋体" w:hAnsi="宋体" w:cs="宋体"/>
                <w:b/>
                <w:bCs/>
                <w:color w:val="auto"/>
              </w:rPr>
            </w:pPr>
            <w:r>
              <w:rPr>
                <w:rFonts w:hint="eastAsia" w:ascii="宋体" w:hAnsi="宋体" w:cs="宋体"/>
                <w:b/>
                <w:bCs/>
                <w:color w:val="auto"/>
              </w:rPr>
              <w:t>开户行账号：636611192</w:t>
            </w:r>
          </w:p>
          <w:p w14:paraId="5B266BA5">
            <w:pPr>
              <w:spacing w:before="120" w:beforeLines="50" w:line="360" w:lineRule="auto"/>
              <w:rPr>
                <w:rFonts w:ascii="宋体" w:hAnsi="宋体" w:cs="宋体"/>
                <w:b/>
                <w:bCs/>
                <w:color w:val="auto"/>
              </w:rPr>
            </w:pPr>
            <w:r>
              <w:rPr>
                <w:rFonts w:hint="eastAsia" w:ascii="宋体" w:hAnsi="宋体" w:cs="宋体"/>
                <w:b/>
                <w:bCs/>
                <w:color w:val="auto"/>
              </w:rPr>
              <w:t>开户行名称：中国民生银行股份有限公司昆明拓东路支行</w:t>
            </w:r>
          </w:p>
          <w:p w14:paraId="18F2D5A3">
            <w:pPr>
              <w:spacing w:before="120" w:beforeLines="50" w:line="360" w:lineRule="auto"/>
              <w:rPr>
                <w:rFonts w:ascii="宋体" w:hAnsi="宋体" w:cs="宋体"/>
                <w:color w:val="auto"/>
              </w:rPr>
            </w:pPr>
            <w:r>
              <w:rPr>
                <w:rFonts w:hint="eastAsia" w:ascii="宋体" w:hAnsi="宋体" w:cs="宋体"/>
                <w:color w:val="auto"/>
              </w:rPr>
              <w:t>保证金交纳说明：</w:t>
            </w:r>
          </w:p>
          <w:p w14:paraId="277040B3">
            <w:pPr>
              <w:spacing w:before="120" w:beforeLines="50" w:line="360" w:lineRule="auto"/>
              <w:rPr>
                <w:rFonts w:ascii="宋体" w:hAnsi="宋体" w:cs="宋体"/>
                <w:color w:val="auto"/>
              </w:rPr>
            </w:pPr>
            <w:r>
              <w:rPr>
                <w:rFonts w:hint="eastAsia" w:ascii="宋体" w:hAnsi="宋体" w:cs="宋体"/>
                <w:color w:val="auto"/>
              </w:rPr>
              <w:t>1.网银或电汇方式提交的，底单即为交纳凭证（需注明项目简称或编号）；其他方式的投标保证金在转账后投标人持有效付款凭证（原件）至云南冠睿咨询有限公司财务室换取投标保证金收据。</w:t>
            </w:r>
          </w:p>
          <w:p w14:paraId="7473DA1C">
            <w:pPr>
              <w:spacing w:before="120" w:beforeLines="50" w:line="360" w:lineRule="auto"/>
              <w:rPr>
                <w:rFonts w:ascii="宋体" w:hAnsi="宋体" w:cs="宋体"/>
                <w:color w:val="auto"/>
              </w:rPr>
            </w:pPr>
            <w:r>
              <w:rPr>
                <w:rFonts w:hint="eastAsia" w:ascii="宋体" w:hAnsi="宋体" w:cs="宋体"/>
                <w:color w:val="auto"/>
              </w:rPr>
              <w:t>2.以保函方式提交的，受益人为采购人，保函扫描件即为交纳凭证。</w:t>
            </w:r>
          </w:p>
          <w:p w14:paraId="09DAC730">
            <w:pPr>
              <w:spacing w:before="120" w:beforeLines="50" w:line="360" w:lineRule="auto"/>
              <w:rPr>
                <w:rFonts w:ascii="宋体" w:hAnsi="宋体" w:cs="宋体"/>
                <w:b/>
                <w:bCs/>
                <w:color w:val="auto"/>
              </w:rPr>
            </w:pPr>
            <w:r>
              <w:rPr>
                <w:rFonts w:hint="eastAsia" w:ascii="宋体" w:hAnsi="宋体" w:cs="宋体"/>
                <w:color w:val="auto"/>
              </w:rPr>
              <w:t>3.投标人未按照招标文件要求提交投标保证金的，其投标无效。</w:t>
            </w:r>
          </w:p>
        </w:tc>
      </w:tr>
      <w:tr w14:paraId="31A6D2A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71A6069">
            <w:pPr>
              <w:spacing w:before="120" w:beforeLines="50" w:line="360" w:lineRule="auto"/>
              <w:jc w:val="center"/>
              <w:rPr>
                <w:rFonts w:ascii="宋体" w:hAnsi="宋体" w:cs="宋体"/>
                <w:color w:val="auto"/>
              </w:rPr>
            </w:pPr>
            <w:r>
              <w:rPr>
                <w:rFonts w:hint="eastAsia" w:ascii="宋体" w:hAnsi="宋体" w:cs="宋体"/>
                <w:color w:val="auto"/>
              </w:rPr>
              <w:t>20.7</w:t>
            </w:r>
          </w:p>
        </w:tc>
        <w:tc>
          <w:tcPr>
            <w:tcW w:w="2108" w:type="dxa"/>
            <w:tcBorders>
              <w:top w:val="single" w:color="auto" w:sz="4" w:space="0"/>
              <w:left w:val="single" w:color="auto" w:sz="4" w:space="0"/>
              <w:bottom w:val="single" w:color="auto" w:sz="4" w:space="0"/>
              <w:right w:val="single" w:color="auto" w:sz="4" w:space="0"/>
            </w:tcBorders>
            <w:vAlign w:val="center"/>
          </w:tcPr>
          <w:p w14:paraId="26F72B41">
            <w:pPr>
              <w:spacing w:before="120" w:beforeLines="50" w:line="360" w:lineRule="auto"/>
              <w:jc w:val="center"/>
              <w:rPr>
                <w:rFonts w:ascii="宋体" w:hAnsi="宋体" w:cs="宋体"/>
                <w:color w:val="auto"/>
              </w:rPr>
            </w:pPr>
            <w:r>
              <w:rPr>
                <w:rFonts w:hint="eastAsia" w:ascii="宋体" w:hAnsi="宋体" w:cs="宋体"/>
                <w:color w:val="auto"/>
              </w:rPr>
              <w:t>报价货币</w:t>
            </w:r>
          </w:p>
        </w:tc>
        <w:tc>
          <w:tcPr>
            <w:tcW w:w="6454" w:type="dxa"/>
            <w:tcBorders>
              <w:top w:val="single" w:color="auto" w:sz="4" w:space="0"/>
              <w:left w:val="single" w:color="auto" w:sz="4" w:space="0"/>
              <w:bottom w:val="single" w:color="auto" w:sz="4" w:space="0"/>
              <w:right w:val="single" w:color="auto" w:sz="4" w:space="0"/>
            </w:tcBorders>
            <w:vAlign w:val="center"/>
          </w:tcPr>
          <w:p w14:paraId="318A59C2">
            <w:pPr>
              <w:spacing w:before="120" w:beforeLines="50" w:line="360" w:lineRule="auto"/>
              <w:rPr>
                <w:rFonts w:ascii="宋体" w:hAnsi="宋体" w:cs="宋体"/>
                <w:color w:val="auto"/>
              </w:rPr>
            </w:pPr>
            <w:r>
              <w:rPr>
                <w:rFonts w:hint="eastAsia" w:ascii="宋体" w:hAnsi="宋体" w:cs="宋体"/>
                <w:color w:val="auto"/>
              </w:rPr>
              <w:t>人民币</w:t>
            </w:r>
          </w:p>
        </w:tc>
      </w:tr>
      <w:tr w14:paraId="388F7C0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EC21571">
            <w:pPr>
              <w:spacing w:before="120" w:beforeLines="50" w:line="360" w:lineRule="auto"/>
              <w:jc w:val="center"/>
              <w:rPr>
                <w:rFonts w:ascii="宋体" w:hAnsi="宋体" w:cs="宋体"/>
                <w:color w:val="auto"/>
              </w:rPr>
            </w:pPr>
            <w:r>
              <w:rPr>
                <w:rFonts w:hint="eastAsia" w:ascii="宋体" w:hAnsi="宋体" w:cs="宋体"/>
                <w:color w:val="auto"/>
              </w:rPr>
              <w:t>21.1</w:t>
            </w:r>
          </w:p>
        </w:tc>
        <w:tc>
          <w:tcPr>
            <w:tcW w:w="2108" w:type="dxa"/>
            <w:tcBorders>
              <w:top w:val="single" w:color="auto" w:sz="4" w:space="0"/>
              <w:left w:val="single" w:color="auto" w:sz="4" w:space="0"/>
              <w:bottom w:val="single" w:color="auto" w:sz="4" w:space="0"/>
              <w:right w:val="single" w:color="auto" w:sz="4" w:space="0"/>
            </w:tcBorders>
            <w:vAlign w:val="center"/>
          </w:tcPr>
          <w:p w14:paraId="71A0F88B">
            <w:pPr>
              <w:spacing w:before="120" w:beforeLines="50" w:line="360" w:lineRule="auto"/>
              <w:jc w:val="center"/>
              <w:rPr>
                <w:rFonts w:ascii="宋体" w:hAnsi="宋体" w:cs="宋体"/>
                <w:color w:val="auto"/>
              </w:rPr>
            </w:pPr>
            <w:r>
              <w:rPr>
                <w:rFonts w:hint="eastAsia" w:ascii="宋体" w:hAnsi="宋体" w:cs="宋体"/>
                <w:color w:val="auto"/>
              </w:rPr>
              <w:t>投标文件的密封</w:t>
            </w:r>
          </w:p>
        </w:tc>
        <w:tc>
          <w:tcPr>
            <w:tcW w:w="6454" w:type="dxa"/>
            <w:tcBorders>
              <w:top w:val="single" w:color="auto" w:sz="4" w:space="0"/>
              <w:left w:val="single" w:color="auto" w:sz="4" w:space="0"/>
              <w:bottom w:val="single" w:color="auto" w:sz="4" w:space="0"/>
              <w:right w:val="single" w:color="auto" w:sz="4" w:space="0"/>
            </w:tcBorders>
            <w:vAlign w:val="center"/>
          </w:tcPr>
          <w:p w14:paraId="35D13088">
            <w:pPr>
              <w:wordWrap w:val="0"/>
              <w:spacing w:before="120" w:beforeLines="50" w:line="360" w:lineRule="auto"/>
              <w:rPr>
                <w:rFonts w:ascii="宋体" w:hAnsi="宋体" w:cs="宋体"/>
                <w:color w:val="auto"/>
              </w:rPr>
            </w:pPr>
            <w:r>
              <w:rPr>
                <w:rFonts w:hint="eastAsia" w:ascii="宋体" w:hAnsi="宋体" w:cs="宋体"/>
                <w:color w:val="auto"/>
              </w:rPr>
              <w:t>投标人应按照“政采云”平台的要求编制、加密投标文件后在投标文件提交截止时间前上传至“政采云”平台，投标文件提交截止时间前未完成投标文件上传的，视为撤回投标文件。</w:t>
            </w:r>
          </w:p>
        </w:tc>
      </w:tr>
      <w:tr w14:paraId="6DB1EE3D">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8EEF551">
            <w:pPr>
              <w:spacing w:before="120" w:beforeLines="50" w:line="360" w:lineRule="auto"/>
              <w:jc w:val="center"/>
              <w:rPr>
                <w:rFonts w:ascii="宋体" w:hAnsi="宋体" w:cs="宋体"/>
                <w:color w:val="auto"/>
              </w:rPr>
            </w:pPr>
            <w:r>
              <w:rPr>
                <w:rFonts w:hint="eastAsia" w:ascii="宋体" w:hAnsi="宋体" w:cs="宋体"/>
                <w:color w:val="auto"/>
              </w:rPr>
              <w:t>22.1</w:t>
            </w:r>
          </w:p>
        </w:tc>
        <w:tc>
          <w:tcPr>
            <w:tcW w:w="2108" w:type="dxa"/>
            <w:tcBorders>
              <w:top w:val="single" w:color="auto" w:sz="4" w:space="0"/>
              <w:left w:val="single" w:color="auto" w:sz="4" w:space="0"/>
              <w:bottom w:val="single" w:color="auto" w:sz="4" w:space="0"/>
              <w:right w:val="single" w:color="auto" w:sz="4" w:space="0"/>
            </w:tcBorders>
            <w:vAlign w:val="center"/>
          </w:tcPr>
          <w:p w14:paraId="3EE37C67">
            <w:pPr>
              <w:spacing w:before="120" w:beforeLines="50" w:line="360" w:lineRule="auto"/>
              <w:jc w:val="center"/>
              <w:rPr>
                <w:rFonts w:ascii="宋体" w:hAnsi="宋体" w:cs="宋体"/>
                <w:color w:val="auto"/>
              </w:rPr>
            </w:pPr>
            <w:r>
              <w:rPr>
                <w:rFonts w:hint="eastAsia" w:ascii="宋体" w:hAnsi="宋体" w:cs="宋体"/>
                <w:color w:val="auto"/>
              </w:rPr>
              <w:t>投标文件提交截止时间、提交投标文件的地点</w:t>
            </w:r>
          </w:p>
        </w:tc>
        <w:tc>
          <w:tcPr>
            <w:tcW w:w="6454" w:type="dxa"/>
            <w:tcBorders>
              <w:top w:val="single" w:color="auto" w:sz="4" w:space="0"/>
              <w:left w:val="single" w:color="auto" w:sz="4" w:space="0"/>
              <w:bottom w:val="single" w:color="auto" w:sz="4" w:space="0"/>
              <w:right w:val="single" w:color="auto" w:sz="4" w:space="0"/>
            </w:tcBorders>
            <w:vAlign w:val="center"/>
          </w:tcPr>
          <w:p w14:paraId="5AC882DC">
            <w:pPr>
              <w:pStyle w:val="22"/>
              <w:spacing w:before="120" w:beforeLines="50" w:line="360" w:lineRule="auto"/>
              <w:rPr>
                <w:rFonts w:hAnsi="宋体" w:cs="宋体"/>
                <w:color w:val="auto"/>
              </w:rPr>
            </w:pPr>
            <w:r>
              <w:rPr>
                <w:rFonts w:hint="eastAsia" w:hAnsi="宋体" w:cs="宋体"/>
                <w:color w:val="auto"/>
              </w:rPr>
              <w:t>投标文件提交截止时间：详见第一章《招标公告》；</w:t>
            </w:r>
          </w:p>
          <w:p w14:paraId="69A585B1">
            <w:pPr>
              <w:pStyle w:val="22"/>
              <w:spacing w:before="120" w:beforeLines="50" w:line="360" w:lineRule="auto"/>
              <w:rPr>
                <w:rFonts w:hAnsi="宋体" w:cs="宋体"/>
                <w:color w:val="auto"/>
              </w:rPr>
            </w:pPr>
            <w:r>
              <w:rPr>
                <w:rFonts w:hint="eastAsia" w:hAnsi="宋体" w:cs="宋体"/>
                <w:color w:val="auto"/>
              </w:rPr>
              <w:t>提交投标文件的地点：详见第一章《招标公告》。</w:t>
            </w:r>
          </w:p>
        </w:tc>
      </w:tr>
      <w:tr w14:paraId="3FAE4D48">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78589A7">
            <w:pPr>
              <w:spacing w:before="120" w:beforeLines="50" w:line="360" w:lineRule="auto"/>
              <w:jc w:val="center"/>
              <w:rPr>
                <w:rFonts w:ascii="宋体" w:hAnsi="宋体" w:cs="宋体"/>
                <w:color w:val="auto"/>
              </w:rPr>
            </w:pPr>
            <w:r>
              <w:rPr>
                <w:rFonts w:hint="eastAsia" w:ascii="宋体" w:hAnsi="宋体" w:cs="宋体"/>
                <w:color w:val="auto"/>
              </w:rPr>
              <w:t>24.1</w:t>
            </w:r>
          </w:p>
        </w:tc>
        <w:tc>
          <w:tcPr>
            <w:tcW w:w="2108" w:type="dxa"/>
            <w:tcBorders>
              <w:top w:val="single" w:color="auto" w:sz="4" w:space="0"/>
              <w:left w:val="single" w:color="auto" w:sz="4" w:space="0"/>
              <w:bottom w:val="single" w:color="auto" w:sz="4" w:space="0"/>
              <w:right w:val="single" w:color="auto" w:sz="4" w:space="0"/>
            </w:tcBorders>
            <w:vAlign w:val="center"/>
          </w:tcPr>
          <w:p w14:paraId="23E1E27D">
            <w:pPr>
              <w:pStyle w:val="22"/>
              <w:spacing w:before="120" w:beforeLines="50" w:line="360" w:lineRule="auto"/>
              <w:jc w:val="center"/>
              <w:rPr>
                <w:rFonts w:hAnsi="宋体" w:cs="宋体"/>
                <w:color w:val="auto"/>
              </w:rPr>
            </w:pPr>
            <w:r>
              <w:rPr>
                <w:rFonts w:hint="eastAsia" w:hAnsi="宋体" w:cs="宋体"/>
                <w:color w:val="auto"/>
              </w:rPr>
              <w:t>开标时间和地点</w:t>
            </w:r>
          </w:p>
        </w:tc>
        <w:tc>
          <w:tcPr>
            <w:tcW w:w="6454" w:type="dxa"/>
            <w:tcBorders>
              <w:top w:val="single" w:color="auto" w:sz="4" w:space="0"/>
              <w:left w:val="single" w:color="auto" w:sz="4" w:space="0"/>
              <w:bottom w:val="single" w:color="auto" w:sz="4" w:space="0"/>
              <w:right w:val="single" w:color="auto" w:sz="4" w:space="0"/>
            </w:tcBorders>
            <w:vAlign w:val="center"/>
          </w:tcPr>
          <w:p w14:paraId="20D6236A">
            <w:pPr>
              <w:pStyle w:val="22"/>
              <w:spacing w:before="120" w:beforeLines="50" w:line="360" w:lineRule="auto"/>
              <w:rPr>
                <w:rFonts w:hAnsi="宋体" w:cs="宋体"/>
                <w:color w:val="auto"/>
              </w:rPr>
            </w:pPr>
            <w:r>
              <w:rPr>
                <w:rFonts w:hint="eastAsia" w:hAnsi="宋体" w:cs="宋体"/>
                <w:color w:val="auto"/>
              </w:rPr>
              <w:t>开标时间：同投标文件提交截止时间；</w:t>
            </w:r>
          </w:p>
          <w:p w14:paraId="1780CBCA">
            <w:pPr>
              <w:pStyle w:val="22"/>
              <w:spacing w:before="120" w:beforeLines="50" w:line="360" w:lineRule="auto"/>
              <w:ind w:left="1050" w:hanging="1050" w:hangingChars="500"/>
              <w:rPr>
                <w:rFonts w:hAnsi="宋体" w:cs="宋体"/>
                <w:color w:val="auto"/>
              </w:rPr>
            </w:pPr>
            <w:r>
              <w:rPr>
                <w:rFonts w:hint="eastAsia" w:hAnsi="宋体" w:cs="宋体"/>
                <w:color w:val="auto"/>
              </w:rPr>
              <w:t>开标地点：同提交投标文件的地点、开标地点。</w:t>
            </w:r>
          </w:p>
        </w:tc>
      </w:tr>
      <w:tr w14:paraId="7B5CB366">
        <w:tblPrEx>
          <w:tblCellMar>
            <w:top w:w="0" w:type="dxa"/>
            <w:left w:w="108" w:type="dxa"/>
            <w:bottom w:w="0" w:type="dxa"/>
            <w:right w:w="108" w:type="dxa"/>
          </w:tblCellMar>
        </w:tblPrEx>
        <w:trPr>
          <w:trHeight w:val="1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56D51B">
            <w:pPr>
              <w:spacing w:before="120" w:beforeLines="50" w:line="360" w:lineRule="auto"/>
              <w:jc w:val="center"/>
              <w:rPr>
                <w:rFonts w:ascii="宋体" w:hAnsi="宋体" w:cs="宋体"/>
                <w:color w:val="auto"/>
              </w:rPr>
            </w:pPr>
            <w:r>
              <w:rPr>
                <w:rFonts w:hint="eastAsia" w:ascii="宋体" w:hAnsi="宋体" w:cs="宋体"/>
                <w:color w:val="auto"/>
              </w:rPr>
              <w:t>26.2</w:t>
            </w:r>
          </w:p>
        </w:tc>
        <w:tc>
          <w:tcPr>
            <w:tcW w:w="2108" w:type="dxa"/>
            <w:tcBorders>
              <w:top w:val="single" w:color="auto" w:sz="4" w:space="0"/>
              <w:left w:val="single" w:color="auto" w:sz="4" w:space="0"/>
              <w:bottom w:val="single" w:color="auto" w:sz="4" w:space="0"/>
              <w:right w:val="single" w:color="auto" w:sz="4" w:space="0"/>
            </w:tcBorders>
            <w:vAlign w:val="center"/>
          </w:tcPr>
          <w:p w14:paraId="1648180D">
            <w:pPr>
              <w:spacing w:before="120" w:beforeLines="50" w:line="360" w:lineRule="auto"/>
              <w:jc w:val="center"/>
              <w:rPr>
                <w:rFonts w:ascii="宋体" w:hAnsi="宋体" w:cs="宋体"/>
                <w:color w:val="auto"/>
              </w:rPr>
            </w:pPr>
            <w:r>
              <w:rPr>
                <w:rFonts w:hint="eastAsia" w:ascii="宋体" w:hAnsi="宋体" w:cs="宋体"/>
                <w:color w:val="auto"/>
              </w:rPr>
              <w:t>评标委员会</w:t>
            </w:r>
          </w:p>
        </w:tc>
        <w:tc>
          <w:tcPr>
            <w:tcW w:w="6454" w:type="dxa"/>
            <w:tcBorders>
              <w:top w:val="single" w:color="auto" w:sz="4" w:space="0"/>
              <w:left w:val="single" w:color="auto" w:sz="4" w:space="0"/>
              <w:bottom w:val="single" w:color="auto" w:sz="4" w:space="0"/>
              <w:right w:val="single" w:color="auto" w:sz="4" w:space="0"/>
            </w:tcBorders>
            <w:vAlign w:val="center"/>
          </w:tcPr>
          <w:p w14:paraId="40B9CC3D">
            <w:pPr>
              <w:spacing w:before="120" w:beforeLines="50" w:line="360" w:lineRule="auto"/>
              <w:rPr>
                <w:rFonts w:ascii="宋体" w:hAnsi="宋体" w:cs="宋体"/>
                <w:color w:val="auto"/>
              </w:rPr>
            </w:pPr>
            <w:r>
              <w:rPr>
                <w:rFonts w:hint="eastAsia" w:ascii="宋体" w:hAnsi="宋体" w:cs="宋体"/>
                <w:color w:val="auto"/>
                <w:szCs w:val="21"/>
              </w:rPr>
              <w:t>评标委员会由采购人代表和评审专家组成，成员人数为5人以上单数，其中评审专家不得少于成员总数的三分之二。评标委员会应当推选组长，但采购人代表不得担任组长。</w:t>
            </w:r>
          </w:p>
        </w:tc>
      </w:tr>
      <w:tr w14:paraId="25642071">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F1E7832">
            <w:pPr>
              <w:spacing w:before="120" w:beforeLines="50" w:line="360" w:lineRule="auto"/>
              <w:jc w:val="center"/>
              <w:rPr>
                <w:rFonts w:ascii="宋体" w:hAnsi="宋体" w:cs="宋体"/>
                <w:color w:val="auto"/>
              </w:rPr>
            </w:pPr>
            <w:r>
              <w:rPr>
                <w:rFonts w:hint="eastAsia" w:ascii="宋体" w:hAnsi="宋体" w:cs="宋体"/>
                <w:color w:val="auto"/>
              </w:rPr>
              <w:t>26.5</w:t>
            </w:r>
          </w:p>
        </w:tc>
        <w:tc>
          <w:tcPr>
            <w:tcW w:w="2108" w:type="dxa"/>
            <w:tcBorders>
              <w:top w:val="single" w:color="auto" w:sz="4" w:space="0"/>
              <w:left w:val="single" w:color="auto" w:sz="4" w:space="0"/>
              <w:bottom w:val="single" w:color="auto" w:sz="4" w:space="0"/>
              <w:right w:val="single" w:color="auto" w:sz="4" w:space="0"/>
            </w:tcBorders>
            <w:vAlign w:val="center"/>
          </w:tcPr>
          <w:p w14:paraId="064F43C6">
            <w:pPr>
              <w:spacing w:before="120" w:beforeLines="50" w:line="360" w:lineRule="auto"/>
              <w:jc w:val="center"/>
              <w:rPr>
                <w:rFonts w:ascii="宋体" w:hAnsi="宋体" w:cs="宋体"/>
                <w:color w:val="auto"/>
              </w:rPr>
            </w:pPr>
            <w:r>
              <w:rPr>
                <w:rFonts w:hint="eastAsia" w:ascii="宋体" w:hAnsi="宋体" w:cs="宋体"/>
                <w:color w:val="auto"/>
              </w:rPr>
              <w:t>评标方法</w:t>
            </w:r>
          </w:p>
        </w:tc>
        <w:tc>
          <w:tcPr>
            <w:tcW w:w="6454" w:type="dxa"/>
            <w:tcBorders>
              <w:top w:val="single" w:color="auto" w:sz="4" w:space="0"/>
              <w:left w:val="single" w:color="auto" w:sz="4" w:space="0"/>
              <w:bottom w:val="single" w:color="auto" w:sz="4" w:space="0"/>
              <w:right w:val="single" w:color="auto" w:sz="4" w:space="0"/>
            </w:tcBorders>
            <w:vAlign w:val="center"/>
          </w:tcPr>
          <w:p w14:paraId="42801E9B">
            <w:pPr>
              <w:spacing w:before="120" w:beforeLines="50" w:line="360" w:lineRule="auto"/>
              <w:rPr>
                <w:rFonts w:ascii="宋体" w:hAnsi="宋体" w:cs="宋体"/>
                <w:color w:val="auto"/>
              </w:rPr>
            </w:pPr>
            <w:r>
              <w:rPr>
                <w:rFonts w:hint="eastAsia" w:ascii="宋体" w:hAnsi="宋体" w:cs="宋体"/>
                <w:color w:val="auto"/>
              </w:rPr>
              <w:t>综合评分法</w:t>
            </w:r>
          </w:p>
        </w:tc>
      </w:tr>
      <w:tr w14:paraId="288371D4">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F4C9B5A">
            <w:pPr>
              <w:spacing w:before="120" w:beforeLines="50" w:line="360" w:lineRule="auto"/>
              <w:jc w:val="center"/>
              <w:rPr>
                <w:rFonts w:ascii="宋体" w:hAnsi="宋体" w:cs="宋体"/>
                <w:color w:val="auto"/>
              </w:rPr>
            </w:pPr>
            <w:r>
              <w:rPr>
                <w:rFonts w:hint="eastAsia" w:ascii="宋体" w:hAnsi="宋体" w:cs="宋体"/>
                <w:color w:val="auto"/>
              </w:rPr>
              <w:t>33.1</w:t>
            </w:r>
          </w:p>
        </w:tc>
        <w:tc>
          <w:tcPr>
            <w:tcW w:w="2108" w:type="dxa"/>
            <w:tcBorders>
              <w:top w:val="single" w:color="auto" w:sz="4" w:space="0"/>
              <w:left w:val="single" w:color="auto" w:sz="4" w:space="0"/>
              <w:bottom w:val="single" w:color="auto" w:sz="4" w:space="0"/>
              <w:right w:val="single" w:color="auto" w:sz="4" w:space="0"/>
            </w:tcBorders>
            <w:vAlign w:val="center"/>
          </w:tcPr>
          <w:p w14:paraId="416B48F0">
            <w:pPr>
              <w:spacing w:before="120" w:beforeLines="50" w:line="360" w:lineRule="auto"/>
              <w:jc w:val="center"/>
              <w:rPr>
                <w:rFonts w:ascii="宋体" w:hAnsi="宋体" w:cs="宋体"/>
                <w:color w:val="auto"/>
                <w:highlight w:val="none"/>
              </w:rPr>
            </w:pPr>
            <w:r>
              <w:rPr>
                <w:rFonts w:hint="eastAsia" w:ascii="宋体" w:hAnsi="宋体" w:cs="宋体"/>
                <w:color w:val="auto"/>
                <w:highlight w:val="none"/>
              </w:rPr>
              <w:t>履约保证金</w:t>
            </w:r>
          </w:p>
        </w:tc>
        <w:tc>
          <w:tcPr>
            <w:tcW w:w="6454" w:type="dxa"/>
            <w:tcBorders>
              <w:top w:val="single" w:color="auto" w:sz="4" w:space="0"/>
              <w:left w:val="single" w:color="auto" w:sz="4" w:space="0"/>
              <w:bottom w:val="single" w:color="auto" w:sz="4" w:space="0"/>
              <w:right w:val="single" w:color="auto" w:sz="4" w:space="0"/>
            </w:tcBorders>
            <w:vAlign w:val="center"/>
          </w:tcPr>
          <w:p w14:paraId="045E3E0A">
            <w:pPr>
              <w:spacing w:before="120" w:beforeLines="50" w:line="360" w:lineRule="auto"/>
              <w:rPr>
                <w:rFonts w:hint="eastAsia" w:ascii="宋体" w:hAnsi="宋体" w:eastAsia="宋体" w:cs="宋体"/>
                <w:color w:val="auto"/>
                <w:highlight w:val="none"/>
                <w:lang w:eastAsia="zh-CN"/>
              </w:rPr>
            </w:pPr>
            <w:r>
              <w:rPr>
                <w:rFonts w:hint="eastAsia" w:ascii="宋体" w:hAnsi="宋体" w:eastAsia="宋体" w:cs="宋体"/>
                <w:color w:val="000000" w:themeColor="text1"/>
                <w:sz w:val="21"/>
                <w:szCs w:val="21"/>
                <w:highlight w:val="none"/>
                <w14:textFill>
                  <w14:solidFill>
                    <w14:schemeClr w14:val="tx1"/>
                  </w14:solidFill>
                </w14:textFill>
              </w:rPr>
              <w:t>履约保证金金额为合同金额的</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%，供应商以</w:t>
            </w:r>
            <w:r>
              <w:rPr>
                <w:rFonts w:hint="eastAsia" w:ascii="宋体" w:hAnsi="宋体" w:cs="宋体"/>
                <w:color w:val="auto"/>
                <w:szCs w:val="21"/>
                <w:highlight w:val="none"/>
              </w:rPr>
              <w:t>网银、电汇、支票、汇票、本票或者金融机构、担保机构出具的保函等非现金形式提交。</w:t>
            </w:r>
          </w:p>
        </w:tc>
      </w:tr>
      <w:tr w14:paraId="456E6A10">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3FCFE3B">
            <w:pPr>
              <w:spacing w:before="120" w:beforeLines="50" w:line="360" w:lineRule="auto"/>
              <w:jc w:val="center"/>
              <w:rPr>
                <w:rFonts w:ascii="宋体" w:hAnsi="宋体" w:cs="宋体"/>
                <w:color w:val="auto"/>
              </w:rPr>
            </w:pPr>
            <w:r>
              <w:rPr>
                <w:rFonts w:hint="eastAsia" w:ascii="宋体" w:hAnsi="宋体" w:cs="宋体"/>
                <w:color w:val="auto"/>
              </w:rPr>
              <w:t>34.1</w:t>
            </w:r>
          </w:p>
        </w:tc>
        <w:tc>
          <w:tcPr>
            <w:tcW w:w="2108" w:type="dxa"/>
            <w:tcBorders>
              <w:top w:val="single" w:color="auto" w:sz="4" w:space="0"/>
              <w:left w:val="single" w:color="auto" w:sz="4" w:space="0"/>
              <w:bottom w:val="single" w:color="auto" w:sz="4" w:space="0"/>
              <w:right w:val="single" w:color="auto" w:sz="4" w:space="0"/>
            </w:tcBorders>
            <w:vAlign w:val="center"/>
          </w:tcPr>
          <w:p w14:paraId="0FE72205">
            <w:pPr>
              <w:spacing w:before="120" w:beforeLines="50" w:line="360" w:lineRule="auto"/>
              <w:jc w:val="center"/>
              <w:rPr>
                <w:rFonts w:ascii="宋体" w:hAnsi="宋体" w:cs="宋体"/>
                <w:color w:val="auto"/>
              </w:rPr>
            </w:pPr>
            <w:r>
              <w:rPr>
                <w:rFonts w:hint="eastAsia" w:ascii="宋体" w:hAnsi="宋体" w:cs="宋体"/>
                <w:color w:val="auto"/>
              </w:rPr>
              <w:t>采购代理服务费</w:t>
            </w:r>
          </w:p>
        </w:tc>
        <w:tc>
          <w:tcPr>
            <w:tcW w:w="6454" w:type="dxa"/>
            <w:tcBorders>
              <w:top w:val="single" w:color="auto" w:sz="4" w:space="0"/>
              <w:left w:val="single" w:color="auto" w:sz="4" w:space="0"/>
              <w:bottom w:val="single" w:color="auto" w:sz="4" w:space="0"/>
              <w:right w:val="single" w:color="auto" w:sz="4" w:space="0"/>
            </w:tcBorders>
          </w:tcPr>
          <w:p w14:paraId="188FB745">
            <w:pPr>
              <w:spacing w:before="120" w:beforeLines="50" w:line="360" w:lineRule="auto"/>
              <w:rPr>
                <w:rFonts w:ascii="宋体" w:hAnsi="宋体" w:cs="宋体"/>
                <w:color w:val="auto"/>
                <w:kern w:val="0"/>
              </w:rPr>
            </w:pPr>
            <w:r>
              <w:rPr>
                <w:rFonts w:hint="eastAsia" w:ascii="宋体" w:hAnsi="宋体" w:cs="宋体"/>
                <w:color w:val="auto"/>
                <w:kern w:val="0"/>
                <w:lang w:eastAsia="zh-CN"/>
              </w:rPr>
              <w:t>采购代理服务费参照国家计委[2002]1980号文件规定的服务类项目收费标准向中标人收取（计算基准为中标金额）</w:t>
            </w:r>
            <w:r>
              <w:rPr>
                <w:rFonts w:hint="eastAsia" w:ascii="宋体" w:hAnsi="宋体" w:cs="宋体"/>
                <w:color w:val="auto"/>
                <w:kern w:val="0"/>
              </w:rPr>
              <w:t>。</w:t>
            </w:r>
          </w:p>
        </w:tc>
      </w:tr>
      <w:tr w14:paraId="7EA208B3">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B06D69A">
            <w:pPr>
              <w:spacing w:before="120" w:beforeLines="50" w:line="360" w:lineRule="auto"/>
              <w:jc w:val="center"/>
              <w:rPr>
                <w:rFonts w:ascii="宋体" w:hAnsi="宋体" w:cs="宋体"/>
                <w:color w:val="auto"/>
              </w:rPr>
            </w:pPr>
            <w:r>
              <w:rPr>
                <w:rFonts w:hint="eastAsia" w:ascii="宋体" w:hAnsi="宋体" w:cs="宋体"/>
                <w:color w:val="auto"/>
              </w:rPr>
              <w:t>36.1.8</w:t>
            </w:r>
          </w:p>
        </w:tc>
        <w:tc>
          <w:tcPr>
            <w:tcW w:w="8562" w:type="dxa"/>
            <w:gridSpan w:val="2"/>
            <w:tcBorders>
              <w:top w:val="single" w:color="auto" w:sz="4" w:space="0"/>
              <w:left w:val="single" w:color="auto" w:sz="4" w:space="0"/>
              <w:bottom w:val="single" w:color="auto" w:sz="4" w:space="0"/>
              <w:right w:val="single" w:color="auto" w:sz="4" w:space="0"/>
            </w:tcBorders>
            <w:vAlign w:val="center"/>
          </w:tcPr>
          <w:p w14:paraId="6086E7BA">
            <w:pPr>
              <w:pStyle w:val="14"/>
              <w:spacing w:before="120" w:beforeLines="50" w:line="360" w:lineRule="auto"/>
              <w:ind w:firstLine="0"/>
              <w:rPr>
                <w:rFonts w:ascii="宋体" w:hAnsi="宋体" w:cs="宋体"/>
                <w:color w:val="auto"/>
                <w:szCs w:val="21"/>
              </w:rPr>
            </w:pPr>
            <w:r>
              <w:rPr>
                <w:rFonts w:hint="eastAsia" w:ascii="宋体" w:hAnsi="宋体" w:cs="宋体"/>
                <w:color w:val="auto"/>
                <w:szCs w:val="21"/>
              </w:rPr>
              <w:t>根据“《关于印发《政府采购促进中小企业发展管理办法》的通知》（财库〔2020〕46号）的规定，针对小微企业报价给予10%的扣除，用扣除后的价格参与评审。符合条件的投标人应根据下表所属行业填写《中小企业声明函》：</w:t>
            </w:r>
          </w:p>
          <w:tbl>
            <w:tblPr>
              <w:tblStyle w:val="41"/>
              <w:tblW w:w="7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2051"/>
              <w:gridCol w:w="2661"/>
            </w:tblGrid>
            <w:tr w14:paraId="631C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86" w:type="dxa"/>
                  <w:shd w:val="clear" w:color="auto" w:fill="D8D8D8"/>
                  <w:vAlign w:val="center"/>
                </w:tcPr>
                <w:p w14:paraId="1A747072">
                  <w:pPr>
                    <w:adjustRightInd w:val="0"/>
                    <w:snapToGrid w:val="0"/>
                    <w:spacing w:before="120" w:beforeLines="50" w:line="360" w:lineRule="auto"/>
                    <w:jc w:val="center"/>
                    <w:textAlignment w:val="center"/>
                    <w:rPr>
                      <w:rFonts w:ascii="宋体" w:hAnsi="宋体" w:cs="宋体"/>
                      <w:b/>
                      <w:color w:val="auto"/>
                      <w:szCs w:val="21"/>
                    </w:rPr>
                  </w:pPr>
                  <w:r>
                    <w:rPr>
                      <w:rFonts w:hint="eastAsia" w:ascii="宋体" w:hAnsi="宋体" w:cs="宋体"/>
                      <w:b/>
                      <w:color w:val="auto"/>
                      <w:szCs w:val="21"/>
                    </w:rPr>
                    <w:t>标的名称</w:t>
                  </w:r>
                </w:p>
              </w:tc>
              <w:tc>
                <w:tcPr>
                  <w:tcW w:w="2051" w:type="dxa"/>
                  <w:shd w:val="clear" w:color="auto" w:fill="D8D8D8"/>
                  <w:vAlign w:val="center"/>
                </w:tcPr>
                <w:p w14:paraId="2A21B725">
                  <w:pPr>
                    <w:adjustRightInd w:val="0"/>
                    <w:snapToGrid w:val="0"/>
                    <w:spacing w:before="120" w:beforeLines="50" w:line="360" w:lineRule="auto"/>
                    <w:jc w:val="center"/>
                    <w:textAlignment w:val="center"/>
                    <w:rPr>
                      <w:rFonts w:ascii="宋体" w:hAnsi="宋体" w:cs="宋体"/>
                      <w:b/>
                      <w:color w:val="auto"/>
                      <w:szCs w:val="21"/>
                    </w:rPr>
                  </w:pPr>
                  <w:r>
                    <w:rPr>
                      <w:rFonts w:hint="eastAsia" w:ascii="宋体" w:hAnsi="宋体" w:cs="宋体"/>
                      <w:b/>
                      <w:color w:val="auto"/>
                      <w:szCs w:val="21"/>
                    </w:rPr>
                    <w:t>所属行业</w:t>
                  </w:r>
                </w:p>
              </w:tc>
              <w:tc>
                <w:tcPr>
                  <w:tcW w:w="2661" w:type="dxa"/>
                  <w:shd w:val="clear" w:color="auto" w:fill="D8D8D8"/>
                  <w:vAlign w:val="center"/>
                </w:tcPr>
                <w:p w14:paraId="5A4EBEC3">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leftChars="0" w:right="0" w:rightChars="0"/>
                    <w:jc w:val="center"/>
                    <w:textAlignment w:val="center"/>
                    <w:rPr>
                      <w:rFonts w:hint="eastAsia" w:ascii="宋体" w:hAnsi="宋体" w:cs="宋体"/>
                      <w:b/>
                      <w:color w:val="auto"/>
                      <w:szCs w:val="21"/>
                    </w:rPr>
                  </w:pPr>
                  <w:r>
                    <w:rPr>
                      <w:rStyle w:val="44"/>
                      <w:rFonts w:hint="eastAsia" w:ascii="宋体" w:hAnsi="宋体" w:eastAsia="宋体" w:cs="宋体"/>
                      <w:b/>
                      <w:bCs w:val="0"/>
                      <w:kern w:val="0"/>
                      <w:sz w:val="21"/>
                      <w:szCs w:val="21"/>
                    </w:rPr>
                    <w:t>《关于印发中小企业划型标准规定的通知》划型标准</w:t>
                  </w:r>
                </w:p>
              </w:tc>
            </w:tr>
            <w:tr w14:paraId="44BB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86" w:type="dxa"/>
                  <w:vAlign w:val="center"/>
                </w:tcPr>
                <w:p w14:paraId="7B56E431">
                  <w:pPr>
                    <w:pStyle w:val="36"/>
                    <w:jc w:val="center"/>
                    <w:textAlignment w:val="center"/>
                    <w:rPr>
                      <w:rFonts w:hint="eastAsia" w:ascii="Times New Roman" w:hAnsi="Times New Roman" w:eastAsia="宋体" w:cs="宋体"/>
                      <w:color w:val="auto"/>
                      <w:kern w:val="2"/>
                      <w:sz w:val="21"/>
                      <w:szCs w:val="21"/>
                      <w:lang w:eastAsia="zh-CN"/>
                    </w:rPr>
                  </w:pPr>
                  <w:r>
                    <w:rPr>
                      <w:rFonts w:hint="eastAsia" w:ascii="Times New Roman" w:hAnsi="Times New Roman" w:cs="宋体"/>
                      <w:color w:val="auto"/>
                      <w:kern w:val="2"/>
                      <w:sz w:val="21"/>
                      <w:szCs w:val="21"/>
                      <w:lang w:eastAsia="zh-CN"/>
                    </w:rPr>
                    <w:t>云南监狱项目管理系统开发</w:t>
                  </w:r>
                </w:p>
              </w:tc>
              <w:tc>
                <w:tcPr>
                  <w:tcW w:w="2051" w:type="dxa"/>
                  <w:vAlign w:val="center"/>
                </w:tcPr>
                <w:p w14:paraId="7AC5B1BC">
                  <w:pPr>
                    <w:pStyle w:val="36"/>
                    <w:jc w:val="center"/>
                    <w:textAlignment w:val="center"/>
                    <w:rPr>
                      <w:rFonts w:ascii="Times New Roman" w:hAnsi="Times New Roman" w:cs="宋体"/>
                      <w:color w:val="auto"/>
                      <w:kern w:val="2"/>
                      <w:sz w:val="21"/>
                      <w:szCs w:val="21"/>
                    </w:rPr>
                  </w:pPr>
                  <w:r>
                    <w:rPr>
                      <w:rFonts w:hint="eastAsia" w:ascii="Times New Roman" w:hAnsi="Times New Roman" w:cs="宋体"/>
                      <w:color w:val="auto"/>
                      <w:kern w:val="2"/>
                      <w:sz w:val="21"/>
                      <w:szCs w:val="21"/>
                    </w:rPr>
                    <w:t>软件和信息技术服务业</w:t>
                  </w:r>
                </w:p>
              </w:tc>
              <w:tc>
                <w:tcPr>
                  <w:tcW w:w="2661" w:type="dxa"/>
                  <w:vAlign w:val="center"/>
                </w:tcPr>
                <w:p w14:paraId="48A39E8C">
                  <w:pPr>
                    <w:keepNext w:val="0"/>
                    <w:keepLines w:val="0"/>
                    <w:pageBreakBefore w:val="0"/>
                    <w:widowControl/>
                    <w:suppressLineNumbers w:val="0"/>
                    <w:kinsoku/>
                    <w:overflowPunct/>
                    <w:topLinePunct w:val="0"/>
                    <w:bidi w:val="0"/>
                    <w:adjustRightInd w:val="0"/>
                    <w:snapToGrid w:val="0"/>
                    <w:spacing w:before="0" w:beforeAutospacing="0" w:after="0" w:afterAutospacing="0" w:line="440" w:lineRule="exact"/>
                    <w:ind w:left="0" w:leftChars="0" w:right="0" w:rightChars="0"/>
                    <w:jc w:val="center"/>
                    <w:textAlignment w:val="center"/>
                    <w:rPr>
                      <w:rFonts w:hint="eastAsia" w:ascii="Times New Roman" w:hAnsi="Times New Roman" w:cs="宋体"/>
                      <w:color w:val="auto"/>
                      <w:kern w:val="2"/>
                      <w:sz w:val="21"/>
                      <w:szCs w:val="21"/>
                    </w:rPr>
                  </w:pPr>
                  <w:r>
                    <w:rPr>
                      <w:rFonts w:hint="eastAsia" w:ascii="Times New Roman" w:hAnsi="Times New Roman" w:eastAsia="宋体" w:cs="宋体"/>
                      <w:b w:val="0"/>
                      <w:bCs w:val="0"/>
                      <w:i w:val="0"/>
                      <w:iCs w:val="0"/>
                      <w:color w:val="auto"/>
                      <w:kern w:val="2"/>
                      <w:sz w:val="21"/>
                      <w:szCs w:val="21"/>
                      <w:highlight w:val="none"/>
                      <w:u w:val="none"/>
                      <w:lang w:val="en-US" w:eastAsia="zh-CN" w:bidi="ar-SA"/>
                    </w:rPr>
                    <w:t>软件和信息技术服务业</w:t>
                  </w:r>
                </w:p>
              </w:tc>
            </w:tr>
          </w:tbl>
          <w:p w14:paraId="01F3B601">
            <w:pPr>
              <w:tabs>
                <w:tab w:val="left" w:pos="1946"/>
              </w:tabs>
              <w:spacing w:before="120" w:beforeLines="50" w:line="360" w:lineRule="auto"/>
              <w:rPr>
                <w:rFonts w:ascii="宋体" w:hAnsi="宋体" w:cs="宋体"/>
                <w:color w:val="auto"/>
                <w:kern w:val="0"/>
              </w:rPr>
            </w:pPr>
          </w:p>
        </w:tc>
      </w:tr>
      <w:tr w14:paraId="0600FA6E">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5E2D757">
            <w:pPr>
              <w:spacing w:before="120" w:beforeLines="50" w:line="360" w:lineRule="auto"/>
              <w:jc w:val="center"/>
              <w:rPr>
                <w:rFonts w:ascii="宋体" w:hAnsi="宋体" w:cs="宋体"/>
                <w:color w:val="auto"/>
              </w:rPr>
            </w:pPr>
            <w:r>
              <w:rPr>
                <w:rFonts w:hint="eastAsia" w:ascii="宋体" w:hAnsi="宋体" w:cs="宋体"/>
                <w:color w:val="auto"/>
              </w:rPr>
              <w:t>36.5</w:t>
            </w:r>
          </w:p>
        </w:tc>
        <w:tc>
          <w:tcPr>
            <w:tcW w:w="2108" w:type="dxa"/>
            <w:tcBorders>
              <w:top w:val="single" w:color="auto" w:sz="4" w:space="0"/>
              <w:left w:val="single" w:color="auto" w:sz="4" w:space="0"/>
              <w:bottom w:val="single" w:color="auto" w:sz="4" w:space="0"/>
              <w:right w:val="single" w:color="auto" w:sz="4" w:space="0"/>
            </w:tcBorders>
            <w:vAlign w:val="center"/>
          </w:tcPr>
          <w:p w14:paraId="48698B12">
            <w:pPr>
              <w:spacing w:before="120" w:beforeLines="50" w:line="360" w:lineRule="auto"/>
              <w:jc w:val="center"/>
              <w:rPr>
                <w:rFonts w:ascii="宋体" w:hAnsi="宋体" w:cs="宋体"/>
                <w:color w:val="auto"/>
              </w:rPr>
            </w:pPr>
            <w:r>
              <w:rPr>
                <w:rFonts w:hint="eastAsia" w:ascii="宋体" w:hAnsi="宋体" w:cs="宋体"/>
                <w:color w:val="auto"/>
              </w:rPr>
              <w:t>其它注意事项</w:t>
            </w:r>
          </w:p>
        </w:tc>
        <w:tc>
          <w:tcPr>
            <w:tcW w:w="6454" w:type="dxa"/>
            <w:tcBorders>
              <w:top w:val="single" w:color="auto" w:sz="4" w:space="0"/>
              <w:left w:val="single" w:color="auto" w:sz="4" w:space="0"/>
              <w:bottom w:val="single" w:color="auto" w:sz="4" w:space="0"/>
              <w:right w:val="single" w:color="auto" w:sz="4" w:space="0"/>
            </w:tcBorders>
          </w:tcPr>
          <w:p w14:paraId="110D371B">
            <w:pPr>
              <w:spacing w:before="120" w:beforeLines="50" w:line="360" w:lineRule="auto"/>
              <w:rPr>
                <w:rFonts w:ascii="宋体" w:hAnsi="宋体" w:cs="宋体"/>
                <w:color w:val="auto"/>
              </w:rPr>
            </w:pPr>
            <w:r>
              <w:rPr>
                <w:rFonts w:hint="eastAsia" w:ascii="宋体" w:hAnsi="宋体" w:cs="宋体"/>
                <w:color w:val="auto"/>
              </w:rPr>
              <w:t>以下情况视为投标人同意撤回已上传系统的投标文件或其投标文件无效：</w:t>
            </w:r>
          </w:p>
          <w:p w14:paraId="085734EF">
            <w:pPr>
              <w:spacing w:before="120" w:beforeLines="50" w:line="360" w:lineRule="auto"/>
              <w:rPr>
                <w:rFonts w:ascii="宋体" w:hAnsi="宋体" w:cs="宋体"/>
                <w:color w:val="auto"/>
                <w:kern w:val="0"/>
              </w:rPr>
            </w:pPr>
            <w:r>
              <w:rPr>
                <w:rFonts w:hint="eastAsia" w:ascii="宋体" w:hAnsi="宋体" w:cs="宋体"/>
                <w:color w:val="auto"/>
                <w:kern w:val="0"/>
              </w:rPr>
              <w:t>（1）政采云电子平台显示投标人未上传投标文件；</w:t>
            </w:r>
          </w:p>
          <w:p w14:paraId="73B01994">
            <w:pPr>
              <w:spacing w:before="120" w:beforeLines="50" w:line="360" w:lineRule="auto"/>
              <w:rPr>
                <w:rFonts w:ascii="宋体" w:hAnsi="宋体" w:cs="宋体"/>
                <w:color w:val="auto"/>
                <w:kern w:val="0"/>
              </w:rPr>
            </w:pPr>
            <w:r>
              <w:rPr>
                <w:rFonts w:hint="eastAsia" w:ascii="宋体" w:hAnsi="宋体" w:cs="宋体"/>
                <w:color w:val="auto"/>
                <w:kern w:val="0"/>
              </w:rPr>
              <w:t>（2）因投标人原因上传的投标文件在开启文件时无法解密。</w:t>
            </w:r>
          </w:p>
          <w:p w14:paraId="5B491BAC">
            <w:pPr>
              <w:spacing w:before="120" w:beforeLines="50" w:line="360" w:lineRule="auto"/>
              <w:rPr>
                <w:rFonts w:ascii="宋体" w:hAnsi="宋体" w:cs="宋体"/>
                <w:color w:val="auto"/>
                <w:kern w:val="0"/>
              </w:rPr>
            </w:pPr>
            <w:r>
              <w:rPr>
                <w:rFonts w:hint="eastAsia" w:ascii="宋体" w:hAnsi="宋体" w:cs="宋体"/>
                <w:color w:val="auto"/>
                <w:kern w:val="0"/>
              </w:rPr>
              <w:t>（3）因投标人自身原因导致未在规定时间内完成投标文件解密。</w:t>
            </w:r>
          </w:p>
        </w:tc>
      </w:tr>
    </w:tbl>
    <w:p w14:paraId="4CD178D2">
      <w:pPr>
        <w:pStyle w:val="14"/>
        <w:spacing w:line="440" w:lineRule="exact"/>
        <w:rPr>
          <w:rFonts w:ascii="宋体" w:hAnsi="宋体" w:cs="宋体"/>
          <w:color w:val="auto"/>
          <w:kern w:val="0"/>
        </w:rPr>
      </w:pPr>
      <w:r>
        <w:rPr>
          <w:rFonts w:hint="eastAsia" w:ascii="宋体" w:hAnsi="宋体" w:cs="宋体"/>
          <w:color w:val="auto"/>
          <w:kern w:val="0"/>
        </w:rPr>
        <w:br w:type="page"/>
      </w:r>
    </w:p>
    <w:p w14:paraId="15F17D62">
      <w:pPr>
        <w:pStyle w:val="5"/>
        <w:spacing w:before="0" w:line="440" w:lineRule="exact"/>
        <w:jc w:val="center"/>
        <w:rPr>
          <w:rFonts w:ascii="宋体" w:hAnsi="宋体"/>
          <w:color w:val="auto"/>
          <w:sz w:val="28"/>
          <w:szCs w:val="28"/>
        </w:rPr>
      </w:pPr>
      <w:bookmarkStart w:id="40" w:name="_Toc19642"/>
      <w:bookmarkStart w:id="41" w:name="_Toc22586"/>
      <w:bookmarkStart w:id="42" w:name="_Toc5193"/>
      <w:r>
        <w:rPr>
          <w:rFonts w:hint="eastAsia" w:ascii="宋体" w:hAnsi="宋体"/>
          <w:color w:val="auto"/>
          <w:sz w:val="28"/>
          <w:szCs w:val="28"/>
        </w:rPr>
        <w:t>一、总则</w:t>
      </w:r>
      <w:bookmarkEnd w:id="40"/>
      <w:bookmarkEnd w:id="41"/>
      <w:bookmarkEnd w:id="42"/>
    </w:p>
    <w:p w14:paraId="7C7E45EF">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 项目概况</w:t>
      </w:r>
    </w:p>
    <w:p w14:paraId="59CA6416">
      <w:pPr>
        <w:spacing w:line="460" w:lineRule="exact"/>
        <w:ind w:firstLine="420"/>
        <w:jc w:val="left"/>
        <w:rPr>
          <w:rFonts w:ascii="宋体" w:hAnsi="宋体" w:cs="宋体"/>
          <w:color w:val="auto"/>
          <w:szCs w:val="21"/>
        </w:rPr>
      </w:pPr>
      <w:r>
        <w:rPr>
          <w:rFonts w:hint="eastAsia" w:ascii="宋体" w:hAnsi="宋体" w:cs="宋体"/>
          <w:color w:val="auto"/>
          <w:szCs w:val="21"/>
        </w:rPr>
        <w:t>1.1根据《中华人民共和国政府采购法》、《中华人民共和国政府采购法实施条例》、《政府采购货物和服务招标投标管理办法》（财政部令第87号）等有关法律、法规的规定，本项目已具备招标条件，现对本项目进行公开招标。</w:t>
      </w:r>
    </w:p>
    <w:p w14:paraId="551C4768">
      <w:pPr>
        <w:spacing w:line="460" w:lineRule="exact"/>
        <w:ind w:firstLine="420"/>
        <w:jc w:val="left"/>
        <w:rPr>
          <w:rFonts w:ascii="宋体" w:hAnsi="宋体" w:cs="宋体"/>
          <w:color w:val="auto"/>
          <w:szCs w:val="21"/>
        </w:rPr>
      </w:pPr>
      <w:r>
        <w:rPr>
          <w:rFonts w:hint="eastAsia" w:ascii="宋体" w:hAnsi="宋体" w:cs="宋体"/>
          <w:color w:val="auto"/>
          <w:szCs w:val="21"/>
        </w:rPr>
        <w:t>1.2 本项目采购人：详见《投标人须知前附表》。</w:t>
      </w:r>
    </w:p>
    <w:p w14:paraId="3143132D">
      <w:pPr>
        <w:spacing w:line="460" w:lineRule="exact"/>
        <w:ind w:firstLine="420"/>
        <w:jc w:val="left"/>
        <w:rPr>
          <w:rFonts w:ascii="宋体" w:hAnsi="宋体" w:cs="宋体"/>
          <w:color w:val="auto"/>
          <w:szCs w:val="21"/>
        </w:rPr>
      </w:pPr>
      <w:r>
        <w:rPr>
          <w:rFonts w:hint="eastAsia" w:ascii="宋体" w:hAnsi="宋体" w:cs="宋体"/>
          <w:color w:val="auto"/>
          <w:szCs w:val="21"/>
        </w:rPr>
        <w:t>1.3 本项目采购代理机构：详见《投标人须知前附表》。</w:t>
      </w:r>
    </w:p>
    <w:p w14:paraId="093BF1B2">
      <w:pPr>
        <w:spacing w:line="460" w:lineRule="exact"/>
        <w:ind w:firstLine="420"/>
        <w:jc w:val="left"/>
        <w:rPr>
          <w:rFonts w:ascii="宋体" w:hAnsi="宋体" w:cs="宋体"/>
          <w:color w:val="auto"/>
          <w:szCs w:val="21"/>
        </w:rPr>
      </w:pPr>
      <w:r>
        <w:rPr>
          <w:rFonts w:hint="eastAsia" w:ascii="宋体" w:hAnsi="宋体" w:cs="宋体"/>
          <w:color w:val="auto"/>
          <w:szCs w:val="21"/>
        </w:rPr>
        <w:t>1.4 本项目名称及项目编号：详见《投标人须知前附表》。</w:t>
      </w:r>
    </w:p>
    <w:p w14:paraId="163FE6B3">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 预算金额</w:t>
      </w:r>
    </w:p>
    <w:p w14:paraId="7CD58A01">
      <w:pPr>
        <w:spacing w:line="460" w:lineRule="exact"/>
        <w:ind w:firstLine="420"/>
        <w:jc w:val="left"/>
        <w:rPr>
          <w:rFonts w:ascii="宋体" w:hAnsi="宋体" w:cs="宋体"/>
          <w:color w:val="auto"/>
          <w:szCs w:val="21"/>
        </w:rPr>
      </w:pPr>
      <w:r>
        <w:rPr>
          <w:rFonts w:hint="eastAsia" w:ascii="宋体" w:hAnsi="宋体" w:cs="宋体"/>
          <w:color w:val="auto"/>
          <w:szCs w:val="21"/>
        </w:rPr>
        <w:t>2.1预算金额：详见《投标人须知前附表》。</w:t>
      </w:r>
    </w:p>
    <w:p w14:paraId="2928A901">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3. 采购需求及项目实施期限、项目实施地点</w:t>
      </w:r>
    </w:p>
    <w:p w14:paraId="5DB5D741">
      <w:pPr>
        <w:spacing w:line="460" w:lineRule="exact"/>
        <w:ind w:firstLine="420"/>
        <w:jc w:val="left"/>
        <w:rPr>
          <w:rFonts w:ascii="宋体" w:hAnsi="宋体" w:cs="宋体"/>
          <w:color w:val="auto"/>
          <w:szCs w:val="21"/>
        </w:rPr>
      </w:pPr>
      <w:r>
        <w:rPr>
          <w:rFonts w:hint="eastAsia" w:ascii="宋体" w:hAnsi="宋体" w:cs="宋体"/>
          <w:color w:val="auto"/>
          <w:szCs w:val="21"/>
        </w:rPr>
        <w:t>3.1本项目采购需求：详见《投标人须知前附表》。</w:t>
      </w:r>
    </w:p>
    <w:p w14:paraId="0D62CE55">
      <w:pPr>
        <w:spacing w:line="460" w:lineRule="exact"/>
        <w:ind w:firstLine="420"/>
        <w:jc w:val="left"/>
        <w:rPr>
          <w:rFonts w:ascii="宋体" w:hAnsi="宋体" w:cs="宋体"/>
          <w:color w:val="auto"/>
          <w:szCs w:val="21"/>
        </w:rPr>
      </w:pPr>
      <w:r>
        <w:rPr>
          <w:rFonts w:hint="eastAsia" w:ascii="宋体" w:hAnsi="宋体" w:cs="宋体"/>
          <w:color w:val="auto"/>
          <w:szCs w:val="21"/>
        </w:rPr>
        <w:t>3.2本项目项目实施期限、项目实施地点：详见《投标人须知前附表》。</w:t>
      </w:r>
    </w:p>
    <w:p w14:paraId="7BC3C3CA">
      <w:pPr>
        <w:spacing w:line="460" w:lineRule="exact"/>
        <w:ind w:firstLine="420"/>
        <w:jc w:val="left"/>
        <w:rPr>
          <w:rFonts w:ascii="宋体" w:hAnsi="宋体" w:cs="宋体"/>
          <w:color w:val="auto"/>
          <w:szCs w:val="21"/>
        </w:rPr>
      </w:pPr>
      <w:r>
        <w:rPr>
          <w:rFonts w:hint="eastAsia" w:ascii="宋体" w:hAnsi="宋体" w:cs="宋体"/>
          <w:color w:val="auto"/>
          <w:szCs w:val="21"/>
        </w:rPr>
        <w:t>3.3是否接受联合体参加：详见《投标人须知前附表》。</w:t>
      </w:r>
    </w:p>
    <w:p w14:paraId="45AA4178">
      <w:pPr>
        <w:spacing w:line="460" w:lineRule="exact"/>
        <w:ind w:firstLine="420"/>
        <w:jc w:val="left"/>
        <w:rPr>
          <w:rFonts w:ascii="宋体" w:hAnsi="宋体" w:cs="宋体"/>
          <w:color w:val="auto"/>
          <w:szCs w:val="21"/>
        </w:rPr>
      </w:pPr>
      <w:r>
        <w:rPr>
          <w:rFonts w:hint="eastAsia" w:ascii="宋体" w:hAnsi="宋体" w:cs="宋体"/>
          <w:color w:val="auto"/>
          <w:szCs w:val="21"/>
        </w:rPr>
        <w:t>3.3.1投标人须知前附表规定接受联合体投标的，联合体各方还应遵守以下规定：</w:t>
      </w:r>
    </w:p>
    <w:p w14:paraId="29CA797E">
      <w:pPr>
        <w:spacing w:line="460" w:lineRule="exact"/>
        <w:ind w:firstLine="420"/>
        <w:jc w:val="left"/>
        <w:rPr>
          <w:rFonts w:ascii="宋体" w:hAnsi="宋体" w:cs="宋体"/>
          <w:color w:val="auto"/>
          <w:szCs w:val="21"/>
        </w:rPr>
      </w:pPr>
      <w:r>
        <w:rPr>
          <w:rFonts w:hint="eastAsia" w:ascii="宋体" w:hAnsi="宋体" w:cs="宋体"/>
          <w:color w:val="auto"/>
          <w:szCs w:val="21"/>
        </w:rPr>
        <w:t>3.3.1.1两个以上的自然人、法人或者其他组织可以组成一个联合体，以一个投标人的身份共同参加投标。</w:t>
      </w:r>
    </w:p>
    <w:p w14:paraId="3D27DA4F">
      <w:pPr>
        <w:spacing w:line="460" w:lineRule="exact"/>
        <w:ind w:firstLine="420"/>
        <w:jc w:val="left"/>
        <w:rPr>
          <w:rFonts w:ascii="宋体" w:hAnsi="宋体" w:cs="宋体"/>
          <w:color w:val="auto"/>
          <w:szCs w:val="21"/>
        </w:rPr>
      </w:pPr>
      <w:r>
        <w:rPr>
          <w:rFonts w:hint="eastAsia" w:ascii="宋体" w:hAnsi="宋体" w:cs="宋体"/>
          <w:color w:val="auto"/>
          <w:szCs w:val="21"/>
        </w:rPr>
        <w:t>3.3.1.2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61BBEAFD">
      <w:pPr>
        <w:spacing w:line="460" w:lineRule="exact"/>
        <w:ind w:firstLine="420"/>
        <w:jc w:val="left"/>
        <w:rPr>
          <w:rFonts w:ascii="宋体" w:hAnsi="宋体" w:cs="宋体"/>
          <w:color w:val="auto"/>
          <w:szCs w:val="21"/>
        </w:rPr>
      </w:pPr>
      <w:r>
        <w:rPr>
          <w:rFonts w:hint="eastAsia" w:ascii="宋体" w:hAnsi="宋体" w:cs="宋体"/>
          <w:color w:val="auto"/>
          <w:szCs w:val="21"/>
        </w:rPr>
        <w:t>3.3.1.3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736B02C9">
      <w:pPr>
        <w:spacing w:line="460" w:lineRule="exact"/>
        <w:ind w:firstLine="420"/>
        <w:jc w:val="left"/>
        <w:rPr>
          <w:rFonts w:ascii="宋体" w:hAnsi="宋体" w:cs="宋体"/>
          <w:color w:val="auto"/>
          <w:szCs w:val="21"/>
        </w:rPr>
      </w:pPr>
      <w:r>
        <w:rPr>
          <w:rFonts w:hint="eastAsia" w:ascii="宋体" w:hAnsi="宋体" w:cs="宋体"/>
          <w:color w:val="auto"/>
          <w:szCs w:val="21"/>
        </w:rPr>
        <w:t>3.3.1.4以联合体形式参加投标的，联合体各方不得再单独参加或者与其他投标人另外组成联合体参加同一合同项下投标。</w:t>
      </w:r>
    </w:p>
    <w:p w14:paraId="34168D7C">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4.投标人资格要求</w:t>
      </w:r>
    </w:p>
    <w:p w14:paraId="38A29359">
      <w:pPr>
        <w:spacing w:line="460" w:lineRule="exact"/>
        <w:ind w:firstLine="420"/>
        <w:jc w:val="left"/>
        <w:rPr>
          <w:rFonts w:ascii="宋体" w:hAnsi="宋体" w:cs="宋体"/>
          <w:color w:val="auto"/>
          <w:szCs w:val="21"/>
        </w:rPr>
      </w:pPr>
      <w:r>
        <w:rPr>
          <w:rFonts w:hint="eastAsia" w:ascii="宋体" w:hAnsi="宋体" w:cs="宋体"/>
          <w:color w:val="auto"/>
          <w:szCs w:val="21"/>
        </w:rPr>
        <w:t>4.1投标人资格要求：详见《投标人须知前附表》</w:t>
      </w:r>
    </w:p>
    <w:p w14:paraId="6E18F951">
      <w:pPr>
        <w:spacing w:line="460" w:lineRule="exact"/>
        <w:ind w:firstLine="420"/>
        <w:jc w:val="left"/>
        <w:rPr>
          <w:rFonts w:ascii="宋体" w:hAnsi="宋体" w:cs="宋体"/>
          <w:color w:val="auto"/>
          <w:szCs w:val="21"/>
        </w:rPr>
      </w:pPr>
      <w:r>
        <w:rPr>
          <w:rFonts w:hint="eastAsia" w:ascii="宋体" w:hAnsi="宋体" w:cs="宋体"/>
          <w:color w:val="auto"/>
          <w:szCs w:val="21"/>
        </w:rPr>
        <w:t>4.2采购人根据采购项目的特殊要求规定的特定条件：详见《投标人须知前附表》</w:t>
      </w:r>
    </w:p>
    <w:p w14:paraId="6F67E62B">
      <w:pPr>
        <w:spacing w:line="460" w:lineRule="exact"/>
        <w:ind w:firstLine="420"/>
        <w:jc w:val="left"/>
        <w:rPr>
          <w:rFonts w:ascii="宋体" w:hAnsi="宋体" w:cs="宋体"/>
          <w:color w:val="auto"/>
          <w:szCs w:val="21"/>
        </w:rPr>
      </w:pPr>
      <w:r>
        <w:rPr>
          <w:rFonts w:hint="eastAsia" w:ascii="宋体" w:hAnsi="宋体" w:cs="宋体"/>
          <w:color w:val="auto"/>
          <w:szCs w:val="21"/>
        </w:rPr>
        <w:t>4.3如投标人为满足投标人资格要求提供虚假材料，一经查实，视为未实质性响应招标文件，投标人投标文件将按无效处理。</w:t>
      </w:r>
    </w:p>
    <w:p w14:paraId="1E5E3010">
      <w:pPr>
        <w:spacing w:line="460" w:lineRule="exact"/>
        <w:ind w:firstLine="420"/>
        <w:jc w:val="left"/>
        <w:rPr>
          <w:rFonts w:ascii="宋体" w:hAnsi="宋体" w:cs="宋体"/>
          <w:color w:val="auto"/>
          <w:szCs w:val="21"/>
        </w:rPr>
      </w:pPr>
      <w:r>
        <w:rPr>
          <w:rFonts w:hint="eastAsia" w:ascii="宋体" w:hAnsi="宋体" w:cs="宋体"/>
          <w:color w:val="auto"/>
          <w:szCs w:val="21"/>
        </w:rPr>
        <w:t>4.5单位负责人为同一人或者存在直接控股、管理关系的不同投标人，不得参加同一合同项下的政府采购活动。</w:t>
      </w:r>
    </w:p>
    <w:p w14:paraId="1E021530">
      <w:pPr>
        <w:spacing w:line="460" w:lineRule="exact"/>
        <w:ind w:firstLine="420"/>
        <w:jc w:val="left"/>
        <w:rPr>
          <w:rFonts w:ascii="宋体" w:hAnsi="宋体" w:cs="宋体"/>
          <w:color w:val="auto"/>
          <w:szCs w:val="21"/>
        </w:rPr>
      </w:pPr>
      <w:r>
        <w:rPr>
          <w:rFonts w:hint="eastAsia" w:ascii="宋体" w:hAnsi="宋体" w:cs="宋体"/>
          <w:color w:val="auto"/>
          <w:szCs w:val="21"/>
        </w:rPr>
        <w:t>4.6投标人不得直接或间接地为采购项目提供整体设计、规范编制和项目管理、监理、检测等服务</w:t>
      </w:r>
    </w:p>
    <w:p w14:paraId="352E1C35">
      <w:pPr>
        <w:spacing w:line="460" w:lineRule="exact"/>
        <w:ind w:firstLine="420"/>
        <w:jc w:val="left"/>
        <w:rPr>
          <w:rFonts w:ascii="宋体" w:hAnsi="宋体" w:cs="宋体"/>
          <w:color w:val="auto"/>
          <w:szCs w:val="21"/>
        </w:rPr>
      </w:pPr>
      <w:r>
        <w:rPr>
          <w:rFonts w:hint="eastAsia" w:ascii="宋体" w:hAnsi="宋体" w:cs="宋体"/>
          <w:color w:val="auto"/>
          <w:szCs w:val="21"/>
        </w:rPr>
        <w:t>4.7符合上述条件的投标人应承担投标及履约中应承担的全部责任与义务。</w:t>
      </w:r>
    </w:p>
    <w:p w14:paraId="65B8C7FB">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5.费用承担</w:t>
      </w:r>
    </w:p>
    <w:p w14:paraId="2101B738">
      <w:pPr>
        <w:spacing w:line="460" w:lineRule="exact"/>
        <w:ind w:firstLine="420"/>
        <w:jc w:val="left"/>
        <w:rPr>
          <w:rFonts w:ascii="宋体" w:hAnsi="宋体" w:cs="宋体"/>
          <w:color w:val="auto"/>
          <w:szCs w:val="21"/>
        </w:rPr>
      </w:pPr>
      <w:r>
        <w:rPr>
          <w:rFonts w:hint="eastAsia" w:ascii="宋体" w:hAnsi="宋体" w:cs="宋体"/>
          <w:color w:val="auto"/>
          <w:szCs w:val="21"/>
        </w:rPr>
        <w:t>5.1不论投标结果如何，投标人均应自行承担所有与准备和参加投标活动有关的全部费用；</w:t>
      </w:r>
    </w:p>
    <w:p w14:paraId="5D3D0AF8">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6.现场考察</w:t>
      </w:r>
    </w:p>
    <w:p w14:paraId="00AA7BFD">
      <w:pPr>
        <w:spacing w:line="460" w:lineRule="exact"/>
        <w:ind w:firstLine="420"/>
        <w:jc w:val="left"/>
        <w:rPr>
          <w:rFonts w:ascii="宋体" w:hAnsi="宋体" w:cs="宋体"/>
          <w:color w:val="auto"/>
          <w:szCs w:val="21"/>
        </w:rPr>
      </w:pPr>
      <w:r>
        <w:rPr>
          <w:rFonts w:hint="eastAsia" w:ascii="宋体" w:hAnsi="宋体" w:cs="宋体"/>
          <w:color w:val="auto"/>
          <w:szCs w:val="21"/>
        </w:rPr>
        <w:t>6.1投标人须知前附表规定组织现场考察的，采购人按《投标人须知前附表》规定的时间、集中地点组织潜在投标人进行现场考察。</w:t>
      </w:r>
    </w:p>
    <w:p w14:paraId="66A0D8A7">
      <w:pPr>
        <w:spacing w:line="460" w:lineRule="exact"/>
        <w:ind w:firstLine="420"/>
        <w:jc w:val="left"/>
        <w:rPr>
          <w:rFonts w:ascii="宋体" w:hAnsi="宋体" w:cs="宋体"/>
          <w:color w:val="auto"/>
          <w:szCs w:val="21"/>
        </w:rPr>
      </w:pPr>
      <w:r>
        <w:rPr>
          <w:rFonts w:hint="eastAsia" w:ascii="宋体" w:hAnsi="宋体" w:cs="宋体"/>
          <w:color w:val="auto"/>
          <w:szCs w:val="21"/>
        </w:rPr>
        <w:t>6.2现场考察所发生的费用由潜在投标人自理。</w:t>
      </w:r>
    </w:p>
    <w:p w14:paraId="78B094D3">
      <w:pPr>
        <w:spacing w:line="460" w:lineRule="exact"/>
        <w:ind w:firstLine="420"/>
        <w:jc w:val="left"/>
        <w:rPr>
          <w:rFonts w:ascii="宋体" w:hAnsi="宋体" w:cs="宋体"/>
          <w:color w:val="auto"/>
          <w:szCs w:val="21"/>
        </w:rPr>
      </w:pPr>
      <w:r>
        <w:rPr>
          <w:rFonts w:hint="eastAsia" w:ascii="宋体" w:hAnsi="宋体" w:cs="宋体"/>
          <w:color w:val="auto"/>
          <w:szCs w:val="21"/>
        </w:rPr>
        <w:t>6.3除采购人的原因外，潜在投标人自行负责在现场考察中所发生的人员伤亡和财产损失。</w:t>
      </w:r>
    </w:p>
    <w:p w14:paraId="33254B5A">
      <w:pPr>
        <w:spacing w:line="460" w:lineRule="exact"/>
        <w:ind w:firstLine="420"/>
        <w:jc w:val="left"/>
        <w:rPr>
          <w:rFonts w:ascii="宋体" w:hAnsi="宋体" w:cs="宋体"/>
          <w:color w:val="auto"/>
          <w:szCs w:val="21"/>
        </w:rPr>
      </w:pPr>
      <w:r>
        <w:rPr>
          <w:rFonts w:hint="eastAsia" w:ascii="宋体" w:hAnsi="宋体" w:cs="宋体"/>
          <w:color w:val="auto"/>
          <w:szCs w:val="21"/>
        </w:rPr>
        <w:t>6.4采购人在现场考察中介绍的项目场地和相关的周边环境情况，供潜在投标人在编制投标文件时参考，采购人不对潜在投标人据此做出的判断和决策负责。</w:t>
      </w:r>
    </w:p>
    <w:p w14:paraId="23D95B97">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7.开标前答疑会</w:t>
      </w:r>
    </w:p>
    <w:p w14:paraId="01DA11D6">
      <w:pPr>
        <w:spacing w:line="460" w:lineRule="exact"/>
        <w:ind w:firstLine="420"/>
        <w:jc w:val="left"/>
        <w:rPr>
          <w:rFonts w:ascii="宋体" w:hAnsi="宋体" w:cs="宋体"/>
          <w:color w:val="auto"/>
          <w:szCs w:val="21"/>
        </w:rPr>
      </w:pPr>
      <w:r>
        <w:rPr>
          <w:rFonts w:hint="eastAsia" w:ascii="宋体" w:hAnsi="宋体" w:cs="宋体"/>
          <w:color w:val="auto"/>
          <w:szCs w:val="21"/>
        </w:rPr>
        <w:t>7.1投标人须知前附表规定召开开标前答疑会的，采购人按《投标人须知前附表》规定的时间和地点召开开标前答疑会，书面澄清潜在投标人提出的问题。</w:t>
      </w:r>
    </w:p>
    <w:p w14:paraId="3785F4CD">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8.质疑</w:t>
      </w:r>
    </w:p>
    <w:p w14:paraId="7A6187DE">
      <w:pPr>
        <w:spacing w:line="460" w:lineRule="exact"/>
        <w:ind w:firstLine="420"/>
        <w:jc w:val="left"/>
        <w:rPr>
          <w:rFonts w:ascii="宋体" w:hAnsi="宋体" w:cs="宋体"/>
          <w:color w:val="auto"/>
          <w:szCs w:val="21"/>
        </w:rPr>
      </w:pPr>
      <w:r>
        <w:rPr>
          <w:rFonts w:hint="eastAsia" w:ascii="宋体" w:hAnsi="宋体" w:cs="宋体"/>
          <w:color w:val="auto"/>
          <w:szCs w:val="21"/>
        </w:rPr>
        <w:t>8.1投标人认为招标文件、采购过程、中标结果使自己的权益受到损害的，可以在知道或者应知其权益受到损害之日起7个工作日内，以书面形式向采购人、采购代理机构提出质疑。投标人应在法定质疑期内一次性提出针对同一采购程序环节的质疑，否则采购人、采购代理机构有权拒收。</w:t>
      </w:r>
    </w:p>
    <w:p w14:paraId="5682CE83">
      <w:pPr>
        <w:spacing w:line="460" w:lineRule="exact"/>
        <w:ind w:firstLine="420"/>
        <w:jc w:val="left"/>
        <w:rPr>
          <w:rFonts w:ascii="宋体" w:hAnsi="宋体" w:cs="宋体"/>
          <w:color w:val="auto"/>
          <w:szCs w:val="21"/>
        </w:rPr>
      </w:pPr>
      <w:r>
        <w:rPr>
          <w:rFonts w:hint="eastAsia" w:ascii="宋体" w:hAnsi="宋体" w:cs="宋体"/>
          <w:color w:val="auto"/>
          <w:szCs w:val="21"/>
        </w:rPr>
        <w:t>8.2招标文件第二章《投标人须知》8.1条中“知道或者应知其权益受到损害之日”是指：</w:t>
      </w:r>
    </w:p>
    <w:p w14:paraId="2988266F">
      <w:pPr>
        <w:spacing w:line="460" w:lineRule="exact"/>
        <w:ind w:firstLine="420"/>
        <w:jc w:val="left"/>
        <w:rPr>
          <w:rFonts w:ascii="宋体" w:hAnsi="宋体" w:cs="宋体"/>
          <w:color w:val="auto"/>
          <w:szCs w:val="21"/>
        </w:rPr>
      </w:pPr>
      <w:r>
        <w:rPr>
          <w:rFonts w:hint="eastAsia" w:ascii="宋体" w:hAnsi="宋体" w:cs="宋体"/>
          <w:color w:val="auto"/>
          <w:szCs w:val="21"/>
        </w:rPr>
        <w:t>（一）对可以质疑的采购文件提出质疑的，为收到采购文件之日或者采购文件公告期限届满之日；</w:t>
      </w:r>
    </w:p>
    <w:p w14:paraId="69C837CB">
      <w:pPr>
        <w:spacing w:line="460" w:lineRule="exact"/>
        <w:ind w:firstLine="420"/>
        <w:jc w:val="left"/>
        <w:rPr>
          <w:rFonts w:ascii="宋体" w:hAnsi="宋体" w:cs="宋体"/>
          <w:color w:val="auto"/>
          <w:szCs w:val="21"/>
        </w:rPr>
      </w:pPr>
      <w:r>
        <w:rPr>
          <w:rFonts w:hint="eastAsia" w:ascii="宋体" w:hAnsi="宋体" w:cs="宋体"/>
          <w:color w:val="auto"/>
          <w:szCs w:val="21"/>
        </w:rPr>
        <w:t>（二）对采购过程提出质疑的，为各采购程序环节结束之日；</w:t>
      </w:r>
    </w:p>
    <w:p w14:paraId="4F0AB616">
      <w:pPr>
        <w:spacing w:line="460" w:lineRule="exact"/>
        <w:ind w:firstLine="420"/>
        <w:jc w:val="left"/>
        <w:rPr>
          <w:rFonts w:ascii="宋体" w:hAnsi="宋体" w:cs="宋体"/>
          <w:color w:val="auto"/>
          <w:szCs w:val="21"/>
        </w:rPr>
      </w:pPr>
      <w:r>
        <w:rPr>
          <w:rFonts w:hint="eastAsia" w:ascii="宋体" w:hAnsi="宋体" w:cs="宋体"/>
          <w:color w:val="auto"/>
          <w:szCs w:val="21"/>
        </w:rPr>
        <w:t>（三）对中标或者成交结果提出质疑的，为中标或者成交结果公告期限届满之日。</w:t>
      </w:r>
    </w:p>
    <w:p w14:paraId="74B1EBC9">
      <w:pPr>
        <w:spacing w:line="460" w:lineRule="exact"/>
        <w:ind w:firstLine="420"/>
        <w:jc w:val="left"/>
        <w:rPr>
          <w:rFonts w:ascii="宋体" w:hAnsi="宋体" w:cs="宋体"/>
          <w:color w:val="auto"/>
          <w:szCs w:val="21"/>
        </w:rPr>
      </w:pPr>
      <w:r>
        <w:rPr>
          <w:rFonts w:hint="eastAsia" w:ascii="宋体" w:hAnsi="宋体" w:cs="宋体"/>
          <w:color w:val="auto"/>
          <w:szCs w:val="21"/>
        </w:rPr>
        <w:t>8.3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供应商签署的授权委托书。</w:t>
      </w:r>
    </w:p>
    <w:p w14:paraId="70967E2B">
      <w:pPr>
        <w:spacing w:line="460" w:lineRule="exact"/>
        <w:ind w:firstLine="420"/>
        <w:jc w:val="left"/>
        <w:rPr>
          <w:rFonts w:ascii="宋体" w:hAnsi="宋体" w:cs="宋体"/>
          <w:color w:val="auto"/>
          <w:szCs w:val="21"/>
        </w:rPr>
      </w:pPr>
      <w:r>
        <w:rPr>
          <w:rFonts w:hint="eastAsia" w:ascii="宋体" w:hAnsi="宋体" w:cs="宋体"/>
          <w:color w:val="auto"/>
          <w:szCs w:val="21"/>
        </w:rPr>
        <w:t>提出质疑的供应商应当是参与所质疑项目采购活动的供应商。</w:t>
      </w:r>
    </w:p>
    <w:p w14:paraId="7C655776">
      <w:pPr>
        <w:spacing w:line="460" w:lineRule="exact"/>
        <w:ind w:firstLine="420"/>
        <w:jc w:val="left"/>
        <w:rPr>
          <w:rFonts w:ascii="宋体" w:hAnsi="宋体" w:cs="宋体"/>
          <w:color w:val="auto"/>
          <w:szCs w:val="21"/>
        </w:rPr>
      </w:pPr>
      <w:r>
        <w:rPr>
          <w:rFonts w:hint="eastAsia" w:ascii="宋体" w:hAnsi="宋体" w:cs="宋体"/>
          <w:color w:val="auto"/>
          <w:szCs w:val="21"/>
        </w:rPr>
        <w:t>8.4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353F91F4">
      <w:pPr>
        <w:spacing w:line="460" w:lineRule="exact"/>
        <w:ind w:firstLine="420"/>
        <w:jc w:val="left"/>
        <w:rPr>
          <w:rFonts w:ascii="宋体" w:hAnsi="宋体" w:cs="宋体"/>
          <w:color w:val="auto"/>
          <w:szCs w:val="21"/>
        </w:rPr>
      </w:pPr>
      <w:r>
        <w:rPr>
          <w:rFonts w:hint="eastAsia" w:ascii="宋体" w:hAnsi="宋体" w:cs="宋体"/>
          <w:color w:val="auto"/>
          <w:szCs w:val="21"/>
        </w:rPr>
        <w:t>（一）供应商的姓名或者名称、地址、邮编、联系人及联系电话；</w:t>
      </w:r>
    </w:p>
    <w:p w14:paraId="197FAD56">
      <w:pPr>
        <w:spacing w:line="460" w:lineRule="exact"/>
        <w:ind w:firstLine="420"/>
        <w:jc w:val="left"/>
        <w:rPr>
          <w:rFonts w:ascii="宋体" w:hAnsi="宋体" w:cs="宋体"/>
          <w:color w:val="auto"/>
          <w:szCs w:val="21"/>
        </w:rPr>
      </w:pPr>
      <w:r>
        <w:rPr>
          <w:rFonts w:hint="eastAsia" w:ascii="宋体" w:hAnsi="宋体" w:cs="宋体"/>
          <w:color w:val="auto"/>
          <w:szCs w:val="21"/>
        </w:rPr>
        <w:t>（二）质疑项目的名称、编号；</w:t>
      </w:r>
    </w:p>
    <w:p w14:paraId="42283A63">
      <w:pPr>
        <w:spacing w:line="460" w:lineRule="exact"/>
        <w:ind w:firstLine="420"/>
        <w:jc w:val="left"/>
        <w:rPr>
          <w:rFonts w:ascii="宋体" w:hAnsi="宋体" w:cs="宋体"/>
          <w:color w:val="auto"/>
          <w:szCs w:val="21"/>
        </w:rPr>
      </w:pPr>
      <w:r>
        <w:rPr>
          <w:rFonts w:hint="eastAsia" w:ascii="宋体" w:hAnsi="宋体" w:cs="宋体"/>
          <w:color w:val="auto"/>
          <w:szCs w:val="21"/>
        </w:rPr>
        <w:t>（三）具体、明确的质疑事项和与质疑事项相关的请求；</w:t>
      </w:r>
    </w:p>
    <w:p w14:paraId="69D60F56">
      <w:pPr>
        <w:spacing w:line="460" w:lineRule="exact"/>
        <w:ind w:firstLine="420"/>
        <w:jc w:val="left"/>
        <w:rPr>
          <w:rFonts w:ascii="宋体" w:hAnsi="宋体" w:cs="宋体"/>
          <w:color w:val="auto"/>
          <w:szCs w:val="21"/>
        </w:rPr>
      </w:pPr>
      <w:r>
        <w:rPr>
          <w:rFonts w:hint="eastAsia" w:ascii="宋体" w:hAnsi="宋体" w:cs="宋体"/>
          <w:color w:val="auto"/>
          <w:szCs w:val="21"/>
        </w:rPr>
        <w:t>（四）事实依据；</w:t>
      </w:r>
    </w:p>
    <w:p w14:paraId="3406C239">
      <w:pPr>
        <w:spacing w:line="460" w:lineRule="exact"/>
        <w:ind w:firstLine="420"/>
        <w:jc w:val="left"/>
        <w:rPr>
          <w:rFonts w:ascii="宋体" w:hAnsi="宋体" w:cs="宋体"/>
          <w:color w:val="auto"/>
          <w:szCs w:val="21"/>
        </w:rPr>
      </w:pPr>
      <w:r>
        <w:rPr>
          <w:rFonts w:hint="eastAsia" w:ascii="宋体" w:hAnsi="宋体" w:cs="宋体"/>
          <w:color w:val="auto"/>
          <w:szCs w:val="21"/>
        </w:rPr>
        <w:t>（五）必要的法律依据；</w:t>
      </w:r>
    </w:p>
    <w:p w14:paraId="09079DFC">
      <w:pPr>
        <w:spacing w:line="460" w:lineRule="exact"/>
        <w:ind w:firstLine="420"/>
        <w:jc w:val="left"/>
        <w:rPr>
          <w:rFonts w:ascii="宋体" w:hAnsi="宋体" w:cs="宋体"/>
          <w:color w:val="auto"/>
          <w:szCs w:val="21"/>
        </w:rPr>
      </w:pPr>
      <w:r>
        <w:rPr>
          <w:rFonts w:hint="eastAsia" w:ascii="宋体" w:hAnsi="宋体" w:cs="宋体"/>
          <w:color w:val="auto"/>
          <w:szCs w:val="21"/>
        </w:rPr>
        <w:t>（六）提出质疑的日期。</w:t>
      </w:r>
    </w:p>
    <w:p w14:paraId="363C6F58">
      <w:pPr>
        <w:spacing w:line="460" w:lineRule="exact"/>
        <w:ind w:firstLine="420"/>
        <w:jc w:val="left"/>
        <w:rPr>
          <w:rFonts w:ascii="宋体" w:hAnsi="宋体" w:cs="宋体"/>
          <w:color w:val="auto"/>
          <w:szCs w:val="21"/>
        </w:rPr>
      </w:pPr>
      <w:r>
        <w:rPr>
          <w:rFonts w:hint="eastAsia" w:ascii="宋体" w:hAnsi="宋体" w:cs="宋体"/>
          <w:color w:val="auto"/>
          <w:szCs w:val="21"/>
        </w:rPr>
        <w:t>投标人为自然人的，应当由本人签字；投标人为法人或者其他组织的，应当由法定代表人、主要负责人，或者其授权代表签字或者盖章，并加盖公章。</w:t>
      </w:r>
    </w:p>
    <w:p w14:paraId="0D9E8C22">
      <w:pPr>
        <w:spacing w:line="460" w:lineRule="exact"/>
        <w:ind w:firstLine="420"/>
        <w:jc w:val="left"/>
        <w:rPr>
          <w:rFonts w:ascii="宋体" w:hAnsi="宋体" w:cs="宋体"/>
          <w:color w:val="auto"/>
          <w:szCs w:val="21"/>
        </w:rPr>
      </w:pPr>
      <w:r>
        <w:rPr>
          <w:rFonts w:hint="eastAsia" w:ascii="宋体" w:hAnsi="宋体" w:cs="宋体"/>
          <w:color w:val="auto"/>
          <w:szCs w:val="21"/>
        </w:rPr>
        <w:t>8.5投标人不得捏造事实、提供虚假材料或者以非法手段取得证明材料。</w:t>
      </w:r>
    </w:p>
    <w:p w14:paraId="2BB5B5DC">
      <w:pPr>
        <w:spacing w:line="460" w:lineRule="exact"/>
        <w:ind w:firstLine="420"/>
        <w:jc w:val="left"/>
        <w:rPr>
          <w:rFonts w:ascii="宋体" w:hAnsi="宋体" w:cs="宋体"/>
          <w:color w:val="auto"/>
          <w:szCs w:val="21"/>
        </w:rPr>
      </w:pPr>
      <w:r>
        <w:rPr>
          <w:rFonts w:hint="eastAsia" w:ascii="宋体" w:hAnsi="宋体" w:cs="宋体"/>
          <w:color w:val="auto"/>
          <w:szCs w:val="21"/>
        </w:rPr>
        <w:t>8.6质疑函应当使用中文。相关当事人提供外文书证或者外国语视听资料的，应当附有中文译本，由翻译机构盖章或者翻译人员签名。</w:t>
      </w:r>
    </w:p>
    <w:p w14:paraId="483AD0C7">
      <w:pPr>
        <w:spacing w:line="460" w:lineRule="exact"/>
        <w:ind w:firstLine="420"/>
        <w:jc w:val="left"/>
        <w:rPr>
          <w:rFonts w:ascii="宋体" w:hAnsi="宋体" w:cs="宋体"/>
          <w:color w:val="auto"/>
          <w:szCs w:val="21"/>
        </w:rPr>
      </w:pPr>
      <w:r>
        <w:rPr>
          <w:rFonts w:hint="eastAsia" w:ascii="宋体" w:hAnsi="宋体" w:cs="宋体"/>
          <w:color w:val="auto"/>
          <w:szCs w:val="21"/>
        </w:rPr>
        <w:t>8.7采购人、采购代理机构将在收到投标人质疑函后七个工作日内作出答复，但质疑答复的内容不涉及商业秘密。</w:t>
      </w:r>
    </w:p>
    <w:p w14:paraId="40FFFFC9">
      <w:pPr>
        <w:spacing w:line="460" w:lineRule="exact"/>
        <w:ind w:firstLine="420"/>
        <w:jc w:val="left"/>
        <w:rPr>
          <w:rFonts w:ascii="宋体" w:hAnsi="宋体" w:cs="宋体"/>
          <w:color w:val="auto"/>
          <w:szCs w:val="21"/>
        </w:rPr>
      </w:pPr>
      <w:r>
        <w:rPr>
          <w:rFonts w:hint="eastAsia" w:ascii="宋体" w:hAnsi="宋体" w:cs="宋体"/>
          <w:color w:val="auto"/>
          <w:szCs w:val="21"/>
        </w:rPr>
        <w:t>8.8投标人对评审过程、中标结果提出质疑的，采购人、采购代理机构可以组织原评标委员会协助答复质疑。质疑答复导致中标结果改变的，采购人或者采购代理机构会将有关情况书面报告本级财政部门。</w:t>
      </w:r>
    </w:p>
    <w:p w14:paraId="34795052">
      <w:pPr>
        <w:spacing w:line="460" w:lineRule="exact"/>
        <w:ind w:firstLine="420"/>
        <w:jc w:val="left"/>
        <w:rPr>
          <w:rFonts w:ascii="宋体" w:hAnsi="宋体" w:cs="宋体"/>
          <w:color w:val="auto"/>
          <w:szCs w:val="21"/>
        </w:rPr>
      </w:pPr>
      <w:r>
        <w:rPr>
          <w:rFonts w:hint="eastAsia" w:ascii="宋体" w:hAnsi="宋体" w:cs="宋体"/>
          <w:color w:val="auto"/>
          <w:szCs w:val="21"/>
        </w:rPr>
        <w:t>8.9接收质疑函的方式：书面方式；接收质疑函的地点：云南冠睿咨询有限公司；联系人、联系电话：祝欣、陈沿锦、丁传觐、王国玺、吴翊、李腾芳、王彦飞、汪怡含、肖枝莲、蒋兴杰、杨益鑫、邓楚卿、刘晓云、张振荣0871-65511240、0871-65511241；通讯地址：云南省昆明市西山区万达广场南塔32层3201号。</w:t>
      </w:r>
    </w:p>
    <w:p w14:paraId="22D5F6BE">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9.投诉</w:t>
      </w:r>
    </w:p>
    <w:p w14:paraId="3A3D9193">
      <w:pPr>
        <w:spacing w:line="460" w:lineRule="exact"/>
        <w:ind w:firstLine="420"/>
        <w:jc w:val="left"/>
        <w:rPr>
          <w:rFonts w:ascii="宋体" w:hAnsi="宋体" w:cs="宋体"/>
          <w:color w:val="auto"/>
          <w:szCs w:val="21"/>
        </w:rPr>
      </w:pPr>
      <w:r>
        <w:rPr>
          <w:rFonts w:hint="eastAsia" w:ascii="宋体" w:hAnsi="宋体" w:cs="宋体"/>
          <w:color w:val="auto"/>
          <w:szCs w:val="21"/>
        </w:rPr>
        <w:t>9.1投诉必须首先经过质疑程序。质疑供应商对采购人、采购代理机构的答复不满意，或者采购人、采购代理机构未在规定时间内作出答复的，可以在答复期满后十五个工作日内书面向财政部门提起投诉。</w:t>
      </w:r>
    </w:p>
    <w:p w14:paraId="5D809DE8">
      <w:pPr>
        <w:spacing w:line="460" w:lineRule="exact"/>
        <w:ind w:firstLine="420"/>
        <w:jc w:val="left"/>
        <w:rPr>
          <w:rFonts w:ascii="宋体" w:hAnsi="宋体" w:cs="宋体"/>
          <w:color w:val="auto"/>
          <w:szCs w:val="21"/>
        </w:rPr>
      </w:pPr>
    </w:p>
    <w:p w14:paraId="7A9D401E">
      <w:pPr>
        <w:pStyle w:val="5"/>
        <w:spacing w:before="0" w:line="440" w:lineRule="exact"/>
        <w:jc w:val="center"/>
        <w:rPr>
          <w:rFonts w:ascii="宋体" w:hAnsi="宋体"/>
          <w:color w:val="auto"/>
          <w:sz w:val="28"/>
          <w:szCs w:val="28"/>
        </w:rPr>
      </w:pPr>
      <w:bookmarkStart w:id="43" w:name="_Toc29550"/>
      <w:bookmarkStart w:id="44" w:name="_Toc28471"/>
      <w:bookmarkStart w:id="45" w:name="_Toc28635"/>
      <w:r>
        <w:rPr>
          <w:rFonts w:hint="eastAsia" w:ascii="宋体" w:hAnsi="宋体"/>
          <w:color w:val="auto"/>
          <w:sz w:val="28"/>
          <w:szCs w:val="28"/>
        </w:rPr>
        <w:t>二、招标文件</w:t>
      </w:r>
      <w:bookmarkEnd w:id="43"/>
      <w:bookmarkEnd w:id="44"/>
      <w:bookmarkEnd w:id="45"/>
    </w:p>
    <w:p w14:paraId="45D2DE3E">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10.招标文件的组成</w:t>
      </w:r>
    </w:p>
    <w:p w14:paraId="30F26621">
      <w:pPr>
        <w:spacing w:line="460" w:lineRule="exact"/>
        <w:ind w:firstLine="420"/>
        <w:jc w:val="left"/>
        <w:rPr>
          <w:rFonts w:ascii="宋体" w:hAnsi="宋体" w:cs="宋体"/>
          <w:color w:val="auto"/>
          <w:szCs w:val="21"/>
        </w:rPr>
      </w:pPr>
      <w:r>
        <w:rPr>
          <w:rFonts w:hint="eastAsia" w:ascii="宋体" w:hAnsi="宋体" w:cs="宋体"/>
          <w:color w:val="auto"/>
          <w:szCs w:val="21"/>
        </w:rPr>
        <w:t>10.1采购人要求提供的货物、工程或者服务、采购过程及合同条款在招标文件中均有说明，招标文件共七章，各章的内容如下：</w:t>
      </w:r>
    </w:p>
    <w:p w14:paraId="7B9EB551">
      <w:pPr>
        <w:spacing w:line="460" w:lineRule="exact"/>
        <w:ind w:firstLine="420"/>
        <w:jc w:val="left"/>
        <w:rPr>
          <w:rFonts w:ascii="宋体" w:hAnsi="宋体" w:cs="宋体"/>
          <w:color w:val="auto"/>
          <w:szCs w:val="21"/>
        </w:rPr>
      </w:pPr>
      <w:r>
        <w:rPr>
          <w:rFonts w:hint="eastAsia" w:ascii="宋体" w:hAnsi="宋体" w:cs="宋体"/>
          <w:color w:val="auto"/>
          <w:szCs w:val="21"/>
        </w:rPr>
        <w:t>第一章  招标公告</w:t>
      </w:r>
    </w:p>
    <w:p w14:paraId="58B225A1">
      <w:pPr>
        <w:spacing w:line="460" w:lineRule="exact"/>
        <w:ind w:firstLine="420"/>
        <w:jc w:val="left"/>
        <w:rPr>
          <w:rFonts w:ascii="宋体" w:hAnsi="宋体" w:cs="宋体"/>
          <w:color w:val="auto"/>
          <w:szCs w:val="21"/>
        </w:rPr>
      </w:pPr>
      <w:r>
        <w:rPr>
          <w:rFonts w:hint="eastAsia" w:ascii="宋体" w:hAnsi="宋体" w:cs="宋体"/>
          <w:color w:val="auto"/>
          <w:szCs w:val="21"/>
        </w:rPr>
        <w:t>第二章  投标人须知</w:t>
      </w:r>
    </w:p>
    <w:p w14:paraId="51F012F4">
      <w:pPr>
        <w:spacing w:line="460" w:lineRule="exact"/>
        <w:ind w:firstLine="420"/>
        <w:jc w:val="left"/>
        <w:rPr>
          <w:rFonts w:ascii="宋体" w:hAnsi="宋体" w:cs="宋体"/>
          <w:color w:val="auto"/>
          <w:szCs w:val="21"/>
        </w:rPr>
      </w:pPr>
      <w:r>
        <w:rPr>
          <w:rFonts w:hint="eastAsia" w:ascii="宋体" w:hAnsi="宋体" w:cs="宋体"/>
          <w:color w:val="auto"/>
          <w:szCs w:val="21"/>
        </w:rPr>
        <w:t>第三章  合同书样式及主要条款</w:t>
      </w:r>
    </w:p>
    <w:p w14:paraId="29155B81">
      <w:pPr>
        <w:spacing w:line="460" w:lineRule="exact"/>
        <w:ind w:firstLine="420"/>
        <w:jc w:val="left"/>
        <w:rPr>
          <w:rFonts w:ascii="宋体" w:hAnsi="宋体" w:cs="宋体"/>
          <w:color w:val="auto"/>
          <w:szCs w:val="21"/>
        </w:rPr>
      </w:pPr>
      <w:r>
        <w:rPr>
          <w:rFonts w:hint="eastAsia" w:ascii="宋体" w:hAnsi="宋体" w:cs="宋体"/>
          <w:color w:val="auto"/>
          <w:szCs w:val="21"/>
        </w:rPr>
        <w:t>第四章  投标文件格式</w:t>
      </w:r>
    </w:p>
    <w:p w14:paraId="3500BEF2">
      <w:pPr>
        <w:spacing w:line="460" w:lineRule="exact"/>
        <w:ind w:firstLine="420"/>
        <w:jc w:val="left"/>
        <w:rPr>
          <w:rFonts w:ascii="宋体" w:hAnsi="宋体" w:cs="宋体"/>
          <w:color w:val="auto"/>
          <w:szCs w:val="21"/>
        </w:rPr>
      </w:pPr>
      <w:r>
        <w:rPr>
          <w:rFonts w:hint="eastAsia" w:ascii="宋体" w:hAnsi="宋体" w:cs="宋体"/>
          <w:color w:val="auto"/>
          <w:szCs w:val="21"/>
        </w:rPr>
        <w:t>第五章  采购需求</w:t>
      </w:r>
    </w:p>
    <w:p w14:paraId="5D7810EA">
      <w:pPr>
        <w:spacing w:line="460" w:lineRule="exact"/>
        <w:ind w:firstLine="420"/>
        <w:jc w:val="left"/>
        <w:rPr>
          <w:rFonts w:ascii="宋体" w:hAnsi="宋体" w:cs="宋体"/>
          <w:color w:val="auto"/>
          <w:szCs w:val="21"/>
        </w:rPr>
      </w:pPr>
      <w:r>
        <w:rPr>
          <w:rFonts w:hint="eastAsia" w:ascii="宋体" w:hAnsi="宋体" w:cs="宋体"/>
          <w:color w:val="auto"/>
          <w:szCs w:val="21"/>
        </w:rPr>
        <w:t>第六章  资格审查</w:t>
      </w:r>
    </w:p>
    <w:p w14:paraId="32A7C23A">
      <w:pPr>
        <w:spacing w:line="460" w:lineRule="exact"/>
        <w:ind w:firstLine="420"/>
        <w:jc w:val="left"/>
        <w:rPr>
          <w:rFonts w:ascii="宋体" w:hAnsi="宋体" w:cs="宋体"/>
          <w:color w:val="auto"/>
          <w:szCs w:val="21"/>
        </w:rPr>
      </w:pPr>
      <w:r>
        <w:rPr>
          <w:rFonts w:hint="eastAsia" w:ascii="宋体" w:hAnsi="宋体" w:cs="宋体"/>
          <w:color w:val="auto"/>
          <w:szCs w:val="21"/>
        </w:rPr>
        <w:t>第七章  评标方法（综合评分法）</w:t>
      </w:r>
    </w:p>
    <w:p w14:paraId="232C2D02">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11. 招标文件的询问、澄清、修改</w:t>
      </w:r>
    </w:p>
    <w:p w14:paraId="455FABC6">
      <w:pPr>
        <w:spacing w:line="460" w:lineRule="exact"/>
        <w:ind w:firstLine="420"/>
        <w:jc w:val="left"/>
        <w:rPr>
          <w:rFonts w:ascii="宋体" w:hAnsi="宋体" w:cs="宋体"/>
          <w:color w:val="auto"/>
          <w:szCs w:val="21"/>
        </w:rPr>
      </w:pPr>
      <w:r>
        <w:rPr>
          <w:rFonts w:hint="eastAsia" w:ascii="宋体" w:hAnsi="宋体" w:cs="宋体"/>
          <w:color w:val="auto"/>
          <w:szCs w:val="21"/>
        </w:rPr>
        <w:t>11.招标文件的询问、澄清、修改</w:t>
      </w:r>
    </w:p>
    <w:p w14:paraId="10E42322">
      <w:pPr>
        <w:wordWrap w:val="0"/>
        <w:spacing w:line="460" w:lineRule="exact"/>
        <w:ind w:firstLine="420"/>
        <w:jc w:val="left"/>
        <w:rPr>
          <w:rFonts w:ascii="宋体" w:hAnsi="宋体" w:cs="宋体"/>
          <w:color w:val="auto"/>
          <w:szCs w:val="21"/>
        </w:rPr>
      </w:pPr>
      <w:r>
        <w:rPr>
          <w:rFonts w:hint="eastAsia" w:ascii="宋体" w:hAnsi="宋体" w:cs="宋体"/>
          <w:color w:val="auto"/>
          <w:szCs w:val="21"/>
        </w:rPr>
        <w:t>11.1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 项目采购”学习。</w:t>
      </w:r>
    </w:p>
    <w:p w14:paraId="6707ED22">
      <w:pPr>
        <w:spacing w:line="460" w:lineRule="exact"/>
        <w:ind w:firstLine="420"/>
        <w:jc w:val="left"/>
        <w:rPr>
          <w:rFonts w:ascii="宋体" w:hAnsi="宋体" w:cs="宋体"/>
          <w:color w:val="auto"/>
          <w:szCs w:val="21"/>
        </w:rPr>
      </w:pPr>
      <w:r>
        <w:rPr>
          <w:rFonts w:hint="eastAsia" w:ascii="宋体" w:hAnsi="宋体" w:cs="宋体"/>
          <w:color w:val="auto"/>
          <w:szCs w:val="21"/>
        </w:rPr>
        <w:t>11.2招标文件询问联系方式：详见《投标人须知前附表》。</w:t>
      </w:r>
    </w:p>
    <w:p w14:paraId="0B7AF207">
      <w:pPr>
        <w:spacing w:line="460" w:lineRule="exact"/>
        <w:ind w:firstLine="420"/>
        <w:jc w:val="left"/>
        <w:rPr>
          <w:rFonts w:ascii="宋体" w:hAnsi="宋体" w:cs="宋体"/>
          <w:color w:val="auto"/>
          <w:szCs w:val="21"/>
        </w:rPr>
      </w:pPr>
      <w:r>
        <w:rPr>
          <w:rFonts w:hint="eastAsia" w:ascii="宋体" w:hAnsi="宋体" w:cs="宋体"/>
          <w:color w:val="auto"/>
          <w:szCs w:val="21"/>
        </w:rPr>
        <w:t>11.3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p w14:paraId="03BFB175">
      <w:pPr>
        <w:pStyle w:val="5"/>
        <w:spacing w:before="0" w:line="440" w:lineRule="exact"/>
        <w:jc w:val="center"/>
        <w:rPr>
          <w:rFonts w:ascii="宋体" w:hAnsi="宋体"/>
          <w:color w:val="auto"/>
          <w:sz w:val="28"/>
          <w:szCs w:val="28"/>
        </w:rPr>
      </w:pPr>
      <w:bookmarkStart w:id="46" w:name="_Toc20154"/>
      <w:bookmarkStart w:id="47" w:name="_Toc2095"/>
      <w:bookmarkStart w:id="48" w:name="_Toc6675"/>
      <w:r>
        <w:rPr>
          <w:rFonts w:hint="eastAsia" w:ascii="宋体" w:hAnsi="宋体"/>
          <w:color w:val="auto"/>
          <w:sz w:val="28"/>
          <w:szCs w:val="28"/>
        </w:rPr>
        <w:t>三、投标文件</w:t>
      </w:r>
      <w:bookmarkEnd w:id="46"/>
      <w:bookmarkEnd w:id="47"/>
      <w:bookmarkEnd w:id="48"/>
    </w:p>
    <w:p w14:paraId="38278341">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12.投标文件编写注意事项</w:t>
      </w:r>
    </w:p>
    <w:p w14:paraId="20F54BB5">
      <w:pPr>
        <w:spacing w:line="460" w:lineRule="exact"/>
        <w:ind w:firstLine="420"/>
        <w:jc w:val="left"/>
        <w:rPr>
          <w:rFonts w:ascii="宋体" w:hAnsi="宋体" w:cs="宋体"/>
          <w:color w:val="auto"/>
          <w:szCs w:val="21"/>
        </w:rPr>
      </w:pPr>
      <w:r>
        <w:rPr>
          <w:rFonts w:hint="eastAsia" w:ascii="宋体" w:hAnsi="宋体" w:cs="宋体"/>
          <w:color w:val="auto"/>
          <w:szCs w:val="21"/>
        </w:rPr>
        <w:t>12.1投标人应仔细阅读招标文件，在完全了解采购内容、技术性能要求和商务条件后，根据招标文件要求编写投标文件。</w:t>
      </w:r>
    </w:p>
    <w:p w14:paraId="2FA28399">
      <w:pPr>
        <w:spacing w:line="460" w:lineRule="exact"/>
        <w:ind w:firstLine="420"/>
        <w:jc w:val="left"/>
        <w:rPr>
          <w:rFonts w:ascii="宋体" w:hAnsi="宋体" w:cs="宋体"/>
          <w:color w:val="auto"/>
          <w:szCs w:val="21"/>
        </w:rPr>
      </w:pPr>
      <w:r>
        <w:rPr>
          <w:rFonts w:hint="eastAsia" w:ascii="宋体" w:hAnsi="宋体" w:cs="宋体"/>
          <w:color w:val="auto"/>
          <w:szCs w:val="21"/>
        </w:rPr>
        <w:t>12.2对招标文件提出的实质性要求和条件作出响应是指投标人的投标文件必须对招标文件中规定的实质性要求和条件作出满足或者优于原要求和条件的承诺，并提供相应的证明材料，否则按无效处理。</w:t>
      </w:r>
    </w:p>
    <w:p w14:paraId="09220017">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13.语言文字</w:t>
      </w:r>
    </w:p>
    <w:p w14:paraId="00A5E8A1">
      <w:pPr>
        <w:spacing w:line="460" w:lineRule="exact"/>
        <w:ind w:firstLine="420"/>
        <w:jc w:val="left"/>
        <w:rPr>
          <w:rFonts w:ascii="宋体" w:hAnsi="宋体" w:cs="宋体"/>
          <w:color w:val="auto"/>
          <w:szCs w:val="21"/>
        </w:rPr>
      </w:pPr>
      <w:r>
        <w:rPr>
          <w:rFonts w:hint="eastAsia" w:ascii="宋体" w:hAnsi="宋体" w:cs="宋体"/>
          <w:color w:val="auto"/>
          <w:szCs w:val="21"/>
        </w:rPr>
        <w:t>13.1投标人的投标文件以及投标人与采购代理机构就有关投标的所有来往函电统一使用中文（特别规定除外）。</w:t>
      </w:r>
    </w:p>
    <w:p w14:paraId="64312332">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14.计量单位</w:t>
      </w:r>
    </w:p>
    <w:p w14:paraId="5775C934">
      <w:pPr>
        <w:spacing w:line="460" w:lineRule="exact"/>
        <w:ind w:firstLine="420"/>
        <w:jc w:val="left"/>
        <w:rPr>
          <w:rFonts w:ascii="宋体" w:hAnsi="宋体" w:cs="宋体"/>
          <w:color w:val="auto"/>
          <w:szCs w:val="21"/>
        </w:rPr>
      </w:pPr>
      <w:r>
        <w:rPr>
          <w:rFonts w:hint="eastAsia" w:ascii="宋体" w:hAnsi="宋体" w:cs="宋体"/>
          <w:color w:val="auto"/>
          <w:szCs w:val="21"/>
        </w:rPr>
        <w:t>14.1投标文件中使用的计量单位除招标文件中有特殊规定外，一律使用中国法定计量单位。</w:t>
      </w:r>
    </w:p>
    <w:p w14:paraId="73A9F291">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15. 投标文件的组成</w:t>
      </w:r>
    </w:p>
    <w:p w14:paraId="1EB0F420">
      <w:pPr>
        <w:spacing w:line="460" w:lineRule="exact"/>
        <w:ind w:firstLine="420"/>
        <w:jc w:val="left"/>
        <w:rPr>
          <w:rFonts w:ascii="宋体" w:hAnsi="宋体" w:cs="宋体"/>
          <w:color w:val="auto"/>
          <w:szCs w:val="21"/>
        </w:rPr>
      </w:pPr>
      <w:r>
        <w:rPr>
          <w:rFonts w:hint="eastAsia" w:ascii="宋体" w:hAnsi="宋体" w:cs="宋体"/>
          <w:color w:val="auto"/>
          <w:szCs w:val="21"/>
        </w:rPr>
        <w:t>15.1投标人编写的投标文件应按第四章《投标文件格式》要求填写。有关文件的提交如未特别注明需提供原件的，可提供复印件或扫描件。</w:t>
      </w:r>
    </w:p>
    <w:p w14:paraId="7CA82179">
      <w:pPr>
        <w:spacing w:line="460" w:lineRule="exact"/>
        <w:ind w:firstLine="420"/>
        <w:jc w:val="left"/>
        <w:rPr>
          <w:rFonts w:ascii="宋体" w:hAnsi="宋体" w:cs="宋体"/>
          <w:color w:val="auto"/>
          <w:szCs w:val="21"/>
        </w:rPr>
      </w:pPr>
      <w:r>
        <w:rPr>
          <w:rFonts w:hint="eastAsia" w:ascii="宋体" w:hAnsi="宋体" w:cs="宋体"/>
          <w:color w:val="auto"/>
          <w:szCs w:val="21"/>
        </w:rPr>
        <w:t>投标人同时投多个标段（若分标段时）的，投标文件应按标段分别编制，单独成册。</w:t>
      </w:r>
    </w:p>
    <w:p w14:paraId="43427AF8">
      <w:pPr>
        <w:spacing w:line="460" w:lineRule="exact"/>
        <w:ind w:firstLine="420"/>
        <w:jc w:val="left"/>
        <w:rPr>
          <w:rFonts w:ascii="宋体" w:hAnsi="宋体" w:cs="宋体"/>
          <w:color w:val="auto"/>
          <w:szCs w:val="21"/>
        </w:rPr>
      </w:pPr>
      <w:r>
        <w:rPr>
          <w:rFonts w:hint="eastAsia" w:ascii="宋体" w:hAnsi="宋体" w:cs="宋体"/>
          <w:color w:val="auto"/>
          <w:szCs w:val="21"/>
        </w:rPr>
        <w:t>15.2构成投标文件的其他资料：详见《投标人须知前附表》。</w:t>
      </w:r>
    </w:p>
    <w:p w14:paraId="63B5C0E9">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16.投标文件的格式要求</w:t>
      </w:r>
    </w:p>
    <w:p w14:paraId="239CF555">
      <w:pPr>
        <w:spacing w:line="460" w:lineRule="exact"/>
        <w:ind w:firstLine="420"/>
        <w:jc w:val="left"/>
        <w:rPr>
          <w:rFonts w:ascii="宋体" w:hAnsi="宋体" w:cs="宋体"/>
          <w:color w:val="auto"/>
          <w:szCs w:val="21"/>
        </w:rPr>
      </w:pPr>
      <w:r>
        <w:rPr>
          <w:rFonts w:hint="eastAsia" w:ascii="宋体" w:hAnsi="宋体" w:cs="宋体"/>
          <w:color w:val="auto"/>
          <w:szCs w:val="21"/>
        </w:rPr>
        <w:t>16.1投标人应按第四章《投标文件格式》提供的格式完整地填写，未按招标文件规定格式填写的投标文件按无效投标处理。</w:t>
      </w:r>
    </w:p>
    <w:p w14:paraId="31A477EA">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17.投标有效期</w:t>
      </w:r>
    </w:p>
    <w:p w14:paraId="24C29AC7">
      <w:pPr>
        <w:spacing w:line="460" w:lineRule="exact"/>
        <w:ind w:firstLine="420"/>
        <w:jc w:val="left"/>
        <w:rPr>
          <w:rFonts w:ascii="宋体" w:hAnsi="宋体" w:cs="宋体"/>
          <w:color w:val="auto"/>
          <w:szCs w:val="21"/>
        </w:rPr>
      </w:pPr>
      <w:r>
        <w:rPr>
          <w:rFonts w:hint="eastAsia" w:ascii="宋体" w:hAnsi="宋体" w:cs="宋体"/>
          <w:color w:val="auto"/>
          <w:szCs w:val="21"/>
        </w:rPr>
        <w:t>17.1在《投标人须知前附表》规定的有效期内，投标人不得要求撤销或修改其投标文件。若投标人未按照《投标人须知前附表》规定的投标文件有效期进行承诺，其投标文件按无效投标处理。</w:t>
      </w:r>
    </w:p>
    <w:p w14:paraId="24F8F4F1">
      <w:pPr>
        <w:spacing w:line="460" w:lineRule="exact"/>
        <w:ind w:firstLine="420"/>
        <w:jc w:val="left"/>
        <w:rPr>
          <w:rFonts w:ascii="宋体" w:hAnsi="宋体" w:cs="宋体"/>
          <w:color w:val="auto"/>
          <w:szCs w:val="21"/>
        </w:rPr>
      </w:pPr>
      <w:r>
        <w:rPr>
          <w:rFonts w:hint="eastAsia" w:ascii="宋体" w:hAnsi="宋体" w:cs="宋体"/>
          <w:color w:val="auto"/>
          <w:szCs w:val="21"/>
        </w:rPr>
        <w:t>17.2因特殊情况需要延长投标文件有效期的，采购代理机构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769B60D3">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18.投标保证金</w:t>
      </w:r>
    </w:p>
    <w:p w14:paraId="24C700EB">
      <w:pPr>
        <w:spacing w:line="460" w:lineRule="exact"/>
        <w:ind w:firstLine="420"/>
        <w:jc w:val="left"/>
        <w:rPr>
          <w:rFonts w:ascii="宋体" w:hAnsi="宋体" w:cs="宋体"/>
          <w:color w:val="auto"/>
          <w:szCs w:val="21"/>
        </w:rPr>
      </w:pPr>
      <w:r>
        <w:rPr>
          <w:rFonts w:hint="eastAsia" w:ascii="宋体" w:hAnsi="宋体" w:cs="宋体"/>
          <w:color w:val="auto"/>
          <w:szCs w:val="21"/>
        </w:rPr>
        <w:t>18.1投标人应按《投标人须知前附表》规定的金额、形式交纳投标保证金，投标保证金须在投标文件提交截止时间前从投标人基本账户交纳到《投标人须知前附表》规定的账户，投标人未按照招标文件要求提交投标保证金的，投标无效。</w:t>
      </w:r>
    </w:p>
    <w:p w14:paraId="1CEBEEB7">
      <w:pPr>
        <w:spacing w:line="460" w:lineRule="exact"/>
        <w:ind w:firstLine="420"/>
        <w:jc w:val="left"/>
        <w:rPr>
          <w:rFonts w:ascii="宋体" w:hAnsi="宋体" w:cs="宋体"/>
          <w:color w:val="auto"/>
          <w:szCs w:val="21"/>
        </w:rPr>
      </w:pPr>
      <w:r>
        <w:rPr>
          <w:rFonts w:hint="eastAsia" w:ascii="宋体" w:hAnsi="宋体" w:cs="宋体"/>
          <w:color w:val="auto"/>
          <w:szCs w:val="21"/>
        </w:rPr>
        <w:t>18.2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35770D4A">
      <w:pPr>
        <w:spacing w:line="460" w:lineRule="exact"/>
        <w:ind w:firstLine="420"/>
        <w:jc w:val="left"/>
        <w:rPr>
          <w:rFonts w:ascii="宋体" w:hAnsi="宋体" w:cs="宋体"/>
          <w:color w:val="auto"/>
          <w:szCs w:val="21"/>
        </w:rPr>
      </w:pPr>
      <w:r>
        <w:rPr>
          <w:rFonts w:hint="eastAsia" w:ascii="宋体" w:hAnsi="宋体" w:cs="宋体"/>
          <w:color w:val="auto"/>
          <w:szCs w:val="21"/>
        </w:rPr>
        <w:t>（1）投标人在提交投标文件截止时间后撤销投标文件的；</w:t>
      </w:r>
    </w:p>
    <w:p w14:paraId="0BD89E1E">
      <w:pPr>
        <w:spacing w:line="460" w:lineRule="exact"/>
        <w:ind w:firstLine="420"/>
        <w:jc w:val="left"/>
        <w:rPr>
          <w:rFonts w:ascii="宋体" w:hAnsi="宋体" w:cs="宋体"/>
          <w:color w:val="auto"/>
          <w:szCs w:val="21"/>
        </w:rPr>
      </w:pPr>
      <w:r>
        <w:rPr>
          <w:rFonts w:hint="eastAsia" w:ascii="宋体" w:hAnsi="宋体" w:cs="宋体"/>
          <w:color w:val="auto"/>
          <w:szCs w:val="21"/>
        </w:rPr>
        <w:t>（2）投标人在投标文件中提供虚假材料的；</w:t>
      </w:r>
    </w:p>
    <w:p w14:paraId="4C06D2B8">
      <w:pPr>
        <w:spacing w:line="460" w:lineRule="exact"/>
        <w:ind w:firstLine="420"/>
        <w:jc w:val="left"/>
        <w:rPr>
          <w:rFonts w:ascii="宋体" w:hAnsi="宋体" w:cs="宋体"/>
          <w:color w:val="auto"/>
          <w:szCs w:val="21"/>
        </w:rPr>
      </w:pPr>
      <w:r>
        <w:rPr>
          <w:rFonts w:hint="eastAsia" w:ascii="宋体" w:hAnsi="宋体" w:cs="宋体"/>
          <w:color w:val="auto"/>
          <w:szCs w:val="21"/>
        </w:rPr>
        <w:t>（3）除因不可抗力或招标文件认可的情形以外，中标人不与采购人签订合同的；</w:t>
      </w:r>
    </w:p>
    <w:p w14:paraId="54FBCA71">
      <w:pPr>
        <w:spacing w:line="460" w:lineRule="exact"/>
        <w:ind w:firstLine="420"/>
        <w:jc w:val="left"/>
        <w:rPr>
          <w:rFonts w:ascii="宋体" w:hAnsi="宋体" w:cs="宋体"/>
          <w:color w:val="auto"/>
          <w:szCs w:val="21"/>
        </w:rPr>
      </w:pPr>
      <w:r>
        <w:rPr>
          <w:rFonts w:hint="eastAsia" w:ascii="宋体" w:hAnsi="宋体" w:cs="宋体"/>
          <w:color w:val="auto"/>
          <w:szCs w:val="21"/>
        </w:rPr>
        <w:t>（4）投标人与采购人、其他投标人或者采购代理机构恶意串通的；</w:t>
      </w:r>
    </w:p>
    <w:p w14:paraId="67A5BB3F">
      <w:pPr>
        <w:spacing w:line="460" w:lineRule="exact"/>
        <w:ind w:firstLine="420"/>
        <w:jc w:val="left"/>
        <w:rPr>
          <w:rFonts w:ascii="宋体" w:hAnsi="宋体" w:cs="宋体"/>
          <w:color w:val="auto"/>
          <w:szCs w:val="21"/>
        </w:rPr>
      </w:pPr>
      <w:r>
        <w:rPr>
          <w:rFonts w:hint="eastAsia" w:ascii="宋体" w:hAnsi="宋体" w:cs="宋体"/>
          <w:color w:val="auto"/>
          <w:szCs w:val="21"/>
        </w:rPr>
        <w:t>（5）招标文件规定的其他情形。</w:t>
      </w:r>
    </w:p>
    <w:p w14:paraId="3CCF6DE3">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19.投标文件的编制</w:t>
      </w:r>
    </w:p>
    <w:p w14:paraId="217D5459">
      <w:pPr>
        <w:spacing w:line="460" w:lineRule="exact"/>
        <w:ind w:firstLine="420"/>
        <w:jc w:val="left"/>
        <w:rPr>
          <w:rFonts w:ascii="宋体" w:hAnsi="宋体" w:cs="宋体"/>
          <w:color w:val="auto"/>
          <w:szCs w:val="21"/>
        </w:rPr>
      </w:pPr>
      <w:r>
        <w:rPr>
          <w:rFonts w:hint="eastAsia" w:ascii="宋体" w:hAnsi="宋体" w:cs="宋体"/>
          <w:color w:val="auto"/>
          <w:szCs w:val="21"/>
        </w:rPr>
        <w:t>19.1投标文件按招标文件要求由投标人的法定代表人电子签名或电子签章并加盖投标人的电子公章。</w:t>
      </w:r>
    </w:p>
    <w:p w14:paraId="7190E938">
      <w:pPr>
        <w:spacing w:line="460" w:lineRule="exact"/>
        <w:ind w:firstLine="420"/>
        <w:jc w:val="left"/>
        <w:rPr>
          <w:rFonts w:ascii="宋体" w:hAnsi="宋体" w:cs="宋体"/>
          <w:color w:val="auto"/>
          <w:szCs w:val="21"/>
        </w:rPr>
      </w:pPr>
      <w:r>
        <w:rPr>
          <w:rFonts w:hint="eastAsia" w:ascii="宋体" w:hAnsi="宋体" w:cs="宋体"/>
          <w:color w:val="auto"/>
          <w:szCs w:val="21"/>
        </w:rPr>
        <w:t>19.2投标文件应尽量避免涂改、行间插字或删除。如果出现上述情况，改动之处应加盖投标人的电子公章或投标人法定代表人电子签名或电子签章确认。</w:t>
      </w:r>
    </w:p>
    <w:p w14:paraId="2777DF7C">
      <w:pPr>
        <w:spacing w:line="460" w:lineRule="exact"/>
        <w:ind w:firstLine="420"/>
        <w:jc w:val="left"/>
        <w:rPr>
          <w:rFonts w:ascii="宋体" w:hAnsi="宋体" w:cs="宋体"/>
          <w:color w:val="auto"/>
          <w:szCs w:val="21"/>
        </w:rPr>
      </w:pPr>
      <w:r>
        <w:rPr>
          <w:rFonts w:hint="eastAsia" w:ascii="宋体" w:hAnsi="宋体" w:cs="宋体"/>
          <w:color w:val="auto"/>
          <w:szCs w:val="21"/>
        </w:rPr>
        <w:t>19.3投标文件应由法定代表人在招标文件规定签字处逐一电子签名或电子签章，要求盖章处应盖单位电子公章，若以“投标专用章”或“合同专用章”代替的，须出具投标人单位公章对“投标专用章”或“合同专用章”的授权函。</w:t>
      </w:r>
    </w:p>
    <w:p w14:paraId="2B0E53FF">
      <w:pPr>
        <w:spacing w:line="460" w:lineRule="exact"/>
        <w:ind w:firstLine="420"/>
        <w:jc w:val="left"/>
        <w:rPr>
          <w:rFonts w:ascii="宋体" w:hAnsi="宋体" w:cs="宋体"/>
          <w:color w:val="auto"/>
          <w:szCs w:val="21"/>
        </w:rPr>
      </w:pPr>
      <w:r>
        <w:rPr>
          <w:rFonts w:hint="eastAsia" w:ascii="宋体" w:hAnsi="宋体" w:cs="宋体"/>
          <w:color w:val="auto"/>
          <w:szCs w:val="21"/>
        </w:rPr>
        <w:t>19.4投标文件中提供的资料（包括复印件或扫描件）、关键内容必须清晰可辨，若出现字迹潦草、表达不清、未按要求填写而导致非唯一理解，视为未实质性响应招标采购文件，投标人投标文件将按无效处理。</w:t>
      </w:r>
    </w:p>
    <w:p w14:paraId="7BA43B25">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20.投标报价和报价货币</w:t>
      </w:r>
    </w:p>
    <w:p w14:paraId="331D222D">
      <w:pPr>
        <w:spacing w:line="460" w:lineRule="exact"/>
        <w:ind w:firstLine="420"/>
        <w:jc w:val="left"/>
        <w:rPr>
          <w:rFonts w:ascii="宋体" w:hAnsi="宋体" w:cs="宋体"/>
          <w:color w:val="auto"/>
          <w:szCs w:val="21"/>
        </w:rPr>
      </w:pPr>
      <w:r>
        <w:rPr>
          <w:rFonts w:hint="eastAsia" w:ascii="宋体" w:hAnsi="宋体" w:cs="宋体"/>
          <w:color w:val="auto"/>
          <w:szCs w:val="21"/>
        </w:rPr>
        <w:t>20.1投标人必须对所有内容作出完整唯一的投标报价，不得缺项、漏项，否则投标文件将按无效处理。</w:t>
      </w:r>
    </w:p>
    <w:p w14:paraId="3821110E">
      <w:pPr>
        <w:spacing w:line="460" w:lineRule="exact"/>
        <w:ind w:firstLine="420"/>
        <w:jc w:val="left"/>
        <w:rPr>
          <w:rFonts w:ascii="宋体" w:hAnsi="宋体" w:cs="宋体"/>
          <w:color w:val="auto"/>
          <w:szCs w:val="21"/>
        </w:rPr>
      </w:pPr>
      <w:r>
        <w:rPr>
          <w:rFonts w:hint="eastAsia" w:ascii="宋体" w:hAnsi="宋体" w:cs="宋体"/>
          <w:color w:val="auto"/>
          <w:szCs w:val="21"/>
        </w:rPr>
        <w:t>20.2投标报价指投标人依据招标文件的要求及有关资料，执行国家或行业现行技术、经济标准、定额及规范，根据现行市场价格自行测算出满足采购要求的货物、工程或者服务费用及必要的保险费用和各项税金等所有费用的总和。</w:t>
      </w:r>
    </w:p>
    <w:p w14:paraId="6FE88D26">
      <w:pPr>
        <w:spacing w:line="460" w:lineRule="exact"/>
        <w:ind w:firstLine="420"/>
        <w:jc w:val="left"/>
        <w:rPr>
          <w:rFonts w:ascii="宋体" w:hAnsi="宋体" w:cs="宋体"/>
          <w:color w:val="auto"/>
          <w:szCs w:val="21"/>
        </w:rPr>
      </w:pPr>
      <w:r>
        <w:rPr>
          <w:rFonts w:hint="eastAsia" w:ascii="宋体" w:hAnsi="宋体" w:cs="宋体"/>
          <w:color w:val="auto"/>
          <w:szCs w:val="21"/>
        </w:rPr>
        <w:t>20.3投标报价应符合市场行情并能保证投标人完成履行合同所需的一切工作。合同一旦签订，此价格在合同实施期间将不因市场价格等的变化而调整。</w:t>
      </w:r>
    </w:p>
    <w:p w14:paraId="458DA6CF">
      <w:pPr>
        <w:spacing w:line="460" w:lineRule="exact"/>
        <w:ind w:firstLine="420"/>
        <w:jc w:val="left"/>
        <w:rPr>
          <w:rFonts w:ascii="宋体" w:hAnsi="宋体" w:cs="宋体"/>
          <w:color w:val="auto"/>
          <w:szCs w:val="21"/>
        </w:rPr>
      </w:pPr>
      <w:r>
        <w:rPr>
          <w:rFonts w:hint="eastAsia" w:ascii="宋体" w:hAnsi="宋体" w:cs="宋体"/>
          <w:color w:val="auto"/>
          <w:szCs w:val="21"/>
        </w:rPr>
        <w:t>20.4无论价格是否填报完全，投标报价将被视为已经包含了所有价格以及与项目相关的所有货物、工程或者服务费用。由于投标人报价填报不完整、不清楚或存在其它任何失误所导致的任何不利后果均由投标人自行承担。</w:t>
      </w:r>
    </w:p>
    <w:p w14:paraId="6997B072">
      <w:pPr>
        <w:spacing w:line="460" w:lineRule="exact"/>
        <w:ind w:firstLine="420"/>
        <w:jc w:val="left"/>
        <w:rPr>
          <w:rFonts w:ascii="宋体" w:hAnsi="宋体" w:cs="宋体"/>
          <w:color w:val="auto"/>
          <w:szCs w:val="21"/>
        </w:rPr>
      </w:pPr>
      <w:r>
        <w:rPr>
          <w:rFonts w:hint="eastAsia" w:ascii="宋体" w:hAnsi="宋体" w:cs="宋体"/>
          <w:color w:val="auto"/>
          <w:szCs w:val="21"/>
        </w:rPr>
        <w:t>20.5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BA725EB">
      <w:pPr>
        <w:spacing w:line="460" w:lineRule="exact"/>
        <w:ind w:firstLine="420"/>
        <w:jc w:val="left"/>
        <w:rPr>
          <w:rFonts w:ascii="宋体" w:hAnsi="宋体" w:cs="宋体"/>
          <w:color w:val="auto"/>
          <w:szCs w:val="21"/>
        </w:rPr>
      </w:pPr>
      <w:r>
        <w:rPr>
          <w:rFonts w:hint="eastAsia" w:ascii="宋体" w:hAnsi="宋体" w:cs="宋体"/>
          <w:color w:val="auto"/>
          <w:szCs w:val="21"/>
        </w:rPr>
        <w:t>20.6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438E669C">
      <w:pPr>
        <w:spacing w:line="460" w:lineRule="exact"/>
        <w:ind w:firstLine="420"/>
        <w:jc w:val="left"/>
        <w:rPr>
          <w:rFonts w:ascii="宋体" w:hAnsi="宋体" w:cs="宋体"/>
          <w:color w:val="auto"/>
          <w:szCs w:val="21"/>
        </w:rPr>
      </w:pPr>
      <w:r>
        <w:rPr>
          <w:rFonts w:hint="eastAsia" w:ascii="宋体" w:hAnsi="宋体" w:cs="宋体"/>
          <w:color w:val="auto"/>
          <w:szCs w:val="21"/>
        </w:rPr>
        <w:t>20.7报价货币为人民币。</w:t>
      </w:r>
    </w:p>
    <w:p w14:paraId="678ADDEF">
      <w:pPr>
        <w:pStyle w:val="5"/>
        <w:spacing w:before="0" w:line="440" w:lineRule="exact"/>
        <w:jc w:val="center"/>
        <w:rPr>
          <w:rFonts w:ascii="宋体" w:hAnsi="宋体"/>
          <w:color w:val="auto"/>
          <w:sz w:val="28"/>
          <w:szCs w:val="28"/>
        </w:rPr>
      </w:pPr>
      <w:bookmarkStart w:id="49" w:name="_Toc18991"/>
      <w:bookmarkStart w:id="50" w:name="_Toc1926"/>
      <w:bookmarkStart w:id="51" w:name="_Toc27475"/>
      <w:r>
        <w:rPr>
          <w:rFonts w:hint="eastAsia" w:ascii="宋体" w:hAnsi="宋体"/>
          <w:color w:val="auto"/>
          <w:sz w:val="28"/>
          <w:szCs w:val="28"/>
        </w:rPr>
        <w:t>四、投标</w:t>
      </w:r>
      <w:bookmarkEnd w:id="49"/>
      <w:bookmarkEnd w:id="50"/>
      <w:bookmarkEnd w:id="51"/>
    </w:p>
    <w:p w14:paraId="58A01981">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21. 投标文件的密封和解密</w:t>
      </w:r>
    </w:p>
    <w:p w14:paraId="0A2FB840">
      <w:pPr>
        <w:wordWrap w:val="0"/>
        <w:spacing w:line="460" w:lineRule="exact"/>
        <w:ind w:firstLine="420"/>
        <w:jc w:val="left"/>
        <w:rPr>
          <w:rFonts w:ascii="宋体" w:hAnsi="宋体" w:cs="宋体"/>
          <w:color w:val="auto"/>
          <w:szCs w:val="21"/>
        </w:rPr>
      </w:pPr>
      <w:r>
        <w:rPr>
          <w:rFonts w:hint="eastAsia" w:ascii="宋体" w:hAnsi="宋体" w:cs="宋体"/>
          <w:color w:val="auto"/>
          <w:szCs w:val="21"/>
        </w:rPr>
        <w:t>21.1投标文件的密封：投标人应按照“政采云”平台的要求编制、加密投标文件后在投标文件提交截止时间前上传至“政采云”平台，投标文件提交截止时间前未完成投标文件上传的，视为撤回投标文件。</w:t>
      </w:r>
    </w:p>
    <w:p w14:paraId="1BDA05E6">
      <w:pPr>
        <w:spacing w:line="460" w:lineRule="exact"/>
        <w:ind w:firstLine="420"/>
        <w:jc w:val="left"/>
        <w:rPr>
          <w:rFonts w:ascii="宋体" w:hAnsi="宋体" w:cs="宋体"/>
          <w:color w:val="auto"/>
          <w:szCs w:val="21"/>
        </w:rPr>
      </w:pPr>
      <w:r>
        <w:rPr>
          <w:rFonts w:hint="eastAsia" w:ascii="宋体" w:hAnsi="宋体" w:cs="宋体"/>
          <w:color w:val="auto"/>
          <w:szCs w:val="21"/>
        </w:rPr>
        <w:t>21.2投标文件的解密：投标人无需到达开标地点，须在“政采云”平台进行远程解密电子版投标文件。解密时长为自开标时间开始30分钟内，因投标人自身原因导致未在规定时间内完成投标文件解密的，视为撤回投标文件。</w:t>
      </w:r>
    </w:p>
    <w:p w14:paraId="58EF7C0F">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22. 投标文件的提交</w:t>
      </w:r>
    </w:p>
    <w:p w14:paraId="023BF4B7">
      <w:pPr>
        <w:spacing w:line="460" w:lineRule="exact"/>
        <w:ind w:firstLine="420"/>
        <w:jc w:val="left"/>
        <w:rPr>
          <w:rFonts w:ascii="宋体" w:hAnsi="宋体" w:cs="宋体"/>
          <w:color w:val="auto"/>
          <w:szCs w:val="21"/>
        </w:rPr>
      </w:pPr>
      <w:r>
        <w:rPr>
          <w:rFonts w:hint="eastAsia" w:ascii="宋体" w:hAnsi="宋体" w:cs="宋体"/>
          <w:color w:val="auto"/>
          <w:szCs w:val="21"/>
        </w:rPr>
        <w:t>22.1投标文件提交截止时间、提交投标文件的地点：详见《投标人须知前附表》</w:t>
      </w:r>
    </w:p>
    <w:p w14:paraId="065F490C">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23. 投标文件的补充、修改或者撤回</w:t>
      </w:r>
    </w:p>
    <w:p w14:paraId="2CA35F77">
      <w:pPr>
        <w:spacing w:line="460" w:lineRule="exact"/>
        <w:ind w:firstLine="420"/>
        <w:jc w:val="left"/>
        <w:rPr>
          <w:rFonts w:ascii="宋体" w:hAnsi="宋体" w:cs="宋体"/>
          <w:color w:val="auto"/>
          <w:szCs w:val="21"/>
        </w:rPr>
      </w:pPr>
      <w:r>
        <w:rPr>
          <w:rFonts w:hint="eastAsia" w:ascii="宋体" w:hAnsi="宋体" w:cs="宋体"/>
          <w:color w:val="auto"/>
          <w:szCs w:val="21"/>
        </w:rPr>
        <w:t>23.1投标人在投标截止时间前，可以对所提交的投标文件进行补充、修改或者撤回，并书面通知采购人或者采购代理机构。补充、修改的内容应当按照招标文件要求签署、盖章、密封后，作为投标文件的组成部分。</w:t>
      </w:r>
    </w:p>
    <w:p w14:paraId="6A2500BC">
      <w:pPr>
        <w:spacing w:line="460" w:lineRule="exact"/>
        <w:ind w:firstLine="420"/>
        <w:jc w:val="left"/>
        <w:rPr>
          <w:rFonts w:ascii="宋体" w:hAnsi="宋体" w:cs="宋体"/>
          <w:color w:val="auto"/>
          <w:szCs w:val="21"/>
        </w:rPr>
      </w:pPr>
      <w:r>
        <w:rPr>
          <w:rFonts w:hint="eastAsia" w:ascii="宋体" w:hAnsi="宋体" w:cs="宋体"/>
          <w:color w:val="auto"/>
          <w:szCs w:val="21"/>
        </w:rPr>
        <w:t>23.2 投标人在投标截止时间前撤回已提交的投标文件的，采购人或者采购代理机构将自收到投标人书面撤回通知之日起5个工作日内，退还已收取的投标保证金，但因投标人自身原因导致无法及时退还的除外。</w:t>
      </w:r>
    </w:p>
    <w:p w14:paraId="1E5DAE1A">
      <w:pPr>
        <w:pStyle w:val="5"/>
        <w:spacing w:before="0" w:line="440" w:lineRule="exact"/>
        <w:jc w:val="center"/>
        <w:rPr>
          <w:rFonts w:ascii="宋体" w:hAnsi="宋体"/>
          <w:color w:val="auto"/>
          <w:sz w:val="28"/>
          <w:szCs w:val="28"/>
        </w:rPr>
      </w:pPr>
      <w:bookmarkStart w:id="52" w:name="_Toc18644"/>
      <w:bookmarkStart w:id="53" w:name="_Toc13239"/>
      <w:bookmarkStart w:id="54" w:name="_Toc29418"/>
      <w:r>
        <w:rPr>
          <w:rFonts w:hint="eastAsia" w:ascii="宋体" w:hAnsi="宋体"/>
          <w:color w:val="auto"/>
          <w:sz w:val="28"/>
          <w:szCs w:val="28"/>
        </w:rPr>
        <w:t>五、开标</w:t>
      </w:r>
      <w:bookmarkEnd w:id="52"/>
      <w:bookmarkEnd w:id="53"/>
      <w:bookmarkEnd w:id="54"/>
    </w:p>
    <w:p w14:paraId="14770608">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24. 开标</w:t>
      </w:r>
    </w:p>
    <w:p w14:paraId="3A9B5FAB">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24.1开标将在招标文件确定的提交投标文件截止时间的同一时间进行。开标地点为招标文件中预先确定的地点。</w:t>
      </w:r>
    </w:p>
    <w:p w14:paraId="57030A68">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24.2开标时，投标人不足3家的，不得开标。</w:t>
      </w:r>
    </w:p>
    <w:p w14:paraId="17784C95">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24.3投标人的法定代表人或委托代理人应在线参加开标会，投标人代表对开标过程和开标记录有疑义，以及认为采购人、采购代理机构相关工作人员有需要回避的情形的，应当场提出询问或者回避申请。采购人、采购代理机构对投标人代表提出的询问或者回避申请将及时进行处理。</w:t>
      </w:r>
    </w:p>
    <w:p w14:paraId="0ECD03DD">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24.4如投标人代表未参加开标或未对开标过程和开标记录提出疑义，视同认可开标结果，由此产生的后果由投标人自行负责。</w:t>
      </w:r>
    </w:p>
    <w:p w14:paraId="50433032">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24.5开标程序</w:t>
      </w:r>
    </w:p>
    <w:p w14:paraId="1C829E46">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（1）开标会由采购代理机构主持，主持人宣布开标会议开始；</w:t>
      </w:r>
    </w:p>
    <w:p w14:paraId="2429F09A">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（2）介绍参加开标会的人员；</w:t>
      </w:r>
    </w:p>
    <w:p w14:paraId="0753F78C">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（3）开标时，电子投标文件开标顺序：按照交易平台自动提取所有投标人的顺序当众开标；</w:t>
      </w:r>
    </w:p>
    <w:p w14:paraId="692B1F2D">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（4）投标人代表、采购人代表、监标人、记录人等有关人员在开标记录上签字确认；</w:t>
      </w:r>
    </w:p>
    <w:p w14:paraId="7E05BEF7">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（5）宣布评标期间的有关事项；</w:t>
      </w:r>
    </w:p>
    <w:p w14:paraId="103D6DBF">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（6）开标结束。</w:t>
      </w:r>
    </w:p>
    <w:p w14:paraId="1D1F791B">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24.6投标文件报价出现前后不一致的，按照下列规定修正：</w:t>
      </w:r>
    </w:p>
    <w:p w14:paraId="70A0FAA0">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（一）投标文件中开标一览表内容与投标文件中相应内容不一致的，以开标一览表为准；</w:t>
      </w:r>
    </w:p>
    <w:p w14:paraId="285278F8">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（二）大写金额和小写金额不一致的，以大写金额为准；</w:t>
      </w:r>
    </w:p>
    <w:p w14:paraId="3798FC77">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（三）单价金额小数点或者百分比有明显错位的，以开标一览表的总价为准，并修改单价；</w:t>
      </w:r>
    </w:p>
    <w:p w14:paraId="191C173E">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（四）总价金额与按单价汇总金额不一致的，以单价金额计算结果为准。</w:t>
      </w:r>
    </w:p>
    <w:p w14:paraId="4AD413D9">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同时出现两种以上不一致的，按照前款规定的顺序修正。修正后的报价按照招标文件规定并经投标人确认后产生约束力，投标人不确认的，其投标无效。</w:t>
      </w:r>
    </w:p>
    <w:p w14:paraId="7932255D">
      <w:pPr>
        <w:pStyle w:val="5"/>
        <w:spacing w:before="0" w:line="440" w:lineRule="exact"/>
        <w:jc w:val="center"/>
        <w:rPr>
          <w:rFonts w:ascii="宋体" w:hAnsi="宋体"/>
          <w:color w:val="auto"/>
          <w:sz w:val="28"/>
          <w:szCs w:val="28"/>
        </w:rPr>
      </w:pPr>
      <w:bookmarkStart w:id="55" w:name="_Toc15878"/>
      <w:bookmarkStart w:id="56" w:name="_Toc17170"/>
      <w:bookmarkStart w:id="57" w:name="_Toc11316"/>
      <w:r>
        <w:rPr>
          <w:rFonts w:hint="eastAsia" w:ascii="宋体" w:hAnsi="宋体"/>
          <w:color w:val="auto"/>
          <w:sz w:val="28"/>
          <w:szCs w:val="28"/>
        </w:rPr>
        <w:t>六、资格审查及评标</w:t>
      </w:r>
      <w:bookmarkEnd w:id="55"/>
      <w:bookmarkEnd w:id="56"/>
      <w:bookmarkEnd w:id="57"/>
    </w:p>
    <w:p w14:paraId="7FAAAFD7">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25.资格审查</w:t>
      </w:r>
    </w:p>
    <w:p w14:paraId="2E56D8F3">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25.1开标结束后，采购人或者采购代理机构将根据招标文件规定，依法对投标人的资格进行审查。合格投标人不足3家的，不得评标。</w:t>
      </w:r>
    </w:p>
    <w:p w14:paraId="332F6B4C">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25.2.采购人或者采购代理机构按照招标文件第一章《招标公告》二、投标人资格要求（投标人应符合《中华人民共和国政府采购法》第二十二条规定的条件）和第二章《投标人须知》“4.投标人资格要求”的规定对投标人电子投标文件中资格证明文件及采购人、采购代理机构通过互联网或者相关信息系统的查询结果进行审查。</w:t>
      </w:r>
    </w:p>
    <w:p w14:paraId="6EFED2BA">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26.评标</w:t>
      </w:r>
    </w:p>
    <w:p w14:paraId="762A16C6">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26.1评标委员会负责具体评标事务，并独立履行下列职责：</w:t>
      </w:r>
    </w:p>
    <w:p w14:paraId="16B85878">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（一）审查、评价投标文件是否符合招标文件的商务、技术等实质性要求；</w:t>
      </w:r>
    </w:p>
    <w:p w14:paraId="3A614A9A">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（二）要求投标人对投标文件有关事项作出澄清或者说明；</w:t>
      </w:r>
    </w:p>
    <w:p w14:paraId="4054451A">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（三）对投标文件进行比较和评价；</w:t>
      </w:r>
    </w:p>
    <w:p w14:paraId="0CBDFFF7">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（四）确定中标候选人名单，以及根据采购人委托直接确定中标人；</w:t>
      </w:r>
    </w:p>
    <w:p w14:paraId="6F3497F0">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（五）向采购人、采购代理机构或者有关部门报告评标中发现的违法行为。</w:t>
      </w:r>
    </w:p>
    <w:p w14:paraId="73739774">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26.2评标委员会由采购人代表和评审专家组成，成员人数为5人以上单数，其中评审专家不得少于成员总数的三分之二。评标委员会应当推选组长，但采购人代表不得担任组长。</w:t>
      </w:r>
    </w:p>
    <w:p w14:paraId="00A2EBDF">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26.3采购人委派代表参加评标委员会的，要向采购代理机构出具授权函。除授权代表外，采购人可以委派纪检监察等相关人员对评审工作实施监督，但不得超过2人。</w:t>
      </w:r>
    </w:p>
    <w:p w14:paraId="51F8C84F">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26.4评标活动遵循公平、公正、科学和择优的原则。</w:t>
      </w:r>
    </w:p>
    <w:p w14:paraId="1B54D661">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26.5本项目评标方法采用综合评分法，是指投标文件满足招标文件全部实质性要求，且按照评审因素的量化指标评审得分最高的投标人为中标候选人的评标方法。</w:t>
      </w:r>
    </w:p>
    <w:p w14:paraId="24B9542B">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26.6评标过程的保密</w:t>
      </w:r>
    </w:p>
    <w:p w14:paraId="24AF42DF">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26.6.1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2851909D">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2E9709F8">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27.有下列情形之一的，视为投标人串通投标，其投标无效：</w:t>
      </w:r>
    </w:p>
    <w:p w14:paraId="4950456A">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（一）不同投标人的投标文件由同一单位或者个人编制；</w:t>
      </w:r>
    </w:p>
    <w:p w14:paraId="4FB50EA9">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（二）不同投标人委托同一单位或者个人办理投标事宜；</w:t>
      </w:r>
    </w:p>
    <w:p w14:paraId="0F07B9A9">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（三）不同投标人的投标文件载明的项目管理成员或者联系人员为同一人；</w:t>
      </w:r>
    </w:p>
    <w:p w14:paraId="54E078B2">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（四）不同投标人的投标文件异常一致或者投标报价呈规律性差异；</w:t>
      </w:r>
    </w:p>
    <w:p w14:paraId="64A871D1">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（五）不同投标人的投标文件相互混装；</w:t>
      </w:r>
    </w:p>
    <w:p w14:paraId="30C142AA">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（六）不同投标人的投标保证金从同一单位或者个人的账户转出。</w:t>
      </w:r>
    </w:p>
    <w:p w14:paraId="61E1C7BB">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投标人应当遵循公平竞争的原则，不得恶意串通，不得妨碍其他投标人的竞争行为，不得损害采购人或者其他投标人的合法权益。</w:t>
      </w:r>
    </w:p>
    <w:p w14:paraId="272C454B">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在评标过程中发现投标人有上述情形的，评标委员会应当认定其投标无效，并书面报告本级财政部门。</w:t>
      </w:r>
    </w:p>
    <w:p w14:paraId="5FE36EF5">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28.投标人存在下列情况之一的，投标无效：</w:t>
      </w:r>
    </w:p>
    <w:p w14:paraId="296D609D">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（一）未按照招标文件的规定提交投标保证金的；</w:t>
      </w:r>
    </w:p>
    <w:p w14:paraId="13BA6CAE">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（二）投标文件未按招标文件要求签署、盖章的；</w:t>
      </w:r>
    </w:p>
    <w:p w14:paraId="448D5304">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（三）不具备招标文件中规定的资格要求的；</w:t>
      </w:r>
    </w:p>
    <w:p w14:paraId="47059883">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（四）报价超过招标文件中规定的预算金额或者最高限价的；</w:t>
      </w:r>
    </w:p>
    <w:p w14:paraId="0D266FE7">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（五）投标文件含有采购人不能接受的附加条件的；</w:t>
      </w:r>
    </w:p>
    <w:p w14:paraId="16F85616">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（六）法律、法规和招标文件规定的其他无效情形。</w:t>
      </w:r>
    </w:p>
    <w:p w14:paraId="0A7280D8">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29.在招标采购中，出现下列情形之一的，应予废标：</w:t>
      </w:r>
    </w:p>
    <w:p w14:paraId="22A9024F">
      <w:pPr>
        <w:spacing w:line="360" w:lineRule="auto"/>
        <w:ind w:left="420" w:leftChars="200"/>
        <w:jc w:val="left"/>
        <w:rPr>
          <w:rFonts w:hAnsi="宋体"/>
          <w:color w:val="auto"/>
          <w:szCs w:val="21"/>
        </w:rPr>
      </w:pPr>
      <w:r>
        <w:rPr>
          <w:rFonts w:hint="eastAsia" w:hAnsi="宋体"/>
          <w:color w:val="auto"/>
          <w:szCs w:val="21"/>
        </w:rPr>
        <w:t>（一）符合专业条件的投标人或者对招标文件作实质响应的投标人不足三家的；</w:t>
      </w:r>
    </w:p>
    <w:p w14:paraId="620D3D25">
      <w:pPr>
        <w:spacing w:line="360" w:lineRule="auto"/>
        <w:ind w:left="420" w:leftChars="200"/>
        <w:jc w:val="left"/>
        <w:rPr>
          <w:rFonts w:hAnsi="宋体"/>
          <w:color w:val="auto"/>
          <w:szCs w:val="21"/>
        </w:rPr>
      </w:pPr>
      <w:r>
        <w:rPr>
          <w:rFonts w:hint="eastAsia" w:hAnsi="宋体"/>
          <w:color w:val="auto"/>
          <w:szCs w:val="21"/>
        </w:rPr>
        <w:t>（二）出现影响采购公正的违法、违规行为的；</w:t>
      </w:r>
    </w:p>
    <w:p w14:paraId="1A3F9D04">
      <w:pPr>
        <w:spacing w:line="360" w:lineRule="auto"/>
        <w:ind w:left="420" w:leftChars="200"/>
        <w:jc w:val="left"/>
        <w:rPr>
          <w:rFonts w:hAnsi="宋体"/>
          <w:color w:val="auto"/>
          <w:szCs w:val="21"/>
        </w:rPr>
      </w:pPr>
      <w:r>
        <w:rPr>
          <w:rFonts w:hint="eastAsia" w:hAnsi="宋体"/>
          <w:color w:val="auto"/>
          <w:szCs w:val="21"/>
        </w:rPr>
        <w:t>（三）投标人的报价均超过了采购预算，采购人不能支付的；</w:t>
      </w:r>
    </w:p>
    <w:p w14:paraId="4C851B44">
      <w:pPr>
        <w:spacing w:line="360" w:lineRule="auto"/>
        <w:ind w:left="420" w:leftChars="200"/>
        <w:jc w:val="left"/>
        <w:rPr>
          <w:rFonts w:hAnsi="宋体"/>
          <w:color w:val="auto"/>
          <w:szCs w:val="21"/>
        </w:rPr>
      </w:pPr>
      <w:r>
        <w:rPr>
          <w:rFonts w:hint="eastAsia" w:hAnsi="宋体"/>
          <w:color w:val="auto"/>
          <w:szCs w:val="21"/>
        </w:rPr>
        <w:t>（四）因重大变故，采购任务取消的。</w:t>
      </w:r>
    </w:p>
    <w:p w14:paraId="5BD5E36A">
      <w:pPr>
        <w:spacing w:line="360" w:lineRule="auto"/>
        <w:ind w:left="420" w:leftChars="200"/>
        <w:jc w:val="left"/>
        <w:rPr>
          <w:rFonts w:ascii="宋体" w:hAnsi="宋体" w:cs="宋体"/>
          <w:color w:val="auto"/>
          <w:szCs w:val="21"/>
        </w:rPr>
      </w:pPr>
      <w:r>
        <w:rPr>
          <w:rFonts w:hint="eastAsia" w:hAnsi="宋体"/>
          <w:color w:val="auto"/>
          <w:szCs w:val="21"/>
        </w:rPr>
        <w:t>废标后，采购人应当将废标理由通知所有投标人</w:t>
      </w:r>
      <w:r>
        <w:rPr>
          <w:rFonts w:hint="eastAsia" w:ascii="宋体" w:hAnsi="宋体" w:cs="宋体"/>
          <w:color w:val="auto"/>
          <w:szCs w:val="21"/>
        </w:rPr>
        <w:t>。</w:t>
      </w:r>
    </w:p>
    <w:p w14:paraId="565EB6C7">
      <w:pPr>
        <w:pStyle w:val="5"/>
        <w:spacing w:before="0" w:line="440" w:lineRule="exact"/>
        <w:jc w:val="center"/>
        <w:rPr>
          <w:rFonts w:ascii="宋体" w:hAnsi="宋体"/>
          <w:color w:val="auto"/>
          <w:sz w:val="28"/>
          <w:szCs w:val="28"/>
        </w:rPr>
      </w:pPr>
      <w:bookmarkStart w:id="58" w:name="_Toc17560"/>
      <w:bookmarkStart w:id="59" w:name="_Toc9941"/>
      <w:bookmarkStart w:id="60" w:name="_Toc32396"/>
      <w:r>
        <w:rPr>
          <w:rFonts w:hint="eastAsia" w:ascii="宋体" w:hAnsi="宋体"/>
          <w:color w:val="auto"/>
          <w:sz w:val="28"/>
          <w:szCs w:val="28"/>
        </w:rPr>
        <w:t>七、中标结果</w:t>
      </w:r>
      <w:bookmarkEnd w:id="58"/>
      <w:bookmarkEnd w:id="59"/>
      <w:bookmarkEnd w:id="60"/>
    </w:p>
    <w:p w14:paraId="46FF14FE">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30. 中标人的确定</w:t>
      </w:r>
    </w:p>
    <w:p w14:paraId="45EEDC9B">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30.1采购代理机构应当在评标结束后2个工作日内将评标报告送采购人。</w:t>
      </w:r>
    </w:p>
    <w:p w14:paraId="03CE5FDD">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30.2采购人应当自收到评标报告之日起5个工作日内，在评标报告确定的中标候选人名单中按顺序确定中标人。</w:t>
      </w:r>
    </w:p>
    <w:p w14:paraId="1461789E">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31.中标通知书</w:t>
      </w:r>
    </w:p>
    <w:p w14:paraId="38AA47FD">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31.1中标人确定之日起2个工作日内，采购代理机构向中标人发出中标通知书，并在财政部门指定的政府采购信息发布媒体上公告中标结果及中标人的评审总得分。中标公告期限为1个工作日。</w:t>
      </w:r>
    </w:p>
    <w:p w14:paraId="27219C2F">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31.2中标通知书是合同的一个组成部分。</w:t>
      </w:r>
    </w:p>
    <w:p w14:paraId="4241580D">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32.签订合同</w:t>
      </w:r>
    </w:p>
    <w:p w14:paraId="76595AEF">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32.1采购人应当自中标通知书发出之日起30日内，按照招标文件和中标人投标文件的规定，与中标人签订书面合同。所签订的合同不得对招标文件确定的事项和中标人投标文件作实质性修改。</w:t>
      </w:r>
    </w:p>
    <w:p w14:paraId="08F14EE8">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32.2中标通知书发出后，中标人无正当理由放弃中标或拒签合同的，采购人取消其中标资格，其投标保证金不予退还；给采购人造成的损失超过投标保证金数额的，中标人还应当对超过部分予以赔偿。</w:t>
      </w:r>
    </w:p>
    <w:p w14:paraId="713D32B8">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32.3排名第一的中标候选人放弃中标、因不可抗力不能履行合同或者被查实存在影响中标结果的违法行为等情形，不符合中标条件的，采购人将按照评标委员会提出的中标候选人名单排序依次确定其他中标候选人为中标人，也可以重新招标。</w:t>
      </w:r>
    </w:p>
    <w:p w14:paraId="78C21B87">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32.4政府采购合同应当包括采购人与中标人的名称和住所、标的、数量、质量、价款或者报酬、履行期限及地点和方式、验收要求、违约责任、解决争议的方法等内容。</w:t>
      </w:r>
    </w:p>
    <w:p w14:paraId="0B667456">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32.5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7E6C3A2E">
      <w:pPr>
        <w:spacing w:line="460" w:lineRule="exact"/>
        <w:ind w:firstLine="420" w:firstLineChars="200"/>
        <w:jc w:val="left"/>
        <w:rPr>
          <w:rFonts w:ascii="宋体" w:hAnsi="宋体" w:cs="宋体"/>
          <w:color w:val="auto"/>
          <w:szCs w:val="21"/>
          <w:highlight w:val="yellow"/>
        </w:rPr>
      </w:pPr>
      <w:r>
        <w:rPr>
          <w:rFonts w:hint="eastAsia" w:ascii="宋体" w:hAnsi="宋体" w:cs="宋体"/>
          <w:color w:val="auto"/>
          <w:szCs w:val="21"/>
        </w:rPr>
        <w:t>32.6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p>
    <w:p w14:paraId="1F41EB6C">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33.履约保证金</w:t>
      </w:r>
    </w:p>
    <w:p w14:paraId="07290B88">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33.1签订合同前，中标人应按《投标人须知前附表》上确定的履约保证金的金额及形式，向采购人提交履约保证金。否则，视为放弃中标项目，投标保证金将不予退还。</w:t>
      </w:r>
    </w:p>
    <w:p w14:paraId="50F2B501">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33.2签订合同后，如中标人不按双方签订合同约定履约，给采购人造成的损失的，中标人应当对损失部分予以赔偿。</w:t>
      </w:r>
    </w:p>
    <w:p w14:paraId="5A228246">
      <w:pPr>
        <w:pStyle w:val="5"/>
        <w:spacing w:before="0" w:line="440" w:lineRule="exact"/>
        <w:jc w:val="center"/>
        <w:rPr>
          <w:rFonts w:ascii="宋体" w:hAnsi="宋体"/>
          <w:color w:val="auto"/>
          <w:sz w:val="28"/>
          <w:szCs w:val="28"/>
        </w:rPr>
      </w:pPr>
      <w:bookmarkStart w:id="61" w:name="_Toc16553"/>
      <w:bookmarkStart w:id="62" w:name="_Toc14937"/>
      <w:bookmarkStart w:id="63" w:name="_Toc13748"/>
      <w:r>
        <w:rPr>
          <w:rFonts w:hint="eastAsia" w:ascii="宋体" w:hAnsi="宋体"/>
          <w:color w:val="auto"/>
          <w:sz w:val="28"/>
          <w:szCs w:val="28"/>
        </w:rPr>
        <w:t>八、其他事项</w:t>
      </w:r>
      <w:bookmarkEnd w:id="61"/>
      <w:bookmarkEnd w:id="62"/>
      <w:bookmarkEnd w:id="63"/>
    </w:p>
    <w:p w14:paraId="749BA52F">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34.采购代理服务费</w:t>
      </w:r>
    </w:p>
    <w:p w14:paraId="6F56B7D0">
      <w:pPr>
        <w:pStyle w:val="14"/>
        <w:spacing w:line="460" w:lineRule="exact"/>
        <w:ind w:firstLineChars="200"/>
        <w:rPr>
          <w:rFonts w:ascii="宋体" w:hAnsi="宋体" w:cs="宋体"/>
          <w:color w:val="auto"/>
          <w:szCs w:val="21"/>
        </w:rPr>
      </w:pPr>
      <w:r>
        <w:rPr>
          <w:rFonts w:hint="eastAsia" w:ascii="宋体" w:hAnsi="宋体" w:cs="宋体"/>
          <w:color w:val="auto"/>
          <w:szCs w:val="21"/>
        </w:rPr>
        <w:t>34.1采购代理服务费：</w:t>
      </w:r>
      <w:r>
        <w:rPr>
          <w:rFonts w:hint="eastAsia" w:ascii="宋体" w:hAnsi="宋体" w:cs="宋体"/>
          <w:color w:val="auto"/>
          <w:szCs w:val="21"/>
          <w:lang w:eastAsia="zh-CN"/>
        </w:rPr>
        <w:t>采购代理服务费参照国家计委[2002]1980号文件规定的服务类项目收费标准向中标人收取（计算基准为中标金额）</w:t>
      </w:r>
      <w:r>
        <w:rPr>
          <w:rFonts w:hint="eastAsia" w:ascii="宋体" w:hAnsi="宋体" w:cs="宋体"/>
          <w:color w:val="auto"/>
          <w:szCs w:val="21"/>
        </w:rPr>
        <w:t>。</w:t>
      </w:r>
    </w:p>
    <w:tbl>
      <w:tblPr>
        <w:tblStyle w:val="41"/>
        <w:tblW w:w="8179" w:type="dxa"/>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1983"/>
        <w:gridCol w:w="1983"/>
        <w:gridCol w:w="1984"/>
      </w:tblGrid>
      <w:tr w14:paraId="5AE781F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2229" w:type="dxa"/>
            <w:vMerge w:val="restart"/>
            <w:vAlign w:val="center"/>
          </w:tcPr>
          <w:p w14:paraId="66936746">
            <w:pPr>
              <w:spacing w:line="360" w:lineRule="exact"/>
              <w:jc w:val="center"/>
              <w:rPr>
                <w:rFonts w:ascii="宋体" w:hAnsi="宋体"/>
                <w:color w:val="auto"/>
              </w:rPr>
            </w:pPr>
            <w:r>
              <w:rPr>
                <w:rFonts w:hint="eastAsia" w:ascii="宋体" w:hAnsi="宋体"/>
                <w:color w:val="auto"/>
              </w:rPr>
              <w:t>中标金额</w:t>
            </w:r>
          </w:p>
          <w:p w14:paraId="22BE27E7">
            <w:pPr>
              <w:spacing w:line="360" w:lineRule="exact"/>
              <w:jc w:val="center"/>
              <w:rPr>
                <w:rFonts w:ascii="宋体" w:hAnsi="宋体"/>
                <w:color w:val="auto"/>
              </w:rPr>
            </w:pPr>
            <w:r>
              <w:rPr>
                <w:rFonts w:hint="eastAsia" w:ascii="宋体" w:hAnsi="宋体"/>
                <w:color w:val="auto"/>
              </w:rPr>
              <w:t>（万元）</w:t>
            </w:r>
          </w:p>
        </w:tc>
        <w:tc>
          <w:tcPr>
            <w:tcW w:w="5950" w:type="dxa"/>
            <w:gridSpan w:val="3"/>
            <w:vAlign w:val="center"/>
          </w:tcPr>
          <w:p w14:paraId="3BEF7E94">
            <w:pPr>
              <w:spacing w:line="360" w:lineRule="exact"/>
              <w:jc w:val="center"/>
              <w:rPr>
                <w:rFonts w:ascii="宋体" w:hAnsi="宋体"/>
                <w:color w:val="auto"/>
              </w:rPr>
            </w:pPr>
            <w:r>
              <w:rPr>
                <w:rFonts w:hint="eastAsia" w:ascii="宋体" w:hAnsi="宋体"/>
                <w:color w:val="auto"/>
              </w:rPr>
              <w:t>收费标准</w:t>
            </w:r>
          </w:p>
        </w:tc>
      </w:tr>
      <w:tr w14:paraId="176AEF83">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29" w:type="dxa"/>
            <w:vMerge w:val="continue"/>
            <w:shd w:val="clear" w:color="auto" w:fill="auto"/>
            <w:vAlign w:val="center"/>
          </w:tcPr>
          <w:p w14:paraId="47853A49">
            <w:pPr>
              <w:spacing w:line="360" w:lineRule="exact"/>
              <w:jc w:val="center"/>
              <w:rPr>
                <w:rFonts w:ascii="宋体" w:hAnsi="宋体"/>
                <w:color w:val="auto"/>
              </w:rPr>
            </w:pPr>
          </w:p>
        </w:tc>
        <w:tc>
          <w:tcPr>
            <w:tcW w:w="1983" w:type="dxa"/>
            <w:tcBorders>
              <w:top w:val="single" w:color="auto" w:sz="4" w:space="0"/>
              <w:bottom w:val="single" w:color="auto" w:sz="4" w:space="0"/>
            </w:tcBorders>
            <w:shd w:val="clear" w:color="auto" w:fill="FFFFFF"/>
            <w:vAlign w:val="center"/>
          </w:tcPr>
          <w:p w14:paraId="25531CA7">
            <w:pPr>
              <w:spacing w:line="360" w:lineRule="exact"/>
              <w:jc w:val="center"/>
              <w:rPr>
                <w:rFonts w:ascii="宋体" w:hAnsi="宋体"/>
                <w:color w:val="auto"/>
              </w:rPr>
            </w:pPr>
            <w:r>
              <w:rPr>
                <w:rFonts w:hint="eastAsia" w:ascii="宋体" w:hAnsi="宋体"/>
                <w:color w:val="auto"/>
              </w:rPr>
              <w:t>货物招标</w:t>
            </w:r>
          </w:p>
        </w:tc>
        <w:tc>
          <w:tcPr>
            <w:tcW w:w="1983" w:type="dxa"/>
            <w:vAlign w:val="center"/>
          </w:tcPr>
          <w:p w14:paraId="5B115357">
            <w:pPr>
              <w:spacing w:line="360" w:lineRule="exact"/>
              <w:jc w:val="center"/>
              <w:rPr>
                <w:rFonts w:ascii="宋体" w:hAnsi="宋体"/>
                <w:color w:val="auto"/>
              </w:rPr>
            </w:pPr>
            <w:r>
              <w:rPr>
                <w:rFonts w:hint="eastAsia" w:ascii="宋体" w:hAnsi="宋体"/>
                <w:color w:val="auto"/>
              </w:rPr>
              <w:t>服务招标</w:t>
            </w:r>
          </w:p>
        </w:tc>
        <w:tc>
          <w:tcPr>
            <w:tcW w:w="1984" w:type="dxa"/>
            <w:vAlign w:val="center"/>
          </w:tcPr>
          <w:p w14:paraId="1A411673">
            <w:pPr>
              <w:spacing w:line="360" w:lineRule="exact"/>
              <w:jc w:val="center"/>
              <w:rPr>
                <w:rFonts w:ascii="宋体" w:hAnsi="宋体"/>
                <w:color w:val="auto"/>
              </w:rPr>
            </w:pPr>
            <w:r>
              <w:rPr>
                <w:rFonts w:hint="eastAsia" w:ascii="宋体" w:hAnsi="宋体"/>
                <w:color w:val="auto"/>
              </w:rPr>
              <w:t>工程招标</w:t>
            </w:r>
          </w:p>
        </w:tc>
      </w:tr>
      <w:tr w14:paraId="52BD6DF4">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4BF6AF79">
            <w:pPr>
              <w:spacing w:line="360" w:lineRule="exact"/>
              <w:jc w:val="center"/>
              <w:rPr>
                <w:rFonts w:ascii="宋体" w:hAnsi="宋体"/>
                <w:color w:val="auto"/>
              </w:rPr>
            </w:pPr>
            <w:r>
              <w:rPr>
                <w:rFonts w:hint="eastAsia" w:ascii="宋体" w:hAnsi="宋体"/>
                <w:color w:val="auto"/>
              </w:rPr>
              <w:t>100以下</w:t>
            </w:r>
          </w:p>
        </w:tc>
        <w:tc>
          <w:tcPr>
            <w:tcW w:w="1983" w:type="dxa"/>
            <w:tcBorders>
              <w:top w:val="single" w:color="auto" w:sz="4" w:space="0"/>
              <w:bottom w:val="single" w:color="auto" w:sz="4" w:space="0"/>
            </w:tcBorders>
            <w:shd w:val="clear" w:color="auto" w:fill="FFFFFF"/>
          </w:tcPr>
          <w:p w14:paraId="43F60956">
            <w:pPr>
              <w:spacing w:line="360" w:lineRule="exact"/>
              <w:jc w:val="center"/>
              <w:rPr>
                <w:rFonts w:ascii="宋体" w:hAnsi="宋体"/>
                <w:color w:val="auto"/>
              </w:rPr>
            </w:pPr>
            <w:r>
              <w:rPr>
                <w:rFonts w:hint="eastAsia" w:ascii="宋体" w:hAnsi="宋体"/>
                <w:color w:val="auto"/>
              </w:rPr>
              <w:t>1.5%</w:t>
            </w:r>
          </w:p>
        </w:tc>
        <w:tc>
          <w:tcPr>
            <w:tcW w:w="1983" w:type="dxa"/>
          </w:tcPr>
          <w:p w14:paraId="21ADA532">
            <w:pPr>
              <w:spacing w:line="360" w:lineRule="exact"/>
              <w:jc w:val="center"/>
              <w:rPr>
                <w:rFonts w:ascii="宋体" w:hAnsi="宋体"/>
                <w:color w:val="auto"/>
              </w:rPr>
            </w:pPr>
            <w:r>
              <w:rPr>
                <w:rFonts w:hint="eastAsia" w:ascii="宋体" w:hAnsi="宋体"/>
                <w:color w:val="auto"/>
              </w:rPr>
              <w:t>1.5%</w:t>
            </w:r>
          </w:p>
        </w:tc>
        <w:tc>
          <w:tcPr>
            <w:tcW w:w="1984" w:type="dxa"/>
          </w:tcPr>
          <w:p w14:paraId="1E40D41D">
            <w:pPr>
              <w:spacing w:line="360" w:lineRule="exact"/>
              <w:jc w:val="center"/>
              <w:rPr>
                <w:rFonts w:ascii="宋体" w:hAnsi="宋体"/>
                <w:color w:val="auto"/>
              </w:rPr>
            </w:pPr>
            <w:r>
              <w:rPr>
                <w:rFonts w:hint="eastAsia" w:ascii="宋体" w:hAnsi="宋体"/>
                <w:color w:val="auto"/>
              </w:rPr>
              <w:t>1.0%</w:t>
            </w:r>
          </w:p>
        </w:tc>
      </w:tr>
      <w:tr w14:paraId="0FA0C860">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29BD4130">
            <w:pPr>
              <w:spacing w:line="360" w:lineRule="exact"/>
              <w:jc w:val="center"/>
              <w:rPr>
                <w:rFonts w:ascii="宋体" w:hAnsi="宋体"/>
                <w:color w:val="auto"/>
              </w:rPr>
            </w:pPr>
            <w:r>
              <w:rPr>
                <w:rFonts w:hint="eastAsia" w:ascii="宋体" w:hAnsi="宋体"/>
                <w:color w:val="auto"/>
              </w:rPr>
              <w:t>100—500</w:t>
            </w:r>
          </w:p>
        </w:tc>
        <w:tc>
          <w:tcPr>
            <w:tcW w:w="1983" w:type="dxa"/>
            <w:tcBorders>
              <w:top w:val="single" w:color="auto" w:sz="4" w:space="0"/>
              <w:bottom w:val="single" w:color="auto" w:sz="4" w:space="0"/>
            </w:tcBorders>
            <w:shd w:val="clear" w:color="auto" w:fill="FFFFFF"/>
          </w:tcPr>
          <w:p w14:paraId="519D2608">
            <w:pPr>
              <w:spacing w:line="360" w:lineRule="exact"/>
              <w:jc w:val="center"/>
              <w:rPr>
                <w:rFonts w:ascii="宋体" w:hAnsi="宋体"/>
                <w:color w:val="auto"/>
              </w:rPr>
            </w:pPr>
            <w:r>
              <w:rPr>
                <w:rFonts w:hint="eastAsia" w:ascii="宋体" w:hAnsi="宋体"/>
                <w:color w:val="auto"/>
              </w:rPr>
              <w:t>1.1%</w:t>
            </w:r>
          </w:p>
        </w:tc>
        <w:tc>
          <w:tcPr>
            <w:tcW w:w="1983" w:type="dxa"/>
          </w:tcPr>
          <w:p w14:paraId="42BA16B6">
            <w:pPr>
              <w:spacing w:line="360" w:lineRule="exact"/>
              <w:jc w:val="center"/>
              <w:rPr>
                <w:rFonts w:ascii="宋体" w:hAnsi="宋体"/>
                <w:color w:val="auto"/>
              </w:rPr>
            </w:pPr>
            <w:r>
              <w:rPr>
                <w:rFonts w:hint="eastAsia" w:ascii="宋体" w:hAnsi="宋体"/>
                <w:color w:val="auto"/>
              </w:rPr>
              <w:t>0.8%</w:t>
            </w:r>
          </w:p>
        </w:tc>
        <w:tc>
          <w:tcPr>
            <w:tcW w:w="1984" w:type="dxa"/>
          </w:tcPr>
          <w:p w14:paraId="078EBC7B">
            <w:pPr>
              <w:spacing w:line="360" w:lineRule="exact"/>
              <w:jc w:val="center"/>
              <w:rPr>
                <w:rFonts w:ascii="宋体" w:hAnsi="宋体"/>
                <w:color w:val="auto"/>
              </w:rPr>
            </w:pPr>
            <w:r>
              <w:rPr>
                <w:rFonts w:hint="eastAsia" w:ascii="宋体" w:hAnsi="宋体"/>
                <w:color w:val="auto"/>
              </w:rPr>
              <w:t>0.7%</w:t>
            </w:r>
          </w:p>
        </w:tc>
      </w:tr>
      <w:tr w14:paraId="470C23A0">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2779C95C">
            <w:pPr>
              <w:spacing w:line="360" w:lineRule="exact"/>
              <w:jc w:val="center"/>
              <w:rPr>
                <w:rFonts w:ascii="宋体" w:hAnsi="宋体"/>
                <w:color w:val="auto"/>
              </w:rPr>
            </w:pPr>
            <w:r>
              <w:rPr>
                <w:rFonts w:hint="eastAsia" w:ascii="宋体" w:hAnsi="宋体"/>
                <w:color w:val="auto"/>
              </w:rPr>
              <w:t>500—1000</w:t>
            </w:r>
          </w:p>
        </w:tc>
        <w:tc>
          <w:tcPr>
            <w:tcW w:w="1983" w:type="dxa"/>
            <w:tcBorders>
              <w:top w:val="single" w:color="auto" w:sz="4" w:space="0"/>
              <w:bottom w:val="single" w:color="auto" w:sz="4" w:space="0"/>
            </w:tcBorders>
            <w:shd w:val="clear" w:color="auto" w:fill="FFFFFF"/>
          </w:tcPr>
          <w:p w14:paraId="1E2E1950">
            <w:pPr>
              <w:spacing w:line="360" w:lineRule="exact"/>
              <w:jc w:val="center"/>
              <w:rPr>
                <w:rFonts w:ascii="宋体" w:hAnsi="宋体"/>
                <w:color w:val="auto"/>
              </w:rPr>
            </w:pPr>
            <w:r>
              <w:rPr>
                <w:rFonts w:hint="eastAsia" w:ascii="宋体" w:hAnsi="宋体"/>
                <w:color w:val="auto"/>
              </w:rPr>
              <w:t>0.8%</w:t>
            </w:r>
          </w:p>
        </w:tc>
        <w:tc>
          <w:tcPr>
            <w:tcW w:w="1983" w:type="dxa"/>
          </w:tcPr>
          <w:p w14:paraId="3614DA2B">
            <w:pPr>
              <w:spacing w:line="360" w:lineRule="exact"/>
              <w:jc w:val="center"/>
              <w:rPr>
                <w:rFonts w:ascii="宋体" w:hAnsi="宋体"/>
                <w:color w:val="auto"/>
              </w:rPr>
            </w:pPr>
            <w:r>
              <w:rPr>
                <w:rFonts w:hint="eastAsia" w:ascii="宋体" w:hAnsi="宋体"/>
                <w:color w:val="auto"/>
              </w:rPr>
              <w:t>0.45%</w:t>
            </w:r>
          </w:p>
        </w:tc>
        <w:tc>
          <w:tcPr>
            <w:tcW w:w="1984" w:type="dxa"/>
          </w:tcPr>
          <w:p w14:paraId="6AAE0A75">
            <w:pPr>
              <w:spacing w:line="360" w:lineRule="exact"/>
              <w:jc w:val="center"/>
              <w:rPr>
                <w:rFonts w:ascii="宋体" w:hAnsi="宋体"/>
                <w:color w:val="auto"/>
              </w:rPr>
            </w:pPr>
            <w:r>
              <w:rPr>
                <w:rFonts w:hint="eastAsia" w:ascii="宋体" w:hAnsi="宋体"/>
                <w:color w:val="auto"/>
              </w:rPr>
              <w:t>0.55%</w:t>
            </w:r>
          </w:p>
        </w:tc>
      </w:tr>
      <w:tr w14:paraId="424AD40A">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69E2DD49">
            <w:pPr>
              <w:spacing w:line="360" w:lineRule="exact"/>
              <w:jc w:val="center"/>
              <w:rPr>
                <w:rFonts w:ascii="宋体" w:hAnsi="宋体"/>
                <w:color w:val="auto"/>
              </w:rPr>
            </w:pPr>
            <w:r>
              <w:rPr>
                <w:rFonts w:hint="eastAsia" w:ascii="宋体" w:hAnsi="宋体"/>
                <w:color w:val="auto"/>
              </w:rPr>
              <w:t>1000—5000</w:t>
            </w:r>
          </w:p>
        </w:tc>
        <w:tc>
          <w:tcPr>
            <w:tcW w:w="1983" w:type="dxa"/>
            <w:tcBorders>
              <w:top w:val="single" w:color="auto" w:sz="4" w:space="0"/>
              <w:bottom w:val="single" w:color="auto" w:sz="4" w:space="0"/>
            </w:tcBorders>
            <w:shd w:val="clear" w:color="auto" w:fill="FFFFFF"/>
          </w:tcPr>
          <w:p w14:paraId="76F057DB">
            <w:pPr>
              <w:spacing w:line="360" w:lineRule="exact"/>
              <w:jc w:val="center"/>
              <w:rPr>
                <w:rFonts w:ascii="宋体" w:hAnsi="宋体"/>
                <w:color w:val="auto"/>
              </w:rPr>
            </w:pPr>
            <w:r>
              <w:rPr>
                <w:rFonts w:hint="eastAsia" w:ascii="宋体" w:hAnsi="宋体"/>
                <w:color w:val="auto"/>
              </w:rPr>
              <w:t>0.5%</w:t>
            </w:r>
          </w:p>
        </w:tc>
        <w:tc>
          <w:tcPr>
            <w:tcW w:w="1983" w:type="dxa"/>
          </w:tcPr>
          <w:p w14:paraId="5273866E">
            <w:pPr>
              <w:spacing w:line="360" w:lineRule="exact"/>
              <w:jc w:val="center"/>
              <w:rPr>
                <w:rFonts w:ascii="宋体" w:hAnsi="宋体"/>
                <w:color w:val="auto"/>
              </w:rPr>
            </w:pPr>
            <w:r>
              <w:rPr>
                <w:rFonts w:hint="eastAsia" w:ascii="宋体" w:hAnsi="宋体"/>
                <w:color w:val="auto"/>
              </w:rPr>
              <w:t>0.25%</w:t>
            </w:r>
          </w:p>
        </w:tc>
        <w:tc>
          <w:tcPr>
            <w:tcW w:w="1984" w:type="dxa"/>
          </w:tcPr>
          <w:p w14:paraId="5E45F51F">
            <w:pPr>
              <w:spacing w:line="360" w:lineRule="exact"/>
              <w:jc w:val="center"/>
              <w:rPr>
                <w:rFonts w:ascii="宋体" w:hAnsi="宋体"/>
                <w:color w:val="auto"/>
              </w:rPr>
            </w:pPr>
            <w:r>
              <w:rPr>
                <w:rFonts w:hint="eastAsia" w:ascii="宋体" w:hAnsi="宋体"/>
                <w:color w:val="auto"/>
              </w:rPr>
              <w:t>0.35%</w:t>
            </w:r>
          </w:p>
        </w:tc>
      </w:tr>
      <w:tr w14:paraId="046DCD8B">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229" w:type="dxa"/>
            <w:shd w:val="clear" w:color="auto" w:fill="auto"/>
          </w:tcPr>
          <w:p w14:paraId="4520A780">
            <w:pPr>
              <w:spacing w:line="360" w:lineRule="exact"/>
              <w:jc w:val="center"/>
              <w:rPr>
                <w:rFonts w:ascii="宋体" w:hAnsi="宋体"/>
                <w:color w:val="auto"/>
              </w:rPr>
            </w:pPr>
            <w:r>
              <w:rPr>
                <w:rFonts w:hint="eastAsia" w:ascii="宋体" w:hAnsi="宋体"/>
                <w:color w:val="auto"/>
              </w:rPr>
              <w:t>5000—10000</w:t>
            </w:r>
          </w:p>
        </w:tc>
        <w:tc>
          <w:tcPr>
            <w:tcW w:w="1983" w:type="dxa"/>
            <w:tcBorders>
              <w:top w:val="single" w:color="auto" w:sz="4" w:space="0"/>
              <w:bottom w:val="single" w:color="auto" w:sz="12" w:space="0"/>
            </w:tcBorders>
            <w:shd w:val="clear" w:color="auto" w:fill="FFFFFF"/>
          </w:tcPr>
          <w:p w14:paraId="1697DE38">
            <w:pPr>
              <w:spacing w:line="360" w:lineRule="exact"/>
              <w:jc w:val="center"/>
              <w:rPr>
                <w:rFonts w:ascii="宋体" w:hAnsi="宋体"/>
                <w:color w:val="auto"/>
              </w:rPr>
            </w:pPr>
            <w:r>
              <w:rPr>
                <w:rFonts w:hint="eastAsia" w:ascii="宋体" w:hAnsi="宋体"/>
                <w:color w:val="auto"/>
              </w:rPr>
              <w:t>0.25%</w:t>
            </w:r>
          </w:p>
        </w:tc>
        <w:tc>
          <w:tcPr>
            <w:tcW w:w="1983" w:type="dxa"/>
          </w:tcPr>
          <w:p w14:paraId="5E69D2C5">
            <w:pPr>
              <w:spacing w:line="360" w:lineRule="exact"/>
              <w:jc w:val="center"/>
              <w:rPr>
                <w:rFonts w:ascii="宋体" w:hAnsi="宋体"/>
                <w:color w:val="auto"/>
              </w:rPr>
            </w:pPr>
            <w:r>
              <w:rPr>
                <w:rFonts w:hint="eastAsia" w:ascii="宋体" w:hAnsi="宋体"/>
                <w:color w:val="auto"/>
              </w:rPr>
              <w:t>0.1%</w:t>
            </w:r>
          </w:p>
        </w:tc>
        <w:tc>
          <w:tcPr>
            <w:tcW w:w="1984" w:type="dxa"/>
          </w:tcPr>
          <w:p w14:paraId="4700D8D4">
            <w:pPr>
              <w:spacing w:line="360" w:lineRule="exact"/>
              <w:jc w:val="center"/>
              <w:rPr>
                <w:rFonts w:ascii="宋体" w:hAnsi="宋体"/>
                <w:color w:val="auto"/>
              </w:rPr>
            </w:pPr>
            <w:r>
              <w:rPr>
                <w:rFonts w:hint="eastAsia" w:ascii="宋体" w:hAnsi="宋体"/>
                <w:color w:val="auto"/>
              </w:rPr>
              <w:t>0.2%</w:t>
            </w:r>
          </w:p>
        </w:tc>
      </w:tr>
    </w:tbl>
    <w:p w14:paraId="7937A77B">
      <w:pPr>
        <w:pStyle w:val="14"/>
        <w:spacing w:line="460" w:lineRule="exact"/>
        <w:ind w:firstLineChars="200"/>
        <w:rPr>
          <w:rFonts w:ascii="宋体" w:hAnsi="宋体" w:cs="宋体"/>
          <w:color w:val="auto"/>
          <w:szCs w:val="21"/>
        </w:rPr>
      </w:pPr>
      <w:r>
        <w:rPr>
          <w:rFonts w:hint="eastAsia" w:ascii="宋体" w:hAnsi="宋体" w:cs="宋体"/>
          <w:color w:val="auto"/>
          <w:szCs w:val="21"/>
        </w:rPr>
        <w:t>备注：采购代理服务费按差额定率累进法计算。</w:t>
      </w:r>
    </w:p>
    <w:p w14:paraId="3B78D2F5">
      <w:pPr>
        <w:pStyle w:val="14"/>
        <w:spacing w:line="460" w:lineRule="exact"/>
        <w:ind w:firstLineChars="200"/>
        <w:rPr>
          <w:rFonts w:ascii="宋体" w:hAnsi="宋体" w:cs="宋体"/>
          <w:color w:val="auto"/>
          <w:szCs w:val="21"/>
        </w:rPr>
      </w:pPr>
      <w:r>
        <w:rPr>
          <w:rFonts w:hint="eastAsia" w:ascii="宋体" w:hAnsi="宋体" w:cs="宋体"/>
          <w:color w:val="auto"/>
          <w:szCs w:val="21"/>
        </w:rPr>
        <w:t>34.2中标人应在接受“中标通知书”时向采购代理机构一次付清采购代理服务费。</w:t>
      </w:r>
    </w:p>
    <w:p w14:paraId="6582C9AB">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35.招标文件编制依据</w:t>
      </w:r>
    </w:p>
    <w:p w14:paraId="36C394B7">
      <w:pPr>
        <w:pStyle w:val="14"/>
        <w:spacing w:line="460" w:lineRule="exact"/>
        <w:ind w:firstLineChars="200"/>
        <w:rPr>
          <w:rFonts w:ascii="宋体" w:hAnsi="宋体" w:cs="宋体"/>
          <w:color w:val="auto"/>
          <w:szCs w:val="21"/>
        </w:rPr>
      </w:pPr>
      <w:r>
        <w:rPr>
          <w:rFonts w:hint="eastAsia" w:ascii="宋体" w:hAnsi="宋体" w:cs="宋体"/>
          <w:color w:val="auto"/>
          <w:szCs w:val="21"/>
        </w:rPr>
        <w:t>35.1本招标文件根据《中华人民共和国政府采购法》、《中华人民共和国政府采购法实施条例》、《政府采购货物和服务招标投标管理办法》（财政部令第87号）等有关法律、法规编制，解释权属于采购人、采购代理机构。</w:t>
      </w:r>
    </w:p>
    <w:p w14:paraId="2E7E085E">
      <w:pPr>
        <w:spacing w:line="460" w:lineRule="exact"/>
        <w:jc w:val="left"/>
        <w:rPr>
          <w:rFonts w:ascii="宋体" w:hAnsi="宋体" w:cs="宋体"/>
          <w:b/>
          <w:bCs/>
          <w:color w:val="auto"/>
          <w:sz w:val="24"/>
          <w:szCs w:val="24"/>
        </w:rPr>
      </w:pPr>
      <w:r>
        <w:rPr>
          <w:rFonts w:hint="eastAsia" w:ascii="宋体" w:hAnsi="宋体" w:cs="宋体"/>
          <w:b/>
          <w:bCs/>
          <w:color w:val="auto"/>
          <w:sz w:val="24"/>
          <w:szCs w:val="24"/>
        </w:rPr>
        <w:t>36.需要补充的其他内容</w:t>
      </w:r>
    </w:p>
    <w:p w14:paraId="21E779C0">
      <w:pPr>
        <w:pStyle w:val="14"/>
        <w:spacing w:line="460" w:lineRule="exact"/>
        <w:ind w:firstLineChars="200"/>
        <w:rPr>
          <w:rFonts w:ascii="宋体" w:hAnsi="宋体" w:cs="宋体"/>
          <w:color w:val="auto"/>
          <w:szCs w:val="21"/>
        </w:rPr>
      </w:pPr>
      <w:r>
        <w:rPr>
          <w:rFonts w:hint="eastAsia" w:ascii="宋体" w:hAnsi="宋体" w:cs="宋体"/>
          <w:color w:val="auto"/>
          <w:szCs w:val="21"/>
        </w:rPr>
        <w:t>36.1关于中小企业：</w:t>
      </w:r>
    </w:p>
    <w:p w14:paraId="63CD9F8A">
      <w:pPr>
        <w:pStyle w:val="14"/>
        <w:spacing w:line="460" w:lineRule="exact"/>
        <w:ind w:firstLineChars="200"/>
        <w:rPr>
          <w:rFonts w:ascii="宋体" w:hAnsi="宋体" w:cs="宋体"/>
          <w:color w:val="auto"/>
          <w:szCs w:val="21"/>
        </w:rPr>
      </w:pPr>
      <w:r>
        <w:rPr>
          <w:rFonts w:hint="eastAsia" w:ascii="宋体" w:hAnsi="宋体" w:cs="宋体"/>
          <w:color w:val="auto"/>
          <w:szCs w:val="21"/>
        </w:rPr>
        <w:t>36.1.1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1DED6B2F">
      <w:pPr>
        <w:pStyle w:val="14"/>
        <w:spacing w:line="460" w:lineRule="exact"/>
        <w:ind w:firstLineChars="200"/>
        <w:rPr>
          <w:rFonts w:ascii="宋体" w:hAnsi="宋体" w:cs="宋体"/>
          <w:color w:val="auto"/>
          <w:szCs w:val="21"/>
        </w:rPr>
      </w:pPr>
      <w:r>
        <w:rPr>
          <w:rFonts w:hint="eastAsia" w:ascii="宋体" w:hAnsi="宋体" w:cs="宋体"/>
          <w:color w:val="auto"/>
          <w:szCs w:val="21"/>
        </w:rPr>
        <w:t>36.1.2符合中小企业划分标准的个体工商户，在政府采购活动中视同中小企业。</w:t>
      </w:r>
    </w:p>
    <w:p w14:paraId="24B2A03D">
      <w:pPr>
        <w:pStyle w:val="14"/>
        <w:spacing w:line="460" w:lineRule="exact"/>
        <w:ind w:firstLineChars="200"/>
        <w:rPr>
          <w:rFonts w:ascii="宋体" w:hAnsi="宋体" w:cs="宋体"/>
          <w:color w:val="auto"/>
          <w:szCs w:val="21"/>
        </w:rPr>
      </w:pPr>
      <w:r>
        <w:rPr>
          <w:rFonts w:hint="eastAsia" w:ascii="宋体" w:hAnsi="宋体" w:cs="宋体"/>
          <w:color w:val="auto"/>
          <w:szCs w:val="21"/>
        </w:rPr>
        <w:t>36.1.3在政府采购活动中，投标人提供的货物、工程或者服务符合下列情形的，享受《关于印发&lt;政府采购促进中小企业发展管理办法&gt;的通知》（财库〔2020〕46号）规定的中小企业扶持政策：</w:t>
      </w:r>
    </w:p>
    <w:p w14:paraId="318F38C3">
      <w:pPr>
        <w:pStyle w:val="14"/>
        <w:spacing w:line="460" w:lineRule="exact"/>
        <w:ind w:firstLineChars="200"/>
        <w:rPr>
          <w:rFonts w:ascii="宋体" w:hAnsi="宋体" w:cs="宋体"/>
          <w:color w:val="auto"/>
          <w:szCs w:val="21"/>
        </w:rPr>
      </w:pPr>
      <w:r>
        <w:rPr>
          <w:rFonts w:hint="eastAsia" w:ascii="宋体" w:hAnsi="宋体" w:cs="宋体"/>
          <w:color w:val="auto"/>
          <w:szCs w:val="21"/>
        </w:rPr>
        <w:t>（一）在货物采购项目中，货物由中小企业制造，即货物由中小企业生产且使用该中小企业商号或者注册商标；</w:t>
      </w:r>
    </w:p>
    <w:p w14:paraId="3793A764">
      <w:pPr>
        <w:pStyle w:val="14"/>
        <w:spacing w:line="460" w:lineRule="exact"/>
        <w:ind w:firstLineChars="200"/>
        <w:rPr>
          <w:rFonts w:ascii="宋体" w:hAnsi="宋体" w:cs="宋体"/>
          <w:color w:val="auto"/>
          <w:szCs w:val="21"/>
        </w:rPr>
      </w:pPr>
      <w:r>
        <w:rPr>
          <w:rFonts w:hint="eastAsia" w:ascii="宋体" w:hAnsi="宋体" w:cs="宋体"/>
          <w:color w:val="auto"/>
          <w:szCs w:val="21"/>
        </w:rPr>
        <w:t>（二）在工程采购项目中，工程由中小企业承建，即工程施工单位为中小企业；</w:t>
      </w:r>
    </w:p>
    <w:p w14:paraId="3F93BB2B">
      <w:pPr>
        <w:pStyle w:val="14"/>
        <w:spacing w:line="460" w:lineRule="exact"/>
        <w:ind w:firstLineChars="200"/>
        <w:rPr>
          <w:rFonts w:ascii="宋体" w:hAnsi="宋体" w:cs="宋体"/>
          <w:color w:val="auto"/>
          <w:szCs w:val="21"/>
        </w:rPr>
      </w:pPr>
      <w:r>
        <w:rPr>
          <w:rFonts w:hint="eastAsia" w:ascii="宋体" w:hAnsi="宋体" w:cs="宋体"/>
          <w:color w:val="auto"/>
          <w:szCs w:val="21"/>
        </w:rPr>
        <w:t>（三）在服务采购项目中，服务由中小企业承接，即提供服务的人员为中小企业依照《中华人民共和国劳动合同法》订立劳动合同的从业人员。</w:t>
      </w:r>
    </w:p>
    <w:p w14:paraId="59AB523F">
      <w:pPr>
        <w:pStyle w:val="14"/>
        <w:spacing w:line="460" w:lineRule="exact"/>
        <w:ind w:firstLineChars="200"/>
        <w:rPr>
          <w:rFonts w:ascii="宋体" w:hAnsi="宋体" w:cs="宋体"/>
          <w:color w:val="auto"/>
          <w:szCs w:val="21"/>
        </w:rPr>
      </w:pPr>
      <w:r>
        <w:rPr>
          <w:rFonts w:hint="eastAsia" w:ascii="宋体" w:hAnsi="宋体" w:cs="宋体"/>
          <w:color w:val="auto"/>
          <w:szCs w:val="21"/>
        </w:rPr>
        <w:t>36.1.4在货物采购项目中，投标人提供的货物既有中小企业制造货物，也有大型企业制造货物的，不享受本办法规定的中小企业扶持政策。</w:t>
      </w:r>
    </w:p>
    <w:p w14:paraId="16433BD3">
      <w:pPr>
        <w:pStyle w:val="14"/>
        <w:spacing w:line="460" w:lineRule="exact"/>
        <w:ind w:firstLineChars="200"/>
        <w:rPr>
          <w:rFonts w:ascii="宋体" w:hAnsi="宋体" w:cs="宋体"/>
          <w:color w:val="auto"/>
          <w:szCs w:val="21"/>
        </w:rPr>
      </w:pPr>
      <w:r>
        <w:rPr>
          <w:rFonts w:hint="eastAsia" w:ascii="宋体" w:hAnsi="宋体" w:cs="宋体"/>
          <w:color w:val="auto"/>
          <w:szCs w:val="21"/>
        </w:rPr>
        <w:t>36.1.5以联合体形式参加政府采购活动，联合体各方均为中小企业的，联合体视同中小企业。其中，联合体各方均为小微企业的,联合体视同小微企业。</w:t>
      </w:r>
    </w:p>
    <w:p w14:paraId="518B54B5">
      <w:pPr>
        <w:pStyle w:val="14"/>
        <w:spacing w:line="460" w:lineRule="exact"/>
        <w:ind w:firstLineChars="200"/>
        <w:rPr>
          <w:rFonts w:ascii="宋体" w:hAnsi="宋体" w:cs="宋体"/>
          <w:color w:val="auto"/>
          <w:szCs w:val="21"/>
        </w:rPr>
      </w:pPr>
      <w:r>
        <w:rPr>
          <w:rFonts w:hint="eastAsia" w:ascii="宋体" w:hAnsi="宋体" w:cs="宋体"/>
          <w:color w:val="auto"/>
          <w:szCs w:val="21"/>
        </w:rPr>
        <w:t>36.1.6中小企业参加政府采购活动，应当出具《关于印发&lt;政府采购促进中小企业发展管理办法&gt;的通知》（财库〔2020〕46号）规定的《中小企业声明函》，否则不得享受相关中小企业扶持政策。</w:t>
      </w:r>
    </w:p>
    <w:p w14:paraId="2287360B">
      <w:pPr>
        <w:pStyle w:val="14"/>
        <w:spacing w:line="460" w:lineRule="exact"/>
        <w:ind w:firstLineChars="200"/>
        <w:rPr>
          <w:rFonts w:ascii="宋体" w:hAnsi="宋体" w:cs="宋体"/>
          <w:color w:val="auto"/>
          <w:szCs w:val="21"/>
        </w:rPr>
      </w:pPr>
      <w:r>
        <w:rPr>
          <w:rFonts w:hint="eastAsia" w:ascii="宋体" w:hAnsi="宋体" w:cs="宋体"/>
          <w:color w:val="auto"/>
          <w:szCs w:val="21"/>
        </w:rPr>
        <w:t>36.1.7规定依据《关于印发&lt;政府采购促进中小企业发展管理办法&gt;的通知》（财库〔2020〕46号）规定享受扶持政策获得政府采购合同的，小微企业不得将合同分包给大中型企业，中型企业不得将合同分包给大型企业。</w:t>
      </w:r>
    </w:p>
    <w:p w14:paraId="3FE77F58">
      <w:pPr>
        <w:pStyle w:val="14"/>
        <w:spacing w:line="460" w:lineRule="exact"/>
        <w:ind w:firstLineChars="200"/>
        <w:rPr>
          <w:rFonts w:ascii="宋体" w:hAnsi="宋体" w:cs="宋体"/>
          <w:color w:val="auto"/>
          <w:szCs w:val="21"/>
        </w:rPr>
      </w:pPr>
      <w:r>
        <w:rPr>
          <w:rFonts w:hint="eastAsia" w:ascii="宋体" w:hAnsi="宋体" w:cs="宋体"/>
          <w:color w:val="auto"/>
          <w:szCs w:val="21"/>
        </w:rPr>
        <w:t>36.1.8根据“《关于印发《政府采购促进中小企业发展管理办法》的通知》（财库〔2020〕46号）的规定，针对小微企业报价给予10%的扣除，用扣除后的价格参与评审。符合条件的投标人应根据下表所属行业填写《中小企业声明函》：</w:t>
      </w:r>
    </w:p>
    <w:tbl>
      <w:tblPr>
        <w:tblStyle w:val="41"/>
        <w:tblW w:w="7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2051"/>
        <w:gridCol w:w="2661"/>
      </w:tblGrid>
      <w:tr w14:paraId="0EE0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86" w:type="dxa"/>
            <w:shd w:val="clear" w:color="auto" w:fill="D8D8D8"/>
            <w:vAlign w:val="center"/>
          </w:tcPr>
          <w:p w14:paraId="2E429DF8">
            <w:pPr>
              <w:adjustRightInd w:val="0"/>
              <w:snapToGrid w:val="0"/>
              <w:spacing w:before="120" w:beforeLines="50" w:line="360" w:lineRule="auto"/>
              <w:jc w:val="center"/>
              <w:textAlignment w:val="center"/>
              <w:rPr>
                <w:rFonts w:ascii="宋体" w:hAnsi="宋体" w:cs="宋体"/>
                <w:b/>
                <w:color w:val="auto"/>
                <w:szCs w:val="21"/>
              </w:rPr>
            </w:pPr>
            <w:r>
              <w:rPr>
                <w:rFonts w:hint="eastAsia" w:ascii="宋体" w:hAnsi="宋体" w:cs="宋体"/>
                <w:b/>
                <w:color w:val="auto"/>
                <w:szCs w:val="21"/>
              </w:rPr>
              <w:t>标的名称</w:t>
            </w:r>
          </w:p>
        </w:tc>
        <w:tc>
          <w:tcPr>
            <w:tcW w:w="2051" w:type="dxa"/>
            <w:shd w:val="clear" w:color="auto" w:fill="D8D8D8"/>
            <w:vAlign w:val="center"/>
          </w:tcPr>
          <w:p w14:paraId="1961D080">
            <w:pPr>
              <w:adjustRightInd w:val="0"/>
              <w:snapToGrid w:val="0"/>
              <w:spacing w:before="120" w:beforeLines="50" w:line="360" w:lineRule="auto"/>
              <w:jc w:val="center"/>
              <w:textAlignment w:val="center"/>
              <w:rPr>
                <w:rFonts w:ascii="宋体" w:hAnsi="宋体" w:cs="宋体"/>
                <w:b/>
                <w:color w:val="auto"/>
                <w:szCs w:val="21"/>
              </w:rPr>
            </w:pPr>
            <w:r>
              <w:rPr>
                <w:rFonts w:hint="eastAsia" w:ascii="宋体" w:hAnsi="宋体" w:cs="宋体"/>
                <w:b/>
                <w:color w:val="auto"/>
                <w:szCs w:val="21"/>
              </w:rPr>
              <w:t>所属行业</w:t>
            </w:r>
          </w:p>
        </w:tc>
        <w:tc>
          <w:tcPr>
            <w:tcW w:w="2661" w:type="dxa"/>
            <w:shd w:val="clear" w:color="auto" w:fill="D8D8D8"/>
            <w:vAlign w:val="center"/>
          </w:tcPr>
          <w:p w14:paraId="795E176C">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leftChars="0" w:right="0" w:rightChars="0"/>
              <w:jc w:val="center"/>
              <w:textAlignment w:val="center"/>
              <w:rPr>
                <w:rFonts w:hint="eastAsia" w:ascii="宋体" w:hAnsi="宋体" w:cs="宋体"/>
                <w:b/>
                <w:color w:val="auto"/>
                <w:szCs w:val="21"/>
              </w:rPr>
            </w:pPr>
            <w:r>
              <w:rPr>
                <w:rStyle w:val="44"/>
                <w:rFonts w:hint="eastAsia" w:ascii="宋体" w:hAnsi="宋体" w:eastAsia="宋体" w:cs="宋体"/>
                <w:b/>
                <w:bCs w:val="0"/>
                <w:kern w:val="0"/>
                <w:sz w:val="21"/>
                <w:szCs w:val="21"/>
              </w:rPr>
              <w:t>《关于印发中小企业划型标准规定的通知》划型标准</w:t>
            </w:r>
          </w:p>
        </w:tc>
      </w:tr>
      <w:tr w14:paraId="2EF7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86" w:type="dxa"/>
            <w:vAlign w:val="center"/>
          </w:tcPr>
          <w:p w14:paraId="74222244">
            <w:pPr>
              <w:pStyle w:val="36"/>
              <w:jc w:val="center"/>
              <w:textAlignment w:val="center"/>
              <w:rPr>
                <w:rFonts w:hint="eastAsia" w:ascii="Times New Roman" w:hAnsi="Times New Roman" w:eastAsia="宋体" w:cs="宋体"/>
                <w:color w:val="auto"/>
                <w:kern w:val="2"/>
                <w:sz w:val="21"/>
                <w:szCs w:val="21"/>
                <w:lang w:eastAsia="zh-CN"/>
              </w:rPr>
            </w:pPr>
            <w:r>
              <w:rPr>
                <w:rFonts w:hint="eastAsia" w:ascii="Times New Roman" w:hAnsi="Times New Roman" w:cs="宋体"/>
                <w:color w:val="auto"/>
                <w:kern w:val="2"/>
                <w:sz w:val="21"/>
                <w:szCs w:val="21"/>
                <w:lang w:eastAsia="zh-CN"/>
              </w:rPr>
              <w:t>云南监狱项目管理系统开发</w:t>
            </w:r>
          </w:p>
        </w:tc>
        <w:tc>
          <w:tcPr>
            <w:tcW w:w="2051" w:type="dxa"/>
            <w:vAlign w:val="center"/>
          </w:tcPr>
          <w:p w14:paraId="015BDEE3">
            <w:pPr>
              <w:pStyle w:val="36"/>
              <w:jc w:val="center"/>
              <w:textAlignment w:val="center"/>
              <w:rPr>
                <w:rFonts w:ascii="Times New Roman" w:hAnsi="Times New Roman" w:cs="宋体"/>
                <w:color w:val="auto"/>
                <w:kern w:val="2"/>
                <w:sz w:val="21"/>
                <w:szCs w:val="21"/>
              </w:rPr>
            </w:pPr>
            <w:r>
              <w:rPr>
                <w:rFonts w:hint="eastAsia" w:ascii="Times New Roman" w:hAnsi="Times New Roman" w:cs="宋体"/>
                <w:color w:val="auto"/>
                <w:kern w:val="2"/>
                <w:sz w:val="21"/>
                <w:szCs w:val="21"/>
              </w:rPr>
              <w:t>软件和信息技术服务业</w:t>
            </w:r>
          </w:p>
        </w:tc>
        <w:tc>
          <w:tcPr>
            <w:tcW w:w="2661" w:type="dxa"/>
            <w:vAlign w:val="center"/>
          </w:tcPr>
          <w:p w14:paraId="0E5D7DF4">
            <w:pPr>
              <w:keepNext w:val="0"/>
              <w:keepLines w:val="0"/>
              <w:pageBreakBefore w:val="0"/>
              <w:widowControl/>
              <w:suppressLineNumbers w:val="0"/>
              <w:kinsoku/>
              <w:overflowPunct/>
              <w:topLinePunct w:val="0"/>
              <w:bidi w:val="0"/>
              <w:adjustRightInd w:val="0"/>
              <w:snapToGrid w:val="0"/>
              <w:spacing w:before="0" w:beforeAutospacing="0" w:after="0" w:afterAutospacing="0" w:line="440" w:lineRule="exact"/>
              <w:ind w:left="0" w:leftChars="0" w:right="0" w:rightChars="0"/>
              <w:jc w:val="center"/>
              <w:textAlignment w:val="center"/>
              <w:rPr>
                <w:rFonts w:hint="eastAsia" w:ascii="Times New Roman" w:hAnsi="Times New Roman" w:cs="宋体"/>
                <w:color w:val="auto"/>
                <w:kern w:val="2"/>
                <w:sz w:val="21"/>
                <w:szCs w:val="21"/>
              </w:rPr>
            </w:pPr>
            <w:r>
              <w:rPr>
                <w:rFonts w:hint="eastAsia" w:ascii="Times New Roman" w:hAnsi="Times New Roman" w:eastAsia="宋体" w:cs="宋体"/>
                <w:b w:val="0"/>
                <w:bCs w:val="0"/>
                <w:i w:val="0"/>
                <w:iCs w:val="0"/>
                <w:color w:val="auto"/>
                <w:kern w:val="2"/>
                <w:sz w:val="21"/>
                <w:szCs w:val="21"/>
                <w:highlight w:val="none"/>
                <w:u w:val="none"/>
                <w:lang w:val="en-US" w:eastAsia="zh-CN" w:bidi="ar-SA"/>
              </w:rPr>
              <w:t>软件和信息技术服务业</w:t>
            </w:r>
          </w:p>
        </w:tc>
      </w:tr>
    </w:tbl>
    <w:p w14:paraId="4DAED2C0">
      <w:pPr>
        <w:pStyle w:val="14"/>
        <w:spacing w:line="460" w:lineRule="exact"/>
        <w:ind w:firstLineChars="200"/>
        <w:rPr>
          <w:rFonts w:ascii="宋体" w:hAnsi="宋体" w:cs="宋体"/>
          <w:color w:val="auto"/>
          <w:szCs w:val="21"/>
        </w:rPr>
      </w:pPr>
      <w:r>
        <w:rPr>
          <w:rFonts w:hint="eastAsia" w:ascii="宋体" w:hAnsi="宋体" w:cs="宋体"/>
          <w:color w:val="auto"/>
          <w:szCs w:val="21"/>
        </w:rPr>
        <w:t>36.1.9中标人享受本办法规定的中小企业扶持政策的，采购人、采购代理机构将随中标结果公开中标人的《中小企业声明函》。</w:t>
      </w:r>
    </w:p>
    <w:p w14:paraId="14D701B4">
      <w:pPr>
        <w:pStyle w:val="14"/>
        <w:spacing w:line="460" w:lineRule="exact"/>
        <w:ind w:firstLineChars="200"/>
        <w:rPr>
          <w:rFonts w:ascii="宋体" w:hAnsi="宋体" w:cs="宋体"/>
          <w:color w:val="auto"/>
          <w:szCs w:val="21"/>
        </w:rPr>
      </w:pPr>
      <w:r>
        <w:rPr>
          <w:rFonts w:hint="eastAsia" w:ascii="宋体" w:hAnsi="宋体" w:cs="宋体"/>
          <w:color w:val="auto"/>
          <w:szCs w:val="21"/>
        </w:rPr>
        <w:t>36.2关于监狱企业：</w:t>
      </w:r>
    </w:p>
    <w:p w14:paraId="1C87B836">
      <w:pPr>
        <w:pStyle w:val="14"/>
        <w:spacing w:line="460" w:lineRule="exact"/>
        <w:ind w:firstLineChars="200"/>
        <w:rPr>
          <w:rFonts w:ascii="宋体" w:hAnsi="宋体" w:cs="宋体"/>
          <w:color w:val="auto"/>
          <w:szCs w:val="21"/>
        </w:rPr>
      </w:pPr>
      <w:r>
        <w:rPr>
          <w:rFonts w:hint="eastAsia" w:ascii="宋体" w:hAnsi="宋体" w:cs="宋体"/>
          <w:color w:val="auto"/>
          <w:szCs w:val="21"/>
        </w:rPr>
        <w:t>36.2.1根据《财政部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BE1C86">
      <w:pPr>
        <w:pStyle w:val="14"/>
        <w:spacing w:line="460" w:lineRule="exact"/>
        <w:ind w:firstLineChars="200"/>
        <w:rPr>
          <w:rFonts w:ascii="宋体" w:hAnsi="宋体" w:cs="宋体"/>
          <w:color w:val="auto"/>
          <w:szCs w:val="21"/>
        </w:rPr>
      </w:pPr>
      <w:r>
        <w:rPr>
          <w:rFonts w:hint="eastAsia" w:ascii="宋体" w:hAnsi="宋体" w:cs="宋体"/>
          <w:color w:val="auto"/>
          <w:szCs w:val="21"/>
        </w:rPr>
        <w:t>36.2.2监狱企业参加政府采购活动时，应当提供由省级以上监狱管理局、戒毒管理局（含新疆生产建设兵团）出具的属于监狱企业的证明文件。</w:t>
      </w:r>
    </w:p>
    <w:p w14:paraId="43A37D55">
      <w:pPr>
        <w:pStyle w:val="14"/>
        <w:spacing w:line="460" w:lineRule="exact"/>
        <w:ind w:firstLineChars="200"/>
        <w:rPr>
          <w:rFonts w:ascii="宋体" w:hAnsi="宋体" w:cs="宋体"/>
          <w:color w:val="auto"/>
          <w:szCs w:val="21"/>
        </w:rPr>
      </w:pPr>
      <w:r>
        <w:rPr>
          <w:rFonts w:hint="eastAsia" w:ascii="宋体" w:hAnsi="宋体" w:cs="宋体"/>
          <w:color w:val="auto"/>
          <w:szCs w:val="21"/>
        </w:rPr>
        <w:t>36.2.3在政府采购活动中，监狱企业视同小型、微型企业，享受预留份额、评审中价格扣除等政府采购促进中小企业发展的政府采购政策。</w:t>
      </w:r>
    </w:p>
    <w:p w14:paraId="173A4CD4">
      <w:pPr>
        <w:pStyle w:val="14"/>
        <w:spacing w:line="460" w:lineRule="exact"/>
        <w:ind w:firstLineChars="200"/>
        <w:rPr>
          <w:rFonts w:ascii="宋体" w:hAnsi="宋体" w:cs="宋体"/>
          <w:color w:val="auto"/>
          <w:szCs w:val="21"/>
        </w:rPr>
      </w:pPr>
      <w:r>
        <w:rPr>
          <w:rFonts w:hint="eastAsia" w:ascii="宋体" w:hAnsi="宋体" w:cs="宋体"/>
          <w:color w:val="auto"/>
          <w:szCs w:val="21"/>
        </w:rPr>
        <w:t>36.3关于残疾人福利性单位：</w:t>
      </w:r>
    </w:p>
    <w:p w14:paraId="50F50E60">
      <w:pPr>
        <w:pStyle w:val="14"/>
        <w:spacing w:line="460" w:lineRule="exact"/>
        <w:ind w:firstLineChars="200"/>
        <w:rPr>
          <w:rFonts w:ascii="宋体" w:hAnsi="宋体" w:cs="宋体"/>
          <w:color w:val="auto"/>
          <w:szCs w:val="21"/>
        </w:rPr>
      </w:pPr>
      <w:r>
        <w:rPr>
          <w:rFonts w:hint="eastAsia" w:ascii="宋体" w:hAnsi="宋体" w:cs="宋体"/>
          <w:color w:val="auto"/>
          <w:szCs w:val="21"/>
        </w:rPr>
        <w:t>36.3.1根据《三部门联合发布关于促进残疾人就业政府采购政策的通知》（财库〔2017〕141号）的规定，享受政府采购支持政策的残疾人福利性单位应当同时满足以下条件：</w:t>
      </w:r>
    </w:p>
    <w:p w14:paraId="18CE0AC4">
      <w:pPr>
        <w:pStyle w:val="14"/>
        <w:spacing w:line="460" w:lineRule="exact"/>
        <w:ind w:firstLineChars="200"/>
        <w:rPr>
          <w:rFonts w:ascii="宋体" w:hAnsi="宋体" w:cs="宋体"/>
          <w:color w:val="auto"/>
          <w:szCs w:val="21"/>
        </w:rPr>
      </w:pPr>
      <w:r>
        <w:rPr>
          <w:rFonts w:hint="eastAsia" w:ascii="宋体" w:hAnsi="宋体" w:cs="宋体"/>
          <w:color w:val="auto"/>
          <w:szCs w:val="21"/>
        </w:rPr>
        <w:t>（一）安置的残疾人占本单位在职职工人数的比例不低于25%（含25%），并且安置的残疾人人数不少于10人（含10人）；</w:t>
      </w:r>
    </w:p>
    <w:p w14:paraId="5B59C689">
      <w:pPr>
        <w:pStyle w:val="14"/>
        <w:spacing w:line="460" w:lineRule="exact"/>
        <w:ind w:firstLineChars="200"/>
        <w:rPr>
          <w:rFonts w:ascii="宋体" w:hAnsi="宋体" w:cs="宋体"/>
          <w:color w:val="auto"/>
          <w:szCs w:val="21"/>
        </w:rPr>
      </w:pPr>
      <w:r>
        <w:rPr>
          <w:rFonts w:hint="eastAsia" w:ascii="宋体" w:hAnsi="宋体" w:cs="宋体"/>
          <w:color w:val="auto"/>
          <w:szCs w:val="21"/>
        </w:rPr>
        <w:t>（二）依法与安置的每位残疾人签订了一年以上（含一年）的劳动合同或服务协议；</w:t>
      </w:r>
    </w:p>
    <w:p w14:paraId="6D404939">
      <w:pPr>
        <w:pStyle w:val="14"/>
        <w:spacing w:line="460" w:lineRule="exact"/>
        <w:ind w:firstLineChars="200"/>
        <w:rPr>
          <w:rFonts w:ascii="宋体" w:hAnsi="宋体" w:cs="宋体"/>
          <w:color w:val="auto"/>
          <w:szCs w:val="21"/>
        </w:rPr>
      </w:pPr>
      <w:r>
        <w:rPr>
          <w:rFonts w:hint="eastAsia" w:ascii="宋体" w:hAnsi="宋体" w:cs="宋体"/>
          <w:color w:val="auto"/>
          <w:szCs w:val="21"/>
        </w:rPr>
        <w:t>（三）为安置的每位残疾人按月足额缴纳了基本养老保险、基本医疗保险、失业保险、工伤保险和生育保险等社会保险费；</w:t>
      </w:r>
    </w:p>
    <w:p w14:paraId="3E1AA653">
      <w:pPr>
        <w:pStyle w:val="14"/>
        <w:spacing w:line="460" w:lineRule="exact"/>
        <w:ind w:firstLineChars="200"/>
        <w:rPr>
          <w:rFonts w:ascii="宋体" w:hAnsi="宋体" w:cs="宋体"/>
          <w:color w:val="auto"/>
          <w:szCs w:val="21"/>
        </w:rPr>
      </w:pPr>
      <w:r>
        <w:rPr>
          <w:rFonts w:hint="eastAsia" w:ascii="宋体" w:hAnsi="宋体" w:cs="宋体"/>
          <w:color w:val="auto"/>
          <w:szCs w:val="21"/>
        </w:rPr>
        <w:t>（四）通过银行等金融机构向安置的每位残疾人，按月支付了不低于单位所在区县适用的经省级人民政府批准的月最低工资标准的工资；</w:t>
      </w:r>
    </w:p>
    <w:p w14:paraId="17671CEB">
      <w:pPr>
        <w:pStyle w:val="14"/>
        <w:spacing w:line="460" w:lineRule="exact"/>
        <w:ind w:firstLineChars="200"/>
        <w:rPr>
          <w:rFonts w:ascii="宋体" w:hAnsi="宋体" w:cs="宋体"/>
          <w:color w:val="auto"/>
          <w:szCs w:val="21"/>
        </w:rPr>
      </w:pPr>
      <w:r>
        <w:rPr>
          <w:rFonts w:hint="eastAsia" w:ascii="宋体" w:hAnsi="宋体" w:cs="宋体"/>
          <w:color w:val="auto"/>
          <w:szCs w:val="21"/>
        </w:rPr>
        <w:t>（五）提供本单位制造的货物、承担的工程或者服务（以下简称产品），或者提供其他残疾人福利性单位制造的货物（不包括使用非残疾人福利性单位注册商标的货物）。</w:t>
      </w:r>
    </w:p>
    <w:p w14:paraId="6F9E81BB">
      <w:pPr>
        <w:pStyle w:val="14"/>
        <w:spacing w:line="460" w:lineRule="exact"/>
        <w:ind w:firstLineChars="200"/>
        <w:rPr>
          <w:rFonts w:ascii="宋体" w:hAnsi="宋体" w:cs="宋体"/>
          <w:color w:val="auto"/>
          <w:szCs w:val="21"/>
        </w:rPr>
      </w:pPr>
      <w:r>
        <w:rPr>
          <w:rFonts w:hint="eastAsia" w:ascii="宋体" w:hAnsi="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26634D">
      <w:pPr>
        <w:pStyle w:val="14"/>
        <w:spacing w:line="460" w:lineRule="exact"/>
        <w:ind w:firstLineChars="200"/>
        <w:rPr>
          <w:rFonts w:ascii="宋体" w:hAnsi="宋体" w:cs="宋体"/>
          <w:color w:val="auto"/>
          <w:szCs w:val="21"/>
        </w:rPr>
      </w:pPr>
      <w:r>
        <w:rPr>
          <w:rFonts w:hint="eastAsia" w:ascii="宋体" w:hAnsi="宋体" w:cs="宋体"/>
          <w:color w:val="auto"/>
          <w:szCs w:val="21"/>
        </w:rPr>
        <w:t>36.3.2符合条件的残疾人福利性单位在参加政府采购活动时，应当按《三部门联合发布关于促进残疾人就业政府采购政策的通知》（财库〔2017〕141号）提供规定的《残疾人福利性单位声明函》，并对声明的真实性负责。</w:t>
      </w:r>
    </w:p>
    <w:p w14:paraId="74FF2A6D">
      <w:pPr>
        <w:pStyle w:val="14"/>
        <w:spacing w:line="460" w:lineRule="exact"/>
        <w:ind w:firstLineChars="200"/>
        <w:rPr>
          <w:rFonts w:ascii="宋体" w:hAnsi="宋体" w:cs="宋体"/>
          <w:color w:val="auto"/>
          <w:szCs w:val="21"/>
        </w:rPr>
      </w:pPr>
      <w:r>
        <w:rPr>
          <w:rFonts w:hint="eastAsia" w:ascii="宋体" w:hAnsi="宋体" w:cs="宋体"/>
          <w:color w:val="auto"/>
          <w:szCs w:val="21"/>
        </w:rPr>
        <w:t>36.3.3在政府采购活动中，残疾人福利性单位视同小型、微型企业，享受预留份额、评审中价格扣除等促进中小企业发展的政府采购政策。残疾人福利性单位属于小型、微型企业的，不重复享受政策。</w:t>
      </w:r>
    </w:p>
    <w:p w14:paraId="4BDFC63A">
      <w:pPr>
        <w:pStyle w:val="14"/>
        <w:spacing w:line="460" w:lineRule="exact"/>
        <w:ind w:firstLineChars="200"/>
        <w:rPr>
          <w:rFonts w:ascii="宋体" w:hAnsi="宋体" w:cs="宋体"/>
          <w:color w:val="auto"/>
          <w:szCs w:val="21"/>
        </w:rPr>
      </w:pPr>
      <w:r>
        <w:rPr>
          <w:rFonts w:hint="eastAsia" w:ascii="宋体" w:hAnsi="宋体" w:cs="宋体"/>
          <w:color w:val="auto"/>
          <w:szCs w:val="21"/>
        </w:rPr>
        <w:t>36.4关于节能产品及环境标志产品：</w:t>
      </w:r>
    </w:p>
    <w:p w14:paraId="470A8B12">
      <w:pPr>
        <w:pStyle w:val="14"/>
        <w:spacing w:line="460" w:lineRule="exact"/>
        <w:ind w:firstLineChars="200"/>
        <w:rPr>
          <w:rFonts w:ascii="宋体" w:hAnsi="宋体" w:cs="宋体"/>
          <w:color w:val="auto"/>
          <w:szCs w:val="21"/>
        </w:rPr>
      </w:pPr>
      <w:r>
        <w:rPr>
          <w:rFonts w:hint="eastAsia" w:ascii="宋体" w:hAnsi="宋体" w:cs="宋体"/>
          <w:color w:val="auto"/>
          <w:szCs w:val="21"/>
        </w:rPr>
        <w:t>36.4.1根据《财政部 发展改革委 生态环境部 市场监管总局 关于调整优化节能产品、环境标志产品政府采购执行机制的通知》（财库〔2019〕9号），对政府采购节能产品、环境标志产品实施品目清单管理。</w:t>
      </w:r>
    </w:p>
    <w:p w14:paraId="1455C0E0">
      <w:pPr>
        <w:pStyle w:val="14"/>
        <w:spacing w:line="460" w:lineRule="exact"/>
        <w:ind w:firstLineChars="200"/>
        <w:rPr>
          <w:rFonts w:ascii="宋体" w:hAnsi="宋体" w:cs="宋体"/>
          <w:color w:val="auto"/>
          <w:szCs w:val="21"/>
        </w:rPr>
      </w:pPr>
      <w:r>
        <w:rPr>
          <w:rFonts w:hint="eastAsia" w:ascii="宋体" w:hAnsi="宋体" w:cs="宋体"/>
          <w:color w:val="auto"/>
          <w:szCs w:val="21"/>
        </w:rPr>
        <w:t>36.4.2节能产品是指列入财政部和发展改革委公布的《关于印发节能产品政府采购品目清单的通知》（财库〔2019〕19号）《节能产品政府采购品目清单》中的产品，其中以“★”标注的为政府强制采购产品。</w:t>
      </w:r>
    </w:p>
    <w:p w14:paraId="5EA80C82">
      <w:pPr>
        <w:pStyle w:val="14"/>
        <w:spacing w:line="460" w:lineRule="exact"/>
        <w:ind w:firstLineChars="200"/>
        <w:rPr>
          <w:rFonts w:ascii="宋体" w:hAnsi="宋体" w:cs="宋体"/>
          <w:color w:val="auto"/>
          <w:szCs w:val="21"/>
        </w:rPr>
      </w:pPr>
      <w:r>
        <w:rPr>
          <w:rFonts w:hint="eastAsia" w:ascii="宋体" w:hAnsi="宋体" w:cs="宋体"/>
          <w:color w:val="auto"/>
          <w:szCs w:val="21"/>
        </w:rPr>
        <w:t>36.4.3环境标志产品是指列入财政部和生态环境部公布的《关于印发环境标志产品政府采购品目清单的通知》（财库〔2019〕18号）《环境标志产品政府采购品目清单》中的产品。</w:t>
      </w:r>
    </w:p>
    <w:p w14:paraId="10466997">
      <w:pPr>
        <w:pStyle w:val="14"/>
        <w:spacing w:line="460" w:lineRule="exact"/>
        <w:ind w:firstLineChars="200"/>
        <w:rPr>
          <w:rFonts w:ascii="宋体" w:hAnsi="宋体" w:cs="宋体"/>
          <w:color w:val="auto"/>
          <w:szCs w:val="21"/>
        </w:rPr>
      </w:pPr>
      <w:r>
        <w:rPr>
          <w:rFonts w:hint="eastAsia" w:ascii="宋体" w:hAnsi="宋体" w:cs="宋体"/>
          <w:color w:val="auto"/>
          <w:szCs w:val="21"/>
        </w:rPr>
        <w:t>36.4.4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7266B8CF">
      <w:pPr>
        <w:pStyle w:val="14"/>
        <w:spacing w:line="460" w:lineRule="exact"/>
        <w:ind w:firstLineChars="200"/>
        <w:rPr>
          <w:rFonts w:ascii="宋体" w:hAnsi="宋体" w:cs="宋体"/>
          <w:color w:val="auto"/>
          <w:szCs w:val="21"/>
        </w:rPr>
      </w:pPr>
      <w:r>
        <w:rPr>
          <w:rFonts w:hint="eastAsia" w:ascii="宋体" w:hAnsi="宋体" w:cs="宋体"/>
          <w:color w:val="auto"/>
          <w:szCs w:val="21"/>
        </w:rPr>
        <w:t>36.4.5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p>
    <w:p w14:paraId="1171F270">
      <w:pPr>
        <w:pStyle w:val="14"/>
        <w:spacing w:line="460" w:lineRule="exact"/>
        <w:ind w:firstLineChars="200"/>
        <w:rPr>
          <w:rFonts w:ascii="宋体" w:hAnsi="宋体" w:cs="宋体"/>
          <w:color w:val="auto"/>
          <w:szCs w:val="21"/>
        </w:rPr>
      </w:pPr>
      <w:r>
        <w:rPr>
          <w:rFonts w:hint="eastAsia" w:ascii="宋体" w:hAnsi="宋体" w:cs="宋体"/>
          <w:color w:val="auto"/>
          <w:szCs w:val="21"/>
        </w:rPr>
        <w:t xml:space="preserve">36.5其它注意事项：以下情况视为投标人同意撤回已上传系统的投标文件或其投标文件无效： </w:t>
      </w:r>
    </w:p>
    <w:p w14:paraId="0AB9BA4C">
      <w:pPr>
        <w:pStyle w:val="14"/>
        <w:spacing w:line="460" w:lineRule="exact"/>
        <w:ind w:firstLineChars="200"/>
        <w:rPr>
          <w:rFonts w:ascii="宋体" w:hAnsi="宋体" w:cs="宋体"/>
          <w:color w:val="auto"/>
          <w:szCs w:val="21"/>
        </w:rPr>
      </w:pPr>
      <w:r>
        <w:rPr>
          <w:rFonts w:hint="eastAsia" w:ascii="宋体" w:hAnsi="宋体" w:cs="宋体"/>
          <w:color w:val="auto"/>
          <w:szCs w:val="21"/>
        </w:rPr>
        <w:t>（1）政采云电子平台显示投标人未上传投标文件；</w:t>
      </w:r>
    </w:p>
    <w:p w14:paraId="79AFBFB4">
      <w:pPr>
        <w:pStyle w:val="14"/>
        <w:spacing w:line="460" w:lineRule="exact"/>
        <w:ind w:firstLineChars="200"/>
        <w:rPr>
          <w:rFonts w:ascii="宋体" w:hAnsi="宋体" w:cs="宋体"/>
          <w:color w:val="auto"/>
          <w:szCs w:val="21"/>
        </w:rPr>
      </w:pPr>
      <w:r>
        <w:rPr>
          <w:rFonts w:hint="eastAsia" w:ascii="宋体" w:hAnsi="宋体" w:cs="宋体"/>
          <w:color w:val="auto"/>
          <w:szCs w:val="21"/>
        </w:rPr>
        <w:t>（2）因投标人原因上传的投标文件在开启文件时无法解密。</w:t>
      </w:r>
    </w:p>
    <w:p w14:paraId="0DB0A39E">
      <w:pPr>
        <w:pStyle w:val="14"/>
        <w:spacing w:line="460" w:lineRule="exact"/>
        <w:ind w:firstLineChars="200"/>
        <w:rPr>
          <w:rFonts w:ascii="宋体" w:hAnsi="宋体" w:cs="宋体"/>
          <w:color w:val="auto"/>
          <w:szCs w:val="21"/>
        </w:rPr>
      </w:pPr>
      <w:r>
        <w:rPr>
          <w:rFonts w:hint="eastAsia" w:ascii="宋体" w:hAnsi="宋体" w:cs="宋体"/>
          <w:color w:val="auto"/>
          <w:szCs w:val="21"/>
        </w:rPr>
        <w:t>（3）因投标人自身原因导致未在规定时间内完成投标文件解密。</w:t>
      </w:r>
    </w:p>
    <w:p w14:paraId="120BF1C8">
      <w:pPr>
        <w:widowControl/>
        <w:spacing w:line="440" w:lineRule="exact"/>
        <w:jc w:val="left"/>
        <w:rPr>
          <w:rFonts w:ascii="宋体" w:hAnsi="宋体" w:cs="宋体"/>
          <w:color w:val="auto"/>
          <w:kern w:val="0"/>
          <w:szCs w:val="21"/>
        </w:rPr>
      </w:pPr>
      <w:r>
        <w:rPr>
          <w:rFonts w:hint="eastAsia" w:ascii="宋体" w:hAnsi="宋体" w:cs="宋体"/>
          <w:color w:val="auto"/>
          <w:szCs w:val="32"/>
        </w:rPr>
        <w:br w:type="page"/>
      </w:r>
      <w:r>
        <w:rPr>
          <w:rFonts w:hint="eastAsia" w:ascii="宋体" w:hAnsi="宋体" w:cs="宋体"/>
          <w:b/>
          <w:bCs/>
          <w:color w:val="auto"/>
          <w:kern w:val="0"/>
          <w:szCs w:val="21"/>
        </w:rPr>
        <w:t>附件：</w:t>
      </w:r>
    </w:p>
    <w:p w14:paraId="72867066">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《中小企业划型标准规定》</w:t>
      </w:r>
    </w:p>
    <w:p w14:paraId="374CC703">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一、根据《中华人民共和国中小企业促进法》和《国务院关于进一步促进中小企业发展的若干意见》（国发〔2009〕 36 号)，制定本规定。</w:t>
      </w:r>
    </w:p>
    <w:p w14:paraId="5C4863FA">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二、中小企业划分为中型、小型、微型三种类型，具体标准根据企业从业人员、营业收入、资产总额等指标，结合行业特点制定。</w:t>
      </w:r>
    </w:p>
    <w:p w14:paraId="08B0D19E">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BA7D19E">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四、各行业划型标准为：</w:t>
      </w:r>
    </w:p>
    <w:p w14:paraId="4D4D65C7">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（一）农、林、牧、渔业。营业收入20000 万元以下的为中小微型企业。其中，营业收入500万元及以上的为中型企业，营业收入50万元及以上的为小型企业，营业收入 50 万元以下的为微型企业。</w:t>
      </w:r>
    </w:p>
    <w:p w14:paraId="1006E94C">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5AAB803">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6A6039F">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34CF47E">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五）零售业。从业人员300人以下或营业收入20000万元以下的为中小微型企业。其中，从业人员50人及以上，且营业收入500万元及以上的为中型企业；从业人员10人及上，且营业收入100万元及以上的为小型企业；从业人员10人以下或营业收入100万元以下的为微型企业。</w:t>
      </w:r>
    </w:p>
    <w:p w14:paraId="6056B818">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74D9841">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6ABCF56">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C060B6E">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03C459">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096C75">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7A26E2">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E8BF4F">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20A9894">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F67B1DC">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43126E9">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（十六）其他未列明行业。从业人员300人以下的为中小微型企业。其中，从业人员100人及以上的为中型企业；从业人员10人及以上的为小型企业；从业人员10人以下的为微型企业。</w:t>
      </w:r>
    </w:p>
    <w:p w14:paraId="7EBDE067">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五、企业类型的划分以统计部门的统计数据为依据。</w:t>
      </w:r>
    </w:p>
    <w:p w14:paraId="56A121E3">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六、本规定适用于在中华人民共和国境内依法设立的各类所有制和各种组织形式的企业。个体工商户和本规定以外的行业，参照本规定进行划型。</w:t>
      </w:r>
    </w:p>
    <w:p w14:paraId="059794C5">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0E876B5C">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八、本规定由工业和信息化部、国家统计局会同有关部门根据《国民经济行业分类》修订情况和企业发展变化情况适时修订。</w:t>
      </w:r>
    </w:p>
    <w:p w14:paraId="66451A0A">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九、本规定由工业和信息化部、国家统计局会同有关部门负责解释。</w:t>
      </w:r>
    </w:p>
    <w:p w14:paraId="74382F5E">
      <w:pPr>
        <w:tabs>
          <w:tab w:val="left" w:pos="105"/>
          <w:tab w:val="left" w:pos="945"/>
          <w:tab w:val="left" w:pos="3360"/>
        </w:tabs>
        <w:adjustRightInd w:val="0"/>
        <w:snapToGrid w:val="0"/>
        <w:spacing w:line="480" w:lineRule="exact"/>
        <w:ind w:firstLine="420"/>
        <w:rPr>
          <w:rFonts w:ascii="宋体" w:hAnsi="宋体" w:cs="宋体"/>
          <w:color w:val="auto"/>
          <w:szCs w:val="21"/>
        </w:rPr>
      </w:pPr>
      <w:r>
        <w:rPr>
          <w:rFonts w:hint="eastAsia" w:ascii="宋体" w:hAnsi="宋体" w:cs="宋体"/>
          <w:color w:val="auto"/>
          <w:szCs w:val="21"/>
        </w:rPr>
        <w:t>十、本规定自发布之日起执行，原国家经贸委、原国家计委、财政部和国家统计局2003年颁布的《中小企业标准暂行规定》国经贸中小企〔2003〕143号同时废止。</w:t>
      </w:r>
    </w:p>
    <w:p w14:paraId="16906BCC">
      <w:pPr>
        <w:rPr>
          <w:rFonts w:ascii="宋体" w:hAnsi="宋体" w:cs="宋体"/>
          <w:color w:val="auto"/>
          <w:szCs w:val="32"/>
        </w:rPr>
      </w:pPr>
      <w:r>
        <w:rPr>
          <w:rFonts w:hint="eastAsia" w:ascii="宋体" w:hAnsi="宋体" w:cs="宋体"/>
          <w:color w:val="auto"/>
          <w:szCs w:val="32"/>
        </w:rPr>
        <w:br w:type="page"/>
      </w:r>
    </w:p>
    <w:p w14:paraId="71D073F4">
      <w:pPr>
        <w:pStyle w:val="4"/>
        <w:spacing w:before="0" w:after="0" w:line="460" w:lineRule="exact"/>
        <w:rPr>
          <w:rFonts w:ascii="宋体" w:hAnsi="宋体" w:cs="宋体"/>
          <w:color w:val="auto"/>
          <w:szCs w:val="21"/>
        </w:rPr>
      </w:pPr>
      <w:bookmarkStart w:id="64" w:name="_Toc13322"/>
      <w:r>
        <w:rPr>
          <w:rFonts w:hint="eastAsia" w:ascii="宋体" w:hAnsi="宋体" w:cs="宋体"/>
          <w:color w:val="auto"/>
          <w:szCs w:val="32"/>
        </w:rPr>
        <w:t>第三章合同书样式及主要条款</w:t>
      </w:r>
      <w:bookmarkEnd w:id="64"/>
    </w:p>
    <w:p w14:paraId="4C69CEA7">
      <w:pPr>
        <w:pStyle w:val="5"/>
        <w:jc w:val="center"/>
        <w:rPr>
          <w:rFonts w:ascii="宋体"/>
          <w:bCs/>
          <w:color w:val="auto"/>
          <w:sz w:val="28"/>
          <w:szCs w:val="28"/>
        </w:rPr>
      </w:pPr>
      <w:bookmarkStart w:id="65" w:name="_Toc27642"/>
      <w:bookmarkStart w:id="66" w:name="_Toc27107"/>
      <w:r>
        <w:rPr>
          <w:rFonts w:hint="eastAsia" w:ascii="宋体" w:hAnsi="宋体"/>
          <w:bCs/>
          <w:color w:val="auto"/>
          <w:sz w:val="28"/>
          <w:szCs w:val="28"/>
        </w:rPr>
        <w:t>合同条款前附表</w:t>
      </w:r>
      <w:bookmarkEnd w:id="65"/>
      <w:bookmarkEnd w:id="66"/>
    </w:p>
    <w:tbl>
      <w:tblPr>
        <w:tblStyle w:val="41"/>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7965"/>
      </w:tblGrid>
      <w:tr w14:paraId="109F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1" w:type="dxa"/>
            <w:vAlign w:val="center"/>
          </w:tcPr>
          <w:p w14:paraId="7EAD208E">
            <w:pPr>
              <w:pStyle w:val="22"/>
              <w:spacing w:line="360" w:lineRule="auto"/>
              <w:jc w:val="center"/>
              <w:rPr>
                <w:rFonts w:hAnsi="宋体" w:cs="宋体"/>
                <w:b/>
                <w:bCs/>
                <w:color w:val="auto"/>
                <w:szCs w:val="21"/>
              </w:rPr>
            </w:pPr>
            <w:r>
              <w:rPr>
                <w:rFonts w:hint="eastAsia" w:hAnsi="宋体" w:cs="宋体"/>
                <w:b/>
                <w:bCs/>
                <w:color w:val="auto"/>
                <w:szCs w:val="21"/>
              </w:rPr>
              <w:t>序号</w:t>
            </w:r>
          </w:p>
        </w:tc>
        <w:tc>
          <w:tcPr>
            <w:tcW w:w="7965" w:type="dxa"/>
            <w:vAlign w:val="center"/>
          </w:tcPr>
          <w:p w14:paraId="135589BD">
            <w:pPr>
              <w:pStyle w:val="22"/>
              <w:spacing w:line="360" w:lineRule="auto"/>
              <w:ind w:firstLine="211" w:firstLineChars="100"/>
              <w:jc w:val="center"/>
              <w:rPr>
                <w:rFonts w:hAnsi="宋体" w:cs="宋体"/>
                <w:b/>
                <w:bCs/>
                <w:color w:val="auto"/>
                <w:szCs w:val="21"/>
              </w:rPr>
            </w:pPr>
            <w:r>
              <w:rPr>
                <w:rFonts w:hint="eastAsia" w:hAnsi="宋体" w:cs="宋体"/>
                <w:b/>
                <w:bCs/>
                <w:color w:val="auto"/>
                <w:szCs w:val="21"/>
              </w:rPr>
              <w:t>商务条款</w:t>
            </w:r>
          </w:p>
        </w:tc>
      </w:tr>
      <w:tr w14:paraId="4BAD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91" w:type="dxa"/>
            <w:vAlign w:val="center"/>
          </w:tcPr>
          <w:p w14:paraId="25D385F9">
            <w:pPr>
              <w:pStyle w:val="22"/>
              <w:spacing w:line="360" w:lineRule="auto"/>
              <w:jc w:val="center"/>
              <w:rPr>
                <w:rFonts w:hAnsi="宋体" w:cs="宋体"/>
                <w:color w:val="auto"/>
                <w:szCs w:val="21"/>
              </w:rPr>
            </w:pPr>
            <w:r>
              <w:rPr>
                <w:rFonts w:hint="eastAsia" w:hAnsi="宋体" w:cs="宋体"/>
                <w:color w:val="auto"/>
                <w:szCs w:val="21"/>
              </w:rPr>
              <w:t>★1</w:t>
            </w:r>
          </w:p>
        </w:tc>
        <w:tc>
          <w:tcPr>
            <w:tcW w:w="7965" w:type="dxa"/>
            <w:vAlign w:val="center"/>
          </w:tcPr>
          <w:p w14:paraId="12E0266F">
            <w:pPr>
              <w:pStyle w:val="22"/>
              <w:spacing w:line="360" w:lineRule="auto"/>
              <w:rPr>
                <w:rFonts w:hAnsi="宋体" w:cs="宋体"/>
                <w:color w:val="auto"/>
                <w:szCs w:val="21"/>
              </w:rPr>
            </w:pPr>
            <w:r>
              <w:rPr>
                <w:rFonts w:hint="eastAsia" w:hAnsi="宋体" w:cs="宋体"/>
                <w:color w:val="auto"/>
                <w:szCs w:val="21"/>
              </w:rPr>
              <w:t>项目实施期限、项目实施地点</w:t>
            </w:r>
          </w:p>
          <w:p w14:paraId="4DB4CB0F">
            <w:pPr>
              <w:pStyle w:val="22"/>
              <w:spacing w:line="360" w:lineRule="auto"/>
              <w:rPr>
                <w:rFonts w:hAnsi="宋体" w:cs="宋体"/>
                <w:color w:val="auto"/>
                <w:szCs w:val="21"/>
                <w:highlight w:val="none"/>
              </w:rPr>
            </w:pPr>
            <w:r>
              <w:rPr>
                <w:rFonts w:hint="eastAsia" w:hAnsi="宋体" w:cs="宋体"/>
                <w:color w:val="auto"/>
                <w:szCs w:val="21"/>
              </w:rPr>
              <w:t>1.项目实施期限：</w:t>
            </w:r>
            <w:r>
              <w:rPr>
                <w:rFonts w:hint="eastAsia" w:hAnsi="宋体" w:cs="宋体"/>
                <w:color w:val="auto"/>
                <w:szCs w:val="21"/>
                <w:lang w:eastAsia="zh-CN"/>
              </w:rPr>
              <w:t>自合同签订之日起90</w:t>
            </w:r>
            <w:r>
              <w:rPr>
                <w:rFonts w:hint="eastAsia" w:hAnsi="宋体" w:cs="宋体"/>
                <w:color w:val="auto"/>
                <w:szCs w:val="21"/>
                <w:highlight w:val="none"/>
                <w:lang w:eastAsia="zh-CN"/>
              </w:rPr>
              <w:t>个</w:t>
            </w:r>
            <w:r>
              <w:rPr>
                <w:rFonts w:hint="eastAsia" w:hAnsi="宋体" w:cs="宋体"/>
                <w:color w:val="auto"/>
                <w:szCs w:val="21"/>
                <w:highlight w:val="none"/>
                <w:lang w:val="en-US" w:eastAsia="zh-CN"/>
              </w:rPr>
              <w:t>日历日</w:t>
            </w:r>
            <w:r>
              <w:rPr>
                <w:rFonts w:hint="eastAsia" w:hAnsi="宋体" w:cs="宋体"/>
                <w:color w:val="auto"/>
                <w:szCs w:val="21"/>
                <w:highlight w:val="none"/>
                <w:lang w:eastAsia="zh-CN"/>
              </w:rPr>
              <w:t>内完成系统开发、测试与部署上线；系统上线后提供3年免费售后维护服务（包括缺陷修复、功能优化、技术支持等），</w:t>
            </w:r>
            <w:r>
              <w:rPr>
                <w:rFonts w:hint="eastAsia" w:ascii="宋体" w:hAnsi="宋体" w:cs="宋体"/>
                <w:color w:val="auto"/>
                <w:szCs w:val="21"/>
                <w:highlight w:val="none"/>
                <w:lang w:val="en-US" w:eastAsia="zh-CN"/>
              </w:rPr>
              <w:t>运维期间提供至少一人驻场运维服务</w:t>
            </w:r>
            <w:r>
              <w:rPr>
                <w:rFonts w:hint="eastAsia" w:hAnsi="宋体" w:cs="宋体"/>
                <w:color w:val="auto"/>
                <w:szCs w:val="21"/>
                <w:highlight w:val="none"/>
                <w:lang w:eastAsia="zh-CN"/>
              </w:rPr>
              <w:t>。</w:t>
            </w:r>
          </w:p>
          <w:p w14:paraId="35200F76">
            <w:pPr>
              <w:pStyle w:val="22"/>
              <w:spacing w:line="360" w:lineRule="auto"/>
              <w:rPr>
                <w:rFonts w:hAnsi="宋体" w:cs="宋体"/>
                <w:color w:val="auto"/>
                <w:szCs w:val="21"/>
              </w:rPr>
            </w:pPr>
            <w:r>
              <w:rPr>
                <w:rFonts w:hint="eastAsia" w:hAnsi="宋体" w:cs="宋体"/>
                <w:color w:val="auto"/>
                <w:szCs w:val="21"/>
              </w:rPr>
              <w:t>2.项目实施地点：</w:t>
            </w:r>
            <w:r>
              <w:rPr>
                <w:rFonts w:hint="eastAsia" w:hAnsi="宋体"/>
                <w:bCs/>
                <w:color w:val="auto"/>
                <w:szCs w:val="21"/>
                <w:lang w:eastAsia="zh-CN"/>
              </w:rPr>
              <w:t>云南省监狱管理局指定地点</w:t>
            </w:r>
            <w:r>
              <w:rPr>
                <w:rFonts w:hint="eastAsia" w:hAnsi="宋体" w:cs="宋体"/>
                <w:color w:val="auto"/>
                <w:szCs w:val="21"/>
              </w:rPr>
              <w:t>。</w:t>
            </w:r>
          </w:p>
        </w:tc>
      </w:tr>
      <w:tr w14:paraId="3DAF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1" w:type="dxa"/>
            <w:vAlign w:val="center"/>
          </w:tcPr>
          <w:p w14:paraId="0C512F0E">
            <w:pPr>
              <w:pStyle w:val="22"/>
              <w:spacing w:line="360" w:lineRule="auto"/>
              <w:jc w:val="center"/>
              <w:rPr>
                <w:rFonts w:hAnsi="宋体" w:cs="宋体"/>
                <w:color w:val="auto"/>
                <w:szCs w:val="21"/>
              </w:rPr>
            </w:pPr>
            <w:r>
              <w:rPr>
                <w:rFonts w:hint="eastAsia" w:hAnsi="宋体" w:cs="宋体"/>
                <w:color w:val="auto"/>
                <w:szCs w:val="21"/>
              </w:rPr>
              <w:t>★2</w:t>
            </w:r>
          </w:p>
        </w:tc>
        <w:tc>
          <w:tcPr>
            <w:tcW w:w="7965" w:type="dxa"/>
            <w:vAlign w:val="center"/>
          </w:tcPr>
          <w:p w14:paraId="46414EEE">
            <w:pPr>
              <w:pStyle w:val="22"/>
              <w:spacing w:line="360" w:lineRule="auto"/>
              <w:rPr>
                <w:rFonts w:hAnsi="宋体" w:cs="宋体"/>
                <w:color w:val="auto"/>
                <w:szCs w:val="21"/>
              </w:rPr>
            </w:pPr>
            <w:r>
              <w:rPr>
                <w:rFonts w:hint="eastAsia" w:hAnsi="宋体" w:cs="宋体"/>
                <w:color w:val="auto"/>
                <w:szCs w:val="21"/>
              </w:rPr>
              <w:t>付款方式：</w:t>
            </w:r>
          </w:p>
          <w:p w14:paraId="05D9F30A">
            <w:pPr>
              <w:pStyle w:val="22"/>
              <w:spacing w:line="360" w:lineRule="auto"/>
              <w:rPr>
                <w:rFonts w:hint="eastAsia"/>
                <w:color w:val="auto"/>
              </w:rPr>
            </w:pPr>
            <w:r>
              <w:rPr>
                <w:rFonts w:hint="eastAsia"/>
                <w:color w:val="auto"/>
              </w:rPr>
              <w:t>1.合同签订后，乙方向甲方支付合同总价的5%作为履约保证金，甲方收到乙方按要求开具的增值税普通发票后10日内，甲方向乙方支付合同金额10%的预付款。待项目开发测试阶段验收合格后，甲方收到乙方按要求开具的增值税普通发票后10日内，甲方向乙方支付合同金额的50%，待项目初验合格后，甲方收到乙方按要求开具的增值税普通发票后10日内，甲方向乙方支付合同金额的30%，待项目终验合格后，甲方收到乙方按要求开具的增值税普通发票后10日内，甲方向乙方支付合同金额的10%，乙方开具的发票不符合税务部门要求或未开具发票的，甲方有权拒绝付款。所有服务内容完成后（即项目终验合格，3年售后服务期满），若无违约情况，甲方一次性向乙方退还履约保证金。</w:t>
            </w:r>
          </w:p>
          <w:p w14:paraId="4BCF98D6">
            <w:pPr>
              <w:pStyle w:val="22"/>
              <w:spacing w:line="360" w:lineRule="auto"/>
              <w:rPr>
                <w:color w:val="auto"/>
              </w:rPr>
            </w:pPr>
            <w:r>
              <w:rPr>
                <w:rFonts w:hint="eastAsia"/>
                <w:color w:val="auto"/>
              </w:rPr>
              <w:t>2.乙方根据约定的款项支付进度向甲方开具有效的增值税发票，经甲方核对无误后支付对应合同价款。</w:t>
            </w:r>
          </w:p>
        </w:tc>
      </w:tr>
      <w:tr w14:paraId="1A79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1" w:type="dxa"/>
            <w:vAlign w:val="center"/>
          </w:tcPr>
          <w:p w14:paraId="39E0814F">
            <w:pPr>
              <w:pStyle w:val="22"/>
              <w:spacing w:line="360" w:lineRule="auto"/>
              <w:jc w:val="center"/>
              <w:rPr>
                <w:rFonts w:hAnsi="宋体" w:cs="宋体"/>
                <w:color w:val="auto"/>
                <w:szCs w:val="21"/>
              </w:rPr>
            </w:pPr>
            <w:r>
              <w:rPr>
                <w:rFonts w:hint="eastAsia" w:hAnsi="宋体" w:cs="宋体"/>
                <w:color w:val="auto"/>
                <w:szCs w:val="21"/>
              </w:rPr>
              <w:t>★3</w:t>
            </w:r>
          </w:p>
        </w:tc>
        <w:tc>
          <w:tcPr>
            <w:tcW w:w="7965" w:type="dxa"/>
            <w:vAlign w:val="center"/>
          </w:tcPr>
          <w:p w14:paraId="4ABDE0A2">
            <w:pPr>
              <w:pStyle w:val="22"/>
              <w:keepNext w:val="0"/>
              <w:keepLines w:val="0"/>
              <w:suppressLineNumbers w:val="0"/>
              <w:spacing w:before="0" w:beforeAutospacing="0" w:after="0" w:afterAutospacing="0" w:line="360" w:lineRule="auto"/>
              <w:ind w:left="0" w:right="0"/>
              <w:rPr>
                <w:rFonts w:hint="eastAsia" w:hAnsi="Times New Roman" w:cs="Times New Roman"/>
                <w:color w:val="auto"/>
                <w:szCs w:val="20"/>
              </w:rPr>
            </w:pPr>
            <w:r>
              <w:rPr>
                <w:rFonts w:hint="eastAsia" w:hAnsi="Times New Roman" w:cs="Times New Roman"/>
                <w:color w:val="auto"/>
                <w:szCs w:val="20"/>
              </w:rPr>
              <w:t>验收要求：</w:t>
            </w:r>
          </w:p>
          <w:p w14:paraId="7FBD7837">
            <w:pPr>
              <w:pStyle w:val="22"/>
              <w:spacing w:line="360" w:lineRule="auto"/>
              <w:rPr>
                <w:rFonts w:hint="eastAsia"/>
                <w:color w:val="auto"/>
              </w:rPr>
            </w:pPr>
            <w:r>
              <w:rPr>
                <w:rFonts w:hint="eastAsia"/>
                <w:color w:val="auto"/>
              </w:rPr>
              <w:t>1．阶段性验收：</w:t>
            </w:r>
          </w:p>
          <w:p w14:paraId="59E12855">
            <w:pPr>
              <w:pStyle w:val="22"/>
              <w:spacing w:line="360" w:lineRule="auto"/>
              <w:rPr>
                <w:rFonts w:hint="eastAsia"/>
                <w:color w:val="auto"/>
              </w:rPr>
            </w:pPr>
            <w:r>
              <w:rPr>
                <w:rFonts w:hint="eastAsia"/>
                <w:color w:val="auto"/>
              </w:rPr>
              <w:t>（1）需求分析阶段：乙方提交《需求规格说明书》，经甲方评审通过后，完成需求阶段验收；</w:t>
            </w:r>
          </w:p>
          <w:p w14:paraId="716893D4">
            <w:pPr>
              <w:pStyle w:val="22"/>
              <w:spacing w:line="360" w:lineRule="auto"/>
              <w:rPr>
                <w:rFonts w:hint="eastAsia"/>
                <w:color w:val="auto"/>
              </w:rPr>
            </w:pPr>
            <w:r>
              <w:rPr>
                <w:rFonts w:hint="eastAsia"/>
                <w:color w:val="auto"/>
              </w:rPr>
              <w:t>（2）设计阶段：提交架构设计文档、数据库设计文档、UI设计稿等，经甲方评审通过后，完成设计阶段验收；</w:t>
            </w:r>
          </w:p>
          <w:p w14:paraId="5B1FCDD3">
            <w:pPr>
              <w:pStyle w:val="22"/>
              <w:spacing w:line="360" w:lineRule="auto"/>
              <w:rPr>
                <w:rFonts w:hint="eastAsia"/>
                <w:color w:val="auto"/>
              </w:rPr>
            </w:pPr>
            <w:r>
              <w:rPr>
                <w:rFonts w:hint="eastAsia"/>
                <w:color w:val="auto"/>
              </w:rPr>
              <w:t>（3）开发测试阶段：完成各功能模块开发，提交测试报告（含功能测试、性能测试、安全测试结果），经甲方确认模块功能达标后，完成开发测试阶段验收；</w:t>
            </w:r>
          </w:p>
          <w:p w14:paraId="2AB88440">
            <w:pPr>
              <w:pStyle w:val="22"/>
              <w:spacing w:line="360" w:lineRule="auto"/>
              <w:rPr>
                <w:rFonts w:hint="eastAsia"/>
                <w:color w:val="auto"/>
              </w:rPr>
            </w:pPr>
            <w:r>
              <w:rPr>
                <w:rFonts w:hint="eastAsia"/>
                <w:color w:val="auto"/>
              </w:rPr>
              <w:t>2. 初验</w:t>
            </w:r>
          </w:p>
          <w:p w14:paraId="32869796">
            <w:pPr>
              <w:pStyle w:val="22"/>
              <w:spacing w:line="360" w:lineRule="auto"/>
              <w:rPr>
                <w:rFonts w:hint="eastAsia"/>
                <w:color w:val="auto"/>
              </w:rPr>
            </w:pPr>
            <w:r>
              <w:rPr>
                <w:rFonts w:hint="eastAsia"/>
                <w:color w:val="auto"/>
              </w:rPr>
              <w:t>系统通过测试阶段验收，并完成甲方提出的修改内容，符合初步验收条件的，由乙方提交初步验收申请，经甲方确认符合要求后，完成系统初步验收。</w:t>
            </w:r>
          </w:p>
          <w:p w14:paraId="4B0DA899">
            <w:pPr>
              <w:pStyle w:val="22"/>
              <w:spacing w:line="360" w:lineRule="auto"/>
              <w:rPr>
                <w:rFonts w:hint="eastAsia"/>
                <w:color w:val="auto"/>
              </w:rPr>
            </w:pPr>
            <w:r>
              <w:rPr>
                <w:rFonts w:hint="eastAsia"/>
                <w:color w:val="auto"/>
              </w:rPr>
              <w:t>3．终验：</w:t>
            </w:r>
          </w:p>
          <w:p w14:paraId="3B63D328">
            <w:pPr>
              <w:pStyle w:val="22"/>
              <w:spacing w:line="360" w:lineRule="auto"/>
              <w:rPr>
                <w:color w:val="auto"/>
              </w:rPr>
            </w:pPr>
            <w:r>
              <w:rPr>
                <w:rFonts w:hint="eastAsia"/>
                <w:color w:val="auto"/>
              </w:rPr>
              <w:t>系统部署上线后，供应商向采购人提交终验申请及全套验收资料（包括开发文档、测试报告、部署手册、用户手册等），采购人组织对系统功能、性能、安全性、兼容性进行全面测试，测试通过且系统稳定运行1个月后，出具终验报告，完成项目终验。若验收过程中发现问题，乙方需在规定时间内整改，直至满足验收要求。</w:t>
            </w:r>
          </w:p>
        </w:tc>
      </w:tr>
      <w:tr w14:paraId="0AE4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1" w:type="dxa"/>
            <w:vAlign w:val="center"/>
          </w:tcPr>
          <w:p w14:paraId="01A4ABB8">
            <w:pPr>
              <w:pStyle w:val="22"/>
              <w:spacing w:line="360" w:lineRule="auto"/>
              <w:jc w:val="center"/>
              <w:rPr>
                <w:rFonts w:hAnsi="宋体" w:cs="宋体"/>
                <w:color w:val="auto"/>
                <w:szCs w:val="21"/>
              </w:rPr>
            </w:pPr>
            <w:r>
              <w:rPr>
                <w:rFonts w:hint="eastAsia" w:hAnsi="宋体" w:cs="宋体"/>
                <w:color w:val="auto"/>
                <w:szCs w:val="21"/>
              </w:rPr>
              <w:t>★4</w:t>
            </w:r>
          </w:p>
        </w:tc>
        <w:tc>
          <w:tcPr>
            <w:tcW w:w="7965" w:type="dxa"/>
            <w:vAlign w:val="center"/>
          </w:tcPr>
          <w:p w14:paraId="102537A7">
            <w:pPr>
              <w:pStyle w:val="22"/>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Cs w:val="20"/>
                <w:lang w:eastAsia="zh-CN"/>
              </w:rPr>
            </w:pPr>
            <w:r>
              <w:rPr>
                <w:rFonts w:hint="eastAsia" w:ascii="宋体" w:hAnsi="Times New Roman" w:eastAsia="宋体" w:cs="Times New Roman"/>
                <w:color w:val="auto"/>
                <w:szCs w:val="20"/>
                <w:lang w:eastAsia="zh-CN"/>
              </w:rPr>
              <w:t>违约责任：</w:t>
            </w:r>
          </w:p>
          <w:p w14:paraId="4E908116">
            <w:pPr>
              <w:pStyle w:val="22"/>
              <w:spacing w:line="360" w:lineRule="auto"/>
              <w:rPr>
                <w:rFonts w:hint="eastAsia" w:hAnsi="Times New Roman" w:cs="Times New Roman"/>
                <w:color w:val="auto"/>
              </w:rPr>
            </w:pPr>
            <w:r>
              <w:rPr>
                <w:rFonts w:hint="eastAsia" w:hAnsi="Times New Roman" w:cs="Times New Roman"/>
                <w:color w:val="auto"/>
              </w:rPr>
              <w:t>1.除本合同另有约定及不可抗力外，如果乙方没有按照本合同约定的期限和内容交付成果，甲方可要求乙方支付违约金，每迟延交付成果一日，乙方承担合同总价格的万分之一违约金，最高限额为本合同总价的10%；迟延交付成果</w:t>
            </w:r>
            <w:r>
              <w:rPr>
                <w:rFonts w:hint="eastAsia" w:hAnsi="Times New Roman" w:cs="Times New Roman"/>
                <w:color w:val="auto"/>
                <w:lang w:val="en-US" w:eastAsia="zh-CN"/>
              </w:rPr>
              <w:t>超过10日的</w:t>
            </w:r>
            <w:r>
              <w:rPr>
                <w:rFonts w:hint="eastAsia" w:hAnsi="Times New Roman" w:cs="Times New Roman"/>
                <w:color w:val="auto"/>
              </w:rPr>
              <w:t>，甲方有权在要求乙方支付</w:t>
            </w:r>
            <w:r>
              <w:rPr>
                <w:rFonts w:hint="eastAsia" w:hAnsi="Times New Roman" w:cs="Times New Roman"/>
                <w:color w:val="auto"/>
                <w:lang w:val="en-US" w:eastAsia="zh-CN"/>
              </w:rPr>
              <w:t>最高限额</w:t>
            </w:r>
            <w:r>
              <w:rPr>
                <w:rFonts w:hint="eastAsia" w:hAnsi="Times New Roman" w:cs="Times New Roman"/>
                <w:color w:val="auto"/>
              </w:rPr>
              <w:t>违约金</w:t>
            </w:r>
            <w:r>
              <w:rPr>
                <w:rFonts w:hint="eastAsia" w:hAnsi="Times New Roman" w:cs="Times New Roman"/>
                <w:color w:val="auto"/>
                <w:lang w:val="en-US" w:eastAsia="zh-CN"/>
              </w:rPr>
              <w:t>即合同总价10%</w:t>
            </w:r>
            <w:r>
              <w:rPr>
                <w:rFonts w:hint="eastAsia" w:hAnsi="Times New Roman" w:cs="Times New Roman"/>
                <w:color w:val="auto"/>
              </w:rPr>
              <w:t>的同时，书面通知乙方解除本合同；</w:t>
            </w:r>
          </w:p>
          <w:p w14:paraId="36A8BD35">
            <w:pPr>
              <w:pStyle w:val="22"/>
              <w:spacing w:line="360" w:lineRule="auto"/>
              <w:rPr>
                <w:rFonts w:hint="eastAsia" w:eastAsia="宋体"/>
                <w:color w:val="auto"/>
                <w:lang w:val="en-US" w:eastAsia="zh-CN"/>
              </w:rPr>
            </w:pPr>
            <w:r>
              <w:rPr>
                <w:rFonts w:hint="eastAsia" w:ascii="宋体" w:hAnsi="Times New Roman" w:cs="Times New Roman"/>
                <w:color w:val="auto"/>
                <w:sz w:val="21"/>
                <w:lang w:val="en-US" w:eastAsia="zh-CN"/>
              </w:rPr>
              <w:t>2.乙方交付的成果（包括阶段性成果）不符合要求无法通过验收的，甲方有权要求乙方限期整改至通过验收。因整改导致逾期交付成果的，仍应按照合同约定承担逾期交付的违约责任。乙方拒不整改或整改后仍无法通过验收的，甲方有权解除合同，乙方应承担合同总价20%的违约金。违约金不足以弥补甲方损失的，甲方有权要求乙方补足。</w:t>
            </w:r>
          </w:p>
          <w:p w14:paraId="137DEBE2">
            <w:pPr>
              <w:pStyle w:val="22"/>
              <w:spacing w:line="360" w:lineRule="auto"/>
              <w:rPr>
                <w:rFonts w:hint="eastAsia" w:hAnsi="Times New Roman" w:cs="Times New Roman"/>
                <w:color w:val="auto"/>
                <w:lang w:val="en-US" w:eastAsia="zh-CN"/>
              </w:rPr>
            </w:pPr>
            <w:r>
              <w:rPr>
                <w:rFonts w:hint="eastAsia" w:hAnsi="Times New Roman" w:cs="Times New Roman"/>
                <w:color w:val="auto"/>
                <w:lang w:val="en-US" w:eastAsia="zh-CN"/>
              </w:rPr>
              <w:t>3.售后服务期间，乙方未按合同约定安排人员驻场的（以甲方考勤为准），每缺席一天，乙方应承担   元的违约金。乙方未按合同约定提供售后服务（</w:t>
            </w:r>
            <w:r>
              <w:rPr>
                <w:rFonts w:hint="eastAsia" w:hAnsi="Times New Roman" w:cs="Times New Roman"/>
                <w:color w:val="auto"/>
                <w:szCs w:val="20"/>
                <w:lang w:eastAsia="zh-CN"/>
              </w:rPr>
              <w:t>包括缺陷修复、功能优化、技术支持等</w:t>
            </w:r>
            <w:r>
              <w:rPr>
                <w:rFonts w:hint="eastAsia" w:hAnsi="Times New Roman" w:cs="Times New Roman"/>
                <w:color w:val="auto"/>
                <w:lang w:val="en-US" w:eastAsia="zh-CN"/>
              </w:rPr>
              <w:t>）的，每发生一次，乙方应承担   元的违约金。甲方有权委托第三方进行处理，由此产生的费用由乙方承担。前述乙方应承担的违约金及其他费用，甲方有权从履约保证金中直接扣除。不足扣除部分，乙方应予补足。</w:t>
            </w:r>
          </w:p>
          <w:p w14:paraId="66899193">
            <w:pPr>
              <w:pStyle w:val="22"/>
              <w:spacing w:line="360" w:lineRule="auto"/>
              <w:rPr>
                <w:rFonts w:hint="eastAsia" w:hAnsi="Times New Roman" w:cs="Times New Roman"/>
                <w:color w:val="auto"/>
              </w:rPr>
            </w:pPr>
            <w:r>
              <w:rPr>
                <w:rFonts w:hint="eastAsia" w:hAnsi="Times New Roman" w:cs="Times New Roman"/>
                <w:color w:val="auto"/>
                <w:lang w:val="en-US" w:eastAsia="zh-CN"/>
              </w:rPr>
              <w:t>4.</w:t>
            </w:r>
            <w:r>
              <w:rPr>
                <w:rFonts w:hint="eastAsia" w:hAnsi="Times New Roman" w:cs="Times New Roman"/>
                <w:color w:val="auto"/>
              </w:rPr>
              <w:t>.除本合同另有约定及不可抗力外，如甲方未按照本合同约定的付款方式付款，那么乙方可要求甲方支付违约金，每迟延付款一日，甲方承担合同总价格的万分之一违约金，最高限额为本合同总价的10%；迟延付款的违约金计算数额达到前述最高限额之日起，乙方有权在要求甲方支付违约金的同时，书面通知甲方解除本合同；</w:t>
            </w:r>
          </w:p>
          <w:p w14:paraId="0016059F">
            <w:pPr>
              <w:pStyle w:val="22"/>
              <w:spacing w:line="360" w:lineRule="auto"/>
              <w:rPr>
                <w:rFonts w:hint="eastAsia" w:hAnsi="Times New Roman" w:cs="Times New Roman"/>
                <w:color w:val="auto"/>
              </w:rPr>
            </w:pPr>
            <w:r>
              <w:rPr>
                <w:rFonts w:hint="eastAsia" w:hAnsi="Times New Roman" w:cs="Times New Roman"/>
                <w:color w:val="auto"/>
                <w:lang w:val="en-US" w:eastAsia="zh-CN"/>
              </w:rPr>
              <w:t>5.</w:t>
            </w:r>
            <w:r>
              <w:rPr>
                <w:rFonts w:hint="eastAsia" w:hAnsi="Times New Roman" w:cs="Times New Roman"/>
                <w:color w:val="auto"/>
              </w:rPr>
              <w:t>.除本合同另有约定及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D786DD">
            <w:pPr>
              <w:pStyle w:val="22"/>
              <w:spacing w:line="360" w:lineRule="auto"/>
              <w:rPr>
                <w:rFonts w:hint="eastAsia" w:hAnsi="Times New Roman" w:cs="Times New Roman"/>
                <w:color w:val="auto"/>
              </w:rPr>
            </w:pPr>
            <w:r>
              <w:rPr>
                <w:rFonts w:hint="eastAsia" w:hAnsi="Times New Roman" w:cs="Times New Roman"/>
                <w:color w:val="auto"/>
                <w:lang w:val="en-US" w:eastAsia="zh-CN"/>
              </w:rPr>
              <w:t>6</w:t>
            </w:r>
            <w:r>
              <w:rPr>
                <w:rFonts w:hint="eastAsia" w:hAnsi="Times New Roman" w:cs="Times New Roman"/>
                <w:color w:val="auto"/>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25B5EB6">
            <w:pPr>
              <w:pStyle w:val="22"/>
              <w:spacing w:line="360" w:lineRule="auto"/>
              <w:rPr>
                <w:rFonts w:hint="eastAsia" w:hAnsi="Times New Roman" w:cs="Times New Roman"/>
                <w:color w:val="auto"/>
              </w:rPr>
            </w:pPr>
            <w:r>
              <w:rPr>
                <w:rFonts w:hint="eastAsia" w:hAnsi="Times New Roman" w:cs="Times New Roman"/>
                <w:color w:val="auto"/>
              </w:rPr>
              <w:t>5.如果出现政府采购监督管理部门在处理投诉事项期间，书面通知甲方暂停采购活动的情形，或者询问或质疑事项可能影响中标结果的，导致甲方中止履行合同的情形，均不视为甲方违约。</w:t>
            </w:r>
          </w:p>
          <w:p w14:paraId="7CDA9506">
            <w:pPr>
              <w:pStyle w:val="22"/>
              <w:spacing w:line="360" w:lineRule="auto"/>
              <w:rPr>
                <w:rFonts w:hint="eastAsia" w:hAnsi="Times New Roman" w:eastAsia="宋体" w:cs="Times New Roman"/>
                <w:color w:val="auto"/>
                <w:lang w:val="en-US" w:eastAsia="zh-CN"/>
              </w:rPr>
            </w:pPr>
            <w:r>
              <w:rPr>
                <w:rFonts w:hint="eastAsia" w:hAnsi="Times New Roman" w:cs="Times New Roman"/>
                <w:color w:val="auto"/>
                <w:lang w:val="en-US" w:eastAsia="zh-CN"/>
              </w:rPr>
              <w:t>6.乙方应承担的违约金及损失赔偿等费用，甲方有权从应付乙方的任何费用中直接扣除。</w:t>
            </w:r>
          </w:p>
          <w:p w14:paraId="11236781">
            <w:pPr>
              <w:pStyle w:val="22"/>
              <w:spacing w:line="360" w:lineRule="auto"/>
              <w:rPr>
                <w:rFonts w:hint="eastAsia"/>
                <w:color w:val="auto"/>
              </w:rPr>
            </w:pPr>
            <w:r>
              <w:rPr>
                <w:rFonts w:hint="eastAsia" w:hAnsi="Times New Roman" w:cs="Times New Roman"/>
                <w:color w:val="auto"/>
                <w:lang w:val="en-US" w:eastAsia="zh-CN"/>
              </w:rPr>
              <w:t>7</w:t>
            </w:r>
            <w:r>
              <w:rPr>
                <w:rFonts w:hint="eastAsia" w:hAnsi="Times New Roman" w:cs="Times New Roman"/>
                <w:color w:val="auto"/>
              </w:rPr>
              <w:t>.甲方的损失包括但不限于诉讼费、公告费、律师费、保险费、担保费、证据保全费、公证费、差旅费、评估费、鉴定费等其他费用。</w:t>
            </w:r>
          </w:p>
        </w:tc>
      </w:tr>
    </w:tbl>
    <w:p w14:paraId="4A19320A">
      <w:pPr>
        <w:rPr>
          <w:color w:val="auto"/>
        </w:rPr>
      </w:pPr>
      <w:r>
        <w:rPr>
          <w:color w:val="auto"/>
        </w:rPr>
        <w:br w:type="page"/>
      </w:r>
    </w:p>
    <w:p w14:paraId="04EA2637">
      <w:pPr>
        <w:widowControl/>
        <w:jc w:val="center"/>
        <w:rPr>
          <w:rFonts w:ascii="黑体" w:hAnsi="宋体" w:eastAsia="黑体" w:cs="黑体"/>
          <w:color w:val="000000"/>
          <w:kern w:val="0"/>
          <w:sz w:val="50"/>
          <w:szCs w:val="50"/>
          <w:lang w:bidi="ar"/>
        </w:rPr>
      </w:pPr>
    </w:p>
    <w:p w14:paraId="15A7F805">
      <w:pPr>
        <w:widowControl/>
        <w:jc w:val="center"/>
        <w:rPr>
          <w:rFonts w:ascii="宋体" w:hAnsi="宋体" w:cs="宋体"/>
          <w:color w:val="000000"/>
          <w:kern w:val="0"/>
          <w:sz w:val="50"/>
          <w:szCs w:val="50"/>
          <w:lang w:bidi="ar"/>
        </w:rPr>
      </w:pPr>
    </w:p>
    <w:p w14:paraId="13FF1634">
      <w:pPr>
        <w:widowControl/>
        <w:jc w:val="center"/>
        <w:rPr>
          <w:rFonts w:ascii="宋体" w:hAnsi="宋体" w:cs="宋体"/>
          <w:color w:val="000000"/>
          <w:kern w:val="0"/>
          <w:sz w:val="50"/>
          <w:szCs w:val="50"/>
          <w:lang w:bidi="ar"/>
        </w:rPr>
      </w:pPr>
    </w:p>
    <w:p w14:paraId="4666E084">
      <w:pPr>
        <w:widowControl/>
        <w:jc w:val="center"/>
        <w:rPr>
          <w:rFonts w:ascii="宋体" w:hAnsi="宋体" w:cs="宋体"/>
          <w:color w:val="auto"/>
        </w:rPr>
      </w:pPr>
      <w:r>
        <w:rPr>
          <w:rFonts w:hint="eastAsia" w:ascii="宋体" w:hAnsi="宋体" w:cs="宋体"/>
          <w:color w:val="000000"/>
          <w:kern w:val="0"/>
          <w:sz w:val="50"/>
          <w:szCs w:val="50"/>
          <w:lang w:bidi="ar"/>
        </w:rPr>
        <w:t>政府采购合同</w:t>
      </w:r>
    </w:p>
    <w:p w14:paraId="55749ABA">
      <w:pPr>
        <w:widowControl/>
        <w:jc w:val="center"/>
        <w:rPr>
          <w:rFonts w:ascii="宋体" w:hAnsi="宋体" w:cs="宋体"/>
          <w:color w:val="000000"/>
          <w:kern w:val="0"/>
          <w:sz w:val="24"/>
          <w:szCs w:val="24"/>
          <w:lang w:bidi="ar"/>
        </w:rPr>
      </w:pPr>
    </w:p>
    <w:p w14:paraId="753F457F">
      <w:pPr>
        <w:widowControl/>
        <w:jc w:val="center"/>
        <w:rPr>
          <w:rFonts w:ascii="宋体" w:hAnsi="宋体" w:cs="宋体"/>
          <w:color w:val="000000"/>
          <w:kern w:val="0"/>
          <w:sz w:val="24"/>
          <w:szCs w:val="24"/>
          <w:lang w:bidi="ar"/>
        </w:rPr>
      </w:pPr>
    </w:p>
    <w:p w14:paraId="72EAAAA4">
      <w:pPr>
        <w:widowControl/>
        <w:spacing w:line="360" w:lineRule="auto"/>
        <w:ind w:firstLine="960" w:firstLineChars="400"/>
        <w:jc w:val="left"/>
        <w:rPr>
          <w:rFonts w:ascii="宋体" w:hAnsi="宋体" w:cs="宋体"/>
          <w:color w:val="000000"/>
          <w:kern w:val="0"/>
          <w:sz w:val="24"/>
          <w:szCs w:val="24"/>
          <w:lang w:bidi="ar"/>
        </w:rPr>
      </w:pPr>
    </w:p>
    <w:p w14:paraId="1879FF34">
      <w:pPr>
        <w:widowControl/>
        <w:spacing w:line="360" w:lineRule="auto"/>
        <w:ind w:firstLine="960" w:firstLineChars="400"/>
        <w:jc w:val="left"/>
        <w:rPr>
          <w:rFonts w:hint="eastAsia" w:ascii="宋体" w:hAnsi="宋体" w:eastAsia="宋体" w:cs="宋体"/>
          <w:color w:val="auto"/>
          <w:lang w:eastAsia="zh-CN"/>
        </w:rPr>
      </w:pPr>
      <w:r>
        <w:rPr>
          <w:rFonts w:hint="eastAsia" w:ascii="宋体" w:hAnsi="宋体" w:cs="宋体"/>
          <w:color w:val="000000"/>
          <w:kern w:val="0"/>
          <w:sz w:val="24"/>
          <w:szCs w:val="24"/>
          <w:lang w:bidi="ar"/>
        </w:rPr>
        <w:t>项 目 名 称：</w:t>
      </w:r>
      <w:r>
        <w:rPr>
          <w:rFonts w:hint="eastAsia" w:ascii="宋体" w:hAnsi="宋体" w:cs="宋体"/>
          <w:color w:val="000000"/>
          <w:kern w:val="0"/>
          <w:sz w:val="24"/>
          <w:szCs w:val="24"/>
          <w:lang w:eastAsia="zh-CN" w:bidi="ar"/>
        </w:rPr>
        <w:t>云南监狱项目管理系统建设项目</w:t>
      </w:r>
    </w:p>
    <w:p w14:paraId="048FB798">
      <w:pPr>
        <w:widowControl/>
        <w:spacing w:line="360" w:lineRule="auto"/>
        <w:jc w:val="left"/>
        <w:rPr>
          <w:rFonts w:ascii="宋体" w:hAnsi="宋体" w:cs="宋体"/>
          <w:color w:val="000000"/>
          <w:kern w:val="0"/>
          <w:sz w:val="24"/>
          <w:szCs w:val="24"/>
          <w:lang w:bidi="ar"/>
        </w:rPr>
      </w:pPr>
    </w:p>
    <w:p w14:paraId="425762CC">
      <w:pPr>
        <w:widowControl/>
        <w:spacing w:line="360" w:lineRule="auto"/>
        <w:jc w:val="left"/>
        <w:rPr>
          <w:rFonts w:ascii="宋体" w:hAnsi="宋体" w:cs="宋体"/>
          <w:color w:val="000000"/>
          <w:kern w:val="0"/>
          <w:sz w:val="24"/>
          <w:szCs w:val="24"/>
          <w:lang w:bidi="ar"/>
        </w:rPr>
      </w:pPr>
    </w:p>
    <w:p w14:paraId="22F03E40">
      <w:pPr>
        <w:widowControl/>
        <w:spacing w:line="360" w:lineRule="auto"/>
        <w:ind w:firstLine="960" w:firstLineChars="4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合 同 编 号：                            （系统编号）</w:t>
      </w:r>
    </w:p>
    <w:p w14:paraId="1DAF89BA">
      <w:pPr>
        <w:widowControl/>
        <w:spacing w:line="360" w:lineRule="auto"/>
        <w:ind w:firstLine="960" w:firstLineChars="400"/>
        <w:jc w:val="left"/>
        <w:rPr>
          <w:rFonts w:ascii="宋体" w:hAnsi="宋体" w:cs="宋体"/>
          <w:color w:val="000000"/>
          <w:kern w:val="0"/>
          <w:sz w:val="24"/>
          <w:szCs w:val="24"/>
          <w:lang w:bidi="ar"/>
        </w:rPr>
      </w:pPr>
    </w:p>
    <w:p w14:paraId="6DCADC3C">
      <w:pPr>
        <w:widowControl/>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（自编号，如有）</w:t>
      </w:r>
    </w:p>
    <w:p w14:paraId="676CB129">
      <w:pPr>
        <w:widowControl/>
        <w:spacing w:line="360" w:lineRule="auto"/>
        <w:jc w:val="left"/>
        <w:rPr>
          <w:rFonts w:ascii="宋体" w:hAnsi="宋体" w:cs="宋体"/>
          <w:color w:val="000000"/>
          <w:kern w:val="0"/>
          <w:sz w:val="24"/>
          <w:szCs w:val="24"/>
          <w:lang w:bidi="ar"/>
        </w:rPr>
      </w:pPr>
    </w:p>
    <w:p w14:paraId="7C4B888F">
      <w:pPr>
        <w:widowControl/>
        <w:spacing w:line="360" w:lineRule="auto"/>
        <w:ind w:firstLine="960" w:firstLineChars="400"/>
        <w:jc w:val="left"/>
        <w:rPr>
          <w:rFonts w:hint="eastAsia" w:ascii="宋体" w:hAnsi="宋体" w:eastAsia="宋体" w:cs="宋体"/>
          <w:color w:val="auto"/>
          <w:lang w:eastAsia="zh-CN"/>
        </w:rPr>
      </w:pPr>
      <w:r>
        <w:rPr>
          <w:rFonts w:hint="eastAsia" w:ascii="宋体" w:hAnsi="宋体" w:cs="宋体"/>
          <w:color w:val="000000"/>
          <w:kern w:val="0"/>
          <w:sz w:val="24"/>
          <w:szCs w:val="24"/>
          <w:lang w:bidi="ar"/>
        </w:rPr>
        <w:t>甲 方：</w:t>
      </w:r>
      <w:r>
        <w:rPr>
          <w:rFonts w:hint="eastAsia" w:ascii="宋体" w:hAnsi="宋体" w:cs="宋体"/>
          <w:color w:val="000000"/>
          <w:kern w:val="0"/>
          <w:sz w:val="24"/>
          <w:szCs w:val="24"/>
          <w:lang w:eastAsia="zh-CN" w:bidi="ar"/>
        </w:rPr>
        <w:t>云南省监狱管理局</w:t>
      </w:r>
    </w:p>
    <w:p w14:paraId="27F51224">
      <w:pPr>
        <w:widowControl/>
        <w:spacing w:line="360" w:lineRule="auto"/>
        <w:jc w:val="left"/>
        <w:rPr>
          <w:rFonts w:ascii="宋体" w:hAnsi="宋体" w:cs="宋体"/>
          <w:color w:val="000000"/>
          <w:kern w:val="0"/>
          <w:sz w:val="24"/>
          <w:szCs w:val="24"/>
          <w:lang w:bidi="ar"/>
        </w:rPr>
      </w:pPr>
    </w:p>
    <w:p w14:paraId="01349EC9">
      <w:pPr>
        <w:widowControl/>
        <w:spacing w:line="360" w:lineRule="auto"/>
        <w:jc w:val="left"/>
        <w:rPr>
          <w:rFonts w:ascii="宋体" w:hAnsi="宋体" w:cs="宋体"/>
          <w:color w:val="000000"/>
          <w:kern w:val="0"/>
          <w:sz w:val="24"/>
          <w:szCs w:val="24"/>
          <w:lang w:bidi="ar"/>
        </w:rPr>
      </w:pPr>
    </w:p>
    <w:p w14:paraId="6682763E">
      <w:pPr>
        <w:widowControl/>
        <w:spacing w:line="360" w:lineRule="auto"/>
        <w:ind w:firstLine="960" w:firstLineChars="400"/>
        <w:jc w:val="left"/>
        <w:rPr>
          <w:rFonts w:ascii="宋体" w:hAnsi="宋体" w:cs="宋体"/>
          <w:b/>
          <w:color w:val="auto"/>
          <w:szCs w:val="21"/>
        </w:rPr>
      </w:pPr>
      <w:r>
        <w:rPr>
          <w:rFonts w:hint="eastAsia" w:ascii="宋体" w:hAnsi="宋体" w:cs="宋体"/>
          <w:color w:val="000000"/>
          <w:kern w:val="0"/>
          <w:sz w:val="24"/>
          <w:szCs w:val="24"/>
          <w:lang w:bidi="ar"/>
        </w:rPr>
        <w:t>乙 方：</w:t>
      </w:r>
      <w:r>
        <w:rPr>
          <w:rFonts w:hint="eastAsia" w:ascii="宋体" w:hAnsi="宋体" w:cs="宋体"/>
          <w:b/>
          <w:color w:val="auto"/>
          <w:szCs w:val="21"/>
        </w:rPr>
        <w:br w:type="page"/>
      </w:r>
    </w:p>
    <w:p w14:paraId="5ABA3863">
      <w:pPr>
        <w:rPr>
          <w:color w:val="auto"/>
        </w:rPr>
      </w:pPr>
    </w:p>
    <w:p w14:paraId="627EBCE6">
      <w:pPr>
        <w:spacing w:line="480" w:lineRule="auto"/>
        <w:rPr>
          <w:rFonts w:ascii="宋体" w:hAnsi="宋体" w:cs="宋体"/>
          <w:color w:val="auto"/>
        </w:rPr>
      </w:pPr>
    </w:p>
    <w:p w14:paraId="5D680125">
      <w:pPr>
        <w:spacing w:line="480" w:lineRule="auto"/>
        <w:rPr>
          <w:rFonts w:hint="eastAsia" w:ascii="宋体" w:hAnsi="宋体" w:eastAsia="宋体" w:cs="宋体"/>
          <w:color w:val="auto"/>
          <w:lang w:eastAsia="zh-CN"/>
        </w:rPr>
      </w:pPr>
      <w:r>
        <w:rPr>
          <w:rFonts w:hint="eastAsia" w:ascii="宋体" w:hAnsi="宋体" w:cs="宋体"/>
          <w:color w:val="auto"/>
        </w:rPr>
        <w:t>甲方（采购人公章）名称：</w:t>
      </w:r>
      <w:r>
        <w:rPr>
          <w:rFonts w:hint="eastAsia" w:ascii="宋体" w:hAnsi="宋体" w:cs="宋体"/>
          <w:color w:val="auto"/>
          <w:lang w:eastAsia="zh-CN"/>
        </w:rPr>
        <w:t>云南省监狱管理局</w:t>
      </w:r>
    </w:p>
    <w:p w14:paraId="29260D9C">
      <w:pPr>
        <w:spacing w:line="480" w:lineRule="auto"/>
        <w:rPr>
          <w:rFonts w:ascii="宋体" w:hAnsi="宋体" w:cs="宋体"/>
          <w:color w:val="auto"/>
        </w:rPr>
      </w:pPr>
      <w:r>
        <w:rPr>
          <w:rFonts w:hint="eastAsia" w:ascii="宋体" w:hAnsi="宋体" w:cs="宋体"/>
          <w:color w:val="auto"/>
        </w:rPr>
        <w:t>地址：五华区翠湖南路138号</w:t>
      </w:r>
    </w:p>
    <w:p w14:paraId="638B8808">
      <w:pPr>
        <w:spacing w:line="480" w:lineRule="auto"/>
        <w:rPr>
          <w:rFonts w:ascii="宋体" w:hAnsi="宋体" w:cs="宋体"/>
          <w:color w:val="auto"/>
        </w:rPr>
      </w:pPr>
      <w:r>
        <w:rPr>
          <w:rFonts w:hint="eastAsia" w:ascii="宋体" w:hAnsi="宋体" w:cs="宋体"/>
          <w:color w:val="auto"/>
        </w:rPr>
        <w:t>邮编：650000</w:t>
      </w:r>
    </w:p>
    <w:p w14:paraId="65C58B07">
      <w:pPr>
        <w:spacing w:line="480" w:lineRule="auto"/>
        <w:rPr>
          <w:rFonts w:ascii="宋体" w:hAnsi="宋体" w:cs="宋体"/>
          <w:color w:val="auto"/>
        </w:rPr>
      </w:pPr>
      <w:r>
        <w:rPr>
          <w:rFonts w:hint="eastAsia" w:ascii="宋体" w:hAnsi="宋体" w:cs="宋体"/>
          <w:color w:val="auto"/>
        </w:rPr>
        <w:t>法定代表人或委托代理人：</w:t>
      </w:r>
    </w:p>
    <w:p w14:paraId="6772ED9D">
      <w:pPr>
        <w:spacing w:line="480" w:lineRule="auto"/>
        <w:rPr>
          <w:rFonts w:ascii="宋体" w:hAnsi="宋体" w:cs="宋体"/>
          <w:color w:val="auto"/>
        </w:rPr>
      </w:pPr>
      <w:r>
        <w:rPr>
          <w:rFonts w:hint="eastAsia" w:ascii="宋体" w:hAnsi="宋体" w:cs="宋体"/>
          <w:color w:val="auto"/>
        </w:rPr>
        <w:t>项目（技术）负责人：</w:t>
      </w:r>
    </w:p>
    <w:p w14:paraId="2D465084">
      <w:pPr>
        <w:spacing w:line="480" w:lineRule="auto"/>
        <w:rPr>
          <w:rFonts w:ascii="宋体" w:hAnsi="宋体" w:cs="宋体"/>
          <w:color w:val="auto"/>
        </w:rPr>
      </w:pPr>
      <w:r>
        <w:rPr>
          <w:rFonts w:hint="eastAsia" w:ascii="宋体" w:hAnsi="宋体" w:cs="宋体"/>
          <w:color w:val="auto"/>
        </w:rPr>
        <w:t>电话：</w:t>
      </w:r>
    </w:p>
    <w:p w14:paraId="18444BEF">
      <w:pPr>
        <w:spacing w:line="480" w:lineRule="auto"/>
        <w:rPr>
          <w:rFonts w:ascii="宋体" w:hAnsi="宋体" w:cs="宋体"/>
          <w:color w:val="auto"/>
        </w:rPr>
      </w:pPr>
      <w:r>
        <w:rPr>
          <w:rFonts w:hint="eastAsia" w:ascii="宋体" w:hAnsi="宋体" w:cs="宋体"/>
          <w:color w:val="auto"/>
        </w:rPr>
        <w:t>签订日期：</w:t>
      </w:r>
    </w:p>
    <w:p w14:paraId="638390CA">
      <w:pPr>
        <w:spacing w:line="480" w:lineRule="auto"/>
        <w:rPr>
          <w:rFonts w:ascii="宋体" w:hAnsi="宋体" w:cs="宋体"/>
          <w:color w:val="auto"/>
        </w:rPr>
      </w:pPr>
    </w:p>
    <w:p w14:paraId="5C4B40CE">
      <w:pPr>
        <w:spacing w:line="480" w:lineRule="auto"/>
        <w:rPr>
          <w:rFonts w:ascii="宋体" w:hAnsi="宋体" w:cs="宋体"/>
          <w:color w:val="auto"/>
        </w:rPr>
      </w:pPr>
      <w:r>
        <w:rPr>
          <w:rFonts w:hint="eastAsia" w:ascii="宋体" w:hAnsi="宋体" w:cs="宋体"/>
          <w:color w:val="auto"/>
        </w:rPr>
        <w:t>乙方（</w:t>
      </w:r>
      <w:r>
        <w:rPr>
          <w:rFonts w:hint="eastAsia" w:ascii="宋体" w:hAnsi="宋体" w:cs="宋体"/>
          <w:color w:val="auto"/>
          <w:lang w:val="en-US" w:eastAsia="zh-CN"/>
        </w:rPr>
        <w:t>中标人</w:t>
      </w:r>
      <w:r>
        <w:rPr>
          <w:rFonts w:hint="eastAsia" w:ascii="宋体" w:hAnsi="宋体" w:cs="宋体"/>
          <w:color w:val="auto"/>
        </w:rPr>
        <w:t>公章）名称：</w:t>
      </w:r>
    </w:p>
    <w:p w14:paraId="396A6FE8">
      <w:pPr>
        <w:spacing w:line="480" w:lineRule="auto"/>
        <w:rPr>
          <w:rFonts w:ascii="宋体" w:hAnsi="宋体" w:cs="宋体"/>
          <w:color w:val="auto"/>
        </w:rPr>
      </w:pPr>
      <w:r>
        <w:rPr>
          <w:rFonts w:hint="eastAsia" w:ascii="宋体" w:hAnsi="宋体" w:cs="宋体"/>
          <w:color w:val="auto"/>
        </w:rPr>
        <w:t>地址：</w:t>
      </w:r>
    </w:p>
    <w:p w14:paraId="4DB29513">
      <w:pPr>
        <w:spacing w:line="480" w:lineRule="auto"/>
        <w:rPr>
          <w:rFonts w:ascii="宋体" w:hAnsi="宋体" w:cs="宋体"/>
          <w:color w:val="auto"/>
        </w:rPr>
      </w:pPr>
      <w:r>
        <w:rPr>
          <w:rFonts w:hint="eastAsia" w:ascii="宋体" w:hAnsi="宋体" w:cs="宋体"/>
          <w:color w:val="auto"/>
        </w:rPr>
        <w:t>邮编：</w:t>
      </w:r>
    </w:p>
    <w:p w14:paraId="0E3C5973">
      <w:pPr>
        <w:spacing w:line="480" w:lineRule="auto"/>
        <w:rPr>
          <w:rFonts w:ascii="宋体" w:hAnsi="宋体" w:cs="宋体"/>
          <w:color w:val="auto"/>
        </w:rPr>
      </w:pPr>
      <w:r>
        <w:rPr>
          <w:rFonts w:hint="eastAsia" w:ascii="宋体" w:hAnsi="宋体" w:cs="宋体"/>
          <w:color w:val="auto"/>
        </w:rPr>
        <w:t>法定代表人或委托代理人：</w:t>
      </w:r>
    </w:p>
    <w:p w14:paraId="159DE18A">
      <w:pPr>
        <w:spacing w:line="480" w:lineRule="auto"/>
        <w:rPr>
          <w:rFonts w:ascii="宋体" w:hAnsi="宋体" w:cs="宋体"/>
          <w:color w:val="auto"/>
        </w:rPr>
      </w:pPr>
      <w:r>
        <w:rPr>
          <w:rFonts w:hint="eastAsia" w:ascii="宋体" w:hAnsi="宋体" w:cs="宋体"/>
          <w:color w:val="auto"/>
        </w:rPr>
        <w:t>经办人：</w:t>
      </w:r>
    </w:p>
    <w:p w14:paraId="5AD2C054">
      <w:pPr>
        <w:spacing w:line="480" w:lineRule="auto"/>
        <w:rPr>
          <w:rFonts w:ascii="宋体" w:hAnsi="宋体" w:cs="宋体"/>
          <w:color w:val="auto"/>
        </w:rPr>
      </w:pPr>
      <w:r>
        <w:rPr>
          <w:rFonts w:hint="eastAsia" w:ascii="宋体" w:hAnsi="宋体" w:cs="宋体"/>
          <w:color w:val="auto"/>
        </w:rPr>
        <w:t>电话：</w:t>
      </w:r>
    </w:p>
    <w:p w14:paraId="7662B328">
      <w:pPr>
        <w:spacing w:line="480" w:lineRule="auto"/>
        <w:rPr>
          <w:rFonts w:ascii="宋体" w:hAnsi="宋体" w:cs="宋体"/>
          <w:color w:val="auto"/>
        </w:rPr>
      </w:pPr>
      <w:r>
        <w:rPr>
          <w:rFonts w:hint="eastAsia" w:ascii="宋体" w:hAnsi="宋体" w:cs="宋体"/>
          <w:color w:val="auto"/>
        </w:rPr>
        <w:t>签订日期：</w:t>
      </w:r>
    </w:p>
    <w:p w14:paraId="300CDFEB">
      <w:pPr>
        <w:spacing w:line="480" w:lineRule="auto"/>
        <w:rPr>
          <w:rFonts w:ascii="宋体" w:hAnsi="宋体" w:cs="宋体"/>
          <w:color w:val="auto"/>
        </w:rPr>
      </w:pPr>
    </w:p>
    <w:p w14:paraId="3D658439">
      <w:pPr>
        <w:spacing w:line="480" w:lineRule="auto"/>
        <w:rPr>
          <w:rFonts w:ascii="宋体" w:hAnsi="宋体" w:cs="宋体"/>
          <w:color w:val="auto"/>
        </w:rPr>
      </w:pPr>
      <w:r>
        <w:rPr>
          <w:rFonts w:hint="eastAsia" w:ascii="宋体" w:hAnsi="宋体" w:cs="宋体"/>
          <w:color w:val="auto"/>
        </w:rPr>
        <w:t>丙方（鉴证方公章）名称：云南冠睿咨询有限公司</w:t>
      </w:r>
    </w:p>
    <w:p w14:paraId="23E86423">
      <w:pPr>
        <w:spacing w:line="480" w:lineRule="auto"/>
        <w:rPr>
          <w:rFonts w:ascii="宋体" w:hAnsi="宋体" w:cs="宋体"/>
          <w:color w:val="auto"/>
        </w:rPr>
      </w:pPr>
      <w:r>
        <w:rPr>
          <w:rFonts w:hint="eastAsia" w:ascii="宋体" w:hAnsi="宋体" w:cs="宋体"/>
          <w:color w:val="auto"/>
        </w:rPr>
        <w:t>地址：云南省昆明市西山区万达广场南塔32层3201号</w:t>
      </w:r>
    </w:p>
    <w:p w14:paraId="54286921">
      <w:pPr>
        <w:spacing w:line="480" w:lineRule="auto"/>
        <w:rPr>
          <w:rFonts w:ascii="宋体" w:hAnsi="宋体" w:cs="宋体"/>
          <w:color w:val="auto"/>
        </w:rPr>
      </w:pPr>
      <w:r>
        <w:rPr>
          <w:rFonts w:hint="eastAsia" w:ascii="宋体" w:hAnsi="宋体" w:cs="宋体"/>
          <w:color w:val="auto"/>
        </w:rPr>
        <w:t>邮编：650000</w:t>
      </w:r>
    </w:p>
    <w:p w14:paraId="58EAFC97">
      <w:pPr>
        <w:spacing w:line="480" w:lineRule="auto"/>
        <w:rPr>
          <w:rFonts w:ascii="宋体" w:hAnsi="宋体" w:cs="宋体"/>
          <w:color w:val="auto"/>
        </w:rPr>
      </w:pPr>
      <w:r>
        <w:rPr>
          <w:rFonts w:hint="eastAsia" w:ascii="宋体" w:hAnsi="宋体" w:cs="宋体"/>
          <w:color w:val="auto"/>
        </w:rPr>
        <w:t>法定代表人或委托代理人：</w:t>
      </w:r>
    </w:p>
    <w:p w14:paraId="02EF2CFF">
      <w:pPr>
        <w:spacing w:line="480" w:lineRule="auto"/>
        <w:rPr>
          <w:rFonts w:ascii="宋体" w:hAnsi="宋体" w:cs="宋体"/>
          <w:color w:val="auto"/>
        </w:rPr>
      </w:pPr>
      <w:r>
        <w:rPr>
          <w:rFonts w:hint="eastAsia" w:ascii="宋体" w:hAnsi="宋体" w:cs="宋体"/>
          <w:color w:val="auto"/>
        </w:rPr>
        <w:t>经办人：</w:t>
      </w:r>
    </w:p>
    <w:p w14:paraId="1AE6E366">
      <w:pPr>
        <w:spacing w:line="480" w:lineRule="auto"/>
        <w:rPr>
          <w:rFonts w:ascii="宋体" w:hAnsi="宋体" w:cs="宋体"/>
          <w:color w:val="auto"/>
        </w:rPr>
      </w:pPr>
      <w:r>
        <w:rPr>
          <w:rFonts w:hint="eastAsia" w:ascii="宋体" w:hAnsi="宋体" w:cs="宋体"/>
          <w:color w:val="auto"/>
        </w:rPr>
        <w:t>电话：0871-65511240、65511241</w:t>
      </w:r>
    </w:p>
    <w:p w14:paraId="4A091DFE">
      <w:pPr>
        <w:rPr>
          <w:rFonts w:ascii="宋体" w:hAnsi="宋体" w:cs="宋体"/>
          <w:color w:val="auto"/>
          <w:kern w:val="0"/>
          <w:sz w:val="28"/>
          <w:szCs w:val="28"/>
        </w:rPr>
      </w:pPr>
      <w:r>
        <w:rPr>
          <w:rFonts w:hint="eastAsia" w:ascii="宋体" w:hAnsi="宋体" w:cs="宋体"/>
          <w:color w:val="auto"/>
          <w:kern w:val="0"/>
          <w:sz w:val="28"/>
          <w:szCs w:val="28"/>
        </w:rPr>
        <w:br w:type="page"/>
      </w:r>
    </w:p>
    <w:p w14:paraId="727424AE">
      <w:pPr>
        <w:jc w:val="center"/>
        <w:rPr>
          <w:rStyle w:val="175"/>
          <w:rFonts w:ascii="宋体" w:hAnsi="宋体" w:cs="宋体"/>
          <w:b/>
          <w:color w:val="auto"/>
          <w:sz w:val="34"/>
          <w:szCs w:val="32"/>
        </w:rPr>
      </w:pPr>
      <w:r>
        <w:rPr>
          <w:rStyle w:val="175"/>
          <w:rFonts w:hint="eastAsia" w:ascii="宋体" w:hAnsi="宋体" w:cs="宋体"/>
          <w:b/>
          <w:color w:val="auto"/>
          <w:sz w:val="34"/>
          <w:szCs w:val="32"/>
        </w:rPr>
        <w:t>合同书样式</w:t>
      </w:r>
    </w:p>
    <w:p w14:paraId="286D8773">
      <w:pPr>
        <w:widowControl/>
        <w:jc w:val="center"/>
        <w:rPr>
          <w:rStyle w:val="175"/>
          <w:rFonts w:ascii="宋体" w:hAnsi="宋体" w:cs="宋体"/>
          <w:color w:val="auto"/>
          <w:szCs w:val="21"/>
        </w:rPr>
      </w:pPr>
    </w:p>
    <w:p w14:paraId="537829AD">
      <w:pPr>
        <w:widowControl/>
        <w:jc w:val="center"/>
        <w:rPr>
          <w:rFonts w:ascii="宋体" w:hAnsi="宋体" w:cs="宋体"/>
          <w:b/>
          <w:color w:val="auto"/>
          <w:sz w:val="32"/>
          <w:szCs w:val="32"/>
        </w:rPr>
      </w:pPr>
      <w:r>
        <w:rPr>
          <w:rStyle w:val="175"/>
          <w:rFonts w:hint="eastAsia" w:ascii="宋体" w:hAnsi="宋体" w:cs="宋体"/>
          <w:color w:val="auto"/>
          <w:szCs w:val="21"/>
        </w:rPr>
        <w:t>（合同书样式仅供参考，以实际签订为准）</w:t>
      </w:r>
    </w:p>
    <w:p w14:paraId="0B85917F">
      <w:pPr>
        <w:wordWrap w:val="0"/>
        <w:spacing w:line="360" w:lineRule="auto"/>
        <w:jc w:val="center"/>
        <w:rPr>
          <w:rFonts w:ascii="宋体" w:hAnsi="宋体" w:cs="宋体"/>
          <w:color w:val="auto"/>
          <w:szCs w:val="21"/>
        </w:rPr>
      </w:pPr>
    </w:p>
    <w:p w14:paraId="4A5C241E">
      <w:pPr>
        <w:rPr>
          <w:rStyle w:val="175"/>
          <w:rFonts w:ascii="宋体" w:hAnsi="宋体" w:cs="宋体"/>
          <w:b/>
          <w:color w:val="auto"/>
          <w:szCs w:val="21"/>
        </w:rPr>
      </w:pPr>
      <w:r>
        <w:rPr>
          <w:rStyle w:val="175"/>
          <w:rFonts w:hint="eastAsia" w:ascii="宋体" w:hAnsi="宋体" w:cs="宋体"/>
          <w:b/>
          <w:color w:val="auto"/>
          <w:szCs w:val="21"/>
        </w:rPr>
        <w:t>甲方：</w:t>
      </w:r>
      <w:r>
        <w:rPr>
          <w:rStyle w:val="175"/>
          <w:rFonts w:hint="eastAsia" w:ascii="宋体" w:hAnsi="宋体" w:cs="宋体"/>
          <w:b/>
          <w:color w:val="auto"/>
          <w:szCs w:val="21"/>
          <w:lang w:eastAsia="zh-CN"/>
        </w:rPr>
        <w:t>云南省监狱管理局</w:t>
      </w:r>
      <w:r>
        <w:rPr>
          <w:rStyle w:val="175"/>
          <w:rFonts w:hint="eastAsia" w:ascii="宋体" w:hAnsi="宋体" w:cs="宋体"/>
          <w:b/>
          <w:color w:val="auto"/>
          <w:szCs w:val="21"/>
        </w:rPr>
        <w:t xml:space="preserve"> </w:t>
      </w:r>
    </w:p>
    <w:p w14:paraId="781CA39D">
      <w:pPr>
        <w:spacing w:line="560" w:lineRule="exact"/>
        <w:rPr>
          <w:rStyle w:val="175"/>
          <w:rFonts w:ascii="宋体" w:hAnsi="宋体" w:cs="宋体"/>
          <w:b/>
          <w:color w:val="auto"/>
          <w:szCs w:val="21"/>
        </w:rPr>
      </w:pPr>
      <w:r>
        <w:rPr>
          <w:rStyle w:val="175"/>
          <w:rFonts w:hint="eastAsia" w:ascii="宋体" w:hAnsi="宋体" w:cs="宋体"/>
          <w:b/>
          <w:color w:val="auto"/>
          <w:szCs w:val="21"/>
        </w:rPr>
        <w:t>乙方：</w:t>
      </w:r>
    </w:p>
    <w:p w14:paraId="575747CC">
      <w:pPr>
        <w:spacing w:line="360" w:lineRule="auto"/>
        <w:ind w:firstLine="420" w:firstLineChars="200"/>
        <w:jc w:val="left"/>
        <w:rPr>
          <w:rStyle w:val="175"/>
          <w:rFonts w:ascii="宋体" w:hAnsi="宋体" w:cs="宋体"/>
          <w:color w:val="auto"/>
          <w:szCs w:val="21"/>
        </w:rPr>
      </w:pPr>
      <w:r>
        <w:rPr>
          <w:rStyle w:val="175"/>
          <w:rFonts w:hint="eastAsia" w:ascii="宋体" w:hAnsi="宋体" w:cs="宋体"/>
          <w:color w:val="auto"/>
          <w:szCs w:val="21"/>
        </w:rPr>
        <w:t>甲乙双方根据《中华人民共和国政府采购法》《中华人民共和国政府采购法实施条例》和有关制度规定，就“</w:t>
      </w:r>
      <w:r>
        <w:rPr>
          <w:rFonts w:hint="eastAsia" w:ascii="宋体" w:hAnsi="宋体" w:cs="宋体"/>
          <w:color w:val="auto"/>
          <w:szCs w:val="21"/>
          <w:lang w:eastAsia="zh-CN"/>
        </w:rPr>
        <w:t>云南监狱项目管理系统建设项目</w:t>
      </w:r>
      <w:r>
        <w:rPr>
          <w:rStyle w:val="175"/>
          <w:rFonts w:hint="eastAsia" w:ascii="宋体" w:hAnsi="宋体" w:cs="宋体"/>
          <w:color w:val="auto"/>
          <w:szCs w:val="21"/>
        </w:rPr>
        <w:t>”的公开招标项目结果，经双方协定达成一致，签订以下内容：</w:t>
      </w:r>
    </w:p>
    <w:p w14:paraId="435A553A">
      <w:pPr>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一、项目名称、服务内容、拟投入人员配置、拟投入软、硬件配置：</w:t>
      </w:r>
    </w:p>
    <w:p w14:paraId="0B0B70F1">
      <w:pPr>
        <w:spacing w:line="360" w:lineRule="auto"/>
        <w:ind w:firstLine="420" w:firstLineChars="200"/>
        <w:jc w:val="left"/>
        <w:rPr>
          <w:rStyle w:val="175"/>
          <w:rFonts w:ascii="宋体" w:hAnsi="宋体" w:cs="宋体"/>
          <w:color w:val="auto"/>
          <w:szCs w:val="21"/>
        </w:rPr>
      </w:pPr>
      <w:r>
        <w:rPr>
          <w:rStyle w:val="175"/>
          <w:rFonts w:hint="eastAsia" w:ascii="宋体" w:hAnsi="宋体" w:cs="宋体"/>
          <w:color w:val="auto"/>
          <w:szCs w:val="21"/>
        </w:rPr>
        <w:t>（内容不够填写时可另作附件）</w:t>
      </w:r>
    </w:p>
    <w:p w14:paraId="0B2B0FAB">
      <w:pPr>
        <w:spacing w:line="360" w:lineRule="auto"/>
        <w:ind w:firstLine="422" w:firstLineChars="200"/>
        <w:jc w:val="left"/>
        <w:rPr>
          <w:rStyle w:val="175"/>
          <w:rFonts w:ascii="宋体" w:hAnsi="宋体" w:cs="宋体"/>
          <w:b/>
          <w:color w:val="auto"/>
          <w:szCs w:val="21"/>
        </w:rPr>
      </w:pPr>
      <w:r>
        <w:rPr>
          <w:rStyle w:val="175"/>
          <w:rFonts w:hint="eastAsia" w:ascii="宋体" w:hAnsi="宋体" w:cs="宋体"/>
          <w:b/>
          <w:color w:val="auto"/>
          <w:szCs w:val="21"/>
        </w:rPr>
        <w:t>二、甲乙双方的权利和义务</w:t>
      </w:r>
    </w:p>
    <w:p w14:paraId="41F54C05">
      <w:pPr>
        <w:spacing w:line="360" w:lineRule="auto"/>
        <w:ind w:firstLine="420" w:firstLineChars="200"/>
        <w:jc w:val="left"/>
        <w:rPr>
          <w:rStyle w:val="175"/>
          <w:rFonts w:ascii="宋体" w:hAnsi="宋体" w:cs="宋体"/>
          <w:bCs/>
          <w:color w:val="auto"/>
          <w:szCs w:val="21"/>
        </w:rPr>
      </w:pPr>
      <w:r>
        <w:rPr>
          <w:rStyle w:val="175"/>
          <w:rFonts w:hint="eastAsia" w:ascii="宋体" w:hAnsi="宋体" w:cs="宋体"/>
          <w:bCs/>
          <w:color w:val="auto"/>
          <w:szCs w:val="21"/>
        </w:rPr>
        <w:t>（一）甲方的权利和义务</w:t>
      </w:r>
    </w:p>
    <w:p w14:paraId="09644DB5">
      <w:pPr>
        <w:spacing w:line="360" w:lineRule="auto"/>
        <w:ind w:firstLine="420" w:firstLineChars="200"/>
        <w:jc w:val="left"/>
        <w:rPr>
          <w:rStyle w:val="175"/>
          <w:rFonts w:ascii="宋体" w:hAnsi="宋体" w:cs="宋体"/>
          <w:color w:val="auto"/>
          <w:szCs w:val="21"/>
        </w:rPr>
      </w:pPr>
      <w:r>
        <w:rPr>
          <w:rStyle w:val="175"/>
          <w:rFonts w:hint="eastAsia" w:ascii="宋体" w:hAnsi="宋体" w:cs="宋体"/>
          <w:color w:val="auto"/>
          <w:szCs w:val="21"/>
        </w:rPr>
        <w:t>1．负责合同签订后项目服务过程中的沟通及监管工作；</w:t>
      </w:r>
    </w:p>
    <w:p w14:paraId="588F8673">
      <w:pPr>
        <w:spacing w:line="360" w:lineRule="auto"/>
        <w:ind w:firstLine="420" w:firstLineChars="200"/>
        <w:jc w:val="left"/>
        <w:rPr>
          <w:rStyle w:val="175"/>
          <w:rFonts w:ascii="宋体" w:hAnsi="宋体" w:cs="宋体"/>
          <w:color w:val="auto"/>
          <w:szCs w:val="21"/>
        </w:rPr>
      </w:pPr>
      <w:r>
        <w:rPr>
          <w:rStyle w:val="175"/>
          <w:rFonts w:hint="eastAsia" w:ascii="宋体" w:hAnsi="宋体" w:cs="宋体"/>
          <w:color w:val="auto"/>
          <w:szCs w:val="21"/>
        </w:rPr>
        <w:t>2．负责提供服务过程中所必须的场地和环境；</w:t>
      </w:r>
    </w:p>
    <w:p w14:paraId="41E5106A">
      <w:pPr>
        <w:spacing w:line="360" w:lineRule="auto"/>
        <w:ind w:firstLine="420" w:firstLineChars="200"/>
        <w:jc w:val="left"/>
        <w:rPr>
          <w:rStyle w:val="175"/>
          <w:rFonts w:ascii="宋体" w:hAnsi="宋体" w:cs="宋体"/>
          <w:color w:val="auto"/>
          <w:szCs w:val="21"/>
        </w:rPr>
      </w:pPr>
      <w:r>
        <w:rPr>
          <w:rStyle w:val="175"/>
          <w:rFonts w:hint="eastAsia" w:ascii="宋体" w:hAnsi="宋体" w:cs="宋体"/>
          <w:color w:val="auto"/>
          <w:szCs w:val="21"/>
        </w:rPr>
        <w:t>3．负责组织成立验收小组对服务成果和内容进行验收并签署验收报告；</w:t>
      </w:r>
    </w:p>
    <w:p w14:paraId="1091241B">
      <w:pPr>
        <w:spacing w:line="360" w:lineRule="auto"/>
        <w:ind w:firstLine="420" w:firstLineChars="200"/>
        <w:jc w:val="left"/>
        <w:rPr>
          <w:rStyle w:val="175"/>
          <w:rFonts w:ascii="宋体" w:hAnsi="宋体" w:cs="宋体"/>
          <w:bCs/>
          <w:color w:val="auto"/>
          <w:szCs w:val="21"/>
        </w:rPr>
      </w:pPr>
      <w:r>
        <w:rPr>
          <w:rStyle w:val="175"/>
          <w:rFonts w:hint="eastAsia" w:ascii="宋体" w:hAnsi="宋体" w:cs="宋体"/>
          <w:color w:val="auto"/>
          <w:szCs w:val="21"/>
        </w:rPr>
        <w:t>4．按合同规定享有乙方提供的整套相关服务。</w:t>
      </w:r>
    </w:p>
    <w:p w14:paraId="165E2055">
      <w:pPr>
        <w:spacing w:line="360" w:lineRule="auto"/>
        <w:ind w:firstLine="420" w:firstLineChars="200"/>
        <w:jc w:val="left"/>
        <w:rPr>
          <w:rStyle w:val="175"/>
          <w:rFonts w:ascii="宋体" w:hAnsi="宋体" w:cs="宋体"/>
          <w:bCs/>
          <w:color w:val="auto"/>
          <w:szCs w:val="21"/>
        </w:rPr>
      </w:pPr>
      <w:r>
        <w:rPr>
          <w:rStyle w:val="175"/>
          <w:rFonts w:ascii="宋体" w:hAnsi="宋体" w:cs="宋体"/>
          <w:bCs/>
          <w:color w:val="auto"/>
          <w:szCs w:val="21"/>
        </w:rPr>
        <w:t>……</w:t>
      </w:r>
    </w:p>
    <w:p w14:paraId="5AB8720C">
      <w:pPr>
        <w:spacing w:line="360" w:lineRule="auto"/>
        <w:ind w:firstLine="420" w:firstLineChars="200"/>
        <w:jc w:val="left"/>
        <w:rPr>
          <w:rStyle w:val="175"/>
          <w:rFonts w:ascii="宋体" w:hAnsi="宋体" w:cs="宋体"/>
          <w:bCs/>
          <w:color w:val="auto"/>
          <w:szCs w:val="21"/>
        </w:rPr>
      </w:pPr>
      <w:r>
        <w:rPr>
          <w:rStyle w:val="175"/>
          <w:rFonts w:hint="eastAsia" w:ascii="宋体" w:hAnsi="宋体" w:cs="宋体"/>
          <w:bCs/>
          <w:color w:val="auto"/>
          <w:szCs w:val="21"/>
        </w:rPr>
        <w:t>（二）乙方的权利和义务</w:t>
      </w:r>
    </w:p>
    <w:p w14:paraId="6DFB7271">
      <w:pPr>
        <w:spacing w:line="360" w:lineRule="auto"/>
        <w:ind w:firstLine="420" w:firstLineChars="200"/>
        <w:jc w:val="left"/>
        <w:rPr>
          <w:rStyle w:val="175"/>
          <w:rFonts w:ascii="宋体" w:hAnsi="宋体" w:cs="宋体"/>
          <w:color w:val="auto"/>
          <w:szCs w:val="21"/>
        </w:rPr>
      </w:pPr>
      <w:r>
        <w:rPr>
          <w:rStyle w:val="175"/>
          <w:rFonts w:hint="eastAsia" w:ascii="宋体" w:hAnsi="宋体" w:cs="宋体"/>
          <w:color w:val="auto"/>
          <w:szCs w:val="21"/>
        </w:rPr>
        <w:t>1.乙方保证按合同规定条款完成甲方项目；</w:t>
      </w:r>
    </w:p>
    <w:p w14:paraId="21AD527B">
      <w:pPr>
        <w:spacing w:line="360" w:lineRule="auto"/>
        <w:ind w:firstLine="420" w:firstLineChars="200"/>
        <w:jc w:val="left"/>
        <w:rPr>
          <w:rStyle w:val="175"/>
          <w:rFonts w:ascii="宋体" w:hAnsi="宋体" w:cs="宋体"/>
          <w:color w:val="auto"/>
          <w:szCs w:val="21"/>
        </w:rPr>
      </w:pPr>
      <w:r>
        <w:rPr>
          <w:rStyle w:val="175"/>
          <w:rFonts w:hint="eastAsia" w:ascii="宋体" w:hAnsi="宋体" w:cs="宋体"/>
          <w:color w:val="auto"/>
          <w:szCs w:val="21"/>
        </w:rPr>
        <w:t>2.乙方应保证其提供的货物、工程或者服务在甲方使用期间不受第三方可能提出的侵犯其所有权、知识产权、商标权、专利权、著作权等相关权利的起诉。</w:t>
      </w:r>
    </w:p>
    <w:p w14:paraId="0A00BDCC">
      <w:pPr>
        <w:spacing w:line="360" w:lineRule="auto"/>
        <w:ind w:firstLine="420" w:firstLineChars="200"/>
        <w:jc w:val="left"/>
        <w:rPr>
          <w:rStyle w:val="175"/>
          <w:rFonts w:ascii="宋体" w:hAnsi="宋体" w:cs="宋体"/>
          <w:color w:val="auto"/>
          <w:kern w:val="0"/>
          <w:szCs w:val="21"/>
          <w:lang w:val="zh-CN"/>
        </w:rPr>
      </w:pPr>
      <w:r>
        <w:rPr>
          <w:rStyle w:val="175"/>
          <w:rFonts w:hint="eastAsia" w:ascii="宋体" w:hAnsi="宋体" w:cs="宋体"/>
          <w:color w:val="auto"/>
          <w:szCs w:val="21"/>
        </w:rPr>
        <w:t>3.</w:t>
      </w:r>
      <w:r>
        <w:rPr>
          <w:rStyle w:val="175"/>
          <w:rFonts w:hint="eastAsia" w:ascii="宋体" w:hAnsi="宋体" w:cs="宋体"/>
          <w:color w:val="auto"/>
          <w:kern w:val="0"/>
          <w:szCs w:val="21"/>
          <w:lang w:val="zh-CN"/>
        </w:rPr>
        <w:t>严格遵守</w:t>
      </w:r>
      <w:r>
        <w:rPr>
          <w:rStyle w:val="175"/>
          <w:rFonts w:hint="eastAsia" w:ascii="宋体" w:hAnsi="宋体" w:cs="宋体"/>
          <w:color w:val="auto"/>
          <w:kern w:val="0"/>
          <w:szCs w:val="21"/>
        </w:rPr>
        <w:t>招标文件</w:t>
      </w:r>
      <w:r>
        <w:rPr>
          <w:rStyle w:val="175"/>
          <w:rFonts w:hint="eastAsia" w:ascii="宋体" w:hAnsi="宋体" w:cs="宋体"/>
          <w:color w:val="auto"/>
          <w:kern w:val="0"/>
          <w:szCs w:val="21"/>
          <w:lang w:val="zh-CN"/>
        </w:rPr>
        <w:t>、</w:t>
      </w:r>
      <w:r>
        <w:rPr>
          <w:rStyle w:val="175"/>
          <w:rFonts w:hint="eastAsia" w:ascii="宋体" w:hAnsi="宋体" w:cs="宋体"/>
          <w:color w:val="auto"/>
          <w:kern w:val="0"/>
          <w:szCs w:val="21"/>
        </w:rPr>
        <w:t>投标</w:t>
      </w:r>
      <w:r>
        <w:rPr>
          <w:rStyle w:val="175"/>
          <w:rFonts w:hint="eastAsia" w:ascii="宋体" w:hAnsi="宋体" w:cs="宋体"/>
          <w:color w:val="auto"/>
          <w:kern w:val="0"/>
          <w:szCs w:val="21"/>
          <w:lang w:val="zh-CN"/>
        </w:rPr>
        <w:t>文件、承诺书的一切规定和条款。</w:t>
      </w:r>
    </w:p>
    <w:p w14:paraId="78D56834">
      <w:pPr>
        <w:spacing w:line="360" w:lineRule="auto"/>
        <w:ind w:firstLine="420" w:firstLineChars="200"/>
        <w:jc w:val="left"/>
        <w:rPr>
          <w:rStyle w:val="175"/>
          <w:rFonts w:ascii="宋体" w:hAnsi="宋体" w:cs="宋体"/>
          <w:b/>
          <w:color w:val="auto"/>
          <w:szCs w:val="21"/>
        </w:rPr>
      </w:pPr>
      <w:r>
        <w:rPr>
          <w:rStyle w:val="175"/>
          <w:rFonts w:ascii="宋体" w:hAnsi="宋体" w:cs="宋体"/>
          <w:bCs/>
          <w:color w:val="auto"/>
          <w:szCs w:val="21"/>
        </w:rPr>
        <w:t>……</w:t>
      </w:r>
    </w:p>
    <w:p w14:paraId="2B7AAE79">
      <w:pPr>
        <w:spacing w:line="360" w:lineRule="auto"/>
        <w:ind w:firstLine="422" w:firstLineChars="200"/>
        <w:jc w:val="left"/>
        <w:rPr>
          <w:rStyle w:val="175"/>
          <w:rFonts w:ascii="宋体" w:hAnsi="宋体" w:cs="宋体"/>
          <w:color w:val="auto"/>
          <w:szCs w:val="21"/>
        </w:rPr>
      </w:pPr>
      <w:r>
        <w:rPr>
          <w:rStyle w:val="175"/>
          <w:rFonts w:hint="eastAsia" w:ascii="宋体" w:hAnsi="宋体" w:cs="宋体"/>
          <w:b/>
          <w:color w:val="auto"/>
          <w:szCs w:val="21"/>
        </w:rPr>
        <w:t>三、</w:t>
      </w:r>
      <w:r>
        <w:rPr>
          <w:rStyle w:val="175"/>
          <w:rFonts w:hint="eastAsia" w:ascii="宋体" w:hAnsi="宋体" w:cs="宋体"/>
          <w:b/>
          <w:color w:val="auto"/>
          <w:szCs w:val="21"/>
          <w:lang w:eastAsia="zh-CN"/>
        </w:rPr>
        <w:t>甲</w:t>
      </w:r>
      <w:r>
        <w:rPr>
          <w:rStyle w:val="175"/>
          <w:rFonts w:hint="eastAsia" w:ascii="宋体" w:hAnsi="宋体" w:cs="宋体"/>
          <w:b/>
          <w:color w:val="auto"/>
          <w:szCs w:val="21"/>
        </w:rPr>
        <w:t>乙双方约定的其他内容：</w:t>
      </w:r>
    </w:p>
    <w:p w14:paraId="232F394C">
      <w:pPr>
        <w:spacing w:line="360" w:lineRule="auto"/>
        <w:ind w:firstLine="422" w:firstLineChars="200"/>
        <w:jc w:val="left"/>
        <w:rPr>
          <w:rStyle w:val="175"/>
          <w:rFonts w:ascii="宋体" w:hAnsi="宋体" w:cs="宋体"/>
          <w:b/>
          <w:bCs/>
          <w:color w:val="auto"/>
          <w:szCs w:val="21"/>
        </w:rPr>
      </w:pPr>
      <w:r>
        <w:rPr>
          <w:rStyle w:val="175"/>
          <w:rFonts w:hint="eastAsia" w:ascii="宋体" w:hAnsi="宋体" w:cs="宋体"/>
          <w:b/>
          <w:bCs/>
          <w:color w:val="auto"/>
          <w:szCs w:val="21"/>
        </w:rPr>
        <w:t>四、以上内容与甲方确认采购和乙方成交承诺情况一致并不得改变或放弃。</w:t>
      </w:r>
    </w:p>
    <w:p w14:paraId="556D92E4">
      <w:pPr>
        <w:spacing w:line="360" w:lineRule="auto"/>
        <w:ind w:firstLine="422" w:firstLineChars="200"/>
        <w:jc w:val="left"/>
        <w:rPr>
          <w:rStyle w:val="175"/>
          <w:rFonts w:ascii="宋体" w:hAnsi="宋体" w:cs="宋体"/>
          <w:b/>
          <w:bCs/>
          <w:color w:val="auto"/>
          <w:szCs w:val="21"/>
        </w:rPr>
      </w:pPr>
      <w:r>
        <w:rPr>
          <w:rStyle w:val="175"/>
          <w:rFonts w:hint="eastAsia" w:ascii="宋体" w:hAnsi="宋体" w:cs="宋体"/>
          <w:b/>
          <w:bCs/>
          <w:color w:val="auto"/>
          <w:szCs w:val="21"/>
        </w:rPr>
        <w:t>五、项目实施期限及要求</w:t>
      </w:r>
    </w:p>
    <w:p w14:paraId="6757E397">
      <w:pPr>
        <w:spacing w:line="360" w:lineRule="auto"/>
        <w:ind w:firstLine="420" w:firstLineChars="200"/>
        <w:jc w:val="left"/>
        <w:rPr>
          <w:rStyle w:val="175"/>
          <w:rFonts w:hint="eastAsia" w:ascii="宋体" w:hAnsi="宋体" w:eastAsia="宋体" w:cs="宋体"/>
          <w:bCs/>
          <w:color w:val="auto"/>
          <w:szCs w:val="21"/>
          <w:lang w:eastAsia="zh-CN"/>
        </w:rPr>
      </w:pPr>
      <w:r>
        <w:rPr>
          <w:rStyle w:val="175"/>
          <w:rFonts w:hint="eastAsia" w:ascii="宋体" w:hAnsi="宋体" w:cs="宋体"/>
          <w:bCs/>
          <w:color w:val="auto"/>
          <w:szCs w:val="21"/>
        </w:rPr>
        <w:t>1.项目实施期限：</w:t>
      </w:r>
      <w:r>
        <w:rPr>
          <w:rStyle w:val="175"/>
          <w:rFonts w:hint="eastAsia" w:ascii="宋体" w:hAnsi="宋体" w:cs="宋体"/>
          <w:bCs/>
          <w:color w:val="auto"/>
          <w:szCs w:val="21"/>
          <w:lang w:eastAsia="zh-CN"/>
        </w:rPr>
        <w:t>。</w:t>
      </w:r>
    </w:p>
    <w:p w14:paraId="4D046CDC">
      <w:pPr>
        <w:spacing w:line="360" w:lineRule="auto"/>
        <w:ind w:firstLine="420" w:firstLineChars="200"/>
        <w:jc w:val="left"/>
        <w:rPr>
          <w:rStyle w:val="175"/>
          <w:rFonts w:ascii="宋体" w:hAnsi="宋体" w:cs="宋体"/>
          <w:bCs/>
          <w:color w:val="auto"/>
          <w:szCs w:val="21"/>
        </w:rPr>
      </w:pPr>
      <w:r>
        <w:rPr>
          <w:rStyle w:val="175"/>
          <w:rFonts w:hint="eastAsia" w:ascii="宋体" w:hAnsi="宋体" w:cs="宋体"/>
          <w:bCs/>
          <w:color w:val="auto"/>
          <w:szCs w:val="21"/>
        </w:rPr>
        <w:t>2.项目实施地点：甲方指定地点。</w:t>
      </w:r>
    </w:p>
    <w:p w14:paraId="1424CE0D">
      <w:pPr>
        <w:spacing w:line="360" w:lineRule="auto"/>
        <w:ind w:firstLine="422" w:firstLineChars="200"/>
        <w:jc w:val="left"/>
        <w:rPr>
          <w:rStyle w:val="175"/>
          <w:rFonts w:ascii="宋体" w:hAnsi="宋体" w:cs="宋体"/>
          <w:b/>
          <w:bCs/>
          <w:color w:val="auto"/>
          <w:szCs w:val="21"/>
          <w:lang w:val="zh-CN"/>
        </w:rPr>
      </w:pPr>
      <w:r>
        <w:rPr>
          <w:rStyle w:val="175"/>
          <w:rFonts w:hint="eastAsia" w:ascii="宋体" w:hAnsi="宋体" w:cs="宋体"/>
          <w:b/>
          <w:color w:val="auto"/>
          <w:szCs w:val="21"/>
        </w:rPr>
        <w:t>六、验收</w:t>
      </w:r>
      <w:r>
        <w:rPr>
          <w:rStyle w:val="175"/>
          <w:rFonts w:hint="eastAsia" w:ascii="宋体" w:hAnsi="宋体" w:cs="宋体"/>
          <w:b/>
          <w:bCs/>
          <w:color w:val="auto"/>
          <w:szCs w:val="21"/>
        </w:rPr>
        <w:t>及验收标准</w:t>
      </w:r>
    </w:p>
    <w:p w14:paraId="7ABC1F30">
      <w:pPr>
        <w:spacing w:line="360" w:lineRule="auto"/>
        <w:ind w:firstLine="420" w:firstLineChars="200"/>
        <w:jc w:val="left"/>
        <w:rPr>
          <w:rStyle w:val="175"/>
          <w:rFonts w:hint="eastAsia" w:ascii="宋体" w:hAnsi="宋体" w:cs="宋体"/>
          <w:b w:val="0"/>
          <w:bCs w:val="0"/>
          <w:color w:val="auto"/>
          <w:szCs w:val="21"/>
        </w:rPr>
      </w:pPr>
      <w:r>
        <w:rPr>
          <w:rStyle w:val="175"/>
          <w:rFonts w:hint="eastAsia" w:ascii="宋体" w:hAnsi="宋体" w:cs="宋体"/>
          <w:b w:val="0"/>
          <w:bCs w:val="0"/>
          <w:color w:val="auto"/>
          <w:szCs w:val="21"/>
        </w:rPr>
        <w:t>1．阶段性验收：</w:t>
      </w:r>
    </w:p>
    <w:p w14:paraId="503959F3">
      <w:pPr>
        <w:spacing w:line="360" w:lineRule="auto"/>
        <w:ind w:firstLine="420" w:firstLineChars="200"/>
        <w:jc w:val="left"/>
        <w:rPr>
          <w:rStyle w:val="175"/>
          <w:rFonts w:hint="eastAsia" w:ascii="宋体" w:hAnsi="宋体" w:cs="宋体"/>
          <w:b w:val="0"/>
          <w:bCs w:val="0"/>
          <w:color w:val="auto"/>
          <w:szCs w:val="21"/>
        </w:rPr>
      </w:pPr>
      <w:r>
        <w:rPr>
          <w:rStyle w:val="175"/>
          <w:rFonts w:hint="eastAsia" w:ascii="宋体" w:hAnsi="宋体" w:cs="宋体"/>
          <w:b w:val="0"/>
          <w:bCs w:val="0"/>
          <w:color w:val="auto"/>
          <w:szCs w:val="21"/>
        </w:rPr>
        <w:t>（1）需求分析阶段：</w:t>
      </w:r>
      <w:r>
        <w:rPr>
          <w:rStyle w:val="175"/>
          <w:rFonts w:hint="eastAsia" w:ascii="宋体" w:hAnsi="宋体" w:cs="宋体"/>
          <w:b w:val="0"/>
          <w:bCs w:val="0"/>
          <w:color w:val="auto"/>
          <w:szCs w:val="21"/>
          <w:lang w:val="en-US" w:eastAsia="zh-CN"/>
        </w:rPr>
        <w:t>乙方</w:t>
      </w:r>
      <w:r>
        <w:rPr>
          <w:rStyle w:val="175"/>
          <w:rFonts w:hint="eastAsia" w:ascii="宋体" w:hAnsi="宋体" w:cs="宋体"/>
          <w:b w:val="0"/>
          <w:bCs w:val="0"/>
          <w:color w:val="auto"/>
          <w:szCs w:val="21"/>
        </w:rPr>
        <w:t>提交《需求规格说明书》，经</w:t>
      </w:r>
      <w:r>
        <w:rPr>
          <w:rStyle w:val="175"/>
          <w:rFonts w:hint="eastAsia" w:ascii="宋体" w:hAnsi="宋体" w:cs="宋体"/>
          <w:b w:val="0"/>
          <w:bCs w:val="0"/>
          <w:color w:val="auto"/>
          <w:szCs w:val="21"/>
          <w:lang w:val="en-US" w:eastAsia="zh-CN"/>
        </w:rPr>
        <w:t>甲方</w:t>
      </w:r>
      <w:r>
        <w:rPr>
          <w:rStyle w:val="175"/>
          <w:rFonts w:hint="eastAsia" w:ascii="宋体" w:hAnsi="宋体" w:cs="宋体"/>
          <w:b w:val="0"/>
          <w:bCs w:val="0"/>
          <w:color w:val="auto"/>
          <w:szCs w:val="21"/>
        </w:rPr>
        <w:t>评审通过后，完成需求阶段验收；</w:t>
      </w:r>
    </w:p>
    <w:p w14:paraId="381A28F4">
      <w:pPr>
        <w:spacing w:line="360" w:lineRule="auto"/>
        <w:ind w:firstLine="420" w:firstLineChars="200"/>
        <w:jc w:val="left"/>
        <w:rPr>
          <w:rStyle w:val="175"/>
          <w:rFonts w:hint="eastAsia" w:ascii="宋体" w:hAnsi="宋体" w:cs="宋体"/>
          <w:b w:val="0"/>
          <w:bCs w:val="0"/>
          <w:color w:val="auto"/>
          <w:szCs w:val="21"/>
          <w:highlight w:val="none"/>
        </w:rPr>
      </w:pPr>
      <w:r>
        <w:rPr>
          <w:rStyle w:val="175"/>
          <w:rFonts w:hint="eastAsia" w:ascii="宋体" w:hAnsi="宋体" w:cs="宋体"/>
          <w:b w:val="0"/>
          <w:bCs w:val="0"/>
          <w:color w:val="auto"/>
          <w:szCs w:val="21"/>
        </w:rPr>
        <w:t>（2）设计阶段：提交架构设计文档、数据库设计文档、UI设计稿等，经</w:t>
      </w:r>
      <w:r>
        <w:rPr>
          <w:rStyle w:val="175"/>
          <w:rFonts w:hint="eastAsia" w:ascii="宋体" w:hAnsi="宋体" w:cs="宋体"/>
          <w:b w:val="0"/>
          <w:bCs w:val="0"/>
          <w:color w:val="auto"/>
          <w:szCs w:val="21"/>
          <w:lang w:val="en-US" w:eastAsia="zh-CN"/>
        </w:rPr>
        <w:t>甲方</w:t>
      </w:r>
      <w:r>
        <w:rPr>
          <w:rStyle w:val="175"/>
          <w:rFonts w:hint="eastAsia" w:ascii="宋体" w:hAnsi="宋体" w:cs="宋体"/>
          <w:b w:val="0"/>
          <w:bCs w:val="0"/>
          <w:color w:val="auto"/>
          <w:szCs w:val="21"/>
        </w:rPr>
        <w:t>评审通过</w:t>
      </w:r>
      <w:r>
        <w:rPr>
          <w:rStyle w:val="175"/>
          <w:rFonts w:hint="eastAsia" w:ascii="宋体" w:hAnsi="宋体" w:cs="宋体"/>
          <w:b w:val="0"/>
          <w:bCs w:val="0"/>
          <w:color w:val="auto"/>
          <w:szCs w:val="21"/>
          <w:highlight w:val="none"/>
        </w:rPr>
        <w:t>后，完成设计阶段验收；</w:t>
      </w:r>
    </w:p>
    <w:p w14:paraId="544DFB6E">
      <w:pPr>
        <w:spacing w:line="360" w:lineRule="auto"/>
        <w:ind w:firstLine="420" w:firstLineChars="200"/>
        <w:jc w:val="left"/>
        <w:rPr>
          <w:rStyle w:val="175"/>
          <w:rFonts w:hint="eastAsia" w:ascii="宋体" w:hAnsi="宋体" w:cs="宋体"/>
          <w:b w:val="0"/>
          <w:bCs w:val="0"/>
          <w:color w:val="auto"/>
          <w:szCs w:val="21"/>
          <w:highlight w:val="none"/>
        </w:rPr>
      </w:pPr>
      <w:r>
        <w:rPr>
          <w:rStyle w:val="175"/>
          <w:rFonts w:hint="eastAsia" w:ascii="宋体" w:hAnsi="宋体" w:cs="宋体"/>
          <w:b w:val="0"/>
          <w:bCs w:val="0"/>
          <w:color w:val="auto"/>
          <w:szCs w:val="21"/>
          <w:highlight w:val="none"/>
        </w:rPr>
        <w:t>（3）开发测试阶段：完成各功能模块开发，提交测试报告（含功能测试、性能测试、安全测试结果），经</w:t>
      </w:r>
      <w:r>
        <w:rPr>
          <w:rStyle w:val="175"/>
          <w:rFonts w:hint="eastAsia" w:ascii="宋体" w:hAnsi="宋体" w:cs="宋体"/>
          <w:b w:val="0"/>
          <w:bCs w:val="0"/>
          <w:color w:val="auto"/>
          <w:szCs w:val="21"/>
          <w:highlight w:val="none"/>
          <w:lang w:val="en-US" w:eastAsia="zh-CN"/>
        </w:rPr>
        <w:t>甲方</w:t>
      </w:r>
      <w:r>
        <w:rPr>
          <w:rStyle w:val="175"/>
          <w:rFonts w:hint="eastAsia" w:ascii="宋体" w:hAnsi="宋体" w:cs="宋体"/>
          <w:b w:val="0"/>
          <w:bCs w:val="0"/>
          <w:color w:val="auto"/>
          <w:szCs w:val="21"/>
          <w:highlight w:val="none"/>
        </w:rPr>
        <w:t>确认模块功能达标后，完成开发测试阶段验收；</w:t>
      </w:r>
    </w:p>
    <w:p w14:paraId="329A3FF6">
      <w:pPr>
        <w:pStyle w:val="22"/>
        <w:spacing w:line="360" w:lineRule="auto"/>
        <w:ind w:firstLine="424" w:firstLineChars="0"/>
        <w:rPr>
          <w:rFonts w:hint="eastAsia"/>
          <w:color w:val="auto"/>
          <w:highlight w:val="none"/>
          <w:lang w:val="en-US" w:eastAsia="zh-CN"/>
        </w:rPr>
      </w:pPr>
      <w:r>
        <w:rPr>
          <w:rFonts w:hint="eastAsia"/>
          <w:color w:val="auto"/>
          <w:highlight w:val="none"/>
          <w:lang w:val="en-US" w:eastAsia="zh-CN"/>
        </w:rPr>
        <w:t>2. 初验</w:t>
      </w:r>
    </w:p>
    <w:p w14:paraId="64804160">
      <w:pPr>
        <w:pStyle w:val="22"/>
        <w:spacing w:line="360" w:lineRule="auto"/>
        <w:ind w:firstLine="424" w:firstLineChars="0"/>
        <w:rPr>
          <w:rFonts w:hint="eastAsia"/>
          <w:highlight w:val="none"/>
        </w:rPr>
      </w:pPr>
      <w:r>
        <w:rPr>
          <w:rFonts w:hint="eastAsia"/>
          <w:color w:val="auto"/>
          <w:highlight w:val="none"/>
          <w:lang w:val="en-US" w:eastAsia="zh-CN"/>
        </w:rPr>
        <w:t>系统通过测试阶段验收，并完成甲方提出的修改内容，符合初步验收条件的，由乙方提交初步验收申请，经甲方确认符合要求后，完成系统初步验收。</w:t>
      </w:r>
    </w:p>
    <w:p w14:paraId="32205862">
      <w:pPr>
        <w:spacing w:line="360" w:lineRule="auto"/>
        <w:ind w:firstLine="420" w:firstLineChars="200"/>
        <w:jc w:val="left"/>
        <w:rPr>
          <w:rStyle w:val="175"/>
          <w:rFonts w:hint="eastAsia" w:ascii="宋体" w:hAnsi="宋体" w:cs="宋体"/>
          <w:b w:val="0"/>
          <w:bCs w:val="0"/>
          <w:color w:val="auto"/>
          <w:szCs w:val="21"/>
        </w:rPr>
      </w:pPr>
      <w:r>
        <w:rPr>
          <w:rStyle w:val="175"/>
          <w:rFonts w:hint="eastAsia" w:ascii="宋体" w:hAnsi="宋体" w:cs="宋体"/>
          <w:b w:val="0"/>
          <w:bCs w:val="0"/>
          <w:color w:val="auto"/>
          <w:szCs w:val="21"/>
          <w:lang w:val="en-US" w:eastAsia="zh-CN"/>
        </w:rPr>
        <w:t>3</w:t>
      </w:r>
      <w:r>
        <w:rPr>
          <w:rStyle w:val="175"/>
          <w:rFonts w:hint="eastAsia" w:ascii="宋体" w:hAnsi="宋体" w:cs="宋体"/>
          <w:b w:val="0"/>
          <w:bCs w:val="0"/>
          <w:color w:val="auto"/>
          <w:szCs w:val="21"/>
        </w:rPr>
        <w:t>．终验：</w:t>
      </w:r>
    </w:p>
    <w:p w14:paraId="356895CE">
      <w:pPr>
        <w:spacing w:line="360" w:lineRule="auto"/>
        <w:ind w:firstLine="420" w:firstLineChars="200"/>
        <w:jc w:val="left"/>
        <w:rPr>
          <w:rStyle w:val="175"/>
          <w:rFonts w:hint="eastAsia" w:ascii="宋体" w:hAnsi="宋体" w:cs="宋体"/>
          <w:b w:val="0"/>
          <w:bCs w:val="0"/>
          <w:color w:val="auto"/>
          <w:szCs w:val="21"/>
        </w:rPr>
      </w:pPr>
      <w:r>
        <w:rPr>
          <w:rStyle w:val="175"/>
          <w:rFonts w:hint="eastAsia" w:ascii="宋体" w:hAnsi="宋体" w:cs="宋体"/>
          <w:b w:val="0"/>
          <w:bCs w:val="0"/>
          <w:color w:val="auto"/>
          <w:szCs w:val="21"/>
        </w:rPr>
        <w:t>系统部署上线后，供应商向采购人提交终验申请及全套验收资料（包括开发文档、测试报告、部署手册、用户手册等），采购人组织对系统功能、性能、安全性、兼容性进行全面测试，测试通过且系统稳定运行1个月后，出具终验报告，完成项目终验。若验收过程中发现问题，</w:t>
      </w:r>
      <w:r>
        <w:rPr>
          <w:rStyle w:val="175"/>
          <w:rFonts w:hint="eastAsia" w:ascii="宋体" w:hAnsi="宋体" w:cs="宋体"/>
          <w:b w:val="0"/>
          <w:bCs w:val="0"/>
          <w:color w:val="auto"/>
          <w:szCs w:val="21"/>
          <w:lang w:val="en-US" w:eastAsia="zh-CN"/>
        </w:rPr>
        <w:t>乙方</w:t>
      </w:r>
      <w:r>
        <w:rPr>
          <w:rStyle w:val="175"/>
          <w:rFonts w:hint="eastAsia" w:ascii="宋体" w:hAnsi="宋体" w:cs="宋体"/>
          <w:b w:val="0"/>
          <w:bCs w:val="0"/>
          <w:color w:val="auto"/>
          <w:szCs w:val="21"/>
        </w:rPr>
        <w:t>需在规定时间内整改，直至满足验收要求。</w:t>
      </w:r>
    </w:p>
    <w:p w14:paraId="65EA61CE">
      <w:pPr>
        <w:spacing w:line="360" w:lineRule="auto"/>
        <w:ind w:firstLine="422" w:firstLineChars="200"/>
        <w:jc w:val="left"/>
        <w:rPr>
          <w:rStyle w:val="175"/>
          <w:rFonts w:ascii="宋体" w:hAnsi="宋体" w:cs="宋体"/>
          <w:b/>
          <w:bCs/>
          <w:color w:val="auto"/>
          <w:szCs w:val="21"/>
        </w:rPr>
      </w:pPr>
      <w:r>
        <w:rPr>
          <w:rStyle w:val="175"/>
          <w:rFonts w:hint="eastAsia" w:ascii="宋体" w:hAnsi="宋体" w:cs="宋体"/>
          <w:b/>
          <w:bCs/>
          <w:color w:val="auto"/>
          <w:szCs w:val="21"/>
        </w:rPr>
        <w:t>七、合同价款及付款方式</w:t>
      </w:r>
    </w:p>
    <w:p w14:paraId="60CF847E">
      <w:pPr>
        <w:spacing w:line="360" w:lineRule="auto"/>
        <w:ind w:firstLine="420" w:firstLineChars="200"/>
        <w:jc w:val="left"/>
        <w:rPr>
          <w:color w:val="auto"/>
        </w:rPr>
      </w:pPr>
      <w:r>
        <w:rPr>
          <w:rFonts w:hint="eastAsia"/>
          <w:color w:val="auto"/>
        </w:rPr>
        <w:t>合同价款：</w:t>
      </w:r>
      <w:r>
        <w:rPr>
          <w:rFonts w:hint="eastAsia"/>
          <w:color w:val="auto"/>
          <w:u w:val="single"/>
        </w:rPr>
        <w:t xml:space="preserve">       </w:t>
      </w:r>
      <w:r>
        <w:rPr>
          <w:rFonts w:hint="eastAsia"/>
          <w:color w:val="auto"/>
        </w:rPr>
        <w:t>元。</w:t>
      </w:r>
    </w:p>
    <w:p w14:paraId="1E482E10">
      <w:pPr>
        <w:spacing w:line="360" w:lineRule="auto"/>
        <w:ind w:firstLine="420" w:firstLineChars="200"/>
        <w:jc w:val="left"/>
        <w:rPr>
          <w:color w:val="auto"/>
        </w:rPr>
      </w:pPr>
      <w:r>
        <w:rPr>
          <w:color w:val="auto"/>
        </w:rPr>
        <w:t>付款方式：</w:t>
      </w:r>
    </w:p>
    <w:p w14:paraId="68C571A0">
      <w:pPr>
        <w:spacing w:line="360" w:lineRule="auto"/>
        <w:ind w:firstLine="420" w:firstLineChars="200"/>
        <w:jc w:val="left"/>
        <w:rPr>
          <w:rStyle w:val="175"/>
          <w:rFonts w:hint="eastAsia" w:ascii="宋体" w:hAnsi="宋体" w:eastAsia="宋体" w:cs="宋体"/>
          <w:b w:val="0"/>
          <w:bCs w:val="0"/>
          <w:color w:val="auto"/>
          <w:szCs w:val="21"/>
        </w:rPr>
      </w:pPr>
      <w:r>
        <w:rPr>
          <w:rStyle w:val="175"/>
          <w:rFonts w:hint="eastAsia" w:ascii="宋体" w:hAnsi="宋体" w:eastAsia="宋体" w:cs="宋体"/>
          <w:b w:val="0"/>
          <w:bCs w:val="0"/>
          <w:color w:val="auto"/>
          <w:szCs w:val="21"/>
        </w:rPr>
        <w:t>1.合同签订后，乙方向甲方支付合同总价的5%作为履约保证金，甲方收到乙方按要求开具的增值税普通发票后10日内，甲方向乙方支付合同金额10%的预付款。待项目开发测试阶段验收合格后，甲方收到乙方按要求开具的增值税普通发票后10日内，甲方向乙方支付合同金额的50%，待项目初验合格后，甲方收到乙方按要求开具的增值税普通发票后10日内，甲方向乙方支付合同金额的30%，待项目终验合格后，甲方收到乙方按要求开具的增值税普通发票后10日内，甲方向乙方支付合同金额的10%，乙方开具的发票不符合税务部门要求或未开具发票的，甲方有权拒绝付款。所有服务内容完成后</w:t>
      </w:r>
      <w:r>
        <w:rPr>
          <w:rStyle w:val="175"/>
          <w:rFonts w:hint="eastAsia" w:ascii="宋体" w:hAnsi="宋体" w:cs="宋体"/>
          <w:b w:val="0"/>
          <w:bCs w:val="0"/>
          <w:color w:val="auto"/>
          <w:szCs w:val="21"/>
          <w:lang w:eastAsia="zh-CN"/>
        </w:rPr>
        <w:t>（</w:t>
      </w:r>
      <w:r>
        <w:rPr>
          <w:rStyle w:val="175"/>
          <w:rFonts w:hint="eastAsia" w:ascii="宋体" w:hAnsi="宋体" w:cs="宋体"/>
          <w:b w:val="0"/>
          <w:bCs w:val="0"/>
          <w:color w:val="auto"/>
          <w:szCs w:val="21"/>
          <w:lang w:val="en-US" w:eastAsia="zh-CN"/>
        </w:rPr>
        <w:t>即项目终验合格，3年售后服务期满</w:t>
      </w:r>
      <w:r>
        <w:rPr>
          <w:rStyle w:val="175"/>
          <w:rFonts w:hint="eastAsia" w:ascii="宋体" w:hAnsi="宋体" w:cs="宋体"/>
          <w:b w:val="0"/>
          <w:bCs w:val="0"/>
          <w:color w:val="auto"/>
          <w:szCs w:val="21"/>
          <w:lang w:eastAsia="zh-CN"/>
        </w:rPr>
        <w:t>）</w:t>
      </w:r>
      <w:r>
        <w:rPr>
          <w:rStyle w:val="175"/>
          <w:rFonts w:hint="eastAsia" w:ascii="宋体" w:hAnsi="宋体" w:eastAsia="宋体" w:cs="宋体"/>
          <w:b w:val="0"/>
          <w:bCs w:val="0"/>
          <w:color w:val="auto"/>
          <w:szCs w:val="21"/>
        </w:rPr>
        <w:t>，若无违约情况，甲方一次性向乙方退还履约保证金。</w:t>
      </w:r>
    </w:p>
    <w:p w14:paraId="7DA68D6F">
      <w:pPr>
        <w:spacing w:line="360" w:lineRule="auto"/>
        <w:ind w:firstLine="420" w:firstLineChars="200"/>
        <w:jc w:val="left"/>
        <w:rPr>
          <w:rStyle w:val="175"/>
          <w:rFonts w:hint="eastAsia" w:ascii="宋体" w:hAnsi="宋体" w:eastAsia="宋体" w:cs="宋体"/>
          <w:b w:val="0"/>
          <w:bCs w:val="0"/>
          <w:color w:val="auto"/>
          <w:szCs w:val="21"/>
        </w:rPr>
      </w:pPr>
      <w:r>
        <w:rPr>
          <w:rStyle w:val="175"/>
          <w:rFonts w:hint="eastAsia" w:ascii="宋体" w:hAnsi="宋体" w:eastAsia="宋体" w:cs="宋体"/>
          <w:b w:val="0"/>
          <w:bCs w:val="0"/>
          <w:color w:val="auto"/>
          <w:szCs w:val="21"/>
        </w:rPr>
        <w:t>2.乙方根据约定的款项支付进度向甲方开具有效的增值税发票，经甲方核对无误后支付对应合同价款。</w:t>
      </w:r>
    </w:p>
    <w:p w14:paraId="759066A0">
      <w:pPr>
        <w:spacing w:line="360" w:lineRule="auto"/>
        <w:ind w:firstLine="422" w:firstLineChars="200"/>
        <w:jc w:val="left"/>
        <w:rPr>
          <w:rStyle w:val="175"/>
          <w:rFonts w:ascii="宋体" w:hAnsi="宋体" w:cs="宋体"/>
          <w:b/>
          <w:bCs/>
          <w:color w:val="auto"/>
          <w:szCs w:val="21"/>
        </w:rPr>
      </w:pPr>
      <w:r>
        <w:rPr>
          <w:rStyle w:val="175"/>
          <w:rFonts w:hint="eastAsia" w:ascii="宋体" w:hAnsi="宋体" w:cs="宋体"/>
          <w:b/>
          <w:bCs/>
          <w:color w:val="auto"/>
          <w:szCs w:val="21"/>
        </w:rPr>
        <w:t>八、违约责任</w:t>
      </w:r>
    </w:p>
    <w:p w14:paraId="21CBF34E">
      <w:pPr>
        <w:spacing w:line="360" w:lineRule="auto"/>
        <w:ind w:firstLine="420" w:firstLineChars="200"/>
        <w:jc w:val="left"/>
        <w:rPr>
          <w:rFonts w:hint="eastAsia" w:hAnsi="宋体" w:cs="宋体"/>
          <w:color w:val="auto"/>
        </w:rPr>
      </w:pPr>
      <w:r>
        <w:rPr>
          <w:rFonts w:hint="eastAsia" w:hAnsi="宋体" w:cs="宋体"/>
          <w:color w:val="auto"/>
        </w:rPr>
        <w:t>1.除本合同另有约定及不可抗力外，如果乙方没有按照本合同约定的期限和内容交付成果，甲方可要求乙方支付违约金，每迟延交付成果一日，乙方承担合同总价格的万分之一违约金，最高限额为本合同总价的10%；迟延交付成果</w:t>
      </w:r>
      <w:r>
        <w:rPr>
          <w:rFonts w:hint="eastAsia" w:hAnsi="宋体" w:cs="宋体"/>
          <w:color w:val="auto"/>
          <w:lang w:val="en-US" w:eastAsia="zh-CN"/>
        </w:rPr>
        <w:t>超过10日的</w:t>
      </w:r>
      <w:r>
        <w:rPr>
          <w:rFonts w:hint="eastAsia" w:hAnsi="宋体" w:cs="宋体"/>
          <w:color w:val="auto"/>
        </w:rPr>
        <w:t>，甲方有权在要求乙方支付</w:t>
      </w:r>
      <w:r>
        <w:rPr>
          <w:rFonts w:hint="eastAsia" w:hAnsi="宋体" w:cs="宋体"/>
          <w:color w:val="auto"/>
          <w:lang w:val="en-US" w:eastAsia="zh-CN"/>
        </w:rPr>
        <w:t>最高限额</w:t>
      </w:r>
      <w:r>
        <w:rPr>
          <w:rFonts w:hint="eastAsia" w:hAnsi="宋体" w:cs="宋体"/>
          <w:color w:val="auto"/>
        </w:rPr>
        <w:t>违约金</w:t>
      </w:r>
      <w:r>
        <w:rPr>
          <w:rFonts w:hint="eastAsia" w:hAnsi="宋体" w:cs="宋体"/>
          <w:color w:val="auto"/>
          <w:lang w:val="en-US" w:eastAsia="zh-CN"/>
        </w:rPr>
        <w:t>即合同总价10%</w:t>
      </w:r>
      <w:r>
        <w:rPr>
          <w:rFonts w:hint="eastAsia" w:hAnsi="宋体" w:cs="宋体"/>
          <w:color w:val="auto"/>
        </w:rPr>
        <w:t>的同时，书面通知乙方解除本合同；</w:t>
      </w:r>
    </w:p>
    <w:p w14:paraId="4145DC25">
      <w:pPr>
        <w:spacing w:line="360" w:lineRule="auto"/>
        <w:ind w:firstLine="420" w:firstLineChars="200"/>
        <w:jc w:val="left"/>
        <w:rPr>
          <w:rFonts w:hint="default" w:eastAsia="宋体"/>
          <w:lang w:val="en-US" w:eastAsia="zh-CN"/>
        </w:rPr>
      </w:pPr>
      <w:r>
        <w:rPr>
          <w:rFonts w:hint="eastAsia" w:ascii="Times New Roman" w:hAnsi="宋体" w:cs="宋体"/>
          <w:color w:val="auto"/>
          <w:sz w:val="21"/>
          <w:lang w:val="en-US" w:eastAsia="zh-CN"/>
        </w:rPr>
        <w:t>2.乙方交付的成果（包括阶段性成果）不符合要求无法通过验收的，甲方有权要求乙方限期整改至通过验收。因整改导致逾期交付成果的，仍应按照合同约定承担逾期交付的违约责任。乙方拒不整改或整改后仍无法通过验收的，甲方有权解除合同，乙方应承担合同总价20%的违约金。违约金不足以弥补甲方损失的，甲方有权要求乙方补足。</w:t>
      </w:r>
    </w:p>
    <w:p w14:paraId="197688E5">
      <w:pPr>
        <w:spacing w:line="360" w:lineRule="auto"/>
        <w:ind w:firstLine="420" w:firstLineChars="200"/>
        <w:jc w:val="left"/>
        <w:rPr>
          <w:rFonts w:hint="default" w:hAnsi="宋体" w:cs="宋体"/>
          <w:color w:val="auto"/>
          <w:lang w:val="en-US" w:eastAsia="zh-CN"/>
        </w:rPr>
      </w:pPr>
      <w:r>
        <w:rPr>
          <w:rFonts w:hint="eastAsia" w:hAnsi="宋体" w:cs="宋体"/>
          <w:color w:val="auto"/>
          <w:lang w:val="en-US" w:eastAsia="zh-CN"/>
        </w:rPr>
        <w:t>3.售后服务期间，乙方未按合同约定安排人员驻场的（以甲方考勤为准），每缺席一天，乙方应承担   元的违约金。乙方未按合同约定提供售后服务（</w:t>
      </w:r>
      <w:r>
        <w:rPr>
          <w:rFonts w:hint="eastAsia" w:hAnsi="宋体" w:cs="宋体"/>
          <w:color w:val="auto"/>
          <w:szCs w:val="21"/>
          <w:highlight w:val="none"/>
          <w:lang w:eastAsia="zh-CN"/>
        </w:rPr>
        <w:t>包括缺陷修复、功能优化、技术支持等</w:t>
      </w:r>
      <w:r>
        <w:rPr>
          <w:rFonts w:hint="eastAsia" w:hAnsi="宋体" w:cs="宋体"/>
          <w:color w:val="auto"/>
          <w:lang w:val="en-US" w:eastAsia="zh-CN"/>
        </w:rPr>
        <w:t>）的，每发生一次，乙方应承担   元的违约金。甲方有权委托第三方进行处理，由此产生的费用由乙方承担。前述乙方应承担的违约金及其他费用，甲方有权从履约保证金中直接扣除。不足扣除部分，乙方应予补足。</w:t>
      </w:r>
    </w:p>
    <w:p w14:paraId="4672B986">
      <w:pPr>
        <w:spacing w:line="360" w:lineRule="auto"/>
        <w:ind w:firstLine="420" w:firstLineChars="200"/>
        <w:jc w:val="left"/>
        <w:rPr>
          <w:rFonts w:hint="eastAsia" w:hAnsi="宋体" w:cs="宋体"/>
          <w:color w:val="auto"/>
        </w:rPr>
      </w:pPr>
      <w:r>
        <w:rPr>
          <w:rFonts w:hint="eastAsia" w:hAnsi="宋体" w:cs="宋体"/>
          <w:color w:val="auto"/>
          <w:lang w:val="en-US" w:eastAsia="zh-CN"/>
        </w:rPr>
        <w:t>4.</w:t>
      </w:r>
      <w:r>
        <w:rPr>
          <w:rFonts w:hint="eastAsia" w:hAnsi="宋体" w:cs="宋体"/>
          <w:color w:val="auto"/>
        </w:rPr>
        <w:t>.除本合同另有约定及不可抗力外，如甲方未按照本合同约定的付款方式付款，那么乙方可要求甲方支付违约金，每迟延付款一日，甲方承担合同总价格的万分之一违约金，最高限额为本合同总价的10%；迟延付款的违约金计算数额达到前述最高限额之日起，乙方有权在要求甲方支付违约金的同时，书面通知甲方解除本合同；</w:t>
      </w:r>
    </w:p>
    <w:p w14:paraId="1A138045">
      <w:pPr>
        <w:spacing w:line="360" w:lineRule="auto"/>
        <w:ind w:firstLine="420" w:firstLineChars="200"/>
        <w:jc w:val="left"/>
        <w:rPr>
          <w:rFonts w:hint="eastAsia" w:hAnsi="宋体" w:cs="宋体"/>
          <w:color w:val="auto"/>
        </w:rPr>
      </w:pPr>
      <w:r>
        <w:rPr>
          <w:rFonts w:hint="eastAsia" w:hAnsi="宋体" w:cs="宋体"/>
          <w:color w:val="auto"/>
          <w:lang w:val="en-US" w:eastAsia="zh-CN"/>
        </w:rPr>
        <w:t>5.</w:t>
      </w:r>
      <w:r>
        <w:rPr>
          <w:rFonts w:hint="eastAsia" w:hAnsi="宋体" w:cs="宋体"/>
          <w:color w:val="auto"/>
        </w:rPr>
        <w:t>.除本合同另有约定及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DD7093">
      <w:pPr>
        <w:spacing w:line="360" w:lineRule="auto"/>
        <w:ind w:firstLine="420" w:firstLineChars="200"/>
        <w:jc w:val="left"/>
        <w:rPr>
          <w:rFonts w:hint="eastAsia" w:hAnsi="宋体" w:cs="宋体"/>
          <w:color w:val="auto"/>
        </w:rPr>
      </w:pPr>
      <w:r>
        <w:rPr>
          <w:rFonts w:hint="eastAsia" w:hAnsi="宋体" w:cs="宋体"/>
          <w:color w:val="auto"/>
          <w:lang w:val="en-US" w:eastAsia="zh-CN"/>
        </w:rPr>
        <w:t>6</w:t>
      </w:r>
      <w:r>
        <w:rPr>
          <w:rFonts w:hint="eastAsia" w:hAnsi="宋体" w:cs="宋体"/>
          <w:color w:val="auto"/>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1B24456">
      <w:pPr>
        <w:spacing w:line="360" w:lineRule="auto"/>
        <w:ind w:firstLine="420" w:firstLineChars="200"/>
        <w:jc w:val="left"/>
        <w:rPr>
          <w:rFonts w:hint="eastAsia" w:hAnsi="宋体" w:cs="宋体"/>
          <w:color w:val="auto"/>
        </w:rPr>
      </w:pPr>
      <w:r>
        <w:rPr>
          <w:rFonts w:hint="eastAsia" w:hAnsi="宋体" w:cs="宋体"/>
          <w:color w:val="auto"/>
        </w:rPr>
        <w:t>5.如果出现政府采购监督管理部门在处理投诉事项期间，书面通知甲方暂停采购活动的情形，或者询问或质疑事项可能影响中标结果的，导致甲方中止履行合同的情形，均不视为甲方违约。</w:t>
      </w:r>
    </w:p>
    <w:p w14:paraId="3610FA6F">
      <w:pPr>
        <w:spacing w:line="360" w:lineRule="auto"/>
        <w:ind w:firstLine="420" w:firstLineChars="200"/>
        <w:jc w:val="left"/>
        <w:rPr>
          <w:rFonts w:hint="eastAsia" w:hAnsi="宋体" w:eastAsia="宋体" w:cs="宋体"/>
          <w:color w:val="auto"/>
          <w:lang w:val="en-US" w:eastAsia="zh-CN"/>
        </w:rPr>
      </w:pPr>
      <w:r>
        <w:rPr>
          <w:rFonts w:hint="eastAsia" w:hAnsi="宋体" w:cs="宋体"/>
          <w:color w:val="auto"/>
          <w:lang w:val="en-US" w:eastAsia="zh-CN"/>
        </w:rPr>
        <w:t>6.乙方应承担的违约金及损失赔偿等费用，甲方有权从应付乙方的任何费用中直接扣除。</w:t>
      </w:r>
    </w:p>
    <w:p w14:paraId="4C72AA1E">
      <w:pPr>
        <w:spacing w:line="360" w:lineRule="auto"/>
        <w:ind w:firstLine="420" w:firstLineChars="200"/>
        <w:jc w:val="left"/>
        <w:rPr>
          <w:rFonts w:hAnsi="宋体" w:cs="宋体"/>
          <w:color w:val="auto"/>
        </w:rPr>
      </w:pPr>
      <w:r>
        <w:rPr>
          <w:rFonts w:hint="eastAsia" w:hAnsi="宋体" w:cs="宋体"/>
          <w:color w:val="auto"/>
          <w:lang w:val="en-US" w:eastAsia="zh-CN"/>
        </w:rPr>
        <w:t>7</w:t>
      </w:r>
      <w:r>
        <w:rPr>
          <w:rFonts w:hint="eastAsia" w:hAnsi="宋体" w:cs="宋体"/>
          <w:color w:val="auto"/>
        </w:rPr>
        <w:t>.甲方的损失包括但不限于诉讼费、公告费、律师费、保险费、担保费、证据保全费、公证费、差旅费、评估费、鉴定费等其他费用。</w:t>
      </w:r>
    </w:p>
    <w:p w14:paraId="004BF612">
      <w:pPr>
        <w:spacing w:line="360" w:lineRule="auto"/>
        <w:ind w:firstLine="422" w:firstLineChars="200"/>
        <w:jc w:val="left"/>
        <w:rPr>
          <w:rStyle w:val="175"/>
          <w:rFonts w:hint="eastAsia" w:ascii="宋体" w:hAnsi="宋体" w:cs="宋体"/>
          <w:b/>
          <w:color w:val="auto"/>
          <w:kern w:val="0"/>
          <w:szCs w:val="21"/>
          <w:lang w:val="zh-CN"/>
        </w:rPr>
      </w:pPr>
      <w:r>
        <w:rPr>
          <w:rStyle w:val="175"/>
          <w:rFonts w:hint="eastAsia" w:ascii="宋体" w:hAnsi="宋体" w:cs="宋体"/>
          <w:b/>
          <w:color w:val="auto"/>
          <w:kern w:val="0"/>
          <w:szCs w:val="21"/>
          <w:lang w:val="zh-CN"/>
        </w:rPr>
        <w:t>九、知识产权约定</w:t>
      </w:r>
    </w:p>
    <w:p w14:paraId="5CD10153">
      <w:pPr>
        <w:pBdr>
          <w:top w:val="none" w:color="auto" w:sz="0" w:space="0"/>
          <w:left w:val="none" w:color="auto" w:sz="0" w:space="0"/>
          <w:bottom w:val="none" w:color="auto" w:sz="0" w:space="0"/>
          <w:right w:val="none" w:color="auto" w:sz="0" w:space="0"/>
          <w:between w:val="none" w:color="auto" w:sz="0" w:space="0"/>
        </w:pBdr>
        <w:spacing w:line="360" w:lineRule="auto"/>
        <w:ind w:firstLine="0" w:firstLineChars="0"/>
        <w:jc w:val="left"/>
        <w:rPr>
          <w:rStyle w:val="175"/>
          <w:rFonts w:hint="eastAsia" w:ascii="宋体" w:hAnsi="宋体" w:cs="宋体"/>
          <w:b w:val="0"/>
          <w:bCs/>
          <w:color w:val="auto"/>
          <w:kern w:val="0"/>
          <w:szCs w:val="21"/>
          <w:u w:val="none"/>
          <w:lang w:val="en-US" w:eastAsia="zh-CN"/>
        </w:rPr>
      </w:pPr>
      <w:r>
        <w:rPr>
          <w:rStyle w:val="175"/>
          <w:rFonts w:hint="eastAsia" w:ascii="宋体" w:hAnsi="宋体" w:cs="宋体"/>
          <w:b/>
          <w:color w:val="auto"/>
          <w:kern w:val="0"/>
          <w:szCs w:val="21"/>
          <w:u w:val="none"/>
          <w:lang w:val="en-US" w:eastAsia="zh-CN"/>
        </w:rPr>
        <w:t xml:space="preserve">   </w:t>
      </w:r>
      <w:r>
        <w:rPr>
          <w:rStyle w:val="175"/>
          <w:rFonts w:hint="eastAsia" w:ascii="宋体" w:hAnsi="宋体" w:cs="宋体"/>
          <w:b w:val="0"/>
          <w:bCs/>
          <w:color w:val="auto"/>
          <w:kern w:val="0"/>
          <w:szCs w:val="21"/>
          <w:u w:val="none"/>
          <w:lang w:val="en-US" w:eastAsia="zh-CN"/>
        </w:rPr>
        <w:t>（一）乙方保证交付给甲方的开发成果不侵犯任何第三方的合法权益，如发生第三方指控甲方实施的技术侵犯，乙方应承担由侵犯第三者权益引起的相应法律责任，并承担因此给甲方造成的全部损失。</w:t>
      </w:r>
    </w:p>
    <w:p w14:paraId="407E7EFA">
      <w:pPr>
        <w:pBdr>
          <w:top w:val="none" w:color="auto" w:sz="0" w:space="0"/>
          <w:left w:val="none" w:color="auto" w:sz="0" w:space="0"/>
          <w:bottom w:val="none" w:color="auto" w:sz="0" w:space="0"/>
          <w:right w:val="none" w:color="auto" w:sz="0" w:space="0"/>
          <w:between w:val="none" w:color="auto" w:sz="0" w:space="0"/>
        </w:pBdr>
        <w:spacing w:line="360" w:lineRule="auto"/>
        <w:ind w:firstLine="0" w:firstLineChars="0"/>
        <w:jc w:val="left"/>
        <w:rPr>
          <w:rStyle w:val="175"/>
          <w:rFonts w:hint="default" w:ascii="宋体" w:hAnsi="宋体" w:eastAsia="宋体" w:cs="宋体"/>
          <w:b w:val="0"/>
          <w:bCs/>
          <w:color w:val="auto"/>
          <w:kern w:val="0"/>
          <w:szCs w:val="21"/>
          <w:u w:val="none"/>
          <w:lang w:val="en-US" w:eastAsia="zh-CN"/>
        </w:rPr>
      </w:pPr>
      <w:r>
        <w:rPr>
          <w:rStyle w:val="175"/>
          <w:rFonts w:hint="eastAsia" w:ascii="宋体" w:hAnsi="宋体" w:cs="宋体"/>
          <w:b w:val="0"/>
          <w:bCs/>
          <w:color w:val="auto"/>
          <w:kern w:val="0"/>
          <w:szCs w:val="21"/>
          <w:u w:val="none"/>
          <w:lang w:val="en-US" w:eastAsia="zh-CN"/>
        </w:rPr>
        <w:t xml:space="preserve">   （二）此项目开发所形成的相关成果，包括应用系统和技术文档归属于甲方，甲方是该成果的知识产权所有人。未经甲方书面同意，乙方不得提供给任何第三方使用。</w:t>
      </w:r>
    </w:p>
    <w:p w14:paraId="1673D4E7">
      <w:pPr>
        <w:spacing w:line="360" w:lineRule="auto"/>
        <w:ind w:firstLine="422" w:firstLineChars="200"/>
        <w:jc w:val="left"/>
        <w:rPr>
          <w:rStyle w:val="175"/>
          <w:rFonts w:ascii="宋体" w:hAnsi="宋体" w:cs="宋体"/>
          <w:b/>
          <w:color w:val="auto"/>
          <w:kern w:val="0"/>
          <w:szCs w:val="21"/>
          <w:lang w:val="zh-CN"/>
        </w:rPr>
      </w:pPr>
      <w:r>
        <w:rPr>
          <w:rStyle w:val="175"/>
          <w:rFonts w:hint="eastAsia" w:ascii="宋体" w:hAnsi="宋体" w:cs="宋体"/>
          <w:b/>
          <w:color w:val="auto"/>
          <w:kern w:val="0"/>
          <w:szCs w:val="21"/>
          <w:lang w:val="zh-CN"/>
        </w:rPr>
        <w:t>十、纠纷解决</w:t>
      </w:r>
    </w:p>
    <w:p w14:paraId="39B08F2B">
      <w:pPr>
        <w:pStyle w:val="176"/>
        <w:spacing w:line="360" w:lineRule="auto"/>
        <w:ind w:firstLine="420" w:firstLineChars="200"/>
        <w:jc w:val="left"/>
        <w:rPr>
          <w:rStyle w:val="175"/>
          <w:rFonts w:ascii="宋体" w:hAnsi="宋体" w:cs="宋体"/>
          <w:color w:val="auto"/>
          <w:kern w:val="0"/>
          <w:szCs w:val="21"/>
          <w:lang w:val="zh-CN"/>
        </w:rPr>
      </w:pPr>
      <w:r>
        <w:rPr>
          <w:rStyle w:val="175"/>
          <w:rFonts w:hint="eastAsia" w:ascii="宋体" w:hAnsi="宋体" w:cs="宋体"/>
          <w:color w:val="auto"/>
          <w:kern w:val="0"/>
          <w:szCs w:val="21"/>
          <w:lang w:val="zh-CN"/>
        </w:rPr>
        <w:t>甲乙双方如在履行合同过程中发生纠纷，由双方协商解决。协商不成的，任何一方均可向甲方所在地管辖人民法院提起诉讼。</w:t>
      </w:r>
    </w:p>
    <w:p w14:paraId="10EDBA8A">
      <w:pPr>
        <w:numPr>
          <w:ilvl w:val="0"/>
          <w:numId w:val="0"/>
        </w:numPr>
        <w:spacing w:line="360" w:lineRule="auto"/>
        <w:ind w:firstLine="422" w:firstLineChars="200"/>
        <w:jc w:val="left"/>
        <w:rPr>
          <w:rStyle w:val="175"/>
          <w:rFonts w:ascii="宋体" w:hAnsi="宋体" w:cs="宋体"/>
          <w:b/>
          <w:color w:val="auto"/>
          <w:kern w:val="0"/>
          <w:szCs w:val="21"/>
          <w:lang w:val="zh-CN"/>
        </w:rPr>
      </w:pPr>
      <w:r>
        <w:rPr>
          <w:rStyle w:val="175"/>
          <w:rFonts w:hint="eastAsia" w:ascii="宋体" w:hAnsi="宋体" w:cs="宋体"/>
          <w:b/>
          <w:color w:val="auto"/>
          <w:kern w:val="0"/>
          <w:szCs w:val="21"/>
        </w:rPr>
        <w:t>十一、其他：</w:t>
      </w:r>
      <w:r>
        <w:rPr>
          <w:rStyle w:val="175"/>
          <w:rFonts w:hint="eastAsia" w:ascii="宋体" w:hAnsi="宋体" w:cs="宋体"/>
          <w:b/>
          <w:color w:val="auto"/>
          <w:kern w:val="0"/>
          <w:szCs w:val="21"/>
          <w:lang w:val="zh-CN"/>
        </w:rPr>
        <w:t>本合同其他未尽事宜，按《</w:t>
      </w:r>
      <w:r>
        <w:rPr>
          <w:rStyle w:val="175"/>
          <w:rFonts w:hint="eastAsia" w:ascii="宋体" w:hAnsi="宋体" w:cs="宋体"/>
          <w:b/>
          <w:color w:val="auto"/>
          <w:kern w:val="0"/>
          <w:szCs w:val="21"/>
        </w:rPr>
        <w:t>中华人民共和国</w:t>
      </w:r>
      <w:r>
        <w:rPr>
          <w:rStyle w:val="175"/>
          <w:rFonts w:hint="eastAsia" w:ascii="宋体" w:hAnsi="宋体" w:cs="宋体"/>
          <w:b/>
          <w:color w:val="auto"/>
          <w:kern w:val="0"/>
          <w:szCs w:val="21"/>
          <w:lang w:val="zh-CN"/>
        </w:rPr>
        <w:t>民法典》有关规定处理。</w:t>
      </w:r>
    </w:p>
    <w:p w14:paraId="253C25E1">
      <w:pPr>
        <w:spacing w:line="360" w:lineRule="auto"/>
        <w:ind w:firstLine="422" w:firstLineChars="200"/>
        <w:jc w:val="left"/>
        <w:rPr>
          <w:rStyle w:val="175"/>
          <w:rFonts w:ascii="宋体" w:hAnsi="宋体" w:cs="宋体"/>
          <w:color w:val="auto"/>
          <w:kern w:val="0"/>
          <w:szCs w:val="21"/>
          <w:lang w:val="zh-CN"/>
        </w:rPr>
      </w:pPr>
      <w:r>
        <w:rPr>
          <w:rStyle w:val="175"/>
          <w:rFonts w:hint="eastAsia" w:ascii="宋体" w:hAnsi="宋体" w:cs="宋体"/>
          <w:b/>
          <w:color w:val="auto"/>
          <w:kern w:val="0"/>
          <w:szCs w:val="21"/>
          <w:lang w:val="zh-CN"/>
        </w:rPr>
        <w:t>十二、合同份数：</w:t>
      </w:r>
      <w:r>
        <w:rPr>
          <w:rStyle w:val="175"/>
          <w:rFonts w:hint="eastAsia" w:ascii="宋体" w:hAnsi="宋体" w:cs="宋体"/>
          <w:color w:val="auto"/>
          <w:kern w:val="0"/>
          <w:szCs w:val="21"/>
          <w:lang w:val="zh-CN"/>
        </w:rPr>
        <w:t>本合同一式</w:t>
      </w:r>
      <w:r>
        <w:rPr>
          <w:rStyle w:val="175"/>
          <w:rFonts w:hint="eastAsia" w:ascii="宋体" w:hAnsi="宋体" w:cs="宋体"/>
          <w:color w:val="auto"/>
          <w:kern w:val="0"/>
          <w:szCs w:val="21"/>
        </w:rPr>
        <w:t xml:space="preserve">    </w:t>
      </w:r>
      <w:r>
        <w:rPr>
          <w:rStyle w:val="175"/>
          <w:rFonts w:hint="eastAsia" w:ascii="宋体" w:hAnsi="宋体" w:cs="宋体"/>
          <w:color w:val="auto"/>
          <w:kern w:val="0"/>
          <w:szCs w:val="21"/>
          <w:lang w:val="zh-CN"/>
        </w:rPr>
        <w:t>份，具有同等效力。其中甲方</w:t>
      </w:r>
      <w:r>
        <w:rPr>
          <w:rStyle w:val="175"/>
          <w:rFonts w:hint="eastAsia" w:ascii="宋体" w:hAnsi="宋体" w:cs="宋体"/>
          <w:color w:val="auto"/>
          <w:kern w:val="0"/>
          <w:szCs w:val="21"/>
        </w:rPr>
        <w:t xml:space="preserve">    </w:t>
      </w:r>
      <w:r>
        <w:rPr>
          <w:rStyle w:val="175"/>
          <w:rFonts w:hint="eastAsia" w:ascii="宋体" w:hAnsi="宋体" w:cs="宋体"/>
          <w:color w:val="auto"/>
          <w:kern w:val="0"/>
          <w:szCs w:val="21"/>
          <w:lang w:val="zh-CN"/>
        </w:rPr>
        <w:t>份，乙方</w:t>
      </w:r>
      <w:r>
        <w:rPr>
          <w:rStyle w:val="175"/>
          <w:rFonts w:hint="eastAsia" w:ascii="宋体" w:hAnsi="宋体" w:cs="宋体"/>
          <w:color w:val="auto"/>
          <w:kern w:val="0"/>
          <w:szCs w:val="21"/>
        </w:rPr>
        <w:t xml:space="preserve">    </w:t>
      </w:r>
      <w:r>
        <w:rPr>
          <w:rStyle w:val="175"/>
          <w:rFonts w:hint="eastAsia" w:ascii="宋体" w:hAnsi="宋体" w:cs="宋体"/>
          <w:color w:val="auto"/>
          <w:kern w:val="0"/>
          <w:szCs w:val="21"/>
          <w:lang w:val="zh-CN"/>
        </w:rPr>
        <w:t>份，丙方壹份。</w:t>
      </w:r>
    </w:p>
    <w:p w14:paraId="1AD39FCE">
      <w:pPr>
        <w:spacing w:line="360" w:lineRule="auto"/>
        <w:ind w:firstLine="422" w:firstLineChars="200"/>
        <w:jc w:val="left"/>
        <w:rPr>
          <w:rStyle w:val="175"/>
          <w:rFonts w:ascii="宋体" w:hAnsi="宋体" w:cs="宋体"/>
          <w:b/>
          <w:color w:val="auto"/>
          <w:kern w:val="0"/>
          <w:szCs w:val="21"/>
          <w:lang w:val="zh-CN"/>
        </w:rPr>
      </w:pPr>
      <w:r>
        <w:rPr>
          <w:rStyle w:val="175"/>
          <w:rFonts w:hint="eastAsia" w:ascii="宋体" w:hAnsi="宋体" w:cs="宋体"/>
          <w:b/>
          <w:color w:val="auto"/>
          <w:kern w:val="0"/>
          <w:szCs w:val="21"/>
          <w:lang w:val="zh-CN"/>
        </w:rPr>
        <w:t>十三、本合同自签订之日起生效。</w:t>
      </w:r>
    </w:p>
    <w:p w14:paraId="16BF474B">
      <w:pPr>
        <w:spacing w:line="360" w:lineRule="auto"/>
        <w:ind w:firstLine="422" w:firstLineChars="200"/>
        <w:jc w:val="left"/>
        <w:rPr>
          <w:rStyle w:val="175"/>
          <w:rFonts w:ascii="宋体" w:hAnsi="宋体" w:cs="宋体"/>
          <w:b/>
          <w:color w:val="auto"/>
          <w:kern w:val="0"/>
          <w:szCs w:val="21"/>
          <w:lang w:val="zh-CN"/>
        </w:rPr>
      </w:pPr>
      <w:r>
        <w:rPr>
          <w:rStyle w:val="175"/>
          <w:rFonts w:hint="eastAsia" w:ascii="宋体" w:hAnsi="宋体" w:cs="宋体"/>
          <w:b/>
          <w:color w:val="auto"/>
          <w:kern w:val="0"/>
          <w:szCs w:val="21"/>
          <w:lang w:val="zh-CN"/>
        </w:rPr>
        <w:t>十四、下列文件是本合同组成部分</w:t>
      </w:r>
    </w:p>
    <w:p w14:paraId="1C3E7291">
      <w:pPr>
        <w:spacing w:line="360" w:lineRule="auto"/>
        <w:ind w:firstLine="420" w:firstLineChars="200"/>
        <w:jc w:val="left"/>
        <w:rPr>
          <w:rStyle w:val="175"/>
          <w:rFonts w:ascii="宋体" w:hAnsi="宋体" w:cs="宋体"/>
          <w:color w:val="auto"/>
          <w:kern w:val="0"/>
          <w:szCs w:val="21"/>
          <w:lang w:val="zh-CN"/>
        </w:rPr>
      </w:pPr>
      <w:r>
        <w:rPr>
          <w:rStyle w:val="175"/>
          <w:rFonts w:hint="eastAsia" w:ascii="宋体" w:hAnsi="宋体" w:cs="宋体"/>
          <w:color w:val="auto"/>
          <w:kern w:val="0"/>
          <w:szCs w:val="21"/>
          <w:lang w:val="zh-CN"/>
        </w:rPr>
        <w:t>（一）</w:t>
      </w:r>
      <w:r>
        <w:rPr>
          <w:rStyle w:val="175"/>
          <w:rFonts w:hint="eastAsia" w:ascii="宋体" w:hAnsi="宋体" w:cs="宋体"/>
          <w:color w:val="auto"/>
          <w:kern w:val="0"/>
          <w:szCs w:val="21"/>
        </w:rPr>
        <w:t>招标</w:t>
      </w:r>
      <w:r>
        <w:rPr>
          <w:rStyle w:val="175"/>
          <w:rFonts w:hint="eastAsia" w:ascii="宋体" w:hAnsi="宋体" w:cs="宋体"/>
          <w:color w:val="auto"/>
          <w:kern w:val="0"/>
          <w:szCs w:val="21"/>
          <w:lang w:val="zh-CN"/>
        </w:rPr>
        <w:t>文件；</w:t>
      </w:r>
    </w:p>
    <w:p w14:paraId="7C33C46D">
      <w:pPr>
        <w:spacing w:line="360" w:lineRule="auto"/>
        <w:ind w:firstLine="420" w:firstLineChars="200"/>
        <w:jc w:val="left"/>
        <w:rPr>
          <w:rStyle w:val="175"/>
          <w:rFonts w:ascii="宋体" w:hAnsi="宋体" w:cs="宋体"/>
          <w:color w:val="auto"/>
          <w:kern w:val="0"/>
          <w:szCs w:val="21"/>
          <w:lang w:val="zh-CN"/>
        </w:rPr>
      </w:pPr>
      <w:r>
        <w:rPr>
          <w:rStyle w:val="175"/>
          <w:rFonts w:hint="eastAsia" w:ascii="宋体" w:hAnsi="宋体" w:cs="宋体"/>
          <w:color w:val="auto"/>
          <w:kern w:val="0"/>
          <w:szCs w:val="21"/>
          <w:lang w:val="zh-CN"/>
        </w:rPr>
        <w:t>（二）</w:t>
      </w:r>
      <w:r>
        <w:rPr>
          <w:rStyle w:val="175"/>
          <w:rFonts w:hint="eastAsia" w:ascii="宋体" w:hAnsi="宋体" w:cs="宋体"/>
          <w:color w:val="auto"/>
          <w:kern w:val="0"/>
          <w:szCs w:val="21"/>
        </w:rPr>
        <w:t>投标</w:t>
      </w:r>
      <w:r>
        <w:rPr>
          <w:rStyle w:val="175"/>
          <w:rFonts w:hint="eastAsia" w:ascii="宋体" w:hAnsi="宋体" w:cs="宋体"/>
          <w:color w:val="auto"/>
          <w:kern w:val="0"/>
          <w:szCs w:val="21"/>
          <w:lang w:val="zh-CN"/>
        </w:rPr>
        <w:t>文件、澄清文件及任何关于本项目的承诺书澄清文件；</w:t>
      </w:r>
    </w:p>
    <w:p w14:paraId="3ED04E30">
      <w:pPr>
        <w:spacing w:line="360" w:lineRule="auto"/>
        <w:ind w:firstLine="420" w:firstLineChars="200"/>
        <w:rPr>
          <w:rStyle w:val="175"/>
          <w:rFonts w:ascii="宋体" w:hAnsi="宋体" w:cs="宋体"/>
          <w:color w:val="auto"/>
          <w:kern w:val="0"/>
          <w:szCs w:val="21"/>
          <w:lang w:val="zh-CN"/>
        </w:rPr>
      </w:pPr>
      <w:r>
        <w:rPr>
          <w:rStyle w:val="175"/>
          <w:rFonts w:hint="eastAsia" w:ascii="宋体" w:hAnsi="宋体" w:cs="宋体"/>
          <w:color w:val="auto"/>
          <w:kern w:val="0"/>
          <w:szCs w:val="21"/>
          <w:lang w:val="zh-CN"/>
        </w:rPr>
        <w:t>（三）</w:t>
      </w:r>
      <w:r>
        <w:rPr>
          <w:rStyle w:val="175"/>
          <w:rFonts w:hint="eastAsia" w:ascii="宋体" w:hAnsi="宋体" w:cs="宋体"/>
          <w:color w:val="auto"/>
          <w:kern w:val="0"/>
          <w:szCs w:val="21"/>
        </w:rPr>
        <w:t>中标</w:t>
      </w:r>
      <w:r>
        <w:rPr>
          <w:rStyle w:val="175"/>
          <w:rFonts w:hint="eastAsia" w:ascii="宋体" w:hAnsi="宋体" w:cs="宋体"/>
          <w:color w:val="auto"/>
          <w:kern w:val="0"/>
          <w:szCs w:val="21"/>
          <w:lang w:val="zh-CN"/>
        </w:rPr>
        <w:t>通知书；</w:t>
      </w:r>
    </w:p>
    <w:p w14:paraId="00546DA7">
      <w:pPr>
        <w:spacing w:line="360" w:lineRule="auto"/>
        <w:ind w:firstLine="420" w:firstLineChars="200"/>
        <w:rPr>
          <w:rStyle w:val="175"/>
          <w:rFonts w:ascii="宋体" w:hAnsi="宋体" w:cs="宋体"/>
          <w:color w:val="auto"/>
          <w:kern w:val="0"/>
          <w:szCs w:val="21"/>
        </w:rPr>
      </w:pPr>
      <w:r>
        <w:rPr>
          <w:rStyle w:val="175"/>
          <w:rFonts w:hint="eastAsia" w:ascii="宋体" w:hAnsi="宋体" w:cs="宋体"/>
          <w:color w:val="auto"/>
          <w:kern w:val="0"/>
          <w:szCs w:val="21"/>
          <w:lang w:val="zh-CN"/>
        </w:rPr>
        <w:t>（</w:t>
      </w:r>
      <w:r>
        <w:rPr>
          <w:rStyle w:val="175"/>
          <w:rFonts w:hint="eastAsia" w:ascii="宋体" w:hAnsi="宋体" w:cs="宋体"/>
          <w:color w:val="auto"/>
          <w:kern w:val="0"/>
          <w:szCs w:val="21"/>
        </w:rPr>
        <w:t>四</w:t>
      </w:r>
      <w:r>
        <w:rPr>
          <w:rStyle w:val="175"/>
          <w:rFonts w:hint="eastAsia" w:ascii="宋体" w:hAnsi="宋体" w:cs="宋体"/>
          <w:color w:val="auto"/>
          <w:kern w:val="0"/>
          <w:szCs w:val="21"/>
          <w:lang w:val="zh-CN"/>
        </w:rPr>
        <w:t>）</w:t>
      </w:r>
      <w:r>
        <w:rPr>
          <w:rStyle w:val="175"/>
          <w:rFonts w:hint="eastAsia" w:ascii="宋体" w:hAnsi="宋体" w:cs="宋体"/>
          <w:color w:val="auto"/>
          <w:kern w:val="0"/>
          <w:szCs w:val="21"/>
        </w:rPr>
        <w:t>附件。</w:t>
      </w:r>
    </w:p>
    <w:p w14:paraId="2B4F2796">
      <w:pPr>
        <w:rPr>
          <w:rStyle w:val="175"/>
          <w:rFonts w:ascii="宋体" w:hAnsi="宋体" w:cs="宋体"/>
          <w:color w:val="auto"/>
          <w:kern w:val="0"/>
          <w:szCs w:val="21"/>
        </w:rPr>
      </w:pPr>
      <w:r>
        <w:rPr>
          <w:rStyle w:val="175"/>
          <w:rFonts w:hint="eastAsia" w:ascii="宋体" w:hAnsi="宋体" w:cs="宋体"/>
          <w:color w:val="auto"/>
          <w:kern w:val="0"/>
          <w:szCs w:val="21"/>
        </w:rPr>
        <w:br w:type="page"/>
      </w:r>
    </w:p>
    <w:p w14:paraId="72223A9F">
      <w:pPr>
        <w:rPr>
          <w:rFonts w:ascii="宋体" w:hAnsi="宋体" w:cs="宋体"/>
          <w:color w:val="auto"/>
          <w:sz w:val="18"/>
          <w:szCs w:val="18"/>
        </w:rPr>
      </w:pPr>
    </w:p>
    <w:p w14:paraId="238CA26A">
      <w:pPr>
        <w:rPr>
          <w:rFonts w:ascii="宋体" w:hAnsi="宋体" w:cs="宋体"/>
          <w:color w:val="auto"/>
          <w:szCs w:val="21"/>
        </w:rPr>
      </w:pPr>
    </w:p>
    <w:p w14:paraId="12109FA8">
      <w:pPr>
        <w:rPr>
          <w:rFonts w:ascii="宋体" w:hAnsi="宋体" w:cs="宋体"/>
          <w:color w:val="auto"/>
          <w:szCs w:val="21"/>
        </w:rPr>
      </w:pPr>
    </w:p>
    <w:p w14:paraId="0BA8BA63">
      <w:pPr>
        <w:rPr>
          <w:rFonts w:ascii="宋体" w:hAnsi="宋体" w:cs="宋体"/>
          <w:color w:val="auto"/>
          <w:szCs w:val="21"/>
        </w:rPr>
      </w:pPr>
    </w:p>
    <w:p w14:paraId="6FF98988">
      <w:pPr>
        <w:rPr>
          <w:rFonts w:ascii="宋体" w:hAnsi="宋体" w:cs="宋体"/>
          <w:color w:val="auto"/>
          <w:szCs w:val="21"/>
        </w:rPr>
      </w:pPr>
    </w:p>
    <w:p w14:paraId="47DE8792">
      <w:pPr>
        <w:rPr>
          <w:rFonts w:ascii="宋体" w:hAnsi="宋体" w:cs="宋体"/>
          <w:color w:val="auto"/>
          <w:szCs w:val="21"/>
        </w:rPr>
      </w:pPr>
    </w:p>
    <w:p w14:paraId="4309CE79">
      <w:pPr>
        <w:rPr>
          <w:rFonts w:ascii="宋体" w:hAnsi="宋体" w:cs="宋体"/>
          <w:color w:val="auto"/>
          <w:szCs w:val="21"/>
        </w:rPr>
      </w:pPr>
    </w:p>
    <w:p w14:paraId="6FD86BA5">
      <w:pPr>
        <w:rPr>
          <w:rFonts w:ascii="宋体" w:hAnsi="宋体" w:cs="宋体"/>
          <w:color w:val="auto"/>
          <w:szCs w:val="21"/>
        </w:rPr>
      </w:pPr>
    </w:p>
    <w:p w14:paraId="1052CD5A">
      <w:pPr>
        <w:rPr>
          <w:rFonts w:ascii="宋体" w:hAnsi="宋体" w:cs="宋体"/>
          <w:color w:val="auto"/>
          <w:szCs w:val="21"/>
        </w:rPr>
      </w:pPr>
    </w:p>
    <w:p w14:paraId="28279E93">
      <w:pPr>
        <w:jc w:val="center"/>
        <w:rPr>
          <w:rFonts w:ascii="宋体" w:hAnsi="宋体" w:cs="宋体"/>
          <w:color w:val="auto"/>
          <w:szCs w:val="21"/>
        </w:rPr>
      </w:pPr>
    </w:p>
    <w:p w14:paraId="4E12B043">
      <w:pPr>
        <w:jc w:val="center"/>
        <w:rPr>
          <w:rFonts w:ascii="宋体" w:hAnsi="宋体" w:cs="宋体"/>
          <w:color w:val="auto"/>
          <w:szCs w:val="21"/>
        </w:rPr>
      </w:pPr>
    </w:p>
    <w:p w14:paraId="61408FE2">
      <w:pPr>
        <w:jc w:val="center"/>
        <w:rPr>
          <w:rFonts w:ascii="宋体" w:hAnsi="宋体" w:cs="宋体"/>
          <w:color w:val="auto"/>
          <w:szCs w:val="21"/>
        </w:rPr>
      </w:pPr>
    </w:p>
    <w:p w14:paraId="23C0C3AF">
      <w:pPr>
        <w:jc w:val="center"/>
        <w:rPr>
          <w:rFonts w:ascii="宋体" w:hAnsi="宋体" w:cs="宋体"/>
          <w:color w:val="auto"/>
          <w:szCs w:val="21"/>
        </w:rPr>
      </w:pPr>
    </w:p>
    <w:p w14:paraId="7D8A842F">
      <w:pPr>
        <w:jc w:val="center"/>
        <w:rPr>
          <w:rFonts w:ascii="宋体" w:hAnsi="宋体" w:cs="宋体"/>
          <w:color w:val="auto"/>
          <w:szCs w:val="21"/>
        </w:rPr>
      </w:pPr>
    </w:p>
    <w:p w14:paraId="3C9A707C">
      <w:pPr>
        <w:jc w:val="center"/>
        <w:rPr>
          <w:rFonts w:ascii="宋体" w:hAnsi="宋体" w:cs="宋体"/>
          <w:color w:val="auto"/>
          <w:szCs w:val="21"/>
        </w:rPr>
      </w:pPr>
    </w:p>
    <w:p w14:paraId="4D3A8497">
      <w:pPr>
        <w:jc w:val="center"/>
        <w:rPr>
          <w:rFonts w:ascii="宋体" w:hAnsi="宋体" w:cs="宋体"/>
          <w:color w:val="auto"/>
          <w:szCs w:val="21"/>
        </w:rPr>
      </w:pPr>
    </w:p>
    <w:p w14:paraId="270153C8">
      <w:pPr>
        <w:jc w:val="center"/>
        <w:rPr>
          <w:rFonts w:ascii="宋体" w:hAnsi="宋体" w:cs="宋体"/>
          <w:color w:val="auto"/>
          <w:szCs w:val="21"/>
        </w:rPr>
      </w:pPr>
    </w:p>
    <w:p w14:paraId="7F310607">
      <w:pPr>
        <w:jc w:val="center"/>
        <w:rPr>
          <w:rFonts w:ascii="宋体" w:hAnsi="宋体" w:cs="宋体"/>
          <w:color w:val="auto"/>
          <w:szCs w:val="21"/>
        </w:rPr>
      </w:pPr>
    </w:p>
    <w:p w14:paraId="0B374502">
      <w:pPr>
        <w:jc w:val="center"/>
        <w:rPr>
          <w:rFonts w:ascii="宋体" w:hAnsi="宋体" w:cs="宋体"/>
          <w:color w:val="auto"/>
          <w:szCs w:val="21"/>
        </w:rPr>
      </w:pPr>
    </w:p>
    <w:p w14:paraId="0E5031BA">
      <w:pPr>
        <w:pStyle w:val="4"/>
        <w:rPr>
          <w:rFonts w:ascii="宋体" w:hAnsi="宋体" w:cs="宋体"/>
          <w:color w:val="auto"/>
          <w:szCs w:val="21"/>
        </w:rPr>
      </w:pPr>
      <w:bookmarkStart w:id="67" w:name="_Toc25876"/>
      <w:bookmarkStart w:id="68" w:name="_Toc29565"/>
      <w:r>
        <w:rPr>
          <w:rFonts w:hint="eastAsia" w:ascii="宋体" w:hAnsi="宋体" w:cs="宋体"/>
          <w:color w:val="auto"/>
          <w:szCs w:val="21"/>
        </w:rPr>
        <w:t>第四章 投标文件格式</w:t>
      </w:r>
      <w:bookmarkEnd w:id="67"/>
      <w:bookmarkEnd w:id="68"/>
    </w:p>
    <w:p w14:paraId="4F7954B3">
      <w:pPr>
        <w:widowControl/>
        <w:jc w:val="left"/>
        <w:rPr>
          <w:rFonts w:ascii="宋体" w:hAnsi="宋体" w:cs="宋体"/>
          <w:b/>
          <w:bCs/>
          <w:color w:val="auto"/>
          <w:kern w:val="0"/>
          <w:sz w:val="44"/>
          <w:szCs w:val="44"/>
        </w:rPr>
      </w:pPr>
      <w:r>
        <w:rPr>
          <w:rFonts w:hint="eastAsia" w:ascii="宋体" w:hAnsi="宋体" w:cs="宋体"/>
          <w:b/>
          <w:color w:val="auto"/>
          <w:sz w:val="44"/>
          <w:szCs w:val="44"/>
        </w:rPr>
        <w:br w:type="page"/>
      </w:r>
    </w:p>
    <w:p w14:paraId="71991DAA">
      <w:pPr>
        <w:pStyle w:val="22"/>
        <w:spacing w:line="500" w:lineRule="exact"/>
        <w:jc w:val="left"/>
        <w:outlineLvl w:val="1"/>
        <w:rPr>
          <w:rFonts w:hAnsi="宋体" w:cs="宋体"/>
          <w:b/>
          <w:color w:val="auto"/>
          <w:sz w:val="28"/>
          <w:szCs w:val="28"/>
        </w:rPr>
      </w:pPr>
      <w:bookmarkStart w:id="69" w:name="_Toc17430"/>
      <w:bookmarkStart w:id="70" w:name="_Toc13932"/>
      <w:bookmarkStart w:id="71" w:name="_Toc30534"/>
      <w:r>
        <w:rPr>
          <w:rFonts w:hint="eastAsia" w:hAnsi="宋体" w:cs="宋体"/>
          <w:b/>
          <w:color w:val="auto"/>
          <w:sz w:val="28"/>
          <w:szCs w:val="28"/>
        </w:rPr>
        <w:t>一、资格证明文件</w:t>
      </w:r>
      <w:bookmarkEnd w:id="69"/>
      <w:bookmarkEnd w:id="70"/>
      <w:bookmarkEnd w:id="71"/>
    </w:p>
    <w:p w14:paraId="5003E1A6">
      <w:pPr>
        <w:rPr>
          <w:color w:val="auto"/>
        </w:rPr>
      </w:pPr>
    </w:p>
    <w:p w14:paraId="113D9E34">
      <w:pPr>
        <w:pStyle w:val="22"/>
        <w:spacing w:line="360" w:lineRule="auto"/>
        <w:rPr>
          <w:rFonts w:hAnsi="宋体" w:cs="宋体"/>
          <w:color w:val="auto"/>
          <w:szCs w:val="21"/>
        </w:rPr>
      </w:pPr>
      <w:r>
        <w:rPr>
          <w:rFonts w:hint="eastAsia" w:hAnsi="宋体" w:cs="宋体"/>
          <w:color w:val="auto"/>
          <w:szCs w:val="21"/>
        </w:rPr>
        <w:t>1.投标人应填写和提交下述规定的有关资料。</w:t>
      </w:r>
    </w:p>
    <w:p w14:paraId="65E816E5">
      <w:pPr>
        <w:pStyle w:val="22"/>
        <w:spacing w:line="360" w:lineRule="auto"/>
        <w:rPr>
          <w:rFonts w:hAnsi="宋体" w:cs="宋体"/>
          <w:color w:val="auto"/>
          <w:szCs w:val="21"/>
        </w:rPr>
      </w:pPr>
      <w:r>
        <w:rPr>
          <w:rFonts w:hint="eastAsia" w:hAnsi="宋体" w:cs="宋体"/>
          <w:color w:val="auto"/>
          <w:szCs w:val="21"/>
        </w:rPr>
        <w:t>2.所附格式要求填写的全部内容都必须填写。</w:t>
      </w:r>
    </w:p>
    <w:p w14:paraId="00B18A8A">
      <w:pPr>
        <w:pStyle w:val="22"/>
        <w:spacing w:line="360" w:lineRule="auto"/>
        <w:rPr>
          <w:rFonts w:hAnsi="宋体" w:cs="宋体"/>
          <w:color w:val="auto"/>
          <w:szCs w:val="21"/>
        </w:rPr>
      </w:pPr>
      <w:r>
        <w:rPr>
          <w:rFonts w:hint="eastAsia" w:hAnsi="宋体" w:cs="宋体"/>
          <w:color w:val="auto"/>
          <w:szCs w:val="21"/>
        </w:rPr>
        <w:t>3.投标人应保证全部声明和填写的内容是真实的和正确的。</w:t>
      </w:r>
    </w:p>
    <w:p w14:paraId="2169CD47">
      <w:pPr>
        <w:pStyle w:val="22"/>
        <w:spacing w:line="360" w:lineRule="auto"/>
        <w:rPr>
          <w:rFonts w:hAnsi="宋体" w:cs="宋体"/>
          <w:b/>
          <w:bCs/>
          <w:color w:val="auto"/>
          <w:sz w:val="28"/>
          <w:szCs w:val="32"/>
        </w:rPr>
      </w:pPr>
      <w:r>
        <w:rPr>
          <w:rFonts w:hint="eastAsia" w:hAnsi="宋体" w:cs="宋体"/>
          <w:color w:val="auto"/>
          <w:szCs w:val="21"/>
        </w:rPr>
        <w:t>4.投标人提交的材料将被保密，但不退还。</w:t>
      </w:r>
    </w:p>
    <w:p w14:paraId="1F6229B3">
      <w:pPr>
        <w:rPr>
          <w:rFonts w:ascii="宋体" w:hAnsi="宋体" w:cs="宋体"/>
          <w:b/>
          <w:bCs/>
          <w:color w:val="auto"/>
          <w:sz w:val="28"/>
          <w:szCs w:val="32"/>
        </w:rPr>
      </w:pPr>
      <w:r>
        <w:rPr>
          <w:rFonts w:hint="eastAsia" w:hAnsi="宋体" w:cs="宋体"/>
          <w:color w:val="auto"/>
          <w:szCs w:val="21"/>
        </w:rPr>
        <w:br w:type="page"/>
      </w:r>
    </w:p>
    <w:p w14:paraId="2A74A618">
      <w:pPr>
        <w:pStyle w:val="22"/>
        <w:spacing w:line="600" w:lineRule="exact"/>
        <w:rPr>
          <w:rFonts w:hAnsi="宋体" w:cs="宋体"/>
          <w:b/>
          <w:color w:val="auto"/>
          <w:sz w:val="28"/>
          <w:szCs w:val="28"/>
        </w:rPr>
      </w:pPr>
      <w:r>
        <w:rPr>
          <w:rFonts w:hint="eastAsia" w:hAnsi="宋体" w:cs="宋体"/>
          <w:b/>
          <w:color w:val="auto"/>
          <w:sz w:val="28"/>
          <w:szCs w:val="28"/>
        </w:rPr>
        <w:t>格式1</w:t>
      </w:r>
    </w:p>
    <w:p w14:paraId="7D47FB76">
      <w:pPr>
        <w:widowControl/>
        <w:spacing w:line="440" w:lineRule="exact"/>
        <w:jc w:val="left"/>
        <w:rPr>
          <w:rFonts w:ascii="宋体" w:hAnsi="宋体" w:cs="宋体"/>
          <w:b/>
          <w:color w:val="auto"/>
          <w:szCs w:val="21"/>
        </w:rPr>
      </w:pPr>
      <w:r>
        <w:rPr>
          <w:rFonts w:hint="eastAsia" w:ascii="宋体" w:hAnsi="宋体" w:cs="宋体"/>
          <w:b/>
          <w:color w:val="auto"/>
          <w:kern w:val="0"/>
          <w:szCs w:val="21"/>
        </w:rPr>
        <w:t>投标人须具有独立承担民事责任的能力：投标人须在中华人民共和国境内注册，提供市场监督管理部门核发的有效的三证合一营业执照或其他组织形式的相关主体资格证明材料（扫描件加盖投标人电子公章）；</w:t>
      </w:r>
    </w:p>
    <w:p w14:paraId="5FE53AD3">
      <w:pPr>
        <w:pStyle w:val="22"/>
        <w:spacing w:line="600" w:lineRule="exact"/>
        <w:rPr>
          <w:rFonts w:hAnsi="宋体" w:cs="宋体"/>
          <w:b/>
          <w:color w:val="auto"/>
          <w:sz w:val="28"/>
          <w:szCs w:val="28"/>
        </w:rPr>
      </w:pPr>
    </w:p>
    <w:p w14:paraId="76675D4E">
      <w:pPr>
        <w:pStyle w:val="22"/>
        <w:spacing w:line="600" w:lineRule="exact"/>
        <w:rPr>
          <w:rFonts w:hAnsi="宋体" w:cs="宋体"/>
          <w:b/>
          <w:color w:val="auto"/>
          <w:sz w:val="28"/>
          <w:szCs w:val="28"/>
        </w:rPr>
      </w:pPr>
    </w:p>
    <w:p w14:paraId="0025AF72">
      <w:pPr>
        <w:pStyle w:val="22"/>
        <w:spacing w:line="600" w:lineRule="exact"/>
        <w:rPr>
          <w:rFonts w:hAnsi="宋体" w:cs="宋体"/>
          <w:b/>
          <w:color w:val="auto"/>
          <w:sz w:val="28"/>
          <w:szCs w:val="28"/>
        </w:rPr>
      </w:pPr>
    </w:p>
    <w:p w14:paraId="39A9DC35">
      <w:pPr>
        <w:pStyle w:val="22"/>
        <w:spacing w:line="600" w:lineRule="exact"/>
        <w:rPr>
          <w:rFonts w:hAnsi="宋体" w:cs="宋体"/>
          <w:b/>
          <w:color w:val="auto"/>
          <w:sz w:val="28"/>
          <w:szCs w:val="28"/>
        </w:rPr>
      </w:pPr>
    </w:p>
    <w:p w14:paraId="46E03CC3">
      <w:pPr>
        <w:pStyle w:val="22"/>
        <w:spacing w:line="600" w:lineRule="exact"/>
        <w:rPr>
          <w:rFonts w:hAnsi="宋体" w:cs="宋体"/>
          <w:b/>
          <w:color w:val="auto"/>
          <w:sz w:val="28"/>
          <w:szCs w:val="28"/>
        </w:rPr>
      </w:pPr>
    </w:p>
    <w:p w14:paraId="61DA37CF">
      <w:pPr>
        <w:pStyle w:val="22"/>
        <w:spacing w:line="600" w:lineRule="exact"/>
        <w:rPr>
          <w:rFonts w:hAnsi="宋体" w:cs="宋体"/>
          <w:b/>
          <w:color w:val="auto"/>
          <w:sz w:val="28"/>
          <w:szCs w:val="28"/>
        </w:rPr>
      </w:pPr>
    </w:p>
    <w:p w14:paraId="1824EC26">
      <w:pPr>
        <w:pStyle w:val="22"/>
        <w:spacing w:line="600" w:lineRule="exact"/>
        <w:rPr>
          <w:rFonts w:hAnsi="宋体" w:cs="宋体"/>
          <w:b/>
          <w:color w:val="auto"/>
          <w:sz w:val="28"/>
          <w:szCs w:val="28"/>
        </w:rPr>
      </w:pPr>
    </w:p>
    <w:p w14:paraId="5DEBA340">
      <w:pPr>
        <w:pStyle w:val="22"/>
        <w:pageBreakBefore/>
        <w:spacing w:line="600" w:lineRule="exact"/>
        <w:rPr>
          <w:rFonts w:hAnsi="宋体" w:cs="宋体"/>
          <w:b/>
          <w:color w:val="auto"/>
          <w:sz w:val="28"/>
          <w:szCs w:val="28"/>
        </w:rPr>
      </w:pPr>
      <w:r>
        <w:rPr>
          <w:rFonts w:hint="eastAsia" w:hAnsi="宋体" w:cs="宋体"/>
          <w:b/>
          <w:color w:val="auto"/>
          <w:sz w:val="28"/>
          <w:szCs w:val="28"/>
        </w:rPr>
        <w:t>格式2</w:t>
      </w:r>
    </w:p>
    <w:p w14:paraId="486B3638">
      <w:pPr>
        <w:widowControl/>
        <w:spacing w:line="440" w:lineRule="exact"/>
        <w:jc w:val="left"/>
        <w:rPr>
          <w:rFonts w:ascii="宋体" w:hAnsi="宋体" w:cs="宋体"/>
          <w:color w:val="auto"/>
          <w:kern w:val="0"/>
          <w:szCs w:val="21"/>
        </w:rPr>
      </w:pPr>
      <w:r>
        <w:rPr>
          <w:rFonts w:hint="eastAsia" w:ascii="宋体" w:hAnsi="宋体" w:cs="宋体"/>
          <w:b/>
          <w:color w:val="auto"/>
          <w:kern w:val="0"/>
          <w:szCs w:val="21"/>
        </w:rPr>
        <w:t>投标人具有良好的商业信誉和健全的财务会计制度：提供投标人2024年度经第三方审计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r>
        <w:rPr>
          <w:rFonts w:hint="eastAsia" w:ascii="宋体" w:hAnsi="宋体" w:cs="宋体"/>
          <w:b/>
          <w:color w:val="auto"/>
          <w:kern w:val="0"/>
          <w:szCs w:val="21"/>
        </w:rPr>
        <w:br w:type="page"/>
      </w:r>
      <w:r>
        <w:rPr>
          <w:rFonts w:hint="eastAsia" w:ascii="宋体" w:hAnsi="宋体" w:cs="宋体"/>
          <w:b/>
          <w:color w:val="auto"/>
          <w:sz w:val="28"/>
          <w:szCs w:val="28"/>
        </w:rPr>
        <w:t>格式3</w:t>
      </w:r>
    </w:p>
    <w:p w14:paraId="2A8D1BFB">
      <w:pPr>
        <w:widowControl/>
        <w:spacing w:line="440" w:lineRule="exact"/>
        <w:jc w:val="left"/>
        <w:rPr>
          <w:rFonts w:ascii="宋体" w:hAnsi="宋体" w:cs="宋体"/>
          <w:b/>
          <w:color w:val="auto"/>
          <w:szCs w:val="21"/>
        </w:rPr>
      </w:pPr>
      <w:r>
        <w:rPr>
          <w:rFonts w:hint="eastAsia" w:ascii="宋体" w:hAnsi="宋体" w:cs="宋体"/>
          <w:b/>
          <w:color w:val="auto"/>
          <w:szCs w:val="21"/>
        </w:rPr>
        <w:t>具有履行合同所必需的设备和专业技术能力：提供投标人具有履行合同所必需的设备和专业技术能力证明材料（扫描件加盖投标人电子公章）或书面声明（加盖投标人电子公章）；</w:t>
      </w:r>
    </w:p>
    <w:p w14:paraId="46125E0B">
      <w:pPr>
        <w:widowControl/>
        <w:spacing w:line="440" w:lineRule="exact"/>
        <w:jc w:val="left"/>
        <w:rPr>
          <w:rFonts w:ascii="宋体" w:hAnsi="宋体" w:cs="宋体"/>
          <w:b/>
          <w:color w:val="auto"/>
          <w:szCs w:val="21"/>
        </w:rPr>
      </w:pPr>
      <w:r>
        <w:rPr>
          <w:rFonts w:hint="eastAsia" w:ascii="宋体" w:hAnsi="宋体" w:cs="宋体"/>
          <w:b/>
          <w:color w:val="auto"/>
          <w:szCs w:val="21"/>
        </w:rPr>
        <w:br w:type="page"/>
      </w:r>
      <w:r>
        <w:rPr>
          <w:rFonts w:hint="eastAsia" w:ascii="宋体" w:hAnsi="宋体" w:cs="宋体"/>
          <w:b/>
          <w:color w:val="auto"/>
          <w:sz w:val="28"/>
          <w:szCs w:val="28"/>
        </w:rPr>
        <w:t>格式4</w:t>
      </w:r>
    </w:p>
    <w:p w14:paraId="0B4B58B9">
      <w:pPr>
        <w:widowControl/>
        <w:spacing w:line="440" w:lineRule="exact"/>
        <w:jc w:val="left"/>
        <w:rPr>
          <w:rFonts w:ascii="宋体" w:hAnsi="宋体" w:cs="宋体"/>
          <w:b/>
          <w:bCs/>
          <w:color w:val="auto"/>
          <w:kern w:val="0"/>
          <w:szCs w:val="21"/>
        </w:rPr>
      </w:pPr>
      <w:r>
        <w:rPr>
          <w:rFonts w:hint="eastAsia" w:ascii="宋体" w:hAnsi="宋体" w:cs="宋体"/>
          <w:b/>
          <w:bCs/>
          <w:color w:val="auto"/>
          <w:kern w:val="0"/>
          <w:szCs w:val="21"/>
        </w:rPr>
        <w:t>投标人须具有依法缴纳税收和社会保障资金的良好记录：</w:t>
      </w:r>
    </w:p>
    <w:p w14:paraId="0E45B030">
      <w:pPr>
        <w:widowControl/>
        <w:spacing w:line="440" w:lineRule="exact"/>
        <w:jc w:val="left"/>
        <w:rPr>
          <w:rFonts w:ascii="宋体" w:hAnsi="宋体" w:cs="宋体"/>
          <w:b/>
          <w:bCs/>
          <w:color w:val="auto"/>
          <w:kern w:val="0"/>
          <w:szCs w:val="21"/>
        </w:rPr>
      </w:pPr>
      <w:r>
        <w:rPr>
          <w:rFonts w:hint="eastAsia" w:ascii="宋体" w:hAnsi="宋体" w:cs="宋体"/>
          <w:b/>
          <w:bCs/>
          <w:color w:val="auto"/>
          <w:kern w:val="0"/>
          <w:szCs w:val="21"/>
        </w:rPr>
        <w:t>1.提供投标人缴税所属时间在2024年01月至本项目提交投标文件截止时间前任意3个月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p w14:paraId="055F9160">
      <w:pPr>
        <w:widowControl/>
        <w:spacing w:line="440" w:lineRule="exact"/>
        <w:jc w:val="left"/>
        <w:rPr>
          <w:rFonts w:ascii="宋体" w:hAnsi="宋体" w:cs="宋体"/>
          <w:b/>
          <w:bCs/>
          <w:color w:val="auto"/>
          <w:kern w:val="0"/>
          <w:szCs w:val="21"/>
        </w:rPr>
      </w:pPr>
      <w:r>
        <w:rPr>
          <w:rFonts w:hint="eastAsia" w:ascii="宋体" w:hAnsi="宋体" w:cs="宋体"/>
          <w:b/>
          <w:bCs/>
          <w:color w:val="auto"/>
          <w:kern w:val="0"/>
          <w:szCs w:val="21"/>
        </w:rPr>
        <w:t>2.提供投标人缴费所属时间在2024年01月至本项目提交投标文件截止时间前任意3个月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p w14:paraId="25766769">
      <w:pPr>
        <w:widowControl/>
        <w:spacing w:line="440" w:lineRule="exact"/>
        <w:rPr>
          <w:rFonts w:ascii="宋体" w:hAnsi="宋体" w:cs="宋体"/>
          <w:b/>
          <w:bCs/>
          <w:color w:val="auto"/>
          <w:sz w:val="28"/>
          <w:szCs w:val="28"/>
        </w:rPr>
      </w:pPr>
      <w:r>
        <w:rPr>
          <w:rFonts w:hint="eastAsia" w:ascii="宋体" w:hAnsi="宋体" w:cs="宋体"/>
          <w:b/>
          <w:bCs/>
          <w:color w:val="auto"/>
          <w:sz w:val="28"/>
          <w:szCs w:val="28"/>
        </w:rPr>
        <w:br w:type="page"/>
      </w:r>
      <w:r>
        <w:rPr>
          <w:rFonts w:hint="eastAsia" w:ascii="宋体" w:hAnsi="宋体" w:cs="宋体"/>
          <w:b/>
          <w:color w:val="auto"/>
          <w:sz w:val="28"/>
          <w:szCs w:val="28"/>
        </w:rPr>
        <w:t>格式5</w:t>
      </w:r>
    </w:p>
    <w:p w14:paraId="23DDD5B9">
      <w:pPr>
        <w:widowControl/>
        <w:spacing w:line="440" w:lineRule="exact"/>
        <w:jc w:val="left"/>
        <w:rPr>
          <w:rFonts w:ascii="宋体" w:hAnsi="宋体" w:cs="宋体"/>
          <w:b/>
          <w:color w:val="auto"/>
          <w:kern w:val="0"/>
          <w:szCs w:val="21"/>
        </w:rPr>
      </w:pPr>
      <w:r>
        <w:rPr>
          <w:rFonts w:hint="eastAsia" w:ascii="宋体" w:hAnsi="宋体" w:cs="宋体"/>
          <w:b/>
          <w:color w:val="auto"/>
          <w:kern w:val="0"/>
          <w:szCs w:val="21"/>
        </w:rPr>
        <w:t>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p>
    <w:p w14:paraId="227B1034">
      <w:pPr>
        <w:rPr>
          <w:rFonts w:ascii="宋体" w:hAnsi="宋体" w:cs="宋体"/>
          <w:b/>
          <w:color w:val="auto"/>
          <w:kern w:val="0"/>
          <w:szCs w:val="21"/>
        </w:rPr>
      </w:pPr>
      <w:r>
        <w:rPr>
          <w:rFonts w:hint="eastAsia" w:ascii="宋体" w:hAnsi="宋体" w:cs="宋体"/>
          <w:b/>
          <w:color w:val="auto"/>
          <w:kern w:val="0"/>
          <w:szCs w:val="21"/>
        </w:rPr>
        <w:br w:type="page"/>
      </w:r>
    </w:p>
    <w:p w14:paraId="1375AC8A">
      <w:pPr>
        <w:widowControl/>
        <w:spacing w:line="440" w:lineRule="exact"/>
        <w:rPr>
          <w:rFonts w:ascii="宋体" w:hAnsi="宋体" w:cs="宋体"/>
          <w:b/>
          <w:bCs/>
          <w:color w:val="auto"/>
          <w:sz w:val="28"/>
          <w:szCs w:val="28"/>
        </w:rPr>
      </w:pPr>
      <w:r>
        <w:rPr>
          <w:rFonts w:hint="eastAsia" w:ascii="宋体" w:hAnsi="宋体" w:cs="宋体"/>
          <w:b/>
          <w:color w:val="auto"/>
          <w:sz w:val="28"/>
          <w:szCs w:val="28"/>
        </w:rPr>
        <w:t>格式6</w:t>
      </w:r>
    </w:p>
    <w:p w14:paraId="6077AC3E">
      <w:pPr>
        <w:widowControl/>
        <w:spacing w:line="440" w:lineRule="exact"/>
        <w:jc w:val="left"/>
        <w:rPr>
          <w:rFonts w:ascii="宋体" w:hAnsi="宋体" w:cs="宋体"/>
          <w:b/>
          <w:color w:val="auto"/>
          <w:kern w:val="0"/>
          <w:szCs w:val="21"/>
        </w:rPr>
      </w:pPr>
      <w:r>
        <w:rPr>
          <w:rFonts w:hint="eastAsia" w:ascii="宋体" w:hAnsi="宋体" w:cs="宋体"/>
          <w:b/>
          <w:color w:val="auto"/>
          <w:kern w:val="0"/>
          <w:szCs w:val="21"/>
        </w:rPr>
        <w:t>法律、行政法规规定的其他条件：单位负责人为同一人或者存在直接控股、管理关系</w:t>
      </w:r>
      <w:r>
        <w:rPr>
          <w:rFonts w:hint="eastAsia" w:ascii="宋体" w:hAnsi="宋体" w:cs="宋体"/>
          <w:b/>
          <w:color w:val="auto"/>
          <w:kern w:val="0"/>
          <w:szCs w:val="21"/>
          <w:lang w:eastAsia="zh-CN"/>
        </w:rPr>
        <w:t>的不同</w:t>
      </w:r>
      <w:r>
        <w:rPr>
          <w:rFonts w:hint="eastAsia" w:ascii="宋体" w:hAnsi="宋体" w:cs="宋体"/>
          <w:b/>
          <w:color w:val="auto"/>
          <w:kern w:val="0"/>
          <w:szCs w:val="21"/>
        </w:rPr>
        <w:t>投标人，不得同时参与本项目的采购活动。为采购项目提供整体设计、规范编制和项目管理、监理、检测等服务的投标人，不得参与本项目采购活动（提供承诺函加盖投标人电子公章）；</w:t>
      </w:r>
    </w:p>
    <w:p w14:paraId="4082922F">
      <w:pPr>
        <w:rPr>
          <w:rFonts w:ascii="宋体" w:hAnsi="宋体" w:cs="宋体"/>
          <w:b/>
          <w:color w:val="auto"/>
          <w:sz w:val="28"/>
          <w:szCs w:val="28"/>
        </w:rPr>
      </w:pPr>
      <w:r>
        <w:rPr>
          <w:rFonts w:hint="eastAsia" w:ascii="宋体" w:hAnsi="宋体" w:cs="宋体"/>
          <w:b/>
          <w:color w:val="auto"/>
          <w:sz w:val="28"/>
          <w:szCs w:val="28"/>
        </w:rPr>
        <w:br w:type="page"/>
      </w:r>
    </w:p>
    <w:p w14:paraId="55BFA48C">
      <w:pPr>
        <w:widowControl/>
        <w:spacing w:line="440" w:lineRule="exact"/>
        <w:rPr>
          <w:rFonts w:ascii="宋体" w:hAnsi="宋体" w:cs="宋体"/>
          <w:b/>
          <w:color w:val="auto"/>
          <w:sz w:val="28"/>
          <w:szCs w:val="28"/>
        </w:rPr>
      </w:pPr>
      <w:r>
        <w:rPr>
          <w:rFonts w:hint="eastAsia" w:ascii="宋体" w:hAnsi="宋体" w:cs="宋体"/>
          <w:b/>
          <w:color w:val="auto"/>
          <w:sz w:val="28"/>
          <w:szCs w:val="28"/>
        </w:rPr>
        <w:t>格式7</w:t>
      </w:r>
    </w:p>
    <w:p w14:paraId="3B352B1D">
      <w:pPr>
        <w:widowControl/>
        <w:spacing w:line="440" w:lineRule="exact"/>
        <w:rPr>
          <w:rFonts w:ascii="宋体" w:hAnsi="宋体" w:cs="宋体"/>
          <w:b/>
          <w:color w:val="auto"/>
          <w:sz w:val="28"/>
          <w:szCs w:val="28"/>
        </w:rPr>
      </w:pPr>
      <w:r>
        <w:rPr>
          <w:rFonts w:hint="eastAsia" w:ascii="宋体" w:hAnsi="宋体" w:cs="宋体"/>
          <w:b/>
          <w:color w:val="auto"/>
          <w:kern w:val="0"/>
          <w:szCs w:val="21"/>
        </w:rPr>
        <w:t>落实政府采购政策需满足的资格要求：无；</w:t>
      </w:r>
    </w:p>
    <w:p w14:paraId="52D2EADB">
      <w:pPr>
        <w:pStyle w:val="22"/>
        <w:spacing w:line="800" w:lineRule="exact"/>
        <w:rPr>
          <w:rFonts w:hAnsi="宋体" w:cs="宋体"/>
          <w:b/>
          <w:bCs/>
          <w:color w:val="auto"/>
          <w:kern w:val="0"/>
          <w:sz w:val="56"/>
          <w:szCs w:val="56"/>
        </w:rPr>
      </w:pPr>
    </w:p>
    <w:p w14:paraId="6D29EE57">
      <w:pPr>
        <w:pStyle w:val="22"/>
        <w:spacing w:line="800" w:lineRule="exact"/>
        <w:jc w:val="center"/>
        <w:rPr>
          <w:rFonts w:hAnsi="宋体" w:cs="宋体"/>
          <w:b/>
          <w:bCs/>
          <w:color w:val="auto"/>
          <w:kern w:val="0"/>
          <w:sz w:val="56"/>
          <w:szCs w:val="56"/>
        </w:rPr>
      </w:pPr>
    </w:p>
    <w:p w14:paraId="141D5AFD">
      <w:pPr>
        <w:pStyle w:val="22"/>
        <w:spacing w:line="800" w:lineRule="exact"/>
        <w:jc w:val="center"/>
        <w:rPr>
          <w:rFonts w:hAnsi="宋体" w:cs="宋体"/>
          <w:b/>
          <w:bCs/>
          <w:color w:val="auto"/>
          <w:kern w:val="0"/>
          <w:sz w:val="56"/>
          <w:szCs w:val="56"/>
        </w:rPr>
      </w:pPr>
    </w:p>
    <w:p w14:paraId="1DB04E8B">
      <w:pPr>
        <w:pStyle w:val="22"/>
        <w:spacing w:line="800" w:lineRule="exact"/>
        <w:jc w:val="center"/>
        <w:rPr>
          <w:rFonts w:hAnsi="宋体" w:cs="宋体"/>
          <w:b/>
          <w:bCs/>
          <w:color w:val="auto"/>
          <w:kern w:val="0"/>
          <w:sz w:val="56"/>
          <w:szCs w:val="56"/>
        </w:rPr>
      </w:pPr>
    </w:p>
    <w:p w14:paraId="0BA7AA5C">
      <w:pPr>
        <w:widowControl/>
        <w:spacing w:line="440" w:lineRule="exact"/>
        <w:rPr>
          <w:rFonts w:ascii="宋体" w:hAnsi="宋体" w:cs="宋体"/>
          <w:b/>
          <w:color w:val="auto"/>
          <w:sz w:val="28"/>
          <w:szCs w:val="28"/>
        </w:rPr>
      </w:pPr>
      <w:r>
        <w:rPr>
          <w:rFonts w:hAnsi="宋体" w:cs="宋体"/>
          <w:b/>
          <w:bCs/>
          <w:color w:val="auto"/>
          <w:kern w:val="0"/>
          <w:sz w:val="56"/>
          <w:szCs w:val="56"/>
        </w:rPr>
        <w:br w:type="page"/>
      </w:r>
      <w:r>
        <w:rPr>
          <w:rFonts w:hint="eastAsia" w:ascii="宋体" w:hAnsi="宋体" w:cs="宋体"/>
          <w:b/>
          <w:color w:val="auto"/>
          <w:sz w:val="28"/>
          <w:szCs w:val="28"/>
        </w:rPr>
        <w:t>格式8</w:t>
      </w:r>
    </w:p>
    <w:p w14:paraId="59893E7E">
      <w:pPr>
        <w:widowControl/>
        <w:spacing w:line="440" w:lineRule="exact"/>
        <w:rPr>
          <w:rFonts w:ascii="宋体" w:hAnsi="宋体" w:cs="宋体"/>
          <w:b/>
          <w:color w:val="auto"/>
          <w:sz w:val="28"/>
          <w:szCs w:val="28"/>
        </w:rPr>
      </w:pPr>
      <w:r>
        <w:rPr>
          <w:rFonts w:hint="eastAsia" w:ascii="宋体" w:hAnsi="宋体" w:cs="宋体"/>
          <w:b/>
          <w:color w:val="auto"/>
          <w:kern w:val="0"/>
          <w:szCs w:val="21"/>
        </w:rPr>
        <w:t>本项目的特定资格要求：无。</w:t>
      </w:r>
    </w:p>
    <w:p w14:paraId="4614BA92">
      <w:pPr>
        <w:pStyle w:val="22"/>
        <w:spacing w:line="800" w:lineRule="exact"/>
        <w:rPr>
          <w:rFonts w:hAnsi="宋体" w:cs="宋体"/>
          <w:b/>
          <w:bCs/>
          <w:color w:val="auto"/>
          <w:kern w:val="0"/>
          <w:sz w:val="56"/>
          <w:szCs w:val="56"/>
        </w:rPr>
      </w:pPr>
    </w:p>
    <w:p w14:paraId="3923B340">
      <w:pPr>
        <w:pStyle w:val="22"/>
        <w:spacing w:line="800" w:lineRule="exact"/>
        <w:jc w:val="center"/>
        <w:rPr>
          <w:rFonts w:hAnsi="宋体" w:cs="宋体"/>
          <w:b/>
          <w:bCs/>
          <w:color w:val="auto"/>
          <w:kern w:val="0"/>
          <w:sz w:val="56"/>
          <w:szCs w:val="56"/>
        </w:rPr>
      </w:pPr>
    </w:p>
    <w:p w14:paraId="6B7343C7">
      <w:pPr>
        <w:pStyle w:val="22"/>
        <w:spacing w:line="800" w:lineRule="exact"/>
        <w:jc w:val="center"/>
        <w:rPr>
          <w:rFonts w:hAnsi="宋体" w:cs="宋体"/>
          <w:b/>
          <w:bCs/>
          <w:color w:val="auto"/>
          <w:kern w:val="0"/>
          <w:sz w:val="56"/>
          <w:szCs w:val="56"/>
        </w:rPr>
      </w:pPr>
    </w:p>
    <w:p w14:paraId="23FA4EE6">
      <w:pPr>
        <w:pStyle w:val="22"/>
        <w:spacing w:line="800" w:lineRule="exact"/>
        <w:jc w:val="center"/>
        <w:rPr>
          <w:rFonts w:hAnsi="宋体" w:cs="宋体"/>
          <w:b/>
          <w:bCs/>
          <w:color w:val="auto"/>
          <w:kern w:val="0"/>
          <w:sz w:val="56"/>
          <w:szCs w:val="56"/>
        </w:rPr>
      </w:pPr>
    </w:p>
    <w:p w14:paraId="57C3FB94">
      <w:pPr>
        <w:rPr>
          <w:rFonts w:hAnsi="宋体" w:cs="宋体"/>
          <w:b/>
          <w:bCs/>
          <w:color w:val="auto"/>
          <w:kern w:val="0"/>
          <w:sz w:val="56"/>
          <w:szCs w:val="56"/>
        </w:rPr>
      </w:pPr>
      <w:r>
        <w:rPr>
          <w:rFonts w:hAnsi="宋体" w:cs="宋体"/>
          <w:b/>
          <w:bCs/>
          <w:color w:val="auto"/>
          <w:kern w:val="0"/>
          <w:sz w:val="56"/>
          <w:szCs w:val="56"/>
        </w:rPr>
        <w:br w:type="page"/>
      </w:r>
    </w:p>
    <w:p w14:paraId="2FEC9AC0">
      <w:pPr>
        <w:pStyle w:val="22"/>
        <w:spacing w:line="500" w:lineRule="exact"/>
        <w:jc w:val="left"/>
        <w:outlineLvl w:val="1"/>
        <w:rPr>
          <w:rFonts w:hAnsi="宋体" w:cs="宋体"/>
          <w:b/>
          <w:color w:val="auto"/>
          <w:sz w:val="28"/>
          <w:szCs w:val="28"/>
        </w:rPr>
      </w:pPr>
      <w:bookmarkStart w:id="72" w:name="_Toc20819"/>
      <w:bookmarkStart w:id="73" w:name="_Toc27372"/>
      <w:bookmarkStart w:id="74" w:name="_Toc8402"/>
      <w:r>
        <w:rPr>
          <w:rFonts w:hint="eastAsia" w:hAnsi="宋体" w:cs="宋体"/>
          <w:b/>
          <w:color w:val="auto"/>
          <w:sz w:val="28"/>
          <w:szCs w:val="28"/>
        </w:rPr>
        <w:t>二、报价文件</w:t>
      </w:r>
      <w:bookmarkEnd w:id="72"/>
      <w:bookmarkEnd w:id="73"/>
      <w:bookmarkEnd w:id="74"/>
    </w:p>
    <w:p w14:paraId="12915E25">
      <w:pPr>
        <w:pStyle w:val="22"/>
        <w:spacing w:line="500" w:lineRule="exact"/>
        <w:jc w:val="left"/>
        <w:rPr>
          <w:rFonts w:hAnsi="宋体" w:cs="宋体"/>
          <w:b/>
          <w:color w:val="auto"/>
          <w:sz w:val="28"/>
          <w:szCs w:val="28"/>
        </w:rPr>
      </w:pPr>
      <w:r>
        <w:rPr>
          <w:rFonts w:hint="eastAsia" w:hAnsi="宋体" w:cs="宋体"/>
          <w:b/>
          <w:color w:val="auto"/>
          <w:sz w:val="28"/>
          <w:szCs w:val="28"/>
        </w:rPr>
        <w:t>格式9</w:t>
      </w:r>
    </w:p>
    <w:p w14:paraId="164505FB">
      <w:pPr>
        <w:pStyle w:val="5"/>
        <w:ind w:left="425"/>
        <w:jc w:val="center"/>
        <w:rPr>
          <w:rFonts w:ascii="宋体"/>
          <w:color w:val="auto"/>
          <w:szCs w:val="32"/>
        </w:rPr>
      </w:pPr>
      <w:bookmarkStart w:id="75" w:name="_Toc371"/>
      <w:bookmarkStart w:id="76" w:name="_Toc30839"/>
      <w:bookmarkStart w:id="77" w:name="_Toc9349"/>
      <w:r>
        <w:rPr>
          <w:rFonts w:hint="eastAsia" w:ascii="宋体" w:hAnsi="宋体"/>
          <w:color w:val="auto"/>
          <w:szCs w:val="32"/>
        </w:rPr>
        <w:t>开标一览表</w:t>
      </w:r>
      <w:bookmarkEnd w:id="75"/>
      <w:bookmarkEnd w:id="76"/>
      <w:bookmarkEnd w:id="77"/>
    </w:p>
    <w:p w14:paraId="35E41CA1">
      <w:pPr>
        <w:rPr>
          <w:rFonts w:ascii="宋体"/>
          <w:color w:val="auto"/>
        </w:rPr>
      </w:pPr>
    </w:p>
    <w:p w14:paraId="2FF9F89F">
      <w:pPr>
        <w:pStyle w:val="22"/>
        <w:rPr>
          <w:rFonts w:hAnsi="宋体"/>
          <w:b/>
          <w:color w:val="auto"/>
          <w:szCs w:val="21"/>
        </w:rPr>
      </w:pPr>
      <w:r>
        <w:rPr>
          <w:rFonts w:hint="eastAsia" w:hAnsi="宋体"/>
          <w:b/>
          <w:color w:val="auto"/>
          <w:szCs w:val="21"/>
        </w:rPr>
        <w:t>项目名称：</w:t>
      </w:r>
    </w:p>
    <w:p w14:paraId="45C61B60">
      <w:pPr>
        <w:rPr>
          <w:color w:val="auto"/>
        </w:rPr>
      </w:pPr>
      <w:r>
        <w:rPr>
          <w:rFonts w:hint="eastAsia" w:hAnsi="宋体"/>
          <w:b/>
          <w:color w:val="auto"/>
          <w:szCs w:val="21"/>
        </w:rPr>
        <w:t>项目编号：</w:t>
      </w:r>
    </w:p>
    <w:tbl>
      <w:tblPr>
        <w:tblStyle w:val="4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6158"/>
      </w:tblGrid>
      <w:tr w14:paraId="6926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541" w:type="dxa"/>
            <w:vAlign w:val="center"/>
          </w:tcPr>
          <w:p w14:paraId="3D717FDB">
            <w:pPr>
              <w:spacing w:line="320" w:lineRule="exact"/>
              <w:jc w:val="center"/>
              <w:rPr>
                <w:rFonts w:ascii="宋体" w:cs="宋体"/>
                <w:color w:val="auto"/>
                <w:szCs w:val="21"/>
              </w:rPr>
            </w:pPr>
            <w:r>
              <w:rPr>
                <w:rFonts w:hint="eastAsia" w:hAnsi="宋体"/>
                <w:color w:val="auto"/>
                <w:szCs w:val="21"/>
              </w:rPr>
              <w:t>投标人名称</w:t>
            </w:r>
          </w:p>
        </w:tc>
        <w:tc>
          <w:tcPr>
            <w:tcW w:w="6158" w:type="dxa"/>
            <w:vAlign w:val="center"/>
          </w:tcPr>
          <w:p w14:paraId="5F15FA97">
            <w:pPr>
              <w:spacing w:line="360" w:lineRule="auto"/>
              <w:jc w:val="center"/>
              <w:rPr>
                <w:rFonts w:ascii="宋体" w:cs="宋体"/>
                <w:color w:val="auto"/>
                <w:szCs w:val="21"/>
              </w:rPr>
            </w:pPr>
          </w:p>
        </w:tc>
      </w:tr>
      <w:tr w14:paraId="346C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541" w:type="dxa"/>
            <w:vAlign w:val="center"/>
          </w:tcPr>
          <w:p w14:paraId="563F971F">
            <w:pPr>
              <w:pStyle w:val="22"/>
              <w:jc w:val="center"/>
              <w:rPr>
                <w:rFonts w:hAnsi="宋体"/>
                <w:color w:val="auto"/>
                <w:szCs w:val="21"/>
              </w:rPr>
            </w:pPr>
            <w:r>
              <w:rPr>
                <w:rFonts w:hint="eastAsia" w:hAnsi="宋体"/>
                <w:color w:val="auto"/>
                <w:szCs w:val="21"/>
              </w:rPr>
              <w:t>投标报价</w:t>
            </w:r>
          </w:p>
          <w:p w14:paraId="74D27E51">
            <w:pPr>
              <w:spacing w:line="320" w:lineRule="exact"/>
              <w:jc w:val="center"/>
              <w:rPr>
                <w:rFonts w:ascii="宋体" w:cs="宋体"/>
                <w:color w:val="auto"/>
                <w:szCs w:val="21"/>
              </w:rPr>
            </w:pPr>
            <w:r>
              <w:rPr>
                <w:rFonts w:hint="eastAsia" w:hAnsi="宋体"/>
                <w:color w:val="auto"/>
                <w:szCs w:val="21"/>
              </w:rPr>
              <w:t>（</w:t>
            </w:r>
            <w:r>
              <w:rPr>
                <w:rFonts w:hint="eastAsia" w:hAnsi="宋体" w:cs="宋体"/>
                <w:color w:val="auto"/>
                <w:szCs w:val="21"/>
              </w:rPr>
              <w:t>元</w:t>
            </w:r>
            <w:r>
              <w:rPr>
                <w:rFonts w:hint="eastAsia" w:hAnsi="宋体"/>
                <w:color w:val="auto"/>
                <w:szCs w:val="21"/>
              </w:rPr>
              <w:t>）</w:t>
            </w:r>
          </w:p>
        </w:tc>
        <w:tc>
          <w:tcPr>
            <w:tcW w:w="6158" w:type="dxa"/>
            <w:vAlign w:val="center"/>
          </w:tcPr>
          <w:p w14:paraId="36603DAD">
            <w:pPr>
              <w:spacing w:line="360" w:lineRule="auto"/>
              <w:rPr>
                <w:rFonts w:ascii="宋体" w:hAnsi="宋体" w:cs="宋体"/>
                <w:color w:val="auto"/>
                <w:szCs w:val="21"/>
              </w:rPr>
            </w:pPr>
            <w:r>
              <w:rPr>
                <w:rFonts w:hint="eastAsia" w:ascii="宋体" w:hAnsi="宋体" w:cs="宋体"/>
                <w:color w:val="auto"/>
                <w:szCs w:val="21"/>
              </w:rPr>
              <w:t>小写：</w:t>
            </w:r>
          </w:p>
          <w:p w14:paraId="77DBB14F">
            <w:pPr>
              <w:spacing w:line="320" w:lineRule="exact"/>
              <w:rPr>
                <w:rFonts w:ascii="宋体" w:hAnsi="宋体" w:cs="宋体"/>
                <w:color w:val="auto"/>
                <w:szCs w:val="21"/>
              </w:rPr>
            </w:pPr>
            <w:r>
              <w:rPr>
                <w:rFonts w:hint="eastAsia" w:ascii="宋体" w:hAnsi="宋体" w:cs="宋体"/>
                <w:color w:val="auto"/>
                <w:szCs w:val="21"/>
              </w:rPr>
              <w:t>大写：</w:t>
            </w:r>
          </w:p>
        </w:tc>
      </w:tr>
      <w:tr w14:paraId="7200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541" w:type="dxa"/>
            <w:vAlign w:val="center"/>
          </w:tcPr>
          <w:p w14:paraId="3CE9022B">
            <w:pPr>
              <w:jc w:val="center"/>
              <w:rPr>
                <w:rFonts w:ascii="宋体" w:hAnsi="宋体" w:cs="宋体"/>
                <w:color w:val="auto"/>
                <w:szCs w:val="21"/>
              </w:rPr>
            </w:pPr>
            <w:r>
              <w:rPr>
                <w:rFonts w:hint="eastAsia" w:ascii="宋体" w:hAnsi="宋体" w:cs="宋体"/>
                <w:color w:val="auto"/>
                <w:szCs w:val="21"/>
              </w:rPr>
              <w:t>项目实施期限</w:t>
            </w:r>
          </w:p>
        </w:tc>
        <w:tc>
          <w:tcPr>
            <w:tcW w:w="6158" w:type="dxa"/>
            <w:vAlign w:val="center"/>
          </w:tcPr>
          <w:p w14:paraId="2BF88C70">
            <w:pPr>
              <w:widowControl/>
              <w:spacing w:line="440" w:lineRule="exact"/>
              <w:jc w:val="center"/>
              <w:rPr>
                <w:rFonts w:ascii="宋体" w:cs="宋体"/>
                <w:color w:val="auto"/>
                <w:szCs w:val="21"/>
              </w:rPr>
            </w:pPr>
          </w:p>
        </w:tc>
      </w:tr>
      <w:tr w14:paraId="351F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41" w:type="dxa"/>
            <w:vAlign w:val="center"/>
          </w:tcPr>
          <w:p w14:paraId="45C2CC5B">
            <w:pPr>
              <w:jc w:val="center"/>
              <w:rPr>
                <w:rFonts w:ascii="宋体" w:cs="宋体"/>
                <w:color w:val="auto"/>
                <w:szCs w:val="21"/>
              </w:rPr>
            </w:pPr>
            <w:r>
              <w:rPr>
                <w:rFonts w:hint="eastAsia" w:ascii="宋体" w:hAnsi="宋体" w:cs="宋体"/>
                <w:color w:val="auto"/>
                <w:szCs w:val="21"/>
              </w:rPr>
              <w:t>项目实施地点</w:t>
            </w:r>
          </w:p>
        </w:tc>
        <w:tc>
          <w:tcPr>
            <w:tcW w:w="6158" w:type="dxa"/>
            <w:vAlign w:val="center"/>
          </w:tcPr>
          <w:p w14:paraId="20D2970D">
            <w:pPr>
              <w:spacing w:line="360" w:lineRule="auto"/>
              <w:jc w:val="center"/>
              <w:rPr>
                <w:rFonts w:ascii="宋体" w:cs="宋体"/>
                <w:color w:val="auto"/>
                <w:szCs w:val="21"/>
              </w:rPr>
            </w:pPr>
          </w:p>
        </w:tc>
      </w:tr>
      <w:tr w14:paraId="04C4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41" w:type="dxa"/>
            <w:vAlign w:val="center"/>
          </w:tcPr>
          <w:p w14:paraId="644DFC9F">
            <w:pPr>
              <w:pStyle w:val="22"/>
              <w:jc w:val="center"/>
              <w:rPr>
                <w:rFonts w:hAnsi="宋体" w:cs="宋体"/>
                <w:color w:val="auto"/>
                <w:szCs w:val="21"/>
              </w:rPr>
            </w:pPr>
            <w:r>
              <w:rPr>
                <w:rFonts w:hint="eastAsia" w:hAnsi="宋体"/>
                <w:color w:val="auto"/>
                <w:szCs w:val="21"/>
              </w:rPr>
              <w:t>投标保证金形式</w:t>
            </w:r>
          </w:p>
        </w:tc>
        <w:tc>
          <w:tcPr>
            <w:tcW w:w="6158" w:type="dxa"/>
            <w:vAlign w:val="center"/>
          </w:tcPr>
          <w:p w14:paraId="6A13F8F6">
            <w:pPr>
              <w:spacing w:line="360" w:lineRule="auto"/>
              <w:rPr>
                <w:rFonts w:ascii="宋体" w:cs="宋体"/>
                <w:color w:val="auto"/>
                <w:szCs w:val="21"/>
              </w:rPr>
            </w:pPr>
          </w:p>
        </w:tc>
      </w:tr>
      <w:tr w14:paraId="353C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699" w:type="dxa"/>
            <w:gridSpan w:val="2"/>
            <w:vAlign w:val="center"/>
          </w:tcPr>
          <w:p w14:paraId="20227089">
            <w:pPr>
              <w:spacing w:line="360" w:lineRule="auto"/>
              <w:jc w:val="left"/>
              <w:rPr>
                <w:rFonts w:ascii="宋体" w:cs="宋体"/>
                <w:color w:val="auto"/>
                <w:szCs w:val="21"/>
              </w:rPr>
            </w:pPr>
            <w:r>
              <w:rPr>
                <w:rFonts w:hint="eastAsia" w:ascii="宋体" w:hAnsi="宋体" w:cs="宋体"/>
                <w:color w:val="auto"/>
                <w:szCs w:val="21"/>
              </w:rPr>
              <w:t>备</w:t>
            </w:r>
            <w:r>
              <w:rPr>
                <w:rFonts w:ascii="宋体" w:hAnsi="宋体" w:cs="宋体"/>
                <w:color w:val="auto"/>
                <w:szCs w:val="21"/>
              </w:rPr>
              <w:t xml:space="preserve"> </w:t>
            </w:r>
            <w:r>
              <w:rPr>
                <w:rFonts w:hint="eastAsia" w:ascii="宋体" w:hAnsi="宋体" w:cs="宋体"/>
                <w:color w:val="auto"/>
                <w:szCs w:val="21"/>
              </w:rPr>
              <w:t>注</w:t>
            </w:r>
          </w:p>
        </w:tc>
      </w:tr>
    </w:tbl>
    <w:p w14:paraId="0D5F1C1B">
      <w:pPr>
        <w:pStyle w:val="22"/>
        <w:rPr>
          <w:rFonts w:hAnsi="宋体"/>
          <w:color w:val="auto"/>
          <w:szCs w:val="21"/>
        </w:rPr>
      </w:pPr>
    </w:p>
    <w:p w14:paraId="58F0D57A">
      <w:pPr>
        <w:pStyle w:val="22"/>
        <w:spacing w:line="360" w:lineRule="auto"/>
        <w:rPr>
          <w:rFonts w:hAnsi="宋体"/>
          <w:color w:val="auto"/>
          <w:szCs w:val="21"/>
        </w:rPr>
      </w:pPr>
      <w:r>
        <w:rPr>
          <w:rFonts w:hint="eastAsia" w:hAnsi="宋体"/>
          <w:color w:val="auto"/>
          <w:szCs w:val="21"/>
        </w:rPr>
        <w:t>注：</w:t>
      </w:r>
    </w:p>
    <w:p w14:paraId="0B278BCB">
      <w:pPr>
        <w:pStyle w:val="22"/>
        <w:spacing w:line="360" w:lineRule="auto"/>
        <w:rPr>
          <w:rFonts w:hAnsi="宋体" w:cs="宋体"/>
          <w:color w:val="auto"/>
          <w:szCs w:val="21"/>
        </w:rPr>
      </w:pPr>
      <w:r>
        <w:rPr>
          <w:rFonts w:hint="eastAsia" w:hAnsi="宋体"/>
          <w:color w:val="auto"/>
          <w:szCs w:val="21"/>
        </w:rPr>
        <w:t>1.</w:t>
      </w:r>
      <w:r>
        <w:rPr>
          <w:rFonts w:hint="default" w:ascii="Times New Roman" w:hAnsi="Times New Roman" w:cs="Times New Roman"/>
          <w:color w:val="auto"/>
          <w:szCs w:val="21"/>
        </w:rPr>
        <w:t>表中“投标报价”应与“</w:t>
      </w:r>
      <w:r>
        <w:rPr>
          <w:rFonts w:hint="default" w:ascii="Times New Roman" w:hAnsi="Times New Roman" w:cs="Times New Roman"/>
          <w:color w:val="auto"/>
          <w:szCs w:val="32"/>
        </w:rPr>
        <w:t>投标报价汇总表</w:t>
      </w:r>
      <w:r>
        <w:rPr>
          <w:rFonts w:hint="default" w:ascii="Times New Roman" w:hAnsi="Times New Roman" w:cs="Times New Roman"/>
          <w:color w:val="auto"/>
          <w:szCs w:val="21"/>
        </w:rPr>
        <w:t>”中“合计”及“投标函”中“投标报价”一致</w:t>
      </w:r>
      <w:r>
        <w:rPr>
          <w:rFonts w:hint="eastAsia" w:hAnsi="宋体" w:cs="宋体"/>
          <w:color w:val="auto"/>
          <w:szCs w:val="21"/>
        </w:rPr>
        <w:t>。</w:t>
      </w:r>
    </w:p>
    <w:p w14:paraId="47B9487B">
      <w:pPr>
        <w:spacing w:line="360" w:lineRule="auto"/>
        <w:ind w:firstLine="2" w:firstLineChars="1"/>
        <w:rPr>
          <w:rFonts w:ascii="宋体" w:hAnsi="宋体"/>
          <w:color w:val="auto"/>
          <w:szCs w:val="21"/>
        </w:rPr>
      </w:pPr>
      <w:r>
        <w:rPr>
          <w:rFonts w:hint="eastAsia" w:ascii="宋体" w:hAnsi="宋体"/>
          <w:color w:val="auto"/>
          <w:szCs w:val="21"/>
        </w:rPr>
        <w:t>2.若本表与“政采云”平台“开标记录表”中所填写的信息不一致时，以“政采云”平台“开标记录表”中填写的信息为准。</w:t>
      </w:r>
    </w:p>
    <w:p w14:paraId="05299AFD">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1FE8E342">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5BE83AC5">
      <w:pPr>
        <w:pStyle w:val="22"/>
        <w:rPr>
          <w:rFonts w:hAnsi="宋体"/>
          <w:color w:val="auto"/>
          <w:sz w:val="24"/>
          <w:szCs w:val="24"/>
        </w:rPr>
      </w:pPr>
      <w:r>
        <w:rPr>
          <w:rFonts w:hint="eastAsia" w:hAnsi="宋体"/>
          <w:color w:val="auto"/>
          <w:szCs w:val="21"/>
        </w:rPr>
        <w:t>日期：</w:t>
      </w:r>
      <w:r>
        <w:rPr>
          <w:rFonts w:hAnsi="宋体"/>
          <w:color w:val="auto"/>
          <w:sz w:val="24"/>
        </w:rPr>
        <w:t xml:space="preserve">         </w:t>
      </w:r>
    </w:p>
    <w:p w14:paraId="6EFCBDE0">
      <w:pPr>
        <w:pStyle w:val="22"/>
        <w:spacing w:line="500" w:lineRule="exact"/>
        <w:jc w:val="left"/>
        <w:rPr>
          <w:rFonts w:hAnsi="宋体" w:cs="宋体"/>
          <w:b/>
          <w:color w:val="auto"/>
          <w:sz w:val="28"/>
          <w:szCs w:val="28"/>
        </w:rPr>
      </w:pPr>
      <w:r>
        <w:rPr>
          <w:rFonts w:hAnsi="宋体"/>
          <w:b/>
          <w:color w:val="auto"/>
          <w:sz w:val="28"/>
          <w:szCs w:val="28"/>
        </w:rPr>
        <w:br w:type="page"/>
      </w:r>
    </w:p>
    <w:p w14:paraId="29BD9052">
      <w:pPr>
        <w:pStyle w:val="22"/>
        <w:spacing w:line="500" w:lineRule="exact"/>
        <w:jc w:val="left"/>
        <w:outlineLvl w:val="1"/>
        <w:rPr>
          <w:rFonts w:hAnsi="宋体" w:cs="宋体"/>
          <w:b/>
          <w:color w:val="auto"/>
          <w:sz w:val="28"/>
          <w:szCs w:val="28"/>
        </w:rPr>
      </w:pPr>
      <w:bookmarkStart w:id="78" w:name="_Toc32739"/>
      <w:bookmarkStart w:id="79" w:name="_Toc9698"/>
      <w:bookmarkStart w:id="80" w:name="_Toc17600"/>
      <w:r>
        <w:rPr>
          <w:rFonts w:hint="eastAsia" w:hAnsi="宋体" w:cs="宋体"/>
          <w:b/>
          <w:color w:val="auto"/>
          <w:sz w:val="28"/>
          <w:szCs w:val="28"/>
        </w:rPr>
        <w:t>三、商务技术文件</w:t>
      </w:r>
      <w:bookmarkEnd w:id="78"/>
      <w:bookmarkEnd w:id="79"/>
      <w:bookmarkEnd w:id="80"/>
    </w:p>
    <w:p w14:paraId="005E5238">
      <w:pPr>
        <w:pStyle w:val="22"/>
        <w:spacing w:line="500" w:lineRule="exact"/>
        <w:jc w:val="left"/>
        <w:rPr>
          <w:rFonts w:hAnsi="宋体" w:cs="宋体"/>
          <w:b/>
          <w:color w:val="auto"/>
          <w:sz w:val="28"/>
          <w:szCs w:val="28"/>
        </w:rPr>
      </w:pPr>
      <w:r>
        <w:rPr>
          <w:rFonts w:hint="eastAsia" w:hAnsi="宋体" w:cs="宋体"/>
          <w:b/>
          <w:color w:val="auto"/>
          <w:sz w:val="28"/>
          <w:szCs w:val="28"/>
        </w:rPr>
        <w:t>格式10</w:t>
      </w:r>
    </w:p>
    <w:p w14:paraId="6CE4F330">
      <w:pPr>
        <w:pStyle w:val="5"/>
        <w:ind w:left="425"/>
        <w:jc w:val="center"/>
        <w:rPr>
          <w:rFonts w:ascii="宋体"/>
          <w:color w:val="auto"/>
          <w:szCs w:val="32"/>
        </w:rPr>
      </w:pPr>
      <w:bookmarkStart w:id="81" w:name="_Toc25417"/>
      <w:bookmarkStart w:id="82" w:name="_Toc21997"/>
      <w:bookmarkStart w:id="83" w:name="_Toc1954"/>
      <w:r>
        <w:rPr>
          <w:rFonts w:hint="eastAsia" w:ascii="宋体" w:hAnsi="宋体"/>
          <w:color w:val="auto"/>
          <w:szCs w:val="32"/>
        </w:rPr>
        <w:t>投标函</w:t>
      </w:r>
      <w:bookmarkEnd w:id="81"/>
      <w:bookmarkEnd w:id="82"/>
      <w:bookmarkEnd w:id="83"/>
    </w:p>
    <w:p w14:paraId="1E206994">
      <w:pPr>
        <w:pStyle w:val="22"/>
        <w:spacing w:line="276" w:lineRule="auto"/>
        <w:rPr>
          <w:rFonts w:hAnsi="宋体" w:cs="宋体"/>
          <w:color w:val="auto"/>
          <w:szCs w:val="21"/>
        </w:rPr>
      </w:pPr>
      <w:r>
        <w:rPr>
          <w:rFonts w:hint="eastAsia" w:hAnsi="宋体" w:cs="宋体"/>
          <w:color w:val="auto"/>
          <w:szCs w:val="21"/>
        </w:rPr>
        <w:t>致：（采购人名称）</w:t>
      </w:r>
    </w:p>
    <w:p w14:paraId="7BC9FA78">
      <w:pPr>
        <w:pStyle w:val="22"/>
        <w:spacing w:line="276" w:lineRule="auto"/>
        <w:ind w:firstLine="482"/>
        <w:rPr>
          <w:rFonts w:hAnsi="宋体" w:cs="宋体"/>
          <w:color w:val="auto"/>
          <w:szCs w:val="21"/>
        </w:rPr>
      </w:pPr>
    </w:p>
    <w:p w14:paraId="5CC9587C">
      <w:pPr>
        <w:pStyle w:val="22"/>
        <w:spacing w:line="276" w:lineRule="auto"/>
        <w:ind w:firstLine="482"/>
        <w:rPr>
          <w:rFonts w:hAnsi="宋体" w:cs="宋体"/>
          <w:color w:val="auto"/>
          <w:szCs w:val="21"/>
        </w:rPr>
      </w:pPr>
      <w:r>
        <w:rPr>
          <w:rFonts w:hint="eastAsia" w:hAnsi="宋体" w:cs="宋体"/>
          <w:color w:val="auto"/>
          <w:szCs w:val="21"/>
        </w:rPr>
        <w:t>我方仔细研究了</w:t>
      </w:r>
      <w:r>
        <w:rPr>
          <w:rFonts w:hint="eastAsia" w:hAnsi="宋体" w:cs="宋体"/>
          <w:color w:val="auto"/>
          <w:szCs w:val="21"/>
          <w:u w:val="single"/>
        </w:rPr>
        <w:t>（采购项目名称</w:t>
      </w:r>
      <w:r>
        <w:rPr>
          <w:rFonts w:hint="eastAsia" w:hAnsi="宋体" w:cs="宋体"/>
          <w:color w:val="auto"/>
          <w:szCs w:val="21"/>
          <w:u w:val="single"/>
          <w:lang w:eastAsia="zh-CN"/>
        </w:rPr>
        <w:t>）</w:t>
      </w:r>
      <w:r>
        <w:rPr>
          <w:rFonts w:hAnsi="宋体" w:cs="宋体"/>
          <w:color w:val="auto"/>
          <w:szCs w:val="21"/>
          <w:u w:val="single"/>
        </w:rPr>
        <w:t xml:space="preserve"> </w:t>
      </w:r>
      <w:r>
        <w:rPr>
          <w:rFonts w:hint="eastAsia" w:hAnsi="宋体" w:cs="宋体"/>
          <w:color w:val="auto"/>
          <w:szCs w:val="21"/>
          <w:u w:val="single"/>
        </w:rPr>
        <w:t>（项目编号：</w:t>
      </w:r>
      <w:r>
        <w:rPr>
          <w:rFonts w:hAnsi="宋体" w:cs="宋体"/>
          <w:color w:val="auto"/>
          <w:szCs w:val="21"/>
          <w:u w:val="single"/>
        </w:rPr>
        <w:t xml:space="preserve">        </w:t>
      </w:r>
      <w:r>
        <w:rPr>
          <w:rFonts w:hint="eastAsia" w:hAnsi="宋体" w:cs="宋体"/>
          <w:color w:val="auto"/>
          <w:szCs w:val="21"/>
          <w:u w:val="single"/>
        </w:rPr>
        <w:t>）</w:t>
      </w:r>
      <w:r>
        <w:rPr>
          <w:rFonts w:hint="eastAsia" w:hAnsi="宋体" w:cs="宋体"/>
          <w:color w:val="auto"/>
          <w:szCs w:val="21"/>
        </w:rPr>
        <w:t>项目招标文件的全部内容，正式授权</w:t>
      </w:r>
      <w:r>
        <w:rPr>
          <w:rFonts w:hAnsi="宋体" w:cs="宋体"/>
          <w:color w:val="auto"/>
          <w:szCs w:val="21"/>
          <w:u w:val="single"/>
        </w:rPr>
        <w:t xml:space="preserve">   </w:t>
      </w:r>
      <w:r>
        <w:rPr>
          <w:rFonts w:hint="eastAsia" w:hAnsi="宋体" w:cs="宋体"/>
          <w:color w:val="auto"/>
          <w:szCs w:val="21"/>
          <w:u w:val="single"/>
        </w:rPr>
        <w:t>（姓名和职务）</w:t>
      </w:r>
      <w:r>
        <w:rPr>
          <w:rFonts w:hAnsi="宋体" w:cs="宋体"/>
          <w:color w:val="auto"/>
          <w:szCs w:val="21"/>
          <w:u w:val="single"/>
        </w:rPr>
        <w:t xml:space="preserve">     </w:t>
      </w:r>
      <w:r>
        <w:rPr>
          <w:rFonts w:hint="eastAsia" w:hAnsi="宋体" w:cs="宋体"/>
          <w:color w:val="auto"/>
          <w:szCs w:val="21"/>
        </w:rPr>
        <w:t>全权代表投标人</w:t>
      </w:r>
      <w:r>
        <w:rPr>
          <w:rFonts w:hAnsi="宋体" w:cs="宋体"/>
          <w:color w:val="auto"/>
          <w:szCs w:val="21"/>
          <w:u w:val="single"/>
        </w:rPr>
        <w:t xml:space="preserve">  </w:t>
      </w:r>
      <w:r>
        <w:rPr>
          <w:rFonts w:hint="eastAsia" w:hAnsi="宋体" w:cs="宋体"/>
          <w:color w:val="auto"/>
          <w:szCs w:val="21"/>
          <w:u w:val="single"/>
        </w:rPr>
        <w:t>（投标人全称）</w:t>
      </w:r>
      <w:r>
        <w:rPr>
          <w:rFonts w:hAnsi="宋体" w:cs="宋体"/>
          <w:color w:val="auto"/>
          <w:szCs w:val="21"/>
          <w:u w:val="single"/>
        </w:rPr>
        <w:t xml:space="preserve">   </w:t>
      </w:r>
      <w:r>
        <w:rPr>
          <w:rFonts w:hint="eastAsia" w:hAnsi="宋体" w:cs="宋体"/>
          <w:color w:val="auto"/>
          <w:szCs w:val="21"/>
        </w:rPr>
        <w:t>参加投标，并提交电子投标文件。</w:t>
      </w:r>
    </w:p>
    <w:p w14:paraId="62332279">
      <w:pPr>
        <w:pStyle w:val="22"/>
        <w:spacing w:line="276" w:lineRule="auto"/>
        <w:ind w:firstLine="420"/>
        <w:rPr>
          <w:rFonts w:hAnsi="宋体" w:cs="宋体"/>
          <w:color w:val="auto"/>
          <w:szCs w:val="21"/>
        </w:rPr>
      </w:pPr>
      <w:r>
        <w:rPr>
          <w:rFonts w:hint="eastAsia" w:hAnsi="宋体" w:cs="宋体"/>
          <w:color w:val="auto"/>
          <w:szCs w:val="21"/>
        </w:rPr>
        <w:t>据此函，我公司兹宣布同意如下：</w:t>
      </w:r>
    </w:p>
    <w:p w14:paraId="707E4B57">
      <w:pPr>
        <w:pStyle w:val="22"/>
        <w:wordWrap w:val="0"/>
        <w:spacing w:line="276" w:lineRule="auto"/>
        <w:ind w:left="10" w:firstLine="409" w:firstLineChars="195"/>
        <w:rPr>
          <w:rFonts w:hAnsi="宋体" w:cs="宋体"/>
          <w:color w:val="auto"/>
          <w:szCs w:val="21"/>
        </w:rPr>
      </w:pPr>
      <w:r>
        <w:rPr>
          <w:rFonts w:hAnsi="宋体" w:cs="宋体"/>
          <w:color w:val="auto"/>
          <w:szCs w:val="21"/>
        </w:rPr>
        <w:t>1</w:t>
      </w:r>
      <w:r>
        <w:rPr>
          <w:rFonts w:hint="eastAsia" w:hAnsi="宋体" w:cs="宋体"/>
          <w:color w:val="auto"/>
          <w:szCs w:val="21"/>
        </w:rPr>
        <w:t>．按招标文件采购需求及技术要求，我方投标报价（大写）</w:t>
      </w:r>
      <w:r>
        <w:rPr>
          <w:rFonts w:hint="eastAsia" w:hAnsi="宋体" w:cs="宋体"/>
          <w:color w:val="auto"/>
          <w:szCs w:val="21"/>
          <w:u w:val="single"/>
        </w:rPr>
        <w:t xml:space="preserve">      </w:t>
      </w:r>
      <w:r>
        <w:rPr>
          <w:rFonts w:hint="eastAsia" w:hAnsi="宋体" w:cs="宋体"/>
          <w:color w:val="auto"/>
          <w:szCs w:val="21"/>
        </w:rPr>
        <w:t>，人民币</w:t>
      </w:r>
      <w:r>
        <w:rPr>
          <w:rFonts w:hint="eastAsia" w:hAnsi="宋体" w:cs="宋体"/>
          <w:color w:val="auto"/>
          <w:szCs w:val="21"/>
          <w:u w:val="single"/>
        </w:rPr>
        <w:t xml:space="preserve">      </w:t>
      </w:r>
      <w:r>
        <w:rPr>
          <w:rFonts w:hint="eastAsia" w:hAnsi="宋体" w:cs="宋体"/>
          <w:color w:val="auto"/>
          <w:szCs w:val="21"/>
        </w:rPr>
        <w:t>元，</w:t>
      </w:r>
      <w:r>
        <w:rPr>
          <w:rFonts w:hint="eastAsia"/>
          <w:color w:val="auto"/>
          <w:szCs w:val="21"/>
        </w:rPr>
        <w:t>项目实施期限：</w:t>
      </w:r>
      <w:r>
        <w:rPr>
          <w:rFonts w:hint="eastAsia"/>
          <w:color w:val="auto"/>
          <w:szCs w:val="21"/>
          <w:u w:val="single"/>
        </w:rPr>
        <w:t xml:space="preserve">             </w:t>
      </w:r>
      <w:r>
        <w:rPr>
          <w:rFonts w:hint="eastAsia" w:hAnsi="宋体" w:cs="宋体"/>
          <w:color w:val="auto"/>
          <w:szCs w:val="21"/>
        </w:rPr>
        <w:t>。</w:t>
      </w:r>
    </w:p>
    <w:p w14:paraId="595F2405">
      <w:pPr>
        <w:pStyle w:val="22"/>
        <w:spacing w:line="276" w:lineRule="auto"/>
        <w:ind w:firstLine="420"/>
        <w:rPr>
          <w:color w:val="auto"/>
          <w:spacing w:val="-10"/>
          <w:szCs w:val="21"/>
        </w:rPr>
      </w:pPr>
      <w:r>
        <w:rPr>
          <w:rFonts w:hAnsi="宋体" w:cs="宋体"/>
          <w:color w:val="auto"/>
          <w:szCs w:val="21"/>
        </w:rPr>
        <w:t>2</w:t>
      </w:r>
      <w:r>
        <w:rPr>
          <w:rFonts w:hint="eastAsia" w:hAnsi="宋体" w:cs="宋体"/>
          <w:color w:val="auto"/>
          <w:szCs w:val="21"/>
        </w:rPr>
        <w:t>．</w:t>
      </w:r>
      <w:r>
        <w:rPr>
          <w:rFonts w:hint="eastAsia" w:hAnsi="宋体" w:cs="宋体"/>
          <w:color w:val="auto"/>
          <w:spacing w:val="-10"/>
          <w:szCs w:val="21"/>
        </w:rPr>
        <w:t>我方已详细审查招标文件及相关文件全部内容，包括</w:t>
      </w:r>
      <w:r>
        <w:rPr>
          <w:rFonts w:hint="eastAsia" w:hAnsi="宋体" w:cs="宋体"/>
          <w:color w:val="auto"/>
          <w:spacing w:val="-10"/>
          <w:szCs w:val="21"/>
          <w:u w:val="single"/>
        </w:rPr>
        <w:t>（澄清文件）</w:t>
      </w:r>
      <w:r>
        <w:rPr>
          <w:rFonts w:hAnsi="宋体" w:cs="宋体"/>
          <w:color w:val="auto"/>
          <w:spacing w:val="-10"/>
          <w:szCs w:val="21"/>
          <w:u w:val="single"/>
        </w:rPr>
        <w:t>(</w:t>
      </w:r>
      <w:r>
        <w:rPr>
          <w:rFonts w:hint="eastAsia" w:hAnsi="宋体" w:cs="宋体"/>
          <w:color w:val="auto"/>
          <w:spacing w:val="-10"/>
          <w:szCs w:val="21"/>
          <w:u w:val="single"/>
        </w:rPr>
        <w:t>如果有的话</w:t>
      </w:r>
      <w:r>
        <w:rPr>
          <w:rFonts w:hAnsi="宋体" w:cs="宋体"/>
          <w:color w:val="auto"/>
          <w:spacing w:val="-10"/>
          <w:szCs w:val="21"/>
          <w:u w:val="single"/>
        </w:rPr>
        <w:t>)</w:t>
      </w:r>
      <w:r>
        <w:rPr>
          <w:rFonts w:hint="eastAsia" w:hAnsi="宋体" w:cs="宋体"/>
          <w:color w:val="auto"/>
          <w:spacing w:val="-10"/>
          <w:szCs w:val="21"/>
        </w:rPr>
        <w:t>。我方完全理解招标文件及相关文件要求，并承担对这方面有不明及误解的后果。</w:t>
      </w:r>
    </w:p>
    <w:p w14:paraId="6C5CC17F">
      <w:pPr>
        <w:pStyle w:val="22"/>
        <w:spacing w:line="276" w:lineRule="auto"/>
        <w:ind w:firstLine="420"/>
        <w:rPr>
          <w:color w:val="auto"/>
          <w:szCs w:val="21"/>
        </w:rPr>
      </w:pPr>
      <w:r>
        <w:rPr>
          <w:color w:val="auto"/>
          <w:szCs w:val="21"/>
        </w:rPr>
        <w:t>3</w:t>
      </w:r>
      <w:r>
        <w:rPr>
          <w:rFonts w:hint="eastAsia"/>
          <w:color w:val="auto"/>
          <w:szCs w:val="21"/>
        </w:rPr>
        <w:t>．在投标人须知规定的开标日期起遵循本投标文件，并在投标人须知第</w:t>
      </w:r>
      <w:r>
        <w:rPr>
          <w:color w:val="auto"/>
          <w:szCs w:val="21"/>
        </w:rPr>
        <w:t>17.1</w:t>
      </w:r>
      <w:r>
        <w:rPr>
          <w:rFonts w:hint="eastAsia"/>
          <w:color w:val="auto"/>
          <w:szCs w:val="21"/>
        </w:rPr>
        <w:t>条规定的投标文件有效期满之前均具有约束力。</w:t>
      </w:r>
    </w:p>
    <w:p w14:paraId="5B5F55D4">
      <w:pPr>
        <w:pStyle w:val="22"/>
        <w:spacing w:line="276" w:lineRule="auto"/>
        <w:ind w:firstLine="420"/>
        <w:rPr>
          <w:color w:val="auto"/>
          <w:szCs w:val="21"/>
        </w:rPr>
      </w:pPr>
      <w:r>
        <w:rPr>
          <w:color w:val="auto"/>
          <w:szCs w:val="21"/>
        </w:rPr>
        <w:t>4</w:t>
      </w:r>
      <w:r>
        <w:rPr>
          <w:rFonts w:hint="eastAsia"/>
          <w:color w:val="auto"/>
          <w:szCs w:val="21"/>
        </w:rPr>
        <w:t>．同意招标文件中关于没收投标保证金的规定。</w:t>
      </w:r>
    </w:p>
    <w:p w14:paraId="017C117A">
      <w:pPr>
        <w:pStyle w:val="22"/>
        <w:spacing w:line="276" w:lineRule="auto"/>
        <w:ind w:firstLine="420"/>
        <w:rPr>
          <w:color w:val="auto"/>
          <w:szCs w:val="21"/>
        </w:rPr>
      </w:pPr>
      <w:r>
        <w:rPr>
          <w:color w:val="auto"/>
          <w:szCs w:val="21"/>
        </w:rPr>
        <w:t>5</w:t>
      </w:r>
      <w:r>
        <w:rPr>
          <w:rFonts w:hint="eastAsia"/>
          <w:color w:val="auto"/>
          <w:szCs w:val="21"/>
        </w:rPr>
        <w:t>．同意应贵方要求提供与本投标有关的任何数据或资料，并保证数据和资料的完整性和真实性。</w:t>
      </w:r>
    </w:p>
    <w:p w14:paraId="26CF754D">
      <w:pPr>
        <w:pStyle w:val="22"/>
        <w:spacing w:line="276" w:lineRule="auto"/>
        <w:ind w:firstLine="420"/>
        <w:rPr>
          <w:color w:val="auto"/>
          <w:szCs w:val="21"/>
        </w:rPr>
      </w:pPr>
      <w:r>
        <w:rPr>
          <w:color w:val="auto"/>
          <w:szCs w:val="21"/>
        </w:rPr>
        <w:t>6</w:t>
      </w:r>
      <w:r>
        <w:rPr>
          <w:rFonts w:hint="eastAsia"/>
          <w:color w:val="auto"/>
          <w:szCs w:val="21"/>
        </w:rPr>
        <w:t>．完全理解贵方不一定要接受最低报价的投标人为中标人的行为。</w:t>
      </w:r>
    </w:p>
    <w:p w14:paraId="43075D13">
      <w:pPr>
        <w:pStyle w:val="22"/>
        <w:spacing w:line="276" w:lineRule="auto"/>
        <w:ind w:firstLine="420"/>
        <w:rPr>
          <w:color w:val="auto"/>
          <w:szCs w:val="21"/>
        </w:rPr>
      </w:pPr>
      <w:r>
        <w:rPr>
          <w:color w:val="auto"/>
          <w:szCs w:val="21"/>
        </w:rPr>
        <w:t>7</w:t>
      </w:r>
      <w:r>
        <w:rPr>
          <w:rFonts w:hint="eastAsia"/>
          <w:color w:val="auto"/>
          <w:szCs w:val="21"/>
        </w:rPr>
        <w:t>．如我方中标：我方承诺在收到中标通知书后，在中标通知书规定的期限内与你方签订合同，并履行相应的合同责任和义务。</w:t>
      </w:r>
    </w:p>
    <w:p w14:paraId="17F6D52B">
      <w:pPr>
        <w:pStyle w:val="22"/>
        <w:spacing w:line="276" w:lineRule="auto"/>
        <w:ind w:firstLine="420"/>
        <w:rPr>
          <w:color w:val="auto"/>
          <w:szCs w:val="21"/>
        </w:rPr>
      </w:pPr>
      <w:r>
        <w:rPr>
          <w:color w:val="auto"/>
          <w:szCs w:val="21"/>
        </w:rPr>
        <w:t>8</w:t>
      </w:r>
      <w:r>
        <w:rPr>
          <w:rFonts w:hint="eastAsia"/>
          <w:color w:val="auto"/>
          <w:szCs w:val="21"/>
        </w:rPr>
        <w:t>．我方在此声明，所递交的投标文件及有关资料内容完整、真实和准确。</w:t>
      </w:r>
    </w:p>
    <w:p w14:paraId="26BB329B">
      <w:pPr>
        <w:pStyle w:val="22"/>
        <w:spacing w:line="276" w:lineRule="auto"/>
        <w:ind w:firstLine="420"/>
        <w:rPr>
          <w:color w:val="auto"/>
          <w:szCs w:val="21"/>
        </w:rPr>
      </w:pPr>
      <w:r>
        <w:rPr>
          <w:color w:val="auto"/>
          <w:szCs w:val="21"/>
        </w:rPr>
        <w:t>9</w:t>
      </w:r>
      <w:r>
        <w:rPr>
          <w:rFonts w:hint="eastAsia"/>
          <w:color w:val="auto"/>
          <w:szCs w:val="21"/>
        </w:rPr>
        <w:t>．</w:t>
      </w:r>
      <w:r>
        <w:rPr>
          <w:color w:val="auto"/>
          <w:szCs w:val="21"/>
          <w:u w:val="single"/>
        </w:rPr>
        <w:t xml:space="preserve">                                       </w:t>
      </w:r>
      <w:r>
        <w:rPr>
          <w:rFonts w:hint="eastAsia"/>
          <w:color w:val="auto"/>
          <w:szCs w:val="21"/>
        </w:rPr>
        <w:t>（其他补充说明）。</w:t>
      </w:r>
    </w:p>
    <w:p w14:paraId="20534136">
      <w:pPr>
        <w:pStyle w:val="22"/>
        <w:spacing w:line="276" w:lineRule="auto"/>
        <w:ind w:firstLine="420"/>
        <w:rPr>
          <w:color w:val="auto"/>
          <w:szCs w:val="21"/>
        </w:rPr>
      </w:pPr>
      <w:r>
        <w:rPr>
          <w:rFonts w:hint="eastAsia"/>
          <w:color w:val="auto"/>
          <w:szCs w:val="21"/>
        </w:rPr>
        <w:t>与本投标有关的正式通讯地址为：</w:t>
      </w:r>
    </w:p>
    <w:p w14:paraId="5868770E">
      <w:pPr>
        <w:pStyle w:val="22"/>
        <w:spacing w:line="276" w:lineRule="auto"/>
        <w:ind w:firstLine="420"/>
        <w:rPr>
          <w:color w:val="auto"/>
          <w:szCs w:val="21"/>
        </w:rPr>
      </w:pPr>
      <w:r>
        <w:rPr>
          <w:rFonts w:hint="eastAsia"/>
          <w:color w:val="auto"/>
          <w:szCs w:val="21"/>
        </w:rPr>
        <w:t>投标人地址：</w:t>
      </w:r>
    </w:p>
    <w:p w14:paraId="42EDE802">
      <w:pPr>
        <w:pStyle w:val="22"/>
        <w:spacing w:line="276" w:lineRule="auto"/>
        <w:ind w:firstLine="420"/>
        <w:rPr>
          <w:color w:val="auto"/>
          <w:szCs w:val="21"/>
        </w:rPr>
      </w:pPr>
      <w:r>
        <w:rPr>
          <w:rFonts w:hint="eastAsia"/>
          <w:color w:val="auto"/>
          <w:szCs w:val="21"/>
        </w:rPr>
        <w:t>邮政编码：</w:t>
      </w:r>
    </w:p>
    <w:p w14:paraId="1B435151">
      <w:pPr>
        <w:pStyle w:val="22"/>
        <w:spacing w:line="276" w:lineRule="auto"/>
        <w:ind w:firstLine="420"/>
        <w:rPr>
          <w:color w:val="auto"/>
          <w:szCs w:val="21"/>
        </w:rPr>
      </w:pPr>
      <w:r>
        <w:rPr>
          <w:rFonts w:hint="eastAsia"/>
          <w:color w:val="auto"/>
          <w:szCs w:val="21"/>
        </w:rPr>
        <w:t>电话：</w:t>
      </w:r>
    </w:p>
    <w:p w14:paraId="40BE08DE">
      <w:pPr>
        <w:pStyle w:val="22"/>
        <w:spacing w:line="276" w:lineRule="auto"/>
        <w:ind w:firstLine="420"/>
        <w:rPr>
          <w:color w:val="auto"/>
          <w:szCs w:val="21"/>
        </w:rPr>
      </w:pPr>
      <w:r>
        <w:rPr>
          <w:rFonts w:hint="eastAsia"/>
          <w:color w:val="auto"/>
          <w:szCs w:val="21"/>
        </w:rPr>
        <w:t>传真：</w:t>
      </w:r>
    </w:p>
    <w:p w14:paraId="45F53CEB">
      <w:pPr>
        <w:pStyle w:val="22"/>
        <w:spacing w:line="276" w:lineRule="auto"/>
        <w:ind w:firstLine="420"/>
        <w:rPr>
          <w:color w:val="auto"/>
          <w:szCs w:val="21"/>
        </w:rPr>
      </w:pPr>
      <w:r>
        <w:rPr>
          <w:rFonts w:hint="eastAsia"/>
          <w:color w:val="auto"/>
          <w:szCs w:val="21"/>
        </w:rPr>
        <w:t>开户名称：</w:t>
      </w:r>
    </w:p>
    <w:p w14:paraId="497B1070">
      <w:pPr>
        <w:pStyle w:val="22"/>
        <w:spacing w:line="276" w:lineRule="auto"/>
        <w:ind w:firstLine="420"/>
        <w:rPr>
          <w:color w:val="auto"/>
          <w:szCs w:val="21"/>
        </w:rPr>
      </w:pPr>
      <w:r>
        <w:rPr>
          <w:rFonts w:hint="eastAsia"/>
          <w:color w:val="auto"/>
          <w:szCs w:val="21"/>
        </w:rPr>
        <w:t>开户银行：</w:t>
      </w:r>
    </w:p>
    <w:p w14:paraId="363E4AE6">
      <w:pPr>
        <w:pStyle w:val="22"/>
        <w:spacing w:line="276" w:lineRule="auto"/>
        <w:ind w:firstLine="420"/>
        <w:rPr>
          <w:color w:val="auto"/>
          <w:szCs w:val="21"/>
        </w:rPr>
      </w:pPr>
      <w:r>
        <w:rPr>
          <w:rFonts w:hint="eastAsia"/>
          <w:color w:val="auto"/>
          <w:szCs w:val="21"/>
        </w:rPr>
        <w:t>账</w:t>
      </w:r>
      <w:r>
        <w:rPr>
          <w:color w:val="auto"/>
          <w:szCs w:val="21"/>
        </w:rPr>
        <w:t xml:space="preserve">    </w:t>
      </w:r>
      <w:r>
        <w:rPr>
          <w:rFonts w:hint="eastAsia"/>
          <w:color w:val="auto"/>
          <w:szCs w:val="21"/>
        </w:rPr>
        <w:t>号：</w:t>
      </w:r>
    </w:p>
    <w:p w14:paraId="638CAA7F">
      <w:pPr>
        <w:pStyle w:val="22"/>
        <w:spacing w:line="276" w:lineRule="auto"/>
        <w:ind w:firstLine="420"/>
        <w:rPr>
          <w:color w:val="auto"/>
          <w:szCs w:val="21"/>
        </w:rPr>
      </w:pPr>
    </w:p>
    <w:p w14:paraId="48749ADC">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67355448">
      <w:pPr>
        <w:spacing w:line="360" w:lineRule="auto"/>
        <w:ind w:firstLine="2" w:firstLineChars="1"/>
        <w:rPr>
          <w:rFonts w:hint="eastAsia" w:ascii="宋体" w:hAnsi="宋体"/>
          <w:color w:val="auto"/>
          <w:szCs w:val="21"/>
        </w:rPr>
      </w:pPr>
      <w:r>
        <w:rPr>
          <w:rFonts w:hint="eastAsia" w:ascii="宋体" w:hAnsi="宋体"/>
          <w:color w:val="auto"/>
          <w:szCs w:val="21"/>
        </w:rPr>
        <w:t>法定代表人（电子签名或电子签章）：</w:t>
      </w:r>
    </w:p>
    <w:p w14:paraId="383CC864">
      <w:pPr>
        <w:spacing w:line="360" w:lineRule="auto"/>
        <w:ind w:firstLine="2" w:firstLineChars="1"/>
        <w:rPr>
          <w:rFonts w:hAnsi="宋体"/>
          <w:color w:val="auto"/>
          <w:szCs w:val="21"/>
        </w:rPr>
      </w:pPr>
      <w:r>
        <w:rPr>
          <w:rFonts w:hint="eastAsia" w:hAnsi="宋体"/>
          <w:color w:val="auto"/>
          <w:szCs w:val="21"/>
        </w:rPr>
        <w:t>日期：</w:t>
      </w:r>
    </w:p>
    <w:p w14:paraId="459980D0">
      <w:pPr>
        <w:widowControl/>
        <w:jc w:val="left"/>
        <w:rPr>
          <w:rFonts w:ascii="宋体" w:hAnsi="宋体" w:cs="宋体"/>
          <w:b/>
          <w:color w:val="auto"/>
          <w:sz w:val="28"/>
          <w:szCs w:val="28"/>
        </w:rPr>
      </w:pPr>
    </w:p>
    <w:p w14:paraId="5C405FAF">
      <w:pPr>
        <w:widowControl/>
        <w:jc w:val="left"/>
        <w:rPr>
          <w:rFonts w:ascii="宋体" w:hAnsi="宋体" w:cs="宋体"/>
          <w:b/>
          <w:color w:val="auto"/>
          <w:sz w:val="28"/>
          <w:szCs w:val="28"/>
        </w:rPr>
      </w:pPr>
      <w:r>
        <w:rPr>
          <w:rFonts w:hint="eastAsia" w:ascii="宋体" w:hAnsi="宋体" w:cs="宋体"/>
          <w:b/>
          <w:color w:val="auto"/>
          <w:sz w:val="28"/>
          <w:szCs w:val="28"/>
        </w:rPr>
        <w:br w:type="page"/>
      </w:r>
    </w:p>
    <w:p w14:paraId="2BE064D6">
      <w:pPr>
        <w:widowControl/>
        <w:jc w:val="left"/>
        <w:rPr>
          <w:rFonts w:ascii="宋体" w:hAnsi="宋体" w:cs="宋体"/>
          <w:b/>
          <w:color w:val="auto"/>
          <w:sz w:val="28"/>
          <w:szCs w:val="28"/>
        </w:rPr>
      </w:pPr>
      <w:r>
        <w:rPr>
          <w:rFonts w:hint="eastAsia" w:ascii="宋体" w:hAnsi="宋体" w:cs="宋体"/>
          <w:b/>
          <w:color w:val="auto"/>
          <w:sz w:val="28"/>
          <w:szCs w:val="28"/>
        </w:rPr>
        <w:t>格式11</w:t>
      </w:r>
    </w:p>
    <w:p w14:paraId="4377CD01">
      <w:pPr>
        <w:keepNext/>
        <w:keepLines/>
        <w:spacing w:before="120" w:after="120" w:line="360" w:lineRule="auto"/>
        <w:jc w:val="center"/>
        <w:outlineLvl w:val="1"/>
        <w:rPr>
          <w:rFonts w:hAnsi="宋体" w:cs="宋体"/>
          <w:b/>
          <w:bCs/>
          <w:color w:val="auto"/>
          <w:sz w:val="28"/>
          <w:szCs w:val="32"/>
        </w:rPr>
      </w:pPr>
      <w:r>
        <w:rPr>
          <w:rFonts w:hint="eastAsia" w:hAnsi="宋体" w:cs="宋体"/>
          <w:b/>
          <w:bCs/>
          <w:color w:val="auto"/>
          <w:sz w:val="28"/>
          <w:szCs w:val="32"/>
        </w:rPr>
        <w:t>服务方案</w:t>
      </w:r>
    </w:p>
    <w:p w14:paraId="6E93FD3B">
      <w:pPr>
        <w:jc w:val="center"/>
        <w:rPr>
          <w:rFonts w:ascii="宋体" w:hAnsi="宋体" w:cs="宋体"/>
          <w:color w:val="auto"/>
          <w:szCs w:val="21"/>
        </w:rPr>
      </w:pPr>
      <w:r>
        <w:rPr>
          <w:rFonts w:hint="eastAsia" w:hAnsi="宋体" w:cs="宋体"/>
          <w:bCs/>
          <w:color w:val="auto"/>
          <w:szCs w:val="21"/>
        </w:rPr>
        <w:t>（内容自拟）</w:t>
      </w:r>
    </w:p>
    <w:p w14:paraId="15AF3C92">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cs="宋体"/>
          <w:b/>
          <w:bCs/>
          <w:snapToGrid/>
          <w:color w:val="auto"/>
          <w:kern w:val="2"/>
          <w:sz w:val="21"/>
          <w:szCs w:val="21"/>
          <w:highlight w:val="none"/>
          <w:lang w:eastAsia="zh-CN"/>
        </w:rPr>
      </w:pPr>
      <w:r>
        <w:rPr>
          <w:rFonts w:hint="eastAsia" w:cs="宋体"/>
          <w:b/>
          <w:bCs/>
          <w:snapToGrid/>
          <w:color w:val="auto"/>
          <w:kern w:val="2"/>
          <w:sz w:val="21"/>
          <w:szCs w:val="21"/>
          <w:highlight w:val="none"/>
          <w:lang w:eastAsia="zh-CN"/>
        </w:rPr>
        <w:t>包括但不限于：</w:t>
      </w:r>
    </w:p>
    <w:p w14:paraId="46AC6D24">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outlineLvl w:val="9"/>
        <w:rPr>
          <w:rFonts w:hint="eastAsia" w:ascii="宋体" w:hAnsi="宋体" w:eastAsia="宋体" w:cs="宋体"/>
          <w:b/>
          <w:bCs/>
          <w:color w:val="auto"/>
          <w:szCs w:val="21"/>
          <w:highlight w:val="none"/>
          <w:lang w:eastAsia="zh-CN"/>
        </w:rPr>
      </w:pPr>
      <w:r>
        <w:rPr>
          <w:rFonts w:hint="eastAsia" w:ascii="宋体" w:hAnsi="宋体" w:eastAsia="宋体" w:cs="宋体"/>
          <w:b/>
          <w:bCs/>
          <w:szCs w:val="21"/>
          <w:highlight w:val="none"/>
        </w:rPr>
        <w:t>①需求分析与设计</w:t>
      </w:r>
      <w:r>
        <w:rPr>
          <w:rFonts w:hint="eastAsia" w:ascii="宋体" w:hAnsi="宋体" w:cs="宋体"/>
          <w:b/>
          <w:bCs/>
          <w:szCs w:val="21"/>
          <w:highlight w:val="none"/>
          <w:lang w:val="en-US" w:eastAsia="zh-CN"/>
        </w:rPr>
        <w:t>方案</w:t>
      </w:r>
      <w:r>
        <w:rPr>
          <w:rFonts w:hint="eastAsia" w:ascii="宋体" w:hAnsi="宋体" w:eastAsia="宋体" w:cs="宋体"/>
          <w:b/>
          <w:bCs/>
          <w:color w:val="auto"/>
          <w:szCs w:val="21"/>
          <w:highlight w:val="none"/>
          <w:lang w:eastAsia="zh-CN"/>
        </w:rPr>
        <w:t>；</w:t>
      </w:r>
    </w:p>
    <w:p w14:paraId="506491B4">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outlineLvl w:val="9"/>
        <w:rPr>
          <w:rFonts w:hint="eastAsia" w:ascii="宋体" w:hAnsi="宋体" w:eastAsia="宋体" w:cs="宋体"/>
          <w:b/>
          <w:bCs/>
          <w:color w:val="auto"/>
          <w:szCs w:val="21"/>
          <w:highlight w:val="none"/>
          <w:lang w:eastAsia="zh-CN"/>
        </w:rPr>
      </w:pPr>
      <w:r>
        <w:rPr>
          <w:rFonts w:hint="eastAsia" w:ascii="宋体" w:hAnsi="宋体" w:eastAsia="宋体" w:cs="宋体"/>
          <w:b/>
          <w:bCs/>
          <w:szCs w:val="21"/>
          <w:highlight w:val="none"/>
        </w:rPr>
        <w:t>②程序开发</w:t>
      </w:r>
      <w:r>
        <w:rPr>
          <w:rFonts w:hint="eastAsia" w:ascii="宋体" w:hAnsi="宋体" w:cs="宋体"/>
          <w:b/>
          <w:bCs/>
          <w:szCs w:val="21"/>
          <w:highlight w:val="none"/>
          <w:lang w:val="en-US" w:eastAsia="zh-CN"/>
        </w:rPr>
        <w:t>方案</w:t>
      </w:r>
      <w:r>
        <w:rPr>
          <w:rFonts w:hint="eastAsia" w:ascii="宋体" w:hAnsi="宋体" w:eastAsia="宋体" w:cs="宋体"/>
          <w:b/>
          <w:bCs/>
          <w:color w:val="auto"/>
          <w:szCs w:val="21"/>
          <w:highlight w:val="none"/>
          <w:lang w:eastAsia="zh-CN"/>
        </w:rPr>
        <w:t>；</w:t>
      </w:r>
    </w:p>
    <w:p w14:paraId="0E1B221A">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outlineLvl w:val="9"/>
        <w:rPr>
          <w:rFonts w:hint="eastAsia" w:ascii="宋体" w:hAnsi="宋体" w:eastAsia="宋体" w:cs="宋体"/>
          <w:b/>
          <w:bCs/>
          <w:color w:val="auto"/>
          <w:szCs w:val="21"/>
          <w:highlight w:val="none"/>
          <w:lang w:eastAsia="zh-CN"/>
        </w:rPr>
      </w:pPr>
      <w:r>
        <w:rPr>
          <w:rFonts w:hint="eastAsia" w:ascii="宋体" w:hAnsi="宋体" w:eastAsia="宋体" w:cs="宋体"/>
          <w:b/>
          <w:bCs/>
          <w:szCs w:val="21"/>
          <w:highlight w:val="none"/>
        </w:rPr>
        <w:t>③软件测试</w:t>
      </w:r>
      <w:r>
        <w:rPr>
          <w:rFonts w:hint="eastAsia" w:ascii="宋体" w:hAnsi="宋体" w:cs="宋体"/>
          <w:b/>
          <w:bCs/>
          <w:szCs w:val="21"/>
          <w:highlight w:val="none"/>
          <w:lang w:val="en-US" w:eastAsia="zh-CN"/>
        </w:rPr>
        <w:t>方案</w:t>
      </w:r>
      <w:r>
        <w:rPr>
          <w:rFonts w:hint="eastAsia" w:ascii="宋体" w:hAnsi="宋体" w:eastAsia="宋体" w:cs="宋体"/>
          <w:b/>
          <w:bCs/>
          <w:color w:val="auto"/>
          <w:szCs w:val="21"/>
          <w:highlight w:val="none"/>
          <w:lang w:eastAsia="zh-CN"/>
        </w:rPr>
        <w:t>；</w:t>
      </w:r>
    </w:p>
    <w:p w14:paraId="32068126">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outlineLvl w:val="9"/>
        <w:rPr>
          <w:rFonts w:hint="eastAsia" w:ascii="宋体" w:hAnsi="宋体" w:eastAsia="宋体" w:cs="宋体"/>
          <w:b/>
          <w:bCs/>
          <w:color w:val="auto"/>
          <w:szCs w:val="21"/>
          <w:highlight w:val="none"/>
          <w:lang w:eastAsia="zh-CN"/>
        </w:rPr>
      </w:pPr>
      <w:r>
        <w:rPr>
          <w:rFonts w:hint="eastAsia" w:ascii="宋体" w:hAnsi="宋体" w:eastAsia="宋体" w:cs="宋体"/>
          <w:b/>
          <w:bCs/>
          <w:szCs w:val="21"/>
          <w:highlight w:val="none"/>
        </w:rPr>
        <w:t>④部署实施</w:t>
      </w:r>
      <w:r>
        <w:rPr>
          <w:rFonts w:hint="eastAsia" w:ascii="宋体" w:hAnsi="宋体" w:cs="宋体"/>
          <w:b/>
          <w:bCs/>
          <w:szCs w:val="21"/>
          <w:highlight w:val="none"/>
          <w:lang w:val="en-US" w:eastAsia="zh-CN"/>
        </w:rPr>
        <w:t>方案</w:t>
      </w:r>
      <w:r>
        <w:rPr>
          <w:rFonts w:hint="eastAsia" w:ascii="宋体" w:hAnsi="宋体" w:eastAsia="宋体" w:cs="宋体"/>
          <w:b/>
          <w:bCs/>
          <w:color w:val="auto"/>
          <w:szCs w:val="21"/>
          <w:highlight w:val="none"/>
          <w:lang w:eastAsia="zh-CN"/>
        </w:rPr>
        <w:t>；</w:t>
      </w:r>
    </w:p>
    <w:p w14:paraId="6E7D04AD">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outlineLvl w:val="9"/>
        <w:rPr>
          <w:rFonts w:hint="default" w:ascii="宋体" w:hAnsi="宋体" w:eastAsia="宋体" w:cs="宋体"/>
          <w:b/>
          <w:bCs/>
          <w:color w:val="auto"/>
          <w:szCs w:val="21"/>
          <w:highlight w:val="none"/>
          <w:lang w:val="en-US" w:eastAsia="zh-CN"/>
        </w:rPr>
      </w:pPr>
      <w:r>
        <w:rPr>
          <w:rFonts w:hint="eastAsia" w:ascii="宋体" w:hAnsi="宋体" w:eastAsia="宋体" w:cs="宋体"/>
          <w:b/>
          <w:bCs/>
          <w:szCs w:val="21"/>
          <w:highlight w:val="none"/>
        </w:rPr>
        <w:t>⑤系统运行维护</w:t>
      </w:r>
      <w:r>
        <w:rPr>
          <w:rFonts w:hint="eastAsia" w:ascii="宋体" w:hAnsi="宋体" w:cs="宋体"/>
          <w:b/>
          <w:bCs/>
          <w:szCs w:val="21"/>
          <w:highlight w:val="none"/>
          <w:lang w:val="en-US" w:eastAsia="zh-CN"/>
        </w:rPr>
        <w:t>方案。</w:t>
      </w:r>
    </w:p>
    <w:p w14:paraId="62AC7B2B">
      <w:pPr>
        <w:pStyle w:val="22"/>
        <w:spacing w:line="276" w:lineRule="auto"/>
        <w:ind w:firstLine="2" w:firstLineChars="1"/>
        <w:rPr>
          <w:rFonts w:hAnsi="宋体"/>
          <w:color w:val="auto"/>
          <w:szCs w:val="21"/>
        </w:rPr>
      </w:pPr>
    </w:p>
    <w:p w14:paraId="6DDAC85C">
      <w:pPr>
        <w:pStyle w:val="22"/>
        <w:spacing w:line="276" w:lineRule="auto"/>
        <w:ind w:firstLine="2" w:firstLineChars="1"/>
        <w:rPr>
          <w:rFonts w:hAnsi="宋体"/>
          <w:color w:val="auto"/>
          <w:szCs w:val="21"/>
        </w:rPr>
      </w:pPr>
    </w:p>
    <w:p w14:paraId="0F816D90">
      <w:pPr>
        <w:pStyle w:val="22"/>
        <w:spacing w:line="276" w:lineRule="auto"/>
        <w:ind w:firstLine="2" w:firstLineChars="1"/>
        <w:rPr>
          <w:rFonts w:hAnsi="宋体"/>
          <w:color w:val="auto"/>
          <w:szCs w:val="21"/>
        </w:rPr>
      </w:pPr>
    </w:p>
    <w:p w14:paraId="06F030DB">
      <w:pPr>
        <w:pStyle w:val="22"/>
        <w:spacing w:line="276" w:lineRule="auto"/>
        <w:ind w:firstLine="2" w:firstLineChars="1"/>
        <w:rPr>
          <w:rFonts w:hAnsi="宋体"/>
          <w:color w:val="auto"/>
          <w:szCs w:val="21"/>
        </w:rPr>
      </w:pPr>
    </w:p>
    <w:p w14:paraId="582C806B">
      <w:pPr>
        <w:pStyle w:val="22"/>
        <w:spacing w:line="276" w:lineRule="auto"/>
        <w:ind w:firstLine="2" w:firstLineChars="1"/>
        <w:rPr>
          <w:rFonts w:hAnsi="宋体"/>
          <w:color w:val="auto"/>
          <w:szCs w:val="21"/>
        </w:rPr>
      </w:pPr>
    </w:p>
    <w:p w14:paraId="0571F4AA">
      <w:pPr>
        <w:pStyle w:val="22"/>
        <w:spacing w:line="276" w:lineRule="auto"/>
        <w:ind w:firstLine="2" w:firstLineChars="1"/>
        <w:rPr>
          <w:rFonts w:hAnsi="宋体"/>
          <w:color w:val="auto"/>
          <w:szCs w:val="21"/>
        </w:rPr>
      </w:pPr>
    </w:p>
    <w:p w14:paraId="2B4A4C23">
      <w:pPr>
        <w:pStyle w:val="22"/>
        <w:spacing w:line="276" w:lineRule="auto"/>
        <w:ind w:firstLine="2" w:firstLineChars="1"/>
        <w:rPr>
          <w:rFonts w:hAnsi="宋体"/>
          <w:color w:val="auto"/>
          <w:szCs w:val="21"/>
        </w:rPr>
      </w:pPr>
    </w:p>
    <w:p w14:paraId="05291EDF">
      <w:pPr>
        <w:rPr>
          <w:rFonts w:ascii="宋体" w:hAnsi="宋体"/>
          <w:color w:val="auto"/>
          <w:szCs w:val="21"/>
        </w:rPr>
      </w:pPr>
    </w:p>
    <w:p w14:paraId="557130BD">
      <w:pPr>
        <w:rPr>
          <w:rFonts w:ascii="宋体" w:hAnsi="宋体"/>
          <w:color w:val="auto"/>
          <w:szCs w:val="21"/>
        </w:rPr>
      </w:pPr>
    </w:p>
    <w:p w14:paraId="6B4E8126">
      <w:pPr>
        <w:rPr>
          <w:rFonts w:ascii="宋体" w:hAnsi="宋体"/>
          <w:color w:val="auto"/>
          <w:szCs w:val="21"/>
        </w:rPr>
      </w:pPr>
    </w:p>
    <w:p w14:paraId="44DA4D4D">
      <w:pPr>
        <w:rPr>
          <w:rFonts w:ascii="宋体" w:hAnsi="宋体"/>
          <w:color w:val="auto"/>
          <w:szCs w:val="21"/>
        </w:rPr>
      </w:pPr>
    </w:p>
    <w:p w14:paraId="29C8821A">
      <w:pPr>
        <w:pStyle w:val="22"/>
        <w:spacing w:line="276" w:lineRule="auto"/>
        <w:rPr>
          <w:rFonts w:hAnsi="宋体"/>
          <w:color w:val="auto"/>
          <w:szCs w:val="21"/>
        </w:rPr>
      </w:pPr>
    </w:p>
    <w:p w14:paraId="5F99708A">
      <w:pPr>
        <w:pStyle w:val="22"/>
        <w:spacing w:line="276" w:lineRule="auto"/>
        <w:ind w:firstLine="2" w:firstLineChars="1"/>
        <w:rPr>
          <w:rFonts w:hAnsi="宋体"/>
          <w:color w:val="auto"/>
          <w:szCs w:val="21"/>
        </w:rPr>
      </w:pPr>
    </w:p>
    <w:p w14:paraId="009AE115">
      <w:pPr>
        <w:pStyle w:val="22"/>
        <w:spacing w:line="276" w:lineRule="auto"/>
        <w:ind w:firstLine="2" w:firstLineChars="1"/>
        <w:rPr>
          <w:rFonts w:hAnsi="宋体"/>
          <w:color w:val="auto"/>
          <w:szCs w:val="21"/>
        </w:rPr>
      </w:pPr>
    </w:p>
    <w:p w14:paraId="31D00300">
      <w:pPr>
        <w:pStyle w:val="22"/>
        <w:spacing w:line="276" w:lineRule="auto"/>
        <w:ind w:firstLine="2" w:firstLineChars="1"/>
        <w:rPr>
          <w:rFonts w:hAnsi="宋体"/>
          <w:color w:val="auto"/>
          <w:szCs w:val="21"/>
        </w:rPr>
      </w:pPr>
    </w:p>
    <w:p w14:paraId="4B392753">
      <w:pPr>
        <w:pStyle w:val="22"/>
        <w:spacing w:line="276" w:lineRule="auto"/>
        <w:ind w:firstLine="2" w:firstLineChars="1"/>
        <w:rPr>
          <w:rFonts w:hAnsi="宋体"/>
          <w:color w:val="auto"/>
          <w:szCs w:val="21"/>
        </w:rPr>
      </w:pPr>
    </w:p>
    <w:p w14:paraId="08028301">
      <w:pPr>
        <w:pStyle w:val="22"/>
        <w:spacing w:line="276" w:lineRule="auto"/>
        <w:ind w:firstLine="2" w:firstLineChars="1"/>
        <w:rPr>
          <w:rFonts w:hAnsi="宋体"/>
          <w:color w:val="auto"/>
          <w:szCs w:val="21"/>
        </w:rPr>
      </w:pPr>
    </w:p>
    <w:p w14:paraId="3B5705E6">
      <w:pPr>
        <w:pStyle w:val="22"/>
        <w:spacing w:line="276" w:lineRule="auto"/>
        <w:ind w:firstLine="2" w:firstLineChars="1"/>
        <w:rPr>
          <w:rFonts w:hAnsi="宋体"/>
          <w:color w:val="auto"/>
          <w:szCs w:val="21"/>
        </w:rPr>
      </w:pPr>
    </w:p>
    <w:p w14:paraId="6BEC19E7">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595FBE7B">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6392C6BE">
      <w:pPr>
        <w:rPr>
          <w:rFonts w:hint="eastAsia" w:ascii="宋体" w:hAnsi="宋体" w:cs="宋体"/>
          <w:b/>
          <w:color w:val="auto"/>
          <w:sz w:val="28"/>
          <w:szCs w:val="28"/>
        </w:rPr>
      </w:pPr>
      <w:r>
        <w:rPr>
          <w:rFonts w:hint="eastAsia" w:hAnsi="宋体"/>
          <w:color w:val="auto"/>
          <w:szCs w:val="21"/>
        </w:rPr>
        <w:t>日期：</w:t>
      </w:r>
      <w:r>
        <w:rPr>
          <w:rFonts w:hint="eastAsia" w:ascii="宋体" w:hAnsi="宋体" w:cs="宋体"/>
          <w:b/>
          <w:color w:val="auto"/>
          <w:sz w:val="28"/>
          <w:szCs w:val="28"/>
        </w:rPr>
        <w:br w:type="page"/>
      </w:r>
    </w:p>
    <w:p w14:paraId="76A06AED">
      <w:pPr>
        <w:widowControl/>
        <w:jc w:val="left"/>
        <w:rPr>
          <w:rFonts w:hint="default" w:ascii="宋体" w:hAnsi="宋体" w:eastAsia="宋体" w:cs="宋体"/>
          <w:b/>
          <w:i w:val="0"/>
          <w:iCs w:val="0"/>
          <w:sz w:val="28"/>
          <w:szCs w:val="28"/>
          <w:u w:val="none"/>
          <w:lang w:val="en-US" w:eastAsia="zh-CN"/>
        </w:rPr>
      </w:pPr>
      <w:r>
        <w:rPr>
          <w:rFonts w:hint="eastAsia" w:ascii="宋体" w:hAnsi="宋体" w:cs="宋体"/>
          <w:b/>
          <w:i w:val="0"/>
          <w:iCs w:val="0"/>
          <w:sz w:val="28"/>
          <w:szCs w:val="28"/>
          <w:u w:val="none"/>
        </w:rPr>
        <w:t>格式</w:t>
      </w:r>
      <w:r>
        <w:rPr>
          <w:rFonts w:hint="eastAsia" w:ascii="宋体" w:hAnsi="宋体" w:cs="宋体"/>
          <w:b/>
          <w:i w:val="0"/>
          <w:iCs w:val="0"/>
          <w:sz w:val="28"/>
          <w:szCs w:val="28"/>
          <w:u w:val="none"/>
          <w:lang w:val="en-US" w:eastAsia="zh-CN"/>
        </w:rPr>
        <w:t>12</w:t>
      </w:r>
    </w:p>
    <w:p w14:paraId="753A2D65">
      <w:pPr>
        <w:keepNext/>
        <w:keepLines/>
        <w:spacing w:before="120" w:after="120" w:line="360" w:lineRule="auto"/>
        <w:jc w:val="center"/>
        <w:outlineLvl w:val="1"/>
        <w:rPr>
          <w:rFonts w:hint="eastAsia" w:ascii="宋体" w:hAnsi="宋体" w:cs="宋体"/>
          <w:b/>
          <w:bCs/>
          <w:color w:val="auto"/>
          <w:sz w:val="28"/>
          <w:szCs w:val="32"/>
          <w:highlight w:val="none"/>
        </w:rPr>
      </w:pPr>
      <w:r>
        <w:rPr>
          <w:rFonts w:hint="eastAsia" w:ascii="宋体" w:hAnsi="宋体" w:cs="宋体"/>
          <w:b/>
          <w:bCs/>
          <w:color w:val="auto"/>
          <w:sz w:val="28"/>
          <w:szCs w:val="32"/>
          <w:highlight w:val="none"/>
        </w:rPr>
        <w:t>项目组成员配备表</w:t>
      </w:r>
    </w:p>
    <w:p w14:paraId="7517573B">
      <w:pPr>
        <w:pStyle w:val="14"/>
        <w:adjustRightInd w:val="0"/>
        <w:snapToGrid w:val="0"/>
        <w:spacing w:line="360" w:lineRule="auto"/>
        <w:rPr>
          <w:rFonts w:ascii="宋体" w:hAnsi="宋体" w:cs="宋体"/>
          <w:b/>
          <w:color w:val="auto"/>
          <w:szCs w:val="32"/>
        </w:rPr>
      </w:pPr>
      <w:r>
        <w:rPr>
          <w:rFonts w:hint="eastAsia" w:ascii="宋体" w:hAnsi="宋体" w:cs="宋体"/>
          <w:b/>
          <w:color w:val="auto"/>
          <w:szCs w:val="32"/>
        </w:rPr>
        <w:t>项目名称：</w:t>
      </w:r>
    </w:p>
    <w:p w14:paraId="6FBF1E70">
      <w:pPr>
        <w:pStyle w:val="14"/>
        <w:adjustRightInd w:val="0"/>
        <w:snapToGrid w:val="0"/>
        <w:spacing w:line="360" w:lineRule="auto"/>
        <w:rPr>
          <w:rFonts w:ascii="宋体" w:hAnsi="宋体" w:cs="宋体"/>
          <w:b/>
          <w:color w:val="auto"/>
          <w:szCs w:val="32"/>
        </w:rPr>
      </w:pPr>
      <w:r>
        <w:rPr>
          <w:rFonts w:hint="eastAsia" w:ascii="宋体" w:hAnsi="宋体" w:cs="宋体"/>
          <w:b/>
          <w:color w:val="auto"/>
          <w:szCs w:val="32"/>
        </w:rPr>
        <w:t>项目编号：</w:t>
      </w:r>
    </w:p>
    <w:tbl>
      <w:tblPr>
        <w:tblStyle w:val="41"/>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200"/>
        <w:gridCol w:w="660"/>
        <w:gridCol w:w="645"/>
        <w:gridCol w:w="690"/>
        <w:gridCol w:w="945"/>
        <w:gridCol w:w="1695"/>
        <w:gridCol w:w="2580"/>
      </w:tblGrid>
      <w:tr w14:paraId="2989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2D798BFA">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rPr>
            </w:pPr>
            <w:r>
              <w:rPr>
                <w:rFonts w:hint="eastAsia" w:ascii="宋体" w:hAnsi="宋体" w:cs="宋体"/>
                <w:b/>
                <w:bCs/>
                <w:color w:val="auto"/>
                <w:szCs w:val="21"/>
              </w:rPr>
              <w:t>序号</w:t>
            </w:r>
          </w:p>
        </w:tc>
        <w:tc>
          <w:tcPr>
            <w:tcW w:w="1200" w:type="dxa"/>
            <w:vAlign w:val="center"/>
          </w:tcPr>
          <w:p w14:paraId="4CD42454">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rPr>
            </w:pPr>
            <w:r>
              <w:rPr>
                <w:rFonts w:hint="eastAsia" w:ascii="宋体" w:hAnsi="宋体" w:cs="宋体"/>
                <w:b/>
                <w:bCs/>
                <w:color w:val="auto"/>
                <w:szCs w:val="21"/>
              </w:rPr>
              <w:t>姓名</w:t>
            </w:r>
          </w:p>
        </w:tc>
        <w:tc>
          <w:tcPr>
            <w:tcW w:w="660" w:type="dxa"/>
            <w:vAlign w:val="center"/>
          </w:tcPr>
          <w:p w14:paraId="0DD78231">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rPr>
            </w:pPr>
            <w:r>
              <w:rPr>
                <w:rFonts w:hint="eastAsia" w:ascii="宋体" w:hAnsi="宋体" w:cs="宋体"/>
                <w:b/>
                <w:bCs/>
                <w:color w:val="auto"/>
                <w:szCs w:val="21"/>
              </w:rPr>
              <w:t>性别</w:t>
            </w:r>
          </w:p>
        </w:tc>
        <w:tc>
          <w:tcPr>
            <w:tcW w:w="645" w:type="dxa"/>
            <w:vAlign w:val="center"/>
          </w:tcPr>
          <w:p w14:paraId="793209D2">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rPr>
            </w:pPr>
            <w:r>
              <w:rPr>
                <w:rFonts w:hint="eastAsia" w:ascii="宋体" w:hAnsi="宋体" w:cs="宋体"/>
                <w:b/>
                <w:bCs/>
                <w:color w:val="auto"/>
                <w:szCs w:val="21"/>
              </w:rPr>
              <w:t>年龄</w:t>
            </w:r>
          </w:p>
        </w:tc>
        <w:tc>
          <w:tcPr>
            <w:tcW w:w="690" w:type="dxa"/>
            <w:vAlign w:val="center"/>
          </w:tcPr>
          <w:p w14:paraId="37D586E4">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rPr>
            </w:pPr>
            <w:r>
              <w:rPr>
                <w:rFonts w:hint="eastAsia" w:ascii="宋体" w:hAnsi="宋体" w:cs="宋体"/>
                <w:b/>
                <w:bCs/>
                <w:color w:val="auto"/>
                <w:szCs w:val="21"/>
              </w:rPr>
              <w:t>学历</w:t>
            </w:r>
          </w:p>
        </w:tc>
        <w:tc>
          <w:tcPr>
            <w:tcW w:w="945" w:type="dxa"/>
            <w:vAlign w:val="center"/>
          </w:tcPr>
          <w:p w14:paraId="4A97BD6A">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rPr>
            </w:pPr>
            <w:r>
              <w:rPr>
                <w:rFonts w:hint="eastAsia" w:ascii="宋体" w:hAnsi="宋体" w:cs="宋体"/>
                <w:b/>
                <w:bCs/>
                <w:color w:val="auto"/>
                <w:szCs w:val="21"/>
              </w:rPr>
              <w:t>专业</w:t>
            </w:r>
          </w:p>
        </w:tc>
        <w:tc>
          <w:tcPr>
            <w:tcW w:w="1695" w:type="dxa"/>
            <w:vAlign w:val="center"/>
          </w:tcPr>
          <w:p w14:paraId="7AAC7206">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rPr>
            </w:pPr>
            <w:r>
              <w:rPr>
                <w:rFonts w:hint="eastAsia" w:ascii="宋体" w:hAnsi="宋体" w:cs="宋体"/>
                <w:b/>
                <w:bCs/>
                <w:color w:val="auto"/>
                <w:szCs w:val="21"/>
              </w:rPr>
              <w:t>技术职称</w:t>
            </w:r>
          </w:p>
        </w:tc>
        <w:tc>
          <w:tcPr>
            <w:tcW w:w="2580" w:type="dxa"/>
            <w:vAlign w:val="center"/>
          </w:tcPr>
          <w:p w14:paraId="6E6E23D0">
            <w:pPr>
              <w:keepNext w:val="0"/>
              <w:keepLines w:val="0"/>
              <w:suppressLineNumbers w:val="0"/>
              <w:spacing w:before="0" w:beforeAutospacing="0" w:after="0" w:afterAutospacing="0" w:line="360" w:lineRule="exact"/>
              <w:ind w:left="0" w:right="0"/>
              <w:jc w:val="center"/>
              <w:rPr>
                <w:rFonts w:hint="default" w:ascii="宋体" w:hAnsi="宋体" w:cs="宋体"/>
                <w:b/>
                <w:bCs/>
                <w:color w:val="auto"/>
                <w:szCs w:val="21"/>
              </w:rPr>
            </w:pPr>
            <w:r>
              <w:rPr>
                <w:rFonts w:hint="eastAsia" w:ascii="宋体" w:hAnsi="宋体" w:cs="宋体"/>
                <w:b/>
                <w:bCs/>
                <w:color w:val="auto"/>
                <w:szCs w:val="21"/>
              </w:rPr>
              <w:t>在本项目拟任职务或岗位</w:t>
            </w:r>
          </w:p>
        </w:tc>
      </w:tr>
      <w:tr w14:paraId="63AD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5C9E956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60392D9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4EEA890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6DD4D7A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2808AB5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3202A58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5FA472B2">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575D2741">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137B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41CE13F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0A29EB9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6147E76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49D5824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4898B34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458FCBA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259A8B36">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14CC025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1B58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154A4F1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489B96B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4F340F0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79A9ACE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7155C2A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33073BC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342B43E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68428191">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0654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02DC06F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12B0563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77FD6C0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3DC256F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45385B7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20727BC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5B3F832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0A7C593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58E3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7CB279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43B466F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5B9E364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21AA5FF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29F5ED68">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720EC8C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605158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646575A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7E1E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629DA523">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22C37C32">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6704A4D8">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3CF05EC1">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417B9B3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62C103F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05E033B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123568F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21A1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3DCE725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2EF4485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2AE844E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43AA23F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2EA2358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360F7ED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0BECB75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1170E165">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1C6A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039823C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774CD9B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4038202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6D1CF5C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23D79C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09DE4C58">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6977E18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3110E9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4A33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625460F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5D44DA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04392293">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7CA1E1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05B6FFD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4D2C17C5">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148241C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13274EF5">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7D57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5444C178">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7D462796">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61096C8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65A9E36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06A5A97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746EA2D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4126043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1E3F95D1">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r w14:paraId="2FDB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14:paraId="2DBAF28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200" w:type="dxa"/>
            <w:vAlign w:val="center"/>
          </w:tcPr>
          <w:p w14:paraId="437D289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60" w:type="dxa"/>
            <w:vAlign w:val="center"/>
          </w:tcPr>
          <w:p w14:paraId="25DDA02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45" w:type="dxa"/>
            <w:vAlign w:val="center"/>
          </w:tcPr>
          <w:p w14:paraId="46C3369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690" w:type="dxa"/>
            <w:vAlign w:val="center"/>
          </w:tcPr>
          <w:p w14:paraId="78C60722">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945" w:type="dxa"/>
            <w:vAlign w:val="center"/>
          </w:tcPr>
          <w:p w14:paraId="1BD1F19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1695" w:type="dxa"/>
            <w:vAlign w:val="center"/>
          </w:tcPr>
          <w:p w14:paraId="57F9B10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c>
          <w:tcPr>
            <w:tcW w:w="2580" w:type="dxa"/>
            <w:vAlign w:val="center"/>
          </w:tcPr>
          <w:p w14:paraId="683C2EF3">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rPr>
            </w:pPr>
          </w:p>
        </w:tc>
      </w:tr>
    </w:tbl>
    <w:p w14:paraId="263D8025">
      <w:pPr>
        <w:adjustRightInd w:val="0"/>
        <w:snapToGrid w:val="0"/>
        <w:spacing w:line="360" w:lineRule="auto"/>
        <w:rPr>
          <w:rFonts w:ascii="宋体" w:hAnsi="宋体" w:cs="宋体"/>
          <w:bCs/>
          <w:color w:val="auto"/>
          <w:szCs w:val="21"/>
        </w:rPr>
      </w:pPr>
      <w:r>
        <w:rPr>
          <w:rFonts w:hint="eastAsia" w:ascii="宋体" w:hAnsi="宋体" w:cs="宋体"/>
          <w:bCs/>
          <w:color w:val="auto"/>
          <w:szCs w:val="21"/>
        </w:rPr>
        <w:t>注：</w:t>
      </w:r>
    </w:p>
    <w:p w14:paraId="21264860">
      <w:pPr>
        <w:adjustRightInd w:val="0"/>
        <w:snapToGrid w:val="0"/>
        <w:spacing w:line="360" w:lineRule="auto"/>
        <w:rPr>
          <w:rFonts w:ascii="宋体" w:hAnsi="宋体" w:cs="宋体"/>
          <w:bCs/>
          <w:color w:val="auto"/>
          <w:szCs w:val="21"/>
        </w:rPr>
      </w:pPr>
      <w:r>
        <w:rPr>
          <w:rFonts w:hint="eastAsia" w:ascii="宋体" w:hAnsi="宋体" w:cs="宋体"/>
          <w:bCs/>
          <w:color w:val="auto"/>
          <w:szCs w:val="21"/>
        </w:rPr>
        <w:t>1.</w:t>
      </w:r>
      <w:r>
        <w:rPr>
          <w:rFonts w:hint="eastAsia" w:ascii="宋体" w:hAnsi="宋体" w:eastAsia="宋体" w:cs="宋体"/>
          <w:szCs w:val="21"/>
          <w:highlight w:val="none"/>
          <w:lang w:eastAsia="zh-CN"/>
        </w:rPr>
        <w:t>投标文件</w:t>
      </w:r>
      <w:r>
        <w:rPr>
          <w:rFonts w:hint="eastAsia" w:ascii="宋体" w:hAnsi="宋体" w:eastAsia="宋体" w:cs="宋体"/>
          <w:szCs w:val="21"/>
          <w:highlight w:val="none"/>
        </w:rPr>
        <w:t>中须提供《项目组成员配备表》及相对应的人员证明材料（扫描件加盖</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电子公章），人员证明材料为身份证、职称证或专业技术职业资格（资质）证书（如有）、</w:t>
      </w:r>
      <w:r>
        <w:rPr>
          <w:rFonts w:hint="eastAsia" w:ascii="宋体" w:hAnsi="宋体" w:cs="宋体"/>
          <w:szCs w:val="21"/>
          <w:highlight w:val="none"/>
          <w:lang w:val="en-US" w:eastAsia="zh-CN"/>
        </w:rPr>
        <w:t>学历证明材料、</w:t>
      </w:r>
      <w:r>
        <w:rPr>
          <w:rFonts w:hint="eastAsia" w:ascii="宋体" w:hAnsi="宋体" w:eastAsia="宋体" w:cs="宋体"/>
          <w:szCs w:val="21"/>
          <w:highlight w:val="none"/>
        </w:rPr>
        <w:t>劳动合同、社保缴纳证明（提供缴费所属时间在2024年01月至本项目</w:t>
      </w:r>
      <w:r>
        <w:rPr>
          <w:rFonts w:hint="eastAsia" w:ascii="宋体" w:hAnsi="宋体" w:eastAsia="宋体" w:cs="宋体"/>
          <w:szCs w:val="21"/>
          <w:highlight w:val="none"/>
          <w:lang w:eastAsia="zh-CN"/>
        </w:rPr>
        <w:t>投标文件</w:t>
      </w:r>
      <w:r>
        <w:rPr>
          <w:rFonts w:hint="eastAsia" w:ascii="宋体" w:hAnsi="宋体" w:eastAsia="宋体" w:cs="宋体"/>
          <w:szCs w:val="21"/>
          <w:highlight w:val="none"/>
        </w:rPr>
        <w:t>提交截止时间前任意3个月的社会保险费缴款书或银行电子缴税（费）凭证或社保管理部门出具的有效的缴款证明，社保缴纳证明中缴费单位须为</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本单位）。</w:t>
      </w:r>
    </w:p>
    <w:p w14:paraId="7EC22085">
      <w:pPr>
        <w:pStyle w:val="22"/>
        <w:spacing w:line="276" w:lineRule="auto"/>
        <w:ind w:firstLine="2" w:firstLineChars="1"/>
        <w:rPr>
          <w:rFonts w:hAnsi="宋体"/>
          <w:color w:val="auto"/>
          <w:szCs w:val="21"/>
        </w:rPr>
      </w:pPr>
      <w:r>
        <w:rPr>
          <w:rFonts w:hint="eastAsia" w:hAnsi="宋体" w:cs="宋体"/>
          <w:bCs/>
          <w:color w:val="auto"/>
          <w:szCs w:val="21"/>
        </w:rPr>
        <w:t>2.投标人可根据实际情况拓展本表。</w:t>
      </w:r>
    </w:p>
    <w:p w14:paraId="65D9F2AA">
      <w:pPr>
        <w:pStyle w:val="22"/>
        <w:spacing w:line="276" w:lineRule="auto"/>
        <w:ind w:firstLine="2" w:firstLineChars="1"/>
        <w:rPr>
          <w:rFonts w:hAnsi="宋体"/>
          <w:color w:val="auto"/>
          <w:szCs w:val="21"/>
        </w:rPr>
      </w:pPr>
    </w:p>
    <w:p w14:paraId="6548EDCC">
      <w:pPr>
        <w:pStyle w:val="22"/>
        <w:spacing w:line="276" w:lineRule="auto"/>
        <w:rPr>
          <w:rFonts w:hAnsi="宋体"/>
          <w:color w:val="auto"/>
          <w:szCs w:val="21"/>
        </w:rPr>
      </w:pPr>
    </w:p>
    <w:p w14:paraId="4484DDE7">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7F541CB9">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3ABF7642">
      <w:pPr>
        <w:rPr>
          <w:rFonts w:ascii="宋体" w:hAnsi="宋体" w:cs="宋体"/>
          <w:b/>
          <w:color w:val="auto"/>
          <w:sz w:val="28"/>
          <w:szCs w:val="28"/>
        </w:rPr>
      </w:pPr>
      <w:r>
        <w:rPr>
          <w:rFonts w:hint="eastAsia" w:hAnsi="宋体"/>
          <w:color w:val="auto"/>
          <w:szCs w:val="21"/>
        </w:rPr>
        <w:t>日期：</w:t>
      </w:r>
      <w:r>
        <w:rPr>
          <w:rFonts w:hint="eastAsia" w:ascii="宋体" w:hAnsi="宋体" w:cs="宋体"/>
          <w:b/>
          <w:color w:val="auto"/>
          <w:sz w:val="28"/>
          <w:szCs w:val="28"/>
        </w:rPr>
        <w:br w:type="page"/>
      </w:r>
    </w:p>
    <w:p w14:paraId="09E96BAB">
      <w:pPr>
        <w:widowControl/>
        <w:jc w:val="left"/>
        <w:rPr>
          <w:rFonts w:hint="default" w:ascii="宋体" w:hAnsi="宋体" w:eastAsia="宋体" w:cs="宋体"/>
          <w:b/>
          <w:i w:val="0"/>
          <w:iCs w:val="0"/>
          <w:sz w:val="28"/>
          <w:szCs w:val="28"/>
          <w:u w:val="none"/>
          <w:lang w:val="en-US" w:eastAsia="zh-CN"/>
        </w:rPr>
      </w:pPr>
      <w:r>
        <w:rPr>
          <w:rFonts w:hint="eastAsia" w:ascii="宋体" w:hAnsi="宋体" w:cs="宋体"/>
          <w:b/>
          <w:i w:val="0"/>
          <w:iCs w:val="0"/>
          <w:sz w:val="28"/>
          <w:szCs w:val="28"/>
          <w:u w:val="none"/>
        </w:rPr>
        <w:t>格式</w:t>
      </w:r>
      <w:r>
        <w:rPr>
          <w:rFonts w:hint="eastAsia" w:ascii="宋体" w:hAnsi="宋体" w:cs="宋体"/>
          <w:b/>
          <w:i w:val="0"/>
          <w:iCs w:val="0"/>
          <w:sz w:val="28"/>
          <w:szCs w:val="28"/>
          <w:u w:val="none"/>
          <w:lang w:val="en-US" w:eastAsia="zh-CN"/>
        </w:rPr>
        <w:t>12-1</w:t>
      </w:r>
    </w:p>
    <w:p w14:paraId="631C34DD">
      <w:pPr>
        <w:keepNext/>
        <w:keepLines/>
        <w:spacing w:before="120" w:after="120" w:line="360" w:lineRule="auto"/>
        <w:jc w:val="center"/>
        <w:outlineLvl w:val="1"/>
        <w:rPr>
          <w:rFonts w:hint="eastAsia" w:ascii="宋体" w:hAnsi="宋体" w:cs="宋体"/>
          <w:b/>
          <w:bCs/>
          <w:color w:val="auto"/>
          <w:sz w:val="28"/>
          <w:szCs w:val="32"/>
          <w:highlight w:val="none"/>
        </w:rPr>
      </w:pPr>
      <w:r>
        <w:rPr>
          <w:rFonts w:hint="eastAsia" w:ascii="宋体" w:hAnsi="宋体" w:cs="宋体"/>
          <w:b/>
          <w:bCs/>
          <w:color w:val="auto"/>
          <w:sz w:val="28"/>
          <w:szCs w:val="32"/>
          <w:highlight w:val="none"/>
        </w:rPr>
        <w:t>项目团队人员组成方案</w:t>
      </w:r>
    </w:p>
    <w:p w14:paraId="73426627">
      <w:pPr>
        <w:jc w:val="center"/>
        <w:rPr>
          <w:rFonts w:ascii="宋体" w:hAnsi="宋体" w:cs="宋体"/>
          <w:color w:val="auto"/>
          <w:szCs w:val="21"/>
        </w:rPr>
      </w:pPr>
      <w:r>
        <w:rPr>
          <w:rFonts w:hint="eastAsia" w:hAnsi="宋体" w:cs="宋体"/>
          <w:bCs/>
          <w:color w:val="auto"/>
          <w:szCs w:val="21"/>
        </w:rPr>
        <w:t>（内容自拟）</w:t>
      </w:r>
    </w:p>
    <w:p w14:paraId="02297B7B">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cs="宋体"/>
          <w:b/>
          <w:bCs/>
          <w:snapToGrid/>
          <w:color w:val="auto"/>
          <w:kern w:val="2"/>
          <w:sz w:val="21"/>
          <w:szCs w:val="21"/>
          <w:highlight w:val="none"/>
          <w:lang w:eastAsia="zh-CN"/>
        </w:rPr>
      </w:pPr>
      <w:r>
        <w:rPr>
          <w:rFonts w:hint="eastAsia" w:cs="宋体"/>
          <w:b/>
          <w:bCs/>
          <w:snapToGrid/>
          <w:color w:val="auto"/>
          <w:kern w:val="2"/>
          <w:sz w:val="21"/>
          <w:szCs w:val="21"/>
          <w:highlight w:val="none"/>
          <w:lang w:eastAsia="zh-CN"/>
        </w:rPr>
        <w:t>包括但不限于：</w:t>
      </w:r>
    </w:p>
    <w:p w14:paraId="69282767">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①人员职责划分；</w:t>
      </w:r>
    </w:p>
    <w:p w14:paraId="178EDC1E">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②人员管理。</w:t>
      </w:r>
    </w:p>
    <w:p w14:paraId="3E1A1A4A">
      <w:pPr>
        <w:pStyle w:val="22"/>
        <w:spacing w:line="276" w:lineRule="auto"/>
        <w:ind w:firstLine="2" w:firstLineChars="1"/>
        <w:rPr>
          <w:rFonts w:hAnsi="宋体"/>
          <w:color w:val="auto"/>
          <w:szCs w:val="21"/>
        </w:rPr>
      </w:pPr>
    </w:p>
    <w:p w14:paraId="4396B7D8">
      <w:pPr>
        <w:pStyle w:val="22"/>
        <w:spacing w:line="276" w:lineRule="auto"/>
        <w:rPr>
          <w:rFonts w:hAnsi="宋体"/>
          <w:color w:val="auto"/>
          <w:szCs w:val="21"/>
        </w:rPr>
      </w:pPr>
    </w:p>
    <w:p w14:paraId="7CA4FBA0">
      <w:pPr>
        <w:rPr>
          <w:rFonts w:hAnsi="宋体"/>
          <w:color w:val="auto"/>
          <w:szCs w:val="21"/>
        </w:rPr>
      </w:pPr>
    </w:p>
    <w:p w14:paraId="4391A3D8">
      <w:pPr>
        <w:pStyle w:val="2"/>
        <w:rPr>
          <w:rFonts w:hAnsi="宋体"/>
          <w:color w:val="auto"/>
          <w:szCs w:val="21"/>
        </w:rPr>
      </w:pPr>
    </w:p>
    <w:p w14:paraId="1BE76088">
      <w:pPr>
        <w:pStyle w:val="3"/>
        <w:rPr>
          <w:rFonts w:hAnsi="宋体"/>
          <w:color w:val="auto"/>
          <w:szCs w:val="21"/>
        </w:rPr>
      </w:pPr>
    </w:p>
    <w:p w14:paraId="0F6647FE">
      <w:pPr>
        <w:rPr>
          <w:rFonts w:hAnsi="宋体"/>
          <w:color w:val="auto"/>
          <w:szCs w:val="21"/>
        </w:rPr>
      </w:pPr>
    </w:p>
    <w:p w14:paraId="59132F06">
      <w:pPr>
        <w:pStyle w:val="2"/>
        <w:rPr>
          <w:rFonts w:hAnsi="宋体"/>
          <w:color w:val="auto"/>
          <w:szCs w:val="21"/>
        </w:rPr>
      </w:pPr>
    </w:p>
    <w:p w14:paraId="7B4090EC">
      <w:pPr>
        <w:pStyle w:val="3"/>
        <w:rPr>
          <w:rFonts w:hAnsi="宋体"/>
          <w:color w:val="auto"/>
          <w:szCs w:val="21"/>
        </w:rPr>
      </w:pPr>
    </w:p>
    <w:p w14:paraId="2E61DCA8">
      <w:pPr>
        <w:rPr>
          <w:rFonts w:hAnsi="宋体"/>
          <w:color w:val="auto"/>
          <w:szCs w:val="21"/>
        </w:rPr>
      </w:pPr>
    </w:p>
    <w:p w14:paraId="23C70EA9">
      <w:pPr>
        <w:pStyle w:val="2"/>
        <w:rPr>
          <w:rFonts w:hAnsi="宋体"/>
          <w:color w:val="auto"/>
          <w:szCs w:val="21"/>
        </w:rPr>
      </w:pPr>
    </w:p>
    <w:p w14:paraId="7F10D97C">
      <w:pPr>
        <w:pStyle w:val="3"/>
        <w:rPr>
          <w:rFonts w:hAnsi="宋体"/>
          <w:color w:val="auto"/>
          <w:szCs w:val="21"/>
        </w:rPr>
      </w:pPr>
    </w:p>
    <w:p w14:paraId="78BBA1A1">
      <w:pPr>
        <w:rPr>
          <w:rFonts w:hAnsi="宋体"/>
          <w:color w:val="auto"/>
          <w:szCs w:val="21"/>
        </w:rPr>
      </w:pPr>
    </w:p>
    <w:p w14:paraId="7856FA1A">
      <w:pPr>
        <w:pStyle w:val="2"/>
        <w:rPr>
          <w:rFonts w:hAnsi="宋体"/>
          <w:color w:val="auto"/>
          <w:szCs w:val="21"/>
        </w:rPr>
      </w:pPr>
    </w:p>
    <w:p w14:paraId="5EF5B791">
      <w:pPr>
        <w:pStyle w:val="3"/>
        <w:rPr>
          <w:rFonts w:hAnsi="宋体"/>
          <w:color w:val="auto"/>
          <w:szCs w:val="21"/>
        </w:rPr>
      </w:pPr>
    </w:p>
    <w:p w14:paraId="060FEE92">
      <w:pPr>
        <w:rPr>
          <w:rFonts w:hAnsi="宋体"/>
          <w:color w:val="auto"/>
          <w:szCs w:val="21"/>
        </w:rPr>
      </w:pPr>
    </w:p>
    <w:p w14:paraId="0AA9D9F0">
      <w:pPr>
        <w:pStyle w:val="2"/>
        <w:rPr>
          <w:rFonts w:hAnsi="宋体"/>
          <w:color w:val="auto"/>
          <w:szCs w:val="21"/>
        </w:rPr>
      </w:pPr>
    </w:p>
    <w:p w14:paraId="3CAF420B">
      <w:pPr>
        <w:pStyle w:val="3"/>
        <w:rPr>
          <w:rFonts w:hAnsi="宋体"/>
          <w:color w:val="auto"/>
          <w:szCs w:val="21"/>
        </w:rPr>
      </w:pPr>
    </w:p>
    <w:p w14:paraId="408C4564">
      <w:pPr>
        <w:rPr>
          <w:rFonts w:hAnsi="宋体"/>
          <w:color w:val="auto"/>
          <w:szCs w:val="21"/>
        </w:rPr>
      </w:pPr>
    </w:p>
    <w:p w14:paraId="0D2DB402">
      <w:pPr>
        <w:pStyle w:val="2"/>
        <w:rPr>
          <w:rFonts w:hAnsi="宋体"/>
          <w:color w:val="auto"/>
          <w:szCs w:val="21"/>
        </w:rPr>
      </w:pPr>
    </w:p>
    <w:p w14:paraId="4C312048">
      <w:pPr>
        <w:pStyle w:val="3"/>
        <w:rPr>
          <w:rFonts w:hAnsi="宋体"/>
          <w:color w:val="auto"/>
          <w:szCs w:val="21"/>
        </w:rPr>
      </w:pPr>
    </w:p>
    <w:p w14:paraId="30F20E76">
      <w:pPr>
        <w:rPr>
          <w:rFonts w:hAnsi="宋体"/>
          <w:color w:val="auto"/>
          <w:szCs w:val="21"/>
        </w:rPr>
      </w:pPr>
    </w:p>
    <w:p w14:paraId="1B2C1A69">
      <w:pPr>
        <w:pStyle w:val="2"/>
        <w:rPr>
          <w:rFonts w:hAnsi="宋体"/>
          <w:color w:val="auto"/>
          <w:szCs w:val="21"/>
        </w:rPr>
      </w:pPr>
    </w:p>
    <w:p w14:paraId="71BA01D3">
      <w:pPr>
        <w:pStyle w:val="3"/>
        <w:rPr>
          <w:rFonts w:hAnsi="宋体"/>
          <w:color w:val="auto"/>
          <w:szCs w:val="21"/>
        </w:rPr>
      </w:pPr>
    </w:p>
    <w:p w14:paraId="34C134E1">
      <w:pPr>
        <w:rPr>
          <w:rFonts w:hAnsi="宋体"/>
          <w:color w:val="auto"/>
          <w:szCs w:val="21"/>
        </w:rPr>
      </w:pPr>
    </w:p>
    <w:p w14:paraId="2CCE18A8">
      <w:pPr>
        <w:pStyle w:val="2"/>
        <w:rPr>
          <w:rFonts w:hAnsi="宋体"/>
          <w:color w:val="auto"/>
          <w:szCs w:val="21"/>
        </w:rPr>
      </w:pPr>
    </w:p>
    <w:p w14:paraId="6362100A">
      <w:pPr>
        <w:pStyle w:val="3"/>
        <w:rPr>
          <w:rFonts w:hAnsi="宋体"/>
          <w:color w:val="auto"/>
          <w:szCs w:val="21"/>
        </w:rPr>
      </w:pPr>
    </w:p>
    <w:p w14:paraId="73C2AFAB">
      <w:pPr>
        <w:rPr>
          <w:rFonts w:hAnsi="宋体"/>
          <w:color w:val="auto"/>
          <w:szCs w:val="21"/>
        </w:rPr>
      </w:pPr>
    </w:p>
    <w:p w14:paraId="2DFBF428">
      <w:pPr>
        <w:pStyle w:val="2"/>
      </w:pPr>
    </w:p>
    <w:p w14:paraId="2086D3A0">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5EF6402B">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098C3975">
      <w:pPr>
        <w:rPr>
          <w:rFonts w:ascii="宋体" w:hAnsi="宋体" w:cs="宋体"/>
          <w:b/>
          <w:color w:val="auto"/>
          <w:sz w:val="28"/>
          <w:szCs w:val="28"/>
        </w:rPr>
      </w:pPr>
      <w:r>
        <w:rPr>
          <w:rFonts w:hint="eastAsia" w:hAnsi="宋体"/>
          <w:color w:val="auto"/>
          <w:szCs w:val="21"/>
        </w:rPr>
        <w:t>日期：</w:t>
      </w:r>
      <w:r>
        <w:rPr>
          <w:rFonts w:hint="eastAsia" w:ascii="宋体" w:hAnsi="宋体" w:cs="宋体"/>
          <w:b/>
          <w:color w:val="auto"/>
          <w:sz w:val="28"/>
          <w:szCs w:val="28"/>
        </w:rPr>
        <w:br w:type="page"/>
      </w:r>
    </w:p>
    <w:p w14:paraId="55E144FE">
      <w:pPr>
        <w:spacing w:line="360" w:lineRule="auto"/>
        <w:rPr>
          <w:rFonts w:hint="eastAsia" w:ascii="宋体" w:hAnsi="宋体" w:eastAsia="宋体" w:cs="宋体"/>
          <w:b/>
          <w:color w:val="auto"/>
          <w:sz w:val="28"/>
          <w:szCs w:val="28"/>
          <w:lang w:eastAsia="zh-CN"/>
        </w:rPr>
      </w:pPr>
      <w:r>
        <w:rPr>
          <w:rFonts w:hint="eastAsia" w:ascii="宋体" w:hAnsi="宋体" w:cs="宋体"/>
          <w:b/>
          <w:color w:val="auto"/>
          <w:sz w:val="28"/>
          <w:szCs w:val="28"/>
        </w:rPr>
        <w:t>格式1</w:t>
      </w:r>
      <w:r>
        <w:rPr>
          <w:rFonts w:hint="eastAsia" w:ascii="宋体" w:hAnsi="宋体" w:cs="宋体"/>
          <w:b/>
          <w:color w:val="auto"/>
          <w:sz w:val="28"/>
          <w:szCs w:val="28"/>
          <w:lang w:val="en-US" w:eastAsia="zh-CN"/>
        </w:rPr>
        <w:t>3</w:t>
      </w:r>
    </w:p>
    <w:p w14:paraId="2E65D20B">
      <w:pPr>
        <w:keepNext/>
        <w:keepLines/>
        <w:spacing w:before="120" w:after="120" w:line="360" w:lineRule="auto"/>
        <w:ind w:left="425"/>
        <w:jc w:val="center"/>
        <w:outlineLvl w:val="1"/>
        <w:rPr>
          <w:rFonts w:ascii="宋体" w:hAnsi="宋体" w:cs="宋体"/>
          <w:b/>
          <w:bCs/>
          <w:color w:val="auto"/>
          <w:sz w:val="32"/>
          <w:szCs w:val="32"/>
        </w:rPr>
      </w:pPr>
      <w:bookmarkStart w:id="84" w:name="_Toc32045"/>
      <w:bookmarkStart w:id="85" w:name="_Toc32364"/>
      <w:bookmarkStart w:id="86" w:name="_Toc12942"/>
      <w:r>
        <w:rPr>
          <w:rFonts w:hint="eastAsia" w:ascii="宋体" w:hAnsi="宋体" w:cs="宋体"/>
          <w:b/>
          <w:bCs/>
          <w:color w:val="auto"/>
          <w:sz w:val="28"/>
          <w:szCs w:val="28"/>
        </w:rPr>
        <w:t>商务条款偏离表</w:t>
      </w:r>
      <w:bookmarkEnd w:id="84"/>
      <w:bookmarkEnd w:id="85"/>
      <w:bookmarkEnd w:id="86"/>
    </w:p>
    <w:p w14:paraId="2B159899">
      <w:pPr>
        <w:pStyle w:val="22"/>
        <w:rPr>
          <w:rFonts w:hAnsi="宋体" w:cs="宋体"/>
          <w:b/>
          <w:color w:val="auto"/>
          <w:szCs w:val="21"/>
        </w:rPr>
      </w:pPr>
      <w:r>
        <w:rPr>
          <w:rFonts w:hint="eastAsia" w:hAnsi="宋体" w:cs="宋体"/>
          <w:b/>
          <w:color w:val="auto"/>
          <w:szCs w:val="21"/>
        </w:rPr>
        <w:t>项目名称：</w:t>
      </w:r>
    </w:p>
    <w:p w14:paraId="61CE6C04">
      <w:pPr>
        <w:pStyle w:val="22"/>
        <w:rPr>
          <w:rFonts w:hAnsi="宋体" w:cs="宋体"/>
          <w:b/>
          <w:color w:val="auto"/>
          <w:szCs w:val="21"/>
        </w:rPr>
      </w:pPr>
      <w:r>
        <w:rPr>
          <w:rFonts w:hint="eastAsia" w:hAnsi="宋体" w:cs="宋体"/>
          <w:b/>
          <w:color w:val="auto"/>
          <w:szCs w:val="21"/>
        </w:rPr>
        <w:t>项目编号：</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63"/>
        <w:gridCol w:w="3203"/>
        <w:gridCol w:w="1367"/>
      </w:tblGrid>
      <w:tr w14:paraId="20B0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58C47F20">
            <w:pPr>
              <w:jc w:val="center"/>
              <w:rPr>
                <w:rFonts w:ascii="宋体" w:hAnsi="宋体" w:cs="宋体"/>
                <w:b/>
                <w:color w:val="auto"/>
                <w:szCs w:val="21"/>
              </w:rPr>
            </w:pPr>
            <w:r>
              <w:rPr>
                <w:rFonts w:hint="eastAsia" w:ascii="宋体" w:hAnsi="宋体" w:cs="宋体"/>
                <w:b/>
                <w:color w:val="auto"/>
                <w:szCs w:val="21"/>
              </w:rPr>
              <w:t>序号</w:t>
            </w:r>
          </w:p>
        </w:tc>
        <w:tc>
          <w:tcPr>
            <w:tcW w:w="3263" w:type="dxa"/>
            <w:vAlign w:val="center"/>
          </w:tcPr>
          <w:p w14:paraId="2114A562">
            <w:pPr>
              <w:jc w:val="center"/>
              <w:rPr>
                <w:rFonts w:ascii="宋体" w:hAnsi="宋体" w:cs="宋体"/>
                <w:b/>
                <w:color w:val="auto"/>
                <w:szCs w:val="21"/>
              </w:rPr>
            </w:pPr>
            <w:r>
              <w:rPr>
                <w:rFonts w:hint="eastAsia" w:ascii="宋体" w:hAnsi="宋体" w:cs="宋体"/>
                <w:b/>
                <w:color w:val="auto"/>
                <w:szCs w:val="21"/>
              </w:rPr>
              <w:t>招标文件商务条款</w:t>
            </w:r>
          </w:p>
        </w:tc>
        <w:tc>
          <w:tcPr>
            <w:tcW w:w="3203" w:type="dxa"/>
            <w:vAlign w:val="center"/>
          </w:tcPr>
          <w:p w14:paraId="1D27805E">
            <w:pPr>
              <w:jc w:val="center"/>
              <w:rPr>
                <w:rFonts w:ascii="宋体" w:hAnsi="宋体" w:cs="宋体"/>
                <w:b/>
                <w:color w:val="auto"/>
                <w:szCs w:val="21"/>
              </w:rPr>
            </w:pPr>
            <w:r>
              <w:rPr>
                <w:rFonts w:hint="eastAsia" w:ascii="宋体" w:hAnsi="宋体" w:cs="宋体"/>
                <w:b/>
                <w:color w:val="auto"/>
                <w:szCs w:val="21"/>
              </w:rPr>
              <w:t>投标文件响应情况</w:t>
            </w:r>
          </w:p>
        </w:tc>
        <w:tc>
          <w:tcPr>
            <w:tcW w:w="1367" w:type="dxa"/>
            <w:vAlign w:val="center"/>
          </w:tcPr>
          <w:p w14:paraId="33C72AD2">
            <w:pPr>
              <w:jc w:val="center"/>
              <w:rPr>
                <w:rFonts w:ascii="宋体" w:hAnsi="宋体" w:cs="宋体"/>
                <w:b/>
                <w:color w:val="auto"/>
                <w:szCs w:val="21"/>
              </w:rPr>
            </w:pPr>
            <w:r>
              <w:rPr>
                <w:rFonts w:hint="eastAsia" w:ascii="宋体" w:hAnsi="宋体" w:cs="宋体"/>
                <w:b/>
                <w:color w:val="auto"/>
                <w:szCs w:val="21"/>
              </w:rPr>
              <w:t>偏离</w:t>
            </w:r>
          </w:p>
        </w:tc>
      </w:tr>
      <w:tr w14:paraId="3A1E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3C28FE34">
            <w:pPr>
              <w:pStyle w:val="22"/>
              <w:rPr>
                <w:rFonts w:hAnsi="宋体" w:cs="宋体"/>
                <w:color w:val="auto"/>
                <w:szCs w:val="21"/>
              </w:rPr>
            </w:pPr>
          </w:p>
        </w:tc>
        <w:tc>
          <w:tcPr>
            <w:tcW w:w="3263" w:type="dxa"/>
          </w:tcPr>
          <w:p w14:paraId="3484E92D">
            <w:pPr>
              <w:pStyle w:val="22"/>
              <w:rPr>
                <w:rFonts w:hAnsi="宋体" w:cs="宋体"/>
                <w:color w:val="auto"/>
                <w:szCs w:val="21"/>
              </w:rPr>
            </w:pPr>
          </w:p>
        </w:tc>
        <w:tc>
          <w:tcPr>
            <w:tcW w:w="3203" w:type="dxa"/>
          </w:tcPr>
          <w:p w14:paraId="772069B4">
            <w:pPr>
              <w:pStyle w:val="22"/>
              <w:rPr>
                <w:rFonts w:hAnsi="宋体" w:cs="宋体"/>
                <w:color w:val="auto"/>
                <w:szCs w:val="21"/>
              </w:rPr>
            </w:pPr>
          </w:p>
        </w:tc>
        <w:tc>
          <w:tcPr>
            <w:tcW w:w="1367" w:type="dxa"/>
          </w:tcPr>
          <w:p w14:paraId="0B4A133C">
            <w:pPr>
              <w:pStyle w:val="22"/>
              <w:rPr>
                <w:rFonts w:hAnsi="宋体" w:cs="宋体"/>
                <w:color w:val="auto"/>
                <w:szCs w:val="21"/>
              </w:rPr>
            </w:pPr>
          </w:p>
        </w:tc>
      </w:tr>
      <w:tr w14:paraId="0699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343D20F3">
            <w:pPr>
              <w:pStyle w:val="22"/>
              <w:rPr>
                <w:rFonts w:hAnsi="宋体" w:cs="宋体"/>
                <w:color w:val="auto"/>
                <w:szCs w:val="21"/>
              </w:rPr>
            </w:pPr>
          </w:p>
        </w:tc>
        <w:tc>
          <w:tcPr>
            <w:tcW w:w="3263" w:type="dxa"/>
          </w:tcPr>
          <w:p w14:paraId="5B621717">
            <w:pPr>
              <w:pStyle w:val="22"/>
              <w:rPr>
                <w:rFonts w:hAnsi="宋体" w:cs="宋体"/>
                <w:color w:val="auto"/>
                <w:szCs w:val="21"/>
              </w:rPr>
            </w:pPr>
          </w:p>
        </w:tc>
        <w:tc>
          <w:tcPr>
            <w:tcW w:w="3203" w:type="dxa"/>
          </w:tcPr>
          <w:p w14:paraId="77C16D7A">
            <w:pPr>
              <w:pStyle w:val="22"/>
              <w:rPr>
                <w:rFonts w:hAnsi="宋体" w:cs="宋体"/>
                <w:color w:val="auto"/>
                <w:szCs w:val="21"/>
              </w:rPr>
            </w:pPr>
          </w:p>
        </w:tc>
        <w:tc>
          <w:tcPr>
            <w:tcW w:w="1367" w:type="dxa"/>
          </w:tcPr>
          <w:p w14:paraId="21404B8B">
            <w:pPr>
              <w:pStyle w:val="22"/>
              <w:rPr>
                <w:rFonts w:hAnsi="宋体" w:cs="宋体"/>
                <w:color w:val="auto"/>
                <w:szCs w:val="21"/>
              </w:rPr>
            </w:pPr>
          </w:p>
        </w:tc>
      </w:tr>
      <w:tr w14:paraId="4302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708F64CF">
            <w:pPr>
              <w:pStyle w:val="22"/>
              <w:rPr>
                <w:rFonts w:hAnsi="宋体" w:cs="宋体"/>
                <w:color w:val="auto"/>
                <w:szCs w:val="21"/>
              </w:rPr>
            </w:pPr>
          </w:p>
        </w:tc>
        <w:tc>
          <w:tcPr>
            <w:tcW w:w="3263" w:type="dxa"/>
          </w:tcPr>
          <w:p w14:paraId="57EA6F33">
            <w:pPr>
              <w:pStyle w:val="22"/>
              <w:rPr>
                <w:rFonts w:hAnsi="宋体" w:cs="宋体"/>
                <w:color w:val="auto"/>
                <w:szCs w:val="21"/>
              </w:rPr>
            </w:pPr>
          </w:p>
        </w:tc>
        <w:tc>
          <w:tcPr>
            <w:tcW w:w="3203" w:type="dxa"/>
          </w:tcPr>
          <w:p w14:paraId="4E4942CF">
            <w:pPr>
              <w:pStyle w:val="22"/>
              <w:rPr>
                <w:rFonts w:hAnsi="宋体" w:cs="宋体"/>
                <w:color w:val="auto"/>
                <w:szCs w:val="21"/>
              </w:rPr>
            </w:pPr>
          </w:p>
        </w:tc>
        <w:tc>
          <w:tcPr>
            <w:tcW w:w="1367" w:type="dxa"/>
          </w:tcPr>
          <w:p w14:paraId="71AF7DED">
            <w:pPr>
              <w:pStyle w:val="22"/>
              <w:rPr>
                <w:rFonts w:hAnsi="宋体" w:cs="宋体"/>
                <w:color w:val="auto"/>
                <w:szCs w:val="21"/>
              </w:rPr>
            </w:pPr>
          </w:p>
        </w:tc>
      </w:tr>
    </w:tbl>
    <w:p w14:paraId="2DA4C71A">
      <w:pPr>
        <w:pStyle w:val="140"/>
        <w:adjustRightInd w:val="0"/>
        <w:snapToGrid w:val="0"/>
        <w:spacing w:after="120"/>
        <w:ind w:firstLine="0" w:firstLineChars="0"/>
        <w:rPr>
          <w:rFonts w:ascii="宋体" w:hAnsi="宋体" w:cs="宋体"/>
          <w:color w:val="auto"/>
          <w:szCs w:val="21"/>
        </w:rPr>
      </w:pPr>
      <w:r>
        <w:rPr>
          <w:rFonts w:hint="eastAsia" w:ascii="宋体" w:hAnsi="宋体" w:cs="宋体"/>
          <w:color w:val="auto"/>
          <w:szCs w:val="21"/>
        </w:rPr>
        <w:t>注：</w:t>
      </w:r>
    </w:p>
    <w:p w14:paraId="68804E28">
      <w:pPr>
        <w:spacing w:line="360" w:lineRule="auto"/>
        <w:ind w:firstLine="2" w:firstLineChars="1"/>
        <w:jc w:val="left"/>
        <w:rPr>
          <w:rFonts w:ascii="宋体" w:hAnsi="宋体" w:cs="宋体"/>
          <w:color w:val="auto"/>
          <w:szCs w:val="21"/>
        </w:rPr>
      </w:pPr>
      <w:r>
        <w:rPr>
          <w:rFonts w:hint="eastAsia" w:ascii="宋体" w:hAnsi="宋体" w:cs="宋体"/>
          <w:color w:val="auto"/>
          <w:szCs w:val="21"/>
        </w:rPr>
        <w:t>1.表格中“序号”一列，投标人须逐条对应招标文件第三章《合同条款前附表》中的序号。</w:t>
      </w:r>
    </w:p>
    <w:p w14:paraId="393D9A68">
      <w:pPr>
        <w:spacing w:line="360" w:lineRule="auto"/>
        <w:ind w:firstLine="2" w:firstLineChars="1"/>
        <w:jc w:val="left"/>
        <w:rPr>
          <w:rFonts w:ascii="宋体" w:hAnsi="宋体" w:cs="宋体"/>
          <w:color w:val="auto"/>
          <w:szCs w:val="21"/>
        </w:rPr>
      </w:pPr>
      <w:r>
        <w:rPr>
          <w:rFonts w:hint="eastAsia" w:ascii="宋体" w:hAnsi="宋体" w:cs="宋体"/>
          <w:color w:val="auto"/>
          <w:szCs w:val="21"/>
        </w:rPr>
        <w:t>2.表格中“招标文件商务条款”一列，投标人须逐条对应招标文件第三章《合同条款前附表》中的商务条款。</w:t>
      </w:r>
    </w:p>
    <w:p w14:paraId="3A5A6204">
      <w:pPr>
        <w:spacing w:line="360" w:lineRule="auto"/>
        <w:ind w:firstLine="2" w:firstLineChars="1"/>
        <w:jc w:val="left"/>
        <w:rPr>
          <w:rFonts w:ascii="宋体" w:hAnsi="宋体" w:cs="宋体"/>
          <w:color w:val="auto"/>
          <w:szCs w:val="21"/>
        </w:rPr>
      </w:pPr>
      <w:r>
        <w:rPr>
          <w:rFonts w:hint="eastAsia" w:ascii="宋体" w:hAnsi="宋体" w:cs="宋体"/>
          <w:color w:val="auto"/>
          <w:szCs w:val="21"/>
        </w:rPr>
        <w:t>3.表格中“投标文件响应情况”一列，投标人须逐条对招标文件第三章《合同条款前附表》中的商务条款作出全面、真实的反映，若投标文件中响应情况与招标文件商务条款不符或无有效证明，而投标人又未在投标文件中作出说明和解释的，评标委员会在评审时可以视为不响应该条商务条款的规定。</w:t>
      </w:r>
    </w:p>
    <w:p w14:paraId="3582B27D">
      <w:pPr>
        <w:spacing w:line="360" w:lineRule="auto"/>
        <w:ind w:firstLine="2" w:firstLineChars="1"/>
        <w:jc w:val="left"/>
        <w:rPr>
          <w:rFonts w:ascii="宋体" w:hAnsi="宋体" w:cs="宋体"/>
          <w:color w:val="auto"/>
          <w:szCs w:val="21"/>
        </w:rPr>
      </w:pPr>
      <w:r>
        <w:rPr>
          <w:rFonts w:hint="eastAsia" w:ascii="宋体" w:hAnsi="宋体" w:cs="宋体"/>
          <w:color w:val="auto"/>
          <w:szCs w:val="21"/>
        </w:rPr>
        <w:t>4.表格中“偏离”一列，投标人只能如实填写“正偏离”、“负偏离”或“无偏离”。凡响应内容高于招标文件要求的，按“正偏离”填写；低于招标文件要求的，按“负偏离”填写；满足招标文件要求的，按“无偏离”填写。</w:t>
      </w:r>
    </w:p>
    <w:p w14:paraId="28BE6FBD">
      <w:pPr>
        <w:pStyle w:val="22"/>
        <w:spacing w:line="360" w:lineRule="auto"/>
        <w:rPr>
          <w:rFonts w:hAnsi="宋体" w:cs="宋体"/>
          <w:color w:val="auto"/>
          <w:szCs w:val="21"/>
        </w:rPr>
      </w:pPr>
      <w:r>
        <w:rPr>
          <w:rFonts w:hint="eastAsia" w:hAnsi="宋体" w:cs="宋体"/>
          <w:color w:val="auto"/>
          <w:szCs w:val="21"/>
        </w:rPr>
        <w:t>5.投标人可根据招标文件商务条款拓展本表，但不得改变格式。</w:t>
      </w:r>
    </w:p>
    <w:p w14:paraId="6B287F12">
      <w:pPr>
        <w:pStyle w:val="22"/>
        <w:spacing w:line="360" w:lineRule="auto"/>
        <w:rPr>
          <w:rFonts w:hAnsi="宋体" w:cs="宋体"/>
          <w:color w:val="auto"/>
          <w:szCs w:val="21"/>
        </w:rPr>
      </w:pPr>
    </w:p>
    <w:p w14:paraId="199C2398">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7A63F3E3">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07550305">
      <w:pPr>
        <w:widowControl/>
        <w:jc w:val="left"/>
        <w:rPr>
          <w:rFonts w:hAnsi="宋体"/>
          <w:color w:val="auto"/>
          <w:szCs w:val="21"/>
        </w:rPr>
      </w:pPr>
      <w:r>
        <w:rPr>
          <w:rFonts w:hint="eastAsia" w:hAnsi="宋体"/>
          <w:color w:val="auto"/>
          <w:szCs w:val="21"/>
        </w:rPr>
        <w:t>日期：</w:t>
      </w:r>
    </w:p>
    <w:p w14:paraId="1BA09F0E">
      <w:pPr>
        <w:rPr>
          <w:rFonts w:hAnsi="宋体"/>
          <w:color w:val="auto"/>
          <w:szCs w:val="21"/>
        </w:rPr>
      </w:pPr>
      <w:r>
        <w:rPr>
          <w:rFonts w:hint="eastAsia" w:hAnsi="宋体"/>
          <w:color w:val="auto"/>
          <w:szCs w:val="21"/>
        </w:rPr>
        <w:br w:type="page"/>
      </w:r>
    </w:p>
    <w:p w14:paraId="54D612D7">
      <w:pPr>
        <w:widowControl/>
        <w:jc w:val="left"/>
        <w:rPr>
          <w:rFonts w:hint="eastAsia" w:ascii="宋体" w:hAnsi="宋体" w:eastAsia="宋体" w:cs="宋体"/>
          <w:b/>
          <w:color w:val="auto"/>
          <w:sz w:val="28"/>
          <w:szCs w:val="28"/>
          <w:lang w:eastAsia="zh-CN"/>
        </w:rPr>
      </w:pPr>
      <w:r>
        <w:rPr>
          <w:rFonts w:hint="eastAsia" w:ascii="宋体" w:hAnsi="宋体" w:cs="宋体"/>
          <w:b/>
          <w:color w:val="auto"/>
          <w:sz w:val="28"/>
          <w:szCs w:val="28"/>
        </w:rPr>
        <w:t>格式1</w:t>
      </w:r>
      <w:r>
        <w:rPr>
          <w:rFonts w:hint="eastAsia" w:ascii="宋体" w:hAnsi="宋体" w:cs="宋体"/>
          <w:b/>
          <w:color w:val="auto"/>
          <w:sz w:val="28"/>
          <w:szCs w:val="28"/>
          <w:lang w:val="en-US" w:eastAsia="zh-CN"/>
        </w:rPr>
        <w:t>4</w:t>
      </w:r>
    </w:p>
    <w:p w14:paraId="457EB93C">
      <w:pPr>
        <w:autoSpaceDE w:val="0"/>
        <w:autoSpaceDN w:val="0"/>
        <w:adjustRightInd w:val="0"/>
        <w:spacing w:line="360" w:lineRule="auto"/>
        <w:jc w:val="center"/>
        <w:rPr>
          <w:rFonts w:hint="eastAsia" w:ascii="宋体" w:hAnsi="宋体" w:cs="宋体"/>
          <w:b/>
          <w:bCs/>
          <w:color w:val="auto"/>
          <w:sz w:val="28"/>
          <w:szCs w:val="32"/>
          <w:highlight w:val="none"/>
        </w:rPr>
      </w:pPr>
      <w:r>
        <w:rPr>
          <w:rFonts w:hint="eastAsia" w:ascii="宋体" w:hAnsi="宋体" w:cs="宋体"/>
          <w:b/>
          <w:bCs/>
          <w:color w:val="auto"/>
          <w:sz w:val="28"/>
          <w:szCs w:val="32"/>
          <w:highlight w:val="none"/>
        </w:rPr>
        <w:t>时间进度计划安排及应急响应</w:t>
      </w:r>
    </w:p>
    <w:p w14:paraId="3F603113">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snapToGrid/>
          <w:color w:val="auto"/>
          <w:kern w:val="2"/>
          <w:szCs w:val="21"/>
          <w:highlight w:val="none"/>
        </w:rPr>
        <w:t>(</w:t>
      </w:r>
      <w:r>
        <w:rPr>
          <w:rFonts w:hint="eastAsia" w:ascii="宋体" w:hAnsi="宋体" w:cs="宋体"/>
          <w:snapToGrid/>
          <w:color w:val="auto"/>
          <w:kern w:val="2"/>
          <w:szCs w:val="21"/>
          <w:highlight w:val="none"/>
          <w:lang w:eastAsia="zh-CN"/>
        </w:rPr>
        <w:t>内容自拟</w:t>
      </w:r>
      <w:r>
        <w:rPr>
          <w:rFonts w:hint="eastAsia" w:ascii="宋体" w:hAnsi="宋体" w:cs="宋体"/>
          <w:snapToGrid/>
          <w:color w:val="auto"/>
          <w:kern w:val="2"/>
          <w:szCs w:val="21"/>
          <w:highlight w:val="none"/>
        </w:rPr>
        <w:t>)</w:t>
      </w:r>
    </w:p>
    <w:p w14:paraId="39C25CF5">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cs="宋体"/>
          <w:b/>
          <w:bCs/>
          <w:snapToGrid/>
          <w:color w:val="auto"/>
          <w:kern w:val="2"/>
          <w:sz w:val="21"/>
          <w:szCs w:val="21"/>
          <w:highlight w:val="none"/>
          <w:lang w:eastAsia="zh-CN"/>
        </w:rPr>
      </w:pPr>
      <w:r>
        <w:rPr>
          <w:rFonts w:hint="eastAsia" w:cs="宋体"/>
          <w:b/>
          <w:bCs/>
          <w:snapToGrid/>
          <w:color w:val="auto"/>
          <w:kern w:val="2"/>
          <w:sz w:val="21"/>
          <w:szCs w:val="21"/>
          <w:highlight w:val="none"/>
          <w:lang w:eastAsia="zh-CN"/>
        </w:rPr>
        <w:t>包括但不限于：</w:t>
      </w:r>
    </w:p>
    <w:p w14:paraId="1D6FE765">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eastAsia="宋体" w:cs="宋体"/>
          <w:b/>
          <w:bCs/>
          <w:szCs w:val="21"/>
          <w:lang w:eastAsia="zh-CN"/>
          <w14:ligatures w14:val="none"/>
        </w:rPr>
      </w:pPr>
      <w:r>
        <w:rPr>
          <w:rFonts w:hint="eastAsia" w:ascii="宋体" w:hAnsi="宋体" w:eastAsia="宋体" w:cs="宋体"/>
          <w:b/>
          <w:bCs/>
          <w:szCs w:val="21"/>
          <w:lang w:eastAsia="zh-CN"/>
          <w14:ligatures w14:val="none"/>
        </w:rPr>
        <w:t>①时间进度管理方案；</w:t>
      </w:r>
    </w:p>
    <w:p w14:paraId="788F3CE4">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eastAsia="宋体" w:cs="宋体"/>
          <w:b/>
          <w:bCs/>
          <w:szCs w:val="21"/>
          <w:lang w:eastAsia="zh-CN"/>
          <w14:ligatures w14:val="none"/>
        </w:rPr>
      </w:pPr>
      <w:r>
        <w:rPr>
          <w:rFonts w:hint="eastAsia" w:ascii="宋体" w:hAnsi="宋体" w:eastAsia="宋体" w:cs="宋体"/>
          <w:b/>
          <w:bCs/>
          <w:szCs w:val="21"/>
          <w:lang w:eastAsia="zh-CN"/>
          <w14:ligatures w14:val="none"/>
        </w:rPr>
        <w:t>②进度计划保障措施；</w:t>
      </w:r>
    </w:p>
    <w:p w14:paraId="4E5843B0">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eastAsia="宋体" w:cs="宋体"/>
          <w:b/>
          <w:bCs/>
          <w:szCs w:val="21"/>
          <w:lang w:eastAsia="zh-CN"/>
          <w14:ligatures w14:val="none"/>
        </w:rPr>
      </w:pPr>
      <w:r>
        <w:rPr>
          <w:rFonts w:hint="eastAsia" w:ascii="宋体" w:hAnsi="宋体" w:eastAsia="宋体" w:cs="宋体"/>
          <w:b/>
          <w:bCs/>
          <w:szCs w:val="21"/>
          <w:lang w:eastAsia="zh-CN"/>
          <w14:ligatures w14:val="none"/>
        </w:rPr>
        <w:t>③应急响应时效。</w:t>
      </w:r>
    </w:p>
    <w:p w14:paraId="7159C739">
      <w:pPr>
        <w:spacing w:line="360" w:lineRule="auto"/>
        <w:ind w:firstLine="2" w:firstLineChars="1"/>
        <w:rPr>
          <w:rFonts w:hint="eastAsia" w:ascii="宋体" w:hAnsi="宋体"/>
          <w:color w:val="auto"/>
          <w:szCs w:val="21"/>
        </w:rPr>
      </w:pPr>
    </w:p>
    <w:p w14:paraId="43DF69A3">
      <w:pPr>
        <w:spacing w:line="360" w:lineRule="auto"/>
        <w:ind w:firstLine="2" w:firstLineChars="1"/>
        <w:rPr>
          <w:rFonts w:hint="eastAsia" w:ascii="宋体" w:hAnsi="宋体"/>
          <w:color w:val="auto"/>
          <w:szCs w:val="21"/>
        </w:rPr>
      </w:pPr>
    </w:p>
    <w:p w14:paraId="0B2063DC">
      <w:pPr>
        <w:spacing w:line="360" w:lineRule="auto"/>
        <w:ind w:firstLine="2" w:firstLineChars="1"/>
        <w:rPr>
          <w:rFonts w:hint="eastAsia" w:ascii="宋体" w:hAnsi="宋体"/>
          <w:color w:val="auto"/>
          <w:szCs w:val="21"/>
        </w:rPr>
      </w:pPr>
    </w:p>
    <w:p w14:paraId="55B220DA">
      <w:pPr>
        <w:spacing w:line="360" w:lineRule="auto"/>
        <w:ind w:firstLine="2" w:firstLineChars="1"/>
        <w:rPr>
          <w:rFonts w:hint="eastAsia" w:ascii="宋体" w:hAnsi="宋体"/>
          <w:color w:val="auto"/>
          <w:szCs w:val="21"/>
        </w:rPr>
      </w:pPr>
    </w:p>
    <w:p w14:paraId="76A04ABA">
      <w:pPr>
        <w:spacing w:line="360" w:lineRule="auto"/>
        <w:ind w:firstLine="2" w:firstLineChars="1"/>
        <w:rPr>
          <w:rFonts w:hint="eastAsia" w:ascii="宋体" w:hAnsi="宋体"/>
          <w:color w:val="auto"/>
          <w:szCs w:val="21"/>
        </w:rPr>
      </w:pPr>
    </w:p>
    <w:p w14:paraId="7FDDE439">
      <w:pPr>
        <w:spacing w:line="360" w:lineRule="auto"/>
        <w:ind w:firstLine="2" w:firstLineChars="1"/>
        <w:rPr>
          <w:rFonts w:hint="eastAsia" w:ascii="宋体" w:hAnsi="宋体"/>
          <w:color w:val="auto"/>
          <w:szCs w:val="21"/>
        </w:rPr>
      </w:pPr>
    </w:p>
    <w:p w14:paraId="44331EC8">
      <w:pPr>
        <w:spacing w:line="360" w:lineRule="auto"/>
        <w:ind w:firstLine="2" w:firstLineChars="1"/>
        <w:rPr>
          <w:rFonts w:hint="eastAsia" w:ascii="宋体" w:hAnsi="宋体"/>
          <w:color w:val="auto"/>
          <w:szCs w:val="21"/>
        </w:rPr>
      </w:pPr>
    </w:p>
    <w:p w14:paraId="74519508">
      <w:pPr>
        <w:spacing w:line="360" w:lineRule="auto"/>
        <w:ind w:firstLine="2" w:firstLineChars="1"/>
        <w:rPr>
          <w:rFonts w:hint="eastAsia" w:ascii="宋体" w:hAnsi="宋体"/>
          <w:color w:val="auto"/>
          <w:szCs w:val="21"/>
        </w:rPr>
      </w:pPr>
    </w:p>
    <w:p w14:paraId="6398FC29">
      <w:pPr>
        <w:spacing w:line="360" w:lineRule="auto"/>
        <w:ind w:firstLine="2" w:firstLineChars="1"/>
        <w:rPr>
          <w:rFonts w:hint="eastAsia" w:ascii="宋体" w:hAnsi="宋体"/>
          <w:color w:val="auto"/>
          <w:szCs w:val="21"/>
        </w:rPr>
      </w:pPr>
    </w:p>
    <w:p w14:paraId="23F97174">
      <w:pPr>
        <w:spacing w:line="360" w:lineRule="auto"/>
        <w:ind w:firstLine="2" w:firstLineChars="1"/>
        <w:rPr>
          <w:rFonts w:hint="eastAsia" w:ascii="宋体" w:hAnsi="宋体"/>
          <w:color w:val="auto"/>
          <w:szCs w:val="21"/>
        </w:rPr>
      </w:pPr>
    </w:p>
    <w:p w14:paraId="5D6F11D7">
      <w:pPr>
        <w:spacing w:line="360" w:lineRule="auto"/>
        <w:ind w:firstLine="2" w:firstLineChars="1"/>
        <w:rPr>
          <w:rFonts w:hint="eastAsia" w:ascii="宋体" w:hAnsi="宋体"/>
          <w:color w:val="auto"/>
          <w:szCs w:val="21"/>
        </w:rPr>
      </w:pPr>
    </w:p>
    <w:p w14:paraId="3F5A25A3">
      <w:pPr>
        <w:spacing w:line="360" w:lineRule="auto"/>
        <w:ind w:firstLine="2" w:firstLineChars="1"/>
        <w:rPr>
          <w:rFonts w:hint="eastAsia" w:ascii="宋体" w:hAnsi="宋体"/>
          <w:color w:val="auto"/>
          <w:szCs w:val="21"/>
        </w:rPr>
      </w:pPr>
    </w:p>
    <w:p w14:paraId="6DA8B081">
      <w:pPr>
        <w:spacing w:line="360" w:lineRule="auto"/>
        <w:ind w:firstLine="2" w:firstLineChars="1"/>
        <w:rPr>
          <w:rFonts w:hint="eastAsia" w:ascii="宋体" w:hAnsi="宋体"/>
          <w:color w:val="auto"/>
          <w:szCs w:val="21"/>
        </w:rPr>
      </w:pPr>
    </w:p>
    <w:p w14:paraId="3FC98ECB">
      <w:pPr>
        <w:spacing w:line="360" w:lineRule="auto"/>
        <w:ind w:firstLine="2" w:firstLineChars="1"/>
        <w:rPr>
          <w:rFonts w:hint="eastAsia" w:ascii="宋体" w:hAnsi="宋体"/>
          <w:color w:val="auto"/>
          <w:szCs w:val="21"/>
        </w:rPr>
      </w:pPr>
    </w:p>
    <w:p w14:paraId="100245BF">
      <w:pPr>
        <w:spacing w:line="360" w:lineRule="auto"/>
        <w:ind w:firstLine="2" w:firstLineChars="1"/>
        <w:rPr>
          <w:rFonts w:hint="eastAsia" w:ascii="宋体" w:hAnsi="宋体"/>
          <w:color w:val="auto"/>
          <w:szCs w:val="21"/>
        </w:rPr>
      </w:pPr>
    </w:p>
    <w:p w14:paraId="7B78B4F8">
      <w:pPr>
        <w:spacing w:line="360" w:lineRule="auto"/>
        <w:ind w:firstLine="2" w:firstLineChars="1"/>
        <w:rPr>
          <w:rFonts w:hint="eastAsia" w:ascii="宋体" w:hAnsi="宋体"/>
          <w:color w:val="auto"/>
          <w:szCs w:val="21"/>
        </w:rPr>
      </w:pPr>
    </w:p>
    <w:p w14:paraId="2F5B74FD">
      <w:pPr>
        <w:spacing w:line="360" w:lineRule="auto"/>
        <w:ind w:firstLine="2" w:firstLineChars="1"/>
        <w:rPr>
          <w:rFonts w:hint="eastAsia" w:ascii="宋体" w:hAnsi="宋体"/>
          <w:color w:val="auto"/>
          <w:szCs w:val="21"/>
        </w:rPr>
      </w:pPr>
    </w:p>
    <w:p w14:paraId="05FDCD9B">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11654440">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4792AC94">
      <w:pPr>
        <w:rPr>
          <w:rFonts w:ascii="宋体" w:hAnsi="宋体" w:cs="宋体"/>
          <w:b/>
          <w:color w:val="auto"/>
          <w:sz w:val="28"/>
          <w:szCs w:val="28"/>
        </w:rPr>
      </w:pPr>
      <w:r>
        <w:rPr>
          <w:rFonts w:hint="eastAsia" w:hAnsi="宋体"/>
          <w:color w:val="auto"/>
          <w:szCs w:val="21"/>
        </w:rPr>
        <w:t>日期：</w:t>
      </w:r>
      <w:r>
        <w:rPr>
          <w:rFonts w:hint="eastAsia" w:ascii="宋体" w:hAnsi="宋体" w:cs="宋体"/>
          <w:b/>
          <w:color w:val="auto"/>
          <w:sz w:val="28"/>
          <w:szCs w:val="28"/>
        </w:rPr>
        <w:br w:type="page"/>
      </w:r>
    </w:p>
    <w:p w14:paraId="38B72662">
      <w:pPr>
        <w:widowControl/>
        <w:jc w:val="left"/>
        <w:rPr>
          <w:rFonts w:hint="eastAsia" w:ascii="宋体" w:hAnsi="宋体" w:eastAsia="宋体" w:cs="宋体"/>
          <w:b/>
          <w:color w:val="auto"/>
          <w:sz w:val="28"/>
          <w:szCs w:val="28"/>
          <w:lang w:eastAsia="zh-CN"/>
        </w:rPr>
      </w:pPr>
      <w:r>
        <w:rPr>
          <w:rFonts w:hint="eastAsia" w:ascii="宋体" w:hAnsi="宋体" w:cs="宋体"/>
          <w:b/>
          <w:color w:val="auto"/>
          <w:sz w:val="28"/>
          <w:szCs w:val="28"/>
        </w:rPr>
        <w:t>格式1</w:t>
      </w:r>
      <w:r>
        <w:rPr>
          <w:rFonts w:hint="eastAsia" w:ascii="宋体" w:hAnsi="宋体" w:cs="宋体"/>
          <w:b/>
          <w:color w:val="auto"/>
          <w:sz w:val="28"/>
          <w:szCs w:val="28"/>
          <w:lang w:val="en-US" w:eastAsia="zh-CN"/>
        </w:rPr>
        <w:t>5</w:t>
      </w:r>
    </w:p>
    <w:p w14:paraId="3A55698D">
      <w:pPr>
        <w:autoSpaceDE w:val="0"/>
        <w:autoSpaceDN w:val="0"/>
        <w:adjustRightInd w:val="0"/>
        <w:spacing w:line="360" w:lineRule="auto"/>
        <w:jc w:val="center"/>
        <w:rPr>
          <w:rFonts w:hint="eastAsia" w:ascii="宋体" w:hAnsi="宋体" w:cs="宋体"/>
          <w:b/>
          <w:bCs/>
          <w:sz w:val="28"/>
          <w:szCs w:val="32"/>
        </w:rPr>
      </w:pPr>
      <w:r>
        <w:rPr>
          <w:rFonts w:hint="eastAsia" w:ascii="宋体" w:hAnsi="宋体" w:cs="宋体"/>
          <w:b/>
          <w:bCs/>
          <w:sz w:val="28"/>
          <w:szCs w:val="32"/>
        </w:rPr>
        <w:t>培训方案</w:t>
      </w:r>
    </w:p>
    <w:p w14:paraId="047B4476">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snapToGrid/>
          <w:color w:val="auto"/>
          <w:kern w:val="2"/>
          <w:szCs w:val="21"/>
          <w:highlight w:val="none"/>
        </w:rPr>
        <w:t>(</w:t>
      </w:r>
      <w:r>
        <w:rPr>
          <w:rFonts w:hint="eastAsia" w:ascii="宋体" w:hAnsi="宋体" w:cs="宋体"/>
          <w:snapToGrid/>
          <w:color w:val="auto"/>
          <w:kern w:val="2"/>
          <w:szCs w:val="21"/>
          <w:highlight w:val="none"/>
          <w:lang w:eastAsia="zh-CN"/>
        </w:rPr>
        <w:t>内容自拟</w:t>
      </w:r>
      <w:r>
        <w:rPr>
          <w:rFonts w:hint="eastAsia" w:ascii="宋体" w:hAnsi="宋体" w:cs="宋体"/>
          <w:snapToGrid/>
          <w:color w:val="auto"/>
          <w:kern w:val="2"/>
          <w:szCs w:val="21"/>
          <w:highlight w:val="none"/>
        </w:rPr>
        <w:t>)</w:t>
      </w:r>
    </w:p>
    <w:p w14:paraId="14EEC76B">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eastAsia="宋体" w:cs="宋体"/>
          <w:b/>
          <w:bCs/>
          <w:szCs w:val="21"/>
          <w:lang w:eastAsia="zh-CN"/>
          <w14:ligatures w14:val="none"/>
        </w:rPr>
      </w:pPr>
      <w:r>
        <w:rPr>
          <w:rFonts w:hint="eastAsia" w:ascii="宋体" w:hAnsi="宋体" w:eastAsia="宋体" w:cs="宋体"/>
          <w:b/>
          <w:bCs/>
          <w:szCs w:val="21"/>
          <w:lang w:eastAsia="zh-CN"/>
          <w14:ligatures w14:val="none"/>
        </w:rPr>
        <w:t>包括但不限于：</w:t>
      </w:r>
    </w:p>
    <w:p w14:paraId="72B0B61B">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eastAsia="宋体" w:cs="宋体"/>
          <w:b/>
          <w:bCs/>
          <w:szCs w:val="21"/>
          <w:lang w:eastAsia="zh-CN"/>
          <w14:ligatures w14:val="none"/>
        </w:rPr>
      </w:pPr>
      <w:r>
        <w:rPr>
          <w:rFonts w:hint="eastAsia" w:ascii="宋体" w:hAnsi="宋体" w:eastAsia="宋体" w:cs="宋体"/>
          <w:b/>
          <w:bCs/>
          <w:szCs w:val="21"/>
          <w:lang w:eastAsia="zh-CN"/>
          <w14:ligatures w14:val="none"/>
        </w:rPr>
        <w:t>①培训对象与方式；</w:t>
      </w:r>
    </w:p>
    <w:p w14:paraId="6C811BD7">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eastAsia="宋体" w:cs="宋体"/>
          <w:b/>
          <w:bCs/>
          <w:szCs w:val="21"/>
          <w:lang w:eastAsia="zh-CN"/>
          <w14:ligatures w14:val="none"/>
        </w:rPr>
      </w:pPr>
      <w:r>
        <w:rPr>
          <w:rFonts w:hint="eastAsia" w:ascii="宋体" w:hAnsi="宋体" w:eastAsia="宋体" w:cs="宋体"/>
          <w:b/>
          <w:bCs/>
          <w:szCs w:val="21"/>
          <w:lang w:eastAsia="zh-CN"/>
          <w14:ligatures w14:val="none"/>
        </w:rPr>
        <w:t>②培训课程安排与计划。</w:t>
      </w:r>
    </w:p>
    <w:p w14:paraId="4F476BD6">
      <w:pPr>
        <w:pStyle w:val="22"/>
        <w:spacing w:line="276" w:lineRule="auto"/>
        <w:ind w:firstLine="2" w:firstLineChars="1"/>
        <w:rPr>
          <w:rFonts w:hAnsi="宋体"/>
          <w:color w:val="auto"/>
          <w:szCs w:val="21"/>
        </w:rPr>
      </w:pPr>
    </w:p>
    <w:p w14:paraId="73408579">
      <w:pPr>
        <w:pStyle w:val="22"/>
        <w:spacing w:line="276" w:lineRule="auto"/>
        <w:ind w:firstLine="2" w:firstLineChars="1"/>
        <w:rPr>
          <w:rFonts w:hAnsi="宋体"/>
          <w:color w:val="auto"/>
          <w:szCs w:val="21"/>
        </w:rPr>
      </w:pPr>
    </w:p>
    <w:p w14:paraId="2A782B4D">
      <w:pPr>
        <w:pStyle w:val="22"/>
        <w:spacing w:line="276" w:lineRule="auto"/>
        <w:ind w:firstLine="2" w:firstLineChars="1"/>
        <w:rPr>
          <w:rFonts w:hAnsi="宋体"/>
          <w:color w:val="auto"/>
          <w:szCs w:val="21"/>
        </w:rPr>
      </w:pPr>
    </w:p>
    <w:p w14:paraId="697C4F62">
      <w:pPr>
        <w:pStyle w:val="22"/>
        <w:spacing w:line="276" w:lineRule="auto"/>
        <w:ind w:firstLine="2" w:firstLineChars="1"/>
        <w:rPr>
          <w:rFonts w:hAnsi="宋体"/>
          <w:color w:val="auto"/>
          <w:szCs w:val="21"/>
        </w:rPr>
      </w:pPr>
    </w:p>
    <w:p w14:paraId="00080021">
      <w:pPr>
        <w:pStyle w:val="22"/>
        <w:spacing w:line="276" w:lineRule="auto"/>
        <w:ind w:firstLine="2" w:firstLineChars="1"/>
        <w:rPr>
          <w:rFonts w:hAnsi="宋体"/>
          <w:color w:val="auto"/>
          <w:szCs w:val="21"/>
        </w:rPr>
      </w:pPr>
    </w:p>
    <w:p w14:paraId="4FE368DC">
      <w:pPr>
        <w:pStyle w:val="22"/>
        <w:spacing w:line="276" w:lineRule="auto"/>
        <w:ind w:firstLine="2" w:firstLineChars="1"/>
        <w:rPr>
          <w:rFonts w:hAnsi="宋体"/>
          <w:color w:val="auto"/>
          <w:szCs w:val="21"/>
        </w:rPr>
      </w:pPr>
    </w:p>
    <w:p w14:paraId="256C044D">
      <w:pPr>
        <w:pStyle w:val="22"/>
        <w:spacing w:line="276" w:lineRule="auto"/>
        <w:ind w:firstLine="2" w:firstLineChars="1"/>
        <w:rPr>
          <w:rFonts w:hAnsi="宋体"/>
          <w:color w:val="auto"/>
          <w:szCs w:val="21"/>
        </w:rPr>
      </w:pPr>
    </w:p>
    <w:p w14:paraId="5F0A0E2B">
      <w:pPr>
        <w:pStyle w:val="22"/>
        <w:spacing w:line="276" w:lineRule="auto"/>
        <w:ind w:firstLine="2" w:firstLineChars="1"/>
        <w:rPr>
          <w:rFonts w:hAnsi="宋体"/>
          <w:color w:val="auto"/>
          <w:szCs w:val="21"/>
        </w:rPr>
      </w:pPr>
    </w:p>
    <w:p w14:paraId="009CD5B3">
      <w:pPr>
        <w:pStyle w:val="22"/>
        <w:spacing w:line="276" w:lineRule="auto"/>
        <w:ind w:firstLine="2" w:firstLineChars="1"/>
        <w:rPr>
          <w:rFonts w:hAnsi="宋体"/>
          <w:color w:val="auto"/>
          <w:szCs w:val="21"/>
        </w:rPr>
      </w:pPr>
    </w:p>
    <w:p w14:paraId="7E5C3AF4">
      <w:pPr>
        <w:pStyle w:val="22"/>
        <w:spacing w:line="276" w:lineRule="auto"/>
        <w:ind w:firstLine="2" w:firstLineChars="1"/>
        <w:rPr>
          <w:rFonts w:hAnsi="宋体"/>
          <w:color w:val="auto"/>
          <w:szCs w:val="21"/>
        </w:rPr>
      </w:pPr>
    </w:p>
    <w:p w14:paraId="32A4374E">
      <w:pPr>
        <w:pStyle w:val="22"/>
        <w:spacing w:line="276" w:lineRule="auto"/>
        <w:ind w:firstLine="2" w:firstLineChars="1"/>
        <w:rPr>
          <w:rFonts w:hAnsi="宋体"/>
          <w:color w:val="auto"/>
          <w:szCs w:val="21"/>
        </w:rPr>
      </w:pPr>
    </w:p>
    <w:p w14:paraId="4BA817E5">
      <w:pPr>
        <w:pStyle w:val="22"/>
        <w:spacing w:line="276" w:lineRule="auto"/>
        <w:ind w:firstLine="2" w:firstLineChars="1"/>
        <w:rPr>
          <w:rFonts w:hAnsi="宋体"/>
          <w:color w:val="auto"/>
          <w:szCs w:val="21"/>
        </w:rPr>
      </w:pPr>
    </w:p>
    <w:p w14:paraId="5B94C32E">
      <w:pPr>
        <w:pStyle w:val="22"/>
        <w:spacing w:line="276" w:lineRule="auto"/>
        <w:ind w:firstLine="2" w:firstLineChars="1"/>
        <w:rPr>
          <w:rFonts w:hAnsi="宋体"/>
          <w:color w:val="auto"/>
          <w:szCs w:val="21"/>
        </w:rPr>
      </w:pPr>
    </w:p>
    <w:p w14:paraId="600948C5">
      <w:pPr>
        <w:pStyle w:val="22"/>
        <w:spacing w:line="276" w:lineRule="auto"/>
        <w:ind w:firstLine="2" w:firstLineChars="1"/>
        <w:rPr>
          <w:rFonts w:hAnsi="宋体"/>
          <w:color w:val="auto"/>
          <w:szCs w:val="21"/>
        </w:rPr>
      </w:pPr>
    </w:p>
    <w:p w14:paraId="1D25159C">
      <w:pPr>
        <w:rPr>
          <w:rFonts w:hAnsi="宋体"/>
          <w:color w:val="auto"/>
          <w:szCs w:val="21"/>
        </w:rPr>
      </w:pPr>
    </w:p>
    <w:p w14:paraId="034786E6">
      <w:pPr>
        <w:rPr>
          <w:rFonts w:hAnsi="宋体"/>
          <w:color w:val="auto"/>
          <w:szCs w:val="21"/>
        </w:rPr>
      </w:pPr>
    </w:p>
    <w:p w14:paraId="5527DAED">
      <w:pPr>
        <w:rPr>
          <w:rFonts w:hAnsi="宋体"/>
          <w:color w:val="auto"/>
          <w:szCs w:val="21"/>
        </w:rPr>
      </w:pPr>
    </w:p>
    <w:p w14:paraId="23A1DAAD">
      <w:pPr>
        <w:rPr>
          <w:rFonts w:hAnsi="宋体"/>
          <w:color w:val="auto"/>
          <w:szCs w:val="21"/>
        </w:rPr>
      </w:pPr>
    </w:p>
    <w:p w14:paraId="357501DD">
      <w:pPr>
        <w:rPr>
          <w:rFonts w:hAnsi="宋体"/>
          <w:color w:val="auto"/>
          <w:szCs w:val="21"/>
        </w:rPr>
      </w:pPr>
    </w:p>
    <w:p w14:paraId="422C92C7">
      <w:pPr>
        <w:rPr>
          <w:rFonts w:hAnsi="宋体"/>
          <w:color w:val="auto"/>
          <w:szCs w:val="21"/>
        </w:rPr>
      </w:pPr>
    </w:p>
    <w:p w14:paraId="30E48FEE">
      <w:pPr>
        <w:rPr>
          <w:rFonts w:hAnsi="宋体"/>
          <w:color w:val="auto"/>
          <w:szCs w:val="21"/>
        </w:rPr>
      </w:pPr>
    </w:p>
    <w:p w14:paraId="2C12EA98">
      <w:pPr>
        <w:rPr>
          <w:rFonts w:hAnsi="宋体"/>
          <w:color w:val="auto"/>
          <w:szCs w:val="21"/>
        </w:rPr>
      </w:pPr>
    </w:p>
    <w:p w14:paraId="3FED906B">
      <w:pPr>
        <w:rPr>
          <w:rFonts w:hAnsi="宋体"/>
          <w:color w:val="auto"/>
          <w:szCs w:val="21"/>
        </w:rPr>
      </w:pPr>
    </w:p>
    <w:p w14:paraId="21F6EBC3">
      <w:pPr>
        <w:rPr>
          <w:rFonts w:hAnsi="宋体"/>
          <w:color w:val="auto"/>
          <w:szCs w:val="21"/>
        </w:rPr>
      </w:pPr>
    </w:p>
    <w:p w14:paraId="3975E493">
      <w:pPr>
        <w:pStyle w:val="22"/>
        <w:spacing w:line="276" w:lineRule="auto"/>
        <w:ind w:firstLine="2" w:firstLineChars="1"/>
        <w:rPr>
          <w:rFonts w:hAnsi="宋体"/>
          <w:color w:val="auto"/>
          <w:szCs w:val="21"/>
        </w:rPr>
      </w:pPr>
    </w:p>
    <w:p w14:paraId="73B8BD85">
      <w:pPr>
        <w:pStyle w:val="22"/>
        <w:spacing w:line="276" w:lineRule="auto"/>
        <w:ind w:firstLine="2" w:firstLineChars="1"/>
        <w:rPr>
          <w:rFonts w:hAnsi="宋体"/>
          <w:color w:val="auto"/>
          <w:szCs w:val="21"/>
        </w:rPr>
      </w:pPr>
    </w:p>
    <w:p w14:paraId="7A3297F3">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5F9451F0">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6021667B">
      <w:pPr>
        <w:rPr>
          <w:rFonts w:ascii="宋体" w:hAnsi="宋体" w:cs="宋体"/>
          <w:b/>
          <w:color w:val="auto"/>
          <w:sz w:val="28"/>
          <w:szCs w:val="28"/>
        </w:rPr>
      </w:pPr>
      <w:r>
        <w:rPr>
          <w:rFonts w:hint="eastAsia" w:hAnsi="宋体"/>
          <w:color w:val="auto"/>
          <w:szCs w:val="21"/>
        </w:rPr>
        <w:t>日期：</w:t>
      </w:r>
      <w:r>
        <w:rPr>
          <w:rFonts w:hint="eastAsia" w:ascii="宋体" w:hAnsi="宋体" w:cs="宋体"/>
          <w:b/>
          <w:color w:val="auto"/>
          <w:sz w:val="28"/>
          <w:szCs w:val="28"/>
        </w:rPr>
        <w:br w:type="page"/>
      </w:r>
    </w:p>
    <w:p w14:paraId="641D8601">
      <w:pPr>
        <w:widowControl/>
        <w:jc w:val="left"/>
        <w:rPr>
          <w:rFonts w:hint="eastAsia" w:ascii="宋体" w:hAnsi="宋体" w:eastAsia="宋体" w:cs="宋体"/>
          <w:b/>
          <w:color w:val="auto"/>
          <w:sz w:val="28"/>
          <w:szCs w:val="28"/>
          <w:lang w:eastAsia="zh-CN"/>
        </w:rPr>
      </w:pPr>
      <w:r>
        <w:rPr>
          <w:rFonts w:hint="eastAsia" w:ascii="宋体" w:hAnsi="宋体" w:cs="宋体"/>
          <w:b/>
          <w:color w:val="auto"/>
          <w:sz w:val="28"/>
          <w:szCs w:val="28"/>
        </w:rPr>
        <w:t>格式1</w:t>
      </w:r>
      <w:r>
        <w:rPr>
          <w:rFonts w:hint="eastAsia" w:ascii="宋体" w:hAnsi="宋体" w:cs="宋体"/>
          <w:b/>
          <w:color w:val="auto"/>
          <w:sz w:val="28"/>
          <w:szCs w:val="28"/>
          <w:lang w:val="en-US" w:eastAsia="zh-CN"/>
        </w:rPr>
        <w:t>6</w:t>
      </w:r>
    </w:p>
    <w:p w14:paraId="6E595355">
      <w:pPr>
        <w:autoSpaceDE w:val="0"/>
        <w:autoSpaceDN w:val="0"/>
        <w:adjustRightInd w:val="0"/>
        <w:spacing w:line="360" w:lineRule="auto"/>
        <w:jc w:val="center"/>
        <w:rPr>
          <w:rFonts w:hint="eastAsia" w:ascii="宋体" w:hAnsi="宋体" w:cs="宋体"/>
          <w:b/>
          <w:bCs/>
          <w:sz w:val="28"/>
          <w:szCs w:val="32"/>
        </w:rPr>
      </w:pPr>
      <w:r>
        <w:rPr>
          <w:rFonts w:hint="eastAsia" w:ascii="宋体" w:hAnsi="宋体" w:cs="宋体"/>
          <w:b/>
          <w:bCs/>
          <w:sz w:val="28"/>
          <w:szCs w:val="32"/>
        </w:rPr>
        <w:t>服务质量保证措施及承诺</w:t>
      </w:r>
    </w:p>
    <w:p w14:paraId="5617338A">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snapToGrid/>
          <w:color w:val="auto"/>
          <w:kern w:val="2"/>
          <w:szCs w:val="21"/>
          <w:highlight w:val="none"/>
        </w:rPr>
        <w:t>(</w:t>
      </w:r>
      <w:r>
        <w:rPr>
          <w:rFonts w:hint="eastAsia" w:ascii="宋体" w:hAnsi="宋体" w:cs="宋体"/>
          <w:snapToGrid/>
          <w:color w:val="auto"/>
          <w:kern w:val="2"/>
          <w:szCs w:val="21"/>
          <w:highlight w:val="none"/>
          <w:lang w:eastAsia="zh-CN"/>
        </w:rPr>
        <w:t>内容自拟</w:t>
      </w:r>
      <w:r>
        <w:rPr>
          <w:rFonts w:hint="eastAsia" w:ascii="宋体" w:hAnsi="宋体" w:cs="宋体"/>
          <w:snapToGrid/>
          <w:color w:val="auto"/>
          <w:kern w:val="2"/>
          <w:szCs w:val="21"/>
          <w:highlight w:val="none"/>
        </w:rPr>
        <w:t>)</w:t>
      </w:r>
    </w:p>
    <w:p w14:paraId="731F7397">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cs="宋体"/>
          <w:b/>
          <w:bCs/>
          <w:snapToGrid/>
          <w:color w:val="auto"/>
          <w:kern w:val="2"/>
          <w:sz w:val="21"/>
          <w:szCs w:val="21"/>
          <w:highlight w:val="none"/>
          <w:lang w:eastAsia="zh-CN"/>
        </w:rPr>
      </w:pPr>
      <w:r>
        <w:rPr>
          <w:rFonts w:hint="eastAsia" w:cs="宋体"/>
          <w:b/>
          <w:bCs/>
          <w:snapToGrid/>
          <w:color w:val="auto"/>
          <w:kern w:val="2"/>
          <w:sz w:val="21"/>
          <w:szCs w:val="21"/>
          <w:highlight w:val="none"/>
          <w:lang w:eastAsia="zh-CN"/>
        </w:rPr>
        <w:t>包括但不限于：</w:t>
      </w:r>
    </w:p>
    <w:p w14:paraId="4634FDC1">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cs="宋体"/>
          <w:b/>
          <w:bCs/>
          <w:szCs w:val="21"/>
          <w:highlight w:val="none"/>
        </w:rPr>
      </w:pPr>
      <w:r>
        <w:rPr>
          <w:rFonts w:hint="eastAsia" w:ascii="宋体" w:hAnsi="宋体" w:cs="宋体"/>
          <w:b/>
          <w:bCs/>
          <w:szCs w:val="21"/>
          <w:highlight w:val="none"/>
        </w:rPr>
        <w:t>①系统集成及适配实施方案；</w:t>
      </w:r>
    </w:p>
    <w:p w14:paraId="49B269F2">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cs="宋体"/>
          <w:b/>
          <w:bCs/>
          <w:szCs w:val="21"/>
          <w:highlight w:val="none"/>
        </w:rPr>
      </w:pPr>
      <w:r>
        <w:rPr>
          <w:rFonts w:hint="eastAsia" w:ascii="宋体" w:hAnsi="宋体" w:cs="宋体"/>
          <w:b/>
          <w:bCs/>
          <w:szCs w:val="21"/>
          <w:highlight w:val="none"/>
        </w:rPr>
        <w:t>②试运行方案；</w:t>
      </w:r>
    </w:p>
    <w:p w14:paraId="6BD41484">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cs="宋体"/>
          <w:b/>
          <w:bCs/>
          <w:szCs w:val="21"/>
          <w:highlight w:val="none"/>
        </w:rPr>
      </w:pPr>
      <w:r>
        <w:rPr>
          <w:rFonts w:hint="eastAsia" w:ascii="宋体" w:hAnsi="宋体" w:cs="宋体"/>
          <w:b/>
          <w:bCs/>
          <w:szCs w:val="21"/>
          <w:highlight w:val="none"/>
        </w:rPr>
        <w:t>③安全管理及保密方案；</w:t>
      </w:r>
    </w:p>
    <w:p w14:paraId="60490164">
      <w:pPr>
        <w:keepNext w:val="0"/>
        <w:keepLines w:val="0"/>
        <w:pageBreakBefore w:val="0"/>
        <w:widowControl w:val="0"/>
        <w:kinsoku/>
        <w:wordWrap/>
        <w:overflowPunct/>
        <w:topLinePunct w:val="0"/>
        <w:autoSpaceDE/>
        <w:autoSpaceDN/>
        <w:bidi w:val="0"/>
        <w:adjustRightInd/>
        <w:snapToGrid/>
        <w:spacing w:line="440" w:lineRule="exact"/>
        <w:ind w:firstLine="2" w:firstLineChars="1"/>
        <w:jc w:val="left"/>
        <w:textAlignment w:val="auto"/>
        <w:rPr>
          <w:rFonts w:hint="eastAsia" w:ascii="宋体" w:hAnsi="宋体" w:cs="宋体"/>
          <w:b/>
          <w:bCs/>
          <w:color w:val="auto"/>
          <w:szCs w:val="21"/>
          <w:highlight w:val="none"/>
        </w:rPr>
      </w:pPr>
      <w:r>
        <w:rPr>
          <w:rFonts w:hint="eastAsia" w:ascii="宋体" w:hAnsi="宋体" w:cs="宋体"/>
          <w:b/>
          <w:bCs/>
          <w:szCs w:val="21"/>
          <w:highlight w:val="none"/>
        </w:rPr>
        <w:t>④服务质量保障措施。</w:t>
      </w:r>
    </w:p>
    <w:p w14:paraId="7C3F2C62">
      <w:pPr>
        <w:spacing w:line="360" w:lineRule="auto"/>
        <w:ind w:firstLine="2" w:firstLineChars="1"/>
        <w:jc w:val="left"/>
        <w:rPr>
          <w:rFonts w:hint="eastAsia" w:ascii="宋体" w:hAnsi="宋体" w:cs="宋体"/>
          <w:color w:val="auto"/>
          <w:szCs w:val="21"/>
          <w:highlight w:val="none"/>
        </w:rPr>
      </w:pPr>
    </w:p>
    <w:p w14:paraId="249B9D02">
      <w:pPr>
        <w:spacing w:line="360" w:lineRule="auto"/>
        <w:ind w:firstLine="2" w:firstLineChars="1"/>
        <w:jc w:val="left"/>
        <w:rPr>
          <w:rFonts w:hint="eastAsia" w:ascii="宋体" w:hAnsi="宋体" w:cs="宋体"/>
          <w:color w:val="auto"/>
          <w:szCs w:val="21"/>
          <w:highlight w:val="none"/>
        </w:rPr>
      </w:pPr>
    </w:p>
    <w:p w14:paraId="6BCD8069">
      <w:pPr>
        <w:spacing w:line="360" w:lineRule="auto"/>
        <w:ind w:firstLine="2" w:firstLineChars="1"/>
        <w:jc w:val="left"/>
        <w:rPr>
          <w:rFonts w:hint="eastAsia" w:ascii="宋体" w:hAnsi="宋体" w:cs="宋体"/>
          <w:color w:val="auto"/>
          <w:szCs w:val="21"/>
          <w:highlight w:val="none"/>
        </w:rPr>
      </w:pPr>
    </w:p>
    <w:p w14:paraId="08EFDF8E">
      <w:pPr>
        <w:spacing w:line="360" w:lineRule="auto"/>
        <w:ind w:firstLine="2" w:firstLineChars="1"/>
        <w:jc w:val="left"/>
        <w:rPr>
          <w:rFonts w:hint="eastAsia" w:ascii="宋体" w:hAnsi="宋体" w:cs="宋体"/>
          <w:color w:val="auto"/>
          <w:szCs w:val="21"/>
          <w:highlight w:val="none"/>
        </w:rPr>
      </w:pPr>
    </w:p>
    <w:p w14:paraId="5C272461">
      <w:pPr>
        <w:spacing w:line="360" w:lineRule="auto"/>
        <w:ind w:firstLine="2" w:firstLineChars="1"/>
        <w:jc w:val="left"/>
        <w:outlineLvl w:val="9"/>
        <w:rPr>
          <w:rFonts w:hint="eastAsia" w:ascii="宋体" w:hAnsi="宋体" w:cs="宋体"/>
          <w:color w:val="auto"/>
          <w:szCs w:val="21"/>
          <w:highlight w:val="none"/>
        </w:rPr>
      </w:pPr>
    </w:p>
    <w:p w14:paraId="46B91AFC">
      <w:pPr>
        <w:spacing w:line="360" w:lineRule="auto"/>
        <w:ind w:firstLine="2" w:firstLineChars="1"/>
        <w:jc w:val="left"/>
        <w:outlineLvl w:val="9"/>
        <w:rPr>
          <w:rFonts w:hint="eastAsia" w:ascii="宋体" w:hAnsi="宋体" w:cs="宋体"/>
          <w:color w:val="auto"/>
          <w:szCs w:val="21"/>
          <w:highlight w:val="none"/>
        </w:rPr>
      </w:pPr>
    </w:p>
    <w:p w14:paraId="470FC363">
      <w:pPr>
        <w:spacing w:line="360" w:lineRule="auto"/>
        <w:ind w:firstLine="2" w:firstLineChars="1"/>
        <w:jc w:val="left"/>
        <w:outlineLvl w:val="9"/>
        <w:rPr>
          <w:rFonts w:hint="eastAsia" w:ascii="宋体" w:hAnsi="宋体" w:cs="宋体"/>
          <w:color w:val="auto"/>
          <w:szCs w:val="21"/>
          <w:highlight w:val="none"/>
        </w:rPr>
      </w:pPr>
    </w:p>
    <w:p w14:paraId="06103B4D">
      <w:pPr>
        <w:outlineLvl w:val="9"/>
        <w:rPr>
          <w:rFonts w:hint="eastAsia" w:cs="宋体"/>
          <w:color w:val="auto"/>
          <w:szCs w:val="21"/>
          <w:highlight w:val="none"/>
        </w:rPr>
      </w:pPr>
    </w:p>
    <w:p w14:paraId="6D28FA52">
      <w:pPr>
        <w:spacing w:line="360" w:lineRule="auto"/>
        <w:jc w:val="left"/>
        <w:outlineLvl w:val="9"/>
        <w:rPr>
          <w:rFonts w:hint="eastAsia" w:ascii="宋体" w:hAnsi="宋体" w:cs="宋体"/>
          <w:color w:val="auto"/>
          <w:szCs w:val="21"/>
          <w:highlight w:val="none"/>
        </w:rPr>
      </w:pPr>
    </w:p>
    <w:p w14:paraId="73239AE2">
      <w:pPr>
        <w:spacing w:line="360" w:lineRule="auto"/>
        <w:ind w:firstLine="2" w:firstLineChars="1"/>
        <w:jc w:val="left"/>
        <w:outlineLvl w:val="9"/>
        <w:rPr>
          <w:rFonts w:hint="eastAsia" w:ascii="宋体" w:hAnsi="宋体" w:cs="宋体"/>
          <w:color w:val="auto"/>
          <w:szCs w:val="21"/>
          <w:highlight w:val="none"/>
        </w:rPr>
      </w:pPr>
    </w:p>
    <w:p w14:paraId="74D2BE7D">
      <w:pPr>
        <w:spacing w:line="360" w:lineRule="auto"/>
        <w:ind w:firstLine="2" w:firstLineChars="1"/>
        <w:jc w:val="left"/>
        <w:outlineLvl w:val="9"/>
        <w:rPr>
          <w:rFonts w:hint="eastAsia" w:ascii="宋体" w:hAnsi="宋体" w:cs="宋体"/>
          <w:color w:val="auto"/>
          <w:szCs w:val="21"/>
          <w:highlight w:val="none"/>
        </w:rPr>
      </w:pPr>
    </w:p>
    <w:p w14:paraId="6FC54684">
      <w:pPr>
        <w:outlineLvl w:val="9"/>
        <w:rPr>
          <w:rFonts w:hint="eastAsia" w:cs="宋体"/>
          <w:color w:val="auto"/>
          <w:szCs w:val="21"/>
          <w:highlight w:val="none"/>
        </w:rPr>
      </w:pPr>
    </w:p>
    <w:p w14:paraId="22A241BB">
      <w:pPr>
        <w:pStyle w:val="22"/>
        <w:spacing w:line="276" w:lineRule="auto"/>
        <w:ind w:firstLine="2" w:firstLineChars="1"/>
        <w:rPr>
          <w:rFonts w:hAnsi="宋体"/>
          <w:color w:val="auto"/>
          <w:szCs w:val="21"/>
        </w:rPr>
      </w:pPr>
    </w:p>
    <w:p w14:paraId="489514B3">
      <w:pPr>
        <w:pStyle w:val="22"/>
        <w:spacing w:line="276" w:lineRule="auto"/>
        <w:ind w:firstLine="2" w:firstLineChars="1"/>
        <w:rPr>
          <w:rFonts w:hAnsi="宋体"/>
          <w:color w:val="auto"/>
          <w:szCs w:val="21"/>
        </w:rPr>
      </w:pPr>
    </w:p>
    <w:p w14:paraId="4DD391CF">
      <w:pPr>
        <w:pStyle w:val="22"/>
        <w:spacing w:line="276" w:lineRule="auto"/>
        <w:ind w:firstLine="2" w:firstLineChars="1"/>
        <w:rPr>
          <w:rFonts w:hAnsi="宋体"/>
          <w:color w:val="auto"/>
          <w:szCs w:val="21"/>
        </w:rPr>
      </w:pPr>
    </w:p>
    <w:p w14:paraId="3FE269DB">
      <w:pPr>
        <w:pStyle w:val="22"/>
        <w:spacing w:line="276" w:lineRule="auto"/>
        <w:ind w:firstLine="2" w:firstLineChars="1"/>
        <w:rPr>
          <w:rFonts w:hAnsi="宋体"/>
          <w:color w:val="auto"/>
          <w:szCs w:val="21"/>
        </w:rPr>
      </w:pPr>
    </w:p>
    <w:p w14:paraId="2D6FE76D">
      <w:pPr>
        <w:pStyle w:val="22"/>
        <w:spacing w:line="276" w:lineRule="auto"/>
        <w:ind w:firstLine="2" w:firstLineChars="1"/>
        <w:rPr>
          <w:rFonts w:hAnsi="宋体"/>
          <w:color w:val="auto"/>
          <w:szCs w:val="21"/>
        </w:rPr>
      </w:pPr>
    </w:p>
    <w:p w14:paraId="7AAAD767">
      <w:pPr>
        <w:pStyle w:val="22"/>
        <w:spacing w:line="276" w:lineRule="auto"/>
        <w:ind w:firstLine="2" w:firstLineChars="1"/>
        <w:rPr>
          <w:rFonts w:hAnsi="宋体"/>
          <w:color w:val="auto"/>
          <w:szCs w:val="21"/>
        </w:rPr>
      </w:pPr>
    </w:p>
    <w:p w14:paraId="606D22B3">
      <w:pPr>
        <w:pStyle w:val="22"/>
        <w:spacing w:line="276" w:lineRule="auto"/>
        <w:ind w:firstLine="2" w:firstLineChars="1"/>
        <w:rPr>
          <w:rFonts w:hAnsi="宋体"/>
          <w:color w:val="auto"/>
          <w:szCs w:val="21"/>
        </w:rPr>
      </w:pPr>
    </w:p>
    <w:p w14:paraId="362C11CB">
      <w:pPr>
        <w:pStyle w:val="22"/>
        <w:spacing w:line="276" w:lineRule="auto"/>
        <w:ind w:firstLine="2" w:firstLineChars="1"/>
        <w:rPr>
          <w:rFonts w:hAnsi="宋体"/>
          <w:color w:val="auto"/>
          <w:szCs w:val="21"/>
        </w:rPr>
      </w:pPr>
    </w:p>
    <w:p w14:paraId="5352D7AF">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492DE6CC">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00981A7A">
      <w:pPr>
        <w:widowControl/>
        <w:jc w:val="left"/>
        <w:rPr>
          <w:rFonts w:hAnsi="宋体"/>
          <w:color w:val="auto"/>
          <w:szCs w:val="21"/>
        </w:rPr>
      </w:pPr>
      <w:r>
        <w:rPr>
          <w:rFonts w:hint="eastAsia" w:hAnsi="宋体"/>
          <w:color w:val="auto"/>
          <w:szCs w:val="21"/>
        </w:rPr>
        <w:t>日期：</w:t>
      </w:r>
    </w:p>
    <w:p w14:paraId="768C5792">
      <w:pPr>
        <w:rPr>
          <w:rFonts w:hAnsi="宋体"/>
          <w:color w:val="auto"/>
          <w:szCs w:val="21"/>
        </w:rPr>
      </w:pPr>
      <w:r>
        <w:rPr>
          <w:rFonts w:hint="eastAsia" w:hAnsi="宋体"/>
          <w:color w:val="auto"/>
          <w:szCs w:val="21"/>
        </w:rPr>
        <w:br w:type="page"/>
      </w:r>
    </w:p>
    <w:p w14:paraId="51EF749D">
      <w:pPr>
        <w:widowControl/>
        <w:jc w:val="left"/>
        <w:rPr>
          <w:rFonts w:hint="eastAsia" w:ascii="宋体" w:hAnsi="宋体" w:eastAsia="宋体" w:cs="宋体"/>
          <w:b/>
          <w:color w:val="auto"/>
          <w:sz w:val="28"/>
          <w:szCs w:val="28"/>
          <w:lang w:val="en-US" w:eastAsia="zh-CN"/>
        </w:rPr>
      </w:pPr>
      <w:r>
        <w:rPr>
          <w:rFonts w:hint="eastAsia" w:ascii="宋体" w:hAnsi="宋体" w:cs="宋体"/>
          <w:b/>
          <w:color w:val="auto"/>
          <w:sz w:val="28"/>
          <w:szCs w:val="28"/>
        </w:rPr>
        <w:t>格式1</w:t>
      </w:r>
      <w:r>
        <w:rPr>
          <w:rFonts w:hint="eastAsia" w:ascii="宋体" w:hAnsi="宋体" w:cs="宋体"/>
          <w:b/>
          <w:color w:val="auto"/>
          <w:sz w:val="28"/>
          <w:szCs w:val="28"/>
          <w:lang w:val="en-US" w:eastAsia="zh-CN"/>
        </w:rPr>
        <w:t>7</w:t>
      </w:r>
    </w:p>
    <w:p w14:paraId="2C323324">
      <w:pPr>
        <w:autoSpaceDE w:val="0"/>
        <w:autoSpaceDN w:val="0"/>
        <w:adjustRightInd w:val="0"/>
        <w:spacing w:line="360" w:lineRule="auto"/>
        <w:jc w:val="center"/>
        <w:rPr>
          <w:rFonts w:hint="eastAsia" w:ascii="宋体" w:hAnsi="宋体" w:cs="宋体"/>
          <w:b/>
          <w:bCs/>
          <w:sz w:val="28"/>
          <w:szCs w:val="32"/>
        </w:rPr>
      </w:pPr>
      <w:r>
        <w:rPr>
          <w:rFonts w:hint="eastAsia" w:ascii="宋体" w:hAnsi="宋体" w:cs="宋体"/>
          <w:b/>
          <w:bCs/>
          <w:sz w:val="28"/>
          <w:szCs w:val="32"/>
        </w:rPr>
        <w:t>投标人企业实力</w:t>
      </w:r>
    </w:p>
    <w:p w14:paraId="253C74C2">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snapToGrid/>
          <w:color w:val="auto"/>
          <w:kern w:val="2"/>
          <w:szCs w:val="21"/>
          <w:highlight w:val="none"/>
        </w:rPr>
        <w:t>(</w:t>
      </w:r>
      <w:r>
        <w:rPr>
          <w:rFonts w:hint="eastAsia" w:ascii="宋体" w:hAnsi="宋体" w:cs="宋体"/>
          <w:snapToGrid/>
          <w:color w:val="auto"/>
          <w:kern w:val="2"/>
          <w:szCs w:val="21"/>
          <w:highlight w:val="none"/>
          <w:lang w:eastAsia="zh-CN"/>
        </w:rPr>
        <w:t>内容自拟</w:t>
      </w:r>
      <w:r>
        <w:rPr>
          <w:rFonts w:hint="eastAsia" w:ascii="宋体" w:hAnsi="宋体" w:cs="宋体"/>
          <w:snapToGrid/>
          <w:color w:val="auto"/>
          <w:kern w:val="2"/>
          <w:szCs w:val="21"/>
          <w:highlight w:val="none"/>
        </w:rPr>
        <w:t>)</w:t>
      </w:r>
    </w:p>
    <w:p w14:paraId="2B7F1C9A">
      <w:pPr>
        <w:spacing w:line="360" w:lineRule="auto"/>
        <w:ind w:firstLine="2" w:firstLineChars="1"/>
        <w:jc w:val="left"/>
        <w:rPr>
          <w:rFonts w:hint="eastAsia" w:ascii="宋体" w:hAnsi="宋体" w:cs="宋体"/>
          <w:color w:val="auto"/>
          <w:szCs w:val="21"/>
          <w:highlight w:val="none"/>
        </w:rPr>
      </w:pPr>
    </w:p>
    <w:p w14:paraId="2DE73A8E">
      <w:pPr>
        <w:spacing w:line="360" w:lineRule="auto"/>
        <w:ind w:firstLine="2" w:firstLineChars="1"/>
        <w:jc w:val="left"/>
        <w:rPr>
          <w:rFonts w:hint="eastAsia" w:ascii="宋体" w:hAnsi="宋体" w:cs="宋体"/>
          <w:color w:val="auto"/>
          <w:szCs w:val="21"/>
          <w:highlight w:val="none"/>
        </w:rPr>
      </w:pPr>
    </w:p>
    <w:p w14:paraId="72244C32">
      <w:pPr>
        <w:spacing w:line="360" w:lineRule="auto"/>
        <w:ind w:firstLine="2" w:firstLineChars="1"/>
        <w:jc w:val="left"/>
        <w:rPr>
          <w:rFonts w:hint="eastAsia" w:ascii="宋体" w:hAnsi="宋体" w:cs="宋体"/>
          <w:color w:val="auto"/>
          <w:szCs w:val="21"/>
          <w:highlight w:val="none"/>
        </w:rPr>
      </w:pPr>
    </w:p>
    <w:p w14:paraId="2DF007C7">
      <w:pPr>
        <w:spacing w:line="360" w:lineRule="auto"/>
        <w:ind w:firstLine="2" w:firstLineChars="1"/>
        <w:jc w:val="left"/>
        <w:rPr>
          <w:rFonts w:hint="eastAsia" w:ascii="宋体" w:hAnsi="宋体" w:cs="宋体"/>
          <w:color w:val="auto"/>
          <w:szCs w:val="21"/>
          <w:highlight w:val="none"/>
        </w:rPr>
      </w:pPr>
    </w:p>
    <w:p w14:paraId="13C906EB">
      <w:pPr>
        <w:spacing w:line="360" w:lineRule="auto"/>
        <w:ind w:firstLine="2" w:firstLineChars="1"/>
        <w:jc w:val="left"/>
        <w:outlineLvl w:val="9"/>
        <w:rPr>
          <w:rFonts w:hint="eastAsia" w:ascii="宋体" w:hAnsi="宋体" w:cs="宋体"/>
          <w:color w:val="auto"/>
          <w:szCs w:val="21"/>
          <w:highlight w:val="none"/>
        </w:rPr>
      </w:pPr>
    </w:p>
    <w:p w14:paraId="091451A5">
      <w:pPr>
        <w:spacing w:line="360" w:lineRule="auto"/>
        <w:ind w:firstLine="2" w:firstLineChars="1"/>
        <w:jc w:val="left"/>
        <w:outlineLvl w:val="9"/>
        <w:rPr>
          <w:rFonts w:hint="eastAsia" w:ascii="宋体" w:hAnsi="宋体" w:cs="宋体"/>
          <w:color w:val="auto"/>
          <w:szCs w:val="21"/>
          <w:highlight w:val="none"/>
        </w:rPr>
      </w:pPr>
    </w:p>
    <w:p w14:paraId="615924A7">
      <w:pPr>
        <w:spacing w:line="360" w:lineRule="auto"/>
        <w:ind w:firstLine="2" w:firstLineChars="1"/>
        <w:jc w:val="left"/>
        <w:outlineLvl w:val="9"/>
        <w:rPr>
          <w:rFonts w:hint="eastAsia" w:ascii="宋体" w:hAnsi="宋体" w:cs="宋体"/>
          <w:color w:val="auto"/>
          <w:szCs w:val="21"/>
          <w:highlight w:val="none"/>
        </w:rPr>
      </w:pPr>
    </w:p>
    <w:p w14:paraId="5588B3B3">
      <w:pPr>
        <w:outlineLvl w:val="9"/>
        <w:rPr>
          <w:rFonts w:hint="eastAsia" w:cs="宋体"/>
          <w:color w:val="auto"/>
          <w:szCs w:val="21"/>
          <w:highlight w:val="none"/>
        </w:rPr>
      </w:pPr>
    </w:p>
    <w:p w14:paraId="442E9155">
      <w:pPr>
        <w:spacing w:line="360" w:lineRule="auto"/>
        <w:jc w:val="left"/>
        <w:outlineLvl w:val="9"/>
        <w:rPr>
          <w:rFonts w:hint="eastAsia" w:ascii="宋体" w:hAnsi="宋体" w:cs="宋体"/>
          <w:color w:val="auto"/>
          <w:szCs w:val="21"/>
          <w:highlight w:val="none"/>
        </w:rPr>
      </w:pPr>
    </w:p>
    <w:p w14:paraId="63E5387D">
      <w:pPr>
        <w:spacing w:line="360" w:lineRule="auto"/>
        <w:ind w:firstLine="2" w:firstLineChars="1"/>
        <w:jc w:val="left"/>
        <w:outlineLvl w:val="9"/>
        <w:rPr>
          <w:rFonts w:hint="eastAsia" w:ascii="宋体" w:hAnsi="宋体" w:cs="宋体"/>
          <w:color w:val="auto"/>
          <w:szCs w:val="21"/>
          <w:highlight w:val="none"/>
        </w:rPr>
      </w:pPr>
    </w:p>
    <w:p w14:paraId="491F4EDA">
      <w:pPr>
        <w:spacing w:line="360" w:lineRule="auto"/>
        <w:ind w:firstLine="2" w:firstLineChars="1"/>
        <w:jc w:val="left"/>
        <w:outlineLvl w:val="9"/>
        <w:rPr>
          <w:rFonts w:hint="eastAsia" w:ascii="宋体" w:hAnsi="宋体" w:cs="宋体"/>
          <w:color w:val="auto"/>
          <w:szCs w:val="21"/>
          <w:highlight w:val="none"/>
        </w:rPr>
      </w:pPr>
    </w:p>
    <w:p w14:paraId="78A24D8F">
      <w:pPr>
        <w:outlineLvl w:val="9"/>
        <w:rPr>
          <w:rFonts w:hint="eastAsia" w:cs="宋体"/>
          <w:color w:val="auto"/>
          <w:szCs w:val="21"/>
          <w:highlight w:val="none"/>
        </w:rPr>
      </w:pPr>
    </w:p>
    <w:p w14:paraId="69EB1DB9">
      <w:pPr>
        <w:pStyle w:val="22"/>
        <w:spacing w:line="276" w:lineRule="auto"/>
        <w:ind w:firstLine="2" w:firstLineChars="1"/>
        <w:rPr>
          <w:rFonts w:hAnsi="宋体"/>
          <w:color w:val="auto"/>
          <w:szCs w:val="21"/>
        </w:rPr>
      </w:pPr>
    </w:p>
    <w:p w14:paraId="50109794">
      <w:pPr>
        <w:pStyle w:val="22"/>
        <w:spacing w:line="276" w:lineRule="auto"/>
        <w:ind w:firstLine="2" w:firstLineChars="1"/>
        <w:rPr>
          <w:rFonts w:hAnsi="宋体"/>
          <w:color w:val="auto"/>
          <w:szCs w:val="21"/>
        </w:rPr>
      </w:pPr>
    </w:p>
    <w:p w14:paraId="02885D66">
      <w:pPr>
        <w:pStyle w:val="22"/>
        <w:spacing w:line="276" w:lineRule="auto"/>
        <w:ind w:firstLine="2" w:firstLineChars="1"/>
        <w:rPr>
          <w:rFonts w:hAnsi="宋体"/>
          <w:color w:val="auto"/>
          <w:szCs w:val="21"/>
        </w:rPr>
      </w:pPr>
    </w:p>
    <w:p w14:paraId="495BA9F6">
      <w:pPr>
        <w:pStyle w:val="22"/>
        <w:spacing w:line="276" w:lineRule="auto"/>
        <w:ind w:firstLine="2" w:firstLineChars="1"/>
        <w:rPr>
          <w:rFonts w:hAnsi="宋体"/>
          <w:color w:val="auto"/>
          <w:szCs w:val="21"/>
        </w:rPr>
      </w:pPr>
    </w:p>
    <w:p w14:paraId="11A65AB9">
      <w:pPr>
        <w:pStyle w:val="22"/>
        <w:spacing w:line="276" w:lineRule="auto"/>
        <w:ind w:firstLine="2" w:firstLineChars="1"/>
        <w:rPr>
          <w:rFonts w:hAnsi="宋体"/>
          <w:color w:val="auto"/>
          <w:szCs w:val="21"/>
        </w:rPr>
      </w:pPr>
    </w:p>
    <w:p w14:paraId="57AB2178">
      <w:pPr>
        <w:pStyle w:val="22"/>
        <w:spacing w:line="276" w:lineRule="auto"/>
        <w:ind w:firstLine="2" w:firstLineChars="1"/>
        <w:rPr>
          <w:rFonts w:hAnsi="宋体"/>
          <w:color w:val="auto"/>
          <w:szCs w:val="21"/>
        </w:rPr>
      </w:pPr>
    </w:p>
    <w:p w14:paraId="751EA52F">
      <w:pPr>
        <w:pStyle w:val="22"/>
        <w:spacing w:line="276" w:lineRule="auto"/>
        <w:ind w:firstLine="2" w:firstLineChars="1"/>
        <w:rPr>
          <w:rFonts w:hAnsi="宋体"/>
          <w:color w:val="auto"/>
          <w:szCs w:val="21"/>
        </w:rPr>
      </w:pPr>
    </w:p>
    <w:p w14:paraId="6E11513F">
      <w:pPr>
        <w:pStyle w:val="22"/>
        <w:spacing w:line="276" w:lineRule="auto"/>
        <w:ind w:firstLine="2" w:firstLineChars="1"/>
        <w:rPr>
          <w:rFonts w:hAnsi="宋体"/>
          <w:color w:val="auto"/>
          <w:szCs w:val="21"/>
        </w:rPr>
      </w:pPr>
    </w:p>
    <w:p w14:paraId="6B1D933A">
      <w:pPr>
        <w:rPr>
          <w:rFonts w:hAnsi="宋体"/>
          <w:color w:val="auto"/>
          <w:szCs w:val="21"/>
        </w:rPr>
      </w:pPr>
    </w:p>
    <w:p w14:paraId="36119B51">
      <w:pPr>
        <w:pStyle w:val="2"/>
        <w:rPr>
          <w:rFonts w:hAnsi="宋体"/>
          <w:color w:val="auto"/>
          <w:szCs w:val="21"/>
        </w:rPr>
      </w:pPr>
    </w:p>
    <w:p w14:paraId="036EA0DA">
      <w:pPr>
        <w:pStyle w:val="3"/>
        <w:rPr>
          <w:rFonts w:hAnsi="宋体"/>
          <w:color w:val="auto"/>
          <w:szCs w:val="21"/>
        </w:rPr>
      </w:pPr>
    </w:p>
    <w:p w14:paraId="6512CCB5">
      <w:pPr>
        <w:rPr>
          <w:rFonts w:hAnsi="宋体"/>
          <w:color w:val="auto"/>
          <w:szCs w:val="21"/>
        </w:rPr>
      </w:pPr>
    </w:p>
    <w:p w14:paraId="0B4D1664">
      <w:pPr>
        <w:pStyle w:val="2"/>
      </w:pPr>
    </w:p>
    <w:p w14:paraId="02D1C0E8">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22C8842B">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2DF81F53">
      <w:pPr>
        <w:widowControl/>
        <w:jc w:val="left"/>
        <w:rPr>
          <w:rFonts w:hAnsi="宋体"/>
          <w:color w:val="auto"/>
          <w:szCs w:val="21"/>
        </w:rPr>
      </w:pPr>
      <w:r>
        <w:rPr>
          <w:rFonts w:hint="eastAsia" w:hAnsi="宋体"/>
          <w:color w:val="auto"/>
          <w:szCs w:val="21"/>
        </w:rPr>
        <w:t>日期：</w:t>
      </w:r>
    </w:p>
    <w:p w14:paraId="0B4CD43B">
      <w:pPr>
        <w:rPr>
          <w:rFonts w:hAnsi="宋体"/>
          <w:color w:val="auto"/>
          <w:szCs w:val="21"/>
        </w:rPr>
      </w:pPr>
      <w:r>
        <w:rPr>
          <w:rFonts w:hint="eastAsia" w:hAnsi="宋体"/>
          <w:color w:val="auto"/>
          <w:szCs w:val="21"/>
        </w:rPr>
        <w:br w:type="page"/>
      </w:r>
    </w:p>
    <w:p w14:paraId="54D4621E">
      <w:pPr>
        <w:rPr>
          <w:rFonts w:hint="eastAsia" w:ascii="宋体" w:hAnsi="宋体" w:eastAsia="宋体" w:cs="宋体"/>
          <w:b/>
          <w:color w:val="auto"/>
          <w:sz w:val="28"/>
          <w:szCs w:val="28"/>
          <w:lang w:val="en-US" w:eastAsia="zh-CN"/>
        </w:rPr>
      </w:pPr>
      <w:r>
        <w:rPr>
          <w:rFonts w:hint="eastAsia" w:ascii="宋体" w:hAnsi="宋体" w:cs="宋体"/>
          <w:b/>
          <w:color w:val="auto"/>
          <w:sz w:val="28"/>
          <w:szCs w:val="28"/>
        </w:rPr>
        <w:t>格式1</w:t>
      </w:r>
      <w:r>
        <w:rPr>
          <w:rFonts w:hint="eastAsia" w:ascii="宋体" w:hAnsi="宋体" w:cs="宋体"/>
          <w:b/>
          <w:color w:val="auto"/>
          <w:sz w:val="28"/>
          <w:szCs w:val="28"/>
          <w:lang w:val="en-US" w:eastAsia="zh-CN"/>
        </w:rPr>
        <w:t>8</w:t>
      </w:r>
    </w:p>
    <w:p w14:paraId="014787BC">
      <w:pPr>
        <w:keepNext/>
        <w:keepLines/>
        <w:spacing w:before="120" w:after="120" w:line="360" w:lineRule="auto"/>
        <w:ind w:left="425"/>
        <w:jc w:val="center"/>
        <w:outlineLvl w:val="1"/>
        <w:rPr>
          <w:rFonts w:ascii="宋体" w:hAnsi="宋体" w:cs="宋体"/>
          <w:b/>
          <w:bCs/>
          <w:color w:val="auto"/>
          <w:sz w:val="28"/>
          <w:szCs w:val="28"/>
        </w:rPr>
      </w:pPr>
      <w:r>
        <w:rPr>
          <w:rFonts w:hint="eastAsia" w:ascii="Arial" w:hAnsi="Arial"/>
          <w:b/>
          <w:bCs/>
          <w:sz w:val="28"/>
          <w:szCs w:val="32"/>
          <w:lang w:val="en-US" w:eastAsia="zh-CN"/>
        </w:rPr>
        <w:t>投标人</w:t>
      </w:r>
      <w:r>
        <w:rPr>
          <w:rFonts w:hint="eastAsia" w:ascii="Arial" w:hAnsi="Arial"/>
          <w:b/>
          <w:bCs/>
          <w:sz w:val="28"/>
          <w:szCs w:val="32"/>
        </w:rPr>
        <w:t>履约能力情况表</w:t>
      </w:r>
    </w:p>
    <w:p w14:paraId="419CCC76">
      <w:pPr>
        <w:rPr>
          <w:rFonts w:ascii="宋体" w:hAnsi="宋体" w:cs="宋体"/>
          <w:b/>
          <w:color w:val="auto"/>
          <w:szCs w:val="21"/>
        </w:rPr>
      </w:pPr>
      <w:r>
        <w:rPr>
          <w:rFonts w:hint="eastAsia" w:ascii="宋体" w:hAnsi="宋体" w:cs="宋体"/>
          <w:b/>
          <w:color w:val="auto"/>
          <w:szCs w:val="21"/>
        </w:rPr>
        <w:t>项目名称：</w:t>
      </w:r>
    </w:p>
    <w:p w14:paraId="739D37E1">
      <w:pPr>
        <w:rPr>
          <w:rFonts w:ascii="宋体" w:hAnsi="宋体" w:cs="宋体"/>
          <w:b/>
          <w:color w:val="auto"/>
          <w:szCs w:val="21"/>
        </w:rPr>
      </w:pPr>
      <w:r>
        <w:rPr>
          <w:rFonts w:hint="eastAsia" w:ascii="宋体" w:hAnsi="宋体" w:cs="宋体"/>
          <w:b/>
          <w:color w:val="auto"/>
          <w:szCs w:val="21"/>
        </w:rPr>
        <w:t>项目编号：</w:t>
      </w:r>
    </w:p>
    <w:tbl>
      <w:tblPr>
        <w:tblStyle w:val="41"/>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165"/>
        <w:gridCol w:w="1094"/>
        <w:gridCol w:w="979"/>
        <w:gridCol w:w="979"/>
        <w:gridCol w:w="979"/>
        <w:gridCol w:w="979"/>
        <w:gridCol w:w="727"/>
        <w:gridCol w:w="1038"/>
        <w:gridCol w:w="698"/>
      </w:tblGrid>
      <w:tr w14:paraId="36B9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59" w:type="dxa"/>
            <w:vAlign w:val="center"/>
          </w:tcPr>
          <w:p w14:paraId="1E88ED30">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165" w:type="dxa"/>
            <w:vAlign w:val="center"/>
          </w:tcPr>
          <w:p w14:paraId="33417367">
            <w:pPr>
              <w:spacing w:line="360" w:lineRule="auto"/>
              <w:jc w:val="center"/>
              <w:rPr>
                <w:rFonts w:ascii="宋体" w:hAnsi="宋体" w:cs="宋体"/>
                <w:color w:val="auto"/>
                <w:szCs w:val="21"/>
              </w:rPr>
            </w:pPr>
            <w:r>
              <w:rPr>
                <w:rFonts w:hint="eastAsia" w:ascii="宋体" w:hAnsi="宋体" w:cs="宋体"/>
                <w:color w:val="auto"/>
                <w:szCs w:val="21"/>
              </w:rPr>
              <w:t>类似项目名称</w:t>
            </w:r>
          </w:p>
        </w:tc>
        <w:tc>
          <w:tcPr>
            <w:tcW w:w="1094" w:type="dxa"/>
            <w:vAlign w:val="center"/>
          </w:tcPr>
          <w:p w14:paraId="6DBD37A3">
            <w:pPr>
              <w:spacing w:line="360" w:lineRule="auto"/>
              <w:jc w:val="center"/>
              <w:rPr>
                <w:rFonts w:ascii="宋体" w:hAnsi="宋体" w:cs="宋体"/>
                <w:color w:val="auto"/>
                <w:szCs w:val="21"/>
              </w:rPr>
            </w:pPr>
            <w:r>
              <w:rPr>
                <w:rFonts w:hint="eastAsia" w:ascii="宋体" w:hAnsi="宋体" w:cs="宋体"/>
                <w:color w:val="auto"/>
                <w:szCs w:val="21"/>
              </w:rPr>
              <w:t>用户单位</w:t>
            </w:r>
          </w:p>
        </w:tc>
        <w:tc>
          <w:tcPr>
            <w:tcW w:w="979" w:type="dxa"/>
            <w:vAlign w:val="center"/>
          </w:tcPr>
          <w:p w14:paraId="04BA279B">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szCs w:val="21"/>
              </w:rPr>
            </w:pPr>
            <w:r>
              <w:rPr>
                <w:rFonts w:hint="eastAsia" w:ascii="宋体" w:hAnsi="宋体" w:cs="宋体"/>
                <w:szCs w:val="21"/>
                <w:lang w:val="en-US" w:eastAsia="zh-CN"/>
              </w:rPr>
              <w:t>合同签订日期</w:t>
            </w:r>
          </w:p>
        </w:tc>
        <w:tc>
          <w:tcPr>
            <w:tcW w:w="979" w:type="dxa"/>
            <w:vAlign w:val="center"/>
          </w:tcPr>
          <w:p w14:paraId="4827DA6E">
            <w:pPr>
              <w:keepNext w:val="0"/>
              <w:keepLines w:val="0"/>
              <w:suppressLineNumbers w:val="0"/>
              <w:spacing w:before="0" w:beforeAutospacing="0" w:after="0" w:afterAutospacing="0" w:line="360" w:lineRule="auto"/>
              <w:ind w:left="0" w:leftChars="0" w:right="0" w:rightChars="0"/>
              <w:jc w:val="center"/>
              <w:rPr>
                <w:rFonts w:hint="default" w:ascii="宋体" w:hAnsi="宋体" w:cs="宋体"/>
                <w:szCs w:val="21"/>
                <w:lang w:val="en-US" w:eastAsia="zh-CN"/>
              </w:rPr>
            </w:pPr>
            <w:r>
              <w:rPr>
                <w:rFonts w:hint="eastAsia" w:ascii="宋体" w:hAnsi="宋体" w:cs="宋体"/>
                <w:szCs w:val="21"/>
                <w:lang w:val="en-US" w:eastAsia="zh-CN"/>
              </w:rPr>
              <w:t>类型</w:t>
            </w:r>
          </w:p>
        </w:tc>
        <w:tc>
          <w:tcPr>
            <w:tcW w:w="979" w:type="dxa"/>
            <w:vAlign w:val="center"/>
          </w:tcPr>
          <w:p w14:paraId="1D4940DF">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szCs w:val="21"/>
              </w:rPr>
            </w:pPr>
            <w:r>
              <w:rPr>
                <w:rFonts w:hint="eastAsia" w:ascii="宋体" w:hAnsi="宋体" w:cs="宋体"/>
                <w:szCs w:val="21"/>
                <w:lang w:val="en-US" w:eastAsia="zh-CN"/>
              </w:rPr>
              <w:t>完成情况</w:t>
            </w:r>
          </w:p>
        </w:tc>
        <w:tc>
          <w:tcPr>
            <w:tcW w:w="979" w:type="dxa"/>
            <w:vAlign w:val="center"/>
          </w:tcPr>
          <w:p w14:paraId="5F1C4964">
            <w:pPr>
              <w:spacing w:line="360" w:lineRule="auto"/>
              <w:jc w:val="center"/>
              <w:rPr>
                <w:rFonts w:ascii="宋体" w:hAnsi="宋体" w:cs="宋体"/>
                <w:color w:val="auto"/>
                <w:szCs w:val="21"/>
              </w:rPr>
            </w:pPr>
            <w:r>
              <w:rPr>
                <w:rFonts w:hint="eastAsia" w:ascii="宋体" w:hAnsi="宋体" w:cs="宋体"/>
                <w:color w:val="auto"/>
                <w:szCs w:val="21"/>
              </w:rPr>
              <w:t>联系人</w:t>
            </w:r>
          </w:p>
        </w:tc>
        <w:tc>
          <w:tcPr>
            <w:tcW w:w="727" w:type="dxa"/>
            <w:vAlign w:val="center"/>
          </w:tcPr>
          <w:p w14:paraId="01291E1D">
            <w:pPr>
              <w:spacing w:line="360" w:lineRule="auto"/>
              <w:jc w:val="center"/>
              <w:rPr>
                <w:rFonts w:ascii="宋体" w:hAnsi="宋体" w:cs="宋体"/>
                <w:color w:val="auto"/>
                <w:szCs w:val="21"/>
              </w:rPr>
            </w:pPr>
            <w:r>
              <w:rPr>
                <w:rFonts w:hint="eastAsia" w:ascii="宋体" w:hAnsi="宋体" w:cs="宋体"/>
                <w:color w:val="auto"/>
                <w:szCs w:val="21"/>
              </w:rPr>
              <w:t>电话</w:t>
            </w:r>
          </w:p>
        </w:tc>
        <w:tc>
          <w:tcPr>
            <w:tcW w:w="1038" w:type="dxa"/>
            <w:vAlign w:val="center"/>
          </w:tcPr>
          <w:p w14:paraId="5BB02506">
            <w:pPr>
              <w:spacing w:line="360" w:lineRule="auto"/>
              <w:jc w:val="center"/>
              <w:rPr>
                <w:rFonts w:ascii="宋体" w:hAnsi="宋体" w:cs="宋体"/>
                <w:color w:val="auto"/>
                <w:szCs w:val="21"/>
              </w:rPr>
            </w:pPr>
            <w:r>
              <w:rPr>
                <w:rFonts w:hint="eastAsia" w:ascii="宋体" w:hAnsi="宋体" w:cs="宋体"/>
                <w:color w:val="auto"/>
                <w:szCs w:val="32"/>
              </w:rPr>
              <w:t>合同金额（万元）</w:t>
            </w:r>
          </w:p>
        </w:tc>
        <w:tc>
          <w:tcPr>
            <w:tcW w:w="698" w:type="dxa"/>
            <w:vAlign w:val="center"/>
          </w:tcPr>
          <w:p w14:paraId="4E004AEF">
            <w:pPr>
              <w:spacing w:line="360" w:lineRule="auto"/>
              <w:jc w:val="center"/>
              <w:rPr>
                <w:rFonts w:ascii="宋体" w:hAnsi="宋体" w:cs="宋体"/>
                <w:color w:val="auto"/>
                <w:szCs w:val="21"/>
              </w:rPr>
            </w:pPr>
            <w:r>
              <w:rPr>
                <w:rFonts w:hint="eastAsia" w:ascii="宋体" w:hAnsi="宋体" w:cs="宋体"/>
                <w:color w:val="auto"/>
                <w:szCs w:val="21"/>
              </w:rPr>
              <w:t>备注</w:t>
            </w:r>
          </w:p>
        </w:tc>
      </w:tr>
      <w:tr w14:paraId="5DC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59" w:type="dxa"/>
          </w:tcPr>
          <w:p w14:paraId="60459A7B">
            <w:pPr>
              <w:spacing w:line="360" w:lineRule="auto"/>
              <w:rPr>
                <w:rFonts w:ascii="宋体" w:hAnsi="宋体" w:cs="宋体"/>
                <w:color w:val="auto"/>
                <w:szCs w:val="21"/>
              </w:rPr>
            </w:pPr>
          </w:p>
        </w:tc>
        <w:tc>
          <w:tcPr>
            <w:tcW w:w="2165" w:type="dxa"/>
          </w:tcPr>
          <w:p w14:paraId="30EF3CF2">
            <w:pPr>
              <w:spacing w:line="360" w:lineRule="auto"/>
              <w:rPr>
                <w:rFonts w:ascii="宋体" w:hAnsi="宋体" w:cs="宋体"/>
                <w:color w:val="auto"/>
                <w:szCs w:val="21"/>
              </w:rPr>
            </w:pPr>
          </w:p>
        </w:tc>
        <w:tc>
          <w:tcPr>
            <w:tcW w:w="1094" w:type="dxa"/>
          </w:tcPr>
          <w:p w14:paraId="6E0E110E">
            <w:pPr>
              <w:spacing w:line="360" w:lineRule="auto"/>
              <w:rPr>
                <w:rFonts w:ascii="宋体" w:hAnsi="宋体" w:cs="宋体"/>
                <w:color w:val="auto"/>
                <w:szCs w:val="21"/>
              </w:rPr>
            </w:pPr>
          </w:p>
        </w:tc>
        <w:tc>
          <w:tcPr>
            <w:tcW w:w="979" w:type="dxa"/>
          </w:tcPr>
          <w:p w14:paraId="27F7E85D">
            <w:pPr>
              <w:spacing w:line="360" w:lineRule="auto"/>
              <w:rPr>
                <w:rFonts w:ascii="宋体" w:hAnsi="宋体" w:cs="宋体"/>
                <w:color w:val="auto"/>
                <w:szCs w:val="21"/>
              </w:rPr>
            </w:pPr>
          </w:p>
        </w:tc>
        <w:tc>
          <w:tcPr>
            <w:tcW w:w="979" w:type="dxa"/>
          </w:tcPr>
          <w:p w14:paraId="78F1D845">
            <w:pPr>
              <w:spacing w:line="360" w:lineRule="auto"/>
              <w:rPr>
                <w:rFonts w:ascii="宋体" w:hAnsi="宋体" w:cs="宋体"/>
                <w:color w:val="auto"/>
                <w:szCs w:val="21"/>
              </w:rPr>
            </w:pPr>
          </w:p>
        </w:tc>
        <w:tc>
          <w:tcPr>
            <w:tcW w:w="979" w:type="dxa"/>
          </w:tcPr>
          <w:p w14:paraId="207D1B92">
            <w:pPr>
              <w:spacing w:line="360" w:lineRule="auto"/>
              <w:rPr>
                <w:rFonts w:ascii="宋体" w:hAnsi="宋体" w:cs="宋体"/>
                <w:color w:val="auto"/>
                <w:szCs w:val="21"/>
              </w:rPr>
            </w:pPr>
          </w:p>
        </w:tc>
        <w:tc>
          <w:tcPr>
            <w:tcW w:w="979" w:type="dxa"/>
          </w:tcPr>
          <w:p w14:paraId="7230387F">
            <w:pPr>
              <w:spacing w:line="360" w:lineRule="auto"/>
              <w:rPr>
                <w:rFonts w:ascii="宋体" w:hAnsi="宋体" w:cs="宋体"/>
                <w:color w:val="auto"/>
                <w:szCs w:val="21"/>
              </w:rPr>
            </w:pPr>
          </w:p>
        </w:tc>
        <w:tc>
          <w:tcPr>
            <w:tcW w:w="727" w:type="dxa"/>
          </w:tcPr>
          <w:p w14:paraId="6E93662C">
            <w:pPr>
              <w:spacing w:line="360" w:lineRule="auto"/>
              <w:rPr>
                <w:rFonts w:ascii="宋体" w:hAnsi="宋体" w:cs="宋体"/>
                <w:color w:val="auto"/>
                <w:szCs w:val="21"/>
              </w:rPr>
            </w:pPr>
          </w:p>
        </w:tc>
        <w:tc>
          <w:tcPr>
            <w:tcW w:w="1038" w:type="dxa"/>
          </w:tcPr>
          <w:p w14:paraId="28DF9D9D">
            <w:pPr>
              <w:spacing w:line="360" w:lineRule="auto"/>
              <w:rPr>
                <w:rFonts w:ascii="宋体" w:hAnsi="宋体" w:cs="宋体"/>
                <w:color w:val="auto"/>
                <w:szCs w:val="21"/>
              </w:rPr>
            </w:pPr>
          </w:p>
        </w:tc>
        <w:tc>
          <w:tcPr>
            <w:tcW w:w="698" w:type="dxa"/>
          </w:tcPr>
          <w:p w14:paraId="4A69FF97">
            <w:pPr>
              <w:spacing w:line="360" w:lineRule="auto"/>
              <w:rPr>
                <w:rFonts w:ascii="宋体" w:hAnsi="宋体" w:cs="宋体"/>
                <w:color w:val="auto"/>
                <w:szCs w:val="21"/>
              </w:rPr>
            </w:pPr>
          </w:p>
        </w:tc>
      </w:tr>
      <w:tr w14:paraId="2238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59" w:type="dxa"/>
          </w:tcPr>
          <w:p w14:paraId="7F278C54">
            <w:pPr>
              <w:spacing w:line="360" w:lineRule="auto"/>
              <w:rPr>
                <w:rFonts w:ascii="宋体" w:hAnsi="宋体" w:cs="宋体"/>
                <w:color w:val="auto"/>
                <w:szCs w:val="21"/>
              </w:rPr>
            </w:pPr>
          </w:p>
        </w:tc>
        <w:tc>
          <w:tcPr>
            <w:tcW w:w="2165" w:type="dxa"/>
          </w:tcPr>
          <w:p w14:paraId="21CA2BA7">
            <w:pPr>
              <w:spacing w:line="360" w:lineRule="auto"/>
              <w:rPr>
                <w:rFonts w:ascii="宋体" w:hAnsi="宋体" w:cs="宋体"/>
                <w:color w:val="auto"/>
                <w:szCs w:val="21"/>
              </w:rPr>
            </w:pPr>
          </w:p>
        </w:tc>
        <w:tc>
          <w:tcPr>
            <w:tcW w:w="1094" w:type="dxa"/>
          </w:tcPr>
          <w:p w14:paraId="3CC5CD52">
            <w:pPr>
              <w:spacing w:line="360" w:lineRule="auto"/>
              <w:rPr>
                <w:rFonts w:ascii="宋体" w:hAnsi="宋体" w:cs="宋体"/>
                <w:color w:val="auto"/>
                <w:szCs w:val="21"/>
              </w:rPr>
            </w:pPr>
          </w:p>
        </w:tc>
        <w:tc>
          <w:tcPr>
            <w:tcW w:w="979" w:type="dxa"/>
          </w:tcPr>
          <w:p w14:paraId="5C1B0C20">
            <w:pPr>
              <w:spacing w:line="360" w:lineRule="auto"/>
              <w:rPr>
                <w:rFonts w:ascii="宋体" w:hAnsi="宋体" w:cs="宋体"/>
                <w:color w:val="auto"/>
                <w:szCs w:val="21"/>
              </w:rPr>
            </w:pPr>
          </w:p>
        </w:tc>
        <w:tc>
          <w:tcPr>
            <w:tcW w:w="979" w:type="dxa"/>
          </w:tcPr>
          <w:p w14:paraId="47B3CB62">
            <w:pPr>
              <w:spacing w:line="360" w:lineRule="auto"/>
              <w:rPr>
                <w:rFonts w:ascii="宋体" w:hAnsi="宋体" w:cs="宋体"/>
                <w:color w:val="auto"/>
                <w:szCs w:val="21"/>
              </w:rPr>
            </w:pPr>
          </w:p>
        </w:tc>
        <w:tc>
          <w:tcPr>
            <w:tcW w:w="979" w:type="dxa"/>
          </w:tcPr>
          <w:p w14:paraId="3595D65D">
            <w:pPr>
              <w:spacing w:line="360" w:lineRule="auto"/>
              <w:rPr>
                <w:rFonts w:ascii="宋体" w:hAnsi="宋体" w:cs="宋体"/>
                <w:color w:val="auto"/>
                <w:szCs w:val="21"/>
              </w:rPr>
            </w:pPr>
          </w:p>
        </w:tc>
        <w:tc>
          <w:tcPr>
            <w:tcW w:w="979" w:type="dxa"/>
          </w:tcPr>
          <w:p w14:paraId="0E0B6356">
            <w:pPr>
              <w:spacing w:line="360" w:lineRule="auto"/>
              <w:rPr>
                <w:rFonts w:ascii="宋体" w:hAnsi="宋体" w:cs="宋体"/>
                <w:color w:val="auto"/>
                <w:szCs w:val="21"/>
              </w:rPr>
            </w:pPr>
          </w:p>
        </w:tc>
        <w:tc>
          <w:tcPr>
            <w:tcW w:w="727" w:type="dxa"/>
          </w:tcPr>
          <w:p w14:paraId="22B5DF59">
            <w:pPr>
              <w:spacing w:line="360" w:lineRule="auto"/>
              <w:rPr>
                <w:rFonts w:ascii="宋体" w:hAnsi="宋体" w:cs="宋体"/>
                <w:color w:val="auto"/>
                <w:szCs w:val="21"/>
              </w:rPr>
            </w:pPr>
          </w:p>
        </w:tc>
        <w:tc>
          <w:tcPr>
            <w:tcW w:w="1038" w:type="dxa"/>
          </w:tcPr>
          <w:p w14:paraId="543C702A">
            <w:pPr>
              <w:spacing w:line="360" w:lineRule="auto"/>
              <w:rPr>
                <w:rFonts w:ascii="宋体" w:hAnsi="宋体" w:cs="宋体"/>
                <w:color w:val="auto"/>
                <w:szCs w:val="21"/>
              </w:rPr>
            </w:pPr>
          </w:p>
        </w:tc>
        <w:tc>
          <w:tcPr>
            <w:tcW w:w="698" w:type="dxa"/>
          </w:tcPr>
          <w:p w14:paraId="4B6DCE31">
            <w:pPr>
              <w:spacing w:line="360" w:lineRule="auto"/>
              <w:rPr>
                <w:rFonts w:ascii="宋体" w:hAnsi="宋体" w:cs="宋体"/>
                <w:color w:val="auto"/>
                <w:szCs w:val="21"/>
              </w:rPr>
            </w:pPr>
          </w:p>
        </w:tc>
      </w:tr>
      <w:tr w14:paraId="7A3F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9" w:type="dxa"/>
          </w:tcPr>
          <w:p w14:paraId="67BEB861">
            <w:pPr>
              <w:spacing w:line="360" w:lineRule="auto"/>
              <w:rPr>
                <w:rFonts w:ascii="宋体" w:hAnsi="宋体" w:cs="宋体"/>
                <w:color w:val="auto"/>
                <w:szCs w:val="21"/>
              </w:rPr>
            </w:pPr>
          </w:p>
        </w:tc>
        <w:tc>
          <w:tcPr>
            <w:tcW w:w="2165" w:type="dxa"/>
          </w:tcPr>
          <w:p w14:paraId="56107046">
            <w:pPr>
              <w:spacing w:line="360" w:lineRule="auto"/>
              <w:rPr>
                <w:rFonts w:ascii="宋体" w:hAnsi="宋体" w:cs="宋体"/>
                <w:color w:val="auto"/>
                <w:szCs w:val="21"/>
              </w:rPr>
            </w:pPr>
          </w:p>
        </w:tc>
        <w:tc>
          <w:tcPr>
            <w:tcW w:w="1094" w:type="dxa"/>
          </w:tcPr>
          <w:p w14:paraId="26CE5DEF">
            <w:pPr>
              <w:spacing w:line="360" w:lineRule="auto"/>
              <w:rPr>
                <w:rFonts w:ascii="宋体" w:hAnsi="宋体" w:cs="宋体"/>
                <w:color w:val="auto"/>
                <w:szCs w:val="21"/>
              </w:rPr>
            </w:pPr>
          </w:p>
        </w:tc>
        <w:tc>
          <w:tcPr>
            <w:tcW w:w="979" w:type="dxa"/>
          </w:tcPr>
          <w:p w14:paraId="4CF614A8">
            <w:pPr>
              <w:spacing w:line="360" w:lineRule="auto"/>
              <w:rPr>
                <w:rFonts w:ascii="宋体" w:hAnsi="宋体" w:cs="宋体"/>
                <w:color w:val="auto"/>
                <w:szCs w:val="21"/>
              </w:rPr>
            </w:pPr>
          </w:p>
        </w:tc>
        <w:tc>
          <w:tcPr>
            <w:tcW w:w="979" w:type="dxa"/>
          </w:tcPr>
          <w:p w14:paraId="42C519EB">
            <w:pPr>
              <w:spacing w:line="360" w:lineRule="auto"/>
              <w:rPr>
                <w:rFonts w:ascii="宋体" w:hAnsi="宋体" w:cs="宋体"/>
                <w:color w:val="auto"/>
                <w:szCs w:val="21"/>
              </w:rPr>
            </w:pPr>
          </w:p>
        </w:tc>
        <w:tc>
          <w:tcPr>
            <w:tcW w:w="979" w:type="dxa"/>
          </w:tcPr>
          <w:p w14:paraId="7BA30302">
            <w:pPr>
              <w:spacing w:line="360" w:lineRule="auto"/>
              <w:rPr>
                <w:rFonts w:ascii="宋体" w:hAnsi="宋体" w:cs="宋体"/>
                <w:color w:val="auto"/>
                <w:szCs w:val="21"/>
              </w:rPr>
            </w:pPr>
          </w:p>
        </w:tc>
        <w:tc>
          <w:tcPr>
            <w:tcW w:w="979" w:type="dxa"/>
          </w:tcPr>
          <w:p w14:paraId="79436740">
            <w:pPr>
              <w:spacing w:line="360" w:lineRule="auto"/>
              <w:rPr>
                <w:rFonts w:ascii="宋体" w:hAnsi="宋体" w:cs="宋体"/>
                <w:color w:val="auto"/>
                <w:szCs w:val="21"/>
              </w:rPr>
            </w:pPr>
          </w:p>
        </w:tc>
        <w:tc>
          <w:tcPr>
            <w:tcW w:w="727" w:type="dxa"/>
          </w:tcPr>
          <w:p w14:paraId="1A2FAECE">
            <w:pPr>
              <w:spacing w:line="360" w:lineRule="auto"/>
              <w:rPr>
                <w:rFonts w:ascii="宋体" w:hAnsi="宋体" w:cs="宋体"/>
                <w:color w:val="auto"/>
                <w:szCs w:val="21"/>
              </w:rPr>
            </w:pPr>
          </w:p>
        </w:tc>
        <w:tc>
          <w:tcPr>
            <w:tcW w:w="1038" w:type="dxa"/>
          </w:tcPr>
          <w:p w14:paraId="4CB09CDD">
            <w:pPr>
              <w:spacing w:line="360" w:lineRule="auto"/>
              <w:rPr>
                <w:rFonts w:ascii="宋体" w:hAnsi="宋体" w:cs="宋体"/>
                <w:color w:val="auto"/>
                <w:szCs w:val="21"/>
              </w:rPr>
            </w:pPr>
          </w:p>
        </w:tc>
        <w:tc>
          <w:tcPr>
            <w:tcW w:w="698" w:type="dxa"/>
          </w:tcPr>
          <w:p w14:paraId="5E1B49BE">
            <w:pPr>
              <w:spacing w:line="360" w:lineRule="auto"/>
              <w:rPr>
                <w:rFonts w:ascii="宋体" w:hAnsi="宋体" w:cs="宋体"/>
                <w:color w:val="auto"/>
                <w:szCs w:val="21"/>
              </w:rPr>
            </w:pPr>
          </w:p>
        </w:tc>
      </w:tr>
    </w:tbl>
    <w:p w14:paraId="5240B0BC">
      <w:pPr>
        <w:spacing w:line="360" w:lineRule="auto"/>
        <w:rPr>
          <w:rFonts w:ascii="宋体" w:hAnsi="宋体" w:cs="宋体"/>
          <w:color w:val="auto"/>
          <w:szCs w:val="21"/>
        </w:rPr>
      </w:pPr>
      <w:r>
        <w:rPr>
          <w:rFonts w:hint="eastAsia" w:ascii="宋体" w:hAnsi="宋体" w:cs="宋体"/>
          <w:color w:val="auto"/>
          <w:szCs w:val="21"/>
        </w:rPr>
        <w:t>注：</w:t>
      </w:r>
    </w:p>
    <w:p w14:paraId="5E6D7679">
      <w:pPr>
        <w:spacing w:line="360" w:lineRule="auto"/>
        <w:rPr>
          <w:rFonts w:ascii="宋体" w:hAnsi="宋体" w:cs="宋体"/>
          <w:bCs/>
          <w:color w:val="auto"/>
          <w:szCs w:val="21"/>
        </w:rPr>
      </w:pPr>
      <w:r>
        <w:rPr>
          <w:rFonts w:hint="eastAsia" w:ascii="宋体" w:hAnsi="宋体" w:cs="宋体"/>
          <w:color w:val="auto"/>
          <w:szCs w:val="21"/>
        </w:rPr>
        <w:t>1.投标文件中须提供《投标人履约能力情况表》及相对应的证明材料，证明材料为</w:t>
      </w:r>
      <w:r>
        <w:rPr>
          <w:rFonts w:hint="eastAsia" w:ascii="宋体" w:hAnsi="宋体" w:eastAsia="宋体" w:cs="宋体"/>
          <w:szCs w:val="21"/>
          <w:highlight w:val="none"/>
          <w:lang w:val="en-US" w:eastAsia="zh-CN"/>
        </w:rPr>
        <w:t>中标（成交）通知书或合同（合同首页、标的及金额所在页及合同签字盖章页）</w:t>
      </w:r>
      <w:r>
        <w:rPr>
          <w:rFonts w:hint="eastAsia" w:ascii="宋体" w:hAnsi="宋体" w:eastAsia="宋体" w:cs="宋体"/>
          <w:szCs w:val="21"/>
          <w:highlight w:val="none"/>
        </w:rPr>
        <w:t>或委托方出具的证明材料</w:t>
      </w:r>
      <w:r>
        <w:rPr>
          <w:rFonts w:hint="eastAsia" w:ascii="宋体" w:hAnsi="宋体" w:cs="宋体"/>
          <w:color w:val="auto"/>
          <w:szCs w:val="21"/>
        </w:rPr>
        <w:t>。</w:t>
      </w:r>
    </w:p>
    <w:p w14:paraId="2938FFEE">
      <w:pPr>
        <w:spacing w:line="360" w:lineRule="auto"/>
        <w:rPr>
          <w:rFonts w:ascii="宋体" w:hAnsi="宋体" w:cs="宋体"/>
          <w:color w:val="auto"/>
          <w:szCs w:val="21"/>
        </w:rPr>
      </w:pPr>
      <w:r>
        <w:rPr>
          <w:rFonts w:hint="eastAsia" w:ascii="宋体" w:hAnsi="宋体" w:cs="宋体"/>
          <w:bCs/>
          <w:color w:val="auto"/>
          <w:szCs w:val="21"/>
        </w:rPr>
        <w:t>2.投标人可根据实际情况拓展本表。</w:t>
      </w:r>
    </w:p>
    <w:p w14:paraId="093F9CEE">
      <w:pPr>
        <w:pStyle w:val="22"/>
        <w:rPr>
          <w:rFonts w:hAnsi="宋体" w:cs="宋体"/>
          <w:color w:val="auto"/>
          <w:szCs w:val="21"/>
        </w:rPr>
      </w:pPr>
    </w:p>
    <w:p w14:paraId="42C7C64E">
      <w:pPr>
        <w:pStyle w:val="22"/>
        <w:rPr>
          <w:rFonts w:hAnsi="宋体" w:cs="宋体"/>
          <w:color w:val="auto"/>
          <w:szCs w:val="21"/>
        </w:rPr>
      </w:pPr>
    </w:p>
    <w:p w14:paraId="75B22DB8">
      <w:pPr>
        <w:pStyle w:val="22"/>
        <w:rPr>
          <w:rFonts w:hAnsi="宋体" w:cs="宋体"/>
          <w:color w:val="auto"/>
          <w:szCs w:val="21"/>
        </w:rPr>
      </w:pPr>
    </w:p>
    <w:p w14:paraId="52738CC8">
      <w:pPr>
        <w:pStyle w:val="22"/>
        <w:rPr>
          <w:rFonts w:hAnsi="宋体" w:cs="宋体"/>
          <w:color w:val="auto"/>
          <w:szCs w:val="21"/>
        </w:rPr>
      </w:pPr>
    </w:p>
    <w:p w14:paraId="25013A7F">
      <w:pPr>
        <w:pStyle w:val="22"/>
        <w:rPr>
          <w:rFonts w:hAnsi="宋体" w:cs="宋体"/>
          <w:color w:val="auto"/>
          <w:szCs w:val="21"/>
        </w:rPr>
      </w:pPr>
    </w:p>
    <w:p w14:paraId="6482B7DA">
      <w:pPr>
        <w:pStyle w:val="22"/>
        <w:rPr>
          <w:rFonts w:hAnsi="宋体" w:cs="宋体"/>
          <w:color w:val="auto"/>
          <w:szCs w:val="21"/>
        </w:rPr>
      </w:pPr>
    </w:p>
    <w:p w14:paraId="42124DC4">
      <w:pPr>
        <w:pStyle w:val="22"/>
        <w:rPr>
          <w:rFonts w:hAnsi="宋体" w:cs="宋体"/>
          <w:color w:val="auto"/>
          <w:szCs w:val="21"/>
        </w:rPr>
      </w:pPr>
    </w:p>
    <w:p w14:paraId="4E6C129B">
      <w:pPr>
        <w:pStyle w:val="22"/>
        <w:rPr>
          <w:rFonts w:hAnsi="宋体" w:cs="宋体"/>
          <w:color w:val="auto"/>
          <w:szCs w:val="21"/>
        </w:rPr>
      </w:pPr>
    </w:p>
    <w:p w14:paraId="77E81883">
      <w:pPr>
        <w:pStyle w:val="22"/>
        <w:rPr>
          <w:rFonts w:hAnsi="宋体" w:cs="宋体"/>
          <w:color w:val="auto"/>
          <w:szCs w:val="21"/>
        </w:rPr>
      </w:pPr>
    </w:p>
    <w:p w14:paraId="134CBABE">
      <w:pPr>
        <w:spacing w:line="360" w:lineRule="auto"/>
        <w:ind w:firstLine="2" w:firstLineChars="1"/>
        <w:rPr>
          <w:rFonts w:ascii="宋体" w:hAnsi="宋体" w:cs="宋体"/>
          <w:color w:val="auto"/>
          <w:szCs w:val="21"/>
        </w:rPr>
      </w:pPr>
    </w:p>
    <w:p w14:paraId="754E78B6">
      <w:pPr>
        <w:spacing w:line="360" w:lineRule="auto"/>
        <w:ind w:firstLine="2" w:firstLineChars="1"/>
        <w:rPr>
          <w:rFonts w:ascii="宋体" w:hAnsi="宋体" w:cs="宋体"/>
          <w:color w:val="auto"/>
          <w:szCs w:val="21"/>
        </w:rPr>
      </w:pPr>
    </w:p>
    <w:p w14:paraId="495807EF">
      <w:pPr>
        <w:spacing w:line="360" w:lineRule="auto"/>
        <w:ind w:firstLine="2" w:firstLineChars="1"/>
        <w:rPr>
          <w:rFonts w:ascii="宋体"/>
          <w:color w:val="auto"/>
          <w:szCs w:val="21"/>
        </w:rPr>
      </w:pPr>
      <w:r>
        <w:rPr>
          <w:rFonts w:hint="eastAsia" w:ascii="宋体" w:hAnsi="宋体"/>
          <w:color w:val="auto"/>
          <w:szCs w:val="21"/>
        </w:rPr>
        <w:t>投标人（</w:t>
      </w:r>
      <w:r>
        <w:rPr>
          <w:rFonts w:hint="eastAsia" w:ascii="宋体" w:hAnsi="宋体" w:cs="宋体"/>
          <w:color w:val="auto"/>
          <w:szCs w:val="21"/>
        </w:rPr>
        <w:t>加盖投标人电子公章</w:t>
      </w:r>
      <w:r>
        <w:rPr>
          <w:rFonts w:hint="eastAsia" w:ascii="宋体" w:hAnsi="宋体"/>
          <w:color w:val="auto"/>
          <w:szCs w:val="21"/>
        </w:rPr>
        <w:t>）：</w:t>
      </w:r>
    </w:p>
    <w:p w14:paraId="2F6C2C24">
      <w:pPr>
        <w:spacing w:line="360" w:lineRule="auto"/>
        <w:ind w:firstLine="2" w:firstLineChars="1"/>
        <w:rPr>
          <w:rFonts w:ascii="宋体"/>
          <w:color w:val="auto"/>
          <w:szCs w:val="21"/>
        </w:rPr>
      </w:pPr>
      <w:r>
        <w:rPr>
          <w:rFonts w:hint="eastAsia" w:ascii="宋体" w:hAnsi="宋体"/>
          <w:color w:val="auto"/>
          <w:szCs w:val="21"/>
        </w:rPr>
        <w:t>法定代表人（电子签名或电子签章）：</w:t>
      </w:r>
    </w:p>
    <w:p w14:paraId="2EA00496">
      <w:pPr>
        <w:pStyle w:val="22"/>
        <w:spacing w:line="276" w:lineRule="auto"/>
        <w:ind w:firstLine="2" w:firstLineChars="1"/>
        <w:rPr>
          <w:rFonts w:hAnsi="宋体"/>
          <w:color w:val="auto"/>
          <w:szCs w:val="21"/>
        </w:rPr>
      </w:pPr>
      <w:r>
        <w:rPr>
          <w:rFonts w:hint="eastAsia" w:hAnsi="宋体"/>
          <w:color w:val="auto"/>
          <w:szCs w:val="21"/>
        </w:rPr>
        <w:t>日期：</w:t>
      </w:r>
    </w:p>
    <w:p w14:paraId="646B220B">
      <w:pPr>
        <w:rPr>
          <w:rFonts w:ascii="宋体" w:hAnsi="宋体" w:cs="宋体"/>
          <w:b/>
          <w:color w:val="auto"/>
          <w:sz w:val="28"/>
          <w:szCs w:val="28"/>
        </w:rPr>
      </w:pPr>
      <w:r>
        <w:rPr>
          <w:rFonts w:hint="eastAsia" w:ascii="宋体" w:hAnsi="宋体" w:cs="宋体"/>
          <w:b/>
          <w:color w:val="auto"/>
          <w:sz w:val="28"/>
          <w:szCs w:val="28"/>
        </w:rPr>
        <w:br w:type="page"/>
      </w:r>
    </w:p>
    <w:p w14:paraId="43CD652C">
      <w:pPr>
        <w:widowControl/>
        <w:jc w:val="left"/>
        <w:rPr>
          <w:rFonts w:hint="default" w:hAnsi="宋体" w:eastAsia="宋体" w:cs="宋体"/>
          <w:b/>
          <w:color w:val="auto"/>
          <w:sz w:val="28"/>
          <w:szCs w:val="28"/>
          <w:lang w:val="en-US" w:eastAsia="zh-CN"/>
        </w:rPr>
      </w:pPr>
      <w:r>
        <w:rPr>
          <w:rFonts w:hint="eastAsia" w:hAnsi="宋体" w:cs="宋体"/>
          <w:b/>
          <w:color w:val="auto"/>
          <w:sz w:val="28"/>
          <w:szCs w:val="28"/>
        </w:rPr>
        <w:t>格式</w:t>
      </w:r>
      <w:r>
        <w:rPr>
          <w:rFonts w:hint="eastAsia" w:hAnsi="宋体" w:cs="宋体"/>
          <w:b/>
          <w:color w:val="auto"/>
          <w:sz w:val="28"/>
          <w:szCs w:val="28"/>
          <w:lang w:val="en-US" w:eastAsia="zh-CN"/>
        </w:rPr>
        <w:t>19</w:t>
      </w:r>
    </w:p>
    <w:p w14:paraId="7A83198E">
      <w:pPr>
        <w:pStyle w:val="5"/>
        <w:spacing w:after="120"/>
        <w:ind w:left="425"/>
        <w:jc w:val="center"/>
        <w:rPr>
          <w:rFonts w:ascii="宋体" w:hAnsi="宋体" w:cs="宋体"/>
          <w:color w:val="auto"/>
        </w:rPr>
      </w:pPr>
      <w:bookmarkStart w:id="87" w:name="_Toc27370"/>
      <w:bookmarkStart w:id="88" w:name="_Toc32611"/>
      <w:bookmarkStart w:id="89" w:name="_Toc16856"/>
      <w:r>
        <w:rPr>
          <w:rFonts w:hint="eastAsia" w:ascii="宋体" w:hAnsi="宋体" w:cs="宋体"/>
          <w:bCs/>
          <w:color w:val="auto"/>
          <w:spacing w:val="0"/>
          <w:sz w:val="28"/>
          <w:szCs w:val="28"/>
        </w:rPr>
        <w:t>法定代表人身份证明书</w:t>
      </w:r>
      <w:bookmarkEnd w:id="87"/>
      <w:bookmarkEnd w:id="88"/>
      <w:bookmarkEnd w:id="89"/>
    </w:p>
    <w:p w14:paraId="59AAB18F">
      <w:pPr>
        <w:spacing w:line="440" w:lineRule="exact"/>
        <w:jc w:val="center"/>
        <w:rPr>
          <w:rFonts w:ascii="宋体" w:hAnsi="宋体" w:cs="宋体"/>
          <w:b/>
          <w:color w:val="auto"/>
          <w:sz w:val="30"/>
          <w:szCs w:val="30"/>
        </w:rPr>
      </w:pPr>
    </w:p>
    <w:p w14:paraId="6876D38B">
      <w:pPr>
        <w:spacing w:line="360" w:lineRule="auto"/>
        <w:rPr>
          <w:rFonts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w:t>
      </w:r>
      <w:r>
        <w:rPr>
          <w:rFonts w:hint="eastAsia" w:ascii="宋体" w:hAnsi="宋体" w:cs="宋体"/>
          <w:color w:val="auto"/>
          <w:szCs w:val="21"/>
        </w:rPr>
        <w:t>。</w:t>
      </w:r>
    </w:p>
    <w:p w14:paraId="49289DA7">
      <w:pPr>
        <w:spacing w:line="360" w:lineRule="auto"/>
        <w:rPr>
          <w:rFonts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w:t>
      </w:r>
    </w:p>
    <w:p w14:paraId="6CD7E929">
      <w:pPr>
        <w:spacing w:line="360" w:lineRule="auto"/>
        <w:rPr>
          <w:rFonts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7E21A3B">
      <w:pPr>
        <w:spacing w:line="360" w:lineRule="auto"/>
        <w:rPr>
          <w:rFonts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r>
        <w:rPr>
          <w:rFonts w:hint="eastAsia" w:ascii="宋体" w:hAnsi="宋体" w:cs="宋体"/>
          <w:color w:val="auto"/>
          <w:szCs w:val="21"/>
        </w:rPr>
        <w:t>。</w:t>
      </w:r>
    </w:p>
    <w:p w14:paraId="7F9DD195">
      <w:pPr>
        <w:spacing w:line="360" w:lineRule="auto"/>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w:t>
      </w:r>
    </w:p>
    <w:p w14:paraId="113FA55F">
      <w:pPr>
        <w:spacing w:before="120" w:beforeLines="50" w:after="120" w:afterLines="50" w:line="360" w:lineRule="auto"/>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（投标人名称）       </w:t>
      </w:r>
      <w:r>
        <w:rPr>
          <w:rFonts w:hint="eastAsia" w:ascii="宋体" w:hAnsi="宋体" w:cs="宋体"/>
          <w:color w:val="auto"/>
          <w:szCs w:val="21"/>
        </w:rPr>
        <w:t>的法定代表人。</w:t>
      </w:r>
    </w:p>
    <w:p w14:paraId="4CE5E3D0">
      <w:pPr>
        <w:spacing w:line="360" w:lineRule="auto"/>
        <w:rPr>
          <w:rFonts w:ascii="宋体" w:hAnsi="宋体" w:cs="宋体"/>
          <w:color w:val="auto"/>
          <w:szCs w:val="21"/>
        </w:rPr>
      </w:pPr>
    </w:p>
    <w:p w14:paraId="5EA90C1A">
      <w:pPr>
        <w:spacing w:line="360" w:lineRule="auto"/>
        <w:ind w:firstLine="420" w:firstLineChars="200"/>
        <w:rPr>
          <w:rFonts w:ascii="宋体" w:hAnsi="宋体" w:cs="宋体"/>
          <w:color w:val="auto"/>
          <w:szCs w:val="21"/>
        </w:rPr>
      </w:pPr>
    </w:p>
    <w:p w14:paraId="13E7233B">
      <w:pPr>
        <w:spacing w:line="360" w:lineRule="auto"/>
        <w:ind w:firstLine="420" w:firstLineChars="200"/>
        <w:rPr>
          <w:rFonts w:ascii="宋体" w:hAnsi="宋体" w:cs="宋体"/>
          <w:color w:val="auto"/>
          <w:szCs w:val="21"/>
        </w:rPr>
      </w:pPr>
      <w:r>
        <w:rPr>
          <w:rFonts w:hint="eastAsia" w:ascii="宋体" w:hAnsi="宋体" w:cs="宋体"/>
          <w:color w:val="auto"/>
          <w:szCs w:val="21"/>
        </w:rPr>
        <w:t>特此证明。</w:t>
      </w:r>
    </w:p>
    <w:p w14:paraId="72FE28C2">
      <w:pPr>
        <w:spacing w:line="360" w:lineRule="auto"/>
        <w:rPr>
          <w:rFonts w:ascii="宋体" w:hAnsi="宋体" w:cs="宋体"/>
          <w:color w:val="auto"/>
          <w:szCs w:val="21"/>
        </w:rPr>
      </w:pPr>
    </w:p>
    <w:p w14:paraId="5CF41216">
      <w:pPr>
        <w:spacing w:line="360" w:lineRule="auto"/>
        <w:rPr>
          <w:rFonts w:ascii="宋体" w:hAnsi="宋体" w:cs="宋体"/>
          <w:color w:val="auto"/>
          <w:szCs w:val="21"/>
        </w:rPr>
      </w:pPr>
    </w:p>
    <w:p w14:paraId="10990D79">
      <w:pPr>
        <w:spacing w:line="360" w:lineRule="auto"/>
        <w:rPr>
          <w:rFonts w:ascii="宋体" w:hAnsi="宋体" w:cs="宋体"/>
          <w:color w:val="auto"/>
          <w:szCs w:val="21"/>
        </w:rPr>
      </w:pPr>
    </w:p>
    <w:p w14:paraId="27824FE0">
      <w:pPr>
        <w:spacing w:line="360" w:lineRule="auto"/>
        <w:rPr>
          <w:rFonts w:ascii="宋体" w:hAnsi="宋体" w:cs="宋体"/>
          <w:color w:val="auto"/>
          <w:szCs w:val="21"/>
        </w:rPr>
      </w:pPr>
    </w:p>
    <w:p w14:paraId="75D76945">
      <w:pPr>
        <w:spacing w:line="360" w:lineRule="auto"/>
        <w:ind w:left="5397" w:leftChars="2570"/>
        <w:rPr>
          <w:rFonts w:ascii="宋体" w:hAnsi="宋体" w:cs="宋体"/>
          <w:color w:val="auto"/>
          <w:szCs w:val="21"/>
        </w:rPr>
      </w:pPr>
      <w:r>
        <w:rPr>
          <w:rFonts w:hint="eastAsia" w:ascii="宋体" w:hAnsi="宋体" w:cs="宋体"/>
          <w:color w:val="auto"/>
          <w:szCs w:val="21"/>
        </w:rPr>
        <w:t>投标人（加盖投标人电子公章）：</w:t>
      </w:r>
    </w:p>
    <w:p w14:paraId="61054271">
      <w:pPr>
        <w:spacing w:line="360" w:lineRule="auto"/>
        <w:ind w:left="5397" w:leftChars="2570"/>
        <w:rPr>
          <w:rFonts w:ascii="宋体" w:hAnsi="宋体" w:cs="宋体"/>
          <w:color w:val="auto"/>
          <w:szCs w:val="21"/>
        </w:rPr>
      </w:pPr>
    </w:p>
    <w:p w14:paraId="00509EDB">
      <w:pPr>
        <w:spacing w:line="360" w:lineRule="auto"/>
        <w:ind w:left="5397" w:leftChars="2570"/>
        <w:rPr>
          <w:rFonts w:ascii="宋体" w:hAnsi="宋体" w:cs="宋体"/>
          <w:color w:val="auto"/>
          <w:szCs w:val="21"/>
        </w:rPr>
      </w:pPr>
      <w:r>
        <w:rPr>
          <w:rFonts w:hint="eastAsia" w:ascii="宋体" w:hAnsi="宋体" w:cs="宋体"/>
          <w:color w:val="auto"/>
          <w:szCs w:val="21"/>
        </w:rPr>
        <w:t>日期：</w:t>
      </w:r>
    </w:p>
    <w:p w14:paraId="0A76AAE7">
      <w:pPr>
        <w:pStyle w:val="22"/>
        <w:spacing w:line="500" w:lineRule="exact"/>
        <w:ind w:firstLine="420"/>
        <w:rPr>
          <w:rFonts w:hAnsi="宋体" w:cs="宋体"/>
          <w:b/>
          <w:bCs/>
          <w:color w:val="auto"/>
          <w:szCs w:val="21"/>
        </w:rPr>
      </w:pPr>
      <w:r>
        <w:rPr>
          <w:rFonts w:hint="eastAsia" w:hAnsi="宋体" w:cs="宋体"/>
          <w:b/>
          <w:bCs/>
          <w:color w:val="auto"/>
          <w:szCs w:val="21"/>
        </w:rPr>
        <w:t>注:在投标文件中附法定代表人居民身份证（如非中国国籍应提供护照）扫描件。</w:t>
      </w:r>
    </w:p>
    <w:p w14:paraId="089FF4E7">
      <w:pPr>
        <w:widowControl/>
        <w:jc w:val="left"/>
        <w:rPr>
          <w:rFonts w:hint="default" w:hAnsi="宋体" w:eastAsia="宋体" w:cs="宋体"/>
          <w:b/>
          <w:color w:val="auto"/>
          <w:sz w:val="28"/>
          <w:szCs w:val="28"/>
          <w:lang w:val="en-US" w:eastAsia="zh-CN"/>
        </w:rPr>
      </w:pPr>
      <w:r>
        <w:rPr>
          <w:rFonts w:hint="eastAsia" w:ascii="宋体" w:hAnsi="宋体" w:cs="宋体"/>
          <w:b/>
          <w:color w:val="auto"/>
          <w:sz w:val="28"/>
          <w:szCs w:val="28"/>
        </w:rPr>
        <w:br w:type="page"/>
      </w:r>
      <w:r>
        <w:rPr>
          <w:rFonts w:hint="eastAsia" w:hAnsi="宋体" w:cs="宋体"/>
          <w:b/>
          <w:color w:val="auto"/>
          <w:sz w:val="28"/>
          <w:szCs w:val="28"/>
        </w:rPr>
        <w:t>格式</w:t>
      </w:r>
      <w:r>
        <w:rPr>
          <w:rFonts w:hint="eastAsia" w:hAnsi="宋体" w:cs="宋体"/>
          <w:b/>
          <w:color w:val="auto"/>
          <w:sz w:val="28"/>
          <w:szCs w:val="28"/>
          <w:lang w:val="en-US" w:eastAsia="zh-CN"/>
        </w:rPr>
        <w:t>20</w:t>
      </w:r>
    </w:p>
    <w:p w14:paraId="3738A41C">
      <w:pPr>
        <w:pStyle w:val="5"/>
        <w:ind w:left="425"/>
        <w:jc w:val="center"/>
        <w:rPr>
          <w:rFonts w:ascii="宋体" w:hAnsi="宋体" w:cs="宋体"/>
          <w:color w:val="auto"/>
          <w:szCs w:val="32"/>
        </w:rPr>
      </w:pPr>
      <w:bookmarkStart w:id="90" w:name="_Toc28642"/>
      <w:bookmarkStart w:id="91" w:name="_Toc1231"/>
      <w:bookmarkStart w:id="92" w:name="_Toc2606"/>
      <w:r>
        <w:rPr>
          <w:rFonts w:hint="eastAsia" w:ascii="宋体" w:hAnsi="宋体" w:cs="宋体"/>
          <w:bCs/>
          <w:color w:val="auto"/>
          <w:spacing w:val="0"/>
          <w:sz w:val="28"/>
          <w:szCs w:val="28"/>
        </w:rPr>
        <w:t>法定代表人授权委托书</w:t>
      </w:r>
      <w:bookmarkEnd w:id="90"/>
      <w:bookmarkEnd w:id="91"/>
      <w:bookmarkEnd w:id="92"/>
    </w:p>
    <w:p w14:paraId="061FF976">
      <w:pPr>
        <w:pStyle w:val="22"/>
        <w:spacing w:line="500" w:lineRule="exact"/>
        <w:ind w:firstLine="480" w:firstLineChars="200"/>
        <w:rPr>
          <w:rFonts w:hAnsi="宋体" w:cs="宋体"/>
          <w:color w:val="auto"/>
          <w:sz w:val="24"/>
          <w:szCs w:val="24"/>
        </w:rPr>
      </w:pPr>
    </w:p>
    <w:p w14:paraId="32547EE3">
      <w:pPr>
        <w:spacing w:line="360" w:lineRule="auto"/>
        <w:ind w:firstLine="420" w:firstLineChars="200"/>
        <w:rPr>
          <w:rFonts w:ascii="宋体" w:hAnsi="宋体" w:cs="宋体"/>
          <w:color w:val="auto"/>
          <w:szCs w:val="21"/>
        </w:rPr>
      </w:pPr>
      <w:r>
        <w:rPr>
          <w:rFonts w:hint="eastAsia" w:ascii="宋体" w:hAnsi="宋体" w:cs="宋体"/>
          <w:color w:val="auto"/>
          <w:szCs w:val="21"/>
        </w:rPr>
        <w:t>本授权书声明：</w:t>
      </w:r>
      <w:r>
        <w:rPr>
          <w:rFonts w:hint="eastAsia" w:ascii="宋体" w:hAnsi="宋体" w:cs="宋体"/>
          <w:color w:val="auto"/>
          <w:szCs w:val="21"/>
          <w:u w:val="single"/>
        </w:rPr>
        <w:t xml:space="preserve">（投标人全称） </w:t>
      </w:r>
      <w:r>
        <w:rPr>
          <w:rFonts w:hint="eastAsia" w:ascii="宋体" w:hAnsi="宋体" w:cs="宋体"/>
          <w:color w:val="auto"/>
          <w:szCs w:val="21"/>
        </w:rPr>
        <w:t>的法定代表人代表本公司授权</w:t>
      </w:r>
      <w:r>
        <w:rPr>
          <w:rFonts w:hint="eastAsia" w:ascii="宋体" w:hAnsi="宋体" w:cs="宋体"/>
          <w:color w:val="auto"/>
          <w:szCs w:val="21"/>
          <w:u w:val="single"/>
        </w:rPr>
        <w:t>（委托代理人姓名）</w:t>
      </w:r>
      <w:r>
        <w:rPr>
          <w:rFonts w:hint="eastAsia" w:ascii="宋体" w:hAnsi="宋体" w:cs="宋体"/>
          <w:color w:val="auto"/>
          <w:szCs w:val="21"/>
        </w:rPr>
        <w:t>为本公司合法代理人，就贵方组织的有关</w:t>
      </w:r>
      <w:r>
        <w:rPr>
          <w:rFonts w:hint="eastAsia" w:ascii="宋体" w:hAnsi="宋体" w:cs="宋体"/>
          <w:color w:val="auto"/>
          <w:szCs w:val="21"/>
          <w:u w:val="single"/>
        </w:rPr>
        <w:t>（项目名称）</w:t>
      </w:r>
      <w:r>
        <w:rPr>
          <w:rFonts w:hint="eastAsia" w:ascii="宋体" w:hAnsi="宋体" w:cs="宋体"/>
          <w:color w:val="auto"/>
          <w:szCs w:val="21"/>
        </w:rPr>
        <w:t>项目（</w:t>
      </w:r>
      <w:r>
        <w:rPr>
          <w:rFonts w:hint="eastAsia" w:hAnsi="宋体" w:cs="宋体"/>
          <w:color w:val="auto"/>
          <w:szCs w:val="21"/>
          <w:u w:val="single"/>
        </w:rPr>
        <w:t>项目编号：</w:t>
      </w:r>
      <w:r>
        <w:rPr>
          <w:rFonts w:hAnsi="宋体" w:cs="宋体"/>
          <w:color w:val="auto"/>
          <w:szCs w:val="21"/>
          <w:u w:val="single"/>
        </w:rPr>
        <w:t xml:space="preserve">        </w:t>
      </w:r>
      <w:r>
        <w:rPr>
          <w:rFonts w:hint="eastAsia" w:ascii="宋体" w:hAnsi="宋体" w:cs="宋体"/>
          <w:color w:val="auto"/>
          <w:szCs w:val="21"/>
        </w:rPr>
        <w:t>）的招标，以本单位名义投标。委托代理人在本项目投标过程中所签署的一切文件和处理与之有关的一切事务，我方均予承认。</w:t>
      </w:r>
    </w:p>
    <w:p w14:paraId="035801BD">
      <w:pPr>
        <w:pStyle w:val="22"/>
        <w:spacing w:line="500" w:lineRule="exact"/>
        <w:ind w:firstLine="420"/>
        <w:rPr>
          <w:rFonts w:hAnsi="宋体" w:cs="宋体"/>
          <w:color w:val="auto"/>
          <w:szCs w:val="21"/>
        </w:rPr>
      </w:pPr>
      <w:r>
        <w:rPr>
          <w:rFonts w:hint="eastAsia" w:hAnsi="宋体" w:cs="宋体"/>
          <w:color w:val="auto"/>
          <w:szCs w:val="21"/>
        </w:rPr>
        <w:t>委托代理人无转委托权。</w:t>
      </w:r>
    </w:p>
    <w:p w14:paraId="099C9266">
      <w:pPr>
        <w:pStyle w:val="22"/>
        <w:spacing w:line="500" w:lineRule="exact"/>
        <w:jc w:val="left"/>
        <w:rPr>
          <w:rFonts w:hAnsi="宋体" w:cs="宋体"/>
          <w:color w:val="auto"/>
          <w:szCs w:val="21"/>
        </w:rPr>
      </w:pPr>
      <w:r>
        <w:rPr>
          <w:rFonts w:hint="eastAsia" w:hAnsi="宋体" w:cs="宋体"/>
          <w:color w:val="auto"/>
          <w:szCs w:val="21"/>
        </w:rPr>
        <w:t>投标人（加盖投标人电子公章）：</w:t>
      </w:r>
    </w:p>
    <w:p w14:paraId="119253DB">
      <w:pPr>
        <w:pStyle w:val="22"/>
        <w:spacing w:line="500" w:lineRule="exact"/>
        <w:jc w:val="left"/>
        <w:rPr>
          <w:rFonts w:hAnsi="宋体" w:cs="宋体"/>
          <w:color w:val="auto"/>
          <w:szCs w:val="21"/>
        </w:rPr>
      </w:pPr>
    </w:p>
    <w:p w14:paraId="10404BED">
      <w:pPr>
        <w:pStyle w:val="22"/>
        <w:spacing w:line="500" w:lineRule="exact"/>
        <w:jc w:val="left"/>
        <w:rPr>
          <w:rFonts w:hAnsi="宋体" w:cs="宋体"/>
          <w:color w:val="auto"/>
          <w:szCs w:val="21"/>
        </w:rPr>
      </w:pPr>
      <w:r>
        <w:rPr>
          <w:rFonts w:hint="eastAsia" w:hAnsi="宋体" w:cs="宋体"/>
          <w:color w:val="auto"/>
          <w:szCs w:val="21"/>
        </w:rPr>
        <w:t>法定代表人（电子签名或电子签章）：</w:t>
      </w:r>
      <w:r>
        <w:rPr>
          <w:rFonts w:hAnsi="宋体" w:cs="宋体"/>
          <w:color w:val="auto"/>
          <w:szCs w:val="21"/>
        </w:rPr>
        <w:t xml:space="preserve">  </w:t>
      </w:r>
    </w:p>
    <w:p w14:paraId="4FDE17F9">
      <w:pPr>
        <w:pStyle w:val="22"/>
        <w:spacing w:line="500" w:lineRule="exact"/>
        <w:jc w:val="left"/>
        <w:rPr>
          <w:rFonts w:hAnsi="宋体" w:cs="宋体"/>
          <w:color w:val="auto"/>
          <w:szCs w:val="21"/>
        </w:rPr>
      </w:pPr>
    </w:p>
    <w:p w14:paraId="4D766113">
      <w:pPr>
        <w:pStyle w:val="22"/>
        <w:spacing w:line="500" w:lineRule="exact"/>
        <w:rPr>
          <w:rFonts w:hAnsi="宋体" w:cs="宋体"/>
          <w:color w:val="auto"/>
          <w:szCs w:val="21"/>
        </w:rPr>
      </w:pPr>
      <w:r>
        <w:rPr>
          <w:rFonts w:hint="eastAsia" w:hAnsi="宋体" w:cs="宋体"/>
          <w:color w:val="auto"/>
          <w:szCs w:val="21"/>
        </w:rPr>
        <w:t>日期</w:t>
      </w:r>
    </w:p>
    <w:p w14:paraId="185E9800">
      <w:pPr>
        <w:pStyle w:val="22"/>
        <w:spacing w:line="500" w:lineRule="exact"/>
        <w:rPr>
          <w:rFonts w:hAnsi="宋体" w:cs="宋体"/>
          <w:color w:val="auto"/>
          <w:szCs w:val="21"/>
        </w:rPr>
      </w:pPr>
    </w:p>
    <w:tbl>
      <w:tblPr>
        <w:tblStyle w:val="41"/>
        <w:tblW w:w="5868" w:type="dxa"/>
        <w:tblInd w:w="720" w:type="dxa"/>
        <w:tblLayout w:type="fixed"/>
        <w:tblCellMar>
          <w:top w:w="0" w:type="dxa"/>
          <w:left w:w="108" w:type="dxa"/>
          <w:bottom w:w="0" w:type="dxa"/>
          <w:right w:w="108" w:type="dxa"/>
        </w:tblCellMar>
      </w:tblPr>
      <w:tblGrid>
        <w:gridCol w:w="1908"/>
        <w:gridCol w:w="3960"/>
      </w:tblGrid>
      <w:tr w14:paraId="4428B7E0">
        <w:tblPrEx>
          <w:tblCellMar>
            <w:top w:w="0" w:type="dxa"/>
            <w:left w:w="108" w:type="dxa"/>
            <w:bottom w:w="0" w:type="dxa"/>
            <w:right w:w="108" w:type="dxa"/>
          </w:tblCellMar>
        </w:tblPrEx>
        <w:tc>
          <w:tcPr>
            <w:tcW w:w="1908" w:type="dxa"/>
            <w:tcBorders>
              <w:top w:val="nil"/>
              <w:left w:val="nil"/>
              <w:bottom w:val="nil"/>
              <w:right w:val="nil"/>
            </w:tcBorders>
          </w:tcPr>
          <w:p w14:paraId="39DE6C9B">
            <w:pPr>
              <w:pStyle w:val="22"/>
              <w:spacing w:line="500" w:lineRule="exact"/>
              <w:rPr>
                <w:rFonts w:hAnsi="宋体" w:cs="宋体"/>
                <w:color w:val="auto"/>
                <w:szCs w:val="21"/>
              </w:rPr>
            </w:pPr>
            <w:r>
              <w:rPr>
                <w:rFonts w:hint="eastAsia" w:hAnsi="宋体" w:cs="宋体"/>
                <w:color w:val="auto"/>
                <w:szCs w:val="21"/>
              </w:rPr>
              <w:t xml:space="preserve">附： </w:t>
            </w:r>
          </w:p>
        </w:tc>
        <w:tc>
          <w:tcPr>
            <w:tcW w:w="3960" w:type="dxa"/>
            <w:tcBorders>
              <w:top w:val="nil"/>
              <w:left w:val="nil"/>
              <w:bottom w:val="nil"/>
              <w:right w:val="nil"/>
            </w:tcBorders>
          </w:tcPr>
          <w:p w14:paraId="72F9181C">
            <w:pPr>
              <w:pStyle w:val="22"/>
              <w:spacing w:line="500" w:lineRule="exact"/>
              <w:rPr>
                <w:rFonts w:hAnsi="宋体" w:cs="宋体"/>
                <w:color w:val="auto"/>
                <w:szCs w:val="21"/>
              </w:rPr>
            </w:pPr>
            <w:r>
              <w:rPr>
                <w:rFonts w:hint="eastAsia" w:hAnsi="宋体" w:cs="宋体"/>
                <w:color w:val="auto"/>
                <w:szCs w:val="21"/>
              </w:rPr>
              <w:tab/>
            </w:r>
            <w:r>
              <w:rPr>
                <w:rFonts w:hint="eastAsia" w:hAnsi="宋体" w:cs="宋体"/>
                <w:color w:val="auto"/>
                <w:szCs w:val="21"/>
              </w:rPr>
              <w:tab/>
            </w:r>
            <w:r>
              <w:rPr>
                <w:rFonts w:hint="eastAsia" w:hAnsi="宋体" w:cs="宋体"/>
                <w:color w:val="auto"/>
                <w:szCs w:val="21"/>
              </w:rPr>
              <w:tab/>
            </w:r>
            <w:r>
              <w:rPr>
                <w:rFonts w:hint="eastAsia" w:hAnsi="宋体" w:cs="宋体"/>
                <w:color w:val="auto"/>
                <w:szCs w:val="21"/>
              </w:rPr>
              <w:tab/>
            </w:r>
            <w:r>
              <w:rPr>
                <w:rFonts w:hint="eastAsia" w:hAnsi="宋体" w:cs="宋体"/>
                <w:color w:val="auto"/>
                <w:szCs w:val="21"/>
              </w:rPr>
              <w:tab/>
            </w:r>
          </w:p>
        </w:tc>
      </w:tr>
      <w:tr w14:paraId="20BF0834">
        <w:tblPrEx>
          <w:tblCellMar>
            <w:top w:w="0" w:type="dxa"/>
            <w:left w:w="108" w:type="dxa"/>
            <w:bottom w:w="0" w:type="dxa"/>
            <w:right w:w="108" w:type="dxa"/>
          </w:tblCellMar>
        </w:tblPrEx>
        <w:tc>
          <w:tcPr>
            <w:tcW w:w="1908" w:type="dxa"/>
            <w:tcBorders>
              <w:top w:val="nil"/>
              <w:left w:val="nil"/>
              <w:bottom w:val="nil"/>
              <w:right w:val="nil"/>
            </w:tcBorders>
          </w:tcPr>
          <w:p w14:paraId="2DFEFB67">
            <w:pPr>
              <w:pStyle w:val="22"/>
              <w:spacing w:line="500" w:lineRule="exact"/>
              <w:jc w:val="distribute"/>
              <w:rPr>
                <w:rFonts w:hAnsi="宋体" w:cs="宋体"/>
                <w:color w:val="auto"/>
                <w:szCs w:val="21"/>
              </w:rPr>
            </w:pPr>
            <w:r>
              <w:rPr>
                <w:rFonts w:hint="eastAsia" w:hAnsi="宋体" w:cs="宋体"/>
                <w:color w:val="auto"/>
                <w:szCs w:val="21"/>
              </w:rPr>
              <w:t>委托代理人姓名：</w:t>
            </w:r>
          </w:p>
        </w:tc>
        <w:tc>
          <w:tcPr>
            <w:tcW w:w="3960" w:type="dxa"/>
            <w:tcBorders>
              <w:top w:val="nil"/>
              <w:left w:val="nil"/>
              <w:bottom w:val="nil"/>
              <w:right w:val="nil"/>
            </w:tcBorders>
          </w:tcPr>
          <w:p w14:paraId="32A9911E">
            <w:pPr>
              <w:pStyle w:val="22"/>
              <w:spacing w:line="500" w:lineRule="exact"/>
              <w:rPr>
                <w:rFonts w:hAnsi="宋体" w:cs="宋体"/>
                <w:color w:val="auto"/>
                <w:szCs w:val="21"/>
              </w:rPr>
            </w:pPr>
          </w:p>
        </w:tc>
      </w:tr>
      <w:tr w14:paraId="7BC8F8B9">
        <w:tblPrEx>
          <w:tblCellMar>
            <w:top w:w="0" w:type="dxa"/>
            <w:left w:w="108" w:type="dxa"/>
            <w:bottom w:w="0" w:type="dxa"/>
            <w:right w:w="108" w:type="dxa"/>
          </w:tblCellMar>
        </w:tblPrEx>
        <w:tc>
          <w:tcPr>
            <w:tcW w:w="1908" w:type="dxa"/>
            <w:tcBorders>
              <w:top w:val="nil"/>
              <w:left w:val="nil"/>
              <w:bottom w:val="nil"/>
              <w:right w:val="nil"/>
            </w:tcBorders>
          </w:tcPr>
          <w:p w14:paraId="3A91DD4D">
            <w:pPr>
              <w:pStyle w:val="22"/>
              <w:spacing w:line="500" w:lineRule="exact"/>
              <w:jc w:val="distribute"/>
              <w:rPr>
                <w:rFonts w:hAnsi="宋体" w:cs="宋体"/>
                <w:color w:val="auto"/>
                <w:szCs w:val="21"/>
              </w:rPr>
            </w:pPr>
            <w:r>
              <w:rPr>
                <w:rFonts w:hint="eastAsia" w:hAnsi="宋体" w:cs="宋体"/>
                <w:color w:val="auto"/>
                <w:szCs w:val="21"/>
              </w:rPr>
              <w:t>职       务：</w:t>
            </w:r>
          </w:p>
        </w:tc>
        <w:tc>
          <w:tcPr>
            <w:tcW w:w="3960" w:type="dxa"/>
            <w:tcBorders>
              <w:top w:val="nil"/>
              <w:left w:val="nil"/>
              <w:bottom w:val="nil"/>
              <w:right w:val="nil"/>
            </w:tcBorders>
          </w:tcPr>
          <w:p w14:paraId="52FACED4">
            <w:pPr>
              <w:pStyle w:val="22"/>
              <w:spacing w:line="500" w:lineRule="exact"/>
              <w:rPr>
                <w:rFonts w:hAnsi="宋体" w:cs="宋体"/>
                <w:color w:val="auto"/>
                <w:szCs w:val="21"/>
              </w:rPr>
            </w:pPr>
          </w:p>
        </w:tc>
      </w:tr>
      <w:tr w14:paraId="5FD8DD39">
        <w:tblPrEx>
          <w:tblCellMar>
            <w:top w:w="0" w:type="dxa"/>
            <w:left w:w="108" w:type="dxa"/>
            <w:bottom w:w="0" w:type="dxa"/>
            <w:right w:w="108" w:type="dxa"/>
          </w:tblCellMar>
        </w:tblPrEx>
        <w:tc>
          <w:tcPr>
            <w:tcW w:w="1908" w:type="dxa"/>
            <w:tcBorders>
              <w:top w:val="nil"/>
              <w:left w:val="nil"/>
              <w:bottom w:val="nil"/>
              <w:right w:val="nil"/>
            </w:tcBorders>
          </w:tcPr>
          <w:p w14:paraId="12006A20">
            <w:pPr>
              <w:pStyle w:val="22"/>
              <w:spacing w:line="500" w:lineRule="exact"/>
              <w:jc w:val="distribute"/>
              <w:rPr>
                <w:rFonts w:hAnsi="宋体" w:cs="宋体"/>
                <w:color w:val="auto"/>
                <w:szCs w:val="21"/>
              </w:rPr>
            </w:pPr>
            <w:r>
              <w:rPr>
                <w:rFonts w:hint="eastAsia" w:hAnsi="宋体" w:cs="宋体"/>
                <w:color w:val="auto"/>
                <w:szCs w:val="21"/>
              </w:rPr>
              <w:t>居民身份证号码：</w:t>
            </w:r>
          </w:p>
        </w:tc>
        <w:tc>
          <w:tcPr>
            <w:tcW w:w="3960" w:type="dxa"/>
            <w:tcBorders>
              <w:top w:val="nil"/>
              <w:left w:val="nil"/>
              <w:bottom w:val="nil"/>
              <w:right w:val="nil"/>
            </w:tcBorders>
          </w:tcPr>
          <w:p w14:paraId="69C20CFA">
            <w:pPr>
              <w:pStyle w:val="22"/>
              <w:spacing w:line="500" w:lineRule="exact"/>
              <w:rPr>
                <w:rFonts w:hAnsi="宋体" w:cs="宋体"/>
                <w:color w:val="auto"/>
                <w:szCs w:val="21"/>
              </w:rPr>
            </w:pPr>
          </w:p>
        </w:tc>
      </w:tr>
      <w:tr w14:paraId="037AE55A">
        <w:tblPrEx>
          <w:tblCellMar>
            <w:top w:w="0" w:type="dxa"/>
            <w:left w:w="108" w:type="dxa"/>
            <w:bottom w:w="0" w:type="dxa"/>
            <w:right w:w="108" w:type="dxa"/>
          </w:tblCellMar>
        </w:tblPrEx>
        <w:tc>
          <w:tcPr>
            <w:tcW w:w="1908" w:type="dxa"/>
            <w:tcBorders>
              <w:top w:val="nil"/>
              <w:left w:val="nil"/>
              <w:bottom w:val="nil"/>
              <w:right w:val="nil"/>
            </w:tcBorders>
          </w:tcPr>
          <w:p w14:paraId="5F019A9C">
            <w:pPr>
              <w:pStyle w:val="22"/>
              <w:spacing w:line="500" w:lineRule="exact"/>
              <w:jc w:val="distribute"/>
              <w:rPr>
                <w:rFonts w:hAnsi="宋体" w:cs="宋体"/>
                <w:color w:val="auto"/>
                <w:szCs w:val="21"/>
              </w:rPr>
            </w:pPr>
            <w:r>
              <w:rPr>
                <w:rFonts w:hint="eastAsia" w:hAnsi="宋体" w:cs="宋体"/>
                <w:color w:val="auto"/>
                <w:szCs w:val="21"/>
              </w:rPr>
              <w:t>详 细  地 址：</w:t>
            </w:r>
          </w:p>
        </w:tc>
        <w:tc>
          <w:tcPr>
            <w:tcW w:w="3960" w:type="dxa"/>
            <w:tcBorders>
              <w:top w:val="nil"/>
              <w:left w:val="nil"/>
              <w:bottom w:val="nil"/>
              <w:right w:val="nil"/>
            </w:tcBorders>
          </w:tcPr>
          <w:p w14:paraId="7367DAC7">
            <w:pPr>
              <w:pStyle w:val="22"/>
              <w:spacing w:line="500" w:lineRule="exact"/>
              <w:rPr>
                <w:rFonts w:hAnsi="宋体" w:cs="宋体"/>
                <w:color w:val="auto"/>
                <w:szCs w:val="21"/>
              </w:rPr>
            </w:pPr>
          </w:p>
        </w:tc>
      </w:tr>
      <w:tr w14:paraId="02232E96">
        <w:tblPrEx>
          <w:tblCellMar>
            <w:top w:w="0" w:type="dxa"/>
            <w:left w:w="108" w:type="dxa"/>
            <w:bottom w:w="0" w:type="dxa"/>
            <w:right w:w="108" w:type="dxa"/>
          </w:tblCellMar>
        </w:tblPrEx>
        <w:tc>
          <w:tcPr>
            <w:tcW w:w="1908" w:type="dxa"/>
            <w:tcBorders>
              <w:top w:val="nil"/>
              <w:left w:val="nil"/>
              <w:bottom w:val="nil"/>
              <w:right w:val="nil"/>
            </w:tcBorders>
          </w:tcPr>
          <w:p w14:paraId="2D5533BA">
            <w:pPr>
              <w:pStyle w:val="22"/>
              <w:spacing w:line="500" w:lineRule="exact"/>
              <w:jc w:val="distribute"/>
              <w:rPr>
                <w:rFonts w:hAnsi="宋体" w:cs="宋体"/>
                <w:color w:val="auto"/>
                <w:szCs w:val="21"/>
              </w:rPr>
            </w:pPr>
            <w:r>
              <w:rPr>
                <w:rFonts w:hint="eastAsia" w:hAnsi="宋体" w:cs="宋体"/>
                <w:color w:val="auto"/>
                <w:szCs w:val="21"/>
              </w:rPr>
              <w:t>电       话：</w:t>
            </w:r>
          </w:p>
        </w:tc>
        <w:tc>
          <w:tcPr>
            <w:tcW w:w="3960" w:type="dxa"/>
            <w:tcBorders>
              <w:top w:val="nil"/>
              <w:left w:val="nil"/>
              <w:bottom w:val="nil"/>
              <w:right w:val="nil"/>
            </w:tcBorders>
          </w:tcPr>
          <w:p w14:paraId="7B425369">
            <w:pPr>
              <w:pStyle w:val="22"/>
              <w:spacing w:line="500" w:lineRule="exact"/>
              <w:rPr>
                <w:rFonts w:hAnsi="宋体" w:cs="宋体"/>
                <w:color w:val="auto"/>
                <w:szCs w:val="21"/>
              </w:rPr>
            </w:pPr>
          </w:p>
        </w:tc>
      </w:tr>
      <w:tr w14:paraId="2E91282B">
        <w:tblPrEx>
          <w:tblCellMar>
            <w:top w:w="0" w:type="dxa"/>
            <w:left w:w="108" w:type="dxa"/>
            <w:bottom w:w="0" w:type="dxa"/>
            <w:right w:w="108" w:type="dxa"/>
          </w:tblCellMar>
        </w:tblPrEx>
        <w:tc>
          <w:tcPr>
            <w:tcW w:w="1908" w:type="dxa"/>
            <w:tcBorders>
              <w:top w:val="nil"/>
              <w:left w:val="nil"/>
              <w:bottom w:val="nil"/>
              <w:right w:val="nil"/>
            </w:tcBorders>
          </w:tcPr>
          <w:p w14:paraId="6F05AA40">
            <w:pPr>
              <w:pStyle w:val="22"/>
              <w:spacing w:line="500" w:lineRule="exact"/>
              <w:jc w:val="distribute"/>
              <w:rPr>
                <w:rFonts w:hAnsi="宋体" w:cs="宋体"/>
                <w:color w:val="auto"/>
                <w:szCs w:val="21"/>
              </w:rPr>
            </w:pPr>
            <w:r>
              <w:rPr>
                <w:rFonts w:hint="eastAsia" w:hAnsi="宋体" w:cs="宋体"/>
                <w:color w:val="auto"/>
                <w:szCs w:val="21"/>
              </w:rPr>
              <w:t>电子邮箱：</w:t>
            </w:r>
          </w:p>
        </w:tc>
        <w:tc>
          <w:tcPr>
            <w:tcW w:w="3960" w:type="dxa"/>
            <w:tcBorders>
              <w:top w:val="nil"/>
              <w:left w:val="nil"/>
              <w:bottom w:val="nil"/>
              <w:right w:val="nil"/>
            </w:tcBorders>
          </w:tcPr>
          <w:p w14:paraId="25777580">
            <w:pPr>
              <w:pStyle w:val="22"/>
              <w:spacing w:line="500" w:lineRule="exact"/>
              <w:rPr>
                <w:rFonts w:hAnsi="宋体" w:cs="宋体"/>
                <w:color w:val="auto"/>
                <w:szCs w:val="21"/>
              </w:rPr>
            </w:pPr>
          </w:p>
        </w:tc>
      </w:tr>
    </w:tbl>
    <w:p w14:paraId="3E34A666">
      <w:pPr>
        <w:pStyle w:val="22"/>
        <w:spacing w:line="500" w:lineRule="exact"/>
        <w:ind w:firstLine="420"/>
        <w:rPr>
          <w:rFonts w:hAnsi="宋体" w:cs="宋体"/>
          <w:color w:val="auto"/>
          <w:sz w:val="24"/>
          <w:szCs w:val="24"/>
        </w:rPr>
      </w:pPr>
      <w:r>
        <w:rPr>
          <w:rFonts w:hint="eastAsia" w:hAnsi="宋体" w:cs="宋体"/>
          <w:b/>
          <w:bCs/>
          <w:color w:val="auto"/>
          <w:szCs w:val="21"/>
        </w:rPr>
        <w:t>注:在投标文件中附委托代理人居民身份证扫描件。</w:t>
      </w:r>
    </w:p>
    <w:p w14:paraId="13BEF73C">
      <w:pPr>
        <w:widowControl/>
        <w:jc w:val="left"/>
        <w:rPr>
          <w:rFonts w:hint="eastAsia" w:hAnsi="宋体" w:eastAsia="宋体" w:cs="宋体"/>
          <w:b/>
          <w:color w:val="auto"/>
          <w:sz w:val="28"/>
          <w:szCs w:val="28"/>
          <w:lang w:val="en-US" w:eastAsia="zh-CN"/>
        </w:rPr>
      </w:pPr>
      <w:r>
        <w:rPr>
          <w:rFonts w:hint="eastAsia" w:ascii="宋体" w:hAnsi="宋体" w:cs="宋体"/>
          <w:b/>
          <w:color w:val="auto"/>
          <w:sz w:val="28"/>
          <w:szCs w:val="28"/>
        </w:rPr>
        <w:br w:type="page"/>
      </w:r>
      <w:r>
        <w:rPr>
          <w:rFonts w:hint="eastAsia" w:hAnsi="宋体" w:cs="宋体"/>
          <w:b/>
          <w:color w:val="auto"/>
          <w:sz w:val="28"/>
          <w:szCs w:val="28"/>
        </w:rPr>
        <w:t>格式2</w:t>
      </w:r>
      <w:r>
        <w:rPr>
          <w:rFonts w:hint="eastAsia" w:hAnsi="宋体" w:cs="宋体"/>
          <w:b/>
          <w:color w:val="auto"/>
          <w:sz w:val="28"/>
          <w:szCs w:val="28"/>
          <w:lang w:val="en-US" w:eastAsia="zh-CN"/>
        </w:rPr>
        <w:t>1</w:t>
      </w:r>
    </w:p>
    <w:p w14:paraId="31922EB7">
      <w:pPr>
        <w:pStyle w:val="5"/>
        <w:ind w:left="425"/>
        <w:jc w:val="center"/>
        <w:rPr>
          <w:rFonts w:ascii="宋体" w:hAnsi="宋体" w:cs="宋体"/>
          <w:color w:val="auto"/>
          <w:szCs w:val="32"/>
        </w:rPr>
      </w:pPr>
      <w:bookmarkStart w:id="93" w:name="_Toc9610"/>
      <w:bookmarkStart w:id="94" w:name="_Toc32480"/>
      <w:bookmarkStart w:id="95" w:name="_Toc161"/>
      <w:r>
        <w:rPr>
          <w:rFonts w:hint="eastAsia" w:ascii="宋体" w:hAnsi="宋体" w:cs="宋体"/>
          <w:bCs/>
          <w:color w:val="auto"/>
          <w:spacing w:val="0"/>
          <w:sz w:val="28"/>
          <w:szCs w:val="28"/>
        </w:rPr>
        <w:t>投标人具备参加政府采购活动条件承诺书</w:t>
      </w:r>
      <w:bookmarkEnd w:id="93"/>
      <w:bookmarkEnd w:id="94"/>
      <w:bookmarkEnd w:id="95"/>
    </w:p>
    <w:p w14:paraId="225C8CAA">
      <w:pPr>
        <w:spacing w:line="440" w:lineRule="exact"/>
        <w:rPr>
          <w:rFonts w:ascii="宋体" w:hAnsi="宋体" w:cs="宋体"/>
          <w:color w:val="auto"/>
          <w:szCs w:val="21"/>
        </w:rPr>
      </w:pPr>
      <w:r>
        <w:rPr>
          <w:rFonts w:hint="eastAsia" w:ascii="宋体" w:hAnsi="宋体" w:cs="宋体"/>
          <w:color w:val="auto"/>
          <w:szCs w:val="21"/>
        </w:rPr>
        <w:t>致：（采购人名称）</w:t>
      </w:r>
    </w:p>
    <w:p w14:paraId="057541CF">
      <w:pPr>
        <w:ind w:firstLine="4410" w:firstLineChars="2100"/>
        <w:rPr>
          <w:rFonts w:ascii="宋体" w:hAnsi="宋体" w:cs="宋体"/>
          <w:color w:val="auto"/>
          <w:szCs w:val="21"/>
        </w:rPr>
      </w:pPr>
    </w:p>
    <w:p w14:paraId="1396F781">
      <w:pPr>
        <w:ind w:firstLine="735" w:firstLineChars="350"/>
        <w:jc w:val="center"/>
        <w:rPr>
          <w:rFonts w:ascii="宋体" w:hAnsi="宋体" w:cs="宋体"/>
          <w:color w:val="auto"/>
          <w:szCs w:val="21"/>
        </w:rPr>
      </w:pPr>
      <w:r>
        <w:rPr>
          <w:rFonts w:hint="eastAsia" w:ascii="宋体" w:hAnsi="宋体" w:cs="宋体"/>
          <w:color w:val="auto"/>
          <w:szCs w:val="21"/>
        </w:rPr>
        <w:t>（投标人自行承诺及说明，内容自拟）</w:t>
      </w:r>
    </w:p>
    <w:p w14:paraId="3EBA6158">
      <w:pPr>
        <w:spacing w:line="360" w:lineRule="auto"/>
        <w:jc w:val="left"/>
        <w:rPr>
          <w:rFonts w:ascii="宋体" w:hAnsi="宋体" w:cs="宋体"/>
          <w:color w:val="auto"/>
          <w:szCs w:val="21"/>
        </w:rPr>
      </w:pPr>
    </w:p>
    <w:p w14:paraId="5616D625">
      <w:pPr>
        <w:spacing w:line="360" w:lineRule="auto"/>
        <w:jc w:val="left"/>
        <w:rPr>
          <w:rFonts w:ascii="宋体" w:hAnsi="宋体" w:cs="宋体"/>
          <w:color w:val="auto"/>
          <w:szCs w:val="21"/>
        </w:rPr>
      </w:pPr>
    </w:p>
    <w:p w14:paraId="2C43572D">
      <w:pPr>
        <w:spacing w:line="360" w:lineRule="auto"/>
        <w:jc w:val="left"/>
        <w:rPr>
          <w:rFonts w:ascii="宋体" w:hAnsi="宋体" w:cs="宋体"/>
          <w:color w:val="auto"/>
          <w:szCs w:val="21"/>
        </w:rPr>
      </w:pPr>
    </w:p>
    <w:p w14:paraId="028DF4A1">
      <w:pPr>
        <w:spacing w:line="360" w:lineRule="auto"/>
        <w:jc w:val="left"/>
        <w:rPr>
          <w:rFonts w:ascii="宋体" w:hAnsi="宋体" w:cs="宋体"/>
          <w:color w:val="auto"/>
          <w:szCs w:val="21"/>
        </w:rPr>
      </w:pPr>
    </w:p>
    <w:p w14:paraId="1E1D4394">
      <w:pPr>
        <w:spacing w:line="360" w:lineRule="auto"/>
        <w:jc w:val="left"/>
        <w:rPr>
          <w:rFonts w:ascii="宋体" w:hAnsi="宋体" w:cs="宋体"/>
          <w:color w:val="auto"/>
          <w:szCs w:val="21"/>
        </w:rPr>
      </w:pPr>
    </w:p>
    <w:p w14:paraId="062D3F60">
      <w:pPr>
        <w:spacing w:line="360" w:lineRule="auto"/>
        <w:jc w:val="left"/>
        <w:rPr>
          <w:rFonts w:ascii="宋体" w:hAnsi="宋体" w:cs="宋体"/>
          <w:color w:val="auto"/>
          <w:szCs w:val="21"/>
        </w:rPr>
      </w:pPr>
    </w:p>
    <w:p w14:paraId="40F2444B">
      <w:pPr>
        <w:spacing w:line="360" w:lineRule="auto"/>
        <w:jc w:val="left"/>
        <w:rPr>
          <w:rFonts w:ascii="宋体" w:hAnsi="宋体" w:cs="宋体"/>
          <w:color w:val="auto"/>
          <w:szCs w:val="21"/>
        </w:rPr>
      </w:pPr>
    </w:p>
    <w:p w14:paraId="7A4FAEA5">
      <w:pPr>
        <w:spacing w:line="360" w:lineRule="auto"/>
        <w:ind w:firstLine="2" w:firstLineChars="1"/>
        <w:rPr>
          <w:rFonts w:ascii="宋体" w:hAnsi="宋体" w:cs="宋体"/>
          <w:color w:val="auto"/>
          <w:szCs w:val="21"/>
        </w:rPr>
      </w:pPr>
    </w:p>
    <w:p w14:paraId="31C82C27">
      <w:pPr>
        <w:spacing w:line="360" w:lineRule="auto"/>
        <w:ind w:firstLine="2" w:firstLineChars="1"/>
        <w:rPr>
          <w:rFonts w:ascii="宋体" w:hAnsi="宋体" w:cs="宋体"/>
          <w:color w:val="auto"/>
          <w:szCs w:val="21"/>
        </w:rPr>
      </w:pPr>
    </w:p>
    <w:p w14:paraId="4CB33F2A">
      <w:pPr>
        <w:spacing w:line="360" w:lineRule="auto"/>
        <w:ind w:firstLine="2" w:firstLineChars="1"/>
        <w:rPr>
          <w:rFonts w:ascii="宋体" w:hAnsi="宋体" w:cs="宋体"/>
          <w:color w:val="auto"/>
          <w:szCs w:val="21"/>
        </w:rPr>
      </w:pPr>
    </w:p>
    <w:p w14:paraId="4F14FAAA">
      <w:pPr>
        <w:spacing w:line="360" w:lineRule="auto"/>
        <w:ind w:firstLine="2" w:firstLineChars="1"/>
        <w:rPr>
          <w:rFonts w:ascii="宋体" w:hAnsi="宋体" w:cs="宋体"/>
          <w:color w:val="auto"/>
          <w:szCs w:val="21"/>
        </w:rPr>
      </w:pPr>
    </w:p>
    <w:p w14:paraId="13006911">
      <w:pPr>
        <w:spacing w:line="360" w:lineRule="auto"/>
        <w:ind w:firstLine="2" w:firstLineChars="1"/>
        <w:rPr>
          <w:rFonts w:ascii="宋体" w:hAnsi="宋体" w:cs="宋体"/>
          <w:color w:val="auto"/>
          <w:szCs w:val="21"/>
        </w:rPr>
      </w:pPr>
    </w:p>
    <w:p w14:paraId="6795E8ED">
      <w:pPr>
        <w:pStyle w:val="22"/>
        <w:spacing w:line="500" w:lineRule="exact"/>
        <w:jc w:val="left"/>
        <w:rPr>
          <w:rFonts w:hAnsi="宋体" w:cs="宋体"/>
          <w:color w:val="auto"/>
          <w:szCs w:val="21"/>
        </w:rPr>
      </w:pPr>
      <w:r>
        <w:rPr>
          <w:rFonts w:hint="eastAsia" w:hAnsi="宋体" w:cs="宋体"/>
          <w:color w:val="auto"/>
          <w:szCs w:val="21"/>
        </w:rPr>
        <w:t>投标人（加盖投标人电子公章）：</w:t>
      </w:r>
    </w:p>
    <w:p w14:paraId="6F0F10D3">
      <w:pPr>
        <w:pStyle w:val="22"/>
        <w:spacing w:line="500" w:lineRule="exact"/>
        <w:jc w:val="left"/>
        <w:rPr>
          <w:rFonts w:hAnsi="宋体" w:cs="宋体"/>
          <w:color w:val="auto"/>
          <w:szCs w:val="21"/>
        </w:rPr>
      </w:pPr>
    </w:p>
    <w:p w14:paraId="04E14C57">
      <w:pPr>
        <w:pStyle w:val="22"/>
        <w:spacing w:line="500" w:lineRule="exact"/>
        <w:jc w:val="left"/>
        <w:rPr>
          <w:rFonts w:hAnsi="宋体" w:cs="宋体"/>
          <w:color w:val="auto"/>
          <w:szCs w:val="21"/>
        </w:rPr>
      </w:pPr>
      <w:r>
        <w:rPr>
          <w:rFonts w:hint="eastAsia" w:hAnsi="宋体" w:cs="宋体"/>
          <w:color w:val="auto"/>
          <w:szCs w:val="21"/>
        </w:rPr>
        <w:t>法定代表人（电子签名或电子签章）：</w:t>
      </w:r>
      <w:r>
        <w:rPr>
          <w:rFonts w:hAnsi="宋体" w:cs="宋体"/>
          <w:color w:val="auto"/>
          <w:szCs w:val="21"/>
        </w:rPr>
        <w:t xml:space="preserve">  </w:t>
      </w:r>
    </w:p>
    <w:p w14:paraId="14CB6513">
      <w:pPr>
        <w:pStyle w:val="22"/>
        <w:spacing w:line="500" w:lineRule="exact"/>
        <w:jc w:val="left"/>
        <w:rPr>
          <w:rFonts w:hAnsi="宋体" w:cs="宋体"/>
          <w:color w:val="auto"/>
          <w:szCs w:val="21"/>
        </w:rPr>
      </w:pPr>
    </w:p>
    <w:p w14:paraId="1CDE3471">
      <w:pPr>
        <w:pStyle w:val="22"/>
        <w:spacing w:line="500" w:lineRule="exact"/>
        <w:rPr>
          <w:rFonts w:hAnsi="宋体" w:cs="宋体"/>
          <w:color w:val="auto"/>
          <w:szCs w:val="21"/>
        </w:rPr>
      </w:pPr>
      <w:r>
        <w:rPr>
          <w:rFonts w:hint="eastAsia" w:hAnsi="宋体" w:cs="宋体"/>
          <w:color w:val="auto"/>
          <w:szCs w:val="21"/>
        </w:rPr>
        <w:t>日期</w:t>
      </w:r>
    </w:p>
    <w:p w14:paraId="01A5BE4E">
      <w:pPr>
        <w:spacing w:line="360" w:lineRule="auto"/>
        <w:ind w:firstLine="2" w:firstLineChars="1"/>
        <w:rPr>
          <w:rFonts w:ascii="宋体" w:hAnsi="宋体" w:cs="宋体"/>
          <w:color w:val="auto"/>
          <w:szCs w:val="21"/>
        </w:rPr>
      </w:pPr>
    </w:p>
    <w:p w14:paraId="62A6AB4A">
      <w:pPr>
        <w:spacing w:line="360" w:lineRule="auto"/>
        <w:jc w:val="left"/>
        <w:rPr>
          <w:rFonts w:ascii="宋体" w:hAnsi="宋体" w:cs="宋体"/>
          <w:color w:val="auto"/>
          <w:szCs w:val="21"/>
        </w:rPr>
      </w:pPr>
      <w:r>
        <w:rPr>
          <w:rFonts w:hint="eastAsia" w:ascii="宋体" w:hAnsi="宋体" w:cs="宋体"/>
          <w:color w:val="auto"/>
          <w:szCs w:val="21"/>
        </w:rPr>
        <w:t>注：</w:t>
      </w:r>
    </w:p>
    <w:p w14:paraId="48CD11AA">
      <w:pPr>
        <w:spacing w:line="360" w:lineRule="auto"/>
        <w:jc w:val="left"/>
        <w:rPr>
          <w:rFonts w:ascii="宋体" w:hAnsi="宋体" w:cs="宋体"/>
          <w:color w:val="auto"/>
          <w:szCs w:val="21"/>
        </w:rPr>
      </w:pPr>
      <w:r>
        <w:rPr>
          <w:rFonts w:hint="eastAsia" w:ascii="宋体" w:hAnsi="宋体" w:cs="宋体"/>
          <w:color w:val="auto"/>
          <w:szCs w:val="21"/>
        </w:rPr>
        <w:t>1.投标人应对是否满足“具有独立承担民事责任的能力；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中华人民共和国政府采购法》第二十二条规定）进行说明和承诺；</w:t>
      </w:r>
    </w:p>
    <w:p w14:paraId="2DB0F51E">
      <w:pPr>
        <w:spacing w:line="360" w:lineRule="auto"/>
        <w:jc w:val="left"/>
        <w:rPr>
          <w:rFonts w:ascii="宋体" w:hAnsi="宋体" w:cs="宋体"/>
          <w:color w:val="auto"/>
          <w:szCs w:val="21"/>
        </w:rPr>
      </w:pPr>
      <w:r>
        <w:rPr>
          <w:rFonts w:hint="eastAsia" w:ascii="宋体" w:hAnsi="宋体" w:cs="宋体"/>
          <w:color w:val="auto"/>
          <w:szCs w:val="21"/>
        </w:rPr>
        <w:t>2.若招标文件中明确要求提供证明资料的，以证明资料为准。</w:t>
      </w:r>
    </w:p>
    <w:p w14:paraId="14110BEE">
      <w:pPr>
        <w:widowControl/>
        <w:jc w:val="left"/>
        <w:rPr>
          <w:rFonts w:hint="eastAsia" w:hAnsi="宋体" w:eastAsia="宋体" w:cs="宋体"/>
          <w:b/>
          <w:color w:val="auto"/>
          <w:sz w:val="28"/>
          <w:szCs w:val="28"/>
          <w:lang w:val="en-US" w:eastAsia="zh-CN"/>
        </w:rPr>
      </w:pPr>
      <w:r>
        <w:rPr>
          <w:rFonts w:hint="eastAsia" w:ascii="宋体" w:hAnsi="宋体" w:cs="宋体"/>
          <w:b/>
          <w:color w:val="auto"/>
          <w:sz w:val="28"/>
          <w:szCs w:val="28"/>
        </w:rPr>
        <w:br w:type="page"/>
      </w:r>
      <w:r>
        <w:rPr>
          <w:rFonts w:hint="eastAsia" w:hAnsi="宋体" w:cs="宋体"/>
          <w:b/>
          <w:color w:val="auto"/>
          <w:sz w:val="28"/>
          <w:szCs w:val="28"/>
        </w:rPr>
        <w:t>格式2</w:t>
      </w:r>
      <w:r>
        <w:rPr>
          <w:rFonts w:hint="eastAsia" w:hAnsi="宋体" w:cs="宋体"/>
          <w:b/>
          <w:color w:val="auto"/>
          <w:sz w:val="28"/>
          <w:szCs w:val="28"/>
          <w:lang w:val="en-US" w:eastAsia="zh-CN"/>
        </w:rPr>
        <w:t>2</w:t>
      </w:r>
    </w:p>
    <w:p w14:paraId="3B238183">
      <w:pPr>
        <w:tabs>
          <w:tab w:val="left" w:pos="5580"/>
        </w:tabs>
        <w:spacing w:line="240" w:lineRule="atLeast"/>
        <w:jc w:val="center"/>
        <w:rPr>
          <w:rFonts w:ascii="宋体" w:hAnsi="宋体" w:cs="宋体"/>
          <w:b/>
          <w:color w:val="auto"/>
          <w:sz w:val="28"/>
        </w:rPr>
      </w:pPr>
      <w:r>
        <w:rPr>
          <w:rFonts w:hint="eastAsia" w:ascii="宋体" w:hAnsi="宋体" w:cs="宋体"/>
          <w:b/>
          <w:color w:val="auto"/>
          <w:sz w:val="28"/>
        </w:rPr>
        <w:t>《中小企业声明函》（符合《政府采购促进中小企业发展管理办法》（财库〔2020〕46号）价格扣减条件的投标人需提交）</w:t>
      </w:r>
    </w:p>
    <w:p w14:paraId="5A6B3A5F">
      <w:pPr>
        <w:pStyle w:val="5"/>
        <w:spacing w:line="360" w:lineRule="auto"/>
        <w:ind w:left="425"/>
        <w:jc w:val="center"/>
        <w:rPr>
          <w:rFonts w:ascii="宋体" w:hAnsi="宋体" w:cs="宋体"/>
          <w:color w:val="auto"/>
          <w:szCs w:val="32"/>
        </w:rPr>
      </w:pPr>
      <w:bookmarkStart w:id="96" w:name="_Toc8707"/>
      <w:bookmarkStart w:id="97" w:name="_Toc31469"/>
      <w:bookmarkStart w:id="98" w:name="_Toc16160"/>
      <w:r>
        <w:rPr>
          <w:rFonts w:hint="eastAsia" w:ascii="宋体" w:hAnsi="宋体" w:cs="宋体"/>
          <w:bCs/>
          <w:color w:val="auto"/>
          <w:spacing w:val="0"/>
          <w:sz w:val="28"/>
          <w:szCs w:val="28"/>
        </w:rPr>
        <w:t>中小企业声明函</w:t>
      </w:r>
      <w:bookmarkEnd w:id="96"/>
      <w:bookmarkEnd w:id="97"/>
      <w:bookmarkEnd w:id="98"/>
    </w:p>
    <w:p w14:paraId="4541BB00">
      <w:pPr>
        <w:widowControl/>
        <w:spacing w:line="360" w:lineRule="auto"/>
        <w:ind w:firstLine="420" w:firstLineChars="200"/>
        <w:jc w:val="left"/>
        <w:rPr>
          <w:rFonts w:ascii="宋体" w:hAnsi="宋体" w:cs="宋体"/>
          <w:color w:val="auto"/>
          <w:szCs w:val="21"/>
        </w:rPr>
      </w:pPr>
      <w:r>
        <w:rPr>
          <w:rFonts w:hint="eastAsia" w:ascii="宋体" w:hAnsi="宋体" w:cs="宋体"/>
          <w:snapToGrid w:val="0"/>
          <w:color w:val="000000"/>
          <w:kern w:val="0"/>
          <w:szCs w:val="21"/>
          <w:lang w:bidi="ar"/>
        </w:rPr>
        <w:t>本公司（联合体）郑重声明，根据《政府采购促进中小企业发展管理办法》（财库﹝2020﹞46 号）的规定，本公司（联合体）参加</w:t>
      </w:r>
      <w:r>
        <w:rPr>
          <w:rFonts w:hint="eastAsia" w:ascii="宋体" w:hAnsi="宋体" w:cs="宋体"/>
          <w:snapToGrid w:val="0"/>
          <w:color w:val="000000"/>
          <w:kern w:val="0"/>
          <w:szCs w:val="21"/>
          <w:lang w:eastAsia="zh-CN" w:bidi="ar"/>
        </w:rPr>
        <w:t>云南省监狱管理局</w:t>
      </w:r>
      <w:r>
        <w:rPr>
          <w:rFonts w:hint="eastAsia" w:ascii="宋体" w:hAnsi="宋体" w:cs="宋体"/>
          <w:snapToGrid w:val="0"/>
          <w:color w:val="000000"/>
          <w:kern w:val="0"/>
          <w:szCs w:val="21"/>
          <w:lang w:bidi="ar"/>
        </w:rPr>
        <w:t>的</w:t>
      </w:r>
      <w:r>
        <w:rPr>
          <w:rFonts w:hint="eastAsia" w:ascii="宋体" w:hAnsi="宋体" w:cs="宋体"/>
          <w:snapToGrid w:val="0"/>
          <w:color w:val="000000"/>
          <w:kern w:val="0"/>
          <w:szCs w:val="21"/>
          <w:lang w:eastAsia="zh-CN" w:bidi="ar"/>
        </w:rPr>
        <w:t>云南监狱项目管理系统建设项目</w:t>
      </w:r>
      <w:r>
        <w:rPr>
          <w:rFonts w:hint="eastAsia" w:ascii="宋体" w:hAnsi="宋体" w:cs="宋体"/>
          <w:snapToGrid w:val="0"/>
          <w:color w:val="000000"/>
          <w:kern w:val="0"/>
          <w:szCs w:val="21"/>
          <w:lang w:bidi="ar"/>
        </w:rPr>
        <w:t>活动，服务全部由符合政策要求的中小企业承接。相关企业（含联合体中的中小企业、签订分包意向协议的中小企业）的具体情况如下：</w:t>
      </w:r>
    </w:p>
    <w:p w14:paraId="40419FAE">
      <w:pPr>
        <w:widowControl/>
        <w:spacing w:line="360" w:lineRule="auto"/>
        <w:ind w:firstLine="420" w:firstLineChars="200"/>
        <w:jc w:val="left"/>
        <w:rPr>
          <w:rFonts w:ascii="宋体" w:hAnsi="宋体" w:cs="宋体"/>
          <w:color w:val="auto"/>
          <w:szCs w:val="21"/>
        </w:rPr>
      </w:pPr>
      <w:r>
        <w:rPr>
          <w:rFonts w:hint="eastAsia" w:ascii="宋体" w:hAnsi="宋体" w:cs="宋体"/>
          <w:snapToGrid w:val="0"/>
          <w:color w:val="000000"/>
          <w:kern w:val="0"/>
          <w:szCs w:val="21"/>
          <w:lang w:bidi="ar"/>
        </w:rPr>
        <w:t>1.</w:t>
      </w:r>
      <w:r>
        <w:rPr>
          <w:rFonts w:hint="eastAsia" w:ascii="宋体" w:hAnsi="宋体" w:cs="宋体"/>
          <w:snapToGrid w:val="0"/>
          <w:color w:val="000000"/>
          <w:kern w:val="0"/>
          <w:szCs w:val="21"/>
          <w:lang w:eastAsia="zh-CN" w:bidi="ar"/>
        </w:rPr>
        <w:t>云南监狱项目管理系统开发</w:t>
      </w:r>
      <w:r>
        <w:rPr>
          <w:rFonts w:hint="eastAsia" w:ascii="宋体" w:hAnsi="宋体" w:cs="宋体"/>
          <w:snapToGrid w:val="0"/>
          <w:color w:val="000000"/>
          <w:kern w:val="0"/>
          <w:szCs w:val="21"/>
          <w:lang w:bidi="ar"/>
        </w:rPr>
        <w:t>，属于软件和信息技术服务业；承建（承接）企业为</w:t>
      </w:r>
      <w:r>
        <w:rPr>
          <w:rFonts w:hint="eastAsia" w:ascii="宋体" w:hAnsi="宋体" w:cs="宋体"/>
          <w:snapToGrid w:val="0"/>
          <w:color w:val="000000"/>
          <w:kern w:val="0"/>
          <w:szCs w:val="21"/>
          <w:u w:val="single"/>
          <w:lang w:bidi="ar"/>
        </w:rPr>
        <w:t xml:space="preserve">   （企业名称）   </w:t>
      </w:r>
      <w:r>
        <w:rPr>
          <w:rFonts w:hint="eastAsia" w:ascii="宋体" w:hAnsi="宋体" w:cs="宋体"/>
          <w:snapToGrid w:val="0"/>
          <w:color w:val="000000"/>
          <w:kern w:val="0"/>
          <w:szCs w:val="21"/>
          <w:lang w:bidi="ar"/>
        </w:rPr>
        <w:t>，从业人员</w:t>
      </w:r>
      <w:r>
        <w:rPr>
          <w:rFonts w:hint="eastAsia" w:ascii="宋体" w:hAnsi="宋体" w:cs="宋体"/>
          <w:snapToGrid w:val="0"/>
          <w:color w:val="000000"/>
          <w:kern w:val="0"/>
          <w:szCs w:val="21"/>
          <w:u w:val="single"/>
          <w:lang w:bidi="ar"/>
        </w:rPr>
        <w:t xml:space="preserve">   </w:t>
      </w:r>
      <w:r>
        <w:rPr>
          <w:rFonts w:hint="eastAsia" w:ascii="宋体" w:hAnsi="宋体" w:cs="宋体"/>
          <w:snapToGrid w:val="0"/>
          <w:color w:val="000000"/>
          <w:kern w:val="0"/>
          <w:szCs w:val="21"/>
          <w:lang w:bidi="ar"/>
        </w:rPr>
        <w:t>人，营业收入为</w:t>
      </w:r>
      <w:r>
        <w:rPr>
          <w:rFonts w:hint="eastAsia" w:ascii="宋体" w:hAnsi="宋体" w:cs="宋体"/>
          <w:snapToGrid w:val="0"/>
          <w:color w:val="000000"/>
          <w:kern w:val="0"/>
          <w:szCs w:val="21"/>
          <w:u w:val="single"/>
          <w:lang w:bidi="ar"/>
        </w:rPr>
        <w:t xml:space="preserve">   </w:t>
      </w:r>
      <w:r>
        <w:rPr>
          <w:rFonts w:hint="eastAsia" w:ascii="宋体" w:hAnsi="宋体" w:cs="宋体"/>
          <w:snapToGrid w:val="0"/>
          <w:color w:val="000000"/>
          <w:kern w:val="0"/>
          <w:szCs w:val="21"/>
          <w:lang w:bidi="ar"/>
        </w:rPr>
        <w:t>万元，资产总额为</w:t>
      </w:r>
      <w:r>
        <w:rPr>
          <w:rFonts w:hint="eastAsia" w:ascii="宋体" w:hAnsi="宋体" w:cs="宋体"/>
          <w:snapToGrid w:val="0"/>
          <w:color w:val="000000"/>
          <w:kern w:val="0"/>
          <w:szCs w:val="21"/>
          <w:u w:val="single"/>
          <w:lang w:bidi="ar"/>
        </w:rPr>
        <w:t xml:space="preserve">   </w:t>
      </w:r>
      <w:r>
        <w:rPr>
          <w:rFonts w:hint="eastAsia" w:ascii="宋体" w:hAnsi="宋体" w:cs="宋体"/>
          <w:snapToGrid w:val="0"/>
          <w:color w:val="000000"/>
          <w:kern w:val="0"/>
          <w:szCs w:val="21"/>
          <w:lang w:bidi="ar"/>
        </w:rPr>
        <w:t>万元，属于</w:t>
      </w:r>
      <w:r>
        <w:rPr>
          <w:rFonts w:hint="eastAsia" w:ascii="宋体" w:hAnsi="宋体" w:cs="宋体"/>
          <w:snapToGrid w:val="0"/>
          <w:color w:val="000000"/>
          <w:kern w:val="0"/>
          <w:szCs w:val="21"/>
          <w:u w:val="single"/>
          <w:lang w:bidi="ar"/>
        </w:rPr>
        <w:t>（中型企业、小型企业、微型企业）</w:t>
      </w:r>
      <w:r>
        <w:rPr>
          <w:rFonts w:hint="eastAsia" w:ascii="宋体" w:hAnsi="宋体" w:cs="宋体"/>
          <w:snapToGrid w:val="0"/>
          <w:color w:val="000000"/>
          <w:kern w:val="0"/>
          <w:szCs w:val="21"/>
          <w:lang w:bidi="ar"/>
        </w:rPr>
        <w:t>；</w:t>
      </w:r>
    </w:p>
    <w:p w14:paraId="240B032A">
      <w:pPr>
        <w:widowControl/>
        <w:spacing w:line="360" w:lineRule="auto"/>
        <w:jc w:val="left"/>
        <w:rPr>
          <w:rFonts w:ascii="宋体" w:hAnsi="宋体" w:cs="宋体"/>
          <w:color w:val="auto"/>
          <w:szCs w:val="21"/>
        </w:rPr>
      </w:pPr>
      <w:r>
        <w:rPr>
          <w:rFonts w:hint="eastAsia" w:ascii="宋体" w:hAnsi="宋体" w:cs="宋体"/>
          <w:snapToGrid w:val="0"/>
          <w:color w:val="000000"/>
          <w:kern w:val="0"/>
          <w:szCs w:val="21"/>
          <w:lang w:bidi="ar"/>
        </w:rPr>
        <w:t>……</w:t>
      </w:r>
    </w:p>
    <w:p w14:paraId="12605DD4">
      <w:pPr>
        <w:widowControl/>
        <w:spacing w:line="360" w:lineRule="auto"/>
        <w:ind w:firstLine="420" w:firstLineChars="200"/>
        <w:jc w:val="left"/>
        <w:rPr>
          <w:rFonts w:ascii="宋体" w:hAnsi="宋体" w:cs="宋体"/>
          <w:color w:val="auto"/>
          <w:szCs w:val="21"/>
        </w:rPr>
      </w:pPr>
      <w:r>
        <w:rPr>
          <w:rFonts w:hint="eastAsia" w:ascii="宋体" w:hAnsi="宋体" w:cs="宋体"/>
          <w:snapToGrid w:val="0"/>
          <w:color w:val="000000"/>
          <w:kern w:val="0"/>
          <w:szCs w:val="21"/>
          <w:lang w:bidi="ar"/>
        </w:rPr>
        <w:t>以上企业，不属于大企业的分支机构，不存在控股股东为大企业的情形，也不存在与大企业的负责人为同一人的情形。</w:t>
      </w:r>
    </w:p>
    <w:p w14:paraId="040B52E4">
      <w:pPr>
        <w:spacing w:line="432" w:lineRule="auto"/>
        <w:ind w:firstLine="420" w:firstLineChars="200"/>
        <w:rPr>
          <w:rFonts w:ascii="宋体" w:hAnsi="宋体" w:cs="宋体"/>
          <w:color w:val="auto"/>
          <w:spacing w:val="6"/>
          <w:szCs w:val="21"/>
        </w:rPr>
      </w:pPr>
      <w:r>
        <w:rPr>
          <w:rFonts w:hint="eastAsia" w:ascii="宋体" w:hAnsi="宋体" w:cs="宋体"/>
          <w:snapToGrid w:val="0"/>
          <w:color w:val="000000"/>
          <w:kern w:val="0"/>
          <w:szCs w:val="21"/>
          <w:lang w:bidi="ar"/>
        </w:rPr>
        <w:t>本企业对上述声明内容的真实性负责。如有虚假，将依法承担相应责任。</w:t>
      </w:r>
      <w:r>
        <w:rPr>
          <w:rFonts w:hint="eastAsia" w:ascii="宋体" w:hAnsi="宋体" w:cs="宋体"/>
          <w:color w:val="auto"/>
          <w:spacing w:val="6"/>
          <w:szCs w:val="21"/>
        </w:rPr>
        <w:t xml:space="preserve"> </w:t>
      </w:r>
    </w:p>
    <w:p w14:paraId="210350CA">
      <w:pPr>
        <w:widowControl/>
        <w:spacing w:line="480" w:lineRule="auto"/>
        <w:ind w:firstLine="405"/>
        <w:jc w:val="left"/>
        <w:rPr>
          <w:rFonts w:ascii="宋体" w:hAnsi="宋体" w:cs="宋体"/>
          <w:color w:val="auto"/>
          <w:kern w:val="0"/>
          <w:szCs w:val="21"/>
        </w:rPr>
      </w:pPr>
    </w:p>
    <w:p w14:paraId="65322804">
      <w:pPr>
        <w:widowControl/>
        <w:spacing w:line="480" w:lineRule="auto"/>
        <w:ind w:firstLine="405"/>
        <w:jc w:val="right"/>
        <w:rPr>
          <w:rFonts w:ascii="宋体" w:hAnsi="宋体" w:cs="宋体"/>
          <w:color w:val="auto"/>
          <w:kern w:val="0"/>
          <w:szCs w:val="21"/>
        </w:rPr>
      </w:pPr>
      <w:r>
        <w:rPr>
          <w:rFonts w:hint="eastAsia" w:ascii="宋体" w:hAnsi="宋体" w:cs="宋体"/>
          <w:color w:val="auto"/>
          <w:kern w:val="0"/>
          <w:szCs w:val="21"/>
        </w:rPr>
        <w:t xml:space="preserve">企业名称（盖章）： </w:t>
      </w:r>
    </w:p>
    <w:p w14:paraId="4EE0BA81">
      <w:pPr>
        <w:widowControl/>
        <w:spacing w:line="480" w:lineRule="auto"/>
        <w:ind w:firstLine="405"/>
        <w:jc w:val="right"/>
        <w:rPr>
          <w:rFonts w:ascii="宋体" w:hAnsi="宋体" w:cs="宋体"/>
          <w:color w:val="auto"/>
          <w:kern w:val="0"/>
          <w:szCs w:val="21"/>
        </w:rPr>
      </w:pPr>
      <w:r>
        <w:rPr>
          <w:rFonts w:hint="eastAsia" w:ascii="宋体" w:hAnsi="宋体" w:cs="宋体"/>
          <w:color w:val="auto"/>
          <w:kern w:val="0"/>
          <w:szCs w:val="21"/>
        </w:rPr>
        <w:t>日     期：</w:t>
      </w:r>
    </w:p>
    <w:p w14:paraId="192240B4">
      <w:pPr>
        <w:spacing w:line="480" w:lineRule="auto"/>
        <w:ind w:firstLine="240" w:firstLineChars="100"/>
        <w:rPr>
          <w:rFonts w:ascii="宋体" w:hAnsi="宋体" w:cs="宋体"/>
          <w:color w:val="auto"/>
          <w:sz w:val="24"/>
          <w:szCs w:val="24"/>
        </w:rPr>
      </w:pPr>
    </w:p>
    <w:p w14:paraId="050AFBE8">
      <w:pPr>
        <w:pStyle w:val="36"/>
        <w:wordWrap w:val="0"/>
        <w:spacing w:before="0" w:beforeAutospacing="0" w:after="0" w:afterAutospacing="0" w:line="360" w:lineRule="auto"/>
        <w:rPr>
          <w:rFonts w:cs="宋体"/>
          <w:b/>
          <w:color w:val="auto"/>
          <w:sz w:val="21"/>
          <w:szCs w:val="21"/>
        </w:rPr>
      </w:pPr>
      <w:r>
        <w:rPr>
          <w:rFonts w:hint="eastAsia" w:cs="宋体"/>
          <w:b/>
          <w:color w:val="auto"/>
          <w:sz w:val="21"/>
          <w:szCs w:val="21"/>
        </w:rPr>
        <w:t>注：从业人员、营业收入、资产总额填报上一年度数据，无上一年度数据的新成立企业可不填报。</w:t>
      </w:r>
    </w:p>
    <w:p w14:paraId="74ED9E04">
      <w:pPr>
        <w:widowControl/>
        <w:jc w:val="left"/>
        <w:rPr>
          <w:rFonts w:hint="eastAsia" w:ascii="宋体" w:hAnsi="宋体" w:eastAsia="宋体" w:cs="宋体"/>
          <w:b/>
          <w:color w:val="auto"/>
          <w:sz w:val="28"/>
          <w:szCs w:val="28"/>
          <w:lang w:val="en-US" w:eastAsia="zh-CN"/>
        </w:rPr>
      </w:pPr>
      <w:r>
        <w:rPr>
          <w:rFonts w:hint="eastAsia" w:hAnsi="宋体" w:cs="宋体"/>
          <w:b/>
          <w:color w:val="auto"/>
          <w:sz w:val="28"/>
          <w:szCs w:val="28"/>
        </w:rPr>
        <w:br w:type="page"/>
      </w:r>
      <w:r>
        <w:rPr>
          <w:rFonts w:hint="eastAsia" w:hAnsi="宋体" w:cs="宋体"/>
          <w:b/>
          <w:color w:val="auto"/>
          <w:sz w:val="28"/>
          <w:szCs w:val="28"/>
        </w:rPr>
        <w:t>格式2</w:t>
      </w:r>
      <w:r>
        <w:rPr>
          <w:rFonts w:hint="eastAsia" w:hAnsi="宋体" w:cs="宋体"/>
          <w:b/>
          <w:color w:val="auto"/>
          <w:sz w:val="28"/>
          <w:szCs w:val="28"/>
          <w:lang w:val="en-US" w:eastAsia="zh-CN"/>
        </w:rPr>
        <w:t>3</w:t>
      </w:r>
    </w:p>
    <w:p w14:paraId="057C16B5">
      <w:pPr>
        <w:tabs>
          <w:tab w:val="left" w:pos="5580"/>
        </w:tabs>
        <w:spacing w:line="240" w:lineRule="atLeast"/>
        <w:jc w:val="center"/>
        <w:rPr>
          <w:rFonts w:ascii="宋体" w:hAnsi="宋体" w:cs="宋体"/>
          <w:b/>
          <w:color w:val="auto"/>
          <w:sz w:val="28"/>
        </w:rPr>
      </w:pPr>
      <w:r>
        <w:rPr>
          <w:rFonts w:hint="eastAsia" w:ascii="宋体" w:hAnsi="宋体" w:cs="宋体"/>
          <w:b/>
          <w:color w:val="auto"/>
          <w:sz w:val="28"/>
        </w:rPr>
        <w:t>《监狱企业证明文件》（扫描件加盖投标人电子公章，符合《财政部 司法部关于政府采购支持监狱企业发展有关问题的通知》（财库[2014]68号）价格扣减条件的投标人需提交）</w:t>
      </w:r>
    </w:p>
    <w:p w14:paraId="7022D7F0">
      <w:pPr>
        <w:pStyle w:val="5"/>
        <w:spacing w:line="360" w:lineRule="auto"/>
        <w:ind w:left="425"/>
        <w:jc w:val="center"/>
        <w:rPr>
          <w:rFonts w:ascii="宋体" w:hAnsi="宋体" w:cs="宋体"/>
          <w:color w:val="auto"/>
          <w:szCs w:val="32"/>
        </w:rPr>
      </w:pPr>
      <w:bookmarkStart w:id="99" w:name="_Toc2957"/>
      <w:bookmarkStart w:id="100" w:name="_Toc19129"/>
      <w:bookmarkStart w:id="101" w:name="_Toc5746"/>
      <w:r>
        <w:rPr>
          <w:rFonts w:hint="eastAsia" w:ascii="宋体" w:hAnsi="宋体" w:cs="宋体"/>
          <w:bCs/>
          <w:color w:val="auto"/>
          <w:spacing w:val="0"/>
          <w:sz w:val="28"/>
          <w:szCs w:val="28"/>
        </w:rPr>
        <w:t>监狱企业证明文件</w:t>
      </w:r>
      <w:bookmarkEnd w:id="99"/>
      <w:bookmarkEnd w:id="100"/>
      <w:bookmarkEnd w:id="101"/>
    </w:p>
    <w:p w14:paraId="3D2F89F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48FE648">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监狱企业参加政府采购活动时，应当提供由省级以上监狱管理局、戒毒管理局（含新疆生产建设兵团）出具的属于监狱企业的证明文件。</w:t>
      </w:r>
    </w:p>
    <w:p w14:paraId="0FB9A34C">
      <w:pPr>
        <w:widowControl/>
        <w:spacing w:line="360" w:lineRule="auto"/>
        <w:jc w:val="left"/>
        <w:rPr>
          <w:rFonts w:ascii="宋体" w:hAnsi="宋体" w:cs="宋体"/>
          <w:b/>
          <w:color w:val="auto"/>
          <w:sz w:val="28"/>
          <w:szCs w:val="28"/>
        </w:rPr>
      </w:pPr>
    </w:p>
    <w:p w14:paraId="79D515F8">
      <w:pPr>
        <w:widowControl/>
        <w:spacing w:line="360" w:lineRule="auto"/>
        <w:jc w:val="left"/>
        <w:rPr>
          <w:rFonts w:hint="eastAsia" w:hAnsi="宋体" w:eastAsia="宋体" w:cs="宋体"/>
          <w:b/>
          <w:color w:val="auto"/>
          <w:sz w:val="28"/>
          <w:szCs w:val="28"/>
          <w:lang w:val="en-US" w:eastAsia="zh-CN"/>
        </w:rPr>
      </w:pPr>
      <w:r>
        <w:rPr>
          <w:rFonts w:hint="eastAsia" w:ascii="宋体" w:hAnsi="宋体" w:cs="宋体"/>
          <w:b/>
          <w:color w:val="auto"/>
          <w:szCs w:val="21"/>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cs="宋体"/>
          <w:b/>
          <w:color w:val="auto"/>
          <w:sz w:val="28"/>
          <w:szCs w:val="28"/>
        </w:rPr>
        <w:br w:type="page"/>
      </w:r>
      <w:r>
        <w:rPr>
          <w:rFonts w:hint="eastAsia" w:hAnsi="宋体" w:cs="宋体"/>
          <w:b/>
          <w:color w:val="auto"/>
          <w:sz w:val="28"/>
          <w:szCs w:val="28"/>
        </w:rPr>
        <w:t>格式2</w:t>
      </w:r>
      <w:r>
        <w:rPr>
          <w:rFonts w:hint="eastAsia" w:hAnsi="宋体" w:cs="宋体"/>
          <w:b/>
          <w:color w:val="auto"/>
          <w:sz w:val="28"/>
          <w:szCs w:val="28"/>
          <w:lang w:val="en-US" w:eastAsia="zh-CN"/>
        </w:rPr>
        <w:t>4</w:t>
      </w:r>
    </w:p>
    <w:p w14:paraId="334721E5">
      <w:pPr>
        <w:tabs>
          <w:tab w:val="left" w:pos="5580"/>
        </w:tabs>
        <w:spacing w:line="240" w:lineRule="atLeast"/>
        <w:jc w:val="center"/>
        <w:rPr>
          <w:rFonts w:ascii="宋体" w:hAnsi="宋体" w:cs="宋体"/>
          <w:b/>
          <w:color w:val="auto"/>
          <w:sz w:val="28"/>
        </w:rPr>
      </w:pPr>
      <w:r>
        <w:rPr>
          <w:rFonts w:hint="eastAsia" w:ascii="宋体" w:hAnsi="宋体" w:cs="宋体"/>
          <w:b/>
          <w:color w:val="auto"/>
          <w:sz w:val="28"/>
        </w:rPr>
        <w:t>《残疾人福利性单位声明函》（符合《三部门联合发布关于促进残疾人就业政府采购政策的通知》（财库〔2017〕141号）价格扣减条件的投标人需提交）</w:t>
      </w:r>
    </w:p>
    <w:p w14:paraId="62DC4359">
      <w:pPr>
        <w:pStyle w:val="5"/>
        <w:spacing w:line="360" w:lineRule="auto"/>
        <w:ind w:left="425"/>
        <w:jc w:val="center"/>
        <w:rPr>
          <w:rFonts w:ascii="宋体" w:hAnsi="宋体" w:cs="宋体"/>
          <w:b w:val="0"/>
          <w:color w:val="auto"/>
          <w:spacing w:val="6"/>
          <w:szCs w:val="32"/>
        </w:rPr>
      </w:pPr>
      <w:bookmarkStart w:id="102" w:name="_Toc29970"/>
      <w:bookmarkStart w:id="103" w:name="_Toc20932"/>
      <w:bookmarkStart w:id="104" w:name="_Toc31696"/>
      <w:r>
        <w:rPr>
          <w:rFonts w:hint="eastAsia" w:ascii="宋体" w:hAnsi="宋体" w:cs="宋体"/>
          <w:bCs/>
          <w:color w:val="auto"/>
          <w:spacing w:val="0"/>
          <w:sz w:val="28"/>
          <w:szCs w:val="28"/>
        </w:rPr>
        <w:t>残疾人福利性单位声明函</w:t>
      </w:r>
      <w:bookmarkEnd w:id="102"/>
      <w:bookmarkEnd w:id="103"/>
      <w:bookmarkEnd w:id="104"/>
    </w:p>
    <w:p w14:paraId="7C5167C7">
      <w:pPr>
        <w:spacing w:line="360" w:lineRule="auto"/>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1E5F48">
      <w:pPr>
        <w:spacing w:line="360" w:lineRule="auto"/>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0476718C">
      <w:pPr>
        <w:spacing w:line="360" w:lineRule="auto"/>
        <w:ind w:firstLine="444" w:firstLineChars="200"/>
        <w:rPr>
          <w:rFonts w:ascii="宋体" w:hAnsi="宋体" w:cs="宋体"/>
          <w:color w:val="auto"/>
          <w:spacing w:val="6"/>
          <w:szCs w:val="21"/>
        </w:rPr>
      </w:pPr>
    </w:p>
    <w:p w14:paraId="1746EFC7">
      <w:pPr>
        <w:spacing w:line="360" w:lineRule="auto"/>
        <w:ind w:firstLine="444" w:firstLineChars="200"/>
        <w:rPr>
          <w:rFonts w:ascii="宋体" w:hAnsi="宋体" w:cs="宋体"/>
          <w:color w:val="auto"/>
          <w:spacing w:val="6"/>
          <w:szCs w:val="21"/>
        </w:rPr>
      </w:pPr>
    </w:p>
    <w:p w14:paraId="7A0EA11D">
      <w:pPr>
        <w:tabs>
          <w:tab w:val="left" w:pos="4860"/>
        </w:tabs>
        <w:spacing w:line="360" w:lineRule="auto"/>
        <w:ind w:right="1560" w:firstLine="444" w:firstLineChars="200"/>
        <w:jc w:val="center"/>
        <w:rPr>
          <w:rFonts w:ascii="宋体" w:hAnsi="宋体" w:cs="宋体"/>
          <w:color w:val="auto"/>
          <w:spacing w:val="6"/>
          <w:szCs w:val="21"/>
        </w:rPr>
      </w:pPr>
      <w:r>
        <w:rPr>
          <w:rFonts w:hint="eastAsia" w:ascii="宋体" w:hAnsi="宋体" w:cs="宋体"/>
          <w:color w:val="auto"/>
          <w:spacing w:val="6"/>
          <w:szCs w:val="21"/>
        </w:rPr>
        <w:t xml:space="preserve">               单位名称（盖章）：</w:t>
      </w:r>
    </w:p>
    <w:p w14:paraId="7B828846">
      <w:pPr>
        <w:tabs>
          <w:tab w:val="left" w:pos="4860"/>
        </w:tabs>
        <w:spacing w:line="360" w:lineRule="auto"/>
        <w:ind w:right="1560" w:firstLine="444" w:firstLineChars="200"/>
        <w:jc w:val="center"/>
        <w:rPr>
          <w:rFonts w:ascii="宋体" w:hAnsi="宋体" w:cs="宋体"/>
          <w:color w:val="auto"/>
          <w:spacing w:val="6"/>
          <w:szCs w:val="21"/>
        </w:rPr>
      </w:pPr>
      <w:r>
        <w:rPr>
          <w:rFonts w:hint="eastAsia" w:ascii="宋体" w:hAnsi="宋体" w:cs="宋体"/>
          <w:color w:val="auto"/>
          <w:spacing w:val="6"/>
          <w:szCs w:val="21"/>
        </w:rPr>
        <w:t xml:space="preserve">      日  期：</w:t>
      </w:r>
    </w:p>
    <w:p w14:paraId="31F79A58">
      <w:pPr>
        <w:spacing w:line="360" w:lineRule="auto"/>
        <w:rPr>
          <w:rFonts w:ascii="宋体" w:hAnsi="宋体" w:cs="宋体"/>
          <w:b/>
          <w:color w:val="auto"/>
          <w:szCs w:val="21"/>
        </w:rPr>
      </w:pPr>
    </w:p>
    <w:p w14:paraId="73D9BA87">
      <w:pPr>
        <w:spacing w:line="360" w:lineRule="auto"/>
        <w:rPr>
          <w:rFonts w:ascii="宋体" w:hAnsi="宋体" w:cs="宋体"/>
          <w:b/>
          <w:color w:val="auto"/>
          <w:szCs w:val="21"/>
        </w:rPr>
      </w:pPr>
    </w:p>
    <w:p w14:paraId="69AB2B71">
      <w:pPr>
        <w:spacing w:line="360" w:lineRule="auto"/>
        <w:rPr>
          <w:rFonts w:ascii="宋体" w:hAnsi="宋体" w:cs="宋体"/>
          <w:b/>
          <w:color w:val="auto"/>
          <w:szCs w:val="21"/>
        </w:rPr>
      </w:pPr>
    </w:p>
    <w:p w14:paraId="06B218F9">
      <w:pPr>
        <w:spacing w:line="360" w:lineRule="auto"/>
        <w:rPr>
          <w:rFonts w:ascii="宋体" w:hAnsi="宋体" w:cs="宋体"/>
          <w:b/>
          <w:color w:val="auto"/>
          <w:szCs w:val="21"/>
        </w:rPr>
      </w:pPr>
      <w:r>
        <w:rPr>
          <w:rFonts w:hint="eastAsia" w:ascii="宋体" w:hAnsi="宋体" w:cs="宋体"/>
          <w:b/>
          <w:color w:val="auto"/>
          <w:szCs w:val="21"/>
        </w:rPr>
        <w:t>注：符合条件的残疾人福利性单位在参加政府采购活动时，应当按《三部门联合发布关于促进残疾人就业政府采购政策的通知》（财库〔2017〕141号）提供规定的《残疾人福利性单位声明函》，并对声明的真实性负责。</w:t>
      </w:r>
    </w:p>
    <w:p w14:paraId="25F5499C">
      <w:pPr>
        <w:widowControl/>
        <w:spacing w:line="360" w:lineRule="auto"/>
        <w:jc w:val="left"/>
        <w:rPr>
          <w:rFonts w:hint="eastAsia" w:hAnsi="宋体" w:eastAsia="宋体" w:cs="宋体"/>
          <w:b/>
          <w:color w:val="auto"/>
          <w:sz w:val="28"/>
          <w:szCs w:val="28"/>
          <w:lang w:val="en-US" w:eastAsia="zh-CN"/>
        </w:rPr>
      </w:pPr>
      <w:r>
        <w:rPr>
          <w:rFonts w:hint="eastAsia" w:ascii="宋体" w:hAnsi="宋体" w:cs="宋体"/>
          <w:b/>
          <w:color w:val="auto"/>
          <w:sz w:val="28"/>
          <w:szCs w:val="28"/>
        </w:rPr>
        <w:br w:type="page"/>
      </w:r>
      <w:r>
        <w:rPr>
          <w:rFonts w:hint="eastAsia" w:hAnsi="宋体" w:cs="宋体"/>
          <w:b/>
          <w:color w:val="auto"/>
          <w:sz w:val="28"/>
          <w:szCs w:val="28"/>
        </w:rPr>
        <w:t>格式2</w:t>
      </w:r>
      <w:r>
        <w:rPr>
          <w:rFonts w:hint="eastAsia" w:hAnsi="宋体" w:cs="宋体"/>
          <w:b/>
          <w:color w:val="auto"/>
          <w:sz w:val="28"/>
          <w:szCs w:val="28"/>
          <w:lang w:val="en-US" w:eastAsia="zh-CN"/>
        </w:rPr>
        <w:t>5</w:t>
      </w:r>
    </w:p>
    <w:p w14:paraId="55AF2DF1">
      <w:pPr>
        <w:pStyle w:val="5"/>
        <w:spacing w:line="360" w:lineRule="auto"/>
        <w:jc w:val="center"/>
        <w:rPr>
          <w:rFonts w:ascii="宋体" w:hAnsi="宋体" w:cs="宋体"/>
          <w:color w:val="auto"/>
          <w:szCs w:val="32"/>
        </w:rPr>
      </w:pPr>
      <w:bookmarkStart w:id="105" w:name="_Toc22406"/>
      <w:bookmarkStart w:id="106" w:name="_Toc5207"/>
      <w:bookmarkStart w:id="107" w:name="_Toc530"/>
      <w:r>
        <w:rPr>
          <w:rFonts w:hint="eastAsia" w:ascii="宋体" w:hAnsi="宋体" w:cs="宋体"/>
          <w:bCs/>
          <w:color w:val="auto"/>
          <w:spacing w:val="0"/>
          <w:sz w:val="28"/>
          <w:szCs w:val="28"/>
        </w:rPr>
        <w:t>构成投标文件的其它资料</w:t>
      </w:r>
      <w:bookmarkEnd w:id="105"/>
      <w:bookmarkEnd w:id="106"/>
      <w:bookmarkEnd w:id="107"/>
    </w:p>
    <w:p w14:paraId="1B180AAA">
      <w:pPr>
        <w:spacing w:line="480" w:lineRule="auto"/>
        <w:jc w:val="left"/>
        <w:rPr>
          <w:rFonts w:ascii="宋体" w:hAnsi="宋体" w:cs="宋体"/>
          <w:color w:val="auto"/>
          <w:szCs w:val="21"/>
        </w:rPr>
      </w:pPr>
      <w:r>
        <w:rPr>
          <w:rFonts w:hint="eastAsia" w:ascii="宋体" w:hAnsi="宋体" w:cs="宋体"/>
          <w:color w:val="auto"/>
          <w:szCs w:val="21"/>
        </w:rPr>
        <w:t>详见第二章《投标人须知前附表》第15.2条，请自拟格式。</w:t>
      </w:r>
    </w:p>
    <w:p w14:paraId="66559053">
      <w:pPr>
        <w:spacing w:line="480" w:lineRule="auto"/>
        <w:jc w:val="left"/>
        <w:rPr>
          <w:rFonts w:ascii="宋体" w:hAnsi="宋体" w:cs="宋体"/>
          <w:color w:val="auto"/>
          <w:szCs w:val="21"/>
        </w:rPr>
      </w:pPr>
      <w:r>
        <w:rPr>
          <w:rFonts w:hint="eastAsia" w:ascii="宋体" w:hAnsi="宋体" w:cs="宋体"/>
          <w:color w:val="auto"/>
          <w:szCs w:val="21"/>
        </w:rPr>
        <w:t>1.投标保证金交纳凭证或保函或投标（竞标）保证保险保单（扫描件加盖投标人电子公章）；</w:t>
      </w:r>
    </w:p>
    <w:p w14:paraId="1ED16583">
      <w:pPr>
        <w:spacing w:line="480" w:lineRule="auto"/>
        <w:jc w:val="left"/>
        <w:rPr>
          <w:rFonts w:ascii="宋体" w:hAnsi="宋体" w:cs="宋体"/>
          <w:color w:val="auto"/>
          <w:szCs w:val="21"/>
        </w:rPr>
      </w:pPr>
      <w:r>
        <w:rPr>
          <w:rFonts w:hint="eastAsia" w:ascii="宋体" w:hAnsi="宋体" w:cs="宋体"/>
          <w:color w:val="auto"/>
          <w:szCs w:val="21"/>
        </w:rPr>
        <w:t>2.第五章《采购需求》中要求提供的其他资料；</w:t>
      </w:r>
    </w:p>
    <w:p w14:paraId="409F25AA">
      <w:pPr>
        <w:spacing w:line="480" w:lineRule="auto"/>
        <w:jc w:val="left"/>
        <w:rPr>
          <w:rFonts w:ascii="宋体" w:hAnsi="宋体" w:cs="宋体"/>
          <w:color w:val="auto"/>
          <w:szCs w:val="21"/>
        </w:rPr>
      </w:pPr>
      <w:r>
        <w:rPr>
          <w:rFonts w:hint="eastAsia" w:ascii="宋体" w:hAnsi="宋体" w:cs="宋体"/>
          <w:color w:val="auto"/>
          <w:szCs w:val="21"/>
        </w:rPr>
        <w:t>3.招标文件中所涉及到的相关资料及证明文件或投标人认为必须提供的其他相关资料。</w:t>
      </w:r>
    </w:p>
    <w:p w14:paraId="66153838">
      <w:pPr>
        <w:rPr>
          <w:rFonts w:ascii="宋体" w:hAnsi="宋体" w:cs="宋体"/>
          <w:color w:val="auto"/>
          <w:kern w:val="0"/>
          <w:szCs w:val="21"/>
        </w:rPr>
      </w:pPr>
      <w:r>
        <w:rPr>
          <w:rFonts w:hint="eastAsia" w:ascii="宋体" w:hAnsi="宋体" w:cs="宋体"/>
          <w:color w:val="auto"/>
          <w:szCs w:val="21"/>
        </w:rPr>
        <w:br w:type="page"/>
      </w:r>
    </w:p>
    <w:p w14:paraId="665C167E">
      <w:pPr>
        <w:pStyle w:val="4"/>
        <w:rPr>
          <w:rFonts w:ascii="宋体" w:hAnsi="宋体" w:cs="宋体"/>
          <w:color w:val="auto"/>
          <w:szCs w:val="32"/>
        </w:rPr>
      </w:pPr>
      <w:bookmarkStart w:id="108" w:name="_Toc30799"/>
      <w:bookmarkStart w:id="109" w:name="_Toc15101"/>
      <w:r>
        <w:rPr>
          <w:rFonts w:hint="eastAsia" w:ascii="宋体" w:hAnsi="宋体" w:cs="宋体"/>
          <w:color w:val="auto"/>
          <w:szCs w:val="32"/>
        </w:rPr>
        <w:t>第五章  采购需求</w:t>
      </w:r>
      <w:bookmarkEnd w:id="108"/>
      <w:bookmarkEnd w:id="109"/>
    </w:p>
    <w:p w14:paraId="7FC4D667">
      <w:pPr>
        <w:adjustRightInd w:val="0"/>
        <w:spacing w:line="460" w:lineRule="exact"/>
        <w:ind w:firstLine="211" w:firstLineChars="100"/>
        <w:rPr>
          <w:rFonts w:ascii="宋体" w:hAnsi="宋体" w:cs="宋体"/>
          <w:b/>
          <w:bCs/>
          <w:color w:val="auto"/>
          <w:szCs w:val="21"/>
        </w:rPr>
      </w:pPr>
      <w:r>
        <w:rPr>
          <w:rFonts w:hint="eastAsia" w:ascii="宋体" w:hAnsi="宋体" w:cs="宋体"/>
          <w:b/>
          <w:bCs/>
          <w:color w:val="auto"/>
          <w:szCs w:val="21"/>
        </w:rPr>
        <w:t>说明：</w:t>
      </w:r>
    </w:p>
    <w:p w14:paraId="3CDE572B">
      <w:pPr>
        <w:spacing w:line="460" w:lineRule="exact"/>
        <w:ind w:firstLine="422" w:firstLineChars="200"/>
        <w:rPr>
          <w:rFonts w:ascii="宋体" w:hAnsi="宋体"/>
          <w:b/>
          <w:bCs/>
          <w:color w:val="auto"/>
          <w:szCs w:val="21"/>
        </w:rPr>
      </w:pPr>
      <w:r>
        <w:rPr>
          <w:rFonts w:hint="eastAsia" w:ascii="宋体" w:hAnsi="宋体"/>
          <w:b/>
          <w:bCs/>
          <w:color w:val="auto"/>
          <w:szCs w:val="21"/>
        </w:rPr>
        <w:t>各投标人必须对招标文件第五章《采购需求》中的技术、服务要求作出全面、真实的反映。若投标文件中响应情况与招标文件采购需求内容不符或无有效证明，而投标人又未在投标文件中作出说明和解释的，评标委员会在评审时将视为不响应该条技术、服务要求的规定。</w:t>
      </w:r>
    </w:p>
    <w:p w14:paraId="68B984EC">
      <w:pPr>
        <w:spacing w:line="460" w:lineRule="exact"/>
        <w:ind w:firstLine="422" w:firstLineChars="200"/>
        <w:rPr>
          <w:rFonts w:ascii="宋体" w:hAnsi="宋体"/>
          <w:b/>
          <w:bCs/>
          <w:color w:val="auto"/>
          <w:szCs w:val="21"/>
        </w:rPr>
      </w:pPr>
      <w:r>
        <w:rPr>
          <w:rFonts w:hint="eastAsia" w:ascii="宋体" w:hAnsi="宋体"/>
          <w:b/>
          <w:bCs/>
          <w:color w:val="auto"/>
          <w:szCs w:val="21"/>
        </w:rPr>
        <w:t>本章各项技术参数、规格和性能要求如出现引用某一特定的专利技术、商标、名称、设计、原产地或供应者等情况，则仅起参考作用。投标人可选用实质上“相当于”或“优于”该参考技术规格要求的产品投标。</w:t>
      </w:r>
    </w:p>
    <w:p w14:paraId="2C8BF763">
      <w:pPr>
        <w:spacing w:line="460" w:lineRule="exact"/>
        <w:ind w:firstLine="422" w:firstLineChars="200"/>
        <w:rPr>
          <w:rFonts w:ascii="宋体" w:hAnsi="宋体"/>
          <w:b/>
          <w:bCs/>
          <w:color w:val="auto"/>
          <w:szCs w:val="21"/>
        </w:rPr>
      </w:pPr>
      <w:r>
        <w:rPr>
          <w:rFonts w:hint="eastAsia" w:ascii="宋体" w:hAnsi="宋体"/>
          <w:b/>
          <w:bCs/>
          <w:color w:val="auto"/>
          <w:szCs w:val="21"/>
        </w:rPr>
        <w:t>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工程或者服务进行验收，一旦发现虚假应标行为，取消该中标人的中标资格，并保留追究其法律责任的权利。</w:t>
      </w:r>
    </w:p>
    <w:p w14:paraId="73B60605">
      <w:pPr>
        <w:spacing w:line="460" w:lineRule="exact"/>
        <w:ind w:firstLine="422" w:firstLineChars="200"/>
        <w:rPr>
          <w:rFonts w:ascii="宋体" w:hAnsi="宋体"/>
          <w:b/>
          <w:bCs/>
          <w:color w:val="auto"/>
          <w:szCs w:val="21"/>
        </w:rPr>
      </w:pPr>
      <w:r>
        <w:rPr>
          <w:rFonts w:hint="eastAsia" w:ascii="宋体" w:hAnsi="宋体"/>
          <w:b/>
          <w:bCs/>
          <w:color w:val="auto"/>
          <w:szCs w:val="21"/>
        </w:rPr>
        <w:t>本文件的解释权属于采购人、采购代理机构。</w:t>
      </w:r>
    </w:p>
    <w:p w14:paraId="0083B13C">
      <w:pPr>
        <w:spacing w:line="460" w:lineRule="exact"/>
        <w:ind w:firstLine="422" w:firstLineChars="200"/>
        <w:rPr>
          <w:rFonts w:ascii="宋体" w:hAnsi="宋体" w:cs="宋体"/>
          <w:b/>
          <w:bCs/>
          <w:strike/>
          <w:color w:val="0000FF"/>
          <w:szCs w:val="21"/>
          <w:highlight w:val="green"/>
        </w:rPr>
      </w:pPr>
    </w:p>
    <w:p w14:paraId="03C38F42">
      <w:pPr>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auto"/>
          <w:szCs w:val="21"/>
        </w:rPr>
        <w:br w:type="page"/>
      </w:r>
    </w:p>
    <w:p w14:paraId="7D434C7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1"/>
          <w:szCs w:val="21"/>
        </w:rPr>
      </w:pPr>
      <w:bookmarkStart w:id="110" w:name="heading_1"/>
      <w:bookmarkStart w:id="111" w:name="_Toc14155"/>
      <w:bookmarkStart w:id="112" w:name="_Toc30868"/>
      <w:r>
        <w:rPr>
          <w:rFonts w:hint="eastAsia" w:ascii="宋体" w:hAnsi="宋体" w:eastAsia="宋体" w:cs="宋体"/>
          <w:b/>
          <w:sz w:val="21"/>
          <w:szCs w:val="21"/>
        </w:rPr>
        <w:t>（一）采购标的需实现的功能或目标，以及政府采购政策要求</w:t>
      </w:r>
      <w:bookmarkEnd w:id="110"/>
    </w:p>
    <w:p w14:paraId="5B1B789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云南省监狱管理局项目管理系统软件开发服务全部工作，包括但不限于完成项目管理系统从需求分析、设计、开发、测试、部署实施到技术培训的全流程软件开发工作，实现项目动态展示、项目列表管理、项目信息编辑、立项管理、设计管理、造价管理、采购管理、合同管理、实施管理、验收管理、结算管理、审计管理、资料管理、付款信息管理、附件管理、用户管理、角色管理、日志管理、数据字典管理、库表可视化编辑、表单可视化编辑、流程可视化编辑等核心功能，并适配国产信创环境（麒麟操作系统、国产数据库达梦/人大金仓、国产信创服务器），构建“客户端-业务层-系统支撑层-数据层”的多层架构体系，满足云南省监狱管理局对项目全生命周期数字化、规范化、智能化管理的需求。</w:t>
      </w:r>
    </w:p>
    <w:p w14:paraId="044268D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1"/>
          <w:szCs w:val="21"/>
        </w:rPr>
      </w:pPr>
      <w:bookmarkStart w:id="113" w:name="heading_2"/>
      <w:r>
        <w:rPr>
          <w:rFonts w:hint="eastAsia" w:ascii="宋体" w:hAnsi="宋体" w:eastAsia="宋体" w:cs="宋体"/>
          <w:b/>
          <w:sz w:val="21"/>
          <w:szCs w:val="21"/>
        </w:rPr>
        <w:t>（二）采购标的需执行的国家相关标准、行业标准、地方标准或者其他标准、规范</w:t>
      </w:r>
      <w:bookmarkEnd w:id="113"/>
    </w:p>
    <w:p w14:paraId="4E91D42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GB/T 8566-2022 《系统与软件工程 软件生存周期过程》</w:t>
      </w:r>
    </w:p>
    <w:p w14:paraId="56FFDDE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GB/T 25000.51-2016《系统与软件工程 系统与软件质量要求和评价（SQuaRE）第51部分：就绪可用软件产品（RUSP）的质量要求和测试细则》</w:t>
      </w:r>
    </w:p>
    <w:p w14:paraId="0FDC2BE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GB/T 25000.1-2021《系统与软件工程 系统与软件质量要求和评价（SQuaRE） 第1部分：SQuaRE指南》</w:t>
      </w:r>
    </w:p>
    <w:p w14:paraId="1A259DA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GB/T 20271-2006《信息安全技术 信息系统通用安全技术要求》</w:t>
      </w:r>
    </w:p>
    <w:p w14:paraId="45D5ACF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GB/T 19668.5-2018《信息技术服务 监理 第5部分：软件工程监理规范》</w:t>
      </w:r>
    </w:p>
    <w:p w14:paraId="7F77D6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《信息安全等级保护管理办法》（公通字〔2007〕43号）</w:t>
      </w:r>
    </w:p>
    <w:p w14:paraId="73C1F47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国产密码算法相关标准（GM/T系列）</w:t>
      </w:r>
    </w:p>
    <w:p w14:paraId="4AC4D43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各供应商应充分注意，凡涉及国家或行业管理部门颁发的相关规范、规程和标准，无论其是否在本采购文件中列明，供应商应无条件执行。标准、规范等不一致的，以要求高者为准。</w:t>
      </w:r>
    </w:p>
    <w:p w14:paraId="0D18709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1"/>
          <w:szCs w:val="21"/>
        </w:rPr>
      </w:pPr>
      <w:bookmarkStart w:id="114" w:name="heading_3"/>
      <w:r>
        <w:rPr>
          <w:rFonts w:hint="eastAsia" w:ascii="宋体" w:hAnsi="宋体" w:eastAsia="宋体" w:cs="宋体"/>
          <w:b/>
          <w:sz w:val="21"/>
          <w:szCs w:val="21"/>
        </w:rPr>
        <w:t>（三）采购标的需满足的质量、安全、技术规格、物理特性等要求</w:t>
      </w:r>
      <w:bookmarkEnd w:id="114"/>
    </w:p>
    <w:p w14:paraId="5D95864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2"/>
        <w:rPr>
          <w:rFonts w:hint="eastAsia" w:ascii="宋体" w:hAnsi="宋体" w:eastAsia="宋体" w:cs="宋体"/>
          <w:sz w:val="21"/>
          <w:szCs w:val="21"/>
        </w:rPr>
      </w:pPr>
      <w:bookmarkStart w:id="115" w:name="heading_4"/>
      <w:r>
        <w:rPr>
          <w:rFonts w:hint="eastAsia" w:ascii="宋体" w:hAnsi="宋体" w:eastAsia="宋体" w:cs="宋体"/>
          <w:b/>
          <w:sz w:val="21"/>
          <w:szCs w:val="21"/>
        </w:rPr>
        <w:t>1. 服务内容</w:t>
      </w:r>
      <w:bookmarkEnd w:id="115"/>
    </w:p>
    <w:p w14:paraId="18B2C05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包括但不限于完成项目管理系统的需求分析与设计、程序开发、软件测试、部署实施、技术培训及售后支持等工作，具体涵盖：</w:t>
      </w:r>
    </w:p>
    <w:p w14:paraId="74879B3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（1）需求分析与设计：结合云南省监狱管理局项目管理实际业务场景，完成系统需求调研、需求规格说明书编制，以及架构设计、数据库设计、功能模块设计、UI/UE设计等；</w:t>
      </w:r>
    </w:p>
    <w:p w14:paraId="47AADEF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（2）程序开发：按照设计文档实现项目管理系统的全部功能模块，包括项目动态、项目列表、立项管理、造价管理、表单可视化编辑等24项核心功能，适配国产信创软硬件环境；</w:t>
      </w:r>
    </w:p>
    <w:p w14:paraId="3473C0F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（3）软件测试：开展单元测试、集成测试、系统测试、性能测试、安全测试等，确保系统功能、性能、安全性符合要求；</w:t>
      </w:r>
    </w:p>
    <w:p w14:paraId="44BA701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（4）部署实施：在云南省监狱管理局指定的国产服务器（计算服务器、存储服务器）上完成系统部署、环境配置、数据初始化等工作；</w:t>
      </w:r>
    </w:p>
    <w:p w14:paraId="3E5928A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（5）技术培训：为采购人提供系统操作、管理员维护等培训，确保用户能熟练使用系统。</w:t>
      </w:r>
    </w:p>
    <w:p w14:paraId="264C9A2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2"/>
        <w:rPr>
          <w:rFonts w:hint="eastAsia" w:ascii="宋体" w:hAnsi="宋体" w:eastAsia="宋体" w:cs="宋体"/>
          <w:sz w:val="21"/>
          <w:szCs w:val="21"/>
        </w:rPr>
      </w:pPr>
      <w:bookmarkStart w:id="116" w:name="heading_5"/>
      <w:r>
        <w:rPr>
          <w:rFonts w:hint="eastAsia" w:ascii="宋体" w:hAnsi="宋体" w:eastAsia="宋体" w:cs="宋体"/>
          <w:b/>
          <w:sz w:val="21"/>
          <w:szCs w:val="21"/>
        </w:rPr>
        <w:t>2. 项目要求</w:t>
      </w:r>
      <w:bookmarkEnd w:id="116"/>
    </w:p>
    <w:p w14:paraId="423444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为完成本项目，须达到以下要求，包括但不限于以下内容：</w:t>
      </w:r>
    </w:p>
    <w:p w14:paraId="1958514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（1）质量控制</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需建立严格的软件开发质量管控体系，确保系统功能与《项目管理系统功能描述》完全一致，代码符合行业规范，无语法错误、逻辑错误；系统界面友好、操作便捷，响应时间≤3秒（并发用户数≤100时）</w:t>
      </w:r>
      <w:r>
        <w:rPr>
          <w:rFonts w:hint="eastAsia" w:ascii="宋体" w:hAnsi="宋体" w:eastAsia="宋体" w:cs="宋体"/>
          <w:sz w:val="21"/>
          <w:szCs w:val="21"/>
          <w:lang w:eastAsia="zh-CN"/>
        </w:rPr>
        <w:t>；</w:t>
      </w:r>
      <w:r>
        <w:rPr>
          <w:rFonts w:hint="eastAsia" w:ascii="宋体" w:hAnsi="宋体" w:eastAsia="宋体" w:cs="宋体"/>
          <w:sz w:val="21"/>
          <w:szCs w:val="21"/>
        </w:rPr>
        <w:t>软件测试覆盖率达到100%，无致命缺陷、严重缺陷，一般缺陷修复率100%。</w:t>
      </w:r>
    </w:p>
    <w:p w14:paraId="515F86D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（2）功能实现</w:t>
      </w:r>
      <w:r>
        <w:rPr>
          <w:rFonts w:hint="eastAsia" w:ascii="宋体" w:hAnsi="宋体" w:eastAsia="宋体" w:cs="宋体"/>
          <w:sz w:val="21"/>
          <w:szCs w:val="21"/>
        </w:rPr>
        <w:t>：系统需完整实现项目管理全流程功能，包括项目动态的定制化展示与图表分析、项目列表的检索与编辑、项目信息的阶段化管理与归口管理、立项/设计/造价/采购等业务模块的表单填报与附件管理，以及用户、角色、权限的精细化管控，同时支持库表、表单、流程的可视化编辑，满足业务灵活调整需求。</w:t>
      </w:r>
    </w:p>
    <w:p w14:paraId="77EF0E60">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（3）安全要求</w:t>
      </w:r>
      <w:r>
        <w:rPr>
          <w:rFonts w:hint="eastAsia" w:ascii="宋体" w:hAnsi="宋体" w:eastAsia="宋体" w:cs="宋体"/>
          <w:sz w:val="21"/>
          <w:szCs w:val="21"/>
        </w:rPr>
        <w:t>：系统需采用国产密码算法实现数据加密、身份认证等安全功能，符合信息安全等级保护三级要求；建立完善的权限控制机制，支持数据范围的精细化配置（如全量数据、本部门数据、本人数据等）；日志管理需记录用户操作行为，支持日志查询、分析。</w:t>
      </w:r>
    </w:p>
    <w:p w14:paraId="4FF03EB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4</w:t>
      </w:r>
      <w:r>
        <w:rPr>
          <w:rFonts w:hint="eastAsia" w:ascii="宋体" w:hAnsi="宋体" w:eastAsia="宋体" w:cs="宋体"/>
          <w:b/>
          <w:sz w:val="21"/>
          <w:szCs w:val="21"/>
        </w:rPr>
        <w:t>）兼容性要求</w:t>
      </w:r>
      <w:r>
        <w:rPr>
          <w:rFonts w:hint="eastAsia" w:ascii="宋体" w:hAnsi="宋体" w:eastAsia="宋体" w:cs="宋体"/>
          <w:sz w:val="21"/>
          <w:szCs w:val="21"/>
        </w:rPr>
        <w:t>：系统需兼容主流浏览器（Chrome、Firefox、国产浏览器如</w:t>
      </w:r>
      <w:r>
        <w:rPr>
          <w:rFonts w:hint="eastAsia" w:ascii="宋体" w:hAnsi="宋体" w:eastAsia="宋体" w:cs="宋体"/>
          <w:sz w:val="21"/>
          <w:szCs w:val="21"/>
          <w:lang w:val="en-US" w:eastAsia="zh-CN"/>
        </w:rPr>
        <w:t>360</w:t>
      </w:r>
      <w:r>
        <w:rPr>
          <w:rFonts w:hint="eastAsia" w:ascii="宋体" w:hAnsi="宋体" w:eastAsia="宋体" w:cs="宋体"/>
          <w:sz w:val="21"/>
          <w:szCs w:val="21"/>
        </w:rPr>
        <w:t>浏览器等），适配云南省监狱管理局现有硬件设备（计算服务器、存储服务器）及网络环境。</w:t>
      </w:r>
    </w:p>
    <w:p w14:paraId="6BC0649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5</w:t>
      </w:r>
      <w:r>
        <w:rPr>
          <w:rFonts w:hint="eastAsia" w:ascii="宋体" w:hAnsi="宋体" w:eastAsia="宋体" w:cs="宋体"/>
          <w:b/>
          <w:sz w:val="21"/>
          <w:szCs w:val="21"/>
        </w:rPr>
        <w:t>）文档管理</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需编制完整的软件开发文档，包括需求规格说明书、设计文档、开发手册、测试报告、部署手册、用户手册、培训课件等，所有文档需以书面和电子形式提交采购人归档。</w:t>
      </w:r>
    </w:p>
    <w:p w14:paraId="4C03D62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6</w:t>
      </w:r>
      <w:r>
        <w:rPr>
          <w:rFonts w:hint="eastAsia" w:ascii="宋体" w:hAnsi="宋体" w:eastAsia="宋体" w:cs="宋体"/>
          <w:b/>
          <w:sz w:val="21"/>
          <w:szCs w:val="21"/>
        </w:rPr>
        <w:t>）知识产权保护</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需保证开发的系统不侵犯任何第三方知识产权，系统的软件著作权归采购人所有；</w:t>
      </w:r>
      <w:r>
        <w:rPr>
          <w:rFonts w:hint="eastAsia" w:ascii="宋体" w:hAnsi="宋体" w:eastAsia="宋体" w:cs="宋体"/>
          <w:sz w:val="21"/>
          <w:szCs w:val="21"/>
          <w:lang w:eastAsia="zh-CN"/>
        </w:rPr>
        <w:t>供应商</w:t>
      </w:r>
      <w:r>
        <w:rPr>
          <w:rFonts w:hint="eastAsia" w:ascii="宋体" w:hAnsi="宋体" w:eastAsia="宋体" w:cs="宋体"/>
          <w:sz w:val="21"/>
          <w:szCs w:val="21"/>
        </w:rPr>
        <w:t>不得将本项目的开发成果、技术方案、采购人业务数据等泄露给第三方，亦不得用于与本合同无关的其他项目。</w:t>
      </w:r>
    </w:p>
    <w:p w14:paraId="5178E86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1"/>
          <w:szCs w:val="21"/>
        </w:rPr>
      </w:pPr>
      <w:bookmarkStart w:id="117" w:name="heading_6"/>
      <w:r>
        <w:rPr>
          <w:rFonts w:hint="eastAsia" w:ascii="宋体" w:hAnsi="宋体" w:eastAsia="宋体" w:cs="宋体"/>
          <w:b/>
          <w:sz w:val="21"/>
          <w:szCs w:val="21"/>
        </w:rPr>
        <w:t>（四）采购标的</w:t>
      </w:r>
      <w:r>
        <w:rPr>
          <w:rFonts w:hint="eastAsia" w:ascii="宋体" w:hAnsi="宋体" w:eastAsia="宋体" w:cs="宋体"/>
          <w:b/>
          <w:sz w:val="21"/>
          <w:szCs w:val="21"/>
          <w:lang w:val="en-US" w:eastAsia="zh-CN"/>
        </w:rPr>
        <w:t>描述</w:t>
      </w:r>
      <w:r>
        <w:rPr>
          <w:rFonts w:hint="eastAsia" w:ascii="宋体" w:hAnsi="宋体" w:eastAsia="宋体" w:cs="宋体"/>
          <w:b/>
          <w:sz w:val="21"/>
          <w:szCs w:val="21"/>
        </w:rPr>
        <w:t>、采购项目交付或者实施的时间和地点</w:t>
      </w:r>
      <w:bookmarkEnd w:id="117"/>
    </w:p>
    <w:p w14:paraId="7F722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rPr>
      </w:pPr>
      <w:r>
        <w:rPr>
          <w:rFonts w:hint="default" w:ascii="宋体" w:hAnsi="宋体" w:eastAsia="宋体" w:cs="宋体"/>
          <w:b/>
          <w:color w:val="auto"/>
          <w:kern w:val="2"/>
          <w:sz w:val="21"/>
          <w:szCs w:val="21"/>
          <w:lang w:val="en-US" w:eastAsia="zh-CN" w:bidi="ar-SA"/>
        </w:rPr>
        <w:t>1．</w:t>
      </w:r>
      <w:r>
        <w:rPr>
          <w:rFonts w:hint="eastAsia" w:ascii="宋体" w:hAnsi="宋体" w:eastAsia="宋体" w:cs="宋体"/>
          <w:b/>
          <w:color w:val="auto"/>
          <w:sz w:val="21"/>
          <w:szCs w:val="21"/>
        </w:rPr>
        <w:t>采购标的</w:t>
      </w:r>
      <w:r>
        <w:rPr>
          <w:rFonts w:hint="eastAsia" w:ascii="宋体" w:hAnsi="宋体" w:eastAsia="宋体" w:cs="宋体"/>
          <w:b/>
          <w:color w:val="auto"/>
          <w:sz w:val="21"/>
          <w:szCs w:val="21"/>
          <w:lang w:val="en-US" w:eastAsia="zh-CN"/>
        </w:rPr>
        <w:t>描述</w:t>
      </w:r>
      <w:r>
        <w:rPr>
          <w:rFonts w:hint="eastAsia" w:ascii="宋体" w:hAnsi="宋体" w:eastAsia="宋体" w:cs="宋体"/>
          <w:b/>
          <w:color w:val="auto"/>
          <w:sz w:val="21"/>
          <w:szCs w:val="21"/>
        </w:rPr>
        <w:t>；</w:t>
      </w:r>
    </w:p>
    <w:p w14:paraId="772221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b/>
          <w:bCs/>
          <w:kern w:val="2"/>
          <w:sz w:val="21"/>
          <w:szCs w:val="21"/>
          <w:lang w:val="en-US" w:eastAsia="zh-CN" w:bidi="ar-SA"/>
        </w:rPr>
        <w:t>（1）</w:t>
      </w:r>
      <w:r>
        <w:rPr>
          <w:rFonts w:hint="eastAsia" w:ascii="宋体" w:hAnsi="宋体" w:eastAsia="宋体" w:cs="宋体"/>
          <w:b/>
          <w:bCs/>
          <w:sz w:val="21"/>
          <w:szCs w:val="21"/>
        </w:rPr>
        <w:t>项目管</w:t>
      </w:r>
      <w:r>
        <w:rPr>
          <w:rFonts w:hint="eastAsia" w:ascii="宋体" w:hAnsi="宋体" w:eastAsia="宋体" w:cs="宋体"/>
          <w:b/>
          <w:sz w:val="21"/>
          <w:szCs w:val="21"/>
        </w:rPr>
        <w:t>理系统</w:t>
      </w:r>
      <w:r>
        <w:rPr>
          <w:rFonts w:hint="eastAsia" w:ascii="宋体" w:hAnsi="宋体" w:eastAsia="宋体" w:cs="宋体"/>
          <w:b/>
          <w:sz w:val="21"/>
          <w:szCs w:val="21"/>
          <w:lang w:val="en-US" w:eastAsia="zh-CN"/>
        </w:rPr>
        <w:t>功能描述</w:t>
      </w:r>
      <w:r>
        <w:rPr>
          <w:rFonts w:hint="eastAsia" w:ascii="宋体" w:hAnsi="宋体" w:eastAsia="宋体" w:cs="宋体"/>
          <w:sz w:val="21"/>
          <w:szCs w:val="21"/>
        </w:rPr>
        <w:t>：</w:t>
      </w:r>
    </w:p>
    <w:tbl>
      <w:tblPr>
        <w:tblStyle w:val="41"/>
        <w:tblW w:w="89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6"/>
        <w:gridCol w:w="1439"/>
        <w:gridCol w:w="6664"/>
      </w:tblGrid>
      <w:tr w14:paraId="1929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217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139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应用系统名称</w:t>
            </w:r>
          </w:p>
        </w:tc>
        <w:tc>
          <w:tcPr>
            <w:tcW w:w="6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C2E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功能描述</w:t>
            </w:r>
          </w:p>
        </w:tc>
      </w:tr>
      <w:tr w14:paraId="2C43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6E99">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bCs/>
                <w:i w:val="0"/>
                <w:iCs w:val="0"/>
                <w:color w:val="000000"/>
                <w:sz w:val="21"/>
                <w:szCs w:val="21"/>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DDDA">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bCs/>
                <w:i w:val="0"/>
                <w:iCs w:val="0"/>
                <w:color w:val="000000"/>
                <w:sz w:val="21"/>
                <w:szCs w:val="21"/>
                <w:u w:val="none"/>
              </w:rPr>
            </w:pPr>
          </w:p>
        </w:tc>
        <w:tc>
          <w:tcPr>
            <w:tcW w:w="6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F0CD">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bCs/>
                <w:i w:val="0"/>
                <w:iCs w:val="0"/>
                <w:color w:val="000000"/>
                <w:sz w:val="21"/>
                <w:szCs w:val="21"/>
                <w:u w:val="none"/>
              </w:rPr>
            </w:pPr>
          </w:p>
        </w:tc>
      </w:tr>
      <w:tr w14:paraId="0F11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E0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AA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项目管理系统</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E55C">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bCs/>
                <w:i w:val="0"/>
                <w:iCs w:val="0"/>
                <w:color w:val="000000"/>
                <w:sz w:val="21"/>
                <w:szCs w:val="21"/>
                <w:u w:val="none"/>
              </w:rPr>
            </w:pPr>
          </w:p>
        </w:tc>
      </w:tr>
      <w:tr w14:paraId="33A1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8C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C6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项目动态</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92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户成功登录系统后，将直接进入项目管理系统的首页，通过动态展示项目的最新动态信息确保用户能够快速、直观地了解到最新的项目进展情况，包括但不限于项目进度更新、关键节点完成情况、近期任务安排等，帮助用户第一时间掌握项目的关键信息，从而更好地管理和推进项目进展。同时首页支持定制化设置并具有项目数据图表展示区域。</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1、定制化设置：系统会根据用户的权限和角色（如项目经理、团队成员、客户等）自动调整显示内容，确保每位用户都能看到与其职责和关注点最相关的信息。</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图表展示区域：系统通过直观的图表形式对项目数据进行深入分析，包括柱状图和饼状图，柱状图会清晰地统计出当前处于某个管理节点的项目数量，方便用户快速了解项目的分布情况和进度瓶颈；饼状图可以帮助用户快速了解项目类型的分布，为管理层提供决策支持，优化资源配置或调整项目策略。</w:t>
            </w:r>
          </w:p>
        </w:tc>
      </w:tr>
      <w:tr w14:paraId="0013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F5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DA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当前组织</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05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显示当前登录用户所在的组织名称，方便浏览看板用户区分数据范围。</w:t>
            </w:r>
          </w:p>
        </w:tc>
      </w:tr>
      <w:tr w14:paraId="36BA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31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F6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项目总数</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7F4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显示当前组织下的已经在本系统填报的项目总数。</w:t>
            </w:r>
          </w:p>
        </w:tc>
      </w:tr>
      <w:tr w14:paraId="1D27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95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7D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计划总投资</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5D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显示所有项目的计划总投资，项目状态为“终止”或是“屏蔽”的项目不会纳入统计范围。</w:t>
            </w:r>
          </w:p>
        </w:tc>
      </w:tr>
      <w:tr w14:paraId="44E5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2CE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A17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待支付金额</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D1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显示截止当前时间，所有项目总计还剩余多少金额需要对外支付。该模块方便项目管理人员通过资金维度快速了解项目执行情况。</w:t>
            </w:r>
          </w:p>
        </w:tc>
      </w:tr>
      <w:tr w14:paraId="0B43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8B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0D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项目节点图</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DD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使用柱状图方式将项目管理的各个阶段在横轴坐标展示，纵轴坐标针对每个项目当前处于的阶段进行统计汇总，直观展示每个阶段正在进行的项目数量。支持点击柱状图某个统计情况进入对应列表查看具体项目。</w:t>
            </w:r>
          </w:p>
        </w:tc>
      </w:tr>
      <w:tr w14:paraId="5E77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883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4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项目类型图</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33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使用饼状图展示每个项目类型的项目总数。支持点击饼状图的某个统计情况进入对应项目类型的列表查看具体项目。</w:t>
            </w:r>
          </w:p>
        </w:tc>
      </w:tr>
      <w:tr w14:paraId="62D8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477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DF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项目列表</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4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当用户点进入项目管理界面时，可以通过点击菜单项来进入项目列表页面。项目列表可根据项目类型、项目性质等来进行区分，分别在不同菜单项来展示不同建设类型的项目列表，同时展示当前用户根据其权限所能查看到的所有项目信息。同时为用户提供分类检索功能，列表上方提供了多种筛选和搜索条件，包括但不限于：项目名称的模糊查询功能、根据项目进度进行筛选、根据项目金额进行筛选以及根据项目类型进行筛选等。</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在项目列表中，系统会优先展示标记为“重要”的项目，以便用户能够快速关注到这些关键项目。对于那些未被标记为“重要”的项目，则会根据项目的最后一次更新时间进行排序显示，确保用户能够看到最新的项目信息。这样的排序方式有助于用户及时了解项目的最新进展，从而更好地进行项目管理和决策。</w:t>
            </w:r>
          </w:p>
        </w:tc>
      </w:tr>
      <w:tr w14:paraId="2731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5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2E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列表分页</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8E0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支持在列表下方管理列表每页显示的记录条数，支持每页数量显示，支持输入具体页面数跳转到某页。</w:t>
            </w:r>
          </w:p>
        </w:tc>
      </w:tr>
      <w:tr w14:paraId="6706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7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BC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列表排序</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AE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支持点击表头的某个字段对数据进行升序或是降序排序。</w:t>
            </w:r>
          </w:p>
        </w:tc>
      </w:tr>
      <w:tr w14:paraId="4F28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A0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9F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列表行内编辑</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A65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支持通过列表内的行内“编辑”按钮打开项目信息编辑窗口对项目信息进行编辑。</w:t>
            </w:r>
          </w:p>
        </w:tc>
      </w:tr>
      <w:tr w14:paraId="141E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7F5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2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列表行内详情</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0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支持通过列表内的行内“详情”按钮打开项目信息详情窗口，以“只读”模式展示项目的详细内容。</w:t>
            </w:r>
          </w:p>
        </w:tc>
      </w:tr>
      <w:tr w14:paraId="21B0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4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5A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列表行内删除</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EA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列表内的行内“删除”按钮删除项目数据，点击删除按钮时会弹框对用户的删除操作进行二次确认。为避免误删除操作，该删除按钮在服务端的处理为逻辑删除，实际删除需要用户到数据库进行数据删除操作。</w:t>
            </w:r>
          </w:p>
        </w:tc>
      </w:tr>
      <w:tr w14:paraId="4014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B9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3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新增项目</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C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在列表上方提供“新增”按钮，用户通过“新增”按钮填报项目的基本进行新增，项目新增后才会初始化项目管理的各个阶段。</w:t>
            </w:r>
          </w:p>
        </w:tc>
      </w:tr>
      <w:tr w14:paraId="06F2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8B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41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数据查询过滤</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B7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在列表上方提供查询功能，用户可以根据“项目状态”快速筛选处于各个阶段的项目信息，或是通过“项目名称”模糊检索项目信息，还能通过创建人、项目类型等对列表内的数据进行查询过滤。</w:t>
            </w:r>
          </w:p>
        </w:tc>
      </w:tr>
      <w:tr w14:paraId="46DE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1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6A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项目信息编辑</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63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过“项目信息编辑”模块，用户可以全面、详细地录入项目的基本信息，录入内容包括但不限于项目名称、项目编号、项目负责人、项目开始日期、项目结束日期等关键信息。在录入这些基本信息时，系统提供了灵活的管理机制，可以根据项目的管理要求进行锁定，如项目编号和项目负责人等信息一旦确定，通常不应随意更改，以避免对项目管理流程和相关文档产生混乱，这种机制不仅保障了项目信息的稳定性，还符合项目管理的最佳实践，避免了因信息频繁变更而导致的潜在风险。</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项目信息新建完成后，如需要对项目的信息进行维护或更新，用户可以通过“项目列表”页面中的“编辑”按钮来进行编辑操作，用户随时对项目的非锁定信息进行调整和优化，确保项目信息始终保持最新状态。</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同时在项目的新建或编辑过程中，用户还可以设置项目的“重要”字段用于标识项目的优先级或重要程度。用户可以根据项目的紧急性、战略意义或资源需求等因素，将项目标记为“高优先级”“中优先级”或“低优先级”，可以更直观地对项目进行分类和排序，从而在项目管理过程中更好地分配资源、安排工作重点，并确保关键项目得到优先关注和处理。</w:t>
            </w:r>
          </w:p>
        </w:tc>
      </w:tr>
      <w:tr w14:paraId="143D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2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D9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阶段单独保存</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7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系统为每个项目管理的阶段填报内容单独设计保存功能，即每个阶段填报的数据项不影响其他阶段的状态和时间戳，保持阶段数据的独立性。</w:t>
            </w:r>
          </w:p>
        </w:tc>
      </w:tr>
      <w:tr w14:paraId="474B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EE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65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阶段单独锁定</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E3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管理员用户可以使用每个阶段的“锁定”功能将某个阶段的表单变为只读属性，防止其他人员修改内容。在项目完成后，该项目的每个阶段都会自动进入“锁定”模式。</w:t>
            </w:r>
          </w:p>
        </w:tc>
      </w:tr>
      <w:tr w14:paraId="518A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2E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D0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项目归口管理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F1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系统内部成功建立项目之后，系统会根据项目的具体性质将其细分为两大类别：一类是信息化项目，另一类则是基建项目。为了更高效地管理不同类型的项目，系统提供了灵活的配置功能，允许管理员根据项目类型设定相应的归口部门。一旦项目创建完成，系统便会依据项目所属的类别，自动将其推送至对应的归口部门进行专业的管理和监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项目推进的过程中，会经历多个不同的阶段，每个阶段都有其特定的管理需求和重点。为此，系统同样支持在不同阶段配置相应的归口管理部门。这些归口管理部门将负责对所辖阶段进行全面而细致的审查工作。通过系统内置的阶段评论功能，归口管理部门可以对阶段执行过程中产生的各类数据进行实时监控和提醒，及时发现潜在问题，并提出具体的整改要求和改进建议，确保项目在每个阶段都能顺利推进，最终达到预期的目标和效果。</w:t>
            </w:r>
          </w:p>
        </w:tc>
      </w:tr>
      <w:tr w14:paraId="6654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C4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7D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建设周期管理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9F2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建设周期管理项目管理中至关重要的一环。为了确保项目按时、高质量地完成，系统提供了全面的建设周期管理功能。该功能涵盖了项目从启动到收尾的每一个关键阶段，帮助用户实时跟踪项目的进度，及时发现并解决潜在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建设周期管理模块中，用户可以清晰地看到项目的各个阶段以及每个阶段的具体任务和时间安排。系统支持用户根据项目实际情况，自定义设置阶段任务和时间节点，确保项目管理计划的准确性和可行性。同时，每个阶段可以进行详细的工作跟进填报，包括任务进度、资源消耗、质量问题等，为用户提供全面的项目监控和评估依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提供项目模板供用户在系统创建项目时进行选择，不同模版可以对应不同的项目阶段，在不同的模版内，除了显示项目的基本情况外，还可以通过甘特图跟踪项目进度。项目进度在模板内可以由项目负责人进行填报，填报的内容会自动收录到甘特图中，并且推送到归口部门。根据用户录入的阶段时间信息，在阶段即将开始或是阶段即将到期时，系统会自动发出临期提醒。这种智能化的提醒机制，确保了项目管理者不会错过任何关键的时间节点，从而能够及时调整项目计划，应对可能的变化。此外，系统还支持用户根据项目实际情况，对提醒时间进行微调，以更好地适应项目的实际需求。通过这一功能，用户可以更加高效地管理项目的建设周期，确保项目按时、按质、按量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还能通过各类智能图表根据用户需要对项目情况进行统计分析。这些图表包括但不限于柱状图、折线图、饼图等，它们能够直观地展示项目的进度、资源分配、成本支出等关键信息。用户可以根据这些图表快速识别项目的亮点和问题，为项目决策提供依据。此外，系统还支持用户自定义统计维度和指标，以满足不同项目、不同阶段的个性化需求。通过这些智能图表，用户可以更加深入地了解项目情况，为项目的顺利推进提供有力支持。</w:t>
            </w:r>
          </w:p>
        </w:tc>
      </w:tr>
      <w:tr w14:paraId="063A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D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ED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项目信息一览</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2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在“项目列表”中，用户可以通过点击项目或者名称和点击“详情”按钮进入“项目信息一览”页面。进入“项目信息一览”页面后，将看到项目的整体概览，包括项目的基础信息。这些基础信息是项目的核心标识，例如项目名称、项目编号、项目负责人、项目开始日期、项目结束日期等，可以帮助用户快速确认所查看的项目身份和基本时间线。</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除了基础信息外，页面的核心部分采用了“分组”的tab页方式，将项目管理的不同阶段节点分类集中展示。项目启动、项目执行、项目监控、项目收尾等项目管理阶段，都被组织在不同的tab页中。每个tab页都聚焦于一个特定的项目管理阶段，用户可以通过简单的点击操作，快速切换到感兴趣的阶段，查看该阶段的详细信息。</w:t>
            </w:r>
          </w:p>
        </w:tc>
      </w:tr>
      <w:tr w14:paraId="26CE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3E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6D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项目基本信息管理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5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过项目基本信息的填报功能，用户可以详细填报项目的相关信息，确保项目的准确性和完整性，系统会根据用户填报的项目基本信息自动生成一个唯一的项目索引，从而有效避免项目信息的重复提交和混淆。在填报过程中，用户需要详细填写以下关键属性：</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1.项目名称：用户需要提供一个明确且具有代表性的项目名称，以便于在系统中快速识别和检索。</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2.项目类型：用户需要选择项目所属的类型，例如基础设施建设、科技研发、教育项目等，以便于系统对项目进行分类管理。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3.计划投资：用户需要填报项目的计划投资金额，包括总投资额和各阶段的投资预算，以便于系统对项目的资金使用进行监控和管理。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4.项目归属：用户需要填报项目所属的组织或部门，以便于系统对项目进行归属管理。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5.项目建设内容：用户需要详细描述项目建设的具体内容，包括建设目标、建设规模、建设周期等，以便于系统对项目的实施情况进行跟踪和评估。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6.是否“重要”：用户需要根据项目的实际情况，选择项目是否属于“重要”类别。系统将根据这一属性对项目进行优先级排序和重点管理。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通过以上详细的填报内容，用户可以确保项目信息的准确性和完整性，同时系统也能有效地生成项目的唯一索引，避免项目的重复提交，提高项目管理的效率和效果。</w:t>
            </w:r>
          </w:p>
        </w:tc>
      </w:tr>
      <w:tr w14:paraId="06FA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0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73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项目立项管理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25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是否能够顺利进入实施阶段，关键在于项目立项这一重要环节，项目立项管理需要贯通项目申报、请示汇报、项目批复等流程，需要详细且明确填报包括申报时间、立项依据、批准单位、建设性质、请示报告的相关时间和部门、批复的时间、文号和资金来源等信息，为项目的顺利实施奠定坚实的基础。</w:t>
            </w:r>
          </w:p>
        </w:tc>
      </w:tr>
      <w:tr w14:paraId="7E49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2F9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A8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项目申报</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CEC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申报时间填报：提供日期时间组件选择项目申报的具体时间。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立项依据：提供单行文本框组件填报项目的立项依据。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批准单位：提供下拉单选框选择项目的批准单位，下拉框字典来自于系统数据字典“监狱系统组织架构”。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批准文号：提供单行文本框组件填报批准文号。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批准方式：提供下拉单选框选择项目的批准方式，下拉框字典来自于系统数据字典“批准方式”。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建设性质：提供下拉单选框选择项目的建设性质，下拉框字典来自于系统数据字典“建设性质”，包括新建、改建、扩建、改造、升级等。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技术负责人：提供单行文本框组件填报该项目的技术负责人。</w:t>
            </w:r>
          </w:p>
        </w:tc>
      </w:tr>
      <w:tr w14:paraId="2BA9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F0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263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上级请示报告与批复</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D91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请示报告文号：提供单行文本框填报请示报告的文号。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请示报告时间：提供日期时间选择框组件选择请示报告文件上报的具体时间。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请示报告部门：提供下拉单选框选择请示报告的接收和审批部门，下拉框字典来自于系统数据字典“监狱系统组织架构”。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批复时间：提供日期时间选择框组件选择批复文件下达的具体时间。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批复文号：提供单行文本框填报批复文件的文号。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批复资金来源：提供下拉单选框选择审批部门同意后的项目建设资金来源，下拉框字典来自于系统数据字典“资金来源”。</w:t>
            </w:r>
          </w:p>
        </w:tc>
      </w:tr>
      <w:tr w14:paraId="2A54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D6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46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附件上传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A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阶段产生的文件文档扫描件应通过该模块上传到系统保存。该文件会按照项目统一存放，可以通过“项目附件管理”模块进行统一浏览。在监狱局有条件提供AI大模型能力时，支持通过上传文件由AI解析填写该阶段的表单数据。</w:t>
            </w:r>
          </w:p>
        </w:tc>
      </w:tr>
      <w:tr w14:paraId="03FB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EA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E06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项目设计管理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428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设计管理主要包括项目建议书、可行性研究报告、初步设计以及深化设计等多种设计阶段，各种设计阶段都要求用户对设计单位、相关费用以及预期成果等内容进行详细且规范的填报，有助于项目管理的有序进行，确保每个环节的质量和进度符合预期要求，保证整个过程的规范性和高效性。</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系统根据项目的类型和规模，为用户提供多种设计阶段子项的选择，包括但不限于：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项目建议书：用于初步阐述项目的背景、目标、必要性和预期效益。</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可行性研究报告：对项目的市场需求、技术可行性、经济合理性进行深入分析。</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初步设计：对项目的整体架构、功能模块、技术选型等进行初步规划和设计。</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深化设计：在初步设计的基础上，进一步细化设计内容，明确技术细节和实施步骤。</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用户可以根据项目的实际需求，灵活选择需要的子项进行添加，确保设计阶段的工作内容与项目目标相匹配。系统提供子项配置功能，允许用户根据项目需求自定义子项的名称、内容和顺序。对于每个子项，系统预设了标准模板和字段，用户可以根据实际情况进行调整和补充，以满足不同项目的设计要求。</w:t>
            </w:r>
          </w:p>
        </w:tc>
      </w:tr>
      <w:tr w14:paraId="7352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18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AA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设计基本情况管理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F6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设计单位填报：提供单行文本框组件填报设计单位名称。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设计单位采购方式：提供下拉单选框选择设计单位的采购方式，下拉框字典来自于系统数据字典“采购方式”。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设计费：提供金额组件填报该项目的设计费，金额组件提供前置单位显示，数字千分位显示，金额中文大写显示。</w:t>
            </w:r>
          </w:p>
        </w:tc>
      </w:tr>
      <w:tr w14:paraId="04A7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D1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D9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设计子阶段</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70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设计类型：提供下拉单选框选择设计类型，例如初步设计、详细设计等，下拉框字典来自于系统数据字典“设计子阶段”。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计划投资金额：提供金额组件填报该项目根据当前设计子阶段测算出的计划投资金额，金额组件提供前置单位显示，数字千分位显示，金额中文大写显示。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附件上传：将该阶段产生的设计稿和相关评审文件通过该模块上传到系统保存。该文件会按照项目统一存放，可以通过“项目附件管理”模块进行统一浏览。在监狱局有条件提供AI大模型能力时，支持通过上传文件由AI解析填写该阶段的表单数据。</w:t>
            </w:r>
          </w:p>
        </w:tc>
      </w:tr>
      <w:tr w14:paraId="63ED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294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3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项目造价管理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7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造价管理需要造价公司详细填报其基本信息，包括公司名称、联系方式、资质等级、造价费用、造价合同、造价后的金额等相关数据，通过这些数据，可以评估项目的经济效益，为未来的项目提供参考和借鉴。整个造价管理过程需要严格遵循相关法规和标准，确保数据的准确性和可靠性，从而为项目的顺利进行提供有力保障。</w:t>
            </w:r>
          </w:p>
        </w:tc>
      </w:tr>
      <w:tr w14:paraId="175D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89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F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CDD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送审价：提供金额组件填报该项目的送审价，金额组件提供前置单位显示，数字千分位显示，金额中文大写显示。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审定价：提供金额组件填报该项目的审定价，金额组件提供前置单位显示，数字千分位显示，金额中文大写显示。</w:t>
            </w:r>
          </w:p>
        </w:tc>
      </w:tr>
      <w:tr w14:paraId="7CB3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B0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76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执行信息管理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87B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造价单位：提供组织架构选择框，从系统内选择造价单位作为该项数据填报，需要系统管理员将参与项目造价的单位和人员录入到系统中，在该项选择完单位后，该单位的人员即可拥有该模块的填报权限。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造价采购方式：提供下拉单选框选择造价单位的采购方式，下拉框字典来自于系统数据字典“采购方式”。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造价费用：提供金额组件填报造价合同内的金额，金额组件提供前置单位显示，数字千分位显示，金额中文大写显示。</w:t>
            </w:r>
          </w:p>
        </w:tc>
      </w:tr>
      <w:tr w14:paraId="5500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EF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BF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附件上传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8F8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阶段产生的文件文档扫描件应通过该模块上传到系统保存。该文件会按照项目统一存放，可以通过“项目附件管理”模块进行统一浏览。在监狱局有条件提供AI大模型能力时，支持通过上传文件由AI解析填写该阶段的表单数据。</w:t>
            </w:r>
          </w:p>
        </w:tc>
      </w:tr>
      <w:tr w14:paraId="047E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889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项目采购管理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E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项目采购管理包括招标代理管理、法人委托管理、招标文件编制审核管理、进场交易管理、开评标信息管理等多项内容。</w:t>
            </w:r>
          </w:p>
        </w:tc>
      </w:tr>
      <w:tr w14:paraId="71C1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9B7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399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招标代理管理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41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招标代理公司：提供单行文本框填报项目入围的招标代理公司名称。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招标主体：提供下拉单选框选择项目的招标主体，下拉框字典来自于系统数据字典“监狱系统组织架构”。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附件上传：将该阶段产生的文件通过该模块上传到系统保存。该文件会按照项目统一存放，可以通过“项目附件管理”模块进行统一浏览。在监狱局有条件提供AI大模型能力时，支持通过上传文件由AI解析填写该阶段的表单数据。</w:t>
            </w:r>
          </w:p>
        </w:tc>
      </w:tr>
      <w:tr w14:paraId="36CC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2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81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法人委托管理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54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时任法人：提供单行文本框组件填报时任法人的姓名。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授权时间：提供日期时间组件选择法人委托授权的时间。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附件上传：将委托函扫描后上传到系统保存。该文件会按照项目统一存放，可以通过“项目附件管理”模块进行统一浏览。在监狱局有条件提供AI大模型能力时，支持通过上传文件由AI解析填写该阶段的表单数据。</w:t>
            </w:r>
          </w:p>
        </w:tc>
      </w:tr>
      <w:tr w14:paraId="5F27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FC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5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招标文件编制审核管理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1C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模块主要依靠附件上传功能，分别要求上传招标文件、法律顾问意见、审计部门意见、其他附件等。这些文件会按照项目统一存放，可以通过“项目附件管理”模块进行统一浏览。在监狱局有条件提供AI大模型能力时，支持通过上传文件由AI解析填写该阶段的表单数据。</w:t>
            </w:r>
          </w:p>
        </w:tc>
      </w:tr>
      <w:tr w14:paraId="6B45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08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30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进场交易管理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C9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果该项目需要到公共资源交易中心进行开标，需要填报进场请示文号、批复时间，并将请示和批复的附件进行上传。这些文件会按照项目统一存放，可以通过“项目附件管理”模块进行统一浏览。在监狱局有条件提供AI大模型能力时，支持通过上传文件由AI解析填写该阶段的表单数据。</w:t>
            </w:r>
          </w:p>
        </w:tc>
      </w:tr>
      <w:tr w14:paraId="5E94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75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9E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开评标信息管理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E1C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可以输入和查看与招标相关的各种信息，比如采购方式、招标编号、甲方代表、开标地点和时间等。包括参与投标的单位、评标组成员，以及招标公告的发布时间。此外，系统还管理结果公示的信息，如中标公告的时间和中标通知的发出时间。其他信息包括资料归档时间和招投标费用等。</w:t>
            </w:r>
          </w:p>
        </w:tc>
      </w:tr>
      <w:tr w14:paraId="38AD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9C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388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附件上传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CB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阶段产生的文件文档扫描件应通过该模块上传到系统保存。该文件会按照项目统一存放，可以通过“项目附件管理”模块进行统一浏览。在监狱局有条件提供AI大模型能力时，支持通过上传文件由AI解析填写该阶段的表单数据。</w:t>
            </w:r>
          </w:p>
        </w:tc>
      </w:tr>
      <w:tr w14:paraId="3A25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9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B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项目合同管理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B64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项目合同管理需要详细记录合同的名称、编号、金额、时间和合同的两个主体。如果出现了需要补充协议的情况，也必须对补充协议的内容进行详细的填报，以确保合同的完整性和可追溯性。</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在合同管理的过程中，还需要明确合同中是否包含履约保证金条款、是否存在质保期、是否有监理或第三方检测等相关条款。需确保项目在实施过程中各方责任明确，避免因合同条款不明确而引发的纠纷，从而保障项目的顺利进行、合同的执行和后续的项目管理。</w:t>
            </w:r>
          </w:p>
        </w:tc>
      </w:tr>
      <w:tr w14:paraId="20E5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D3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C07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合同金额管理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975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合同金额：提供金额组件填报合同金额，金额组件提供前置单位显示，数字千分位显示，金额中文大写显示。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履约保证金开关：提供开关组件，在项目有履约保证金的情况下，打开开关，提供保证金金额组件填报金额。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质保金开关：提供开关组件，在项目有质保金的情况下，打开开关，提供质保金金额组件填报金额。</w:t>
            </w:r>
          </w:p>
        </w:tc>
      </w:tr>
      <w:tr w14:paraId="1CD3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F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FA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合同基本信息</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D5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合同名称：提供单行输入框组件填报合同名称。合同名称会在系统后端进行校验，保证合同名称唯一。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合同签订时间：提供日期时间组件选择填报合同签订的具体日期时间。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合同工期：提供单行输入框组件填报合同约定的工期。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质保期：合同单行输入框组件填报合同约定质保期。</w:t>
            </w:r>
          </w:p>
        </w:tc>
      </w:tr>
      <w:tr w14:paraId="1430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43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42C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合同附件上传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BB1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该阶段产生的合同文件通过该模块上传到系统保存。该文件会按照项目统一存放，可以通过“项目附件管理”模块进行统一浏览。在监狱局有条件提供AI大模型能力时，支持通过上传文件由AI解析填写该阶段的表单数据。</w:t>
            </w:r>
          </w:p>
        </w:tc>
      </w:tr>
      <w:tr w14:paraId="18BD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CC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B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项目实施管理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F5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的实施管理包括项目基本信息管理、项目监理信息管理、第三方检测信息管理、项目变更管理等模块。通过将项目的实施方案和实际实施情况进行对比，并结合监理的监督和项目变更管理，项目管理方能够全面掌控项目的实施过程，确保项目能够顺利、高效地完成。</w:t>
            </w:r>
          </w:p>
        </w:tc>
      </w:tr>
      <w:tr w14:paraId="4444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9F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AC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项目实施基本信息</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8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开工日期：提供日期时间组件选择项目的开工日期。该项日期时间组件对时间选择范围的最大值进行约束，不得选择超过当前时间的日期作为开工日期。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完工日期：提供日期时间组件选择项目的完工日期。该项日期时间组件对时间选择范围的最小值进行约束，不得选择小于开工日期的日期作为完工日期。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实施方案：将项目的具体实施方案通过该模块上传到系统保存。该文件会按照项目统一存放，可以通过“项目附件管理”模块进行统一浏览。在监狱局有条件提供AI大模型能力时，支持通过上传文件由AI解析填写该阶段的表单数据。</w:t>
            </w:r>
          </w:p>
        </w:tc>
      </w:tr>
      <w:tr w14:paraId="29A5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D1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A4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项目监理信息</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E6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监理公司：提供单行文本输入组件填报监理公司单位名称。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监理联系人：提供单行文本输入组件填报监理单位在本项目的负责人。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监理费用：提供金额组件填报本项目监理的总费用。金额组件提供前置单位显示，数字千分位显示，金额中文大写显示。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过程资料上传：将监理在项目过程总产生的文档通过该模块上传到系统保存。该文件会按照项目统一存放，可以通过“项目附件管理”模块进行统一浏览。在监狱局有条件提供AI大模型能力时，支持通过上传文件由AI解析填写该阶段的表单数据。</w:t>
            </w:r>
          </w:p>
        </w:tc>
      </w:tr>
      <w:tr w14:paraId="54DA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31B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8A4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第三方检测信息</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B2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检测机构名称：提供单行文本输入组件填报本项目的第三方检测实施机构名称。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检测费用：提供金额组件填报本项目第三方检测的总费用。金额组件提供前置单位显示，数字千分位显示，金额中文大写显示。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意见：将第三方检测机构出具的检测意见通过该模块上传到系统保存。该文件会按照项目统一存放，可以通过“项目附件管理”模块进行统一浏览。在监狱局有条件提供AI大模型能力时，支持通过上传文件由AI解析填写该阶段的表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报告：将第三方检测机构出具的检测报告通过该模块上传到系统保存。该文件会按照项目统一存放，可以通过“项目附件管理”模块进行统一浏览。在监狱局有条件提供AI大模型能力时，支持通过上传文件由AI解析填写该阶段的表单数据。</w:t>
            </w:r>
          </w:p>
        </w:tc>
      </w:tr>
      <w:tr w14:paraId="07ED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0C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88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项目变更管理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45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变更开关：提供开关组件管理项目时候发生变更，打开开关，会要求填报具体变更内容。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变更前金额：提供金额组件填报变更前项目金额。金额组件提供前置单位显示，数字千分位显示，金额中文大写显示。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变更后金额：提供金额组件填报变更后项目金额。金额组件提供前置单位显示，数字千分位显示，金额中文大写显示。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变更内容：将变更内容形成电子文档通过该模块上传到系统保存。该文件会按照项目统一存放，可以通过“项目附件管理”模块进行统一浏览。在监狱局有条件提供AI大模型能力时，支持通过上传文件由AI解析填写该阶段的表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变更依据：提供多行文本框填报项目变更依据摘要。</w:t>
            </w:r>
          </w:p>
        </w:tc>
      </w:tr>
      <w:tr w14:paraId="2014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9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5B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资料上传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A6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变更依据形成电子文档通过该模块上传到系统保存。该文件会按照项目统一存放，可以通过“项目附件管理”模块进行统一浏览。在监狱局有条件提供AI大模型能力时，支持通过上传文件由AI解析填写该阶段的表单数据。</w:t>
            </w:r>
          </w:p>
        </w:tc>
      </w:tr>
      <w:tr w14:paraId="2E69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CF3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6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项目验收管理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D0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验收管理主要包括初验和终验两个管理模块，初验管理主要是项目建设完成后对建设成果进行初步评估，是否按照既定的建设内容完成项目建设；终验管理主要是对项目的建设内容及成效进行评估，是否达到既定的建设目标，能否满足建设的需求。</w:t>
            </w:r>
          </w:p>
        </w:tc>
      </w:tr>
      <w:tr w14:paraId="291B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FB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06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初验管理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E5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初验时间：提供日期时间选择框选择初验时间，该时间在后端进行约束，不得早于项目开工时间，不得晚于完工时间。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初验结论概要：提供多行文本框填报初验结论的概要内容。</w:t>
            </w:r>
          </w:p>
        </w:tc>
      </w:tr>
      <w:tr w14:paraId="5E24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36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69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终验管理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A1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终验时间：提供日期时间选择框选择终验时间，该时间在后端进行约束，不得早于项目初验时间，不得晚于完工时间。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终验结论概要：提供多行文本框填报终验结论的概要内容。</w:t>
            </w:r>
          </w:p>
        </w:tc>
      </w:tr>
      <w:tr w14:paraId="061C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2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B9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资料上传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F1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验资料：将初验的过程资料通过该模块上传到系统保存。该文件会按照项目统一存放，可以通过“项目附件管理”模块进行统一浏览。在监狱局有条件提供AI大模型能力时，支持通过上传文件由AI解析填写该阶段的表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终验资料：将终验的过程资料通过该模块上传到系统保存。该文件会按照项目统一存放，可以通过“项目附件管理”模块进行统一浏览。在监狱局有条件提供AI大模型能力时，支持通过上传文件由AI解析填写该阶段的表单数据。</w:t>
            </w:r>
          </w:p>
        </w:tc>
      </w:tr>
      <w:tr w14:paraId="1B9F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61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89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项目结算管理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F6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结算管理主要是将项目合同中规定的金额以及任何在项目执行过程中发生的变更金额一并提交给造价公司进行结算。造价公司在进行结算时，会依据项目的具体情况，对项目合同中的各项条款进行详细的审查和核算。同时，项目承建单位需要提交与项目实施过程中与价格相关的其他文件和资料，以确保造价公司能够全面了解项目的合同内容和变更情况，包括合同的原始文本、变更订单、补充协议以及其他相关的财务记录和凭证。</w:t>
            </w:r>
          </w:p>
        </w:tc>
      </w:tr>
      <w:tr w14:paraId="3FD1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48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1E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结算金额管理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A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提交审核金额：提供金额组件填报提交审核金额。金额组件提供前置单位显示，数字千分位显示，金额中文大写显示。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提交变更金额：如果项目产生变更情况，提供金额组件填报提交审核金额。金额组件提供前置单位显示，数字千分位显示，金额中文大写显示。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造价后金额：提供金额组件填报结算造价后的金额。金额组件提供前置单位显示，数字千分位显示，金额中文大写显示。</w:t>
            </w:r>
          </w:p>
        </w:tc>
      </w:tr>
      <w:tr w14:paraId="4376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A9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26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造价信息管理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A1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结算造价公司：提供单行文本框填报结算造价公司的公司名称。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采购方式：提供下拉单选框选择造价公司的采购方式，下拉框字典来自于系统数据字典“采购方式”。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结算造价费：提供金额组件填报结算造价合同金额。金额组件提供前置单位显示，数字千分位显示，金额中文大写显示。</w:t>
            </w:r>
          </w:p>
        </w:tc>
      </w:tr>
      <w:tr w14:paraId="31DB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CD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2A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附件上传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139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阶段产生的文件文档扫描件应通过该模块上传到系统保存。该文件会按照项目统一存放，可以通过“项目附件管理”模块进行统一浏览。在监狱局有条件提供AI大模型能力时，支持通过上传文件由AI解析填写该阶段的表单数据。</w:t>
            </w:r>
          </w:p>
        </w:tc>
      </w:tr>
      <w:tr w14:paraId="476C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07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73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项目审计管理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66E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云南省监狱系统的项目在项目结算完成后，还需要将相关资料提交给审计部门进行审计。审计完成后需将审计结果在系统上进行填报，并且需要附带相关材料进行上传，以确保整个审计过程的透明度和合规性。</w:t>
            </w:r>
          </w:p>
        </w:tc>
      </w:tr>
      <w:tr w14:paraId="7C14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024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555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金额信息管理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FC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提交审计金额：提供金额组件填报项目提交审计处审计金额。金额组件提供前置单位显示，数字千分位显示，金额中文大写显示。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最终审定金额：提供金额组件填报审计处最终的审定金额。金额组件提供前置单位显示，数字千分位显示，金额中文大写显示。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审减/审增：提供金额插件显示审减/审增金额，该内容不需要手工填报，由表单插件根据提交审计金额和审定金额自动计算得出。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审计部门：提供下拉单选框选择开展项目审计的部门，下拉框字典来自于系统数据字典“审计部门”。</w:t>
            </w:r>
          </w:p>
        </w:tc>
      </w:tr>
      <w:tr w14:paraId="589F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46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A30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阶段附件上传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07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该阶段产生的合同文件通过该模块上传到系统保存。该文件会按照项目统一存放，可以通过“项目附件管理”模块进行统一浏览。在监狱局有条件提供AI大模型能力时，支持通过上传文件由AI解析填写该阶段的表单数据。</w:t>
            </w:r>
          </w:p>
        </w:tc>
      </w:tr>
      <w:tr w14:paraId="7EA3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D76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FB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项目资料管理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5D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项目资料管理主要师填报项目建设过程中所有档案资料情况，包括档案的编号、档案的本数和盒数、移交时间、接收人、档案资料验收意见的档案相关数据。</w:t>
            </w:r>
          </w:p>
        </w:tc>
      </w:tr>
      <w:tr w14:paraId="28C9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61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5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纸质档案数据管理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EC4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档案编号：提供单行文本书输入控件填报移交后归档的档案编号。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装订本数：提供数字控件填报移交的纸质材料装订本数总和。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档案盒数：提供数字控件填报移交的纸质材料档案盒总数。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移交时间：提供日期时间模块选择项目纸质档案移交办公室进行档案验收的时间。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接收人：提供单行文本输入控件填报办公室档案接收人的姓名。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验收意见：提供多行文本框填报办公室对该项目的档案验收意见。</w:t>
            </w:r>
          </w:p>
        </w:tc>
      </w:tr>
      <w:tr w14:paraId="0C84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8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D3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项目档案汇总</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09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提供列表汇总所有该项目的资料附件，支持按阶段查询附件，支持文件名模糊搜索，支持文件下载。</w:t>
            </w:r>
          </w:p>
        </w:tc>
      </w:tr>
      <w:tr w14:paraId="0D9C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A0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C0C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付款信息管理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7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付款信息管理主要是根据合同中约定的付款条件和金额，对实际付款信息进行管理，确保付款过程按照合同约定进行操作，确保项目付款的合规性和合法性。同时根据项目的付款情况方便对项目的资金使用情况进行全面的了解和监控，为决策提供有力的支持。</w:t>
            </w:r>
          </w:p>
        </w:tc>
      </w:tr>
      <w:tr w14:paraId="74BD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49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A5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付款信息管理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EB2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付款阶段：在阶段内提交的付款记录，自动关联阶段，在总览界面添加付款记录，需要手动选择支付记录归属的项目阶段。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付款金额：提供金额插件填报付款金额。金额组件提供前置单位显示，数字千分位显示，金额中文大写显示。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付款占比：提供数字单位控件显示支付金额相对当前阶段所需支付款项的百分比。该字段将自动计算，不需要手动填写。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付款时间：提供日期时间选择框选择付款时间。</w:t>
            </w:r>
          </w:p>
        </w:tc>
      </w:tr>
      <w:tr w14:paraId="7529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4B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F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附件管理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94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付款申请、发票以及其他相关材料上传到系统保存。该文件会按照项目统一存放，可以通过“项目附件管理”模块进行统一浏览。在监狱局有条件提供AI大模型能力时，支持通过上传文件由AI解析填写该阶段的表单数据。</w:t>
            </w:r>
          </w:p>
        </w:tc>
      </w:tr>
      <w:tr w14:paraId="7779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79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B09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投资监管</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495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本项目中，资金管理涉及的方面，包括但不限于资金配置、财务收支及资金运用等，由建设部门负责独立填报。系统将自动整合各部门提交的数据，并将其汇总至财务管理模块。监狱局财务处及相关部门能够利用该模块迅速掌握项目资金的运用状况。此外，该模块支持针对不同阶段资金用途设定预警阈值，一旦资金使用超出设定阈值，系统将触发预警机制。资金支付流程亦将依据合同中约定的支付计划进行动态计算，若实际支付金额超出合同规定，系统将即时发出预警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系统进行管理的项目，其整个项目的全生命周期管理，每次涉及资金的变动，都会有相应的系统规则进行智能化判断，这些规则可以根据用户需要灵活调整，针对大额支付、投资金额变化、各关联环节（如项目预算、批复预算、拦标价等）项目预算差距较大等情况，系统均会做出预警或提醒。</w:t>
            </w:r>
          </w:p>
        </w:tc>
      </w:tr>
      <w:tr w14:paraId="3A8A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658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63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附件管理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19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附件管理主要是集中提供对项目的过程文档等相关文件资料的存储与管理功能，具体功能包括：文件上传、下载，文件的维护，多种格式文件的在线预览（Office、Pdf等），文件的权限控制，文件格式的转换、合并（Pdf转换，合并），文件的搜索等。</w:t>
            </w:r>
          </w:p>
        </w:tc>
      </w:tr>
      <w:tr w14:paraId="3A75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E0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E5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文档库</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518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列表展示系统所有通过表单上传的附件，支持按照名称模糊查询，支持按照附件类型查询，支持单个文件下载和批量下载，支持查看附件大小，支持查看附件类型、支持查看文件所属部门，支持收藏文档到“我的文档”列表，支持删除文档。</w:t>
            </w:r>
          </w:p>
        </w:tc>
      </w:tr>
      <w:tr w14:paraId="1634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0FB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67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我的文档</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928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通过列表展示当前用户上传的文档，支持配置文档可见范围，支持附件上传形式和Markdown富文本形式新增文档。</w:t>
            </w:r>
          </w:p>
        </w:tc>
      </w:tr>
      <w:tr w14:paraId="5947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8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43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用户管理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38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户管理模块的主要功能是提供一个便捷的平台，系统管理员能够高效地进行用户信息的管理。通过这个模块，系统管理员可以轻松地执行多种操作，包括但不限于新增用户信息、删除现有用户、修改用户资料以及查询特定用户的相关信息。确保管理员能够快速、准确地处理用户数据，从而提高整体系统的管理效率和用户体验。</w:t>
            </w:r>
          </w:p>
        </w:tc>
      </w:tr>
      <w:tr w14:paraId="20EE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9B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82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用户信息添加</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F0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为系统添加用户信息，包括姓名、账号、密码、邮箱、手机号、性别等内容。支持分配角色到用户、支持分配组织到用户、支持分配岗位到用户。</w:t>
            </w:r>
          </w:p>
        </w:tc>
      </w:tr>
      <w:tr w14:paraId="7736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1A9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AD6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用户信息列表</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D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使用列表方式展示系统用户，可以对账户进行“禁用、“重置密码”、“删除”、“编辑”等操作。</w:t>
            </w:r>
          </w:p>
        </w:tc>
      </w:tr>
      <w:tr w14:paraId="439A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4F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BA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搜索功能</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4C9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支持姓名、账号、手机号模糊搜索，支持根据账号状态进行搜索。</w:t>
            </w:r>
          </w:p>
        </w:tc>
      </w:tr>
      <w:tr w14:paraId="250C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1E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1A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导入导出</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A0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支持批量导入导出，支持导入模版下载。</w:t>
            </w:r>
          </w:p>
        </w:tc>
      </w:tr>
      <w:tr w14:paraId="3B9D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7F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19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角色管理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AD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角色管理主要是允许管理员根据不同级别的用户需求创建各种类型的角色，并赋予相应的权限，确保每个用户只能访问被授权的内容，从而确保系统的安全性和保密性。</w:t>
            </w:r>
          </w:p>
        </w:tc>
      </w:tr>
      <w:tr w14:paraId="2748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E9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2D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新增角色</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0D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系统角色新增需要输入角色名称，配置角色分组，系统根据名称自动生成角色编码。支持角色的启用和禁用，支持配置角色的级别。</w:t>
            </w:r>
          </w:p>
        </w:tc>
      </w:tr>
      <w:tr w14:paraId="1109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9C9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72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左侧树</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9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在角色管理界面，左侧使用角色分组作为树形结构展示，可以点击分组快速筛选列表中的数据。</w:t>
            </w:r>
          </w:p>
        </w:tc>
      </w:tr>
      <w:tr w14:paraId="4B60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44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EA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角色列表</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253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使用列表方式展示系统已经创建的角色，可以快速对角色进行各类操作。</w:t>
            </w:r>
          </w:p>
        </w:tc>
      </w:tr>
      <w:tr w14:paraId="604C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D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F54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角色资源</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CA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为某个角色分配系统菜单资源，支持菜单内列表的按钮权限控制。支持选择父级后所有子集自动勾选。</w:t>
            </w:r>
          </w:p>
        </w:tc>
      </w:tr>
      <w:tr w14:paraId="2BA2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01F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A6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分配用户</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5F4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为某个角色批量添加用户。</w:t>
            </w:r>
          </w:p>
        </w:tc>
      </w:tr>
      <w:tr w14:paraId="312D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8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3DB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数据权限</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F9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为某个角色设置数据范围，支持配置能够查看所有数据、本公司数据、本部门数据、本部门及以下数据、仅本人数据，支持选择部门自定义数据范围；支持全局配置和特定数据列表配置。</w:t>
            </w:r>
          </w:p>
        </w:tc>
      </w:tr>
      <w:tr w14:paraId="26BC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9E5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01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日志管理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E8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管理员可通过本模块查看用户在系统中操作的日志信息，用户的日志信息包括模块名、操作类型、用户名、姓名、IP、日期等信息。日志管理可通过日志信息分析用户行为，优化业务流程和用户体验，同时可建立规范的管理流程，提升系统的可靠性和安全性。</w:t>
            </w:r>
          </w:p>
        </w:tc>
      </w:tr>
      <w:tr w14:paraId="04A1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9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1A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数据字典管理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72C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功能负责维护和管理本系统运行所需要的数据参数的集合，支持数据字典及字典项的创建、编辑、删除等操作，可通过文件批量导入或导出数据字典。创建数据字典时，可包括项目状态、信息状态、用户职务、地区、计量单位等类型，明确字典项需要包含的信息，如字段名称、字段长度等。 计划设计十一项字典项以满足系统要求，具体如下：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项目状态字典：正常、异常、完成、开始、暂停、终止、屏蔽。</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项目大类字典：信息化、土建。</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项目类型字典：工程类、服务类、货物类、其他。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监狱系统组织架构字典：本监狱、本监狱企业、省监狱管理局、金马集团、省司法厅、司法部、其他。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批准方式字典：年度计划、专题报告、局长办公会、党委会、省监狱局、金马集团，其他。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建设性质字典：新建、维修、单纯购置、升级改造、改扩建、其他。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资金来源字典：监狱自筹、企业自筹、财政预算、专项资金、其他。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采购方式字典：公开招投标、竞争性磋商、竞争性谈判、邀请招标、询比价、单一来源、小额直采、上级统采、其他。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审计部门字典：监狱局审计处、本监狱审计部门、第三方审计公司、其他。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设计子阶段字典：项目建议书、可行性研究报告、初步设计、详细设计、深化设计。</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付款阶段字典：项目合同、设计、造价、监理、第三方检测、结算审核、项目审计、其他。</w:t>
            </w:r>
          </w:p>
        </w:tc>
      </w:tr>
      <w:tr w14:paraId="1EE3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EE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D59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库表可视化编辑</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72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库表可视化编辑主要用于数据库的管理，通过可视化的界面让用户能够方便地创建、修改和管理数据实体及其属性，在可视化页面编辑完成后，直接通过数据库sql操作数据库完成库表的设计。</w:t>
            </w:r>
          </w:p>
        </w:tc>
      </w:tr>
      <w:tr w14:paraId="25F0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990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F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内部库表管理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DC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部表管理是直接连接系统已经配置的数据源进行表、字段的创建。支持和自动配置主键，支持添加乐观锁，支持添加创建人、创建时间、创建部门、更新人、更新时间等默认字段，支持字符串、大文本、数字型、日期型字段配置，并能够自动关联到可视化表单设计中，支持默认值配置，支持后端校验配置。</w:t>
            </w:r>
          </w:p>
        </w:tc>
      </w:tr>
      <w:tr w14:paraId="3976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FB5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B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业务对象管理</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47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通过业务对象管理模块，可以方便的定义数据表之间的关联关系。支持一对多、多对多、多对一的数据关系。支持维护外键索引。支持数据库、HTTP，java bean等多种持久化方式。</w:t>
            </w:r>
          </w:p>
        </w:tc>
      </w:tr>
      <w:tr w14:paraId="0EBE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AE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D6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预留数据接口</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3D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前，监狱管理局的财务系统、资产管理系统等系统，暂无法提供数据接口与本项目建设的项目管理系统进行对接，本项目建设的项目管理系统暂时只能通过在线填报方式采集项目相关数据。但在Springboot框架下，预设了数据对接接口，待后续监狱管理局其他系统提供可对接的数据接口后，通过在服务端进行配置，可在接口对接完成后，实现与监狱管理局其他业务系统的数据交互。</w:t>
            </w:r>
          </w:p>
        </w:tc>
      </w:tr>
      <w:tr w14:paraId="279E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990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2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自定义导入导出</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D2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系统可以通过配置不同的数据列表实现对数据的导出，可以通过平台可视化SQL编辑查询多个数据库表，并针对不同数据权限的用户实现导出字段的自定义配置，形成EXCEL文件下载到用户桌面。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可以通过可视化Groovy脚本编辑的形式，针对业务对象进行自定义导入的配置。根据用户不同业务需求，用户常常不能规范标准的提供系统能自动解析的EXCEL文件，通过平台的业务对象接口配置，可以针对不同数据格式的EXCEL文件，实现不同的导入接口，并在列表页面提供导入按钮让用户导入数据。</w:t>
            </w:r>
          </w:p>
        </w:tc>
      </w:tr>
      <w:tr w14:paraId="0B0E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A5C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951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表单可视化编辑</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58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为了应对系统在运行过程中因业务要求发生变更导致需要修改填报内容，为本系统建设表单可视化编辑功能。表单可视化编辑是以拖拽字段的方式来进行快速生成表单的功能。支持 20 种常规表单控件：单行文本、多行文本、下拉框、下拉框多选、复选框、单选按钮日期控件、附件上传、数字控件、开关、评分、富文本、隐藏、日期范围控件等。支持多种高级表单控件：签名组件、行政区域组件、动态级联选择、流程引用控件、表单引用组件、自定义数据选择、自定义对话框、在线编辑文档（World，PPT，EXCEL）、签批、日期多选控件、自定义数据选择、动态下拉框、动态级联选择等。提供表单函数的计算插件、动态权限插件、联动查询插件。</w:t>
            </w:r>
          </w:p>
        </w:tc>
      </w:tr>
      <w:tr w14:paraId="46C5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04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58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流程可视化编辑</w:t>
            </w:r>
          </w:p>
        </w:tc>
        <w:tc>
          <w:tcPr>
            <w:tcW w:w="6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28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流程可视化编辑主要用于设计和管理业务流程，通过可视化的流程图让用户能够直观地定义和调整业务流程。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节点和连线操作：提供多种流程节点，如开始节点、结束节点、人工节点、自动节点、网关节点等，用户可以通过拖拽节点到画布上，并使用连线将节点连接起来，定义流程的走向。</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节点属性配置：可以对每个流程节点进行详细的属性配置，如设置节点的名称、描述、执行人员、执行条件等。</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流程事件配置：支持为流程节点添加事件，如节点进入事件、节点退出事件、节点完成事件等，实现流程的自动化操作。</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数据交互：支持在流程节点中进行数据的查询、更新、删除等操作，实现流程与数据的紧密结合。</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流程监控与分析：可以实时监控流程的执行情况，查看流程的流转日志、执行时间、执行人员等信息，方便对流程进行优化和调整。</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流程模板：支持创建和保存流程模板，方便在不同的业务场景中快速复用流程。</w:t>
            </w:r>
          </w:p>
        </w:tc>
      </w:tr>
    </w:tbl>
    <w:p w14:paraId="729B946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1"/>
          <w:szCs w:val="21"/>
        </w:rPr>
      </w:pPr>
      <w:bookmarkStart w:id="118" w:name="heading_7"/>
      <w:r>
        <w:rPr>
          <w:rFonts w:hint="eastAsia" w:ascii="宋体" w:hAnsi="宋体" w:eastAsia="宋体" w:cs="宋体"/>
          <w:b/>
          <w:sz w:val="21"/>
          <w:szCs w:val="21"/>
        </w:rPr>
        <w:t>（五）采购标的需满足的服务标准、期限、效率等要求</w:t>
      </w:r>
      <w:bookmarkEnd w:id="118"/>
    </w:p>
    <w:p w14:paraId="6F327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rPr>
      </w:pPr>
      <w:r>
        <w:rPr>
          <w:rFonts w:hint="default" w:ascii="宋体" w:hAnsi="宋体" w:eastAsia="宋体" w:cs="宋体"/>
          <w:b/>
          <w:color w:val="auto"/>
          <w:kern w:val="2"/>
          <w:sz w:val="21"/>
          <w:szCs w:val="21"/>
          <w:lang w:val="en-US" w:eastAsia="zh-CN" w:bidi="ar-SA"/>
        </w:rPr>
        <w:t>1．</w:t>
      </w:r>
      <w:r>
        <w:rPr>
          <w:rFonts w:hint="eastAsia" w:ascii="宋体" w:hAnsi="宋体" w:eastAsia="宋体" w:cs="宋体"/>
          <w:b/>
          <w:color w:val="auto"/>
          <w:sz w:val="21"/>
          <w:szCs w:val="21"/>
        </w:rPr>
        <w:t>服务标准：</w:t>
      </w:r>
    </w:p>
    <w:p w14:paraId="2DC46EB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执行</w:t>
      </w:r>
      <w:r>
        <w:rPr>
          <w:rFonts w:hint="eastAsia" w:ascii="宋体" w:hAnsi="宋体" w:eastAsia="宋体" w:cs="宋体"/>
          <w:sz w:val="21"/>
          <w:szCs w:val="21"/>
          <w:lang w:val="en-US" w:eastAsia="zh-CN"/>
        </w:rPr>
        <w:t>GB/T 8566-2022 《系统与软件工程 软件生存周期过程》</w:t>
      </w:r>
      <w:r>
        <w:rPr>
          <w:rFonts w:hint="eastAsia" w:ascii="宋体" w:hAnsi="宋体" w:eastAsia="宋体" w:cs="宋体"/>
          <w:sz w:val="21"/>
          <w:szCs w:val="21"/>
        </w:rPr>
        <w:t>、GB/T 25000.51-2016《系统与软件工程 系统与软件质量要求和评价（SQuaRE）第51部分：就绪可用软件产品（RUSP）的质量要求和测试细则》等国家及行业标准，确保软件开发流程规范、系统质量达标。</w:t>
      </w:r>
    </w:p>
    <w:p w14:paraId="5891F4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rPr>
      </w:pPr>
      <w:r>
        <w:rPr>
          <w:rFonts w:hint="default" w:ascii="宋体" w:hAnsi="宋体" w:eastAsia="宋体" w:cs="宋体"/>
          <w:b/>
          <w:color w:val="auto"/>
          <w:kern w:val="2"/>
          <w:sz w:val="21"/>
          <w:szCs w:val="21"/>
          <w:lang w:val="en-US" w:eastAsia="zh-CN" w:bidi="ar-SA"/>
        </w:rPr>
        <w:t>2．</w:t>
      </w:r>
      <w:r>
        <w:rPr>
          <w:rFonts w:hint="eastAsia" w:ascii="宋体" w:hAnsi="宋体" w:eastAsia="宋体" w:cs="宋体"/>
          <w:b/>
          <w:color w:val="auto"/>
          <w:sz w:val="21"/>
          <w:szCs w:val="21"/>
        </w:rPr>
        <w:t>服务期限：</w:t>
      </w:r>
    </w:p>
    <w:p w14:paraId="65E7B4F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（1）开发期：合同签订后90个</w:t>
      </w:r>
      <w:r>
        <w:rPr>
          <w:rFonts w:hint="eastAsia" w:ascii="宋体" w:hAnsi="宋体" w:eastAsia="宋体" w:cs="宋体"/>
          <w:sz w:val="21"/>
          <w:szCs w:val="21"/>
          <w:lang w:val="en-US" w:eastAsia="zh-CN"/>
        </w:rPr>
        <w:t>日历</w:t>
      </w:r>
      <w:r>
        <w:rPr>
          <w:rFonts w:hint="eastAsia" w:ascii="宋体" w:hAnsi="宋体" w:eastAsia="宋体" w:cs="宋体"/>
          <w:sz w:val="21"/>
          <w:szCs w:val="21"/>
        </w:rPr>
        <w:t>日内完成系统全流程开发并部署上线；</w:t>
      </w:r>
    </w:p>
    <w:p w14:paraId="2E88613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（2）维护期：</w:t>
      </w:r>
      <w:r>
        <w:rPr>
          <w:rFonts w:hint="eastAsia" w:ascii="宋体" w:hAnsi="宋体" w:eastAsia="宋体" w:cs="宋体"/>
          <w:sz w:val="21"/>
          <w:szCs w:val="21"/>
          <w:lang w:val="en-US" w:eastAsia="zh-CN"/>
        </w:rPr>
        <w:t>项目通过最终验收之日起3年，期间提供至少1人驻场服务</w:t>
      </w:r>
      <w:r>
        <w:rPr>
          <w:rFonts w:hint="eastAsia" w:ascii="宋体" w:hAnsi="宋体" w:eastAsia="宋体" w:cs="宋体"/>
          <w:sz w:val="21"/>
          <w:szCs w:val="21"/>
        </w:rPr>
        <w:t>；</w:t>
      </w:r>
    </w:p>
    <w:p w14:paraId="441809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rPr>
      </w:pPr>
      <w:r>
        <w:rPr>
          <w:rFonts w:hint="default" w:ascii="宋体" w:hAnsi="宋体" w:eastAsia="宋体" w:cs="宋体"/>
          <w:b/>
          <w:color w:val="auto"/>
          <w:kern w:val="2"/>
          <w:sz w:val="21"/>
          <w:szCs w:val="21"/>
          <w:lang w:val="en-US" w:eastAsia="zh-CN" w:bidi="ar-SA"/>
        </w:rPr>
        <w:t>3．</w:t>
      </w:r>
      <w:r>
        <w:rPr>
          <w:rFonts w:hint="eastAsia" w:ascii="宋体" w:hAnsi="宋体" w:eastAsia="宋体" w:cs="宋体"/>
          <w:b/>
          <w:color w:val="auto"/>
          <w:sz w:val="21"/>
          <w:szCs w:val="21"/>
        </w:rPr>
        <w:t>服务效率：</w:t>
      </w:r>
    </w:p>
    <w:p w14:paraId="0B41407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（1）需求响应：采购人提出的技术咨询、问题反馈，</w:t>
      </w:r>
      <w:r>
        <w:rPr>
          <w:rFonts w:hint="eastAsia" w:ascii="宋体" w:hAnsi="宋体" w:eastAsia="宋体" w:cs="宋体"/>
          <w:sz w:val="21"/>
          <w:szCs w:val="21"/>
          <w:lang w:eastAsia="zh-CN"/>
        </w:rPr>
        <w:t>供应商</w:t>
      </w:r>
      <w:r>
        <w:rPr>
          <w:rFonts w:hint="eastAsia" w:ascii="宋体" w:hAnsi="宋体" w:eastAsia="宋体" w:cs="宋体"/>
          <w:sz w:val="21"/>
          <w:szCs w:val="21"/>
        </w:rPr>
        <w:t>需10分钟内电话响应，1小时内提供解决方案思路；</w:t>
      </w:r>
    </w:p>
    <w:p w14:paraId="7B2B16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（2）问题修复：系统运行中出现的一般故障，</w:t>
      </w:r>
      <w:r>
        <w:rPr>
          <w:rFonts w:hint="eastAsia" w:ascii="宋体" w:hAnsi="宋体" w:eastAsia="宋体" w:cs="宋体"/>
          <w:sz w:val="21"/>
          <w:szCs w:val="21"/>
          <w:lang w:eastAsia="zh-CN"/>
        </w:rPr>
        <w:t>供应商</w:t>
      </w:r>
      <w:r>
        <w:rPr>
          <w:rFonts w:hint="eastAsia" w:ascii="宋体" w:hAnsi="宋体" w:eastAsia="宋体" w:cs="宋体"/>
          <w:sz w:val="21"/>
          <w:szCs w:val="21"/>
        </w:rPr>
        <w:t>需2小时内修复；重大故障需24小时内解决；</w:t>
      </w:r>
    </w:p>
    <w:p w14:paraId="1F6B802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（3）培训服务：根据采购人需求，在</w:t>
      </w:r>
      <w:r>
        <w:rPr>
          <w:rFonts w:hint="eastAsia" w:ascii="宋体" w:hAnsi="宋体" w:eastAsia="宋体" w:cs="宋体"/>
          <w:sz w:val="21"/>
          <w:szCs w:val="21"/>
          <w:lang w:val="en-US" w:eastAsia="zh-CN"/>
        </w:rPr>
        <w:t>系统上线后</w:t>
      </w:r>
      <w:r>
        <w:rPr>
          <w:rFonts w:hint="eastAsia" w:ascii="宋体" w:hAnsi="宋体" w:eastAsia="宋体" w:cs="宋体"/>
          <w:sz w:val="21"/>
          <w:szCs w:val="21"/>
        </w:rPr>
        <w:t>5个工作日内安排培训课程，确保用户掌握系统操作与维护技能。</w:t>
      </w:r>
    </w:p>
    <w:p w14:paraId="200ECC7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1"/>
          <w:szCs w:val="21"/>
        </w:rPr>
      </w:pPr>
      <w:bookmarkStart w:id="119" w:name="heading_8"/>
      <w:r>
        <w:rPr>
          <w:rFonts w:hint="eastAsia" w:ascii="宋体" w:hAnsi="宋体" w:eastAsia="宋体" w:cs="宋体"/>
          <w:b/>
          <w:sz w:val="21"/>
          <w:szCs w:val="21"/>
        </w:rPr>
        <w:t>（六）</w:t>
      </w:r>
      <w:bookmarkEnd w:id="119"/>
      <w:bookmarkStart w:id="120" w:name="heading_9"/>
      <w:r>
        <w:rPr>
          <w:rFonts w:hint="eastAsia" w:ascii="宋体" w:hAnsi="宋体" w:eastAsia="宋体" w:cs="宋体"/>
          <w:b/>
          <w:sz w:val="21"/>
          <w:szCs w:val="21"/>
        </w:rPr>
        <w:t>采购标的的其他技术、服务等要求</w:t>
      </w:r>
      <w:bookmarkEnd w:id="120"/>
    </w:p>
    <w:p w14:paraId="743EA5C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人员要求</w:t>
      </w:r>
    </w:p>
    <w:p w14:paraId="5D5440B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供应商需组建不少于</w:t>
      </w:r>
      <w:r>
        <w:rPr>
          <w:rFonts w:hint="eastAsia" w:ascii="宋体" w:hAnsi="宋体" w:eastAsia="宋体" w:cs="宋体"/>
          <w:sz w:val="21"/>
          <w:szCs w:val="21"/>
          <w:lang w:val="en-US" w:eastAsia="zh-CN"/>
        </w:rPr>
        <w:t>三人的</w:t>
      </w:r>
      <w:r>
        <w:rPr>
          <w:rFonts w:hint="eastAsia" w:ascii="宋体" w:hAnsi="宋体" w:eastAsia="宋体" w:cs="宋体"/>
          <w:sz w:val="21"/>
          <w:szCs w:val="21"/>
        </w:rPr>
        <w:t>实施团队负责本项目，团队成员</w:t>
      </w:r>
      <w:r>
        <w:rPr>
          <w:rFonts w:hint="eastAsia" w:ascii="宋体" w:hAnsi="宋体" w:eastAsia="宋体" w:cs="宋体"/>
          <w:sz w:val="21"/>
          <w:szCs w:val="21"/>
          <w:lang w:val="en-US" w:eastAsia="zh-CN"/>
        </w:rPr>
        <w:t>具备相关计算机专业相关学历，并提供社保证明材料。</w:t>
      </w:r>
    </w:p>
    <w:p w14:paraId="2E39477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保密要求</w:t>
      </w:r>
    </w:p>
    <w:p w14:paraId="7B25776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任何一方均对本合同签订及履行过程中所获知的云南省监狱管理局项目资料、业务数据、软件开发方案、系统源码、技术文档等保密信息负有保密责任，除非法律另有规定或合同另有约定，未经对方许可，不得向任何无关第三方泄露、提供或用于与本合同履行无关的目的。</w:t>
      </w:r>
    </w:p>
    <w:p w14:paraId="5B21D52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供应商须与采购人签订保密协议，要求其团队成员遵守保密义务；合同保密条款具有独立性，不因合同无效、终止或解除等情形而终止，保密期限为终身。</w:t>
      </w:r>
    </w:p>
    <w:p w14:paraId="4D5F0C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培训要求</w:t>
      </w:r>
    </w:p>
    <w:p w14:paraId="7CECE01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需提供至少2次现场培训，包括面向普通用户的系统操作培训、面向管理员的系统维护与权限管理培训，同时提供电子培训课件，确保采购人相关人员能独立操作系统、处理常见问题。</w:t>
      </w:r>
    </w:p>
    <w:p w14:paraId="5AAA85D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售后维护要求</w:t>
      </w:r>
    </w:p>
    <w:p w14:paraId="77100BE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免费维护期内，</w:t>
      </w:r>
      <w:r>
        <w:rPr>
          <w:rFonts w:hint="eastAsia" w:ascii="宋体" w:hAnsi="宋体" w:eastAsia="宋体" w:cs="宋体"/>
          <w:sz w:val="21"/>
          <w:szCs w:val="21"/>
          <w:lang w:eastAsia="zh-CN"/>
        </w:rPr>
        <w:t>供应商</w:t>
      </w:r>
      <w:r>
        <w:rPr>
          <w:rFonts w:hint="eastAsia" w:ascii="宋体" w:hAnsi="宋体" w:eastAsia="宋体" w:cs="宋体"/>
          <w:sz w:val="21"/>
          <w:szCs w:val="21"/>
        </w:rPr>
        <w:t>需定期对系统进行巡检（每季度1次），及时发现并修复潜在问题；维护期结束后，可根据采购人需求提供有偿维保服务，维保方案及报价需另行协商。</w:t>
      </w:r>
    </w:p>
    <w:p w14:paraId="3AA01F4A">
      <w:pPr>
        <w:pStyle w:val="4"/>
        <w:rPr>
          <w:rFonts w:ascii="宋体" w:hAnsi="宋体"/>
          <w:color w:val="auto"/>
        </w:rPr>
      </w:pPr>
      <w:r>
        <w:rPr>
          <w:rFonts w:hint="eastAsia" w:ascii="宋体" w:hAnsi="宋体" w:cs="宋体"/>
          <w:sz w:val="21"/>
          <w:szCs w:val="21"/>
          <w:highlight w:val="none"/>
          <w:lang w:val="en-US" w:eastAsia="zh-CN"/>
        </w:rPr>
        <w:br w:type="page"/>
      </w:r>
      <w:r>
        <w:rPr>
          <w:rFonts w:hint="eastAsia" w:ascii="宋体" w:hAnsi="宋体"/>
          <w:color w:val="auto"/>
        </w:rPr>
        <w:t>第六章 资格审查</w:t>
      </w:r>
      <w:bookmarkEnd w:id="111"/>
      <w:bookmarkEnd w:id="112"/>
    </w:p>
    <w:p w14:paraId="634FC20B">
      <w:pPr>
        <w:pStyle w:val="5"/>
        <w:jc w:val="center"/>
        <w:rPr>
          <w:rFonts w:ascii="宋体" w:cs="宋体"/>
          <w:bCs/>
          <w:caps/>
          <w:color w:val="auto"/>
          <w:spacing w:val="0"/>
          <w:sz w:val="28"/>
          <w:szCs w:val="32"/>
        </w:rPr>
      </w:pPr>
      <w:bookmarkStart w:id="121" w:name="_Toc30026"/>
      <w:bookmarkStart w:id="122" w:name="_Toc30657"/>
      <w:r>
        <w:rPr>
          <w:rFonts w:hint="eastAsia" w:ascii="宋体" w:hAnsi="宋体" w:cs="宋体"/>
          <w:bCs/>
          <w:caps/>
          <w:color w:val="auto"/>
          <w:spacing w:val="0"/>
          <w:sz w:val="28"/>
          <w:szCs w:val="32"/>
        </w:rPr>
        <w:t>投标人资格要求前附表</w:t>
      </w:r>
      <w:bookmarkEnd w:id="121"/>
      <w:bookmarkEnd w:id="122"/>
    </w:p>
    <w:tbl>
      <w:tblPr>
        <w:tblStyle w:val="41"/>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6799"/>
      </w:tblGrid>
      <w:tr w14:paraId="0BDC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675C55D7">
            <w:pPr>
              <w:spacing w:before="100" w:beforeAutospacing="1" w:after="100" w:afterAutospacing="1" w:line="360" w:lineRule="auto"/>
              <w:jc w:val="center"/>
              <w:rPr>
                <w:rFonts w:ascii="宋体" w:cs="宋体"/>
                <w:b/>
                <w:color w:val="auto"/>
                <w:szCs w:val="21"/>
              </w:rPr>
            </w:pPr>
            <w:r>
              <w:rPr>
                <w:rFonts w:hint="eastAsia" w:ascii="宋体" w:hAnsi="宋体" w:cs="宋体"/>
                <w:b/>
                <w:color w:val="auto"/>
                <w:szCs w:val="21"/>
              </w:rPr>
              <w:t>资</w:t>
            </w:r>
            <w:r>
              <w:rPr>
                <w:rFonts w:ascii="宋体" w:hAnsi="宋体" w:cs="宋体"/>
                <w:b/>
                <w:color w:val="auto"/>
                <w:szCs w:val="21"/>
              </w:rPr>
              <w:t xml:space="preserve"> </w:t>
            </w:r>
            <w:r>
              <w:rPr>
                <w:rFonts w:hint="eastAsia" w:ascii="宋体" w:hAnsi="宋体" w:cs="宋体"/>
                <w:b/>
                <w:color w:val="auto"/>
                <w:szCs w:val="21"/>
              </w:rPr>
              <w:t>格</w:t>
            </w:r>
            <w:r>
              <w:rPr>
                <w:rFonts w:ascii="宋体" w:hAnsi="宋体" w:cs="宋体"/>
                <w:b/>
                <w:color w:val="auto"/>
                <w:szCs w:val="21"/>
              </w:rPr>
              <w:t xml:space="preserve"> </w:t>
            </w:r>
            <w:r>
              <w:rPr>
                <w:rFonts w:hint="eastAsia" w:ascii="宋体" w:hAnsi="宋体" w:cs="宋体"/>
                <w:b/>
                <w:color w:val="auto"/>
                <w:szCs w:val="21"/>
              </w:rPr>
              <w:t>要</w:t>
            </w:r>
            <w:r>
              <w:rPr>
                <w:rFonts w:ascii="宋体" w:hAnsi="宋体" w:cs="宋体"/>
                <w:b/>
                <w:color w:val="auto"/>
                <w:szCs w:val="21"/>
              </w:rPr>
              <w:t xml:space="preserve"> </w:t>
            </w:r>
            <w:r>
              <w:rPr>
                <w:rFonts w:hint="eastAsia" w:ascii="宋体" w:hAnsi="宋体" w:cs="宋体"/>
                <w:b/>
                <w:color w:val="auto"/>
                <w:szCs w:val="21"/>
              </w:rPr>
              <w:t>求</w:t>
            </w:r>
          </w:p>
        </w:tc>
        <w:tc>
          <w:tcPr>
            <w:tcW w:w="6799" w:type="dxa"/>
            <w:vAlign w:val="center"/>
          </w:tcPr>
          <w:p w14:paraId="07FE5E6C">
            <w:pPr>
              <w:spacing w:before="100" w:beforeAutospacing="1" w:after="100" w:afterAutospacing="1" w:line="360" w:lineRule="auto"/>
              <w:jc w:val="center"/>
              <w:rPr>
                <w:rFonts w:ascii="宋体" w:cs="宋体"/>
                <w:b/>
                <w:color w:val="auto"/>
                <w:szCs w:val="21"/>
              </w:rPr>
            </w:pPr>
            <w:r>
              <w:rPr>
                <w:rFonts w:hint="eastAsia" w:ascii="宋体" w:hAnsi="宋体" w:cs="宋体"/>
                <w:b/>
                <w:color w:val="auto"/>
                <w:szCs w:val="21"/>
              </w:rPr>
              <w:t>审</w:t>
            </w:r>
            <w:r>
              <w:rPr>
                <w:rFonts w:ascii="宋体" w:hAnsi="宋体" w:cs="宋体"/>
                <w:b/>
                <w:color w:val="auto"/>
                <w:szCs w:val="21"/>
              </w:rPr>
              <w:t xml:space="preserve"> </w:t>
            </w:r>
            <w:r>
              <w:rPr>
                <w:rFonts w:hint="eastAsia" w:ascii="宋体" w:hAnsi="宋体" w:cs="宋体"/>
                <w:b/>
                <w:color w:val="auto"/>
                <w:szCs w:val="21"/>
              </w:rPr>
              <w:t>查</w:t>
            </w:r>
            <w:r>
              <w:rPr>
                <w:rFonts w:ascii="宋体" w:hAnsi="宋体" w:cs="宋体"/>
                <w:b/>
                <w:color w:val="auto"/>
                <w:szCs w:val="21"/>
              </w:rPr>
              <w:t xml:space="preserve"> </w:t>
            </w:r>
            <w:r>
              <w:rPr>
                <w:rFonts w:hint="eastAsia" w:ascii="宋体" w:hAnsi="宋体" w:cs="宋体"/>
                <w:b/>
                <w:color w:val="auto"/>
                <w:szCs w:val="21"/>
              </w:rPr>
              <w:t>标</w:t>
            </w:r>
            <w:r>
              <w:rPr>
                <w:rFonts w:ascii="宋体" w:hAnsi="宋体" w:cs="宋体"/>
                <w:b/>
                <w:color w:val="auto"/>
                <w:szCs w:val="21"/>
              </w:rPr>
              <w:t xml:space="preserve"> </w:t>
            </w:r>
            <w:r>
              <w:rPr>
                <w:rFonts w:hint="eastAsia" w:ascii="宋体" w:hAnsi="宋体" w:cs="宋体"/>
                <w:b/>
                <w:color w:val="auto"/>
                <w:szCs w:val="21"/>
              </w:rPr>
              <w:t>准</w:t>
            </w:r>
          </w:p>
        </w:tc>
      </w:tr>
      <w:tr w14:paraId="6B9C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5C74C19E">
            <w:pPr>
              <w:spacing w:line="360" w:lineRule="auto"/>
              <w:jc w:val="center"/>
              <w:rPr>
                <w:rFonts w:ascii="宋体" w:cs="宋体"/>
                <w:color w:val="auto"/>
                <w:szCs w:val="21"/>
              </w:rPr>
            </w:pPr>
            <w:r>
              <w:rPr>
                <w:rFonts w:hint="eastAsia" w:ascii="宋体" w:cs="宋体"/>
                <w:color w:val="auto"/>
                <w:szCs w:val="21"/>
              </w:rPr>
              <w:t>投标人须具有独立承担民事责任的能力</w:t>
            </w:r>
          </w:p>
        </w:tc>
        <w:tc>
          <w:tcPr>
            <w:tcW w:w="6799" w:type="dxa"/>
            <w:vAlign w:val="center"/>
          </w:tcPr>
          <w:p w14:paraId="7AC6CDDD">
            <w:pPr>
              <w:spacing w:line="360" w:lineRule="auto"/>
              <w:jc w:val="left"/>
              <w:rPr>
                <w:rFonts w:ascii="宋体" w:cs="宋体"/>
                <w:color w:val="auto"/>
                <w:szCs w:val="21"/>
              </w:rPr>
            </w:pPr>
            <w:r>
              <w:rPr>
                <w:rFonts w:hint="eastAsia" w:ascii="宋体" w:hAnsi="宋体" w:cs="宋体"/>
                <w:color w:val="auto"/>
                <w:kern w:val="0"/>
                <w:szCs w:val="21"/>
              </w:rPr>
              <w:t>投标人须在中华人民共和国境内注册，提供市场监督管理部门核发的有效的三证合一营业执照或其他组织形式的相关主体资格证明材料（扫描件加盖投标人电子公章）；</w:t>
            </w:r>
          </w:p>
        </w:tc>
      </w:tr>
      <w:tr w14:paraId="12CF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blHeader/>
          <w:jc w:val="center"/>
        </w:trPr>
        <w:tc>
          <w:tcPr>
            <w:tcW w:w="1766" w:type="dxa"/>
            <w:vAlign w:val="center"/>
          </w:tcPr>
          <w:p w14:paraId="66E21A20">
            <w:pPr>
              <w:spacing w:line="360" w:lineRule="auto"/>
              <w:jc w:val="center"/>
              <w:rPr>
                <w:rFonts w:ascii="宋体" w:cs="宋体"/>
                <w:color w:val="auto"/>
                <w:szCs w:val="21"/>
              </w:rPr>
            </w:pPr>
            <w:r>
              <w:rPr>
                <w:rFonts w:hint="eastAsia" w:ascii="宋体" w:hAnsi="宋体" w:cs="宋体"/>
                <w:color w:val="auto"/>
                <w:szCs w:val="21"/>
              </w:rPr>
              <w:t>投标人须具有良好的商业信誉和健全的财务会计制度</w:t>
            </w:r>
          </w:p>
        </w:tc>
        <w:tc>
          <w:tcPr>
            <w:tcW w:w="6799" w:type="dxa"/>
            <w:vAlign w:val="center"/>
          </w:tcPr>
          <w:p w14:paraId="31C0F5B4">
            <w:pPr>
              <w:wordWrap w:val="0"/>
              <w:spacing w:line="360" w:lineRule="auto"/>
              <w:jc w:val="left"/>
              <w:rPr>
                <w:rFonts w:ascii="宋体" w:cs="宋体"/>
                <w:color w:val="auto"/>
                <w:szCs w:val="21"/>
              </w:rPr>
            </w:pPr>
            <w:r>
              <w:rPr>
                <w:rFonts w:hint="eastAsia" w:ascii="宋体" w:cs="宋体"/>
                <w:color w:val="auto"/>
                <w:szCs w:val="21"/>
              </w:rPr>
              <w:t>提供投标人2024年度经第三方审计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p>
        </w:tc>
      </w:tr>
      <w:tr w14:paraId="64FC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01F60C15">
            <w:pPr>
              <w:spacing w:line="360" w:lineRule="auto"/>
              <w:jc w:val="center"/>
              <w:rPr>
                <w:rFonts w:ascii="宋体" w:cs="宋体"/>
                <w:color w:val="auto"/>
                <w:szCs w:val="21"/>
              </w:rPr>
            </w:pPr>
            <w:r>
              <w:rPr>
                <w:rFonts w:hint="eastAsia" w:ascii="宋体" w:hAnsi="宋体" w:cs="宋体"/>
                <w:color w:val="auto"/>
                <w:kern w:val="0"/>
                <w:szCs w:val="21"/>
              </w:rPr>
              <w:t>具有履行合同所必需的设备和专业技术能力</w:t>
            </w:r>
          </w:p>
        </w:tc>
        <w:tc>
          <w:tcPr>
            <w:tcW w:w="6799" w:type="dxa"/>
            <w:vAlign w:val="center"/>
          </w:tcPr>
          <w:p w14:paraId="048039C6">
            <w:pPr>
              <w:wordWrap w:val="0"/>
              <w:spacing w:line="360" w:lineRule="auto"/>
              <w:jc w:val="left"/>
              <w:rPr>
                <w:rFonts w:ascii="宋体" w:cs="宋体"/>
                <w:color w:val="auto"/>
                <w:szCs w:val="21"/>
              </w:rPr>
            </w:pPr>
            <w:r>
              <w:rPr>
                <w:rFonts w:hint="eastAsia" w:ascii="宋体" w:cs="宋体"/>
                <w:color w:val="auto"/>
                <w:szCs w:val="21"/>
              </w:rPr>
              <w:t>提供投标人具有履行合同所必需的设备和专业技术能力证明材料（扫描件加盖投标人电子公章）或书面声明（加盖投标人电子公章）</w:t>
            </w:r>
          </w:p>
        </w:tc>
      </w:tr>
      <w:tr w14:paraId="7977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restart"/>
            <w:vAlign w:val="center"/>
          </w:tcPr>
          <w:p w14:paraId="0C90FE56">
            <w:pPr>
              <w:spacing w:line="360" w:lineRule="auto"/>
              <w:jc w:val="center"/>
              <w:rPr>
                <w:rFonts w:ascii="宋体" w:cs="宋体"/>
                <w:color w:val="auto"/>
                <w:szCs w:val="21"/>
              </w:rPr>
            </w:pPr>
            <w:r>
              <w:rPr>
                <w:rFonts w:hint="eastAsia" w:ascii="宋体" w:hAnsi="宋体" w:cs="宋体"/>
                <w:color w:val="auto"/>
                <w:kern w:val="0"/>
                <w:szCs w:val="21"/>
              </w:rPr>
              <w:t>投标人须具有依法缴纳税收和社会保障资金的良好记录</w:t>
            </w:r>
          </w:p>
        </w:tc>
        <w:tc>
          <w:tcPr>
            <w:tcW w:w="6799" w:type="dxa"/>
            <w:vAlign w:val="center"/>
          </w:tcPr>
          <w:p w14:paraId="29BFA1B9">
            <w:pPr>
              <w:wordWrap w:val="0"/>
              <w:spacing w:line="360" w:lineRule="auto"/>
              <w:jc w:val="left"/>
              <w:rPr>
                <w:rFonts w:ascii="宋体" w:cs="宋体"/>
                <w:color w:val="auto"/>
                <w:szCs w:val="21"/>
              </w:rPr>
            </w:pPr>
            <w:r>
              <w:rPr>
                <w:rFonts w:hint="eastAsia" w:ascii="宋体" w:cs="宋体"/>
                <w:color w:val="auto"/>
                <w:szCs w:val="21"/>
              </w:rPr>
              <w:t>提供投标人缴税所属时间在2024年01月至本项目提交投标文件截止时间前任意3个月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tc>
      </w:tr>
      <w:tr w14:paraId="46EA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212F0B23">
            <w:pPr>
              <w:spacing w:line="360" w:lineRule="auto"/>
              <w:jc w:val="center"/>
              <w:rPr>
                <w:rFonts w:ascii="宋体" w:cs="宋体"/>
                <w:color w:val="auto"/>
                <w:szCs w:val="21"/>
              </w:rPr>
            </w:pPr>
          </w:p>
        </w:tc>
        <w:tc>
          <w:tcPr>
            <w:tcW w:w="6799" w:type="dxa"/>
            <w:vAlign w:val="center"/>
          </w:tcPr>
          <w:p w14:paraId="4E23F7B8">
            <w:pPr>
              <w:wordWrap w:val="0"/>
              <w:spacing w:line="360" w:lineRule="auto"/>
              <w:jc w:val="left"/>
              <w:rPr>
                <w:rFonts w:ascii="宋体" w:cs="宋体"/>
                <w:color w:val="auto"/>
                <w:szCs w:val="21"/>
              </w:rPr>
            </w:pPr>
            <w:r>
              <w:rPr>
                <w:rFonts w:hint="eastAsia" w:ascii="宋体" w:cs="宋体"/>
                <w:color w:val="auto"/>
                <w:szCs w:val="21"/>
              </w:rPr>
              <w:t>提供投标人缴费所属时间在2024年01月至本项目提交投标文件截止时间前任意3个月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tc>
      </w:tr>
      <w:tr w14:paraId="0B2D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45E79E51">
            <w:pPr>
              <w:spacing w:line="360" w:lineRule="auto"/>
              <w:jc w:val="center"/>
              <w:rPr>
                <w:rFonts w:ascii="宋体" w:cs="宋体"/>
                <w:color w:val="auto"/>
                <w:szCs w:val="21"/>
              </w:rPr>
            </w:pPr>
            <w:r>
              <w:rPr>
                <w:rFonts w:hint="eastAsia" w:ascii="宋体" w:hAnsi="宋体" w:cs="宋体"/>
                <w:color w:val="auto"/>
                <w:kern w:val="0"/>
                <w:szCs w:val="21"/>
              </w:rPr>
              <w:t>参加政府采购活动前三年内，在经营活动中没有重大违法记录</w:t>
            </w:r>
          </w:p>
        </w:tc>
        <w:tc>
          <w:tcPr>
            <w:tcW w:w="6799" w:type="dxa"/>
            <w:vAlign w:val="center"/>
          </w:tcPr>
          <w:p w14:paraId="01FA69A3">
            <w:pPr>
              <w:wordWrap w:val="0"/>
              <w:spacing w:line="360" w:lineRule="auto"/>
              <w:jc w:val="left"/>
              <w:rPr>
                <w:rFonts w:ascii="宋体" w:cs="宋体"/>
                <w:color w:val="auto"/>
                <w:szCs w:val="21"/>
              </w:rPr>
            </w:pPr>
            <w:r>
              <w:rPr>
                <w:rFonts w:hint="eastAsia" w:ascii="宋体" w:cs="宋体"/>
                <w:color w:val="auto"/>
                <w:szCs w:val="21"/>
              </w:rPr>
              <w:t>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p>
        </w:tc>
      </w:tr>
      <w:tr w14:paraId="1B5F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restart"/>
            <w:vAlign w:val="center"/>
          </w:tcPr>
          <w:p w14:paraId="6708686C">
            <w:pPr>
              <w:spacing w:line="360" w:lineRule="auto"/>
              <w:jc w:val="center"/>
              <w:rPr>
                <w:rFonts w:ascii="宋体" w:cs="宋体"/>
                <w:color w:val="auto"/>
                <w:szCs w:val="21"/>
              </w:rPr>
            </w:pPr>
            <w:r>
              <w:rPr>
                <w:rFonts w:hint="eastAsia" w:ascii="宋体" w:hAnsi="宋体" w:cs="宋体"/>
                <w:color w:val="auto"/>
                <w:szCs w:val="21"/>
              </w:rPr>
              <w:t>法律、行政法规规定的其他条件</w:t>
            </w:r>
          </w:p>
        </w:tc>
        <w:tc>
          <w:tcPr>
            <w:tcW w:w="6799" w:type="dxa"/>
            <w:vAlign w:val="center"/>
          </w:tcPr>
          <w:p w14:paraId="71F366C4">
            <w:pPr>
              <w:wordWrap w:val="0"/>
              <w:spacing w:line="360" w:lineRule="auto"/>
              <w:jc w:val="left"/>
              <w:rPr>
                <w:rFonts w:ascii="宋体" w:cs="宋体"/>
                <w:color w:val="auto"/>
                <w:szCs w:val="21"/>
              </w:rPr>
            </w:pPr>
            <w:r>
              <w:rPr>
                <w:rFonts w:hint="eastAsia" w:ascii="宋体" w:cs="宋体"/>
                <w:color w:val="auto"/>
                <w:szCs w:val="21"/>
              </w:rPr>
              <w:t>投标人在本项目投标文件提交截止时间前在“信用中国”网站（www.creditchina.gov.cn）“</w:t>
            </w:r>
            <w:r>
              <w:rPr>
                <w:rFonts w:hint="eastAsia" w:ascii="宋体" w:cs="宋体"/>
                <w:color w:val="auto"/>
                <w:szCs w:val="21"/>
                <w:lang w:eastAsia="zh-CN"/>
              </w:rPr>
              <w:t>专项查询</w:t>
            </w:r>
            <w:r>
              <w:rPr>
                <w:rFonts w:hint="eastAsia" w:ascii="宋体" w:cs="宋体"/>
                <w:color w:val="auto"/>
                <w:szCs w:val="21"/>
              </w:rPr>
              <w:t>”查询栏中查询结果应未被列入失信被执行人（按网站要求链接到中国执行信息网（http://zxgk.court.gov.cn/shixin/）查询）、重大税收违法失信主体、政府采购严重违法失信行为记录名单（查询时间为本公告发布之日起至提交投标文件截止之日止，查询结果以采购人、采购代理机构查询结果为准，并将查询记录和证据留存）</w:t>
            </w:r>
          </w:p>
        </w:tc>
      </w:tr>
      <w:tr w14:paraId="372A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345CBAD5">
            <w:pPr>
              <w:spacing w:line="360" w:lineRule="auto"/>
              <w:jc w:val="center"/>
              <w:rPr>
                <w:rFonts w:ascii="宋体" w:cs="宋体"/>
                <w:color w:val="auto"/>
                <w:szCs w:val="21"/>
              </w:rPr>
            </w:pPr>
          </w:p>
        </w:tc>
        <w:tc>
          <w:tcPr>
            <w:tcW w:w="6799" w:type="dxa"/>
            <w:vAlign w:val="center"/>
          </w:tcPr>
          <w:p w14:paraId="54D587E4">
            <w:pPr>
              <w:wordWrap w:val="0"/>
              <w:spacing w:line="360" w:lineRule="auto"/>
              <w:jc w:val="left"/>
              <w:rPr>
                <w:rFonts w:ascii="宋体" w:cs="宋体"/>
                <w:color w:val="auto"/>
                <w:szCs w:val="21"/>
              </w:rPr>
            </w:pPr>
            <w:r>
              <w:rPr>
                <w:rFonts w:hint="eastAsia" w:ascii="宋体" w:cs="宋体"/>
                <w:color w:val="auto"/>
                <w:szCs w:val="21"/>
              </w:rPr>
              <w:t>投标人在本项目投标文件提交截止时间前在“中国政府采购网”（www.ccgp.gov.cn）未被列入政府采购严重违法失信行为记录名单（查询时间为本公告发布之日起至提交投标文件截止之日止，查询结果以采购人、采购代理机构查询结果为准，并将查询记录和证据留存）</w:t>
            </w:r>
          </w:p>
        </w:tc>
      </w:tr>
      <w:tr w14:paraId="16F2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304EA0F1">
            <w:pPr>
              <w:spacing w:line="360" w:lineRule="auto"/>
              <w:jc w:val="center"/>
              <w:rPr>
                <w:rFonts w:ascii="宋体" w:cs="宋体"/>
                <w:color w:val="auto"/>
                <w:szCs w:val="21"/>
              </w:rPr>
            </w:pPr>
          </w:p>
        </w:tc>
        <w:tc>
          <w:tcPr>
            <w:tcW w:w="6799" w:type="dxa"/>
            <w:vAlign w:val="center"/>
          </w:tcPr>
          <w:p w14:paraId="661684A2">
            <w:pPr>
              <w:wordWrap w:val="0"/>
              <w:spacing w:line="360" w:lineRule="auto"/>
              <w:jc w:val="left"/>
              <w:rPr>
                <w:rFonts w:ascii="宋体" w:cs="宋体"/>
                <w:color w:val="auto"/>
                <w:szCs w:val="21"/>
              </w:rPr>
            </w:pPr>
            <w:r>
              <w:rPr>
                <w:rFonts w:hint="eastAsia" w:ascii="宋体" w:cs="宋体"/>
                <w:color w:val="auto"/>
                <w:szCs w:val="21"/>
              </w:rPr>
              <w:t>单位负责人为同一人或者存在直接控股、管理关系</w:t>
            </w:r>
            <w:r>
              <w:rPr>
                <w:rFonts w:hint="eastAsia" w:ascii="宋体" w:cs="宋体"/>
                <w:color w:val="auto"/>
                <w:szCs w:val="21"/>
                <w:lang w:eastAsia="zh-CN"/>
              </w:rPr>
              <w:t>的不同</w:t>
            </w:r>
            <w:r>
              <w:rPr>
                <w:rFonts w:hint="eastAsia" w:ascii="宋体" w:cs="宋体"/>
                <w:color w:val="auto"/>
                <w:szCs w:val="21"/>
              </w:rPr>
              <w:t>投标人，不得同时参与本项目的采购活动。为采购项目提供整体设计、规范编制和项目管理、监理、检测等服务的投标人，不得参与本项目采购活动（提供承诺函加盖投标人电子公章）</w:t>
            </w:r>
          </w:p>
        </w:tc>
      </w:tr>
      <w:tr w14:paraId="5BE4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blHeader/>
          <w:jc w:val="center"/>
        </w:trPr>
        <w:tc>
          <w:tcPr>
            <w:tcW w:w="1766" w:type="dxa"/>
            <w:vAlign w:val="center"/>
          </w:tcPr>
          <w:p w14:paraId="0B97B220">
            <w:pPr>
              <w:spacing w:line="360" w:lineRule="auto"/>
              <w:jc w:val="center"/>
              <w:rPr>
                <w:rFonts w:ascii="宋体" w:cs="宋体"/>
                <w:color w:val="auto"/>
                <w:szCs w:val="21"/>
              </w:rPr>
            </w:pPr>
            <w:r>
              <w:rPr>
                <w:rFonts w:hint="eastAsia" w:ascii="宋体" w:cs="宋体"/>
                <w:color w:val="auto"/>
                <w:szCs w:val="21"/>
              </w:rPr>
              <w:t>落实政府采购政策需满足的资格要求</w:t>
            </w:r>
          </w:p>
        </w:tc>
        <w:tc>
          <w:tcPr>
            <w:tcW w:w="6799" w:type="dxa"/>
            <w:vAlign w:val="center"/>
          </w:tcPr>
          <w:p w14:paraId="17B82C74">
            <w:pPr>
              <w:wordWrap w:val="0"/>
              <w:spacing w:line="360" w:lineRule="auto"/>
              <w:jc w:val="left"/>
              <w:rPr>
                <w:rFonts w:ascii="宋体" w:cs="宋体"/>
                <w:color w:val="auto"/>
                <w:kern w:val="0"/>
                <w:szCs w:val="21"/>
              </w:rPr>
            </w:pPr>
            <w:r>
              <w:rPr>
                <w:rFonts w:hint="eastAsia" w:ascii="宋体" w:cs="宋体"/>
                <w:color w:val="auto"/>
                <w:kern w:val="0"/>
                <w:szCs w:val="21"/>
              </w:rPr>
              <w:t>无</w:t>
            </w:r>
          </w:p>
        </w:tc>
      </w:tr>
      <w:tr w14:paraId="49C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blHeader/>
          <w:jc w:val="center"/>
        </w:trPr>
        <w:tc>
          <w:tcPr>
            <w:tcW w:w="1766" w:type="dxa"/>
            <w:vAlign w:val="center"/>
          </w:tcPr>
          <w:p w14:paraId="6E10F7D6">
            <w:pPr>
              <w:spacing w:line="360" w:lineRule="auto"/>
              <w:jc w:val="center"/>
              <w:rPr>
                <w:rFonts w:ascii="宋体" w:cs="宋体"/>
                <w:color w:val="auto"/>
                <w:szCs w:val="21"/>
              </w:rPr>
            </w:pPr>
            <w:r>
              <w:rPr>
                <w:rFonts w:hint="eastAsia" w:ascii="宋体" w:hAnsi="宋体" w:cs="宋体"/>
                <w:color w:val="auto"/>
                <w:kern w:val="0"/>
                <w:szCs w:val="21"/>
              </w:rPr>
              <w:t>本项目的特定资格要求</w:t>
            </w:r>
          </w:p>
        </w:tc>
        <w:tc>
          <w:tcPr>
            <w:tcW w:w="6799" w:type="dxa"/>
            <w:vAlign w:val="center"/>
          </w:tcPr>
          <w:p w14:paraId="4E3BC723">
            <w:pPr>
              <w:wordWrap w:val="0"/>
              <w:spacing w:line="360" w:lineRule="auto"/>
              <w:jc w:val="left"/>
              <w:rPr>
                <w:rFonts w:ascii="宋体" w:cs="宋体"/>
                <w:color w:val="auto"/>
                <w:szCs w:val="21"/>
              </w:rPr>
            </w:pPr>
            <w:r>
              <w:rPr>
                <w:rFonts w:hint="eastAsia" w:ascii="宋体" w:cs="宋体"/>
                <w:color w:val="auto"/>
                <w:szCs w:val="21"/>
              </w:rPr>
              <w:t>无</w:t>
            </w:r>
          </w:p>
        </w:tc>
      </w:tr>
    </w:tbl>
    <w:p w14:paraId="217A857A">
      <w:pPr>
        <w:spacing w:line="360" w:lineRule="auto"/>
        <w:ind w:left="420" w:leftChars="200"/>
        <w:jc w:val="left"/>
        <w:rPr>
          <w:rFonts w:ascii="宋体" w:cs="宋体"/>
          <w:color w:val="auto"/>
          <w:szCs w:val="21"/>
        </w:rPr>
      </w:pPr>
      <w:r>
        <w:rPr>
          <w:rFonts w:ascii="宋体" w:hAnsi="宋体" w:cs="宋体"/>
          <w:color w:val="auto"/>
          <w:szCs w:val="21"/>
        </w:rPr>
        <w:t>1.</w:t>
      </w:r>
      <w:r>
        <w:rPr>
          <w:rFonts w:hint="eastAsia" w:ascii="宋体" w:hAnsi="宋体" w:cs="宋体"/>
          <w:color w:val="auto"/>
          <w:szCs w:val="21"/>
        </w:rPr>
        <w:t>开标结束后，采购人或者采购代理机构将依法对投标人的资格进行审查，合格投标人不足</w:t>
      </w:r>
      <w:r>
        <w:rPr>
          <w:rFonts w:ascii="宋体" w:hAnsi="宋体" w:cs="宋体"/>
          <w:color w:val="auto"/>
          <w:szCs w:val="21"/>
        </w:rPr>
        <w:t>3</w:t>
      </w:r>
      <w:r>
        <w:rPr>
          <w:rFonts w:hint="eastAsia" w:ascii="宋体" w:hAnsi="宋体" w:cs="宋体"/>
          <w:color w:val="auto"/>
          <w:szCs w:val="21"/>
        </w:rPr>
        <w:t>家的，不得评标。</w:t>
      </w:r>
    </w:p>
    <w:p w14:paraId="69807C1A">
      <w:pPr>
        <w:spacing w:line="360" w:lineRule="auto"/>
        <w:ind w:left="420" w:leftChars="200"/>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采购人或者采购代理机构按照招标文件第一章《招标公告》二、投标人资格要求（投标人应符合《中华人民共和国政府采购法》第二十二条规定的条件）和第二章《投标人须知》“</w:t>
      </w:r>
      <w:r>
        <w:rPr>
          <w:rFonts w:ascii="宋体" w:hAnsi="宋体" w:cs="宋体"/>
          <w:color w:val="auto"/>
          <w:szCs w:val="21"/>
        </w:rPr>
        <w:t>4.</w:t>
      </w:r>
      <w:r>
        <w:rPr>
          <w:rFonts w:hint="eastAsia" w:ascii="宋体" w:hAnsi="宋体" w:cs="宋体"/>
          <w:color w:val="auto"/>
          <w:szCs w:val="21"/>
        </w:rPr>
        <w:t>投标人资格要求”的规定对投标人电子投标文件中资格证明文件及采购人、采购代理机构通过互联网或者相关信息系统的查询结果进行审查。</w:t>
      </w:r>
    </w:p>
    <w:p w14:paraId="77B6135E">
      <w:pPr>
        <w:spacing w:line="360" w:lineRule="auto"/>
        <w:ind w:left="420" w:leftChars="200"/>
        <w:jc w:val="left"/>
        <w:rPr>
          <w:rFonts w:ascii="宋体" w:cs="宋体"/>
          <w:color w:val="auto"/>
          <w:szCs w:val="32"/>
        </w:rPr>
      </w:pPr>
      <w:r>
        <w:rPr>
          <w:rFonts w:ascii="宋体" w:hAnsi="宋体" w:cs="宋体"/>
          <w:color w:val="auto"/>
          <w:szCs w:val="32"/>
        </w:rPr>
        <w:t>3.</w:t>
      </w:r>
      <w:r>
        <w:rPr>
          <w:rFonts w:hint="eastAsia" w:ascii="宋体" w:hAnsi="宋体" w:cs="宋体"/>
          <w:color w:val="auto"/>
          <w:szCs w:val="32"/>
        </w:rPr>
        <w:t>如投标人为满足投标人资格要求提供虚假材料，一经查实，视为未实质性响应招标文件，投标人投标文件将按无效处理。</w:t>
      </w:r>
    </w:p>
    <w:p w14:paraId="594B0C87">
      <w:pPr>
        <w:spacing w:line="360" w:lineRule="auto"/>
        <w:ind w:left="420" w:leftChars="200"/>
        <w:jc w:val="left"/>
        <w:rPr>
          <w:rFonts w:ascii="宋体" w:hAnsi="宋体" w:cs="宋体"/>
          <w:color w:val="auto"/>
          <w:szCs w:val="32"/>
        </w:rPr>
      </w:pPr>
      <w:r>
        <w:rPr>
          <w:rFonts w:ascii="宋体" w:hAnsi="宋体" w:cs="宋体"/>
          <w:color w:val="auto"/>
          <w:szCs w:val="32"/>
        </w:rPr>
        <w:t>4.</w:t>
      </w:r>
      <w:r>
        <w:rPr>
          <w:rFonts w:hint="eastAsia" w:ascii="宋体" w:hAnsi="宋体" w:cs="宋体"/>
          <w:color w:val="auto"/>
          <w:szCs w:val="32"/>
        </w:rPr>
        <w:t>采购人或者采购代理机构在资格审查过程中发现投标人有一项不符合上述规定的，该投标文件按无效投标处理。</w:t>
      </w:r>
    </w:p>
    <w:p w14:paraId="6FF1BD99">
      <w:pPr>
        <w:spacing w:line="360" w:lineRule="auto"/>
        <w:ind w:left="420" w:leftChars="200"/>
        <w:jc w:val="left"/>
        <w:rPr>
          <w:rFonts w:ascii="宋体"/>
          <w:color w:val="auto"/>
        </w:rPr>
      </w:pPr>
      <w:r>
        <w:rPr>
          <w:rFonts w:ascii="宋体"/>
          <w:color w:val="auto"/>
        </w:rPr>
        <w:br w:type="page"/>
      </w:r>
    </w:p>
    <w:p w14:paraId="64C716B8">
      <w:pPr>
        <w:pStyle w:val="4"/>
        <w:rPr>
          <w:rFonts w:ascii="宋体"/>
          <w:color w:val="auto"/>
        </w:rPr>
      </w:pPr>
      <w:bookmarkStart w:id="123" w:name="_Toc20236"/>
      <w:bookmarkStart w:id="124" w:name="_Toc22122"/>
      <w:r>
        <w:rPr>
          <w:rFonts w:hint="eastAsia" w:ascii="宋体" w:hAnsi="宋体"/>
          <w:color w:val="auto"/>
        </w:rPr>
        <w:t>第七章</w:t>
      </w:r>
      <w:r>
        <w:rPr>
          <w:rFonts w:ascii="宋体" w:hAnsi="宋体"/>
          <w:color w:val="auto"/>
        </w:rPr>
        <w:t xml:space="preserve"> </w:t>
      </w:r>
      <w:r>
        <w:rPr>
          <w:rFonts w:hint="eastAsia" w:ascii="宋体" w:hAnsi="宋体"/>
          <w:color w:val="auto"/>
        </w:rPr>
        <w:t>评标方法（综合评分法）</w:t>
      </w:r>
      <w:bookmarkEnd w:id="123"/>
      <w:bookmarkEnd w:id="124"/>
    </w:p>
    <w:p w14:paraId="6489B5D9">
      <w:pPr>
        <w:pStyle w:val="5"/>
        <w:jc w:val="center"/>
        <w:rPr>
          <w:rFonts w:ascii="宋体"/>
          <w:color w:val="auto"/>
        </w:rPr>
      </w:pPr>
      <w:bookmarkStart w:id="125" w:name="_Toc26777"/>
      <w:bookmarkStart w:id="126" w:name="_Toc1587"/>
      <w:r>
        <w:rPr>
          <w:rFonts w:hint="eastAsia" w:ascii="宋体" w:hAnsi="宋体"/>
          <w:color w:val="auto"/>
        </w:rPr>
        <w:t>评标方法前附表</w:t>
      </w:r>
      <w:bookmarkEnd w:id="125"/>
      <w:bookmarkEnd w:id="126"/>
    </w:p>
    <w:tbl>
      <w:tblPr>
        <w:tblStyle w:val="41"/>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36"/>
        <w:gridCol w:w="2001"/>
        <w:gridCol w:w="5747"/>
      </w:tblGrid>
      <w:tr w14:paraId="30D3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646" w:type="dxa"/>
            <w:gridSpan w:val="2"/>
            <w:vAlign w:val="center"/>
          </w:tcPr>
          <w:p w14:paraId="06C20225">
            <w:pPr>
              <w:keepNext/>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001" w:type="dxa"/>
            <w:vAlign w:val="center"/>
          </w:tcPr>
          <w:p w14:paraId="227DFEA1">
            <w:pPr>
              <w:keepNext/>
              <w:spacing w:line="360" w:lineRule="auto"/>
              <w:jc w:val="center"/>
              <w:rPr>
                <w:rFonts w:ascii="宋体" w:hAnsi="宋体" w:cs="宋体"/>
                <w:b/>
                <w:color w:val="auto"/>
                <w:szCs w:val="21"/>
              </w:rPr>
            </w:pPr>
            <w:r>
              <w:rPr>
                <w:rFonts w:hint="eastAsia" w:ascii="宋体" w:hAnsi="宋体" w:cs="宋体"/>
                <w:b/>
                <w:color w:val="auto"/>
                <w:szCs w:val="21"/>
              </w:rPr>
              <w:t>评 审 内 容</w:t>
            </w:r>
          </w:p>
        </w:tc>
        <w:tc>
          <w:tcPr>
            <w:tcW w:w="5747" w:type="dxa"/>
            <w:vAlign w:val="center"/>
          </w:tcPr>
          <w:p w14:paraId="12E7B32E">
            <w:pPr>
              <w:keepNext/>
              <w:spacing w:line="360" w:lineRule="auto"/>
              <w:jc w:val="center"/>
              <w:rPr>
                <w:rFonts w:ascii="宋体" w:hAnsi="宋体" w:cs="宋体"/>
                <w:b/>
                <w:color w:val="auto"/>
                <w:szCs w:val="21"/>
              </w:rPr>
            </w:pPr>
            <w:r>
              <w:rPr>
                <w:rFonts w:hint="eastAsia" w:ascii="宋体" w:hAnsi="宋体" w:cs="宋体"/>
                <w:b/>
                <w:color w:val="auto"/>
                <w:szCs w:val="21"/>
              </w:rPr>
              <w:t>评 审 标 准</w:t>
            </w:r>
          </w:p>
        </w:tc>
      </w:tr>
      <w:tr w14:paraId="2FFB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restart"/>
            <w:vAlign w:val="center"/>
          </w:tcPr>
          <w:p w14:paraId="1433A44A">
            <w:pPr>
              <w:keepNext/>
              <w:spacing w:line="360" w:lineRule="auto"/>
              <w:jc w:val="center"/>
              <w:rPr>
                <w:rFonts w:ascii="宋体" w:hAnsi="宋体" w:cs="宋体"/>
                <w:color w:val="auto"/>
                <w:szCs w:val="21"/>
              </w:rPr>
            </w:pPr>
            <w:r>
              <w:rPr>
                <w:rFonts w:hint="eastAsia" w:ascii="宋体" w:hAnsi="宋体" w:cs="宋体"/>
                <w:color w:val="auto"/>
                <w:szCs w:val="21"/>
              </w:rPr>
              <w:t>1.2</w:t>
            </w:r>
          </w:p>
        </w:tc>
        <w:tc>
          <w:tcPr>
            <w:tcW w:w="836" w:type="dxa"/>
            <w:vMerge w:val="restart"/>
            <w:vAlign w:val="center"/>
          </w:tcPr>
          <w:p w14:paraId="27D54A56">
            <w:pPr>
              <w:keepNext/>
              <w:spacing w:line="360" w:lineRule="auto"/>
              <w:jc w:val="center"/>
              <w:rPr>
                <w:rFonts w:ascii="宋体" w:hAnsi="宋体" w:cs="宋体"/>
                <w:color w:val="auto"/>
                <w:szCs w:val="21"/>
              </w:rPr>
            </w:pPr>
            <w:r>
              <w:rPr>
                <w:rFonts w:hint="eastAsia" w:ascii="宋体" w:hAnsi="宋体" w:cs="宋体"/>
                <w:color w:val="auto"/>
                <w:szCs w:val="21"/>
              </w:rPr>
              <w:t>符合性审查</w:t>
            </w:r>
          </w:p>
        </w:tc>
        <w:tc>
          <w:tcPr>
            <w:tcW w:w="2001" w:type="dxa"/>
            <w:vAlign w:val="center"/>
          </w:tcPr>
          <w:p w14:paraId="174AD174">
            <w:pPr>
              <w:keepNext/>
              <w:spacing w:line="360" w:lineRule="auto"/>
              <w:jc w:val="center"/>
              <w:rPr>
                <w:rFonts w:ascii="宋体" w:hAnsi="宋体" w:cs="宋体"/>
                <w:color w:val="auto"/>
                <w:szCs w:val="21"/>
              </w:rPr>
            </w:pPr>
            <w:r>
              <w:rPr>
                <w:rFonts w:hint="eastAsia" w:ascii="宋体" w:hAnsi="宋体" w:cs="宋体"/>
                <w:color w:val="auto"/>
                <w:szCs w:val="21"/>
              </w:rPr>
              <w:t>投标有效期</w:t>
            </w:r>
          </w:p>
        </w:tc>
        <w:tc>
          <w:tcPr>
            <w:tcW w:w="5747" w:type="dxa"/>
            <w:vAlign w:val="center"/>
          </w:tcPr>
          <w:p w14:paraId="2EE142C0">
            <w:pPr>
              <w:keepNext/>
              <w:spacing w:line="360" w:lineRule="auto"/>
              <w:jc w:val="center"/>
              <w:rPr>
                <w:rFonts w:ascii="宋体" w:hAnsi="宋体" w:cs="宋体"/>
                <w:color w:val="auto"/>
                <w:szCs w:val="21"/>
              </w:rPr>
            </w:pPr>
            <w:r>
              <w:rPr>
                <w:rFonts w:hint="eastAsia" w:ascii="宋体" w:hAnsi="宋体" w:cs="宋体"/>
                <w:color w:val="auto"/>
                <w:szCs w:val="21"/>
              </w:rPr>
              <w:t>符合第二章《投标人须知》第17.1项规定</w:t>
            </w:r>
          </w:p>
        </w:tc>
      </w:tr>
      <w:tr w14:paraId="1EB4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19D0B88B">
            <w:pPr>
              <w:keepNext/>
              <w:spacing w:line="360" w:lineRule="auto"/>
              <w:jc w:val="center"/>
              <w:rPr>
                <w:rFonts w:ascii="宋体" w:hAnsi="宋体" w:cs="宋体"/>
                <w:color w:val="auto"/>
                <w:szCs w:val="21"/>
              </w:rPr>
            </w:pPr>
          </w:p>
        </w:tc>
        <w:tc>
          <w:tcPr>
            <w:tcW w:w="836" w:type="dxa"/>
            <w:vMerge w:val="continue"/>
            <w:vAlign w:val="center"/>
          </w:tcPr>
          <w:p w14:paraId="568DFC85">
            <w:pPr>
              <w:keepNext/>
              <w:spacing w:line="360" w:lineRule="auto"/>
              <w:jc w:val="center"/>
              <w:rPr>
                <w:rFonts w:ascii="宋体" w:hAnsi="宋体" w:cs="宋体"/>
                <w:color w:val="auto"/>
                <w:szCs w:val="21"/>
              </w:rPr>
            </w:pPr>
          </w:p>
        </w:tc>
        <w:tc>
          <w:tcPr>
            <w:tcW w:w="2001" w:type="dxa"/>
            <w:vAlign w:val="center"/>
          </w:tcPr>
          <w:p w14:paraId="70489290">
            <w:pPr>
              <w:keepNext/>
              <w:spacing w:line="360" w:lineRule="auto"/>
              <w:jc w:val="center"/>
              <w:rPr>
                <w:rFonts w:ascii="宋体" w:hAnsi="宋体" w:cs="宋体"/>
                <w:color w:val="auto"/>
                <w:szCs w:val="21"/>
              </w:rPr>
            </w:pPr>
            <w:r>
              <w:rPr>
                <w:rFonts w:hint="eastAsia" w:ascii="宋体" w:hAnsi="宋体" w:cs="宋体"/>
                <w:color w:val="auto"/>
                <w:szCs w:val="21"/>
              </w:rPr>
              <w:t>投标保证金</w:t>
            </w:r>
          </w:p>
        </w:tc>
        <w:tc>
          <w:tcPr>
            <w:tcW w:w="5747" w:type="dxa"/>
            <w:vAlign w:val="center"/>
          </w:tcPr>
          <w:p w14:paraId="322BCF64">
            <w:pPr>
              <w:keepNext/>
              <w:spacing w:line="360" w:lineRule="auto"/>
              <w:jc w:val="center"/>
              <w:rPr>
                <w:rFonts w:ascii="宋体" w:hAnsi="宋体" w:cs="宋体"/>
                <w:color w:val="auto"/>
                <w:szCs w:val="21"/>
              </w:rPr>
            </w:pPr>
            <w:r>
              <w:rPr>
                <w:rFonts w:hint="eastAsia" w:ascii="宋体" w:hAnsi="宋体" w:cs="宋体"/>
                <w:color w:val="auto"/>
                <w:szCs w:val="21"/>
              </w:rPr>
              <w:t>符合第二章《投标人须知》第18.1项规定</w:t>
            </w:r>
          </w:p>
        </w:tc>
      </w:tr>
      <w:tr w14:paraId="104A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354B88E3">
            <w:pPr>
              <w:keepNext/>
              <w:spacing w:line="360" w:lineRule="auto"/>
              <w:jc w:val="center"/>
              <w:rPr>
                <w:rFonts w:ascii="宋体" w:hAnsi="宋体" w:cs="宋体"/>
                <w:color w:val="auto"/>
                <w:szCs w:val="21"/>
              </w:rPr>
            </w:pPr>
          </w:p>
        </w:tc>
        <w:tc>
          <w:tcPr>
            <w:tcW w:w="836" w:type="dxa"/>
            <w:vMerge w:val="continue"/>
            <w:vAlign w:val="center"/>
          </w:tcPr>
          <w:p w14:paraId="5C4B5501">
            <w:pPr>
              <w:keepNext/>
              <w:spacing w:line="360" w:lineRule="auto"/>
              <w:jc w:val="center"/>
              <w:rPr>
                <w:rFonts w:ascii="宋体" w:hAnsi="宋体" w:cs="宋体"/>
                <w:color w:val="auto"/>
                <w:szCs w:val="21"/>
              </w:rPr>
            </w:pPr>
          </w:p>
        </w:tc>
        <w:tc>
          <w:tcPr>
            <w:tcW w:w="2001" w:type="dxa"/>
            <w:vAlign w:val="center"/>
          </w:tcPr>
          <w:p w14:paraId="0623752B">
            <w:pPr>
              <w:keepNext/>
              <w:spacing w:line="360" w:lineRule="auto"/>
              <w:jc w:val="center"/>
              <w:rPr>
                <w:rFonts w:ascii="宋体" w:hAnsi="宋体" w:cs="宋体"/>
                <w:color w:val="auto"/>
                <w:szCs w:val="21"/>
              </w:rPr>
            </w:pPr>
            <w:r>
              <w:rPr>
                <w:rFonts w:hint="eastAsia" w:ascii="宋体" w:hAnsi="宋体" w:cs="宋体"/>
                <w:color w:val="auto"/>
                <w:szCs w:val="21"/>
              </w:rPr>
              <w:t>投标函</w:t>
            </w:r>
          </w:p>
        </w:tc>
        <w:tc>
          <w:tcPr>
            <w:tcW w:w="5747" w:type="dxa"/>
            <w:vAlign w:val="center"/>
          </w:tcPr>
          <w:p w14:paraId="1F4B0F73">
            <w:pPr>
              <w:keepNext/>
              <w:spacing w:line="360" w:lineRule="auto"/>
              <w:jc w:val="center"/>
              <w:rPr>
                <w:rFonts w:ascii="宋体" w:hAnsi="宋体" w:cs="宋体"/>
                <w:color w:val="auto"/>
                <w:szCs w:val="21"/>
              </w:rPr>
            </w:pPr>
            <w:r>
              <w:rPr>
                <w:rFonts w:hint="eastAsia" w:ascii="宋体" w:hAnsi="宋体" w:cs="宋体"/>
                <w:color w:val="auto"/>
                <w:szCs w:val="21"/>
              </w:rPr>
              <w:t>符合第四章《投标文件格式》中规定的格式及内容，有法定代表人电子签名或电子签章，并加盖投标人电子公章。</w:t>
            </w:r>
          </w:p>
        </w:tc>
      </w:tr>
      <w:tr w14:paraId="0FAB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301F89B7">
            <w:pPr>
              <w:keepNext/>
              <w:spacing w:line="360" w:lineRule="auto"/>
              <w:jc w:val="center"/>
              <w:rPr>
                <w:rFonts w:ascii="宋体" w:hAnsi="宋体" w:cs="宋体"/>
                <w:color w:val="auto"/>
                <w:szCs w:val="21"/>
              </w:rPr>
            </w:pPr>
          </w:p>
        </w:tc>
        <w:tc>
          <w:tcPr>
            <w:tcW w:w="836" w:type="dxa"/>
            <w:vMerge w:val="continue"/>
            <w:vAlign w:val="center"/>
          </w:tcPr>
          <w:p w14:paraId="5517CC8A">
            <w:pPr>
              <w:keepNext/>
              <w:spacing w:line="360" w:lineRule="auto"/>
              <w:jc w:val="center"/>
              <w:rPr>
                <w:rFonts w:ascii="宋体" w:hAnsi="宋体" w:cs="宋体"/>
                <w:color w:val="auto"/>
                <w:szCs w:val="21"/>
              </w:rPr>
            </w:pPr>
          </w:p>
        </w:tc>
        <w:tc>
          <w:tcPr>
            <w:tcW w:w="2001" w:type="dxa"/>
            <w:vAlign w:val="center"/>
          </w:tcPr>
          <w:p w14:paraId="0224BFBF">
            <w:pPr>
              <w:keepNext/>
              <w:spacing w:line="360" w:lineRule="auto"/>
              <w:jc w:val="center"/>
              <w:rPr>
                <w:rFonts w:ascii="宋体" w:hAnsi="宋体" w:cs="宋体"/>
                <w:color w:val="auto"/>
                <w:szCs w:val="21"/>
              </w:rPr>
            </w:pPr>
            <w:r>
              <w:rPr>
                <w:rFonts w:hint="eastAsia" w:ascii="宋体" w:hAnsi="宋体" w:cs="宋体"/>
                <w:color w:val="auto"/>
                <w:szCs w:val="21"/>
              </w:rPr>
              <w:t>投标报价表</w:t>
            </w:r>
          </w:p>
        </w:tc>
        <w:tc>
          <w:tcPr>
            <w:tcW w:w="5747" w:type="dxa"/>
            <w:vAlign w:val="center"/>
          </w:tcPr>
          <w:p w14:paraId="591E9364">
            <w:pPr>
              <w:keepNext/>
              <w:spacing w:line="360" w:lineRule="auto"/>
              <w:jc w:val="center"/>
              <w:rPr>
                <w:rFonts w:ascii="宋体" w:hAnsi="宋体" w:cs="宋体"/>
                <w:b/>
                <w:bCs/>
                <w:color w:val="auto"/>
                <w:szCs w:val="21"/>
              </w:rPr>
            </w:pPr>
            <w:r>
              <w:rPr>
                <w:rFonts w:hint="eastAsia" w:ascii="宋体" w:hAnsi="宋体" w:cs="宋体"/>
                <w:color w:val="auto"/>
                <w:szCs w:val="21"/>
              </w:rPr>
              <w:t>符合第四章《投标文件格式》中规定的格式及内容，提供开标一览表，有法定代表人电子签名或电子签章，并加盖投标人电子公章。</w:t>
            </w:r>
          </w:p>
        </w:tc>
      </w:tr>
      <w:tr w14:paraId="0589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68B6B8F9">
            <w:pPr>
              <w:keepNext/>
              <w:spacing w:line="360" w:lineRule="auto"/>
              <w:jc w:val="center"/>
              <w:rPr>
                <w:rFonts w:ascii="宋体" w:hAnsi="宋体" w:cs="宋体"/>
                <w:color w:val="auto"/>
                <w:szCs w:val="21"/>
              </w:rPr>
            </w:pPr>
          </w:p>
        </w:tc>
        <w:tc>
          <w:tcPr>
            <w:tcW w:w="836" w:type="dxa"/>
            <w:vMerge w:val="continue"/>
            <w:vAlign w:val="center"/>
          </w:tcPr>
          <w:p w14:paraId="4E53D79A">
            <w:pPr>
              <w:keepNext/>
              <w:spacing w:line="360" w:lineRule="auto"/>
              <w:jc w:val="center"/>
              <w:rPr>
                <w:rFonts w:ascii="宋体" w:hAnsi="宋体" w:cs="宋体"/>
                <w:color w:val="auto"/>
                <w:szCs w:val="21"/>
              </w:rPr>
            </w:pPr>
          </w:p>
        </w:tc>
        <w:tc>
          <w:tcPr>
            <w:tcW w:w="2001" w:type="dxa"/>
            <w:vAlign w:val="center"/>
          </w:tcPr>
          <w:p w14:paraId="62857E13">
            <w:pPr>
              <w:keepNext/>
              <w:spacing w:line="360" w:lineRule="auto"/>
              <w:jc w:val="center"/>
              <w:rPr>
                <w:rFonts w:ascii="宋体" w:hAnsi="宋体" w:cs="宋体"/>
                <w:color w:val="auto"/>
                <w:szCs w:val="21"/>
              </w:rPr>
            </w:pPr>
            <w:r>
              <w:rPr>
                <w:rFonts w:hint="eastAsia" w:ascii="宋体" w:hAnsi="宋体" w:cs="宋体"/>
                <w:color w:val="auto"/>
                <w:szCs w:val="21"/>
              </w:rPr>
              <w:t>投标报价</w:t>
            </w:r>
          </w:p>
        </w:tc>
        <w:tc>
          <w:tcPr>
            <w:tcW w:w="5747" w:type="dxa"/>
            <w:vAlign w:val="center"/>
          </w:tcPr>
          <w:p w14:paraId="4255AEE1">
            <w:pPr>
              <w:keepNext/>
              <w:spacing w:line="360" w:lineRule="auto"/>
              <w:jc w:val="center"/>
              <w:rPr>
                <w:color w:val="auto"/>
              </w:rPr>
            </w:pPr>
            <w:r>
              <w:rPr>
                <w:rFonts w:hint="eastAsia" w:ascii="宋体" w:hAnsi="宋体" w:cs="宋体"/>
                <w:color w:val="auto"/>
                <w:szCs w:val="21"/>
              </w:rPr>
              <w:t>未超过采购预算或最高限价，未出现缺项、漏项，对本项目所有内容作出完整唯一的投标报价；</w:t>
            </w:r>
          </w:p>
        </w:tc>
      </w:tr>
      <w:tr w14:paraId="3AD4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0" w:type="dxa"/>
            <w:vMerge w:val="continue"/>
            <w:vAlign w:val="center"/>
          </w:tcPr>
          <w:p w14:paraId="2A2D9A83">
            <w:pPr>
              <w:keepNext/>
              <w:spacing w:line="360" w:lineRule="auto"/>
              <w:rPr>
                <w:rFonts w:ascii="宋体" w:hAnsi="宋体" w:cs="宋体"/>
                <w:color w:val="auto"/>
                <w:szCs w:val="21"/>
              </w:rPr>
            </w:pPr>
          </w:p>
        </w:tc>
        <w:tc>
          <w:tcPr>
            <w:tcW w:w="836" w:type="dxa"/>
            <w:vMerge w:val="continue"/>
            <w:vAlign w:val="center"/>
          </w:tcPr>
          <w:p w14:paraId="06D210F6">
            <w:pPr>
              <w:keepNext/>
              <w:spacing w:line="360" w:lineRule="auto"/>
              <w:rPr>
                <w:rFonts w:ascii="宋体" w:hAnsi="宋体" w:cs="宋体"/>
                <w:color w:val="auto"/>
                <w:szCs w:val="21"/>
              </w:rPr>
            </w:pPr>
          </w:p>
        </w:tc>
        <w:tc>
          <w:tcPr>
            <w:tcW w:w="2001" w:type="dxa"/>
            <w:vAlign w:val="center"/>
          </w:tcPr>
          <w:p w14:paraId="01D2AADC">
            <w:pPr>
              <w:keepNext/>
              <w:spacing w:line="360" w:lineRule="auto"/>
              <w:jc w:val="center"/>
              <w:rPr>
                <w:rFonts w:ascii="宋体" w:hAnsi="宋体" w:cs="宋体"/>
                <w:color w:val="auto"/>
                <w:szCs w:val="21"/>
              </w:rPr>
            </w:pPr>
            <w:r>
              <w:rPr>
                <w:rFonts w:hint="eastAsia" w:ascii="宋体" w:hAnsi="宋体" w:cs="宋体"/>
                <w:color w:val="auto"/>
                <w:szCs w:val="21"/>
              </w:rPr>
              <w:t>法定代表人身份证明书</w:t>
            </w:r>
          </w:p>
        </w:tc>
        <w:tc>
          <w:tcPr>
            <w:tcW w:w="5747" w:type="dxa"/>
            <w:vAlign w:val="center"/>
          </w:tcPr>
          <w:p w14:paraId="5B6569BD">
            <w:pPr>
              <w:keepNext/>
              <w:spacing w:line="360" w:lineRule="auto"/>
              <w:jc w:val="center"/>
              <w:rPr>
                <w:rFonts w:ascii="宋体" w:hAnsi="宋体" w:cs="宋体"/>
                <w:color w:val="auto"/>
                <w:szCs w:val="21"/>
              </w:rPr>
            </w:pPr>
            <w:r>
              <w:rPr>
                <w:rFonts w:hint="eastAsia" w:ascii="宋体" w:hAnsi="宋体" w:cs="宋体"/>
                <w:color w:val="auto"/>
                <w:szCs w:val="21"/>
              </w:rPr>
              <w:t>符合第四章《投标文件格式》中规定的格式及内容，并加盖投标人电子公章；</w:t>
            </w:r>
          </w:p>
        </w:tc>
      </w:tr>
      <w:tr w14:paraId="5C7B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10" w:type="dxa"/>
            <w:vMerge w:val="continue"/>
            <w:vAlign w:val="center"/>
          </w:tcPr>
          <w:p w14:paraId="2D00BE21">
            <w:pPr>
              <w:keepNext/>
              <w:spacing w:line="360" w:lineRule="auto"/>
              <w:rPr>
                <w:rFonts w:ascii="宋体" w:hAnsi="宋体" w:cs="宋体"/>
                <w:color w:val="auto"/>
                <w:szCs w:val="21"/>
              </w:rPr>
            </w:pPr>
          </w:p>
        </w:tc>
        <w:tc>
          <w:tcPr>
            <w:tcW w:w="836" w:type="dxa"/>
            <w:vMerge w:val="continue"/>
            <w:vAlign w:val="center"/>
          </w:tcPr>
          <w:p w14:paraId="6FF7869F">
            <w:pPr>
              <w:keepNext/>
              <w:spacing w:line="360" w:lineRule="auto"/>
              <w:rPr>
                <w:rFonts w:ascii="宋体" w:hAnsi="宋体" w:cs="宋体"/>
                <w:color w:val="auto"/>
                <w:szCs w:val="21"/>
              </w:rPr>
            </w:pPr>
          </w:p>
        </w:tc>
        <w:tc>
          <w:tcPr>
            <w:tcW w:w="2001" w:type="dxa"/>
            <w:vAlign w:val="center"/>
          </w:tcPr>
          <w:p w14:paraId="4A2AC701">
            <w:pPr>
              <w:keepNext/>
              <w:spacing w:line="360" w:lineRule="auto"/>
              <w:jc w:val="center"/>
              <w:rPr>
                <w:rFonts w:ascii="宋体" w:hAnsi="宋体" w:cs="宋体"/>
                <w:color w:val="auto"/>
                <w:szCs w:val="21"/>
              </w:rPr>
            </w:pPr>
            <w:r>
              <w:rPr>
                <w:rFonts w:hint="eastAsia" w:ascii="宋体" w:hAnsi="宋体" w:cs="宋体"/>
                <w:color w:val="auto"/>
                <w:szCs w:val="21"/>
              </w:rPr>
              <w:t>法定代表人授权委托书</w:t>
            </w:r>
          </w:p>
        </w:tc>
        <w:tc>
          <w:tcPr>
            <w:tcW w:w="5747" w:type="dxa"/>
            <w:vAlign w:val="center"/>
          </w:tcPr>
          <w:p w14:paraId="0FE4B689">
            <w:pPr>
              <w:keepNext/>
              <w:spacing w:line="360" w:lineRule="auto"/>
              <w:jc w:val="center"/>
              <w:rPr>
                <w:rFonts w:ascii="宋体" w:hAnsi="宋体" w:cs="宋体"/>
                <w:color w:val="auto"/>
                <w:szCs w:val="21"/>
              </w:rPr>
            </w:pPr>
            <w:r>
              <w:rPr>
                <w:rFonts w:hint="eastAsia" w:ascii="宋体" w:hAnsi="宋体" w:cs="宋体"/>
                <w:color w:val="auto"/>
                <w:szCs w:val="21"/>
              </w:rPr>
              <w:t>符合第四章《投标文件格式》中规定的格式及内容，有法定代表人电子签名或电子签章，并加盖投标人电子公章；</w:t>
            </w:r>
          </w:p>
        </w:tc>
      </w:tr>
      <w:tr w14:paraId="109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5D234D37">
            <w:pPr>
              <w:keepNext/>
              <w:spacing w:line="360" w:lineRule="auto"/>
              <w:rPr>
                <w:rFonts w:ascii="宋体" w:hAnsi="宋体" w:cs="宋体"/>
                <w:color w:val="auto"/>
                <w:szCs w:val="21"/>
              </w:rPr>
            </w:pPr>
          </w:p>
        </w:tc>
        <w:tc>
          <w:tcPr>
            <w:tcW w:w="836" w:type="dxa"/>
            <w:vMerge w:val="continue"/>
            <w:vAlign w:val="center"/>
          </w:tcPr>
          <w:p w14:paraId="588A3868">
            <w:pPr>
              <w:keepNext/>
              <w:spacing w:line="360" w:lineRule="auto"/>
              <w:rPr>
                <w:rFonts w:ascii="宋体" w:hAnsi="宋体" w:cs="宋体"/>
                <w:color w:val="auto"/>
                <w:szCs w:val="21"/>
              </w:rPr>
            </w:pPr>
          </w:p>
        </w:tc>
        <w:tc>
          <w:tcPr>
            <w:tcW w:w="2001" w:type="dxa"/>
            <w:vAlign w:val="center"/>
          </w:tcPr>
          <w:p w14:paraId="6A37BF32">
            <w:pPr>
              <w:keepNext/>
              <w:spacing w:line="360" w:lineRule="auto"/>
              <w:jc w:val="center"/>
              <w:rPr>
                <w:rFonts w:ascii="宋体" w:hAnsi="宋体" w:cs="宋体"/>
                <w:color w:val="auto"/>
                <w:szCs w:val="21"/>
              </w:rPr>
            </w:pPr>
            <w:r>
              <w:rPr>
                <w:rFonts w:hint="eastAsia" w:ascii="宋体" w:hAnsi="宋体" w:cs="宋体"/>
                <w:color w:val="auto"/>
                <w:szCs w:val="21"/>
              </w:rPr>
              <w:t>投标人具备参加采购活动条件承诺书</w:t>
            </w:r>
          </w:p>
        </w:tc>
        <w:tc>
          <w:tcPr>
            <w:tcW w:w="5747" w:type="dxa"/>
            <w:vAlign w:val="center"/>
          </w:tcPr>
          <w:p w14:paraId="0BA3F450">
            <w:pPr>
              <w:keepNext/>
              <w:spacing w:line="360" w:lineRule="auto"/>
              <w:jc w:val="center"/>
              <w:rPr>
                <w:rFonts w:ascii="宋体" w:hAnsi="宋体" w:cs="宋体"/>
                <w:color w:val="auto"/>
                <w:szCs w:val="21"/>
              </w:rPr>
            </w:pPr>
            <w:r>
              <w:rPr>
                <w:rFonts w:hint="eastAsia" w:ascii="宋体" w:hAnsi="宋体" w:cs="宋体"/>
                <w:color w:val="000000" w:themeColor="text1"/>
                <w:szCs w:val="21"/>
                <w14:textFill>
                  <w14:solidFill>
                    <w14:schemeClr w14:val="tx1"/>
                  </w14:solidFill>
                </w14:textFill>
              </w:rPr>
              <w:t>符合《政府采购法》第二十二条规定</w:t>
            </w:r>
          </w:p>
        </w:tc>
      </w:tr>
      <w:tr w14:paraId="0221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1FB38E3C">
            <w:pPr>
              <w:keepNext/>
              <w:spacing w:line="360" w:lineRule="auto"/>
              <w:rPr>
                <w:rFonts w:ascii="宋体" w:hAnsi="宋体" w:cs="宋体"/>
                <w:color w:val="auto"/>
                <w:szCs w:val="21"/>
              </w:rPr>
            </w:pPr>
          </w:p>
        </w:tc>
        <w:tc>
          <w:tcPr>
            <w:tcW w:w="836" w:type="dxa"/>
            <w:vMerge w:val="continue"/>
            <w:vAlign w:val="center"/>
          </w:tcPr>
          <w:p w14:paraId="53202D91">
            <w:pPr>
              <w:keepNext/>
              <w:spacing w:line="360" w:lineRule="auto"/>
              <w:rPr>
                <w:rFonts w:ascii="宋体" w:hAnsi="宋体" w:cs="宋体"/>
                <w:color w:val="auto"/>
                <w:szCs w:val="21"/>
              </w:rPr>
            </w:pPr>
          </w:p>
        </w:tc>
        <w:tc>
          <w:tcPr>
            <w:tcW w:w="2001" w:type="dxa"/>
            <w:vAlign w:val="center"/>
          </w:tcPr>
          <w:p w14:paraId="46508BF1">
            <w:pPr>
              <w:spacing w:line="360" w:lineRule="auto"/>
              <w:jc w:val="center"/>
              <w:rPr>
                <w:rFonts w:ascii="宋体" w:hAnsi="宋体" w:cs="宋体"/>
                <w:color w:val="auto"/>
                <w:szCs w:val="21"/>
              </w:rPr>
            </w:pPr>
            <w:r>
              <w:rPr>
                <w:rFonts w:hint="eastAsia" w:ascii="宋体" w:hAnsi="宋体" w:cs="宋体"/>
                <w:color w:val="auto"/>
                <w:szCs w:val="21"/>
              </w:rPr>
              <w:t>其它实质性要求</w:t>
            </w:r>
          </w:p>
        </w:tc>
        <w:tc>
          <w:tcPr>
            <w:tcW w:w="5747" w:type="dxa"/>
            <w:vAlign w:val="center"/>
          </w:tcPr>
          <w:p w14:paraId="7064BAF6">
            <w:pPr>
              <w:spacing w:line="360" w:lineRule="auto"/>
              <w:jc w:val="center"/>
              <w:rPr>
                <w:rFonts w:ascii="宋体" w:hAnsi="宋体" w:cs="宋体"/>
                <w:color w:val="auto"/>
                <w:szCs w:val="21"/>
              </w:rPr>
            </w:pPr>
            <w:r>
              <w:rPr>
                <w:rFonts w:hint="eastAsia" w:ascii="宋体" w:hAnsi="宋体" w:cs="宋体"/>
                <w:color w:val="auto"/>
                <w:szCs w:val="21"/>
              </w:rPr>
              <w:t>投标文件未出现其他不满足招标文件中标注★条款内容且未出现招标文件规定的其他投标无效情形</w:t>
            </w:r>
          </w:p>
        </w:tc>
      </w:tr>
      <w:tr w14:paraId="3DB6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restart"/>
            <w:vAlign w:val="center"/>
          </w:tcPr>
          <w:p w14:paraId="24F7B0E6">
            <w:pPr>
              <w:keepNext/>
              <w:spacing w:line="360" w:lineRule="auto"/>
              <w:rPr>
                <w:rFonts w:ascii="宋体" w:hAnsi="宋体" w:cs="宋体"/>
                <w:color w:val="auto"/>
                <w:szCs w:val="21"/>
              </w:rPr>
            </w:pPr>
            <w:r>
              <w:rPr>
                <w:rFonts w:hint="eastAsia" w:ascii="宋体" w:hAnsi="宋体" w:cs="宋体"/>
                <w:color w:val="auto"/>
                <w:szCs w:val="21"/>
              </w:rPr>
              <w:t>2.2</w:t>
            </w:r>
          </w:p>
        </w:tc>
        <w:tc>
          <w:tcPr>
            <w:tcW w:w="836" w:type="dxa"/>
            <w:vMerge w:val="restart"/>
            <w:vAlign w:val="center"/>
          </w:tcPr>
          <w:p w14:paraId="6412C78C">
            <w:pPr>
              <w:keepNext/>
              <w:spacing w:line="360" w:lineRule="auto"/>
              <w:jc w:val="center"/>
              <w:rPr>
                <w:rFonts w:ascii="宋体" w:hAnsi="宋体" w:cs="宋体"/>
                <w:color w:val="auto"/>
                <w:szCs w:val="21"/>
              </w:rPr>
            </w:pPr>
            <w:r>
              <w:rPr>
                <w:rFonts w:hint="eastAsia" w:ascii="宋体" w:hAnsi="宋体" w:cs="宋体"/>
                <w:color w:val="auto"/>
                <w:szCs w:val="21"/>
              </w:rPr>
              <w:t>详细评审标准</w:t>
            </w:r>
          </w:p>
        </w:tc>
        <w:tc>
          <w:tcPr>
            <w:tcW w:w="2001" w:type="dxa"/>
            <w:vAlign w:val="center"/>
          </w:tcPr>
          <w:p w14:paraId="73D0345E">
            <w:pPr>
              <w:keepNext/>
              <w:spacing w:line="360" w:lineRule="auto"/>
              <w:jc w:val="center"/>
              <w:rPr>
                <w:rFonts w:ascii="宋体" w:hAnsi="宋体" w:cs="宋体"/>
                <w:color w:val="auto"/>
                <w:szCs w:val="21"/>
              </w:rPr>
            </w:pPr>
            <w:r>
              <w:rPr>
                <w:rFonts w:hint="eastAsia" w:ascii="宋体" w:hAnsi="宋体" w:cs="宋体"/>
                <w:color w:val="auto"/>
                <w:szCs w:val="21"/>
              </w:rPr>
              <w:t>（1）评标总得分计算公式</w:t>
            </w:r>
          </w:p>
        </w:tc>
        <w:tc>
          <w:tcPr>
            <w:tcW w:w="5747" w:type="dxa"/>
            <w:vAlign w:val="center"/>
          </w:tcPr>
          <w:p w14:paraId="3EA5A817">
            <w:pPr>
              <w:keepNext/>
              <w:spacing w:line="360" w:lineRule="auto"/>
              <w:rPr>
                <w:rFonts w:ascii="宋体" w:hAnsi="宋体" w:cs="宋体"/>
                <w:color w:val="auto"/>
                <w:szCs w:val="21"/>
              </w:rPr>
            </w:pPr>
            <w:r>
              <w:rPr>
                <w:rFonts w:hint="eastAsia" w:ascii="宋体" w:hAnsi="宋体" w:cs="宋体"/>
                <w:color w:val="auto"/>
                <w:szCs w:val="21"/>
              </w:rPr>
              <w:t>投标人的评标总得分＝F1＋F2</w:t>
            </w:r>
          </w:p>
          <w:p w14:paraId="2E5ABEF0">
            <w:pPr>
              <w:keepNext/>
              <w:spacing w:line="360" w:lineRule="auto"/>
              <w:rPr>
                <w:rFonts w:ascii="宋体" w:hAnsi="宋体" w:cs="宋体"/>
                <w:color w:val="auto"/>
                <w:szCs w:val="21"/>
              </w:rPr>
            </w:pPr>
            <w:r>
              <w:rPr>
                <w:rFonts w:hint="eastAsia" w:ascii="宋体" w:hAnsi="宋体" w:cs="宋体"/>
                <w:color w:val="auto"/>
                <w:szCs w:val="21"/>
              </w:rPr>
              <w:t>其中：F1、F2分别为投标报价、技术商务部分2项评分因素的汇总得分；</w:t>
            </w:r>
          </w:p>
        </w:tc>
      </w:tr>
      <w:tr w14:paraId="05ED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07C8BF1E">
            <w:pPr>
              <w:keepNext/>
              <w:spacing w:line="360" w:lineRule="auto"/>
              <w:rPr>
                <w:rFonts w:ascii="宋体" w:hAnsi="宋体" w:cs="宋体"/>
                <w:color w:val="auto"/>
                <w:szCs w:val="21"/>
              </w:rPr>
            </w:pPr>
          </w:p>
        </w:tc>
        <w:tc>
          <w:tcPr>
            <w:tcW w:w="836" w:type="dxa"/>
            <w:vMerge w:val="continue"/>
            <w:vAlign w:val="center"/>
          </w:tcPr>
          <w:p w14:paraId="64CE7BDE">
            <w:pPr>
              <w:keepNext/>
              <w:spacing w:line="360" w:lineRule="auto"/>
              <w:rPr>
                <w:rFonts w:ascii="宋体" w:hAnsi="宋体" w:cs="宋体"/>
                <w:color w:val="auto"/>
                <w:szCs w:val="21"/>
              </w:rPr>
            </w:pPr>
          </w:p>
        </w:tc>
        <w:tc>
          <w:tcPr>
            <w:tcW w:w="2001" w:type="dxa"/>
            <w:vAlign w:val="center"/>
          </w:tcPr>
          <w:p w14:paraId="534A1CE2">
            <w:pPr>
              <w:keepNext/>
              <w:spacing w:line="360" w:lineRule="auto"/>
              <w:jc w:val="center"/>
              <w:rPr>
                <w:rFonts w:ascii="宋体" w:hAnsi="宋体" w:cs="宋体"/>
                <w:color w:val="auto"/>
                <w:szCs w:val="21"/>
              </w:rPr>
            </w:pPr>
            <w:r>
              <w:rPr>
                <w:rFonts w:hint="eastAsia" w:ascii="宋体" w:hAnsi="宋体" w:cs="宋体"/>
                <w:color w:val="auto"/>
                <w:szCs w:val="21"/>
              </w:rPr>
              <w:t>（2）评分因素权重</w:t>
            </w:r>
          </w:p>
        </w:tc>
        <w:tc>
          <w:tcPr>
            <w:tcW w:w="5747" w:type="dxa"/>
            <w:vAlign w:val="center"/>
          </w:tcPr>
          <w:p w14:paraId="7DA62B64">
            <w:pPr>
              <w:keepNext/>
              <w:spacing w:line="360" w:lineRule="auto"/>
              <w:rPr>
                <w:rFonts w:ascii="宋体" w:hAnsi="宋体" w:cs="宋体"/>
                <w:color w:val="auto"/>
                <w:szCs w:val="21"/>
              </w:rPr>
            </w:pPr>
            <w:r>
              <w:rPr>
                <w:rFonts w:hint="eastAsia" w:ascii="宋体" w:hAnsi="宋体" w:cs="宋体"/>
                <w:color w:val="auto"/>
                <w:szCs w:val="21"/>
              </w:rPr>
              <w:t>投标报价F1：10分。</w:t>
            </w:r>
          </w:p>
          <w:p w14:paraId="68DC0A00">
            <w:pPr>
              <w:keepNext/>
              <w:spacing w:line="360" w:lineRule="auto"/>
              <w:rPr>
                <w:rFonts w:ascii="宋体" w:hAnsi="宋体" w:cs="宋体"/>
                <w:color w:val="auto"/>
                <w:szCs w:val="21"/>
              </w:rPr>
            </w:pPr>
            <w:r>
              <w:rPr>
                <w:rFonts w:hint="eastAsia" w:ascii="宋体" w:hAnsi="宋体" w:cs="宋体"/>
                <w:color w:val="auto"/>
                <w:szCs w:val="21"/>
              </w:rPr>
              <w:t>技术商务部分F2：90分。</w:t>
            </w:r>
          </w:p>
        </w:tc>
      </w:tr>
      <w:tr w14:paraId="524D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060D1B4C">
            <w:pPr>
              <w:keepNext/>
              <w:spacing w:line="360" w:lineRule="auto"/>
              <w:rPr>
                <w:rFonts w:ascii="宋体" w:hAnsi="宋体" w:cs="宋体"/>
                <w:color w:val="auto"/>
                <w:szCs w:val="21"/>
              </w:rPr>
            </w:pPr>
          </w:p>
        </w:tc>
        <w:tc>
          <w:tcPr>
            <w:tcW w:w="836" w:type="dxa"/>
            <w:vMerge w:val="continue"/>
            <w:vAlign w:val="center"/>
          </w:tcPr>
          <w:p w14:paraId="5E934F77">
            <w:pPr>
              <w:keepNext/>
              <w:spacing w:line="360" w:lineRule="auto"/>
              <w:rPr>
                <w:rFonts w:ascii="宋体" w:hAnsi="宋体" w:cs="宋体"/>
                <w:color w:val="auto"/>
                <w:szCs w:val="21"/>
              </w:rPr>
            </w:pPr>
          </w:p>
        </w:tc>
        <w:tc>
          <w:tcPr>
            <w:tcW w:w="2001" w:type="dxa"/>
            <w:vAlign w:val="center"/>
          </w:tcPr>
          <w:p w14:paraId="7DA19353">
            <w:pPr>
              <w:keepNext/>
              <w:spacing w:line="360" w:lineRule="auto"/>
              <w:jc w:val="center"/>
              <w:rPr>
                <w:rFonts w:ascii="宋体" w:hAnsi="宋体" w:cs="宋体"/>
                <w:color w:val="auto"/>
                <w:szCs w:val="21"/>
              </w:rPr>
            </w:pPr>
            <w:r>
              <w:rPr>
                <w:rFonts w:hint="eastAsia" w:ascii="宋体" w:hAnsi="宋体" w:cs="宋体"/>
                <w:color w:val="auto"/>
                <w:szCs w:val="21"/>
              </w:rPr>
              <w:t>（3）投标报价得分F1</w:t>
            </w:r>
          </w:p>
          <w:p w14:paraId="73EC4713">
            <w:pPr>
              <w:keepNext/>
              <w:spacing w:line="360" w:lineRule="auto"/>
              <w:jc w:val="center"/>
              <w:rPr>
                <w:rFonts w:ascii="宋体" w:hAnsi="宋体" w:cs="宋体"/>
                <w:color w:val="auto"/>
                <w:szCs w:val="21"/>
              </w:rPr>
            </w:pPr>
            <w:r>
              <w:rPr>
                <w:rFonts w:hint="eastAsia" w:ascii="宋体" w:hAnsi="宋体" w:cs="宋体"/>
                <w:color w:val="auto"/>
                <w:szCs w:val="21"/>
              </w:rPr>
              <w:t>（满分10分）</w:t>
            </w:r>
          </w:p>
        </w:tc>
        <w:tc>
          <w:tcPr>
            <w:tcW w:w="5747" w:type="dxa"/>
            <w:vAlign w:val="center"/>
          </w:tcPr>
          <w:p w14:paraId="238742B5">
            <w:pPr>
              <w:keepNext/>
              <w:adjustRightInd w:val="0"/>
              <w:spacing w:line="360" w:lineRule="auto"/>
              <w:rPr>
                <w:rFonts w:ascii="宋体" w:hAnsi="宋体" w:cs="宋体"/>
                <w:color w:val="auto"/>
                <w:szCs w:val="21"/>
              </w:rPr>
            </w:pPr>
            <w:r>
              <w:rPr>
                <w:rFonts w:hint="eastAsia" w:ascii="宋体" w:hAnsi="宋体" w:cs="宋体"/>
                <w:color w:val="auto"/>
                <w:szCs w:val="21"/>
              </w:rPr>
              <w:t>价格分采用低价优先法计算，即满足招标文件要求且投标价格最低的投标报价为评标基准价，其价格分为满分。其他投标人的价格分统一按照下列公式计算：</w:t>
            </w:r>
          </w:p>
          <w:p w14:paraId="628A2255">
            <w:pPr>
              <w:keepNext/>
              <w:adjustRightInd w:val="0"/>
              <w:spacing w:line="360" w:lineRule="auto"/>
              <w:rPr>
                <w:rFonts w:ascii="宋体" w:hAnsi="宋体" w:cs="宋体"/>
                <w:color w:val="auto"/>
                <w:szCs w:val="21"/>
              </w:rPr>
            </w:pPr>
            <w:r>
              <w:rPr>
                <w:rFonts w:hint="eastAsia" w:ascii="宋体" w:hAnsi="宋体" w:cs="宋体"/>
                <w:color w:val="auto"/>
                <w:szCs w:val="21"/>
              </w:rPr>
              <w:t>投标报价计算公式= 评标基准价/投标报价×10</w:t>
            </w:r>
          </w:p>
          <w:p w14:paraId="07DE7C5F">
            <w:pPr>
              <w:keepNext/>
              <w:adjustRightInd w:val="0"/>
              <w:spacing w:line="360" w:lineRule="auto"/>
              <w:rPr>
                <w:rFonts w:ascii="宋体" w:hAnsi="宋体" w:cs="宋体"/>
                <w:color w:val="auto"/>
                <w:szCs w:val="21"/>
              </w:rPr>
            </w:pPr>
            <w:r>
              <w:rPr>
                <w:rFonts w:hint="eastAsia" w:ascii="宋体" w:hAnsi="宋体" w:cs="宋体"/>
                <w:color w:val="auto"/>
                <w:szCs w:val="21"/>
              </w:rPr>
              <w:t>即：F1=[C/（B1，B2，…，Bn）]×10</w:t>
            </w:r>
          </w:p>
          <w:p w14:paraId="05DA7347">
            <w:pPr>
              <w:keepNext/>
              <w:adjustRightInd w:val="0"/>
              <w:spacing w:line="360" w:lineRule="auto"/>
              <w:rPr>
                <w:rFonts w:ascii="宋体" w:hAnsi="宋体" w:cs="宋体"/>
                <w:color w:val="auto"/>
                <w:szCs w:val="21"/>
              </w:rPr>
            </w:pPr>
            <w:r>
              <w:rPr>
                <w:rFonts w:hint="eastAsia" w:ascii="宋体" w:hAnsi="宋体" w:cs="宋体"/>
                <w:color w:val="auto"/>
                <w:szCs w:val="21"/>
              </w:rPr>
              <w:t>注：</w:t>
            </w:r>
          </w:p>
          <w:p w14:paraId="78DEFF90">
            <w:pPr>
              <w:keepNext/>
              <w:adjustRightInd w:val="0"/>
              <w:spacing w:line="360" w:lineRule="auto"/>
              <w:rPr>
                <w:rFonts w:ascii="宋体" w:hAnsi="宋体" w:cs="宋体"/>
                <w:color w:val="auto"/>
                <w:szCs w:val="21"/>
              </w:rPr>
            </w:pPr>
            <w:r>
              <w:rPr>
                <w:rFonts w:hint="eastAsia" w:ascii="宋体" w:hAnsi="宋体" w:cs="宋体"/>
                <w:color w:val="auto"/>
                <w:szCs w:val="21"/>
              </w:rPr>
              <w:t>1、C为评标基准价，即满足招标文件且投标价格最低的有效投标报价；</w:t>
            </w:r>
          </w:p>
          <w:p w14:paraId="2653FF63">
            <w:pPr>
              <w:keepNext/>
              <w:spacing w:line="360" w:lineRule="auto"/>
              <w:rPr>
                <w:rFonts w:ascii="宋体" w:hAnsi="宋体" w:cs="宋体"/>
                <w:color w:val="auto"/>
                <w:szCs w:val="21"/>
              </w:rPr>
            </w:pPr>
            <w:r>
              <w:rPr>
                <w:rFonts w:hint="eastAsia" w:ascii="宋体" w:hAnsi="宋体" w:cs="宋体"/>
                <w:color w:val="auto"/>
                <w:szCs w:val="21"/>
              </w:rPr>
              <w:t>2、B1，B2，…，Bn为第n个满足招标文件的有效投标报价。</w:t>
            </w:r>
          </w:p>
          <w:p w14:paraId="1E23E86E">
            <w:pPr>
              <w:keepNext/>
              <w:spacing w:line="360" w:lineRule="auto"/>
              <w:rPr>
                <w:rFonts w:ascii="宋体" w:hAnsi="宋体" w:cs="宋体"/>
                <w:b/>
                <w:color w:val="auto"/>
              </w:rPr>
            </w:pPr>
            <w:r>
              <w:rPr>
                <w:rFonts w:hint="eastAsia" w:ascii="宋体" w:hAnsi="宋体" w:cs="宋体"/>
                <w:b/>
                <w:color w:val="auto"/>
              </w:rPr>
              <w:t>3、本项目针对小型和微型企业或残疾人福利性单位的价格给予10%的扣除，用扣除后的价格参与评审，残疾人福利性单位属于小型、微型企业的，不重复享受政策。</w:t>
            </w:r>
          </w:p>
        </w:tc>
      </w:tr>
      <w:tr w14:paraId="3209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14E9A576">
            <w:pPr>
              <w:keepNext/>
              <w:spacing w:line="360" w:lineRule="auto"/>
              <w:rPr>
                <w:rFonts w:ascii="宋体" w:hAnsi="宋体" w:cs="宋体"/>
                <w:color w:val="auto"/>
                <w:szCs w:val="21"/>
              </w:rPr>
            </w:pPr>
          </w:p>
        </w:tc>
        <w:tc>
          <w:tcPr>
            <w:tcW w:w="836" w:type="dxa"/>
            <w:vMerge w:val="continue"/>
            <w:vAlign w:val="center"/>
          </w:tcPr>
          <w:p w14:paraId="28C1F1D7">
            <w:pPr>
              <w:keepNext/>
              <w:spacing w:line="360" w:lineRule="auto"/>
              <w:rPr>
                <w:rFonts w:ascii="宋体" w:hAnsi="宋体" w:cs="宋体"/>
                <w:color w:val="auto"/>
                <w:szCs w:val="21"/>
              </w:rPr>
            </w:pPr>
          </w:p>
        </w:tc>
        <w:tc>
          <w:tcPr>
            <w:tcW w:w="2001" w:type="dxa"/>
            <w:vMerge w:val="restart"/>
            <w:vAlign w:val="center"/>
          </w:tcPr>
          <w:p w14:paraId="2D9959B8">
            <w:pPr>
              <w:keepNext/>
              <w:spacing w:line="360" w:lineRule="auto"/>
              <w:jc w:val="center"/>
              <w:rPr>
                <w:rFonts w:ascii="宋体" w:hAnsi="宋体" w:cs="宋体"/>
                <w:color w:val="auto"/>
                <w:szCs w:val="21"/>
              </w:rPr>
            </w:pPr>
            <w:r>
              <w:rPr>
                <w:rFonts w:hint="eastAsia" w:ascii="宋体" w:hAnsi="宋体" w:cs="宋体"/>
                <w:color w:val="auto"/>
                <w:szCs w:val="21"/>
              </w:rPr>
              <w:t>（4）技术商务部分得分F2</w:t>
            </w:r>
          </w:p>
          <w:p w14:paraId="26CBCCA1">
            <w:pPr>
              <w:keepNext/>
              <w:spacing w:line="360" w:lineRule="auto"/>
              <w:jc w:val="center"/>
              <w:rPr>
                <w:rFonts w:ascii="宋体" w:hAnsi="宋体" w:cs="宋体"/>
                <w:color w:val="auto"/>
                <w:szCs w:val="21"/>
              </w:rPr>
            </w:pPr>
            <w:r>
              <w:rPr>
                <w:rFonts w:hint="eastAsia" w:ascii="宋体" w:hAnsi="宋体" w:cs="宋体"/>
                <w:color w:val="auto"/>
                <w:szCs w:val="21"/>
              </w:rPr>
              <w:t>（满分90分）</w:t>
            </w:r>
          </w:p>
        </w:tc>
        <w:tc>
          <w:tcPr>
            <w:tcW w:w="5747" w:type="dxa"/>
            <w:vAlign w:val="center"/>
          </w:tcPr>
          <w:p w14:paraId="62F7BB41">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1）服务方案评审评分（满分5</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rPr>
              <w:t>分）</w:t>
            </w:r>
          </w:p>
          <w:p w14:paraId="18DD0933">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①需求分析与设计</w:t>
            </w:r>
            <w:r>
              <w:rPr>
                <w:rFonts w:hint="eastAsia" w:ascii="宋体" w:hAnsi="宋体" w:cs="宋体"/>
                <w:b/>
                <w:bCs/>
                <w:szCs w:val="21"/>
                <w:highlight w:val="none"/>
                <w:lang w:val="en-US" w:eastAsia="zh-CN"/>
              </w:rPr>
              <w:t>方案</w:t>
            </w:r>
            <w:r>
              <w:rPr>
                <w:rFonts w:hint="eastAsia" w:ascii="宋体" w:hAnsi="宋体" w:eastAsia="宋体" w:cs="宋体"/>
                <w:b/>
                <w:bCs/>
                <w:szCs w:val="21"/>
                <w:highlight w:val="none"/>
              </w:rPr>
              <w:t>评审评分（满分</w:t>
            </w:r>
            <w:r>
              <w:rPr>
                <w:rFonts w:hint="eastAsia" w:ascii="宋体" w:hAnsi="宋体" w:cs="宋体"/>
                <w:b/>
                <w:bCs/>
                <w:szCs w:val="21"/>
                <w:highlight w:val="none"/>
                <w:lang w:val="en-US" w:eastAsia="zh-CN"/>
              </w:rPr>
              <w:t>18</w:t>
            </w:r>
            <w:r>
              <w:rPr>
                <w:rFonts w:hint="eastAsia" w:ascii="宋体" w:hAnsi="宋体" w:eastAsia="宋体" w:cs="宋体"/>
                <w:b/>
                <w:bCs/>
                <w:szCs w:val="21"/>
                <w:highlight w:val="none"/>
              </w:rPr>
              <w:t>分）</w:t>
            </w:r>
          </w:p>
          <w:p w14:paraId="7A2E1E0B">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提供的</w:t>
            </w:r>
            <w:r>
              <w:rPr>
                <w:rFonts w:hint="eastAsia" w:ascii="宋体" w:hAnsi="宋体" w:cs="宋体"/>
                <w:szCs w:val="21"/>
                <w:highlight w:val="none"/>
                <w:lang w:eastAsia="zh-CN"/>
              </w:rPr>
              <w:t>需求分析与设计方案</w:t>
            </w:r>
            <w:r>
              <w:rPr>
                <w:rFonts w:hint="eastAsia" w:ascii="宋体" w:hAnsi="宋体" w:eastAsia="宋体" w:cs="宋体"/>
                <w:szCs w:val="21"/>
                <w:highlight w:val="none"/>
              </w:rPr>
              <w:t>应包含下列内容：①系统需求</w:t>
            </w:r>
            <w:r>
              <w:rPr>
                <w:rFonts w:hint="eastAsia" w:ascii="宋体" w:hAnsi="宋体" w:cs="宋体"/>
                <w:szCs w:val="21"/>
                <w:highlight w:val="none"/>
                <w:lang w:val="en-US" w:eastAsia="zh-CN"/>
              </w:rPr>
              <w:t>分析</w:t>
            </w:r>
            <w:r>
              <w:rPr>
                <w:rFonts w:hint="eastAsia" w:ascii="宋体" w:hAnsi="宋体" w:eastAsia="宋体" w:cs="宋体"/>
                <w:szCs w:val="21"/>
                <w:highlight w:val="none"/>
              </w:rPr>
              <w:t>；②需求规格说明书编制；③架构设计；④</w:t>
            </w:r>
            <w:r>
              <w:rPr>
                <w:rFonts w:hint="eastAsia" w:ascii="宋体" w:hAnsi="宋体" w:eastAsia="宋体" w:cs="宋体"/>
                <w:sz w:val="21"/>
                <w:szCs w:val="21"/>
              </w:rPr>
              <w:t>数据库设计</w:t>
            </w:r>
            <w:r>
              <w:rPr>
                <w:rFonts w:hint="eastAsia" w:ascii="宋体" w:hAnsi="宋体" w:eastAsia="宋体" w:cs="宋体"/>
                <w:szCs w:val="21"/>
                <w:highlight w:val="none"/>
              </w:rPr>
              <w:t>；⑤</w:t>
            </w:r>
            <w:r>
              <w:rPr>
                <w:rFonts w:hint="eastAsia" w:ascii="宋体" w:hAnsi="宋体" w:eastAsia="宋体" w:cs="宋体"/>
                <w:sz w:val="21"/>
                <w:szCs w:val="21"/>
              </w:rPr>
              <w:t>功能模块设计</w:t>
            </w:r>
            <w:r>
              <w:rPr>
                <w:rFonts w:hint="eastAsia" w:ascii="宋体" w:hAnsi="宋体" w:eastAsia="宋体" w:cs="宋体"/>
                <w:szCs w:val="21"/>
                <w:highlight w:val="none"/>
              </w:rPr>
              <w:t>；⑥UI/UE设计。</w:t>
            </w:r>
          </w:p>
          <w:p w14:paraId="6AEEDCCF">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应针对各项内容分别进行阐述，</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将针对各项内容进行评审，</w:t>
            </w:r>
            <w:r>
              <w:rPr>
                <w:rFonts w:hint="eastAsia" w:ascii="宋体" w:hAnsi="宋体" w:eastAsia="宋体" w:cs="宋体"/>
                <w:szCs w:val="21"/>
                <w:highlight w:val="none"/>
                <w:lang w:eastAsia="zh-CN"/>
              </w:rPr>
              <w:t>投标人</w:t>
            </w:r>
            <w:r>
              <w:rPr>
                <w:rFonts w:hint="eastAsia" w:ascii="宋体" w:hAnsi="宋体" w:cs="宋体"/>
                <w:szCs w:val="21"/>
                <w:highlight w:val="none"/>
                <w:lang w:eastAsia="zh-CN"/>
              </w:rPr>
              <w:t>需求分析与设计方案</w:t>
            </w:r>
            <w:r>
              <w:rPr>
                <w:rFonts w:hint="eastAsia" w:ascii="宋体" w:hAnsi="宋体" w:eastAsia="宋体" w:cs="宋体"/>
                <w:szCs w:val="21"/>
                <w:highlight w:val="none"/>
              </w:rPr>
              <w:t>评审评分按</w:t>
            </w:r>
            <w:r>
              <w:rPr>
                <w:rFonts w:hint="eastAsia" w:ascii="宋体" w:hAnsi="宋体" w:cs="宋体"/>
                <w:szCs w:val="21"/>
                <w:highlight w:val="none"/>
                <w:lang w:val="en-US" w:eastAsia="zh-CN"/>
              </w:rPr>
              <w:t>6</w:t>
            </w:r>
            <w:r>
              <w:rPr>
                <w:rFonts w:hint="eastAsia" w:ascii="宋体" w:hAnsi="宋体" w:eastAsia="宋体" w:cs="宋体"/>
                <w:szCs w:val="21"/>
                <w:highlight w:val="none"/>
              </w:rPr>
              <w:t>项内容累计计分，具体评审标准如下：</w:t>
            </w:r>
          </w:p>
          <w:p w14:paraId="7A024891">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(1)经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评审，认为单项内容阐述符合采购需求，能有效保证采购人本项目实施要求的，得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p>
          <w:p w14:paraId="486AB3FC">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(2)经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评审，认为单项内容阐述存在缺陷或逻辑错误或未对采购需求中相关工作内容进行完全响应的，得</w:t>
            </w:r>
            <w:r>
              <w:rPr>
                <w:rFonts w:hint="eastAsia" w:ascii="宋体" w:hAnsi="宋体" w:cs="宋体"/>
                <w:szCs w:val="21"/>
                <w:highlight w:val="none"/>
                <w:lang w:val="en-US" w:eastAsia="zh-CN"/>
              </w:rPr>
              <w:t>1.5</w:t>
            </w:r>
            <w:r>
              <w:rPr>
                <w:rFonts w:hint="eastAsia" w:ascii="宋体" w:hAnsi="宋体" w:eastAsia="宋体" w:cs="宋体"/>
                <w:szCs w:val="21"/>
                <w:highlight w:val="none"/>
              </w:rPr>
              <w:t>分。</w:t>
            </w:r>
          </w:p>
          <w:p w14:paraId="3B9E188A">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hint="eastAsia" w:ascii="宋体" w:hAnsi="宋体" w:eastAsia="宋体" w:cs="宋体"/>
                <w:szCs w:val="21"/>
                <w:highlight w:val="none"/>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p w14:paraId="0758BF93">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②程序开发</w:t>
            </w:r>
            <w:r>
              <w:rPr>
                <w:rFonts w:hint="eastAsia" w:ascii="宋体" w:hAnsi="宋体" w:cs="宋体"/>
                <w:b/>
                <w:bCs/>
                <w:szCs w:val="21"/>
                <w:highlight w:val="none"/>
                <w:lang w:val="en-US" w:eastAsia="zh-CN"/>
              </w:rPr>
              <w:t>方案</w:t>
            </w:r>
            <w:r>
              <w:rPr>
                <w:rFonts w:hint="eastAsia" w:ascii="宋体" w:hAnsi="宋体" w:eastAsia="宋体" w:cs="宋体"/>
                <w:b/>
                <w:bCs/>
                <w:szCs w:val="21"/>
                <w:highlight w:val="none"/>
              </w:rPr>
              <w:t>评审评分（满分</w:t>
            </w:r>
            <w:r>
              <w:rPr>
                <w:rFonts w:hint="eastAsia" w:ascii="宋体" w:hAnsi="宋体" w:cs="宋体"/>
                <w:b/>
                <w:bCs/>
                <w:szCs w:val="21"/>
                <w:highlight w:val="none"/>
                <w:lang w:val="en-US" w:eastAsia="zh-CN"/>
              </w:rPr>
              <w:t>10</w:t>
            </w:r>
            <w:r>
              <w:rPr>
                <w:rFonts w:hint="eastAsia" w:ascii="宋体" w:hAnsi="宋体" w:eastAsia="宋体" w:cs="宋体"/>
                <w:b/>
                <w:bCs/>
                <w:szCs w:val="21"/>
                <w:highlight w:val="none"/>
              </w:rPr>
              <w:t>分）</w:t>
            </w:r>
          </w:p>
          <w:p w14:paraId="12D0B20F">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提供的</w:t>
            </w:r>
            <w:r>
              <w:rPr>
                <w:rFonts w:hint="eastAsia" w:ascii="宋体" w:hAnsi="宋体" w:cs="宋体"/>
                <w:szCs w:val="21"/>
                <w:highlight w:val="none"/>
                <w:lang w:eastAsia="zh-CN"/>
              </w:rPr>
              <w:t>程序开发方案</w:t>
            </w:r>
            <w:r>
              <w:rPr>
                <w:rFonts w:hint="eastAsia" w:ascii="宋体" w:hAnsi="宋体" w:eastAsia="宋体" w:cs="宋体"/>
                <w:szCs w:val="21"/>
                <w:highlight w:val="none"/>
              </w:rPr>
              <w:t>应包含下列内容：①</w:t>
            </w:r>
            <w:r>
              <w:rPr>
                <w:rFonts w:hint="eastAsia" w:ascii="宋体" w:hAnsi="宋体" w:eastAsia="宋体" w:cs="宋体"/>
                <w:sz w:val="21"/>
                <w:szCs w:val="21"/>
              </w:rPr>
              <w:t>项目动态</w:t>
            </w:r>
            <w:r>
              <w:rPr>
                <w:rFonts w:hint="eastAsia" w:ascii="宋体" w:hAnsi="宋体" w:eastAsia="宋体" w:cs="宋体"/>
                <w:szCs w:val="21"/>
                <w:highlight w:val="none"/>
              </w:rPr>
              <w:t>；②</w:t>
            </w:r>
            <w:r>
              <w:rPr>
                <w:rFonts w:hint="eastAsia" w:ascii="宋体" w:hAnsi="宋体" w:eastAsia="宋体" w:cs="宋体"/>
                <w:sz w:val="21"/>
                <w:szCs w:val="21"/>
              </w:rPr>
              <w:t>项目列表</w:t>
            </w:r>
            <w:r>
              <w:rPr>
                <w:rFonts w:hint="eastAsia" w:ascii="宋体" w:hAnsi="宋体" w:eastAsia="宋体" w:cs="宋体"/>
                <w:szCs w:val="21"/>
                <w:highlight w:val="none"/>
              </w:rPr>
              <w:t>；③</w:t>
            </w:r>
            <w:r>
              <w:rPr>
                <w:rFonts w:hint="eastAsia" w:ascii="宋体" w:hAnsi="宋体" w:eastAsia="宋体" w:cs="宋体"/>
                <w:sz w:val="21"/>
                <w:szCs w:val="21"/>
              </w:rPr>
              <w:t>立项管理</w:t>
            </w:r>
            <w:r>
              <w:rPr>
                <w:rFonts w:hint="eastAsia" w:ascii="宋体" w:hAnsi="宋体" w:eastAsia="宋体" w:cs="宋体"/>
                <w:szCs w:val="21"/>
                <w:highlight w:val="none"/>
              </w:rPr>
              <w:t>；④</w:t>
            </w:r>
            <w:r>
              <w:rPr>
                <w:rFonts w:hint="eastAsia" w:ascii="宋体" w:hAnsi="宋体" w:eastAsia="宋体" w:cs="宋体"/>
                <w:sz w:val="21"/>
                <w:szCs w:val="21"/>
              </w:rPr>
              <w:t>造价管理</w:t>
            </w:r>
            <w:r>
              <w:rPr>
                <w:rFonts w:hint="eastAsia" w:ascii="宋体" w:hAnsi="宋体" w:eastAsia="宋体" w:cs="宋体"/>
                <w:szCs w:val="21"/>
                <w:highlight w:val="none"/>
              </w:rPr>
              <w:t>；⑤</w:t>
            </w:r>
            <w:r>
              <w:rPr>
                <w:rFonts w:hint="eastAsia" w:ascii="宋体" w:hAnsi="宋体" w:eastAsia="宋体" w:cs="宋体"/>
                <w:sz w:val="21"/>
                <w:szCs w:val="21"/>
              </w:rPr>
              <w:t>表单可视化编辑</w:t>
            </w:r>
            <w:r>
              <w:rPr>
                <w:rFonts w:hint="eastAsia" w:ascii="宋体" w:hAnsi="宋体" w:eastAsia="宋体" w:cs="宋体"/>
                <w:szCs w:val="21"/>
                <w:highlight w:val="none"/>
              </w:rPr>
              <w:t>。</w:t>
            </w:r>
          </w:p>
          <w:p w14:paraId="0639E0F3">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应针对各项内容分别进行阐述，</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将针对各项内容进行评审，</w:t>
            </w:r>
            <w:r>
              <w:rPr>
                <w:rFonts w:hint="eastAsia" w:ascii="宋体" w:hAnsi="宋体" w:eastAsia="宋体" w:cs="宋体"/>
                <w:szCs w:val="21"/>
                <w:highlight w:val="none"/>
                <w:lang w:eastAsia="zh-CN"/>
              </w:rPr>
              <w:t>投标人</w:t>
            </w:r>
            <w:r>
              <w:rPr>
                <w:rFonts w:hint="eastAsia" w:ascii="宋体" w:hAnsi="宋体" w:cs="宋体"/>
                <w:szCs w:val="21"/>
                <w:highlight w:val="none"/>
                <w:lang w:eastAsia="zh-CN"/>
              </w:rPr>
              <w:t>程序开发方案</w:t>
            </w:r>
            <w:r>
              <w:rPr>
                <w:rFonts w:hint="eastAsia" w:ascii="宋体" w:hAnsi="宋体" w:eastAsia="宋体" w:cs="宋体"/>
                <w:szCs w:val="21"/>
                <w:highlight w:val="none"/>
              </w:rPr>
              <w:t>评审评分按</w:t>
            </w:r>
            <w:r>
              <w:rPr>
                <w:rFonts w:hint="eastAsia" w:ascii="宋体" w:hAnsi="宋体" w:cs="宋体"/>
                <w:szCs w:val="21"/>
                <w:highlight w:val="none"/>
                <w:lang w:val="en-US" w:eastAsia="zh-CN"/>
              </w:rPr>
              <w:t>5</w:t>
            </w:r>
            <w:r>
              <w:rPr>
                <w:rFonts w:hint="eastAsia" w:ascii="宋体" w:hAnsi="宋体" w:eastAsia="宋体" w:cs="宋体"/>
                <w:szCs w:val="21"/>
                <w:highlight w:val="none"/>
              </w:rPr>
              <w:t>项内容累计计分，具体评审标准如下：</w:t>
            </w:r>
          </w:p>
          <w:p w14:paraId="6921DDA2">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(1)经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评审，认为单项内容阐述符合采购需求，能有效保证采购人本项目实施要求的，得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07DC177F">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(2)经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评审，认为单项内容阐述存在缺陷或逻辑错误或未对采购需求中相关工作内容进行完全响应的，得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p>
          <w:p w14:paraId="6A16BA45">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hint="eastAsia" w:ascii="宋体" w:hAnsi="宋体" w:eastAsia="宋体" w:cs="宋体"/>
                <w:szCs w:val="21"/>
                <w:highlight w:val="none"/>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p w14:paraId="387A87F5">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③软件测试</w:t>
            </w:r>
            <w:r>
              <w:rPr>
                <w:rFonts w:hint="eastAsia" w:ascii="宋体" w:hAnsi="宋体" w:cs="宋体"/>
                <w:b/>
                <w:bCs/>
                <w:szCs w:val="21"/>
                <w:highlight w:val="none"/>
                <w:lang w:val="en-US" w:eastAsia="zh-CN"/>
              </w:rPr>
              <w:t>方案</w:t>
            </w:r>
            <w:r>
              <w:rPr>
                <w:rFonts w:hint="eastAsia" w:ascii="宋体" w:hAnsi="宋体" w:eastAsia="宋体" w:cs="宋体"/>
                <w:b/>
                <w:bCs/>
                <w:szCs w:val="21"/>
                <w:highlight w:val="none"/>
              </w:rPr>
              <w:t>评审评分（满分</w:t>
            </w:r>
            <w:r>
              <w:rPr>
                <w:rFonts w:hint="eastAsia" w:ascii="宋体" w:hAnsi="宋体" w:cs="宋体"/>
                <w:b/>
                <w:bCs/>
                <w:szCs w:val="21"/>
                <w:highlight w:val="none"/>
                <w:lang w:val="en-US" w:eastAsia="zh-CN"/>
              </w:rPr>
              <w:t>10</w:t>
            </w:r>
            <w:r>
              <w:rPr>
                <w:rFonts w:hint="eastAsia" w:ascii="宋体" w:hAnsi="宋体" w:eastAsia="宋体" w:cs="宋体"/>
                <w:b/>
                <w:bCs/>
                <w:szCs w:val="21"/>
                <w:highlight w:val="none"/>
              </w:rPr>
              <w:t>分）</w:t>
            </w:r>
          </w:p>
          <w:p w14:paraId="6C39FD9A">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提供的</w:t>
            </w:r>
            <w:r>
              <w:rPr>
                <w:rFonts w:hint="eastAsia" w:ascii="宋体" w:hAnsi="宋体" w:cs="宋体"/>
                <w:szCs w:val="21"/>
                <w:highlight w:val="none"/>
                <w:lang w:eastAsia="zh-CN"/>
              </w:rPr>
              <w:t>软件测试方案</w:t>
            </w:r>
            <w:r>
              <w:rPr>
                <w:rFonts w:hint="eastAsia" w:ascii="宋体" w:hAnsi="宋体" w:eastAsia="宋体" w:cs="宋体"/>
                <w:szCs w:val="21"/>
                <w:highlight w:val="none"/>
              </w:rPr>
              <w:t>应包含下列内容：①</w:t>
            </w:r>
            <w:r>
              <w:rPr>
                <w:rFonts w:hint="eastAsia" w:ascii="宋体" w:hAnsi="宋体" w:eastAsia="宋体" w:cs="宋体"/>
                <w:sz w:val="21"/>
                <w:szCs w:val="21"/>
              </w:rPr>
              <w:t>单元测试</w:t>
            </w:r>
            <w:r>
              <w:rPr>
                <w:rFonts w:hint="eastAsia" w:ascii="宋体" w:hAnsi="宋体" w:eastAsia="宋体" w:cs="宋体"/>
                <w:szCs w:val="21"/>
                <w:highlight w:val="none"/>
              </w:rPr>
              <w:t>；②</w:t>
            </w:r>
            <w:r>
              <w:rPr>
                <w:rFonts w:hint="eastAsia" w:ascii="宋体" w:hAnsi="宋体" w:eastAsia="宋体" w:cs="宋体"/>
                <w:sz w:val="21"/>
                <w:szCs w:val="21"/>
              </w:rPr>
              <w:t>集成测试</w:t>
            </w:r>
            <w:r>
              <w:rPr>
                <w:rFonts w:hint="eastAsia" w:ascii="宋体" w:hAnsi="宋体" w:eastAsia="宋体" w:cs="宋体"/>
                <w:szCs w:val="21"/>
                <w:highlight w:val="none"/>
              </w:rPr>
              <w:t>；③</w:t>
            </w:r>
            <w:r>
              <w:rPr>
                <w:rFonts w:hint="eastAsia" w:ascii="宋体" w:hAnsi="宋体" w:eastAsia="宋体" w:cs="宋体"/>
                <w:sz w:val="21"/>
                <w:szCs w:val="21"/>
              </w:rPr>
              <w:t>系统测试</w:t>
            </w:r>
            <w:r>
              <w:rPr>
                <w:rFonts w:hint="eastAsia" w:ascii="宋体" w:hAnsi="宋体" w:eastAsia="宋体" w:cs="宋体"/>
                <w:szCs w:val="21"/>
                <w:highlight w:val="none"/>
              </w:rPr>
              <w:t>；④</w:t>
            </w:r>
            <w:r>
              <w:rPr>
                <w:rFonts w:hint="eastAsia" w:ascii="宋体" w:hAnsi="宋体" w:eastAsia="宋体" w:cs="宋体"/>
                <w:sz w:val="21"/>
                <w:szCs w:val="21"/>
              </w:rPr>
              <w:t>性能测试</w:t>
            </w:r>
            <w:r>
              <w:rPr>
                <w:rFonts w:hint="eastAsia" w:ascii="宋体" w:hAnsi="宋体" w:eastAsia="宋体" w:cs="宋体"/>
                <w:szCs w:val="21"/>
                <w:highlight w:val="none"/>
              </w:rPr>
              <w:t>；⑤</w:t>
            </w:r>
            <w:r>
              <w:rPr>
                <w:rFonts w:hint="eastAsia" w:ascii="宋体" w:hAnsi="宋体" w:eastAsia="宋体" w:cs="宋体"/>
                <w:sz w:val="21"/>
                <w:szCs w:val="21"/>
              </w:rPr>
              <w:t>安全测试</w:t>
            </w:r>
            <w:r>
              <w:rPr>
                <w:rFonts w:hint="eastAsia" w:ascii="宋体" w:hAnsi="宋体" w:eastAsia="宋体" w:cs="宋体"/>
                <w:szCs w:val="21"/>
                <w:highlight w:val="none"/>
              </w:rPr>
              <w:t>。</w:t>
            </w:r>
          </w:p>
          <w:p w14:paraId="2025AEE6">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应针对各项内容分别进行阐述，</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将针对各项内容进行评审，</w:t>
            </w:r>
            <w:r>
              <w:rPr>
                <w:rFonts w:hint="eastAsia" w:ascii="宋体" w:hAnsi="宋体" w:eastAsia="宋体" w:cs="宋体"/>
                <w:szCs w:val="21"/>
                <w:highlight w:val="none"/>
                <w:lang w:eastAsia="zh-CN"/>
              </w:rPr>
              <w:t>投标人</w:t>
            </w:r>
            <w:r>
              <w:rPr>
                <w:rFonts w:hint="eastAsia" w:ascii="宋体" w:hAnsi="宋体" w:cs="宋体"/>
                <w:szCs w:val="21"/>
                <w:highlight w:val="none"/>
                <w:lang w:eastAsia="zh-CN"/>
              </w:rPr>
              <w:t>软件测试方案</w:t>
            </w:r>
            <w:r>
              <w:rPr>
                <w:rFonts w:hint="eastAsia" w:ascii="宋体" w:hAnsi="宋体" w:eastAsia="宋体" w:cs="宋体"/>
                <w:szCs w:val="21"/>
                <w:highlight w:val="none"/>
              </w:rPr>
              <w:t>评审评分按</w:t>
            </w:r>
            <w:r>
              <w:rPr>
                <w:rFonts w:hint="eastAsia" w:ascii="宋体" w:hAnsi="宋体" w:cs="宋体"/>
                <w:szCs w:val="21"/>
                <w:highlight w:val="none"/>
                <w:lang w:val="en-US" w:eastAsia="zh-CN"/>
              </w:rPr>
              <w:t>5</w:t>
            </w:r>
            <w:r>
              <w:rPr>
                <w:rFonts w:hint="eastAsia" w:ascii="宋体" w:hAnsi="宋体" w:eastAsia="宋体" w:cs="宋体"/>
                <w:szCs w:val="21"/>
                <w:highlight w:val="none"/>
              </w:rPr>
              <w:t>项内容累计计分，具体评审标准如下：</w:t>
            </w:r>
          </w:p>
          <w:p w14:paraId="6062E998">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(1)经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评审，认为单项内容阐述符合采购需求，能有效保证采购人本项目实施要求的，得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4EEE3B51">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(2)经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评审，认为单项内容阐述存在缺陷或逻辑错误或未对采购需求中相关工作内容进行完全响应的，得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p>
          <w:p w14:paraId="3DA70A96">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hint="eastAsia" w:ascii="宋体" w:hAnsi="宋体" w:eastAsia="宋体" w:cs="宋体"/>
                <w:szCs w:val="21"/>
                <w:highlight w:val="none"/>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p w14:paraId="1687185D">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④部署实施</w:t>
            </w:r>
            <w:r>
              <w:rPr>
                <w:rFonts w:hint="eastAsia" w:ascii="宋体" w:hAnsi="宋体" w:cs="宋体"/>
                <w:b/>
                <w:bCs/>
                <w:szCs w:val="21"/>
                <w:highlight w:val="none"/>
                <w:lang w:val="en-US" w:eastAsia="zh-CN"/>
              </w:rPr>
              <w:t>方案</w:t>
            </w:r>
            <w:r>
              <w:rPr>
                <w:rFonts w:hint="eastAsia" w:ascii="宋体" w:hAnsi="宋体" w:eastAsia="宋体" w:cs="宋体"/>
                <w:b/>
                <w:bCs/>
                <w:szCs w:val="21"/>
                <w:highlight w:val="none"/>
              </w:rPr>
              <w:t>评审评分（满分</w:t>
            </w:r>
            <w:r>
              <w:rPr>
                <w:rFonts w:hint="eastAsia" w:ascii="宋体" w:hAnsi="宋体" w:cs="宋体"/>
                <w:b/>
                <w:bCs/>
                <w:szCs w:val="21"/>
                <w:highlight w:val="none"/>
                <w:lang w:val="en-US" w:eastAsia="zh-CN"/>
              </w:rPr>
              <w:t>9</w:t>
            </w:r>
            <w:r>
              <w:rPr>
                <w:rFonts w:hint="eastAsia" w:ascii="宋体" w:hAnsi="宋体" w:eastAsia="宋体" w:cs="宋体"/>
                <w:b/>
                <w:bCs/>
                <w:szCs w:val="21"/>
                <w:highlight w:val="none"/>
              </w:rPr>
              <w:t>分）</w:t>
            </w:r>
          </w:p>
          <w:p w14:paraId="620BEA0B">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提供的</w:t>
            </w:r>
            <w:r>
              <w:rPr>
                <w:rFonts w:hint="eastAsia" w:ascii="宋体" w:hAnsi="宋体" w:cs="宋体"/>
                <w:szCs w:val="21"/>
                <w:highlight w:val="none"/>
                <w:lang w:eastAsia="zh-CN"/>
              </w:rPr>
              <w:t>部署实施方案</w:t>
            </w:r>
            <w:r>
              <w:rPr>
                <w:rFonts w:hint="eastAsia" w:ascii="宋体" w:hAnsi="宋体" w:eastAsia="宋体" w:cs="宋体"/>
                <w:szCs w:val="21"/>
                <w:highlight w:val="none"/>
              </w:rPr>
              <w:t>应包含下列内容：①</w:t>
            </w:r>
            <w:r>
              <w:rPr>
                <w:rFonts w:hint="eastAsia" w:ascii="宋体" w:hAnsi="宋体" w:eastAsia="宋体" w:cs="宋体"/>
                <w:sz w:val="21"/>
                <w:szCs w:val="21"/>
              </w:rPr>
              <w:t>系统部署</w:t>
            </w:r>
            <w:r>
              <w:rPr>
                <w:rFonts w:hint="eastAsia" w:ascii="宋体" w:hAnsi="宋体" w:eastAsia="宋体" w:cs="宋体"/>
                <w:szCs w:val="21"/>
                <w:highlight w:val="none"/>
              </w:rPr>
              <w:t>；②</w:t>
            </w:r>
            <w:r>
              <w:rPr>
                <w:rFonts w:hint="eastAsia" w:ascii="宋体" w:hAnsi="宋体" w:eastAsia="宋体" w:cs="宋体"/>
                <w:sz w:val="21"/>
                <w:szCs w:val="21"/>
              </w:rPr>
              <w:t>环境配置</w:t>
            </w:r>
            <w:r>
              <w:rPr>
                <w:rFonts w:hint="eastAsia" w:ascii="宋体" w:hAnsi="宋体" w:eastAsia="宋体" w:cs="宋体"/>
                <w:szCs w:val="21"/>
                <w:highlight w:val="none"/>
              </w:rPr>
              <w:t>；③数据初始化。</w:t>
            </w:r>
          </w:p>
          <w:p w14:paraId="5A959C5F">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应针对各项内容分别进行阐述，</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将针对各项内容进行评审，</w:t>
            </w:r>
            <w:r>
              <w:rPr>
                <w:rFonts w:hint="eastAsia" w:ascii="宋体" w:hAnsi="宋体" w:eastAsia="宋体" w:cs="宋体"/>
                <w:szCs w:val="21"/>
                <w:highlight w:val="none"/>
                <w:lang w:eastAsia="zh-CN"/>
              </w:rPr>
              <w:t>投标人</w:t>
            </w:r>
            <w:r>
              <w:rPr>
                <w:rFonts w:hint="eastAsia" w:ascii="宋体" w:hAnsi="宋体" w:cs="宋体"/>
                <w:szCs w:val="21"/>
                <w:highlight w:val="none"/>
                <w:lang w:eastAsia="zh-CN"/>
              </w:rPr>
              <w:t>部署实施方案</w:t>
            </w:r>
            <w:r>
              <w:rPr>
                <w:rFonts w:hint="eastAsia" w:ascii="宋体" w:hAnsi="宋体" w:eastAsia="宋体" w:cs="宋体"/>
                <w:szCs w:val="21"/>
                <w:highlight w:val="none"/>
              </w:rPr>
              <w:t>评审评分按</w:t>
            </w:r>
            <w:r>
              <w:rPr>
                <w:rFonts w:hint="eastAsia" w:ascii="宋体" w:hAnsi="宋体" w:cs="宋体"/>
                <w:szCs w:val="21"/>
                <w:highlight w:val="none"/>
                <w:lang w:val="en-US" w:eastAsia="zh-CN"/>
              </w:rPr>
              <w:t>3</w:t>
            </w:r>
            <w:r>
              <w:rPr>
                <w:rFonts w:hint="eastAsia" w:ascii="宋体" w:hAnsi="宋体" w:eastAsia="宋体" w:cs="宋体"/>
                <w:szCs w:val="21"/>
                <w:highlight w:val="none"/>
              </w:rPr>
              <w:t>项内容累计计分，具体评审标准如下：</w:t>
            </w:r>
          </w:p>
          <w:p w14:paraId="60743345">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(1)经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评审，认为单项内容阐述符合采购需求，能有效保证采购人本项目实施要求的，得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p>
          <w:p w14:paraId="333FDC7D">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(2)经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评审，认为单项内容阐述存在缺陷或逻辑错误或未对采购需求中相关工作内容进行完全响应的，得</w:t>
            </w:r>
            <w:r>
              <w:rPr>
                <w:rFonts w:hint="eastAsia" w:ascii="宋体" w:hAnsi="宋体" w:cs="宋体"/>
                <w:szCs w:val="21"/>
                <w:highlight w:val="none"/>
                <w:lang w:val="en-US" w:eastAsia="zh-CN"/>
              </w:rPr>
              <w:t>1.5</w:t>
            </w:r>
            <w:r>
              <w:rPr>
                <w:rFonts w:hint="eastAsia" w:ascii="宋体" w:hAnsi="宋体" w:eastAsia="宋体" w:cs="宋体"/>
                <w:szCs w:val="21"/>
                <w:highlight w:val="none"/>
              </w:rPr>
              <w:t>分。</w:t>
            </w:r>
          </w:p>
          <w:p w14:paraId="64CCE089">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hint="eastAsia" w:ascii="宋体" w:hAnsi="宋体" w:eastAsia="宋体" w:cs="宋体"/>
                <w:szCs w:val="21"/>
                <w:highlight w:val="none"/>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p w14:paraId="4CFD8613">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⑤系统运行维护</w:t>
            </w:r>
            <w:r>
              <w:rPr>
                <w:rFonts w:hint="eastAsia" w:ascii="宋体" w:hAnsi="宋体" w:cs="宋体"/>
                <w:b/>
                <w:bCs/>
                <w:szCs w:val="21"/>
                <w:highlight w:val="none"/>
                <w:lang w:val="en-US" w:eastAsia="zh-CN"/>
              </w:rPr>
              <w:t>方案</w:t>
            </w:r>
            <w:r>
              <w:rPr>
                <w:rFonts w:hint="eastAsia" w:ascii="宋体" w:hAnsi="宋体" w:eastAsia="宋体" w:cs="宋体"/>
                <w:b/>
                <w:bCs/>
                <w:szCs w:val="21"/>
                <w:highlight w:val="none"/>
              </w:rPr>
              <w:t>评审评分（满分</w:t>
            </w:r>
            <w:r>
              <w:rPr>
                <w:rFonts w:hint="eastAsia" w:ascii="宋体" w:hAnsi="宋体" w:cs="宋体"/>
                <w:b/>
                <w:bCs/>
                <w:szCs w:val="21"/>
                <w:highlight w:val="none"/>
                <w:lang w:val="en-US" w:eastAsia="zh-CN"/>
              </w:rPr>
              <w:t>9</w:t>
            </w:r>
            <w:r>
              <w:rPr>
                <w:rFonts w:hint="eastAsia" w:ascii="宋体" w:hAnsi="宋体" w:eastAsia="宋体" w:cs="宋体"/>
                <w:b/>
                <w:bCs/>
                <w:szCs w:val="21"/>
                <w:highlight w:val="none"/>
              </w:rPr>
              <w:t>分）</w:t>
            </w:r>
          </w:p>
          <w:p w14:paraId="0D5AA573">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提供的</w:t>
            </w:r>
            <w:r>
              <w:rPr>
                <w:rFonts w:hint="eastAsia" w:ascii="宋体" w:hAnsi="宋体" w:cs="宋体"/>
                <w:szCs w:val="21"/>
                <w:highlight w:val="none"/>
                <w:lang w:eastAsia="zh-CN"/>
              </w:rPr>
              <w:t>系统运行维护方案</w:t>
            </w:r>
            <w:r>
              <w:rPr>
                <w:rFonts w:hint="eastAsia" w:ascii="宋体" w:hAnsi="宋体" w:eastAsia="宋体" w:cs="宋体"/>
                <w:szCs w:val="21"/>
                <w:highlight w:val="none"/>
              </w:rPr>
              <w:t>应包含下列内容：①运维管理思路；②</w:t>
            </w:r>
            <w:r>
              <w:rPr>
                <w:rFonts w:hint="eastAsia" w:ascii="宋体" w:hAnsi="宋体" w:eastAsia="宋体" w:cs="宋体"/>
                <w:sz w:val="21"/>
                <w:szCs w:val="21"/>
              </w:rPr>
              <w:t>运维组织体系建设</w:t>
            </w:r>
            <w:r>
              <w:rPr>
                <w:rFonts w:hint="eastAsia" w:ascii="宋体" w:hAnsi="宋体" w:eastAsia="宋体" w:cs="宋体"/>
                <w:szCs w:val="21"/>
                <w:highlight w:val="none"/>
              </w:rPr>
              <w:t>；③</w:t>
            </w:r>
            <w:r>
              <w:rPr>
                <w:rFonts w:hint="eastAsia" w:ascii="宋体" w:hAnsi="宋体" w:eastAsia="宋体" w:cs="宋体"/>
                <w:sz w:val="21"/>
                <w:szCs w:val="21"/>
              </w:rPr>
              <w:t>运维管理制度体系设计</w:t>
            </w:r>
            <w:r>
              <w:rPr>
                <w:rFonts w:hint="eastAsia" w:ascii="宋体" w:hAnsi="宋体" w:eastAsia="宋体" w:cs="宋体"/>
                <w:sz w:val="21"/>
                <w:szCs w:val="21"/>
                <w:lang w:eastAsia="zh-CN"/>
              </w:rPr>
              <w:t>。</w:t>
            </w:r>
          </w:p>
          <w:p w14:paraId="23E446AC">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应针对各项内容分别进行阐述，</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将针对各项内容进行评审，</w:t>
            </w:r>
            <w:r>
              <w:rPr>
                <w:rFonts w:hint="eastAsia" w:ascii="宋体" w:hAnsi="宋体" w:eastAsia="宋体" w:cs="宋体"/>
                <w:szCs w:val="21"/>
                <w:highlight w:val="none"/>
                <w:lang w:eastAsia="zh-CN"/>
              </w:rPr>
              <w:t>投标人</w:t>
            </w:r>
            <w:r>
              <w:rPr>
                <w:rFonts w:hint="eastAsia" w:ascii="宋体" w:hAnsi="宋体" w:cs="宋体"/>
                <w:szCs w:val="21"/>
                <w:highlight w:val="none"/>
                <w:lang w:eastAsia="zh-CN"/>
              </w:rPr>
              <w:t>系统运行维护方案</w:t>
            </w:r>
            <w:r>
              <w:rPr>
                <w:rFonts w:hint="eastAsia" w:ascii="宋体" w:hAnsi="宋体" w:eastAsia="宋体" w:cs="宋体"/>
                <w:szCs w:val="21"/>
                <w:highlight w:val="none"/>
              </w:rPr>
              <w:t>评审评分按</w:t>
            </w:r>
            <w:r>
              <w:rPr>
                <w:rFonts w:hint="eastAsia" w:ascii="宋体" w:hAnsi="宋体" w:cs="宋体"/>
                <w:szCs w:val="21"/>
                <w:highlight w:val="none"/>
                <w:lang w:val="en-US" w:eastAsia="zh-CN"/>
              </w:rPr>
              <w:t>3</w:t>
            </w:r>
            <w:r>
              <w:rPr>
                <w:rFonts w:hint="eastAsia" w:ascii="宋体" w:hAnsi="宋体" w:eastAsia="宋体" w:cs="宋体"/>
                <w:szCs w:val="21"/>
                <w:highlight w:val="none"/>
              </w:rPr>
              <w:t>项内容累计计分，具体评审标准如下：</w:t>
            </w:r>
          </w:p>
          <w:p w14:paraId="5E3E73CA">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(1)经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评审，认为单项内容阐述符合采购需求，能有效保证采购人本项目实施要求的，得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p>
          <w:p w14:paraId="7C091209">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(2)经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评审，认为单项内容阐述存在缺陷或逻辑错误或未对采购需求中相关工作内容进行完全响应的，得</w:t>
            </w:r>
            <w:r>
              <w:rPr>
                <w:rFonts w:hint="eastAsia" w:ascii="宋体" w:hAnsi="宋体" w:cs="宋体"/>
                <w:szCs w:val="21"/>
                <w:highlight w:val="none"/>
                <w:lang w:val="en-US" w:eastAsia="zh-CN"/>
              </w:rPr>
              <w:t>1.5</w:t>
            </w:r>
            <w:r>
              <w:rPr>
                <w:rFonts w:hint="eastAsia" w:ascii="宋体" w:hAnsi="宋体" w:eastAsia="宋体" w:cs="宋体"/>
                <w:szCs w:val="21"/>
                <w:highlight w:val="none"/>
              </w:rPr>
              <w:t>分。</w:t>
            </w:r>
          </w:p>
          <w:p w14:paraId="27C9E3F3">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hint="eastAsia" w:ascii="宋体" w:hAnsi="宋体" w:eastAsia="宋体" w:cs="宋体"/>
                <w:szCs w:val="21"/>
                <w:highlight w:val="none"/>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tc>
      </w:tr>
      <w:tr w14:paraId="7C3F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565F906">
            <w:pPr>
              <w:keepNext/>
              <w:spacing w:line="360" w:lineRule="auto"/>
              <w:rPr>
                <w:rFonts w:ascii="宋体" w:hAnsi="宋体" w:cs="宋体"/>
                <w:color w:val="auto"/>
                <w:szCs w:val="21"/>
              </w:rPr>
            </w:pPr>
          </w:p>
        </w:tc>
        <w:tc>
          <w:tcPr>
            <w:tcW w:w="836" w:type="dxa"/>
            <w:vMerge w:val="continue"/>
            <w:vAlign w:val="center"/>
          </w:tcPr>
          <w:p w14:paraId="56B53C7F">
            <w:pPr>
              <w:keepNext/>
              <w:spacing w:line="360" w:lineRule="auto"/>
              <w:rPr>
                <w:rFonts w:ascii="宋体" w:hAnsi="宋体" w:cs="宋体"/>
                <w:color w:val="auto"/>
                <w:szCs w:val="21"/>
              </w:rPr>
            </w:pPr>
          </w:p>
        </w:tc>
        <w:tc>
          <w:tcPr>
            <w:tcW w:w="2001" w:type="dxa"/>
            <w:vMerge w:val="continue"/>
            <w:vAlign w:val="center"/>
          </w:tcPr>
          <w:p w14:paraId="488B99E8">
            <w:pPr>
              <w:keepNext/>
              <w:spacing w:line="360" w:lineRule="auto"/>
              <w:rPr>
                <w:rFonts w:ascii="宋体" w:hAnsi="宋体" w:cs="宋体"/>
                <w:color w:val="auto"/>
                <w:szCs w:val="21"/>
              </w:rPr>
            </w:pPr>
          </w:p>
        </w:tc>
        <w:tc>
          <w:tcPr>
            <w:tcW w:w="5747" w:type="dxa"/>
            <w:vAlign w:val="center"/>
          </w:tcPr>
          <w:p w14:paraId="2E5B0C48">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2）项目服务团队人员配备评</w:t>
            </w:r>
            <w:r>
              <w:rPr>
                <w:rFonts w:hint="eastAsia" w:ascii="宋体" w:hAnsi="宋体" w:eastAsia="宋体" w:cs="宋体"/>
                <w:b/>
                <w:bCs/>
                <w:szCs w:val="21"/>
                <w:highlight w:val="none"/>
              </w:rPr>
              <w:t>审评分</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满分1</w:t>
            </w:r>
            <w:r>
              <w:rPr>
                <w:rFonts w:hint="eastAsia" w:ascii="宋体" w:hAnsi="宋体" w:cs="宋体"/>
                <w:b/>
                <w:bCs/>
                <w:szCs w:val="21"/>
                <w:highlight w:val="none"/>
                <w:lang w:val="en-US" w:eastAsia="zh-CN"/>
              </w:rPr>
              <w:t>0</w:t>
            </w:r>
            <w:r>
              <w:rPr>
                <w:rFonts w:hint="eastAsia" w:ascii="宋体" w:hAnsi="宋体" w:eastAsia="宋体" w:cs="宋体"/>
                <w:b/>
                <w:bCs/>
                <w:szCs w:val="21"/>
                <w:highlight w:val="none"/>
                <w:lang w:val="en-US" w:eastAsia="zh-CN"/>
              </w:rPr>
              <w:t>分</w:t>
            </w:r>
            <w:r>
              <w:rPr>
                <w:rFonts w:hint="eastAsia" w:ascii="宋体" w:hAnsi="宋体" w:eastAsia="宋体" w:cs="宋体"/>
                <w:b/>
                <w:bCs/>
                <w:szCs w:val="21"/>
                <w:highlight w:val="none"/>
                <w:lang w:eastAsia="zh-CN"/>
              </w:rPr>
              <w:t>）</w:t>
            </w:r>
          </w:p>
          <w:p w14:paraId="4A40FCE0">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cs="宋体"/>
                <w:szCs w:val="21"/>
                <w:highlight w:val="none"/>
                <w:lang w:val="en-US" w:eastAsia="zh-CN"/>
              </w:rPr>
            </w:pPr>
            <w:r>
              <w:rPr>
                <w:rFonts w:hint="eastAsia" w:ascii="宋体" w:hAnsi="宋体" w:cs="宋体"/>
                <w:szCs w:val="21"/>
                <w:highlight w:val="none"/>
                <w:lang w:val="en-US" w:eastAsia="zh-CN"/>
              </w:rPr>
              <w:t>在满足招标文件第五章采购需求的情况下按以下内容进行评分</w:t>
            </w:r>
          </w:p>
          <w:p w14:paraId="18CD9DAB">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①投标人拟派往本项目的项目服务团队人员每提供1</w:t>
            </w:r>
            <w:r>
              <w:rPr>
                <w:rFonts w:hint="eastAsia" w:ascii="宋体" w:hAnsi="宋体" w:cs="宋体"/>
                <w:b/>
                <w:bCs/>
                <w:szCs w:val="21"/>
                <w:highlight w:val="none"/>
                <w:lang w:val="en-US" w:eastAsia="zh-CN"/>
              </w:rPr>
              <w:t>人得1分，满分3</w:t>
            </w:r>
            <w:r>
              <w:rPr>
                <w:rFonts w:hint="eastAsia" w:ascii="宋体" w:hAnsi="宋体" w:eastAsia="宋体" w:cs="宋体"/>
                <w:b/>
                <w:bCs/>
                <w:szCs w:val="21"/>
                <w:highlight w:val="none"/>
              </w:rPr>
              <w:t>分。</w:t>
            </w:r>
          </w:p>
          <w:p w14:paraId="1CC67B1D">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②</w:t>
            </w:r>
            <w:r>
              <w:rPr>
                <w:rFonts w:hint="eastAsia" w:ascii="宋体" w:hAnsi="宋体" w:eastAsia="宋体" w:cs="宋体"/>
                <w:b/>
                <w:bCs/>
                <w:szCs w:val="21"/>
                <w:highlight w:val="none"/>
                <w:lang w:eastAsia="zh-CN"/>
              </w:rPr>
              <w:t>投标人</w:t>
            </w:r>
            <w:r>
              <w:rPr>
                <w:rFonts w:hint="eastAsia" w:ascii="宋体" w:hAnsi="宋体" w:eastAsia="宋体" w:cs="宋体"/>
                <w:b/>
                <w:bCs/>
                <w:szCs w:val="21"/>
                <w:highlight w:val="none"/>
              </w:rPr>
              <w:t>拟派往本项目的</w:t>
            </w:r>
            <w:r>
              <w:rPr>
                <w:rFonts w:hint="eastAsia" w:ascii="宋体" w:hAnsi="宋体" w:eastAsia="宋体" w:cs="宋体"/>
                <w:b/>
                <w:bCs/>
                <w:szCs w:val="21"/>
                <w:highlight w:val="none"/>
                <w:lang w:val="en-US" w:eastAsia="zh-CN"/>
              </w:rPr>
              <w:t>项目服务团队人员中每有1人</w:t>
            </w:r>
            <w:r>
              <w:rPr>
                <w:rFonts w:hint="eastAsia" w:ascii="宋体" w:hAnsi="宋体" w:cs="宋体"/>
                <w:b/>
                <w:bCs/>
                <w:szCs w:val="21"/>
                <w:highlight w:val="none"/>
                <w:lang w:val="en-US" w:eastAsia="zh-CN"/>
              </w:rPr>
              <w:t>具备计算机相关学历的</w:t>
            </w:r>
            <w:r>
              <w:rPr>
                <w:rFonts w:hint="eastAsia" w:ascii="宋体" w:hAnsi="宋体" w:eastAsia="宋体" w:cs="宋体"/>
                <w:b/>
                <w:bCs/>
                <w:szCs w:val="21"/>
                <w:highlight w:val="none"/>
              </w:rPr>
              <w:t>得</w:t>
            </w:r>
            <w:r>
              <w:rPr>
                <w:rFonts w:hint="eastAsia" w:ascii="宋体" w:hAnsi="宋体" w:cs="宋体"/>
                <w:b/>
                <w:bCs/>
                <w:szCs w:val="21"/>
                <w:highlight w:val="none"/>
                <w:lang w:val="en-US" w:eastAsia="zh-CN"/>
              </w:rPr>
              <w:t>1</w:t>
            </w:r>
            <w:r>
              <w:rPr>
                <w:rFonts w:hint="eastAsia" w:ascii="宋体" w:hAnsi="宋体" w:eastAsia="宋体" w:cs="宋体"/>
                <w:b/>
                <w:bCs/>
                <w:szCs w:val="21"/>
                <w:highlight w:val="none"/>
              </w:rPr>
              <w:t>分</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满分3分</w:t>
            </w:r>
            <w:r>
              <w:rPr>
                <w:rFonts w:hint="eastAsia" w:ascii="宋体" w:hAnsi="宋体" w:eastAsia="宋体" w:cs="宋体"/>
                <w:b/>
                <w:bCs/>
                <w:szCs w:val="21"/>
                <w:highlight w:val="none"/>
              </w:rPr>
              <w:t>。</w:t>
            </w:r>
          </w:p>
          <w:p w14:paraId="214675E6">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cs="宋体"/>
                <w:b/>
                <w:bCs/>
                <w:szCs w:val="21"/>
                <w:highlight w:val="none"/>
                <w:lang w:val="en-US" w:eastAsia="zh-CN"/>
              </w:rPr>
              <w:t>③项目团队人员组成方案</w:t>
            </w:r>
            <w:r>
              <w:rPr>
                <w:rFonts w:hint="eastAsia" w:ascii="宋体" w:hAnsi="宋体" w:eastAsia="宋体" w:cs="宋体"/>
                <w:b/>
                <w:bCs/>
                <w:szCs w:val="21"/>
                <w:highlight w:val="none"/>
              </w:rPr>
              <w:t>评审评分（满分</w:t>
            </w:r>
            <w:r>
              <w:rPr>
                <w:rFonts w:hint="eastAsia" w:ascii="宋体" w:hAnsi="宋体" w:cs="宋体"/>
                <w:b/>
                <w:bCs/>
                <w:szCs w:val="21"/>
                <w:highlight w:val="none"/>
                <w:lang w:val="en-US" w:eastAsia="zh-CN"/>
              </w:rPr>
              <w:t>4</w:t>
            </w:r>
            <w:r>
              <w:rPr>
                <w:rFonts w:hint="eastAsia" w:ascii="宋体" w:hAnsi="宋体" w:eastAsia="宋体" w:cs="宋体"/>
                <w:b/>
                <w:bCs/>
                <w:szCs w:val="21"/>
                <w:highlight w:val="none"/>
              </w:rPr>
              <w:t>分）</w:t>
            </w:r>
          </w:p>
          <w:p w14:paraId="2E7F4B98">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提供的</w:t>
            </w:r>
            <w:r>
              <w:rPr>
                <w:rFonts w:hint="eastAsia" w:ascii="宋体" w:hAnsi="宋体" w:cs="宋体"/>
                <w:szCs w:val="21"/>
                <w:highlight w:val="none"/>
                <w:lang w:eastAsia="zh-CN"/>
              </w:rPr>
              <w:t>项目团队人员组成方案</w:t>
            </w:r>
            <w:r>
              <w:rPr>
                <w:rFonts w:hint="eastAsia" w:ascii="宋体" w:hAnsi="宋体" w:eastAsia="宋体" w:cs="宋体"/>
                <w:szCs w:val="21"/>
                <w:highlight w:val="none"/>
              </w:rPr>
              <w:t>应包含下列内容：①人员职责划</w:t>
            </w:r>
            <w:r>
              <w:rPr>
                <w:rFonts w:hint="eastAsia" w:ascii="宋体" w:hAnsi="宋体" w:cs="宋体"/>
                <w:szCs w:val="21"/>
                <w:highlight w:val="none"/>
                <w:lang w:val="en-US" w:eastAsia="zh-CN"/>
              </w:rPr>
              <w:t>分</w:t>
            </w:r>
            <w:r>
              <w:rPr>
                <w:rFonts w:hint="eastAsia" w:ascii="宋体" w:hAnsi="宋体" w:eastAsia="宋体" w:cs="宋体"/>
                <w:szCs w:val="21"/>
                <w:highlight w:val="none"/>
              </w:rPr>
              <w:t>；②</w:t>
            </w:r>
            <w:r>
              <w:rPr>
                <w:rFonts w:hint="eastAsia" w:ascii="宋体" w:hAnsi="宋体" w:cs="宋体"/>
                <w:sz w:val="21"/>
                <w:szCs w:val="21"/>
                <w:lang w:val="en-US" w:eastAsia="zh-CN"/>
              </w:rPr>
              <w:t>人员管理</w:t>
            </w:r>
            <w:r>
              <w:rPr>
                <w:rFonts w:hint="eastAsia" w:ascii="宋体" w:hAnsi="宋体" w:eastAsia="宋体" w:cs="宋体"/>
                <w:sz w:val="21"/>
                <w:szCs w:val="21"/>
                <w:lang w:eastAsia="zh-CN"/>
              </w:rPr>
              <w:t>。</w:t>
            </w:r>
          </w:p>
          <w:p w14:paraId="3A2A898E">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应针对各项内容分别进行阐述，</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将针对各项内容进行评审，</w:t>
            </w:r>
            <w:r>
              <w:rPr>
                <w:rFonts w:hint="eastAsia" w:ascii="宋体" w:hAnsi="宋体" w:eastAsia="宋体" w:cs="宋体"/>
                <w:szCs w:val="21"/>
                <w:highlight w:val="none"/>
                <w:lang w:eastAsia="zh-CN"/>
              </w:rPr>
              <w:t>投</w:t>
            </w:r>
            <w:bookmarkStart w:id="139" w:name="_GoBack"/>
            <w:bookmarkEnd w:id="139"/>
            <w:r>
              <w:rPr>
                <w:rFonts w:hint="eastAsia" w:ascii="宋体" w:hAnsi="宋体" w:eastAsia="宋体" w:cs="宋体"/>
                <w:szCs w:val="21"/>
                <w:highlight w:val="none"/>
                <w:lang w:eastAsia="zh-CN"/>
              </w:rPr>
              <w:t>标人</w:t>
            </w:r>
            <w:r>
              <w:rPr>
                <w:rFonts w:hint="eastAsia" w:ascii="宋体" w:hAnsi="宋体" w:cs="宋体"/>
                <w:szCs w:val="21"/>
                <w:highlight w:val="none"/>
                <w:lang w:eastAsia="zh-CN"/>
              </w:rPr>
              <w:t>项目团队人员组成方案</w:t>
            </w:r>
            <w:r>
              <w:rPr>
                <w:rFonts w:hint="eastAsia" w:ascii="宋体" w:hAnsi="宋体" w:eastAsia="宋体" w:cs="宋体"/>
                <w:szCs w:val="21"/>
                <w:highlight w:val="none"/>
              </w:rPr>
              <w:t>评审评分按</w:t>
            </w:r>
            <w:r>
              <w:rPr>
                <w:rFonts w:hint="eastAsia" w:ascii="宋体" w:hAnsi="宋体" w:cs="宋体"/>
                <w:szCs w:val="21"/>
                <w:highlight w:val="none"/>
                <w:lang w:val="en-US" w:eastAsia="zh-CN"/>
              </w:rPr>
              <w:t>3</w:t>
            </w:r>
            <w:r>
              <w:rPr>
                <w:rFonts w:hint="eastAsia" w:ascii="宋体" w:hAnsi="宋体" w:eastAsia="宋体" w:cs="宋体"/>
                <w:szCs w:val="21"/>
                <w:highlight w:val="none"/>
              </w:rPr>
              <w:t>项内容累计计分，具体评审标准如下：</w:t>
            </w:r>
          </w:p>
          <w:p w14:paraId="24624576">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(1)经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评审，认为单项内容阐述符合采购需求，能有效保证采购人本项目实施要求的，得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3726F636">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(2)经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评审，认为单项内容阐述存在缺陷或逻辑错误或未对采购需求中相关工作内容进行完全响应的，得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p>
          <w:p w14:paraId="1C651F2E">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red"/>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p w14:paraId="3901ED34">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asciiTheme="minorEastAsia" w:hAnsiTheme="minorEastAsia" w:cstheme="minorEastAsia"/>
                <w:color w:val="auto"/>
                <w:szCs w:val="21"/>
              </w:rPr>
            </w:pPr>
            <w:r>
              <w:rPr>
                <w:rFonts w:hint="eastAsia" w:ascii="宋体" w:hAnsi="宋体" w:eastAsia="宋体" w:cs="宋体"/>
                <w:szCs w:val="21"/>
                <w:highlight w:val="none"/>
              </w:rPr>
              <w:t>注：</w:t>
            </w:r>
            <w:r>
              <w:rPr>
                <w:rFonts w:hint="eastAsia" w:ascii="宋体" w:hAnsi="宋体" w:eastAsia="宋体" w:cs="宋体"/>
                <w:szCs w:val="21"/>
                <w:highlight w:val="none"/>
                <w:lang w:eastAsia="zh-CN"/>
              </w:rPr>
              <w:t>投标文件</w:t>
            </w:r>
            <w:r>
              <w:rPr>
                <w:rFonts w:hint="eastAsia" w:ascii="宋体" w:hAnsi="宋体" w:eastAsia="宋体" w:cs="宋体"/>
                <w:szCs w:val="21"/>
                <w:highlight w:val="none"/>
              </w:rPr>
              <w:t>中须提供《项目组成员配备表》及相对应的人员证明材料（扫描件加盖</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电子公章），人员证明材料为身份证、职称证或专业技术职业资格（资质）证书（如有）、</w:t>
            </w:r>
            <w:r>
              <w:rPr>
                <w:rFonts w:hint="eastAsia" w:ascii="宋体" w:hAnsi="宋体" w:cs="宋体"/>
                <w:szCs w:val="21"/>
                <w:highlight w:val="none"/>
                <w:lang w:val="en-US" w:eastAsia="zh-CN"/>
              </w:rPr>
              <w:t>学历证明材料、</w:t>
            </w:r>
            <w:r>
              <w:rPr>
                <w:rFonts w:hint="eastAsia" w:ascii="宋体" w:hAnsi="宋体" w:eastAsia="宋体" w:cs="宋体"/>
                <w:szCs w:val="21"/>
                <w:highlight w:val="none"/>
              </w:rPr>
              <w:t>劳动合同、社保缴纳证明（提供缴费所属时间在2024年01月至本项目</w:t>
            </w:r>
            <w:r>
              <w:rPr>
                <w:rFonts w:hint="eastAsia" w:ascii="宋体" w:hAnsi="宋体" w:eastAsia="宋体" w:cs="宋体"/>
                <w:szCs w:val="21"/>
                <w:highlight w:val="none"/>
                <w:lang w:eastAsia="zh-CN"/>
              </w:rPr>
              <w:t>投标文件</w:t>
            </w:r>
            <w:r>
              <w:rPr>
                <w:rFonts w:hint="eastAsia" w:ascii="宋体" w:hAnsi="宋体" w:eastAsia="宋体" w:cs="宋体"/>
                <w:szCs w:val="21"/>
                <w:highlight w:val="none"/>
              </w:rPr>
              <w:t>提交截止时间前任意3个月的社会保险费缴款书或银行电子缴税（费）凭证或社保管理部门出具的有效的缴款证明，社保缴纳证明中缴费单位须为</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本单位）。</w:t>
            </w:r>
            <w:r>
              <w:rPr>
                <w:rFonts w:hint="eastAsia" w:ascii="宋体" w:hAnsi="宋体" w:eastAsia="宋体" w:cs="宋体"/>
                <w:szCs w:val="21"/>
                <w:highlight w:val="none"/>
                <w:lang w:eastAsia="zh-CN"/>
              </w:rPr>
              <w:t>未按要求提供证明材料或证明材料无法体现具体内容视为未提供证明材料，未提供证明材料的本项评审不得分</w:t>
            </w:r>
            <w:r>
              <w:rPr>
                <w:rFonts w:hint="eastAsia" w:ascii="宋体" w:hAnsi="宋体" w:eastAsia="宋体" w:cs="宋体"/>
                <w:szCs w:val="21"/>
                <w:highlight w:val="none"/>
              </w:rPr>
              <w:t>。</w:t>
            </w:r>
          </w:p>
        </w:tc>
      </w:tr>
      <w:tr w14:paraId="5EC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15F44865">
            <w:pPr>
              <w:keepNext/>
              <w:spacing w:line="360" w:lineRule="auto"/>
              <w:rPr>
                <w:rFonts w:ascii="宋体" w:hAnsi="宋体" w:cs="宋体"/>
                <w:color w:val="auto"/>
                <w:szCs w:val="21"/>
              </w:rPr>
            </w:pPr>
          </w:p>
        </w:tc>
        <w:tc>
          <w:tcPr>
            <w:tcW w:w="836" w:type="dxa"/>
            <w:vMerge w:val="continue"/>
            <w:vAlign w:val="center"/>
          </w:tcPr>
          <w:p w14:paraId="2B421859">
            <w:pPr>
              <w:keepNext/>
              <w:spacing w:line="360" w:lineRule="auto"/>
              <w:rPr>
                <w:rFonts w:ascii="宋体" w:hAnsi="宋体" w:cs="宋体"/>
                <w:color w:val="auto"/>
                <w:szCs w:val="21"/>
              </w:rPr>
            </w:pPr>
          </w:p>
        </w:tc>
        <w:tc>
          <w:tcPr>
            <w:tcW w:w="2001" w:type="dxa"/>
            <w:vMerge w:val="continue"/>
            <w:vAlign w:val="center"/>
          </w:tcPr>
          <w:p w14:paraId="663B4253">
            <w:pPr>
              <w:keepNext/>
              <w:spacing w:line="360" w:lineRule="auto"/>
              <w:rPr>
                <w:rFonts w:ascii="宋体" w:hAnsi="宋体" w:cs="宋体"/>
                <w:color w:val="auto"/>
                <w:szCs w:val="21"/>
              </w:rPr>
            </w:pPr>
          </w:p>
        </w:tc>
        <w:tc>
          <w:tcPr>
            <w:tcW w:w="5747" w:type="dxa"/>
            <w:vAlign w:val="center"/>
          </w:tcPr>
          <w:p w14:paraId="1178107A">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时间进度计划安排及应急响应</w:t>
            </w:r>
            <w:r>
              <w:rPr>
                <w:rFonts w:hint="eastAsia" w:ascii="宋体" w:hAnsi="宋体" w:eastAsia="宋体" w:cs="宋体"/>
                <w:b/>
                <w:bCs/>
                <w:szCs w:val="21"/>
                <w:highlight w:val="none"/>
              </w:rPr>
              <w:t>评审评分（满分</w:t>
            </w:r>
            <w:r>
              <w:rPr>
                <w:rFonts w:hint="eastAsia" w:ascii="宋体" w:hAnsi="宋体" w:eastAsia="宋体" w:cs="宋体"/>
                <w:b/>
                <w:bCs/>
                <w:szCs w:val="21"/>
                <w:highlight w:val="none"/>
                <w:lang w:val="en-US" w:eastAsia="zh-CN"/>
              </w:rPr>
              <w:t>6</w:t>
            </w:r>
            <w:r>
              <w:rPr>
                <w:rFonts w:hint="eastAsia" w:ascii="宋体" w:hAnsi="宋体" w:eastAsia="宋体" w:cs="宋体"/>
                <w:b/>
                <w:bCs/>
                <w:szCs w:val="21"/>
                <w:highlight w:val="none"/>
              </w:rPr>
              <w:t>分）</w:t>
            </w:r>
          </w:p>
          <w:p w14:paraId="59B24F1F">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提供的</w:t>
            </w:r>
            <w:r>
              <w:rPr>
                <w:rFonts w:hint="eastAsia" w:ascii="宋体" w:hAnsi="宋体" w:eastAsia="宋体" w:cs="宋体"/>
                <w:szCs w:val="21"/>
                <w:highlight w:val="none"/>
                <w:lang w:eastAsia="zh-CN"/>
              </w:rPr>
              <w:t>时间进度计划安排及应急响应</w:t>
            </w:r>
            <w:r>
              <w:rPr>
                <w:rFonts w:hint="eastAsia" w:ascii="宋体" w:hAnsi="宋体" w:eastAsia="宋体" w:cs="宋体"/>
                <w:szCs w:val="21"/>
                <w:highlight w:val="none"/>
              </w:rPr>
              <w:t>应包含下列内容：①</w:t>
            </w:r>
            <w:r>
              <w:rPr>
                <w:rFonts w:hint="eastAsia" w:ascii="宋体" w:hAnsi="宋体" w:eastAsia="宋体" w:cs="宋体"/>
                <w:szCs w:val="21"/>
                <w:highlight w:val="none"/>
                <w:lang w:val="en-US" w:eastAsia="zh-CN"/>
              </w:rPr>
              <w:t>时间</w:t>
            </w:r>
            <w:r>
              <w:rPr>
                <w:rFonts w:hint="eastAsia" w:ascii="宋体" w:hAnsi="宋体" w:eastAsia="宋体" w:cs="宋体"/>
                <w:szCs w:val="21"/>
                <w:highlight w:val="none"/>
              </w:rPr>
              <w:t>进度管理方案；②</w:t>
            </w:r>
            <w:r>
              <w:rPr>
                <w:rFonts w:hint="eastAsia" w:ascii="宋体" w:hAnsi="宋体" w:eastAsia="宋体" w:cs="宋体"/>
                <w:szCs w:val="21"/>
                <w:highlight w:val="none"/>
                <w:lang w:val="en-US" w:eastAsia="zh-CN"/>
              </w:rPr>
              <w:t>进度计划保障措施；③应急响应时效。</w:t>
            </w:r>
          </w:p>
          <w:p w14:paraId="643A9FB8">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val="en-US" w:eastAsia="zh-CN"/>
              </w:rPr>
              <w:t>投标人应针对各项内容分别进行阐述，</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将针对各项内容进行评审，</w:t>
            </w:r>
            <w:r>
              <w:rPr>
                <w:rFonts w:hint="eastAsia" w:ascii="宋体" w:hAnsi="宋体" w:eastAsia="宋体" w:cs="宋体"/>
                <w:szCs w:val="21"/>
                <w:highlight w:val="none"/>
                <w:lang w:eastAsia="zh-CN"/>
              </w:rPr>
              <w:t>投标人时间进度计划安排及应急响应</w:t>
            </w:r>
            <w:r>
              <w:rPr>
                <w:rFonts w:hint="eastAsia" w:ascii="宋体" w:hAnsi="宋体" w:eastAsia="宋体" w:cs="宋体"/>
                <w:szCs w:val="21"/>
                <w:highlight w:val="none"/>
              </w:rPr>
              <w:t>评审评分按</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项内容累计计分，具体评审标准如下：</w:t>
            </w:r>
          </w:p>
          <w:p w14:paraId="75CF776A">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(1)经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评审，认为单项内容阐述符合采购需求，能有效保证采购人本项目实施要求的，得2分。</w:t>
            </w:r>
          </w:p>
          <w:p w14:paraId="57E6255E">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(2)经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评审，认为单项内容阐述存在缺陷或逻辑错误或未对采购需求中相关工作内容进行完全响应的，得1分。</w:t>
            </w:r>
          </w:p>
          <w:p w14:paraId="14A6669F">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asciiTheme="minorEastAsia" w:hAnsiTheme="minorEastAsia" w:eastAsiaTheme="minorEastAsia" w:cstheme="minorEastAsia"/>
                <w:color w:val="auto"/>
                <w:szCs w:val="21"/>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tc>
      </w:tr>
      <w:tr w14:paraId="5B72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1138108">
            <w:pPr>
              <w:keepNext/>
              <w:spacing w:line="360" w:lineRule="auto"/>
              <w:rPr>
                <w:rFonts w:ascii="宋体" w:hAnsi="宋体" w:cs="宋体"/>
                <w:color w:val="auto"/>
                <w:szCs w:val="21"/>
              </w:rPr>
            </w:pPr>
          </w:p>
        </w:tc>
        <w:tc>
          <w:tcPr>
            <w:tcW w:w="836" w:type="dxa"/>
            <w:vMerge w:val="continue"/>
            <w:vAlign w:val="center"/>
          </w:tcPr>
          <w:p w14:paraId="3242F79C">
            <w:pPr>
              <w:keepNext/>
              <w:spacing w:line="360" w:lineRule="auto"/>
              <w:rPr>
                <w:rFonts w:ascii="宋体" w:hAnsi="宋体" w:cs="宋体"/>
                <w:color w:val="auto"/>
                <w:szCs w:val="21"/>
              </w:rPr>
            </w:pPr>
          </w:p>
        </w:tc>
        <w:tc>
          <w:tcPr>
            <w:tcW w:w="2001" w:type="dxa"/>
            <w:vMerge w:val="continue"/>
            <w:vAlign w:val="center"/>
          </w:tcPr>
          <w:p w14:paraId="31C6C9EA">
            <w:pPr>
              <w:keepNext/>
              <w:spacing w:line="360" w:lineRule="auto"/>
              <w:rPr>
                <w:rFonts w:ascii="宋体" w:hAnsi="宋体" w:cs="宋体"/>
                <w:color w:val="auto"/>
                <w:szCs w:val="21"/>
              </w:rPr>
            </w:pPr>
          </w:p>
        </w:tc>
        <w:tc>
          <w:tcPr>
            <w:tcW w:w="5747" w:type="dxa"/>
            <w:vAlign w:val="center"/>
          </w:tcPr>
          <w:p w14:paraId="43C13D68">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）培训方案评审评分（满分4分）</w:t>
            </w:r>
          </w:p>
          <w:p w14:paraId="08019FAF">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提供的培训方案应包含下列内容：①培训对象与方式；②培训课程安排与计划</w:t>
            </w:r>
            <w:r>
              <w:rPr>
                <w:rFonts w:hint="eastAsia" w:ascii="宋体" w:hAnsi="宋体" w:eastAsia="宋体" w:cs="宋体"/>
                <w:szCs w:val="21"/>
                <w:highlight w:val="none"/>
                <w:lang w:eastAsia="zh-CN"/>
              </w:rPr>
              <w:t>。</w:t>
            </w:r>
          </w:p>
          <w:p w14:paraId="0CE12D5F">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val="en-US" w:eastAsia="zh-CN"/>
              </w:rPr>
              <w:t>投标人应针对各项内容分别进行阐述，</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将针对各项内容进行评审，</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培训方案评审评分按2项内容累计计分，具体评审标准如下：</w:t>
            </w:r>
          </w:p>
          <w:p w14:paraId="4EAA034A">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(1)经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评审，认为单项内容阐述符合采购需求，能有效保证采购人本项目实施要求的，得2分。</w:t>
            </w:r>
          </w:p>
          <w:p w14:paraId="4A07562A">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(2)经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评审，认为单项内容阐述存在缺陷或逻辑错误或未对采购需求中相关工作内容进行完全响应的，得1分。</w:t>
            </w:r>
          </w:p>
          <w:p w14:paraId="45C843D6">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asciiTheme="minorEastAsia" w:hAnsiTheme="minorEastAsia" w:eastAsiaTheme="minorEastAsia" w:cstheme="minorEastAsia"/>
                <w:color w:val="auto"/>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tc>
      </w:tr>
      <w:tr w14:paraId="3016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7CE6D8D6">
            <w:pPr>
              <w:keepNext/>
              <w:spacing w:line="360" w:lineRule="auto"/>
              <w:rPr>
                <w:rFonts w:ascii="宋体" w:hAnsi="宋体" w:cs="宋体"/>
                <w:color w:val="auto"/>
                <w:szCs w:val="21"/>
              </w:rPr>
            </w:pPr>
          </w:p>
        </w:tc>
        <w:tc>
          <w:tcPr>
            <w:tcW w:w="836" w:type="dxa"/>
            <w:vMerge w:val="continue"/>
            <w:vAlign w:val="center"/>
          </w:tcPr>
          <w:p w14:paraId="63792F7C">
            <w:pPr>
              <w:keepNext/>
              <w:spacing w:line="360" w:lineRule="auto"/>
              <w:rPr>
                <w:rFonts w:ascii="宋体" w:hAnsi="宋体" w:cs="宋体"/>
                <w:color w:val="auto"/>
                <w:szCs w:val="21"/>
              </w:rPr>
            </w:pPr>
          </w:p>
        </w:tc>
        <w:tc>
          <w:tcPr>
            <w:tcW w:w="2001" w:type="dxa"/>
            <w:vMerge w:val="continue"/>
            <w:vAlign w:val="center"/>
          </w:tcPr>
          <w:p w14:paraId="072EFD21">
            <w:pPr>
              <w:keepNext/>
              <w:spacing w:line="360" w:lineRule="auto"/>
              <w:rPr>
                <w:rFonts w:ascii="宋体" w:hAnsi="宋体" w:cs="宋体"/>
                <w:color w:val="auto"/>
                <w:szCs w:val="21"/>
              </w:rPr>
            </w:pPr>
          </w:p>
        </w:tc>
        <w:tc>
          <w:tcPr>
            <w:tcW w:w="5747" w:type="dxa"/>
            <w:vAlign w:val="center"/>
          </w:tcPr>
          <w:p w14:paraId="32DC26E7">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）服务质量保证措施及承诺评审评分（满分</w:t>
            </w:r>
            <w:r>
              <w:rPr>
                <w:rFonts w:hint="eastAsia" w:ascii="宋体" w:hAnsi="宋体" w:eastAsia="宋体" w:cs="宋体"/>
                <w:b/>
                <w:bCs/>
                <w:szCs w:val="21"/>
                <w:highlight w:val="none"/>
                <w:lang w:val="en-US" w:eastAsia="zh-CN"/>
              </w:rPr>
              <w:t>8</w:t>
            </w:r>
            <w:r>
              <w:rPr>
                <w:rFonts w:hint="eastAsia" w:ascii="宋体" w:hAnsi="宋体" w:eastAsia="宋体" w:cs="宋体"/>
                <w:b/>
                <w:bCs/>
                <w:szCs w:val="21"/>
                <w:highlight w:val="none"/>
              </w:rPr>
              <w:t>分）</w:t>
            </w:r>
          </w:p>
          <w:p w14:paraId="61CE55A2">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投标人提供的服务质量保证措施及承诺应包含下列内容：①系统集成及适配实施方案；②试运行方案；③安全管理及保密方案；④服务质量保障措施。</w:t>
            </w:r>
          </w:p>
          <w:p w14:paraId="1CA3A917">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投标人应针对各项内容分别进行阐述，评标委员会将针对各项内容进行评审，投标人服务质量保证措施及承诺评审评分按4项内容累计计分，具体评审标准如下：</w:t>
            </w:r>
          </w:p>
          <w:p w14:paraId="7ED2D4F9">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(1)经评标委员会评审，认为单项内容阐述符合采购需求，能有效保证采购人本项目实施要求的，得2分。</w:t>
            </w:r>
          </w:p>
          <w:p w14:paraId="6E94283D">
            <w:pPr>
              <w:keepNext w:val="0"/>
              <w:keepLines w:val="0"/>
              <w:suppressLineNumbers w:val="0"/>
              <w:wordWrap w:val="0"/>
              <w:overflowPunct w:val="0"/>
              <w:adjustRightInd w:val="0"/>
              <w:snapToGrid w:val="0"/>
              <w:spacing w:before="0" w:beforeAutospacing="0" w:after="0" w:afterAutospacing="0" w:line="360" w:lineRule="auto"/>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(2)经评标委员会评审，认为单项内容阐述存在缺陷或逻辑错误或未对采购需求中相关工作内容进行完全响应的，得1分。</w:t>
            </w:r>
          </w:p>
          <w:p w14:paraId="146691D0">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asciiTheme="minorEastAsia" w:hAnsiTheme="minorEastAsia" w:eastAsiaTheme="minorEastAsia" w:cstheme="minorEastAsia"/>
                <w:color w:val="auto"/>
              </w:rPr>
            </w:pPr>
            <w:r>
              <w:rPr>
                <w:rFonts w:hint="eastAsia" w:ascii="宋体" w:hAnsi="宋体" w:eastAsia="宋体" w:cs="宋体"/>
                <w:szCs w:val="21"/>
                <w:highlight w:val="none"/>
              </w:rPr>
              <w:t>(3)经</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评审，发现</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未对单项内容进行阐述或阐述内容不符合采购需求的，得0分。</w:t>
            </w:r>
          </w:p>
        </w:tc>
      </w:tr>
      <w:tr w14:paraId="4B3A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639F037F">
            <w:pPr>
              <w:keepNext/>
              <w:spacing w:line="360" w:lineRule="auto"/>
              <w:rPr>
                <w:rFonts w:ascii="宋体" w:hAnsi="宋体" w:cs="宋体"/>
                <w:color w:val="auto"/>
                <w:szCs w:val="21"/>
              </w:rPr>
            </w:pPr>
          </w:p>
        </w:tc>
        <w:tc>
          <w:tcPr>
            <w:tcW w:w="836" w:type="dxa"/>
            <w:vMerge w:val="continue"/>
            <w:vAlign w:val="center"/>
          </w:tcPr>
          <w:p w14:paraId="675B01F8">
            <w:pPr>
              <w:keepNext/>
              <w:spacing w:line="360" w:lineRule="auto"/>
              <w:rPr>
                <w:rFonts w:ascii="宋体" w:hAnsi="宋体" w:cs="宋体"/>
                <w:color w:val="auto"/>
                <w:szCs w:val="21"/>
              </w:rPr>
            </w:pPr>
          </w:p>
        </w:tc>
        <w:tc>
          <w:tcPr>
            <w:tcW w:w="2001" w:type="dxa"/>
            <w:vMerge w:val="continue"/>
            <w:vAlign w:val="center"/>
          </w:tcPr>
          <w:p w14:paraId="3762F157">
            <w:pPr>
              <w:keepNext/>
              <w:spacing w:line="360" w:lineRule="auto"/>
              <w:rPr>
                <w:rFonts w:ascii="宋体" w:hAnsi="宋体" w:cs="宋体"/>
                <w:color w:val="auto"/>
                <w:szCs w:val="21"/>
              </w:rPr>
            </w:pPr>
          </w:p>
        </w:tc>
        <w:tc>
          <w:tcPr>
            <w:tcW w:w="5747" w:type="dxa"/>
            <w:vAlign w:val="center"/>
          </w:tcPr>
          <w:p w14:paraId="09C66CE8">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hint="eastAsia" w:ascii="宋体" w:hAnsi="宋体" w:eastAsia="宋体" w:cs="宋体"/>
                <w:b/>
                <w:bCs/>
                <w:szCs w:val="21"/>
                <w:highlight w:val="none"/>
              </w:rPr>
            </w:pPr>
            <w:r>
              <w:rPr>
                <w:rFonts w:hint="eastAsia" w:ascii="宋体" w:hAnsi="宋体" w:cs="宋体"/>
                <w:b/>
                <w:bCs/>
                <w:szCs w:val="21"/>
                <w:highlight w:val="none"/>
                <w:lang w:val="en-US" w:eastAsia="zh-CN"/>
              </w:rPr>
              <w:t>6</w:t>
            </w:r>
            <w:r>
              <w:rPr>
                <w:rFonts w:hint="eastAsia" w:ascii="宋体" w:hAnsi="宋体" w:eastAsia="宋体" w:cs="宋体"/>
                <w:b/>
                <w:bCs/>
                <w:szCs w:val="21"/>
                <w:highlight w:val="none"/>
              </w:rPr>
              <w:t>）投标人企业实力评审评分（满分</w:t>
            </w:r>
            <w:r>
              <w:rPr>
                <w:rFonts w:hint="eastAsia" w:ascii="宋体" w:hAnsi="宋体" w:cs="宋体"/>
                <w:b/>
                <w:bCs/>
                <w:szCs w:val="21"/>
                <w:highlight w:val="none"/>
                <w:lang w:val="en-US" w:eastAsia="zh-CN"/>
              </w:rPr>
              <w:t>2</w:t>
            </w:r>
            <w:r>
              <w:rPr>
                <w:rFonts w:hint="eastAsia" w:ascii="宋体" w:hAnsi="宋体" w:eastAsia="宋体" w:cs="宋体"/>
                <w:b/>
                <w:bCs/>
                <w:szCs w:val="21"/>
                <w:highlight w:val="none"/>
              </w:rPr>
              <w:t>分）</w:t>
            </w:r>
          </w:p>
          <w:p w14:paraId="3AF16E7F">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hint="eastAsia" w:ascii="宋体" w:hAnsi="宋体" w:eastAsia="宋体" w:cs="宋体"/>
                <w:szCs w:val="21"/>
                <w:highlight w:val="none"/>
              </w:rPr>
            </w:pPr>
            <w:r>
              <w:rPr>
                <w:rFonts w:hint="eastAsia" w:ascii="宋体" w:hAnsi="宋体" w:eastAsia="宋体" w:cs="宋体"/>
                <w:szCs w:val="21"/>
                <w:highlight w:val="none"/>
              </w:rPr>
              <w:t>投标人具有有效的国家保密局颁发的《涉密信息系统集成资质证书》得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62018B6D">
            <w:pPr>
              <w:keepNext w:val="0"/>
              <w:keepLines w:val="0"/>
              <w:suppressLineNumbers w:val="0"/>
              <w:wordWrap w:val="0"/>
              <w:overflowPunct w:val="0"/>
              <w:adjustRightInd w:val="0"/>
              <w:snapToGrid w:val="0"/>
              <w:spacing w:before="0" w:beforeAutospacing="0" w:after="0" w:afterAutospacing="0" w:line="360" w:lineRule="auto"/>
              <w:ind w:left="0" w:leftChars="0" w:right="0" w:rightChars="0"/>
              <w:rPr>
                <w:rFonts w:hint="eastAsia" w:ascii="宋体" w:hAnsi="宋体" w:eastAsia="宋体" w:cs="宋体"/>
                <w:szCs w:val="21"/>
                <w:highlight w:val="none"/>
              </w:rPr>
            </w:pPr>
            <w:r>
              <w:rPr>
                <w:rFonts w:hint="eastAsia" w:ascii="宋体" w:hAnsi="宋体" w:eastAsia="宋体" w:cs="宋体"/>
                <w:szCs w:val="21"/>
                <w:highlight w:val="none"/>
              </w:rPr>
              <w:t>注：投标文件中须提供对应证书的扫描件加盖投标人公章，未按要求提供证明材料或证明材料无法体现具体内容视为未提供证明材料，未提供证明材料的本项评审不得分。</w:t>
            </w:r>
          </w:p>
        </w:tc>
      </w:tr>
      <w:tr w14:paraId="55FE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EA38E1A">
            <w:pPr>
              <w:keepNext/>
              <w:spacing w:line="360" w:lineRule="auto"/>
              <w:rPr>
                <w:rFonts w:ascii="宋体" w:hAnsi="宋体" w:cs="宋体"/>
                <w:color w:val="auto"/>
                <w:szCs w:val="21"/>
              </w:rPr>
            </w:pPr>
          </w:p>
        </w:tc>
        <w:tc>
          <w:tcPr>
            <w:tcW w:w="836" w:type="dxa"/>
            <w:vMerge w:val="continue"/>
            <w:vAlign w:val="center"/>
          </w:tcPr>
          <w:p w14:paraId="69BD068D">
            <w:pPr>
              <w:keepNext/>
              <w:spacing w:line="360" w:lineRule="auto"/>
              <w:rPr>
                <w:rFonts w:ascii="宋体" w:hAnsi="宋体" w:cs="宋体"/>
                <w:color w:val="auto"/>
                <w:szCs w:val="21"/>
              </w:rPr>
            </w:pPr>
          </w:p>
        </w:tc>
        <w:tc>
          <w:tcPr>
            <w:tcW w:w="2001" w:type="dxa"/>
            <w:vMerge w:val="continue"/>
            <w:vAlign w:val="center"/>
          </w:tcPr>
          <w:p w14:paraId="1052EE23">
            <w:pPr>
              <w:keepNext/>
              <w:spacing w:line="360" w:lineRule="auto"/>
              <w:rPr>
                <w:rFonts w:ascii="宋体" w:hAnsi="宋体" w:cs="宋体"/>
                <w:color w:val="auto"/>
                <w:szCs w:val="21"/>
              </w:rPr>
            </w:pPr>
          </w:p>
        </w:tc>
        <w:tc>
          <w:tcPr>
            <w:tcW w:w="5747" w:type="dxa"/>
            <w:vAlign w:val="center"/>
          </w:tcPr>
          <w:p w14:paraId="5EFA22F5">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szCs w:val="21"/>
                <w:lang w:val="en-US" w:eastAsia="zh-CN"/>
              </w:rPr>
              <w:t>7</w:t>
            </w:r>
            <w:r>
              <w:rPr>
                <w:rFonts w:hint="eastAsia" w:asciiTheme="minorEastAsia" w:hAnsiTheme="minorEastAsia" w:eastAsiaTheme="minorEastAsia" w:cstheme="minorEastAsia"/>
                <w:b/>
                <w:color w:val="auto"/>
                <w:szCs w:val="21"/>
              </w:rPr>
              <w:t>）投标人类似</w:t>
            </w:r>
            <w:r>
              <w:rPr>
                <w:rFonts w:hint="eastAsia" w:asciiTheme="minorEastAsia" w:hAnsiTheme="minorEastAsia" w:eastAsiaTheme="minorEastAsia" w:cstheme="minorEastAsia"/>
                <w:b/>
                <w:bCs/>
                <w:color w:val="auto"/>
                <w:szCs w:val="21"/>
              </w:rPr>
              <w:t>项目履约情况评审评分（满分</w:t>
            </w:r>
            <w:r>
              <w:rPr>
                <w:rFonts w:hint="eastAsia" w:asciiTheme="minorEastAsia" w:hAnsiTheme="minorEastAsia" w:eastAsiaTheme="minorEastAsia" w:cstheme="minorEastAsia"/>
                <w:b/>
                <w:bCs/>
                <w:color w:val="auto"/>
                <w:szCs w:val="21"/>
                <w:lang w:val="en-US" w:eastAsia="zh-CN"/>
              </w:rPr>
              <w:t>4</w:t>
            </w:r>
            <w:r>
              <w:rPr>
                <w:rFonts w:hint="eastAsia" w:asciiTheme="minorEastAsia" w:hAnsiTheme="minorEastAsia" w:eastAsiaTheme="minorEastAsia" w:cstheme="minorEastAsia"/>
                <w:b/>
                <w:bCs/>
                <w:color w:val="auto"/>
                <w:szCs w:val="21"/>
              </w:rPr>
              <w:t>分）</w:t>
            </w:r>
          </w:p>
          <w:p w14:paraId="4CFFDBC6">
            <w:pPr>
              <w:adjustRightInd w:val="0"/>
              <w:snapToGrid w:val="0"/>
              <w:spacing w:line="360" w:lineRule="auto"/>
              <w:rPr>
                <w:rFonts w:ascii="宋体" w:hAnsi="宋体" w:cs="宋体"/>
                <w:color w:val="auto"/>
                <w:szCs w:val="21"/>
              </w:rPr>
            </w:pPr>
            <w:r>
              <w:rPr>
                <w:rFonts w:hint="eastAsia" w:ascii="宋体" w:hAnsi="宋体" w:cs="宋体"/>
                <w:color w:val="auto"/>
                <w:szCs w:val="21"/>
              </w:rPr>
              <w:t>根据投标人自本项目投标文件提交截止时间前已完成的</w:t>
            </w:r>
            <w:r>
              <w:rPr>
                <w:rFonts w:hint="eastAsia" w:ascii="宋体" w:hAnsi="宋体" w:eastAsia="宋体" w:cs="宋体"/>
                <w:szCs w:val="21"/>
                <w:highlight w:val="none"/>
                <w:lang w:val="en-US" w:eastAsia="zh-CN"/>
              </w:rPr>
              <w:t>同类履约情况</w:t>
            </w:r>
            <w:r>
              <w:rPr>
                <w:rFonts w:hint="eastAsia" w:ascii="宋体" w:hAnsi="宋体" w:cs="宋体"/>
                <w:color w:val="auto"/>
                <w:szCs w:val="21"/>
              </w:rPr>
              <w:t>进行打分，</w:t>
            </w:r>
            <w:r>
              <w:rPr>
                <w:rFonts w:hint="eastAsia" w:ascii="宋体" w:hAnsi="宋体" w:eastAsia="宋体" w:cs="宋体"/>
                <w:szCs w:val="21"/>
                <w:highlight w:val="none"/>
                <w:lang w:val="en-US" w:eastAsia="zh-CN"/>
              </w:rPr>
              <w:t>每提供一份证明材料得1分，满分</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分</w:t>
            </w:r>
            <w:r>
              <w:rPr>
                <w:rFonts w:hint="eastAsia" w:ascii="宋体" w:hAnsi="宋体" w:cs="宋体"/>
                <w:color w:val="auto"/>
                <w:szCs w:val="21"/>
              </w:rPr>
              <w:t>。</w:t>
            </w:r>
          </w:p>
          <w:p w14:paraId="59C4D3AD">
            <w:pPr>
              <w:adjustRightInd w:val="0"/>
              <w:snapToGrid w:val="0"/>
              <w:spacing w:line="360" w:lineRule="auto"/>
              <w:rPr>
                <w:rFonts w:asciiTheme="minorEastAsia" w:hAnsiTheme="minorEastAsia" w:eastAsiaTheme="minorEastAsia" w:cstheme="minorEastAsia"/>
                <w:bCs/>
                <w:color w:val="auto"/>
                <w:szCs w:val="21"/>
              </w:rPr>
            </w:pPr>
            <w:r>
              <w:rPr>
                <w:rFonts w:hint="eastAsia" w:ascii="宋体" w:hAnsi="宋体" w:cs="宋体"/>
                <w:color w:val="auto"/>
                <w:szCs w:val="21"/>
              </w:rPr>
              <w:t>注：投标文件中须提供《投标人履约能力情况表》及相对应的证明材料，证明材料为</w:t>
            </w:r>
            <w:r>
              <w:rPr>
                <w:rFonts w:hint="eastAsia" w:ascii="宋体" w:hAnsi="宋体" w:eastAsia="宋体" w:cs="宋体"/>
                <w:szCs w:val="21"/>
                <w:highlight w:val="none"/>
                <w:lang w:val="en-US" w:eastAsia="zh-CN"/>
              </w:rPr>
              <w:t>中标（成交）通知书或合同（合同首页、标的及金额所在页及合同签字盖章页）</w:t>
            </w:r>
            <w:r>
              <w:rPr>
                <w:rFonts w:hint="eastAsia" w:ascii="宋体" w:hAnsi="宋体" w:eastAsia="宋体" w:cs="宋体"/>
                <w:szCs w:val="21"/>
                <w:highlight w:val="none"/>
              </w:rPr>
              <w:t>或委托方出具的证明材料</w:t>
            </w:r>
            <w:r>
              <w:rPr>
                <w:rFonts w:hint="eastAsia" w:ascii="宋体" w:hAnsi="宋体" w:cs="宋体"/>
                <w:color w:val="auto"/>
                <w:szCs w:val="21"/>
              </w:rPr>
              <w:t>。</w:t>
            </w:r>
            <w:r>
              <w:rPr>
                <w:rFonts w:hint="eastAsia" w:ascii="宋体" w:hAnsi="宋体" w:eastAsia="宋体" w:cs="宋体"/>
                <w:szCs w:val="21"/>
                <w:highlight w:val="none"/>
                <w:lang w:val="en-US" w:eastAsia="zh-CN"/>
              </w:rPr>
              <w:t>未按要求提供证明材料或证明材料无法体现具体内容视为未提供证明材料，未提供证明材料的本项评审不得分</w:t>
            </w:r>
            <w:r>
              <w:rPr>
                <w:rFonts w:hint="eastAsia" w:ascii="宋体" w:hAnsi="宋体" w:cs="宋体"/>
                <w:bCs/>
                <w:color w:val="auto"/>
                <w:szCs w:val="21"/>
              </w:rPr>
              <w:t>。</w:t>
            </w:r>
          </w:p>
        </w:tc>
      </w:tr>
    </w:tbl>
    <w:p w14:paraId="62FF04E1">
      <w:pPr>
        <w:pStyle w:val="6"/>
        <w:spacing w:before="0" w:after="0" w:line="410" w:lineRule="exact"/>
        <w:rPr>
          <w:rFonts w:hAnsi="宋体" w:cs="宋体"/>
          <w:bCs/>
          <w:color w:val="auto"/>
          <w:szCs w:val="22"/>
        </w:rPr>
      </w:pPr>
      <w:bookmarkStart w:id="127" w:name="_Toc30804"/>
      <w:bookmarkStart w:id="128" w:name="_Toc16730"/>
      <w:bookmarkStart w:id="129" w:name="_Toc12934"/>
      <w:r>
        <w:rPr>
          <w:rFonts w:hint="eastAsia" w:hAnsi="宋体" w:cs="宋体"/>
          <w:bCs/>
          <w:color w:val="auto"/>
          <w:szCs w:val="22"/>
        </w:rPr>
        <w:t>1.符合性审查</w:t>
      </w:r>
      <w:bookmarkEnd w:id="127"/>
      <w:bookmarkEnd w:id="128"/>
      <w:bookmarkEnd w:id="129"/>
    </w:p>
    <w:p w14:paraId="58F27ED0">
      <w:pPr>
        <w:widowControl/>
        <w:spacing w:line="410" w:lineRule="exact"/>
        <w:ind w:firstLine="525" w:firstLineChars="250"/>
        <w:jc w:val="left"/>
        <w:rPr>
          <w:rFonts w:ascii="宋体" w:hAnsi="宋体" w:cs="宋体"/>
          <w:color w:val="auto"/>
          <w:szCs w:val="21"/>
        </w:rPr>
      </w:pPr>
      <w:r>
        <w:rPr>
          <w:rFonts w:hint="eastAsia" w:ascii="宋体" w:hAnsi="宋体" w:cs="宋体"/>
          <w:color w:val="auto"/>
          <w:szCs w:val="21"/>
        </w:rPr>
        <w:t>1.1评标</w:t>
      </w:r>
      <w:r>
        <w:rPr>
          <w:rFonts w:hint="eastAsia" w:ascii="宋体" w:hAnsi="宋体" w:cs="宋体"/>
          <w:color w:val="auto"/>
          <w:kern w:val="0"/>
          <w:szCs w:val="21"/>
        </w:rPr>
        <w:t>委员会</w:t>
      </w:r>
      <w:r>
        <w:rPr>
          <w:rFonts w:hint="eastAsia" w:ascii="宋体" w:hAnsi="宋体" w:cs="宋体"/>
          <w:color w:val="auto"/>
          <w:szCs w:val="21"/>
        </w:rPr>
        <w:t>对符合资格的投标人的投标文件进行符合性审查，以确定其是否满足招标文件的实质性要求。</w:t>
      </w:r>
    </w:p>
    <w:p w14:paraId="7F67CBEC">
      <w:pPr>
        <w:widowControl/>
        <w:spacing w:line="410" w:lineRule="exact"/>
        <w:ind w:firstLine="525" w:firstLineChars="250"/>
        <w:jc w:val="left"/>
        <w:rPr>
          <w:rFonts w:ascii="宋体" w:hAnsi="宋体" w:cs="宋体"/>
          <w:color w:val="auto"/>
          <w:szCs w:val="21"/>
        </w:rPr>
      </w:pPr>
      <w:r>
        <w:rPr>
          <w:rFonts w:hint="eastAsia" w:ascii="宋体" w:hAnsi="宋体" w:cs="宋体"/>
          <w:color w:val="auto"/>
          <w:szCs w:val="21"/>
        </w:rPr>
        <w:t>1.2符合性审查</w:t>
      </w:r>
      <w:r>
        <w:rPr>
          <w:rFonts w:hint="eastAsia" w:ascii="宋体" w:hAnsi="宋体" w:cs="宋体"/>
          <w:color w:val="auto"/>
          <w:kern w:val="0"/>
          <w:szCs w:val="21"/>
        </w:rPr>
        <w:t>内容</w:t>
      </w:r>
      <w:r>
        <w:rPr>
          <w:rFonts w:hint="eastAsia" w:ascii="宋体" w:hAnsi="宋体" w:cs="宋体"/>
          <w:color w:val="auto"/>
          <w:szCs w:val="21"/>
        </w:rPr>
        <w:t>及标准：详见招标文件第七章《评标方法》“评标方法前附表1.2符合性审查”，经审查有一项不符合的，该投标文件按无效投标处理。</w:t>
      </w:r>
    </w:p>
    <w:p w14:paraId="0E210D9C">
      <w:pPr>
        <w:pStyle w:val="6"/>
        <w:spacing w:before="0" w:after="0" w:line="410" w:lineRule="exact"/>
        <w:rPr>
          <w:rFonts w:hAnsi="宋体" w:cs="宋体"/>
          <w:bCs/>
          <w:color w:val="auto"/>
          <w:szCs w:val="22"/>
        </w:rPr>
      </w:pPr>
      <w:bookmarkStart w:id="130" w:name="_Toc31692"/>
      <w:bookmarkStart w:id="131" w:name="_Toc6902"/>
      <w:bookmarkStart w:id="132" w:name="_Toc15082"/>
      <w:r>
        <w:rPr>
          <w:rFonts w:hint="eastAsia" w:hAnsi="宋体" w:cs="宋体"/>
          <w:bCs/>
          <w:color w:val="auto"/>
          <w:szCs w:val="22"/>
        </w:rPr>
        <w:t>2. 评标</w:t>
      </w:r>
      <w:r>
        <w:rPr>
          <w:rFonts w:hint="eastAsia" w:hAnsi="宋体" w:cs="宋体"/>
          <w:color w:val="auto"/>
          <w:szCs w:val="24"/>
        </w:rPr>
        <w:t>方法</w:t>
      </w:r>
      <w:r>
        <w:rPr>
          <w:rFonts w:hint="eastAsia" w:hAnsi="宋体" w:cs="宋体"/>
          <w:bCs/>
          <w:color w:val="auto"/>
          <w:szCs w:val="22"/>
        </w:rPr>
        <w:t>和标准</w:t>
      </w:r>
      <w:bookmarkEnd w:id="130"/>
      <w:bookmarkEnd w:id="131"/>
      <w:bookmarkEnd w:id="132"/>
    </w:p>
    <w:p w14:paraId="10375843">
      <w:pPr>
        <w:widowControl/>
        <w:spacing w:line="410" w:lineRule="exact"/>
        <w:ind w:firstLine="525" w:firstLineChars="250"/>
        <w:jc w:val="left"/>
        <w:rPr>
          <w:rFonts w:ascii="宋体" w:hAnsi="宋体" w:cs="宋体"/>
          <w:color w:val="auto"/>
          <w:szCs w:val="21"/>
        </w:rPr>
      </w:pPr>
      <w:r>
        <w:rPr>
          <w:rFonts w:hint="eastAsia" w:ascii="宋体" w:hAnsi="宋体" w:cs="宋体"/>
          <w:color w:val="auto"/>
          <w:szCs w:val="21"/>
        </w:rPr>
        <w:t>2.1评标委员会按照</w:t>
      </w:r>
      <w:r>
        <w:rPr>
          <w:rFonts w:hint="eastAsia" w:ascii="宋体" w:hAnsi="宋体" w:cs="宋体"/>
          <w:color w:val="auto"/>
          <w:kern w:val="0"/>
          <w:szCs w:val="21"/>
        </w:rPr>
        <w:t>招标</w:t>
      </w:r>
      <w:r>
        <w:rPr>
          <w:rFonts w:hint="eastAsia" w:ascii="宋体" w:hAnsi="宋体" w:cs="宋体"/>
          <w:color w:val="auto"/>
          <w:szCs w:val="21"/>
        </w:rPr>
        <w:t>文件中规定的评标方法和标准，对符合性审查合格的投标文件进行商务和技术评估，综合比较与评价。招标文件中没有规定的方法、评审因素和标准，不作为评标依据。</w:t>
      </w:r>
    </w:p>
    <w:p w14:paraId="36C40BE0">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2.1.1投标报价得分F1：按本章《评标方法前附表》的规定对投标报价进行计算并得出F1得分；</w:t>
      </w:r>
    </w:p>
    <w:p w14:paraId="5F44F53C">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2.1.2技术商务部分得分F2：按本章《评标方法前附表》的规定对技术商务部分评分并计算出F2汇总得分</w:t>
      </w:r>
    </w:p>
    <w:p w14:paraId="12877661">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2.1.3评标总得分：按本章《评标方法前附表》的规定计算评标总得分。</w:t>
      </w:r>
    </w:p>
    <w:p w14:paraId="6813B36B">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2.2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认定其投标无效。</w:t>
      </w:r>
    </w:p>
    <w:p w14:paraId="273C5BAC">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2.3对投标人的价格分等客观评分项的评分应当一致，对其他需要借助专业知识评判的主观评分项，应当严格按照评分细则公正评分。</w:t>
      </w:r>
    </w:p>
    <w:p w14:paraId="4E35D91D">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2.4技术商务部分（F2）由评标委员会各成员独立对每个投标人的投标文件进行评价，并汇总每个投标人的得分。投标人各项评分因素得分为该项因素评标委员会各成员汇总得分的算术平均值（保留小数点后两位），小数点后第三位“四舍五入”。</w:t>
      </w:r>
    </w:p>
    <w:p w14:paraId="47AA29FB">
      <w:pPr>
        <w:widowControl/>
        <w:spacing w:line="410" w:lineRule="exact"/>
        <w:ind w:firstLine="525" w:firstLineChars="250"/>
        <w:jc w:val="left"/>
        <w:rPr>
          <w:rFonts w:ascii="宋体" w:hAnsi="宋体" w:cs="宋体"/>
          <w:color w:val="auto"/>
          <w:szCs w:val="21"/>
        </w:rPr>
      </w:pPr>
      <w:r>
        <w:rPr>
          <w:rFonts w:hint="eastAsia" w:ascii="宋体" w:hAnsi="宋体" w:cs="宋体"/>
          <w:color w:val="auto"/>
          <w:kern w:val="0"/>
          <w:szCs w:val="21"/>
        </w:rPr>
        <w:t>2.5评标委员会成员要依法独立评审，并对评审意见承担个人</w:t>
      </w:r>
      <w:r>
        <w:rPr>
          <w:rFonts w:hint="eastAsia" w:ascii="宋体" w:hAnsi="宋体" w:cs="宋体"/>
          <w:color w:val="auto"/>
          <w:szCs w:val="21"/>
        </w:rPr>
        <w:t>责任。</w:t>
      </w:r>
    </w:p>
    <w:p w14:paraId="00C866E0">
      <w:pPr>
        <w:pStyle w:val="6"/>
        <w:spacing w:before="0" w:after="0" w:line="410" w:lineRule="exact"/>
        <w:rPr>
          <w:rFonts w:hAnsi="宋体" w:cs="宋体"/>
          <w:bCs/>
          <w:color w:val="auto"/>
          <w:szCs w:val="22"/>
        </w:rPr>
      </w:pPr>
      <w:bookmarkStart w:id="133" w:name="_Toc30749"/>
      <w:bookmarkStart w:id="134" w:name="_Toc8068"/>
      <w:bookmarkStart w:id="135" w:name="_Toc8067"/>
      <w:r>
        <w:rPr>
          <w:rFonts w:hint="eastAsia" w:hAnsi="宋体" w:cs="宋体"/>
          <w:bCs/>
          <w:color w:val="auto"/>
          <w:szCs w:val="22"/>
        </w:rPr>
        <w:t>3.投标文件的澄清、说明或者补正</w:t>
      </w:r>
      <w:bookmarkEnd w:id="133"/>
      <w:bookmarkEnd w:id="134"/>
      <w:bookmarkEnd w:id="135"/>
      <w:r>
        <w:rPr>
          <w:rFonts w:hint="eastAsia" w:hAnsi="宋体" w:cs="宋体"/>
          <w:bCs/>
          <w:color w:val="auto"/>
          <w:szCs w:val="22"/>
        </w:rPr>
        <w:t xml:space="preserve"> </w:t>
      </w:r>
    </w:p>
    <w:p w14:paraId="20F3331F">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3.1投标文件中出现含义不明确、同类问题表述不一致或者有明显文字和计算错误的内容，评标委员会将以书面形式要求投标人作出必要的澄清、说明或者补正。投标人的澄清、说明或者补正应当采用书面形式，并加盖投标人公章，或者由法定代表人或其授权的代表签字。投标人的澄清、说明或者补正不得超出投标文件的范围或者改变投标文件的实质性内容。</w:t>
      </w:r>
    </w:p>
    <w:p w14:paraId="487AE504">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3.2评标委员会不接受投标人主动提出的澄清、说明或者补正。</w:t>
      </w:r>
    </w:p>
    <w:p w14:paraId="55629942">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3.3 评标委员会对投标人提交的澄清、说明或者补正有疑问的，可以要求投标人进一步澄清、说明或者补正。</w:t>
      </w:r>
    </w:p>
    <w:p w14:paraId="08F900C6">
      <w:pPr>
        <w:pStyle w:val="6"/>
        <w:spacing w:before="0" w:after="0" w:line="410" w:lineRule="exact"/>
        <w:rPr>
          <w:rFonts w:hAnsi="宋体" w:cs="宋体"/>
          <w:bCs/>
          <w:color w:val="auto"/>
          <w:szCs w:val="22"/>
        </w:rPr>
      </w:pPr>
      <w:bookmarkStart w:id="136" w:name="_Toc16688"/>
      <w:bookmarkStart w:id="137" w:name="_Toc6053"/>
      <w:bookmarkStart w:id="138" w:name="_Toc8986"/>
      <w:r>
        <w:rPr>
          <w:rFonts w:hint="eastAsia" w:hAnsi="宋体" w:cs="宋体"/>
          <w:bCs/>
          <w:color w:val="auto"/>
          <w:szCs w:val="22"/>
        </w:rPr>
        <w:t>4.评标结果</w:t>
      </w:r>
      <w:bookmarkEnd w:id="136"/>
      <w:bookmarkEnd w:id="137"/>
      <w:bookmarkEnd w:id="138"/>
    </w:p>
    <w:p w14:paraId="5EC91410">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szCs w:val="21"/>
        </w:rPr>
        <w:t>4.1提供相同品牌产品</w:t>
      </w:r>
      <w:r>
        <w:rPr>
          <w:rFonts w:hint="eastAsia" w:ascii="宋体" w:hAnsi="宋体" w:cs="宋体"/>
          <w:color w:val="auto"/>
          <w:kern w:val="0"/>
          <w:szCs w:val="21"/>
        </w:rPr>
        <w:t>且通过资格审查、符合性审查的不同投标人参加同一合同项下投标的，按一家投标人计算，评审后得分最高的同品牌投标人获得中标人推荐资格；评审得分相同的，由评标委员会按照授权齐全、资格合格且报价最低或最有利于采购人利益的方式确定一个投标人获得中标人推荐资格。</w:t>
      </w:r>
    </w:p>
    <w:p w14:paraId="2629DB5B">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4.2非单一产品采购项目，采购人根据采购项目技术构成、产品价格比重等确定核心产品，投标人提供的核心产品品牌相同的，按前款规定处理。</w:t>
      </w:r>
    </w:p>
    <w:p w14:paraId="021E7F11">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4.3投标文件满足招标文件全部实质性要求，且按照评审因素的量化指标评审得分最高的投标人将会被推荐为排名第一的中标候选人。</w:t>
      </w:r>
    </w:p>
    <w:p w14:paraId="1E151843">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4.4评标委员会按评标总得分由高到低顺序推荐中标候选人，评标总得分相等时，按投标报价由低到高顺序排序，得分且投标报价相同的并列。</w:t>
      </w:r>
    </w:p>
    <w:p w14:paraId="2F21A35C">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4.5评标委员会根据全体评标成员签字的原始评标记录和评标结果编写评标报告。</w:t>
      </w:r>
    </w:p>
    <w:p w14:paraId="78B6F086">
      <w:pPr>
        <w:widowControl/>
        <w:spacing w:line="41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4.6评标委员会成员对需要共同认定的事项存在争议的，应当按照少数服从多数的原则作出结论。持不同意见的评标委员会成员应当在评标报告上签署不同意见及理由，否则视为同意评标报告。</w:t>
      </w:r>
    </w:p>
    <w:p w14:paraId="2D05D1A2">
      <w:pPr>
        <w:widowControl/>
        <w:spacing w:line="410" w:lineRule="exact"/>
        <w:ind w:firstLine="525" w:firstLineChars="250"/>
        <w:jc w:val="left"/>
        <w:rPr>
          <w:rFonts w:ascii="宋体" w:hAnsi="宋体" w:cs="宋体"/>
          <w:color w:val="auto"/>
          <w:szCs w:val="21"/>
        </w:rPr>
      </w:pPr>
      <w:r>
        <w:rPr>
          <w:rFonts w:hint="eastAsia" w:ascii="宋体" w:hAnsi="宋体" w:cs="宋体"/>
          <w:color w:val="auto"/>
          <w:kern w:val="0"/>
          <w:szCs w:val="21"/>
        </w:rPr>
        <w:t>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w:t>
      </w:r>
      <w:r>
        <w:rPr>
          <w:rFonts w:hint="eastAsia" w:ascii="宋体" w:hAnsi="宋体" w:cs="宋体"/>
          <w:color w:val="auto"/>
          <w:szCs w:val="21"/>
        </w:rPr>
        <w:t>组织采购活动。</w:t>
      </w:r>
    </w:p>
    <w:bookmarkEnd w:id="11"/>
    <w:p w14:paraId="2AFB20B4">
      <w:pPr>
        <w:rPr>
          <w:rFonts w:ascii="宋体" w:hAnsi="宋体" w:cs="宋体"/>
          <w:color w:val="auto"/>
          <w:szCs w:val="21"/>
        </w:rPr>
      </w:pPr>
    </w:p>
    <w:sectPr>
      <w:headerReference r:id="rId7" w:type="default"/>
      <w:footerReference r:id="rId8" w:type="default"/>
      <w:pgSz w:w="12240" w:h="15840"/>
      <w:pgMar w:top="1440" w:right="1800" w:bottom="1440" w:left="1800" w:header="567" w:footer="567"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EE06D">
    <w:pPr>
      <w:pStyle w:val="27"/>
      <w:jc w:val="right"/>
    </w:pPr>
    <w:r>
      <w:drawing>
        <wp:inline distT="0" distB="0" distL="114300" distR="114300">
          <wp:extent cx="1438275" cy="266700"/>
          <wp:effectExtent l="0" t="0" r="9525" b="0"/>
          <wp:docPr id="3" name="图片 2"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D2F3A">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34CB">
    <w:pPr>
      <w:pStyle w:val="2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05AE4">
                          <w:pPr>
                            <w:pStyle w:val="2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105AE4">
                    <w:pPr>
                      <w:pStyle w:val="27"/>
                    </w:pPr>
                    <w:r>
                      <w:fldChar w:fldCharType="begin"/>
                    </w:r>
                    <w:r>
                      <w:instrText xml:space="preserve"> PAGE  \* MERGEFORMAT </w:instrText>
                    </w:r>
                    <w:r>
                      <w:fldChar w:fldCharType="separate"/>
                    </w:r>
                    <w:r>
                      <w:t>3</w:t>
                    </w:r>
                    <w:r>
                      <w:fldChar w:fldCharType="end"/>
                    </w:r>
                  </w:p>
                </w:txbxContent>
              </v:textbox>
            </v:shape>
          </w:pict>
        </mc:Fallback>
      </mc:AlternateContent>
    </w:r>
    <w:r>
      <w:drawing>
        <wp:inline distT="0" distB="0" distL="114300" distR="114300">
          <wp:extent cx="1438275" cy="266700"/>
          <wp:effectExtent l="0" t="0" r="9525" b="0"/>
          <wp:docPr id="1" name="图片 2"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92A1">
    <w:pPr>
      <w:pStyle w:val="28"/>
      <w:jc w:val="both"/>
      <w:rPr>
        <w:szCs w:val="18"/>
      </w:rPr>
    </w:pPr>
    <w:r>
      <w:rPr>
        <w:rFonts w:hint="eastAsia" w:ascii="Arial" w:hAnsi="Arial" w:cs="Arial"/>
        <w:color w:val="333333"/>
        <w:szCs w:val="18"/>
        <w:shd w:val="clear" w:color="auto" w:fill="FFFFFF"/>
        <w:lang w:eastAsia="zh-CN"/>
      </w:rPr>
      <w:t>云南监狱项目管理系统建设项目</w:t>
    </w:r>
    <w:r>
      <w:rPr>
        <w:rFonts w:hint="eastAsia" w:ascii="Arial" w:hAnsi="Arial" w:cs="Arial"/>
        <w:color w:val="333333"/>
        <w:szCs w:val="18"/>
        <w:shd w:val="clear" w:color="auto" w:fill="FFFFFF"/>
      </w:rPr>
      <w:t xml:space="preserve">               </w:t>
    </w:r>
    <w:r>
      <w:rPr>
        <w:rFonts w:hint="eastAsia" w:ascii="Arial" w:hAnsi="Arial" w:cs="Arial"/>
        <w:color w:val="333333"/>
        <w:szCs w:val="18"/>
        <w:shd w:val="clear" w:color="auto" w:fill="FFFFFF"/>
        <w:lang w:val="en-US" w:eastAsia="zh-CN"/>
      </w:rPr>
      <w:t xml:space="preserve">                         </w:t>
    </w:r>
    <w:r>
      <w:rPr>
        <w:rFonts w:hint="eastAsia" w:ascii="Arial" w:hAnsi="Arial" w:cs="Arial"/>
        <w:color w:val="333333"/>
        <w:szCs w:val="18"/>
        <w:shd w:val="clear" w:color="auto" w:fill="FFFFFF"/>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DF60">
    <w:pPr>
      <w:pStyle w:val="28"/>
    </w:pPr>
    <w:r>
      <w:rPr>
        <w:rFonts w:hint="eastAsia" w:ascii="Arial" w:hAnsi="Arial" w:cs="Arial"/>
        <w:color w:val="333333"/>
        <w:szCs w:val="18"/>
        <w:shd w:val="clear" w:color="auto" w:fill="FFFFFF"/>
        <w:lang w:eastAsia="zh-CN"/>
      </w:rPr>
      <w:t>云南监狱项目管理系统建设项目</w:t>
    </w:r>
    <w:r>
      <w:rPr>
        <w:rFonts w:hint="eastAsia" w:ascii="Arial" w:hAnsi="Arial" w:cs="Arial"/>
        <w:color w:val="333333"/>
        <w:szCs w:val="18"/>
        <w:shd w:val="clear" w:color="auto" w:fill="FFFFFF"/>
      </w:rPr>
      <w:t xml:space="preserve">               </w:t>
    </w:r>
    <w:r>
      <w:rPr>
        <w:rFonts w:hint="eastAsia" w:ascii="Arial" w:hAnsi="Arial" w:cs="Arial"/>
        <w:color w:val="333333"/>
        <w:szCs w:val="18"/>
        <w:shd w:val="clear" w:color="auto" w:fill="FFFFFF"/>
        <w:lang w:val="en-US" w:eastAsia="zh-CN"/>
      </w:rPr>
      <w:t xml:space="preserve">              </w:t>
    </w:r>
    <w:r>
      <w:rPr>
        <w:rFonts w:hint="eastAsia" w:ascii="Arial" w:hAnsi="Arial" w:cs="Arial"/>
        <w:color w:val="333333"/>
        <w:szCs w:val="18"/>
        <w:shd w:val="clear" w:color="auto" w:fill="FFFFFF"/>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F616">
    <w:pPr>
      <w:pBdr>
        <w:bottom w:val="single" w:color="auto" w:sz="4" w:space="1"/>
      </w:pBdr>
      <w:tabs>
        <w:tab w:val="left" w:pos="4248"/>
        <w:tab w:val="center" w:pos="5056"/>
      </w:tabs>
      <w:jc w:val="right"/>
      <w:rPr>
        <w:rFonts w:hint="eastAsia"/>
        <w:sz w:val="18"/>
        <w:szCs w:val="21"/>
      </w:rPr>
    </w:pPr>
    <w:r>
      <w:rPr>
        <w:rFonts w:hint="eastAsia" w:ascii="Arial" w:hAnsi="Arial" w:cs="Arial"/>
        <w:color w:val="333333"/>
        <w:szCs w:val="18"/>
        <w:shd w:val="clear" w:color="auto" w:fill="FFFFFF"/>
        <w:lang w:eastAsia="zh-CN"/>
      </w:rPr>
      <w:t>云南监狱项目管理系统建设项目</w:t>
    </w:r>
    <w:r>
      <w:rPr>
        <w:rFonts w:hint="eastAsia" w:ascii="Arial" w:hAnsi="Arial" w:cs="Arial"/>
        <w:color w:val="333333"/>
        <w:szCs w:val="18"/>
        <w:shd w:val="clear" w:color="auto" w:fill="FFFFFF"/>
      </w:rPr>
      <w:t xml:space="preserve">            </w:t>
    </w:r>
    <w:r>
      <w:rPr>
        <w:rFonts w:hint="eastAsia" w:ascii="Arial" w:hAnsi="Arial" w:cs="Arial"/>
        <w:color w:val="333333"/>
        <w:szCs w:val="18"/>
        <w:shd w:val="clear" w:color="auto" w:fill="FFFFFF"/>
        <w:lang w:val="en-US" w:eastAsia="zh-CN"/>
      </w:rPr>
      <w:t xml:space="preserve">        </w:t>
    </w:r>
    <w:r>
      <w:rPr>
        <w:rFonts w:hint="eastAsia" w:ascii="Arial" w:hAnsi="Arial" w:cs="Arial"/>
        <w:color w:val="333333"/>
        <w:szCs w:val="18"/>
        <w:shd w:val="clear" w:color="auto" w:fill="FFFFFF"/>
      </w:rPr>
      <w:t xml:space="preserve">   </w:t>
    </w:r>
    <w:r>
      <w:rPr>
        <w:rFonts w:hint="eastAsia" w:ascii="Arial" w:hAnsi="Arial" w:cs="Arial"/>
        <w:color w:val="333333"/>
        <w:szCs w:val="18"/>
        <w:shd w:val="clear" w:color="auto" w:fill="FFFFFF"/>
        <w:lang w:val="en-US" w:eastAsia="zh-CN"/>
      </w:rPr>
      <w:t xml:space="preserve">     </w:t>
    </w:r>
    <w:r>
      <w:rPr>
        <w:rFonts w:hint="eastAsia" w:ascii="Arial" w:hAnsi="Arial" w:cs="Arial"/>
        <w:color w:val="333333"/>
        <w:szCs w:val="18"/>
        <w:shd w:val="clear" w:color="auto" w:fill="FFFF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B70E7"/>
    <w:multiLevelType w:val="singleLevel"/>
    <w:tmpl w:val="BA1B70E7"/>
    <w:lvl w:ilvl="0" w:tentative="0">
      <w:start w:val="1"/>
      <w:numFmt w:val="decimal"/>
      <w:suff w:val="nothing"/>
      <w:lvlText w:val="%1．"/>
      <w:lvlJc w:val="left"/>
      <w:pPr>
        <w:ind w:left="0" w:firstLine="400"/>
      </w:pPr>
      <w:rPr>
        <w:rFonts w:hint="default"/>
      </w:rPr>
    </w:lvl>
  </w:abstractNum>
  <w:abstractNum w:abstractNumId="1">
    <w:nsid w:val="1B500F07"/>
    <w:multiLevelType w:val="multilevel"/>
    <w:tmpl w:val="1B500F07"/>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1" w:hanging="1151"/>
      </w:pPr>
      <w:rPr>
        <w:rFonts w:hint="eastAsia" w:ascii="宋体" w:hAnsi="宋体" w:eastAsia="宋体" w:cs="宋体"/>
      </w:rPr>
    </w:lvl>
    <w:lvl w:ilvl="6" w:tentative="0">
      <w:start w:val="1"/>
      <w:numFmt w:val="decimal"/>
      <w:pStyle w:val="10"/>
      <w:isLgl/>
      <w:lvlText w:val="%1.%2.%3.%4.%5.%6.%7."/>
      <w:lvlJc w:val="left"/>
      <w:pPr>
        <w:ind w:left="1296" w:hanging="1296"/>
      </w:pPr>
      <w:rPr>
        <w:rFonts w:hint="eastAsia" w:ascii="宋体" w:hAnsi="宋体" w:eastAsia="宋体" w:cs="宋体"/>
      </w:rPr>
    </w:lvl>
    <w:lvl w:ilvl="7" w:tentative="0">
      <w:start w:val="1"/>
      <w:numFmt w:val="decimal"/>
      <w:pStyle w:val="11"/>
      <w:isLgl/>
      <w:lvlText w:val="%1.%2.%3.%4.%5.%6.%7.%8."/>
      <w:lvlJc w:val="left"/>
      <w:pPr>
        <w:ind w:left="1440" w:hanging="1440"/>
      </w:pPr>
      <w:rPr>
        <w:rFonts w:hint="eastAsia" w:ascii="宋体" w:hAnsi="宋体" w:eastAsia="宋体" w:cs="宋体"/>
      </w:rPr>
    </w:lvl>
    <w:lvl w:ilvl="8" w:tentative="0">
      <w:start w:val="1"/>
      <w:numFmt w:val="decimal"/>
      <w:pStyle w:val="12"/>
      <w:isLgl/>
      <w:lvlText w:val="%1.%2.%3.%4.%5.%6.%7.%8.%9."/>
      <w:lvlJc w:val="left"/>
      <w:pPr>
        <w:ind w:left="1583" w:hanging="1583"/>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hideSpellingError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MDg1Y2NhOTdkMDA0MGJhZTM1MDE0ZjczY2M1MWYifQ=="/>
  </w:docVars>
  <w:rsids>
    <w:rsidRoot w:val="00172A27"/>
    <w:rsid w:val="000001DD"/>
    <w:rsid w:val="000007C7"/>
    <w:rsid w:val="00001193"/>
    <w:rsid w:val="000012D0"/>
    <w:rsid w:val="00002418"/>
    <w:rsid w:val="000026CF"/>
    <w:rsid w:val="00002713"/>
    <w:rsid w:val="00002AF6"/>
    <w:rsid w:val="00002CC3"/>
    <w:rsid w:val="00002DAF"/>
    <w:rsid w:val="000030C1"/>
    <w:rsid w:val="00003394"/>
    <w:rsid w:val="00005A2B"/>
    <w:rsid w:val="000062FE"/>
    <w:rsid w:val="00006587"/>
    <w:rsid w:val="000067DF"/>
    <w:rsid w:val="00006963"/>
    <w:rsid w:val="00007E1B"/>
    <w:rsid w:val="00010641"/>
    <w:rsid w:val="000129F1"/>
    <w:rsid w:val="00013089"/>
    <w:rsid w:val="00013235"/>
    <w:rsid w:val="000141BE"/>
    <w:rsid w:val="000156B4"/>
    <w:rsid w:val="000159BF"/>
    <w:rsid w:val="000163E7"/>
    <w:rsid w:val="00016724"/>
    <w:rsid w:val="0001690F"/>
    <w:rsid w:val="00016B3A"/>
    <w:rsid w:val="000170F3"/>
    <w:rsid w:val="000173C8"/>
    <w:rsid w:val="00017E2C"/>
    <w:rsid w:val="000202DF"/>
    <w:rsid w:val="00023146"/>
    <w:rsid w:val="00024837"/>
    <w:rsid w:val="00025194"/>
    <w:rsid w:val="000258E1"/>
    <w:rsid w:val="000277E1"/>
    <w:rsid w:val="00030E86"/>
    <w:rsid w:val="00031014"/>
    <w:rsid w:val="00031453"/>
    <w:rsid w:val="00031AB7"/>
    <w:rsid w:val="00034746"/>
    <w:rsid w:val="0003521E"/>
    <w:rsid w:val="000361EA"/>
    <w:rsid w:val="00036355"/>
    <w:rsid w:val="00036537"/>
    <w:rsid w:val="00037D44"/>
    <w:rsid w:val="00041C3B"/>
    <w:rsid w:val="00041F03"/>
    <w:rsid w:val="000421E6"/>
    <w:rsid w:val="00042A69"/>
    <w:rsid w:val="00043998"/>
    <w:rsid w:val="00043FF3"/>
    <w:rsid w:val="00046CDE"/>
    <w:rsid w:val="00046F86"/>
    <w:rsid w:val="00050AD7"/>
    <w:rsid w:val="00050EA2"/>
    <w:rsid w:val="00051742"/>
    <w:rsid w:val="00051E2B"/>
    <w:rsid w:val="00052436"/>
    <w:rsid w:val="00053223"/>
    <w:rsid w:val="00054319"/>
    <w:rsid w:val="000548E1"/>
    <w:rsid w:val="00055893"/>
    <w:rsid w:val="000559E2"/>
    <w:rsid w:val="00055CA8"/>
    <w:rsid w:val="00055D2D"/>
    <w:rsid w:val="000562B9"/>
    <w:rsid w:val="0005687F"/>
    <w:rsid w:val="00057EE7"/>
    <w:rsid w:val="000609A9"/>
    <w:rsid w:val="00061775"/>
    <w:rsid w:val="00061BE0"/>
    <w:rsid w:val="00061E2C"/>
    <w:rsid w:val="0006234B"/>
    <w:rsid w:val="0006298A"/>
    <w:rsid w:val="00062A4C"/>
    <w:rsid w:val="0006303A"/>
    <w:rsid w:val="00065399"/>
    <w:rsid w:val="00065B5E"/>
    <w:rsid w:val="00066088"/>
    <w:rsid w:val="000664A0"/>
    <w:rsid w:val="0007041C"/>
    <w:rsid w:val="000704E8"/>
    <w:rsid w:val="00070960"/>
    <w:rsid w:val="00070D56"/>
    <w:rsid w:val="0007105D"/>
    <w:rsid w:val="00072A96"/>
    <w:rsid w:val="000738C3"/>
    <w:rsid w:val="00073A3C"/>
    <w:rsid w:val="00073A91"/>
    <w:rsid w:val="00073BD5"/>
    <w:rsid w:val="000746CA"/>
    <w:rsid w:val="00075E0D"/>
    <w:rsid w:val="000765CB"/>
    <w:rsid w:val="00076B83"/>
    <w:rsid w:val="000770A3"/>
    <w:rsid w:val="00077676"/>
    <w:rsid w:val="000778CD"/>
    <w:rsid w:val="00077AB7"/>
    <w:rsid w:val="00077F2B"/>
    <w:rsid w:val="000803D4"/>
    <w:rsid w:val="00081818"/>
    <w:rsid w:val="00082A86"/>
    <w:rsid w:val="00082F73"/>
    <w:rsid w:val="000844D7"/>
    <w:rsid w:val="000859AC"/>
    <w:rsid w:val="00085B35"/>
    <w:rsid w:val="00087335"/>
    <w:rsid w:val="000874C1"/>
    <w:rsid w:val="000875A1"/>
    <w:rsid w:val="00087819"/>
    <w:rsid w:val="00087B28"/>
    <w:rsid w:val="000915B9"/>
    <w:rsid w:val="00091AB0"/>
    <w:rsid w:val="00092D6A"/>
    <w:rsid w:val="00092D8D"/>
    <w:rsid w:val="0009306E"/>
    <w:rsid w:val="00094070"/>
    <w:rsid w:val="00096065"/>
    <w:rsid w:val="000965B8"/>
    <w:rsid w:val="00096603"/>
    <w:rsid w:val="000967EB"/>
    <w:rsid w:val="000974FB"/>
    <w:rsid w:val="000A03C8"/>
    <w:rsid w:val="000A1714"/>
    <w:rsid w:val="000A1B7E"/>
    <w:rsid w:val="000A2880"/>
    <w:rsid w:val="000A2C52"/>
    <w:rsid w:val="000A33FA"/>
    <w:rsid w:val="000A37C8"/>
    <w:rsid w:val="000A3C50"/>
    <w:rsid w:val="000A47DF"/>
    <w:rsid w:val="000A481C"/>
    <w:rsid w:val="000A4859"/>
    <w:rsid w:val="000A51A7"/>
    <w:rsid w:val="000A5386"/>
    <w:rsid w:val="000A558D"/>
    <w:rsid w:val="000A5FB9"/>
    <w:rsid w:val="000A60BA"/>
    <w:rsid w:val="000A614E"/>
    <w:rsid w:val="000A67B9"/>
    <w:rsid w:val="000A6804"/>
    <w:rsid w:val="000A6A24"/>
    <w:rsid w:val="000A6B83"/>
    <w:rsid w:val="000A6FFB"/>
    <w:rsid w:val="000A7450"/>
    <w:rsid w:val="000A78BA"/>
    <w:rsid w:val="000A7BF4"/>
    <w:rsid w:val="000A7DB3"/>
    <w:rsid w:val="000B0F93"/>
    <w:rsid w:val="000B29FD"/>
    <w:rsid w:val="000B3EDD"/>
    <w:rsid w:val="000B4976"/>
    <w:rsid w:val="000B6CE1"/>
    <w:rsid w:val="000C2916"/>
    <w:rsid w:val="000C314C"/>
    <w:rsid w:val="000C33D3"/>
    <w:rsid w:val="000C3A7A"/>
    <w:rsid w:val="000C3F3B"/>
    <w:rsid w:val="000C554D"/>
    <w:rsid w:val="000C5EF0"/>
    <w:rsid w:val="000C6E53"/>
    <w:rsid w:val="000C7124"/>
    <w:rsid w:val="000C715D"/>
    <w:rsid w:val="000D0525"/>
    <w:rsid w:val="000D0EC7"/>
    <w:rsid w:val="000D125D"/>
    <w:rsid w:val="000D172F"/>
    <w:rsid w:val="000D27FB"/>
    <w:rsid w:val="000D306F"/>
    <w:rsid w:val="000D5478"/>
    <w:rsid w:val="000D563F"/>
    <w:rsid w:val="000D57BE"/>
    <w:rsid w:val="000D60DD"/>
    <w:rsid w:val="000D612B"/>
    <w:rsid w:val="000D6E92"/>
    <w:rsid w:val="000D784C"/>
    <w:rsid w:val="000D7D53"/>
    <w:rsid w:val="000E0B0A"/>
    <w:rsid w:val="000E0E5C"/>
    <w:rsid w:val="000E131B"/>
    <w:rsid w:val="000E1687"/>
    <w:rsid w:val="000E199E"/>
    <w:rsid w:val="000E4677"/>
    <w:rsid w:val="000E5349"/>
    <w:rsid w:val="000E5BF2"/>
    <w:rsid w:val="000E7548"/>
    <w:rsid w:val="000F0112"/>
    <w:rsid w:val="000F09A2"/>
    <w:rsid w:val="000F0BEC"/>
    <w:rsid w:val="000F13B3"/>
    <w:rsid w:val="000F16C0"/>
    <w:rsid w:val="000F40CD"/>
    <w:rsid w:val="000F452B"/>
    <w:rsid w:val="000F4C18"/>
    <w:rsid w:val="000F744F"/>
    <w:rsid w:val="000F74FB"/>
    <w:rsid w:val="000F7C20"/>
    <w:rsid w:val="0010042B"/>
    <w:rsid w:val="00101542"/>
    <w:rsid w:val="00101E4F"/>
    <w:rsid w:val="001034CA"/>
    <w:rsid w:val="0010364F"/>
    <w:rsid w:val="00103CC5"/>
    <w:rsid w:val="00105D31"/>
    <w:rsid w:val="00105D7C"/>
    <w:rsid w:val="00107796"/>
    <w:rsid w:val="00110334"/>
    <w:rsid w:val="001104EF"/>
    <w:rsid w:val="0011216F"/>
    <w:rsid w:val="001128DD"/>
    <w:rsid w:val="00114520"/>
    <w:rsid w:val="0011485F"/>
    <w:rsid w:val="00114C77"/>
    <w:rsid w:val="00114E06"/>
    <w:rsid w:val="00116821"/>
    <w:rsid w:val="00116C62"/>
    <w:rsid w:val="00116F8A"/>
    <w:rsid w:val="0012009A"/>
    <w:rsid w:val="001203DD"/>
    <w:rsid w:val="001210CD"/>
    <w:rsid w:val="00122AB2"/>
    <w:rsid w:val="00122C80"/>
    <w:rsid w:val="00123B62"/>
    <w:rsid w:val="0012504B"/>
    <w:rsid w:val="0012509F"/>
    <w:rsid w:val="001251F4"/>
    <w:rsid w:val="00125971"/>
    <w:rsid w:val="00125B78"/>
    <w:rsid w:val="00125B7B"/>
    <w:rsid w:val="00126AB0"/>
    <w:rsid w:val="00126F18"/>
    <w:rsid w:val="001279CA"/>
    <w:rsid w:val="00131DA9"/>
    <w:rsid w:val="00131F9F"/>
    <w:rsid w:val="001341F7"/>
    <w:rsid w:val="0013609E"/>
    <w:rsid w:val="0013696C"/>
    <w:rsid w:val="00136D32"/>
    <w:rsid w:val="00137774"/>
    <w:rsid w:val="00137994"/>
    <w:rsid w:val="00141382"/>
    <w:rsid w:val="0014146E"/>
    <w:rsid w:val="001420D7"/>
    <w:rsid w:val="00144125"/>
    <w:rsid w:val="00144215"/>
    <w:rsid w:val="001443EA"/>
    <w:rsid w:val="00144AE2"/>
    <w:rsid w:val="00144E1C"/>
    <w:rsid w:val="00145112"/>
    <w:rsid w:val="001465AB"/>
    <w:rsid w:val="0014661E"/>
    <w:rsid w:val="0014677E"/>
    <w:rsid w:val="001512E5"/>
    <w:rsid w:val="00151EC8"/>
    <w:rsid w:val="001522C2"/>
    <w:rsid w:val="001523DF"/>
    <w:rsid w:val="001529F8"/>
    <w:rsid w:val="001533A5"/>
    <w:rsid w:val="00153884"/>
    <w:rsid w:val="0015460E"/>
    <w:rsid w:val="00154666"/>
    <w:rsid w:val="0015534F"/>
    <w:rsid w:val="001555F9"/>
    <w:rsid w:val="00155DF7"/>
    <w:rsid w:val="00155E75"/>
    <w:rsid w:val="00156B9B"/>
    <w:rsid w:val="0016095C"/>
    <w:rsid w:val="00160E34"/>
    <w:rsid w:val="00161182"/>
    <w:rsid w:val="0016147C"/>
    <w:rsid w:val="001619E9"/>
    <w:rsid w:val="00161C98"/>
    <w:rsid w:val="00162787"/>
    <w:rsid w:val="00162A49"/>
    <w:rsid w:val="00163A9C"/>
    <w:rsid w:val="00163DB3"/>
    <w:rsid w:val="001642A1"/>
    <w:rsid w:val="00164F51"/>
    <w:rsid w:val="0016659D"/>
    <w:rsid w:val="00167E63"/>
    <w:rsid w:val="0017004F"/>
    <w:rsid w:val="0017051C"/>
    <w:rsid w:val="00170789"/>
    <w:rsid w:val="001714C8"/>
    <w:rsid w:val="00171FE3"/>
    <w:rsid w:val="0017250D"/>
    <w:rsid w:val="0017292B"/>
    <w:rsid w:val="00172A27"/>
    <w:rsid w:val="00173DAB"/>
    <w:rsid w:val="00173E4D"/>
    <w:rsid w:val="00174B18"/>
    <w:rsid w:val="001764DB"/>
    <w:rsid w:val="00176D99"/>
    <w:rsid w:val="00177AAD"/>
    <w:rsid w:val="001804D9"/>
    <w:rsid w:val="00181409"/>
    <w:rsid w:val="00181DE5"/>
    <w:rsid w:val="001834A1"/>
    <w:rsid w:val="00183717"/>
    <w:rsid w:val="00183D92"/>
    <w:rsid w:val="00185157"/>
    <w:rsid w:val="0018639E"/>
    <w:rsid w:val="001867AE"/>
    <w:rsid w:val="00187119"/>
    <w:rsid w:val="0018712A"/>
    <w:rsid w:val="00187389"/>
    <w:rsid w:val="0018773F"/>
    <w:rsid w:val="00187A06"/>
    <w:rsid w:val="00187A0A"/>
    <w:rsid w:val="00190B72"/>
    <w:rsid w:val="00190F22"/>
    <w:rsid w:val="00191076"/>
    <w:rsid w:val="0019248B"/>
    <w:rsid w:val="00192973"/>
    <w:rsid w:val="0019369F"/>
    <w:rsid w:val="00194EAD"/>
    <w:rsid w:val="00196DB9"/>
    <w:rsid w:val="0019719C"/>
    <w:rsid w:val="00197E5E"/>
    <w:rsid w:val="001A0151"/>
    <w:rsid w:val="001A071B"/>
    <w:rsid w:val="001A0BD3"/>
    <w:rsid w:val="001A0C8D"/>
    <w:rsid w:val="001A0D1F"/>
    <w:rsid w:val="001A1300"/>
    <w:rsid w:val="001A19B9"/>
    <w:rsid w:val="001A2784"/>
    <w:rsid w:val="001A3D85"/>
    <w:rsid w:val="001A4BAA"/>
    <w:rsid w:val="001A4D00"/>
    <w:rsid w:val="001A58A2"/>
    <w:rsid w:val="001A5970"/>
    <w:rsid w:val="001A668C"/>
    <w:rsid w:val="001A71F7"/>
    <w:rsid w:val="001A74F8"/>
    <w:rsid w:val="001A7519"/>
    <w:rsid w:val="001A7CF8"/>
    <w:rsid w:val="001B2041"/>
    <w:rsid w:val="001B21E5"/>
    <w:rsid w:val="001B2738"/>
    <w:rsid w:val="001B38D6"/>
    <w:rsid w:val="001B38FB"/>
    <w:rsid w:val="001B3CFC"/>
    <w:rsid w:val="001B4184"/>
    <w:rsid w:val="001B4767"/>
    <w:rsid w:val="001B48A0"/>
    <w:rsid w:val="001B5081"/>
    <w:rsid w:val="001B5373"/>
    <w:rsid w:val="001B5433"/>
    <w:rsid w:val="001B5C8D"/>
    <w:rsid w:val="001B5CB8"/>
    <w:rsid w:val="001B65BE"/>
    <w:rsid w:val="001C082C"/>
    <w:rsid w:val="001C111F"/>
    <w:rsid w:val="001C1380"/>
    <w:rsid w:val="001C1616"/>
    <w:rsid w:val="001C169D"/>
    <w:rsid w:val="001C1B0E"/>
    <w:rsid w:val="001C2038"/>
    <w:rsid w:val="001C20DA"/>
    <w:rsid w:val="001C2E09"/>
    <w:rsid w:val="001C2F2C"/>
    <w:rsid w:val="001C350F"/>
    <w:rsid w:val="001C57A1"/>
    <w:rsid w:val="001C5FAE"/>
    <w:rsid w:val="001C6385"/>
    <w:rsid w:val="001C6470"/>
    <w:rsid w:val="001C7E87"/>
    <w:rsid w:val="001D0733"/>
    <w:rsid w:val="001D0776"/>
    <w:rsid w:val="001D175D"/>
    <w:rsid w:val="001D4434"/>
    <w:rsid w:val="001D46B7"/>
    <w:rsid w:val="001D4C09"/>
    <w:rsid w:val="001D4D81"/>
    <w:rsid w:val="001D5101"/>
    <w:rsid w:val="001D6F07"/>
    <w:rsid w:val="001E0002"/>
    <w:rsid w:val="001E0A44"/>
    <w:rsid w:val="001E162C"/>
    <w:rsid w:val="001E2844"/>
    <w:rsid w:val="001E2B45"/>
    <w:rsid w:val="001E2D8E"/>
    <w:rsid w:val="001E3AA0"/>
    <w:rsid w:val="001E5099"/>
    <w:rsid w:val="001E538E"/>
    <w:rsid w:val="001E5594"/>
    <w:rsid w:val="001E567E"/>
    <w:rsid w:val="001E7488"/>
    <w:rsid w:val="001E7F78"/>
    <w:rsid w:val="001F07E3"/>
    <w:rsid w:val="001F1152"/>
    <w:rsid w:val="001F16A1"/>
    <w:rsid w:val="001F36AD"/>
    <w:rsid w:val="001F3846"/>
    <w:rsid w:val="001F4149"/>
    <w:rsid w:val="001F45E0"/>
    <w:rsid w:val="001F47AE"/>
    <w:rsid w:val="001F4B16"/>
    <w:rsid w:val="001F785E"/>
    <w:rsid w:val="002006C1"/>
    <w:rsid w:val="00200C5F"/>
    <w:rsid w:val="002014AE"/>
    <w:rsid w:val="002014FA"/>
    <w:rsid w:val="00201ED3"/>
    <w:rsid w:val="00203833"/>
    <w:rsid w:val="00203881"/>
    <w:rsid w:val="002038E8"/>
    <w:rsid w:val="00203BD6"/>
    <w:rsid w:val="00204CC8"/>
    <w:rsid w:val="00207500"/>
    <w:rsid w:val="002078B4"/>
    <w:rsid w:val="00210407"/>
    <w:rsid w:val="0021097F"/>
    <w:rsid w:val="002126EE"/>
    <w:rsid w:val="00212F5B"/>
    <w:rsid w:val="0021464C"/>
    <w:rsid w:val="00214C4D"/>
    <w:rsid w:val="0021511B"/>
    <w:rsid w:val="00215325"/>
    <w:rsid w:val="00215EDA"/>
    <w:rsid w:val="002162BF"/>
    <w:rsid w:val="002167B3"/>
    <w:rsid w:val="0021797A"/>
    <w:rsid w:val="002210FF"/>
    <w:rsid w:val="002227CE"/>
    <w:rsid w:val="00222BA5"/>
    <w:rsid w:val="002231A3"/>
    <w:rsid w:val="0022329E"/>
    <w:rsid w:val="002233E6"/>
    <w:rsid w:val="00223776"/>
    <w:rsid w:val="002237B5"/>
    <w:rsid w:val="00223AF7"/>
    <w:rsid w:val="00225838"/>
    <w:rsid w:val="00225D4A"/>
    <w:rsid w:val="00225E53"/>
    <w:rsid w:val="00225EED"/>
    <w:rsid w:val="002265DF"/>
    <w:rsid w:val="00227D11"/>
    <w:rsid w:val="002314F1"/>
    <w:rsid w:val="00231AAB"/>
    <w:rsid w:val="00232420"/>
    <w:rsid w:val="0023247D"/>
    <w:rsid w:val="00232D01"/>
    <w:rsid w:val="00232E59"/>
    <w:rsid w:val="00232F36"/>
    <w:rsid w:val="00233432"/>
    <w:rsid w:val="00233972"/>
    <w:rsid w:val="00233E37"/>
    <w:rsid w:val="002368E0"/>
    <w:rsid w:val="002411E8"/>
    <w:rsid w:val="002424E0"/>
    <w:rsid w:val="002431EF"/>
    <w:rsid w:val="00243B50"/>
    <w:rsid w:val="00243D67"/>
    <w:rsid w:val="00244035"/>
    <w:rsid w:val="002446EE"/>
    <w:rsid w:val="00244CA8"/>
    <w:rsid w:val="00244CED"/>
    <w:rsid w:val="00244F02"/>
    <w:rsid w:val="00245927"/>
    <w:rsid w:val="0024618E"/>
    <w:rsid w:val="00246522"/>
    <w:rsid w:val="00246C42"/>
    <w:rsid w:val="00247CFD"/>
    <w:rsid w:val="00247F4B"/>
    <w:rsid w:val="002503EC"/>
    <w:rsid w:val="0025180F"/>
    <w:rsid w:val="00251B11"/>
    <w:rsid w:val="00252891"/>
    <w:rsid w:val="00252CDB"/>
    <w:rsid w:val="00253D68"/>
    <w:rsid w:val="0025474D"/>
    <w:rsid w:val="00254B23"/>
    <w:rsid w:val="00254DDC"/>
    <w:rsid w:val="00255684"/>
    <w:rsid w:val="002557FF"/>
    <w:rsid w:val="00256557"/>
    <w:rsid w:val="0025783C"/>
    <w:rsid w:val="0026014B"/>
    <w:rsid w:val="002618D5"/>
    <w:rsid w:val="00261AF4"/>
    <w:rsid w:val="002627EB"/>
    <w:rsid w:val="00263919"/>
    <w:rsid w:val="0026563C"/>
    <w:rsid w:val="00265A27"/>
    <w:rsid w:val="00266394"/>
    <w:rsid w:val="00266672"/>
    <w:rsid w:val="00267B7D"/>
    <w:rsid w:val="0027075D"/>
    <w:rsid w:val="00270972"/>
    <w:rsid w:val="0027156B"/>
    <w:rsid w:val="00272CA0"/>
    <w:rsid w:val="0027343B"/>
    <w:rsid w:val="002746FD"/>
    <w:rsid w:val="002749CE"/>
    <w:rsid w:val="00275410"/>
    <w:rsid w:val="0027668F"/>
    <w:rsid w:val="002800D7"/>
    <w:rsid w:val="002809AE"/>
    <w:rsid w:val="00281DAC"/>
    <w:rsid w:val="00281FE1"/>
    <w:rsid w:val="00281FEF"/>
    <w:rsid w:val="00283045"/>
    <w:rsid w:val="00283C00"/>
    <w:rsid w:val="00284ED8"/>
    <w:rsid w:val="00285035"/>
    <w:rsid w:val="00285E55"/>
    <w:rsid w:val="002863CB"/>
    <w:rsid w:val="002874EE"/>
    <w:rsid w:val="00287C48"/>
    <w:rsid w:val="00287CA6"/>
    <w:rsid w:val="00287CF6"/>
    <w:rsid w:val="00290CDB"/>
    <w:rsid w:val="00291501"/>
    <w:rsid w:val="0029173A"/>
    <w:rsid w:val="00292638"/>
    <w:rsid w:val="00292C33"/>
    <w:rsid w:val="002932EC"/>
    <w:rsid w:val="00293A44"/>
    <w:rsid w:val="0029403F"/>
    <w:rsid w:val="002952DA"/>
    <w:rsid w:val="0029568C"/>
    <w:rsid w:val="00295EBB"/>
    <w:rsid w:val="0029630D"/>
    <w:rsid w:val="0029764C"/>
    <w:rsid w:val="002A045C"/>
    <w:rsid w:val="002A063E"/>
    <w:rsid w:val="002A0E89"/>
    <w:rsid w:val="002A1A3D"/>
    <w:rsid w:val="002A1BA1"/>
    <w:rsid w:val="002A1CB9"/>
    <w:rsid w:val="002A1E96"/>
    <w:rsid w:val="002A297C"/>
    <w:rsid w:val="002A36C3"/>
    <w:rsid w:val="002A3DE8"/>
    <w:rsid w:val="002A490E"/>
    <w:rsid w:val="002A4FE2"/>
    <w:rsid w:val="002A5CCA"/>
    <w:rsid w:val="002A5DE7"/>
    <w:rsid w:val="002A5F37"/>
    <w:rsid w:val="002A6EEB"/>
    <w:rsid w:val="002A7CEF"/>
    <w:rsid w:val="002B1108"/>
    <w:rsid w:val="002B2708"/>
    <w:rsid w:val="002B30B0"/>
    <w:rsid w:val="002B4378"/>
    <w:rsid w:val="002B47DC"/>
    <w:rsid w:val="002B5826"/>
    <w:rsid w:val="002B5947"/>
    <w:rsid w:val="002B6728"/>
    <w:rsid w:val="002B67C0"/>
    <w:rsid w:val="002B769A"/>
    <w:rsid w:val="002C19D5"/>
    <w:rsid w:val="002C4849"/>
    <w:rsid w:val="002C4A51"/>
    <w:rsid w:val="002C5D9F"/>
    <w:rsid w:val="002C6162"/>
    <w:rsid w:val="002C6903"/>
    <w:rsid w:val="002C69E5"/>
    <w:rsid w:val="002C73BF"/>
    <w:rsid w:val="002C7AA4"/>
    <w:rsid w:val="002D0C43"/>
    <w:rsid w:val="002D1095"/>
    <w:rsid w:val="002D1759"/>
    <w:rsid w:val="002D20C1"/>
    <w:rsid w:val="002D2DA5"/>
    <w:rsid w:val="002D3034"/>
    <w:rsid w:val="002D31E7"/>
    <w:rsid w:val="002D37BA"/>
    <w:rsid w:val="002D432F"/>
    <w:rsid w:val="002D4521"/>
    <w:rsid w:val="002D545E"/>
    <w:rsid w:val="002D69F0"/>
    <w:rsid w:val="002D6C48"/>
    <w:rsid w:val="002D7282"/>
    <w:rsid w:val="002E0F80"/>
    <w:rsid w:val="002E17AC"/>
    <w:rsid w:val="002E1BEE"/>
    <w:rsid w:val="002E1CCA"/>
    <w:rsid w:val="002E23BF"/>
    <w:rsid w:val="002E42CA"/>
    <w:rsid w:val="002E5B57"/>
    <w:rsid w:val="002E608F"/>
    <w:rsid w:val="002E6F28"/>
    <w:rsid w:val="002E7817"/>
    <w:rsid w:val="002E7BBC"/>
    <w:rsid w:val="002F2095"/>
    <w:rsid w:val="002F2D66"/>
    <w:rsid w:val="002F2E07"/>
    <w:rsid w:val="002F2E39"/>
    <w:rsid w:val="002F2EBE"/>
    <w:rsid w:val="002F32A2"/>
    <w:rsid w:val="002F4FDA"/>
    <w:rsid w:val="002F5151"/>
    <w:rsid w:val="002F51C1"/>
    <w:rsid w:val="002F5929"/>
    <w:rsid w:val="002F5B42"/>
    <w:rsid w:val="002F5DCC"/>
    <w:rsid w:val="002F6E04"/>
    <w:rsid w:val="002F750E"/>
    <w:rsid w:val="002F7703"/>
    <w:rsid w:val="00300DC6"/>
    <w:rsid w:val="00300DD0"/>
    <w:rsid w:val="00301FE7"/>
    <w:rsid w:val="00302135"/>
    <w:rsid w:val="00302686"/>
    <w:rsid w:val="00302920"/>
    <w:rsid w:val="00302BE1"/>
    <w:rsid w:val="00302C0B"/>
    <w:rsid w:val="003035F0"/>
    <w:rsid w:val="00303B1C"/>
    <w:rsid w:val="003041C8"/>
    <w:rsid w:val="00304207"/>
    <w:rsid w:val="00305476"/>
    <w:rsid w:val="003061FD"/>
    <w:rsid w:val="003105ED"/>
    <w:rsid w:val="00310795"/>
    <w:rsid w:val="00310D9A"/>
    <w:rsid w:val="00311403"/>
    <w:rsid w:val="003118EC"/>
    <w:rsid w:val="00312A89"/>
    <w:rsid w:val="00312EAE"/>
    <w:rsid w:val="00313A68"/>
    <w:rsid w:val="00313A7E"/>
    <w:rsid w:val="00313C3D"/>
    <w:rsid w:val="00314ECF"/>
    <w:rsid w:val="00315E0A"/>
    <w:rsid w:val="003175E7"/>
    <w:rsid w:val="003175F1"/>
    <w:rsid w:val="00317F7F"/>
    <w:rsid w:val="0032069B"/>
    <w:rsid w:val="00320FA6"/>
    <w:rsid w:val="00320FF1"/>
    <w:rsid w:val="00321520"/>
    <w:rsid w:val="003215AF"/>
    <w:rsid w:val="00321A56"/>
    <w:rsid w:val="00321B48"/>
    <w:rsid w:val="00322ADD"/>
    <w:rsid w:val="0032300A"/>
    <w:rsid w:val="00323076"/>
    <w:rsid w:val="0032325D"/>
    <w:rsid w:val="0032378C"/>
    <w:rsid w:val="003241C5"/>
    <w:rsid w:val="00324515"/>
    <w:rsid w:val="00324B53"/>
    <w:rsid w:val="0032505F"/>
    <w:rsid w:val="003272A0"/>
    <w:rsid w:val="00327475"/>
    <w:rsid w:val="00327549"/>
    <w:rsid w:val="00327E40"/>
    <w:rsid w:val="00330D28"/>
    <w:rsid w:val="00330D88"/>
    <w:rsid w:val="00330E0B"/>
    <w:rsid w:val="003321DD"/>
    <w:rsid w:val="003324C1"/>
    <w:rsid w:val="00332501"/>
    <w:rsid w:val="00332943"/>
    <w:rsid w:val="00332C02"/>
    <w:rsid w:val="00334E84"/>
    <w:rsid w:val="00336F95"/>
    <w:rsid w:val="00340215"/>
    <w:rsid w:val="003414BD"/>
    <w:rsid w:val="00343A4A"/>
    <w:rsid w:val="00345F13"/>
    <w:rsid w:val="003463B1"/>
    <w:rsid w:val="00346491"/>
    <w:rsid w:val="00346868"/>
    <w:rsid w:val="003478FE"/>
    <w:rsid w:val="003504B9"/>
    <w:rsid w:val="0035080C"/>
    <w:rsid w:val="00352190"/>
    <w:rsid w:val="003534BB"/>
    <w:rsid w:val="00353B83"/>
    <w:rsid w:val="003553A8"/>
    <w:rsid w:val="00355A8C"/>
    <w:rsid w:val="00355EFB"/>
    <w:rsid w:val="003561E4"/>
    <w:rsid w:val="00356AA2"/>
    <w:rsid w:val="00356F14"/>
    <w:rsid w:val="00356F21"/>
    <w:rsid w:val="00357276"/>
    <w:rsid w:val="00357A28"/>
    <w:rsid w:val="003600DB"/>
    <w:rsid w:val="003614FA"/>
    <w:rsid w:val="00362870"/>
    <w:rsid w:val="00362B2E"/>
    <w:rsid w:val="00363119"/>
    <w:rsid w:val="003631AA"/>
    <w:rsid w:val="003646CB"/>
    <w:rsid w:val="003654CA"/>
    <w:rsid w:val="00366965"/>
    <w:rsid w:val="00366A46"/>
    <w:rsid w:val="00366B2E"/>
    <w:rsid w:val="00366C4B"/>
    <w:rsid w:val="003671BC"/>
    <w:rsid w:val="003705A3"/>
    <w:rsid w:val="00370EA5"/>
    <w:rsid w:val="00370EDB"/>
    <w:rsid w:val="00371971"/>
    <w:rsid w:val="00371E54"/>
    <w:rsid w:val="0037274D"/>
    <w:rsid w:val="00372D75"/>
    <w:rsid w:val="00375235"/>
    <w:rsid w:val="0037576D"/>
    <w:rsid w:val="00375C0E"/>
    <w:rsid w:val="003774AB"/>
    <w:rsid w:val="00377D97"/>
    <w:rsid w:val="00380A39"/>
    <w:rsid w:val="00380C96"/>
    <w:rsid w:val="00381AB2"/>
    <w:rsid w:val="0038202E"/>
    <w:rsid w:val="003824BD"/>
    <w:rsid w:val="0038302E"/>
    <w:rsid w:val="00384B74"/>
    <w:rsid w:val="0038523F"/>
    <w:rsid w:val="003852D1"/>
    <w:rsid w:val="00386540"/>
    <w:rsid w:val="00386787"/>
    <w:rsid w:val="00386A4E"/>
    <w:rsid w:val="00387118"/>
    <w:rsid w:val="003879B6"/>
    <w:rsid w:val="00391AB3"/>
    <w:rsid w:val="00391C3D"/>
    <w:rsid w:val="00391E5D"/>
    <w:rsid w:val="00392353"/>
    <w:rsid w:val="00392565"/>
    <w:rsid w:val="00392B62"/>
    <w:rsid w:val="00392E3B"/>
    <w:rsid w:val="00394AFD"/>
    <w:rsid w:val="00395DAE"/>
    <w:rsid w:val="00395FD4"/>
    <w:rsid w:val="00396A31"/>
    <w:rsid w:val="00396E4E"/>
    <w:rsid w:val="00397C90"/>
    <w:rsid w:val="00397FB8"/>
    <w:rsid w:val="003A2057"/>
    <w:rsid w:val="003A2547"/>
    <w:rsid w:val="003A2AC4"/>
    <w:rsid w:val="003A3335"/>
    <w:rsid w:val="003A344E"/>
    <w:rsid w:val="003A40BC"/>
    <w:rsid w:val="003A4122"/>
    <w:rsid w:val="003A449E"/>
    <w:rsid w:val="003A44F5"/>
    <w:rsid w:val="003A4583"/>
    <w:rsid w:val="003A4A96"/>
    <w:rsid w:val="003A5A5F"/>
    <w:rsid w:val="003A619C"/>
    <w:rsid w:val="003A73C1"/>
    <w:rsid w:val="003A7F15"/>
    <w:rsid w:val="003B019D"/>
    <w:rsid w:val="003B01BE"/>
    <w:rsid w:val="003B038B"/>
    <w:rsid w:val="003B0F28"/>
    <w:rsid w:val="003B27A5"/>
    <w:rsid w:val="003B2A99"/>
    <w:rsid w:val="003B3A6B"/>
    <w:rsid w:val="003B4486"/>
    <w:rsid w:val="003B510B"/>
    <w:rsid w:val="003B5435"/>
    <w:rsid w:val="003B5C33"/>
    <w:rsid w:val="003B6E18"/>
    <w:rsid w:val="003B759C"/>
    <w:rsid w:val="003B75B5"/>
    <w:rsid w:val="003B766F"/>
    <w:rsid w:val="003B79DB"/>
    <w:rsid w:val="003C0518"/>
    <w:rsid w:val="003C07A0"/>
    <w:rsid w:val="003C0891"/>
    <w:rsid w:val="003C0BC6"/>
    <w:rsid w:val="003C10D6"/>
    <w:rsid w:val="003C2C5C"/>
    <w:rsid w:val="003C2E6A"/>
    <w:rsid w:val="003C307E"/>
    <w:rsid w:val="003C3B91"/>
    <w:rsid w:val="003C4232"/>
    <w:rsid w:val="003C50D6"/>
    <w:rsid w:val="003C5F1A"/>
    <w:rsid w:val="003C6798"/>
    <w:rsid w:val="003C6933"/>
    <w:rsid w:val="003C6F3A"/>
    <w:rsid w:val="003C7B9A"/>
    <w:rsid w:val="003C7D26"/>
    <w:rsid w:val="003D0302"/>
    <w:rsid w:val="003D0C04"/>
    <w:rsid w:val="003D1759"/>
    <w:rsid w:val="003D2042"/>
    <w:rsid w:val="003D21F2"/>
    <w:rsid w:val="003D41C8"/>
    <w:rsid w:val="003D439B"/>
    <w:rsid w:val="003D43D1"/>
    <w:rsid w:val="003D54F0"/>
    <w:rsid w:val="003D67A2"/>
    <w:rsid w:val="003D6CCB"/>
    <w:rsid w:val="003D7DFC"/>
    <w:rsid w:val="003E02B4"/>
    <w:rsid w:val="003E06A0"/>
    <w:rsid w:val="003E076C"/>
    <w:rsid w:val="003E0B97"/>
    <w:rsid w:val="003E1006"/>
    <w:rsid w:val="003E1319"/>
    <w:rsid w:val="003E26AF"/>
    <w:rsid w:val="003E2FDB"/>
    <w:rsid w:val="003E3706"/>
    <w:rsid w:val="003E4DDB"/>
    <w:rsid w:val="003E52AD"/>
    <w:rsid w:val="003E539D"/>
    <w:rsid w:val="003E5B6D"/>
    <w:rsid w:val="003E5C5E"/>
    <w:rsid w:val="003E5D13"/>
    <w:rsid w:val="003E6FA6"/>
    <w:rsid w:val="003F0C96"/>
    <w:rsid w:val="003F12D7"/>
    <w:rsid w:val="003F1811"/>
    <w:rsid w:val="003F19CF"/>
    <w:rsid w:val="003F1D97"/>
    <w:rsid w:val="003F2697"/>
    <w:rsid w:val="003F2B18"/>
    <w:rsid w:val="003F2DE9"/>
    <w:rsid w:val="003F309D"/>
    <w:rsid w:val="003F3530"/>
    <w:rsid w:val="003F3A23"/>
    <w:rsid w:val="003F415C"/>
    <w:rsid w:val="003F45BD"/>
    <w:rsid w:val="003F4771"/>
    <w:rsid w:val="003F4A5E"/>
    <w:rsid w:val="003F5222"/>
    <w:rsid w:val="003F6808"/>
    <w:rsid w:val="003F6B92"/>
    <w:rsid w:val="003F74BE"/>
    <w:rsid w:val="003F7D86"/>
    <w:rsid w:val="003F7DE1"/>
    <w:rsid w:val="00400E29"/>
    <w:rsid w:val="00401C11"/>
    <w:rsid w:val="00401C1C"/>
    <w:rsid w:val="00402674"/>
    <w:rsid w:val="00403544"/>
    <w:rsid w:val="00404DC9"/>
    <w:rsid w:val="004072C6"/>
    <w:rsid w:val="0040732F"/>
    <w:rsid w:val="00407888"/>
    <w:rsid w:val="00410CA0"/>
    <w:rsid w:val="004126F3"/>
    <w:rsid w:val="00412A97"/>
    <w:rsid w:val="00412AA7"/>
    <w:rsid w:val="0041455A"/>
    <w:rsid w:val="00414D4D"/>
    <w:rsid w:val="004168C9"/>
    <w:rsid w:val="00420045"/>
    <w:rsid w:val="00421E66"/>
    <w:rsid w:val="00423640"/>
    <w:rsid w:val="00423857"/>
    <w:rsid w:val="00423C66"/>
    <w:rsid w:val="00423D2C"/>
    <w:rsid w:val="00423DE5"/>
    <w:rsid w:val="0042436B"/>
    <w:rsid w:val="00424D01"/>
    <w:rsid w:val="00424D86"/>
    <w:rsid w:val="0042520C"/>
    <w:rsid w:val="00425F81"/>
    <w:rsid w:val="00426304"/>
    <w:rsid w:val="00426328"/>
    <w:rsid w:val="00427177"/>
    <w:rsid w:val="00427909"/>
    <w:rsid w:val="00427F1C"/>
    <w:rsid w:val="004300DE"/>
    <w:rsid w:val="004304BD"/>
    <w:rsid w:val="00430BD6"/>
    <w:rsid w:val="00430C92"/>
    <w:rsid w:val="00430F0F"/>
    <w:rsid w:val="00431F7D"/>
    <w:rsid w:val="00433C6C"/>
    <w:rsid w:val="0043584D"/>
    <w:rsid w:val="00435F2D"/>
    <w:rsid w:val="00436571"/>
    <w:rsid w:val="00436F53"/>
    <w:rsid w:val="00441FA8"/>
    <w:rsid w:val="00442AFC"/>
    <w:rsid w:val="00442D5A"/>
    <w:rsid w:val="00443184"/>
    <w:rsid w:val="00443640"/>
    <w:rsid w:val="00443A2F"/>
    <w:rsid w:val="00443F44"/>
    <w:rsid w:val="00444340"/>
    <w:rsid w:val="004446B9"/>
    <w:rsid w:val="004462E3"/>
    <w:rsid w:val="00446A22"/>
    <w:rsid w:val="00451499"/>
    <w:rsid w:val="0045165B"/>
    <w:rsid w:val="00453F59"/>
    <w:rsid w:val="004545E4"/>
    <w:rsid w:val="0045477D"/>
    <w:rsid w:val="00454A77"/>
    <w:rsid w:val="00455558"/>
    <w:rsid w:val="00456BBA"/>
    <w:rsid w:val="00456ED2"/>
    <w:rsid w:val="00457D3E"/>
    <w:rsid w:val="004619D0"/>
    <w:rsid w:val="00462730"/>
    <w:rsid w:val="00462A79"/>
    <w:rsid w:val="00462AB9"/>
    <w:rsid w:val="0046517F"/>
    <w:rsid w:val="00465A56"/>
    <w:rsid w:val="004666AD"/>
    <w:rsid w:val="00467398"/>
    <w:rsid w:val="004675F4"/>
    <w:rsid w:val="0047009E"/>
    <w:rsid w:val="00470E98"/>
    <w:rsid w:val="00472015"/>
    <w:rsid w:val="004723E8"/>
    <w:rsid w:val="004743F7"/>
    <w:rsid w:val="004752D8"/>
    <w:rsid w:val="004756B7"/>
    <w:rsid w:val="00475BFD"/>
    <w:rsid w:val="00477A95"/>
    <w:rsid w:val="00480BC6"/>
    <w:rsid w:val="00481197"/>
    <w:rsid w:val="004819D2"/>
    <w:rsid w:val="00481F1C"/>
    <w:rsid w:val="00483409"/>
    <w:rsid w:val="004849BC"/>
    <w:rsid w:val="0048547E"/>
    <w:rsid w:val="004854C9"/>
    <w:rsid w:val="00485A03"/>
    <w:rsid w:val="004879A0"/>
    <w:rsid w:val="004900AF"/>
    <w:rsid w:val="0049041E"/>
    <w:rsid w:val="00490C7A"/>
    <w:rsid w:val="00490D96"/>
    <w:rsid w:val="00490E11"/>
    <w:rsid w:val="00491965"/>
    <w:rsid w:val="00492E6B"/>
    <w:rsid w:val="004932AD"/>
    <w:rsid w:val="004937C6"/>
    <w:rsid w:val="00495232"/>
    <w:rsid w:val="00495618"/>
    <w:rsid w:val="00495889"/>
    <w:rsid w:val="00495B56"/>
    <w:rsid w:val="00496049"/>
    <w:rsid w:val="004A003C"/>
    <w:rsid w:val="004A0BF6"/>
    <w:rsid w:val="004A11EB"/>
    <w:rsid w:val="004A12BA"/>
    <w:rsid w:val="004A1EFF"/>
    <w:rsid w:val="004A217F"/>
    <w:rsid w:val="004A2297"/>
    <w:rsid w:val="004A2402"/>
    <w:rsid w:val="004A2C28"/>
    <w:rsid w:val="004A32CD"/>
    <w:rsid w:val="004A3A61"/>
    <w:rsid w:val="004A3CA4"/>
    <w:rsid w:val="004A40F8"/>
    <w:rsid w:val="004A5086"/>
    <w:rsid w:val="004A6276"/>
    <w:rsid w:val="004A7851"/>
    <w:rsid w:val="004A7F5D"/>
    <w:rsid w:val="004B086E"/>
    <w:rsid w:val="004B0C4E"/>
    <w:rsid w:val="004B0C6B"/>
    <w:rsid w:val="004B16D0"/>
    <w:rsid w:val="004B206F"/>
    <w:rsid w:val="004B2DEB"/>
    <w:rsid w:val="004B3574"/>
    <w:rsid w:val="004B4699"/>
    <w:rsid w:val="004B4A2E"/>
    <w:rsid w:val="004B4CEA"/>
    <w:rsid w:val="004B5787"/>
    <w:rsid w:val="004B63F9"/>
    <w:rsid w:val="004B66E0"/>
    <w:rsid w:val="004B792D"/>
    <w:rsid w:val="004C054A"/>
    <w:rsid w:val="004C125C"/>
    <w:rsid w:val="004C33A1"/>
    <w:rsid w:val="004C4AEE"/>
    <w:rsid w:val="004C4BA9"/>
    <w:rsid w:val="004C4EEF"/>
    <w:rsid w:val="004C520A"/>
    <w:rsid w:val="004C5DB3"/>
    <w:rsid w:val="004C66E0"/>
    <w:rsid w:val="004C7A06"/>
    <w:rsid w:val="004D0D3B"/>
    <w:rsid w:val="004D1EC8"/>
    <w:rsid w:val="004D235A"/>
    <w:rsid w:val="004D32B9"/>
    <w:rsid w:val="004D4013"/>
    <w:rsid w:val="004D428E"/>
    <w:rsid w:val="004D44E7"/>
    <w:rsid w:val="004D5A25"/>
    <w:rsid w:val="004D5EAA"/>
    <w:rsid w:val="004D71FC"/>
    <w:rsid w:val="004E1BA9"/>
    <w:rsid w:val="004E2B55"/>
    <w:rsid w:val="004E3978"/>
    <w:rsid w:val="004E7A88"/>
    <w:rsid w:val="004F2349"/>
    <w:rsid w:val="004F32ED"/>
    <w:rsid w:val="004F37C2"/>
    <w:rsid w:val="004F3B6E"/>
    <w:rsid w:val="004F427C"/>
    <w:rsid w:val="004F4C9D"/>
    <w:rsid w:val="004F5B9F"/>
    <w:rsid w:val="004F5FBF"/>
    <w:rsid w:val="004F6190"/>
    <w:rsid w:val="004F63EA"/>
    <w:rsid w:val="004F6BF5"/>
    <w:rsid w:val="004F71FE"/>
    <w:rsid w:val="004F7324"/>
    <w:rsid w:val="00500283"/>
    <w:rsid w:val="00500E61"/>
    <w:rsid w:val="00502423"/>
    <w:rsid w:val="005033C2"/>
    <w:rsid w:val="00506822"/>
    <w:rsid w:val="005069B1"/>
    <w:rsid w:val="00506C44"/>
    <w:rsid w:val="005073F1"/>
    <w:rsid w:val="0051011F"/>
    <w:rsid w:val="005114C0"/>
    <w:rsid w:val="00511F7B"/>
    <w:rsid w:val="00512290"/>
    <w:rsid w:val="00514300"/>
    <w:rsid w:val="00514EDF"/>
    <w:rsid w:val="00515374"/>
    <w:rsid w:val="00515CA8"/>
    <w:rsid w:val="005164F3"/>
    <w:rsid w:val="00516AF9"/>
    <w:rsid w:val="00520C8A"/>
    <w:rsid w:val="00521875"/>
    <w:rsid w:val="00521D8D"/>
    <w:rsid w:val="00523387"/>
    <w:rsid w:val="005255B4"/>
    <w:rsid w:val="005264A0"/>
    <w:rsid w:val="00526A22"/>
    <w:rsid w:val="00526B00"/>
    <w:rsid w:val="005277E8"/>
    <w:rsid w:val="0052795F"/>
    <w:rsid w:val="00527A3A"/>
    <w:rsid w:val="00530000"/>
    <w:rsid w:val="00530846"/>
    <w:rsid w:val="005311CD"/>
    <w:rsid w:val="00531207"/>
    <w:rsid w:val="00531870"/>
    <w:rsid w:val="00532426"/>
    <w:rsid w:val="00533143"/>
    <w:rsid w:val="005335B4"/>
    <w:rsid w:val="0053371A"/>
    <w:rsid w:val="005337B1"/>
    <w:rsid w:val="005340FF"/>
    <w:rsid w:val="00534273"/>
    <w:rsid w:val="00534398"/>
    <w:rsid w:val="005344F5"/>
    <w:rsid w:val="0053576A"/>
    <w:rsid w:val="005369F6"/>
    <w:rsid w:val="005372EC"/>
    <w:rsid w:val="005379B7"/>
    <w:rsid w:val="0054073F"/>
    <w:rsid w:val="00542550"/>
    <w:rsid w:val="00543157"/>
    <w:rsid w:val="005435DA"/>
    <w:rsid w:val="0054399A"/>
    <w:rsid w:val="00543B2D"/>
    <w:rsid w:val="0054463C"/>
    <w:rsid w:val="00545458"/>
    <w:rsid w:val="00546486"/>
    <w:rsid w:val="00546914"/>
    <w:rsid w:val="00547313"/>
    <w:rsid w:val="00547935"/>
    <w:rsid w:val="00547A15"/>
    <w:rsid w:val="005506C6"/>
    <w:rsid w:val="00550AB4"/>
    <w:rsid w:val="0055100C"/>
    <w:rsid w:val="005516F8"/>
    <w:rsid w:val="00552038"/>
    <w:rsid w:val="00553419"/>
    <w:rsid w:val="00553EE3"/>
    <w:rsid w:val="00553F22"/>
    <w:rsid w:val="00554312"/>
    <w:rsid w:val="00554A70"/>
    <w:rsid w:val="00555A3C"/>
    <w:rsid w:val="00555E51"/>
    <w:rsid w:val="0055798E"/>
    <w:rsid w:val="005579DD"/>
    <w:rsid w:val="00560B27"/>
    <w:rsid w:val="00560DAC"/>
    <w:rsid w:val="0056153F"/>
    <w:rsid w:val="0056209D"/>
    <w:rsid w:val="005629AE"/>
    <w:rsid w:val="00562B17"/>
    <w:rsid w:val="00562C7E"/>
    <w:rsid w:val="00564656"/>
    <w:rsid w:val="00564EB6"/>
    <w:rsid w:val="00565B67"/>
    <w:rsid w:val="00567046"/>
    <w:rsid w:val="00567190"/>
    <w:rsid w:val="0056772A"/>
    <w:rsid w:val="005711FF"/>
    <w:rsid w:val="005716E2"/>
    <w:rsid w:val="00572829"/>
    <w:rsid w:val="00572872"/>
    <w:rsid w:val="00572B86"/>
    <w:rsid w:val="00573730"/>
    <w:rsid w:val="0057469E"/>
    <w:rsid w:val="00574E5F"/>
    <w:rsid w:val="005754BA"/>
    <w:rsid w:val="00576CC3"/>
    <w:rsid w:val="00576DF5"/>
    <w:rsid w:val="005772B7"/>
    <w:rsid w:val="00577A03"/>
    <w:rsid w:val="00577B09"/>
    <w:rsid w:val="00577DE9"/>
    <w:rsid w:val="005801DA"/>
    <w:rsid w:val="0058045F"/>
    <w:rsid w:val="005805A5"/>
    <w:rsid w:val="00580ABD"/>
    <w:rsid w:val="00580BAC"/>
    <w:rsid w:val="00581D93"/>
    <w:rsid w:val="00582417"/>
    <w:rsid w:val="005836A7"/>
    <w:rsid w:val="00583B2B"/>
    <w:rsid w:val="00583BB0"/>
    <w:rsid w:val="00584E00"/>
    <w:rsid w:val="005855BB"/>
    <w:rsid w:val="0058564C"/>
    <w:rsid w:val="0058713B"/>
    <w:rsid w:val="00587544"/>
    <w:rsid w:val="00587800"/>
    <w:rsid w:val="00587E9E"/>
    <w:rsid w:val="00590065"/>
    <w:rsid w:val="0059127B"/>
    <w:rsid w:val="00591E17"/>
    <w:rsid w:val="00591E86"/>
    <w:rsid w:val="00593F3C"/>
    <w:rsid w:val="00594C2C"/>
    <w:rsid w:val="00594E05"/>
    <w:rsid w:val="0059521C"/>
    <w:rsid w:val="005969C9"/>
    <w:rsid w:val="00597373"/>
    <w:rsid w:val="005A00F2"/>
    <w:rsid w:val="005A143E"/>
    <w:rsid w:val="005A361E"/>
    <w:rsid w:val="005A3752"/>
    <w:rsid w:val="005A404A"/>
    <w:rsid w:val="005A439C"/>
    <w:rsid w:val="005A5320"/>
    <w:rsid w:val="005A5336"/>
    <w:rsid w:val="005A6ADD"/>
    <w:rsid w:val="005A6B32"/>
    <w:rsid w:val="005A6D7D"/>
    <w:rsid w:val="005A7130"/>
    <w:rsid w:val="005A718E"/>
    <w:rsid w:val="005A79E1"/>
    <w:rsid w:val="005B0152"/>
    <w:rsid w:val="005B047B"/>
    <w:rsid w:val="005B077F"/>
    <w:rsid w:val="005B0CC8"/>
    <w:rsid w:val="005B0E8C"/>
    <w:rsid w:val="005B19DF"/>
    <w:rsid w:val="005B1A9C"/>
    <w:rsid w:val="005B1B66"/>
    <w:rsid w:val="005B1EFA"/>
    <w:rsid w:val="005B29D4"/>
    <w:rsid w:val="005B2E81"/>
    <w:rsid w:val="005B3044"/>
    <w:rsid w:val="005B30E0"/>
    <w:rsid w:val="005B593B"/>
    <w:rsid w:val="005B5E2B"/>
    <w:rsid w:val="005B6909"/>
    <w:rsid w:val="005B7367"/>
    <w:rsid w:val="005C00A3"/>
    <w:rsid w:val="005C1FC8"/>
    <w:rsid w:val="005C2FBF"/>
    <w:rsid w:val="005C3605"/>
    <w:rsid w:val="005C3E08"/>
    <w:rsid w:val="005C4D24"/>
    <w:rsid w:val="005C66FB"/>
    <w:rsid w:val="005C6E43"/>
    <w:rsid w:val="005C7652"/>
    <w:rsid w:val="005C77D9"/>
    <w:rsid w:val="005C78B7"/>
    <w:rsid w:val="005D0E44"/>
    <w:rsid w:val="005D1556"/>
    <w:rsid w:val="005D2497"/>
    <w:rsid w:val="005D4504"/>
    <w:rsid w:val="005D4725"/>
    <w:rsid w:val="005D4B0C"/>
    <w:rsid w:val="005D5C98"/>
    <w:rsid w:val="005D6677"/>
    <w:rsid w:val="005D69FE"/>
    <w:rsid w:val="005D75FE"/>
    <w:rsid w:val="005E054D"/>
    <w:rsid w:val="005E05CC"/>
    <w:rsid w:val="005E0E7C"/>
    <w:rsid w:val="005E10A6"/>
    <w:rsid w:val="005E1B34"/>
    <w:rsid w:val="005E413D"/>
    <w:rsid w:val="005E514A"/>
    <w:rsid w:val="005E550F"/>
    <w:rsid w:val="005E599C"/>
    <w:rsid w:val="005E600D"/>
    <w:rsid w:val="005E6057"/>
    <w:rsid w:val="005E6A2B"/>
    <w:rsid w:val="005E7E49"/>
    <w:rsid w:val="005F05A7"/>
    <w:rsid w:val="005F17CE"/>
    <w:rsid w:val="005F27CC"/>
    <w:rsid w:val="005F35B7"/>
    <w:rsid w:val="005F3A69"/>
    <w:rsid w:val="005F3A6A"/>
    <w:rsid w:val="005F3BD0"/>
    <w:rsid w:val="005F3F4D"/>
    <w:rsid w:val="005F4037"/>
    <w:rsid w:val="005F5B86"/>
    <w:rsid w:val="005F65B3"/>
    <w:rsid w:val="005F661F"/>
    <w:rsid w:val="005F67D4"/>
    <w:rsid w:val="005F68A9"/>
    <w:rsid w:val="005F72A6"/>
    <w:rsid w:val="005F7960"/>
    <w:rsid w:val="005F7B09"/>
    <w:rsid w:val="00600F6A"/>
    <w:rsid w:val="0060146D"/>
    <w:rsid w:val="00602C23"/>
    <w:rsid w:val="00602D41"/>
    <w:rsid w:val="00602E0B"/>
    <w:rsid w:val="00602FD9"/>
    <w:rsid w:val="00603583"/>
    <w:rsid w:val="006039D1"/>
    <w:rsid w:val="006041F5"/>
    <w:rsid w:val="00606EF6"/>
    <w:rsid w:val="00607052"/>
    <w:rsid w:val="0060748C"/>
    <w:rsid w:val="0060752C"/>
    <w:rsid w:val="00607E52"/>
    <w:rsid w:val="00610049"/>
    <w:rsid w:val="00610F5A"/>
    <w:rsid w:val="00611FB5"/>
    <w:rsid w:val="006131DC"/>
    <w:rsid w:val="0061377D"/>
    <w:rsid w:val="006138E4"/>
    <w:rsid w:val="00614A9B"/>
    <w:rsid w:val="00615194"/>
    <w:rsid w:val="00615412"/>
    <w:rsid w:val="00615979"/>
    <w:rsid w:val="00615D52"/>
    <w:rsid w:val="006168AE"/>
    <w:rsid w:val="00616D03"/>
    <w:rsid w:val="00616EA0"/>
    <w:rsid w:val="00616FAA"/>
    <w:rsid w:val="0061775F"/>
    <w:rsid w:val="00617AC6"/>
    <w:rsid w:val="00617D1D"/>
    <w:rsid w:val="00617D49"/>
    <w:rsid w:val="00617DE3"/>
    <w:rsid w:val="00621AA8"/>
    <w:rsid w:val="006220A5"/>
    <w:rsid w:val="0062318F"/>
    <w:rsid w:val="00623855"/>
    <w:rsid w:val="006239BC"/>
    <w:rsid w:val="00623CB7"/>
    <w:rsid w:val="00625447"/>
    <w:rsid w:val="00625611"/>
    <w:rsid w:val="0062663B"/>
    <w:rsid w:val="00626D7E"/>
    <w:rsid w:val="006279AD"/>
    <w:rsid w:val="00631227"/>
    <w:rsid w:val="00631A7D"/>
    <w:rsid w:val="00631F15"/>
    <w:rsid w:val="006326DA"/>
    <w:rsid w:val="00633161"/>
    <w:rsid w:val="006335FE"/>
    <w:rsid w:val="00634888"/>
    <w:rsid w:val="00634E50"/>
    <w:rsid w:val="006351B0"/>
    <w:rsid w:val="00635B45"/>
    <w:rsid w:val="00635BA4"/>
    <w:rsid w:val="00635E05"/>
    <w:rsid w:val="00635FA7"/>
    <w:rsid w:val="0063611E"/>
    <w:rsid w:val="006362D9"/>
    <w:rsid w:val="00637316"/>
    <w:rsid w:val="0063734B"/>
    <w:rsid w:val="006402A0"/>
    <w:rsid w:val="00640B5B"/>
    <w:rsid w:val="006421F8"/>
    <w:rsid w:val="006428E2"/>
    <w:rsid w:val="00642B60"/>
    <w:rsid w:val="00643096"/>
    <w:rsid w:val="006437B9"/>
    <w:rsid w:val="00644683"/>
    <w:rsid w:val="00644E0D"/>
    <w:rsid w:val="00646855"/>
    <w:rsid w:val="00646E7B"/>
    <w:rsid w:val="00647574"/>
    <w:rsid w:val="006501CE"/>
    <w:rsid w:val="0065039D"/>
    <w:rsid w:val="006523FA"/>
    <w:rsid w:val="0065261F"/>
    <w:rsid w:val="00652CD7"/>
    <w:rsid w:val="00653924"/>
    <w:rsid w:val="00653BC3"/>
    <w:rsid w:val="00653E45"/>
    <w:rsid w:val="0065405D"/>
    <w:rsid w:val="00654911"/>
    <w:rsid w:val="00655871"/>
    <w:rsid w:val="00655CB2"/>
    <w:rsid w:val="006560E3"/>
    <w:rsid w:val="00656EA5"/>
    <w:rsid w:val="00656F43"/>
    <w:rsid w:val="0066169E"/>
    <w:rsid w:val="00661F0E"/>
    <w:rsid w:val="00661F71"/>
    <w:rsid w:val="00663311"/>
    <w:rsid w:val="00663514"/>
    <w:rsid w:val="00665908"/>
    <w:rsid w:val="00666250"/>
    <w:rsid w:val="00666A8C"/>
    <w:rsid w:val="006670B7"/>
    <w:rsid w:val="00667332"/>
    <w:rsid w:val="00670190"/>
    <w:rsid w:val="0067035F"/>
    <w:rsid w:val="006714F6"/>
    <w:rsid w:val="00671638"/>
    <w:rsid w:val="00671725"/>
    <w:rsid w:val="00671CFF"/>
    <w:rsid w:val="00673B51"/>
    <w:rsid w:val="006745EA"/>
    <w:rsid w:val="00675224"/>
    <w:rsid w:val="006764D4"/>
    <w:rsid w:val="00676827"/>
    <w:rsid w:val="00676ACD"/>
    <w:rsid w:val="00676E07"/>
    <w:rsid w:val="00677C39"/>
    <w:rsid w:val="00677EAE"/>
    <w:rsid w:val="0068135F"/>
    <w:rsid w:val="00682775"/>
    <w:rsid w:val="00682815"/>
    <w:rsid w:val="00683283"/>
    <w:rsid w:val="0068354E"/>
    <w:rsid w:val="00683B43"/>
    <w:rsid w:val="00683F9C"/>
    <w:rsid w:val="00684951"/>
    <w:rsid w:val="00684C20"/>
    <w:rsid w:val="00684F0B"/>
    <w:rsid w:val="0068566C"/>
    <w:rsid w:val="00685AC3"/>
    <w:rsid w:val="00685CCB"/>
    <w:rsid w:val="006874D1"/>
    <w:rsid w:val="00690420"/>
    <w:rsid w:val="0069083D"/>
    <w:rsid w:val="00690DDF"/>
    <w:rsid w:val="00690F1C"/>
    <w:rsid w:val="006913B1"/>
    <w:rsid w:val="006920BD"/>
    <w:rsid w:val="006920FA"/>
    <w:rsid w:val="00692772"/>
    <w:rsid w:val="00692899"/>
    <w:rsid w:val="00692C71"/>
    <w:rsid w:val="00693C08"/>
    <w:rsid w:val="00694271"/>
    <w:rsid w:val="00694B7F"/>
    <w:rsid w:val="006955D3"/>
    <w:rsid w:val="0069593A"/>
    <w:rsid w:val="006959D4"/>
    <w:rsid w:val="006961B9"/>
    <w:rsid w:val="00696F02"/>
    <w:rsid w:val="00697E1F"/>
    <w:rsid w:val="006A0912"/>
    <w:rsid w:val="006A0972"/>
    <w:rsid w:val="006A231D"/>
    <w:rsid w:val="006A2592"/>
    <w:rsid w:val="006A263B"/>
    <w:rsid w:val="006A2855"/>
    <w:rsid w:val="006A424C"/>
    <w:rsid w:val="006A4B31"/>
    <w:rsid w:val="006A4F07"/>
    <w:rsid w:val="006A595E"/>
    <w:rsid w:val="006A5A4F"/>
    <w:rsid w:val="006A6B6A"/>
    <w:rsid w:val="006A72CB"/>
    <w:rsid w:val="006A757C"/>
    <w:rsid w:val="006A765C"/>
    <w:rsid w:val="006A77A2"/>
    <w:rsid w:val="006B05EC"/>
    <w:rsid w:val="006B0668"/>
    <w:rsid w:val="006B0FC9"/>
    <w:rsid w:val="006B10E6"/>
    <w:rsid w:val="006B124C"/>
    <w:rsid w:val="006B2C1F"/>
    <w:rsid w:val="006B3F92"/>
    <w:rsid w:val="006B623E"/>
    <w:rsid w:val="006B6633"/>
    <w:rsid w:val="006B6748"/>
    <w:rsid w:val="006B6F66"/>
    <w:rsid w:val="006B7211"/>
    <w:rsid w:val="006B724A"/>
    <w:rsid w:val="006C061B"/>
    <w:rsid w:val="006C1C09"/>
    <w:rsid w:val="006C20F8"/>
    <w:rsid w:val="006C2563"/>
    <w:rsid w:val="006C3CD5"/>
    <w:rsid w:val="006C3F83"/>
    <w:rsid w:val="006C6557"/>
    <w:rsid w:val="006C7598"/>
    <w:rsid w:val="006C778A"/>
    <w:rsid w:val="006D038B"/>
    <w:rsid w:val="006D18C1"/>
    <w:rsid w:val="006D18D4"/>
    <w:rsid w:val="006D278A"/>
    <w:rsid w:val="006D7270"/>
    <w:rsid w:val="006D73EC"/>
    <w:rsid w:val="006D79AA"/>
    <w:rsid w:val="006D7DBA"/>
    <w:rsid w:val="006E01EB"/>
    <w:rsid w:val="006E0354"/>
    <w:rsid w:val="006E04D1"/>
    <w:rsid w:val="006E05B8"/>
    <w:rsid w:val="006E187A"/>
    <w:rsid w:val="006E2028"/>
    <w:rsid w:val="006E340E"/>
    <w:rsid w:val="006E4668"/>
    <w:rsid w:val="006E5015"/>
    <w:rsid w:val="006E5F5B"/>
    <w:rsid w:val="006E6A82"/>
    <w:rsid w:val="006F09BF"/>
    <w:rsid w:val="006F0B9F"/>
    <w:rsid w:val="006F0E6F"/>
    <w:rsid w:val="006F15CA"/>
    <w:rsid w:val="006F25E7"/>
    <w:rsid w:val="006F3593"/>
    <w:rsid w:val="006F3B38"/>
    <w:rsid w:val="006F3E06"/>
    <w:rsid w:val="006F3F0E"/>
    <w:rsid w:val="006F45F8"/>
    <w:rsid w:val="006F4B15"/>
    <w:rsid w:val="006F4CE4"/>
    <w:rsid w:val="006F54E5"/>
    <w:rsid w:val="006F5B09"/>
    <w:rsid w:val="006F6174"/>
    <w:rsid w:val="006F6C79"/>
    <w:rsid w:val="006F7110"/>
    <w:rsid w:val="006F75D4"/>
    <w:rsid w:val="006F7BB6"/>
    <w:rsid w:val="007014B0"/>
    <w:rsid w:val="00702694"/>
    <w:rsid w:val="00705476"/>
    <w:rsid w:val="007063FA"/>
    <w:rsid w:val="0070688F"/>
    <w:rsid w:val="0070732F"/>
    <w:rsid w:val="00707666"/>
    <w:rsid w:val="007077D4"/>
    <w:rsid w:val="00707F31"/>
    <w:rsid w:val="00710A06"/>
    <w:rsid w:val="00712488"/>
    <w:rsid w:val="00712561"/>
    <w:rsid w:val="00713C16"/>
    <w:rsid w:val="00713F4D"/>
    <w:rsid w:val="00714D3D"/>
    <w:rsid w:val="00715312"/>
    <w:rsid w:val="007169DD"/>
    <w:rsid w:val="00720295"/>
    <w:rsid w:val="00720882"/>
    <w:rsid w:val="00721FAD"/>
    <w:rsid w:val="0072392C"/>
    <w:rsid w:val="00723F9A"/>
    <w:rsid w:val="00724047"/>
    <w:rsid w:val="007244C1"/>
    <w:rsid w:val="00726A1F"/>
    <w:rsid w:val="00727993"/>
    <w:rsid w:val="00727D50"/>
    <w:rsid w:val="00727E37"/>
    <w:rsid w:val="00727F04"/>
    <w:rsid w:val="007302B0"/>
    <w:rsid w:val="00730794"/>
    <w:rsid w:val="007309F5"/>
    <w:rsid w:val="00730E52"/>
    <w:rsid w:val="00731352"/>
    <w:rsid w:val="00731E03"/>
    <w:rsid w:val="00731EBE"/>
    <w:rsid w:val="007329A2"/>
    <w:rsid w:val="00732D8B"/>
    <w:rsid w:val="00732E52"/>
    <w:rsid w:val="00734089"/>
    <w:rsid w:val="00734869"/>
    <w:rsid w:val="00734CDE"/>
    <w:rsid w:val="00734D80"/>
    <w:rsid w:val="00735982"/>
    <w:rsid w:val="00735A96"/>
    <w:rsid w:val="00735F25"/>
    <w:rsid w:val="00736308"/>
    <w:rsid w:val="00736465"/>
    <w:rsid w:val="00740A1B"/>
    <w:rsid w:val="007412F0"/>
    <w:rsid w:val="00741B51"/>
    <w:rsid w:val="00741D46"/>
    <w:rsid w:val="00742DBE"/>
    <w:rsid w:val="00744034"/>
    <w:rsid w:val="007463FB"/>
    <w:rsid w:val="00746F04"/>
    <w:rsid w:val="00747D69"/>
    <w:rsid w:val="0075007E"/>
    <w:rsid w:val="00750222"/>
    <w:rsid w:val="00750336"/>
    <w:rsid w:val="007513C6"/>
    <w:rsid w:val="00751749"/>
    <w:rsid w:val="0075244E"/>
    <w:rsid w:val="007529F4"/>
    <w:rsid w:val="00752E84"/>
    <w:rsid w:val="00753D26"/>
    <w:rsid w:val="0075403A"/>
    <w:rsid w:val="007540AB"/>
    <w:rsid w:val="0075416D"/>
    <w:rsid w:val="00755688"/>
    <w:rsid w:val="007563A4"/>
    <w:rsid w:val="00761D47"/>
    <w:rsid w:val="0076305C"/>
    <w:rsid w:val="00763133"/>
    <w:rsid w:val="0076345C"/>
    <w:rsid w:val="007648E1"/>
    <w:rsid w:val="00765082"/>
    <w:rsid w:val="00765376"/>
    <w:rsid w:val="007654B5"/>
    <w:rsid w:val="00765830"/>
    <w:rsid w:val="00766705"/>
    <w:rsid w:val="00766B64"/>
    <w:rsid w:val="007703FF"/>
    <w:rsid w:val="00770737"/>
    <w:rsid w:val="00770D7E"/>
    <w:rsid w:val="00772F26"/>
    <w:rsid w:val="00773E29"/>
    <w:rsid w:val="00774CFB"/>
    <w:rsid w:val="00775C3F"/>
    <w:rsid w:val="0077621C"/>
    <w:rsid w:val="00776A68"/>
    <w:rsid w:val="0077798C"/>
    <w:rsid w:val="00781D7B"/>
    <w:rsid w:val="0078394C"/>
    <w:rsid w:val="007846AC"/>
    <w:rsid w:val="00785166"/>
    <w:rsid w:val="0078549F"/>
    <w:rsid w:val="0078570C"/>
    <w:rsid w:val="0078661B"/>
    <w:rsid w:val="00786A9B"/>
    <w:rsid w:val="007900BA"/>
    <w:rsid w:val="00790188"/>
    <w:rsid w:val="00790885"/>
    <w:rsid w:val="007916AD"/>
    <w:rsid w:val="0079228C"/>
    <w:rsid w:val="00793619"/>
    <w:rsid w:val="00793C60"/>
    <w:rsid w:val="00793D9A"/>
    <w:rsid w:val="00793FFE"/>
    <w:rsid w:val="007949AF"/>
    <w:rsid w:val="00794BEE"/>
    <w:rsid w:val="00794E09"/>
    <w:rsid w:val="00795077"/>
    <w:rsid w:val="007950E3"/>
    <w:rsid w:val="007962A7"/>
    <w:rsid w:val="0079653C"/>
    <w:rsid w:val="007A0612"/>
    <w:rsid w:val="007A17A3"/>
    <w:rsid w:val="007A1927"/>
    <w:rsid w:val="007A3DD7"/>
    <w:rsid w:val="007A520B"/>
    <w:rsid w:val="007A5DD2"/>
    <w:rsid w:val="007A6788"/>
    <w:rsid w:val="007A6B71"/>
    <w:rsid w:val="007A758C"/>
    <w:rsid w:val="007B0083"/>
    <w:rsid w:val="007B0101"/>
    <w:rsid w:val="007B01E6"/>
    <w:rsid w:val="007B1C57"/>
    <w:rsid w:val="007B1D0C"/>
    <w:rsid w:val="007B1D28"/>
    <w:rsid w:val="007B338C"/>
    <w:rsid w:val="007B36BA"/>
    <w:rsid w:val="007B3CA7"/>
    <w:rsid w:val="007B4940"/>
    <w:rsid w:val="007B50DB"/>
    <w:rsid w:val="007B5C04"/>
    <w:rsid w:val="007B6592"/>
    <w:rsid w:val="007B7076"/>
    <w:rsid w:val="007B7AD1"/>
    <w:rsid w:val="007C01FB"/>
    <w:rsid w:val="007C0854"/>
    <w:rsid w:val="007C0868"/>
    <w:rsid w:val="007C1954"/>
    <w:rsid w:val="007C1ADC"/>
    <w:rsid w:val="007C32AE"/>
    <w:rsid w:val="007C4273"/>
    <w:rsid w:val="007C4C16"/>
    <w:rsid w:val="007C4FA9"/>
    <w:rsid w:val="007C5736"/>
    <w:rsid w:val="007C664F"/>
    <w:rsid w:val="007C67E2"/>
    <w:rsid w:val="007D079E"/>
    <w:rsid w:val="007D2487"/>
    <w:rsid w:val="007D2D5E"/>
    <w:rsid w:val="007D2E18"/>
    <w:rsid w:val="007D35AE"/>
    <w:rsid w:val="007D3864"/>
    <w:rsid w:val="007D3F4D"/>
    <w:rsid w:val="007D4658"/>
    <w:rsid w:val="007D6688"/>
    <w:rsid w:val="007D6BB3"/>
    <w:rsid w:val="007D788D"/>
    <w:rsid w:val="007E0AC6"/>
    <w:rsid w:val="007E1C16"/>
    <w:rsid w:val="007E2618"/>
    <w:rsid w:val="007E2EA3"/>
    <w:rsid w:val="007E3269"/>
    <w:rsid w:val="007E4670"/>
    <w:rsid w:val="007E48E1"/>
    <w:rsid w:val="007E51BF"/>
    <w:rsid w:val="007E61B7"/>
    <w:rsid w:val="007E698E"/>
    <w:rsid w:val="007E731A"/>
    <w:rsid w:val="007E77FF"/>
    <w:rsid w:val="007F01D7"/>
    <w:rsid w:val="007F0DAD"/>
    <w:rsid w:val="007F0FEF"/>
    <w:rsid w:val="007F300E"/>
    <w:rsid w:val="007F35E9"/>
    <w:rsid w:val="007F3C6E"/>
    <w:rsid w:val="007F492A"/>
    <w:rsid w:val="007F4CB5"/>
    <w:rsid w:val="007F515D"/>
    <w:rsid w:val="007F64E4"/>
    <w:rsid w:val="00800376"/>
    <w:rsid w:val="008006D2"/>
    <w:rsid w:val="008013DE"/>
    <w:rsid w:val="00802127"/>
    <w:rsid w:val="00802F09"/>
    <w:rsid w:val="00804A01"/>
    <w:rsid w:val="008058AF"/>
    <w:rsid w:val="00805FD7"/>
    <w:rsid w:val="00806A7E"/>
    <w:rsid w:val="00807A22"/>
    <w:rsid w:val="00807EC1"/>
    <w:rsid w:val="00810B10"/>
    <w:rsid w:val="00811A5E"/>
    <w:rsid w:val="00811CC9"/>
    <w:rsid w:val="00812402"/>
    <w:rsid w:val="008131D7"/>
    <w:rsid w:val="00813AC4"/>
    <w:rsid w:val="00813D56"/>
    <w:rsid w:val="0081439C"/>
    <w:rsid w:val="008146AA"/>
    <w:rsid w:val="00814854"/>
    <w:rsid w:val="00814DFF"/>
    <w:rsid w:val="00814F7F"/>
    <w:rsid w:val="00817068"/>
    <w:rsid w:val="0081726C"/>
    <w:rsid w:val="0081744A"/>
    <w:rsid w:val="0081745C"/>
    <w:rsid w:val="008211F8"/>
    <w:rsid w:val="0082191D"/>
    <w:rsid w:val="00822370"/>
    <w:rsid w:val="0082290B"/>
    <w:rsid w:val="0082343F"/>
    <w:rsid w:val="008237E8"/>
    <w:rsid w:val="00824024"/>
    <w:rsid w:val="008241B7"/>
    <w:rsid w:val="00824973"/>
    <w:rsid w:val="00824A82"/>
    <w:rsid w:val="00824F1A"/>
    <w:rsid w:val="00824F7C"/>
    <w:rsid w:val="00825159"/>
    <w:rsid w:val="00825A21"/>
    <w:rsid w:val="00826B9C"/>
    <w:rsid w:val="00826C51"/>
    <w:rsid w:val="00826FD7"/>
    <w:rsid w:val="00827CE2"/>
    <w:rsid w:val="00830B78"/>
    <w:rsid w:val="00830D62"/>
    <w:rsid w:val="008311D6"/>
    <w:rsid w:val="00831782"/>
    <w:rsid w:val="008320D0"/>
    <w:rsid w:val="0083261E"/>
    <w:rsid w:val="0083292B"/>
    <w:rsid w:val="00832C9D"/>
    <w:rsid w:val="008334D4"/>
    <w:rsid w:val="00833B4E"/>
    <w:rsid w:val="00834BBC"/>
    <w:rsid w:val="008368FD"/>
    <w:rsid w:val="00836D8E"/>
    <w:rsid w:val="00837EA5"/>
    <w:rsid w:val="00837EDA"/>
    <w:rsid w:val="00837F95"/>
    <w:rsid w:val="00841A12"/>
    <w:rsid w:val="00842934"/>
    <w:rsid w:val="00842B77"/>
    <w:rsid w:val="00842D24"/>
    <w:rsid w:val="00843CEA"/>
    <w:rsid w:val="008450E2"/>
    <w:rsid w:val="00845868"/>
    <w:rsid w:val="00845F94"/>
    <w:rsid w:val="00846411"/>
    <w:rsid w:val="00846F28"/>
    <w:rsid w:val="008477F1"/>
    <w:rsid w:val="00847897"/>
    <w:rsid w:val="00850A1A"/>
    <w:rsid w:val="00850C6B"/>
    <w:rsid w:val="00850FA1"/>
    <w:rsid w:val="00851649"/>
    <w:rsid w:val="00852939"/>
    <w:rsid w:val="00852AB6"/>
    <w:rsid w:val="00852B5D"/>
    <w:rsid w:val="00852DAE"/>
    <w:rsid w:val="00853069"/>
    <w:rsid w:val="008530A1"/>
    <w:rsid w:val="00853BAF"/>
    <w:rsid w:val="008558DF"/>
    <w:rsid w:val="008568A2"/>
    <w:rsid w:val="00857209"/>
    <w:rsid w:val="00857FAD"/>
    <w:rsid w:val="00861540"/>
    <w:rsid w:val="008615CE"/>
    <w:rsid w:val="00861E3F"/>
    <w:rsid w:val="0086282F"/>
    <w:rsid w:val="008628B5"/>
    <w:rsid w:val="00862CCE"/>
    <w:rsid w:val="00862DE3"/>
    <w:rsid w:val="00862F0A"/>
    <w:rsid w:val="0086301C"/>
    <w:rsid w:val="008631D4"/>
    <w:rsid w:val="0086350F"/>
    <w:rsid w:val="0086393C"/>
    <w:rsid w:val="00864097"/>
    <w:rsid w:val="00865F91"/>
    <w:rsid w:val="00866014"/>
    <w:rsid w:val="008661D3"/>
    <w:rsid w:val="00866BD5"/>
    <w:rsid w:val="00866C6C"/>
    <w:rsid w:val="00870637"/>
    <w:rsid w:val="00871074"/>
    <w:rsid w:val="00872A24"/>
    <w:rsid w:val="00872C18"/>
    <w:rsid w:val="0087376D"/>
    <w:rsid w:val="00874430"/>
    <w:rsid w:val="0087445B"/>
    <w:rsid w:val="00874B3C"/>
    <w:rsid w:val="00874ED9"/>
    <w:rsid w:val="00875138"/>
    <w:rsid w:val="00875ABD"/>
    <w:rsid w:val="00875F82"/>
    <w:rsid w:val="00876115"/>
    <w:rsid w:val="0087661C"/>
    <w:rsid w:val="008771EE"/>
    <w:rsid w:val="00877B11"/>
    <w:rsid w:val="00880087"/>
    <w:rsid w:val="00881184"/>
    <w:rsid w:val="008814AD"/>
    <w:rsid w:val="008818ED"/>
    <w:rsid w:val="00881B66"/>
    <w:rsid w:val="00882CF8"/>
    <w:rsid w:val="00882F77"/>
    <w:rsid w:val="008835D6"/>
    <w:rsid w:val="0088374D"/>
    <w:rsid w:val="008842F8"/>
    <w:rsid w:val="008848DA"/>
    <w:rsid w:val="00884AAF"/>
    <w:rsid w:val="00886AE8"/>
    <w:rsid w:val="00886FAE"/>
    <w:rsid w:val="008874CF"/>
    <w:rsid w:val="00887E13"/>
    <w:rsid w:val="00890D8F"/>
    <w:rsid w:val="008914F7"/>
    <w:rsid w:val="0089160A"/>
    <w:rsid w:val="00891928"/>
    <w:rsid w:val="00892113"/>
    <w:rsid w:val="00892DB6"/>
    <w:rsid w:val="0089523C"/>
    <w:rsid w:val="00896171"/>
    <w:rsid w:val="008964F1"/>
    <w:rsid w:val="00896BFC"/>
    <w:rsid w:val="00897C79"/>
    <w:rsid w:val="008A1C7D"/>
    <w:rsid w:val="008A2A9B"/>
    <w:rsid w:val="008A2FB9"/>
    <w:rsid w:val="008A317E"/>
    <w:rsid w:val="008A318F"/>
    <w:rsid w:val="008A37DA"/>
    <w:rsid w:val="008A390E"/>
    <w:rsid w:val="008A3C3E"/>
    <w:rsid w:val="008A523F"/>
    <w:rsid w:val="008A5549"/>
    <w:rsid w:val="008A5BA0"/>
    <w:rsid w:val="008A6547"/>
    <w:rsid w:val="008A762C"/>
    <w:rsid w:val="008B090C"/>
    <w:rsid w:val="008B1DDF"/>
    <w:rsid w:val="008B1E35"/>
    <w:rsid w:val="008B4367"/>
    <w:rsid w:val="008B5FC8"/>
    <w:rsid w:val="008B693D"/>
    <w:rsid w:val="008B6EAD"/>
    <w:rsid w:val="008B77C0"/>
    <w:rsid w:val="008B7F13"/>
    <w:rsid w:val="008B7F49"/>
    <w:rsid w:val="008C07D6"/>
    <w:rsid w:val="008C1381"/>
    <w:rsid w:val="008C16C5"/>
    <w:rsid w:val="008C20DA"/>
    <w:rsid w:val="008C2747"/>
    <w:rsid w:val="008C2978"/>
    <w:rsid w:val="008C2FE4"/>
    <w:rsid w:val="008C3B31"/>
    <w:rsid w:val="008C3BB3"/>
    <w:rsid w:val="008C4A94"/>
    <w:rsid w:val="008C5B25"/>
    <w:rsid w:val="008C5DF2"/>
    <w:rsid w:val="008C6844"/>
    <w:rsid w:val="008C686B"/>
    <w:rsid w:val="008C6E4B"/>
    <w:rsid w:val="008C75B5"/>
    <w:rsid w:val="008C75C4"/>
    <w:rsid w:val="008D0524"/>
    <w:rsid w:val="008D0B26"/>
    <w:rsid w:val="008D12B1"/>
    <w:rsid w:val="008D1E2E"/>
    <w:rsid w:val="008D1EBC"/>
    <w:rsid w:val="008D2A15"/>
    <w:rsid w:val="008D2F09"/>
    <w:rsid w:val="008D34A1"/>
    <w:rsid w:val="008D397F"/>
    <w:rsid w:val="008D3A46"/>
    <w:rsid w:val="008D5148"/>
    <w:rsid w:val="008D5F85"/>
    <w:rsid w:val="008D67E2"/>
    <w:rsid w:val="008D6F25"/>
    <w:rsid w:val="008E0010"/>
    <w:rsid w:val="008E01FC"/>
    <w:rsid w:val="008E0467"/>
    <w:rsid w:val="008E0C69"/>
    <w:rsid w:val="008E1552"/>
    <w:rsid w:val="008E2A6D"/>
    <w:rsid w:val="008E3F18"/>
    <w:rsid w:val="008E4E58"/>
    <w:rsid w:val="008E5CC5"/>
    <w:rsid w:val="008E6174"/>
    <w:rsid w:val="008E6211"/>
    <w:rsid w:val="008E642E"/>
    <w:rsid w:val="008E6947"/>
    <w:rsid w:val="008E780E"/>
    <w:rsid w:val="008E7984"/>
    <w:rsid w:val="008F0332"/>
    <w:rsid w:val="008F08FB"/>
    <w:rsid w:val="008F1CCC"/>
    <w:rsid w:val="008F2962"/>
    <w:rsid w:val="008F3235"/>
    <w:rsid w:val="008F3BFF"/>
    <w:rsid w:val="008F3F8F"/>
    <w:rsid w:val="008F4015"/>
    <w:rsid w:val="008F42A9"/>
    <w:rsid w:val="008F4507"/>
    <w:rsid w:val="008F4598"/>
    <w:rsid w:val="008F4E6D"/>
    <w:rsid w:val="008F603F"/>
    <w:rsid w:val="008F6133"/>
    <w:rsid w:val="00900E91"/>
    <w:rsid w:val="00901089"/>
    <w:rsid w:val="00901A3D"/>
    <w:rsid w:val="00901DB9"/>
    <w:rsid w:val="0090222E"/>
    <w:rsid w:val="009045B9"/>
    <w:rsid w:val="0090516F"/>
    <w:rsid w:val="00905CEF"/>
    <w:rsid w:val="00905F34"/>
    <w:rsid w:val="00905F82"/>
    <w:rsid w:val="009064F8"/>
    <w:rsid w:val="009079C2"/>
    <w:rsid w:val="009101B1"/>
    <w:rsid w:val="009125BD"/>
    <w:rsid w:val="00913E79"/>
    <w:rsid w:val="009166B6"/>
    <w:rsid w:val="00916F0A"/>
    <w:rsid w:val="00917756"/>
    <w:rsid w:val="00917DF6"/>
    <w:rsid w:val="0092079C"/>
    <w:rsid w:val="00920817"/>
    <w:rsid w:val="00921333"/>
    <w:rsid w:val="00921B46"/>
    <w:rsid w:val="00921E3B"/>
    <w:rsid w:val="00922D99"/>
    <w:rsid w:val="00923106"/>
    <w:rsid w:val="009232F0"/>
    <w:rsid w:val="00923C89"/>
    <w:rsid w:val="00924B83"/>
    <w:rsid w:val="00925046"/>
    <w:rsid w:val="00925082"/>
    <w:rsid w:val="0092641B"/>
    <w:rsid w:val="0092739C"/>
    <w:rsid w:val="00927B64"/>
    <w:rsid w:val="0093022E"/>
    <w:rsid w:val="009306EF"/>
    <w:rsid w:val="009327DE"/>
    <w:rsid w:val="00932DA9"/>
    <w:rsid w:val="00933428"/>
    <w:rsid w:val="0093363A"/>
    <w:rsid w:val="00934192"/>
    <w:rsid w:val="009351C1"/>
    <w:rsid w:val="00935FD3"/>
    <w:rsid w:val="00936222"/>
    <w:rsid w:val="00937A54"/>
    <w:rsid w:val="009406F9"/>
    <w:rsid w:val="00940DC8"/>
    <w:rsid w:val="00941DE9"/>
    <w:rsid w:val="00942B8F"/>
    <w:rsid w:val="00942DA1"/>
    <w:rsid w:val="0094388D"/>
    <w:rsid w:val="00944357"/>
    <w:rsid w:val="009450B3"/>
    <w:rsid w:val="0094546D"/>
    <w:rsid w:val="00945868"/>
    <w:rsid w:val="009460E9"/>
    <w:rsid w:val="0094700A"/>
    <w:rsid w:val="0094722B"/>
    <w:rsid w:val="00951A17"/>
    <w:rsid w:val="00951E6F"/>
    <w:rsid w:val="00954424"/>
    <w:rsid w:val="009544B3"/>
    <w:rsid w:val="00955CD6"/>
    <w:rsid w:val="00955EEA"/>
    <w:rsid w:val="009601C1"/>
    <w:rsid w:val="0096035C"/>
    <w:rsid w:val="00960E42"/>
    <w:rsid w:val="00961B63"/>
    <w:rsid w:val="009622A8"/>
    <w:rsid w:val="00962B6D"/>
    <w:rsid w:val="00963310"/>
    <w:rsid w:val="009667F5"/>
    <w:rsid w:val="009676C4"/>
    <w:rsid w:val="00967CCE"/>
    <w:rsid w:val="00972896"/>
    <w:rsid w:val="009732C2"/>
    <w:rsid w:val="00973AD0"/>
    <w:rsid w:val="00973B0E"/>
    <w:rsid w:val="0097421C"/>
    <w:rsid w:val="0097497A"/>
    <w:rsid w:val="009755B0"/>
    <w:rsid w:val="00975B05"/>
    <w:rsid w:val="00975F8B"/>
    <w:rsid w:val="009765F1"/>
    <w:rsid w:val="00976BEF"/>
    <w:rsid w:val="00976C58"/>
    <w:rsid w:val="00976CC0"/>
    <w:rsid w:val="00976F76"/>
    <w:rsid w:val="009773C6"/>
    <w:rsid w:val="00977E14"/>
    <w:rsid w:val="0098056A"/>
    <w:rsid w:val="00980885"/>
    <w:rsid w:val="00981417"/>
    <w:rsid w:val="00981452"/>
    <w:rsid w:val="00981826"/>
    <w:rsid w:val="00981904"/>
    <w:rsid w:val="00981A86"/>
    <w:rsid w:val="00981C0A"/>
    <w:rsid w:val="0098426C"/>
    <w:rsid w:val="009842F1"/>
    <w:rsid w:val="00984862"/>
    <w:rsid w:val="00984AD9"/>
    <w:rsid w:val="00985366"/>
    <w:rsid w:val="009861A6"/>
    <w:rsid w:val="00986475"/>
    <w:rsid w:val="009866A5"/>
    <w:rsid w:val="00986A13"/>
    <w:rsid w:val="00987976"/>
    <w:rsid w:val="009916E1"/>
    <w:rsid w:val="009919F8"/>
    <w:rsid w:val="00991F64"/>
    <w:rsid w:val="0099261A"/>
    <w:rsid w:val="009928FD"/>
    <w:rsid w:val="009931F5"/>
    <w:rsid w:val="0099349F"/>
    <w:rsid w:val="0099365C"/>
    <w:rsid w:val="009952E4"/>
    <w:rsid w:val="009960E8"/>
    <w:rsid w:val="0099654D"/>
    <w:rsid w:val="00997295"/>
    <w:rsid w:val="00997C52"/>
    <w:rsid w:val="009A0721"/>
    <w:rsid w:val="009A0984"/>
    <w:rsid w:val="009A0C6E"/>
    <w:rsid w:val="009A1B2F"/>
    <w:rsid w:val="009A1B65"/>
    <w:rsid w:val="009A1BA4"/>
    <w:rsid w:val="009A1FC0"/>
    <w:rsid w:val="009A2F2B"/>
    <w:rsid w:val="009A34C5"/>
    <w:rsid w:val="009A3EFE"/>
    <w:rsid w:val="009A3F21"/>
    <w:rsid w:val="009A4898"/>
    <w:rsid w:val="009A4FC3"/>
    <w:rsid w:val="009A563D"/>
    <w:rsid w:val="009A600A"/>
    <w:rsid w:val="009A7910"/>
    <w:rsid w:val="009A7D86"/>
    <w:rsid w:val="009B07B1"/>
    <w:rsid w:val="009B07C1"/>
    <w:rsid w:val="009B188F"/>
    <w:rsid w:val="009B1EFE"/>
    <w:rsid w:val="009B1F85"/>
    <w:rsid w:val="009B22A8"/>
    <w:rsid w:val="009B37CE"/>
    <w:rsid w:val="009B3892"/>
    <w:rsid w:val="009B39BA"/>
    <w:rsid w:val="009B3EFF"/>
    <w:rsid w:val="009B532D"/>
    <w:rsid w:val="009B6BB8"/>
    <w:rsid w:val="009C0284"/>
    <w:rsid w:val="009C07E9"/>
    <w:rsid w:val="009C1323"/>
    <w:rsid w:val="009C1616"/>
    <w:rsid w:val="009C2A18"/>
    <w:rsid w:val="009C2FF7"/>
    <w:rsid w:val="009C313F"/>
    <w:rsid w:val="009C384C"/>
    <w:rsid w:val="009C5BB8"/>
    <w:rsid w:val="009C5F16"/>
    <w:rsid w:val="009C636F"/>
    <w:rsid w:val="009C66F3"/>
    <w:rsid w:val="009C6B2D"/>
    <w:rsid w:val="009C6C64"/>
    <w:rsid w:val="009C6C91"/>
    <w:rsid w:val="009C70CA"/>
    <w:rsid w:val="009C71B6"/>
    <w:rsid w:val="009C7AD6"/>
    <w:rsid w:val="009D06B0"/>
    <w:rsid w:val="009D088C"/>
    <w:rsid w:val="009D0B95"/>
    <w:rsid w:val="009D0CBF"/>
    <w:rsid w:val="009D0DC9"/>
    <w:rsid w:val="009D1991"/>
    <w:rsid w:val="009D258E"/>
    <w:rsid w:val="009D2E88"/>
    <w:rsid w:val="009D3563"/>
    <w:rsid w:val="009D3E88"/>
    <w:rsid w:val="009D3F35"/>
    <w:rsid w:val="009D4422"/>
    <w:rsid w:val="009D485A"/>
    <w:rsid w:val="009D5072"/>
    <w:rsid w:val="009D6706"/>
    <w:rsid w:val="009D6B79"/>
    <w:rsid w:val="009D7F68"/>
    <w:rsid w:val="009E07B4"/>
    <w:rsid w:val="009E08F9"/>
    <w:rsid w:val="009E12C1"/>
    <w:rsid w:val="009E1BDF"/>
    <w:rsid w:val="009E1FC2"/>
    <w:rsid w:val="009E2DB0"/>
    <w:rsid w:val="009E2DB4"/>
    <w:rsid w:val="009E2E21"/>
    <w:rsid w:val="009E2E24"/>
    <w:rsid w:val="009E36A2"/>
    <w:rsid w:val="009E581E"/>
    <w:rsid w:val="009E5C46"/>
    <w:rsid w:val="009E5CE5"/>
    <w:rsid w:val="009E6BE7"/>
    <w:rsid w:val="009E6EA8"/>
    <w:rsid w:val="009E7A9D"/>
    <w:rsid w:val="009E7D2A"/>
    <w:rsid w:val="009F0F56"/>
    <w:rsid w:val="009F171A"/>
    <w:rsid w:val="009F1E2C"/>
    <w:rsid w:val="009F1FDF"/>
    <w:rsid w:val="009F2E69"/>
    <w:rsid w:val="009F36CB"/>
    <w:rsid w:val="009F414D"/>
    <w:rsid w:val="009F46CC"/>
    <w:rsid w:val="009F48C1"/>
    <w:rsid w:val="009F4A81"/>
    <w:rsid w:val="009F4D5A"/>
    <w:rsid w:val="009F6ECC"/>
    <w:rsid w:val="00A01195"/>
    <w:rsid w:val="00A021E9"/>
    <w:rsid w:val="00A02656"/>
    <w:rsid w:val="00A02816"/>
    <w:rsid w:val="00A0291E"/>
    <w:rsid w:val="00A02B69"/>
    <w:rsid w:val="00A030F4"/>
    <w:rsid w:val="00A0399A"/>
    <w:rsid w:val="00A05728"/>
    <w:rsid w:val="00A05BE8"/>
    <w:rsid w:val="00A05F5F"/>
    <w:rsid w:val="00A06033"/>
    <w:rsid w:val="00A107A6"/>
    <w:rsid w:val="00A121F1"/>
    <w:rsid w:val="00A126C8"/>
    <w:rsid w:val="00A12837"/>
    <w:rsid w:val="00A13551"/>
    <w:rsid w:val="00A137D6"/>
    <w:rsid w:val="00A13CAB"/>
    <w:rsid w:val="00A16366"/>
    <w:rsid w:val="00A16CFB"/>
    <w:rsid w:val="00A20004"/>
    <w:rsid w:val="00A21445"/>
    <w:rsid w:val="00A21543"/>
    <w:rsid w:val="00A22C47"/>
    <w:rsid w:val="00A22D0B"/>
    <w:rsid w:val="00A22E48"/>
    <w:rsid w:val="00A23963"/>
    <w:rsid w:val="00A24183"/>
    <w:rsid w:val="00A25569"/>
    <w:rsid w:val="00A2637A"/>
    <w:rsid w:val="00A270BE"/>
    <w:rsid w:val="00A27317"/>
    <w:rsid w:val="00A27462"/>
    <w:rsid w:val="00A27A88"/>
    <w:rsid w:val="00A31A88"/>
    <w:rsid w:val="00A326E0"/>
    <w:rsid w:val="00A32A97"/>
    <w:rsid w:val="00A33996"/>
    <w:rsid w:val="00A34FBB"/>
    <w:rsid w:val="00A3707C"/>
    <w:rsid w:val="00A37223"/>
    <w:rsid w:val="00A406E3"/>
    <w:rsid w:val="00A41528"/>
    <w:rsid w:val="00A41592"/>
    <w:rsid w:val="00A41610"/>
    <w:rsid w:val="00A421FA"/>
    <w:rsid w:val="00A42B17"/>
    <w:rsid w:val="00A4342B"/>
    <w:rsid w:val="00A43795"/>
    <w:rsid w:val="00A438A1"/>
    <w:rsid w:val="00A43E91"/>
    <w:rsid w:val="00A449FC"/>
    <w:rsid w:val="00A454E6"/>
    <w:rsid w:val="00A456E1"/>
    <w:rsid w:val="00A464CC"/>
    <w:rsid w:val="00A47B30"/>
    <w:rsid w:val="00A5064D"/>
    <w:rsid w:val="00A507D5"/>
    <w:rsid w:val="00A509B8"/>
    <w:rsid w:val="00A50B2C"/>
    <w:rsid w:val="00A515A5"/>
    <w:rsid w:val="00A51F21"/>
    <w:rsid w:val="00A52A9A"/>
    <w:rsid w:val="00A530C1"/>
    <w:rsid w:val="00A5364B"/>
    <w:rsid w:val="00A53E9A"/>
    <w:rsid w:val="00A54229"/>
    <w:rsid w:val="00A54E35"/>
    <w:rsid w:val="00A5573F"/>
    <w:rsid w:val="00A55845"/>
    <w:rsid w:val="00A55CE0"/>
    <w:rsid w:val="00A56601"/>
    <w:rsid w:val="00A56E86"/>
    <w:rsid w:val="00A56F3A"/>
    <w:rsid w:val="00A578DA"/>
    <w:rsid w:val="00A57B43"/>
    <w:rsid w:val="00A60269"/>
    <w:rsid w:val="00A60494"/>
    <w:rsid w:val="00A6051D"/>
    <w:rsid w:val="00A61305"/>
    <w:rsid w:val="00A61B1A"/>
    <w:rsid w:val="00A622C3"/>
    <w:rsid w:val="00A63565"/>
    <w:rsid w:val="00A649F8"/>
    <w:rsid w:val="00A65112"/>
    <w:rsid w:val="00A65636"/>
    <w:rsid w:val="00A663E8"/>
    <w:rsid w:val="00A6649B"/>
    <w:rsid w:val="00A678C4"/>
    <w:rsid w:val="00A706C1"/>
    <w:rsid w:val="00A70BAA"/>
    <w:rsid w:val="00A70F12"/>
    <w:rsid w:val="00A710C1"/>
    <w:rsid w:val="00A71DD1"/>
    <w:rsid w:val="00A7265B"/>
    <w:rsid w:val="00A72A83"/>
    <w:rsid w:val="00A72FDF"/>
    <w:rsid w:val="00A74F98"/>
    <w:rsid w:val="00A75200"/>
    <w:rsid w:val="00A75415"/>
    <w:rsid w:val="00A75656"/>
    <w:rsid w:val="00A75727"/>
    <w:rsid w:val="00A75824"/>
    <w:rsid w:val="00A75901"/>
    <w:rsid w:val="00A75EC1"/>
    <w:rsid w:val="00A7748D"/>
    <w:rsid w:val="00A777CF"/>
    <w:rsid w:val="00A778DD"/>
    <w:rsid w:val="00A77C2F"/>
    <w:rsid w:val="00A8138A"/>
    <w:rsid w:val="00A813E1"/>
    <w:rsid w:val="00A81BD7"/>
    <w:rsid w:val="00A829DE"/>
    <w:rsid w:val="00A83C87"/>
    <w:rsid w:val="00A848E1"/>
    <w:rsid w:val="00A8631D"/>
    <w:rsid w:val="00A8742F"/>
    <w:rsid w:val="00A87E5B"/>
    <w:rsid w:val="00A903BA"/>
    <w:rsid w:val="00A91A90"/>
    <w:rsid w:val="00A91DD2"/>
    <w:rsid w:val="00A92D26"/>
    <w:rsid w:val="00A92D8A"/>
    <w:rsid w:val="00A96CF5"/>
    <w:rsid w:val="00A97166"/>
    <w:rsid w:val="00A97D07"/>
    <w:rsid w:val="00A97E39"/>
    <w:rsid w:val="00A97E96"/>
    <w:rsid w:val="00AA05C4"/>
    <w:rsid w:val="00AA0BFA"/>
    <w:rsid w:val="00AA0EF3"/>
    <w:rsid w:val="00AA246E"/>
    <w:rsid w:val="00AA5128"/>
    <w:rsid w:val="00AA5A65"/>
    <w:rsid w:val="00AA5BDB"/>
    <w:rsid w:val="00AA60DE"/>
    <w:rsid w:val="00AA63A0"/>
    <w:rsid w:val="00AA63F2"/>
    <w:rsid w:val="00AA6609"/>
    <w:rsid w:val="00AA6674"/>
    <w:rsid w:val="00AA7A4B"/>
    <w:rsid w:val="00AA7DE1"/>
    <w:rsid w:val="00AA7DE7"/>
    <w:rsid w:val="00AA7FCA"/>
    <w:rsid w:val="00AB0509"/>
    <w:rsid w:val="00AB06C6"/>
    <w:rsid w:val="00AB097A"/>
    <w:rsid w:val="00AB0AD3"/>
    <w:rsid w:val="00AB1210"/>
    <w:rsid w:val="00AB1540"/>
    <w:rsid w:val="00AB1D13"/>
    <w:rsid w:val="00AB2F12"/>
    <w:rsid w:val="00AB2F9A"/>
    <w:rsid w:val="00AB3132"/>
    <w:rsid w:val="00AB491D"/>
    <w:rsid w:val="00AB4A1D"/>
    <w:rsid w:val="00AB4D8F"/>
    <w:rsid w:val="00AB50EF"/>
    <w:rsid w:val="00AB53A7"/>
    <w:rsid w:val="00AB57B0"/>
    <w:rsid w:val="00AB58B8"/>
    <w:rsid w:val="00AB6080"/>
    <w:rsid w:val="00AB63E6"/>
    <w:rsid w:val="00AB6CF8"/>
    <w:rsid w:val="00AB6FA0"/>
    <w:rsid w:val="00AB7BC5"/>
    <w:rsid w:val="00AC136A"/>
    <w:rsid w:val="00AC168A"/>
    <w:rsid w:val="00AC1BA6"/>
    <w:rsid w:val="00AC1ED7"/>
    <w:rsid w:val="00AC1FB9"/>
    <w:rsid w:val="00AC2332"/>
    <w:rsid w:val="00AC47ED"/>
    <w:rsid w:val="00AC4B83"/>
    <w:rsid w:val="00AC58F8"/>
    <w:rsid w:val="00AC73BF"/>
    <w:rsid w:val="00AC788E"/>
    <w:rsid w:val="00AD10BF"/>
    <w:rsid w:val="00AD1A97"/>
    <w:rsid w:val="00AD1FBA"/>
    <w:rsid w:val="00AD3A38"/>
    <w:rsid w:val="00AD3BB8"/>
    <w:rsid w:val="00AD3F09"/>
    <w:rsid w:val="00AD494C"/>
    <w:rsid w:val="00AD4ED2"/>
    <w:rsid w:val="00AD61F7"/>
    <w:rsid w:val="00AD62C6"/>
    <w:rsid w:val="00AD681E"/>
    <w:rsid w:val="00AE0097"/>
    <w:rsid w:val="00AE01F3"/>
    <w:rsid w:val="00AE046A"/>
    <w:rsid w:val="00AE17A8"/>
    <w:rsid w:val="00AE1EBB"/>
    <w:rsid w:val="00AE1F03"/>
    <w:rsid w:val="00AE267B"/>
    <w:rsid w:val="00AE2CF1"/>
    <w:rsid w:val="00AE2EFB"/>
    <w:rsid w:val="00AE330C"/>
    <w:rsid w:val="00AE4366"/>
    <w:rsid w:val="00AE45F5"/>
    <w:rsid w:val="00AE4AA9"/>
    <w:rsid w:val="00AE58E3"/>
    <w:rsid w:val="00AE5FCC"/>
    <w:rsid w:val="00AE6784"/>
    <w:rsid w:val="00AE6AD5"/>
    <w:rsid w:val="00AE6D66"/>
    <w:rsid w:val="00AF07AA"/>
    <w:rsid w:val="00AF0C21"/>
    <w:rsid w:val="00AF16CE"/>
    <w:rsid w:val="00AF308F"/>
    <w:rsid w:val="00AF367E"/>
    <w:rsid w:val="00AF3A52"/>
    <w:rsid w:val="00AF45E0"/>
    <w:rsid w:val="00AF47F6"/>
    <w:rsid w:val="00AF51EF"/>
    <w:rsid w:val="00AF5EA5"/>
    <w:rsid w:val="00AF6601"/>
    <w:rsid w:val="00AF780D"/>
    <w:rsid w:val="00AF7FD7"/>
    <w:rsid w:val="00B0043D"/>
    <w:rsid w:val="00B01672"/>
    <w:rsid w:val="00B02012"/>
    <w:rsid w:val="00B024AA"/>
    <w:rsid w:val="00B0257D"/>
    <w:rsid w:val="00B02804"/>
    <w:rsid w:val="00B02902"/>
    <w:rsid w:val="00B02C2C"/>
    <w:rsid w:val="00B03ABB"/>
    <w:rsid w:val="00B0426C"/>
    <w:rsid w:val="00B04AF8"/>
    <w:rsid w:val="00B04BE2"/>
    <w:rsid w:val="00B057FD"/>
    <w:rsid w:val="00B05B4F"/>
    <w:rsid w:val="00B05FEB"/>
    <w:rsid w:val="00B06312"/>
    <w:rsid w:val="00B06B83"/>
    <w:rsid w:val="00B0790C"/>
    <w:rsid w:val="00B10363"/>
    <w:rsid w:val="00B10FC1"/>
    <w:rsid w:val="00B11D00"/>
    <w:rsid w:val="00B11EBE"/>
    <w:rsid w:val="00B13519"/>
    <w:rsid w:val="00B13587"/>
    <w:rsid w:val="00B144D4"/>
    <w:rsid w:val="00B14691"/>
    <w:rsid w:val="00B15A8F"/>
    <w:rsid w:val="00B15CEC"/>
    <w:rsid w:val="00B17162"/>
    <w:rsid w:val="00B17EBD"/>
    <w:rsid w:val="00B20444"/>
    <w:rsid w:val="00B21B7C"/>
    <w:rsid w:val="00B22CE4"/>
    <w:rsid w:val="00B23C24"/>
    <w:rsid w:val="00B23F62"/>
    <w:rsid w:val="00B24506"/>
    <w:rsid w:val="00B24CBE"/>
    <w:rsid w:val="00B26504"/>
    <w:rsid w:val="00B26835"/>
    <w:rsid w:val="00B26A9F"/>
    <w:rsid w:val="00B27293"/>
    <w:rsid w:val="00B27F49"/>
    <w:rsid w:val="00B302D7"/>
    <w:rsid w:val="00B30DB1"/>
    <w:rsid w:val="00B31DC1"/>
    <w:rsid w:val="00B321DA"/>
    <w:rsid w:val="00B3367F"/>
    <w:rsid w:val="00B34F59"/>
    <w:rsid w:val="00B35296"/>
    <w:rsid w:val="00B356D0"/>
    <w:rsid w:val="00B367EE"/>
    <w:rsid w:val="00B36A13"/>
    <w:rsid w:val="00B36CFD"/>
    <w:rsid w:val="00B379D9"/>
    <w:rsid w:val="00B37E90"/>
    <w:rsid w:val="00B37EBD"/>
    <w:rsid w:val="00B40196"/>
    <w:rsid w:val="00B41970"/>
    <w:rsid w:val="00B428BD"/>
    <w:rsid w:val="00B4477A"/>
    <w:rsid w:val="00B451C6"/>
    <w:rsid w:val="00B45810"/>
    <w:rsid w:val="00B45C90"/>
    <w:rsid w:val="00B464E5"/>
    <w:rsid w:val="00B46547"/>
    <w:rsid w:val="00B4678B"/>
    <w:rsid w:val="00B50707"/>
    <w:rsid w:val="00B5230F"/>
    <w:rsid w:val="00B52499"/>
    <w:rsid w:val="00B5273C"/>
    <w:rsid w:val="00B528FE"/>
    <w:rsid w:val="00B52B81"/>
    <w:rsid w:val="00B52E7F"/>
    <w:rsid w:val="00B533F5"/>
    <w:rsid w:val="00B53C06"/>
    <w:rsid w:val="00B55451"/>
    <w:rsid w:val="00B55C30"/>
    <w:rsid w:val="00B56BF6"/>
    <w:rsid w:val="00B60D68"/>
    <w:rsid w:val="00B60DED"/>
    <w:rsid w:val="00B6151F"/>
    <w:rsid w:val="00B6174E"/>
    <w:rsid w:val="00B61D72"/>
    <w:rsid w:val="00B6287F"/>
    <w:rsid w:val="00B63138"/>
    <w:rsid w:val="00B63E63"/>
    <w:rsid w:val="00B63F94"/>
    <w:rsid w:val="00B642EF"/>
    <w:rsid w:val="00B64867"/>
    <w:rsid w:val="00B64F6C"/>
    <w:rsid w:val="00B660D1"/>
    <w:rsid w:val="00B675AC"/>
    <w:rsid w:val="00B678D0"/>
    <w:rsid w:val="00B67BF6"/>
    <w:rsid w:val="00B7016C"/>
    <w:rsid w:val="00B70D3D"/>
    <w:rsid w:val="00B711D8"/>
    <w:rsid w:val="00B717F1"/>
    <w:rsid w:val="00B7217E"/>
    <w:rsid w:val="00B7233A"/>
    <w:rsid w:val="00B73982"/>
    <w:rsid w:val="00B7444A"/>
    <w:rsid w:val="00B74C90"/>
    <w:rsid w:val="00B764C7"/>
    <w:rsid w:val="00B806CD"/>
    <w:rsid w:val="00B8070D"/>
    <w:rsid w:val="00B8134A"/>
    <w:rsid w:val="00B822B5"/>
    <w:rsid w:val="00B83189"/>
    <w:rsid w:val="00B83349"/>
    <w:rsid w:val="00B8355A"/>
    <w:rsid w:val="00B8365F"/>
    <w:rsid w:val="00B843F3"/>
    <w:rsid w:val="00B8462A"/>
    <w:rsid w:val="00B859F2"/>
    <w:rsid w:val="00B862DC"/>
    <w:rsid w:val="00B867CF"/>
    <w:rsid w:val="00B86F12"/>
    <w:rsid w:val="00B87CD6"/>
    <w:rsid w:val="00B87F21"/>
    <w:rsid w:val="00B90972"/>
    <w:rsid w:val="00B90FD4"/>
    <w:rsid w:val="00B912C2"/>
    <w:rsid w:val="00B9378F"/>
    <w:rsid w:val="00B9380C"/>
    <w:rsid w:val="00B94638"/>
    <w:rsid w:val="00B947CA"/>
    <w:rsid w:val="00B94B4D"/>
    <w:rsid w:val="00B95190"/>
    <w:rsid w:val="00B95863"/>
    <w:rsid w:val="00B95E90"/>
    <w:rsid w:val="00BA0344"/>
    <w:rsid w:val="00BA1A31"/>
    <w:rsid w:val="00BA292A"/>
    <w:rsid w:val="00BA3685"/>
    <w:rsid w:val="00BA3C2F"/>
    <w:rsid w:val="00BA49BA"/>
    <w:rsid w:val="00BA4DD1"/>
    <w:rsid w:val="00BA50D4"/>
    <w:rsid w:val="00BA519D"/>
    <w:rsid w:val="00BA5F02"/>
    <w:rsid w:val="00BA704C"/>
    <w:rsid w:val="00BB0933"/>
    <w:rsid w:val="00BB1263"/>
    <w:rsid w:val="00BB14D8"/>
    <w:rsid w:val="00BB3176"/>
    <w:rsid w:val="00BB31BF"/>
    <w:rsid w:val="00BB370E"/>
    <w:rsid w:val="00BB4030"/>
    <w:rsid w:val="00BB6FDF"/>
    <w:rsid w:val="00BB79F0"/>
    <w:rsid w:val="00BB7C2F"/>
    <w:rsid w:val="00BB7F22"/>
    <w:rsid w:val="00BC0E19"/>
    <w:rsid w:val="00BC2CE0"/>
    <w:rsid w:val="00BC3343"/>
    <w:rsid w:val="00BC3F50"/>
    <w:rsid w:val="00BC4488"/>
    <w:rsid w:val="00BC4A21"/>
    <w:rsid w:val="00BC4EAE"/>
    <w:rsid w:val="00BC4F09"/>
    <w:rsid w:val="00BC5107"/>
    <w:rsid w:val="00BC5878"/>
    <w:rsid w:val="00BC58EF"/>
    <w:rsid w:val="00BC5B33"/>
    <w:rsid w:val="00BC7188"/>
    <w:rsid w:val="00BC7289"/>
    <w:rsid w:val="00BD04FA"/>
    <w:rsid w:val="00BD18D2"/>
    <w:rsid w:val="00BD29FA"/>
    <w:rsid w:val="00BD3226"/>
    <w:rsid w:val="00BD49E2"/>
    <w:rsid w:val="00BD4CE2"/>
    <w:rsid w:val="00BD58E7"/>
    <w:rsid w:val="00BD5BF4"/>
    <w:rsid w:val="00BD6549"/>
    <w:rsid w:val="00BD6A2B"/>
    <w:rsid w:val="00BD7DAC"/>
    <w:rsid w:val="00BE0851"/>
    <w:rsid w:val="00BE08C4"/>
    <w:rsid w:val="00BE144E"/>
    <w:rsid w:val="00BE1566"/>
    <w:rsid w:val="00BE2A2E"/>
    <w:rsid w:val="00BE309F"/>
    <w:rsid w:val="00BE3732"/>
    <w:rsid w:val="00BE4771"/>
    <w:rsid w:val="00BE4835"/>
    <w:rsid w:val="00BE4857"/>
    <w:rsid w:val="00BE4BB1"/>
    <w:rsid w:val="00BE50F3"/>
    <w:rsid w:val="00BE5EEA"/>
    <w:rsid w:val="00BE653C"/>
    <w:rsid w:val="00BE67F0"/>
    <w:rsid w:val="00BE7757"/>
    <w:rsid w:val="00BE7E09"/>
    <w:rsid w:val="00BF07A9"/>
    <w:rsid w:val="00BF1C3B"/>
    <w:rsid w:val="00BF203A"/>
    <w:rsid w:val="00BF2995"/>
    <w:rsid w:val="00BF355D"/>
    <w:rsid w:val="00BF46A7"/>
    <w:rsid w:val="00BF4B73"/>
    <w:rsid w:val="00BF565B"/>
    <w:rsid w:val="00BF5E60"/>
    <w:rsid w:val="00BF6A23"/>
    <w:rsid w:val="00BF6F97"/>
    <w:rsid w:val="00BF7109"/>
    <w:rsid w:val="00BF7538"/>
    <w:rsid w:val="00C006EE"/>
    <w:rsid w:val="00C00721"/>
    <w:rsid w:val="00C00DF7"/>
    <w:rsid w:val="00C019B5"/>
    <w:rsid w:val="00C01BCF"/>
    <w:rsid w:val="00C02094"/>
    <w:rsid w:val="00C0405A"/>
    <w:rsid w:val="00C04218"/>
    <w:rsid w:val="00C047A2"/>
    <w:rsid w:val="00C04E65"/>
    <w:rsid w:val="00C05659"/>
    <w:rsid w:val="00C05B73"/>
    <w:rsid w:val="00C06001"/>
    <w:rsid w:val="00C0711D"/>
    <w:rsid w:val="00C101C1"/>
    <w:rsid w:val="00C10F74"/>
    <w:rsid w:val="00C1102B"/>
    <w:rsid w:val="00C110AE"/>
    <w:rsid w:val="00C11256"/>
    <w:rsid w:val="00C1134F"/>
    <w:rsid w:val="00C1140F"/>
    <w:rsid w:val="00C11EA8"/>
    <w:rsid w:val="00C12836"/>
    <w:rsid w:val="00C12E6D"/>
    <w:rsid w:val="00C12F34"/>
    <w:rsid w:val="00C130D4"/>
    <w:rsid w:val="00C13494"/>
    <w:rsid w:val="00C134DE"/>
    <w:rsid w:val="00C14602"/>
    <w:rsid w:val="00C146CE"/>
    <w:rsid w:val="00C148CE"/>
    <w:rsid w:val="00C1533C"/>
    <w:rsid w:val="00C15956"/>
    <w:rsid w:val="00C15A18"/>
    <w:rsid w:val="00C162F1"/>
    <w:rsid w:val="00C1677D"/>
    <w:rsid w:val="00C17816"/>
    <w:rsid w:val="00C17847"/>
    <w:rsid w:val="00C17CD4"/>
    <w:rsid w:val="00C20E6C"/>
    <w:rsid w:val="00C2137A"/>
    <w:rsid w:val="00C2282C"/>
    <w:rsid w:val="00C229FC"/>
    <w:rsid w:val="00C22C50"/>
    <w:rsid w:val="00C23085"/>
    <w:rsid w:val="00C23C4E"/>
    <w:rsid w:val="00C246A7"/>
    <w:rsid w:val="00C25136"/>
    <w:rsid w:val="00C256BA"/>
    <w:rsid w:val="00C25A21"/>
    <w:rsid w:val="00C262A8"/>
    <w:rsid w:val="00C26501"/>
    <w:rsid w:val="00C27513"/>
    <w:rsid w:val="00C30C8F"/>
    <w:rsid w:val="00C3153D"/>
    <w:rsid w:val="00C317C8"/>
    <w:rsid w:val="00C33414"/>
    <w:rsid w:val="00C33B79"/>
    <w:rsid w:val="00C33DD5"/>
    <w:rsid w:val="00C353BD"/>
    <w:rsid w:val="00C3543C"/>
    <w:rsid w:val="00C358DB"/>
    <w:rsid w:val="00C35A76"/>
    <w:rsid w:val="00C3686F"/>
    <w:rsid w:val="00C3797C"/>
    <w:rsid w:val="00C37A7D"/>
    <w:rsid w:val="00C37F8F"/>
    <w:rsid w:val="00C403C8"/>
    <w:rsid w:val="00C40429"/>
    <w:rsid w:val="00C4062D"/>
    <w:rsid w:val="00C40E40"/>
    <w:rsid w:val="00C41924"/>
    <w:rsid w:val="00C41B96"/>
    <w:rsid w:val="00C41D74"/>
    <w:rsid w:val="00C41FC5"/>
    <w:rsid w:val="00C4219C"/>
    <w:rsid w:val="00C424E5"/>
    <w:rsid w:val="00C42CF1"/>
    <w:rsid w:val="00C43960"/>
    <w:rsid w:val="00C44139"/>
    <w:rsid w:val="00C45485"/>
    <w:rsid w:val="00C4570F"/>
    <w:rsid w:val="00C47334"/>
    <w:rsid w:val="00C50E46"/>
    <w:rsid w:val="00C51230"/>
    <w:rsid w:val="00C516F1"/>
    <w:rsid w:val="00C524AD"/>
    <w:rsid w:val="00C525D0"/>
    <w:rsid w:val="00C533B5"/>
    <w:rsid w:val="00C54536"/>
    <w:rsid w:val="00C54A08"/>
    <w:rsid w:val="00C600E7"/>
    <w:rsid w:val="00C60C40"/>
    <w:rsid w:val="00C610EA"/>
    <w:rsid w:val="00C61468"/>
    <w:rsid w:val="00C6202C"/>
    <w:rsid w:val="00C629C8"/>
    <w:rsid w:val="00C62DE3"/>
    <w:rsid w:val="00C63451"/>
    <w:rsid w:val="00C63757"/>
    <w:rsid w:val="00C638B8"/>
    <w:rsid w:val="00C63A66"/>
    <w:rsid w:val="00C63A75"/>
    <w:rsid w:val="00C65498"/>
    <w:rsid w:val="00C65A6F"/>
    <w:rsid w:val="00C668B9"/>
    <w:rsid w:val="00C66BA1"/>
    <w:rsid w:val="00C67149"/>
    <w:rsid w:val="00C67252"/>
    <w:rsid w:val="00C676E4"/>
    <w:rsid w:val="00C67761"/>
    <w:rsid w:val="00C70864"/>
    <w:rsid w:val="00C70D6B"/>
    <w:rsid w:val="00C74BD5"/>
    <w:rsid w:val="00C75F5F"/>
    <w:rsid w:val="00C76136"/>
    <w:rsid w:val="00C771C5"/>
    <w:rsid w:val="00C77D72"/>
    <w:rsid w:val="00C8029C"/>
    <w:rsid w:val="00C802C9"/>
    <w:rsid w:val="00C80C3A"/>
    <w:rsid w:val="00C81AC4"/>
    <w:rsid w:val="00C823C2"/>
    <w:rsid w:val="00C8289A"/>
    <w:rsid w:val="00C828E9"/>
    <w:rsid w:val="00C82B12"/>
    <w:rsid w:val="00C8329E"/>
    <w:rsid w:val="00C83B78"/>
    <w:rsid w:val="00C83BB1"/>
    <w:rsid w:val="00C843E2"/>
    <w:rsid w:val="00C8746A"/>
    <w:rsid w:val="00C87DF4"/>
    <w:rsid w:val="00C913E3"/>
    <w:rsid w:val="00C920B0"/>
    <w:rsid w:val="00C9289D"/>
    <w:rsid w:val="00C93743"/>
    <w:rsid w:val="00C93A2A"/>
    <w:rsid w:val="00C942C2"/>
    <w:rsid w:val="00C94C40"/>
    <w:rsid w:val="00C9558D"/>
    <w:rsid w:val="00C955F1"/>
    <w:rsid w:val="00C95D8E"/>
    <w:rsid w:val="00C97138"/>
    <w:rsid w:val="00CA021D"/>
    <w:rsid w:val="00CA0D61"/>
    <w:rsid w:val="00CA1798"/>
    <w:rsid w:val="00CA2250"/>
    <w:rsid w:val="00CA276F"/>
    <w:rsid w:val="00CA2B61"/>
    <w:rsid w:val="00CA2FE4"/>
    <w:rsid w:val="00CA3497"/>
    <w:rsid w:val="00CA3D9B"/>
    <w:rsid w:val="00CA4293"/>
    <w:rsid w:val="00CA6175"/>
    <w:rsid w:val="00CA61B5"/>
    <w:rsid w:val="00CA6F1B"/>
    <w:rsid w:val="00CA7815"/>
    <w:rsid w:val="00CA7B3D"/>
    <w:rsid w:val="00CB0031"/>
    <w:rsid w:val="00CB04BA"/>
    <w:rsid w:val="00CB47DA"/>
    <w:rsid w:val="00CB5142"/>
    <w:rsid w:val="00CB540C"/>
    <w:rsid w:val="00CB5802"/>
    <w:rsid w:val="00CB6ECA"/>
    <w:rsid w:val="00CC07C9"/>
    <w:rsid w:val="00CC1A1F"/>
    <w:rsid w:val="00CC1F31"/>
    <w:rsid w:val="00CC1FE1"/>
    <w:rsid w:val="00CC24CC"/>
    <w:rsid w:val="00CC29E0"/>
    <w:rsid w:val="00CC3481"/>
    <w:rsid w:val="00CC435F"/>
    <w:rsid w:val="00CC46E2"/>
    <w:rsid w:val="00CC48F0"/>
    <w:rsid w:val="00CC4FD0"/>
    <w:rsid w:val="00CC5A83"/>
    <w:rsid w:val="00CC5D03"/>
    <w:rsid w:val="00CC7069"/>
    <w:rsid w:val="00CD1F84"/>
    <w:rsid w:val="00CD3B8C"/>
    <w:rsid w:val="00CD4409"/>
    <w:rsid w:val="00CD59E9"/>
    <w:rsid w:val="00CD5D6A"/>
    <w:rsid w:val="00CD5F6F"/>
    <w:rsid w:val="00CD61FA"/>
    <w:rsid w:val="00CD6D09"/>
    <w:rsid w:val="00CD77BF"/>
    <w:rsid w:val="00CD7BB1"/>
    <w:rsid w:val="00CE1028"/>
    <w:rsid w:val="00CE11EB"/>
    <w:rsid w:val="00CE1465"/>
    <w:rsid w:val="00CE17CC"/>
    <w:rsid w:val="00CE1BE2"/>
    <w:rsid w:val="00CE2F5F"/>
    <w:rsid w:val="00CE300B"/>
    <w:rsid w:val="00CE37F7"/>
    <w:rsid w:val="00CE3C56"/>
    <w:rsid w:val="00CE3DBD"/>
    <w:rsid w:val="00CE3F95"/>
    <w:rsid w:val="00CE4608"/>
    <w:rsid w:val="00CE5103"/>
    <w:rsid w:val="00CE5419"/>
    <w:rsid w:val="00CE61DF"/>
    <w:rsid w:val="00CE6F0A"/>
    <w:rsid w:val="00CE6FF2"/>
    <w:rsid w:val="00CE77C0"/>
    <w:rsid w:val="00CE7B64"/>
    <w:rsid w:val="00CF0037"/>
    <w:rsid w:val="00CF027C"/>
    <w:rsid w:val="00CF037C"/>
    <w:rsid w:val="00CF0D5B"/>
    <w:rsid w:val="00CF1D47"/>
    <w:rsid w:val="00CF1DD0"/>
    <w:rsid w:val="00CF2182"/>
    <w:rsid w:val="00CF328D"/>
    <w:rsid w:val="00CF3CA2"/>
    <w:rsid w:val="00CF42FF"/>
    <w:rsid w:val="00CF4F5E"/>
    <w:rsid w:val="00CF60EF"/>
    <w:rsid w:val="00CF67E3"/>
    <w:rsid w:val="00CF72D3"/>
    <w:rsid w:val="00D00597"/>
    <w:rsid w:val="00D01530"/>
    <w:rsid w:val="00D01BEC"/>
    <w:rsid w:val="00D03552"/>
    <w:rsid w:val="00D0487A"/>
    <w:rsid w:val="00D06AC3"/>
    <w:rsid w:val="00D07957"/>
    <w:rsid w:val="00D1098E"/>
    <w:rsid w:val="00D10A53"/>
    <w:rsid w:val="00D10AB8"/>
    <w:rsid w:val="00D11042"/>
    <w:rsid w:val="00D11090"/>
    <w:rsid w:val="00D13014"/>
    <w:rsid w:val="00D1383C"/>
    <w:rsid w:val="00D13BF7"/>
    <w:rsid w:val="00D13E8A"/>
    <w:rsid w:val="00D1410B"/>
    <w:rsid w:val="00D14281"/>
    <w:rsid w:val="00D14599"/>
    <w:rsid w:val="00D151F0"/>
    <w:rsid w:val="00D1658B"/>
    <w:rsid w:val="00D17A5D"/>
    <w:rsid w:val="00D20B4B"/>
    <w:rsid w:val="00D221FA"/>
    <w:rsid w:val="00D223F5"/>
    <w:rsid w:val="00D24C48"/>
    <w:rsid w:val="00D25355"/>
    <w:rsid w:val="00D256E2"/>
    <w:rsid w:val="00D25BAE"/>
    <w:rsid w:val="00D264F5"/>
    <w:rsid w:val="00D26B24"/>
    <w:rsid w:val="00D26DAA"/>
    <w:rsid w:val="00D27334"/>
    <w:rsid w:val="00D300CF"/>
    <w:rsid w:val="00D302B7"/>
    <w:rsid w:val="00D308A0"/>
    <w:rsid w:val="00D30A1B"/>
    <w:rsid w:val="00D30CED"/>
    <w:rsid w:val="00D31E22"/>
    <w:rsid w:val="00D31F41"/>
    <w:rsid w:val="00D3206E"/>
    <w:rsid w:val="00D32A73"/>
    <w:rsid w:val="00D33663"/>
    <w:rsid w:val="00D34342"/>
    <w:rsid w:val="00D34948"/>
    <w:rsid w:val="00D35401"/>
    <w:rsid w:val="00D36D6F"/>
    <w:rsid w:val="00D37268"/>
    <w:rsid w:val="00D375D7"/>
    <w:rsid w:val="00D3795D"/>
    <w:rsid w:val="00D41576"/>
    <w:rsid w:val="00D439BD"/>
    <w:rsid w:val="00D4449B"/>
    <w:rsid w:val="00D4533F"/>
    <w:rsid w:val="00D454DD"/>
    <w:rsid w:val="00D45A5E"/>
    <w:rsid w:val="00D46A3D"/>
    <w:rsid w:val="00D46AE4"/>
    <w:rsid w:val="00D46D31"/>
    <w:rsid w:val="00D47832"/>
    <w:rsid w:val="00D50521"/>
    <w:rsid w:val="00D50E7F"/>
    <w:rsid w:val="00D51066"/>
    <w:rsid w:val="00D51119"/>
    <w:rsid w:val="00D52507"/>
    <w:rsid w:val="00D52A45"/>
    <w:rsid w:val="00D52B1B"/>
    <w:rsid w:val="00D53225"/>
    <w:rsid w:val="00D537CF"/>
    <w:rsid w:val="00D53E71"/>
    <w:rsid w:val="00D543E8"/>
    <w:rsid w:val="00D54BD7"/>
    <w:rsid w:val="00D54E99"/>
    <w:rsid w:val="00D54F88"/>
    <w:rsid w:val="00D55690"/>
    <w:rsid w:val="00D55AC3"/>
    <w:rsid w:val="00D56F46"/>
    <w:rsid w:val="00D570DB"/>
    <w:rsid w:val="00D60603"/>
    <w:rsid w:val="00D6123E"/>
    <w:rsid w:val="00D62CB7"/>
    <w:rsid w:val="00D653BA"/>
    <w:rsid w:val="00D661CE"/>
    <w:rsid w:val="00D66D39"/>
    <w:rsid w:val="00D67103"/>
    <w:rsid w:val="00D67658"/>
    <w:rsid w:val="00D70CE3"/>
    <w:rsid w:val="00D70F9F"/>
    <w:rsid w:val="00D70FEF"/>
    <w:rsid w:val="00D710C5"/>
    <w:rsid w:val="00D713C1"/>
    <w:rsid w:val="00D72842"/>
    <w:rsid w:val="00D73D33"/>
    <w:rsid w:val="00D74751"/>
    <w:rsid w:val="00D7659A"/>
    <w:rsid w:val="00D7659D"/>
    <w:rsid w:val="00D76C24"/>
    <w:rsid w:val="00D76F64"/>
    <w:rsid w:val="00D77605"/>
    <w:rsid w:val="00D77E73"/>
    <w:rsid w:val="00D80D70"/>
    <w:rsid w:val="00D816AA"/>
    <w:rsid w:val="00D84362"/>
    <w:rsid w:val="00D85035"/>
    <w:rsid w:val="00D850AD"/>
    <w:rsid w:val="00D85883"/>
    <w:rsid w:val="00D85F33"/>
    <w:rsid w:val="00D864E5"/>
    <w:rsid w:val="00D86721"/>
    <w:rsid w:val="00D87D85"/>
    <w:rsid w:val="00D90221"/>
    <w:rsid w:val="00D90296"/>
    <w:rsid w:val="00D90527"/>
    <w:rsid w:val="00D90CAF"/>
    <w:rsid w:val="00D916DF"/>
    <w:rsid w:val="00D9199C"/>
    <w:rsid w:val="00D92426"/>
    <w:rsid w:val="00D940D6"/>
    <w:rsid w:val="00D94C24"/>
    <w:rsid w:val="00D951B3"/>
    <w:rsid w:val="00D9592E"/>
    <w:rsid w:val="00D96862"/>
    <w:rsid w:val="00DA0103"/>
    <w:rsid w:val="00DA0384"/>
    <w:rsid w:val="00DA0805"/>
    <w:rsid w:val="00DA088A"/>
    <w:rsid w:val="00DA203B"/>
    <w:rsid w:val="00DA3114"/>
    <w:rsid w:val="00DA35E6"/>
    <w:rsid w:val="00DA360E"/>
    <w:rsid w:val="00DA41A9"/>
    <w:rsid w:val="00DA42E6"/>
    <w:rsid w:val="00DA589B"/>
    <w:rsid w:val="00DA617C"/>
    <w:rsid w:val="00DA63AD"/>
    <w:rsid w:val="00DA6D7B"/>
    <w:rsid w:val="00DA7358"/>
    <w:rsid w:val="00DA7E1D"/>
    <w:rsid w:val="00DB02D7"/>
    <w:rsid w:val="00DB0706"/>
    <w:rsid w:val="00DB1158"/>
    <w:rsid w:val="00DB151E"/>
    <w:rsid w:val="00DB1947"/>
    <w:rsid w:val="00DB1A3D"/>
    <w:rsid w:val="00DB1AAB"/>
    <w:rsid w:val="00DB20A8"/>
    <w:rsid w:val="00DB22A5"/>
    <w:rsid w:val="00DB26B0"/>
    <w:rsid w:val="00DB30CA"/>
    <w:rsid w:val="00DB42CB"/>
    <w:rsid w:val="00DB61D7"/>
    <w:rsid w:val="00DB623D"/>
    <w:rsid w:val="00DB6A30"/>
    <w:rsid w:val="00DC0A8B"/>
    <w:rsid w:val="00DC1C74"/>
    <w:rsid w:val="00DC33FC"/>
    <w:rsid w:val="00DC38E8"/>
    <w:rsid w:val="00DC3D23"/>
    <w:rsid w:val="00DC416F"/>
    <w:rsid w:val="00DC4799"/>
    <w:rsid w:val="00DC4D55"/>
    <w:rsid w:val="00DC5A5F"/>
    <w:rsid w:val="00DC5D24"/>
    <w:rsid w:val="00DC66A1"/>
    <w:rsid w:val="00DC672B"/>
    <w:rsid w:val="00DC6D60"/>
    <w:rsid w:val="00DC6E31"/>
    <w:rsid w:val="00DC7AED"/>
    <w:rsid w:val="00DD0000"/>
    <w:rsid w:val="00DD0CEE"/>
    <w:rsid w:val="00DD16CA"/>
    <w:rsid w:val="00DD1841"/>
    <w:rsid w:val="00DD1AA5"/>
    <w:rsid w:val="00DD1E6B"/>
    <w:rsid w:val="00DD2EA0"/>
    <w:rsid w:val="00DD2EA8"/>
    <w:rsid w:val="00DD30F6"/>
    <w:rsid w:val="00DD36BC"/>
    <w:rsid w:val="00DD3F91"/>
    <w:rsid w:val="00DD4618"/>
    <w:rsid w:val="00DD604D"/>
    <w:rsid w:val="00DD6221"/>
    <w:rsid w:val="00DD7CEA"/>
    <w:rsid w:val="00DE1652"/>
    <w:rsid w:val="00DE2274"/>
    <w:rsid w:val="00DE2517"/>
    <w:rsid w:val="00DE3661"/>
    <w:rsid w:val="00DE3D1E"/>
    <w:rsid w:val="00DE4B79"/>
    <w:rsid w:val="00DE505A"/>
    <w:rsid w:val="00DE51A7"/>
    <w:rsid w:val="00DE58F5"/>
    <w:rsid w:val="00DE5AEF"/>
    <w:rsid w:val="00DE610F"/>
    <w:rsid w:val="00DE6963"/>
    <w:rsid w:val="00DE7065"/>
    <w:rsid w:val="00DE7864"/>
    <w:rsid w:val="00DF1EE8"/>
    <w:rsid w:val="00DF26D6"/>
    <w:rsid w:val="00DF2F2D"/>
    <w:rsid w:val="00DF3103"/>
    <w:rsid w:val="00DF4334"/>
    <w:rsid w:val="00DF434E"/>
    <w:rsid w:val="00DF497A"/>
    <w:rsid w:val="00DF5148"/>
    <w:rsid w:val="00DF5E40"/>
    <w:rsid w:val="00DF614D"/>
    <w:rsid w:val="00DF6A54"/>
    <w:rsid w:val="00DF6FE3"/>
    <w:rsid w:val="00DF70C8"/>
    <w:rsid w:val="00DF7A55"/>
    <w:rsid w:val="00E000F0"/>
    <w:rsid w:val="00E01119"/>
    <w:rsid w:val="00E01520"/>
    <w:rsid w:val="00E017A1"/>
    <w:rsid w:val="00E01CDD"/>
    <w:rsid w:val="00E02B7F"/>
    <w:rsid w:val="00E033F6"/>
    <w:rsid w:val="00E03E24"/>
    <w:rsid w:val="00E044F4"/>
    <w:rsid w:val="00E045A3"/>
    <w:rsid w:val="00E06C5B"/>
    <w:rsid w:val="00E06F87"/>
    <w:rsid w:val="00E06FBD"/>
    <w:rsid w:val="00E06FF4"/>
    <w:rsid w:val="00E07B9C"/>
    <w:rsid w:val="00E07D1A"/>
    <w:rsid w:val="00E10F5F"/>
    <w:rsid w:val="00E12482"/>
    <w:rsid w:val="00E1290D"/>
    <w:rsid w:val="00E13AF2"/>
    <w:rsid w:val="00E142CA"/>
    <w:rsid w:val="00E15F84"/>
    <w:rsid w:val="00E164D2"/>
    <w:rsid w:val="00E16A49"/>
    <w:rsid w:val="00E17607"/>
    <w:rsid w:val="00E177AF"/>
    <w:rsid w:val="00E17B11"/>
    <w:rsid w:val="00E20A2A"/>
    <w:rsid w:val="00E211D7"/>
    <w:rsid w:val="00E2248B"/>
    <w:rsid w:val="00E23D54"/>
    <w:rsid w:val="00E240F6"/>
    <w:rsid w:val="00E2455E"/>
    <w:rsid w:val="00E25320"/>
    <w:rsid w:val="00E2593D"/>
    <w:rsid w:val="00E25FC4"/>
    <w:rsid w:val="00E2663F"/>
    <w:rsid w:val="00E2704D"/>
    <w:rsid w:val="00E27A18"/>
    <w:rsid w:val="00E27EB9"/>
    <w:rsid w:val="00E27F85"/>
    <w:rsid w:val="00E30860"/>
    <w:rsid w:val="00E30BC2"/>
    <w:rsid w:val="00E31182"/>
    <w:rsid w:val="00E31CA4"/>
    <w:rsid w:val="00E3258E"/>
    <w:rsid w:val="00E32C57"/>
    <w:rsid w:val="00E32D82"/>
    <w:rsid w:val="00E32E57"/>
    <w:rsid w:val="00E32E6C"/>
    <w:rsid w:val="00E3360B"/>
    <w:rsid w:val="00E33F1D"/>
    <w:rsid w:val="00E34C6E"/>
    <w:rsid w:val="00E34D45"/>
    <w:rsid w:val="00E35F06"/>
    <w:rsid w:val="00E36535"/>
    <w:rsid w:val="00E36F98"/>
    <w:rsid w:val="00E3733E"/>
    <w:rsid w:val="00E376AC"/>
    <w:rsid w:val="00E378E0"/>
    <w:rsid w:val="00E37BF8"/>
    <w:rsid w:val="00E4058D"/>
    <w:rsid w:val="00E407A1"/>
    <w:rsid w:val="00E410ED"/>
    <w:rsid w:val="00E41A96"/>
    <w:rsid w:val="00E4301F"/>
    <w:rsid w:val="00E43848"/>
    <w:rsid w:val="00E43DF4"/>
    <w:rsid w:val="00E443F8"/>
    <w:rsid w:val="00E44AF7"/>
    <w:rsid w:val="00E46907"/>
    <w:rsid w:val="00E46E91"/>
    <w:rsid w:val="00E476C2"/>
    <w:rsid w:val="00E47D51"/>
    <w:rsid w:val="00E50DD3"/>
    <w:rsid w:val="00E510DF"/>
    <w:rsid w:val="00E5119C"/>
    <w:rsid w:val="00E51828"/>
    <w:rsid w:val="00E52117"/>
    <w:rsid w:val="00E53687"/>
    <w:rsid w:val="00E5389A"/>
    <w:rsid w:val="00E53A5A"/>
    <w:rsid w:val="00E5450C"/>
    <w:rsid w:val="00E54E57"/>
    <w:rsid w:val="00E54EC8"/>
    <w:rsid w:val="00E55152"/>
    <w:rsid w:val="00E559E3"/>
    <w:rsid w:val="00E55BCC"/>
    <w:rsid w:val="00E56EC7"/>
    <w:rsid w:val="00E56F43"/>
    <w:rsid w:val="00E60B7C"/>
    <w:rsid w:val="00E6368A"/>
    <w:rsid w:val="00E64F7E"/>
    <w:rsid w:val="00E6693B"/>
    <w:rsid w:val="00E66AA2"/>
    <w:rsid w:val="00E66C22"/>
    <w:rsid w:val="00E66EFC"/>
    <w:rsid w:val="00E66F57"/>
    <w:rsid w:val="00E67AFD"/>
    <w:rsid w:val="00E70B7B"/>
    <w:rsid w:val="00E70E3C"/>
    <w:rsid w:val="00E715B8"/>
    <w:rsid w:val="00E7187B"/>
    <w:rsid w:val="00E71EAD"/>
    <w:rsid w:val="00E72FEB"/>
    <w:rsid w:val="00E75624"/>
    <w:rsid w:val="00E7597D"/>
    <w:rsid w:val="00E80F84"/>
    <w:rsid w:val="00E81088"/>
    <w:rsid w:val="00E818E0"/>
    <w:rsid w:val="00E81B1F"/>
    <w:rsid w:val="00E82B2B"/>
    <w:rsid w:val="00E83002"/>
    <w:rsid w:val="00E8388E"/>
    <w:rsid w:val="00E83B02"/>
    <w:rsid w:val="00E8403D"/>
    <w:rsid w:val="00E84F72"/>
    <w:rsid w:val="00E84FD4"/>
    <w:rsid w:val="00E85203"/>
    <w:rsid w:val="00E852AD"/>
    <w:rsid w:val="00E85FD1"/>
    <w:rsid w:val="00E86708"/>
    <w:rsid w:val="00E86A7A"/>
    <w:rsid w:val="00E872B0"/>
    <w:rsid w:val="00E87551"/>
    <w:rsid w:val="00E87EF4"/>
    <w:rsid w:val="00E902C8"/>
    <w:rsid w:val="00E91668"/>
    <w:rsid w:val="00E921CE"/>
    <w:rsid w:val="00E92933"/>
    <w:rsid w:val="00E9411A"/>
    <w:rsid w:val="00E94FB4"/>
    <w:rsid w:val="00E95233"/>
    <w:rsid w:val="00E95E15"/>
    <w:rsid w:val="00E96CC7"/>
    <w:rsid w:val="00E96E81"/>
    <w:rsid w:val="00E9708D"/>
    <w:rsid w:val="00E971F7"/>
    <w:rsid w:val="00EA0A56"/>
    <w:rsid w:val="00EA1658"/>
    <w:rsid w:val="00EA1FAE"/>
    <w:rsid w:val="00EA2034"/>
    <w:rsid w:val="00EA2238"/>
    <w:rsid w:val="00EA47C9"/>
    <w:rsid w:val="00EA59AD"/>
    <w:rsid w:val="00EA5B0B"/>
    <w:rsid w:val="00EA5C30"/>
    <w:rsid w:val="00EA6BEC"/>
    <w:rsid w:val="00EA6E35"/>
    <w:rsid w:val="00EA7BF7"/>
    <w:rsid w:val="00EB0194"/>
    <w:rsid w:val="00EB05EA"/>
    <w:rsid w:val="00EB0A5B"/>
    <w:rsid w:val="00EB19AA"/>
    <w:rsid w:val="00EB1B26"/>
    <w:rsid w:val="00EB1E70"/>
    <w:rsid w:val="00EB2A6E"/>
    <w:rsid w:val="00EB3129"/>
    <w:rsid w:val="00EB3130"/>
    <w:rsid w:val="00EB3187"/>
    <w:rsid w:val="00EB3DB5"/>
    <w:rsid w:val="00EB40A6"/>
    <w:rsid w:val="00EB464B"/>
    <w:rsid w:val="00EB526A"/>
    <w:rsid w:val="00EB6E9A"/>
    <w:rsid w:val="00EB7237"/>
    <w:rsid w:val="00EB7323"/>
    <w:rsid w:val="00EB7B92"/>
    <w:rsid w:val="00EC010F"/>
    <w:rsid w:val="00EC0B07"/>
    <w:rsid w:val="00EC0CC2"/>
    <w:rsid w:val="00EC12A3"/>
    <w:rsid w:val="00EC1E53"/>
    <w:rsid w:val="00EC2D6E"/>
    <w:rsid w:val="00EC3186"/>
    <w:rsid w:val="00EC35A8"/>
    <w:rsid w:val="00EC35DD"/>
    <w:rsid w:val="00EC3B86"/>
    <w:rsid w:val="00EC3D9C"/>
    <w:rsid w:val="00EC43EC"/>
    <w:rsid w:val="00EC526A"/>
    <w:rsid w:val="00EC5B42"/>
    <w:rsid w:val="00EC6534"/>
    <w:rsid w:val="00EC7061"/>
    <w:rsid w:val="00EC785E"/>
    <w:rsid w:val="00EC7D17"/>
    <w:rsid w:val="00ED08BB"/>
    <w:rsid w:val="00ED0B09"/>
    <w:rsid w:val="00ED14F8"/>
    <w:rsid w:val="00ED3949"/>
    <w:rsid w:val="00ED3BA0"/>
    <w:rsid w:val="00ED453E"/>
    <w:rsid w:val="00ED489F"/>
    <w:rsid w:val="00ED5173"/>
    <w:rsid w:val="00ED6F3F"/>
    <w:rsid w:val="00EE02FA"/>
    <w:rsid w:val="00EE0557"/>
    <w:rsid w:val="00EE0630"/>
    <w:rsid w:val="00EE0733"/>
    <w:rsid w:val="00EE1A09"/>
    <w:rsid w:val="00EE2305"/>
    <w:rsid w:val="00EE352A"/>
    <w:rsid w:val="00EE3808"/>
    <w:rsid w:val="00EE3EF6"/>
    <w:rsid w:val="00EE5431"/>
    <w:rsid w:val="00EE65F3"/>
    <w:rsid w:val="00EE6981"/>
    <w:rsid w:val="00EE7442"/>
    <w:rsid w:val="00EE7F4B"/>
    <w:rsid w:val="00EF00CE"/>
    <w:rsid w:val="00EF0ADA"/>
    <w:rsid w:val="00EF0AEF"/>
    <w:rsid w:val="00EF0D5E"/>
    <w:rsid w:val="00EF1F2C"/>
    <w:rsid w:val="00EF3C47"/>
    <w:rsid w:val="00EF5D9E"/>
    <w:rsid w:val="00EF6464"/>
    <w:rsid w:val="00EF79F8"/>
    <w:rsid w:val="00EF7ABE"/>
    <w:rsid w:val="00EF7E57"/>
    <w:rsid w:val="00F00D7B"/>
    <w:rsid w:val="00F00E11"/>
    <w:rsid w:val="00F01A07"/>
    <w:rsid w:val="00F0286D"/>
    <w:rsid w:val="00F0291A"/>
    <w:rsid w:val="00F02973"/>
    <w:rsid w:val="00F02C6D"/>
    <w:rsid w:val="00F02E26"/>
    <w:rsid w:val="00F044F4"/>
    <w:rsid w:val="00F04CA1"/>
    <w:rsid w:val="00F05086"/>
    <w:rsid w:val="00F055DC"/>
    <w:rsid w:val="00F05796"/>
    <w:rsid w:val="00F05FF9"/>
    <w:rsid w:val="00F061D9"/>
    <w:rsid w:val="00F062F1"/>
    <w:rsid w:val="00F06D16"/>
    <w:rsid w:val="00F07C78"/>
    <w:rsid w:val="00F07F53"/>
    <w:rsid w:val="00F110AA"/>
    <w:rsid w:val="00F11731"/>
    <w:rsid w:val="00F12E6A"/>
    <w:rsid w:val="00F13057"/>
    <w:rsid w:val="00F13098"/>
    <w:rsid w:val="00F13A3A"/>
    <w:rsid w:val="00F14AB5"/>
    <w:rsid w:val="00F14AFA"/>
    <w:rsid w:val="00F14D0F"/>
    <w:rsid w:val="00F15870"/>
    <w:rsid w:val="00F16062"/>
    <w:rsid w:val="00F170A3"/>
    <w:rsid w:val="00F174C8"/>
    <w:rsid w:val="00F1791D"/>
    <w:rsid w:val="00F17F47"/>
    <w:rsid w:val="00F2065C"/>
    <w:rsid w:val="00F20E27"/>
    <w:rsid w:val="00F20EA1"/>
    <w:rsid w:val="00F21299"/>
    <w:rsid w:val="00F218AF"/>
    <w:rsid w:val="00F22687"/>
    <w:rsid w:val="00F228F2"/>
    <w:rsid w:val="00F237B9"/>
    <w:rsid w:val="00F23C19"/>
    <w:rsid w:val="00F245C3"/>
    <w:rsid w:val="00F24DE1"/>
    <w:rsid w:val="00F25500"/>
    <w:rsid w:val="00F25C35"/>
    <w:rsid w:val="00F25D3E"/>
    <w:rsid w:val="00F2640C"/>
    <w:rsid w:val="00F2737A"/>
    <w:rsid w:val="00F30CDD"/>
    <w:rsid w:val="00F318BA"/>
    <w:rsid w:val="00F35C0C"/>
    <w:rsid w:val="00F366A4"/>
    <w:rsid w:val="00F36E38"/>
    <w:rsid w:val="00F37709"/>
    <w:rsid w:val="00F37D3A"/>
    <w:rsid w:val="00F419B3"/>
    <w:rsid w:val="00F424FE"/>
    <w:rsid w:val="00F428FF"/>
    <w:rsid w:val="00F43002"/>
    <w:rsid w:val="00F43244"/>
    <w:rsid w:val="00F43C0F"/>
    <w:rsid w:val="00F44381"/>
    <w:rsid w:val="00F449D2"/>
    <w:rsid w:val="00F44EFD"/>
    <w:rsid w:val="00F45066"/>
    <w:rsid w:val="00F4728A"/>
    <w:rsid w:val="00F4770A"/>
    <w:rsid w:val="00F509BC"/>
    <w:rsid w:val="00F50B5D"/>
    <w:rsid w:val="00F50C48"/>
    <w:rsid w:val="00F52088"/>
    <w:rsid w:val="00F5252C"/>
    <w:rsid w:val="00F52836"/>
    <w:rsid w:val="00F52EA3"/>
    <w:rsid w:val="00F534E0"/>
    <w:rsid w:val="00F542F1"/>
    <w:rsid w:val="00F55175"/>
    <w:rsid w:val="00F55524"/>
    <w:rsid w:val="00F55890"/>
    <w:rsid w:val="00F559C2"/>
    <w:rsid w:val="00F56B4E"/>
    <w:rsid w:val="00F575A3"/>
    <w:rsid w:val="00F577E6"/>
    <w:rsid w:val="00F5790D"/>
    <w:rsid w:val="00F57BA4"/>
    <w:rsid w:val="00F57F49"/>
    <w:rsid w:val="00F602D6"/>
    <w:rsid w:val="00F60BBB"/>
    <w:rsid w:val="00F60D56"/>
    <w:rsid w:val="00F61B65"/>
    <w:rsid w:val="00F6267D"/>
    <w:rsid w:val="00F62906"/>
    <w:rsid w:val="00F62BC9"/>
    <w:rsid w:val="00F62D26"/>
    <w:rsid w:val="00F62DA1"/>
    <w:rsid w:val="00F6309C"/>
    <w:rsid w:val="00F634BA"/>
    <w:rsid w:val="00F650EE"/>
    <w:rsid w:val="00F65136"/>
    <w:rsid w:val="00F655CB"/>
    <w:rsid w:val="00F65999"/>
    <w:rsid w:val="00F70638"/>
    <w:rsid w:val="00F722B9"/>
    <w:rsid w:val="00F72552"/>
    <w:rsid w:val="00F72ADB"/>
    <w:rsid w:val="00F74438"/>
    <w:rsid w:val="00F7508E"/>
    <w:rsid w:val="00F754B7"/>
    <w:rsid w:val="00F756C5"/>
    <w:rsid w:val="00F7599B"/>
    <w:rsid w:val="00F75EA1"/>
    <w:rsid w:val="00F760F8"/>
    <w:rsid w:val="00F7684E"/>
    <w:rsid w:val="00F776E2"/>
    <w:rsid w:val="00F77BF6"/>
    <w:rsid w:val="00F77E47"/>
    <w:rsid w:val="00F80B82"/>
    <w:rsid w:val="00F81163"/>
    <w:rsid w:val="00F82E6E"/>
    <w:rsid w:val="00F832EE"/>
    <w:rsid w:val="00F836C6"/>
    <w:rsid w:val="00F841AD"/>
    <w:rsid w:val="00F85398"/>
    <w:rsid w:val="00F85C7E"/>
    <w:rsid w:val="00F86543"/>
    <w:rsid w:val="00F86553"/>
    <w:rsid w:val="00F90837"/>
    <w:rsid w:val="00F90993"/>
    <w:rsid w:val="00F921BD"/>
    <w:rsid w:val="00F93903"/>
    <w:rsid w:val="00F93957"/>
    <w:rsid w:val="00F9397A"/>
    <w:rsid w:val="00F94401"/>
    <w:rsid w:val="00F94F97"/>
    <w:rsid w:val="00F958FE"/>
    <w:rsid w:val="00F96BFB"/>
    <w:rsid w:val="00FA0FB9"/>
    <w:rsid w:val="00FA1903"/>
    <w:rsid w:val="00FA2F22"/>
    <w:rsid w:val="00FA3561"/>
    <w:rsid w:val="00FA5D5F"/>
    <w:rsid w:val="00FA66D3"/>
    <w:rsid w:val="00FA727E"/>
    <w:rsid w:val="00FA787D"/>
    <w:rsid w:val="00FB00BB"/>
    <w:rsid w:val="00FB0CFF"/>
    <w:rsid w:val="00FB0E2B"/>
    <w:rsid w:val="00FB135B"/>
    <w:rsid w:val="00FB22E0"/>
    <w:rsid w:val="00FB2357"/>
    <w:rsid w:val="00FB33F9"/>
    <w:rsid w:val="00FB342A"/>
    <w:rsid w:val="00FB5066"/>
    <w:rsid w:val="00FB59BF"/>
    <w:rsid w:val="00FB69A0"/>
    <w:rsid w:val="00FB6D51"/>
    <w:rsid w:val="00FC0661"/>
    <w:rsid w:val="00FC0856"/>
    <w:rsid w:val="00FC14AA"/>
    <w:rsid w:val="00FC2132"/>
    <w:rsid w:val="00FC257D"/>
    <w:rsid w:val="00FC26A2"/>
    <w:rsid w:val="00FC2B44"/>
    <w:rsid w:val="00FC3725"/>
    <w:rsid w:val="00FC4C11"/>
    <w:rsid w:val="00FC4CC8"/>
    <w:rsid w:val="00FC507D"/>
    <w:rsid w:val="00FC535F"/>
    <w:rsid w:val="00FC645A"/>
    <w:rsid w:val="00FC67CC"/>
    <w:rsid w:val="00FD01BD"/>
    <w:rsid w:val="00FD0B0C"/>
    <w:rsid w:val="00FD139E"/>
    <w:rsid w:val="00FD1F09"/>
    <w:rsid w:val="00FD3036"/>
    <w:rsid w:val="00FD44D8"/>
    <w:rsid w:val="00FD4EBE"/>
    <w:rsid w:val="00FD73F3"/>
    <w:rsid w:val="00FD7AA4"/>
    <w:rsid w:val="00FE03BE"/>
    <w:rsid w:val="00FE1FF8"/>
    <w:rsid w:val="00FE35D5"/>
    <w:rsid w:val="00FE4CC0"/>
    <w:rsid w:val="00FE5CAC"/>
    <w:rsid w:val="00FE62C3"/>
    <w:rsid w:val="00FE6E2B"/>
    <w:rsid w:val="00FF008D"/>
    <w:rsid w:val="00FF0330"/>
    <w:rsid w:val="00FF11F0"/>
    <w:rsid w:val="00FF185C"/>
    <w:rsid w:val="00FF1DC1"/>
    <w:rsid w:val="00FF22AF"/>
    <w:rsid w:val="00FF278C"/>
    <w:rsid w:val="00FF27B5"/>
    <w:rsid w:val="00FF452A"/>
    <w:rsid w:val="00FF49CA"/>
    <w:rsid w:val="00FF5552"/>
    <w:rsid w:val="00FF5BF1"/>
    <w:rsid w:val="00FF6B8B"/>
    <w:rsid w:val="00FF7F05"/>
    <w:rsid w:val="010A0D9B"/>
    <w:rsid w:val="012E34CB"/>
    <w:rsid w:val="01556140"/>
    <w:rsid w:val="015D3E56"/>
    <w:rsid w:val="0169065F"/>
    <w:rsid w:val="01700FF3"/>
    <w:rsid w:val="019329D2"/>
    <w:rsid w:val="0198245E"/>
    <w:rsid w:val="01A5473C"/>
    <w:rsid w:val="01B56966"/>
    <w:rsid w:val="01B666C0"/>
    <w:rsid w:val="01BB03CB"/>
    <w:rsid w:val="01C12D51"/>
    <w:rsid w:val="01D139CD"/>
    <w:rsid w:val="01D86637"/>
    <w:rsid w:val="01ED64F3"/>
    <w:rsid w:val="020B061F"/>
    <w:rsid w:val="02173256"/>
    <w:rsid w:val="021A4193"/>
    <w:rsid w:val="021A7F77"/>
    <w:rsid w:val="025B46E8"/>
    <w:rsid w:val="025E5570"/>
    <w:rsid w:val="0262456B"/>
    <w:rsid w:val="026B140F"/>
    <w:rsid w:val="026C1AB2"/>
    <w:rsid w:val="02782414"/>
    <w:rsid w:val="027C11BE"/>
    <w:rsid w:val="028D7189"/>
    <w:rsid w:val="028E4F47"/>
    <w:rsid w:val="0296725B"/>
    <w:rsid w:val="029D7472"/>
    <w:rsid w:val="02A841C4"/>
    <w:rsid w:val="02AC0EC8"/>
    <w:rsid w:val="02BC09DD"/>
    <w:rsid w:val="02CB4D2D"/>
    <w:rsid w:val="02D07F79"/>
    <w:rsid w:val="02D97A2B"/>
    <w:rsid w:val="02E307CF"/>
    <w:rsid w:val="02F8486D"/>
    <w:rsid w:val="03095E15"/>
    <w:rsid w:val="031711B5"/>
    <w:rsid w:val="03175ED5"/>
    <w:rsid w:val="03222CA7"/>
    <w:rsid w:val="032E4A1C"/>
    <w:rsid w:val="03353D48"/>
    <w:rsid w:val="03412078"/>
    <w:rsid w:val="03597263"/>
    <w:rsid w:val="0361265C"/>
    <w:rsid w:val="03681C3C"/>
    <w:rsid w:val="03800D34"/>
    <w:rsid w:val="03BD58D6"/>
    <w:rsid w:val="03E06FD0"/>
    <w:rsid w:val="03F317D7"/>
    <w:rsid w:val="0403735E"/>
    <w:rsid w:val="040D583E"/>
    <w:rsid w:val="0416567B"/>
    <w:rsid w:val="04264C88"/>
    <w:rsid w:val="042834E5"/>
    <w:rsid w:val="045142A5"/>
    <w:rsid w:val="04663D7B"/>
    <w:rsid w:val="046B2354"/>
    <w:rsid w:val="047B0E94"/>
    <w:rsid w:val="04893C18"/>
    <w:rsid w:val="048E1779"/>
    <w:rsid w:val="048E6DA9"/>
    <w:rsid w:val="048F0AFE"/>
    <w:rsid w:val="04915F8D"/>
    <w:rsid w:val="04A32F8A"/>
    <w:rsid w:val="04C055FE"/>
    <w:rsid w:val="04D27CEA"/>
    <w:rsid w:val="04DA1708"/>
    <w:rsid w:val="04DA3982"/>
    <w:rsid w:val="04DD72E3"/>
    <w:rsid w:val="04F03879"/>
    <w:rsid w:val="04FC2E83"/>
    <w:rsid w:val="05012DD7"/>
    <w:rsid w:val="05017B46"/>
    <w:rsid w:val="050339C8"/>
    <w:rsid w:val="052B2732"/>
    <w:rsid w:val="05386477"/>
    <w:rsid w:val="05400010"/>
    <w:rsid w:val="0553092A"/>
    <w:rsid w:val="056463C7"/>
    <w:rsid w:val="05735DA4"/>
    <w:rsid w:val="057D5D0B"/>
    <w:rsid w:val="05826D9A"/>
    <w:rsid w:val="05B71BE0"/>
    <w:rsid w:val="05B739CA"/>
    <w:rsid w:val="05D55D5E"/>
    <w:rsid w:val="05FB6357"/>
    <w:rsid w:val="06027784"/>
    <w:rsid w:val="06164BD3"/>
    <w:rsid w:val="061D795C"/>
    <w:rsid w:val="061F1504"/>
    <w:rsid w:val="062C6DDC"/>
    <w:rsid w:val="06440E5A"/>
    <w:rsid w:val="064D24E5"/>
    <w:rsid w:val="065633EB"/>
    <w:rsid w:val="065C762A"/>
    <w:rsid w:val="0670142E"/>
    <w:rsid w:val="06800158"/>
    <w:rsid w:val="06AB3BDA"/>
    <w:rsid w:val="06BF627D"/>
    <w:rsid w:val="06BF6A5D"/>
    <w:rsid w:val="06D61587"/>
    <w:rsid w:val="06F50A69"/>
    <w:rsid w:val="071A2A18"/>
    <w:rsid w:val="072C54E4"/>
    <w:rsid w:val="0731103E"/>
    <w:rsid w:val="07481042"/>
    <w:rsid w:val="075348BD"/>
    <w:rsid w:val="07657C85"/>
    <w:rsid w:val="07753F60"/>
    <w:rsid w:val="07844763"/>
    <w:rsid w:val="07872CE7"/>
    <w:rsid w:val="079B478D"/>
    <w:rsid w:val="07A4385F"/>
    <w:rsid w:val="07AF242F"/>
    <w:rsid w:val="07BD5DBF"/>
    <w:rsid w:val="07C5115E"/>
    <w:rsid w:val="07CB25FF"/>
    <w:rsid w:val="07CD1207"/>
    <w:rsid w:val="07CF35B6"/>
    <w:rsid w:val="07EF468E"/>
    <w:rsid w:val="07F87DE0"/>
    <w:rsid w:val="07FF4D31"/>
    <w:rsid w:val="080E608B"/>
    <w:rsid w:val="081756DA"/>
    <w:rsid w:val="082F3E47"/>
    <w:rsid w:val="0835226D"/>
    <w:rsid w:val="08605B5A"/>
    <w:rsid w:val="08624EAC"/>
    <w:rsid w:val="08636B11"/>
    <w:rsid w:val="086D796B"/>
    <w:rsid w:val="08C03565"/>
    <w:rsid w:val="08DE579F"/>
    <w:rsid w:val="09106EFC"/>
    <w:rsid w:val="09212671"/>
    <w:rsid w:val="096F45D4"/>
    <w:rsid w:val="09755D2F"/>
    <w:rsid w:val="098848E6"/>
    <w:rsid w:val="09A61984"/>
    <w:rsid w:val="09B43D70"/>
    <w:rsid w:val="09D62318"/>
    <w:rsid w:val="09E342D1"/>
    <w:rsid w:val="09F76469"/>
    <w:rsid w:val="0A254B81"/>
    <w:rsid w:val="0A3048AC"/>
    <w:rsid w:val="0A4B47B8"/>
    <w:rsid w:val="0A524DED"/>
    <w:rsid w:val="0A554696"/>
    <w:rsid w:val="0A5825D5"/>
    <w:rsid w:val="0A6177E7"/>
    <w:rsid w:val="0A84084D"/>
    <w:rsid w:val="0A8852CF"/>
    <w:rsid w:val="0A8B792B"/>
    <w:rsid w:val="0A8D7B8D"/>
    <w:rsid w:val="0A964BFA"/>
    <w:rsid w:val="0A972924"/>
    <w:rsid w:val="0AB1614E"/>
    <w:rsid w:val="0AB7256F"/>
    <w:rsid w:val="0ABD0ABF"/>
    <w:rsid w:val="0ABD1A37"/>
    <w:rsid w:val="0ACD1CE1"/>
    <w:rsid w:val="0ADB775A"/>
    <w:rsid w:val="0AE018CB"/>
    <w:rsid w:val="0AE53A23"/>
    <w:rsid w:val="0AF77769"/>
    <w:rsid w:val="0B1622F3"/>
    <w:rsid w:val="0B196461"/>
    <w:rsid w:val="0B265968"/>
    <w:rsid w:val="0B2F54E8"/>
    <w:rsid w:val="0B431EA3"/>
    <w:rsid w:val="0B4B24E6"/>
    <w:rsid w:val="0B4D33F1"/>
    <w:rsid w:val="0B790E11"/>
    <w:rsid w:val="0B8056D9"/>
    <w:rsid w:val="0B912122"/>
    <w:rsid w:val="0B934390"/>
    <w:rsid w:val="0BA47C2D"/>
    <w:rsid w:val="0BBA2991"/>
    <w:rsid w:val="0BD17C20"/>
    <w:rsid w:val="0BE066C3"/>
    <w:rsid w:val="0BEE2E88"/>
    <w:rsid w:val="0BF3024D"/>
    <w:rsid w:val="0BF5457B"/>
    <w:rsid w:val="0C006D79"/>
    <w:rsid w:val="0C007A5B"/>
    <w:rsid w:val="0C0D4688"/>
    <w:rsid w:val="0C137037"/>
    <w:rsid w:val="0C245D32"/>
    <w:rsid w:val="0C351BB7"/>
    <w:rsid w:val="0C3F2D45"/>
    <w:rsid w:val="0C700F92"/>
    <w:rsid w:val="0C946A5E"/>
    <w:rsid w:val="0C9E1102"/>
    <w:rsid w:val="0CB420DC"/>
    <w:rsid w:val="0CCA04AF"/>
    <w:rsid w:val="0CCE24A1"/>
    <w:rsid w:val="0CD429D0"/>
    <w:rsid w:val="0CD650A1"/>
    <w:rsid w:val="0CD86C08"/>
    <w:rsid w:val="0CE25D75"/>
    <w:rsid w:val="0CFA131E"/>
    <w:rsid w:val="0CFA155A"/>
    <w:rsid w:val="0D0526BA"/>
    <w:rsid w:val="0D0874B9"/>
    <w:rsid w:val="0D3C60E0"/>
    <w:rsid w:val="0D57274B"/>
    <w:rsid w:val="0DB732EF"/>
    <w:rsid w:val="0DBC4644"/>
    <w:rsid w:val="0DBC47C6"/>
    <w:rsid w:val="0DC108C7"/>
    <w:rsid w:val="0E00661D"/>
    <w:rsid w:val="0E15572D"/>
    <w:rsid w:val="0E2523D3"/>
    <w:rsid w:val="0E291CFB"/>
    <w:rsid w:val="0E2948E1"/>
    <w:rsid w:val="0E4077EF"/>
    <w:rsid w:val="0E4756E1"/>
    <w:rsid w:val="0E521483"/>
    <w:rsid w:val="0E5600F2"/>
    <w:rsid w:val="0E6A22A4"/>
    <w:rsid w:val="0E72396F"/>
    <w:rsid w:val="0E996911"/>
    <w:rsid w:val="0EA01FE8"/>
    <w:rsid w:val="0EB54247"/>
    <w:rsid w:val="0EC87299"/>
    <w:rsid w:val="0ECA62D4"/>
    <w:rsid w:val="0EDF7FC4"/>
    <w:rsid w:val="0EE42B24"/>
    <w:rsid w:val="0EE6399A"/>
    <w:rsid w:val="0EEF5E25"/>
    <w:rsid w:val="0EF172EB"/>
    <w:rsid w:val="0F132CE6"/>
    <w:rsid w:val="0F427144"/>
    <w:rsid w:val="0F546367"/>
    <w:rsid w:val="0F616F92"/>
    <w:rsid w:val="0F736065"/>
    <w:rsid w:val="0F772EAA"/>
    <w:rsid w:val="0F785333"/>
    <w:rsid w:val="0F8676D2"/>
    <w:rsid w:val="0FA6361E"/>
    <w:rsid w:val="0FAF00F9"/>
    <w:rsid w:val="0FB129CD"/>
    <w:rsid w:val="0FC4644C"/>
    <w:rsid w:val="0FCB35C3"/>
    <w:rsid w:val="0FF137B6"/>
    <w:rsid w:val="0FF360CA"/>
    <w:rsid w:val="0FF94B4B"/>
    <w:rsid w:val="10013480"/>
    <w:rsid w:val="10060329"/>
    <w:rsid w:val="100A79D5"/>
    <w:rsid w:val="101A223A"/>
    <w:rsid w:val="10201FC1"/>
    <w:rsid w:val="105E5C41"/>
    <w:rsid w:val="10631B5B"/>
    <w:rsid w:val="106C1138"/>
    <w:rsid w:val="106E3076"/>
    <w:rsid w:val="10735E28"/>
    <w:rsid w:val="107C5B94"/>
    <w:rsid w:val="10861954"/>
    <w:rsid w:val="10953815"/>
    <w:rsid w:val="10A45194"/>
    <w:rsid w:val="10BC1B14"/>
    <w:rsid w:val="10BF27EB"/>
    <w:rsid w:val="10CF50A9"/>
    <w:rsid w:val="10EC519C"/>
    <w:rsid w:val="10EF4030"/>
    <w:rsid w:val="10F1536D"/>
    <w:rsid w:val="10F27F80"/>
    <w:rsid w:val="10FF652D"/>
    <w:rsid w:val="1102722C"/>
    <w:rsid w:val="11032564"/>
    <w:rsid w:val="11050D97"/>
    <w:rsid w:val="11142D86"/>
    <w:rsid w:val="11173CBE"/>
    <w:rsid w:val="111B3E01"/>
    <w:rsid w:val="11213EA8"/>
    <w:rsid w:val="113D1CA3"/>
    <w:rsid w:val="11432835"/>
    <w:rsid w:val="115348AA"/>
    <w:rsid w:val="11671785"/>
    <w:rsid w:val="116C1205"/>
    <w:rsid w:val="11727F65"/>
    <w:rsid w:val="11826C6A"/>
    <w:rsid w:val="11AE6A79"/>
    <w:rsid w:val="11D61CAA"/>
    <w:rsid w:val="11E675CE"/>
    <w:rsid w:val="11E7721B"/>
    <w:rsid w:val="11E9506F"/>
    <w:rsid w:val="11EE1F77"/>
    <w:rsid w:val="12072EA1"/>
    <w:rsid w:val="1207412A"/>
    <w:rsid w:val="120B6AA5"/>
    <w:rsid w:val="121D1B58"/>
    <w:rsid w:val="122D652B"/>
    <w:rsid w:val="12374CB3"/>
    <w:rsid w:val="12382EB4"/>
    <w:rsid w:val="126224ED"/>
    <w:rsid w:val="12665599"/>
    <w:rsid w:val="126959DD"/>
    <w:rsid w:val="128E3587"/>
    <w:rsid w:val="129F4623"/>
    <w:rsid w:val="12BF4080"/>
    <w:rsid w:val="12D35128"/>
    <w:rsid w:val="12E10D47"/>
    <w:rsid w:val="12F17558"/>
    <w:rsid w:val="12FF3991"/>
    <w:rsid w:val="13066723"/>
    <w:rsid w:val="130E4375"/>
    <w:rsid w:val="13117F9F"/>
    <w:rsid w:val="1322397E"/>
    <w:rsid w:val="1338365F"/>
    <w:rsid w:val="133A1F99"/>
    <w:rsid w:val="134F24D1"/>
    <w:rsid w:val="135F2F97"/>
    <w:rsid w:val="13600CB3"/>
    <w:rsid w:val="138F10CE"/>
    <w:rsid w:val="1392675C"/>
    <w:rsid w:val="139532F9"/>
    <w:rsid w:val="13BA7EB6"/>
    <w:rsid w:val="13BB2C32"/>
    <w:rsid w:val="13BB36C2"/>
    <w:rsid w:val="13C36F49"/>
    <w:rsid w:val="13CB385B"/>
    <w:rsid w:val="13D15807"/>
    <w:rsid w:val="13D853DB"/>
    <w:rsid w:val="13E6582D"/>
    <w:rsid w:val="13F145D4"/>
    <w:rsid w:val="13FB2F78"/>
    <w:rsid w:val="1401565F"/>
    <w:rsid w:val="141254B3"/>
    <w:rsid w:val="142D012C"/>
    <w:rsid w:val="14303889"/>
    <w:rsid w:val="1431010F"/>
    <w:rsid w:val="14463D5E"/>
    <w:rsid w:val="145F062C"/>
    <w:rsid w:val="145F1D72"/>
    <w:rsid w:val="148F08B2"/>
    <w:rsid w:val="14A5590C"/>
    <w:rsid w:val="14AF64EE"/>
    <w:rsid w:val="14C939D8"/>
    <w:rsid w:val="14F1423A"/>
    <w:rsid w:val="14FA3656"/>
    <w:rsid w:val="14FB4178"/>
    <w:rsid w:val="14FE2CE1"/>
    <w:rsid w:val="15021A2E"/>
    <w:rsid w:val="154C6ADD"/>
    <w:rsid w:val="154F0BB2"/>
    <w:rsid w:val="15621433"/>
    <w:rsid w:val="15726B7F"/>
    <w:rsid w:val="15755E45"/>
    <w:rsid w:val="15833954"/>
    <w:rsid w:val="15842905"/>
    <w:rsid w:val="15B11FCE"/>
    <w:rsid w:val="15C02C3D"/>
    <w:rsid w:val="15D475FF"/>
    <w:rsid w:val="15EE408F"/>
    <w:rsid w:val="15F1746A"/>
    <w:rsid w:val="15FC044E"/>
    <w:rsid w:val="162C6439"/>
    <w:rsid w:val="166D5C91"/>
    <w:rsid w:val="166F6CB3"/>
    <w:rsid w:val="16787AFE"/>
    <w:rsid w:val="16896BBD"/>
    <w:rsid w:val="168D5CC1"/>
    <w:rsid w:val="16C70555"/>
    <w:rsid w:val="16D43D9D"/>
    <w:rsid w:val="16DD3690"/>
    <w:rsid w:val="16DE41CA"/>
    <w:rsid w:val="16E00C15"/>
    <w:rsid w:val="16F71208"/>
    <w:rsid w:val="16F766DA"/>
    <w:rsid w:val="16FB32A6"/>
    <w:rsid w:val="17017F86"/>
    <w:rsid w:val="170F0360"/>
    <w:rsid w:val="170F7779"/>
    <w:rsid w:val="1720357C"/>
    <w:rsid w:val="17252504"/>
    <w:rsid w:val="17292E3E"/>
    <w:rsid w:val="174A444F"/>
    <w:rsid w:val="17610B4F"/>
    <w:rsid w:val="17664374"/>
    <w:rsid w:val="176A46BD"/>
    <w:rsid w:val="176C6C24"/>
    <w:rsid w:val="176E11C2"/>
    <w:rsid w:val="17771445"/>
    <w:rsid w:val="178C2F23"/>
    <w:rsid w:val="17920BFD"/>
    <w:rsid w:val="17A0154D"/>
    <w:rsid w:val="17B35A66"/>
    <w:rsid w:val="17B55537"/>
    <w:rsid w:val="17BF3FEA"/>
    <w:rsid w:val="17D45763"/>
    <w:rsid w:val="17E32729"/>
    <w:rsid w:val="1804162A"/>
    <w:rsid w:val="18160E17"/>
    <w:rsid w:val="1833394E"/>
    <w:rsid w:val="183B2650"/>
    <w:rsid w:val="18581E27"/>
    <w:rsid w:val="185A48ED"/>
    <w:rsid w:val="185D7391"/>
    <w:rsid w:val="186324A0"/>
    <w:rsid w:val="18633E47"/>
    <w:rsid w:val="1883086C"/>
    <w:rsid w:val="18876269"/>
    <w:rsid w:val="188A3673"/>
    <w:rsid w:val="18953D2D"/>
    <w:rsid w:val="189A181B"/>
    <w:rsid w:val="189E7942"/>
    <w:rsid w:val="18C46704"/>
    <w:rsid w:val="18DB577D"/>
    <w:rsid w:val="18DC3664"/>
    <w:rsid w:val="18E731C8"/>
    <w:rsid w:val="18FB24C5"/>
    <w:rsid w:val="18FD153A"/>
    <w:rsid w:val="191B6E9B"/>
    <w:rsid w:val="19496DA2"/>
    <w:rsid w:val="195F6442"/>
    <w:rsid w:val="197B32F8"/>
    <w:rsid w:val="19813589"/>
    <w:rsid w:val="19B23C2F"/>
    <w:rsid w:val="19B723E0"/>
    <w:rsid w:val="19B83F22"/>
    <w:rsid w:val="19C15671"/>
    <w:rsid w:val="19C867C9"/>
    <w:rsid w:val="19EE6437"/>
    <w:rsid w:val="1A200C53"/>
    <w:rsid w:val="1A6356AC"/>
    <w:rsid w:val="1A7F5449"/>
    <w:rsid w:val="1A830A51"/>
    <w:rsid w:val="1A831654"/>
    <w:rsid w:val="1A8B6100"/>
    <w:rsid w:val="1A8C739D"/>
    <w:rsid w:val="1A934634"/>
    <w:rsid w:val="1AB25834"/>
    <w:rsid w:val="1ABD238E"/>
    <w:rsid w:val="1AC57BFC"/>
    <w:rsid w:val="1ACD710F"/>
    <w:rsid w:val="1ADC6DBC"/>
    <w:rsid w:val="1AFC2F3E"/>
    <w:rsid w:val="1B0032DD"/>
    <w:rsid w:val="1B265D91"/>
    <w:rsid w:val="1B294970"/>
    <w:rsid w:val="1B2D7862"/>
    <w:rsid w:val="1B2E2157"/>
    <w:rsid w:val="1B3C1E31"/>
    <w:rsid w:val="1B452A3E"/>
    <w:rsid w:val="1B497116"/>
    <w:rsid w:val="1B515CBC"/>
    <w:rsid w:val="1B5D1240"/>
    <w:rsid w:val="1B650C3A"/>
    <w:rsid w:val="1B735669"/>
    <w:rsid w:val="1B855499"/>
    <w:rsid w:val="1BC91626"/>
    <w:rsid w:val="1BF64A6B"/>
    <w:rsid w:val="1BFF50A7"/>
    <w:rsid w:val="1C3A41E2"/>
    <w:rsid w:val="1C3C3C95"/>
    <w:rsid w:val="1C3F76E9"/>
    <w:rsid w:val="1C450A26"/>
    <w:rsid w:val="1C535CAF"/>
    <w:rsid w:val="1C6335E7"/>
    <w:rsid w:val="1C970FD8"/>
    <w:rsid w:val="1CC932F4"/>
    <w:rsid w:val="1CCE7826"/>
    <w:rsid w:val="1CE30CD4"/>
    <w:rsid w:val="1CE47F22"/>
    <w:rsid w:val="1CE75D1E"/>
    <w:rsid w:val="1D1450C3"/>
    <w:rsid w:val="1D1A42B2"/>
    <w:rsid w:val="1D31745E"/>
    <w:rsid w:val="1D3535E0"/>
    <w:rsid w:val="1D387F66"/>
    <w:rsid w:val="1D3A2599"/>
    <w:rsid w:val="1D6C4BD5"/>
    <w:rsid w:val="1D7274E7"/>
    <w:rsid w:val="1D762E16"/>
    <w:rsid w:val="1D7E6160"/>
    <w:rsid w:val="1D8F13E5"/>
    <w:rsid w:val="1D9219AE"/>
    <w:rsid w:val="1DB631DA"/>
    <w:rsid w:val="1DC351FD"/>
    <w:rsid w:val="1DD03214"/>
    <w:rsid w:val="1DD16643"/>
    <w:rsid w:val="1DD84F0B"/>
    <w:rsid w:val="1DE3780C"/>
    <w:rsid w:val="1DE95F0B"/>
    <w:rsid w:val="1DF9733C"/>
    <w:rsid w:val="1E014285"/>
    <w:rsid w:val="1E022E1F"/>
    <w:rsid w:val="1E0275DC"/>
    <w:rsid w:val="1E20277C"/>
    <w:rsid w:val="1E3625DC"/>
    <w:rsid w:val="1E5033D7"/>
    <w:rsid w:val="1E760EF5"/>
    <w:rsid w:val="1EA54846"/>
    <w:rsid w:val="1EB43F7B"/>
    <w:rsid w:val="1EB66BE5"/>
    <w:rsid w:val="1EC76A61"/>
    <w:rsid w:val="1ED14EAE"/>
    <w:rsid w:val="1ED327CC"/>
    <w:rsid w:val="1ED92CAC"/>
    <w:rsid w:val="1EDF9E8F"/>
    <w:rsid w:val="1EE12B77"/>
    <w:rsid w:val="1F070CE6"/>
    <w:rsid w:val="1F0942FD"/>
    <w:rsid w:val="1F101BE5"/>
    <w:rsid w:val="1F212D73"/>
    <w:rsid w:val="1F374741"/>
    <w:rsid w:val="1F3C724F"/>
    <w:rsid w:val="1F407A84"/>
    <w:rsid w:val="1F443440"/>
    <w:rsid w:val="1F4B4B5D"/>
    <w:rsid w:val="1F4F53ED"/>
    <w:rsid w:val="1F700094"/>
    <w:rsid w:val="1F7E1486"/>
    <w:rsid w:val="1FA9789A"/>
    <w:rsid w:val="1FC508AF"/>
    <w:rsid w:val="1FCE1187"/>
    <w:rsid w:val="1FCE34FB"/>
    <w:rsid w:val="1FDB49E7"/>
    <w:rsid w:val="1FF43752"/>
    <w:rsid w:val="1FF55B03"/>
    <w:rsid w:val="20137704"/>
    <w:rsid w:val="20182BD0"/>
    <w:rsid w:val="20201F0B"/>
    <w:rsid w:val="202C579C"/>
    <w:rsid w:val="20340A84"/>
    <w:rsid w:val="204125F3"/>
    <w:rsid w:val="2050481D"/>
    <w:rsid w:val="2096173F"/>
    <w:rsid w:val="20B6677D"/>
    <w:rsid w:val="20C07CFC"/>
    <w:rsid w:val="20DB0467"/>
    <w:rsid w:val="20E00F9A"/>
    <w:rsid w:val="213269CA"/>
    <w:rsid w:val="213B7313"/>
    <w:rsid w:val="21427C63"/>
    <w:rsid w:val="21476759"/>
    <w:rsid w:val="21577F8C"/>
    <w:rsid w:val="217030B5"/>
    <w:rsid w:val="218B0B78"/>
    <w:rsid w:val="219927A2"/>
    <w:rsid w:val="219A172E"/>
    <w:rsid w:val="219A42B4"/>
    <w:rsid w:val="21C43E14"/>
    <w:rsid w:val="21DA38AD"/>
    <w:rsid w:val="221973C3"/>
    <w:rsid w:val="2220168E"/>
    <w:rsid w:val="222A51CD"/>
    <w:rsid w:val="2241662B"/>
    <w:rsid w:val="22703FCD"/>
    <w:rsid w:val="227D5948"/>
    <w:rsid w:val="228E7A3D"/>
    <w:rsid w:val="22A400DB"/>
    <w:rsid w:val="22CD3CFA"/>
    <w:rsid w:val="22CF23D8"/>
    <w:rsid w:val="22D879BD"/>
    <w:rsid w:val="22E33E95"/>
    <w:rsid w:val="22F5017B"/>
    <w:rsid w:val="22F65BF8"/>
    <w:rsid w:val="23015402"/>
    <w:rsid w:val="23293597"/>
    <w:rsid w:val="23404877"/>
    <w:rsid w:val="23602485"/>
    <w:rsid w:val="23762A66"/>
    <w:rsid w:val="23A9234C"/>
    <w:rsid w:val="23AE768F"/>
    <w:rsid w:val="23B2552B"/>
    <w:rsid w:val="23B871F4"/>
    <w:rsid w:val="23CE7D4E"/>
    <w:rsid w:val="23D00AD7"/>
    <w:rsid w:val="23DA2A5C"/>
    <w:rsid w:val="23E15A7C"/>
    <w:rsid w:val="23F3612C"/>
    <w:rsid w:val="23F94C40"/>
    <w:rsid w:val="243F44EB"/>
    <w:rsid w:val="24495770"/>
    <w:rsid w:val="244E0ACE"/>
    <w:rsid w:val="24502F21"/>
    <w:rsid w:val="24596409"/>
    <w:rsid w:val="246E68C2"/>
    <w:rsid w:val="247A6233"/>
    <w:rsid w:val="248A0A3D"/>
    <w:rsid w:val="249749E5"/>
    <w:rsid w:val="24B44534"/>
    <w:rsid w:val="24D64800"/>
    <w:rsid w:val="24ED238C"/>
    <w:rsid w:val="24F82DC0"/>
    <w:rsid w:val="25102BF1"/>
    <w:rsid w:val="25323F84"/>
    <w:rsid w:val="25621593"/>
    <w:rsid w:val="256967EE"/>
    <w:rsid w:val="257E11FC"/>
    <w:rsid w:val="258153D6"/>
    <w:rsid w:val="2583371E"/>
    <w:rsid w:val="25876256"/>
    <w:rsid w:val="258B7976"/>
    <w:rsid w:val="25B013C5"/>
    <w:rsid w:val="25CA498C"/>
    <w:rsid w:val="25CD6B14"/>
    <w:rsid w:val="25D5758C"/>
    <w:rsid w:val="25DE7021"/>
    <w:rsid w:val="25E2163A"/>
    <w:rsid w:val="26127B0A"/>
    <w:rsid w:val="261C01B1"/>
    <w:rsid w:val="26201B2D"/>
    <w:rsid w:val="262D6C65"/>
    <w:rsid w:val="263C0693"/>
    <w:rsid w:val="264142BF"/>
    <w:rsid w:val="2641447E"/>
    <w:rsid w:val="26431D89"/>
    <w:rsid w:val="264C012F"/>
    <w:rsid w:val="265327A3"/>
    <w:rsid w:val="26550D4A"/>
    <w:rsid w:val="266A13BF"/>
    <w:rsid w:val="267607C5"/>
    <w:rsid w:val="267765D8"/>
    <w:rsid w:val="26795443"/>
    <w:rsid w:val="26883DEE"/>
    <w:rsid w:val="268A7862"/>
    <w:rsid w:val="268E0511"/>
    <w:rsid w:val="2695048E"/>
    <w:rsid w:val="269E5056"/>
    <w:rsid w:val="26A762E6"/>
    <w:rsid w:val="26D347FA"/>
    <w:rsid w:val="26D835E1"/>
    <w:rsid w:val="26DB5CDF"/>
    <w:rsid w:val="26E20FC4"/>
    <w:rsid w:val="26E764DF"/>
    <w:rsid w:val="27176EF2"/>
    <w:rsid w:val="27190D17"/>
    <w:rsid w:val="273B094A"/>
    <w:rsid w:val="275E6C69"/>
    <w:rsid w:val="276533BD"/>
    <w:rsid w:val="2769108B"/>
    <w:rsid w:val="276E5B22"/>
    <w:rsid w:val="27725103"/>
    <w:rsid w:val="277F2F2D"/>
    <w:rsid w:val="27840543"/>
    <w:rsid w:val="279F5F01"/>
    <w:rsid w:val="27AB00D3"/>
    <w:rsid w:val="27AE1C11"/>
    <w:rsid w:val="27B506FD"/>
    <w:rsid w:val="27B76B3D"/>
    <w:rsid w:val="27C55588"/>
    <w:rsid w:val="27C85DDF"/>
    <w:rsid w:val="27DB73A6"/>
    <w:rsid w:val="27DD7769"/>
    <w:rsid w:val="27F855FD"/>
    <w:rsid w:val="28072FE7"/>
    <w:rsid w:val="28094041"/>
    <w:rsid w:val="28156CD0"/>
    <w:rsid w:val="281A0EA7"/>
    <w:rsid w:val="281D483C"/>
    <w:rsid w:val="28223631"/>
    <w:rsid w:val="28261F89"/>
    <w:rsid w:val="28290077"/>
    <w:rsid w:val="284C2F7F"/>
    <w:rsid w:val="286819AC"/>
    <w:rsid w:val="28685CA3"/>
    <w:rsid w:val="287871B2"/>
    <w:rsid w:val="28896A8E"/>
    <w:rsid w:val="28955E10"/>
    <w:rsid w:val="28A64D85"/>
    <w:rsid w:val="28A7096E"/>
    <w:rsid w:val="28B27397"/>
    <w:rsid w:val="28BC58E0"/>
    <w:rsid w:val="28D0768F"/>
    <w:rsid w:val="28D85424"/>
    <w:rsid w:val="28EE1927"/>
    <w:rsid w:val="28F96F63"/>
    <w:rsid w:val="2937372F"/>
    <w:rsid w:val="293F5CE9"/>
    <w:rsid w:val="298826A8"/>
    <w:rsid w:val="298C550A"/>
    <w:rsid w:val="298E56A9"/>
    <w:rsid w:val="299B69F4"/>
    <w:rsid w:val="29AF5C11"/>
    <w:rsid w:val="29C41D6F"/>
    <w:rsid w:val="29DD03DE"/>
    <w:rsid w:val="29DD54B5"/>
    <w:rsid w:val="29E6568D"/>
    <w:rsid w:val="29F73B17"/>
    <w:rsid w:val="29FC7C4B"/>
    <w:rsid w:val="2A020879"/>
    <w:rsid w:val="2A0F04BE"/>
    <w:rsid w:val="2A0F2939"/>
    <w:rsid w:val="2A160998"/>
    <w:rsid w:val="2A244A18"/>
    <w:rsid w:val="2A281B58"/>
    <w:rsid w:val="2A302E0A"/>
    <w:rsid w:val="2A3E5D4F"/>
    <w:rsid w:val="2A476437"/>
    <w:rsid w:val="2A706EC2"/>
    <w:rsid w:val="2A707723"/>
    <w:rsid w:val="2A871EA7"/>
    <w:rsid w:val="2AE01862"/>
    <w:rsid w:val="2B040C40"/>
    <w:rsid w:val="2B085C15"/>
    <w:rsid w:val="2B1C3B49"/>
    <w:rsid w:val="2B425A6E"/>
    <w:rsid w:val="2B4D2897"/>
    <w:rsid w:val="2B58796E"/>
    <w:rsid w:val="2B7F7BDA"/>
    <w:rsid w:val="2B8C1B11"/>
    <w:rsid w:val="2B9C0A68"/>
    <w:rsid w:val="2BA83E5B"/>
    <w:rsid w:val="2BA867C7"/>
    <w:rsid w:val="2BAB5F13"/>
    <w:rsid w:val="2BB55A35"/>
    <w:rsid w:val="2BBA7A9E"/>
    <w:rsid w:val="2BBD0B4F"/>
    <w:rsid w:val="2BBE0747"/>
    <w:rsid w:val="2BCA7B1C"/>
    <w:rsid w:val="2BCB74D6"/>
    <w:rsid w:val="2BCF3C8F"/>
    <w:rsid w:val="2BD14A92"/>
    <w:rsid w:val="2BD60582"/>
    <w:rsid w:val="2BD97E7D"/>
    <w:rsid w:val="2BDB0A78"/>
    <w:rsid w:val="2BDE64E8"/>
    <w:rsid w:val="2BF17DC0"/>
    <w:rsid w:val="2BFA5B05"/>
    <w:rsid w:val="2C0171DD"/>
    <w:rsid w:val="2C0A66F4"/>
    <w:rsid w:val="2C146A11"/>
    <w:rsid w:val="2C3C2DE4"/>
    <w:rsid w:val="2C3D0C11"/>
    <w:rsid w:val="2C452415"/>
    <w:rsid w:val="2C487536"/>
    <w:rsid w:val="2C4A2442"/>
    <w:rsid w:val="2C4C6272"/>
    <w:rsid w:val="2C4F1936"/>
    <w:rsid w:val="2C534B72"/>
    <w:rsid w:val="2C584364"/>
    <w:rsid w:val="2C59054D"/>
    <w:rsid w:val="2C6369EB"/>
    <w:rsid w:val="2C722240"/>
    <w:rsid w:val="2C8213ED"/>
    <w:rsid w:val="2C8661BB"/>
    <w:rsid w:val="2C957320"/>
    <w:rsid w:val="2CB1633D"/>
    <w:rsid w:val="2CB35738"/>
    <w:rsid w:val="2CB5323B"/>
    <w:rsid w:val="2CD43500"/>
    <w:rsid w:val="2CD61F47"/>
    <w:rsid w:val="2CE55A9A"/>
    <w:rsid w:val="2D0C576E"/>
    <w:rsid w:val="2D1944EE"/>
    <w:rsid w:val="2D1B5BD1"/>
    <w:rsid w:val="2D1E3DE7"/>
    <w:rsid w:val="2D24719C"/>
    <w:rsid w:val="2D3D6372"/>
    <w:rsid w:val="2D450775"/>
    <w:rsid w:val="2D4F5C4B"/>
    <w:rsid w:val="2D9670EE"/>
    <w:rsid w:val="2DAD4F4E"/>
    <w:rsid w:val="2DB63F1A"/>
    <w:rsid w:val="2DD352DD"/>
    <w:rsid w:val="2DD965EF"/>
    <w:rsid w:val="2DEE0B8D"/>
    <w:rsid w:val="2DFDE92D"/>
    <w:rsid w:val="2E020414"/>
    <w:rsid w:val="2E2B1447"/>
    <w:rsid w:val="2E3479AD"/>
    <w:rsid w:val="2E3E70F8"/>
    <w:rsid w:val="2E4F5130"/>
    <w:rsid w:val="2E5401F6"/>
    <w:rsid w:val="2E6B0DF2"/>
    <w:rsid w:val="2E74001E"/>
    <w:rsid w:val="2E8C113C"/>
    <w:rsid w:val="2E927C4F"/>
    <w:rsid w:val="2E932475"/>
    <w:rsid w:val="2E964CBB"/>
    <w:rsid w:val="2EA92D81"/>
    <w:rsid w:val="2EB24D71"/>
    <w:rsid w:val="2ECD4896"/>
    <w:rsid w:val="2F022B10"/>
    <w:rsid w:val="2F0F1BCB"/>
    <w:rsid w:val="2F135F73"/>
    <w:rsid w:val="2F1B3B1F"/>
    <w:rsid w:val="2F4857F8"/>
    <w:rsid w:val="2F5271DE"/>
    <w:rsid w:val="2F5A0E01"/>
    <w:rsid w:val="2F714561"/>
    <w:rsid w:val="2F8877BB"/>
    <w:rsid w:val="2F9110F1"/>
    <w:rsid w:val="2F954526"/>
    <w:rsid w:val="2FA266C8"/>
    <w:rsid w:val="2FA96304"/>
    <w:rsid w:val="2FB91D02"/>
    <w:rsid w:val="2FDC600F"/>
    <w:rsid w:val="2FF41FDB"/>
    <w:rsid w:val="30071D11"/>
    <w:rsid w:val="300C6536"/>
    <w:rsid w:val="301E39AF"/>
    <w:rsid w:val="30245E26"/>
    <w:rsid w:val="30440DDC"/>
    <w:rsid w:val="304E6913"/>
    <w:rsid w:val="30515682"/>
    <w:rsid w:val="30633A22"/>
    <w:rsid w:val="30674ACE"/>
    <w:rsid w:val="30732FA0"/>
    <w:rsid w:val="307367A9"/>
    <w:rsid w:val="309A6F98"/>
    <w:rsid w:val="309D61D2"/>
    <w:rsid w:val="30A825CC"/>
    <w:rsid w:val="30AC3211"/>
    <w:rsid w:val="30C708AE"/>
    <w:rsid w:val="30C93B1B"/>
    <w:rsid w:val="30C94BC5"/>
    <w:rsid w:val="30CD7EFD"/>
    <w:rsid w:val="30D81337"/>
    <w:rsid w:val="30ED3E75"/>
    <w:rsid w:val="30F11232"/>
    <w:rsid w:val="30F346B4"/>
    <w:rsid w:val="312070FD"/>
    <w:rsid w:val="312646F3"/>
    <w:rsid w:val="312B6DFE"/>
    <w:rsid w:val="31366EB5"/>
    <w:rsid w:val="313C1E8F"/>
    <w:rsid w:val="31470291"/>
    <w:rsid w:val="31625D70"/>
    <w:rsid w:val="31677002"/>
    <w:rsid w:val="316817BE"/>
    <w:rsid w:val="316D5522"/>
    <w:rsid w:val="31854368"/>
    <w:rsid w:val="3196684B"/>
    <w:rsid w:val="31A44824"/>
    <w:rsid w:val="31A517E2"/>
    <w:rsid w:val="31AF4AD3"/>
    <w:rsid w:val="31FC517A"/>
    <w:rsid w:val="32021F2A"/>
    <w:rsid w:val="32193163"/>
    <w:rsid w:val="32315B05"/>
    <w:rsid w:val="3236199F"/>
    <w:rsid w:val="32417D30"/>
    <w:rsid w:val="32517748"/>
    <w:rsid w:val="325C11C4"/>
    <w:rsid w:val="326A6BC5"/>
    <w:rsid w:val="32705150"/>
    <w:rsid w:val="32770A74"/>
    <w:rsid w:val="32871064"/>
    <w:rsid w:val="329769CF"/>
    <w:rsid w:val="32A126F5"/>
    <w:rsid w:val="32A575F8"/>
    <w:rsid w:val="32B97894"/>
    <w:rsid w:val="32C17ED1"/>
    <w:rsid w:val="32C97D96"/>
    <w:rsid w:val="32CA3AB7"/>
    <w:rsid w:val="32CF5105"/>
    <w:rsid w:val="32D4231F"/>
    <w:rsid w:val="32D82E27"/>
    <w:rsid w:val="331114A6"/>
    <w:rsid w:val="3323411E"/>
    <w:rsid w:val="33274B51"/>
    <w:rsid w:val="333851C0"/>
    <w:rsid w:val="334274B8"/>
    <w:rsid w:val="33427BB6"/>
    <w:rsid w:val="3392223A"/>
    <w:rsid w:val="33BA61C5"/>
    <w:rsid w:val="33C87900"/>
    <w:rsid w:val="33D6036E"/>
    <w:rsid w:val="33DB6E4B"/>
    <w:rsid w:val="33DD069F"/>
    <w:rsid w:val="33F04CFA"/>
    <w:rsid w:val="33F1EFD2"/>
    <w:rsid w:val="33F43435"/>
    <w:rsid w:val="33F75AFD"/>
    <w:rsid w:val="34045566"/>
    <w:rsid w:val="342016E5"/>
    <w:rsid w:val="34406596"/>
    <w:rsid w:val="344D7C8A"/>
    <w:rsid w:val="346B298C"/>
    <w:rsid w:val="346E327D"/>
    <w:rsid w:val="348957C0"/>
    <w:rsid w:val="3491331C"/>
    <w:rsid w:val="349409D7"/>
    <w:rsid w:val="3496165E"/>
    <w:rsid w:val="34AD7CFB"/>
    <w:rsid w:val="34B30686"/>
    <w:rsid w:val="34B51B07"/>
    <w:rsid w:val="34C40731"/>
    <w:rsid w:val="34C73FCE"/>
    <w:rsid w:val="34DB3F45"/>
    <w:rsid w:val="34E7705E"/>
    <w:rsid w:val="34E94A98"/>
    <w:rsid w:val="35037BB7"/>
    <w:rsid w:val="3507608E"/>
    <w:rsid w:val="351967D4"/>
    <w:rsid w:val="35525B4F"/>
    <w:rsid w:val="355F1FA0"/>
    <w:rsid w:val="35613834"/>
    <w:rsid w:val="358B0861"/>
    <w:rsid w:val="35913D09"/>
    <w:rsid w:val="35B87F3A"/>
    <w:rsid w:val="35D44169"/>
    <w:rsid w:val="35DC1A3E"/>
    <w:rsid w:val="35E05D63"/>
    <w:rsid w:val="35EB691D"/>
    <w:rsid w:val="35F440B6"/>
    <w:rsid w:val="36062C97"/>
    <w:rsid w:val="360C2A18"/>
    <w:rsid w:val="362D48EF"/>
    <w:rsid w:val="362D4E28"/>
    <w:rsid w:val="36317647"/>
    <w:rsid w:val="36352F10"/>
    <w:rsid w:val="364C2B74"/>
    <w:rsid w:val="365349FF"/>
    <w:rsid w:val="3667211A"/>
    <w:rsid w:val="366746A2"/>
    <w:rsid w:val="36805056"/>
    <w:rsid w:val="3691628A"/>
    <w:rsid w:val="369928D3"/>
    <w:rsid w:val="36A02CAD"/>
    <w:rsid w:val="36A94DDA"/>
    <w:rsid w:val="36C268A3"/>
    <w:rsid w:val="36C36BD5"/>
    <w:rsid w:val="36D5431D"/>
    <w:rsid w:val="36DA57BB"/>
    <w:rsid w:val="36DD1E21"/>
    <w:rsid w:val="36E623E4"/>
    <w:rsid w:val="36FF3E66"/>
    <w:rsid w:val="370A5DF7"/>
    <w:rsid w:val="370F2649"/>
    <w:rsid w:val="37105D0D"/>
    <w:rsid w:val="3722283C"/>
    <w:rsid w:val="37651382"/>
    <w:rsid w:val="378B0188"/>
    <w:rsid w:val="37911D1E"/>
    <w:rsid w:val="37A126A3"/>
    <w:rsid w:val="37AD2CDE"/>
    <w:rsid w:val="37C77473"/>
    <w:rsid w:val="37C879AB"/>
    <w:rsid w:val="37CF2F7D"/>
    <w:rsid w:val="37EA0D2B"/>
    <w:rsid w:val="38021B0D"/>
    <w:rsid w:val="38097006"/>
    <w:rsid w:val="38164E4D"/>
    <w:rsid w:val="3827231E"/>
    <w:rsid w:val="383A1F00"/>
    <w:rsid w:val="384B1972"/>
    <w:rsid w:val="386462D7"/>
    <w:rsid w:val="386C1AE5"/>
    <w:rsid w:val="38821599"/>
    <w:rsid w:val="38A930BC"/>
    <w:rsid w:val="38AF210E"/>
    <w:rsid w:val="38B9365C"/>
    <w:rsid w:val="38BD1B2F"/>
    <w:rsid w:val="38C03495"/>
    <w:rsid w:val="38E555A6"/>
    <w:rsid w:val="39000920"/>
    <w:rsid w:val="391E7D57"/>
    <w:rsid w:val="39361584"/>
    <w:rsid w:val="394C04A3"/>
    <w:rsid w:val="395E1F3D"/>
    <w:rsid w:val="396C0E37"/>
    <w:rsid w:val="39751B78"/>
    <w:rsid w:val="39897BCB"/>
    <w:rsid w:val="39A0641B"/>
    <w:rsid w:val="39A82BF6"/>
    <w:rsid w:val="39A8639B"/>
    <w:rsid w:val="39B8270F"/>
    <w:rsid w:val="39BB1815"/>
    <w:rsid w:val="39E61EBA"/>
    <w:rsid w:val="39F62569"/>
    <w:rsid w:val="3A1058D6"/>
    <w:rsid w:val="3A2A1F43"/>
    <w:rsid w:val="3A5B326E"/>
    <w:rsid w:val="3A647D60"/>
    <w:rsid w:val="3A7C337E"/>
    <w:rsid w:val="3A972672"/>
    <w:rsid w:val="3A9F169B"/>
    <w:rsid w:val="3AA056B4"/>
    <w:rsid w:val="3AA94B12"/>
    <w:rsid w:val="3AB331C1"/>
    <w:rsid w:val="3AB80B0A"/>
    <w:rsid w:val="3AD0206F"/>
    <w:rsid w:val="3B137724"/>
    <w:rsid w:val="3B2B1626"/>
    <w:rsid w:val="3B336194"/>
    <w:rsid w:val="3B3876E0"/>
    <w:rsid w:val="3B3F3464"/>
    <w:rsid w:val="3B493D0C"/>
    <w:rsid w:val="3B4B085A"/>
    <w:rsid w:val="3B5D38D0"/>
    <w:rsid w:val="3B69616A"/>
    <w:rsid w:val="3B724859"/>
    <w:rsid w:val="3B9169CA"/>
    <w:rsid w:val="3BAB6843"/>
    <w:rsid w:val="3BAC751F"/>
    <w:rsid w:val="3BAD0342"/>
    <w:rsid w:val="3BAF3BA3"/>
    <w:rsid w:val="3BAF7E68"/>
    <w:rsid w:val="3BB80376"/>
    <w:rsid w:val="3BB865B6"/>
    <w:rsid w:val="3BD77473"/>
    <w:rsid w:val="3BE329DE"/>
    <w:rsid w:val="3C004876"/>
    <w:rsid w:val="3C0E6550"/>
    <w:rsid w:val="3C12543D"/>
    <w:rsid w:val="3C197AA2"/>
    <w:rsid w:val="3C277A20"/>
    <w:rsid w:val="3C353AFB"/>
    <w:rsid w:val="3C440A09"/>
    <w:rsid w:val="3C5F6A31"/>
    <w:rsid w:val="3C8A61A4"/>
    <w:rsid w:val="3C9E2BAC"/>
    <w:rsid w:val="3CA54DD0"/>
    <w:rsid w:val="3CAC1509"/>
    <w:rsid w:val="3CAD3720"/>
    <w:rsid w:val="3CBE19FF"/>
    <w:rsid w:val="3CBE7BFC"/>
    <w:rsid w:val="3CC46F1C"/>
    <w:rsid w:val="3CCA47F2"/>
    <w:rsid w:val="3CCF49A4"/>
    <w:rsid w:val="3CD33363"/>
    <w:rsid w:val="3CDD4A52"/>
    <w:rsid w:val="3D1D31AD"/>
    <w:rsid w:val="3D1F6385"/>
    <w:rsid w:val="3D3C52E7"/>
    <w:rsid w:val="3D4418F4"/>
    <w:rsid w:val="3D7D16E8"/>
    <w:rsid w:val="3D7D3752"/>
    <w:rsid w:val="3D821FF8"/>
    <w:rsid w:val="3D845D4A"/>
    <w:rsid w:val="3D865A5D"/>
    <w:rsid w:val="3DBD73FD"/>
    <w:rsid w:val="3DCF0787"/>
    <w:rsid w:val="3DE20498"/>
    <w:rsid w:val="3DE522A2"/>
    <w:rsid w:val="3DEC3227"/>
    <w:rsid w:val="3DF563DC"/>
    <w:rsid w:val="3DFF5BA7"/>
    <w:rsid w:val="3E10797C"/>
    <w:rsid w:val="3E126451"/>
    <w:rsid w:val="3E260F74"/>
    <w:rsid w:val="3E2A6463"/>
    <w:rsid w:val="3E2D51B7"/>
    <w:rsid w:val="3E3101D2"/>
    <w:rsid w:val="3E31464D"/>
    <w:rsid w:val="3E3519F4"/>
    <w:rsid w:val="3E48029F"/>
    <w:rsid w:val="3E7F4377"/>
    <w:rsid w:val="3E8567C1"/>
    <w:rsid w:val="3E8803DF"/>
    <w:rsid w:val="3E894239"/>
    <w:rsid w:val="3E976956"/>
    <w:rsid w:val="3E9C707D"/>
    <w:rsid w:val="3EBA7857"/>
    <w:rsid w:val="3EBC460F"/>
    <w:rsid w:val="3EBD6D15"/>
    <w:rsid w:val="3EC16630"/>
    <w:rsid w:val="3ED23E32"/>
    <w:rsid w:val="3EEA2F2A"/>
    <w:rsid w:val="3EED7561"/>
    <w:rsid w:val="3EF1129F"/>
    <w:rsid w:val="3EF17D6F"/>
    <w:rsid w:val="3F091C3F"/>
    <w:rsid w:val="3F0A4783"/>
    <w:rsid w:val="3F1D32FF"/>
    <w:rsid w:val="3F685DEA"/>
    <w:rsid w:val="3F6C4166"/>
    <w:rsid w:val="3F7C4F50"/>
    <w:rsid w:val="3F811406"/>
    <w:rsid w:val="3F814953"/>
    <w:rsid w:val="3F963A26"/>
    <w:rsid w:val="3FA3668F"/>
    <w:rsid w:val="3FA46FB0"/>
    <w:rsid w:val="3FB66B56"/>
    <w:rsid w:val="3FB84D11"/>
    <w:rsid w:val="3FC71C76"/>
    <w:rsid w:val="3FDB22EF"/>
    <w:rsid w:val="3FE03678"/>
    <w:rsid w:val="3FF449D7"/>
    <w:rsid w:val="3FFA7E63"/>
    <w:rsid w:val="3FFD1AD0"/>
    <w:rsid w:val="3FFF491C"/>
    <w:rsid w:val="400D3F63"/>
    <w:rsid w:val="401761AF"/>
    <w:rsid w:val="40273F8A"/>
    <w:rsid w:val="403609F5"/>
    <w:rsid w:val="403A0347"/>
    <w:rsid w:val="403C32D4"/>
    <w:rsid w:val="404A3EC7"/>
    <w:rsid w:val="404A77D2"/>
    <w:rsid w:val="4058634B"/>
    <w:rsid w:val="40680762"/>
    <w:rsid w:val="40772CBF"/>
    <w:rsid w:val="407B3A38"/>
    <w:rsid w:val="408A57AC"/>
    <w:rsid w:val="4091231A"/>
    <w:rsid w:val="409D5FB3"/>
    <w:rsid w:val="40AB2E39"/>
    <w:rsid w:val="40B77932"/>
    <w:rsid w:val="40BF780F"/>
    <w:rsid w:val="40C960D3"/>
    <w:rsid w:val="40D6364F"/>
    <w:rsid w:val="40DF720C"/>
    <w:rsid w:val="40EA3015"/>
    <w:rsid w:val="40EC510F"/>
    <w:rsid w:val="40F2566D"/>
    <w:rsid w:val="40F33CD2"/>
    <w:rsid w:val="40FD67A8"/>
    <w:rsid w:val="411F385E"/>
    <w:rsid w:val="41251231"/>
    <w:rsid w:val="41267024"/>
    <w:rsid w:val="41293340"/>
    <w:rsid w:val="412A52B7"/>
    <w:rsid w:val="41301F63"/>
    <w:rsid w:val="41342D59"/>
    <w:rsid w:val="41426296"/>
    <w:rsid w:val="414B524F"/>
    <w:rsid w:val="415E5D23"/>
    <w:rsid w:val="41697D08"/>
    <w:rsid w:val="41AC1721"/>
    <w:rsid w:val="41AC2357"/>
    <w:rsid w:val="41B04689"/>
    <w:rsid w:val="41CB1AF5"/>
    <w:rsid w:val="41E33C60"/>
    <w:rsid w:val="41EC2F23"/>
    <w:rsid w:val="41F44DDD"/>
    <w:rsid w:val="41F632AB"/>
    <w:rsid w:val="4205602F"/>
    <w:rsid w:val="420926A8"/>
    <w:rsid w:val="420E475E"/>
    <w:rsid w:val="42144998"/>
    <w:rsid w:val="421B0469"/>
    <w:rsid w:val="42254ACB"/>
    <w:rsid w:val="42403A61"/>
    <w:rsid w:val="424336BE"/>
    <w:rsid w:val="4258020C"/>
    <w:rsid w:val="426A0FC3"/>
    <w:rsid w:val="426C665F"/>
    <w:rsid w:val="427907BF"/>
    <w:rsid w:val="429F227D"/>
    <w:rsid w:val="42A95BF9"/>
    <w:rsid w:val="42AB568C"/>
    <w:rsid w:val="42AC635A"/>
    <w:rsid w:val="42B00E5C"/>
    <w:rsid w:val="42C4346C"/>
    <w:rsid w:val="42E13849"/>
    <w:rsid w:val="42F04887"/>
    <w:rsid w:val="42FC5124"/>
    <w:rsid w:val="43194545"/>
    <w:rsid w:val="432A1B96"/>
    <w:rsid w:val="43311BFD"/>
    <w:rsid w:val="43367314"/>
    <w:rsid w:val="433C187A"/>
    <w:rsid w:val="43420B70"/>
    <w:rsid w:val="436F7684"/>
    <w:rsid w:val="4373362C"/>
    <w:rsid w:val="43764E2E"/>
    <w:rsid w:val="4379335D"/>
    <w:rsid w:val="437C71FD"/>
    <w:rsid w:val="43A37B4B"/>
    <w:rsid w:val="43A430D1"/>
    <w:rsid w:val="43C1246B"/>
    <w:rsid w:val="43CD4BC8"/>
    <w:rsid w:val="43E12BAA"/>
    <w:rsid w:val="43E23ABE"/>
    <w:rsid w:val="440426ED"/>
    <w:rsid w:val="440F4776"/>
    <w:rsid w:val="44143703"/>
    <w:rsid w:val="44380E90"/>
    <w:rsid w:val="444159F1"/>
    <w:rsid w:val="44451961"/>
    <w:rsid w:val="446F60B8"/>
    <w:rsid w:val="44741F34"/>
    <w:rsid w:val="448D5606"/>
    <w:rsid w:val="44971C1B"/>
    <w:rsid w:val="449C0AE3"/>
    <w:rsid w:val="44B53314"/>
    <w:rsid w:val="44BF2D73"/>
    <w:rsid w:val="44C4079D"/>
    <w:rsid w:val="44C8564B"/>
    <w:rsid w:val="44DC74A2"/>
    <w:rsid w:val="44DD5A2E"/>
    <w:rsid w:val="44E02E6B"/>
    <w:rsid w:val="44EA63E7"/>
    <w:rsid w:val="44F62A20"/>
    <w:rsid w:val="44F90D29"/>
    <w:rsid w:val="44FD4E04"/>
    <w:rsid w:val="44FE4994"/>
    <w:rsid w:val="450C4042"/>
    <w:rsid w:val="45146732"/>
    <w:rsid w:val="45147150"/>
    <w:rsid w:val="451941B8"/>
    <w:rsid w:val="45393E57"/>
    <w:rsid w:val="456E267D"/>
    <w:rsid w:val="4576EF1C"/>
    <w:rsid w:val="457C00FD"/>
    <w:rsid w:val="459431EE"/>
    <w:rsid w:val="45A3381B"/>
    <w:rsid w:val="45DF5DF0"/>
    <w:rsid w:val="45E8576F"/>
    <w:rsid w:val="45FB7ECD"/>
    <w:rsid w:val="45FC5F77"/>
    <w:rsid w:val="4604488D"/>
    <w:rsid w:val="46184820"/>
    <w:rsid w:val="46191F2F"/>
    <w:rsid w:val="461C772A"/>
    <w:rsid w:val="461F4AA7"/>
    <w:rsid w:val="463368B7"/>
    <w:rsid w:val="46393734"/>
    <w:rsid w:val="46581398"/>
    <w:rsid w:val="46AF1F77"/>
    <w:rsid w:val="46D71F11"/>
    <w:rsid w:val="46E83CDA"/>
    <w:rsid w:val="46EB2FCD"/>
    <w:rsid w:val="46F661E4"/>
    <w:rsid w:val="46F83046"/>
    <w:rsid w:val="46FA4032"/>
    <w:rsid w:val="47037BA7"/>
    <w:rsid w:val="470741E9"/>
    <w:rsid w:val="470A5B98"/>
    <w:rsid w:val="4711367B"/>
    <w:rsid w:val="4716148D"/>
    <w:rsid w:val="471808F7"/>
    <w:rsid w:val="471A30F3"/>
    <w:rsid w:val="47211B42"/>
    <w:rsid w:val="472504F8"/>
    <w:rsid w:val="472B10A2"/>
    <w:rsid w:val="4747214E"/>
    <w:rsid w:val="4757612E"/>
    <w:rsid w:val="477760D5"/>
    <w:rsid w:val="477B2488"/>
    <w:rsid w:val="478F28C0"/>
    <w:rsid w:val="479C5211"/>
    <w:rsid w:val="47A536AD"/>
    <w:rsid w:val="47A923B9"/>
    <w:rsid w:val="47CB222D"/>
    <w:rsid w:val="47D75D20"/>
    <w:rsid w:val="47EF13C6"/>
    <w:rsid w:val="48164FEB"/>
    <w:rsid w:val="48247721"/>
    <w:rsid w:val="48292EC4"/>
    <w:rsid w:val="484B1E04"/>
    <w:rsid w:val="485B3227"/>
    <w:rsid w:val="485C4BE5"/>
    <w:rsid w:val="48792BEE"/>
    <w:rsid w:val="48875E18"/>
    <w:rsid w:val="488E1498"/>
    <w:rsid w:val="48AB22C8"/>
    <w:rsid w:val="48B1188E"/>
    <w:rsid w:val="48B13DF3"/>
    <w:rsid w:val="48BC53EB"/>
    <w:rsid w:val="48C81747"/>
    <w:rsid w:val="48E161EB"/>
    <w:rsid w:val="48FB796E"/>
    <w:rsid w:val="4904108C"/>
    <w:rsid w:val="4912171D"/>
    <w:rsid w:val="49750BC6"/>
    <w:rsid w:val="497A203E"/>
    <w:rsid w:val="497B42F2"/>
    <w:rsid w:val="498127D2"/>
    <w:rsid w:val="49BA28BA"/>
    <w:rsid w:val="49D1575D"/>
    <w:rsid w:val="49D438AE"/>
    <w:rsid w:val="49D86CD6"/>
    <w:rsid w:val="49EF15E2"/>
    <w:rsid w:val="49F1006A"/>
    <w:rsid w:val="49F166F1"/>
    <w:rsid w:val="4A0D1B22"/>
    <w:rsid w:val="4A211667"/>
    <w:rsid w:val="4A230DAF"/>
    <w:rsid w:val="4A320FFC"/>
    <w:rsid w:val="4A387522"/>
    <w:rsid w:val="4A3D47A0"/>
    <w:rsid w:val="4A521FA1"/>
    <w:rsid w:val="4A536F35"/>
    <w:rsid w:val="4A596A40"/>
    <w:rsid w:val="4A5E02F2"/>
    <w:rsid w:val="4A6664DD"/>
    <w:rsid w:val="4A6C513B"/>
    <w:rsid w:val="4A6E1243"/>
    <w:rsid w:val="4A754B47"/>
    <w:rsid w:val="4A822DC3"/>
    <w:rsid w:val="4A835E59"/>
    <w:rsid w:val="4A9F144E"/>
    <w:rsid w:val="4AA219EE"/>
    <w:rsid w:val="4AA268B0"/>
    <w:rsid w:val="4AAF7DED"/>
    <w:rsid w:val="4AEB0E78"/>
    <w:rsid w:val="4AF66465"/>
    <w:rsid w:val="4B0E6BEC"/>
    <w:rsid w:val="4B1B446B"/>
    <w:rsid w:val="4B233407"/>
    <w:rsid w:val="4B2C72E0"/>
    <w:rsid w:val="4B2E39CD"/>
    <w:rsid w:val="4B3A6F0B"/>
    <w:rsid w:val="4B6B65A7"/>
    <w:rsid w:val="4B726F56"/>
    <w:rsid w:val="4B83478B"/>
    <w:rsid w:val="4B863FDA"/>
    <w:rsid w:val="4B881DE5"/>
    <w:rsid w:val="4B8C50D1"/>
    <w:rsid w:val="4BAB2063"/>
    <w:rsid w:val="4BB77EB1"/>
    <w:rsid w:val="4BD233D5"/>
    <w:rsid w:val="4BD47BCE"/>
    <w:rsid w:val="4BDF1B0C"/>
    <w:rsid w:val="4BF27303"/>
    <w:rsid w:val="4C04758C"/>
    <w:rsid w:val="4C086ED3"/>
    <w:rsid w:val="4C1635B0"/>
    <w:rsid w:val="4C215104"/>
    <w:rsid w:val="4C294F8C"/>
    <w:rsid w:val="4C3F68CB"/>
    <w:rsid w:val="4C63596A"/>
    <w:rsid w:val="4C69714A"/>
    <w:rsid w:val="4CAF7561"/>
    <w:rsid w:val="4CB86805"/>
    <w:rsid w:val="4CC0684C"/>
    <w:rsid w:val="4D04603A"/>
    <w:rsid w:val="4D184888"/>
    <w:rsid w:val="4D1A506F"/>
    <w:rsid w:val="4D1E366B"/>
    <w:rsid w:val="4D314CE5"/>
    <w:rsid w:val="4D4D1254"/>
    <w:rsid w:val="4D60278B"/>
    <w:rsid w:val="4D9C64C2"/>
    <w:rsid w:val="4DC3607C"/>
    <w:rsid w:val="4DC934A3"/>
    <w:rsid w:val="4DCE4BBC"/>
    <w:rsid w:val="4DDA5ECB"/>
    <w:rsid w:val="4DE0476F"/>
    <w:rsid w:val="4E001070"/>
    <w:rsid w:val="4E100E0C"/>
    <w:rsid w:val="4E1A3E39"/>
    <w:rsid w:val="4E1A5811"/>
    <w:rsid w:val="4E214939"/>
    <w:rsid w:val="4E2171E2"/>
    <w:rsid w:val="4E290DEA"/>
    <w:rsid w:val="4E393351"/>
    <w:rsid w:val="4E5C454B"/>
    <w:rsid w:val="4E5C7D61"/>
    <w:rsid w:val="4E61585E"/>
    <w:rsid w:val="4E6F014C"/>
    <w:rsid w:val="4E821AC1"/>
    <w:rsid w:val="4E8A3ACD"/>
    <w:rsid w:val="4E9121A3"/>
    <w:rsid w:val="4E94223C"/>
    <w:rsid w:val="4EA315B1"/>
    <w:rsid w:val="4EA97710"/>
    <w:rsid w:val="4ECC6D5F"/>
    <w:rsid w:val="4F020E87"/>
    <w:rsid w:val="4F0A6CD0"/>
    <w:rsid w:val="4F0E2841"/>
    <w:rsid w:val="4F39579C"/>
    <w:rsid w:val="4F662E42"/>
    <w:rsid w:val="4F8C3B89"/>
    <w:rsid w:val="4FAD5783"/>
    <w:rsid w:val="4FB63A6B"/>
    <w:rsid w:val="4FB65B4C"/>
    <w:rsid w:val="4FC745B9"/>
    <w:rsid w:val="4FD07142"/>
    <w:rsid w:val="4FD072CA"/>
    <w:rsid w:val="4FD23C92"/>
    <w:rsid w:val="4FD33502"/>
    <w:rsid w:val="4FF1781F"/>
    <w:rsid w:val="50092979"/>
    <w:rsid w:val="500F5574"/>
    <w:rsid w:val="502A15D8"/>
    <w:rsid w:val="502C7114"/>
    <w:rsid w:val="503806DC"/>
    <w:rsid w:val="504B5ACC"/>
    <w:rsid w:val="505E64D1"/>
    <w:rsid w:val="505F606E"/>
    <w:rsid w:val="50607C1B"/>
    <w:rsid w:val="50661631"/>
    <w:rsid w:val="50715259"/>
    <w:rsid w:val="50873195"/>
    <w:rsid w:val="50882BDA"/>
    <w:rsid w:val="508868E6"/>
    <w:rsid w:val="50896655"/>
    <w:rsid w:val="509E566B"/>
    <w:rsid w:val="50A225AF"/>
    <w:rsid w:val="50A464F4"/>
    <w:rsid w:val="50A67BA9"/>
    <w:rsid w:val="50BF136F"/>
    <w:rsid w:val="50C5039C"/>
    <w:rsid w:val="50C77DAE"/>
    <w:rsid w:val="50D83189"/>
    <w:rsid w:val="50E956D4"/>
    <w:rsid w:val="50EE1A52"/>
    <w:rsid w:val="50F554E9"/>
    <w:rsid w:val="510252DB"/>
    <w:rsid w:val="510F1C91"/>
    <w:rsid w:val="512E0E26"/>
    <w:rsid w:val="512E4678"/>
    <w:rsid w:val="51354D5A"/>
    <w:rsid w:val="513653E6"/>
    <w:rsid w:val="514016B7"/>
    <w:rsid w:val="514041E4"/>
    <w:rsid w:val="515701E8"/>
    <w:rsid w:val="5164091A"/>
    <w:rsid w:val="517D55E9"/>
    <w:rsid w:val="51B3661D"/>
    <w:rsid w:val="51BB0BE8"/>
    <w:rsid w:val="51C24F4D"/>
    <w:rsid w:val="51C328E8"/>
    <w:rsid w:val="51C615D7"/>
    <w:rsid w:val="51D964E4"/>
    <w:rsid w:val="51EA67EF"/>
    <w:rsid w:val="51FC3136"/>
    <w:rsid w:val="5202206C"/>
    <w:rsid w:val="520E540D"/>
    <w:rsid w:val="521D5470"/>
    <w:rsid w:val="521E3FF3"/>
    <w:rsid w:val="52257203"/>
    <w:rsid w:val="522C4D69"/>
    <w:rsid w:val="524408CC"/>
    <w:rsid w:val="52503447"/>
    <w:rsid w:val="525C5C8C"/>
    <w:rsid w:val="525E1D2A"/>
    <w:rsid w:val="526B1E1E"/>
    <w:rsid w:val="526B2FB1"/>
    <w:rsid w:val="527A47FF"/>
    <w:rsid w:val="527C5CC1"/>
    <w:rsid w:val="527D4E6F"/>
    <w:rsid w:val="5282014C"/>
    <w:rsid w:val="52880FB8"/>
    <w:rsid w:val="52A03397"/>
    <w:rsid w:val="52B27F46"/>
    <w:rsid w:val="52C1278F"/>
    <w:rsid w:val="52C129A5"/>
    <w:rsid w:val="52C75E27"/>
    <w:rsid w:val="52D96EA6"/>
    <w:rsid w:val="52F80DC9"/>
    <w:rsid w:val="52FE451B"/>
    <w:rsid w:val="5308530D"/>
    <w:rsid w:val="530F1BCF"/>
    <w:rsid w:val="53325CD2"/>
    <w:rsid w:val="533A5C60"/>
    <w:rsid w:val="534121A2"/>
    <w:rsid w:val="5376698C"/>
    <w:rsid w:val="537B664F"/>
    <w:rsid w:val="538F59F6"/>
    <w:rsid w:val="53AB4F5C"/>
    <w:rsid w:val="53EC35D6"/>
    <w:rsid w:val="53EEF335"/>
    <w:rsid w:val="542B0ABC"/>
    <w:rsid w:val="54433422"/>
    <w:rsid w:val="544D04FE"/>
    <w:rsid w:val="544F309F"/>
    <w:rsid w:val="5453266D"/>
    <w:rsid w:val="546008AD"/>
    <w:rsid w:val="5472292D"/>
    <w:rsid w:val="549924CB"/>
    <w:rsid w:val="549D5D5C"/>
    <w:rsid w:val="549E05E7"/>
    <w:rsid w:val="549E10E0"/>
    <w:rsid w:val="54A8163B"/>
    <w:rsid w:val="54E52C92"/>
    <w:rsid w:val="54F3141A"/>
    <w:rsid w:val="54F44E33"/>
    <w:rsid w:val="54F478A4"/>
    <w:rsid w:val="55002113"/>
    <w:rsid w:val="552703EE"/>
    <w:rsid w:val="553B6008"/>
    <w:rsid w:val="553C2FC1"/>
    <w:rsid w:val="556A1073"/>
    <w:rsid w:val="558333C1"/>
    <w:rsid w:val="55AC6D33"/>
    <w:rsid w:val="55B7EF59"/>
    <w:rsid w:val="55BA087A"/>
    <w:rsid w:val="55BB289D"/>
    <w:rsid w:val="55C9645F"/>
    <w:rsid w:val="55DB0F91"/>
    <w:rsid w:val="55DD0A7D"/>
    <w:rsid w:val="55E32B88"/>
    <w:rsid w:val="55EF2766"/>
    <w:rsid w:val="55F305A6"/>
    <w:rsid w:val="560C01BB"/>
    <w:rsid w:val="562543F0"/>
    <w:rsid w:val="56307E67"/>
    <w:rsid w:val="563A312A"/>
    <w:rsid w:val="56426050"/>
    <w:rsid w:val="564B654C"/>
    <w:rsid w:val="565A5DC7"/>
    <w:rsid w:val="56666B44"/>
    <w:rsid w:val="56771937"/>
    <w:rsid w:val="567F6737"/>
    <w:rsid w:val="568F2767"/>
    <w:rsid w:val="56920D90"/>
    <w:rsid w:val="569C673B"/>
    <w:rsid w:val="56A106AC"/>
    <w:rsid w:val="56CB3A71"/>
    <w:rsid w:val="56D32535"/>
    <w:rsid w:val="56F15F69"/>
    <w:rsid w:val="56FE711B"/>
    <w:rsid w:val="571B40C8"/>
    <w:rsid w:val="572E4BCE"/>
    <w:rsid w:val="573135BD"/>
    <w:rsid w:val="573828F4"/>
    <w:rsid w:val="573A2391"/>
    <w:rsid w:val="57571C93"/>
    <w:rsid w:val="576228FB"/>
    <w:rsid w:val="5763665A"/>
    <w:rsid w:val="57663D50"/>
    <w:rsid w:val="57711B4D"/>
    <w:rsid w:val="57776AA4"/>
    <w:rsid w:val="577E39C3"/>
    <w:rsid w:val="57931AE1"/>
    <w:rsid w:val="57A218CA"/>
    <w:rsid w:val="57A87AFB"/>
    <w:rsid w:val="57AA52A4"/>
    <w:rsid w:val="57B74973"/>
    <w:rsid w:val="57C55255"/>
    <w:rsid w:val="57E04A72"/>
    <w:rsid w:val="57E33DE9"/>
    <w:rsid w:val="57F435E4"/>
    <w:rsid w:val="58077CD4"/>
    <w:rsid w:val="580D5CD0"/>
    <w:rsid w:val="58114BCD"/>
    <w:rsid w:val="58127EAB"/>
    <w:rsid w:val="581B2CA5"/>
    <w:rsid w:val="58276B45"/>
    <w:rsid w:val="583A2175"/>
    <w:rsid w:val="5862610E"/>
    <w:rsid w:val="587C6644"/>
    <w:rsid w:val="5888724A"/>
    <w:rsid w:val="58AD6080"/>
    <w:rsid w:val="58D43EA7"/>
    <w:rsid w:val="58F855A4"/>
    <w:rsid w:val="591567A8"/>
    <w:rsid w:val="59170C7B"/>
    <w:rsid w:val="59172982"/>
    <w:rsid w:val="59224F0F"/>
    <w:rsid w:val="592B2173"/>
    <w:rsid w:val="592B6162"/>
    <w:rsid w:val="59313F3B"/>
    <w:rsid w:val="59653ED2"/>
    <w:rsid w:val="596B6014"/>
    <w:rsid w:val="59751359"/>
    <w:rsid w:val="599E7601"/>
    <w:rsid w:val="59AA0AAD"/>
    <w:rsid w:val="59BB5797"/>
    <w:rsid w:val="59C76C54"/>
    <w:rsid w:val="59D226B0"/>
    <w:rsid w:val="59D67A6F"/>
    <w:rsid w:val="59F2424D"/>
    <w:rsid w:val="59F258F7"/>
    <w:rsid w:val="59FD7B5D"/>
    <w:rsid w:val="5A29423C"/>
    <w:rsid w:val="5A2B333A"/>
    <w:rsid w:val="5A367DF2"/>
    <w:rsid w:val="5A3E0AF7"/>
    <w:rsid w:val="5A4A017C"/>
    <w:rsid w:val="5A5A3450"/>
    <w:rsid w:val="5A5B4D9A"/>
    <w:rsid w:val="5A8001AB"/>
    <w:rsid w:val="5A867F2F"/>
    <w:rsid w:val="5A8B345C"/>
    <w:rsid w:val="5AB363F3"/>
    <w:rsid w:val="5AB93E89"/>
    <w:rsid w:val="5ABE1C88"/>
    <w:rsid w:val="5AC72CC5"/>
    <w:rsid w:val="5AFF2DB3"/>
    <w:rsid w:val="5B0608E3"/>
    <w:rsid w:val="5B110061"/>
    <w:rsid w:val="5B1F56C3"/>
    <w:rsid w:val="5B3771F1"/>
    <w:rsid w:val="5B50164D"/>
    <w:rsid w:val="5B9B377A"/>
    <w:rsid w:val="5BA0695B"/>
    <w:rsid w:val="5BA3448D"/>
    <w:rsid w:val="5BB1523B"/>
    <w:rsid w:val="5BBD71F2"/>
    <w:rsid w:val="5BED18E7"/>
    <w:rsid w:val="5BF23219"/>
    <w:rsid w:val="5BF31AD6"/>
    <w:rsid w:val="5BF9002E"/>
    <w:rsid w:val="5C09191E"/>
    <w:rsid w:val="5C0B1699"/>
    <w:rsid w:val="5C2D5150"/>
    <w:rsid w:val="5C2D6438"/>
    <w:rsid w:val="5C475999"/>
    <w:rsid w:val="5C494564"/>
    <w:rsid w:val="5C495B5D"/>
    <w:rsid w:val="5C5F63CC"/>
    <w:rsid w:val="5C712CEE"/>
    <w:rsid w:val="5C7A36E7"/>
    <w:rsid w:val="5C8D34E9"/>
    <w:rsid w:val="5CA661BE"/>
    <w:rsid w:val="5CA8165E"/>
    <w:rsid w:val="5CAF052B"/>
    <w:rsid w:val="5CB22B83"/>
    <w:rsid w:val="5CB96055"/>
    <w:rsid w:val="5CCC01E2"/>
    <w:rsid w:val="5CEF731D"/>
    <w:rsid w:val="5D0D5BEB"/>
    <w:rsid w:val="5D102E39"/>
    <w:rsid w:val="5D1D5347"/>
    <w:rsid w:val="5D2C1385"/>
    <w:rsid w:val="5D2D3C10"/>
    <w:rsid w:val="5D302EDA"/>
    <w:rsid w:val="5D4B49FC"/>
    <w:rsid w:val="5D5FD952"/>
    <w:rsid w:val="5D703ED3"/>
    <w:rsid w:val="5D8462D2"/>
    <w:rsid w:val="5D876422"/>
    <w:rsid w:val="5D9440E8"/>
    <w:rsid w:val="5DBE0162"/>
    <w:rsid w:val="5DE46196"/>
    <w:rsid w:val="5DEA6787"/>
    <w:rsid w:val="5DEC7EBF"/>
    <w:rsid w:val="5DF237B4"/>
    <w:rsid w:val="5E046F65"/>
    <w:rsid w:val="5E0C0060"/>
    <w:rsid w:val="5E386880"/>
    <w:rsid w:val="5E4863F0"/>
    <w:rsid w:val="5E4E2603"/>
    <w:rsid w:val="5E507A46"/>
    <w:rsid w:val="5E510B87"/>
    <w:rsid w:val="5E512BA9"/>
    <w:rsid w:val="5E5449A6"/>
    <w:rsid w:val="5E5A03C3"/>
    <w:rsid w:val="5E68156F"/>
    <w:rsid w:val="5E686287"/>
    <w:rsid w:val="5E721032"/>
    <w:rsid w:val="5E9A3FC1"/>
    <w:rsid w:val="5EBA601D"/>
    <w:rsid w:val="5EC33192"/>
    <w:rsid w:val="5ED40B65"/>
    <w:rsid w:val="5ED81849"/>
    <w:rsid w:val="5EFC6FEB"/>
    <w:rsid w:val="5EFF4434"/>
    <w:rsid w:val="5F114666"/>
    <w:rsid w:val="5F1C4D7E"/>
    <w:rsid w:val="5F2E7065"/>
    <w:rsid w:val="5F355DB6"/>
    <w:rsid w:val="5F5209F8"/>
    <w:rsid w:val="5F530B3B"/>
    <w:rsid w:val="5F635DC8"/>
    <w:rsid w:val="5F81463B"/>
    <w:rsid w:val="5F8355BC"/>
    <w:rsid w:val="5F846736"/>
    <w:rsid w:val="5F921867"/>
    <w:rsid w:val="5F976163"/>
    <w:rsid w:val="5FBF6AB7"/>
    <w:rsid w:val="5FCD270C"/>
    <w:rsid w:val="5FCF1954"/>
    <w:rsid w:val="5FD547E6"/>
    <w:rsid w:val="5FFF7A43"/>
    <w:rsid w:val="60036BB3"/>
    <w:rsid w:val="600823ED"/>
    <w:rsid w:val="600A3F4F"/>
    <w:rsid w:val="60101E3D"/>
    <w:rsid w:val="601E2116"/>
    <w:rsid w:val="603E364A"/>
    <w:rsid w:val="60717970"/>
    <w:rsid w:val="609662A4"/>
    <w:rsid w:val="60A315F3"/>
    <w:rsid w:val="60BB5DD9"/>
    <w:rsid w:val="60C06A13"/>
    <w:rsid w:val="60D12A29"/>
    <w:rsid w:val="60EA2FF4"/>
    <w:rsid w:val="60EB5790"/>
    <w:rsid w:val="610A2B60"/>
    <w:rsid w:val="610B452A"/>
    <w:rsid w:val="610D776E"/>
    <w:rsid w:val="61424B96"/>
    <w:rsid w:val="614E289C"/>
    <w:rsid w:val="61500132"/>
    <w:rsid w:val="61652AFB"/>
    <w:rsid w:val="618260B8"/>
    <w:rsid w:val="61A142EB"/>
    <w:rsid w:val="61A95916"/>
    <w:rsid w:val="61AA758F"/>
    <w:rsid w:val="61C575C8"/>
    <w:rsid w:val="61C86526"/>
    <w:rsid w:val="61E11B13"/>
    <w:rsid w:val="61E460D4"/>
    <w:rsid w:val="61F338BF"/>
    <w:rsid w:val="62097C9D"/>
    <w:rsid w:val="620D7526"/>
    <w:rsid w:val="62250D4D"/>
    <w:rsid w:val="622B048D"/>
    <w:rsid w:val="62345478"/>
    <w:rsid w:val="625C2AAE"/>
    <w:rsid w:val="62616ABC"/>
    <w:rsid w:val="6289140F"/>
    <w:rsid w:val="62907D75"/>
    <w:rsid w:val="629E4172"/>
    <w:rsid w:val="62A54F1F"/>
    <w:rsid w:val="62AF2D2F"/>
    <w:rsid w:val="62C62B58"/>
    <w:rsid w:val="62D12F89"/>
    <w:rsid w:val="63116428"/>
    <w:rsid w:val="631F076E"/>
    <w:rsid w:val="63310230"/>
    <w:rsid w:val="63612F0B"/>
    <w:rsid w:val="63952790"/>
    <w:rsid w:val="63A31630"/>
    <w:rsid w:val="63C21069"/>
    <w:rsid w:val="63CA0CD3"/>
    <w:rsid w:val="63CE27D8"/>
    <w:rsid w:val="63F1572E"/>
    <w:rsid w:val="63F932C5"/>
    <w:rsid w:val="63FD3070"/>
    <w:rsid w:val="640D45E0"/>
    <w:rsid w:val="64107237"/>
    <w:rsid w:val="64171BB9"/>
    <w:rsid w:val="645175A8"/>
    <w:rsid w:val="645C76B6"/>
    <w:rsid w:val="64625963"/>
    <w:rsid w:val="647B7C5D"/>
    <w:rsid w:val="647C7ED5"/>
    <w:rsid w:val="64882719"/>
    <w:rsid w:val="649A0079"/>
    <w:rsid w:val="649D7B06"/>
    <w:rsid w:val="64A23965"/>
    <w:rsid w:val="64A61003"/>
    <w:rsid w:val="64B90459"/>
    <w:rsid w:val="64DA7510"/>
    <w:rsid w:val="64EE228F"/>
    <w:rsid w:val="6536223E"/>
    <w:rsid w:val="653D52B2"/>
    <w:rsid w:val="655A3891"/>
    <w:rsid w:val="65711E24"/>
    <w:rsid w:val="6577407A"/>
    <w:rsid w:val="657F4BCB"/>
    <w:rsid w:val="658F02D3"/>
    <w:rsid w:val="65911419"/>
    <w:rsid w:val="65A078D0"/>
    <w:rsid w:val="65B0017A"/>
    <w:rsid w:val="65B24CEA"/>
    <w:rsid w:val="65B32266"/>
    <w:rsid w:val="65E54F88"/>
    <w:rsid w:val="65FC33BF"/>
    <w:rsid w:val="662A2A3B"/>
    <w:rsid w:val="662A4E93"/>
    <w:rsid w:val="663522F2"/>
    <w:rsid w:val="66525E47"/>
    <w:rsid w:val="666148D1"/>
    <w:rsid w:val="666420D5"/>
    <w:rsid w:val="666D654A"/>
    <w:rsid w:val="666E3CE8"/>
    <w:rsid w:val="667A6EDB"/>
    <w:rsid w:val="668B199B"/>
    <w:rsid w:val="668F05DE"/>
    <w:rsid w:val="66B77536"/>
    <w:rsid w:val="66BA22E3"/>
    <w:rsid w:val="66BC0132"/>
    <w:rsid w:val="66C7733B"/>
    <w:rsid w:val="66C96F26"/>
    <w:rsid w:val="66D06CD4"/>
    <w:rsid w:val="66E17EAB"/>
    <w:rsid w:val="66F559E3"/>
    <w:rsid w:val="66FC78D2"/>
    <w:rsid w:val="6735767C"/>
    <w:rsid w:val="673858DF"/>
    <w:rsid w:val="675B7897"/>
    <w:rsid w:val="676404B9"/>
    <w:rsid w:val="676752FD"/>
    <w:rsid w:val="67927BBC"/>
    <w:rsid w:val="67C86443"/>
    <w:rsid w:val="67C87F78"/>
    <w:rsid w:val="67DA0C9C"/>
    <w:rsid w:val="67DB0FA6"/>
    <w:rsid w:val="680E09F2"/>
    <w:rsid w:val="68113F78"/>
    <w:rsid w:val="681440EA"/>
    <w:rsid w:val="68200E09"/>
    <w:rsid w:val="683351FB"/>
    <w:rsid w:val="684958BF"/>
    <w:rsid w:val="68600B71"/>
    <w:rsid w:val="68695E40"/>
    <w:rsid w:val="686B73FF"/>
    <w:rsid w:val="6871776D"/>
    <w:rsid w:val="68761483"/>
    <w:rsid w:val="687F14FF"/>
    <w:rsid w:val="68A46AF3"/>
    <w:rsid w:val="68A75386"/>
    <w:rsid w:val="68B67474"/>
    <w:rsid w:val="690D1150"/>
    <w:rsid w:val="691A71F0"/>
    <w:rsid w:val="692341A0"/>
    <w:rsid w:val="69234312"/>
    <w:rsid w:val="69244F55"/>
    <w:rsid w:val="692846C1"/>
    <w:rsid w:val="69364132"/>
    <w:rsid w:val="69422C5E"/>
    <w:rsid w:val="69497CC3"/>
    <w:rsid w:val="694E3F32"/>
    <w:rsid w:val="696E6382"/>
    <w:rsid w:val="698679D3"/>
    <w:rsid w:val="698B62BD"/>
    <w:rsid w:val="69A0462D"/>
    <w:rsid w:val="69EA1DDB"/>
    <w:rsid w:val="6A082C2D"/>
    <w:rsid w:val="6A123A03"/>
    <w:rsid w:val="6A232FA8"/>
    <w:rsid w:val="6A271C37"/>
    <w:rsid w:val="6A372C18"/>
    <w:rsid w:val="6A5D329A"/>
    <w:rsid w:val="6A62486A"/>
    <w:rsid w:val="6A6E3451"/>
    <w:rsid w:val="6A7526C5"/>
    <w:rsid w:val="6A8A0DE2"/>
    <w:rsid w:val="6A8A23D9"/>
    <w:rsid w:val="6A922CE9"/>
    <w:rsid w:val="6A993C61"/>
    <w:rsid w:val="6AC4416A"/>
    <w:rsid w:val="6AE40B7C"/>
    <w:rsid w:val="6AE77D65"/>
    <w:rsid w:val="6AFF6D0F"/>
    <w:rsid w:val="6B022808"/>
    <w:rsid w:val="6B0436F4"/>
    <w:rsid w:val="6B06756B"/>
    <w:rsid w:val="6B084622"/>
    <w:rsid w:val="6B0869A4"/>
    <w:rsid w:val="6B2E0290"/>
    <w:rsid w:val="6B5D12ED"/>
    <w:rsid w:val="6B754942"/>
    <w:rsid w:val="6B8D723B"/>
    <w:rsid w:val="6BA8784A"/>
    <w:rsid w:val="6BB00AB2"/>
    <w:rsid w:val="6BB17BFE"/>
    <w:rsid w:val="6BEF4424"/>
    <w:rsid w:val="6BF55514"/>
    <w:rsid w:val="6C063F42"/>
    <w:rsid w:val="6C1B7B81"/>
    <w:rsid w:val="6C2955C5"/>
    <w:rsid w:val="6C3753A5"/>
    <w:rsid w:val="6C420798"/>
    <w:rsid w:val="6C5914A2"/>
    <w:rsid w:val="6C5A4BD3"/>
    <w:rsid w:val="6C5C00FF"/>
    <w:rsid w:val="6C6062C7"/>
    <w:rsid w:val="6C6D0318"/>
    <w:rsid w:val="6C826356"/>
    <w:rsid w:val="6C88775B"/>
    <w:rsid w:val="6C8C1166"/>
    <w:rsid w:val="6CB80F0F"/>
    <w:rsid w:val="6CCC3278"/>
    <w:rsid w:val="6CD24037"/>
    <w:rsid w:val="6CD64342"/>
    <w:rsid w:val="6CE611BE"/>
    <w:rsid w:val="6CF0330A"/>
    <w:rsid w:val="6CF03552"/>
    <w:rsid w:val="6D024CF4"/>
    <w:rsid w:val="6D17317B"/>
    <w:rsid w:val="6D316543"/>
    <w:rsid w:val="6D3A46F0"/>
    <w:rsid w:val="6D4A6F57"/>
    <w:rsid w:val="6D5A4776"/>
    <w:rsid w:val="6D655032"/>
    <w:rsid w:val="6D7E48A9"/>
    <w:rsid w:val="6DA30A00"/>
    <w:rsid w:val="6DB24AD1"/>
    <w:rsid w:val="6DB91DF6"/>
    <w:rsid w:val="6DBB3C8D"/>
    <w:rsid w:val="6DC67EBF"/>
    <w:rsid w:val="6DCC18C9"/>
    <w:rsid w:val="6DDD0932"/>
    <w:rsid w:val="6DDE4A58"/>
    <w:rsid w:val="6DE20064"/>
    <w:rsid w:val="6DE7710E"/>
    <w:rsid w:val="6DE92424"/>
    <w:rsid w:val="6DEC5026"/>
    <w:rsid w:val="6DF30532"/>
    <w:rsid w:val="6E1A5085"/>
    <w:rsid w:val="6E242B16"/>
    <w:rsid w:val="6E2B5F9D"/>
    <w:rsid w:val="6E3203BE"/>
    <w:rsid w:val="6E741ABA"/>
    <w:rsid w:val="6E8E490C"/>
    <w:rsid w:val="6E9A0985"/>
    <w:rsid w:val="6E9A79F4"/>
    <w:rsid w:val="6EA85DFD"/>
    <w:rsid w:val="6EBD1C7B"/>
    <w:rsid w:val="6EC95E08"/>
    <w:rsid w:val="6ECD6357"/>
    <w:rsid w:val="6EEA709C"/>
    <w:rsid w:val="6EF2D0FD"/>
    <w:rsid w:val="6EFE0985"/>
    <w:rsid w:val="6F007722"/>
    <w:rsid w:val="6F1F1325"/>
    <w:rsid w:val="6F314EB2"/>
    <w:rsid w:val="6F331363"/>
    <w:rsid w:val="6F33735D"/>
    <w:rsid w:val="6F4B1047"/>
    <w:rsid w:val="6F543096"/>
    <w:rsid w:val="6F6E2D13"/>
    <w:rsid w:val="6F7E17F9"/>
    <w:rsid w:val="6FB53789"/>
    <w:rsid w:val="6FC56A53"/>
    <w:rsid w:val="6FCA1E38"/>
    <w:rsid w:val="6FEBA453"/>
    <w:rsid w:val="6FF92768"/>
    <w:rsid w:val="6FFB025F"/>
    <w:rsid w:val="6FFD0A40"/>
    <w:rsid w:val="6FFF2BBE"/>
    <w:rsid w:val="70040AAC"/>
    <w:rsid w:val="70192DFC"/>
    <w:rsid w:val="701A40CF"/>
    <w:rsid w:val="70294ED3"/>
    <w:rsid w:val="703C5FF4"/>
    <w:rsid w:val="704F17D1"/>
    <w:rsid w:val="70903A9D"/>
    <w:rsid w:val="70A62291"/>
    <w:rsid w:val="70B954EE"/>
    <w:rsid w:val="70CB7764"/>
    <w:rsid w:val="70F27A83"/>
    <w:rsid w:val="70F56853"/>
    <w:rsid w:val="7101188A"/>
    <w:rsid w:val="71091CB0"/>
    <w:rsid w:val="710D040A"/>
    <w:rsid w:val="711260B6"/>
    <w:rsid w:val="71256EB3"/>
    <w:rsid w:val="713D789C"/>
    <w:rsid w:val="71451A1F"/>
    <w:rsid w:val="714F129E"/>
    <w:rsid w:val="714F76E9"/>
    <w:rsid w:val="71834994"/>
    <w:rsid w:val="71940950"/>
    <w:rsid w:val="71A83FC1"/>
    <w:rsid w:val="71C44822"/>
    <w:rsid w:val="71C91C3A"/>
    <w:rsid w:val="71F20D22"/>
    <w:rsid w:val="723E3FE8"/>
    <w:rsid w:val="72413E29"/>
    <w:rsid w:val="72456250"/>
    <w:rsid w:val="725122B1"/>
    <w:rsid w:val="72540FF8"/>
    <w:rsid w:val="7255106F"/>
    <w:rsid w:val="725666F5"/>
    <w:rsid w:val="725B5B2D"/>
    <w:rsid w:val="7265040D"/>
    <w:rsid w:val="726C5885"/>
    <w:rsid w:val="72742748"/>
    <w:rsid w:val="72744512"/>
    <w:rsid w:val="72956780"/>
    <w:rsid w:val="72A1796C"/>
    <w:rsid w:val="72B954FB"/>
    <w:rsid w:val="72CD7B8C"/>
    <w:rsid w:val="72D17CEA"/>
    <w:rsid w:val="72DC3AFD"/>
    <w:rsid w:val="72E9309C"/>
    <w:rsid w:val="72F0605F"/>
    <w:rsid w:val="72F17AAC"/>
    <w:rsid w:val="72F5541E"/>
    <w:rsid w:val="72FF629D"/>
    <w:rsid w:val="730C28F7"/>
    <w:rsid w:val="73135513"/>
    <w:rsid w:val="731B1A9F"/>
    <w:rsid w:val="73332125"/>
    <w:rsid w:val="736E23AF"/>
    <w:rsid w:val="73757C3C"/>
    <w:rsid w:val="738B66E1"/>
    <w:rsid w:val="73A04AE1"/>
    <w:rsid w:val="73AD001F"/>
    <w:rsid w:val="73CC69B7"/>
    <w:rsid w:val="73D25872"/>
    <w:rsid w:val="73E07443"/>
    <w:rsid w:val="73ED7223"/>
    <w:rsid w:val="73F11447"/>
    <w:rsid w:val="74050794"/>
    <w:rsid w:val="740D4FB5"/>
    <w:rsid w:val="741F2CE8"/>
    <w:rsid w:val="743715FC"/>
    <w:rsid w:val="74632EE0"/>
    <w:rsid w:val="748A581C"/>
    <w:rsid w:val="74CF1C9F"/>
    <w:rsid w:val="74D07D76"/>
    <w:rsid w:val="74D2653F"/>
    <w:rsid w:val="74E7018A"/>
    <w:rsid w:val="74ED18C0"/>
    <w:rsid w:val="74FB0181"/>
    <w:rsid w:val="75001D43"/>
    <w:rsid w:val="75292A92"/>
    <w:rsid w:val="752C6F96"/>
    <w:rsid w:val="75494133"/>
    <w:rsid w:val="756B6754"/>
    <w:rsid w:val="7572476B"/>
    <w:rsid w:val="757C07D3"/>
    <w:rsid w:val="759D1102"/>
    <w:rsid w:val="759F7AE1"/>
    <w:rsid w:val="75B97744"/>
    <w:rsid w:val="75BE3C06"/>
    <w:rsid w:val="75BF14FF"/>
    <w:rsid w:val="75D67789"/>
    <w:rsid w:val="75D94865"/>
    <w:rsid w:val="75DA0F67"/>
    <w:rsid w:val="75F07D8C"/>
    <w:rsid w:val="760254F7"/>
    <w:rsid w:val="76355461"/>
    <w:rsid w:val="764B7067"/>
    <w:rsid w:val="766C6E1B"/>
    <w:rsid w:val="767856CA"/>
    <w:rsid w:val="76BD4CB3"/>
    <w:rsid w:val="76C37481"/>
    <w:rsid w:val="76ED48E7"/>
    <w:rsid w:val="76FC709B"/>
    <w:rsid w:val="7701490B"/>
    <w:rsid w:val="772B279D"/>
    <w:rsid w:val="772E7A33"/>
    <w:rsid w:val="77347C51"/>
    <w:rsid w:val="773A5248"/>
    <w:rsid w:val="775038E7"/>
    <w:rsid w:val="77544FA8"/>
    <w:rsid w:val="775F4851"/>
    <w:rsid w:val="776B26B9"/>
    <w:rsid w:val="77752B8E"/>
    <w:rsid w:val="77764390"/>
    <w:rsid w:val="777C7831"/>
    <w:rsid w:val="77812E09"/>
    <w:rsid w:val="778A219E"/>
    <w:rsid w:val="778A7BCA"/>
    <w:rsid w:val="778D5A70"/>
    <w:rsid w:val="77AD62C7"/>
    <w:rsid w:val="77AF4542"/>
    <w:rsid w:val="77C2031D"/>
    <w:rsid w:val="77C614A7"/>
    <w:rsid w:val="77D7C4F1"/>
    <w:rsid w:val="77EB7850"/>
    <w:rsid w:val="77F04FE9"/>
    <w:rsid w:val="77F53A05"/>
    <w:rsid w:val="78003773"/>
    <w:rsid w:val="78126B52"/>
    <w:rsid w:val="781B3F17"/>
    <w:rsid w:val="78236E52"/>
    <w:rsid w:val="78293FEA"/>
    <w:rsid w:val="78321015"/>
    <w:rsid w:val="784C53E2"/>
    <w:rsid w:val="784F78EB"/>
    <w:rsid w:val="785F2185"/>
    <w:rsid w:val="78673DC0"/>
    <w:rsid w:val="78701E26"/>
    <w:rsid w:val="789001BE"/>
    <w:rsid w:val="78957828"/>
    <w:rsid w:val="78995985"/>
    <w:rsid w:val="789D0F44"/>
    <w:rsid w:val="78A505D6"/>
    <w:rsid w:val="78B36FEF"/>
    <w:rsid w:val="78B56D85"/>
    <w:rsid w:val="78C62EF6"/>
    <w:rsid w:val="78DA4592"/>
    <w:rsid w:val="78E77B5F"/>
    <w:rsid w:val="78F3682E"/>
    <w:rsid w:val="790D7B86"/>
    <w:rsid w:val="79167A68"/>
    <w:rsid w:val="791F0593"/>
    <w:rsid w:val="7920460E"/>
    <w:rsid w:val="792A6932"/>
    <w:rsid w:val="79436B42"/>
    <w:rsid w:val="79461F0D"/>
    <w:rsid w:val="7946323B"/>
    <w:rsid w:val="794964C4"/>
    <w:rsid w:val="79547966"/>
    <w:rsid w:val="7955034B"/>
    <w:rsid w:val="79584959"/>
    <w:rsid w:val="797177C8"/>
    <w:rsid w:val="797D3FF1"/>
    <w:rsid w:val="797F5D65"/>
    <w:rsid w:val="79813ADE"/>
    <w:rsid w:val="79905B80"/>
    <w:rsid w:val="79A4224E"/>
    <w:rsid w:val="79B22B0F"/>
    <w:rsid w:val="79B22DE9"/>
    <w:rsid w:val="79B746F1"/>
    <w:rsid w:val="79C365C2"/>
    <w:rsid w:val="79D96637"/>
    <w:rsid w:val="7A082774"/>
    <w:rsid w:val="7A1066ED"/>
    <w:rsid w:val="7A1B7CE2"/>
    <w:rsid w:val="7A5C3FD5"/>
    <w:rsid w:val="7A6003FC"/>
    <w:rsid w:val="7A6658B2"/>
    <w:rsid w:val="7A6A3E8A"/>
    <w:rsid w:val="7A6F5FA1"/>
    <w:rsid w:val="7A6F776C"/>
    <w:rsid w:val="7A71106F"/>
    <w:rsid w:val="7A79BA3A"/>
    <w:rsid w:val="7A7A49F7"/>
    <w:rsid w:val="7A7C2F6F"/>
    <w:rsid w:val="7A856607"/>
    <w:rsid w:val="7AAC3A88"/>
    <w:rsid w:val="7AAD5345"/>
    <w:rsid w:val="7ABB5634"/>
    <w:rsid w:val="7AD602B5"/>
    <w:rsid w:val="7AEA222C"/>
    <w:rsid w:val="7AEC944A"/>
    <w:rsid w:val="7AED74F4"/>
    <w:rsid w:val="7AF741CD"/>
    <w:rsid w:val="7B072762"/>
    <w:rsid w:val="7B0E39EF"/>
    <w:rsid w:val="7B0F3A5E"/>
    <w:rsid w:val="7B1965C0"/>
    <w:rsid w:val="7B1B14EE"/>
    <w:rsid w:val="7B336DDA"/>
    <w:rsid w:val="7B425A3F"/>
    <w:rsid w:val="7B58687E"/>
    <w:rsid w:val="7B5E29DA"/>
    <w:rsid w:val="7B6A44CF"/>
    <w:rsid w:val="7B6D3E0C"/>
    <w:rsid w:val="7B710713"/>
    <w:rsid w:val="7B7418E9"/>
    <w:rsid w:val="7B912401"/>
    <w:rsid w:val="7B9A5BD4"/>
    <w:rsid w:val="7BA14395"/>
    <w:rsid w:val="7BA80898"/>
    <w:rsid w:val="7BBE463E"/>
    <w:rsid w:val="7BBFFBF9"/>
    <w:rsid w:val="7BC36771"/>
    <w:rsid w:val="7BE16742"/>
    <w:rsid w:val="7BE22277"/>
    <w:rsid w:val="7BFD5115"/>
    <w:rsid w:val="7C17751A"/>
    <w:rsid w:val="7C1A449E"/>
    <w:rsid w:val="7C247A0F"/>
    <w:rsid w:val="7C5B5CD3"/>
    <w:rsid w:val="7C60334E"/>
    <w:rsid w:val="7C6C12BD"/>
    <w:rsid w:val="7C7052F0"/>
    <w:rsid w:val="7C743857"/>
    <w:rsid w:val="7C8A3007"/>
    <w:rsid w:val="7CA02F04"/>
    <w:rsid w:val="7CB15751"/>
    <w:rsid w:val="7CB85B38"/>
    <w:rsid w:val="7CBF511F"/>
    <w:rsid w:val="7CC5429F"/>
    <w:rsid w:val="7CD57245"/>
    <w:rsid w:val="7CDB5685"/>
    <w:rsid w:val="7D0B22A7"/>
    <w:rsid w:val="7D2E6E76"/>
    <w:rsid w:val="7D2F7C39"/>
    <w:rsid w:val="7D367981"/>
    <w:rsid w:val="7D3E0825"/>
    <w:rsid w:val="7D554062"/>
    <w:rsid w:val="7D5E677D"/>
    <w:rsid w:val="7D653ADC"/>
    <w:rsid w:val="7D696FC9"/>
    <w:rsid w:val="7D7D48C1"/>
    <w:rsid w:val="7D867E46"/>
    <w:rsid w:val="7D877CBF"/>
    <w:rsid w:val="7D89672B"/>
    <w:rsid w:val="7D92434B"/>
    <w:rsid w:val="7D977DA2"/>
    <w:rsid w:val="7DA2461C"/>
    <w:rsid w:val="7DAC0744"/>
    <w:rsid w:val="7DAF7C8C"/>
    <w:rsid w:val="7DB22223"/>
    <w:rsid w:val="7DBB3598"/>
    <w:rsid w:val="7DC055C5"/>
    <w:rsid w:val="7DD70EAB"/>
    <w:rsid w:val="7DDE72E2"/>
    <w:rsid w:val="7DEC03E3"/>
    <w:rsid w:val="7DEC1CAA"/>
    <w:rsid w:val="7DF051F2"/>
    <w:rsid w:val="7DF154BA"/>
    <w:rsid w:val="7DFC271F"/>
    <w:rsid w:val="7E020014"/>
    <w:rsid w:val="7E2B4DE7"/>
    <w:rsid w:val="7E302246"/>
    <w:rsid w:val="7E480F94"/>
    <w:rsid w:val="7E501A5A"/>
    <w:rsid w:val="7E512745"/>
    <w:rsid w:val="7E516999"/>
    <w:rsid w:val="7E5E479A"/>
    <w:rsid w:val="7E666DA6"/>
    <w:rsid w:val="7E77762F"/>
    <w:rsid w:val="7E7B342B"/>
    <w:rsid w:val="7E8111D8"/>
    <w:rsid w:val="7E876FDB"/>
    <w:rsid w:val="7ECF6A7A"/>
    <w:rsid w:val="7EDBB730"/>
    <w:rsid w:val="7EDE37B3"/>
    <w:rsid w:val="7EE74A06"/>
    <w:rsid w:val="7EE76E1C"/>
    <w:rsid w:val="7EFF56EF"/>
    <w:rsid w:val="7F044E95"/>
    <w:rsid w:val="7F075EAF"/>
    <w:rsid w:val="7F0E395F"/>
    <w:rsid w:val="7F284D52"/>
    <w:rsid w:val="7F3E17EF"/>
    <w:rsid w:val="7F457BEA"/>
    <w:rsid w:val="7F4735CF"/>
    <w:rsid w:val="7F4A7714"/>
    <w:rsid w:val="7F52348C"/>
    <w:rsid w:val="7F57751E"/>
    <w:rsid w:val="7F59568B"/>
    <w:rsid w:val="7F604BC8"/>
    <w:rsid w:val="7F60712F"/>
    <w:rsid w:val="7F735885"/>
    <w:rsid w:val="7F77196B"/>
    <w:rsid w:val="7F80415D"/>
    <w:rsid w:val="7F907C00"/>
    <w:rsid w:val="7F9E4157"/>
    <w:rsid w:val="7FB45E43"/>
    <w:rsid w:val="7FB623D7"/>
    <w:rsid w:val="7FBD748D"/>
    <w:rsid w:val="7FC15718"/>
    <w:rsid w:val="7FC23EAF"/>
    <w:rsid w:val="7FC47812"/>
    <w:rsid w:val="7FED2B5C"/>
    <w:rsid w:val="7FF17233"/>
    <w:rsid w:val="7FFF5C29"/>
    <w:rsid w:val="A9D4E125"/>
    <w:rsid w:val="AFB75D20"/>
    <w:rsid w:val="B0CEA106"/>
    <w:rsid w:val="BA7DC806"/>
    <w:rsid w:val="BEFB4B64"/>
    <w:rsid w:val="BF5F5B0B"/>
    <w:rsid w:val="BFEE4CC3"/>
    <w:rsid w:val="D69FD6A1"/>
    <w:rsid w:val="D7FD7E7C"/>
    <w:rsid w:val="DDDFC3F6"/>
    <w:rsid w:val="DF3FB742"/>
    <w:rsid w:val="EDEE62EB"/>
    <w:rsid w:val="EEBFC803"/>
    <w:rsid w:val="EED757C4"/>
    <w:rsid w:val="F1F73EFA"/>
    <w:rsid w:val="F2AF5055"/>
    <w:rsid w:val="F5FF00F0"/>
    <w:rsid w:val="F7B697FE"/>
    <w:rsid w:val="F7DD1C07"/>
    <w:rsid w:val="F7EEC3A5"/>
    <w:rsid w:val="F9FF2F61"/>
    <w:rsid w:val="FBF58B46"/>
    <w:rsid w:val="FCF95537"/>
    <w:rsid w:val="FCFF7B52"/>
    <w:rsid w:val="FE7736A8"/>
    <w:rsid w:val="FE97C648"/>
    <w:rsid w:val="FFF74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qFormat="1"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88"/>
    <w:qFormat/>
    <w:uiPriority w:val="0"/>
    <w:pPr>
      <w:keepNext/>
      <w:keepLines/>
      <w:spacing w:before="120" w:after="120"/>
      <w:jc w:val="center"/>
      <w:outlineLvl w:val="0"/>
    </w:pPr>
    <w:rPr>
      <w:b/>
      <w:spacing w:val="20"/>
      <w:kern w:val="44"/>
      <w:sz w:val="32"/>
    </w:rPr>
  </w:style>
  <w:style w:type="paragraph" w:styleId="5">
    <w:name w:val="heading 2"/>
    <w:basedOn w:val="1"/>
    <w:next w:val="1"/>
    <w:link w:val="55"/>
    <w:unhideWhenUsed/>
    <w:qFormat/>
    <w:uiPriority w:val="0"/>
    <w:pPr>
      <w:keepNext/>
      <w:keepLines/>
      <w:spacing w:before="240" w:line="400" w:lineRule="exact"/>
      <w:outlineLvl w:val="1"/>
    </w:pPr>
    <w:rPr>
      <w:rFonts w:ascii="Arial" w:hAnsi="Arial"/>
      <w:b/>
      <w:color w:val="000000"/>
      <w:spacing w:val="40"/>
      <w:sz w:val="32"/>
    </w:rPr>
  </w:style>
  <w:style w:type="paragraph" w:styleId="6">
    <w:name w:val="heading 3"/>
    <w:basedOn w:val="1"/>
    <w:next w:val="1"/>
    <w:link w:val="93"/>
    <w:unhideWhenUsed/>
    <w:qFormat/>
    <w:uiPriority w:val="0"/>
    <w:pPr>
      <w:keepNext/>
      <w:keepLines/>
      <w:spacing w:before="60" w:after="60" w:line="400" w:lineRule="exact"/>
      <w:ind w:firstLine="510"/>
      <w:outlineLvl w:val="2"/>
    </w:pPr>
    <w:rPr>
      <w:rFonts w:ascii="宋体"/>
      <w:b/>
      <w:sz w:val="24"/>
    </w:rPr>
  </w:style>
  <w:style w:type="paragraph" w:styleId="7">
    <w:name w:val="heading 4"/>
    <w:basedOn w:val="1"/>
    <w:next w:val="1"/>
    <w:link w:val="147"/>
    <w:unhideWhenUsed/>
    <w:qFormat/>
    <w:uiPriority w:val="9"/>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8">
    <w:name w:val="heading 5"/>
    <w:basedOn w:val="1"/>
    <w:next w:val="1"/>
    <w:link w:val="148"/>
    <w:unhideWhenUsed/>
    <w:qFormat/>
    <w:uiPriority w:val="0"/>
    <w:pPr>
      <w:keepNext/>
      <w:keepLines/>
      <w:adjustRightInd w:val="0"/>
      <w:spacing w:before="280" w:after="290" w:line="376" w:lineRule="atLeast"/>
      <w:textAlignment w:val="baseline"/>
      <w:outlineLvl w:val="4"/>
    </w:pPr>
    <w:rPr>
      <w:b/>
      <w:kern w:val="0"/>
      <w:sz w:val="28"/>
      <w:szCs w:val="24"/>
    </w:rPr>
  </w:style>
  <w:style w:type="paragraph" w:styleId="9">
    <w:name w:val="heading 6"/>
    <w:basedOn w:val="1"/>
    <w:next w:val="1"/>
    <w:link w:val="149"/>
    <w:unhideWhenUsed/>
    <w:qFormat/>
    <w:uiPriority w:val="0"/>
    <w:pPr>
      <w:keepNext/>
      <w:keepLines/>
      <w:ind w:firstLine="200" w:firstLineChars="200"/>
      <w:outlineLvl w:val="5"/>
    </w:pPr>
    <w:rPr>
      <w:rFonts w:ascii="Arial" w:hAnsi="Arial" w:cstheme="minorBidi"/>
      <w:sz w:val="24"/>
      <w:szCs w:val="24"/>
    </w:rPr>
  </w:style>
  <w:style w:type="paragraph" w:styleId="10">
    <w:name w:val="heading 7"/>
    <w:basedOn w:val="1"/>
    <w:next w:val="1"/>
    <w:link w:val="150"/>
    <w:unhideWhenUsed/>
    <w:qFormat/>
    <w:uiPriority w:val="0"/>
    <w:pPr>
      <w:keepNext/>
      <w:keepLines/>
      <w:numPr>
        <w:ilvl w:val="6"/>
        <w:numId w:val="1"/>
      </w:numPr>
      <w:spacing w:before="240" w:after="64" w:line="317" w:lineRule="auto"/>
      <w:outlineLvl w:val="6"/>
    </w:pPr>
    <w:rPr>
      <w:rFonts w:ascii="Arial" w:hAnsi="Arial" w:cstheme="minorBidi"/>
      <w:b/>
      <w:sz w:val="24"/>
      <w:szCs w:val="24"/>
    </w:rPr>
  </w:style>
  <w:style w:type="paragraph" w:styleId="11">
    <w:name w:val="heading 8"/>
    <w:basedOn w:val="1"/>
    <w:next w:val="1"/>
    <w:link w:val="151"/>
    <w:unhideWhenUsed/>
    <w:qFormat/>
    <w:uiPriority w:val="0"/>
    <w:pPr>
      <w:keepNext/>
      <w:keepLines/>
      <w:numPr>
        <w:ilvl w:val="7"/>
        <w:numId w:val="1"/>
      </w:numPr>
      <w:spacing w:before="240" w:after="64" w:line="317" w:lineRule="auto"/>
      <w:outlineLvl w:val="7"/>
    </w:pPr>
    <w:rPr>
      <w:rFonts w:ascii="Arial" w:hAnsi="Arial" w:cstheme="minorBidi"/>
      <w:b/>
      <w:sz w:val="22"/>
      <w:szCs w:val="24"/>
    </w:rPr>
  </w:style>
  <w:style w:type="paragraph" w:styleId="12">
    <w:name w:val="heading 9"/>
    <w:basedOn w:val="1"/>
    <w:next w:val="1"/>
    <w:link w:val="152"/>
    <w:unhideWhenUsed/>
    <w:qFormat/>
    <w:uiPriority w:val="0"/>
    <w:pPr>
      <w:keepNext/>
      <w:keepLines/>
      <w:numPr>
        <w:ilvl w:val="8"/>
        <w:numId w:val="1"/>
      </w:numPr>
      <w:spacing w:before="240" w:after="64" w:line="317" w:lineRule="auto"/>
      <w:outlineLvl w:val="8"/>
    </w:pPr>
    <w:rPr>
      <w:rFonts w:ascii="Arial" w:hAnsi="Arial" w:eastAsia="黑体" w:cstheme="minorBidi"/>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8"/>
    <w:semiHidden/>
    <w:unhideWhenUsed/>
    <w:qFormat/>
    <w:uiPriority w:val="99"/>
    <w:rPr>
      <w:rFonts w:ascii="宋体"/>
      <w:sz w:val="24"/>
    </w:rPr>
  </w:style>
  <w:style w:type="paragraph" w:styleId="3">
    <w:name w:val="toc 5"/>
    <w:basedOn w:val="1"/>
    <w:next w:val="1"/>
    <w:unhideWhenUsed/>
    <w:qFormat/>
    <w:uiPriority w:val="39"/>
    <w:pPr>
      <w:ind w:left="840"/>
      <w:jc w:val="left"/>
    </w:pPr>
    <w:rPr>
      <w:sz w:val="18"/>
      <w:szCs w:val="18"/>
    </w:rPr>
  </w:style>
  <w:style w:type="paragraph" w:styleId="13">
    <w:name w:val="toc 7"/>
    <w:basedOn w:val="1"/>
    <w:next w:val="1"/>
    <w:semiHidden/>
    <w:unhideWhenUsed/>
    <w:qFormat/>
    <w:uiPriority w:val="39"/>
    <w:pPr>
      <w:ind w:left="1260"/>
      <w:jc w:val="left"/>
    </w:pPr>
    <w:rPr>
      <w:sz w:val="18"/>
      <w:szCs w:val="18"/>
    </w:rPr>
  </w:style>
  <w:style w:type="paragraph" w:styleId="14">
    <w:name w:val="Normal Indent"/>
    <w:basedOn w:val="1"/>
    <w:semiHidden/>
    <w:unhideWhenUsed/>
    <w:qFormat/>
    <w:uiPriority w:val="99"/>
    <w:pPr>
      <w:ind w:firstLine="420"/>
    </w:pPr>
  </w:style>
  <w:style w:type="paragraph" w:styleId="15">
    <w:name w:val="caption"/>
    <w:basedOn w:val="1"/>
    <w:next w:val="1"/>
    <w:unhideWhenUsed/>
    <w:qFormat/>
    <w:uiPriority w:val="0"/>
    <w:rPr>
      <w:rFonts w:ascii="Cambria" w:hAnsi="Cambria" w:eastAsia="黑体"/>
      <w:snapToGrid/>
      <w:kern w:val="2"/>
      <w:sz w:val="20"/>
      <w:szCs w:val="20"/>
    </w:rPr>
  </w:style>
  <w:style w:type="paragraph" w:styleId="16">
    <w:name w:val="Document Map"/>
    <w:basedOn w:val="1"/>
    <w:qFormat/>
    <w:uiPriority w:val="99"/>
    <w:pPr>
      <w:shd w:val="clear" w:color="auto" w:fill="000080"/>
    </w:pPr>
  </w:style>
  <w:style w:type="paragraph" w:styleId="17">
    <w:name w:val="annotation text"/>
    <w:basedOn w:val="1"/>
    <w:link w:val="164"/>
    <w:unhideWhenUsed/>
    <w:qFormat/>
    <w:uiPriority w:val="99"/>
    <w:pPr>
      <w:jc w:val="left"/>
    </w:pPr>
  </w:style>
  <w:style w:type="paragraph" w:styleId="18">
    <w:name w:val="Body Text 3"/>
    <w:basedOn w:val="1"/>
    <w:semiHidden/>
    <w:unhideWhenUsed/>
    <w:qFormat/>
    <w:uiPriority w:val="99"/>
    <w:pPr>
      <w:spacing w:after="120"/>
    </w:pPr>
    <w:rPr>
      <w:sz w:val="16"/>
      <w:szCs w:val="16"/>
    </w:rPr>
  </w:style>
  <w:style w:type="paragraph" w:styleId="19">
    <w:name w:val="Body Text Indent"/>
    <w:basedOn w:val="1"/>
    <w:next w:val="20"/>
    <w:link w:val="61"/>
    <w:semiHidden/>
    <w:unhideWhenUsed/>
    <w:qFormat/>
    <w:uiPriority w:val="99"/>
    <w:pPr>
      <w:spacing w:line="460" w:lineRule="exact"/>
      <w:ind w:firstLine="510"/>
    </w:pPr>
  </w:style>
  <w:style w:type="paragraph" w:customStyle="1" w:styleId="20">
    <w:name w:val="样式 正文文字缩进 + 小四 首行缩进:  2 字符"/>
    <w:basedOn w:val="1"/>
    <w:qFormat/>
    <w:uiPriority w:val="0"/>
    <w:pPr>
      <w:spacing w:line="600" w:lineRule="exact"/>
      <w:jc w:val="center"/>
    </w:pPr>
    <w:rPr>
      <w:rFonts w:ascii="宋体"/>
      <w:b/>
      <w:u w:val="double"/>
    </w:rPr>
  </w:style>
  <w:style w:type="paragraph" w:styleId="21">
    <w:name w:val="toc 3"/>
    <w:basedOn w:val="1"/>
    <w:next w:val="1"/>
    <w:unhideWhenUsed/>
    <w:qFormat/>
    <w:uiPriority w:val="39"/>
    <w:pPr>
      <w:ind w:left="420"/>
      <w:jc w:val="left"/>
    </w:pPr>
    <w:rPr>
      <w:i/>
      <w:iCs/>
      <w:sz w:val="20"/>
    </w:rPr>
  </w:style>
  <w:style w:type="paragraph" w:styleId="22">
    <w:name w:val="Plain Text"/>
    <w:basedOn w:val="1"/>
    <w:next w:val="1"/>
    <w:link w:val="156"/>
    <w:qFormat/>
    <w:uiPriority w:val="0"/>
    <w:rPr>
      <w:rFonts w:ascii="宋体"/>
    </w:rPr>
  </w:style>
  <w:style w:type="paragraph" w:styleId="23">
    <w:name w:val="toc 8"/>
    <w:basedOn w:val="1"/>
    <w:next w:val="1"/>
    <w:semiHidden/>
    <w:unhideWhenUsed/>
    <w:qFormat/>
    <w:uiPriority w:val="39"/>
    <w:pPr>
      <w:ind w:left="1470"/>
      <w:jc w:val="left"/>
    </w:pPr>
    <w:rPr>
      <w:sz w:val="18"/>
      <w:szCs w:val="18"/>
    </w:rPr>
  </w:style>
  <w:style w:type="paragraph" w:styleId="24">
    <w:name w:val="Date"/>
    <w:basedOn w:val="1"/>
    <w:next w:val="1"/>
    <w:link w:val="163"/>
    <w:semiHidden/>
    <w:unhideWhenUsed/>
    <w:qFormat/>
    <w:uiPriority w:val="99"/>
    <w:rPr>
      <w:kern w:val="0"/>
      <w:sz w:val="28"/>
    </w:rPr>
  </w:style>
  <w:style w:type="paragraph" w:styleId="25">
    <w:name w:val="Body Text Indent 2"/>
    <w:basedOn w:val="1"/>
    <w:link w:val="94"/>
    <w:semiHidden/>
    <w:unhideWhenUsed/>
    <w:qFormat/>
    <w:uiPriority w:val="99"/>
    <w:pPr>
      <w:spacing w:line="500" w:lineRule="exact"/>
      <w:ind w:firstLine="510"/>
    </w:pPr>
    <w:rPr>
      <w:rFonts w:ascii="宋体"/>
      <w:sz w:val="24"/>
    </w:rPr>
  </w:style>
  <w:style w:type="paragraph" w:styleId="26">
    <w:name w:val="Balloon Text"/>
    <w:basedOn w:val="1"/>
    <w:link w:val="155"/>
    <w:semiHidden/>
    <w:unhideWhenUsed/>
    <w:qFormat/>
    <w:uiPriority w:val="99"/>
    <w:rPr>
      <w:sz w:val="18"/>
      <w:szCs w:val="18"/>
    </w:rPr>
  </w:style>
  <w:style w:type="paragraph" w:styleId="27">
    <w:name w:val="footer"/>
    <w:basedOn w:val="1"/>
    <w:link w:val="153"/>
    <w:qFormat/>
    <w:uiPriority w:val="99"/>
    <w:pPr>
      <w:tabs>
        <w:tab w:val="center" w:pos="4153"/>
        <w:tab w:val="right" w:pos="8306"/>
      </w:tabs>
      <w:snapToGrid w:val="0"/>
      <w:jc w:val="left"/>
    </w:pPr>
    <w:rPr>
      <w:sz w:val="18"/>
    </w:rPr>
  </w:style>
  <w:style w:type="paragraph" w:styleId="28">
    <w:name w:val="header"/>
    <w:basedOn w:val="1"/>
    <w:link w:val="154"/>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unhideWhenUsed/>
    <w:qFormat/>
    <w:uiPriority w:val="39"/>
    <w:pPr>
      <w:tabs>
        <w:tab w:val="right" w:leader="dot" w:pos="9663"/>
      </w:tabs>
      <w:spacing w:before="120" w:after="120"/>
      <w:jc w:val="left"/>
    </w:pPr>
    <w:rPr>
      <w:b/>
      <w:bCs/>
      <w:caps/>
      <w:sz w:val="28"/>
      <w:szCs w:val="28"/>
    </w:rPr>
  </w:style>
  <w:style w:type="paragraph" w:styleId="30">
    <w:name w:val="toc 4"/>
    <w:basedOn w:val="1"/>
    <w:next w:val="1"/>
    <w:unhideWhenUsed/>
    <w:qFormat/>
    <w:uiPriority w:val="39"/>
    <w:pPr>
      <w:ind w:left="630"/>
      <w:jc w:val="left"/>
    </w:pPr>
    <w:rPr>
      <w:sz w:val="18"/>
      <w:szCs w:val="18"/>
    </w:rPr>
  </w:style>
  <w:style w:type="paragraph" w:styleId="31">
    <w:name w:val="toc 6"/>
    <w:basedOn w:val="1"/>
    <w:next w:val="1"/>
    <w:semiHidden/>
    <w:unhideWhenUsed/>
    <w:qFormat/>
    <w:uiPriority w:val="39"/>
    <w:pPr>
      <w:ind w:left="1050"/>
      <w:jc w:val="left"/>
    </w:pPr>
    <w:rPr>
      <w:sz w:val="18"/>
      <w:szCs w:val="18"/>
    </w:rPr>
  </w:style>
  <w:style w:type="paragraph" w:styleId="32">
    <w:name w:val="Body Text Indent 3"/>
    <w:basedOn w:val="1"/>
    <w:semiHidden/>
    <w:unhideWhenUsed/>
    <w:qFormat/>
    <w:uiPriority w:val="99"/>
    <w:pPr>
      <w:spacing w:line="500" w:lineRule="exact"/>
      <w:ind w:firstLine="510"/>
    </w:pPr>
    <w:rPr>
      <w:rFonts w:ascii="宋体"/>
      <w:color w:val="000000"/>
      <w:sz w:val="26"/>
    </w:rPr>
  </w:style>
  <w:style w:type="paragraph" w:styleId="33">
    <w:name w:val="table of figures"/>
    <w:basedOn w:val="1"/>
    <w:next w:val="1"/>
    <w:semiHidden/>
    <w:unhideWhenUsed/>
    <w:qFormat/>
    <w:uiPriority w:val="99"/>
    <w:pPr>
      <w:ind w:left="840" w:hanging="420"/>
    </w:pPr>
  </w:style>
  <w:style w:type="paragraph" w:styleId="34">
    <w:name w:val="toc 2"/>
    <w:basedOn w:val="1"/>
    <w:next w:val="1"/>
    <w:unhideWhenUsed/>
    <w:qFormat/>
    <w:uiPriority w:val="39"/>
    <w:pPr>
      <w:ind w:left="210"/>
      <w:jc w:val="left"/>
    </w:pPr>
    <w:rPr>
      <w:smallCaps/>
      <w:sz w:val="20"/>
    </w:rPr>
  </w:style>
  <w:style w:type="paragraph" w:styleId="35">
    <w:name w:val="toc 9"/>
    <w:basedOn w:val="1"/>
    <w:next w:val="1"/>
    <w:semiHidden/>
    <w:unhideWhenUsed/>
    <w:qFormat/>
    <w:uiPriority w:val="39"/>
    <w:pPr>
      <w:ind w:left="1680"/>
      <w:jc w:val="left"/>
    </w:pPr>
    <w:rPr>
      <w:sz w:val="18"/>
      <w:szCs w:val="18"/>
    </w:rPr>
  </w:style>
  <w:style w:type="paragraph" w:styleId="36">
    <w:name w:val="Normal (Web)"/>
    <w:basedOn w:val="1"/>
    <w:link w:val="139"/>
    <w:semiHidden/>
    <w:unhideWhenUsed/>
    <w:qFormat/>
    <w:uiPriority w:val="99"/>
    <w:pPr>
      <w:widowControl/>
      <w:spacing w:before="100" w:beforeAutospacing="1" w:after="100" w:afterAutospacing="1"/>
      <w:jc w:val="left"/>
    </w:pPr>
    <w:rPr>
      <w:rFonts w:ascii="宋体" w:hAnsi="宋体"/>
      <w:kern w:val="0"/>
      <w:sz w:val="24"/>
      <w:szCs w:val="24"/>
    </w:rPr>
  </w:style>
  <w:style w:type="paragraph" w:styleId="37">
    <w:name w:val="Title"/>
    <w:basedOn w:val="1"/>
    <w:next w:val="1"/>
    <w:qFormat/>
    <w:uiPriority w:val="1"/>
    <w:pPr>
      <w:spacing w:before="240" w:after="60"/>
      <w:jc w:val="center"/>
      <w:outlineLvl w:val="0"/>
    </w:pPr>
    <w:rPr>
      <w:rFonts w:ascii="Arial" w:hAnsi="Arial"/>
      <w:b/>
      <w:sz w:val="32"/>
    </w:rPr>
  </w:style>
  <w:style w:type="paragraph" w:styleId="38">
    <w:name w:val="annotation subject"/>
    <w:basedOn w:val="17"/>
    <w:next w:val="17"/>
    <w:link w:val="165"/>
    <w:semiHidden/>
    <w:unhideWhenUsed/>
    <w:qFormat/>
    <w:uiPriority w:val="99"/>
    <w:rPr>
      <w:b/>
      <w:bCs/>
    </w:rPr>
  </w:style>
  <w:style w:type="paragraph" w:styleId="39">
    <w:name w:val="Body Text First Indent"/>
    <w:basedOn w:val="2"/>
    <w:qFormat/>
    <w:uiPriority w:val="0"/>
    <w:pPr>
      <w:spacing w:line="312" w:lineRule="auto"/>
      <w:ind w:firstLine="420"/>
    </w:pPr>
  </w:style>
  <w:style w:type="paragraph" w:styleId="40">
    <w:name w:val="Body Text First Indent 2"/>
    <w:basedOn w:val="19"/>
    <w:qFormat/>
    <w:uiPriority w:val="99"/>
    <w:pPr>
      <w:ind w:firstLine="420" w:firstLineChars="200"/>
    </w:p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bCs/>
    </w:rPr>
  </w:style>
  <w:style w:type="character" w:styleId="45">
    <w:name w:val="page number"/>
    <w:basedOn w:val="43"/>
    <w:semiHidden/>
    <w:unhideWhenUsed/>
    <w:qFormat/>
    <w:uiPriority w:val="99"/>
  </w:style>
  <w:style w:type="character" w:styleId="46">
    <w:name w:val="FollowedHyperlink"/>
    <w:basedOn w:val="43"/>
    <w:semiHidden/>
    <w:unhideWhenUsed/>
    <w:qFormat/>
    <w:uiPriority w:val="99"/>
    <w:rPr>
      <w:rFonts w:hint="eastAsia" w:ascii="宋体" w:hAnsi="宋体" w:eastAsia="宋体" w:cs="宋体"/>
      <w:color w:val="0033CC"/>
      <w:sz w:val="18"/>
      <w:szCs w:val="18"/>
      <w:u w:val="none"/>
    </w:rPr>
  </w:style>
  <w:style w:type="character" w:styleId="47">
    <w:name w:val="Emphasis"/>
    <w:basedOn w:val="43"/>
    <w:qFormat/>
    <w:uiPriority w:val="20"/>
    <w:rPr>
      <w:i/>
    </w:rPr>
  </w:style>
  <w:style w:type="character" w:styleId="48">
    <w:name w:val="HTML Definition"/>
    <w:basedOn w:val="43"/>
    <w:semiHidden/>
    <w:unhideWhenUsed/>
    <w:qFormat/>
    <w:uiPriority w:val="99"/>
    <w:rPr>
      <w:i/>
    </w:rPr>
  </w:style>
  <w:style w:type="character" w:styleId="49">
    <w:name w:val="Hyperlink"/>
    <w:basedOn w:val="43"/>
    <w:unhideWhenUsed/>
    <w:qFormat/>
    <w:uiPriority w:val="99"/>
    <w:rPr>
      <w:rFonts w:hint="eastAsia" w:ascii="宋体" w:hAnsi="宋体" w:eastAsia="宋体" w:cs="宋体"/>
      <w:color w:val="0033CC"/>
      <w:sz w:val="18"/>
      <w:szCs w:val="18"/>
      <w:u w:val="none"/>
    </w:rPr>
  </w:style>
  <w:style w:type="character" w:styleId="50">
    <w:name w:val="HTML Code"/>
    <w:basedOn w:val="43"/>
    <w:semiHidden/>
    <w:unhideWhenUsed/>
    <w:qFormat/>
    <w:uiPriority w:val="99"/>
    <w:rPr>
      <w:rFonts w:hint="default" w:ascii="Consolas" w:hAnsi="Consolas" w:eastAsia="Consolas" w:cs="Consolas"/>
      <w:color w:val="C7254E"/>
      <w:sz w:val="21"/>
      <w:szCs w:val="21"/>
      <w:shd w:val="clear" w:color="auto" w:fill="F9F2F4"/>
    </w:rPr>
  </w:style>
  <w:style w:type="character" w:styleId="51">
    <w:name w:val="annotation reference"/>
    <w:semiHidden/>
    <w:unhideWhenUsed/>
    <w:qFormat/>
    <w:uiPriority w:val="99"/>
    <w:rPr>
      <w:sz w:val="21"/>
      <w:szCs w:val="21"/>
    </w:rPr>
  </w:style>
  <w:style w:type="character" w:styleId="52">
    <w:name w:val="HTML Keyboard"/>
    <w:basedOn w:val="43"/>
    <w:semiHidden/>
    <w:unhideWhenUsed/>
    <w:qFormat/>
    <w:uiPriority w:val="99"/>
    <w:rPr>
      <w:rFonts w:hint="default" w:ascii="Consolas" w:hAnsi="Consolas" w:eastAsia="Consolas" w:cs="Consolas"/>
      <w:vanish/>
      <w:color w:val="FFFFFF"/>
      <w:sz w:val="21"/>
      <w:szCs w:val="21"/>
      <w:shd w:val="clear" w:color="auto" w:fill="333333"/>
    </w:rPr>
  </w:style>
  <w:style w:type="character" w:styleId="53">
    <w:name w:val="HTML Sample"/>
    <w:basedOn w:val="43"/>
    <w:semiHidden/>
    <w:unhideWhenUsed/>
    <w:qFormat/>
    <w:uiPriority w:val="99"/>
    <w:rPr>
      <w:rFonts w:ascii="Consolas" w:hAnsi="Consolas" w:eastAsia="Consolas" w:cs="Consolas"/>
      <w:sz w:val="21"/>
      <w:szCs w:val="21"/>
    </w:rPr>
  </w:style>
  <w:style w:type="character" w:customStyle="1" w:styleId="54">
    <w:name w:val="标题 1 Char"/>
    <w:basedOn w:val="43"/>
    <w:qFormat/>
    <w:uiPriority w:val="0"/>
    <w:rPr>
      <w:rFonts w:ascii="Arial" w:hAnsi="Arial" w:eastAsia="宋体" w:cs="Times New Roman"/>
      <w:b/>
      <w:kern w:val="44"/>
      <w:sz w:val="32"/>
      <w:szCs w:val="24"/>
    </w:rPr>
  </w:style>
  <w:style w:type="character" w:customStyle="1" w:styleId="55">
    <w:name w:val="标题 2 字符1"/>
    <w:basedOn w:val="43"/>
    <w:link w:val="5"/>
    <w:qFormat/>
    <w:uiPriority w:val="0"/>
    <w:rPr>
      <w:rFonts w:ascii="Arial" w:hAnsi="Arial" w:eastAsia="宋体" w:cs="Times New Roman"/>
      <w:b/>
      <w:sz w:val="30"/>
      <w:szCs w:val="24"/>
    </w:rPr>
  </w:style>
  <w:style w:type="character" w:customStyle="1" w:styleId="56">
    <w:name w:val="style131"/>
    <w:qFormat/>
    <w:uiPriority w:val="0"/>
    <w:rPr>
      <w:sz w:val="18"/>
      <w:szCs w:val="18"/>
    </w:rPr>
  </w:style>
  <w:style w:type="character" w:customStyle="1" w:styleId="57">
    <w:name w:val="标题 4 字符"/>
    <w:qFormat/>
    <w:uiPriority w:val="0"/>
    <w:rPr>
      <w:rFonts w:ascii="Arial" w:hAnsi="Arial" w:eastAsia="黑体"/>
      <w:sz w:val="28"/>
    </w:rPr>
  </w:style>
  <w:style w:type="character" w:customStyle="1" w:styleId="58">
    <w:name w:val="正文文本 字符"/>
    <w:link w:val="2"/>
    <w:qFormat/>
    <w:uiPriority w:val="0"/>
    <w:rPr>
      <w:rFonts w:ascii="宋体"/>
      <w:kern w:val="2"/>
      <w:sz w:val="24"/>
    </w:rPr>
  </w:style>
  <w:style w:type="character" w:customStyle="1" w:styleId="59">
    <w:name w:val="GW-正文 Char"/>
    <w:link w:val="60"/>
    <w:qFormat/>
    <w:uiPriority w:val="0"/>
    <w:rPr>
      <w:rFonts w:eastAsia="仿宋_GB2312"/>
      <w:kern w:val="2"/>
      <w:sz w:val="24"/>
      <w:szCs w:val="24"/>
    </w:rPr>
  </w:style>
  <w:style w:type="paragraph" w:customStyle="1" w:styleId="60">
    <w:name w:val="GW-正文"/>
    <w:basedOn w:val="1"/>
    <w:link w:val="59"/>
    <w:qFormat/>
    <w:uiPriority w:val="0"/>
    <w:pPr>
      <w:spacing w:line="360" w:lineRule="auto"/>
      <w:ind w:firstLine="200" w:firstLineChars="200"/>
    </w:pPr>
    <w:rPr>
      <w:rFonts w:eastAsia="仿宋_GB2312"/>
      <w:sz w:val="24"/>
      <w:szCs w:val="24"/>
    </w:rPr>
  </w:style>
  <w:style w:type="character" w:customStyle="1" w:styleId="61">
    <w:name w:val="正文文本缩进 字符"/>
    <w:link w:val="19"/>
    <w:qFormat/>
    <w:uiPriority w:val="0"/>
    <w:rPr>
      <w:kern w:val="2"/>
      <w:sz w:val="21"/>
    </w:rPr>
  </w:style>
  <w:style w:type="character" w:customStyle="1" w:styleId="62">
    <w:name w:val="纯文本 字符"/>
    <w:qFormat/>
    <w:uiPriority w:val="99"/>
    <w:rPr>
      <w:rFonts w:ascii="宋体" w:eastAsia="宋体"/>
      <w:kern w:val="2"/>
      <w:sz w:val="21"/>
      <w:lang w:val="en-US" w:eastAsia="zh-CN" w:bidi="ar-SA"/>
    </w:rPr>
  </w:style>
  <w:style w:type="paragraph" w:customStyle="1" w:styleId="63">
    <w:name w:val="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正文 New New New"/>
    <w:qFormat/>
    <w:uiPriority w:val="0"/>
    <w:pPr>
      <w:jc w:val="both"/>
    </w:pPr>
    <w:rPr>
      <w:rFonts w:ascii="Times New Roman" w:hAnsi="Times New Roman" w:eastAsia="宋体" w:cs="Times New Roman"/>
      <w:kern w:val="2"/>
      <w:sz w:val="21"/>
      <w:lang w:val="en-US" w:eastAsia="zh-CN" w:bidi="ar-SA"/>
    </w:rPr>
  </w:style>
  <w:style w:type="paragraph" w:customStyle="1" w:styleId="65">
    <w:name w:val="修订1"/>
    <w:semiHidden/>
    <w:qFormat/>
    <w:uiPriority w:val="99"/>
    <w:rPr>
      <w:rFonts w:ascii="Times New Roman" w:hAnsi="Times New Roman" w:eastAsia="宋体" w:cs="Times New Roman"/>
      <w:kern w:val="2"/>
      <w:sz w:val="21"/>
      <w:lang w:val="en-US" w:eastAsia="zh-CN" w:bidi="ar-SA"/>
    </w:rPr>
  </w:style>
  <w:style w:type="paragraph" w:customStyle="1" w:styleId="66">
    <w:name w:val="Char Char Char Char"/>
    <w:basedOn w:val="1"/>
    <w:qFormat/>
    <w:uiPriority w:val="0"/>
    <w:rPr>
      <w:szCs w:val="24"/>
    </w:rPr>
  </w:style>
  <w:style w:type="paragraph" w:customStyle="1" w:styleId="67">
    <w:name w:val="目录"/>
    <w:basedOn w:val="1"/>
    <w:qFormat/>
    <w:uiPriority w:val="0"/>
    <w:pPr>
      <w:widowControl/>
      <w:jc w:val="center"/>
    </w:pPr>
    <w:rPr>
      <w:rFonts w:ascii="宋体"/>
      <w:b/>
      <w:kern w:val="0"/>
      <w:sz w:val="36"/>
    </w:rPr>
  </w:style>
  <w:style w:type="paragraph" w:customStyle="1" w:styleId="6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9">
    <w:name w:val="子弹１"/>
    <w:basedOn w:val="70"/>
    <w:qFormat/>
    <w:uiPriority w:val="0"/>
    <w:pPr>
      <w:tabs>
        <w:tab w:val="left" w:pos="873"/>
        <w:tab w:val="left" w:pos="1134"/>
        <w:tab w:val="right" w:pos="9356"/>
      </w:tabs>
    </w:pPr>
  </w:style>
  <w:style w:type="paragraph" w:customStyle="1" w:styleId="70">
    <w:name w:val="子弹"/>
    <w:basedOn w:val="1"/>
    <w:qFormat/>
    <w:uiPriority w:val="0"/>
    <w:pPr>
      <w:tabs>
        <w:tab w:val="left" w:pos="1134"/>
        <w:tab w:val="right" w:pos="9356"/>
      </w:tabs>
      <w:ind w:left="720" w:hanging="360"/>
    </w:pPr>
    <w:rPr>
      <w:rFonts w:ascii="新宋体" w:hAnsi="新宋体" w:eastAsia="新宋体"/>
      <w:sz w:val="28"/>
      <w:szCs w:val="28"/>
    </w:rPr>
  </w:style>
  <w:style w:type="paragraph" w:customStyle="1" w:styleId="7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
    <w:name w:val="列出段落1"/>
    <w:basedOn w:val="1"/>
    <w:qFormat/>
    <w:uiPriority w:val="34"/>
    <w:pPr>
      <w:ind w:firstLine="420" w:firstLineChars="200"/>
    </w:pPr>
    <w:rPr>
      <w:szCs w:val="24"/>
    </w:rPr>
  </w:style>
  <w:style w:type="paragraph" w:customStyle="1" w:styleId="7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4">
    <w:name w:val="Char Char Char Char1"/>
    <w:basedOn w:val="16"/>
    <w:qFormat/>
    <w:uiPriority w:val="0"/>
    <w:pPr>
      <w:adjustRightInd w:val="0"/>
      <w:snapToGrid w:val="0"/>
      <w:spacing w:line="360" w:lineRule="auto"/>
    </w:pPr>
    <w:rPr>
      <w:rFonts w:ascii="Tahoma" w:hAnsi="Tahoma"/>
      <w:sz w:val="24"/>
      <w:szCs w:val="24"/>
    </w:rPr>
  </w:style>
  <w:style w:type="paragraph" w:customStyle="1" w:styleId="75">
    <w:name w:val="默认段落字体 Para Char Char Char Char"/>
    <w:basedOn w:val="1"/>
    <w:qFormat/>
    <w:uiPriority w:val="0"/>
    <w:rPr>
      <w:szCs w:val="24"/>
    </w:rPr>
  </w:style>
  <w:style w:type="paragraph" w:customStyle="1" w:styleId="76">
    <w:name w:val="Char Char1"/>
    <w:basedOn w:val="1"/>
    <w:qFormat/>
    <w:uiPriority w:val="0"/>
    <w:pPr>
      <w:widowControl/>
      <w:spacing w:after="160" w:line="240" w:lineRule="exact"/>
      <w:jc w:val="left"/>
    </w:pPr>
    <w:rPr>
      <w:rFonts w:ascii="Verdana" w:hAnsi="Verdana" w:eastAsia="仿宋_GB2312"/>
      <w:kern w:val="0"/>
      <w:sz w:val="20"/>
      <w:lang w:eastAsia="en-US"/>
    </w:rPr>
  </w:style>
  <w:style w:type="paragraph" w:customStyle="1" w:styleId="77">
    <w:name w:val="列出段落11"/>
    <w:basedOn w:val="1"/>
    <w:qFormat/>
    <w:uiPriority w:val="0"/>
    <w:pPr>
      <w:ind w:firstLine="420" w:firstLineChars="200"/>
    </w:pPr>
    <w:rPr>
      <w:rFonts w:ascii="Calibri" w:hAnsi="Calibri"/>
      <w:szCs w:val="22"/>
    </w:rPr>
  </w:style>
  <w:style w:type="paragraph" w:customStyle="1" w:styleId="78">
    <w:name w:val="Char1"/>
    <w:basedOn w:val="1"/>
    <w:qFormat/>
    <w:uiPriority w:val="0"/>
    <w:rPr>
      <w:rFonts w:ascii="Tahoma" w:hAnsi="Tahoma"/>
      <w:sz w:val="24"/>
    </w:rPr>
  </w:style>
  <w:style w:type="paragraph" w:customStyle="1" w:styleId="79">
    <w:name w:val="样式1"/>
    <w:basedOn w:val="5"/>
    <w:qFormat/>
    <w:uiPriority w:val="0"/>
    <w:pPr>
      <w:adjustRightInd w:val="0"/>
      <w:spacing w:line="416" w:lineRule="atLeast"/>
      <w:jc w:val="left"/>
      <w:textAlignment w:val="baseline"/>
    </w:pPr>
    <w:rPr>
      <w:rFonts w:eastAsia="黑体"/>
      <w:spacing w:val="0"/>
      <w:kern w:val="0"/>
      <w:sz w:val="30"/>
    </w:rPr>
  </w:style>
  <w:style w:type="character" w:customStyle="1" w:styleId="80">
    <w:name w:val="批注框文本 字符"/>
    <w:qFormat/>
    <w:uiPriority w:val="0"/>
    <w:rPr>
      <w:kern w:val="2"/>
      <w:sz w:val="18"/>
      <w:szCs w:val="18"/>
    </w:rPr>
  </w:style>
  <w:style w:type="character" w:customStyle="1" w:styleId="81">
    <w:name w:val="grame"/>
    <w:qFormat/>
    <w:uiPriority w:val="0"/>
  </w:style>
  <w:style w:type="character" w:customStyle="1" w:styleId="82">
    <w:name w:val="标题 5 字符"/>
    <w:basedOn w:val="43"/>
    <w:qFormat/>
    <w:uiPriority w:val="0"/>
    <w:rPr>
      <w:b/>
      <w:sz w:val="28"/>
      <w:szCs w:val="24"/>
    </w:rPr>
  </w:style>
  <w:style w:type="character" w:customStyle="1" w:styleId="83">
    <w:name w:val="日期 字符"/>
    <w:qFormat/>
    <w:uiPriority w:val="0"/>
    <w:rPr>
      <w:sz w:val="28"/>
    </w:rPr>
  </w:style>
  <w:style w:type="paragraph" w:customStyle="1" w:styleId="84">
    <w:name w:v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5">
    <w:name w:val="孙普文字 Char"/>
    <w:qFormat/>
    <w:uiPriority w:val="0"/>
    <w:rPr>
      <w:rFonts w:ascii="宋体" w:hAnsi="Times New Roman" w:eastAsia="宋体" w:cs="Times New Roman"/>
      <w:szCs w:val="20"/>
    </w:rPr>
  </w:style>
  <w:style w:type="character" w:customStyle="1" w:styleId="86">
    <w:name w:val="页脚 字符"/>
    <w:qFormat/>
    <w:uiPriority w:val="99"/>
    <w:rPr>
      <w:kern w:val="2"/>
      <w:sz w:val="18"/>
    </w:rPr>
  </w:style>
  <w:style w:type="character" w:customStyle="1" w:styleId="87">
    <w:name w:val="不明显强调1"/>
    <w:qFormat/>
    <w:uiPriority w:val="0"/>
    <w:rPr>
      <w:rFonts w:eastAsia="仿宋_GB2312"/>
      <w:iCs/>
      <w:color w:val="auto"/>
      <w:sz w:val="24"/>
    </w:rPr>
  </w:style>
  <w:style w:type="character" w:customStyle="1" w:styleId="88">
    <w:name w:val="标题 1 字符"/>
    <w:link w:val="4"/>
    <w:qFormat/>
    <w:uiPriority w:val="0"/>
    <w:rPr>
      <w:b/>
      <w:spacing w:val="20"/>
      <w:kern w:val="44"/>
      <w:sz w:val="32"/>
    </w:rPr>
  </w:style>
  <w:style w:type="character" w:customStyle="1" w:styleId="89">
    <w:name w:val="标题 3 字符"/>
    <w:qFormat/>
    <w:uiPriority w:val="0"/>
    <w:rPr>
      <w:rFonts w:ascii="宋体"/>
      <w:b/>
      <w:kern w:val="2"/>
      <w:sz w:val="24"/>
    </w:rPr>
  </w:style>
  <w:style w:type="character" w:customStyle="1" w:styleId="90">
    <w:name w:val="标题 3 Char1"/>
    <w:qFormat/>
    <w:uiPriority w:val="0"/>
    <w:rPr>
      <w:rFonts w:eastAsia="宋体"/>
      <w:b/>
      <w:bCs/>
      <w:kern w:val="2"/>
      <w:sz w:val="32"/>
      <w:szCs w:val="32"/>
      <w:lang w:val="en-US" w:eastAsia="zh-CN" w:bidi="ar-SA"/>
    </w:rPr>
  </w:style>
  <w:style w:type="character" w:customStyle="1" w:styleId="91">
    <w:name w:val="short_text1"/>
    <w:qFormat/>
    <w:uiPriority w:val="0"/>
    <w:rPr>
      <w:sz w:val="26"/>
      <w:szCs w:val="26"/>
    </w:rPr>
  </w:style>
  <w:style w:type="character" w:customStyle="1" w:styleId="92">
    <w:name w:val="标题 2 字符"/>
    <w:qFormat/>
    <w:uiPriority w:val="0"/>
    <w:rPr>
      <w:rFonts w:ascii="Arial" w:hAnsi="Arial"/>
      <w:b/>
      <w:color w:val="000000"/>
      <w:spacing w:val="40"/>
      <w:kern w:val="2"/>
      <w:sz w:val="32"/>
    </w:rPr>
  </w:style>
  <w:style w:type="character" w:customStyle="1" w:styleId="93">
    <w:name w:val="标题 3 字符1"/>
    <w:basedOn w:val="43"/>
    <w:link w:val="6"/>
    <w:qFormat/>
    <w:uiPriority w:val="0"/>
    <w:rPr>
      <w:rFonts w:eastAsia="宋体"/>
      <w:b/>
      <w:bCs/>
      <w:kern w:val="2"/>
      <w:sz w:val="32"/>
      <w:szCs w:val="32"/>
      <w:lang w:val="en-US" w:eastAsia="zh-CN" w:bidi="ar-SA"/>
    </w:rPr>
  </w:style>
  <w:style w:type="character" w:customStyle="1" w:styleId="94">
    <w:name w:val="正文文本缩进 2 字符"/>
    <w:link w:val="25"/>
    <w:qFormat/>
    <w:uiPriority w:val="0"/>
    <w:rPr>
      <w:rFonts w:ascii="宋体"/>
      <w:kern w:val="2"/>
      <w:sz w:val="24"/>
    </w:rPr>
  </w:style>
  <w:style w:type="character" w:customStyle="1" w:styleId="95">
    <w:name w:val="纯文本 Char2"/>
    <w:qFormat/>
    <w:uiPriority w:val="99"/>
    <w:rPr>
      <w:rFonts w:ascii="宋体" w:eastAsia="宋体"/>
      <w:kern w:val="2"/>
      <w:sz w:val="21"/>
      <w:lang w:val="en-US" w:eastAsia="zh-CN" w:bidi="ar-SA"/>
    </w:rPr>
  </w:style>
  <w:style w:type="character" w:customStyle="1" w:styleId="96">
    <w:name w:val="纯文本 Char1"/>
    <w:qFormat/>
    <w:uiPriority w:val="0"/>
    <w:rPr>
      <w:rFonts w:ascii="宋体" w:eastAsia="宋体"/>
      <w:kern w:val="2"/>
      <w:sz w:val="21"/>
      <w:lang w:val="en-US" w:eastAsia="zh-CN" w:bidi="ar-SA"/>
    </w:rPr>
  </w:style>
  <w:style w:type="paragraph" w:customStyle="1" w:styleId="97">
    <w:name w:val="抬头"/>
    <w:basedOn w:val="1"/>
    <w:qFormat/>
    <w:uiPriority w:val="0"/>
    <w:pPr>
      <w:spacing w:beforeLines="50" w:line="360" w:lineRule="auto"/>
    </w:pPr>
    <w:rPr>
      <w:rFonts w:ascii="宋体"/>
      <w:sz w:val="24"/>
      <w:szCs w:val="24"/>
    </w:rPr>
  </w:style>
  <w:style w:type="paragraph" w:customStyle="1" w:styleId="98">
    <w:name w:val="5"/>
    <w:basedOn w:val="1"/>
    <w:qFormat/>
    <w:uiPriority w:val="0"/>
    <w:pPr>
      <w:tabs>
        <w:tab w:val="right" w:pos="-2120"/>
      </w:tabs>
      <w:snapToGrid w:val="0"/>
    </w:pPr>
    <w:rPr>
      <w:rFonts w:ascii="Tahoma" w:hAnsi="Tahoma"/>
      <w:spacing w:val="6"/>
      <w:sz w:val="24"/>
    </w:rPr>
  </w:style>
  <w:style w:type="paragraph" w:customStyle="1" w:styleId="99">
    <w:name w:val="表格"/>
    <w:basedOn w:val="1"/>
    <w:qFormat/>
    <w:uiPriority w:val="0"/>
    <w:pPr>
      <w:tabs>
        <w:tab w:val="left" w:pos="1200"/>
      </w:tabs>
      <w:spacing w:line="500" w:lineRule="exact"/>
      <w:jc w:val="center"/>
    </w:pPr>
    <w:rPr>
      <w:rFonts w:ascii="宋体"/>
      <w:sz w:val="24"/>
      <w:szCs w:val="18"/>
    </w:rPr>
  </w:style>
  <w:style w:type="paragraph" w:customStyle="1" w:styleId="100">
    <w:name w:val="xl23"/>
    <w:next w:val="35"/>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01">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103">
    <w:name w:val="Absatz2AL"/>
    <w:basedOn w:val="2"/>
    <w:next w:val="1"/>
    <w:qFormat/>
    <w:uiPriority w:val="0"/>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04">
    <w:name w:val="_Style 1"/>
    <w:basedOn w:val="1"/>
    <w:qFormat/>
    <w:uiPriority w:val="34"/>
    <w:pPr>
      <w:spacing w:line="276" w:lineRule="auto"/>
      <w:ind w:left="720"/>
      <w:contextualSpacing/>
    </w:pPr>
    <w:rPr>
      <w:rFonts w:ascii="Calibri" w:hAnsi="Calibri"/>
      <w:szCs w:val="24"/>
    </w:rPr>
  </w:style>
  <w:style w:type="paragraph" w:customStyle="1" w:styleId="105">
    <w:name w:val="Char Char Char"/>
    <w:basedOn w:val="1"/>
    <w:qFormat/>
    <w:uiPriority w:val="0"/>
    <w:pPr>
      <w:ind w:firstLine="200" w:firstLineChars="200"/>
    </w:pPr>
    <w:rPr>
      <w:sz w:val="24"/>
      <w:szCs w:val="24"/>
    </w:rPr>
  </w:style>
  <w:style w:type="paragraph" w:customStyle="1" w:styleId="106">
    <w:name w:val="样式2"/>
    <w:basedOn w:val="1"/>
    <w:qFormat/>
    <w:uiPriority w:val="0"/>
    <w:pPr>
      <w:spacing w:line="360" w:lineRule="auto"/>
    </w:pPr>
    <w:rPr>
      <w:rFonts w:ascii="Century Gothic" w:hAnsi="Century Gothic" w:eastAsia="黑体"/>
      <w:b/>
      <w:sz w:val="32"/>
      <w:szCs w:val="30"/>
    </w:rPr>
  </w:style>
  <w:style w:type="paragraph" w:customStyle="1" w:styleId="107">
    <w:name w:val="Char13"/>
    <w:basedOn w:val="1"/>
    <w:qFormat/>
    <w:uiPriority w:val="0"/>
    <w:rPr>
      <w:szCs w:val="24"/>
    </w:rPr>
  </w:style>
  <w:style w:type="paragraph" w:customStyle="1" w:styleId="108">
    <w:name w:val="缺省文本"/>
    <w:basedOn w:val="1"/>
    <w:qFormat/>
    <w:uiPriority w:val="0"/>
    <w:pPr>
      <w:autoSpaceDE w:val="0"/>
      <w:autoSpaceDN w:val="0"/>
      <w:adjustRightInd w:val="0"/>
      <w:jc w:val="left"/>
    </w:pPr>
    <w:rPr>
      <w:kern w:val="0"/>
      <w:sz w:val="24"/>
    </w:rPr>
  </w:style>
  <w:style w:type="paragraph" w:customStyle="1" w:styleId="109">
    <w:name w:val="正文五号"/>
    <w:basedOn w:val="1"/>
    <w:qFormat/>
    <w:uiPriority w:val="0"/>
    <w:rPr>
      <w:rFonts w:ascii="宋体" w:eastAsia="仿宋_GB2312"/>
    </w:rPr>
  </w:style>
  <w:style w:type="paragraph" w:customStyle="1" w:styleId="110">
    <w:name w:val="Char Char1 Char Char"/>
    <w:basedOn w:val="1"/>
    <w:qFormat/>
    <w:uiPriority w:val="0"/>
    <w:pPr>
      <w:tabs>
        <w:tab w:val="left" w:pos="360"/>
      </w:tabs>
    </w:pPr>
  </w:style>
  <w:style w:type="paragraph" w:customStyle="1" w:styleId="11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spacing w:val="0"/>
      <w:kern w:val="0"/>
      <w:sz w:val="28"/>
      <w:szCs w:val="28"/>
    </w:rPr>
  </w:style>
  <w:style w:type="paragraph" w:customStyle="1" w:styleId="112">
    <w:name w:val="_Style 2"/>
    <w:basedOn w:val="1"/>
    <w:qFormat/>
    <w:uiPriority w:val="99"/>
    <w:pPr>
      <w:ind w:firstLine="420" w:firstLineChars="200"/>
    </w:pPr>
    <w:rPr>
      <w:szCs w:val="21"/>
    </w:rPr>
  </w:style>
  <w:style w:type="paragraph" w:customStyle="1" w:styleId="113">
    <w:name w:val="修订2"/>
    <w:hidden/>
    <w:semiHidden/>
    <w:qFormat/>
    <w:uiPriority w:val="99"/>
    <w:rPr>
      <w:rFonts w:ascii="Times New Roman" w:hAnsi="Times New Roman" w:eastAsia="宋体" w:cs="Times New Roman"/>
      <w:kern w:val="2"/>
      <w:sz w:val="21"/>
      <w:lang w:val="en-US" w:eastAsia="zh-CN" w:bidi="ar-SA"/>
    </w:rPr>
  </w:style>
  <w:style w:type="paragraph" w:customStyle="1" w:styleId="114">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15">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16">
    <w:name w:val="修订5"/>
    <w:hidden/>
    <w:unhideWhenUsed/>
    <w:qFormat/>
    <w:uiPriority w:val="99"/>
    <w:rPr>
      <w:rFonts w:ascii="Times New Roman" w:hAnsi="Times New Roman" w:eastAsia="宋体" w:cs="Times New Roman"/>
      <w:kern w:val="2"/>
      <w:sz w:val="21"/>
      <w:lang w:val="en-US" w:eastAsia="zh-CN" w:bidi="ar-SA"/>
    </w:rPr>
  </w:style>
  <w:style w:type="character" w:customStyle="1" w:styleId="117">
    <w:name w:val="无"/>
    <w:qFormat/>
    <w:uiPriority w:val="0"/>
  </w:style>
  <w:style w:type="paragraph" w:customStyle="1" w:styleId="118">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119">
    <w:name w:val="列出段落2"/>
    <w:basedOn w:val="1"/>
    <w:unhideWhenUsed/>
    <w:qFormat/>
    <w:uiPriority w:val="99"/>
    <w:pPr>
      <w:ind w:firstLine="420" w:firstLineChars="200"/>
    </w:pPr>
  </w:style>
  <w:style w:type="character" w:customStyle="1" w:styleId="120">
    <w:name w:val="hover1"/>
    <w:basedOn w:val="43"/>
    <w:qFormat/>
    <w:uiPriority w:val="0"/>
    <w:rPr>
      <w:shd w:val="clear" w:color="auto" w:fill="EEEEEE"/>
    </w:rPr>
  </w:style>
  <w:style w:type="character" w:customStyle="1" w:styleId="121">
    <w:name w:val="hour_am"/>
    <w:basedOn w:val="43"/>
    <w:qFormat/>
    <w:uiPriority w:val="0"/>
  </w:style>
  <w:style w:type="character" w:customStyle="1" w:styleId="122">
    <w:name w:val="icon"/>
    <w:basedOn w:val="43"/>
    <w:qFormat/>
    <w:uiPriority w:val="0"/>
  </w:style>
  <w:style w:type="character" w:customStyle="1" w:styleId="123">
    <w:name w:val="old"/>
    <w:basedOn w:val="43"/>
    <w:qFormat/>
    <w:uiPriority w:val="0"/>
    <w:rPr>
      <w:color w:val="999999"/>
    </w:rPr>
  </w:style>
  <w:style w:type="character" w:customStyle="1" w:styleId="124">
    <w:name w:val="hour_pm"/>
    <w:basedOn w:val="43"/>
    <w:qFormat/>
    <w:uiPriority w:val="0"/>
  </w:style>
  <w:style w:type="character" w:customStyle="1" w:styleId="125">
    <w:name w:val="glyphicon6"/>
    <w:basedOn w:val="43"/>
    <w:qFormat/>
    <w:uiPriority w:val="0"/>
  </w:style>
  <w:style w:type="character" w:customStyle="1" w:styleId="126">
    <w:name w:val="indent"/>
    <w:basedOn w:val="43"/>
    <w:qFormat/>
    <w:uiPriority w:val="0"/>
  </w:style>
  <w:style w:type="paragraph" w:customStyle="1" w:styleId="127">
    <w:name w:val="_Style 114"/>
    <w:basedOn w:val="1"/>
    <w:next w:val="1"/>
    <w:qFormat/>
    <w:uiPriority w:val="0"/>
    <w:pPr>
      <w:pBdr>
        <w:bottom w:val="single" w:color="auto" w:sz="6" w:space="1"/>
      </w:pBdr>
      <w:jc w:val="center"/>
    </w:pPr>
    <w:rPr>
      <w:rFonts w:ascii="Arial"/>
      <w:vanish/>
      <w:sz w:val="16"/>
    </w:rPr>
  </w:style>
  <w:style w:type="paragraph" w:customStyle="1" w:styleId="128">
    <w:name w:val="_Style 115"/>
    <w:basedOn w:val="1"/>
    <w:next w:val="1"/>
    <w:qFormat/>
    <w:uiPriority w:val="0"/>
    <w:pPr>
      <w:pBdr>
        <w:top w:val="single" w:color="auto" w:sz="6" w:space="1"/>
      </w:pBdr>
      <w:jc w:val="center"/>
    </w:pPr>
    <w:rPr>
      <w:rFonts w:ascii="Arial"/>
      <w:vanish/>
      <w:sz w:val="16"/>
    </w:rPr>
  </w:style>
  <w:style w:type="character" w:customStyle="1" w:styleId="129">
    <w:name w:val="glyphicon"/>
    <w:basedOn w:val="43"/>
    <w:qFormat/>
    <w:uiPriority w:val="0"/>
  </w:style>
  <w:style w:type="character" w:customStyle="1" w:styleId="130">
    <w:name w:val="hover"/>
    <w:basedOn w:val="43"/>
    <w:qFormat/>
    <w:uiPriority w:val="0"/>
    <w:rPr>
      <w:shd w:val="clear" w:color="auto" w:fill="EEEEEE"/>
    </w:rPr>
  </w:style>
  <w:style w:type="paragraph" w:customStyle="1" w:styleId="131">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132">
    <w:name w:val="font01"/>
    <w:basedOn w:val="43"/>
    <w:qFormat/>
    <w:uiPriority w:val="0"/>
    <w:rPr>
      <w:rFonts w:hint="eastAsia" w:ascii="宋体" w:hAnsi="宋体" w:eastAsia="宋体" w:cs="宋体"/>
      <w:color w:val="000000"/>
      <w:sz w:val="20"/>
      <w:szCs w:val="20"/>
      <w:u w:val="none"/>
    </w:rPr>
  </w:style>
  <w:style w:type="character" w:customStyle="1" w:styleId="133">
    <w:name w:val="hps"/>
    <w:qFormat/>
    <w:uiPriority w:val="0"/>
  </w:style>
  <w:style w:type="character" w:customStyle="1" w:styleId="134">
    <w:name w:val="font91"/>
    <w:qFormat/>
    <w:uiPriority w:val="0"/>
    <w:rPr>
      <w:rFonts w:hint="eastAsia" w:ascii="宋体" w:hAnsi="宋体" w:eastAsia="宋体" w:cs="宋体"/>
      <w:color w:val="000000"/>
      <w:sz w:val="20"/>
      <w:szCs w:val="20"/>
      <w:u w:val="none"/>
    </w:rPr>
  </w:style>
  <w:style w:type="character" w:customStyle="1" w:styleId="135">
    <w:name w:val="font41"/>
    <w:basedOn w:val="43"/>
    <w:qFormat/>
    <w:uiPriority w:val="0"/>
    <w:rPr>
      <w:rFonts w:hint="default" w:ascii="Times New Roman" w:hAnsi="Times New Roman" w:cs="Times New Roman"/>
      <w:color w:val="000000"/>
      <w:sz w:val="24"/>
      <w:szCs w:val="24"/>
      <w:u w:val="none"/>
    </w:rPr>
  </w:style>
  <w:style w:type="character" w:customStyle="1" w:styleId="136">
    <w:name w:val="font71"/>
    <w:basedOn w:val="43"/>
    <w:qFormat/>
    <w:uiPriority w:val="0"/>
    <w:rPr>
      <w:rFonts w:hint="eastAsia" w:ascii="宋体" w:hAnsi="宋体" w:eastAsia="宋体" w:cs="宋体"/>
      <w:color w:val="000000"/>
      <w:sz w:val="24"/>
      <w:szCs w:val="24"/>
      <w:u w:val="none"/>
    </w:rPr>
  </w:style>
  <w:style w:type="character" w:customStyle="1" w:styleId="137">
    <w:name w:val="font51"/>
    <w:basedOn w:val="43"/>
    <w:qFormat/>
    <w:uiPriority w:val="0"/>
    <w:rPr>
      <w:rFonts w:hint="eastAsia" w:ascii="宋体" w:hAnsi="宋体" w:eastAsia="宋体" w:cs="宋体"/>
      <w:b/>
      <w:color w:val="000000"/>
      <w:sz w:val="20"/>
      <w:szCs w:val="20"/>
      <w:u w:val="none"/>
    </w:rPr>
  </w:style>
  <w:style w:type="character" w:customStyle="1" w:styleId="138">
    <w:name w:val="font61"/>
    <w:basedOn w:val="43"/>
    <w:qFormat/>
    <w:uiPriority w:val="0"/>
    <w:rPr>
      <w:rFonts w:hint="eastAsia" w:ascii="宋体" w:hAnsi="宋体" w:eastAsia="宋体" w:cs="宋体"/>
      <w:i/>
      <w:color w:val="000000"/>
      <w:sz w:val="20"/>
      <w:szCs w:val="20"/>
      <w:u w:val="none"/>
    </w:rPr>
  </w:style>
  <w:style w:type="character" w:customStyle="1" w:styleId="139">
    <w:name w:val="普通(网站) 字符"/>
    <w:link w:val="36"/>
    <w:qFormat/>
    <w:uiPriority w:val="0"/>
    <w:rPr>
      <w:rFonts w:ascii="宋体" w:hAnsi="宋体"/>
      <w:sz w:val="24"/>
      <w:szCs w:val="24"/>
    </w:rPr>
  </w:style>
  <w:style w:type="paragraph" w:styleId="140">
    <w:name w:val="List Paragraph"/>
    <w:basedOn w:val="1"/>
    <w:link w:val="144"/>
    <w:unhideWhenUsed/>
    <w:qFormat/>
    <w:uiPriority w:val="34"/>
    <w:pPr>
      <w:ind w:firstLine="420" w:firstLineChars="200"/>
    </w:pPr>
  </w:style>
  <w:style w:type="character" w:customStyle="1" w:styleId="141">
    <w:name w:val="批注文字 字符"/>
    <w:basedOn w:val="43"/>
    <w:qFormat/>
    <w:uiPriority w:val="99"/>
    <w:rPr>
      <w:kern w:val="2"/>
      <w:sz w:val="21"/>
    </w:rPr>
  </w:style>
  <w:style w:type="paragraph" w:customStyle="1" w:styleId="142">
    <w:name w:val="彩色列表 - 强调文字颜色 11"/>
    <w:basedOn w:val="1"/>
    <w:qFormat/>
    <w:uiPriority w:val="0"/>
    <w:pPr>
      <w:ind w:firstLine="420" w:firstLineChars="200"/>
    </w:pPr>
    <w:rPr>
      <w:rFonts w:ascii="Cambria" w:hAnsi="Cambria"/>
      <w:sz w:val="24"/>
      <w:szCs w:val="24"/>
    </w:rPr>
  </w:style>
  <w:style w:type="character" w:customStyle="1" w:styleId="143">
    <w:name w:val="页眉 字符"/>
    <w:basedOn w:val="43"/>
    <w:qFormat/>
    <w:uiPriority w:val="99"/>
    <w:rPr>
      <w:kern w:val="2"/>
      <w:sz w:val="18"/>
    </w:rPr>
  </w:style>
  <w:style w:type="character" w:customStyle="1" w:styleId="144">
    <w:name w:val="列表段落 字符"/>
    <w:link w:val="140"/>
    <w:qFormat/>
    <w:uiPriority w:val="0"/>
    <w:rPr>
      <w:kern w:val="2"/>
      <w:sz w:val="21"/>
    </w:rPr>
  </w:style>
  <w:style w:type="paragraph" w:customStyle="1" w:styleId="145">
    <w:name w:val="Other|1"/>
    <w:basedOn w:val="1"/>
    <w:qFormat/>
    <w:uiPriority w:val="0"/>
    <w:pPr>
      <w:spacing w:line="420" w:lineRule="auto"/>
    </w:pPr>
    <w:rPr>
      <w:rFonts w:ascii="宋体" w:hAnsi="宋体" w:cs="宋体"/>
      <w:u w:val="single"/>
      <w:lang w:val="zh-TW" w:eastAsia="zh-TW" w:bidi="zh-TW"/>
    </w:rPr>
  </w:style>
  <w:style w:type="paragraph" w:customStyle="1" w:styleId="146">
    <w:name w:val="自定义正文"/>
    <w:basedOn w:val="1"/>
    <w:link w:val="158"/>
    <w:qFormat/>
    <w:uiPriority w:val="0"/>
    <w:pPr>
      <w:spacing w:before="120" w:after="60" w:line="400" w:lineRule="exact"/>
      <w:ind w:firstLine="200" w:firstLineChars="200"/>
      <w:jc w:val="left"/>
    </w:pPr>
    <w:rPr>
      <w:szCs w:val="24"/>
    </w:rPr>
  </w:style>
  <w:style w:type="character" w:customStyle="1" w:styleId="147">
    <w:name w:val="标题 4 字符1"/>
    <w:basedOn w:val="43"/>
    <w:link w:val="7"/>
    <w:qFormat/>
    <w:uiPriority w:val="9"/>
    <w:rPr>
      <w:rFonts w:ascii="Arial" w:hAnsi="Arial" w:eastAsia="宋体" w:cs="Times New Roman"/>
      <w:sz w:val="24"/>
      <w:szCs w:val="24"/>
    </w:rPr>
  </w:style>
  <w:style w:type="character" w:customStyle="1" w:styleId="148">
    <w:name w:val="标题 5 字符1"/>
    <w:basedOn w:val="43"/>
    <w:link w:val="8"/>
    <w:qFormat/>
    <w:uiPriority w:val="0"/>
    <w:rPr>
      <w:rFonts w:ascii="Arial" w:hAnsi="Arial" w:eastAsia="宋体" w:cs="Times New Roman"/>
      <w:sz w:val="24"/>
      <w:szCs w:val="24"/>
    </w:rPr>
  </w:style>
  <w:style w:type="character" w:customStyle="1" w:styleId="149">
    <w:name w:val="标题 6 字符"/>
    <w:basedOn w:val="43"/>
    <w:link w:val="9"/>
    <w:qFormat/>
    <w:uiPriority w:val="0"/>
    <w:rPr>
      <w:rFonts w:ascii="Times New Roman" w:hAnsi="Times New Roman" w:eastAsia="宋体" w:cs="Times New Roman"/>
      <w:szCs w:val="24"/>
    </w:rPr>
  </w:style>
  <w:style w:type="character" w:customStyle="1" w:styleId="150">
    <w:name w:val="标题 7 字符"/>
    <w:basedOn w:val="43"/>
    <w:link w:val="10"/>
    <w:qFormat/>
    <w:uiPriority w:val="0"/>
    <w:rPr>
      <w:rFonts w:ascii="Times New Roman" w:hAnsi="Times New Roman" w:eastAsia="宋体" w:cs="Times New Roman"/>
      <w:b/>
      <w:szCs w:val="24"/>
    </w:rPr>
  </w:style>
  <w:style w:type="character" w:customStyle="1" w:styleId="151">
    <w:name w:val="标题 8 字符"/>
    <w:basedOn w:val="43"/>
    <w:link w:val="11"/>
    <w:qFormat/>
    <w:uiPriority w:val="0"/>
    <w:rPr>
      <w:rFonts w:ascii="Times New Roman" w:hAnsi="Times New Roman" w:eastAsia="宋体" w:cs="Times New Roman"/>
      <w:b/>
      <w:sz w:val="22"/>
      <w:szCs w:val="24"/>
    </w:rPr>
  </w:style>
  <w:style w:type="character" w:customStyle="1" w:styleId="152">
    <w:name w:val="标题 9 字符"/>
    <w:basedOn w:val="43"/>
    <w:link w:val="12"/>
    <w:qFormat/>
    <w:uiPriority w:val="0"/>
    <w:rPr>
      <w:rFonts w:ascii="Times New Roman" w:hAnsi="Times New Roman" w:eastAsia="黑体" w:cs="Times New Roman"/>
      <w:szCs w:val="24"/>
    </w:rPr>
  </w:style>
  <w:style w:type="character" w:customStyle="1" w:styleId="153">
    <w:name w:val="页脚 字符1"/>
    <w:basedOn w:val="43"/>
    <w:link w:val="27"/>
    <w:qFormat/>
    <w:uiPriority w:val="99"/>
    <w:rPr>
      <w:rFonts w:ascii="Times New Roman" w:hAnsi="Times New Roman" w:eastAsia="宋体" w:cs="Times New Roman"/>
      <w:sz w:val="18"/>
      <w:szCs w:val="24"/>
    </w:rPr>
  </w:style>
  <w:style w:type="character" w:customStyle="1" w:styleId="154">
    <w:name w:val="页眉 字符1"/>
    <w:basedOn w:val="43"/>
    <w:link w:val="28"/>
    <w:qFormat/>
    <w:uiPriority w:val="0"/>
    <w:rPr>
      <w:rFonts w:ascii="Times New Roman" w:hAnsi="Times New Roman" w:eastAsia="宋体" w:cs="Times New Roman"/>
      <w:sz w:val="18"/>
      <w:szCs w:val="24"/>
    </w:rPr>
  </w:style>
  <w:style w:type="character" w:customStyle="1" w:styleId="155">
    <w:name w:val="批注框文本 字符1"/>
    <w:basedOn w:val="43"/>
    <w:link w:val="26"/>
    <w:semiHidden/>
    <w:qFormat/>
    <w:uiPriority w:val="99"/>
    <w:rPr>
      <w:rFonts w:ascii="Times New Roman" w:hAnsi="Times New Roman" w:eastAsia="宋体" w:cs="Times New Roman"/>
      <w:sz w:val="18"/>
      <w:szCs w:val="18"/>
    </w:rPr>
  </w:style>
  <w:style w:type="character" w:customStyle="1" w:styleId="156">
    <w:name w:val="纯文本 字符1"/>
    <w:basedOn w:val="43"/>
    <w:link w:val="22"/>
    <w:qFormat/>
    <w:uiPriority w:val="0"/>
    <w:rPr>
      <w:rFonts w:ascii="宋体" w:hAnsi="Courier New" w:eastAsia="宋体" w:cs="Times New Roman"/>
      <w:szCs w:val="24"/>
      <w:lang w:val="zh-CN"/>
    </w:rPr>
  </w:style>
  <w:style w:type="paragraph" w:customStyle="1" w:styleId="157">
    <w:name w:val="表格正文"/>
    <w:basedOn w:val="1"/>
    <w:qFormat/>
    <w:uiPriority w:val="0"/>
    <w:pPr>
      <w:spacing w:line="240" w:lineRule="atLeast"/>
    </w:pPr>
    <w:rPr>
      <w:rFonts w:eastAsia="楷体_GB2312"/>
      <w:sz w:val="24"/>
      <w:szCs w:val="24"/>
    </w:rPr>
  </w:style>
  <w:style w:type="character" w:customStyle="1" w:styleId="158">
    <w:name w:val="自定义正文 Char Char"/>
    <w:link w:val="146"/>
    <w:qFormat/>
    <w:uiPriority w:val="0"/>
    <w:rPr>
      <w:rFonts w:ascii="Times New Roman" w:hAnsi="Times New Roman" w:eastAsia="宋体" w:cs="Times New Roman"/>
      <w:szCs w:val="24"/>
    </w:rPr>
  </w:style>
  <w:style w:type="paragraph" w:customStyle="1" w:styleId="159">
    <w:name w:val="图片"/>
    <w:basedOn w:val="1"/>
    <w:link w:val="160"/>
    <w:qFormat/>
    <w:uiPriority w:val="0"/>
    <w:pPr>
      <w:jc w:val="center"/>
    </w:pPr>
    <w:rPr>
      <w:rFonts w:ascii="仿宋_GB2312" w:eastAsia="仿宋_GB2312" w:cs="宋体"/>
      <w:color w:val="0D0D0D" w:themeColor="text1" w:themeTint="F2"/>
      <w:sz w:val="24"/>
      <w14:textFill>
        <w14:solidFill>
          <w14:schemeClr w14:val="tx1">
            <w14:lumMod w14:val="95000"/>
            <w14:lumOff w14:val="5000"/>
          </w14:schemeClr>
        </w14:solidFill>
      </w14:textFill>
    </w:rPr>
  </w:style>
  <w:style w:type="character" w:customStyle="1" w:styleId="160">
    <w:name w:val="图片 字符"/>
    <w:basedOn w:val="43"/>
    <w:link w:val="159"/>
    <w:qFormat/>
    <w:uiPriority w:val="0"/>
    <w:rPr>
      <w:rFonts w:ascii="仿宋_GB2312" w:hAnsi="Times New Roman" w:eastAsia="仿宋_GB2312" w:cs="宋体"/>
      <w:color w:val="0D0D0D" w:themeColor="text1" w:themeTint="F2"/>
      <w:szCs w:val="20"/>
      <w14:textFill>
        <w14:solidFill>
          <w14:schemeClr w14:val="tx1">
            <w14:lumMod w14:val="95000"/>
            <w14:lumOff w14:val="5000"/>
          </w14:schemeClr>
        </w14:solidFill>
      </w14:textFill>
    </w:rPr>
  </w:style>
  <w:style w:type="paragraph" w:customStyle="1" w:styleId="161">
    <w:name w:val="学分制正文样式"/>
    <w:basedOn w:val="1"/>
    <w:link w:val="162"/>
    <w:qFormat/>
    <w:uiPriority w:val="0"/>
    <w:pPr>
      <w:spacing w:line="360" w:lineRule="auto"/>
      <w:ind w:firstLine="560" w:firstLineChars="200"/>
      <w:jc w:val="left"/>
    </w:pPr>
    <w:rPr>
      <w:rFonts w:ascii="宋体" w:hAnsi="宋体" w:cs="宋体"/>
      <w:bCs/>
      <w:sz w:val="28"/>
      <w:szCs w:val="22"/>
    </w:rPr>
  </w:style>
  <w:style w:type="character" w:customStyle="1" w:styleId="162">
    <w:name w:val="学分制正文样式 字符"/>
    <w:basedOn w:val="43"/>
    <w:link w:val="161"/>
    <w:qFormat/>
    <w:uiPriority w:val="0"/>
    <w:rPr>
      <w:rFonts w:ascii="宋体" w:hAnsi="宋体" w:eastAsia="宋体" w:cs="宋体"/>
      <w:bCs/>
      <w:sz w:val="28"/>
    </w:rPr>
  </w:style>
  <w:style w:type="character" w:customStyle="1" w:styleId="163">
    <w:name w:val="日期 字符1"/>
    <w:basedOn w:val="43"/>
    <w:link w:val="24"/>
    <w:semiHidden/>
    <w:qFormat/>
    <w:uiPriority w:val="99"/>
    <w:rPr>
      <w:rFonts w:ascii="Times New Roman" w:hAnsi="Times New Roman" w:eastAsia="宋体" w:cs="Times New Roman"/>
    </w:rPr>
  </w:style>
  <w:style w:type="character" w:customStyle="1" w:styleId="164">
    <w:name w:val="批注文字 字符1"/>
    <w:basedOn w:val="43"/>
    <w:link w:val="17"/>
    <w:qFormat/>
    <w:uiPriority w:val="99"/>
    <w:rPr>
      <w:rFonts w:ascii="Times New Roman" w:hAnsi="Times New Roman" w:eastAsia="宋体" w:cs="Times New Roman"/>
    </w:rPr>
  </w:style>
  <w:style w:type="character" w:customStyle="1" w:styleId="165">
    <w:name w:val="批注主题 字符"/>
    <w:basedOn w:val="164"/>
    <w:link w:val="38"/>
    <w:semiHidden/>
    <w:qFormat/>
    <w:uiPriority w:val="99"/>
    <w:rPr>
      <w:rFonts w:ascii="Times New Roman" w:hAnsi="Times New Roman" w:eastAsia="宋体" w:cs="Times New Roman"/>
      <w:b/>
      <w:bCs/>
    </w:rPr>
  </w:style>
  <w:style w:type="paragraph" w:styleId="166">
    <w:name w:val="Intense Quote"/>
    <w:basedOn w:val="1"/>
    <w:next w:val="1"/>
    <w:link w:val="167"/>
    <w:qFormat/>
    <w:uiPriority w:val="30"/>
    <w:pPr>
      <w:pBdr>
        <w:bottom w:val="single" w:color="4F81BD" w:themeColor="accent1" w:sz="4" w:space="4"/>
      </w:pBdr>
      <w:spacing w:before="200" w:after="280"/>
      <w:ind w:left="936" w:right="936"/>
    </w:pPr>
    <w:rPr>
      <w:rFonts w:ascii="Arial" w:hAnsi="Arial" w:cstheme="minorBidi"/>
      <w:b/>
      <w:bCs/>
      <w:i/>
      <w:iCs/>
      <w:color w:val="4F81BD" w:themeColor="accent1"/>
      <w:sz w:val="24"/>
      <w:szCs w:val="22"/>
      <w14:textFill>
        <w14:solidFill>
          <w14:schemeClr w14:val="accent1"/>
        </w14:solidFill>
      </w14:textFill>
    </w:rPr>
  </w:style>
  <w:style w:type="character" w:customStyle="1" w:styleId="167">
    <w:name w:val="明显引用 字符"/>
    <w:basedOn w:val="43"/>
    <w:link w:val="166"/>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168">
    <w:name w:val="font21"/>
    <w:qFormat/>
    <w:uiPriority w:val="0"/>
    <w:rPr>
      <w:rFonts w:hint="eastAsia" w:ascii="宋体" w:hAnsi="宋体" w:eastAsia="宋体" w:cs="宋体"/>
      <w:color w:val="000000"/>
      <w:sz w:val="18"/>
      <w:szCs w:val="18"/>
      <w:u w:val="none"/>
    </w:rPr>
  </w:style>
  <w:style w:type="paragraph" w:customStyle="1" w:styleId="169">
    <w:name w:val="图表目录1"/>
    <w:basedOn w:val="1"/>
    <w:next w:val="1"/>
    <w:qFormat/>
    <w:uiPriority w:val="0"/>
    <w:pPr>
      <w:ind w:left="200" w:leftChars="200" w:hanging="200" w:hangingChars="200"/>
    </w:pPr>
    <w:rPr>
      <w:rFonts w:ascii="Calibri" w:hAnsi="Calibri" w:eastAsia="仿宋_GB2312" w:cs="宋体"/>
      <w:sz w:val="32"/>
      <w:szCs w:val="32"/>
    </w:rPr>
  </w:style>
  <w:style w:type="character" w:customStyle="1" w:styleId="170">
    <w:name w:val="font11"/>
    <w:basedOn w:val="43"/>
    <w:qFormat/>
    <w:uiPriority w:val="0"/>
    <w:rPr>
      <w:rFonts w:hint="default" w:ascii="Calibri" w:hAnsi="Calibri" w:cs="Calibri"/>
      <w:color w:val="000000"/>
      <w:sz w:val="21"/>
      <w:szCs w:val="21"/>
      <w:u w:val="none"/>
    </w:rPr>
  </w:style>
  <w:style w:type="character" w:customStyle="1" w:styleId="171">
    <w:name w:val="font31"/>
    <w:basedOn w:val="43"/>
    <w:qFormat/>
    <w:uiPriority w:val="0"/>
    <w:rPr>
      <w:rFonts w:hint="eastAsia" w:ascii="宋体" w:hAnsi="宋体" w:eastAsia="宋体" w:cs="宋体"/>
      <w:color w:val="000000"/>
      <w:sz w:val="18"/>
      <w:szCs w:val="18"/>
      <w:u w:val="none"/>
    </w:rPr>
  </w:style>
  <w:style w:type="paragraph" w:customStyle="1" w:styleId="172">
    <w:name w:val="WPSOffice手动目录 1"/>
    <w:qFormat/>
    <w:uiPriority w:val="0"/>
    <w:rPr>
      <w:rFonts w:ascii="Times New Roman" w:hAnsi="Times New Roman" w:eastAsia="宋体" w:cs="Times New Roman"/>
      <w:lang w:val="en-US" w:eastAsia="zh-CN" w:bidi="ar-SA"/>
    </w:rPr>
  </w:style>
  <w:style w:type="paragraph" w:customStyle="1" w:styleId="1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4">
    <w:name w:val="PlainText"/>
    <w:basedOn w:val="1"/>
    <w:next w:val="1"/>
    <w:qFormat/>
    <w:uiPriority w:val="0"/>
  </w:style>
  <w:style w:type="character" w:customStyle="1" w:styleId="175">
    <w:name w:val="NormalCharacter"/>
    <w:semiHidden/>
    <w:qFormat/>
    <w:uiPriority w:val="0"/>
  </w:style>
  <w:style w:type="paragraph" w:customStyle="1" w:styleId="176">
    <w:name w:val="BodyTextIndent"/>
    <w:basedOn w:val="1"/>
    <w:qFormat/>
    <w:uiPriority w:val="0"/>
    <w:pPr>
      <w:spacing w:line="460" w:lineRule="exact"/>
      <w:ind w:firstLine="510"/>
    </w:pPr>
  </w:style>
  <w:style w:type="paragraph" w:customStyle="1" w:styleId="177">
    <w:name w:val="Table Text"/>
    <w:basedOn w:val="1"/>
    <w:semiHidden/>
    <w:qFormat/>
    <w:uiPriority w:val="0"/>
    <w:rPr>
      <w:rFonts w:ascii="宋体" w:hAnsi="宋体" w:cs="宋体"/>
      <w:sz w:val="19"/>
      <w:szCs w:val="19"/>
      <w:lang w:eastAsia="en-US"/>
    </w:rPr>
  </w:style>
  <w:style w:type="table" w:customStyle="1" w:styleId="178">
    <w:name w:val="Table Normal"/>
    <w:semiHidden/>
    <w:unhideWhenUsed/>
    <w:qFormat/>
    <w:uiPriority w:val="0"/>
    <w:tblPr>
      <w:tblCellMar>
        <w:top w:w="0" w:type="dxa"/>
        <w:left w:w="0" w:type="dxa"/>
        <w:bottom w:w="0" w:type="dxa"/>
        <w:right w:w="0" w:type="dxa"/>
      </w:tblCellMar>
    </w:tblPr>
  </w:style>
  <w:style w:type="table" w:customStyle="1" w:styleId="179">
    <w:name w:val="网格型1"/>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0">
    <w:name w:val="font111"/>
    <w:basedOn w:val="43"/>
    <w:qFormat/>
    <w:uiPriority w:val="0"/>
    <w:rPr>
      <w:rFonts w:ascii="Calibri" w:hAnsi="Calibri" w:cs="Calibri"/>
      <w:color w:val="000000"/>
      <w:sz w:val="21"/>
      <w:szCs w:val="21"/>
      <w:u w:val="none"/>
    </w:rPr>
  </w:style>
  <w:style w:type="paragraph" w:customStyle="1" w:styleId="1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182">
    <w:name w:val="!正文"/>
    <w:basedOn w:val="1"/>
    <w:qFormat/>
    <w:uiPriority w:val="0"/>
    <w:pPr>
      <w:widowControl w:val="0"/>
      <w:spacing w:line="360" w:lineRule="auto"/>
      <w:ind w:firstLine="480" w:firstLineChars="200"/>
      <w:jc w:val="left"/>
    </w:pPr>
    <w:rPr>
      <w:rFonts w:ascii="Arial" w:hAnsi="Arial" w:eastAsia="仿宋" w:cs="Times New Roman"/>
      <w:lang w:val="zh-CN"/>
    </w:rPr>
  </w:style>
  <w:style w:type="paragraph" w:customStyle="1" w:styleId="183">
    <w:name w:val="正文样式"/>
    <w:basedOn w:val="1"/>
    <w:qFormat/>
    <w:uiPriority w:val="0"/>
    <w:pPr>
      <w:widowControl w:val="0"/>
      <w:adjustRightInd w:val="0"/>
      <w:snapToGrid w:val="0"/>
      <w:spacing w:line="360" w:lineRule="auto"/>
      <w:ind w:firstLine="560" w:firstLineChars="200"/>
      <w:jc w:val="left"/>
    </w:pPr>
    <w:rPr>
      <w:rFonts w:cs="Times New Roman" w:asciiTheme="minorEastAsia" w:hAnsiTheme="minorEastAsia" w:eastAsiaTheme="minorEastAsia"/>
      <w:kern w:val="2"/>
      <w:sz w:val="28"/>
    </w:rPr>
  </w:style>
  <w:style w:type="paragraph" w:customStyle="1" w:styleId="184">
    <w:name w:val="表格居中"/>
    <w:basedOn w:val="1"/>
    <w:qFormat/>
    <w:uiPriority w:val="0"/>
    <w:pPr>
      <w:widowControl w:val="0"/>
      <w:spacing w:line="360" w:lineRule="auto"/>
      <w:jc w:val="center"/>
    </w:pPr>
    <w:rPr>
      <w:rFonts w:ascii="Times New Roman" w:hAnsi="Times New Roman" w:cstheme="minorBidi"/>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31609</Words>
  <Characters>33577</Characters>
  <Lines>2404</Lines>
  <Paragraphs>2838</Paragraphs>
  <TotalTime>32</TotalTime>
  <ScaleCrop>false</ScaleCrop>
  <LinksUpToDate>false</LinksUpToDate>
  <CharactersWithSpaces>34068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2025-05-27T10:25:00Z</dcterms:created>
  <dc:creator>h</dc:creator>
  <cp:lastModifiedBy>云南冠睿</cp:lastModifiedBy>
  <cp:lastPrinted>2025-05-28T07:19:00Z</cp:lastPrinted>
  <dcterms:modified xsi:type="dcterms:W3CDTF">2025-12-05T05:30:01Z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DC434ADCCF4A4D9DA8279CACBDD3283C_13</vt:lpwstr>
  </property>
  <property fmtid="{D5CDD505-2E9C-101B-9397-08002B2CF9AE}" pid="4" name="KSOTemplateDocerSaveRecord">
    <vt:lpwstr>eyJoZGlkIjoiM2MxYTk1ZTgxOWRjMWExNDI3MmJjODZiNGUzYmUyMGMiLCJ1c2VySWQiOiIyNjIxMTQ4ODEifQ==</vt:lpwstr>
  </property>
</Properties>
</file>