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D0B09">
      <w:pPr>
        <w:outlineLvl w:val="1"/>
        <w:rPr>
          <w:rFonts w:ascii="宋体" w:hAnsi="宋体"/>
          <w:sz w:val="28"/>
          <w:szCs w:val="28"/>
        </w:rPr>
      </w:pPr>
      <w:bookmarkStart w:id="0" w:name="_Toc19210"/>
      <w:bookmarkStart w:id="1" w:name="_Toc27894"/>
      <w:bookmarkStart w:id="2" w:name="_Toc29329"/>
      <w:bookmarkStart w:id="3" w:name="_Toc23309"/>
      <w:bookmarkStart w:id="4" w:name="_Toc31355"/>
      <w:bookmarkStart w:id="5" w:name="_Toc28095"/>
      <w:bookmarkStart w:id="6" w:name="_Toc410207416"/>
      <w:bookmarkStart w:id="7" w:name="_Toc445215517"/>
      <w:r>
        <w:rPr>
          <w:rFonts w:hint="eastAsia" w:ascii="宋体" w:hAnsi="宋体"/>
          <w:sz w:val="28"/>
          <w:szCs w:val="28"/>
        </w:rPr>
        <w:t>附件一</w:t>
      </w:r>
      <w:bookmarkEnd w:id="0"/>
      <w:bookmarkEnd w:id="1"/>
      <w:bookmarkEnd w:id="2"/>
      <w:bookmarkEnd w:id="3"/>
      <w:bookmarkEnd w:id="4"/>
      <w:bookmarkEnd w:id="5"/>
    </w:p>
    <w:p w14:paraId="219AAD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bookmarkStart w:id="8" w:name="_Toc488217407"/>
      <w:bookmarkStart w:id="9" w:name="_Toc488396745"/>
      <w:r>
        <w:rPr>
          <w:rFonts w:hint="eastAsia" w:ascii="宋体" w:hAnsi="宋体" w:eastAsia="宋体" w:cs="新宋体"/>
          <w:b/>
          <w:bCs/>
          <w:kern w:val="0"/>
          <w:sz w:val="36"/>
          <w:szCs w:val="36"/>
        </w:rPr>
        <w:t>物资招标项目概况</w:t>
      </w:r>
      <w:bookmarkEnd w:id="8"/>
      <w:bookmarkEnd w:id="9"/>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01"/>
        <w:gridCol w:w="8309"/>
        <w:gridCol w:w="2268"/>
        <w:gridCol w:w="1416"/>
      </w:tblGrid>
      <w:tr w14:paraId="13E1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850" w:type="dxa"/>
            <w:tcBorders>
              <w:bottom w:val="single" w:color="auto" w:sz="4" w:space="0"/>
            </w:tcBorders>
            <w:noWrap w:val="0"/>
            <w:vAlign w:val="center"/>
          </w:tcPr>
          <w:p w14:paraId="3505EBE2">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序号</w:t>
            </w:r>
          </w:p>
        </w:tc>
        <w:tc>
          <w:tcPr>
            <w:tcW w:w="1501" w:type="dxa"/>
            <w:tcBorders>
              <w:bottom w:val="single" w:color="auto" w:sz="4" w:space="0"/>
            </w:tcBorders>
            <w:noWrap w:val="0"/>
            <w:vAlign w:val="center"/>
          </w:tcPr>
          <w:p w14:paraId="06D28FCC">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项目全称</w:t>
            </w:r>
          </w:p>
        </w:tc>
        <w:tc>
          <w:tcPr>
            <w:tcW w:w="8309" w:type="dxa"/>
            <w:tcBorders>
              <w:bottom w:val="single" w:color="auto" w:sz="4" w:space="0"/>
            </w:tcBorders>
            <w:noWrap w:val="0"/>
            <w:vAlign w:val="center"/>
          </w:tcPr>
          <w:p w14:paraId="632A6D1D">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项目概况（详细）</w:t>
            </w:r>
          </w:p>
        </w:tc>
        <w:tc>
          <w:tcPr>
            <w:tcW w:w="2268" w:type="dxa"/>
            <w:tcBorders>
              <w:bottom w:val="single" w:color="auto" w:sz="4" w:space="0"/>
            </w:tcBorders>
            <w:noWrap w:val="0"/>
            <w:vAlign w:val="center"/>
          </w:tcPr>
          <w:p w14:paraId="1F22C9A5">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项目通讯地址、物资部长、联系方式</w:t>
            </w:r>
          </w:p>
        </w:tc>
        <w:tc>
          <w:tcPr>
            <w:tcW w:w="1416" w:type="dxa"/>
            <w:tcBorders>
              <w:bottom w:val="single" w:color="auto" w:sz="4" w:space="0"/>
            </w:tcBorders>
            <w:noWrap w:val="0"/>
            <w:vAlign w:val="center"/>
          </w:tcPr>
          <w:p w14:paraId="18EA5553">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所属单位</w:t>
            </w:r>
          </w:p>
        </w:tc>
      </w:tr>
      <w:tr w14:paraId="2ED0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85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E227F1C">
            <w:pPr>
              <w:widowControl/>
              <w:jc w:val="center"/>
              <w:textAlignment w:val="center"/>
              <w:rPr>
                <w:rFonts w:ascii="宋体" w:hAnsi="宋体"/>
                <w:sz w:val="18"/>
                <w:szCs w:val="18"/>
              </w:rPr>
            </w:pPr>
            <w:r>
              <w:rPr>
                <w:rFonts w:hint="eastAsia" w:ascii="宋体" w:hAnsi="宋体" w:cs="宋体"/>
                <w:color w:val="000000"/>
                <w:kern w:val="0"/>
                <w:sz w:val="18"/>
                <w:szCs w:val="18"/>
                <w:lang w:bidi="ar"/>
              </w:rPr>
              <w:t>1</w:t>
            </w:r>
          </w:p>
        </w:tc>
        <w:tc>
          <w:tcPr>
            <w:tcW w:w="15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92A3781">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中铁二局集团有限公司无锡地铁5号线一期工程土建施工03标项目经理部</w:t>
            </w:r>
          </w:p>
        </w:tc>
        <w:tc>
          <w:tcPr>
            <w:tcW w:w="83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D958CA3">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无锡地铁5号线一期工程土建施工03标项目位于太湖西大道~建筑路地块，范围内2站2区间；体育中心站（含）～北华路站（含）～湖滨路站（不含）范围内的所涉及到土建车站与附属工程及盾构工程（不含混凝土管片生产及运输）及4号线与5号线联络线工程、体育中心站4号线与5号线相接区域土建改造工程、体育中心站出入口驳岸拆复建等，计划总工期1585日历天，计划开工日期2022年10月28日，计划竣工日期2027年07月28日，合同总造价为7.83亿元。</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E9EB720">
            <w:pPr>
              <w:kinsoku w:val="0"/>
              <w:overflowPunct w:val="0"/>
              <w:autoSpaceDE w:val="0"/>
              <w:autoSpaceDN w:val="0"/>
              <w:adjustRightInd w:val="0"/>
              <w:snapToGrid w:val="0"/>
              <w:spacing w:line="240" w:lineRule="atLeast"/>
              <w:jc w:val="center"/>
              <w:rPr>
                <w:rFonts w:hint="default" w:ascii="仿宋_GB2312" w:hAnsi="Times New Roman" w:eastAsia="宋体" w:cs="Times New Roman"/>
                <w:sz w:val="18"/>
                <w:szCs w:val="18"/>
                <w:lang w:val="en-US" w:eastAsia="zh-CN"/>
              </w:rPr>
            </w:pPr>
            <w:r>
              <w:rPr>
                <w:rFonts w:hint="eastAsia" w:ascii="仿宋_GB2312" w:hAnsi="Times New Roman" w:eastAsia="宋体" w:cs="Times New Roman"/>
                <w:sz w:val="18"/>
                <w:szCs w:val="18"/>
              </w:rPr>
              <w:t>江苏省无锡市滨湖区河埒</w:t>
            </w:r>
            <w:r>
              <w:rPr>
                <w:rFonts w:hint="eastAsia" w:ascii="仿宋_GB2312" w:hAnsi="Times New Roman" w:eastAsia="宋体" w:cs="Times New Roman"/>
                <w:sz w:val="18"/>
                <w:szCs w:val="18"/>
                <w:lang w:eastAsia="zh-CN"/>
              </w:rPr>
              <w:t>品</w:t>
            </w:r>
            <w:r>
              <w:rPr>
                <w:rFonts w:hint="eastAsia" w:ascii="仿宋_GB2312" w:hAnsi="Times New Roman" w:eastAsia="宋体" w:cs="Times New Roman"/>
                <w:sz w:val="18"/>
                <w:szCs w:val="18"/>
              </w:rPr>
              <w:t>阳光嘉园联系人：</w:t>
            </w:r>
            <w:r>
              <w:rPr>
                <w:rFonts w:hint="eastAsia" w:ascii="仿宋_GB2312" w:hAnsi="Times New Roman" w:eastAsia="宋体" w:cs="Times New Roman"/>
                <w:sz w:val="18"/>
                <w:szCs w:val="18"/>
                <w:lang w:val="en-US" w:eastAsia="zh-CN"/>
              </w:rPr>
              <w:t>18121815528</w:t>
            </w:r>
          </w:p>
          <w:p w14:paraId="336B1579">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李</w:t>
            </w:r>
            <w:r>
              <w:rPr>
                <w:rFonts w:hint="eastAsia" w:ascii="仿宋_GB2312" w:hAnsi="Times New Roman" w:eastAsia="宋体" w:cs="Times New Roman"/>
                <w:sz w:val="18"/>
                <w:szCs w:val="18"/>
                <w:lang w:val="en-US" w:eastAsia="zh-CN"/>
              </w:rPr>
              <w:t>孟秋</w:t>
            </w:r>
          </w:p>
        </w:tc>
        <w:tc>
          <w:tcPr>
            <w:tcW w:w="141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B333EEE">
            <w:pPr>
              <w:kinsoku w:val="0"/>
              <w:overflowPunct w:val="0"/>
              <w:autoSpaceDE w:val="0"/>
              <w:autoSpaceDN w:val="0"/>
              <w:adjustRightInd w:val="0"/>
              <w:snapToGrid w:val="0"/>
              <w:spacing w:line="240" w:lineRule="atLeast"/>
              <w:jc w:val="center"/>
              <w:rPr>
                <w:rFonts w:ascii="宋体" w:hAnsi="宋体" w:cs="宋体"/>
                <w:color w:val="000000"/>
                <w:kern w:val="0"/>
                <w:szCs w:val="21"/>
                <w:lang w:bidi="ar"/>
              </w:rPr>
            </w:pPr>
            <w:r>
              <w:rPr>
                <w:rFonts w:hint="eastAsia" w:ascii="仿宋_GB2312"/>
                <w:sz w:val="18"/>
                <w:szCs w:val="18"/>
              </w:rPr>
              <w:t>中铁二局集团有限公司</w:t>
            </w:r>
          </w:p>
        </w:tc>
      </w:tr>
    </w:tbl>
    <w:p w14:paraId="5D748531">
      <w:pPr>
        <w:outlineLvl w:val="1"/>
        <w:rPr>
          <w:rFonts w:hint="eastAsia" w:ascii="宋体" w:hAnsi="宋体"/>
          <w:sz w:val="28"/>
          <w:szCs w:val="28"/>
        </w:rPr>
      </w:pPr>
      <w:r>
        <w:rPr>
          <w:b/>
          <w:szCs w:val="28"/>
        </w:rPr>
        <w:br w:type="page"/>
      </w:r>
      <w:bookmarkStart w:id="10" w:name="_Toc13606"/>
      <w:bookmarkStart w:id="11" w:name="_Toc18930"/>
      <w:bookmarkStart w:id="12" w:name="_Toc5991"/>
      <w:bookmarkStart w:id="13" w:name="_Toc3326"/>
      <w:bookmarkStart w:id="14" w:name="_Toc24981"/>
      <w:bookmarkStart w:id="15" w:name="_Toc9747"/>
      <w:r>
        <w:rPr>
          <w:rFonts w:hint="eastAsia" w:ascii="宋体" w:hAnsi="宋体"/>
          <w:sz w:val="28"/>
          <w:szCs w:val="28"/>
        </w:rPr>
        <w:t>附件</w:t>
      </w:r>
      <w:bookmarkEnd w:id="6"/>
      <w:bookmarkEnd w:id="7"/>
      <w:r>
        <w:rPr>
          <w:rFonts w:hint="eastAsia" w:ascii="宋体" w:hAnsi="宋体"/>
          <w:sz w:val="28"/>
          <w:szCs w:val="28"/>
        </w:rPr>
        <w:t>二</w:t>
      </w:r>
      <w:bookmarkEnd w:id="10"/>
      <w:bookmarkEnd w:id="11"/>
      <w:bookmarkEnd w:id="12"/>
      <w:bookmarkEnd w:id="13"/>
      <w:bookmarkEnd w:id="14"/>
      <w:bookmarkEnd w:id="15"/>
    </w:p>
    <w:p w14:paraId="3EFA4F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r>
        <w:rPr>
          <w:rFonts w:hint="eastAsia" w:ascii="宋体" w:hAnsi="宋体" w:eastAsia="宋体" w:cs="新宋体"/>
          <w:b/>
          <w:bCs/>
          <w:kern w:val="0"/>
          <w:sz w:val="36"/>
          <w:szCs w:val="36"/>
        </w:rPr>
        <w:t>物资品种、包件划分、投标保证金</w:t>
      </w:r>
      <w:r>
        <w:rPr>
          <w:rFonts w:hint="eastAsia" w:ascii="宋体" w:hAnsi="宋体" w:cs="新宋体"/>
          <w:b/>
          <w:bCs/>
          <w:kern w:val="0"/>
          <w:sz w:val="36"/>
          <w:szCs w:val="36"/>
          <w:lang w:eastAsia="zh-CN"/>
        </w:rPr>
        <w:t>、</w:t>
      </w:r>
      <w:r>
        <w:rPr>
          <w:rFonts w:hint="eastAsia" w:ascii="宋体" w:hAnsi="宋体" w:cs="新宋体"/>
          <w:b/>
          <w:bCs/>
          <w:kern w:val="0"/>
          <w:sz w:val="36"/>
          <w:szCs w:val="36"/>
          <w:lang w:val="en-US" w:eastAsia="zh-CN"/>
        </w:rPr>
        <w:t>履约保证金、限价</w:t>
      </w:r>
      <w:r>
        <w:rPr>
          <w:rFonts w:hint="eastAsia" w:ascii="宋体" w:hAnsi="宋体" w:eastAsia="宋体" w:cs="新宋体"/>
          <w:b/>
          <w:bCs/>
          <w:kern w:val="0"/>
          <w:sz w:val="36"/>
          <w:szCs w:val="36"/>
        </w:rPr>
        <w:t>、投标人资格要求</w:t>
      </w:r>
    </w:p>
    <w:tbl>
      <w:tblPr>
        <w:tblStyle w:val="6"/>
        <w:tblW w:w="5062" w:type="pct"/>
        <w:jc w:val="center"/>
        <w:tblLayout w:type="autofit"/>
        <w:tblCellMar>
          <w:top w:w="0" w:type="dxa"/>
          <w:left w:w="108" w:type="dxa"/>
          <w:bottom w:w="0" w:type="dxa"/>
          <w:right w:w="108" w:type="dxa"/>
        </w:tblCellMar>
      </w:tblPr>
      <w:tblGrid>
        <w:gridCol w:w="1230"/>
        <w:gridCol w:w="1165"/>
        <w:gridCol w:w="928"/>
        <w:gridCol w:w="1048"/>
        <w:gridCol w:w="1302"/>
        <w:gridCol w:w="2473"/>
        <w:gridCol w:w="1569"/>
        <w:gridCol w:w="2407"/>
        <w:gridCol w:w="2847"/>
      </w:tblGrid>
      <w:tr w14:paraId="02B8D7DA">
        <w:tblPrEx>
          <w:tblCellMar>
            <w:top w:w="0" w:type="dxa"/>
            <w:left w:w="108" w:type="dxa"/>
            <w:bottom w:w="0" w:type="dxa"/>
            <w:right w:w="108" w:type="dxa"/>
          </w:tblCellMar>
        </w:tblPrEx>
        <w:trPr>
          <w:trHeight w:val="372" w:hRule="atLeast"/>
          <w:jc w:val="center"/>
        </w:trPr>
        <w:tc>
          <w:tcPr>
            <w:tcW w:w="411" w:type="pct"/>
            <w:tcBorders>
              <w:top w:val="single" w:color="000000" w:sz="4" w:space="0"/>
              <w:left w:val="single" w:color="000000" w:sz="4" w:space="0"/>
              <w:bottom w:val="single" w:color="000000" w:sz="4" w:space="0"/>
              <w:right w:val="single" w:color="000000" w:sz="4" w:space="0"/>
            </w:tcBorders>
            <w:vAlign w:val="center"/>
          </w:tcPr>
          <w:p w14:paraId="282533E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序号</w:t>
            </w:r>
          </w:p>
        </w:tc>
        <w:tc>
          <w:tcPr>
            <w:tcW w:w="389" w:type="pct"/>
            <w:tcBorders>
              <w:top w:val="single" w:color="000000" w:sz="4" w:space="0"/>
              <w:left w:val="single" w:color="000000" w:sz="4" w:space="0"/>
              <w:bottom w:val="single" w:color="000000" w:sz="4" w:space="0"/>
              <w:right w:val="single" w:color="000000" w:sz="4" w:space="0"/>
            </w:tcBorders>
            <w:vAlign w:val="center"/>
          </w:tcPr>
          <w:p w14:paraId="3F5F797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物资名称</w:t>
            </w:r>
          </w:p>
        </w:tc>
        <w:tc>
          <w:tcPr>
            <w:tcW w:w="310" w:type="pct"/>
            <w:tcBorders>
              <w:top w:val="single" w:color="000000" w:sz="4" w:space="0"/>
              <w:left w:val="single" w:color="000000" w:sz="4" w:space="0"/>
              <w:bottom w:val="single" w:color="000000" w:sz="4" w:space="0"/>
              <w:right w:val="single" w:color="000000" w:sz="4" w:space="0"/>
            </w:tcBorders>
            <w:vAlign w:val="center"/>
          </w:tcPr>
          <w:p w14:paraId="62C15BC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包件号</w:t>
            </w:r>
          </w:p>
        </w:tc>
        <w:tc>
          <w:tcPr>
            <w:tcW w:w="350" w:type="pct"/>
            <w:tcBorders>
              <w:top w:val="single" w:color="000000" w:sz="4" w:space="0"/>
              <w:left w:val="single" w:color="000000" w:sz="4" w:space="0"/>
              <w:bottom w:val="single" w:color="000000" w:sz="4" w:space="0"/>
              <w:right w:val="single" w:color="000000" w:sz="4" w:space="0"/>
            </w:tcBorders>
            <w:vAlign w:val="center"/>
          </w:tcPr>
          <w:p w14:paraId="494954F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计量单位</w:t>
            </w:r>
          </w:p>
        </w:tc>
        <w:tc>
          <w:tcPr>
            <w:tcW w:w="435" w:type="pct"/>
            <w:tcBorders>
              <w:top w:val="single" w:color="000000" w:sz="4" w:space="0"/>
              <w:left w:val="single" w:color="000000" w:sz="4" w:space="0"/>
              <w:bottom w:val="single" w:color="000000" w:sz="4" w:space="0"/>
              <w:right w:val="single" w:color="000000" w:sz="4" w:space="0"/>
            </w:tcBorders>
            <w:vAlign w:val="center"/>
          </w:tcPr>
          <w:p w14:paraId="26BA186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包件数量</w:t>
            </w:r>
          </w:p>
        </w:tc>
        <w:tc>
          <w:tcPr>
            <w:tcW w:w="826" w:type="pct"/>
            <w:tcBorders>
              <w:top w:val="single" w:color="000000" w:sz="4" w:space="0"/>
              <w:left w:val="single" w:color="000000" w:sz="4" w:space="0"/>
              <w:bottom w:val="single" w:color="000000" w:sz="4" w:space="0"/>
              <w:right w:val="single" w:color="000000" w:sz="4" w:space="0"/>
            </w:tcBorders>
            <w:vAlign w:val="center"/>
          </w:tcPr>
          <w:p w14:paraId="52B06C7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项目名称</w:t>
            </w:r>
          </w:p>
        </w:tc>
        <w:tc>
          <w:tcPr>
            <w:tcW w:w="524" w:type="pct"/>
            <w:tcBorders>
              <w:top w:val="single" w:color="000000" w:sz="4" w:space="0"/>
              <w:left w:val="single" w:color="000000" w:sz="4" w:space="0"/>
              <w:bottom w:val="single" w:color="000000" w:sz="4" w:space="0"/>
              <w:right w:val="single" w:color="000000" w:sz="4" w:space="0"/>
            </w:tcBorders>
            <w:vAlign w:val="center"/>
          </w:tcPr>
          <w:p w14:paraId="677FC59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bidi="ar"/>
              </w:rPr>
              <w:t>投标保证金（万元）</w:t>
            </w:r>
          </w:p>
        </w:tc>
        <w:tc>
          <w:tcPr>
            <w:tcW w:w="804" w:type="pct"/>
            <w:tcBorders>
              <w:top w:val="single" w:color="000000" w:sz="4" w:space="0"/>
              <w:left w:val="single" w:color="000000" w:sz="4" w:space="0"/>
              <w:bottom w:val="single" w:color="000000" w:sz="4" w:space="0"/>
              <w:right w:val="single" w:color="000000" w:sz="4" w:space="0"/>
            </w:tcBorders>
            <w:vAlign w:val="center"/>
          </w:tcPr>
          <w:p w14:paraId="796C86D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lang w:val="en-US" w:eastAsia="zh-CN" w:bidi="ar"/>
              </w:rPr>
              <w:t>履约</w:t>
            </w:r>
            <w:r>
              <w:rPr>
                <w:rFonts w:hint="eastAsia" w:ascii="宋体" w:hAnsi="宋体" w:cs="宋体"/>
                <w:color w:val="000000"/>
                <w:kern w:val="0"/>
                <w:sz w:val="15"/>
                <w:szCs w:val="15"/>
                <w:lang w:bidi="ar"/>
              </w:rPr>
              <w:t>保证金（万元）</w:t>
            </w:r>
          </w:p>
        </w:tc>
        <w:tc>
          <w:tcPr>
            <w:tcW w:w="947" w:type="pct"/>
            <w:tcBorders>
              <w:top w:val="single" w:color="000000" w:sz="4" w:space="0"/>
              <w:left w:val="single" w:color="000000" w:sz="4" w:space="0"/>
              <w:bottom w:val="single" w:color="000000" w:sz="4" w:space="0"/>
              <w:right w:val="single" w:color="000000" w:sz="4" w:space="0"/>
            </w:tcBorders>
            <w:vAlign w:val="center"/>
          </w:tcPr>
          <w:p w14:paraId="204A4048">
            <w:pPr>
              <w:widowControl/>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含税限价总价（元）</w:t>
            </w:r>
          </w:p>
        </w:tc>
      </w:tr>
      <w:tr w14:paraId="2B4A42CF">
        <w:tblPrEx>
          <w:tblCellMar>
            <w:top w:w="0" w:type="dxa"/>
            <w:left w:w="108" w:type="dxa"/>
            <w:bottom w:w="0" w:type="dxa"/>
            <w:right w:w="108" w:type="dxa"/>
          </w:tblCellMar>
        </w:tblPrEx>
        <w:trPr>
          <w:trHeight w:val="493" w:hRule="atLeast"/>
          <w:jc w:val="center"/>
        </w:trPr>
        <w:tc>
          <w:tcPr>
            <w:tcW w:w="411" w:type="pct"/>
            <w:tcBorders>
              <w:top w:val="single" w:color="000000" w:sz="4" w:space="0"/>
              <w:left w:val="single" w:color="000000" w:sz="4" w:space="0"/>
              <w:bottom w:val="single" w:color="000000" w:sz="4" w:space="0"/>
              <w:right w:val="single" w:color="000000" w:sz="4" w:space="0"/>
            </w:tcBorders>
            <w:vAlign w:val="center"/>
          </w:tcPr>
          <w:p w14:paraId="6D8C0B37">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rPr>
              <w:t>1</w:t>
            </w:r>
          </w:p>
        </w:tc>
        <w:tc>
          <w:tcPr>
            <w:tcW w:w="389" w:type="pct"/>
            <w:tcBorders>
              <w:top w:val="single" w:color="000000" w:sz="4" w:space="0"/>
              <w:left w:val="single" w:color="000000" w:sz="4" w:space="0"/>
              <w:bottom w:val="single" w:color="000000" w:sz="4" w:space="0"/>
              <w:right w:val="single" w:color="000000" w:sz="4" w:space="0"/>
            </w:tcBorders>
            <w:vAlign w:val="center"/>
          </w:tcPr>
          <w:p w14:paraId="76456C19">
            <w:pPr>
              <w:widowControl/>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kern w:val="0"/>
                <w:sz w:val="15"/>
                <w:szCs w:val="15"/>
                <w:lang w:val="en-US" w:eastAsia="zh-CN"/>
              </w:rPr>
              <w:t>商品砼</w:t>
            </w:r>
          </w:p>
        </w:tc>
        <w:tc>
          <w:tcPr>
            <w:tcW w:w="310" w:type="pct"/>
            <w:tcBorders>
              <w:top w:val="single" w:color="000000" w:sz="4" w:space="0"/>
              <w:left w:val="single" w:color="000000" w:sz="4" w:space="0"/>
              <w:bottom w:val="single" w:color="000000" w:sz="4" w:space="0"/>
              <w:right w:val="single" w:color="000000" w:sz="4" w:space="0"/>
            </w:tcBorders>
            <w:vAlign w:val="center"/>
          </w:tcPr>
          <w:p w14:paraId="2CED1F46">
            <w:pPr>
              <w:widowControl/>
              <w:jc w:val="center"/>
              <w:textAlignment w:val="center"/>
              <w:rPr>
                <w:rFonts w:hint="eastAsia" w:ascii="宋体" w:hAnsi="宋体" w:cs="宋体"/>
                <w:color w:val="000000"/>
                <w:sz w:val="15"/>
                <w:szCs w:val="15"/>
              </w:rPr>
            </w:pPr>
            <w:r>
              <w:rPr>
                <w:rFonts w:hint="eastAsia" w:ascii="宋体" w:hAnsi="宋体" w:cs="宋体"/>
                <w:color w:val="000000"/>
                <w:sz w:val="15"/>
                <w:szCs w:val="15"/>
              </w:rPr>
              <w:t>SPT-01</w:t>
            </w:r>
          </w:p>
        </w:tc>
        <w:tc>
          <w:tcPr>
            <w:tcW w:w="350" w:type="pct"/>
            <w:tcBorders>
              <w:top w:val="single" w:color="000000" w:sz="4" w:space="0"/>
              <w:left w:val="single" w:color="000000" w:sz="4" w:space="0"/>
              <w:bottom w:val="single" w:color="000000" w:sz="4" w:space="0"/>
              <w:right w:val="single" w:color="000000" w:sz="4" w:space="0"/>
            </w:tcBorders>
            <w:vAlign w:val="center"/>
          </w:tcPr>
          <w:p w14:paraId="6DEEB1C0">
            <w:pPr>
              <w:widowControl/>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kern w:val="0"/>
                <w:sz w:val="15"/>
                <w:szCs w:val="15"/>
                <w:lang w:val="en-US" w:eastAsia="zh-CN"/>
              </w:rPr>
              <w:t>m3</w:t>
            </w:r>
          </w:p>
        </w:tc>
        <w:tc>
          <w:tcPr>
            <w:tcW w:w="435" w:type="pct"/>
            <w:tcBorders>
              <w:top w:val="single" w:color="000000" w:sz="4" w:space="0"/>
              <w:left w:val="single" w:color="000000" w:sz="4" w:space="0"/>
              <w:bottom w:val="single" w:color="000000" w:sz="4" w:space="0"/>
              <w:right w:val="single" w:color="000000" w:sz="4" w:space="0"/>
            </w:tcBorders>
            <w:vAlign w:val="center"/>
          </w:tcPr>
          <w:p w14:paraId="1BCBC671">
            <w:pPr>
              <w:widowControl/>
              <w:jc w:val="center"/>
              <w:textAlignment w:val="center"/>
              <w:rPr>
                <w:rFonts w:hint="default" w:ascii="宋体" w:hAnsi="宋体" w:eastAsia="宋体" w:cs="宋体"/>
                <w:color w:val="000000"/>
                <w:sz w:val="15"/>
                <w:szCs w:val="15"/>
                <w:lang w:val="en-US" w:eastAsia="zh-CN"/>
              </w:rPr>
            </w:pPr>
            <w:r>
              <w:rPr>
                <w:rFonts w:hint="eastAsia" w:ascii="仿宋_GB2312" w:hAnsi="宋体" w:eastAsia="仿宋_GB2312" w:cs="仿宋_GB2312"/>
                <w:b/>
                <w:bCs/>
                <w:color w:val="000000"/>
                <w:sz w:val="16"/>
                <w:szCs w:val="16"/>
                <w:lang w:val="en-US" w:eastAsia="zh-CN"/>
              </w:rPr>
              <w:t>26150</w:t>
            </w:r>
          </w:p>
        </w:tc>
        <w:tc>
          <w:tcPr>
            <w:tcW w:w="826" w:type="pct"/>
            <w:tcBorders>
              <w:top w:val="single" w:color="000000" w:sz="4" w:space="0"/>
              <w:left w:val="single" w:color="000000" w:sz="4" w:space="0"/>
              <w:bottom w:val="single" w:color="000000" w:sz="4" w:space="0"/>
              <w:right w:val="single" w:color="000000" w:sz="4" w:space="0"/>
            </w:tcBorders>
            <w:vAlign w:val="center"/>
          </w:tcPr>
          <w:p w14:paraId="5DA3580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中铁二局集团有限公司</w:t>
            </w:r>
            <w:r>
              <w:rPr>
                <w:rFonts w:hint="eastAsia" w:ascii="宋体" w:hAnsi="宋体" w:cs="宋体"/>
                <w:color w:val="000000"/>
                <w:kern w:val="0"/>
                <w:sz w:val="15"/>
                <w:szCs w:val="15"/>
                <w:lang w:eastAsia="zh-CN"/>
              </w:rPr>
              <w:t>无锡地铁</w:t>
            </w:r>
            <w:r>
              <w:rPr>
                <w:rFonts w:hint="eastAsia" w:ascii="宋体" w:hAnsi="宋体" w:cs="宋体"/>
                <w:color w:val="000000"/>
                <w:kern w:val="0"/>
                <w:sz w:val="15"/>
                <w:szCs w:val="15"/>
                <w:lang w:val="en-US" w:eastAsia="zh-CN"/>
              </w:rPr>
              <w:t>5号线03标</w:t>
            </w:r>
            <w:r>
              <w:rPr>
                <w:rFonts w:hint="eastAsia" w:ascii="宋体" w:hAnsi="宋体" w:cs="宋体"/>
                <w:color w:val="000000"/>
                <w:kern w:val="0"/>
                <w:sz w:val="15"/>
                <w:szCs w:val="15"/>
              </w:rPr>
              <w:t>项目经理部</w:t>
            </w:r>
          </w:p>
        </w:tc>
        <w:tc>
          <w:tcPr>
            <w:tcW w:w="524" w:type="pct"/>
            <w:tcBorders>
              <w:top w:val="single" w:color="000000" w:sz="4" w:space="0"/>
              <w:left w:val="single" w:color="000000" w:sz="4" w:space="0"/>
              <w:bottom w:val="single" w:color="000000" w:sz="4" w:space="0"/>
              <w:right w:val="single" w:color="000000" w:sz="4" w:space="0"/>
            </w:tcBorders>
            <w:vAlign w:val="center"/>
          </w:tcPr>
          <w:p w14:paraId="3B342BA5">
            <w:pPr>
              <w:widowControl/>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kern w:val="0"/>
                <w:sz w:val="15"/>
                <w:szCs w:val="15"/>
                <w:lang w:val="en-US" w:eastAsia="zh-CN"/>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6C0ED">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含税合同总价1%</w:t>
            </w:r>
          </w:p>
        </w:tc>
        <w:tc>
          <w:tcPr>
            <w:tcW w:w="947" w:type="pct"/>
            <w:tcBorders>
              <w:top w:val="single" w:color="000000" w:sz="4" w:space="0"/>
              <w:left w:val="single" w:color="000000" w:sz="4" w:space="0"/>
              <w:bottom w:val="single" w:color="000000" w:sz="4" w:space="0"/>
              <w:right w:val="single" w:color="000000" w:sz="4" w:space="0"/>
            </w:tcBorders>
            <w:vAlign w:val="center"/>
          </w:tcPr>
          <w:p w14:paraId="1178BEC4">
            <w:pPr>
              <w:widowControl/>
              <w:jc w:val="center"/>
              <w:textAlignment w:val="center"/>
              <w:rPr>
                <w:rFonts w:hint="eastAsia" w:ascii="宋体" w:hAnsi="宋体" w:cs="宋体"/>
                <w:b/>
                <w:color w:val="000000"/>
                <w:sz w:val="15"/>
                <w:szCs w:val="15"/>
              </w:rPr>
            </w:pPr>
            <w:r>
              <w:rPr>
                <w:rFonts w:hint="eastAsia" w:ascii="宋体" w:hAnsi="宋体" w:cs="宋体"/>
                <w:b/>
                <w:color w:val="000000"/>
                <w:sz w:val="15"/>
                <w:szCs w:val="15"/>
                <w:lang w:val="en-US" w:eastAsia="zh-CN"/>
              </w:rPr>
              <w:t>=</w:t>
            </w:r>
            <w:r>
              <w:rPr>
                <w:rFonts w:hint="eastAsia" w:ascii="宋体" w:hAnsi="宋体" w:eastAsia="宋体" w:cs="宋体"/>
                <w:i w:val="0"/>
                <w:iCs w:val="0"/>
                <w:color w:val="000000"/>
                <w:kern w:val="0"/>
                <w:sz w:val="18"/>
                <w:szCs w:val="18"/>
                <w:u w:val="none"/>
                <w:lang w:val="en-US" w:eastAsia="zh-CN" w:bidi="ar"/>
              </w:rPr>
              <w:t xml:space="preserve">10909498.00 </w:t>
            </w:r>
            <w:r>
              <w:rPr>
                <w:rFonts w:hint="eastAsia" w:ascii="宋体" w:hAnsi="宋体" w:cs="宋体"/>
                <w:b/>
                <w:color w:val="000000"/>
                <w:sz w:val="15"/>
                <w:szCs w:val="15"/>
              </w:rPr>
              <w:t>（含3%的税）</w:t>
            </w:r>
          </w:p>
        </w:tc>
      </w:tr>
      <w:tr w14:paraId="611CD314">
        <w:tblPrEx>
          <w:tblCellMar>
            <w:top w:w="0" w:type="dxa"/>
            <w:left w:w="108" w:type="dxa"/>
            <w:bottom w:w="0" w:type="dxa"/>
            <w:right w:w="108" w:type="dxa"/>
          </w:tblCellMar>
        </w:tblPrEx>
        <w:trPr>
          <w:trHeight w:val="427"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Pr>
          <w:p w14:paraId="1A00E91A">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投标人资格要求</w:t>
            </w:r>
          </w:p>
          <w:p w14:paraId="06DD5329">
            <w:pPr>
              <w:widowControl/>
              <w:spacing w:line="276" w:lineRule="auto"/>
              <w:jc w:val="left"/>
              <w:rPr>
                <w:rFonts w:hint="eastAsia" w:ascii="宋体" w:hAnsi="宋体" w:cs="宋体"/>
                <w:color w:val="000000"/>
                <w:kern w:val="0"/>
                <w:sz w:val="18"/>
                <w:szCs w:val="18"/>
                <w:highlight w:val="none"/>
              </w:rPr>
            </w:pPr>
            <w:r>
              <w:rPr>
                <w:rFonts w:hint="eastAsia" w:ascii="宋体" w:hAnsi="宋体" w:cs="宋体"/>
                <w:color w:val="000000"/>
                <w:kern w:val="0"/>
                <w:sz w:val="18"/>
                <w:szCs w:val="18"/>
              </w:rPr>
              <w:t>营业范围要求：在中华人</w:t>
            </w:r>
            <w:r>
              <w:rPr>
                <w:rFonts w:hint="eastAsia" w:ascii="宋体" w:hAnsi="宋体" w:cs="宋体"/>
                <w:color w:val="000000"/>
                <w:kern w:val="0"/>
                <w:sz w:val="18"/>
                <w:szCs w:val="18"/>
                <w:highlight w:val="none"/>
              </w:rPr>
              <w:t>民共和国境内依法注册，具有独立法人资格、具有招标物资生产或供应经验的生产厂，并且具有合法、有效的营业执照、税务登记证书、组织机构代码证书。</w:t>
            </w:r>
            <w:r>
              <w:rPr>
                <w:rFonts w:hint="eastAsia" w:ascii="宋体" w:hAnsi="宋体" w:cs="宋体"/>
                <w:color w:val="000000"/>
                <w:kern w:val="0"/>
                <w:sz w:val="18"/>
                <w:szCs w:val="18"/>
                <w:highlight w:val="none"/>
              </w:rPr>
              <w:br w:type="textWrapping"/>
            </w:r>
            <w:r>
              <w:rPr>
                <w:rFonts w:hint="eastAsia" w:ascii="宋体" w:hAnsi="宋体" w:cs="宋体"/>
                <w:color w:val="000000"/>
                <w:kern w:val="0"/>
                <w:sz w:val="18"/>
                <w:szCs w:val="18"/>
                <w:highlight w:val="none"/>
              </w:rPr>
              <w:t>2.生产能力要求：生产工艺、装备必须符合国家产业发展政策的相关规定。</w:t>
            </w:r>
            <w:r>
              <w:rPr>
                <w:rFonts w:hint="eastAsia" w:ascii="宋体" w:hAnsi="宋体" w:cs="宋体"/>
                <w:color w:val="000000"/>
                <w:kern w:val="0"/>
                <w:sz w:val="18"/>
                <w:szCs w:val="18"/>
                <w:highlight w:val="none"/>
              </w:rPr>
              <w:br w:type="textWrapping"/>
            </w:r>
            <w:r>
              <w:rPr>
                <w:rFonts w:hint="eastAsia" w:ascii="宋体" w:hAnsi="宋体" w:cs="宋体"/>
                <w:color w:val="000000"/>
                <w:kern w:val="0"/>
                <w:sz w:val="18"/>
                <w:szCs w:val="18"/>
                <w:highlight w:val="none"/>
              </w:rPr>
              <w:t>3.供货业绩要求：投标产品近三年</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lang w:val="en-US" w:eastAsia="zh-CN"/>
              </w:rPr>
              <w:t>2022年至今</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rPr>
              <w:t>内有县、市级或以上大中型工程建设项目供货业绩；（须附中标通知书复印件或供货合同复印件等）。</w:t>
            </w:r>
            <w:r>
              <w:rPr>
                <w:rFonts w:hint="eastAsia" w:ascii="宋体" w:hAnsi="宋体" w:cs="宋体"/>
                <w:color w:val="000000"/>
                <w:kern w:val="0"/>
                <w:sz w:val="18"/>
                <w:szCs w:val="18"/>
                <w:highlight w:val="none"/>
              </w:rPr>
              <w:br w:type="textWrapping"/>
            </w:r>
            <w:r>
              <w:rPr>
                <w:rFonts w:hint="eastAsia" w:ascii="宋体" w:hAnsi="宋体" w:cs="宋体"/>
                <w:color w:val="000000"/>
                <w:kern w:val="0"/>
                <w:sz w:val="18"/>
                <w:szCs w:val="18"/>
                <w:highlight w:val="none"/>
              </w:rPr>
              <w:t>4.履约信用要求：(1)具有良好的社会信誉，最近三年内没有与骗取合同有关的犯罪或严重违法行为而引起的诉讼和仲裁；近三年不曾在任何合同中违约或被逐；财产未被接管或冻结，企业未处于禁止或取消投标状态；不接受中国中铁或中铁二局处罚期内的投标单位。</w:t>
            </w:r>
          </w:p>
          <w:p w14:paraId="00570BE2">
            <w:pPr>
              <w:widowControl/>
              <w:spacing w:line="276" w:lineRule="auto"/>
              <w:jc w:val="left"/>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（2）投标人不得存在的其他情形：</w:t>
            </w:r>
          </w:p>
          <w:p w14:paraId="288B5A7D">
            <w:pPr>
              <w:widowControl/>
              <w:spacing w:line="276" w:lineRule="auto"/>
              <w:jc w:val="left"/>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“国家企业信用信息公示系统”（www.gsxt.gov.cn）中被列入严重违法失信企业名单；“信用中国”（www.creditchina.gov.cn）被列入失信被执行人。</w:t>
            </w:r>
          </w:p>
          <w:p w14:paraId="3425C6F6">
            <w:pPr>
              <w:widowControl/>
              <w:spacing w:line="276" w:lineRule="auto"/>
              <w:jc w:val="left"/>
              <w:rPr>
                <w:rFonts w:hint="eastAsia" w:ascii="宋体" w:hAnsi="宋体" w:cs="宋体"/>
                <w:b/>
                <w:bCs/>
                <w:color w:val="FF0000"/>
                <w:kern w:val="0"/>
                <w:sz w:val="18"/>
                <w:szCs w:val="18"/>
                <w:highlight w:val="none"/>
              </w:rPr>
            </w:pPr>
            <w:r>
              <w:rPr>
                <w:rFonts w:hint="eastAsia" w:ascii="宋体" w:hAnsi="宋体" w:cs="宋体"/>
                <w:b/>
                <w:bCs/>
                <w:color w:val="FF0000"/>
                <w:kern w:val="0"/>
                <w:sz w:val="18"/>
                <w:szCs w:val="18"/>
                <w:highlight w:val="none"/>
              </w:rPr>
              <w:t>（以上系统查询结果在投标文件中需提供截图，未提供按废标处理）</w:t>
            </w:r>
          </w:p>
          <w:p w14:paraId="420E1DA2">
            <w:pPr>
              <w:widowControl/>
              <w:spacing w:line="276" w:lineRule="auto"/>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（3）不接受纳税信用登记信息系统“纳税信用等级为C、D级”的企业”。</w:t>
            </w:r>
          </w:p>
          <w:p w14:paraId="1F620D8E">
            <w:pPr>
              <w:widowControl/>
              <w:spacing w:line="276" w:lineRule="auto"/>
              <w:jc w:val="left"/>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w:t>
            </w:r>
            <w:r>
              <w:rPr>
                <w:rFonts w:hint="eastAsia" w:ascii="宋体" w:hAnsi="宋体" w:cs="宋体"/>
                <w:b/>
                <w:bCs/>
                <w:color w:val="FF0000"/>
                <w:kern w:val="0"/>
                <w:sz w:val="18"/>
                <w:szCs w:val="18"/>
                <w:highlight w:val="none"/>
              </w:rPr>
              <w:t>需提供纳税信用等级系统查询截图，若没有，请说明原因。未提供截图或说明按废标处理</w:t>
            </w:r>
            <w:r>
              <w:rPr>
                <w:rFonts w:hint="eastAsia" w:ascii="宋体" w:hAnsi="宋体" w:cs="宋体"/>
                <w:color w:val="000000"/>
                <w:kern w:val="0"/>
                <w:sz w:val="18"/>
                <w:szCs w:val="18"/>
                <w:highlight w:val="none"/>
              </w:rPr>
              <w:t>）</w:t>
            </w:r>
            <w:r>
              <w:rPr>
                <w:rFonts w:hint="eastAsia" w:ascii="宋体" w:hAnsi="宋体" w:cs="宋体"/>
                <w:color w:val="000000"/>
                <w:kern w:val="0"/>
                <w:sz w:val="18"/>
                <w:szCs w:val="18"/>
                <w:highlight w:val="none"/>
              </w:rPr>
              <w:br w:type="textWrapping"/>
            </w:r>
            <w:r>
              <w:rPr>
                <w:rFonts w:hint="eastAsia" w:ascii="宋体" w:hAnsi="宋体" w:cs="宋体"/>
                <w:color w:val="000000"/>
                <w:kern w:val="0"/>
                <w:sz w:val="18"/>
                <w:szCs w:val="18"/>
                <w:highlight w:val="none"/>
              </w:rPr>
              <w:t>5.质量保证能力要求：产品符合国家现行标准，混凝土具有取得资质认定的市级或以上专业检测机构,或市级或以上住房和城乡建设局认证通过的试验室,出具的近三年</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lang w:val="en-US" w:eastAsia="zh-CN"/>
              </w:rPr>
              <w:t>2022年至今</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rPr>
              <w:t>投标物资</w:t>
            </w:r>
            <w:r>
              <w:rPr>
                <w:rFonts w:hint="eastAsia" w:ascii="宋体" w:hAnsi="宋体" w:cs="宋体"/>
                <w:color w:val="000000"/>
                <w:kern w:val="0"/>
                <w:sz w:val="18"/>
                <w:szCs w:val="18"/>
                <w:highlight w:val="none"/>
                <w:lang w:val="en-US" w:eastAsia="zh-CN"/>
              </w:rPr>
              <w:t>或原材料</w:t>
            </w:r>
            <w:r>
              <w:rPr>
                <w:rFonts w:hint="eastAsia" w:ascii="宋体" w:hAnsi="宋体" w:cs="宋体"/>
                <w:color w:val="000000"/>
                <w:kern w:val="0"/>
                <w:sz w:val="18"/>
                <w:szCs w:val="18"/>
                <w:highlight w:val="none"/>
              </w:rPr>
              <w:t>质量检验报告。</w:t>
            </w:r>
            <w:r>
              <w:rPr>
                <w:rFonts w:hint="eastAsia" w:ascii="宋体" w:hAnsi="宋体" w:cs="宋体"/>
                <w:color w:val="000000"/>
                <w:kern w:val="0"/>
                <w:sz w:val="18"/>
                <w:szCs w:val="18"/>
                <w:highlight w:val="none"/>
              </w:rPr>
              <w:br w:type="textWrapping"/>
            </w:r>
            <w:r>
              <w:rPr>
                <w:rFonts w:hint="eastAsia" w:ascii="宋体" w:hAnsi="宋体" w:cs="宋体"/>
                <w:color w:val="000000"/>
                <w:kern w:val="0"/>
                <w:sz w:val="18"/>
                <w:szCs w:val="18"/>
                <w:highlight w:val="none"/>
              </w:rPr>
              <w:t>6．财务能力要求：具有良好的资金财务状况，生产厂注册资金不低于2000万元人民币。</w:t>
            </w:r>
            <w:r>
              <w:rPr>
                <w:rFonts w:hint="eastAsia" w:ascii="宋体" w:hAnsi="宋体" w:cs="宋体"/>
                <w:color w:val="000000"/>
                <w:kern w:val="0"/>
                <w:sz w:val="18"/>
                <w:szCs w:val="18"/>
                <w:highlight w:val="none"/>
              </w:rPr>
              <w:br w:type="textWrapping"/>
            </w:r>
            <w:r>
              <w:rPr>
                <w:rFonts w:hint="eastAsia" w:ascii="宋体" w:hAnsi="宋体" w:cs="宋体"/>
                <w:color w:val="000000"/>
                <w:kern w:val="0"/>
                <w:sz w:val="18"/>
                <w:szCs w:val="18"/>
                <w:highlight w:val="none"/>
              </w:rPr>
              <w:t>7</w:t>
            </w:r>
            <w:r>
              <w:rPr>
                <w:rFonts w:hint="eastAsia" w:ascii="宋体" w:hAnsi="宋体" w:cs="宋体"/>
                <w:color w:val="000000"/>
                <w:kern w:val="0"/>
                <w:sz w:val="18"/>
                <w:szCs w:val="18"/>
                <w:highlight w:val="none"/>
                <w:lang w:val="en-US" w:eastAsia="zh-CN"/>
              </w:rPr>
              <w:t>.</w:t>
            </w:r>
            <w:r>
              <w:rPr>
                <w:rFonts w:hint="eastAsia" w:ascii="宋体" w:hAnsi="宋体" w:cs="宋体"/>
                <w:color w:val="000000"/>
                <w:kern w:val="0"/>
                <w:sz w:val="18"/>
                <w:szCs w:val="18"/>
                <w:highlight w:val="none"/>
              </w:rPr>
              <w:t>其他要求：不接受联合体投标，不接受代理商投标。</w:t>
            </w:r>
          </w:p>
          <w:p w14:paraId="04F0F539">
            <w:pPr>
              <w:widowControl/>
              <w:spacing w:line="276" w:lineRule="auto"/>
              <w:jc w:val="left"/>
              <w:rPr>
                <w:rFonts w:hint="eastAsia" w:ascii="宋体" w:hAnsi="宋体" w:cs="宋体"/>
                <w:color w:val="000000"/>
                <w:kern w:val="0"/>
                <w:sz w:val="18"/>
                <w:szCs w:val="18"/>
              </w:rPr>
            </w:pPr>
            <w:r>
              <w:rPr>
                <w:rFonts w:hint="eastAsia" w:ascii="宋体" w:hAnsi="宋体" w:cs="宋体"/>
                <w:color w:val="000000"/>
                <w:kern w:val="0"/>
                <w:sz w:val="18"/>
                <w:szCs w:val="18"/>
              </w:rPr>
              <w:t>8.本次招标,招标人设定了最高限价,投标人含税投标报价超最高限价的,按废标处理。</w:t>
            </w:r>
          </w:p>
          <w:p w14:paraId="63A22384">
            <w:pPr>
              <w:widowControl/>
              <w:spacing w:line="276" w:lineRule="auto"/>
              <w:jc w:val="left"/>
              <w:rPr>
                <w:rFonts w:hint="eastAsia" w:ascii="宋体" w:hAnsi="宋体" w:eastAsia="宋体"/>
                <w:kern w:val="0"/>
                <w:sz w:val="18"/>
                <w:szCs w:val="18"/>
                <w:lang w:eastAsia="zh-CN"/>
              </w:rPr>
            </w:pPr>
            <w:r>
              <w:rPr>
                <w:rFonts w:hint="eastAsia" w:ascii="宋体" w:hAnsi="宋体" w:cs="宋体"/>
                <w:color w:val="000000"/>
                <w:kern w:val="0"/>
                <w:sz w:val="18"/>
                <w:szCs w:val="18"/>
              </w:rPr>
              <w:t>9.商品混凝土生产厂家及产品满足国家规定，以甲方技术认可厂家为准，要求（1）生产规模：拥有自带电子计量系统3m3以上生产线≥2条，及相应的检测设备；（2）厂址要求：无锡市市区范围（不含江阴、宜兴），临河自有固定码头≥2个，吊机抓斗≥2台；（3）具备2条轨道专用线、料仓加盖或有加盖条件</w:t>
            </w:r>
            <w:r>
              <w:rPr>
                <w:rFonts w:hint="eastAsia" w:ascii="宋体" w:hAnsi="宋体" w:cs="宋体"/>
                <w:color w:val="000000"/>
                <w:kern w:val="0"/>
                <w:sz w:val="18"/>
                <w:szCs w:val="18"/>
                <w:lang w:eastAsia="zh-CN"/>
              </w:rPr>
              <w:t>。</w:t>
            </w:r>
          </w:p>
        </w:tc>
      </w:tr>
    </w:tbl>
    <w:p w14:paraId="082E2E37">
      <w:pPr>
        <w:tabs>
          <w:tab w:val="left" w:pos="2245"/>
        </w:tabs>
        <w:jc w:val="left"/>
        <w:rPr>
          <w:rFonts w:hint="eastAsia"/>
        </w:rPr>
        <w:sectPr>
          <w:pgSz w:w="16838" w:h="11906" w:orient="landscape"/>
          <w:pgMar w:top="1474" w:right="1134" w:bottom="993" w:left="1134" w:header="680" w:footer="1191" w:gutter="0"/>
          <w:cols w:space="720" w:num="1"/>
          <w:docGrid w:linePitch="312" w:charSpace="0"/>
        </w:sectPr>
      </w:pPr>
    </w:p>
    <w:p w14:paraId="3C6928C8">
      <w:pPr>
        <w:outlineLvl w:val="1"/>
        <w:rPr>
          <w:rFonts w:ascii="宋体" w:hAnsi="宋体"/>
          <w:sz w:val="28"/>
          <w:szCs w:val="28"/>
        </w:rPr>
      </w:pPr>
      <w:bookmarkStart w:id="16" w:name="_Toc31915"/>
      <w:bookmarkStart w:id="17" w:name="_Toc18301"/>
      <w:bookmarkStart w:id="18" w:name="_Toc31133"/>
      <w:r>
        <w:rPr>
          <w:rFonts w:hint="eastAsia" w:ascii="宋体" w:hAnsi="宋体"/>
          <w:sz w:val="28"/>
          <w:szCs w:val="28"/>
        </w:rPr>
        <w:t>附件三</w:t>
      </w:r>
      <w:bookmarkEnd w:id="16"/>
      <w:bookmarkEnd w:id="17"/>
      <w:bookmarkEnd w:id="18"/>
    </w:p>
    <w:p w14:paraId="32D366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新宋体"/>
          <w:b/>
          <w:bCs/>
          <w:kern w:val="0"/>
          <w:sz w:val="36"/>
          <w:szCs w:val="36"/>
        </w:rPr>
      </w:pPr>
      <w:r>
        <w:rPr>
          <w:rFonts w:hint="eastAsia" w:ascii="宋体" w:hAnsi="宋体" w:cs="新宋体"/>
          <w:b/>
          <w:bCs/>
          <w:kern w:val="0"/>
          <w:sz w:val="36"/>
          <w:szCs w:val="36"/>
        </w:rPr>
        <w:t>投标申请表</w:t>
      </w:r>
    </w:p>
    <w:tbl>
      <w:tblPr>
        <w:tblStyle w:val="6"/>
        <w:tblW w:w="0" w:type="auto"/>
        <w:tblInd w:w="16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82"/>
        <w:gridCol w:w="2431"/>
        <w:gridCol w:w="1747"/>
        <w:gridCol w:w="2399"/>
      </w:tblGrid>
      <w:tr w14:paraId="01A35F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14:paraId="55991FF0">
            <w:pPr>
              <w:widowControl/>
              <w:spacing w:line="440" w:lineRule="exact"/>
              <w:jc w:val="center"/>
              <w:rPr>
                <w:rFonts w:ascii="宋体" w:hAnsi="宋体" w:cs="宋体"/>
                <w:kern w:val="0"/>
                <w:sz w:val="24"/>
                <w:szCs w:val="21"/>
              </w:rPr>
            </w:pPr>
            <w:r>
              <w:rPr>
                <w:rFonts w:hint="eastAsia" w:ascii="宋体" w:hAnsi="宋体" w:cs="宋体"/>
                <w:kern w:val="0"/>
                <w:sz w:val="24"/>
                <w:szCs w:val="21"/>
              </w:rPr>
              <w:t>投标项目</w:t>
            </w:r>
          </w:p>
        </w:tc>
        <w:tc>
          <w:tcPr>
            <w:tcW w:w="6577" w:type="dxa"/>
            <w:gridSpan w:val="3"/>
            <w:tcBorders>
              <w:top w:val="single" w:color="auto" w:sz="8" w:space="0"/>
            </w:tcBorders>
            <w:noWrap w:val="0"/>
            <w:vAlign w:val="center"/>
          </w:tcPr>
          <w:p w14:paraId="26C98AA4">
            <w:pPr>
              <w:widowControl/>
              <w:spacing w:line="440" w:lineRule="exact"/>
              <w:jc w:val="center"/>
              <w:rPr>
                <w:rFonts w:hint="eastAsia" w:ascii="宋体" w:hAnsi="宋体" w:cs="宋体"/>
                <w:kern w:val="0"/>
                <w:sz w:val="24"/>
                <w:szCs w:val="21"/>
              </w:rPr>
            </w:pPr>
            <w:r>
              <w:rPr>
                <w:rFonts w:hint="eastAsia" w:ascii="宋体" w:hAnsi="宋体" w:cs="宋体"/>
                <w:kern w:val="0"/>
                <w:sz w:val="24"/>
                <w:szCs w:val="21"/>
              </w:rPr>
              <w:t>可直接复制招标文件标题</w:t>
            </w:r>
          </w:p>
        </w:tc>
      </w:tr>
      <w:tr w14:paraId="5CB4DC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14:paraId="44B8BB0B">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投标人名称</w:t>
            </w:r>
          </w:p>
        </w:tc>
        <w:tc>
          <w:tcPr>
            <w:tcW w:w="6577" w:type="dxa"/>
            <w:gridSpan w:val="3"/>
            <w:tcBorders>
              <w:top w:val="single" w:color="auto" w:sz="8" w:space="0"/>
            </w:tcBorders>
            <w:noWrap w:val="0"/>
            <w:vAlign w:val="center"/>
          </w:tcPr>
          <w:p w14:paraId="10CF6C91">
            <w:pPr>
              <w:widowControl/>
              <w:spacing w:line="440" w:lineRule="exact"/>
              <w:jc w:val="center"/>
              <w:rPr>
                <w:rFonts w:ascii="宋体" w:hAnsi="宋体" w:cs="宋体"/>
                <w:kern w:val="0"/>
                <w:sz w:val="24"/>
                <w:szCs w:val="21"/>
              </w:rPr>
            </w:pPr>
          </w:p>
        </w:tc>
      </w:tr>
      <w:tr w14:paraId="5C237E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noWrap w:val="0"/>
            <w:vAlign w:val="center"/>
          </w:tcPr>
          <w:p w14:paraId="327AEF6E">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投标人联系地址</w:t>
            </w:r>
          </w:p>
        </w:tc>
        <w:tc>
          <w:tcPr>
            <w:tcW w:w="6577" w:type="dxa"/>
            <w:gridSpan w:val="3"/>
            <w:noWrap w:val="0"/>
            <w:vAlign w:val="center"/>
          </w:tcPr>
          <w:p w14:paraId="10E7DCAD">
            <w:pPr>
              <w:widowControl/>
              <w:spacing w:line="440" w:lineRule="exact"/>
              <w:jc w:val="center"/>
              <w:rPr>
                <w:rFonts w:ascii="宋体" w:hAnsi="宋体" w:cs="宋体"/>
                <w:kern w:val="0"/>
                <w:sz w:val="24"/>
                <w:szCs w:val="21"/>
              </w:rPr>
            </w:pPr>
          </w:p>
        </w:tc>
      </w:tr>
      <w:tr w14:paraId="36C958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248B4512">
            <w:pPr>
              <w:widowControl/>
              <w:spacing w:line="440" w:lineRule="exact"/>
              <w:jc w:val="center"/>
              <w:rPr>
                <w:rFonts w:ascii="宋体" w:hAnsi="宋体" w:cs="宋体"/>
                <w:kern w:val="0"/>
                <w:sz w:val="24"/>
                <w:szCs w:val="21"/>
              </w:rPr>
            </w:pPr>
            <w:r>
              <w:rPr>
                <w:rFonts w:hint="eastAsia" w:ascii="宋体" w:hAnsi="宋体" w:cs="宋体"/>
                <w:kern w:val="0"/>
                <w:sz w:val="24"/>
                <w:szCs w:val="21"/>
              </w:rPr>
              <w:t>法定代表人</w:t>
            </w:r>
          </w:p>
        </w:tc>
        <w:tc>
          <w:tcPr>
            <w:tcW w:w="2431" w:type="dxa"/>
            <w:noWrap w:val="0"/>
            <w:vAlign w:val="center"/>
          </w:tcPr>
          <w:p w14:paraId="31F57B96">
            <w:pPr>
              <w:widowControl/>
              <w:spacing w:line="440" w:lineRule="exact"/>
              <w:jc w:val="center"/>
              <w:rPr>
                <w:rFonts w:ascii="宋体" w:hAnsi="宋体" w:cs="宋体"/>
                <w:kern w:val="0"/>
                <w:sz w:val="24"/>
                <w:szCs w:val="21"/>
              </w:rPr>
            </w:pPr>
          </w:p>
        </w:tc>
        <w:tc>
          <w:tcPr>
            <w:tcW w:w="1747" w:type="dxa"/>
            <w:noWrap w:val="0"/>
            <w:vAlign w:val="center"/>
          </w:tcPr>
          <w:p w14:paraId="675C4F52">
            <w:pPr>
              <w:widowControl/>
              <w:spacing w:line="440" w:lineRule="exact"/>
              <w:jc w:val="center"/>
              <w:rPr>
                <w:rFonts w:ascii="宋体" w:hAnsi="宋体" w:cs="宋体"/>
                <w:kern w:val="0"/>
                <w:sz w:val="24"/>
                <w:szCs w:val="21"/>
              </w:rPr>
            </w:pPr>
            <w:r>
              <w:rPr>
                <w:rFonts w:hint="eastAsia" w:ascii="宋体" w:hAnsi="宋体" w:cs="宋体"/>
                <w:kern w:val="0"/>
                <w:sz w:val="24"/>
                <w:szCs w:val="21"/>
              </w:rPr>
              <w:t>法人委托人</w:t>
            </w:r>
          </w:p>
        </w:tc>
        <w:tc>
          <w:tcPr>
            <w:tcW w:w="2399" w:type="dxa"/>
            <w:noWrap w:val="0"/>
            <w:vAlign w:val="center"/>
          </w:tcPr>
          <w:p w14:paraId="6B2500F4">
            <w:pPr>
              <w:widowControl/>
              <w:spacing w:line="440" w:lineRule="exact"/>
              <w:jc w:val="center"/>
              <w:rPr>
                <w:rFonts w:ascii="宋体" w:hAnsi="宋体" w:cs="宋体"/>
                <w:kern w:val="0"/>
                <w:sz w:val="24"/>
                <w:szCs w:val="21"/>
              </w:rPr>
            </w:pPr>
          </w:p>
        </w:tc>
      </w:tr>
      <w:tr w14:paraId="521021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015150D3">
            <w:pPr>
              <w:widowControl/>
              <w:spacing w:line="440" w:lineRule="exact"/>
              <w:jc w:val="center"/>
              <w:rPr>
                <w:rFonts w:ascii="宋体" w:hAnsi="宋体" w:cs="宋体"/>
                <w:kern w:val="0"/>
                <w:sz w:val="24"/>
                <w:szCs w:val="21"/>
              </w:rPr>
            </w:pPr>
            <w:r>
              <w:rPr>
                <w:rFonts w:hint="eastAsia" w:ascii="宋体" w:hAnsi="宋体" w:cs="宋体"/>
                <w:kern w:val="0"/>
                <w:sz w:val="24"/>
                <w:szCs w:val="21"/>
              </w:rPr>
              <w:t>投标联系人</w:t>
            </w:r>
          </w:p>
        </w:tc>
        <w:tc>
          <w:tcPr>
            <w:tcW w:w="2431" w:type="dxa"/>
            <w:noWrap w:val="0"/>
            <w:vAlign w:val="center"/>
          </w:tcPr>
          <w:p w14:paraId="186E639C">
            <w:pPr>
              <w:widowControl/>
              <w:spacing w:line="440" w:lineRule="exact"/>
              <w:jc w:val="center"/>
              <w:rPr>
                <w:rFonts w:ascii="宋体" w:hAnsi="宋体" w:cs="宋体"/>
                <w:kern w:val="0"/>
                <w:sz w:val="24"/>
                <w:szCs w:val="21"/>
              </w:rPr>
            </w:pPr>
          </w:p>
        </w:tc>
        <w:tc>
          <w:tcPr>
            <w:tcW w:w="1747" w:type="dxa"/>
            <w:noWrap w:val="0"/>
            <w:vAlign w:val="center"/>
          </w:tcPr>
          <w:p w14:paraId="5AB6E5A5">
            <w:pPr>
              <w:widowControl/>
              <w:spacing w:line="440" w:lineRule="exact"/>
              <w:jc w:val="center"/>
              <w:rPr>
                <w:rFonts w:ascii="宋体" w:hAnsi="宋体" w:cs="宋体"/>
                <w:kern w:val="0"/>
                <w:sz w:val="24"/>
                <w:szCs w:val="21"/>
              </w:rPr>
            </w:pPr>
            <w:r>
              <w:rPr>
                <w:rFonts w:hint="eastAsia" w:ascii="宋体" w:hAnsi="宋体" w:cs="宋体"/>
                <w:kern w:val="0"/>
                <w:sz w:val="24"/>
                <w:szCs w:val="21"/>
              </w:rPr>
              <w:t>联系电话</w:t>
            </w:r>
          </w:p>
        </w:tc>
        <w:tc>
          <w:tcPr>
            <w:tcW w:w="2399" w:type="dxa"/>
            <w:noWrap w:val="0"/>
            <w:vAlign w:val="center"/>
          </w:tcPr>
          <w:p w14:paraId="2634CF3B">
            <w:pPr>
              <w:widowControl/>
              <w:spacing w:line="440" w:lineRule="exact"/>
              <w:jc w:val="center"/>
              <w:rPr>
                <w:rFonts w:ascii="宋体" w:hAnsi="宋体" w:cs="宋体"/>
                <w:kern w:val="0"/>
                <w:sz w:val="24"/>
                <w:szCs w:val="21"/>
              </w:rPr>
            </w:pPr>
          </w:p>
        </w:tc>
      </w:tr>
      <w:tr w14:paraId="428652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51A80F05">
            <w:pPr>
              <w:widowControl/>
              <w:spacing w:line="440" w:lineRule="exact"/>
              <w:jc w:val="center"/>
              <w:rPr>
                <w:rFonts w:ascii="宋体" w:hAnsi="宋体" w:cs="宋体"/>
                <w:kern w:val="0"/>
                <w:sz w:val="24"/>
                <w:szCs w:val="21"/>
              </w:rPr>
            </w:pPr>
            <w:r>
              <w:rPr>
                <w:rFonts w:hint="eastAsia" w:ascii="宋体" w:hAnsi="宋体" w:cs="宋体"/>
                <w:kern w:val="0"/>
                <w:sz w:val="24"/>
                <w:szCs w:val="21"/>
              </w:rPr>
              <w:t>电子邮箱（必填）</w:t>
            </w:r>
          </w:p>
        </w:tc>
        <w:tc>
          <w:tcPr>
            <w:tcW w:w="6577" w:type="dxa"/>
            <w:gridSpan w:val="3"/>
            <w:noWrap w:val="0"/>
            <w:vAlign w:val="center"/>
          </w:tcPr>
          <w:p w14:paraId="2AC17A39">
            <w:pPr>
              <w:widowControl/>
              <w:spacing w:line="440" w:lineRule="exact"/>
              <w:jc w:val="center"/>
              <w:rPr>
                <w:rFonts w:ascii="宋体" w:hAnsi="宋体" w:cs="宋体"/>
                <w:kern w:val="0"/>
                <w:sz w:val="24"/>
                <w:szCs w:val="21"/>
              </w:rPr>
            </w:pPr>
          </w:p>
        </w:tc>
      </w:tr>
      <w:tr w14:paraId="6593D6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04" w:hRule="atLeast"/>
        </w:trPr>
        <w:tc>
          <w:tcPr>
            <w:tcW w:w="8859" w:type="dxa"/>
            <w:gridSpan w:val="4"/>
            <w:tcBorders>
              <w:bottom w:val="single" w:color="auto" w:sz="8" w:space="0"/>
            </w:tcBorders>
            <w:noWrap w:val="0"/>
            <w:vAlign w:val="center"/>
          </w:tcPr>
          <w:p w14:paraId="08277A57">
            <w:pPr>
              <w:widowControl/>
              <w:spacing w:line="440" w:lineRule="exact"/>
              <w:jc w:val="left"/>
              <w:rPr>
                <w:rFonts w:ascii="宋体" w:hAnsi="宋体" w:cs="宋体"/>
                <w:kern w:val="0"/>
                <w:sz w:val="24"/>
                <w:szCs w:val="21"/>
              </w:rPr>
            </w:pPr>
            <w:r>
              <w:rPr>
                <w:rFonts w:ascii="宋体" w:hAnsi="宋体" w:cs="宋体"/>
                <w:kern w:val="0"/>
                <w:sz w:val="24"/>
                <w:szCs w:val="21"/>
              </w:rPr>
              <w:t>1.</w:t>
            </w:r>
            <w:r>
              <w:rPr>
                <w:rFonts w:hint="eastAsia" w:ascii="宋体" w:hAnsi="宋体" w:cs="宋体"/>
                <w:kern w:val="0"/>
                <w:sz w:val="24"/>
                <w:szCs w:val="21"/>
              </w:rPr>
              <w:t>获取招标文件方式：电子版</w:t>
            </w:r>
            <w:r>
              <w:rPr>
                <w:rFonts w:ascii="宋体" w:hAnsi="宋体" w:cs="宋体"/>
                <w:kern w:val="0"/>
                <w:sz w:val="24"/>
                <w:szCs w:val="21"/>
              </w:rPr>
              <w:t xml:space="preserve"> </w:t>
            </w:r>
          </w:p>
          <w:p w14:paraId="74801101">
            <w:pPr>
              <w:widowControl/>
              <w:spacing w:line="440" w:lineRule="exact"/>
              <w:jc w:val="left"/>
              <w:rPr>
                <w:rFonts w:ascii="宋体" w:hAnsi="宋体" w:cs="宋体"/>
                <w:kern w:val="0"/>
                <w:sz w:val="24"/>
                <w:szCs w:val="21"/>
              </w:rPr>
            </w:pPr>
          </w:p>
          <w:p w14:paraId="58C9274C">
            <w:pPr>
              <w:pStyle w:val="11"/>
              <w:ind w:firstLine="0" w:firstLineChars="0"/>
              <w:rPr>
                <w:rFonts w:hint="eastAsia"/>
              </w:rPr>
            </w:pPr>
          </w:p>
          <w:p w14:paraId="532F560D">
            <w:pPr>
              <w:pStyle w:val="11"/>
              <w:ind w:firstLine="0" w:firstLineChars="0"/>
              <w:rPr>
                <w:rFonts w:hint="eastAsia"/>
              </w:rPr>
            </w:pPr>
          </w:p>
          <w:p w14:paraId="54644BAF">
            <w:pPr>
              <w:pStyle w:val="11"/>
              <w:ind w:firstLine="0" w:firstLineChars="0"/>
              <w:rPr>
                <w:rFonts w:hint="eastAsia"/>
              </w:rPr>
            </w:pPr>
          </w:p>
          <w:p w14:paraId="74D97B6B">
            <w:pPr>
              <w:widowControl/>
              <w:spacing w:line="440" w:lineRule="exact"/>
              <w:jc w:val="left"/>
              <w:rPr>
                <w:rFonts w:ascii="宋体" w:hAnsi="宋体" w:cs="宋体"/>
                <w:kern w:val="0"/>
                <w:sz w:val="24"/>
                <w:szCs w:val="21"/>
              </w:rPr>
            </w:pPr>
            <w:r>
              <w:rPr>
                <w:rFonts w:ascii="宋体" w:hAnsi="宋体" w:cs="宋体"/>
                <w:kern w:val="0"/>
                <w:sz w:val="24"/>
                <w:szCs w:val="21"/>
              </w:rPr>
              <w:t>2.</w:t>
            </w:r>
            <w:r>
              <w:rPr>
                <w:rFonts w:hint="eastAsia" w:ascii="宋体" w:hAnsi="宋体" w:cs="宋体"/>
                <w:kern w:val="0"/>
                <w:sz w:val="24"/>
                <w:szCs w:val="21"/>
              </w:rPr>
              <w:t xml:space="preserve">申请投标招标编号：ZTEJ-2025XX </w:t>
            </w:r>
            <w:r>
              <w:rPr>
                <w:rFonts w:ascii="宋体" w:hAnsi="宋体" w:cs="宋体"/>
                <w:kern w:val="0"/>
                <w:sz w:val="24"/>
                <w:szCs w:val="21"/>
              </w:rPr>
              <w:t xml:space="preserve">           </w:t>
            </w:r>
            <w:r>
              <w:rPr>
                <w:rFonts w:hint="eastAsia" w:ascii="宋体" w:hAnsi="宋体" w:cs="宋体"/>
                <w:kern w:val="0"/>
                <w:sz w:val="24"/>
                <w:szCs w:val="21"/>
              </w:rPr>
              <w:t>包件：X</w:t>
            </w:r>
            <w:r>
              <w:rPr>
                <w:rFonts w:ascii="宋体" w:hAnsi="宋体" w:cs="宋体"/>
                <w:kern w:val="0"/>
                <w:sz w:val="24"/>
                <w:szCs w:val="21"/>
              </w:rPr>
              <w:t>X-01</w:t>
            </w:r>
          </w:p>
          <w:p w14:paraId="39C8F679">
            <w:pPr>
              <w:widowControl/>
              <w:spacing w:line="440" w:lineRule="exact"/>
              <w:jc w:val="left"/>
              <w:rPr>
                <w:rFonts w:ascii="宋体" w:hAnsi="宋体" w:cs="宋体"/>
                <w:kern w:val="0"/>
                <w:sz w:val="24"/>
                <w:szCs w:val="21"/>
              </w:rPr>
            </w:pPr>
          </w:p>
          <w:p w14:paraId="3ED7D93A">
            <w:pPr>
              <w:widowControl/>
              <w:spacing w:line="440" w:lineRule="exact"/>
              <w:jc w:val="left"/>
              <w:rPr>
                <w:rFonts w:ascii="宋体" w:hAnsi="宋体" w:cs="宋体"/>
                <w:kern w:val="0"/>
                <w:sz w:val="24"/>
                <w:szCs w:val="21"/>
              </w:rPr>
            </w:pPr>
          </w:p>
          <w:p w14:paraId="737409CA">
            <w:pPr>
              <w:widowControl/>
              <w:spacing w:line="440" w:lineRule="exact"/>
              <w:jc w:val="left"/>
              <w:rPr>
                <w:rFonts w:ascii="宋体" w:hAnsi="宋体" w:cs="宋体"/>
                <w:kern w:val="0"/>
                <w:sz w:val="24"/>
                <w:szCs w:val="21"/>
              </w:rPr>
            </w:pPr>
          </w:p>
          <w:p w14:paraId="79376BCC">
            <w:pPr>
              <w:pStyle w:val="11"/>
              <w:ind w:firstLine="0" w:firstLineChars="0"/>
              <w:rPr>
                <w:rFonts w:hint="eastAsia"/>
              </w:rPr>
            </w:pPr>
          </w:p>
          <w:p w14:paraId="7A92301F">
            <w:pPr>
              <w:widowControl/>
              <w:spacing w:line="440" w:lineRule="exact"/>
              <w:jc w:val="left"/>
              <w:rPr>
                <w:rFonts w:ascii="宋体" w:hAnsi="宋体" w:cs="宋体"/>
                <w:kern w:val="0"/>
                <w:sz w:val="24"/>
                <w:szCs w:val="21"/>
              </w:rPr>
            </w:pPr>
            <w:r>
              <w:rPr>
                <w:rFonts w:ascii="宋体" w:hAnsi="宋体" w:cs="宋体"/>
                <w:kern w:val="0"/>
                <w:sz w:val="24"/>
                <w:szCs w:val="21"/>
              </w:rPr>
              <w:t>3.</w:t>
            </w:r>
            <w:r>
              <w:rPr>
                <w:rFonts w:hint="eastAsia" w:ascii="宋体" w:hAnsi="宋体" w:cs="宋体"/>
                <w:kern w:val="0"/>
                <w:sz w:val="24"/>
                <w:szCs w:val="21"/>
              </w:rPr>
              <w:t>其它说明：</w:t>
            </w:r>
          </w:p>
          <w:p w14:paraId="297CAA74">
            <w:pPr>
              <w:widowControl/>
              <w:spacing w:line="440" w:lineRule="exact"/>
              <w:jc w:val="left"/>
              <w:rPr>
                <w:rFonts w:ascii="宋体" w:hAnsi="宋体" w:cs="宋体"/>
                <w:kern w:val="0"/>
                <w:sz w:val="24"/>
                <w:szCs w:val="21"/>
              </w:rPr>
            </w:pPr>
          </w:p>
          <w:p w14:paraId="6095C5F4">
            <w:pPr>
              <w:widowControl/>
              <w:spacing w:line="440" w:lineRule="exact"/>
              <w:jc w:val="left"/>
              <w:rPr>
                <w:rFonts w:ascii="宋体" w:hAnsi="宋体" w:cs="宋体"/>
                <w:kern w:val="0"/>
                <w:sz w:val="24"/>
                <w:szCs w:val="21"/>
              </w:rPr>
            </w:pPr>
          </w:p>
          <w:p w14:paraId="6B915DB9">
            <w:pPr>
              <w:widowControl/>
              <w:spacing w:line="440" w:lineRule="exact"/>
              <w:jc w:val="left"/>
              <w:rPr>
                <w:rFonts w:ascii="宋体" w:hAnsi="宋体" w:cs="宋体"/>
                <w:kern w:val="0"/>
                <w:sz w:val="24"/>
                <w:szCs w:val="21"/>
              </w:rPr>
            </w:pPr>
          </w:p>
          <w:p w14:paraId="68F53716">
            <w:pPr>
              <w:widowControl/>
              <w:spacing w:line="440" w:lineRule="exact"/>
              <w:jc w:val="left"/>
              <w:rPr>
                <w:rFonts w:ascii="宋体" w:hAnsi="宋体" w:cs="宋体"/>
                <w:kern w:val="0"/>
                <w:sz w:val="24"/>
                <w:szCs w:val="21"/>
              </w:rPr>
            </w:pPr>
          </w:p>
          <w:p w14:paraId="046FE8C2">
            <w:pPr>
              <w:widowControl/>
              <w:spacing w:line="440" w:lineRule="exact"/>
              <w:ind w:right="480" w:firstLine="5280" w:firstLineChars="2200"/>
              <w:jc w:val="left"/>
              <w:rPr>
                <w:rFonts w:ascii="宋体" w:hAnsi="宋体" w:cs="宋体"/>
                <w:kern w:val="0"/>
                <w:sz w:val="24"/>
                <w:szCs w:val="21"/>
              </w:rPr>
            </w:pPr>
            <w:r>
              <w:rPr>
                <w:rFonts w:hint="eastAsia" w:ascii="宋体" w:hAnsi="宋体" w:cs="宋体"/>
                <w:kern w:val="0"/>
                <w:sz w:val="24"/>
                <w:szCs w:val="21"/>
              </w:rPr>
              <w:t>投标人（公章）</w:t>
            </w:r>
          </w:p>
          <w:p w14:paraId="6024CBCC">
            <w:pPr>
              <w:widowControl/>
              <w:spacing w:line="440" w:lineRule="exact"/>
              <w:jc w:val="left"/>
              <w:rPr>
                <w:rFonts w:ascii="宋体" w:hAnsi="宋体" w:cs="宋体"/>
                <w:kern w:val="0"/>
                <w:sz w:val="24"/>
                <w:szCs w:val="21"/>
              </w:rPr>
            </w:pPr>
            <w:r>
              <w:rPr>
                <w:rFonts w:ascii="宋体" w:hAnsi="宋体" w:cs="宋体"/>
                <w:kern w:val="0"/>
                <w:sz w:val="24"/>
                <w:szCs w:val="21"/>
              </w:rPr>
              <w:t xml:space="preserve">                                            </w:t>
            </w:r>
          </w:p>
          <w:p w14:paraId="6D3D17B3">
            <w:pPr>
              <w:widowControl/>
              <w:spacing w:line="440" w:lineRule="exact"/>
              <w:ind w:firstLine="5160" w:firstLineChars="2150"/>
              <w:jc w:val="left"/>
              <w:rPr>
                <w:rFonts w:ascii="宋体" w:hAnsi="宋体" w:cs="宋体"/>
                <w:kern w:val="0"/>
                <w:sz w:val="24"/>
                <w:szCs w:val="21"/>
              </w:rPr>
            </w:pPr>
            <w:r>
              <w:rPr>
                <w:rFonts w:ascii="宋体" w:hAnsi="宋体" w:cs="宋体"/>
                <w:kern w:val="0"/>
                <w:sz w:val="24"/>
                <w:szCs w:val="21"/>
              </w:rPr>
              <w:t xml:space="preserve"> </w:t>
            </w:r>
            <w:r>
              <w:rPr>
                <w:rFonts w:hint="eastAsia" w:ascii="宋体" w:hAnsi="宋体" w:cs="宋体"/>
                <w:kern w:val="0"/>
                <w:sz w:val="24"/>
                <w:szCs w:val="21"/>
              </w:rPr>
              <w:t>年</w:t>
            </w:r>
            <w:r>
              <w:rPr>
                <w:rFonts w:ascii="宋体" w:hAnsi="宋体" w:cs="宋体"/>
                <w:kern w:val="0"/>
                <w:sz w:val="24"/>
                <w:szCs w:val="21"/>
              </w:rPr>
              <w:t xml:space="preserve">    </w:t>
            </w:r>
            <w:r>
              <w:rPr>
                <w:rFonts w:hint="eastAsia" w:ascii="宋体" w:hAnsi="宋体" w:cs="宋体"/>
                <w:kern w:val="0"/>
                <w:sz w:val="24"/>
                <w:szCs w:val="21"/>
              </w:rPr>
              <w:t>月</w:t>
            </w:r>
            <w:r>
              <w:rPr>
                <w:rFonts w:ascii="宋体" w:hAnsi="宋体" w:cs="宋体"/>
                <w:kern w:val="0"/>
                <w:sz w:val="24"/>
                <w:szCs w:val="21"/>
              </w:rPr>
              <w:t xml:space="preserve">    </w:t>
            </w:r>
            <w:r>
              <w:rPr>
                <w:rFonts w:hint="eastAsia" w:ascii="宋体" w:hAnsi="宋体" w:cs="宋体"/>
                <w:kern w:val="0"/>
                <w:sz w:val="24"/>
                <w:szCs w:val="21"/>
              </w:rPr>
              <w:t>日</w:t>
            </w:r>
          </w:p>
          <w:p w14:paraId="092A3FEE">
            <w:pPr>
              <w:widowControl/>
              <w:spacing w:line="440" w:lineRule="exact"/>
              <w:ind w:firstLine="5160" w:firstLineChars="2150"/>
              <w:jc w:val="left"/>
              <w:rPr>
                <w:rFonts w:ascii="宋体" w:hAnsi="宋体" w:cs="宋体"/>
                <w:kern w:val="0"/>
                <w:sz w:val="24"/>
                <w:szCs w:val="21"/>
              </w:rPr>
            </w:pPr>
          </w:p>
        </w:tc>
      </w:tr>
    </w:tbl>
    <w:p w14:paraId="7C9341B5">
      <w:pPr>
        <w:spacing w:line="400" w:lineRule="exact"/>
        <w:jc w:val="center"/>
        <w:rPr>
          <w:rFonts w:ascii="宋体" w:hAnsi="宋体"/>
          <w:bCs/>
          <w:sz w:val="28"/>
          <w:szCs w:val="28"/>
        </w:rPr>
      </w:pPr>
    </w:p>
    <w:p w14:paraId="26D389CD">
      <w:pPr>
        <w:outlineLvl w:val="1"/>
        <w:rPr>
          <w:rFonts w:hint="eastAsia" w:ascii="宋体" w:hAnsi="宋体"/>
          <w:sz w:val="28"/>
          <w:szCs w:val="28"/>
        </w:rPr>
      </w:pPr>
      <w:bookmarkStart w:id="19" w:name="_Toc24014"/>
      <w:bookmarkStart w:id="20" w:name="_Toc129374161"/>
      <w:bookmarkStart w:id="21" w:name="_Toc8560"/>
      <w:bookmarkStart w:id="22" w:name="_Toc129350252"/>
      <w:bookmarkStart w:id="23" w:name="_Toc28032"/>
      <w:r>
        <w:rPr>
          <w:rFonts w:hint="eastAsia" w:ascii="宋体" w:hAnsi="宋体"/>
          <w:sz w:val="28"/>
          <w:szCs w:val="28"/>
        </w:rPr>
        <w:t>附件四</w:t>
      </w:r>
      <w:bookmarkEnd w:id="19"/>
      <w:bookmarkEnd w:id="20"/>
      <w:bookmarkEnd w:id="21"/>
      <w:bookmarkEnd w:id="22"/>
      <w:bookmarkEnd w:id="23"/>
    </w:p>
    <w:p w14:paraId="7AE04324">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pPr>
      <w:bookmarkStart w:id="24" w:name="_Toc26513"/>
      <w:r>
        <w:rPr>
          <w:rFonts w:hint="eastAsia" w:ascii="宋体" w:hAnsi="宋体" w:cs="新宋体"/>
          <w:b/>
          <w:bCs/>
          <w:kern w:val="0"/>
          <w:sz w:val="36"/>
          <w:szCs w:val="36"/>
        </w:rPr>
        <w:t>客商申请所需信息</w:t>
      </w:r>
      <w:bookmarkEnd w:id="24"/>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933"/>
        <w:gridCol w:w="5285"/>
      </w:tblGrid>
      <w:tr w14:paraId="4E85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66" w:type="dxa"/>
            <w:tcBorders>
              <w:top w:val="single" w:color="auto" w:sz="4" w:space="0"/>
            </w:tcBorders>
            <w:noWrap/>
            <w:vAlign w:val="center"/>
          </w:tcPr>
          <w:p w14:paraId="4B3BFA8A">
            <w:pPr>
              <w:widowControl/>
              <w:jc w:val="center"/>
              <w:rPr>
                <w:rFonts w:ascii="宋体" w:hAnsi="宋体" w:cs="宋体"/>
                <w:color w:val="000000"/>
                <w:kern w:val="0"/>
                <w:sz w:val="24"/>
              </w:rPr>
            </w:pPr>
            <w:r>
              <w:rPr>
                <w:rFonts w:hint="eastAsia" w:ascii="宋体" w:hAnsi="宋体" w:cs="宋体"/>
                <w:color w:val="000000"/>
                <w:kern w:val="0"/>
                <w:sz w:val="24"/>
              </w:rPr>
              <w:t>序号</w:t>
            </w:r>
          </w:p>
        </w:tc>
        <w:tc>
          <w:tcPr>
            <w:tcW w:w="2933" w:type="dxa"/>
            <w:tcBorders>
              <w:top w:val="single" w:color="auto" w:sz="4" w:space="0"/>
            </w:tcBorders>
            <w:noWrap/>
            <w:vAlign w:val="center"/>
          </w:tcPr>
          <w:p w14:paraId="73EF98E5">
            <w:pPr>
              <w:widowControl/>
              <w:jc w:val="center"/>
              <w:rPr>
                <w:rFonts w:ascii="宋体" w:hAnsi="宋体" w:cs="宋体"/>
                <w:color w:val="000000"/>
                <w:kern w:val="0"/>
                <w:sz w:val="24"/>
              </w:rPr>
            </w:pPr>
            <w:r>
              <w:rPr>
                <w:rFonts w:hint="eastAsia" w:ascii="宋体" w:hAnsi="宋体" w:cs="宋体"/>
                <w:color w:val="000000"/>
                <w:kern w:val="0"/>
                <w:sz w:val="24"/>
              </w:rPr>
              <w:t>单位名称</w:t>
            </w:r>
          </w:p>
        </w:tc>
        <w:tc>
          <w:tcPr>
            <w:tcW w:w="5285" w:type="dxa"/>
            <w:tcBorders>
              <w:top w:val="single" w:color="auto" w:sz="4" w:space="0"/>
            </w:tcBorders>
            <w:noWrap/>
            <w:vAlign w:val="center"/>
          </w:tcPr>
          <w:p w14:paraId="0D1BD51B">
            <w:pPr>
              <w:widowControl/>
              <w:jc w:val="center"/>
              <w:rPr>
                <w:rFonts w:ascii="宋体" w:hAnsi="宋体" w:cs="宋体"/>
                <w:color w:val="000000"/>
                <w:kern w:val="0"/>
                <w:sz w:val="24"/>
              </w:rPr>
            </w:pPr>
          </w:p>
        </w:tc>
      </w:tr>
      <w:tr w14:paraId="22F7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66" w:type="dxa"/>
            <w:noWrap/>
            <w:vAlign w:val="center"/>
          </w:tcPr>
          <w:p w14:paraId="546A8578">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933" w:type="dxa"/>
            <w:noWrap/>
            <w:vAlign w:val="center"/>
          </w:tcPr>
          <w:p w14:paraId="0DC8F78F">
            <w:pPr>
              <w:widowControl/>
              <w:jc w:val="center"/>
              <w:rPr>
                <w:rFonts w:ascii="宋体" w:hAnsi="宋体" w:cs="宋体"/>
                <w:color w:val="000000"/>
                <w:kern w:val="0"/>
                <w:sz w:val="24"/>
              </w:rPr>
            </w:pPr>
            <w:r>
              <w:rPr>
                <w:rFonts w:hint="eastAsia" w:ascii="宋体" w:hAnsi="宋体" w:cs="宋体"/>
                <w:color w:val="000000"/>
                <w:kern w:val="0"/>
                <w:sz w:val="24"/>
              </w:rPr>
              <w:t>客商性质</w:t>
            </w:r>
          </w:p>
        </w:tc>
        <w:tc>
          <w:tcPr>
            <w:tcW w:w="5285" w:type="dxa"/>
            <w:noWrap/>
            <w:vAlign w:val="center"/>
          </w:tcPr>
          <w:p w14:paraId="7D78DAA8">
            <w:pPr>
              <w:widowControl/>
              <w:jc w:val="center"/>
              <w:rPr>
                <w:rFonts w:ascii="宋体" w:hAnsi="宋体" w:cs="宋体"/>
                <w:color w:val="000000"/>
                <w:kern w:val="0"/>
                <w:sz w:val="24"/>
              </w:rPr>
            </w:pPr>
            <w:r>
              <w:rPr>
                <w:rFonts w:hint="eastAsia" w:ascii="宋体" w:hAnsi="宋体" w:cs="宋体"/>
                <w:color w:val="000000"/>
                <w:kern w:val="0"/>
                <w:sz w:val="24"/>
              </w:rPr>
              <w:t>国企/民企/</w:t>
            </w:r>
          </w:p>
        </w:tc>
      </w:tr>
      <w:tr w14:paraId="72FC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5C4471E1">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933" w:type="dxa"/>
            <w:noWrap/>
            <w:vAlign w:val="center"/>
          </w:tcPr>
          <w:p w14:paraId="29F9E0BB">
            <w:pPr>
              <w:widowControl/>
              <w:jc w:val="center"/>
              <w:rPr>
                <w:rFonts w:ascii="宋体" w:hAnsi="宋体" w:cs="宋体"/>
                <w:color w:val="000000"/>
                <w:kern w:val="0"/>
                <w:sz w:val="24"/>
              </w:rPr>
            </w:pPr>
            <w:r>
              <w:rPr>
                <w:rFonts w:hint="eastAsia" w:ascii="宋体" w:hAnsi="宋体" w:cs="宋体"/>
                <w:color w:val="000000"/>
                <w:kern w:val="0"/>
                <w:sz w:val="24"/>
              </w:rPr>
              <w:t>统一社会信用代码</w:t>
            </w:r>
          </w:p>
        </w:tc>
        <w:tc>
          <w:tcPr>
            <w:tcW w:w="5285" w:type="dxa"/>
            <w:noWrap/>
            <w:vAlign w:val="center"/>
          </w:tcPr>
          <w:p w14:paraId="436A16A5">
            <w:pPr>
              <w:widowControl/>
              <w:jc w:val="center"/>
              <w:rPr>
                <w:rFonts w:ascii="宋体" w:hAnsi="宋体" w:cs="宋体"/>
                <w:color w:val="000000"/>
                <w:kern w:val="0"/>
                <w:sz w:val="24"/>
              </w:rPr>
            </w:pPr>
          </w:p>
        </w:tc>
      </w:tr>
      <w:tr w14:paraId="68E0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7B0E76A5">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933" w:type="dxa"/>
            <w:noWrap/>
            <w:vAlign w:val="center"/>
          </w:tcPr>
          <w:p w14:paraId="7967BBA8">
            <w:pPr>
              <w:widowControl/>
              <w:jc w:val="center"/>
              <w:rPr>
                <w:rFonts w:ascii="宋体" w:hAnsi="宋体" w:cs="宋体"/>
                <w:color w:val="000000"/>
                <w:kern w:val="0"/>
                <w:sz w:val="24"/>
              </w:rPr>
            </w:pPr>
            <w:r>
              <w:rPr>
                <w:rFonts w:hint="eastAsia" w:ascii="宋体" w:hAnsi="宋体" w:cs="宋体"/>
                <w:color w:val="000000"/>
                <w:kern w:val="0"/>
                <w:sz w:val="24"/>
              </w:rPr>
              <w:t>所在地</w:t>
            </w:r>
          </w:p>
        </w:tc>
        <w:tc>
          <w:tcPr>
            <w:tcW w:w="5285" w:type="dxa"/>
            <w:noWrap/>
            <w:vAlign w:val="center"/>
          </w:tcPr>
          <w:p w14:paraId="71BE6D16">
            <w:pPr>
              <w:widowControl/>
              <w:jc w:val="center"/>
              <w:rPr>
                <w:rFonts w:ascii="宋体" w:hAnsi="宋体" w:cs="宋体"/>
                <w:color w:val="000000"/>
                <w:kern w:val="0"/>
                <w:sz w:val="24"/>
              </w:rPr>
            </w:pPr>
            <w:r>
              <w:rPr>
                <w:rFonts w:hint="eastAsia" w:ascii="宋体" w:hAnsi="宋体" w:eastAsia="宋体" w:cs="宋体"/>
                <w:color w:val="000000"/>
                <w:kern w:val="0"/>
                <w:sz w:val="24"/>
              </w:rPr>
              <w:t>XX省/</w:t>
            </w:r>
            <w:r>
              <w:rPr>
                <w:rFonts w:hint="eastAsia" w:ascii="宋体" w:hAnsi="宋体" w:eastAsia="宋体" w:cs="宋体"/>
                <w:color w:val="000000"/>
                <w:kern w:val="0"/>
                <w:sz w:val="24"/>
                <w:lang w:val="en-US" w:eastAsia="zh-CN"/>
              </w:rPr>
              <w:t>XX市、XX</w:t>
            </w:r>
            <w:r>
              <w:rPr>
                <w:rFonts w:hint="eastAsia" w:ascii="宋体" w:hAnsi="宋体" w:eastAsia="宋体" w:cs="宋体"/>
                <w:color w:val="000000"/>
                <w:kern w:val="0"/>
                <w:sz w:val="24"/>
              </w:rPr>
              <w:t>自治区</w:t>
            </w:r>
          </w:p>
        </w:tc>
      </w:tr>
      <w:tr w14:paraId="035A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6904819A">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933" w:type="dxa"/>
            <w:noWrap/>
            <w:vAlign w:val="center"/>
          </w:tcPr>
          <w:p w14:paraId="0F41385A">
            <w:pPr>
              <w:widowControl/>
              <w:jc w:val="center"/>
              <w:rPr>
                <w:rFonts w:ascii="宋体" w:hAnsi="宋体" w:cs="宋体"/>
                <w:color w:val="000000"/>
                <w:kern w:val="0"/>
                <w:sz w:val="24"/>
              </w:rPr>
            </w:pPr>
            <w:r>
              <w:rPr>
                <w:rFonts w:hint="eastAsia" w:ascii="宋体" w:hAnsi="宋体" w:cs="宋体"/>
                <w:color w:val="000000"/>
                <w:kern w:val="0"/>
                <w:sz w:val="24"/>
              </w:rPr>
              <w:t>法人姓名</w:t>
            </w:r>
          </w:p>
        </w:tc>
        <w:tc>
          <w:tcPr>
            <w:tcW w:w="5285" w:type="dxa"/>
            <w:noWrap/>
            <w:vAlign w:val="center"/>
          </w:tcPr>
          <w:p w14:paraId="4CB77A77">
            <w:pPr>
              <w:widowControl/>
              <w:jc w:val="center"/>
              <w:rPr>
                <w:rFonts w:ascii="宋体" w:hAnsi="宋体" w:cs="宋体"/>
                <w:color w:val="000000"/>
                <w:kern w:val="0"/>
                <w:sz w:val="24"/>
              </w:rPr>
            </w:pPr>
          </w:p>
        </w:tc>
      </w:tr>
      <w:tr w14:paraId="5886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1DCDE523">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933" w:type="dxa"/>
            <w:noWrap/>
            <w:vAlign w:val="center"/>
          </w:tcPr>
          <w:p w14:paraId="690D69E6">
            <w:pPr>
              <w:widowControl/>
              <w:jc w:val="center"/>
              <w:rPr>
                <w:rFonts w:ascii="宋体" w:hAnsi="宋体" w:cs="宋体"/>
                <w:color w:val="000000"/>
                <w:kern w:val="0"/>
                <w:sz w:val="24"/>
              </w:rPr>
            </w:pPr>
            <w:r>
              <w:rPr>
                <w:rFonts w:hint="eastAsia" w:ascii="宋体" w:hAnsi="宋体" w:cs="宋体"/>
                <w:color w:val="000000"/>
                <w:kern w:val="0"/>
                <w:sz w:val="24"/>
              </w:rPr>
              <w:t>法人身份证号</w:t>
            </w:r>
          </w:p>
        </w:tc>
        <w:tc>
          <w:tcPr>
            <w:tcW w:w="5285" w:type="dxa"/>
            <w:noWrap/>
            <w:vAlign w:val="center"/>
          </w:tcPr>
          <w:p w14:paraId="703F67B0">
            <w:pPr>
              <w:widowControl/>
              <w:jc w:val="center"/>
              <w:rPr>
                <w:rFonts w:ascii="宋体" w:hAnsi="宋体" w:cs="宋体"/>
                <w:color w:val="000000"/>
                <w:kern w:val="0"/>
                <w:sz w:val="24"/>
              </w:rPr>
            </w:pPr>
          </w:p>
        </w:tc>
      </w:tr>
      <w:tr w14:paraId="69D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766" w:type="dxa"/>
            <w:noWrap/>
            <w:vAlign w:val="center"/>
          </w:tcPr>
          <w:p w14:paraId="2FA75237">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933" w:type="dxa"/>
            <w:noWrap/>
            <w:vAlign w:val="center"/>
          </w:tcPr>
          <w:p w14:paraId="0EDF0983">
            <w:pPr>
              <w:widowControl/>
              <w:jc w:val="center"/>
              <w:rPr>
                <w:rFonts w:ascii="宋体" w:hAnsi="宋体" w:cs="宋体"/>
                <w:color w:val="000000"/>
                <w:kern w:val="0"/>
                <w:sz w:val="24"/>
              </w:rPr>
            </w:pPr>
            <w:r>
              <w:rPr>
                <w:rFonts w:hint="eastAsia" w:ascii="宋体" w:hAnsi="宋体" w:cs="宋体"/>
                <w:color w:val="000000"/>
                <w:kern w:val="0"/>
                <w:sz w:val="24"/>
              </w:rPr>
              <w:t>纳税人类型</w:t>
            </w:r>
          </w:p>
        </w:tc>
        <w:tc>
          <w:tcPr>
            <w:tcW w:w="5285" w:type="dxa"/>
            <w:noWrap/>
            <w:vAlign w:val="center"/>
          </w:tcPr>
          <w:p w14:paraId="3DE1B8AA">
            <w:pPr>
              <w:widowControl/>
              <w:jc w:val="center"/>
              <w:rPr>
                <w:rFonts w:ascii="宋体" w:hAnsi="宋体" w:cs="宋体"/>
                <w:color w:val="000000"/>
                <w:kern w:val="0"/>
                <w:sz w:val="24"/>
              </w:rPr>
            </w:pPr>
            <w:r>
              <w:rPr>
                <w:rFonts w:hint="eastAsia" w:ascii="宋体" w:hAnsi="宋体" w:cs="宋体"/>
                <w:color w:val="000000"/>
                <w:kern w:val="0"/>
                <w:sz w:val="24"/>
              </w:rPr>
              <w:t>增值税一般纳税人/小规模纳税人</w:t>
            </w:r>
          </w:p>
        </w:tc>
      </w:tr>
      <w:tr w14:paraId="610C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14:paraId="29F65126">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2933" w:type="dxa"/>
            <w:noWrap w:val="0"/>
            <w:vAlign w:val="center"/>
          </w:tcPr>
          <w:p w14:paraId="1E2F8FDB">
            <w:pPr>
              <w:widowControl/>
              <w:jc w:val="center"/>
              <w:rPr>
                <w:rFonts w:ascii="宋体" w:hAnsi="宋体" w:cs="宋体"/>
                <w:color w:val="000000"/>
                <w:kern w:val="0"/>
                <w:sz w:val="24"/>
              </w:rPr>
            </w:pPr>
            <w:r>
              <w:rPr>
                <w:rFonts w:hint="eastAsia" w:ascii="宋体" w:hAnsi="宋体" w:cs="宋体"/>
                <w:color w:val="000000"/>
                <w:kern w:val="0"/>
                <w:sz w:val="24"/>
              </w:rPr>
              <w:t>投标人付款账号</w:t>
            </w:r>
          </w:p>
        </w:tc>
        <w:tc>
          <w:tcPr>
            <w:tcW w:w="5285" w:type="dxa"/>
            <w:noWrap w:val="0"/>
            <w:vAlign w:val="center"/>
          </w:tcPr>
          <w:p w14:paraId="61A30536">
            <w:pPr>
              <w:widowControl/>
              <w:jc w:val="left"/>
              <w:rPr>
                <w:rFonts w:ascii="宋体" w:hAnsi="宋体" w:cs="宋体"/>
                <w:color w:val="FF0000"/>
                <w:kern w:val="0"/>
                <w:sz w:val="24"/>
              </w:rPr>
            </w:pPr>
          </w:p>
        </w:tc>
      </w:tr>
      <w:tr w14:paraId="5BBF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14:paraId="6A1075A4">
            <w:pPr>
              <w:widowControl/>
              <w:jc w:val="center"/>
              <w:rPr>
                <w:rFonts w:hint="eastAsia" w:ascii="宋体" w:hAnsi="宋体" w:cs="宋体"/>
                <w:color w:val="000000"/>
                <w:kern w:val="0"/>
                <w:sz w:val="24"/>
              </w:rPr>
            </w:pPr>
            <w:r>
              <w:rPr>
                <w:rFonts w:hint="eastAsia" w:ascii="宋体" w:hAnsi="宋体" w:cs="宋体"/>
                <w:color w:val="000000"/>
                <w:kern w:val="0"/>
                <w:sz w:val="24"/>
              </w:rPr>
              <w:t>8</w:t>
            </w:r>
          </w:p>
        </w:tc>
        <w:tc>
          <w:tcPr>
            <w:tcW w:w="2933" w:type="dxa"/>
            <w:noWrap w:val="0"/>
            <w:vAlign w:val="center"/>
          </w:tcPr>
          <w:p w14:paraId="191FA2F2">
            <w:pPr>
              <w:widowControl/>
              <w:jc w:val="center"/>
              <w:rPr>
                <w:rFonts w:ascii="宋体" w:hAnsi="宋体" w:cs="宋体"/>
                <w:color w:val="000000"/>
                <w:kern w:val="0"/>
                <w:sz w:val="24"/>
              </w:rPr>
            </w:pPr>
            <w:r>
              <w:rPr>
                <w:rFonts w:hint="eastAsia" w:ascii="宋体" w:hAnsi="宋体" w:cs="宋体"/>
                <w:color w:val="000000"/>
                <w:kern w:val="0"/>
                <w:sz w:val="24"/>
              </w:rPr>
              <w:t>投标人付款开户行</w:t>
            </w:r>
            <w:r>
              <w:rPr>
                <w:rFonts w:hint="eastAsia" w:ascii="宋体" w:hAnsi="宋体" w:cs="宋体"/>
                <w:color w:val="000000"/>
                <w:kern w:val="0"/>
                <w:sz w:val="24"/>
                <w:lang w:eastAsia="zh-CN"/>
              </w:rPr>
              <w:t>、</w:t>
            </w:r>
            <w:r>
              <w:rPr>
                <w:rFonts w:hint="eastAsia" w:ascii="宋体" w:hAnsi="宋体" w:cs="宋体"/>
                <w:color w:val="000000"/>
                <w:kern w:val="0"/>
                <w:sz w:val="24"/>
              </w:rPr>
              <w:t>银行联行号</w:t>
            </w:r>
          </w:p>
        </w:tc>
        <w:tc>
          <w:tcPr>
            <w:tcW w:w="5285" w:type="dxa"/>
            <w:noWrap w:val="0"/>
            <w:vAlign w:val="center"/>
          </w:tcPr>
          <w:p w14:paraId="1D9FCB67">
            <w:pPr>
              <w:widowControl/>
              <w:jc w:val="left"/>
              <w:rPr>
                <w:rFonts w:ascii="宋体" w:hAnsi="宋体" w:cs="宋体"/>
                <w:color w:val="FF0000"/>
                <w:kern w:val="0"/>
                <w:sz w:val="24"/>
              </w:rPr>
            </w:pPr>
          </w:p>
        </w:tc>
      </w:tr>
    </w:tbl>
    <w:p w14:paraId="3E9C0068">
      <w:pPr>
        <w:spacing w:line="400" w:lineRule="exact"/>
        <w:jc w:val="center"/>
        <w:rPr>
          <w:rFonts w:ascii="宋体" w:hAnsi="宋体"/>
          <w:bCs/>
          <w:sz w:val="28"/>
          <w:szCs w:val="28"/>
        </w:rPr>
      </w:pPr>
    </w:p>
    <w:p w14:paraId="22E38729">
      <w:pPr>
        <w:spacing w:line="400" w:lineRule="exact"/>
        <w:jc w:val="center"/>
        <w:rPr>
          <w:rFonts w:ascii="宋体" w:hAnsi="宋体"/>
          <w:bCs/>
          <w:sz w:val="28"/>
          <w:szCs w:val="28"/>
        </w:rPr>
      </w:pPr>
    </w:p>
    <w:p w14:paraId="4B0666FE">
      <w:pPr>
        <w:spacing w:line="400" w:lineRule="exact"/>
        <w:jc w:val="center"/>
        <w:rPr>
          <w:rFonts w:ascii="宋体" w:hAnsi="宋体"/>
          <w:bCs/>
          <w:sz w:val="28"/>
          <w:szCs w:val="28"/>
        </w:rPr>
        <w:sectPr>
          <w:footerReference r:id="rId3" w:type="default"/>
          <w:footerReference r:id="rId4" w:type="even"/>
          <w:pgSz w:w="11906" w:h="16838"/>
          <w:pgMar w:top="1134" w:right="1191" w:bottom="1134" w:left="1474" w:header="340" w:footer="1361" w:gutter="0"/>
          <w:cols w:space="720" w:num="1"/>
          <w:docGrid w:type="linesAndChars" w:linePitch="312" w:charSpace="0"/>
        </w:sectPr>
      </w:pPr>
    </w:p>
    <w:p w14:paraId="49C9E01A">
      <w:pPr>
        <w:outlineLvl w:val="1"/>
        <w:rPr>
          <w:rFonts w:ascii="宋体" w:hAnsi="宋体"/>
          <w:sz w:val="28"/>
          <w:szCs w:val="28"/>
        </w:rPr>
      </w:pPr>
      <w:bookmarkStart w:id="25" w:name="_Toc23392"/>
      <w:bookmarkStart w:id="26" w:name="_Toc17020"/>
      <w:bookmarkStart w:id="27" w:name="_Toc27517"/>
      <w:r>
        <w:rPr>
          <w:rFonts w:hint="eastAsia" w:ascii="宋体" w:hAnsi="宋体"/>
          <w:sz w:val="28"/>
          <w:szCs w:val="28"/>
        </w:rPr>
        <w:t>附件五</w:t>
      </w:r>
      <w:bookmarkEnd w:id="25"/>
      <w:bookmarkEnd w:id="26"/>
      <w:bookmarkEnd w:id="27"/>
    </w:p>
    <w:p w14:paraId="26A9C7B6">
      <w:pPr>
        <w:jc w:val="center"/>
        <w:rPr>
          <w:rStyle w:val="12"/>
          <w:rFonts w:ascii="宋体" w:hAnsi="宋体"/>
          <w:b/>
          <w:sz w:val="28"/>
          <w:szCs w:val="28"/>
        </w:rPr>
      </w:pPr>
      <w:r>
        <w:rPr>
          <w:rStyle w:val="12"/>
          <w:rFonts w:hint="eastAsia" w:ascii="宋体" w:hAnsi="宋体"/>
          <w:b/>
          <w:sz w:val="28"/>
          <w:szCs w:val="28"/>
        </w:rPr>
        <w:t>物资需求明细表01</w:t>
      </w:r>
    </w:p>
    <w:p w14:paraId="79FA748D">
      <w:pPr>
        <w:jc w:val="left"/>
        <w:rPr>
          <w:rFonts w:ascii="宋体" w:hAnsi="宋体"/>
          <w:szCs w:val="21"/>
        </w:rPr>
      </w:pPr>
      <w:r>
        <w:rPr>
          <w:rFonts w:hint="eastAsia" w:ascii="宋体" w:hAnsi="宋体"/>
          <w:szCs w:val="21"/>
        </w:rPr>
        <w:t>招标人：中铁二局集团有限公司无锡地铁5号线项目            招标编号:ZTEJSGS-招-202</w:t>
      </w:r>
      <w:r>
        <w:rPr>
          <w:rFonts w:hint="eastAsia" w:ascii="宋体" w:hAnsi="宋体"/>
          <w:szCs w:val="21"/>
          <w:lang w:val="en-US" w:eastAsia="zh-CN"/>
        </w:rPr>
        <w:t xml:space="preserve">5  </w:t>
      </w:r>
      <w:r>
        <w:rPr>
          <w:rFonts w:hint="eastAsia" w:ascii="宋体" w:hAnsi="宋体"/>
          <w:szCs w:val="21"/>
        </w:rPr>
        <w:t xml:space="preserve">                             包件号:</w:t>
      </w:r>
      <w:r>
        <w:rPr>
          <w:rFonts w:hint="eastAsia" w:ascii="宋体" w:hAnsi="宋体" w:cs="宋体"/>
          <w:color w:val="000000"/>
          <w:kern w:val="0"/>
          <w:sz w:val="20"/>
          <w:szCs w:val="18"/>
        </w:rPr>
        <w:t xml:space="preserve"> S</w:t>
      </w:r>
      <w:r>
        <w:rPr>
          <w:rFonts w:ascii="宋体" w:hAnsi="宋体" w:cs="宋体"/>
          <w:color w:val="000000"/>
          <w:kern w:val="0"/>
          <w:sz w:val="20"/>
          <w:szCs w:val="18"/>
        </w:rPr>
        <w:t>PT</w:t>
      </w:r>
      <w:r>
        <w:rPr>
          <w:rFonts w:hint="eastAsia" w:ascii="宋体" w:hAnsi="宋体" w:cs="宋体"/>
          <w:color w:val="000000"/>
          <w:kern w:val="0"/>
          <w:sz w:val="20"/>
          <w:szCs w:val="18"/>
        </w:rPr>
        <w:t>-01</w:t>
      </w:r>
    </w:p>
    <w:tbl>
      <w:tblPr>
        <w:tblStyle w:val="6"/>
        <w:tblW w:w="4900" w:type="pct"/>
        <w:jc w:val="center"/>
        <w:tblLayout w:type="autofit"/>
        <w:tblCellMar>
          <w:top w:w="0" w:type="dxa"/>
          <w:left w:w="108" w:type="dxa"/>
          <w:bottom w:w="0" w:type="dxa"/>
          <w:right w:w="108" w:type="dxa"/>
        </w:tblCellMar>
      </w:tblPr>
      <w:tblGrid>
        <w:gridCol w:w="757"/>
        <w:gridCol w:w="1147"/>
        <w:gridCol w:w="1253"/>
        <w:gridCol w:w="1192"/>
        <w:gridCol w:w="2484"/>
        <w:gridCol w:w="1195"/>
        <w:gridCol w:w="1195"/>
        <w:gridCol w:w="1195"/>
        <w:gridCol w:w="1195"/>
        <w:gridCol w:w="1195"/>
        <w:gridCol w:w="1083"/>
      </w:tblGrid>
      <w:tr w14:paraId="3C218303">
        <w:trPr>
          <w:trHeight w:val="282" w:hRule="atLeast"/>
          <w:jc w:val="center"/>
        </w:trPr>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CEEF167">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413" w:type="pct"/>
            <w:tcBorders>
              <w:top w:val="single" w:color="auto" w:sz="4" w:space="0"/>
              <w:left w:val="nil"/>
              <w:bottom w:val="single" w:color="auto" w:sz="4" w:space="0"/>
              <w:right w:val="single" w:color="auto" w:sz="4" w:space="0"/>
            </w:tcBorders>
            <w:shd w:val="clear" w:color="auto" w:fill="auto"/>
            <w:vAlign w:val="center"/>
          </w:tcPr>
          <w:p w14:paraId="440526FD">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物资名称</w:t>
            </w:r>
          </w:p>
        </w:tc>
        <w:tc>
          <w:tcPr>
            <w:tcW w:w="449" w:type="pct"/>
            <w:tcBorders>
              <w:top w:val="single" w:color="auto" w:sz="4" w:space="0"/>
              <w:left w:val="nil"/>
              <w:bottom w:val="single" w:color="auto" w:sz="4" w:space="0"/>
              <w:right w:val="single" w:color="auto" w:sz="4" w:space="0"/>
            </w:tcBorders>
            <w:shd w:val="clear" w:color="auto" w:fill="auto"/>
            <w:vAlign w:val="center"/>
          </w:tcPr>
          <w:p w14:paraId="3DEDFFBB">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规格型号</w:t>
            </w:r>
          </w:p>
        </w:tc>
        <w:tc>
          <w:tcPr>
            <w:tcW w:w="429" w:type="pct"/>
            <w:tcBorders>
              <w:top w:val="single" w:color="auto" w:sz="4" w:space="0"/>
              <w:left w:val="nil"/>
              <w:bottom w:val="single" w:color="auto" w:sz="4" w:space="0"/>
              <w:right w:val="single" w:color="auto" w:sz="4" w:space="0"/>
            </w:tcBorders>
            <w:shd w:val="clear" w:color="auto" w:fill="auto"/>
            <w:vAlign w:val="center"/>
          </w:tcPr>
          <w:p w14:paraId="452E3E4D">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定货要求</w:t>
            </w:r>
          </w:p>
        </w:tc>
        <w:tc>
          <w:tcPr>
            <w:tcW w:w="894" w:type="pct"/>
            <w:tcBorders>
              <w:top w:val="single" w:color="auto" w:sz="4" w:space="0"/>
              <w:left w:val="nil"/>
              <w:bottom w:val="single" w:color="auto" w:sz="4" w:space="0"/>
              <w:right w:val="single" w:color="auto" w:sz="4" w:space="0"/>
            </w:tcBorders>
            <w:shd w:val="clear" w:color="auto" w:fill="auto"/>
            <w:vAlign w:val="center"/>
          </w:tcPr>
          <w:p w14:paraId="250470A3">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技术标准及要求</w:t>
            </w:r>
          </w:p>
        </w:tc>
        <w:tc>
          <w:tcPr>
            <w:tcW w:w="430" w:type="pct"/>
            <w:tcBorders>
              <w:top w:val="single" w:color="auto" w:sz="4" w:space="0"/>
              <w:left w:val="nil"/>
              <w:bottom w:val="single" w:color="auto" w:sz="4" w:space="0"/>
              <w:right w:val="single" w:color="auto" w:sz="4" w:space="0"/>
            </w:tcBorders>
            <w:shd w:val="clear" w:color="auto" w:fill="auto"/>
            <w:vAlign w:val="center"/>
          </w:tcPr>
          <w:p w14:paraId="2EFE5F5A">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采购数量</w:t>
            </w:r>
          </w:p>
        </w:tc>
        <w:tc>
          <w:tcPr>
            <w:tcW w:w="430" w:type="pct"/>
            <w:tcBorders>
              <w:top w:val="single" w:color="auto" w:sz="4" w:space="0"/>
              <w:left w:val="nil"/>
              <w:bottom w:val="single" w:color="auto" w:sz="4" w:space="0"/>
              <w:right w:val="single" w:color="auto" w:sz="4" w:space="0"/>
            </w:tcBorders>
            <w:shd w:val="clear" w:color="auto" w:fill="auto"/>
            <w:vAlign w:val="center"/>
          </w:tcPr>
          <w:p w14:paraId="57867361">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计量单位</w:t>
            </w:r>
          </w:p>
        </w:tc>
        <w:tc>
          <w:tcPr>
            <w:tcW w:w="430" w:type="pct"/>
            <w:tcBorders>
              <w:top w:val="single" w:color="auto" w:sz="4" w:space="0"/>
              <w:left w:val="nil"/>
              <w:bottom w:val="single" w:color="auto" w:sz="4" w:space="0"/>
              <w:right w:val="single" w:color="auto" w:sz="4" w:space="0"/>
            </w:tcBorders>
            <w:shd w:val="clear" w:color="auto" w:fill="auto"/>
            <w:vAlign w:val="center"/>
          </w:tcPr>
          <w:p w14:paraId="5C0F21C8">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交货条件</w:t>
            </w:r>
          </w:p>
        </w:tc>
        <w:tc>
          <w:tcPr>
            <w:tcW w:w="430" w:type="pct"/>
            <w:tcBorders>
              <w:top w:val="single" w:color="auto" w:sz="4" w:space="0"/>
              <w:left w:val="nil"/>
              <w:bottom w:val="single" w:color="auto" w:sz="4" w:space="0"/>
              <w:right w:val="single" w:color="auto" w:sz="4" w:space="0"/>
            </w:tcBorders>
            <w:shd w:val="clear" w:color="auto" w:fill="auto"/>
            <w:vAlign w:val="center"/>
          </w:tcPr>
          <w:p w14:paraId="266F408E">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交货状态</w:t>
            </w:r>
          </w:p>
        </w:tc>
        <w:tc>
          <w:tcPr>
            <w:tcW w:w="430" w:type="pct"/>
            <w:tcBorders>
              <w:top w:val="single" w:color="auto" w:sz="4" w:space="0"/>
              <w:left w:val="nil"/>
              <w:bottom w:val="single" w:color="auto" w:sz="4" w:space="0"/>
              <w:right w:val="single" w:color="auto" w:sz="4" w:space="0"/>
            </w:tcBorders>
            <w:shd w:val="clear" w:color="auto" w:fill="auto"/>
            <w:vAlign w:val="center"/>
          </w:tcPr>
          <w:p w14:paraId="61B1930B">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交货地点</w:t>
            </w:r>
          </w:p>
        </w:tc>
        <w:tc>
          <w:tcPr>
            <w:tcW w:w="389" w:type="pct"/>
            <w:tcBorders>
              <w:top w:val="single" w:color="auto" w:sz="4" w:space="0"/>
              <w:left w:val="nil"/>
              <w:bottom w:val="single" w:color="auto" w:sz="4" w:space="0"/>
              <w:right w:val="single" w:color="auto" w:sz="4" w:space="0"/>
            </w:tcBorders>
            <w:shd w:val="clear" w:color="auto" w:fill="auto"/>
            <w:vAlign w:val="center"/>
          </w:tcPr>
          <w:p w14:paraId="794BD346">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交货期</w:t>
            </w:r>
          </w:p>
        </w:tc>
      </w:tr>
      <w:tr w14:paraId="20F82D22">
        <w:tblPrEx>
          <w:tblCellMar>
            <w:top w:w="0" w:type="dxa"/>
            <w:left w:w="108" w:type="dxa"/>
            <w:bottom w:w="0" w:type="dxa"/>
            <w:right w:w="108" w:type="dxa"/>
          </w:tblCellMar>
        </w:tblPrEx>
        <w:trPr>
          <w:trHeight w:val="363" w:hRule="atLeast"/>
          <w:jc w:val="center"/>
        </w:trPr>
        <w:tc>
          <w:tcPr>
            <w:tcW w:w="273" w:type="pct"/>
            <w:tcBorders>
              <w:top w:val="nil"/>
              <w:left w:val="single" w:color="auto" w:sz="4" w:space="0"/>
              <w:bottom w:val="single" w:color="auto" w:sz="4" w:space="0"/>
              <w:right w:val="single" w:color="auto" w:sz="4" w:space="0"/>
            </w:tcBorders>
            <w:shd w:val="clear" w:color="auto" w:fill="auto"/>
            <w:noWrap/>
            <w:vAlign w:val="center"/>
          </w:tcPr>
          <w:p w14:paraId="0D4F6929">
            <w:pPr>
              <w:widowControl/>
              <w:jc w:val="center"/>
              <w:rPr>
                <w:rFonts w:ascii="宋体" w:hAnsi="宋体" w:cs="宋体"/>
                <w:color w:val="000000"/>
                <w:kern w:val="0"/>
                <w:sz w:val="15"/>
                <w:szCs w:val="15"/>
              </w:rPr>
            </w:pPr>
            <w:r>
              <w:rPr>
                <w:rFonts w:hint="eastAsia" w:ascii="宋体" w:hAnsi="宋体" w:cs="宋体"/>
                <w:color w:val="000000"/>
                <w:kern w:val="0"/>
                <w:sz w:val="15"/>
                <w:szCs w:val="15"/>
              </w:rPr>
              <w:t>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5F2119A">
            <w:pPr>
              <w:widowControl/>
              <w:jc w:val="center"/>
              <w:rPr>
                <w:rFonts w:ascii="宋体" w:hAnsi="宋体" w:cs="宋体"/>
                <w:color w:val="000000"/>
                <w:kern w:val="0"/>
                <w:sz w:val="15"/>
                <w:szCs w:val="15"/>
              </w:rPr>
            </w:pPr>
            <w:r>
              <w:rPr>
                <w:rFonts w:hint="eastAsia"/>
                <w:color w:val="000000"/>
                <w:sz w:val="15"/>
                <w:szCs w:val="15"/>
              </w:rPr>
              <w:t>商品混凝土</w:t>
            </w:r>
          </w:p>
        </w:tc>
        <w:tc>
          <w:tcPr>
            <w:tcW w:w="449" w:type="pct"/>
            <w:tcBorders>
              <w:top w:val="single" w:color="auto" w:sz="4" w:space="0"/>
              <w:left w:val="nil"/>
              <w:bottom w:val="single" w:color="auto" w:sz="4" w:space="0"/>
              <w:right w:val="single" w:color="auto" w:sz="4" w:space="0"/>
            </w:tcBorders>
            <w:shd w:val="clear" w:color="auto" w:fill="auto"/>
            <w:vAlign w:val="center"/>
          </w:tcPr>
          <w:p w14:paraId="7EED4FB8">
            <w:pPr>
              <w:widowControl/>
              <w:jc w:val="center"/>
              <w:textAlignment w:val="center"/>
              <w:rPr>
                <w:color w:val="000000"/>
                <w:sz w:val="15"/>
                <w:szCs w:val="15"/>
              </w:rPr>
            </w:pPr>
            <w:r>
              <w:rPr>
                <w:rFonts w:hint="eastAsia" w:ascii="宋体" w:hAnsi="宋体" w:cs="宋体"/>
                <w:color w:val="000000"/>
                <w:kern w:val="0"/>
                <w:sz w:val="15"/>
                <w:szCs w:val="15"/>
              </w:rPr>
              <w:t>C20</w:t>
            </w:r>
          </w:p>
        </w:tc>
        <w:tc>
          <w:tcPr>
            <w:tcW w:w="429" w:type="pct"/>
            <w:vMerge w:val="restart"/>
            <w:tcBorders>
              <w:top w:val="nil"/>
              <w:left w:val="single" w:color="auto" w:sz="4" w:space="0"/>
              <w:right w:val="single" w:color="auto" w:sz="4" w:space="0"/>
            </w:tcBorders>
            <w:shd w:val="clear" w:color="auto" w:fill="auto"/>
            <w:vAlign w:val="center"/>
          </w:tcPr>
          <w:p w14:paraId="3F5391B0">
            <w:pPr>
              <w:widowControl/>
              <w:jc w:val="center"/>
              <w:rPr>
                <w:rFonts w:ascii="宋体" w:hAnsi="宋体" w:cs="宋体"/>
                <w:color w:val="000000"/>
                <w:kern w:val="0"/>
                <w:sz w:val="15"/>
                <w:szCs w:val="15"/>
              </w:rPr>
            </w:pPr>
            <w:r>
              <w:rPr>
                <w:rFonts w:hint="eastAsia" w:ascii="宋体" w:hAnsi="宋体" w:cs="宋体"/>
                <w:color w:val="000000"/>
                <w:kern w:val="0"/>
                <w:sz w:val="15"/>
                <w:szCs w:val="15"/>
              </w:rPr>
              <w:t>质量技术标准满足技术规格书要求</w:t>
            </w:r>
          </w:p>
        </w:tc>
        <w:tc>
          <w:tcPr>
            <w:tcW w:w="894" w:type="pct"/>
            <w:vMerge w:val="restart"/>
            <w:tcBorders>
              <w:top w:val="nil"/>
              <w:left w:val="single" w:color="auto" w:sz="4" w:space="0"/>
              <w:right w:val="single" w:color="auto" w:sz="4" w:space="0"/>
            </w:tcBorders>
            <w:shd w:val="clear" w:color="auto" w:fill="auto"/>
            <w:vAlign w:val="center"/>
          </w:tcPr>
          <w:p w14:paraId="76A4C26A">
            <w:pPr>
              <w:widowControl/>
              <w:jc w:val="center"/>
              <w:rPr>
                <w:rFonts w:ascii="宋体" w:hAnsi="宋体" w:cs="宋体"/>
                <w:color w:val="000000"/>
                <w:kern w:val="0"/>
                <w:sz w:val="15"/>
                <w:szCs w:val="15"/>
              </w:rPr>
            </w:pPr>
            <w:r>
              <w:rPr>
                <w:rFonts w:hint="eastAsia" w:ascii="宋体" w:hAnsi="宋体" w:cs="宋体"/>
                <w:color w:val="000000"/>
                <w:kern w:val="0"/>
                <w:sz w:val="15"/>
                <w:szCs w:val="15"/>
              </w:rPr>
              <w:t>详见技术规格书</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14:paraId="5222AB44">
            <w:pPr>
              <w:widowControl/>
              <w:jc w:val="center"/>
              <w:textAlignment w:val="center"/>
              <w:rPr>
                <w:rFonts w:hint="default" w:ascii="宋体" w:hAnsi="宋体" w:eastAsia="宋体" w:cs="宋体"/>
                <w:color w:val="000000"/>
                <w:kern w:val="0"/>
                <w:sz w:val="15"/>
                <w:szCs w:val="15"/>
                <w:lang w:val="en-US" w:eastAsia="zh-CN"/>
              </w:rPr>
            </w:pPr>
            <w:r>
              <w:rPr>
                <w:rFonts w:hint="eastAsia" w:ascii="宋体" w:hAnsi="宋体" w:cs="宋体"/>
                <w:color w:val="000000"/>
                <w:kern w:val="0"/>
                <w:sz w:val="15"/>
                <w:szCs w:val="15"/>
                <w:lang w:val="en-US" w:eastAsia="zh-CN"/>
              </w:rPr>
              <w:t>1600</w:t>
            </w:r>
          </w:p>
        </w:tc>
        <w:tc>
          <w:tcPr>
            <w:tcW w:w="430" w:type="pct"/>
            <w:tcBorders>
              <w:top w:val="nil"/>
              <w:left w:val="nil"/>
              <w:bottom w:val="single" w:color="auto" w:sz="4" w:space="0"/>
              <w:right w:val="single" w:color="auto" w:sz="4" w:space="0"/>
            </w:tcBorders>
            <w:shd w:val="clear" w:color="auto" w:fill="auto"/>
            <w:vAlign w:val="center"/>
          </w:tcPr>
          <w:p w14:paraId="21A94775">
            <w:pPr>
              <w:widowControl/>
              <w:jc w:val="center"/>
              <w:rPr>
                <w:color w:val="000000"/>
                <w:sz w:val="15"/>
                <w:szCs w:val="15"/>
              </w:rPr>
            </w:pPr>
            <w:r>
              <w:rPr>
                <w:rFonts w:hint="eastAsia"/>
                <w:color w:val="000000"/>
                <w:sz w:val="15"/>
                <w:szCs w:val="15"/>
              </w:rPr>
              <w:t>m3</w:t>
            </w:r>
          </w:p>
        </w:tc>
        <w:tc>
          <w:tcPr>
            <w:tcW w:w="430" w:type="pct"/>
            <w:vMerge w:val="restart"/>
            <w:tcBorders>
              <w:top w:val="nil"/>
              <w:left w:val="single" w:color="auto" w:sz="4" w:space="0"/>
              <w:right w:val="single" w:color="auto" w:sz="4" w:space="0"/>
            </w:tcBorders>
            <w:shd w:val="clear" w:color="auto" w:fill="auto"/>
            <w:vAlign w:val="center"/>
          </w:tcPr>
          <w:p w14:paraId="08D99615">
            <w:pPr>
              <w:widowControl/>
              <w:snapToGrid w:val="0"/>
              <w:spacing w:line="560" w:lineRule="exact"/>
              <w:jc w:val="center"/>
              <w:rPr>
                <w:rFonts w:cs="宋体" w:asciiTheme="minorEastAsia" w:hAnsiTheme="minorEastAsia"/>
                <w:snapToGrid w:val="0"/>
                <w:color w:val="000000"/>
                <w:sz w:val="15"/>
                <w:szCs w:val="15"/>
              </w:rPr>
            </w:pPr>
            <w:r>
              <w:rPr>
                <w:rFonts w:hint="eastAsia" w:cs="宋体" w:asciiTheme="minorEastAsia" w:hAnsiTheme="minorEastAsia"/>
                <w:snapToGrid w:val="0"/>
                <w:color w:val="000000"/>
                <w:sz w:val="15"/>
                <w:szCs w:val="15"/>
              </w:rPr>
              <w:t>混凝土搅拌运输车交货</w:t>
            </w:r>
          </w:p>
        </w:tc>
        <w:tc>
          <w:tcPr>
            <w:tcW w:w="430" w:type="pct"/>
            <w:vMerge w:val="restart"/>
            <w:tcBorders>
              <w:top w:val="nil"/>
              <w:left w:val="single" w:color="auto" w:sz="4" w:space="0"/>
              <w:right w:val="single" w:color="auto" w:sz="4" w:space="0"/>
            </w:tcBorders>
            <w:shd w:val="clear" w:color="auto" w:fill="auto"/>
            <w:vAlign w:val="center"/>
          </w:tcPr>
          <w:p w14:paraId="4331A444">
            <w:pPr>
              <w:widowControl/>
              <w:jc w:val="center"/>
              <w:rPr>
                <w:rFonts w:ascii="宋体" w:hAnsi="宋体" w:cs="宋体"/>
                <w:color w:val="000000"/>
                <w:kern w:val="0"/>
                <w:sz w:val="15"/>
                <w:szCs w:val="15"/>
              </w:rPr>
            </w:pPr>
            <w:r>
              <w:rPr>
                <w:rFonts w:hint="eastAsia" w:ascii="宋体" w:hAnsi="宋体" w:cs="宋体"/>
                <w:color w:val="000000"/>
                <w:kern w:val="0"/>
                <w:sz w:val="15"/>
                <w:szCs w:val="15"/>
              </w:rPr>
              <w:t>小票计量，过磅抽查</w:t>
            </w:r>
          </w:p>
        </w:tc>
        <w:tc>
          <w:tcPr>
            <w:tcW w:w="430" w:type="pct"/>
            <w:vMerge w:val="restart"/>
            <w:tcBorders>
              <w:top w:val="nil"/>
              <w:left w:val="single" w:color="auto" w:sz="4" w:space="0"/>
              <w:right w:val="single" w:color="auto" w:sz="4" w:space="0"/>
            </w:tcBorders>
            <w:shd w:val="clear" w:color="auto" w:fill="auto"/>
            <w:vAlign w:val="center"/>
          </w:tcPr>
          <w:p w14:paraId="138B4946">
            <w:pPr>
              <w:widowControl/>
              <w:jc w:val="center"/>
              <w:rPr>
                <w:rFonts w:ascii="宋体" w:hAnsi="宋体" w:cs="宋体"/>
                <w:color w:val="000000"/>
                <w:kern w:val="0"/>
                <w:sz w:val="15"/>
                <w:szCs w:val="15"/>
              </w:rPr>
            </w:pPr>
            <w:r>
              <w:rPr>
                <w:rFonts w:hint="eastAsia" w:ascii="宋体" w:hAnsi="宋体" w:cs="宋体"/>
                <w:snapToGrid w:val="0"/>
                <w:color w:val="000000"/>
                <w:sz w:val="15"/>
                <w:szCs w:val="15"/>
              </w:rPr>
              <w:t>江苏省无锡市滨湖区太湖西大道~建筑路地块（体育中心站、附属结构）</w:t>
            </w:r>
          </w:p>
        </w:tc>
        <w:tc>
          <w:tcPr>
            <w:tcW w:w="389" w:type="pct"/>
            <w:vMerge w:val="restart"/>
            <w:tcBorders>
              <w:top w:val="nil"/>
              <w:left w:val="single" w:color="auto" w:sz="4" w:space="0"/>
              <w:right w:val="single" w:color="auto" w:sz="4" w:space="0"/>
            </w:tcBorders>
            <w:shd w:val="clear" w:color="auto" w:fill="auto"/>
            <w:vAlign w:val="center"/>
          </w:tcPr>
          <w:p w14:paraId="59BEC791">
            <w:pPr>
              <w:widowControl/>
              <w:jc w:val="center"/>
              <w:rPr>
                <w:rFonts w:ascii="宋体" w:hAnsi="宋体" w:cs="宋体"/>
                <w:color w:val="000000"/>
                <w:kern w:val="0"/>
                <w:sz w:val="15"/>
                <w:szCs w:val="15"/>
              </w:rPr>
            </w:pPr>
            <w:r>
              <w:rPr>
                <w:rFonts w:hint="eastAsia" w:cs="宋体" w:asciiTheme="minorEastAsia" w:hAnsiTheme="minorEastAsia"/>
                <w:snapToGrid w:val="0"/>
                <w:color w:val="000000"/>
                <w:sz w:val="15"/>
                <w:szCs w:val="15"/>
              </w:rPr>
              <w:t>2</w:t>
            </w:r>
            <w:r>
              <w:rPr>
                <w:rFonts w:cs="宋体" w:asciiTheme="minorEastAsia" w:hAnsiTheme="minorEastAsia"/>
                <w:snapToGrid w:val="0"/>
                <w:color w:val="000000"/>
                <w:sz w:val="15"/>
                <w:szCs w:val="15"/>
              </w:rPr>
              <w:t>02</w:t>
            </w:r>
            <w:r>
              <w:rPr>
                <w:rFonts w:hint="eastAsia" w:cs="宋体" w:asciiTheme="minorEastAsia" w:hAnsiTheme="minorEastAsia"/>
                <w:snapToGrid w:val="0"/>
                <w:color w:val="000000"/>
                <w:sz w:val="15"/>
                <w:szCs w:val="15"/>
                <w:lang w:val="en-US" w:eastAsia="zh-CN"/>
              </w:rPr>
              <w:t>5</w:t>
            </w:r>
            <w:r>
              <w:rPr>
                <w:rFonts w:hint="eastAsia" w:cs="宋体" w:asciiTheme="minorEastAsia" w:hAnsiTheme="minorEastAsia"/>
                <w:snapToGrid w:val="0"/>
                <w:color w:val="000000"/>
                <w:sz w:val="15"/>
                <w:szCs w:val="15"/>
              </w:rPr>
              <w:t>年</w:t>
            </w:r>
            <w:r>
              <w:rPr>
                <w:rFonts w:hint="eastAsia" w:cs="宋体" w:asciiTheme="minorEastAsia" w:hAnsiTheme="minorEastAsia"/>
                <w:snapToGrid w:val="0"/>
                <w:color w:val="000000"/>
                <w:sz w:val="15"/>
                <w:szCs w:val="15"/>
                <w:lang w:val="en-US" w:eastAsia="zh-CN"/>
              </w:rPr>
              <w:t>9</w:t>
            </w:r>
            <w:r>
              <w:rPr>
                <w:rFonts w:hint="eastAsia" w:cs="宋体" w:asciiTheme="minorEastAsia" w:hAnsiTheme="minorEastAsia"/>
                <w:snapToGrid w:val="0"/>
                <w:color w:val="000000"/>
                <w:sz w:val="15"/>
                <w:szCs w:val="15"/>
              </w:rPr>
              <w:t>月至2</w:t>
            </w:r>
            <w:r>
              <w:rPr>
                <w:rFonts w:cs="宋体" w:asciiTheme="minorEastAsia" w:hAnsiTheme="minorEastAsia"/>
                <w:snapToGrid w:val="0"/>
                <w:color w:val="000000"/>
                <w:sz w:val="15"/>
                <w:szCs w:val="15"/>
              </w:rPr>
              <w:t>0</w:t>
            </w:r>
            <w:r>
              <w:rPr>
                <w:rFonts w:hint="eastAsia" w:cs="宋体" w:asciiTheme="minorEastAsia" w:hAnsiTheme="minorEastAsia"/>
                <w:snapToGrid w:val="0"/>
                <w:color w:val="000000"/>
                <w:sz w:val="15"/>
                <w:szCs w:val="15"/>
              </w:rPr>
              <w:t>27年7月</w:t>
            </w:r>
          </w:p>
        </w:tc>
      </w:tr>
      <w:tr w14:paraId="142B68BD">
        <w:tblPrEx>
          <w:tblCellMar>
            <w:top w:w="0" w:type="dxa"/>
            <w:left w:w="108" w:type="dxa"/>
            <w:bottom w:w="0" w:type="dxa"/>
            <w:right w:w="108" w:type="dxa"/>
          </w:tblCellMar>
        </w:tblPrEx>
        <w:trPr>
          <w:trHeight w:val="363" w:hRule="atLeast"/>
          <w:jc w:val="center"/>
        </w:trPr>
        <w:tc>
          <w:tcPr>
            <w:tcW w:w="273" w:type="pct"/>
            <w:tcBorders>
              <w:top w:val="nil"/>
              <w:left w:val="single" w:color="auto" w:sz="4" w:space="0"/>
              <w:bottom w:val="single" w:color="auto" w:sz="4" w:space="0"/>
              <w:right w:val="single" w:color="auto" w:sz="4" w:space="0"/>
            </w:tcBorders>
            <w:shd w:val="clear" w:color="auto" w:fill="auto"/>
            <w:noWrap/>
            <w:vAlign w:val="center"/>
          </w:tcPr>
          <w:p w14:paraId="451B26D5">
            <w:pPr>
              <w:widowControl/>
              <w:jc w:val="center"/>
              <w:rPr>
                <w:rFonts w:ascii="宋体" w:hAnsi="宋体" w:cs="宋体"/>
                <w:color w:val="000000"/>
                <w:kern w:val="0"/>
                <w:sz w:val="15"/>
                <w:szCs w:val="15"/>
              </w:rPr>
            </w:pPr>
            <w:r>
              <w:rPr>
                <w:rFonts w:hint="eastAsia" w:ascii="宋体" w:hAnsi="宋体" w:cs="宋体"/>
                <w:color w:val="000000"/>
                <w:kern w:val="0"/>
                <w:sz w:val="15"/>
                <w:szCs w:val="15"/>
              </w:rPr>
              <w:t>2</w:t>
            </w:r>
          </w:p>
        </w:tc>
        <w:tc>
          <w:tcPr>
            <w:tcW w:w="413" w:type="pct"/>
            <w:tcBorders>
              <w:top w:val="nil"/>
              <w:left w:val="single" w:color="auto" w:sz="4" w:space="0"/>
              <w:bottom w:val="single" w:color="auto" w:sz="4" w:space="0"/>
              <w:right w:val="single" w:color="auto" w:sz="4" w:space="0"/>
            </w:tcBorders>
            <w:shd w:val="clear" w:color="auto" w:fill="auto"/>
            <w:vAlign w:val="center"/>
          </w:tcPr>
          <w:p w14:paraId="3D9C911A">
            <w:pPr>
              <w:widowControl/>
              <w:jc w:val="center"/>
              <w:rPr>
                <w:rFonts w:ascii="宋体" w:hAnsi="宋体" w:cs="宋体"/>
                <w:color w:val="000000"/>
                <w:kern w:val="0"/>
                <w:sz w:val="15"/>
                <w:szCs w:val="15"/>
              </w:rPr>
            </w:pPr>
            <w:r>
              <w:rPr>
                <w:rFonts w:hint="eastAsia"/>
                <w:color w:val="000000"/>
                <w:sz w:val="15"/>
                <w:szCs w:val="15"/>
              </w:rPr>
              <w:t>商品混凝土</w:t>
            </w:r>
          </w:p>
        </w:tc>
        <w:tc>
          <w:tcPr>
            <w:tcW w:w="449" w:type="pct"/>
            <w:tcBorders>
              <w:top w:val="nil"/>
              <w:left w:val="nil"/>
              <w:bottom w:val="single" w:color="auto" w:sz="4" w:space="0"/>
              <w:right w:val="single" w:color="auto" w:sz="4" w:space="0"/>
            </w:tcBorders>
            <w:shd w:val="clear" w:color="auto" w:fill="auto"/>
            <w:vAlign w:val="center"/>
          </w:tcPr>
          <w:p w14:paraId="6FB25593">
            <w:pPr>
              <w:widowControl/>
              <w:jc w:val="center"/>
              <w:textAlignment w:val="center"/>
              <w:rPr>
                <w:color w:val="000000"/>
                <w:sz w:val="15"/>
                <w:szCs w:val="15"/>
              </w:rPr>
            </w:pPr>
            <w:r>
              <w:rPr>
                <w:rFonts w:hint="eastAsia" w:ascii="宋体" w:hAnsi="宋体" w:cs="宋体"/>
                <w:color w:val="000000"/>
                <w:kern w:val="0"/>
                <w:sz w:val="15"/>
                <w:szCs w:val="15"/>
              </w:rPr>
              <w:t>C25</w:t>
            </w:r>
          </w:p>
        </w:tc>
        <w:tc>
          <w:tcPr>
            <w:tcW w:w="429" w:type="pct"/>
            <w:vMerge w:val="continue"/>
            <w:tcBorders>
              <w:left w:val="single" w:color="auto" w:sz="4" w:space="0"/>
              <w:right w:val="single" w:color="auto" w:sz="4" w:space="0"/>
            </w:tcBorders>
            <w:shd w:val="clear" w:color="auto" w:fill="auto"/>
            <w:vAlign w:val="center"/>
          </w:tcPr>
          <w:p w14:paraId="0B9D2E18">
            <w:pPr>
              <w:widowControl/>
              <w:jc w:val="center"/>
              <w:rPr>
                <w:rFonts w:ascii="宋体" w:hAnsi="宋体" w:cs="宋体"/>
                <w:color w:val="000000"/>
                <w:kern w:val="0"/>
                <w:sz w:val="15"/>
                <w:szCs w:val="15"/>
              </w:rPr>
            </w:pPr>
          </w:p>
        </w:tc>
        <w:tc>
          <w:tcPr>
            <w:tcW w:w="894" w:type="pct"/>
            <w:vMerge w:val="continue"/>
            <w:tcBorders>
              <w:left w:val="single" w:color="auto" w:sz="4" w:space="0"/>
              <w:right w:val="single" w:color="auto" w:sz="4" w:space="0"/>
            </w:tcBorders>
            <w:shd w:val="clear" w:color="auto" w:fill="auto"/>
            <w:vAlign w:val="center"/>
          </w:tcPr>
          <w:p w14:paraId="60242340">
            <w:pPr>
              <w:widowControl/>
              <w:jc w:val="center"/>
              <w:rPr>
                <w:rFonts w:ascii="宋体" w:hAnsi="宋体" w:cs="宋体"/>
                <w:color w:val="000000"/>
                <w:kern w:val="0"/>
                <w:sz w:val="15"/>
                <w:szCs w:val="15"/>
              </w:rPr>
            </w:pPr>
          </w:p>
        </w:tc>
        <w:tc>
          <w:tcPr>
            <w:tcW w:w="430" w:type="pct"/>
            <w:tcBorders>
              <w:top w:val="nil"/>
              <w:left w:val="single" w:color="auto" w:sz="4" w:space="0"/>
              <w:bottom w:val="single" w:color="auto" w:sz="4" w:space="0"/>
              <w:right w:val="single" w:color="auto" w:sz="4" w:space="0"/>
            </w:tcBorders>
            <w:shd w:val="clear" w:color="auto" w:fill="auto"/>
            <w:vAlign w:val="center"/>
          </w:tcPr>
          <w:p w14:paraId="2C2BB5CB">
            <w:pPr>
              <w:widowControl/>
              <w:jc w:val="center"/>
              <w:textAlignment w:val="center"/>
              <w:rPr>
                <w:rFonts w:hint="default" w:ascii="宋体" w:hAnsi="宋体" w:eastAsia="宋体" w:cs="宋体"/>
                <w:color w:val="000000"/>
                <w:kern w:val="0"/>
                <w:sz w:val="15"/>
                <w:szCs w:val="15"/>
                <w:lang w:val="en-US" w:eastAsia="zh-CN"/>
              </w:rPr>
            </w:pPr>
            <w:r>
              <w:rPr>
                <w:rFonts w:hint="eastAsia" w:ascii="宋体" w:hAnsi="宋体" w:cs="宋体"/>
                <w:color w:val="000000"/>
                <w:kern w:val="0"/>
                <w:sz w:val="15"/>
                <w:szCs w:val="15"/>
                <w:lang w:val="en-US" w:eastAsia="zh-CN"/>
              </w:rPr>
              <w:t>1800</w:t>
            </w:r>
          </w:p>
        </w:tc>
        <w:tc>
          <w:tcPr>
            <w:tcW w:w="430" w:type="pct"/>
            <w:tcBorders>
              <w:top w:val="nil"/>
              <w:left w:val="nil"/>
              <w:bottom w:val="single" w:color="auto" w:sz="4" w:space="0"/>
              <w:right w:val="single" w:color="auto" w:sz="4" w:space="0"/>
            </w:tcBorders>
            <w:shd w:val="clear" w:color="auto" w:fill="auto"/>
            <w:vAlign w:val="center"/>
          </w:tcPr>
          <w:p w14:paraId="093735C1">
            <w:pPr>
              <w:widowControl/>
              <w:jc w:val="center"/>
              <w:rPr>
                <w:color w:val="000000"/>
                <w:sz w:val="15"/>
                <w:szCs w:val="15"/>
              </w:rPr>
            </w:pPr>
            <w:r>
              <w:rPr>
                <w:rFonts w:hint="eastAsia"/>
                <w:color w:val="000000"/>
                <w:sz w:val="15"/>
                <w:szCs w:val="15"/>
              </w:rPr>
              <w:t>m3</w:t>
            </w:r>
          </w:p>
        </w:tc>
        <w:tc>
          <w:tcPr>
            <w:tcW w:w="430" w:type="pct"/>
            <w:vMerge w:val="continue"/>
            <w:tcBorders>
              <w:left w:val="single" w:color="auto" w:sz="4" w:space="0"/>
              <w:right w:val="single" w:color="auto" w:sz="4" w:space="0"/>
            </w:tcBorders>
            <w:shd w:val="clear" w:color="auto" w:fill="auto"/>
            <w:vAlign w:val="center"/>
          </w:tcPr>
          <w:p w14:paraId="46B73619">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0C95A218">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799E0F74">
            <w:pPr>
              <w:widowControl/>
              <w:jc w:val="center"/>
              <w:rPr>
                <w:rFonts w:ascii="宋体" w:hAnsi="宋体" w:cs="宋体"/>
                <w:color w:val="000000"/>
                <w:kern w:val="0"/>
                <w:sz w:val="15"/>
                <w:szCs w:val="15"/>
              </w:rPr>
            </w:pPr>
          </w:p>
        </w:tc>
        <w:tc>
          <w:tcPr>
            <w:tcW w:w="389" w:type="pct"/>
            <w:vMerge w:val="continue"/>
            <w:tcBorders>
              <w:left w:val="single" w:color="auto" w:sz="4" w:space="0"/>
              <w:right w:val="single" w:color="auto" w:sz="4" w:space="0"/>
            </w:tcBorders>
            <w:shd w:val="clear" w:color="auto" w:fill="auto"/>
            <w:vAlign w:val="center"/>
          </w:tcPr>
          <w:p w14:paraId="29C4C71B">
            <w:pPr>
              <w:widowControl/>
              <w:jc w:val="center"/>
              <w:rPr>
                <w:rFonts w:ascii="宋体" w:hAnsi="宋体" w:cs="宋体"/>
                <w:color w:val="000000"/>
                <w:kern w:val="0"/>
                <w:sz w:val="15"/>
                <w:szCs w:val="15"/>
              </w:rPr>
            </w:pPr>
          </w:p>
        </w:tc>
      </w:tr>
      <w:tr w14:paraId="5171BF08">
        <w:tblPrEx>
          <w:tblCellMar>
            <w:top w:w="0" w:type="dxa"/>
            <w:left w:w="108" w:type="dxa"/>
            <w:bottom w:w="0" w:type="dxa"/>
            <w:right w:w="108" w:type="dxa"/>
          </w:tblCellMar>
        </w:tblPrEx>
        <w:trPr>
          <w:trHeight w:val="363" w:hRule="atLeast"/>
          <w:jc w:val="center"/>
        </w:trPr>
        <w:tc>
          <w:tcPr>
            <w:tcW w:w="273" w:type="pct"/>
            <w:tcBorders>
              <w:top w:val="nil"/>
              <w:left w:val="single" w:color="auto" w:sz="4" w:space="0"/>
              <w:bottom w:val="single" w:color="auto" w:sz="4" w:space="0"/>
              <w:right w:val="single" w:color="auto" w:sz="4" w:space="0"/>
            </w:tcBorders>
            <w:shd w:val="clear" w:color="auto" w:fill="auto"/>
            <w:noWrap/>
            <w:vAlign w:val="center"/>
          </w:tcPr>
          <w:p w14:paraId="40D78DF2">
            <w:pPr>
              <w:widowControl/>
              <w:jc w:val="center"/>
              <w:rPr>
                <w:rFonts w:ascii="宋体" w:hAnsi="宋体" w:cs="宋体"/>
                <w:color w:val="000000"/>
                <w:kern w:val="0"/>
                <w:sz w:val="15"/>
                <w:szCs w:val="15"/>
              </w:rPr>
            </w:pPr>
            <w:r>
              <w:rPr>
                <w:rFonts w:hint="eastAsia" w:ascii="宋体" w:hAnsi="宋体" w:cs="宋体"/>
                <w:color w:val="000000"/>
                <w:kern w:val="0"/>
                <w:sz w:val="15"/>
                <w:szCs w:val="15"/>
              </w:rPr>
              <w:t>3</w:t>
            </w:r>
          </w:p>
        </w:tc>
        <w:tc>
          <w:tcPr>
            <w:tcW w:w="413" w:type="pct"/>
            <w:tcBorders>
              <w:top w:val="nil"/>
              <w:left w:val="single" w:color="auto" w:sz="4" w:space="0"/>
              <w:bottom w:val="single" w:color="auto" w:sz="4" w:space="0"/>
              <w:right w:val="single" w:color="auto" w:sz="4" w:space="0"/>
            </w:tcBorders>
            <w:shd w:val="clear" w:color="auto" w:fill="auto"/>
            <w:vAlign w:val="center"/>
          </w:tcPr>
          <w:p w14:paraId="523913A9">
            <w:pPr>
              <w:widowControl/>
              <w:jc w:val="center"/>
              <w:rPr>
                <w:rFonts w:ascii="宋体" w:hAnsi="宋体" w:cs="宋体"/>
                <w:color w:val="000000"/>
                <w:kern w:val="0"/>
                <w:sz w:val="15"/>
                <w:szCs w:val="15"/>
              </w:rPr>
            </w:pPr>
            <w:r>
              <w:rPr>
                <w:rFonts w:hint="eastAsia"/>
                <w:color w:val="000000"/>
                <w:sz w:val="15"/>
                <w:szCs w:val="15"/>
              </w:rPr>
              <w:t>商品混凝土</w:t>
            </w:r>
          </w:p>
        </w:tc>
        <w:tc>
          <w:tcPr>
            <w:tcW w:w="449" w:type="pct"/>
            <w:tcBorders>
              <w:top w:val="nil"/>
              <w:left w:val="nil"/>
              <w:bottom w:val="single" w:color="auto" w:sz="4" w:space="0"/>
              <w:right w:val="single" w:color="auto" w:sz="4" w:space="0"/>
            </w:tcBorders>
            <w:shd w:val="clear" w:color="auto" w:fill="auto"/>
            <w:vAlign w:val="center"/>
          </w:tcPr>
          <w:p w14:paraId="67346953">
            <w:pPr>
              <w:widowControl/>
              <w:jc w:val="center"/>
              <w:textAlignment w:val="center"/>
              <w:rPr>
                <w:color w:val="000000"/>
                <w:sz w:val="15"/>
                <w:szCs w:val="15"/>
              </w:rPr>
            </w:pPr>
            <w:r>
              <w:rPr>
                <w:rFonts w:hint="eastAsia" w:ascii="宋体" w:hAnsi="宋体" w:cs="宋体"/>
                <w:color w:val="000000"/>
                <w:kern w:val="0"/>
                <w:sz w:val="15"/>
                <w:szCs w:val="15"/>
              </w:rPr>
              <w:t>C30</w:t>
            </w:r>
          </w:p>
        </w:tc>
        <w:tc>
          <w:tcPr>
            <w:tcW w:w="429" w:type="pct"/>
            <w:vMerge w:val="continue"/>
            <w:tcBorders>
              <w:left w:val="single" w:color="auto" w:sz="4" w:space="0"/>
              <w:right w:val="single" w:color="auto" w:sz="4" w:space="0"/>
            </w:tcBorders>
            <w:shd w:val="clear" w:color="auto" w:fill="auto"/>
            <w:vAlign w:val="center"/>
          </w:tcPr>
          <w:p w14:paraId="1AF1599D">
            <w:pPr>
              <w:widowControl/>
              <w:jc w:val="center"/>
              <w:rPr>
                <w:rFonts w:ascii="宋体" w:hAnsi="宋体" w:cs="宋体"/>
                <w:color w:val="000000"/>
                <w:kern w:val="0"/>
                <w:sz w:val="15"/>
                <w:szCs w:val="15"/>
              </w:rPr>
            </w:pPr>
          </w:p>
        </w:tc>
        <w:tc>
          <w:tcPr>
            <w:tcW w:w="894" w:type="pct"/>
            <w:vMerge w:val="continue"/>
            <w:tcBorders>
              <w:left w:val="single" w:color="auto" w:sz="4" w:space="0"/>
              <w:right w:val="single" w:color="auto" w:sz="4" w:space="0"/>
            </w:tcBorders>
            <w:shd w:val="clear" w:color="auto" w:fill="auto"/>
            <w:vAlign w:val="center"/>
          </w:tcPr>
          <w:p w14:paraId="407F9B40">
            <w:pPr>
              <w:widowControl/>
              <w:jc w:val="center"/>
              <w:rPr>
                <w:rFonts w:ascii="宋体" w:hAnsi="宋体" w:cs="宋体"/>
                <w:color w:val="000000"/>
                <w:kern w:val="0"/>
                <w:sz w:val="15"/>
                <w:szCs w:val="15"/>
              </w:rPr>
            </w:pPr>
          </w:p>
        </w:tc>
        <w:tc>
          <w:tcPr>
            <w:tcW w:w="430" w:type="pct"/>
            <w:tcBorders>
              <w:top w:val="nil"/>
              <w:left w:val="single" w:color="auto" w:sz="4" w:space="0"/>
              <w:bottom w:val="single" w:color="auto" w:sz="4" w:space="0"/>
              <w:right w:val="single" w:color="auto" w:sz="4" w:space="0"/>
            </w:tcBorders>
            <w:shd w:val="clear" w:color="auto" w:fill="auto"/>
            <w:vAlign w:val="center"/>
          </w:tcPr>
          <w:p w14:paraId="0A89FAC2">
            <w:pPr>
              <w:widowControl/>
              <w:jc w:val="center"/>
              <w:textAlignment w:val="center"/>
              <w:rPr>
                <w:rFonts w:hint="default" w:ascii="宋体" w:hAnsi="宋体" w:eastAsia="宋体" w:cs="宋体"/>
                <w:color w:val="000000"/>
                <w:kern w:val="0"/>
                <w:sz w:val="15"/>
                <w:szCs w:val="15"/>
                <w:lang w:val="en-US" w:eastAsia="zh-CN"/>
              </w:rPr>
            </w:pPr>
            <w:r>
              <w:rPr>
                <w:rFonts w:hint="eastAsia" w:ascii="宋体" w:hAnsi="宋体" w:cs="宋体"/>
                <w:color w:val="000000"/>
                <w:kern w:val="0"/>
                <w:sz w:val="15"/>
                <w:szCs w:val="15"/>
                <w:lang w:val="en-US" w:eastAsia="zh-CN"/>
              </w:rPr>
              <w:t>3800</w:t>
            </w:r>
          </w:p>
        </w:tc>
        <w:tc>
          <w:tcPr>
            <w:tcW w:w="430" w:type="pct"/>
            <w:tcBorders>
              <w:top w:val="nil"/>
              <w:left w:val="nil"/>
              <w:bottom w:val="single" w:color="auto" w:sz="4" w:space="0"/>
              <w:right w:val="single" w:color="auto" w:sz="4" w:space="0"/>
            </w:tcBorders>
            <w:shd w:val="clear" w:color="auto" w:fill="auto"/>
            <w:vAlign w:val="center"/>
          </w:tcPr>
          <w:p w14:paraId="535C5F44">
            <w:pPr>
              <w:widowControl/>
              <w:jc w:val="center"/>
              <w:rPr>
                <w:color w:val="000000"/>
                <w:sz w:val="15"/>
                <w:szCs w:val="15"/>
              </w:rPr>
            </w:pPr>
            <w:r>
              <w:rPr>
                <w:rFonts w:hint="eastAsia"/>
                <w:color w:val="000000"/>
                <w:sz w:val="15"/>
                <w:szCs w:val="15"/>
              </w:rPr>
              <w:t>m3</w:t>
            </w:r>
          </w:p>
        </w:tc>
        <w:tc>
          <w:tcPr>
            <w:tcW w:w="430" w:type="pct"/>
            <w:vMerge w:val="continue"/>
            <w:tcBorders>
              <w:left w:val="single" w:color="auto" w:sz="4" w:space="0"/>
              <w:right w:val="single" w:color="auto" w:sz="4" w:space="0"/>
            </w:tcBorders>
            <w:shd w:val="clear" w:color="auto" w:fill="auto"/>
            <w:vAlign w:val="center"/>
          </w:tcPr>
          <w:p w14:paraId="70EB2287">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31CC0DA2">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5361E61A">
            <w:pPr>
              <w:widowControl/>
              <w:jc w:val="center"/>
              <w:rPr>
                <w:rFonts w:ascii="宋体" w:hAnsi="宋体" w:cs="宋体"/>
                <w:color w:val="000000"/>
                <w:kern w:val="0"/>
                <w:sz w:val="15"/>
                <w:szCs w:val="15"/>
              </w:rPr>
            </w:pPr>
          </w:p>
        </w:tc>
        <w:tc>
          <w:tcPr>
            <w:tcW w:w="389" w:type="pct"/>
            <w:vMerge w:val="continue"/>
            <w:tcBorders>
              <w:left w:val="single" w:color="auto" w:sz="4" w:space="0"/>
              <w:right w:val="single" w:color="auto" w:sz="4" w:space="0"/>
            </w:tcBorders>
            <w:shd w:val="clear" w:color="auto" w:fill="auto"/>
            <w:vAlign w:val="center"/>
          </w:tcPr>
          <w:p w14:paraId="4C004F4C">
            <w:pPr>
              <w:widowControl/>
              <w:jc w:val="center"/>
              <w:rPr>
                <w:rFonts w:ascii="宋体" w:hAnsi="宋体" w:cs="宋体"/>
                <w:color w:val="000000"/>
                <w:kern w:val="0"/>
                <w:sz w:val="15"/>
                <w:szCs w:val="15"/>
              </w:rPr>
            </w:pPr>
          </w:p>
        </w:tc>
      </w:tr>
      <w:tr w14:paraId="0CE8E17E">
        <w:trPr>
          <w:trHeight w:val="363" w:hRule="atLeast"/>
          <w:jc w:val="center"/>
        </w:trPr>
        <w:tc>
          <w:tcPr>
            <w:tcW w:w="273" w:type="pct"/>
            <w:tcBorders>
              <w:top w:val="nil"/>
              <w:left w:val="single" w:color="auto" w:sz="4" w:space="0"/>
              <w:bottom w:val="single" w:color="auto" w:sz="4" w:space="0"/>
              <w:right w:val="single" w:color="auto" w:sz="4" w:space="0"/>
            </w:tcBorders>
            <w:shd w:val="clear" w:color="auto" w:fill="auto"/>
            <w:noWrap/>
            <w:vAlign w:val="center"/>
          </w:tcPr>
          <w:p w14:paraId="40426BE2">
            <w:pPr>
              <w:widowControl/>
              <w:jc w:val="center"/>
              <w:rPr>
                <w:rFonts w:ascii="宋体" w:hAnsi="宋体" w:cs="宋体"/>
                <w:color w:val="000000"/>
                <w:kern w:val="0"/>
                <w:sz w:val="15"/>
                <w:szCs w:val="15"/>
              </w:rPr>
            </w:pPr>
            <w:r>
              <w:rPr>
                <w:rFonts w:hint="eastAsia" w:ascii="宋体" w:hAnsi="宋体" w:cs="宋体"/>
                <w:color w:val="000000"/>
                <w:kern w:val="0"/>
                <w:sz w:val="15"/>
                <w:szCs w:val="15"/>
              </w:rPr>
              <w:t>4</w:t>
            </w:r>
          </w:p>
        </w:tc>
        <w:tc>
          <w:tcPr>
            <w:tcW w:w="413" w:type="pct"/>
            <w:tcBorders>
              <w:top w:val="nil"/>
              <w:left w:val="single" w:color="auto" w:sz="4" w:space="0"/>
              <w:bottom w:val="single" w:color="auto" w:sz="4" w:space="0"/>
              <w:right w:val="single" w:color="auto" w:sz="4" w:space="0"/>
            </w:tcBorders>
            <w:shd w:val="clear" w:color="auto" w:fill="auto"/>
            <w:vAlign w:val="center"/>
          </w:tcPr>
          <w:p w14:paraId="5017D143">
            <w:pPr>
              <w:widowControl/>
              <w:jc w:val="center"/>
              <w:rPr>
                <w:rFonts w:ascii="宋体" w:hAnsi="宋体" w:cs="宋体"/>
                <w:color w:val="000000"/>
                <w:kern w:val="0"/>
                <w:sz w:val="15"/>
                <w:szCs w:val="15"/>
              </w:rPr>
            </w:pPr>
            <w:r>
              <w:rPr>
                <w:rFonts w:hint="eastAsia"/>
                <w:color w:val="000000"/>
                <w:sz w:val="15"/>
                <w:szCs w:val="15"/>
              </w:rPr>
              <w:t>商品混凝土</w:t>
            </w:r>
          </w:p>
        </w:tc>
        <w:tc>
          <w:tcPr>
            <w:tcW w:w="449" w:type="pct"/>
            <w:tcBorders>
              <w:top w:val="nil"/>
              <w:left w:val="nil"/>
              <w:bottom w:val="single" w:color="auto" w:sz="4" w:space="0"/>
              <w:right w:val="single" w:color="auto" w:sz="4" w:space="0"/>
            </w:tcBorders>
            <w:shd w:val="clear" w:color="auto" w:fill="auto"/>
            <w:vAlign w:val="center"/>
          </w:tcPr>
          <w:p w14:paraId="48834672">
            <w:pPr>
              <w:widowControl/>
              <w:jc w:val="center"/>
              <w:textAlignment w:val="center"/>
              <w:rPr>
                <w:color w:val="000000"/>
                <w:sz w:val="15"/>
                <w:szCs w:val="15"/>
              </w:rPr>
            </w:pPr>
            <w:r>
              <w:rPr>
                <w:rFonts w:hint="eastAsia" w:ascii="宋体" w:hAnsi="宋体" w:cs="宋体"/>
                <w:color w:val="000000"/>
                <w:kern w:val="0"/>
                <w:sz w:val="15"/>
                <w:szCs w:val="15"/>
              </w:rPr>
              <w:t>C35</w:t>
            </w:r>
          </w:p>
        </w:tc>
        <w:tc>
          <w:tcPr>
            <w:tcW w:w="429" w:type="pct"/>
            <w:vMerge w:val="continue"/>
            <w:tcBorders>
              <w:left w:val="single" w:color="auto" w:sz="4" w:space="0"/>
              <w:right w:val="single" w:color="auto" w:sz="4" w:space="0"/>
            </w:tcBorders>
            <w:shd w:val="clear" w:color="auto" w:fill="auto"/>
            <w:vAlign w:val="center"/>
          </w:tcPr>
          <w:p w14:paraId="6B63A9E8">
            <w:pPr>
              <w:widowControl/>
              <w:jc w:val="center"/>
              <w:rPr>
                <w:rFonts w:ascii="宋体" w:hAnsi="宋体" w:cs="宋体"/>
                <w:color w:val="000000"/>
                <w:kern w:val="0"/>
                <w:sz w:val="15"/>
                <w:szCs w:val="15"/>
              </w:rPr>
            </w:pPr>
          </w:p>
        </w:tc>
        <w:tc>
          <w:tcPr>
            <w:tcW w:w="894" w:type="pct"/>
            <w:vMerge w:val="continue"/>
            <w:tcBorders>
              <w:left w:val="single" w:color="auto" w:sz="4" w:space="0"/>
              <w:right w:val="single" w:color="auto" w:sz="4" w:space="0"/>
            </w:tcBorders>
            <w:shd w:val="clear" w:color="auto" w:fill="auto"/>
            <w:vAlign w:val="center"/>
          </w:tcPr>
          <w:p w14:paraId="26AA92CC">
            <w:pPr>
              <w:widowControl/>
              <w:jc w:val="center"/>
              <w:rPr>
                <w:rFonts w:ascii="宋体" w:hAnsi="宋体" w:cs="宋体"/>
                <w:color w:val="000000"/>
                <w:kern w:val="0"/>
                <w:sz w:val="15"/>
                <w:szCs w:val="15"/>
              </w:rPr>
            </w:pPr>
          </w:p>
        </w:tc>
        <w:tc>
          <w:tcPr>
            <w:tcW w:w="430" w:type="pct"/>
            <w:tcBorders>
              <w:top w:val="nil"/>
              <w:left w:val="single" w:color="auto" w:sz="4" w:space="0"/>
              <w:bottom w:val="single" w:color="auto" w:sz="4" w:space="0"/>
              <w:right w:val="single" w:color="auto" w:sz="4" w:space="0"/>
            </w:tcBorders>
            <w:shd w:val="clear" w:color="auto" w:fill="auto"/>
            <w:vAlign w:val="center"/>
          </w:tcPr>
          <w:p w14:paraId="5EB3337B">
            <w:pPr>
              <w:widowControl/>
              <w:jc w:val="center"/>
              <w:textAlignment w:val="center"/>
              <w:rPr>
                <w:rFonts w:hint="default" w:ascii="宋体" w:hAnsi="宋体" w:eastAsia="宋体" w:cs="宋体"/>
                <w:color w:val="000000"/>
                <w:kern w:val="0"/>
                <w:sz w:val="15"/>
                <w:szCs w:val="15"/>
                <w:lang w:val="en-US" w:eastAsia="zh-CN"/>
              </w:rPr>
            </w:pPr>
            <w:r>
              <w:rPr>
                <w:rFonts w:hint="eastAsia" w:ascii="宋体" w:hAnsi="宋体" w:cs="宋体"/>
                <w:color w:val="000000"/>
                <w:kern w:val="0"/>
                <w:sz w:val="15"/>
                <w:szCs w:val="15"/>
                <w:lang w:val="en-US" w:eastAsia="zh-CN"/>
              </w:rPr>
              <w:t>18000</w:t>
            </w:r>
          </w:p>
        </w:tc>
        <w:tc>
          <w:tcPr>
            <w:tcW w:w="430" w:type="pct"/>
            <w:tcBorders>
              <w:top w:val="nil"/>
              <w:left w:val="nil"/>
              <w:bottom w:val="single" w:color="auto" w:sz="4" w:space="0"/>
              <w:right w:val="single" w:color="auto" w:sz="4" w:space="0"/>
            </w:tcBorders>
            <w:shd w:val="clear" w:color="auto" w:fill="auto"/>
            <w:vAlign w:val="center"/>
          </w:tcPr>
          <w:p w14:paraId="08F7D30F">
            <w:pPr>
              <w:widowControl/>
              <w:jc w:val="center"/>
              <w:rPr>
                <w:color w:val="000000"/>
                <w:sz w:val="15"/>
                <w:szCs w:val="15"/>
              </w:rPr>
            </w:pPr>
            <w:r>
              <w:rPr>
                <w:rFonts w:hint="eastAsia"/>
                <w:color w:val="000000"/>
                <w:sz w:val="15"/>
                <w:szCs w:val="15"/>
              </w:rPr>
              <w:t>m3</w:t>
            </w:r>
          </w:p>
        </w:tc>
        <w:tc>
          <w:tcPr>
            <w:tcW w:w="430" w:type="pct"/>
            <w:vMerge w:val="continue"/>
            <w:tcBorders>
              <w:left w:val="single" w:color="auto" w:sz="4" w:space="0"/>
              <w:right w:val="single" w:color="auto" w:sz="4" w:space="0"/>
            </w:tcBorders>
            <w:shd w:val="clear" w:color="auto" w:fill="auto"/>
            <w:vAlign w:val="center"/>
          </w:tcPr>
          <w:p w14:paraId="577A09C8">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71FB294B">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74C04CBA">
            <w:pPr>
              <w:widowControl/>
              <w:jc w:val="center"/>
              <w:rPr>
                <w:rFonts w:ascii="宋体" w:hAnsi="宋体" w:cs="宋体"/>
                <w:color w:val="000000"/>
                <w:kern w:val="0"/>
                <w:sz w:val="15"/>
                <w:szCs w:val="15"/>
              </w:rPr>
            </w:pPr>
          </w:p>
        </w:tc>
        <w:tc>
          <w:tcPr>
            <w:tcW w:w="389" w:type="pct"/>
            <w:vMerge w:val="continue"/>
            <w:tcBorders>
              <w:left w:val="single" w:color="auto" w:sz="4" w:space="0"/>
              <w:right w:val="single" w:color="auto" w:sz="4" w:space="0"/>
            </w:tcBorders>
            <w:shd w:val="clear" w:color="auto" w:fill="auto"/>
            <w:vAlign w:val="center"/>
          </w:tcPr>
          <w:p w14:paraId="66CDFB77">
            <w:pPr>
              <w:widowControl/>
              <w:jc w:val="center"/>
              <w:rPr>
                <w:rFonts w:ascii="宋体" w:hAnsi="宋体" w:cs="宋体"/>
                <w:color w:val="000000"/>
                <w:kern w:val="0"/>
                <w:sz w:val="15"/>
                <w:szCs w:val="15"/>
              </w:rPr>
            </w:pPr>
          </w:p>
        </w:tc>
      </w:tr>
      <w:tr w14:paraId="22100C5C">
        <w:tblPrEx>
          <w:tblCellMar>
            <w:top w:w="0" w:type="dxa"/>
            <w:left w:w="108" w:type="dxa"/>
            <w:bottom w:w="0" w:type="dxa"/>
            <w:right w:w="108" w:type="dxa"/>
          </w:tblCellMar>
        </w:tblPrEx>
        <w:trPr>
          <w:trHeight w:val="363" w:hRule="atLeast"/>
          <w:jc w:val="center"/>
        </w:trPr>
        <w:tc>
          <w:tcPr>
            <w:tcW w:w="273" w:type="pct"/>
            <w:tcBorders>
              <w:top w:val="nil"/>
              <w:left w:val="single" w:color="auto" w:sz="4" w:space="0"/>
              <w:bottom w:val="single" w:color="auto" w:sz="4" w:space="0"/>
              <w:right w:val="single" w:color="auto" w:sz="4" w:space="0"/>
            </w:tcBorders>
            <w:shd w:val="clear" w:color="auto" w:fill="auto"/>
            <w:noWrap/>
            <w:vAlign w:val="center"/>
          </w:tcPr>
          <w:p w14:paraId="59F3F806">
            <w:pPr>
              <w:widowControl/>
              <w:jc w:val="center"/>
              <w:rPr>
                <w:rFonts w:ascii="宋体" w:hAnsi="宋体" w:cs="宋体"/>
                <w:color w:val="000000"/>
                <w:kern w:val="0"/>
                <w:sz w:val="15"/>
                <w:szCs w:val="15"/>
              </w:rPr>
            </w:pPr>
            <w:r>
              <w:rPr>
                <w:rFonts w:hint="eastAsia" w:ascii="宋体" w:hAnsi="宋体" w:cs="宋体"/>
                <w:color w:val="000000"/>
                <w:kern w:val="0"/>
                <w:sz w:val="15"/>
                <w:szCs w:val="15"/>
              </w:rPr>
              <w:t>5</w:t>
            </w:r>
          </w:p>
        </w:tc>
        <w:tc>
          <w:tcPr>
            <w:tcW w:w="413" w:type="pct"/>
            <w:tcBorders>
              <w:top w:val="nil"/>
              <w:left w:val="single" w:color="auto" w:sz="4" w:space="0"/>
              <w:bottom w:val="single" w:color="auto" w:sz="4" w:space="0"/>
              <w:right w:val="single" w:color="auto" w:sz="4" w:space="0"/>
            </w:tcBorders>
            <w:shd w:val="clear" w:color="auto" w:fill="auto"/>
            <w:vAlign w:val="center"/>
          </w:tcPr>
          <w:p w14:paraId="217DD758">
            <w:pPr>
              <w:widowControl/>
              <w:jc w:val="center"/>
              <w:rPr>
                <w:rFonts w:ascii="宋体" w:hAnsi="宋体" w:cs="宋体"/>
                <w:color w:val="000000"/>
                <w:kern w:val="0"/>
                <w:sz w:val="15"/>
                <w:szCs w:val="15"/>
              </w:rPr>
            </w:pPr>
            <w:r>
              <w:rPr>
                <w:rFonts w:hint="eastAsia"/>
                <w:color w:val="000000"/>
                <w:sz w:val="15"/>
                <w:szCs w:val="15"/>
              </w:rPr>
              <w:t>商品混凝土</w:t>
            </w:r>
          </w:p>
        </w:tc>
        <w:tc>
          <w:tcPr>
            <w:tcW w:w="449" w:type="pct"/>
            <w:tcBorders>
              <w:top w:val="nil"/>
              <w:left w:val="nil"/>
              <w:bottom w:val="single" w:color="auto" w:sz="4" w:space="0"/>
              <w:right w:val="single" w:color="auto" w:sz="4" w:space="0"/>
            </w:tcBorders>
            <w:shd w:val="clear" w:color="auto" w:fill="auto"/>
            <w:vAlign w:val="center"/>
          </w:tcPr>
          <w:p w14:paraId="084354B9">
            <w:pPr>
              <w:widowControl/>
              <w:jc w:val="center"/>
              <w:textAlignment w:val="center"/>
              <w:rPr>
                <w:color w:val="000000"/>
                <w:sz w:val="15"/>
                <w:szCs w:val="15"/>
              </w:rPr>
            </w:pPr>
            <w:r>
              <w:rPr>
                <w:rFonts w:hint="eastAsia" w:ascii="宋体" w:hAnsi="宋体" w:cs="宋体"/>
                <w:color w:val="000000"/>
                <w:kern w:val="0"/>
                <w:sz w:val="15"/>
                <w:szCs w:val="15"/>
              </w:rPr>
              <w:t>C40</w:t>
            </w:r>
          </w:p>
        </w:tc>
        <w:tc>
          <w:tcPr>
            <w:tcW w:w="429" w:type="pct"/>
            <w:vMerge w:val="continue"/>
            <w:tcBorders>
              <w:left w:val="single" w:color="auto" w:sz="4" w:space="0"/>
              <w:right w:val="single" w:color="auto" w:sz="4" w:space="0"/>
            </w:tcBorders>
            <w:shd w:val="clear" w:color="auto" w:fill="auto"/>
            <w:vAlign w:val="center"/>
          </w:tcPr>
          <w:p w14:paraId="64AC8EDC">
            <w:pPr>
              <w:widowControl/>
              <w:jc w:val="center"/>
              <w:rPr>
                <w:rFonts w:ascii="宋体" w:hAnsi="宋体" w:cs="宋体"/>
                <w:color w:val="000000"/>
                <w:kern w:val="0"/>
                <w:sz w:val="15"/>
                <w:szCs w:val="15"/>
              </w:rPr>
            </w:pPr>
          </w:p>
        </w:tc>
        <w:tc>
          <w:tcPr>
            <w:tcW w:w="894" w:type="pct"/>
            <w:vMerge w:val="continue"/>
            <w:tcBorders>
              <w:left w:val="single" w:color="auto" w:sz="4" w:space="0"/>
              <w:right w:val="single" w:color="auto" w:sz="4" w:space="0"/>
            </w:tcBorders>
            <w:shd w:val="clear" w:color="auto" w:fill="auto"/>
            <w:vAlign w:val="center"/>
          </w:tcPr>
          <w:p w14:paraId="3C7532AE">
            <w:pPr>
              <w:widowControl/>
              <w:jc w:val="center"/>
              <w:rPr>
                <w:rFonts w:ascii="宋体" w:hAnsi="宋体" w:cs="宋体"/>
                <w:color w:val="000000"/>
                <w:kern w:val="0"/>
                <w:sz w:val="15"/>
                <w:szCs w:val="15"/>
              </w:rPr>
            </w:pPr>
          </w:p>
        </w:tc>
        <w:tc>
          <w:tcPr>
            <w:tcW w:w="430" w:type="pct"/>
            <w:tcBorders>
              <w:top w:val="nil"/>
              <w:left w:val="single" w:color="auto" w:sz="4" w:space="0"/>
              <w:bottom w:val="single" w:color="auto" w:sz="4" w:space="0"/>
              <w:right w:val="single" w:color="auto" w:sz="4" w:space="0"/>
            </w:tcBorders>
            <w:shd w:val="clear" w:color="auto" w:fill="auto"/>
            <w:vAlign w:val="center"/>
          </w:tcPr>
          <w:p w14:paraId="21B28AD1">
            <w:pPr>
              <w:widowControl/>
              <w:jc w:val="center"/>
              <w:textAlignment w:val="center"/>
              <w:rPr>
                <w:rFonts w:hint="default" w:ascii="宋体" w:hAnsi="宋体" w:eastAsia="宋体" w:cs="宋体"/>
                <w:color w:val="000000"/>
                <w:kern w:val="0"/>
                <w:sz w:val="15"/>
                <w:szCs w:val="15"/>
                <w:lang w:val="en-US" w:eastAsia="zh-CN"/>
              </w:rPr>
            </w:pPr>
            <w:r>
              <w:rPr>
                <w:rFonts w:hint="eastAsia" w:ascii="宋体" w:hAnsi="宋体" w:cs="宋体"/>
                <w:color w:val="000000"/>
                <w:kern w:val="0"/>
                <w:sz w:val="15"/>
                <w:szCs w:val="15"/>
                <w:lang w:val="en-US" w:eastAsia="zh-CN"/>
              </w:rPr>
              <w:t>450</w:t>
            </w:r>
          </w:p>
        </w:tc>
        <w:tc>
          <w:tcPr>
            <w:tcW w:w="430" w:type="pct"/>
            <w:tcBorders>
              <w:top w:val="nil"/>
              <w:left w:val="nil"/>
              <w:bottom w:val="single" w:color="auto" w:sz="4" w:space="0"/>
              <w:right w:val="single" w:color="auto" w:sz="4" w:space="0"/>
            </w:tcBorders>
            <w:shd w:val="clear" w:color="auto" w:fill="auto"/>
            <w:vAlign w:val="center"/>
          </w:tcPr>
          <w:p w14:paraId="7EE735D5">
            <w:pPr>
              <w:widowControl/>
              <w:jc w:val="center"/>
              <w:rPr>
                <w:color w:val="000000"/>
                <w:sz w:val="15"/>
                <w:szCs w:val="15"/>
              </w:rPr>
            </w:pPr>
            <w:r>
              <w:rPr>
                <w:rFonts w:hint="eastAsia"/>
                <w:color w:val="000000"/>
                <w:sz w:val="15"/>
                <w:szCs w:val="15"/>
              </w:rPr>
              <w:t>m3</w:t>
            </w:r>
          </w:p>
        </w:tc>
        <w:tc>
          <w:tcPr>
            <w:tcW w:w="430" w:type="pct"/>
            <w:vMerge w:val="continue"/>
            <w:tcBorders>
              <w:left w:val="single" w:color="auto" w:sz="4" w:space="0"/>
              <w:right w:val="single" w:color="auto" w:sz="4" w:space="0"/>
            </w:tcBorders>
            <w:shd w:val="clear" w:color="auto" w:fill="auto"/>
            <w:vAlign w:val="center"/>
          </w:tcPr>
          <w:p w14:paraId="219D6ECD">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656818CB">
            <w:pPr>
              <w:widowControl/>
              <w:jc w:val="center"/>
              <w:rPr>
                <w:rFonts w:ascii="宋体" w:hAnsi="宋体" w:cs="宋体"/>
                <w:color w:val="000000"/>
                <w:kern w:val="0"/>
                <w:sz w:val="15"/>
                <w:szCs w:val="15"/>
              </w:rPr>
            </w:pPr>
          </w:p>
        </w:tc>
        <w:tc>
          <w:tcPr>
            <w:tcW w:w="430" w:type="pct"/>
            <w:vMerge w:val="continue"/>
            <w:tcBorders>
              <w:left w:val="single" w:color="auto" w:sz="4" w:space="0"/>
              <w:right w:val="single" w:color="auto" w:sz="4" w:space="0"/>
            </w:tcBorders>
            <w:shd w:val="clear" w:color="auto" w:fill="auto"/>
            <w:vAlign w:val="center"/>
          </w:tcPr>
          <w:p w14:paraId="07D77BDB">
            <w:pPr>
              <w:widowControl/>
              <w:jc w:val="center"/>
              <w:rPr>
                <w:rFonts w:ascii="宋体" w:hAnsi="宋体" w:cs="宋体"/>
                <w:color w:val="000000"/>
                <w:kern w:val="0"/>
                <w:sz w:val="15"/>
                <w:szCs w:val="15"/>
              </w:rPr>
            </w:pPr>
          </w:p>
        </w:tc>
        <w:tc>
          <w:tcPr>
            <w:tcW w:w="389" w:type="pct"/>
            <w:vMerge w:val="continue"/>
            <w:tcBorders>
              <w:left w:val="single" w:color="auto" w:sz="4" w:space="0"/>
              <w:right w:val="single" w:color="auto" w:sz="4" w:space="0"/>
            </w:tcBorders>
            <w:shd w:val="clear" w:color="auto" w:fill="auto"/>
            <w:vAlign w:val="center"/>
          </w:tcPr>
          <w:p w14:paraId="0AC5AA1B">
            <w:pPr>
              <w:widowControl/>
              <w:jc w:val="center"/>
              <w:rPr>
                <w:rFonts w:ascii="宋体" w:hAnsi="宋体" w:cs="宋体"/>
                <w:color w:val="000000"/>
                <w:kern w:val="0"/>
                <w:sz w:val="15"/>
                <w:szCs w:val="15"/>
              </w:rPr>
            </w:pPr>
          </w:p>
        </w:tc>
      </w:tr>
      <w:tr w14:paraId="741E5750">
        <w:tblPrEx>
          <w:tblCellMar>
            <w:top w:w="0" w:type="dxa"/>
            <w:left w:w="108" w:type="dxa"/>
            <w:bottom w:w="0" w:type="dxa"/>
            <w:right w:w="108" w:type="dxa"/>
          </w:tblCellMar>
        </w:tblPrEx>
        <w:trPr>
          <w:trHeight w:val="363" w:hRule="atLeast"/>
          <w:jc w:val="center"/>
        </w:trPr>
        <w:tc>
          <w:tcPr>
            <w:tcW w:w="273" w:type="pct"/>
            <w:tcBorders>
              <w:top w:val="nil"/>
              <w:left w:val="single" w:color="auto" w:sz="4" w:space="0"/>
              <w:bottom w:val="single" w:color="auto" w:sz="4" w:space="0"/>
              <w:right w:val="single" w:color="auto" w:sz="4" w:space="0"/>
            </w:tcBorders>
            <w:shd w:val="clear" w:color="auto" w:fill="auto"/>
            <w:noWrap/>
            <w:vAlign w:val="center"/>
          </w:tcPr>
          <w:p w14:paraId="252BB087">
            <w:pPr>
              <w:widowControl/>
              <w:jc w:val="center"/>
              <w:rPr>
                <w:rFonts w:hint="eastAsia" w:ascii="宋体" w:hAnsi="宋体" w:eastAsia="宋体" w:cs="宋体"/>
                <w:color w:val="000000"/>
                <w:kern w:val="0"/>
                <w:sz w:val="15"/>
                <w:szCs w:val="15"/>
                <w:lang w:eastAsia="zh-CN"/>
              </w:rPr>
            </w:pPr>
            <w:r>
              <w:rPr>
                <w:rFonts w:hint="eastAsia" w:ascii="宋体" w:hAnsi="宋体" w:cs="宋体"/>
                <w:color w:val="000000"/>
                <w:kern w:val="0"/>
                <w:sz w:val="15"/>
                <w:szCs w:val="15"/>
                <w:lang w:val="en-US" w:eastAsia="zh-CN"/>
              </w:rPr>
              <w:t>6</w:t>
            </w:r>
          </w:p>
        </w:tc>
        <w:tc>
          <w:tcPr>
            <w:tcW w:w="413" w:type="pct"/>
            <w:tcBorders>
              <w:top w:val="nil"/>
              <w:left w:val="single" w:color="auto" w:sz="4" w:space="0"/>
              <w:bottom w:val="single" w:color="auto" w:sz="4" w:space="0"/>
              <w:right w:val="single" w:color="auto" w:sz="4" w:space="0"/>
            </w:tcBorders>
            <w:shd w:val="clear" w:color="auto" w:fill="auto"/>
            <w:vAlign w:val="center"/>
          </w:tcPr>
          <w:p w14:paraId="2EC0BB55">
            <w:pPr>
              <w:widowControl/>
              <w:jc w:val="center"/>
              <w:rPr>
                <w:rFonts w:ascii="宋体" w:hAnsi="宋体" w:cs="宋体"/>
                <w:color w:val="000000"/>
                <w:kern w:val="0"/>
                <w:sz w:val="15"/>
                <w:szCs w:val="15"/>
              </w:rPr>
            </w:pPr>
            <w:r>
              <w:rPr>
                <w:rFonts w:hint="eastAsia"/>
                <w:color w:val="000000"/>
                <w:sz w:val="15"/>
                <w:szCs w:val="15"/>
              </w:rPr>
              <w:t>商品混凝土</w:t>
            </w:r>
          </w:p>
        </w:tc>
        <w:tc>
          <w:tcPr>
            <w:tcW w:w="449" w:type="pct"/>
            <w:tcBorders>
              <w:top w:val="nil"/>
              <w:left w:val="nil"/>
              <w:bottom w:val="single" w:color="auto" w:sz="4" w:space="0"/>
              <w:right w:val="single" w:color="auto" w:sz="4" w:space="0"/>
            </w:tcBorders>
            <w:shd w:val="clear" w:color="auto" w:fill="auto"/>
            <w:vAlign w:val="center"/>
          </w:tcPr>
          <w:p w14:paraId="27060A33">
            <w:pPr>
              <w:widowControl/>
              <w:jc w:val="center"/>
              <w:textAlignment w:val="center"/>
              <w:rPr>
                <w:color w:val="000000"/>
                <w:sz w:val="15"/>
                <w:szCs w:val="15"/>
              </w:rPr>
            </w:pPr>
            <w:r>
              <w:rPr>
                <w:rFonts w:hint="eastAsia" w:ascii="宋体" w:hAnsi="宋体" w:cs="宋体"/>
                <w:color w:val="000000"/>
                <w:kern w:val="0"/>
                <w:sz w:val="15"/>
                <w:szCs w:val="15"/>
              </w:rPr>
              <w:t>C50</w:t>
            </w:r>
          </w:p>
        </w:tc>
        <w:tc>
          <w:tcPr>
            <w:tcW w:w="429" w:type="pct"/>
            <w:vMerge w:val="continue"/>
            <w:tcBorders>
              <w:left w:val="single" w:color="auto" w:sz="4" w:space="0"/>
              <w:right w:val="single" w:color="auto" w:sz="4" w:space="0"/>
            </w:tcBorders>
            <w:vAlign w:val="center"/>
          </w:tcPr>
          <w:p w14:paraId="3DA17ADF">
            <w:pPr>
              <w:widowControl/>
              <w:jc w:val="left"/>
              <w:rPr>
                <w:rFonts w:ascii="宋体" w:hAnsi="宋体" w:cs="宋体"/>
                <w:color w:val="000000"/>
                <w:kern w:val="0"/>
                <w:sz w:val="15"/>
                <w:szCs w:val="15"/>
              </w:rPr>
            </w:pPr>
          </w:p>
        </w:tc>
        <w:tc>
          <w:tcPr>
            <w:tcW w:w="894" w:type="pct"/>
            <w:vMerge w:val="continue"/>
            <w:tcBorders>
              <w:left w:val="single" w:color="auto" w:sz="4" w:space="0"/>
              <w:right w:val="single" w:color="auto" w:sz="4" w:space="0"/>
            </w:tcBorders>
            <w:vAlign w:val="center"/>
          </w:tcPr>
          <w:p w14:paraId="6006318E">
            <w:pPr>
              <w:widowControl/>
              <w:jc w:val="left"/>
              <w:rPr>
                <w:rFonts w:ascii="宋体" w:hAnsi="宋体" w:cs="宋体"/>
                <w:color w:val="000000"/>
                <w:kern w:val="0"/>
                <w:sz w:val="15"/>
                <w:szCs w:val="15"/>
              </w:rPr>
            </w:pPr>
          </w:p>
        </w:tc>
        <w:tc>
          <w:tcPr>
            <w:tcW w:w="430" w:type="pct"/>
            <w:tcBorders>
              <w:top w:val="nil"/>
              <w:left w:val="single" w:color="auto" w:sz="4" w:space="0"/>
              <w:bottom w:val="single" w:color="auto" w:sz="4" w:space="0"/>
              <w:right w:val="single" w:color="auto" w:sz="4" w:space="0"/>
            </w:tcBorders>
            <w:shd w:val="clear" w:color="auto" w:fill="auto"/>
            <w:vAlign w:val="center"/>
          </w:tcPr>
          <w:p w14:paraId="48623053">
            <w:pPr>
              <w:widowControl/>
              <w:jc w:val="center"/>
              <w:textAlignment w:val="center"/>
              <w:rPr>
                <w:rFonts w:hint="default" w:ascii="宋体" w:hAnsi="宋体" w:eastAsia="宋体" w:cs="宋体"/>
                <w:color w:val="000000"/>
                <w:kern w:val="0"/>
                <w:sz w:val="15"/>
                <w:szCs w:val="15"/>
                <w:lang w:val="en-US" w:eastAsia="zh-CN"/>
              </w:rPr>
            </w:pPr>
            <w:r>
              <w:rPr>
                <w:rFonts w:hint="eastAsia" w:ascii="宋体" w:hAnsi="宋体" w:cs="宋体"/>
                <w:color w:val="000000"/>
                <w:kern w:val="0"/>
                <w:sz w:val="15"/>
                <w:szCs w:val="15"/>
                <w:lang w:val="en-US" w:eastAsia="zh-CN"/>
              </w:rPr>
              <w:t>500</w:t>
            </w:r>
          </w:p>
        </w:tc>
        <w:tc>
          <w:tcPr>
            <w:tcW w:w="430" w:type="pct"/>
            <w:tcBorders>
              <w:top w:val="nil"/>
              <w:left w:val="nil"/>
              <w:bottom w:val="single" w:color="auto" w:sz="4" w:space="0"/>
              <w:right w:val="single" w:color="auto" w:sz="4" w:space="0"/>
            </w:tcBorders>
            <w:shd w:val="clear" w:color="auto" w:fill="auto"/>
            <w:vAlign w:val="center"/>
          </w:tcPr>
          <w:p w14:paraId="2EE9D059">
            <w:pPr>
              <w:widowControl/>
              <w:jc w:val="center"/>
              <w:rPr>
                <w:color w:val="000000"/>
                <w:sz w:val="15"/>
                <w:szCs w:val="15"/>
              </w:rPr>
            </w:pPr>
            <w:r>
              <w:rPr>
                <w:rFonts w:hint="eastAsia"/>
                <w:color w:val="000000"/>
                <w:sz w:val="15"/>
                <w:szCs w:val="15"/>
              </w:rPr>
              <w:t>m3</w:t>
            </w:r>
          </w:p>
        </w:tc>
        <w:tc>
          <w:tcPr>
            <w:tcW w:w="430" w:type="pct"/>
            <w:vMerge w:val="continue"/>
            <w:tcBorders>
              <w:left w:val="single" w:color="auto" w:sz="4" w:space="0"/>
              <w:right w:val="single" w:color="auto" w:sz="4" w:space="0"/>
            </w:tcBorders>
            <w:vAlign w:val="center"/>
          </w:tcPr>
          <w:p w14:paraId="1E4EE749">
            <w:pPr>
              <w:widowControl/>
              <w:jc w:val="left"/>
              <w:rPr>
                <w:rFonts w:ascii="宋体" w:hAnsi="宋体" w:cs="宋体"/>
                <w:color w:val="000000"/>
                <w:kern w:val="0"/>
                <w:sz w:val="15"/>
                <w:szCs w:val="15"/>
              </w:rPr>
            </w:pPr>
          </w:p>
        </w:tc>
        <w:tc>
          <w:tcPr>
            <w:tcW w:w="430" w:type="pct"/>
            <w:vMerge w:val="continue"/>
            <w:tcBorders>
              <w:left w:val="single" w:color="auto" w:sz="4" w:space="0"/>
              <w:right w:val="single" w:color="auto" w:sz="4" w:space="0"/>
            </w:tcBorders>
            <w:vAlign w:val="center"/>
          </w:tcPr>
          <w:p w14:paraId="0BDEAFB6">
            <w:pPr>
              <w:widowControl/>
              <w:jc w:val="left"/>
              <w:rPr>
                <w:rFonts w:ascii="宋体" w:hAnsi="宋体" w:cs="宋体"/>
                <w:color w:val="000000"/>
                <w:kern w:val="0"/>
                <w:sz w:val="15"/>
                <w:szCs w:val="15"/>
              </w:rPr>
            </w:pPr>
          </w:p>
        </w:tc>
        <w:tc>
          <w:tcPr>
            <w:tcW w:w="430" w:type="pct"/>
            <w:vMerge w:val="continue"/>
            <w:tcBorders>
              <w:left w:val="single" w:color="auto" w:sz="4" w:space="0"/>
              <w:right w:val="single" w:color="auto" w:sz="4" w:space="0"/>
            </w:tcBorders>
            <w:vAlign w:val="center"/>
          </w:tcPr>
          <w:p w14:paraId="23ADF3E0">
            <w:pPr>
              <w:widowControl/>
              <w:jc w:val="left"/>
              <w:rPr>
                <w:rFonts w:ascii="宋体" w:hAnsi="宋体" w:cs="宋体"/>
                <w:color w:val="000000"/>
                <w:kern w:val="0"/>
                <w:sz w:val="15"/>
                <w:szCs w:val="15"/>
              </w:rPr>
            </w:pPr>
          </w:p>
        </w:tc>
        <w:tc>
          <w:tcPr>
            <w:tcW w:w="389" w:type="pct"/>
            <w:vMerge w:val="continue"/>
            <w:tcBorders>
              <w:left w:val="single" w:color="auto" w:sz="4" w:space="0"/>
              <w:right w:val="single" w:color="auto" w:sz="4" w:space="0"/>
            </w:tcBorders>
            <w:vAlign w:val="center"/>
          </w:tcPr>
          <w:p w14:paraId="5741148A">
            <w:pPr>
              <w:widowControl/>
              <w:jc w:val="left"/>
              <w:rPr>
                <w:rFonts w:ascii="宋体" w:hAnsi="宋体" w:cs="宋体"/>
                <w:color w:val="000000"/>
                <w:kern w:val="0"/>
                <w:sz w:val="15"/>
                <w:szCs w:val="15"/>
              </w:rPr>
            </w:pPr>
          </w:p>
        </w:tc>
      </w:tr>
      <w:tr w14:paraId="14F85FDE">
        <w:tblPrEx>
          <w:tblCellMar>
            <w:top w:w="0" w:type="dxa"/>
            <w:left w:w="108" w:type="dxa"/>
            <w:bottom w:w="0" w:type="dxa"/>
            <w:right w:w="108" w:type="dxa"/>
          </w:tblCellMar>
        </w:tblPrEx>
        <w:trPr>
          <w:trHeight w:val="363" w:hRule="atLeast"/>
          <w:jc w:val="center"/>
        </w:trPr>
        <w:tc>
          <w:tcPr>
            <w:tcW w:w="113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9F3235">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小计</w:t>
            </w:r>
          </w:p>
        </w:tc>
        <w:tc>
          <w:tcPr>
            <w:tcW w:w="429" w:type="pct"/>
            <w:tcBorders>
              <w:top w:val="nil"/>
              <w:left w:val="nil"/>
              <w:bottom w:val="single" w:color="auto" w:sz="4" w:space="0"/>
              <w:right w:val="single" w:color="auto" w:sz="4" w:space="0"/>
            </w:tcBorders>
            <w:shd w:val="clear" w:color="auto" w:fill="auto"/>
            <w:vAlign w:val="center"/>
          </w:tcPr>
          <w:p w14:paraId="18647CCE">
            <w:pPr>
              <w:widowControl/>
              <w:jc w:val="center"/>
              <w:rPr>
                <w:rFonts w:ascii="宋体" w:hAnsi="宋体" w:cs="宋体"/>
                <w:b/>
                <w:bCs/>
                <w:color w:val="000000"/>
                <w:kern w:val="0"/>
                <w:sz w:val="15"/>
                <w:szCs w:val="15"/>
              </w:rPr>
            </w:pPr>
          </w:p>
        </w:tc>
        <w:tc>
          <w:tcPr>
            <w:tcW w:w="894" w:type="pct"/>
            <w:tcBorders>
              <w:top w:val="nil"/>
              <w:left w:val="nil"/>
              <w:bottom w:val="single" w:color="auto" w:sz="4" w:space="0"/>
              <w:right w:val="single" w:color="auto" w:sz="4" w:space="0"/>
            </w:tcBorders>
            <w:shd w:val="clear" w:color="auto" w:fill="auto"/>
            <w:vAlign w:val="center"/>
          </w:tcPr>
          <w:p w14:paraId="6954EBC5">
            <w:pPr>
              <w:widowControl/>
              <w:jc w:val="center"/>
              <w:rPr>
                <w:rFonts w:ascii="宋体" w:hAnsi="宋体" w:cs="宋体"/>
                <w:b/>
                <w:bCs/>
                <w:color w:val="000000"/>
                <w:kern w:val="0"/>
                <w:sz w:val="15"/>
                <w:szCs w:val="15"/>
              </w:rPr>
            </w:pPr>
          </w:p>
        </w:tc>
        <w:tc>
          <w:tcPr>
            <w:tcW w:w="430" w:type="pct"/>
            <w:tcBorders>
              <w:top w:val="nil"/>
              <w:left w:val="nil"/>
              <w:bottom w:val="single" w:color="auto" w:sz="4" w:space="0"/>
              <w:right w:val="single" w:color="auto" w:sz="4" w:space="0"/>
            </w:tcBorders>
            <w:shd w:val="clear" w:color="auto" w:fill="auto"/>
            <w:vAlign w:val="center"/>
          </w:tcPr>
          <w:p w14:paraId="614F005F">
            <w:pPr>
              <w:widowControl/>
              <w:jc w:val="center"/>
              <w:textAlignment w:val="center"/>
              <w:rPr>
                <w:rFonts w:hint="default" w:ascii="仿宋_GB2312" w:hAnsi="宋体" w:eastAsia="仿宋_GB2312" w:cs="仿宋_GB2312"/>
                <w:b/>
                <w:bCs/>
                <w:color w:val="000000"/>
                <w:sz w:val="16"/>
                <w:szCs w:val="16"/>
                <w:lang w:val="en-US" w:eastAsia="zh-CN"/>
              </w:rPr>
            </w:pPr>
            <w:r>
              <w:rPr>
                <w:rFonts w:hint="eastAsia" w:ascii="仿宋_GB2312" w:hAnsi="宋体" w:eastAsia="仿宋_GB2312" w:cs="仿宋_GB2312"/>
                <w:b/>
                <w:bCs/>
                <w:color w:val="000000"/>
                <w:sz w:val="16"/>
                <w:szCs w:val="16"/>
                <w:lang w:val="en-US" w:eastAsia="zh-CN"/>
              </w:rPr>
              <w:t>26150</w:t>
            </w:r>
          </w:p>
        </w:tc>
        <w:tc>
          <w:tcPr>
            <w:tcW w:w="430" w:type="pct"/>
            <w:tcBorders>
              <w:top w:val="nil"/>
              <w:left w:val="nil"/>
              <w:bottom w:val="single" w:color="auto" w:sz="4" w:space="0"/>
              <w:right w:val="single" w:color="auto" w:sz="4" w:space="0"/>
            </w:tcBorders>
            <w:shd w:val="clear" w:color="auto" w:fill="auto"/>
            <w:vAlign w:val="center"/>
          </w:tcPr>
          <w:p w14:paraId="19810277">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　</w:t>
            </w:r>
          </w:p>
        </w:tc>
        <w:tc>
          <w:tcPr>
            <w:tcW w:w="430" w:type="pct"/>
            <w:tcBorders>
              <w:top w:val="nil"/>
              <w:left w:val="nil"/>
              <w:bottom w:val="single" w:color="auto" w:sz="4" w:space="0"/>
              <w:right w:val="single" w:color="auto" w:sz="4" w:space="0"/>
            </w:tcBorders>
            <w:shd w:val="clear" w:color="auto" w:fill="auto"/>
            <w:vAlign w:val="center"/>
          </w:tcPr>
          <w:p w14:paraId="430EC8A4">
            <w:pPr>
              <w:widowControl/>
              <w:jc w:val="center"/>
              <w:rPr>
                <w:rFonts w:ascii="宋体" w:hAnsi="宋体" w:cs="宋体"/>
                <w:b/>
                <w:bCs/>
                <w:color w:val="000000"/>
                <w:kern w:val="0"/>
                <w:sz w:val="15"/>
                <w:szCs w:val="15"/>
              </w:rPr>
            </w:pPr>
          </w:p>
        </w:tc>
        <w:tc>
          <w:tcPr>
            <w:tcW w:w="430" w:type="pct"/>
            <w:tcBorders>
              <w:top w:val="nil"/>
              <w:left w:val="nil"/>
              <w:bottom w:val="single" w:color="auto" w:sz="4" w:space="0"/>
              <w:right w:val="single" w:color="auto" w:sz="4" w:space="0"/>
            </w:tcBorders>
            <w:shd w:val="clear" w:color="auto" w:fill="auto"/>
            <w:vAlign w:val="center"/>
          </w:tcPr>
          <w:p w14:paraId="410D7CA6">
            <w:pPr>
              <w:widowControl/>
              <w:jc w:val="center"/>
              <w:rPr>
                <w:rFonts w:ascii="宋体" w:hAnsi="宋体" w:cs="宋体"/>
                <w:b/>
                <w:bCs/>
                <w:color w:val="000000"/>
                <w:kern w:val="0"/>
                <w:sz w:val="15"/>
                <w:szCs w:val="15"/>
              </w:rPr>
            </w:pPr>
          </w:p>
        </w:tc>
        <w:tc>
          <w:tcPr>
            <w:tcW w:w="430" w:type="pct"/>
            <w:tcBorders>
              <w:top w:val="nil"/>
              <w:left w:val="nil"/>
              <w:bottom w:val="single" w:color="auto" w:sz="4" w:space="0"/>
              <w:right w:val="single" w:color="auto" w:sz="4" w:space="0"/>
            </w:tcBorders>
            <w:shd w:val="clear" w:color="auto" w:fill="auto"/>
            <w:vAlign w:val="center"/>
          </w:tcPr>
          <w:p w14:paraId="3E7BCD56">
            <w:pPr>
              <w:widowControl/>
              <w:jc w:val="center"/>
              <w:rPr>
                <w:rFonts w:ascii="宋体" w:hAnsi="宋体" w:cs="宋体"/>
                <w:b/>
                <w:bCs/>
                <w:color w:val="000000"/>
                <w:kern w:val="0"/>
                <w:sz w:val="15"/>
                <w:szCs w:val="15"/>
              </w:rPr>
            </w:pPr>
          </w:p>
        </w:tc>
        <w:tc>
          <w:tcPr>
            <w:tcW w:w="389" w:type="pct"/>
            <w:tcBorders>
              <w:top w:val="nil"/>
              <w:left w:val="nil"/>
              <w:bottom w:val="single" w:color="auto" w:sz="4" w:space="0"/>
              <w:right w:val="single" w:color="auto" w:sz="4" w:space="0"/>
            </w:tcBorders>
            <w:shd w:val="clear" w:color="auto" w:fill="auto"/>
            <w:vAlign w:val="center"/>
          </w:tcPr>
          <w:p w14:paraId="5EC26393">
            <w:pPr>
              <w:widowControl/>
              <w:jc w:val="center"/>
              <w:rPr>
                <w:rFonts w:ascii="宋体" w:hAnsi="宋体" w:cs="宋体"/>
                <w:b/>
                <w:bCs/>
                <w:color w:val="000000"/>
                <w:kern w:val="0"/>
                <w:sz w:val="15"/>
                <w:szCs w:val="15"/>
              </w:rPr>
            </w:pPr>
          </w:p>
        </w:tc>
      </w:tr>
      <w:tr w14:paraId="08D3025C">
        <w:tblPrEx>
          <w:tblCellMar>
            <w:top w:w="0" w:type="dxa"/>
            <w:left w:w="108" w:type="dxa"/>
            <w:bottom w:w="0" w:type="dxa"/>
            <w:right w:w="108" w:type="dxa"/>
          </w:tblCellMar>
        </w:tblPrEx>
        <w:trPr>
          <w:trHeight w:val="670" w:hRule="atLeast"/>
          <w:jc w:val="center"/>
        </w:trPr>
        <w:tc>
          <w:tcPr>
            <w:tcW w:w="5000" w:type="pct"/>
            <w:gridSpan w:val="11"/>
            <w:tcBorders>
              <w:top w:val="single" w:color="auto" w:sz="4" w:space="0"/>
              <w:left w:val="single" w:color="auto" w:sz="4" w:space="0"/>
              <w:bottom w:val="single" w:color="auto" w:sz="4" w:space="0"/>
              <w:right w:val="single" w:color="auto" w:sz="4" w:space="0"/>
            </w:tcBorders>
            <w:shd w:val="clear" w:color="auto" w:fill="auto"/>
            <w:vAlign w:val="center"/>
          </w:tcPr>
          <w:p w14:paraId="09E2AC55">
            <w:pPr>
              <w:adjustRightInd w:val="0"/>
              <w:snapToGrid w:val="0"/>
              <w:spacing w:line="360" w:lineRule="auto"/>
              <w:ind w:firstLine="360" w:firstLineChars="200"/>
              <w:jc w:val="left"/>
              <w:rPr>
                <w:rFonts w:hint="eastAsia" w:ascii="宋体" w:hAnsi="宋体" w:cs="宋体"/>
                <w:color w:val="000000"/>
                <w:kern w:val="0"/>
                <w:sz w:val="18"/>
                <w:szCs w:val="18"/>
              </w:rPr>
            </w:pPr>
            <w:r>
              <w:rPr>
                <w:rFonts w:hint="eastAsia" w:ascii="宋体" w:hAnsi="宋体" w:cs="宋体"/>
                <w:color w:val="000000"/>
                <w:kern w:val="0"/>
                <w:sz w:val="18"/>
                <w:szCs w:val="18"/>
              </w:rPr>
              <w:t>以上没有涉及到的混凝土结算价格基础上按以下规则结算：细石或早强混凝土+4.5元/ m3、防冻混凝土+4.5元/m3</w:t>
            </w:r>
            <w:r>
              <w:rPr>
                <w:rFonts w:hint="eastAsia" w:ascii="宋体" w:hAnsi="宋体" w:cs="宋体"/>
                <w:kern w:val="0"/>
                <w:sz w:val="18"/>
                <w:szCs w:val="18"/>
              </w:rPr>
              <w:t>，抗裂纤维混凝土+8元/m3，水下</w:t>
            </w:r>
            <w:r>
              <w:rPr>
                <w:rFonts w:hint="eastAsia" w:ascii="宋体" w:hAnsi="宋体" w:cs="宋体"/>
                <w:color w:val="000000"/>
                <w:kern w:val="0"/>
                <w:sz w:val="18"/>
                <w:szCs w:val="18"/>
              </w:rPr>
              <w:t>混凝土+8元/ m3， P6混凝土+5元/ m3，P8</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lang w:val="en-US" w:eastAsia="zh-CN"/>
              </w:rPr>
              <w:t>P10</w:t>
            </w:r>
            <w:r>
              <w:rPr>
                <w:rFonts w:hint="eastAsia" w:ascii="宋体" w:hAnsi="宋体" w:cs="宋体"/>
                <w:color w:val="000000"/>
                <w:kern w:val="0"/>
                <w:sz w:val="18"/>
                <w:szCs w:val="18"/>
              </w:rPr>
              <w:t>混凝土+8元/ m3，微膨胀混凝土+15元/ m3，抗裂剂+</w:t>
            </w:r>
            <w:r>
              <w:rPr>
                <w:rFonts w:hint="eastAsia" w:ascii="宋体" w:hAnsi="宋体" w:cs="宋体"/>
                <w:color w:val="000000"/>
                <w:kern w:val="0"/>
                <w:sz w:val="18"/>
                <w:szCs w:val="18"/>
                <w:lang w:val="en-US" w:eastAsia="zh-CN"/>
              </w:rPr>
              <w:t>80</w:t>
            </w:r>
            <w:r>
              <w:rPr>
                <w:rFonts w:hint="eastAsia" w:ascii="宋体" w:hAnsi="宋体" w:cs="宋体"/>
                <w:color w:val="000000"/>
                <w:kern w:val="0"/>
                <w:sz w:val="18"/>
                <w:szCs w:val="18"/>
              </w:rPr>
              <w:t>元/ m3</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抗裂剂(膨胀剂，指标为Ⅱ型)，品牌为苏博特，</w:t>
            </w:r>
            <w:r>
              <w:rPr>
                <w:rFonts w:hint="eastAsia" w:ascii="宋体" w:hAnsi="宋体" w:cs="宋体"/>
                <w:color w:val="000000"/>
                <w:kern w:val="0"/>
                <w:sz w:val="18"/>
                <w:szCs w:val="18"/>
                <w:lang w:val="en-US" w:eastAsia="zh-CN"/>
              </w:rPr>
              <w:t>掺量为8%，每立方不得少于32kg</w:t>
            </w:r>
            <w:r>
              <w:rPr>
                <w:rFonts w:hint="eastAsia" w:ascii="宋体" w:hAnsi="宋体" w:cs="宋体"/>
                <w:color w:val="000000"/>
                <w:kern w:val="0"/>
                <w:sz w:val="18"/>
                <w:szCs w:val="18"/>
              </w:rPr>
              <w:t>。</w:t>
            </w:r>
          </w:p>
          <w:p w14:paraId="7E0E8E39">
            <w:pPr>
              <w:widowControl/>
              <w:jc w:val="left"/>
              <w:rPr>
                <w:rFonts w:ascii="宋体" w:hAnsi="宋体" w:cs="宋体"/>
                <w:color w:val="000000"/>
                <w:kern w:val="0"/>
                <w:sz w:val="18"/>
                <w:szCs w:val="18"/>
              </w:rPr>
            </w:pP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柴油地泵混凝土、 ≥36m汽车泵泵送费+15元/ m3；同标号砂浆单价不超过相同标号混凝土；润管砂浆免费；小方量运输不收取费用；(以上附加费单价均含税)。</w:t>
            </w:r>
          </w:p>
        </w:tc>
      </w:tr>
    </w:tbl>
    <w:p w14:paraId="2C4AFB7D">
      <w:pPr>
        <w:rPr>
          <w:rFonts w:ascii="宋体" w:hAnsi="宋体" w:cs="Arial"/>
          <w:kern w:val="0"/>
          <w:sz w:val="18"/>
          <w:szCs w:val="18"/>
        </w:rPr>
      </w:pPr>
      <w:r>
        <w:rPr>
          <w:rFonts w:hint="eastAsia" w:ascii="宋体" w:hAnsi="宋体" w:cs="Arial"/>
          <w:kern w:val="0"/>
          <w:sz w:val="18"/>
          <w:szCs w:val="18"/>
        </w:rPr>
        <w:t>备注：</w:t>
      </w:r>
      <w:r>
        <w:rPr>
          <w:rFonts w:ascii="宋体" w:hAnsi="宋体" w:cs="Arial"/>
          <w:kern w:val="0"/>
          <w:sz w:val="18"/>
          <w:szCs w:val="18"/>
        </w:rPr>
        <w:t>1</w:t>
      </w:r>
      <w:r>
        <w:rPr>
          <w:rFonts w:hint="eastAsia" w:ascii="宋体" w:hAnsi="宋体" w:cs="Arial"/>
          <w:kern w:val="0"/>
          <w:sz w:val="18"/>
          <w:szCs w:val="18"/>
        </w:rPr>
        <w:t>.</w:t>
      </w:r>
      <w:r>
        <w:rPr>
          <w:rFonts w:ascii="宋体" w:hAnsi="宋体" w:cs="Arial"/>
          <w:kern w:val="0"/>
          <w:sz w:val="18"/>
          <w:szCs w:val="18"/>
        </w:rPr>
        <w:t>表中为初步设计规格数量，使用单位可根据施工图对以上规格数量进行调整。</w:t>
      </w:r>
    </w:p>
    <w:p w14:paraId="7B32B0B2">
      <w:pPr>
        <w:ind w:firstLine="509" w:firstLineChars="283"/>
        <w:rPr>
          <w:rFonts w:ascii="宋体" w:hAnsi="宋体" w:cs="Arial"/>
          <w:kern w:val="0"/>
          <w:sz w:val="18"/>
          <w:szCs w:val="18"/>
        </w:rPr>
      </w:pPr>
      <w:r>
        <w:rPr>
          <w:rFonts w:ascii="宋体" w:hAnsi="宋体" w:cs="Arial"/>
          <w:kern w:val="0"/>
          <w:sz w:val="18"/>
          <w:szCs w:val="18"/>
        </w:rPr>
        <w:t>2</w:t>
      </w:r>
      <w:r>
        <w:rPr>
          <w:rFonts w:hint="eastAsia" w:ascii="宋体" w:hAnsi="宋体" w:cs="Arial"/>
          <w:kern w:val="0"/>
          <w:sz w:val="18"/>
          <w:szCs w:val="18"/>
        </w:rPr>
        <w:t>.</w:t>
      </w:r>
      <w:r>
        <w:rPr>
          <w:rFonts w:ascii="宋体" w:hAnsi="宋体" w:cs="Arial"/>
          <w:kern w:val="0"/>
          <w:sz w:val="18"/>
          <w:szCs w:val="18"/>
        </w:rPr>
        <w:t>交货时间及地点具体以使用单位的书面传真通知为准。</w:t>
      </w:r>
    </w:p>
    <w:p w14:paraId="1A760F27">
      <w:pPr>
        <w:ind w:firstLine="509" w:firstLineChars="283"/>
        <w:rPr>
          <w:rFonts w:ascii="宋体" w:hAnsi="宋体" w:cs="Arial"/>
          <w:kern w:val="0"/>
          <w:sz w:val="18"/>
          <w:szCs w:val="18"/>
        </w:rPr>
      </w:pPr>
      <w:r>
        <w:rPr>
          <w:rFonts w:ascii="宋体" w:hAnsi="宋体" w:cs="Arial"/>
          <w:kern w:val="0"/>
          <w:sz w:val="18"/>
          <w:szCs w:val="18"/>
        </w:rPr>
        <w:t>3</w:t>
      </w:r>
      <w:r>
        <w:rPr>
          <w:rFonts w:hint="eastAsia" w:ascii="宋体" w:hAnsi="宋体" w:cs="Arial"/>
          <w:kern w:val="0"/>
          <w:sz w:val="18"/>
          <w:szCs w:val="18"/>
        </w:rPr>
        <w:t>.</w:t>
      </w:r>
      <w:r>
        <w:rPr>
          <w:rFonts w:ascii="宋体" w:hAnsi="宋体" w:cs="Arial"/>
          <w:kern w:val="0"/>
          <w:sz w:val="18"/>
          <w:szCs w:val="18"/>
        </w:rPr>
        <w:t>具体规格型号与电商平台不一致的，以招标文件为准。</w:t>
      </w:r>
    </w:p>
    <w:p w14:paraId="0E8133DE">
      <w:pPr>
        <w:ind w:firstLine="540" w:firstLineChars="300"/>
        <w:rPr>
          <w:rFonts w:hint="eastAsia" w:ascii="宋体" w:hAnsi="宋体" w:cs="Arial"/>
          <w:bCs/>
          <w:kern w:val="0"/>
          <w:sz w:val="18"/>
          <w:szCs w:val="18"/>
        </w:rPr>
      </w:pPr>
      <w:r>
        <w:rPr>
          <w:rFonts w:ascii="宋体" w:hAnsi="宋体" w:cs="Arial"/>
          <w:bCs/>
          <w:kern w:val="0"/>
          <w:sz w:val="18"/>
          <w:szCs w:val="18"/>
        </w:rPr>
        <w:t>4</w:t>
      </w:r>
      <w:r>
        <w:rPr>
          <w:rFonts w:hint="eastAsia" w:ascii="宋体" w:hAnsi="宋体" w:cs="Arial"/>
          <w:bCs/>
          <w:kern w:val="0"/>
          <w:sz w:val="18"/>
          <w:szCs w:val="18"/>
        </w:rPr>
        <w:t>.结算及付款方式：银行转帐、票据及供应链金融等方式支付。每月20日结算，结算完成后，甲方在收到乙方开具的发票后，按下述比例支付货款，结算当月为第一个月，结算后第三月20日前支付70%；第四月20日前支付至85%；供应结束、甲方竣工验收完成后30天内支付至95%；剩余5%的质保金待业主退还我公司</w:t>
      </w:r>
      <w:r>
        <w:rPr>
          <w:rFonts w:hint="eastAsia" w:ascii="宋体" w:hAnsi="宋体" w:cs="Arial"/>
          <w:bCs/>
          <w:kern w:val="0"/>
          <w:sz w:val="18"/>
          <w:szCs w:val="18"/>
          <w:lang w:val="en-US" w:eastAsia="zh-CN"/>
        </w:rPr>
        <w:t>质保金</w:t>
      </w:r>
      <w:r>
        <w:rPr>
          <w:rFonts w:hint="eastAsia" w:ascii="宋体" w:hAnsi="宋体" w:cs="Arial"/>
          <w:bCs/>
          <w:kern w:val="0"/>
          <w:sz w:val="18"/>
          <w:szCs w:val="18"/>
        </w:rPr>
        <w:t>后30天内无息退还。可使用E信通等供应链金融产品，</w:t>
      </w:r>
      <w:r>
        <w:rPr>
          <w:rFonts w:hint="eastAsia" w:ascii="宋体" w:hAnsi="宋体" w:cs="Arial"/>
          <w:bCs/>
          <w:kern w:val="0"/>
          <w:sz w:val="18"/>
          <w:szCs w:val="18"/>
          <w:lang w:val="en-US" w:eastAsia="zh-CN"/>
        </w:rPr>
        <w:t>贴息费用由乙方承担</w:t>
      </w:r>
      <w:r>
        <w:rPr>
          <w:rFonts w:hint="eastAsia" w:ascii="宋体" w:hAnsi="宋体" w:cs="Arial"/>
          <w:bCs/>
          <w:kern w:val="0"/>
          <w:sz w:val="18"/>
          <w:szCs w:val="18"/>
        </w:rPr>
        <w:t>。</w:t>
      </w:r>
    </w:p>
    <w:p w14:paraId="641EC488">
      <w:pPr>
        <w:ind w:firstLine="540" w:firstLineChars="300"/>
        <w:sectPr>
          <w:pgSz w:w="16838" w:h="11906" w:orient="landscape"/>
          <w:pgMar w:top="1800" w:right="1440" w:bottom="1800" w:left="1440" w:header="851" w:footer="992" w:gutter="0"/>
          <w:cols w:space="425" w:num="1"/>
          <w:docGrid w:type="lines" w:linePitch="312" w:charSpace="0"/>
        </w:sectPr>
      </w:pPr>
      <w:r>
        <w:rPr>
          <w:rFonts w:hint="eastAsia" w:ascii="宋体" w:hAnsi="宋体" w:cs="Arial"/>
          <w:kern w:val="0"/>
          <w:sz w:val="18"/>
          <w:szCs w:val="18"/>
        </w:rPr>
        <w:t>5.发票要求：一票制增值税专用发票</w:t>
      </w:r>
      <w:r>
        <w:rPr>
          <w:rFonts w:hint="eastAsia" w:ascii="宋体" w:hAnsi="宋体"/>
          <w:sz w:val="18"/>
          <w:szCs w:val="18"/>
        </w:rPr>
        <w:t>。</w:t>
      </w:r>
    </w:p>
    <w:p w14:paraId="6C2D8F7C">
      <w:pPr>
        <w:outlineLvl w:val="1"/>
        <w:rPr>
          <w:rFonts w:ascii="宋体" w:hAnsi="宋体"/>
          <w:sz w:val="28"/>
          <w:szCs w:val="28"/>
        </w:rPr>
      </w:pPr>
      <w:bookmarkStart w:id="28" w:name="_Toc3418"/>
      <w:r>
        <w:rPr>
          <w:rFonts w:hint="eastAsia" w:ascii="宋体" w:hAnsi="宋体"/>
          <w:sz w:val="28"/>
          <w:szCs w:val="28"/>
        </w:rPr>
        <w:t>附件六</w:t>
      </w:r>
      <w:bookmarkEnd w:id="28"/>
    </w:p>
    <w:p w14:paraId="7CBA7E8C">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宋体" w:hAnsi="宋体" w:eastAsia="宋体" w:cs="新宋体"/>
          <w:b/>
          <w:bCs/>
          <w:kern w:val="0"/>
          <w:sz w:val="36"/>
          <w:szCs w:val="36"/>
          <w:lang w:val="en-US" w:eastAsia="zh-CN"/>
        </w:rPr>
      </w:pPr>
      <w:bookmarkStart w:id="29" w:name="_Toc5296"/>
      <w:r>
        <w:rPr>
          <w:rFonts w:hint="eastAsia" w:ascii="宋体" w:hAnsi="宋体" w:eastAsia="宋体" w:cs="新宋体"/>
          <w:b/>
          <w:bCs/>
          <w:kern w:val="0"/>
          <w:sz w:val="36"/>
          <w:szCs w:val="36"/>
          <w:lang w:val="en-US" w:eastAsia="zh-CN"/>
        </w:rPr>
        <w:t>结算方式</w:t>
      </w:r>
      <w:bookmarkEnd w:id="29"/>
    </w:p>
    <w:p w14:paraId="4C471A38">
      <w:pPr>
        <w:pStyle w:val="11"/>
        <w:ind w:firstLine="480"/>
        <w:rPr>
          <w:rFonts w:hint="eastAsia"/>
        </w:rPr>
      </w:pPr>
      <w:r>
        <w:rPr>
          <w:rFonts w:hint="eastAsia"/>
        </w:rPr>
        <w:t>钢筋结算（浮动价）</w:t>
      </w:r>
    </w:p>
    <w:p w14:paraId="6286C693">
      <w:pPr>
        <w:pStyle w:val="11"/>
        <w:ind w:firstLine="480"/>
        <w:rPr>
          <w:rFonts w:hint="eastAsia"/>
        </w:rPr>
      </w:pPr>
      <w:r>
        <w:rPr>
          <w:rFonts w:hint="eastAsia"/>
        </w:rPr>
        <w:t>货款按月结算，上月21日至本月20日为一个供应周期，结算单价指每个供应周期内钢筋运至招标人指定工地交货的价格。</w:t>
      </w:r>
    </w:p>
    <w:p w14:paraId="128A8E15">
      <w:pPr>
        <w:pStyle w:val="11"/>
        <w:ind w:firstLine="480"/>
        <w:rPr>
          <w:rFonts w:hint="eastAsia"/>
        </w:rPr>
      </w:pPr>
      <w:r>
        <w:rPr>
          <w:rFonts w:hint="eastAsia"/>
        </w:rPr>
        <w:t>（一）本次招标钢筋结算价格实行浮动价结算。</w:t>
      </w:r>
    </w:p>
    <w:p w14:paraId="5FA3C8C0">
      <w:pPr>
        <w:pStyle w:val="11"/>
        <w:ind w:firstLine="480"/>
        <w:rPr>
          <w:rFonts w:hint="eastAsia"/>
        </w:rPr>
      </w:pPr>
      <w:r>
        <w:rPr>
          <w:rFonts w:hint="eastAsia"/>
        </w:rPr>
        <w:t>（二）结算方式：网价+X</w:t>
      </w:r>
    </w:p>
    <w:p w14:paraId="33FAF717">
      <w:pPr>
        <w:pStyle w:val="11"/>
        <w:ind w:firstLine="480"/>
        <w:rPr>
          <w:rFonts w:hint="eastAsia"/>
        </w:rPr>
      </w:pPr>
      <w:r>
        <w:rPr>
          <w:rFonts w:hint="eastAsia"/>
        </w:rPr>
        <w:t>（三）投标单价与结算单价关系的重点说明：</w:t>
      </w:r>
    </w:p>
    <w:p w14:paraId="16B9A836">
      <w:pPr>
        <w:pStyle w:val="11"/>
        <w:ind w:firstLine="480"/>
        <w:rPr>
          <w:rFonts w:hint="eastAsia"/>
        </w:rPr>
      </w:pPr>
      <w:r>
        <w:rPr>
          <w:rFonts w:hint="eastAsia"/>
        </w:rPr>
        <w:t>1.虚拟单价：</w:t>
      </w:r>
    </w:p>
    <w:p w14:paraId="01B84EE9">
      <w:pPr>
        <w:pStyle w:val="11"/>
        <w:ind w:firstLine="480"/>
        <w:rPr>
          <w:rFonts w:hint="eastAsia"/>
        </w:rPr>
      </w:pPr>
      <w:r>
        <w:rPr>
          <w:rFonts w:hint="eastAsia"/>
        </w:rPr>
        <w:t>为便于计算总报价，招标人统一设定虚拟单价为</w:t>
      </w:r>
      <w:r>
        <w:rPr>
          <w:rFonts w:hint="eastAsia"/>
          <w:b/>
          <w:bCs/>
        </w:rPr>
        <w:t>4500元/吨</w:t>
      </w:r>
      <w:r>
        <w:rPr>
          <w:rFonts w:hint="eastAsia"/>
        </w:rPr>
        <w:t>，已在《投标报价表》中列出，投标人不须另行填写。虚拟单价仅作为投标报价表合计总价的计算依据，不是结算价格。</w:t>
      </w:r>
    </w:p>
    <w:p w14:paraId="6F161E14">
      <w:pPr>
        <w:pStyle w:val="11"/>
        <w:ind w:firstLine="480"/>
        <w:rPr>
          <w:rFonts w:hint="eastAsia"/>
        </w:rPr>
      </w:pPr>
      <w:r>
        <w:rPr>
          <w:rFonts w:hint="eastAsia"/>
        </w:rPr>
        <w:t>2. X值：是指投标人根据网价，核定除网价外的出库费、50公里范围内的综合运杂费、投标人让利等其他费用。X值可以为正值、可以为0、也可以为负值。</w:t>
      </w:r>
    </w:p>
    <w:p w14:paraId="0F824CC8">
      <w:pPr>
        <w:pStyle w:val="11"/>
        <w:ind w:firstLine="480"/>
        <w:rPr>
          <w:rFonts w:hint="eastAsia"/>
        </w:rPr>
      </w:pPr>
      <w:r>
        <w:rPr>
          <w:rFonts w:hint="eastAsia"/>
        </w:rPr>
        <w:t>3.网价的核定方法：在供应期（每月21日至次月20日）内《我的钢铁网》（www.mysteel.com）公布的收货当日（具体包件实际取值城市、实际取值钢厂详见附表一）的网上价格的算术平均值为招标物资相同规格对应的网价。</w:t>
      </w:r>
    </w:p>
    <w:p w14:paraId="29F71B57">
      <w:pPr>
        <w:pStyle w:val="11"/>
        <w:ind w:firstLine="480"/>
        <w:rPr>
          <w:rFonts w:hint="eastAsia"/>
        </w:rPr>
      </w:pPr>
      <w:r>
        <w:rPr>
          <w:rFonts w:hint="eastAsia"/>
        </w:rPr>
        <w:t>3.1若收货当日某个钢厂某个规格型号公布多次价格的，以最后一次公布的价格为准。若收货当日某个钢厂某个规格型号没有公布价格的，而附表一规定的其他钢厂公布了价格的，则取其他钢厂公布的价格。</w:t>
      </w:r>
    </w:p>
    <w:p w14:paraId="2C429BE8">
      <w:pPr>
        <w:pStyle w:val="11"/>
        <w:ind w:firstLine="480"/>
        <w:rPr>
          <w:rFonts w:hint="eastAsia"/>
        </w:rPr>
      </w:pPr>
      <w:r>
        <w:rPr>
          <w:rFonts w:hint="eastAsia"/>
        </w:rPr>
        <w:t>3.2若收货当日某个规格型号钢厂均未公布价格的，则取最接近的小规格的价格，若无小规格的价格，则取最接近的大规格的价格。</w:t>
      </w:r>
    </w:p>
    <w:p w14:paraId="63A72854">
      <w:pPr>
        <w:pStyle w:val="11"/>
        <w:ind w:firstLine="480"/>
        <w:rPr>
          <w:rFonts w:hint="eastAsia"/>
        </w:rPr>
      </w:pPr>
      <w:r>
        <w:rPr>
          <w:rFonts w:hint="eastAsia"/>
        </w:rPr>
        <w:t>3.3若网价未公布圆钢价格的，则按照同规格型号HRB400E螺纹钢的价格进行报价。</w:t>
      </w:r>
    </w:p>
    <w:p w14:paraId="7C6A5439">
      <w:pPr>
        <w:pStyle w:val="11"/>
        <w:ind w:firstLine="480"/>
        <w:rPr>
          <w:rFonts w:hint="eastAsia"/>
        </w:rPr>
      </w:pPr>
      <w:r>
        <w:rPr>
          <w:rFonts w:hint="eastAsia"/>
        </w:rPr>
        <w:t>3.4若收货当日为周末或国家法定节假日，则取放假前最后一天的价格。</w:t>
      </w:r>
    </w:p>
    <w:p w14:paraId="71221ECF">
      <w:pPr>
        <w:pStyle w:val="11"/>
        <w:ind w:firstLine="480"/>
        <w:rPr>
          <w:rFonts w:hint="eastAsia"/>
        </w:rPr>
      </w:pPr>
      <w:r>
        <w:rPr>
          <w:rFonts w:hint="eastAsia"/>
        </w:rPr>
        <w:t>3.5选取《我的钢铁网》（www.mysteel.com）价格时，不考虑备注栏中公布的价格。</w:t>
      </w:r>
    </w:p>
    <w:p w14:paraId="67B1930A">
      <w:pPr>
        <w:pStyle w:val="11"/>
        <w:ind w:firstLine="480"/>
        <w:rPr>
          <w:rFonts w:hint="eastAsia"/>
        </w:rPr>
      </w:pPr>
    </w:p>
    <w:p w14:paraId="57BED103">
      <w:pPr>
        <w:pStyle w:val="11"/>
        <w:ind w:firstLine="480"/>
        <w:rPr>
          <w:rFonts w:hint="eastAsia"/>
        </w:rPr>
      </w:pPr>
      <w:r>
        <w:rPr>
          <w:rFonts w:hint="eastAsia"/>
        </w:rPr>
        <w:t>地材结算（固定价）</w:t>
      </w:r>
    </w:p>
    <w:p w14:paraId="088FE58C">
      <w:pPr>
        <w:pStyle w:val="11"/>
        <w:ind w:firstLine="480"/>
        <w:rPr>
          <w:rFonts w:hint="eastAsia"/>
        </w:rPr>
      </w:pPr>
      <w:r>
        <w:rPr>
          <w:rFonts w:hint="eastAsia"/>
        </w:rPr>
        <w:t>（1）结算方式：采取固定单价结算。</w:t>
      </w:r>
    </w:p>
    <w:p w14:paraId="64B01F64">
      <w:pPr>
        <w:pStyle w:val="11"/>
        <w:ind w:firstLine="480"/>
        <w:rPr>
          <w:rFonts w:hint="eastAsia"/>
        </w:rPr>
      </w:pPr>
      <w:r>
        <w:rPr>
          <w:rFonts w:hint="eastAsia"/>
        </w:rPr>
        <w:t>（2）到工地单价指物资运至招标人指定工地的价格</w:t>
      </w:r>
    </w:p>
    <w:p w14:paraId="7284D689">
      <w:pPr>
        <w:pStyle w:val="11"/>
        <w:ind w:firstLine="480"/>
        <w:rPr>
          <w:rFonts w:hint="eastAsia"/>
        </w:rPr>
      </w:pPr>
      <w:r>
        <w:rPr>
          <w:rFonts w:hint="eastAsia"/>
        </w:rPr>
        <w:t>到工地单价＝出厂（库）单价＋运杂费单价。</w:t>
      </w:r>
    </w:p>
    <w:p w14:paraId="7371760D">
      <w:pPr>
        <w:pStyle w:val="11"/>
        <w:ind w:firstLine="480"/>
        <w:rPr>
          <w:rFonts w:hint="eastAsia"/>
        </w:rPr>
      </w:pPr>
      <w:r>
        <w:rPr>
          <w:rFonts w:hint="eastAsia"/>
        </w:rPr>
        <w:t>出厂（库）单价：出厂（库）单价指在物资的生产所在地装车发运前的价格，包含但不限于材料费、加工费、试验费、包装费、搬运、储存、装车费、服务费及售后服务费等以及所有相关税项费用。</w:t>
      </w:r>
    </w:p>
    <w:p w14:paraId="3E3ECB9B">
      <w:pPr>
        <w:pStyle w:val="11"/>
        <w:ind w:firstLine="480"/>
        <w:rPr>
          <w:rFonts w:hint="eastAsia"/>
        </w:rPr>
      </w:pPr>
      <w:r>
        <w:rPr>
          <w:rFonts w:hint="eastAsia"/>
        </w:rPr>
        <w:t xml:space="preserve">运杂费：运杂费指投标人将物资由生产所在地完好无损地运至招标人指定交货地点（按招标文件规定的交货方式交货）所发生的一切费用（如运输费、装车费、管理费、利润、税金、供货风险等）。  </w:t>
      </w:r>
    </w:p>
    <w:p w14:paraId="269E5886">
      <w:pPr>
        <w:pStyle w:val="11"/>
        <w:ind w:firstLine="480"/>
        <w:rPr>
          <w:rFonts w:hint="eastAsia"/>
        </w:rPr>
        <w:sectPr>
          <w:pgSz w:w="11906" w:h="16838"/>
          <w:pgMar w:top="1134" w:right="1191" w:bottom="1134" w:left="1474" w:header="340" w:footer="1361" w:gutter="0"/>
          <w:cols w:space="720" w:num="1"/>
          <w:docGrid w:type="linesAndChars" w:linePitch="312" w:charSpace="0"/>
        </w:sectPr>
      </w:pPr>
      <w:r>
        <w:rPr>
          <w:rFonts w:hint="eastAsia"/>
        </w:rPr>
        <w:t>（3）结算数量以施工现场实际安装完成并验收合格的数量为依据，不以进场数量为准。</w:t>
      </w:r>
    </w:p>
    <w:p w14:paraId="003B23B7">
      <w:pPr>
        <w:outlineLvl w:val="1"/>
        <w:rPr>
          <w:rFonts w:ascii="宋体" w:hAnsi="宋体"/>
          <w:sz w:val="28"/>
          <w:szCs w:val="28"/>
        </w:rPr>
      </w:pPr>
      <w:bookmarkStart w:id="30" w:name="_Toc4860"/>
      <w:bookmarkStart w:id="31" w:name="_Toc774"/>
      <w:bookmarkStart w:id="32" w:name="_Toc6047"/>
      <w:bookmarkStart w:id="33" w:name="_Toc26222"/>
      <w:bookmarkStart w:id="34" w:name="_Toc7318"/>
      <w:bookmarkStart w:id="35" w:name="_Toc94"/>
      <w:bookmarkStart w:id="36" w:name="_Toc465236863"/>
      <w:r>
        <w:rPr>
          <w:rFonts w:hint="eastAsia" w:ascii="宋体" w:hAnsi="宋体"/>
          <w:sz w:val="28"/>
          <w:szCs w:val="28"/>
        </w:rPr>
        <w:t>附件</w:t>
      </w:r>
      <w:bookmarkEnd w:id="30"/>
      <w:bookmarkEnd w:id="31"/>
      <w:bookmarkEnd w:id="32"/>
      <w:bookmarkEnd w:id="33"/>
      <w:bookmarkEnd w:id="34"/>
      <w:bookmarkStart w:id="37" w:name="_Toc434398107"/>
      <w:bookmarkStart w:id="38" w:name="_Toc435111035"/>
      <w:bookmarkStart w:id="39" w:name="_Toc387225471"/>
      <w:bookmarkStart w:id="40" w:name="_Toc453423265"/>
      <w:r>
        <w:rPr>
          <w:rFonts w:hint="eastAsia" w:ascii="宋体" w:hAnsi="宋体"/>
          <w:sz w:val="28"/>
          <w:szCs w:val="28"/>
        </w:rPr>
        <w:t>七</w:t>
      </w:r>
      <w:bookmarkEnd w:id="35"/>
    </w:p>
    <w:p w14:paraId="23DE0BDA">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新宋体"/>
          <w:b/>
          <w:bCs/>
          <w:kern w:val="0"/>
          <w:sz w:val="36"/>
          <w:szCs w:val="36"/>
          <w:lang w:val="en-US" w:eastAsia="zh-CN"/>
        </w:rPr>
      </w:pPr>
      <w:bookmarkStart w:id="41" w:name="_Toc132117171"/>
      <w:bookmarkStart w:id="42" w:name="_Toc19441"/>
      <w:bookmarkStart w:id="43" w:name="_Toc132116571"/>
      <w:r>
        <w:rPr>
          <w:rFonts w:hint="eastAsia" w:ascii="宋体" w:hAnsi="宋体" w:eastAsia="宋体" w:cs="新宋体"/>
          <w:b/>
          <w:bCs/>
          <w:kern w:val="0"/>
          <w:sz w:val="36"/>
          <w:szCs w:val="36"/>
          <w:lang w:val="en-US" w:eastAsia="zh-CN"/>
        </w:rPr>
        <w:t>物资技术规格书</w:t>
      </w:r>
      <w:bookmarkEnd w:id="41"/>
      <w:bookmarkEnd w:id="42"/>
      <w:bookmarkEnd w:id="43"/>
    </w:p>
    <w:bookmarkEnd w:id="36"/>
    <w:bookmarkEnd w:id="37"/>
    <w:bookmarkEnd w:id="38"/>
    <w:bookmarkEnd w:id="39"/>
    <w:bookmarkEnd w:id="40"/>
    <w:p w14:paraId="25CCAAEB">
      <w:pPr>
        <w:spacing w:line="360" w:lineRule="auto"/>
        <w:ind w:firstLine="413" w:firstLineChars="196"/>
        <w:outlineLvl w:val="0"/>
        <w:rPr>
          <w:rFonts w:ascii="宋体" w:hAnsi="宋体"/>
          <w:b/>
          <w:szCs w:val="28"/>
        </w:rPr>
      </w:pPr>
      <w:r>
        <w:rPr>
          <w:rFonts w:hint="eastAsia" w:ascii="宋体" w:hAnsi="宋体"/>
          <w:b/>
          <w:szCs w:val="28"/>
        </w:rPr>
        <w:t>一、商品混凝土</w:t>
      </w:r>
    </w:p>
    <w:p w14:paraId="45E1D1A5">
      <w:pPr>
        <w:spacing w:line="360" w:lineRule="auto"/>
        <w:ind w:firstLine="360" w:firstLineChars="200"/>
        <w:rPr>
          <w:rFonts w:ascii="宋体" w:hAnsi="宋体"/>
          <w:kern w:val="0"/>
          <w:sz w:val="18"/>
          <w:szCs w:val="18"/>
        </w:rPr>
      </w:pPr>
      <w:r>
        <w:rPr>
          <w:rFonts w:hint="eastAsia" w:ascii="宋体" w:hAnsi="宋体"/>
          <w:kern w:val="0"/>
          <w:sz w:val="18"/>
          <w:szCs w:val="18"/>
        </w:rPr>
        <w:t>1.1 混凝土质量必须符合GB/T14902-2012《预拌混凝土》标准，保证商品混凝土达到《混凝土强度检验评定标准》GBJ107，并接受建设方的驻厂监造。</w:t>
      </w:r>
    </w:p>
    <w:p w14:paraId="2612CC49">
      <w:pPr>
        <w:spacing w:line="360" w:lineRule="auto"/>
        <w:ind w:firstLine="360" w:firstLineChars="200"/>
        <w:rPr>
          <w:rFonts w:ascii="宋体" w:hAnsi="宋体"/>
          <w:kern w:val="0"/>
          <w:sz w:val="18"/>
          <w:szCs w:val="18"/>
        </w:rPr>
      </w:pPr>
      <w:r>
        <w:rPr>
          <w:rFonts w:hint="eastAsia" w:ascii="宋体" w:hAnsi="宋体"/>
          <w:kern w:val="0"/>
          <w:sz w:val="18"/>
          <w:szCs w:val="18"/>
        </w:rPr>
        <w:t>1.2 混凝土配合比设计必须满足《混凝土结构工程施工质量验收规范》GB50204、《普通混凝土配合比设计规程》JGJ55的相关要求。商品混凝土强度等级、抗渗等级、抗冻性能等各项参数应符合设计及规范要求。</w:t>
      </w:r>
    </w:p>
    <w:p w14:paraId="76E33387">
      <w:pPr>
        <w:spacing w:line="360" w:lineRule="auto"/>
        <w:ind w:firstLine="360" w:firstLineChars="200"/>
        <w:rPr>
          <w:rFonts w:ascii="宋体" w:hAnsi="宋体"/>
          <w:kern w:val="0"/>
          <w:sz w:val="18"/>
          <w:szCs w:val="18"/>
        </w:rPr>
      </w:pPr>
      <w:r>
        <w:rPr>
          <w:rFonts w:hint="eastAsia" w:ascii="宋体" w:hAnsi="宋体"/>
          <w:kern w:val="0"/>
          <w:sz w:val="18"/>
          <w:szCs w:val="18"/>
        </w:rPr>
        <w:t>1.2 混凝土拌合原材料必须符合相应的国家规范规定要求条款。本项目建设方对部分原材料生产厂家公布了合格供方名录的，必须在合格供方名录中选择生产厂家与品牌。</w:t>
      </w:r>
    </w:p>
    <w:p w14:paraId="2C12B0D0">
      <w:pPr>
        <w:spacing w:line="360" w:lineRule="auto"/>
        <w:ind w:firstLine="360" w:firstLineChars="200"/>
        <w:rPr>
          <w:rFonts w:ascii="宋体" w:hAnsi="宋体"/>
          <w:kern w:val="0"/>
          <w:sz w:val="18"/>
          <w:szCs w:val="18"/>
        </w:rPr>
      </w:pPr>
      <w:r>
        <w:rPr>
          <w:rFonts w:hint="eastAsia" w:ascii="宋体" w:hAnsi="宋体"/>
          <w:kern w:val="0"/>
          <w:sz w:val="18"/>
          <w:szCs w:val="18"/>
        </w:rPr>
        <w:t>1.4 应按买方提出的混凝土强度等级、塌落度大小、送货时间、数量等，保证商品混凝土及时、连续供应，并接受项目的检查监督。</w:t>
      </w:r>
    </w:p>
    <w:p w14:paraId="1174738B">
      <w:pPr>
        <w:spacing w:line="360" w:lineRule="auto"/>
        <w:ind w:firstLine="360" w:firstLineChars="200"/>
        <w:rPr>
          <w:rFonts w:ascii="宋体" w:hAnsi="宋体"/>
          <w:kern w:val="0"/>
          <w:sz w:val="18"/>
          <w:szCs w:val="18"/>
        </w:rPr>
      </w:pPr>
      <w:r>
        <w:rPr>
          <w:rFonts w:hint="eastAsia" w:ascii="宋体" w:hAnsi="宋体"/>
          <w:kern w:val="0"/>
          <w:sz w:val="18"/>
          <w:szCs w:val="18"/>
        </w:rPr>
        <w:t>1.5 商品混凝土送达施工现场，如发现塌落度不满足要求、或者出现离析、分层等质量问题，买方有权不予接收。</w:t>
      </w:r>
    </w:p>
    <w:p w14:paraId="3022C36E">
      <w:pPr>
        <w:spacing w:line="360" w:lineRule="auto"/>
        <w:ind w:firstLine="360" w:firstLineChars="200"/>
        <w:rPr>
          <w:rFonts w:ascii="宋体" w:hAnsi="宋体"/>
          <w:kern w:val="0"/>
          <w:sz w:val="18"/>
          <w:szCs w:val="18"/>
        </w:rPr>
      </w:pPr>
      <w:r>
        <w:rPr>
          <w:rFonts w:hint="eastAsia" w:ascii="宋体" w:hAnsi="宋体"/>
          <w:kern w:val="0"/>
          <w:sz w:val="18"/>
          <w:szCs w:val="18"/>
        </w:rPr>
        <w:t>1.6 卖方应具备足够的生产和运输能力，必须保证本工程混凝土的供应，混凝土约定到场时间不得延误，非特殊原因延误超过1个小时以上，商品混凝土生产厂家应该承担相应的窝工费用。</w:t>
      </w:r>
    </w:p>
    <w:p w14:paraId="6653AEAA">
      <w:pPr>
        <w:spacing w:line="360" w:lineRule="auto"/>
        <w:ind w:firstLine="360" w:firstLineChars="200"/>
        <w:rPr>
          <w:rFonts w:ascii="宋体" w:hAnsi="宋体"/>
          <w:kern w:val="0"/>
          <w:sz w:val="18"/>
          <w:szCs w:val="18"/>
        </w:rPr>
      </w:pPr>
      <w:r>
        <w:rPr>
          <w:rFonts w:hint="eastAsia" w:ascii="宋体" w:hAnsi="宋体"/>
          <w:kern w:val="0"/>
          <w:sz w:val="18"/>
          <w:szCs w:val="18"/>
        </w:rPr>
        <w:t>1.7 必须保证现场混凝土施工的连续性，因厂家原因造成浇筑间隔时间过长使混凝土出现质量问题时，由厂家负责。</w:t>
      </w:r>
    </w:p>
    <w:p w14:paraId="7C8A383D">
      <w:pPr>
        <w:spacing w:line="360" w:lineRule="auto"/>
        <w:ind w:firstLine="360" w:firstLineChars="200"/>
        <w:rPr>
          <w:rFonts w:ascii="宋体" w:hAnsi="宋体"/>
          <w:kern w:val="0"/>
          <w:sz w:val="18"/>
          <w:szCs w:val="18"/>
        </w:rPr>
      </w:pPr>
      <w:r>
        <w:rPr>
          <w:rFonts w:hint="eastAsia" w:ascii="宋体" w:hAnsi="宋体"/>
          <w:kern w:val="0"/>
          <w:sz w:val="18"/>
          <w:szCs w:val="18"/>
        </w:rPr>
        <w:t>1.8 不得针对小方量混凝土供应而拒绝或者延迟混凝土供应。</w:t>
      </w:r>
    </w:p>
    <w:p w14:paraId="588752AA">
      <w:pPr>
        <w:spacing w:line="360" w:lineRule="auto"/>
        <w:ind w:firstLine="360" w:firstLineChars="200"/>
        <w:rPr>
          <w:rFonts w:ascii="宋体" w:hAnsi="宋体"/>
          <w:kern w:val="0"/>
          <w:sz w:val="18"/>
          <w:szCs w:val="18"/>
        </w:rPr>
      </w:pPr>
      <w:r>
        <w:rPr>
          <w:rFonts w:hint="eastAsia" w:ascii="宋体" w:hAnsi="宋体"/>
          <w:kern w:val="0"/>
          <w:sz w:val="18"/>
          <w:szCs w:val="18"/>
        </w:rPr>
        <w:t>1.9混凝土的试验工作，及时提供相关资料，由买方同卖方共同取样，取样次数及试块组数应满足规范及现场要求，其试验结果作为卖方出具技术试验资料的组成部分。</w:t>
      </w:r>
    </w:p>
    <w:p w14:paraId="69A72441">
      <w:pPr>
        <w:spacing w:line="360" w:lineRule="auto"/>
        <w:ind w:firstLine="360" w:firstLineChars="200"/>
        <w:rPr>
          <w:rFonts w:ascii="宋体" w:hAnsi="宋体"/>
          <w:kern w:val="0"/>
          <w:sz w:val="18"/>
          <w:szCs w:val="18"/>
        </w:rPr>
      </w:pPr>
      <w:r>
        <w:rPr>
          <w:rFonts w:hint="eastAsia" w:ascii="宋体" w:hAnsi="宋体"/>
          <w:kern w:val="0"/>
          <w:sz w:val="18"/>
          <w:szCs w:val="18"/>
        </w:rPr>
        <w:t>1.10 卖方必须遵守施工现场环境保护与安全生产的相关约定，发生环保与安全事故由卖方自行承担相关责任与费用。</w:t>
      </w:r>
    </w:p>
    <w:p w14:paraId="2144ED5E">
      <w:pPr>
        <w:spacing w:line="360" w:lineRule="auto"/>
        <w:rPr>
          <w:rFonts w:ascii="宋体" w:hAnsi="宋体"/>
          <w:kern w:val="0"/>
          <w:sz w:val="18"/>
          <w:szCs w:val="18"/>
        </w:rPr>
      </w:pPr>
      <w:r>
        <w:rPr>
          <w:rFonts w:hint="eastAsia" w:ascii="宋体" w:hAnsi="宋体"/>
          <w:kern w:val="0"/>
          <w:sz w:val="18"/>
          <w:szCs w:val="18"/>
        </w:rPr>
        <w:t>2. 技术资料</w:t>
      </w:r>
    </w:p>
    <w:p w14:paraId="1C10112B">
      <w:pPr>
        <w:spacing w:line="360" w:lineRule="auto"/>
        <w:rPr>
          <w:rFonts w:ascii="宋体" w:hAnsi="宋体"/>
          <w:sz w:val="32"/>
          <w:szCs w:val="32"/>
        </w:rPr>
        <w:sectPr>
          <w:pgSz w:w="11906" w:h="16838"/>
          <w:pgMar w:top="1440" w:right="1797" w:bottom="1440" w:left="1797" w:header="851" w:footer="992" w:gutter="0"/>
          <w:cols w:space="425" w:num="1"/>
          <w:docGrid w:linePitch="312" w:charSpace="0"/>
        </w:sectPr>
      </w:pPr>
      <w:r>
        <w:rPr>
          <w:rFonts w:hint="eastAsia" w:ascii="宋体" w:hAnsi="宋体"/>
          <w:kern w:val="0"/>
          <w:sz w:val="18"/>
          <w:szCs w:val="18"/>
        </w:rPr>
        <w:t>卖方应按本项目要求提供混凝土原材料检测报告、混凝土开盘鉴定、氯离子含量检测报告、碱含量报告、混凝土强度检测报告等等相关技术资料。</w:t>
      </w:r>
    </w:p>
    <w:p w14:paraId="54C6586A">
      <w:pPr>
        <w:outlineLvl w:val="1"/>
        <w:rPr>
          <w:rFonts w:ascii="宋体" w:hAnsi="宋体"/>
          <w:sz w:val="28"/>
          <w:szCs w:val="28"/>
        </w:rPr>
      </w:pPr>
      <w:bookmarkStart w:id="44" w:name="_Toc16977"/>
      <w:r>
        <w:rPr>
          <w:rFonts w:hint="eastAsia" w:ascii="宋体" w:hAnsi="宋体"/>
          <w:sz w:val="28"/>
          <w:szCs w:val="28"/>
        </w:rPr>
        <w:t>附件八</w:t>
      </w:r>
      <w:bookmarkEnd w:id="44"/>
    </w:p>
    <w:p w14:paraId="69EF929E">
      <w:pPr>
        <w:pStyle w:val="2"/>
        <w:keepNext/>
        <w:keepLines/>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宋体" w:hAnsi="宋体" w:eastAsia="宋体" w:cs="新宋体"/>
          <w:b/>
          <w:bCs/>
          <w:kern w:val="0"/>
          <w:sz w:val="36"/>
          <w:szCs w:val="36"/>
          <w:lang w:val="en-US" w:eastAsia="zh-CN"/>
        </w:rPr>
      </w:pPr>
      <w:bookmarkStart w:id="45" w:name="_Toc1298"/>
      <w:r>
        <w:rPr>
          <w:rFonts w:hint="eastAsia" w:ascii="宋体" w:hAnsi="宋体" w:eastAsia="宋体" w:cs="新宋体"/>
          <w:b/>
          <w:bCs/>
          <w:kern w:val="0"/>
          <w:sz w:val="36"/>
          <w:szCs w:val="36"/>
          <w:lang w:val="en-US" w:eastAsia="zh-CN"/>
        </w:rPr>
        <w:t>物资合同模版</w:t>
      </w:r>
      <w:bookmarkEnd w:id="45"/>
    </w:p>
    <w:p w14:paraId="1649D20D">
      <w:pPr>
        <w:spacing w:line="400" w:lineRule="exact"/>
        <w:jc w:val="left"/>
        <w:rPr>
          <w:bCs/>
          <w:sz w:val="44"/>
          <w:szCs w:val="48"/>
          <w:u w:val="single"/>
        </w:rPr>
      </w:pPr>
      <w:bookmarkStart w:id="46" w:name="_Hlk184651441"/>
      <w:r>
        <w:rPr>
          <w:rFonts w:hint="eastAsia"/>
          <w:b/>
          <w:sz w:val="28"/>
          <w:szCs w:val="28"/>
        </w:rPr>
        <w:t>合同编号：</w:t>
      </w:r>
      <w:r>
        <w:rPr>
          <w:b/>
          <w:sz w:val="28"/>
          <w:szCs w:val="28"/>
          <w:u w:val="single"/>
        </w:rPr>
        <w:t xml:space="preserve">      </w:t>
      </w:r>
      <w:r>
        <w:rPr>
          <w:rFonts w:hint="eastAsia"/>
          <w:b/>
          <w:sz w:val="28"/>
          <w:szCs w:val="28"/>
          <w:u w:val="single"/>
        </w:rPr>
        <w:t xml:space="preserve">   </w:t>
      </w:r>
      <w:r>
        <w:rPr>
          <w:b/>
          <w:sz w:val="28"/>
          <w:szCs w:val="28"/>
          <w:u w:val="single"/>
        </w:rPr>
        <w:t xml:space="preserve">     </w:t>
      </w:r>
    </w:p>
    <w:p w14:paraId="7148DABE">
      <w:pPr>
        <w:spacing w:line="400" w:lineRule="exact"/>
        <w:jc w:val="center"/>
        <w:rPr>
          <w:bCs/>
          <w:sz w:val="44"/>
          <w:szCs w:val="48"/>
          <w:u w:val="single"/>
        </w:rPr>
      </w:pPr>
    </w:p>
    <w:p w14:paraId="0E1DE7CE">
      <w:pPr>
        <w:spacing w:line="400" w:lineRule="exact"/>
        <w:jc w:val="center"/>
        <w:rPr>
          <w:bCs/>
          <w:sz w:val="44"/>
          <w:szCs w:val="48"/>
          <w:u w:val="single"/>
        </w:rPr>
      </w:pPr>
    </w:p>
    <w:p w14:paraId="16A88485">
      <w:pPr>
        <w:spacing w:line="400" w:lineRule="exact"/>
        <w:jc w:val="center"/>
        <w:rPr>
          <w:bCs/>
          <w:sz w:val="44"/>
          <w:szCs w:val="48"/>
          <w:u w:val="single"/>
        </w:rPr>
      </w:pPr>
    </w:p>
    <w:p w14:paraId="3B9D4F53">
      <w:pPr>
        <w:spacing w:line="400" w:lineRule="exact"/>
        <w:jc w:val="center"/>
        <w:rPr>
          <w:bCs/>
          <w:sz w:val="44"/>
          <w:szCs w:val="48"/>
          <w:u w:val="single"/>
        </w:rPr>
      </w:pPr>
    </w:p>
    <w:p w14:paraId="15887227">
      <w:pPr>
        <w:spacing w:line="440" w:lineRule="exact"/>
        <w:jc w:val="center"/>
        <w:rPr>
          <w:rFonts w:hint="eastAsia"/>
          <w:b/>
          <w:sz w:val="44"/>
          <w:szCs w:val="48"/>
        </w:rPr>
      </w:pPr>
    </w:p>
    <w:p w14:paraId="2B34EF18">
      <w:pPr>
        <w:spacing w:line="400" w:lineRule="exact"/>
        <w:jc w:val="center"/>
        <w:rPr>
          <w:rFonts w:hint="eastAsia" w:ascii="Times New Roman" w:hAnsi="Times New Roman" w:eastAsia="宋体" w:cs="Times New Roman"/>
          <w:b/>
          <w:sz w:val="36"/>
          <w:szCs w:val="24"/>
        </w:rPr>
      </w:pPr>
      <w:r>
        <w:rPr>
          <w:rFonts w:hint="eastAsia" w:ascii="Times New Roman" w:hAnsi="Times New Roman" w:eastAsia="宋体" w:cs="Times New Roman"/>
          <w:b/>
          <w:sz w:val="36"/>
          <w:szCs w:val="24"/>
          <w:lang w:val="en-US" w:eastAsia="zh-CN"/>
        </w:rPr>
        <w:t>中铁二局集团有限公司无锡地铁5号线03标</w:t>
      </w:r>
      <w:r>
        <w:rPr>
          <w:rFonts w:hint="eastAsia" w:ascii="Times New Roman" w:hAnsi="Times New Roman" w:eastAsia="宋体" w:cs="Times New Roman"/>
          <w:b/>
          <w:sz w:val="36"/>
          <w:szCs w:val="24"/>
        </w:rPr>
        <w:t>工程</w:t>
      </w:r>
    </w:p>
    <w:p w14:paraId="1FE512EA">
      <w:pPr>
        <w:spacing w:line="440" w:lineRule="exact"/>
        <w:jc w:val="center"/>
        <w:rPr>
          <w:b/>
          <w:sz w:val="36"/>
          <w:szCs w:val="24"/>
        </w:rPr>
      </w:pPr>
    </w:p>
    <w:p w14:paraId="64A06C29">
      <w:pPr>
        <w:spacing w:line="400" w:lineRule="exact"/>
        <w:jc w:val="center"/>
        <w:rPr>
          <w:rFonts w:hint="eastAsia"/>
          <w:b/>
          <w:sz w:val="36"/>
          <w:szCs w:val="24"/>
        </w:rPr>
      </w:pPr>
    </w:p>
    <w:p w14:paraId="4458EF53">
      <w:pPr>
        <w:spacing w:line="400" w:lineRule="exact"/>
        <w:jc w:val="center"/>
        <w:rPr>
          <w:rFonts w:hint="eastAsia"/>
          <w:b/>
          <w:sz w:val="36"/>
          <w:szCs w:val="24"/>
        </w:rPr>
      </w:pPr>
    </w:p>
    <w:p w14:paraId="557D1EFC">
      <w:pPr>
        <w:spacing w:line="400" w:lineRule="exact"/>
        <w:jc w:val="center"/>
        <w:rPr>
          <w:rFonts w:hint="eastAsia"/>
          <w:b/>
          <w:sz w:val="36"/>
          <w:szCs w:val="24"/>
        </w:rPr>
      </w:pPr>
    </w:p>
    <w:p w14:paraId="3A05FAAD">
      <w:pPr>
        <w:spacing w:line="400" w:lineRule="exact"/>
        <w:jc w:val="center"/>
        <w:rPr>
          <w:rFonts w:hint="eastAsia"/>
          <w:b/>
          <w:sz w:val="36"/>
          <w:szCs w:val="24"/>
        </w:rPr>
      </w:pPr>
    </w:p>
    <w:p w14:paraId="099F1688">
      <w:pPr>
        <w:spacing w:line="400" w:lineRule="exact"/>
        <w:jc w:val="center"/>
        <w:rPr>
          <w:b/>
          <w:sz w:val="10"/>
          <w:szCs w:val="10"/>
        </w:rPr>
      </w:pPr>
      <w:r>
        <w:rPr>
          <w:rFonts w:hint="eastAsia"/>
          <w:b/>
          <w:sz w:val="36"/>
          <w:szCs w:val="24"/>
        </w:rPr>
        <w:t>商品混凝土买卖合同</w:t>
      </w:r>
    </w:p>
    <w:p w14:paraId="05AA1074">
      <w:pPr>
        <w:spacing w:line="400" w:lineRule="exact"/>
        <w:ind w:firstLine="2873" w:firstLineChars="795"/>
        <w:rPr>
          <w:b/>
          <w:sz w:val="36"/>
          <w:szCs w:val="24"/>
        </w:rPr>
      </w:pPr>
    </w:p>
    <w:p w14:paraId="0F019B97">
      <w:pPr>
        <w:spacing w:line="400" w:lineRule="exact"/>
        <w:ind w:firstLine="2873" w:firstLineChars="795"/>
        <w:rPr>
          <w:b/>
          <w:sz w:val="36"/>
          <w:szCs w:val="24"/>
        </w:rPr>
      </w:pPr>
    </w:p>
    <w:p w14:paraId="553ED35A">
      <w:pPr>
        <w:spacing w:line="400" w:lineRule="exact"/>
        <w:ind w:firstLine="2873" w:firstLineChars="795"/>
        <w:rPr>
          <w:b/>
          <w:sz w:val="36"/>
          <w:szCs w:val="24"/>
        </w:rPr>
      </w:pPr>
    </w:p>
    <w:p w14:paraId="4397F34B">
      <w:pPr>
        <w:spacing w:line="400" w:lineRule="exact"/>
        <w:ind w:firstLine="2873" w:firstLineChars="795"/>
        <w:rPr>
          <w:b/>
          <w:sz w:val="36"/>
          <w:szCs w:val="24"/>
        </w:rPr>
      </w:pPr>
    </w:p>
    <w:p w14:paraId="4EAD4F95">
      <w:pPr>
        <w:spacing w:line="400" w:lineRule="exact"/>
        <w:ind w:firstLine="2873" w:firstLineChars="795"/>
        <w:rPr>
          <w:b/>
          <w:sz w:val="36"/>
          <w:szCs w:val="24"/>
        </w:rPr>
      </w:pPr>
    </w:p>
    <w:p w14:paraId="45FAAC52">
      <w:pPr>
        <w:spacing w:line="400" w:lineRule="exact"/>
        <w:ind w:firstLine="2873" w:firstLineChars="795"/>
        <w:rPr>
          <w:b/>
          <w:sz w:val="36"/>
          <w:szCs w:val="24"/>
        </w:rPr>
      </w:pPr>
    </w:p>
    <w:p w14:paraId="1BA1A21A">
      <w:pPr>
        <w:spacing w:line="400" w:lineRule="exact"/>
        <w:ind w:firstLine="2873" w:firstLineChars="795"/>
        <w:rPr>
          <w:b/>
          <w:sz w:val="36"/>
          <w:szCs w:val="24"/>
        </w:rPr>
      </w:pPr>
    </w:p>
    <w:p w14:paraId="7FFF33EE">
      <w:pPr>
        <w:spacing w:line="400" w:lineRule="exact"/>
        <w:ind w:firstLine="2873" w:firstLineChars="795"/>
        <w:rPr>
          <w:b/>
          <w:sz w:val="36"/>
          <w:szCs w:val="24"/>
        </w:rPr>
      </w:pPr>
    </w:p>
    <w:p w14:paraId="0566A9FF">
      <w:pPr>
        <w:spacing w:line="400" w:lineRule="exact"/>
        <w:ind w:firstLine="2873" w:firstLineChars="795"/>
        <w:rPr>
          <w:b/>
          <w:sz w:val="36"/>
          <w:szCs w:val="24"/>
        </w:rPr>
      </w:pPr>
    </w:p>
    <w:p w14:paraId="250B5846">
      <w:pPr>
        <w:pStyle w:val="2"/>
      </w:pPr>
    </w:p>
    <w:p w14:paraId="25321484">
      <w:pPr>
        <w:spacing w:line="400" w:lineRule="exact"/>
        <w:ind w:firstLine="2873" w:firstLineChars="795"/>
        <w:rPr>
          <w:b/>
          <w:sz w:val="36"/>
          <w:szCs w:val="24"/>
        </w:rPr>
      </w:pPr>
    </w:p>
    <w:p w14:paraId="531CAA6C">
      <w:pPr>
        <w:spacing w:line="400" w:lineRule="exact"/>
        <w:ind w:firstLine="2873" w:firstLineChars="795"/>
        <w:rPr>
          <w:b/>
          <w:sz w:val="36"/>
          <w:szCs w:val="24"/>
        </w:rPr>
      </w:pPr>
    </w:p>
    <w:p w14:paraId="433FB539">
      <w:pPr>
        <w:pStyle w:val="2"/>
      </w:pPr>
    </w:p>
    <w:p w14:paraId="60FACF76">
      <w:pPr>
        <w:spacing w:line="400" w:lineRule="exact"/>
        <w:ind w:firstLine="2873" w:firstLineChars="795"/>
        <w:rPr>
          <w:b/>
          <w:sz w:val="36"/>
          <w:szCs w:val="24"/>
        </w:rPr>
      </w:pPr>
    </w:p>
    <w:p w14:paraId="606615C8">
      <w:pPr>
        <w:spacing w:line="360" w:lineRule="auto"/>
        <w:jc w:val="left"/>
        <w:rPr>
          <w:sz w:val="32"/>
          <w:szCs w:val="32"/>
        </w:rPr>
      </w:pPr>
      <w:r>
        <w:rPr>
          <w:rFonts w:hint="eastAsia"/>
          <w:sz w:val="32"/>
          <w:szCs w:val="32"/>
        </w:rPr>
        <w:t>买方：</w:t>
      </w:r>
      <w:r>
        <w:rPr>
          <w:rFonts w:hint="eastAsia"/>
          <w:sz w:val="32"/>
          <w:szCs w:val="32"/>
          <w:u w:val="single"/>
        </w:rPr>
        <w:t xml:space="preserve">                                            </w:t>
      </w:r>
    </w:p>
    <w:p w14:paraId="5C9296EA">
      <w:pPr>
        <w:spacing w:line="360" w:lineRule="auto"/>
        <w:jc w:val="left"/>
        <w:rPr>
          <w:sz w:val="32"/>
          <w:szCs w:val="32"/>
        </w:rPr>
      </w:pPr>
      <w:r>
        <w:rPr>
          <w:rFonts w:hint="eastAsia"/>
          <w:sz w:val="32"/>
          <w:szCs w:val="32"/>
        </w:rPr>
        <w:t>卖方：</w:t>
      </w:r>
      <w:r>
        <w:rPr>
          <w:rFonts w:hint="eastAsia"/>
          <w:sz w:val="32"/>
          <w:szCs w:val="32"/>
          <w:u w:val="single"/>
        </w:rPr>
        <w:t xml:space="preserve">                                            </w:t>
      </w:r>
    </w:p>
    <w:p w14:paraId="6E1B1BF4">
      <w:pPr>
        <w:spacing w:line="360" w:lineRule="auto"/>
        <w:jc w:val="left"/>
        <w:rPr>
          <w:sz w:val="32"/>
          <w:szCs w:val="32"/>
          <w:u w:val="single"/>
        </w:rPr>
      </w:pPr>
      <w:r>
        <w:rPr>
          <w:rFonts w:hint="eastAsia"/>
          <w:sz w:val="32"/>
          <w:szCs w:val="32"/>
        </w:rPr>
        <w:t>签订地点：</w:t>
      </w:r>
      <w:r>
        <w:rPr>
          <w:rFonts w:hint="eastAsia"/>
          <w:sz w:val="32"/>
          <w:szCs w:val="32"/>
          <w:u w:val="single"/>
        </w:rPr>
        <w:t xml:space="preserve">   </w:t>
      </w:r>
      <w:r>
        <w:rPr>
          <w:rFonts w:hint="eastAsia"/>
          <w:sz w:val="32"/>
          <w:szCs w:val="32"/>
          <w:u w:val="single"/>
          <w:lang w:val="en-US" w:eastAsia="zh-CN"/>
        </w:rPr>
        <w:t>四川省成都市青白江区新河路8号</w:t>
      </w:r>
      <w:r>
        <w:rPr>
          <w:rFonts w:hint="eastAsia"/>
          <w:sz w:val="32"/>
          <w:szCs w:val="32"/>
          <w:u w:val="single"/>
        </w:rPr>
        <w:t xml:space="preserve">       </w:t>
      </w:r>
    </w:p>
    <w:p w14:paraId="65D264D9">
      <w:pPr>
        <w:pStyle w:val="5"/>
        <w:ind w:left="0" w:leftChars="0" w:firstLine="0" w:firstLineChars="0"/>
      </w:pPr>
    </w:p>
    <w:p w14:paraId="7BF61C29">
      <w:pPr>
        <w:pStyle w:val="5"/>
        <w:ind w:left="0" w:leftChars="0" w:firstLine="0" w:firstLineChars="0"/>
      </w:pPr>
    </w:p>
    <w:p w14:paraId="08DF4837">
      <w:pPr>
        <w:pStyle w:val="5"/>
        <w:ind w:left="0" w:leftChars="0" w:firstLine="0" w:firstLineChars="0"/>
      </w:pPr>
    </w:p>
    <w:p w14:paraId="16C0109E">
      <w:pPr>
        <w:spacing w:line="440" w:lineRule="exact"/>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商品混凝土买卖合同</w:t>
      </w:r>
    </w:p>
    <w:p w14:paraId="308ABC4F">
      <w:pPr>
        <w:spacing w:line="400" w:lineRule="exact"/>
        <w:ind w:firstLine="640" w:firstLineChars="200"/>
        <w:jc w:val="center"/>
        <w:rPr>
          <w:rFonts w:ascii="宋体" w:hAnsi="宋体"/>
          <w:bCs/>
          <w:sz w:val="32"/>
        </w:rPr>
      </w:pPr>
    </w:p>
    <w:p w14:paraId="3AB2ED28">
      <w:pPr>
        <w:widowControl/>
        <w:spacing w:line="400" w:lineRule="exact"/>
        <w:ind w:firstLine="422" w:firstLineChars="200"/>
        <w:jc w:val="left"/>
        <w:rPr>
          <w:rFonts w:ascii="宋体" w:hAnsi="宋体" w:cs="宋体"/>
          <w:bCs/>
          <w:szCs w:val="21"/>
        </w:rPr>
      </w:pPr>
      <w:r>
        <w:rPr>
          <w:rFonts w:hint="eastAsia" w:ascii="宋体" w:hAnsi="宋体" w:cs="宋体"/>
          <w:b/>
          <w:bCs/>
          <w:szCs w:val="21"/>
        </w:rPr>
        <w:t>买方</w:t>
      </w:r>
      <w:r>
        <w:rPr>
          <w:rFonts w:hint="eastAsia" w:ascii="宋体" w:hAnsi="宋体" w:cs="宋体"/>
          <w:bCs/>
          <w:szCs w:val="21"/>
        </w:rPr>
        <w:t>：</w:t>
      </w:r>
      <w:r>
        <w:rPr>
          <w:rFonts w:hint="eastAsia" w:ascii="宋体" w:hAnsi="宋体" w:cs="宋体"/>
          <w:bCs/>
          <w:szCs w:val="21"/>
          <w:u w:val="single"/>
          <w:lang w:val="en-US" w:eastAsia="zh-CN"/>
        </w:rPr>
        <w:t xml:space="preserve">                   </w:t>
      </w:r>
      <w:r>
        <w:rPr>
          <w:rFonts w:hint="eastAsia" w:ascii="宋体" w:hAnsi="宋体" w:cs="宋体"/>
          <w:bCs/>
          <w:szCs w:val="21"/>
        </w:rPr>
        <w:t>（以下简称甲方）</w:t>
      </w:r>
    </w:p>
    <w:p w14:paraId="71E36FE0">
      <w:pPr>
        <w:widowControl/>
        <w:spacing w:line="400" w:lineRule="exact"/>
        <w:ind w:firstLine="422" w:firstLineChars="200"/>
        <w:jc w:val="left"/>
        <w:rPr>
          <w:rFonts w:hint="eastAsia" w:ascii="宋体" w:hAnsi="宋体" w:cs="宋体"/>
          <w:bCs/>
          <w:szCs w:val="21"/>
        </w:rPr>
      </w:pPr>
      <w:r>
        <w:rPr>
          <w:rFonts w:hint="eastAsia" w:ascii="宋体" w:hAnsi="宋体" w:cs="宋体"/>
          <w:b/>
          <w:bCs/>
          <w:szCs w:val="21"/>
        </w:rPr>
        <w:t>卖方</w:t>
      </w:r>
      <w:r>
        <w:rPr>
          <w:rFonts w:hint="eastAsia" w:ascii="宋体" w:hAnsi="宋体" w:cs="宋体"/>
          <w:bCs/>
          <w:szCs w:val="21"/>
        </w:rPr>
        <w:t>：</w:t>
      </w:r>
      <w:r>
        <w:rPr>
          <w:rFonts w:hint="eastAsia" w:ascii="宋体" w:hAnsi="宋体" w:cs="宋体"/>
          <w:bCs/>
          <w:szCs w:val="21"/>
          <w:u w:val="single"/>
          <w:lang w:val="en-US" w:eastAsia="zh-CN"/>
        </w:rPr>
        <w:t xml:space="preserve">                   </w:t>
      </w:r>
      <w:r>
        <w:rPr>
          <w:rFonts w:hint="eastAsia" w:ascii="宋体" w:hAnsi="宋体" w:cs="宋体"/>
          <w:bCs/>
          <w:szCs w:val="21"/>
        </w:rPr>
        <w:t>（以下简称乙方）</w:t>
      </w:r>
    </w:p>
    <w:p w14:paraId="0D9E3AB7">
      <w:pPr>
        <w:widowControl/>
        <w:spacing w:line="400" w:lineRule="exact"/>
        <w:ind w:firstLine="422" w:firstLineChars="200"/>
        <w:jc w:val="left"/>
        <w:rPr>
          <w:rFonts w:hint="eastAsia" w:ascii="宋体" w:hAnsi="宋体" w:cs="宋体"/>
          <w:b w:val="0"/>
          <w:bCs w:val="0"/>
          <w:szCs w:val="21"/>
        </w:rPr>
      </w:pPr>
      <w:r>
        <w:rPr>
          <w:rFonts w:hint="eastAsia" w:ascii="宋体" w:hAnsi="宋体" w:cs="宋体"/>
          <w:b/>
          <w:bCs/>
          <w:szCs w:val="21"/>
          <w:lang w:val="en-US" w:eastAsia="zh-CN"/>
        </w:rPr>
        <w:t>卖方企业类型：</w:t>
      </w:r>
      <w:r>
        <w:rPr>
          <w:rFonts w:hint="eastAsia" w:ascii="宋体" w:hAnsi="宋体" w:cs="宋体"/>
          <w:b w:val="0"/>
          <w:bCs w:val="0"/>
          <w:szCs w:val="21"/>
          <w:u w:val="single"/>
          <w:lang w:val="en-US" w:eastAsia="zh-CN"/>
        </w:rPr>
        <w:t>详见附件二企业类型声明书</w:t>
      </w:r>
    </w:p>
    <w:p w14:paraId="78767963">
      <w:pPr>
        <w:spacing w:line="400" w:lineRule="exact"/>
        <w:ind w:firstLine="420" w:firstLineChars="200"/>
        <w:jc w:val="left"/>
        <w:rPr>
          <w:rFonts w:hint="eastAsia" w:ascii="宋体" w:hAnsi="宋体"/>
          <w:b w:val="0"/>
          <w:bCs/>
          <w:szCs w:val="21"/>
        </w:rPr>
      </w:pPr>
      <w:r>
        <w:rPr>
          <w:rFonts w:hint="eastAsia" w:ascii="宋体" w:hAnsi="宋体"/>
          <w:b w:val="0"/>
          <w:bCs/>
          <w:szCs w:val="21"/>
        </w:rPr>
        <w:t>根据《中华人民共和国</w:t>
      </w:r>
      <w:r>
        <w:rPr>
          <w:rFonts w:hint="eastAsia" w:ascii="宋体" w:hAnsi="宋体"/>
          <w:b w:val="0"/>
          <w:bCs/>
          <w:szCs w:val="21"/>
          <w:lang w:eastAsia="zh-CN"/>
        </w:rPr>
        <w:t>民法典</w:t>
      </w:r>
      <w:r>
        <w:rPr>
          <w:rFonts w:hint="eastAsia" w:ascii="宋体" w:hAnsi="宋体"/>
          <w:b w:val="0"/>
          <w:bCs/>
          <w:szCs w:val="21"/>
        </w:rPr>
        <w:t>》及有关法律法规，在平等、自愿、公平和诚实信用的基础上，经双方协商一致，订立本合同。</w:t>
      </w:r>
    </w:p>
    <w:p w14:paraId="418AEFD7">
      <w:pPr>
        <w:pStyle w:val="13"/>
        <w:keepNext/>
        <w:keepLines/>
        <w:numPr>
          <w:ilvl w:val="0"/>
          <w:numId w:val="0"/>
        </w:numPr>
        <w:spacing w:line="390" w:lineRule="exact"/>
        <w:ind w:leftChars="0" w:firstLine="422" w:firstLineChars="200"/>
        <w:outlineLvl w:val="0"/>
        <w:rPr>
          <w:rFonts w:hint="default"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第一条 产品名称、型号规格、数量、价格等</w:t>
      </w:r>
    </w:p>
    <w:tbl>
      <w:tblPr>
        <w:tblStyle w:val="6"/>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775"/>
        <w:gridCol w:w="750"/>
        <w:gridCol w:w="625"/>
        <w:gridCol w:w="647"/>
        <w:gridCol w:w="1277"/>
        <w:gridCol w:w="1276"/>
        <w:gridCol w:w="1136"/>
        <w:gridCol w:w="990"/>
        <w:gridCol w:w="709"/>
        <w:gridCol w:w="567"/>
      </w:tblGrid>
      <w:tr w14:paraId="5C08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600" w:type="dxa"/>
            <w:vAlign w:val="center"/>
          </w:tcPr>
          <w:p w14:paraId="315A74D5">
            <w:pPr>
              <w:spacing w:line="390" w:lineRule="exact"/>
              <w:jc w:val="center"/>
              <w:rPr>
                <w:rFonts w:ascii="宋体" w:hAnsi="宋体"/>
                <w:bCs/>
                <w:sz w:val="21"/>
                <w:szCs w:val="21"/>
              </w:rPr>
            </w:pPr>
            <w:r>
              <w:rPr>
                <w:rFonts w:hint="eastAsia" w:ascii="宋体" w:hAnsi="宋体"/>
                <w:bCs/>
                <w:sz w:val="21"/>
                <w:szCs w:val="21"/>
              </w:rPr>
              <w:t>序号</w:t>
            </w:r>
          </w:p>
        </w:tc>
        <w:tc>
          <w:tcPr>
            <w:tcW w:w="775" w:type="dxa"/>
            <w:vAlign w:val="center"/>
          </w:tcPr>
          <w:p w14:paraId="0DB36F9C">
            <w:pPr>
              <w:spacing w:line="390" w:lineRule="exact"/>
              <w:jc w:val="center"/>
              <w:rPr>
                <w:rFonts w:ascii="宋体" w:hAnsi="宋体"/>
                <w:bCs/>
                <w:sz w:val="21"/>
                <w:szCs w:val="21"/>
              </w:rPr>
            </w:pPr>
            <w:r>
              <w:rPr>
                <w:rFonts w:hint="eastAsia" w:ascii="宋体" w:hAnsi="宋体"/>
                <w:bCs/>
                <w:sz w:val="21"/>
                <w:szCs w:val="21"/>
              </w:rPr>
              <w:t>物资</w:t>
            </w:r>
            <w:r>
              <w:rPr>
                <w:rFonts w:ascii="宋体" w:hAnsi="宋体"/>
                <w:bCs/>
                <w:sz w:val="21"/>
                <w:szCs w:val="21"/>
              </w:rPr>
              <w:t>名称</w:t>
            </w:r>
          </w:p>
        </w:tc>
        <w:tc>
          <w:tcPr>
            <w:tcW w:w="750" w:type="dxa"/>
            <w:vAlign w:val="center"/>
          </w:tcPr>
          <w:p w14:paraId="0B540A67">
            <w:pPr>
              <w:spacing w:line="390" w:lineRule="exact"/>
              <w:jc w:val="center"/>
              <w:rPr>
                <w:rFonts w:ascii="宋体" w:hAnsi="宋体"/>
                <w:bCs/>
                <w:sz w:val="21"/>
                <w:szCs w:val="21"/>
              </w:rPr>
            </w:pPr>
            <w:r>
              <w:rPr>
                <w:rFonts w:ascii="宋体" w:hAnsi="宋体"/>
                <w:bCs/>
                <w:sz w:val="21"/>
                <w:szCs w:val="21"/>
              </w:rPr>
              <w:t>规格</w:t>
            </w:r>
          </w:p>
          <w:p w14:paraId="35906EB0">
            <w:pPr>
              <w:spacing w:line="390" w:lineRule="exact"/>
              <w:jc w:val="center"/>
              <w:rPr>
                <w:rFonts w:ascii="宋体" w:hAnsi="宋体"/>
                <w:bCs/>
                <w:sz w:val="21"/>
                <w:szCs w:val="21"/>
              </w:rPr>
            </w:pPr>
            <w:r>
              <w:rPr>
                <w:rFonts w:hint="eastAsia" w:ascii="宋体" w:hAnsi="宋体"/>
                <w:bCs/>
                <w:sz w:val="21"/>
                <w:szCs w:val="21"/>
              </w:rPr>
              <w:t>型号</w:t>
            </w:r>
          </w:p>
        </w:tc>
        <w:tc>
          <w:tcPr>
            <w:tcW w:w="625" w:type="dxa"/>
            <w:vAlign w:val="center"/>
          </w:tcPr>
          <w:p w14:paraId="10B3BC0D">
            <w:pPr>
              <w:spacing w:line="390" w:lineRule="exact"/>
              <w:jc w:val="center"/>
              <w:rPr>
                <w:rFonts w:ascii="宋体" w:hAnsi="宋体"/>
                <w:bCs/>
                <w:sz w:val="21"/>
                <w:szCs w:val="21"/>
              </w:rPr>
            </w:pPr>
            <w:r>
              <w:rPr>
                <w:rFonts w:ascii="宋体" w:hAnsi="宋体"/>
                <w:bCs/>
                <w:sz w:val="21"/>
                <w:szCs w:val="21"/>
              </w:rPr>
              <w:t>单位</w:t>
            </w:r>
          </w:p>
        </w:tc>
        <w:tc>
          <w:tcPr>
            <w:tcW w:w="647" w:type="dxa"/>
            <w:vAlign w:val="center"/>
          </w:tcPr>
          <w:p w14:paraId="3D2623DA">
            <w:pPr>
              <w:spacing w:line="390" w:lineRule="exact"/>
              <w:jc w:val="center"/>
              <w:rPr>
                <w:rFonts w:ascii="宋体" w:hAnsi="宋体"/>
                <w:bCs/>
                <w:sz w:val="21"/>
                <w:szCs w:val="21"/>
              </w:rPr>
            </w:pPr>
            <w:r>
              <w:rPr>
                <w:rFonts w:ascii="宋体" w:hAnsi="宋体"/>
                <w:bCs/>
                <w:sz w:val="21"/>
                <w:szCs w:val="21"/>
              </w:rPr>
              <w:t>数量</w:t>
            </w:r>
          </w:p>
        </w:tc>
        <w:tc>
          <w:tcPr>
            <w:tcW w:w="1277" w:type="dxa"/>
            <w:vAlign w:val="center"/>
          </w:tcPr>
          <w:p w14:paraId="0BF48299">
            <w:pPr>
              <w:spacing w:line="390" w:lineRule="exact"/>
              <w:jc w:val="center"/>
              <w:rPr>
                <w:rFonts w:ascii="宋体" w:hAnsi="宋体"/>
                <w:bCs/>
                <w:sz w:val="21"/>
                <w:szCs w:val="21"/>
              </w:rPr>
            </w:pPr>
            <w:r>
              <w:rPr>
                <w:rFonts w:hint="eastAsia" w:ascii="宋体" w:hAnsi="宋体"/>
                <w:bCs/>
                <w:sz w:val="21"/>
                <w:szCs w:val="21"/>
              </w:rPr>
              <w:t>不含增值税单价（元）</w:t>
            </w:r>
          </w:p>
        </w:tc>
        <w:tc>
          <w:tcPr>
            <w:tcW w:w="1276" w:type="dxa"/>
            <w:vAlign w:val="center"/>
          </w:tcPr>
          <w:p w14:paraId="4B96C012">
            <w:pPr>
              <w:spacing w:line="390" w:lineRule="exact"/>
              <w:jc w:val="center"/>
              <w:rPr>
                <w:rFonts w:ascii="宋体" w:hAnsi="宋体"/>
                <w:bCs/>
                <w:sz w:val="21"/>
                <w:szCs w:val="21"/>
              </w:rPr>
            </w:pPr>
            <w:r>
              <w:rPr>
                <w:rFonts w:hint="eastAsia" w:ascii="宋体" w:hAnsi="宋体"/>
                <w:bCs/>
                <w:sz w:val="21"/>
                <w:szCs w:val="21"/>
              </w:rPr>
              <w:t>不含增值税</w:t>
            </w:r>
            <w:r>
              <w:rPr>
                <w:rFonts w:ascii="宋体" w:hAnsi="宋体"/>
                <w:bCs/>
                <w:sz w:val="21"/>
                <w:szCs w:val="21"/>
              </w:rPr>
              <w:t>总价</w:t>
            </w:r>
            <w:r>
              <w:rPr>
                <w:rFonts w:hint="eastAsia" w:ascii="宋体" w:hAnsi="宋体"/>
                <w:bCs/>
                <w:sz w:val="21"/>
                <w:szCs w:val="21"/>
              </w:rPr>
              <w:t>（元）</w:t>
            </w:r>
          </w:p>
        </w:tc>
        <w:tc>
          <w:tcPr>
            <w:tcW w:w="1136" w:type="dxa"/>
            <w:vAlign w:val="center"/>
          </w:tcPr>
          <w:p w14:paraId="339A9794">
            <w:pPr>
              <w:spacing w:line="390" w:lineRule="exact"/>
              <w:jc w:val="center"/>
              <w:rPr>
                <w:rFonts w:ascii="宋体" w:hAnsi="宋体"/>
                <w:bCs/>
                <w:sz w:val="21"/>
                <w:szCs w:val="21"/>
              </w:rPr>
            </w:pPr>
            <w:r>
              <w:rPr>
                <w:rFonts w:hint="eastAsia" w:ascii="宋体" w:hAnsi="宋体"/>
                <w:bCs/>
                <w:sz w:val="21"/>
                <w:szCs w:val="21"/>
              </w:rPr>
              <w:t>含增值税单价（元）</w:t>
            </w:r>
          </w:p>
        </w:tc>
        <w:tc>
          <w:tcPr>
            <w:tcW w:w="990" w:type="dxa"/>
            <w:vAlign w:val="center"/>
          </w:tcPr>
          <w:p w14:paraId="4E3F3746">
            <w:pPr>
              <w:spacing w:line="390" w:lineRule="exact"/>
              <w:jc w:val="center"/>
              <w:rPr>
                <w:rFonts w:ascii="宋体" w:hAnsi="宋体"/>
                <w:bCs/>
                <w:sz w:val="21"/>
                <w:szCs w:val="21"/>
              </w:rPr>
            </w:pPr>
            <w:r>
              <w:rPr>
                <w:rFonts w:hint="eastAsia" w:ascii="宋体" w:hAnsi="宋体"/>
                <w:bCs/>
                <w:sz w:val="21"/>
                <w:szCs w:val="21"/>
              </w:rPr>
              <w:t>含增值税</w:t>
            </w:r>
            <w:r>
              <w:rPr>
                <w:rFonts w:ascii="宋体" w:hAnsi="宋体"/>
                <w:bCs/>
                <w:sz w:val="21"/>
                <w:szCs w:val="21"/>
              </w:rPr>
              <w:t>总价</w:t>
            </w:r>
            <w:r>
              <w:rPr>
                <w:rFonts w:hint="eastAsia" w:ascii="宋体" w:hAnsi="宋体"/>
                <w:bCs/>
                <w:sz w:val="21"/>
                <w:szCs w:val="21"/>
              </w:rPr>
              <w:t>（元）</w:t>
            </w:r>
          </w:p>
        </w:tc>
        <w:tc>
          <w:tcPr>
            <w:tcW w:w="709" w:type="dxa"/>
            <w:vAlign w:val="center"/>
          </w:tcPr>
          <w:p w14:paraId="7F6B865B">
            <w:pPr>
              <w:spacing w:line="390" w:lineRule="exact"/>
              <w:jc w:val="center"/>
              <w:rPr>
                <w:rFonts w:ascii="宋体" w:hAnsi="宋体"/>
                <w:bCs/>
                <w:sz w:val="21"/>
                <w:szCs w:val="21"/>
              </w:rPr>
            </w:pPr>
            <w:r>
              <w:rPr>
                <w:rFonts w:hint="eastAsia" w:ascii="宋体" w:hAnsi="宋体"/>
                <w:bCs/>
                <w:sz w:val="21"/>
                <w:szCs w:val="21"/>
              </w:rPr>
              <w:t>生产厂家</w:t>
            </w:r>
          </w:p>
        </w:tc>
        <w:tc>
          <w:tcPr>
            <w:tcW w:w="567" w:type="dxa"/>
            <w:vAlign w:val="center"/>
          </w:tcPr>
          <w:p w14:paraId="024DF54F">
            <w:pPr>
              <w:spacing w:line="390" w:lineRule="exact"/>
              <w:jc w:val="center"/>
              <w:rPr>
                <w:rFonts w:ascii="宋体" w:hAnsi="宋体"/>
                <w:bCs/>
                <w:sz w:val="21"/>
                <w:szCs w:val="21"/>
              </w:rPr>
            </w:pPr>
            <w:r>
              <w:rPr>
                <w:rFonts w:hint="eastAsia" w:ascii="宋体" w:hAnsi="宋体"/>
                <w:bCs/>
                <w:sz w:val="21"/>
                <w:szCs w:val="21"/>
              </w:rPr>
              <w:t>备注</w:t>
            </w:r>
          </w:p>
        </w:tc>
      </w:tr>
      <w:tr w14:paraId="5D64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00" w:type="dxa"/>
            <w:vAlign w:val="center"/>
          </w:tcPr>
          <w:p w14:paraId="2F99D400">
            <w:pPr>
              <w:spacing w:line="390" w:lineRule="exact"/>
              <w:jc w:val="center"/>
              <w:rPr>
                <w:rFonts w:ascii="宋体" w:hAnsi="宋体"/>
                <w:sz w:val="21"/>
                <w:szCs w:val="21"/>
              </w:rPr>
            </w:pPr>
          </w:p>
        </w:tc>
        <w:tc>
          <w:tcPr>
            <w:tcW w:w="775" w:type="dxa"/>
            <w:vAlign w:val="center"/>
          </w:tcPr>
          <w:p w14:paraId="34377C29">
            <w:pPr>
              <w:spacing w:line="390" w:lineRule="exact"/>
              <w:rPr>
                <w:rFonts w:ascii="宋体" w:hAnsi="宋体"/>
                <w:sz w:val="21"/>
                <w:szCs w:val="21"/>
              </w:rPr>
            </w:pPr>
          </w:p>
        </w:tc>
        <w:tc>
          <w:tcPr>
            <w:tcW w:w="750" w:type="dxa"/>
            <w:vAlign w:val="center"/>
          </w:tcPr>
          <w:p w14:paraId="2511F946">
            <w:pPr>
              <w:spacing w:line="390" w:lineRule="exact"/>
              <w:rPr>
                <w:rFonts w:ascii="宋体" w:hAnsi="宋体"/>
                <w:sz w:val="21"/>
                <w:szCs w:val="21"/>
              </w:rPr>
            </w:pPr>
          </w:p>
        </w:tc>
        <w:tc>
          <w:tcPr>
            <w:tcW w:w="625" w:type="dxa"/>
            <w:vAlign w:val="center"/>
          </w:tcPr>
          <w:p w14:paraId="3AF51C3C">
            <w:pPr>
              <w:spacing w:line="390" w:lineRule="exact"/>
              <w:rPr>
                <w:rFonts w:ascii="宋体" w:hAnsi="宋体"/>
                <w:sz w:val="21"/>
                <w:szCs w:val="21"/>
              </w:rPr>
            </w:pPr>
          </w:p>
        </w:tc>
        <w:tc>
          <w:tcPr>
            <w:tcW w:w="647" w:type="dxa"/>
            <w:vAlign w:val="center"/>
          </w:tcPr>
          <w:p w14:paraId="0C08599F">
            <w:pPr>
              <w:spacing w:line="390" w:lineRule="exact"/>
              <w:rPr>
                <w:rFonts w:ascii="宋体" w:hAnsi="宋体"/>
                <w:sz w:val="21"/>
                <w:szCs w:val="21"/>
              </w:rPr>
            </w:pPr>
          </w:p>
        </w:tc>
        <w:tc>
          <w:tcPr>
            <w:tcW w:w="1277" w:type="dxa"/>
            <w:vAlign w:val="center"/>
          </w:tcPr>
          <w:p w14:paraId="39314B2A">
            <w:pPr>
              <w:spacing w:line="390" w:lineRule="exact"/>
              <w:rPr>
                <w:rFonts w:ascii="宋体" w:hAnsi="宋体"/>
                <w:sz w:val="21"/>
                <w:szCs w:val="21"/>
              </w:rPr>
            </w:pPr>
          </w:p>
        </w:tc>
        <w:tc>
          <w:tcPr>
            <w:tcW w:w="1276" w:type="dxa"/>
            <w:vAlign w:val="center"/>
          </w:tcPr>
          <w:p w14:paraId="6927A9C4">
            <w:pPr>
              <w:spacing w:line="390" w:lineRule="exact"/>
              <w:rPr>
                <w:rFonts w:ascii="宋体" w:hAnsi="宋体"/>
                <w:sz w:val="21"/>
                <w:szCs w:val="21"/>
              </w:rPr>
            </w:pPr>
          </w:p>
        </w:tc>
        <w:tc>
          <w:tcPr>
            <w:tcW w:w="1136" w:type="dxa"/>
          </w:tcPr>
          <w:p w14:paraId="2EF9D457">
            <w:pPr>
              <w:spacing w:line="390" w:lineRule="exact"/>
              <w:rPr>
                <w:rFonts w:ascii="宋体" w:hAnsi="宋体"/>
                <w:sz w:val="21"/>
                <w:szCs w:val="21"/>
              </w:rPr>
            </w:pPr>
          </w:p>
        </w:tc>
        <w:tc>
          <w:tcPr>
            <w:tcW w:w="990" w:type="dxa"/>
          </w:tcPr>
          <w:p w14:paraId="2B30A646">
            <w:pPr>
              <w:spacing w:line="390" w:lineRule="exact"/>
              <w:rPr>
                <w:rFonts w:ascii="宋体" w:hAnsi="宋体"/>
                <w:sz w:val="21"/>
                <w:szCs w:val="21"/>
              </w:rPr>
            </w:pPr>
          </w:p>
        </w:tc>
        <w:tc>
          <w:tcPr>
            <w:tcW w:w="709" w:type="dxa"/>
          </w:tcPr>
          <w:p w14:paraId="325515C4">
            <w:pPr>
              <w:spacing w:line="390" w:lineRule="exact"/>
              <w:rPr>
                <w:rFonts w:ascii="宋体" w:hAnsi="宋体"/>
                <w:sz w:val="21"/>
                <w:szCs w:val="21"/>
              </w:rPr>
            </w:pPr>
          </w:p>
        </w:tc>
        <w:tc>
          <w:tcPr>
            <w:tcW w:w="567" w:type="dxa"/>
            <w:vAlign w:val="center"/>
          </w:tcPr>
          <w:p w14:paraId="7AAECFE9">
            <w:pPr>
              <w:spacing w:line="390" w:lineRule="exact"/>
              <w:rPr>
                <w:rFonts w:ascii="宋体" w:hAnsi="宋体"/>
                <w:sz w:val="21"/>
                <w:szCs w:val="21"/>
              </w:rPr>
            </w:pPr>
          </w:p>
        </w:tc>
      </w:tr>
      <w:tr w14:paraId="0C24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00" w:type="dxa"/>
            <w:vAlign w:val="center"/>
          </w:tcPr>
          <w:p w14:paraId="792CEEC0">
            <w:pPr>
              <w:spacing w:line="390" w:lineRule="exact"/>
              <w:jc w:val="center"/>
              <w:rPr>
                <w:rFonts w:ascii="宋体" w:hAnsi="宋体"/>
                <w:sz w:val="21"/>
                <w:szCs w:val="21"/>
              </w:rPr>
            </w:pPr>
          </w:p>
        </w:tc>
        <w:tc>
          <w:tcPr>
            <w:tcW w:w="775" w:type="dxa"/>
            <w:vAlign w:val="center"/>
          </w:tcPr>
          <w:p w14:paraId="6702AF9F">
            <w:pPr>
              <w:spacing w:line="390" w:lineRule="exact"/>
              <w:rPr>
                <w:rFonts w:ascii="宋体" w:hAnsi="宋体"/>
                <w:sz w:val="21"/>
                <w:szCs w:val="21"/>
              </w:rPr>
            </w:pPr>
          </w:p>
        </w:tc>
        <w:tc>
          <w:tcPr>
            <w:tcW w:w="750" w:type="dxa"/>
            <w:vAlign w:val="center"/>
          </w:tcPr>
          <w:p w14:paraId="06C9E730">
            <w:pPr>
              <w:spacing w:line="390" w:lineRule="exact"/>
              <w:rPr>
                <w:rFonts w:ascii="宋体" w:hAnsi="宋体"/>
                <w:sz w:val="21"/>
                <w:szCs w:val="21"/>
              </w:rPr>
            </w:pPr>
          </w:p>
        </w:tc>
        <w:tc>
          <w:tcPr>
            <w:tcW w:w="625" w:type="dxa"/>
            <w:vAlign w:val="center"/>
          </w:tcPr>
          <w:p w14:paraId="21FFB7E0">
            <w:pPr>
              <w:spacing w:line="390" w:lineRule="exact"/>
              <w:rPr>
                <w:rFonts w:ascii="宋体" w:hAnsi="宋体"/>
                <w:sz w:val="21"/>
                <w:szCs w:val="21"/>
              </w:rPr>
            </w:pPr>
          </w:p>
        </w:tc>
        <w:tc>
          <w:tcPr>
            <w:tcW w:w="647" w:type="dxa"/>
            <w:vAlign w:val="center"/>
          </w:tcPr>
          <w:p w14:paraId="223C892B">
            <w:pPr>
              <w:spacing w:line="390" w:lineRule="exact"/>
              <w:rPr>
                <w:rFonts w:ascii="宋体" w:hAnsi="宋体"/>
                <w:sz w:val="21"/>
                <w:szCs w:val="21"/>
              </w:rPr>
            </w:pPr>
          </w:p>
        </w:tc>
        <w:tc>
          <w:tcPr>
            <w:tcW w:w="1277" w:type="dxa"/>
            <w:vAlign w:val="center"/>
          </w:tcPr>
          <w:p w14:paraId="09CD6B72">
            <w:pPr>
              <w:spacing w:line="390" w:lineRule="exact"/>
              <w:rPr>
                <w:rFonts w:ascii="宋体" w:hAnsi="宋体"/>
                <w:sz w:val="21"/>
                <w:szCs w:val="21"/>
              </w:rPr>
            </w:pPr>
          </w:p>
        </w:tc>
        <w:tc>
          <w:tcPr>
            <w:tcW w:w="1276" w:type="dxa"/>
            <w:vAlign w:val="center"/>
          </w:tcPr>
          <w:p w14:paraId="07501D70">
            <w:pPr>
              <w:spacing w:line="390" w:lineRule="exact"/>
              <w:rPr>
                <w:rFonts w:ascii="宋体" w:hAnsi="宋体"/>
                <w:sz w:val="21"/>
                <w:szCs w:val="21"/>
              </w:rPr>
            </w:pPr>
          </w:p>
        </w:tc>
        <w:tc>
          <w:tcPr>
            <w:tcW w:w="1136" w:type="dxa"/>
          </w:tcPr>
          <w:p w14:paraId="1FF60E2C">
            <w:pPr>
              <w:spacing w:line="390" w:lineRule="exact"/>
              <w:rPr>
                <w:rFonts w:ascii="宋体" w:hAnsi="宋体"/>
                <w:sz w:val="21"/>
                <w:szCs w:val="21"/>
              </w:rPr>
            </w:pPr>
          </w:p>
        </w:tc>
        <w:tc>
          <w:tcPr>
            <w:tcW w:w="990" w:type="dxa"/>
          </w:tcPr>
          <w:p w14:paraId="7A33C864">
            <w:pPr>
              <w:spacing w:line="390" w:lineRule="exact"/>
              <w:rPr>
                <w:rFonts w:ascii="宋体" w:hAnsi="宋体"/>
                <w:sz w:val="21"/>
                <w:szCs w:val="21"/>
              </w:rPr>
            </w:pPr>
          </w:p>
        </w:tc>
        <w:tc>
          <w:tcPr>
            <w:tcW w:w="709" w:type="dxa"/>
          </w:tcPr>
          <w:p w14:paraId="0D2CA7D4">
            <w:pPr>
              <w:spacing w:line="390" w:lineRule="exact"/>
              <w:rPr>
                <w:rFonts w:ascii="宋体" w:hAnsi="宋体"/>
                <w:sz w:val="21"/>
                <w:szCs w:val="21"/>
              </w:rPr>
            </w:pPr>
          </w:p>
        </w:tc>
        <w:tc>
          <w:tcPr>
            <w:tcW w:w="567" w:type="dxa"/>
            <w:vAlign w:val="center"/>
          </w:tcPr>
          <w:p w14:paraId="2C0AA79F">
            <w:pPr>
              <w:spacing w:line="390" w:lineRule="exact"/>
              <w:rPr>
                <w:rFonts w:ascii="宋体" w:hAnsi="宋体"/>
                <w:sz w:val="21"/>
                <w:szCs w:val="21"/>
              </w:rPr>
            </w:pPr>
          </w:p>
        </w:tc>
      </w:tr>
      <w:tr w14:paraId="46F6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375" w:type="dxa"/>
            <w:gridSpan w:val="2"/>
            <w:vAlign w:val="center"/>
          </w:tcPr>
          <w:p w14:paraId="1F1D0CC0">
            <w:pPr>
              <w:spacing w:line="390" w:lineRule="exact"/>
              <w:jc w:val="center"/>
              <w:rPr>
                <w:rFonts w:ascii="宋体" w:hAnsi="宋体"/>
                <w:sz w:val="21"/>
                <w:szCs w:val="21"/>
              </w:rPr>
            </w:pPr>
            <w:r>
              <w:rPr>
                <w:rFonts w:hint="eastAsia" w:ascii="宋体" w:hAnsi="宋体"/>
                <w:bCs/>
                <w:sz w:val="21"/>
                <w:szCs w:val="21"/>
              </w:rPr>
              <w:t>小计</w:t>
            </w:r>
          </w:p>
        </w:tc>
        <w:tc>
          <w:tcPr>
            <w:tcW w:w="750" w:type="dxa"/>
            <w:vAlign w:val="center"/>
          </w:tcPr>
          <w:p w14:paraId="3490D17C">
            <w:pPr>
              <w:spacing w:line="390" w:lineRule="exact"/>
              <w:rPr>
                <w:rFonts w:ascii="宋体" w:hAnsi="宋体"/>
                <w:sz w:val="21"/>
                <w:szCs w:val="21"/>
              </w:rPr>
            </w:pPr>
          </w:p>
        </w:tc>
        <w:tc>
          <w:tcPr>
            <w:tcW w:w="625" w:type="dxa"/>
            <w:vAlign w:val="center"/>
          </w:tcPr>
          <w:p w14:paraId="6117BEE0">
            <w:pPr>
              <w:spacing w:line="390" w:lineRule="exact"/>
              <w:rPr>
                <w:rFonts w:ascii="宋体" w:hAnsi="宋体"/>
                <w:sz w:val="21"/>
                <w:szCs w:val="21"/>
              </w:rPr>
            </w:pPr>
          </w:p>
        </w:tc>
        <w:tc>
          <w:tcPr>
            <w:tcW w:w="647" w:type="dxa"/>
            <w:vAlign w:val="center"/>
          </w:tcPr>
          <w:p w14:paraId="22FCE363">
            <w:pPr>
              <w:spacing w:line="390" w:lineRule="exact"/>
              <w:rPr>
                <w:rFonts w:ascii="宋体" w:hAnsi="宋体"/>
                <w:sz w:val="21"/>
                <w:szCs w:val="21"/>
              </w:rPr>
            </w:pPr>
          </w:p>
        </w:tc>
        <w:tc>
          <w:tcPr>
            <w:tcW w:w="1277" w:type="dxa"/>
            <w:vAlign w:val="center"/>
          </w:tcPr>
          <w:p w14:paraId="1AD1BAB7">
            <w:pPr>
              <w:spacing w:line="390" w:lineRule="exact"/>
              <w:rPr>
                <w:rFonts w:ascii="宋体" w:hAnsi="宋体"/>
                <w:sz w:val="21"/>
                <w:szCs w:val="21"/>
              </w:rPr>
            </w:pPr>
          </w:p>
        </w:tc>
        <w:tc>
          <w:tcPr>
            <w:tcW w:w="1276" w:type="dxa"/>
            <w:vAlign w:val="center"/>
          </w:tcPr>
          <w:p w14:paraId="4E1AB92C">
            <w:pPr>
              <w:spacing w:line="390" w:lineRule="exact"/>
              <w:rPr>
                <w:rFonts w:ascii="宋体" w:hAnsi="宋体"/>
                <w:sz w:val="21"/>
                <w:szCs w:val="21"/>
              </w:rPr>
            </w:pPr>
          </w:p>
        </w:tc>
        <w:tc>
          <w:tcPr>
            <w:tcW w:w="1136" w:type="dxa"/>
          </w:tcPr>
          <w:p w14:paraId="44A7FEA8">
            <w:pPr>
              <w:spacing w:line="390" w:lineRule="exact"/>
              <w:rPr>
                <w:rFonts w:ascii="宋体" w:hAnsi="宋体"/>
                <w:sz w:val="21"/>
                <w:szCs w:val="21"/>
              </w:rPr>
            </w:pPr>
          </w:p>
        </w:tc>
        <w:tc>
          <w:tcPr>
            <w:tcW w:w="990" w:type="dxa"/>
          </w:tcPr>
          <w:p w14:paraId="69A3487A">
            <w:pPr>
              <w:spacing w:line="390" w:lineRule="exact"/>
              <w:rPr>
                <w:rFonts w:ascii="宋体" w:hAnsi="宋体"/>
                <w:sz w:val="21"/>
                <w:szCs w:val="21"/>
              </w:rPr>
            </w:pPr>
          </w:p>
        </w:tc>
        <w:tc>
          <w:tcPr>
            <w:tcW w:w="709" w:type="dxa"/>
          </w:tcPr>
          <w:p w14:paraId="007728A8">
            <w:pPr>
              <w:spacing w:line="390" w:lineRule="exact"/>
              <w:rPr>
                <w:rFonts w:ascii="宋体" w:hAnsi="宋体"/>
                <w:sz w:val="21"/>
                <w:szCs w:val="21"/>
              </w:rPr>
            </w:pPr>
          </w:p>
        </w:tc>
        <w:tc>
          <w:tcPr>
            <w:tcW w:w="567" w:type="dxa"/>
            <w:vAlign w:val="center"/>
          </w:tcPr>
          <w:p w14:paraId="374B5A16">
            <w:pPr>
              <w:spacing w:line="390" w:lineRule="exact"/>
              <w:rPr>
                <w:rFonts w:ascii="宋体" w:hAnsi="宋体"/>
                <w:sz w:val="21"/>
                <w:szCs w:val="21"/>
              </w:rPr>
            </w:pPr>
          </w:p>
        </w:tc>
      </w:tr>
      <w:tr w14:paraId="3BE2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9352" w:type="dxa"/>
            <w:gridSpan w:val="11"/>
            <w:vAlign w:val="center"/>
          </w:tcPr>
          <w:p w14:paraId="69D91F73">
            <w:pPr>
              <w:spacing w:line="390" w:lineRule="exact"/>
              <w:rPr>
                <w:rFonts w:ascii="宋体" w:hAnsi="宋体"/>
                <w:sz w:val="21"/>
                <w:szCs w:val="21"/>
              </w:rPr>
            </w:pPr>
            <w:r>
              <w:rPr>
                <w:rFonts w:hint="eastAsia" w:ascii="宋体" w:hAnsi="宋体"/>
                <w:bCs/>
                <w:sz w:val="21"/>
                <w:szCs w:val="21"/>
              </w:rPr>
              <w:t>增值税税率为</w:t>
            </w:r>
            <w:r>
              <w:rPr>
                <w:rFonts w:hint="eastAsia" w:ascii="宋体" w:hAnsi="宋体"/>
                <w:bCs/>
                <w:sz w:val="21"/>
                <w:szCs w:val="21"/>
                <w:u w:val="single"/>
              </w:rPr>
              <w:t xml:space="preserve"> </w:t>
            </w:r>
            <w:r>
              <w:rPr>
                <w:rFonts w:ascii="宋体" w:hAnsi="宋体"/>
                <w:bCs/>
                <w:sz w:val="21"/>
                <w:szCs w:val="21"/>
                <w:u w:val="single"/>
              </w:rPr>
              <w:t xml:space="preserve">  </w:t>
            </w:r>
            <w:r>
              <w:rPr>
                <w:rFonts w:hint="eastAsia" w:ascii="宋体" w:hAnsi="宋体"/>
                <w:bCs/>
                <w:sz w:val="21"/>
                <w:szCs w:val="21"/>
                <w:u w:val="single"/>
              </w:rPr>
              <w:t xml:space="preserve">  </w:t>
            </w:r>
            <w:r>
              <w:rPr>
                <w:rFonts w:hint="eastAsia" w:ascii="宋体" w:hAnsi="宋体"/>
                <w:bCs/>
                <w:sz w:val="21"/>
                <w:szCs w:val="21"/>
              </w:rPr>
              <w:t>%，增值税额：</w:t>
            </w:r>
            <w:r>
              <w:rPr>
                <w:rFonts w:hint="eastAsia" w:ascii="宋体" w:hAnsi="宋体"/>
                <w:bCs/>
                <w:sz w:val="21"/>
                <w:szCs w:val="21"/>
                <w:u w:val="single"/>
              </w:rPr>
              <w:t xml:space="preserve">            </w:t>
            </w:r>
            <w:r>
              <w:rPr>
                <w:rFonts w:hint="eastAsia" w:ascii="宋体" w:hAnsi="宋体"/>
                <w:bCs/>
                <w:sz w:val="21"/>
                <w:szCs w:val="21"/>
              </w:rPr>
              <w:t>元。</w:t>
            </w:r>
          </w:p>
        </w:tc>
      </w:tr>
      <w:tr w14:paraId="4A28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9352" w:type="dxa"/>
            <w:gridSpan w:val="11"/>
            <w:vAlign w:val="center"/>
          </w:tcPr>
          <w:p w14:paraId="75218317">
            <w:pPr>
              <w:spacing w:line="390" w:lineRule="exact"/>
              <w:rPr>
                <w:rFonts w:ascii="宋体" w:hAnsi="宋体"/>
                <w:sz w:val="21"/>
                <w:szCs w:val="21"/>
              </w:rPr>
            </w:pPr>
            <w:r>
              <w:rPr>
                <w:rFonts w:ascii="宋体" w:hAnsi="宋体"/>
                <w:sz w:val="21"/>
                <w:szCs w:val="21"/>
              </w:rPr>
              <w:t>含增值税总价</w:t>
            </w:r>
            <w:r>
              <w:rPr>
                <w:rFonts w:hint="eastAsia" w:ascii="宋体" w:hAnsi="宋体"/>
                <w:sz w:val="21"/>
                <w:szCs w:val="21"/>
              </w:rPr>
              <w:t>（大写）：</w:t>
            </w:r>
            <w:r>
              <w:rPr>
                <w:rFonts w:hint="eastAsia" w:ascii="宋体" w:hAnsi="宋体"/>
                <w:sz w:val="21"/>
                <w:szCs w:val="21"/>
                <w:u w:val="single"/>
              </w:rPr>
              <w:t xml:space="preserve">                      </w:t>
            </w:r>
            <w:r>
              <w:rPr>
                <w:rFonts w:hint="eastAsia" w:ascii="宋体" w:hAnsi="宋体"/>
                <w:sz w:val="21"/>
                <w:szCs w:val="21"/>
              </w:rPr>
              <w:t xml:space="preserve"> （小写）：</w:t>
            </w:r>
            <w:r>
              <w:rPr>
                <w:rFonts w:hint="eastAsia" w:ascii="宋体" w:hAnsi="宋体"/>
                <w:sz w:val="21"/>
                <w:szCs w:val="21"/>
                <w:u w:val="single"/>
              </w:rPr>
              <w:t xml:space="preserve">                  </w:t>
            </w:r>
            <w:r>
              <w:rPr>
                <w:rFonts w:hint="eastAsia" w:ascii="宋体" w:hAnsi="宋体"/>
                <w:sz w:val="21"/>
                <w:szCs w:val="21"/>
              </w:rPr>
              <w:t>元。</w:t>
            </w:r>
          </w:p>
        </w:tc>
      </w:tr>
    </w:tbl>
    <w:p w14:paraId="75F21BE8">
      <w:pPr>
        <w:spacing w:line="440" w:lineRule="exact"/>
        <w:ind w:firstLine="420" w:firstLineChars="200"/>
        <w:jc w:val="left"/>
        <w:rPr>
          <w:rFonts w:hint="eastAsia" w:ascii="宋体" w:hAnsi="宋体" w:eastAsia="宋体" w:cs="Times New Roman"/>
          <w:szCs w:val="21"/>
        </w:rPr>
      </w:pPr>
      <w:r>
        <w:rPr>
          <w:rFonts w:hint="eastAsia" w:ascii="宋体" w:hAnsi="宋体" w:eastAsia="宋体" w:cs="Times New Roman"/>
          <w:szCs w:val="21"/>
          <w:lang w:val="en-US" w:eastAsia="zh-CN"/>
        </w:rPr>
        <w:t>1.1</w:t>
      </w:r>
      <w:r>
        <w:rPr>
          <w:rFonts w:hint="eastAsia" w:ascii="宋体" w:hAnsi="宋体" w:eastAsia="宋体" w:cs="Times New Roman"/>
          <w:szCs w:val="21"/>
        </w:rPr>
        <w:t>本合同暂定总价（含增值税）</w:t>
      </w:r>
      <w:r>
        <w:rPr>
          <w:rFonts w:hint="eastAsia" w:ascii="宋体" w:hAnsi="宋体" w:eastAsia="宋体" w:cs="Times New Roman"/>
          <w:szCs w:val="21"/>
          <w:u w:val="single"/>
        </w:rPr>
        <w:t xml:space="preserve">         </w:t>
      </w:r>
      <w:r>
        <w:rPr>
          <w:rFonts w:hint="eastAsia" w:ascii="宋体" w:hAnsi="宋体" w:eastAsia="宋体" w:cs="Times New Roman"/>
          <w:szCs w:val="21"/>
        </w:rPr>
        <w:t>元（大写：人民币</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元）。其中，不含增值税价款为 </w:t>
      </w:r>
      <w:r>
        <w:rPr>
          <w:rFonts w:hint="eastAsia" w:ascii="宋体" w:hAnsi="宋体" w:eastAsia="宋体" w:cs="Times New Roman"/>
          <w:szCs w:val="21"/>
          <w:u w:val="single"/>
        </w:rPr>
        <w:t xml:space="preserve">     </w:t>
      </w:r>
      <w:r>
        <w:rPr>
          <w:rFonts w:hint="eastAsia" w:ascii="宋体" w:hAnsi="宋体" w:eastAsia="宋体" w:cs="Times New Roman"/>
          <w:szCs w:val="21"/>
        </w:rPr>
        <w:t>元（大写：人民币</w:t>
      </w:r>
      <w:r>
        <w:rPr>
          <w:rFonts w:hint="eastAsia" w:ascii="宋体" w:hAnsi="宋体" w:eastAsia="宋体" w:cs="Times New Roman"/>
          <w:szCs w:val="21"/>
          <w:u w:val="single"/>
        </w:rPr>
        <w:t xml:space="preserve">     </w:t>
      </w:r>
      <w:r>
        <w:rPr>
          <w:rFonts w:hint="eastAsia" w:ascii="宋体" w:hAnsi="宋体" w:eastAsia="宋体" w:cs="Times New Roman"/>
          <w:szCs w:val="21"/>
        </w:rPr>
        <w:t>元），增值税税率为</w:t>
      </w:r>
      <w:r>
        <w:rPr>
          <w:rFonts w:hint="eastAsia" w:ascii="宋体" w:hAnsi="宋体" w:eastAsia="宋体" w:cs="Times New Roman"/>
          <w:szCs w:val="21"/>
          <w:u w:val="single"/>
        </w:rPr>
        <w:t xml:space="preserve">    </w:t>
      </w:r>
      <w:r>
        <w:rPr>
          <w:rFonts w:hint="eastAsia" w:ascii="宋体" w:hAnsi="宋体" w:eastAsia="宋体" w:cs="Times New Roman"/>
          <w:szCs w:val="21"/>
        </w:rPr>
        <w:t>%，增值税</w:t>
      </w:r>
      <w:r>
        <w:rPr>
          <w:rFonts w:hint="eastAsia" w:ascii="宋体" w:hAnsi="宋体" w:eastAsia="宋体" w:cs="Times New Roman"/>
          <w:szCs w:val="21"/>
          <w:u w:val="single"/>
        </w:rPr>
        <w:t xml:space="preserve">      </w:t>
      </w:r>
      <w:r>
        <w:rPr>
          <w:rFonts w:hint="eastAsia" w:ascii="宋体" w:hAnsi="宋体" w:eastAsia="宋体" w:cs="Times New Roman"/>
          <w:szCs w:val="21"/>
        </w:rPr>
        <w:t>元（大写：人民币</w:t>
      </w:r>
      <w:r>
        <w:rPr>
          <w:rFonts w:hint="eastAsia" w:ascii="宋体" w:hAnsi="宋体" w:eastAsia="宋体" w:cs="Times New Roman"/>
          <w:szCs w:val="21"/>
          <w:u w:val="single"/>
        </w:rPr>
        <w:t xml:space="preserve">      </w:t>
      </w:r>
      <w:r>
        <w:rPr>
          <w:rFonts w:hint="eastAsia" w:ascii="宋体" w:hAnsi="宋体" w:eastAsia="宋体" w:cs="Times New Roman"/>
          <w:szCs w:val="21"/>
        </w:rPr>
        <w:t>元）。若因国家税务政策变化导致税率调整，不含增值税价格不变，具体税金以变更后的税率计算。</w:t>
      </w:r>
    </w:p>
    <w:p w14:paraId="5251FA91">
      <w:pPr>
        <w:pStyle w:val="2"/>
        <w:ind w:firstLine="420" w:firstLineChars="200"/>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1.2 上述单价包括产品送达供货地点含入模在内的所有费用，包括产品成本（含利润）、运杂费（含装卸费）、保险费、协调费及所有其它费用；如乙方负责泵送则价格上调   元/立方米。若因国家税务政策变化导致税率调整，不含增值税价格不变，具体税金以变更后的税率计算。</w:t>
      </w:r>
    </w:p>
    <w:p w14:paraId="0A5A0B95">
      <w:pPr>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1.3表中单价为综合单价，系货物到达甲方指定交货地点的一切费用,包含出厂价、运杂费（含装吊、捆扎、运输、中转、卸货、仓储）、管理费、保险费、利润等费用，且合同价款已充分考虑支付条件、支付期限、支付方式等因素。</w:t>
      </w:r>
    </w:p>
    <w:p w14:paraId="15C5A853">
      <w:pPr>
        <w:pStyle w:val="2"/>
        <w:ind w:firstLine="420"/>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1.4此单价在合同履行期内不可调整。</w:t>
      </w:r>
    </w:p>
    <w:p w14:paraId="1F9BE26A">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1.5以上数量为暂定量，甲方可根据实际需要进行数量增减。甲方减少数量的，不属于违约；甲方增加数量的，乙方应按合同其他条款执行。结算以本合同第七条为准。</w:t>
      </w:r>
    </w:p>
    <w:p w14:paraId="5B89670F">
      <w:pPr>
        <w:ind w:firstLine="420"/>
        <w:rPr>
          <w:rFonts w:hint="default"/>
          <w:b/>
          <w:bCs/>
          <w:lang w:val="en-US" w:eastAsia="zh-CN"/>
        </w:rPr>
      </w:pPr>
      <w:r>
        <w:rPr>
          <w:rFonts w:hint="default"/>
          <w:b/>
          <w:bCs/>
          <w:lang w:val="en-US" w:eastAsia="zh-CN"/>
        </w:rPr>
        <w:t>第二条 合同供货期限</w:t>
      </w:r>
    </w:p>
    <w:p w14:paraId="4C5D1697">
      <w:pPr>
        <w:ind w:firstLine="420"/>
        <w:rPr>
          <w:rFonts w:hint="default"/>
          <w:lang w:val="en-US" w:eastAsia="zh-CN"/>
        </w:rPr>
      </w:pPr>
      <w:r>
        <w:rPr>
          <w:rFonts w:hint="default"/>
          <w:lang w:val="en-US" w:eastAsia="zh-CN"/>
        </w:rPr>
        <w:t>合同履行期限自    年   月   日至    年   月   日；该期限为暂定期限，甲方有权根据施工需要单方调整合同供货期限，但应提前</w:t>
      </w:r>
      <w:r>
        <w:rPr>
          <w:rFonts w:hint="default"/>
          <w:u w:val="single"/>
          <w:lang w:val="en-US" w:eastAsia="zh-CN"/>
        </w:rPr>
        <w:t xml:space="preserve">    </w:t>
      </w:r>
      <w:r>
        <w:rPr>
          <w:rFonts w:hint="default"/>
          <w:lang w:val="en-US" w:eastAsia="zh-CN"/>
        </w:rPr>
        <w:t>日通知乙方。</w:t>
      </w:r>
    </w:p>
    <w:p w14:paraId="74B38F09">
      <w:pPr>
        <w:ind w:firstLine="420"/>
        <w:rPr>
          <w:rFonts w:hint="default"/>
          <w:b/>
          <w:bCs/>
          <w:lang w:val="en-US" w:eastAsia="zh-CN"/>
        </w:rPr>
      </w:pPr>
      <w:r>
        <w:rPr>
          <w:rFonts w:hint="default"/>
          <w:b/>
          <w:bCs/>
          <w:lang w:val="en-US" w:eastAsia="zh-CN"/>
        </w:rPr>
        <w:t>第三条 交货时间、地点与方式</w:t>
      </w:r>
    </w:p>
    <w:p w14:paraId="0898CC09">
      <w:pPr>
        <w:ind w:firstLine="420"/>
        <w:rPr>
          <w:rFonts w:hint="default"/>
          <w:lang w:val="en-US" w:eastAsia="zh-CN"/>
        </w:rPr>
      </w:pPr>
      <w:r>
        <w:rPr>
          <w:rFonts w:hint="default" w:ascii="宋体" w:hAnsi="宋体" w:eastAsia="宋体" w:cs="Times New Roman"/>
          <w:b w:val="0"/>
          <w:bCs w:val="0"/>
          <w:kern w:val="2"/>
          <w:sz w:val="21"/>
          <w:szCs w:val="21"/>
          <w:lang w:val="en-US" w:eastAsia="zh-CN" w:bidi="ar-SA"/>
        </w:rPr>
        <w:t xml:space="preserve">3.1 </w:t>
      </w:r>
      <w:r>
        <w:rPr>
          <w:rFonts w:hint="default"/>
          <w:lang w:val="en-US" w:eastAsia="zh-CN"/>
        </w:rPr>
        <w:t>甲方于当月的</w:t>
      </w:r>
      <w:r>
        <w:rPr>
          <w:rFonts w:hint="default"/>
          <w:u w:val="single"/>
          <w:lang w:val="en-US" w:eastAsia="zh-CN"/>
        </w:rPr>
        <w:t xml:space="preserve">    </w:t>
      </w:r>
      <w:r>
        <w:rPr>
          <w:rFonts w:hint="default"/>
          <w:lang w:val="en-US" w:eastAsia="zh-CN"/>
        </w:rPr>
        <w:t>号前向乙方提供下月使用计划，每次提前</w:t>
      </w:r>
      <w:r>
        <w:rPr>
          <w:rFonts w:hint="default"/>
          <w:u w:val="single"/>
          <w:lang w:val="en-US" w:eastAsia="zh-CN"/>
        </w:rPr>
        <w:t xml:space="preserve">   </w:t>
      </w:r>
      <w:r>
        <w:rPr>
          <w:rFonts w:hint="default"/>
          <w:lang w:val="en-US" w:eastAsia="zh-CN"/>
        </w:rPr>
        <w:t>天预报使用混凝土标号、坍落度、用量、地点及时间至乙方，浇注前提前</w:t>
      </w:r>
      <w:r>
        <w:rPr>
          <w:rFonts w:hint="default"/>
          <w:u w:val="single"/>
          <w:lang w:val="en-US" w:eastAsia="zh-CN"/>
        </w:rPr>
        <w:t xml:space="preserve">    </w:t>
      </w:r>
      <w:r>
        <w:rPr>
          <w:rFonts w:hint="default"/>
          <w:lang w:val="en-US" w:eastAsia="zh-CN"/>
        </w:rPr>
        <w:t>小时正式通知乙方开盘时间。</w:t>
      </w:r>
    </w:p>
    <w:p w14:paraId="00FA19AE">
      <w:pPr>
        <w:ind w:firstLine="420"/>
        <w:rPr>
          <w:rFonts w:hint="default"/>
          <w:lang w:val="en-US" w:eastAsia="zh-CN"/>
        </w:rPr>
      </w:pPr>
      <w:r>
        <w:rPr>
          <w:rFonts w:hint="default" w:ascii="宋体" w:hAnsi="宋体" w:eastAsia="宋体" w:cs="Times New Roman"/>
          <w:b w:val="0"/>
          <w:bCs w:val="0"/>
          <w:kern w:val="2"/>
          <w:sz w:val="21"/>
          <w:szCs w:val="21"/>
          <w:lang w:val="en-US" w:eastAsia="zh-CN" w:bidi="ar-SA"/>
        </w:rPr>
        <w:t>3.2 交</w:t>
      </w:r>
      <w:r>
        <w:rPr>
          <w:rFonts w:hint="default"/>
          <w:lang w:val="en-US" w:eastAsia="zh-CN"/>
        </w:rPr>
        <w:t>货地点：</w:t>
      </w:r>
      <w:r>
        <w:rPr>
          <w:rFonts w:hint="eastAsia"/>
          <w:u w:val="single"/>
          <w:lang w:val="en-US" w:eastAsia="zh-CN"/>
        </w:rPr>
        <w:t xml:space="preserve">                          </w:t>
      </w:r>
      <w:r>
        <w:rPr>
          <w:rFonts w:hint="default"/>
          <w:lang w:val="en-US" w:eastAsia="zh-CN"/>
        </w:rPr>
        <w:t xml:space="preserve"> 。</w:t>
      </w:r>
    </w:p>
    <w:p w14:paraId="7631A912">
      <w:pPr>
        <w:ind w:firstLine="42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第四条 质量标准及相关要求</w:t>
      </w:r>
    </w:p>
    <w:p w14:paraId="06B760AC">
      <w:pPr>
        <w:ind w:firstLine="420"/>
        <w:rPr>
          <w:rFonts w:hint="default" w:ascii="Times New Roman" w:hAnsi="Times New Roman" w:eastAsia="宋体" w:cs="Times New Roman"/>
          <w:lang w:val="en-US" w:eastAsia="zh-CN"/>
        </w:rPr>
      </w:pPr>
      <w:r>
        <w:rPr>
          <w:rFonts w:hint="eastAsia" w:ascii="宋体" w:hAnsi="宋体" w:eastAsia="宋体" w:cs="Times New Roman"/>
          <w:b w:val="0"/>
          <w:bCs w:val="0"/>
          <w:kern w:val="2"/>
          <w:sz w:val="21"/>
          <w:szCs w:val="21"/>
          <w:lang w:val="en-US" w:eastAsia="zh-CN" w:bidi="ar-SA"/>
        </w:rPr>
        <w:t>4.1</w:t>
      </w:r>
      <w:r>
        <w:rPr>
          <w:rFonts w:hint="eastAsia" w:ascii="Times New Roman" w:hAnsi="Times New Roman" w:eastAsia="宋体" w:cs="Times New Roman"/>
          <w:lang w:val="en-US" w:eastAsia="zh-CN"/>
        </w:rPr>
        <w:t xml:space="preserve"> 混凝土原材料及各项质量指标符合：</w:t>
      </w:r>
      <w:r>
        <w:rPr>
          <w:rFonts w:hint="eastAsia" w:ascii="Times New Roman" w:hAnsi="Times New Roman" w:eastAsia="宋体" w:cs="Times New Roman"/>
          <w:u w:val="single"/>
          <w:lang w:val="en-US" w:eastAsia="zh-CN"/>
        </w:rPr>
        <w:t>国家标准GB/T 14902-2012、《铁路混凝土工程施工技术规程》Q/CR 9207-2017，、《铁路混凝土工程施工质量验收标准》TB10424-2010和施工工艺有关规定。</w:t>
      </w:r>
      <w:r>
        <w:rPr>
          <w:rFonts w:hint="eastAsia" w:ascii="Times New Roman" w:hAnsi="Times New Roman" w:eastAsia="宋体" w:cs="Times New Roman"/>
          <w:lang w:val="en-US" w:eastAsia="zh-CN"/>
        </w:rPr>
        <w:t>同时应符合施工工艺有关规定并取得甲方、监理同意。</w:t>
      </w:r>
    </w:p>
    <w:p w14:paraId="0DC351D5">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4.2 混凝土有关性能指标要求：以甲方书面通知为准。乙方所供混凝土应达到甲方所要求的力学性能、耐久性能和易性能、坍落度、初凝、终凝时间及其他性能要求，并按相关国家和行业标准进行检验合格。</w:t>
      </w:r>
    </w:p>
    <w:p w14:paraId="46ACAAAE">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4.3混凝土所用原材料均应满足如下要求：</w:t>
      </w:r>
      <w:r>
        <w:rPr>
          <w:rFonts w:hint="eastAsia" w:ascii="宋体" w:hAnsi="宋体" w:eastAsia="宋体" w:cs="Times New Roman"/>
          <w:b w:val="0"/>
          <w:bCs w:val="0"/>
          <w:kern w:val="2"/>
          <w:sz w:val="21"/>
          <w:szCs w:val="21"/>
          <w:u w:val="single"/>
          <w:lang w:val="en-US" w:eastAsia="zh-CN" w:bidi="ar-SA"/>
        </w:rPr>
        <w:t xml:space="preserve">  国家标准GB/T 14902-2012   </w:t>
      </w:r>
      <w:r>
        <w:rPr>
          <w:rFonts w:hint="eastAsia" w:ascii="宋体" w:hAnsi="宋体" w:eastAsia="宋体" w:cs="Times New Roman"/>
          <w:b w:val="0"/>
          <w:bCs w:val="0"/>
          <w:kern w:val="2"/>
          <w:sz w:val="21"/>
          <w:szCs w:val="21"/>
          <w:lang w:val="en-US" w:eastAsia="zh-CN" w:bidi="ar-SA"/>
        </w:rPr>
        <w:t>。原材料由乙方负责检验并对其质量负责，如乙方使用不符合规定的原材料，给甲方造成的一切责任和损失均由乙方承担，甲方及监理随时可对其进行检查、监督。</w:t>
      </w:r>
    </w:p>
    <w:p w14:paraId="6B8E9673">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4.4 乙方应按照甲方确定且经监理批准的混凝土配合比进行生产，乙方在生产过程中，甲方有权派试验员或质量管理员进行监控,但甲方的监控不能减轻或免除乙方的产品和技术责任。</w:t>
      </w:r>
    </w:p>
    <w:p w14:paraId="6ABF2BB5">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第五条 计量方式 </w:t>
      </w:r>
    </w:p>
    <w:p w14:paraId="1A315E37">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5.1 采用下列第</w:t>
      </w:r>
      <w:r>
        <w:rPr>
          <w:rFonts w:hint="eastAsia" w:ascii="宋体" w:hAnsi="宋体" w:eastAsia="宋体" w:cs="Times New Roman"/>
          <w:b w:val="0"/>
          <w:bCs w:val="0"/>
          <w:kern w:val="2"/>
          <w:sz w:val="21"/>
          <w:szCs w:val="21"/>
          <w:u w:val="single"/>
          <w:lang w:val="en-US" w:eastAsia="zh-CN" w:bidi="ar-SA"/>
        </w:rPr>
        <w:t xml:space="preserve">  2 </w:t>
      </w:r>
      <w:r>
        <w:rPr>
          <w:rFonts w:hint="eastAsia" w:ascii="宋体" w:hAnsi="宋体" w:eastAsia="宋体" w:cs="Times New Roman"/>
          <w:b w:val="0"/>
          <w:bCs w:val="0"/>
          <w:kern w:val="2"/>
          <w:sz w:val="21"/>
          <w:szCs w:val="21"/>
          <w:lang w:val="en-US" w:eastAsia="zh-CN" w:bidi="ar-SA"/>
        </w:rPr>
        <w:t>项计量方式</w:t>
      </w:r>
    </w:p>
    <w:p w14:paraId="671D57B4">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（1）按施工图设计的结构物尺寸（扣除波纹管、钢筋等所占体积）计算混凝土方量。试件混凝土不单独计量，各种损耗（含砂浆等）已计入混凝土单价中。</w:t>
      </w:r>
    </w:p>
    <w:p w14:paraId="1617DF3B">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（2）采用过磅换算计量方式。甲方有权随时过磅抽查或全数过磅，如发现方数或重量有出入，则同批次混凝土方量按最小值计量，乙方对此不得有任何异议。</w:t>
      </w:r>
    </w:p>
    <w:p w14:paraId="181E6F6F">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5.2 每批次浇筑完工</w:t>
      </w:r>
      <w:r>
        <w:rPr>
          <w:rFonts w:hint="eastAsia" w:ascii="宋体" w:hAnsi="宋体" w:eastAsia="宋体" w:cs="Times New Roman"/>
          <w:b w:val="0"/>
          <w:bCs w:val="0"/>
          <w:kern w:val="2"/>
          <w:sz w:val="21"/>
          <w:szCs w:val="21"/>
          <w:u w:val="single"/>
          <w:lang w:val="en-US" w:eastAsia="zh-CN" w:bidi="ar-SA"/>
        </w:rPr>
        <w:t xml:space="preserve"> 2 </w:t>
      </w:r>
      <w:r>
        <w:rPr>
          <w:rFonts w:hint="eastAsia" w:ascii="宋体" w:hAnsi="宋体" w:eastAsia="宋体" w:cs="Times New Roman"/>
          <w:b w:val="0"/>
          <w:bCs w:val="0"/>
          <w:kern w:val="2"/>
          <w:sz w:val="21"/>
          <w:szCs w:val="21"/>
          <w:lang w:val="en-US" w:eastAsia="zh-CN" w:bidi="ar-SA"/>
        </w:rPr>
        <w:t>天内，双方对完成混凝土方量核算签认。</w:t>
      </w:r>
    </w:p>
    <w:p w14:paraId="7675767E">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第六条 验收及异议处理</w:t>
      </w:r>
    </w:p>
    <w:p w14:paraId="10E0BDE4">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6.1 商品混凝土拌和站根据工程项目需求提出初步配合比，需提供监理方认可的第三方配合比验证报告，在配合比确认后，商品混凝土拌和站不得私自改变。</w:t>
      </w:r>
    </w:p>
    <w:p w14:paraId="518F37C8">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6.2 商品混凝土拌和站应按《预拌混凝土》GB/T 14902要求对原材料进行检验验收，并将本项目原材料检测报告及质量保证资料的交项目部存档，甲方项目部定期或不定期对商品混凝土拌和站原材料进行抽检，每种材料每月抽检频次不少于1次。</w:t>
      </w:r>
    </w:p>
    <w:p w14:paraId="66CBBC58">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6.3 商品混凝土拌和站应加强拌和站的管理，按约定配合比生产并确保计量准确。项目试验室应定期或不定期对计量系统进行抽查，对原材料、混凝土施工配合比、搅拌时间等复核。</w:t>
      </w:r>
    </w:p>
    <w:p w14:paraId="6383D3AB">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6.4 商品混凝土拌和站应当按《预拌混凝土》GB/T 14902要求对出厂的商品混凝土的坍落度、拌合物性能进行出厂检验，检验合格后方可出厂，并出具相应的生产票据。</w:t>
      </w:r>
    </w:p>
    <w:p w14:paraId="7A2D8EF8">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6.5 混凝土到达现场后，甲方检查复核混凝土的供货单位、强度等级，试验人员按《混凝土强度检验评定标准》GB/T 50107要求对混凝土入模温度、含气量、坍落度等施工性能进行检查验收。</w:t>
      </w:r>
    </w:p>
    <w:p w14:paraId="050584B9">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6.6 试验人员按《混凝土强度检验评定标准》GB/T 50107要求随机取样检测混凝土强度、弹性模量及耐久性能等各项指标。</w:t>
      </w:r>
    </w:p>
    <w:p w14:paraId="5BB5E770">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w:t>
      </w:r>
      <w:r>
        <w:rPr>
          <w:rFonts w:hint="eastAsia" w:ascii="宋体" w:hAnsi="宋体" w:cs="Times New Roman"/>
          <w:b w:val="0"/>
          <w:bCs w:val="0"/>
          <w:kern w:val="2"/>
          <w:sz w:val="21"/>
          <w:szCs w:val="21"/>
          <w:lang w:val="en-US" w:eastAsia="zh-CN" w:bidi="ar-SA"/>
        </w:rPr>
        <w:t>7</w:t>
      </w:r>
      <w:r>
        <w:rPr>
          <w:rFonts w:hint="eastAsia" w:ascii="宋体" w:hAnsi="宋体" w:eastAsia="宋体" w:cs="Times New Roman"/>
          <w:b w:val="0"/>
          <w:bCs w:val="0"/>
          <w:kern w:val="2"/>
          <w:sz w:val="21"/>
          <w:szCs w:val="21"/>
          <w:lang w:val="en-US" w:eastAsia="zh-CN" w:bidi="ar-SA"/>
        </w:rPr>
        <w:t>甲方有权在乙方混凝土生产场地或灌注场地随时取样并检验,取样合格的,并不免除乙方对混凝土的质量责任。</w:t>
      </w:r>
    </w:p>
    <w:p w14:paraId="12769733">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w:t>
      </w:r>
      <w:r>
        <w:rPr>
          <w:rFonts w:hint="eastAsia" w:ascii="宋体" w:hAnsi="宋体" w:cs="Times New Roman"/>
          <w:b w:val="0"/>
          <w:bCs w:val="0"/>
          <w:kern w:val="2"/>
          <w:sz w:val="21"/>
          <w:szCs w:val="21"/>
          <w:lang w:val="en-US" w:eastAsia="zh-CN" w:bidi="ar-SA"/>
        </w:rPr>
        <w:t>8</w:t>
      </w:r>
      <w:r>
        <w:rPr>
          <w:rFonts w:hint="eastAsia" w:ascii="宋体" w:hAnsi="宋体" w:eastAsia="宋体" w:cs="Times New Roman"/>
          <w:b w:val="0"/>
          <w:bCs w:val="0"/>
          <w:kern w:val="2"/>
          <w:sz w:val="21"/>
          <w:szCs w:val="21"/>
          <w:lang w:val="en-US" w:eastAsia="zh-CN" w:bidi="ar-SA"/>
        </w:rPr>
        <w:t>双方对产品质量有争议时，可以进行复检。复检由甲乙双方共同取样后送             复检，检验结果作为最终判定依据。复检费用由过错方承担。</w:t>
      </w:r>
    </w:p>
    <w:p w14:paraId="76512DFF">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w:t>
      </w:r>
      <w:r>
        <w:rPr>
          <w:rFonts w:hint="eastAsia" w:ascii="宋体" w:hAnsi="宋体" w:cs="Times New Roman"/>
          <w:b w:val="0"/>
          <w:bCs w:val="0"/>
          <w:kern w:val="2"/>
          <w:sz w:val="21"/>
          <w:szCs w:val="21"/>
          <w:lang w:val="en-US" w:eastAsia="zh-CN" w:bidi="ar-SA"/>
        </w:rPr>
        <w:t>9</w:t>
      </w:r>
      <w:r>
        <w:rPr>
          <w:rFonts w:hint="eastAsia" w:ascii="宋体" w:hAnsi="宋体" w:eastAsia="宋体" w:cs="Times New Roman"/>
          <w:b w:val="0"/>
          <w:bCs w:val="0"/>
          <w:kern w:val="2"/>
          <w:sz w:val="21"/>
          <w:szCs w:val="21"/>
          <w:lang w:val="en-US" w:eastAsia="zh-CN" w:bidi="ar-SA"/>
        </w:rPr>
        <w:t>甲方指定</w:t>
      </w:r>
      <w:r>
        <w:rPr>
          <w:rFonts w:hint="eastAsia" w:ascii="宋体" w:hAnsi="宋体" w:cs="Times New Roman"/>
          <w:b w:val="0"/>
          <w:bCs w:val="0"/>
          <w:kern w:val="2"/>
          <w:sz w:val="21"/>
          <w:szCs w:val="21"/>
          <w:u w:val="single"/>
          <w:lang w:val="en-US" w:eastAsia="zh-CN" w:bidi="ar-SA"/>
        </w:rPr>
        <w:t>李俊勇、罗小玲</w:t>
      </w:r>
      <w:r>
        <w:rPr>
          <w:rFonts w:hint="eastAsia" w:ascii="宋体" w:hAnsi="宋体" w:eastAsia="宋体" w:cs="Times New Roman"/>
          <w:b w:val="0"/>
          <w:bCs w:val="0"/>
          <w:kern w:val="2"/>
          <w:sz w:val="21"/>
          <w:szCs w:val="21"/>
          <w:lang w:val="en-US" w:eastAsia="zh-CN" w:bidi="ar-SA"/>
        </w:rPr>
        <w:t>负责材料的验收、签认；乙方指定</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（身份证号：</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负责材料的交验、签认。甲方指定的上述人员是甲方唯一的收货代表，其在乙方送货清单上签字，作为乙方材料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w:t>
      </w:r>
    </w:p>
    <w:p w14:paraId="4A63F749">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 xml:space="preserve">甲方对材料的验收，并不视为免除乙方对产品质量和技术应负的责任。 </w:t>
      </w:r>
    </w:p>
    <w:p w14:paraId="05562A64">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运到浇注地点的混凝土不符合要求时，甲方要求按照退货处理的，乙方不得将此批混凝土重新处理后，再送至甲方工地。</w:t>
      </w:r>
    </w:p>
    <w:p w14:paraId="32E4C7F6">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6.11本合同约定货物的质保期为</w:t>
      </w:r>
      <w:r>
        <w:rPr>
          <w:rFonts w:hint="eastAsia" w:ascii="宋体" w:hAnsi="宋体" w:eastAsia="宋体" w:cs="Times New Roman"/>
          <w:b w:val="0"/>
          <w:bCs w:val="0"/>
          <w:kern w:val="2"/>
          <w:sz w:val="21"/>
          <w:szCs w:val="21"/>
          <w:u w:val="single"/>
          <w:lang w:val="en-US" w:eastAsia="zh-CN" w:bidi="ar-SA"/>
        </w:rPr>
        <w:t xml:space="preserve"> 12</w:t>
      </w:r>
      <w:r>
        <w:rPr>
          <w:rFonts w:hint="eastAsia" w:ascii="宋体" w:hAnsi="宋体" w:eastAsia="宋体" w:cs="Times New Roman"/>
          <w:b w:val="0"/>
          <w:bCs w:val="0"/>
          <w:kern w:val="2"/>
          <w:sz w:val="21"/>
          <w:szCs w:val="21"/>
          <w:lang w:val="en-US" w:eastAsia="zh-CN" w:bidi="ar-SA"/>
        </w:rPr>
        <w:t>个月，自最后一批次供货验收合格之日起计算。如果乙方对货物有另外承诺的质保期且与本合同约定不一致的，双方同意以期限较长的为准。</w:t>
      </w:r>
    </w:p>
    <w:p w14:paraId="60AB6F38">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第七条 结算与付款</w:t>
      </w:r>
    </w:p>
    <w:p w14:paraId="5E474411">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7.1上月</w:t>
      </w:r>
      <w:r>
        <w:rPr>
          <w:rFonts w:hint="eastAsia" w:ascii="宋体" w:hAnsi="宋体" w:eastAsia="宋体" w:cs="Times New Roman"/>
          <w:b w:val="0"/>
          <w:bCs w:val="0"/>
          <w:kern w:val="2"/>
          <w:sz w:val="21"/>
          <w:szCs w:val="21"/>
          <w:u w:val="single"/>
          <w:lang w:val="en-US" w:eastAsia="zh-CN" w:bidi="ar-SA"/>
        </w:rPr>
        <w:t xml:space="preserve"> 21 </w:t>
      </w:r>
      <w:r>
        <w:rPr>
          <w:rFonts w:hint="eastAsia" w:ascii="宋体" w:hAnsi="宋体" w:eastAsia="宋体" w:cs="Times New Roman"/>
          <w:b w:val="0"/>
          <w:bCs w:val="0"/>
          <w:kern w:val="2"/>
          <w:sz w:val="21"/>
          <w:szCs w:val="21"/>
          <w:lang w:val="en-US" w:eastAsia="zh-CN" w:bidi="ar-SA"/>
        </w:rPr>
        <w:t>日至本月的</w:t>
      </w:r>
      <w:r>
        <w:rPr>
          <w:rFonts w:hint="eastAsia" w:ascii="宋体" w:hAnsi="宋体" w:eastAsia="宋体" w:cs="Times New Roman"/>
          <w:b w:val="0"/>
          <w:bCs w:val="0"/>
          <w:kern w:val="2"/>
          <w:sz w:val="21"/>
          <w:szCs w:val="21"/>
          <w:u w:val="single"/>
          <w:lang w:val="en-US" w:eastAsia="zh-CN" w:bidi="ar-SA"/>
        </w:rPr>
        <w:t xml:space="preserve"> 20</w:t>
      </w:r>
      <w:r>
        <w:rPr>
          <w:rFonts w:hint="eastAsia" w:ascii="宋体" w:hAnsi="宋体" w:eastAsia="宋体" w:cs="Times New Roman"/>
          <w:b w:val="0"/>
          <w:bCs w:val="0"/>
          <w:kern w:val="2"/>
          <w:sz w:val="21"/>
          <w:szCs w:val="21"/>
          <w:lang w:val="en-US" w:eastAsia="zh-CN" w:bidi="ar-SA"/>
        </w:rPr>
        <w:t>日为一个结算周期，当月</w:t>
      </w:r>
      <w:r>
        <w:rPr>
          <w:rFonts w:hint="eastAsia" w:ascii="宋体" w:hAnsi="宋体" w:eastAsia="宋体" w:cs="Times New Roman"/>
          <w:b w:val="0"/>
          <w:bCs w:val="0"/>
          <w:kern w:val="2"/>
          <w:sz w:val="21"/>
          <w:szCs w:val="21"/>
          <w:u w:val="single"/>
          <w:lang w:val="en-US" w:eastAsia="zh-CN" w:bidi="ar-SA"/>
        </w:rPr>
        <w:t xml:space="preserve"> 23</w:t>
      </w:r>
      <w:r>
        <w:rPr>
          <w:rFonts w:hint="eastAsia" w:ascii="宋体" w:hAnsi="宋体" w:eastAsia="宋体" w:cs="Times New Roman"/>
          <w:b w:val="0"/>
          <w:bCs w:val="0"/>
          <w:kern w:val="2"/>
          <w:sz w:val="21"/>
          <w:szCs w:val="21"/>
          <w:lang w:val="en-US" w:eastAsia="zh-CN" w:bidi="ar-SA"/>
        </w:rPr>
        <w:t>日为本月的结算截止日期。结算时根据甲方检验合格及双方共同签认的凭证计算当月实际收货数量，除此之外任何证明、收条、欠条、信函等文件，都不得作为结算、支付依据。</w:t>
      </w:r>
    </w:p>
    <w:p w14:paraId="2E8405CB">
      <w:pPr>
        <w:spacing w:line="440" w:lineRule="exact"/>
        <w:ind w:firstLine="420" w:firstLineChars="200"/>
        <w:jc w:val="left"/>
        <w:rPr>
          <w:rFonts w:ascii="宋体" w:hAnsi="宋体"/>
          <w:szCs w:val="21"/>
          <w:highlight w:val="none"/>
        </w:rPr>
      </w:pPr>
      <w:r>
        <w:rPr>
          <w:rFonts w:hint="eastAsia" w:ascii="宋体" w:hAnsi="宋体"/>
          <w:szCs w:val="21"/>
          <w:highlight w:val="none"/>
          <w:lang w:val="en-US" w:eastAsia="zh-CN"/>
        </w:rPr>
        <w:t>7.1</w:t>
      </w:r>
      <w:r>
        <w:rPr>
          <w:rFonts w:hint="eastAsia" w:ascii="宋体" w:hAnsi="宋体"/>
          <w:szCs w:val="21"/>
          <w:highlight w:val="none"/>
        </w:rPr>
        <w:t>.1实行浮动单价结算。</w:t>
      </w:r>
    </w:p>
    <w:p w14:paraId="527DAB3C">
      <w:pPr>
        <w:spacing w:line="440" w:lineRule="exact"/>
        <w:ind w:firstLine="420" w:firstLineChars="200"/>
        <w:jc w:val="left"/>
        <w:rPr>
          <w:rFonts w:ascii="宋体" w:hAnsi="宋体"/>
          <w:szCs w:val="21"/>
          <w:highlight w:val="none"/>
        </w:rPr>
      </w:pPr>
      <w:r>
        <w:rPr>
          <w:rFonts w:hint="eastAsia" w:ascii="宋体" w:hAnsi="宋体"/>
          <w:szCs w:val="21"/>
          <w:highlight w:val="none"/>
          <w:lang w:val="en-US" w:eastAsia="zh-CN"/>
        </w:rPr>
        <w:t>7.1</w:t>
      </w:r>
      <w:r>
        <w:rPr>
          <w:rFonts w:hint="eastAsia" w:ascii="宋体" w:hAnsi="宋体"/>
          <w:szCs w:val="21"/>
          <w:highlight w:val="none"/>
        </w:rPr>
        <w:t>.2结算价=</w:t>
      </w:r>
      <w:r>
        <w:rPr>
          <w:rFonts w:hint="eastAsia" w:ascii="宋体" w:hAnsi="宋体"/>
          <w:b/>
          <w:szCs w:val="21"/>
          <w:highlight w:val="none"/>
        </w:rPr>
        <w:t>信息价</w:t>
      </w:r>
      <w:r>
        <w:rPr>
          <w:rFonts w:hint="eastAsia" w:ascii="宋体" w:hAnsi="宋体"/>
          <w:szCs w:val="21"/>
          <w:highlight w:val="none"/>
        </w:rPr>
        <w:t>*(1+X%)。</w:t>
      </w:r>
    </w:p>
    <w:p w14:paraId="38C24ED3">
      <w:pPr>
        <w:spacing w:line="440" w:lineRule="exact"/>
        <w:ind w:firstLine="420" w:firstLineChars="200"/>
        <w:jc w:val="left"/>
        <w:rPr>
          <w:rFonts w:ascii="宋体" w:hAnsi="宋体"/>
          <w:szCs w:val="21"/>
          <w:highlight w:val="none"/>
        </w:rPr>
      </w:pPr>
      <w:r>
        <w:rPr>
          <w:rFonts w:hint="eastAsia" w:ascii="宋体" w:hAnsi="宋体"/>
          <w:szCs w:val="21"/>
          <w:highlight w:val="none"/>
          <w:lang w:val="en-US" w:eastAsia="zh-CN"/>
        </w:rPr>
        <w:t>7.1</w:t>
      </w:r>
      <w:r>
        <w:rPr>
          <w:rFonts w:hint="eastAsia" w:ascii="宋体" w:hAnsi="宋体"/>
          <w:szCs w:val="21"/>
          <w:highlight w:val="none"/>
        </w:rPr>
        <w:t>.3报价单价与结算单价关系的重点说明：</w:t>
      </w:r>
    </w:p>
    <w:p w14:paraId="5088757E">
      <w:pPr>
        <w:spacing w:line="440" w:lineRule="exact"/>
        <w:ind w:firstLine="420" w:firstLineChars="200"/>
        <w:jc w:val="left"/>
        <w:rPr>
          <w:rFonts w:ascii="宋体" w:hAnsi="宋体"/>
          <w:szCs w:val="21"/>
          <w:highlight w:val="none"/>
        </w:rPr>
      </w:pPr>
      <w:r>
        <w:rPr>
          <w:rFonts w:ascii="宋体" w:hAnsi="宋体"/>
          <w:szCs w:val="21"/>
          <w:highlight w:val="none"/>
        </w:rPr>
        <w:t>A.虚拟信息价：</w:t>
      </w:r>
      <w:r>
        <w:rPr>
          <w:rFonts w:hint="eastAsia"/>
          <w:szCs w:val="21"/>
          <w:highlight w:val="none"/>
        </w:rPr>
        <w:t>为便于计算总报价，采购人统一</w:t>
      </w:r>
      <w:r>
        <w:rPr>
          <w:rFonts w:hint="eastAsia" w:ascii="宋体" w:hAnsi="宋体"/>
          <w:szCs w:val="21"/>
          <w:highlight w:val="none"/>
        </w:rPr>
        <w:t>采信“无锡市工程造价信息202</w:t>
      </w:r>
      <w:r>
        <w:rPr>
          <w:rFonts w:hint="eastAsia" w:ascii="宋体" w:hAnsi="宋体"/>
          <w:szCs w:val="21"/>
          <w:highlight w:val="none"/>
          <w:lang w:val="en-US" w:eastAsia="zh-CN"/>
        </w:rPr>
        <w:t>5</w:t>
      </w:r>
      <w:r>
        <w:rPr>
          <w:rFonts w:hint="eastAsia" w:ascii="宋体" w:hAnsi="宋体"/>
          <w:szCs w:val="21"/>
          <w:highlight w:val="none"/>
        </w:rPr>
        <w:t>年第</w:t>
      </w:r>
      <w:r>
        <w:rPr>
          <w:rFonts w:hint="eastAsia" w:ascii="宋体" w:hAnsi="宋体"/>
          <w:szCs w:val="21"/>
          <w:highlight w:val="none"/>
          <w:lang w:val="en-US" w:eastAsia="zh-CN"/>
        </w:rPr>
        <w:t>7</w:t>
      </w:r>
      <w:r>
        <w:rPr>
          <w:rFonts w:hint="eastAsia" w:ascii="宋体" w:hAnsi="宋体"/>
          <w:szCs w:val="21"/>
          <w:highlight w:val="none"/>
        </w:rPr>
        <w:t>期”中非泵送商品砼含税供应价为虚拟信息价（详见附件一）。</w:t>
      </w:r>
      <w:r>
        <w:rPr>
          <w:rFonts w:hint="eastAsia"/>
          <w:szCs w:val="21"/>
          <w:highlight w:val="none"/>
        </w:rPr>
        <w:t>虚拟信息价仅作为报价表合计总价的计算依据，不是结算价格。</w:t>
      </w:r>
    </w:p>
    <w:p w14:paraId="78D79652">
      <w:pPr>
        <w:spacing w:line="440" w:lineRule="exact"/>
        <w:ind w:firstLine="420" w:firstLineChars="200"/>
        <w:jc w:val="left"/>
        <w:rPr>
          <w:rFonts w:ascii="宋体" w:hAnsi="宋体"/>
          <w:szCs w:val="21"/>
          <w:highlight w:val="none"/>
        </w:rPr>
      </w:pPr>
      <w:r>
        <w:rPr>
          <w:rFonts w:hint="eastAsia" w:ascii="宋体" w:hAnsi="宋体"/>
          <w:szCs w:val="21"/>
          <w:highlight w:val="none"/>
        </w:rPr>
        <w:t>B</w:t>
      </w:r>
      <w:r>
        <w:rPr>
          <w:rFonts w:ascii="宋体" w:hAnsi="宋体"/>
          <w:szCs w:val="21"/>
          <w:highlight w:val="none"/>
        </w:rPr>
        <w:t>.</w:t>
      </w:r>
      <w:r>
        <w:rPr>
          <w:rFonts w:hint="eastAsia" w:ascii="宋体" w:hAnsi="宋体"/>
          <w:b/>
          <w:szCs w:val="21"/>
          <w:highlight w:val="none"/>
        </w:rPr>
        <w:t>信息价:采信供应期内“无锡市工程造价信息”中非泵送商品砼含税供应价为信息价</w:t>
      </w:r>
      <w:r>
        <w:rPr>
          <w:rFonts w:hint="eastAsia"/>
          <w:b/>
          <w:szCs w:val="21"/>
          <w:highlight w:val="none"/>
        </w:rPr>
        <w:t>。</w:t>
      </w:r>
    </w:p>
    <w:p w14:paraId="5CE8C37B">
      <w:pPr>
        <w:spacing w:line="440" w:lineRule="exact"/>
        <w:ind w:firstLine="420" w:firstLineChars="200"/>
        <w:jc w:val="left"/>
        <w:rPr>
          <w:rFonts w:ascii="宋体" w:hAnsi="宋体"/>
          <w:szCs w:val="21"/>
          <w:highlight w:val="none"/>
        </w:rPr>
      </w:pPr>
      <w:r>
        <w:rPr>
          <w:rFonts w:hint="eastAsia" w:ascii="宋体" w:hAnsi="宋体"/>
          <w:szCs w:val="21"/>
          <w:highlight w:val="none"/>
        </w:rPr>
        <w:t>C X%值:</w:t>
      </w:r>
      <w:r>
        <w:rPr>
          <w:rFonts w:hint="eastAsia"/>
          <w:szCs w:val="21"/>
          <w:highlight w:val="none"/>
        </w:rPr>
        <w:t>指报价人根据供应当期信息价，核定除信息价外的出库费、运杂费、管理费、税金，报价人让利等其他所有费用</w:t>
      </w:r>
      <w:r>
        <w:rPr>
          <w:rFonts w:hint="eastAsia" w:ascii="宋体" w:hAnsi="宋体"/>
          <w:szCs w:val="21"/>
          <w:highlight w:val="none"/>
        </w:rPr>
        <w:t>。X%</w:t>
      </w:r>
      <w:r>
        <w:rPr>
          <w:rFonts w:hint="eastAsia"/>
          <w:szCs w:val="21"/>
          <w:highlight w:val="none"/>
        </w:rPr>
        <w:t>值可以为正值、可以为0、也可以为负值,</w:t>
      </w:r>
      <w:r>
        <w:rPr>
          <w:rFonts w:hint="eastAsia" w:ascii="宋体" w:hAnsi="宋体"/>
          <w:szCs w:val="21"/>
          <w:highlight w:val="none"/>
        </w:rPr>
        <w:t>X%</w:t>
      </w:r>
      <w:r>
        <w:rPr>
          <w:rFonts w:hint="eastAsia"/>
          <w:szCs w:val="21"/>
          <w:highlight w:val="none"/>
        </w:rPr>
        <w:t>值在合同履行期间固定不变，</w:t>
      </w:r>
      <w:r>
        <w:rPr>
          <w:rFonts w:hint="eastAsia" w:ascii="宋体" w:hAnsi="宋体"/>
          <w:szCs w:val="21"/>
          <w:highlight w:val="none"/>
        </w:rPr>
        <w:t>投标人需慎重计算报价。</w:t>
      </w:r>
    </w:p>
    <w:p w14:paraId="1B838D11">
      <w:pPr>
        <w:spacing w:line="350" w:lineRule="atLeast"/>
        <w:jc w:val="left"/>
        <w:rPr>
          <w:rFonts w:ascii="宋体" w:hAnsi="宋体"/>
          <w:szCs w:val="21"/>
          <w:highlight w:val="none"/>
        </w:rPr>
      </w:pPr>
      <w:r>
        <w:rPr>
          <w:rFonts w:hint="eastAsia" w:ascii="宋体" w:hAnsi="宋体"/>
          <w:szCs w:val="21"/>
          <w:highlight w:val="none"/>
        </w:rPr>
        <w:t>附表一：无锡市20</w:t>
      </w:r>
      <w:r>
        <w:rPr>
          <w:rFonts w:ascii="宋体" w:hAnsi="宋体"/>
          <w:szCs w:val="21"/>
          <w:highlight w:val="none"/>
        </w:rPr>
        <w:t>2</w:t>
      </w:r>
      <w:r>
        <w:rPr>
          <w:rFonts w:hint="eastAsia" w:ascii="宋体" w:hAnsi="宋体"/>
          <w:szCs w:val="21"/>
          <w:highlight w:val="none"/>
          <w:lang w:val="en-US" w:eastAsia="zh-CN"/>
        </w:rPr>
        <w:t>5</w:t>
      </w:r>
      <w:r>
        <w:rPr>
          <w:rFonts w:hint="eastAsia" w:ascii="宋体" w:hAnsi="宋体"/>
          <w:szCs w:val="21"/>
          <w:highlight w:val="none"/>
        </w:rPr>
        <w:t>年第</w:t>
      </w:r>
      <w:r>
        <w:rPr>
          <w:rFonts w:hint="eastAsia" w:ascii="宋体" w:hAnsi="宋体"/>
          <w:szCs w:val="21"/>
          <w:highlight w:val="none"/>
          <w:lang w:val="en-US" w:eastAsia="zh-CN"/>
        </w:rPr>
        <w:t>7</w:t>
      </w:r>
      <w:r>
        <w:rPr>
          <w:rFonts w:hint="eastAsia" w:ascii="宋体" w:hAnsi="宋体"/>
          <w:szCs w:val="21"/>
          <w:highlight w:val="none"/>
        </w:rPr>
        <w:t>期（</w:t>
      </w:r>
      <w:r>
        <w:rPr>
          <w:rFonts w:hint="eastAsia" w:ascii="宋体" w:hAnsi="宋体"/>
          <w:szCs w:val="21"/>
          <w:highlight w:val="none"/>
          <w:lang w:val="en-US" w:eastAsia="zh-CN"/>
        </w:rPr>
        <w:t>七</w:t>
      </w:r>
      <w:r>
        <w:rPr>
          <w:rFonts w:hint="eastAsia" w:ascii="宋体" w:hAnsi="宋体"/>
          <w:szCs w:val="21"/>
          <w:highlight w:val="none"/>
        </w:rPr>
        <w:t>月份）商品混凝土非泵含税信息价</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762"/>
        <w:gridCol w:w="798"/>
        <w:gridCol w:w="808"/>
        <w:gridCol w:w="3849"/>
      </w:tblGrid>
      <w:tr w14:paraId="316C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vAlign w:val="center"/>
          </w:tcPr>
          <w:p w14:paraId="0C40D52A">
            <w:pPr>
              <w:widowControl/>
              <w:spacing w:line="350" w:lineRule="atLeast"/>
              <w:jc w:val="center"/>
              <w:rPr>
                <w:rFonts w:ascii="宋体" w:hAnsi="宋体"/>
                <w:sz w:val="18"/>
                <w:szCs w:val="18"/>
                <w:highlight w:val="none"/>
              </w:rPr>
            </w:pPr>
            <w:r>
              <w:rPr>
                <w:rFonts w:hint="eastAsia" w:ascii="宋体" w:hAnsi="宋体"/>
                <w:sz w:val="18"/>
                <w:szCs w:val="18"/>
                <w:highlight w:val="none"/>
              </w:rPr>
              <w:t>品名</w:t>
            </w:r>
          </w:p>
        </w:tc>
        <w:tc>
          <w:tcPr>
            <w:tcW w:w="1762" w:type="dxa"/>
            <w:vAlign w:val="center"/>
          </w:tcPr>
          <w:p w14:paraId="5E8AD529">
            <w:pPr>
              <w:widowControl/>
              <w:spacing w:line="350" w:lineRule="atLeast"/>
              <w:jc w:val="center"/>
              <w:rPr>
                <w:rFonts w:ascii="宋体" w:hAnsi="宋体"/>
                <w:sz w:val="18"/>
                <w:szCs w:val="18"/>
                <w:highlight w:val="none"/>
              </w:rPr>
            </w:pPr>
            <w:r>
              <w:rPr>
                <w:rFonts w:hint="eastAsia" w:ascii="宋体" w:hAnsi="宋体"/>
                <w:sz w:val="18"/>
                <w:szCs w:val="18"/>
                <w:highlight w:val="none"/>
              </w:rPr>
              <w:t>规格</w:t>
            </w:r>
          </w:p>
        </w:tc>
        <w:tc>
          <w:tcPr>
            <w:tcW w:w="798" w:type="dxa"/>
            <w:vAlign w:val="center"/>
          </w:tcPr>
          <w:p w14:paraId="5E8B24C6">
            <w:pPr>
              <w:widowControl/>
              <w:spacing w:line="350" w:lineRule="atLeast"/>
              <w:jc w:val="center"/>
              <w:rPr>
                <w:rFonts w:ascii="宋体" w:hAnsi="宋体"/>
                <w:sz w:val="18"/>
                <w:szCs w:val="18"/>
                <w:highlight w:val="none"/>
              </w:rPr>
            </w:pPr>
            <w:r>
              <w:rPr>
                <w:rFonts w:hint="eastAsia" w:ascii="宋体" w:hAnsi="宋体"/>
                <w:sz w:val="18"/>
                <w:szCs w:val="18"/>
                <w:highlight w:val="none"/>
              </w:rPr>
              <w:t>单位</w:t>
            </w:r>
          </w:p>
        </w:tc>
        <w:tc>
          <w:tcPr>
            <w:tcW w:w="808" w:type="dxa"/>
            <w:vAlign w:val="center"/>
          </w:tcPr>
          <w:p w14:paraId="0238DBAE">
            <w:pPr>
              <w:widowControl/>
              <w:spacing w:line="350" w:lineRule="atLeast"/>
              <w:jc w:val="center"/>
              <w:rPr>
                <w:rFonts w:ascii="宋体" w:hAnsi="宋体"/>
                <w:sz w:val="18"/>
                <w:szCs w:val="18"/>
                <w:highlight w:val="none"/>
              </w:rPr>
            </w:pPr>
            <w:r>
              <w:rPr>
                <w:rFonts w:hint="eastAsia" w:ascii="宋体" w:hAnsi="宋体"/>
                <w:sz w:val="18"/>
                <w:szCs w:val="18"/>
                <w:highlight w:val="none"/>
              </w:rPr>
              <w:t>基准价</w:t>
            </w:r>
          </w:p>
        </w:tc>
        <w:tc>
          <w:tcPr>
            <w:tcW w:w="3849" w:type="dxa"/>
            <w:vAlign w:val="center"/>
          </w:tcPr>
          <w:p w14:paraId="6C75F82F">
            <w:pPr>
              <w:widowControl/>
              <w:spacing w:line="350" w:lineRule="atLeast"/>
              <w:jc w:val="center"/>
              <w:rPr>
                <w:rFonts w:ascii="宋体" w:hAnsi="宋体"/>
                <w:sz w:val="18"/>
                <w:szCs w:val="18"/>
                <w:highlight w:val="none"/>
              </w:rPr>
            </w:pPr>
            <w:r>
              <w:rPr>
                <w:rFonts w:hint="eastAsia" w:ascii="宋体" w:hAnsi="宋体"/>
                <w:sz w:val="18"/>
                <w:szCs w:val="18"/>
                <w:highlight w:val="none"/>
              </w:rPr>
              <w:t>采信方式</w:t>
            </w:r>
          </w:p>
        </w:tc>
      </w:tr>
      <w:tr w14:paraId="6905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shd w:val="clear" w:color="000000" w:fill="FFFFFF"/>
            <w:vAlign w:val="center"/>
          </w:tcPr>
          <w:p w14:paraId="3AE1CB4D">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商品混凝土</w:t>
            </w:r>
          </w:p>
        </w:tc>
        <w:tc>
          <w:tcPr>
            <w:tcW w:w="1762" w:type="dxa"/>
            <w:shd w:val="clear" w:color="000000" w:fill="FFFFFF"/>
            <w:vAlign w:val="center"/>
          </w:tcPr>
          <w:p w14:paraId="28FDB935">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C20</w:t>
            </w:r>
          </w:p>
        </w:tc>
        <w:tc>
          <w:tcPr>
            <w:tcW w:w="798" w:type="dxa"/>
            <w:vAlign w:val="center"/>
          </w:tcPr>
          <w:p w14:paraId="31772F92">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m3</w:t>
            </w:r>
          </w:p>
        </w:tc>
        <w:tc>
          <w:tcPr>
            <w:tcW w:w="808" w:type="dxa"/>
            <w:vAlign w:val="center"/>
          </w:tcPr>
          <w:p w14:paraId="342049EE">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406</w:t>
            </w:r>
          </w:p>
        </w:tc>
        <w:tc>
          <w:tcPr>
            <w:tcW w:w="3849" w:type="dxa"/>
            <w:vMerge w:val="restart"/>
            <w:vAlign w:val="center"/>
          </w:tcPr>
          <w:p w14:paraId="50524CC0">
            <w:pPr>
              <w:widowControl/>
              <w:spacing w:line="350" w:lineRule="atLeast"/>
              <w:jc w:val="center"/>
              <w:rPr>
                <w:rFonts w:ascii="宋体" w:hAnsi="宋体"/>
                <w:sz w:val="18"/>
                <w:szCs w:val="18"/>
                <w:highlight w:val="none"/>
              </w:rPr>
            </w:pPr>
            <w:r>
              <w:rPr>
                <w:rFonts w:hint="eastAsia" w:ascii="宋体" w:hAnsi="宋体"/>
                <w:sz w:val="18"/>
                <w:szCs w:val="18"/>
              </w:rPr>
              <w:t>无锡市20</w:t>
            </w:r>
            <w:r>
              <w:rPr>
                <w:rFonts w:ascii="宋体" w:hAnsi="宋体"/>
                <w:sz w:val="18"/>
                <w:szCs w:val="18"/>
              </w:rPr>
              <w:t>2</w:t>
            </w:r>
            <w:r>
              <w:rPr>
                <w:rFonts w:hint="eastAsia" w:ascii="宋体" w:hAnsi="宋体"/>
                <w:sz w:val="18"/>
                <w:szCs w:val="18"/>
                <w:lang w:val="en-US" w:eastAsia="zh-CN"/>
              </w:rPr>
              <w:t>5</w:t>
            </w:r>
            <w:r>
              <w:rPr>
                <w:rFonts w:hint="eastAsia" w:ascii="宋体" w:hAnsi="宋体"/>
                <w:sz w:val="18"/>
                <w:szCs w:val="18"/>
              </w:rPr>
              <w:t>年第</w:t>
            </w:r>
            <w:r>
              <w:rPr>
                <w:rFonts w:hint="eastAsia" w:ascii="宋体" w:hAnsi="宋体"/>
                <w:sz w:val="18"/>
                <w:szCs w:val="18"/>
                <w:lang w:val="en-US" w:eastAsia="zh-CN"/>
              </w:rPr>
              <w:t>7</w:t>
            </w:r>
            <w:r>
              <w:rPr>
                <w:rFonts w:hint="eastAsia" w:ascii="宋体" w:hAnsi="宋体"/>
                <w:sz w:val="18"/>
                <w:szCs w:val="18"/>
              </w:rPr>
              <w:t>期（</w:t>
            </w:r>
            <w:r>
              <w:rPr>
                <w:rFonts w:hint="eastAsia" w:ascii="宋体" w:hAnsi="宋体"/>
                <w:sz w:val="18"/>
                <w:szCs w:val="18"/>
                <w:lang w:val="en-US" w:eastAsia="zh-CN"/>
              </w:rPr>
              <w:t>七</w:t>
            </w:r>
            <w:r>
              <w:rPr>
                <w:rFonts w:hint="eastAsia" w:ascii="宋体" w:hAnsi="宋体"/>
                <w:sz w:val="18"/>
                <w:szCs w:val="18"/>
              </w:rPr>
              <w:t>月份）商品混凝土非泵含税信息价</w:t>
            </w:r>
          </w:p>
        </w:tc>
      </w:tr>
      <w:tr w14:paraId="04D9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shd w:val="clear" w:color="000000" w:fill="FFFFFF"/>
            <w:vAlign w:val="center"/>
          </w:tcPr>
          <w:p w14:paraId="0D08F673">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商品混凝土</w:t>
            </w:r>
          </w:p>
        </w:tc>
        <w:tc>
          <w:tcPr>
            <w:tcW w:w="1762" w:type="dxa"/>
            <w:shd w:val="clear" w:color="000000" w:fill="FFFFFF"/>
            <w:vAlign w:val="center"/>
          </w:tcPr>
          <w:p w14:paraId="6E646193">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C25</w:t>
            </w:r>
          </w:p>
        </w:tc>
        <w:tc>
          <w:tcPr>
            <w:tcW w:w="798" w:type="dxa"/>
            <w:vAlign w:val="center"/>
          </w:tcPr>
          <w:p w14:paraId="2D47B1FB">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m3</w:t>
            </w:r>
          </w:p>
        </w:tc>
        <w:tc>
          <w:tcPr>
            <w:tcW w:w="808" w:type="dxa"/>
            <w:vAlign w:val="center"/>
          </w:tcPr>
          <w:p w14:paraId="5815D6FF">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421</w:t>
            </w:r>
          </w:p>
        </w:tc>
        <w:tc>
          <w:tcPr>
            <w:tcW w:w="3849" w:type="dxa"/>
            <w:vMerge w:val="continue"/>
            <w:vAlign w:val="center"/>
          </w:tcPr>
          <w:p w14:paraId="050F8B09">
            <w:pPr>
              <w:widowControl/>
              <w:spacing w:line="350" w:lineRule="atLeast"/>
              <w:jc w:val="center"/>
              <w:rPr>
                <w:rFonts w:ascii="宋体" w:hAnsi="宋体"/>
                <w:sz w:val="18"/>
                <w:szCs w:val="18"/>
                <w:highlight w:val="none"/>
              </w:rPr>
            </w:pPr>
          </w:p>
        </w:tc>
      </w:tr>
      <w:tr w14:paraId="43DE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shd w:val="clear" w:color="000000" w:fill="FFFFFF"/>
            <w:vAlign w:val="center"/>
          </w:tcPr>
          <w:p w14:paraId="500A8826">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商品混凝土</w:t>
            </w:r>
          </w:p>
        </w:tc>
        <w:tc>
          <w:tcPr>
            <w:tcW w:w="1762" w:type="dxa"/>
            <w:shd w:val="clear" w:color="000000" w:fill="FFFFFF"/>
            <w:vAlign w:val="center"/>
          </w:tcPr>
          <w:p w14:paraId="5D0236E5">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C30</w:t>
            </w:r>
          </w:p>
        </w:tc>
        <w:tc>
          <w:tcPr>
            <w:tcW w:w="798" w:type="dxa"/>
            <w:vAlign w:val="center"/>
          </w:tcPr>
          <w:p w14:paraId="78B11EBA">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m3</w:t>
            </w:r>
          </w:p>
        </w:tc>
        <w:tc>
          <w:tcPr>
            <w:tcW w:w="808" w:type="dxa"/>
            <w:vAlign w:val="center"/>
          </w:tcPr>
          <w:p w14:paraId="5700EA8F">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441</w:t>
            </w:r>
          </w:p>
        </w:tc>
        <w:tc>
          <w:tcPr>
            <w:tcW w:w="3849" w:type="dxa"/>
            <w:vMerge w:val="continue"/>
            <w:vAlign w:val="center"/>
          </w:tcPr>
          <w:p w14:paraId="68468E65">
            <w:pPr>
              <w:widowControl/>
              <w:spacing w:line="350" w:lineRule="atLeast"/>
              <w:jc w:val="center"/>
              <w:rPr>
                <w:rFonts w:ascii="宋体" w:hAnsi="宋体"/>
                <w:sz w:val="18"/>
                <w:szCs w:val="18"/>
                <w:highlight w:val="none"/>
              </w:rPr>
            </w:pPr>
          </w:p>
        </w:tc>
      </w:tr>
      <w:tr w14:paraId="2647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shd w:val="clear" w:color="000000" w:fill="FFFFFF"/>
            <w:vAlign w:val="center"/>
          </w:tcPr>
          <w:p w14:paraId="3DA239BB">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商品混凝土</w:t>
            </w:r>
          </w:p>
        </w:tc>
        <w:tc>
          <w:tcPr>
            <w:tcW w:w="1762" w:type="dxa"/>
            <w:shd w:val="clear" w:color="000000" w:fill="FFFFFF"/>
            <w:vAlign w:val="center"/>
          </w:tcPr>
          <w:p w14:paraId="38FA163D">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C35</w:t>
            </w:r>
          </w:p>
        </w:tc>
        <w:tc>
          <w:tcPr>
            <w:tcW w:w="798" w:type="dxa"/>
            <w:vAlign w:val="center"/>
          </w:tcPr>
          <w:p w14:paraId="50FADD6F">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m3</w:t>
            </w:r>
          </w:p>
        </w:tc>
        <w:tc>
          <w:tcPr>
            <w:tcW w:w="808" w:type="dxa"/>
            <w:vAlign w:val="center"/>
          </w:tcPr>
          <w:p w14:paraId="3B68C2D1">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461</w:t>
            </w:r>
          </w:p>
        </w:tc>
        <w:tc>
          <w:tcPr>
            <w:tcW w:w="3849" w:type="dxa"/>
            <w:vMerge w:val="continue"/>
            <w:vAlign w:val="center"/>
          </w:tcPr>
          <w:p w14:paraId="3D7F3E54">
            <w:pPr>
              <w:spacing w:line="350" w:lineRule="atLeast"/>
              <w:jc w:val="center"/>
              <w:rPr>
                <w:rFonts w:ascii="宋体" w:hAnsi="宋体"/>
                <w:sz w:val="18"/>
                <w:szCs w:val="18"/>
                <w:highlight w:val="none"/>
              </w:rPr>
            </w:pPr>
          </w:p>
        </w:tc>
      </w:tr>
      <w:tr w14:paraId="1579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shd w:val="clear" w:color="000000" w:fill="FFFFFF"/>
            <w:vAlign w:val="center"/>
          </w:tcPr>
          <w:p w14:paraId="1B7731F0">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商品混凝土</w:t>
            </w:r>
          </w:p>
        </w:tc>
        <w:tc>
          <w:tcPr>
            <w:tcW w:w="1762" w:type="dxa"/>
            <w:shd w:val="clear" w:color="000000" w:fill="FFFFFF"/>
            <w:vAlign w:val="center"/>
          </w:tcPr>
          <w:p w14:paraId="462DE598">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C40</w:t>
            </w:r>
          </w:p>
        </w:tc>
        <w:tc>
          <w:tcPr>
            <w:tcW w:w="798" w:type="dxa"/>
            <w:vAlign w:val="center"/>
          </w:tcPr>
          <w:p w14:paraId="7AAD9FE7">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m3</w:t>
            </w:r>
          </w:p>
        </w:tc>
        <w:tc>
          <w:tcPr>
            <w:tcW w:w="808" w:type="dxa"/>
            <w:vAlign w:val="center"/>
          </w:tcPr>
          <w:p w14:paraId="657B341C">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481</w:t>
            </w:r>
          </w:p>
        </w:tc>
        <w:tc>
          <w:tcPr>
            <w:tcW w:w="3849" w:type="dxa"/>
            <w:vMerge w:val="continue"/>
            <w:vAlign w:val="center"/>
          </w:tcPr>
          <w:p w14:paraId="5DF65671">
            <w:pPr>
              <w:spacing w:line="350" w:lineRule="atLeast"/>
              <w:jc w:val="center"/>
              <w:rPr>
                <w:rFonts w:ascii="宋体" w:hAnsi="宋体"/>
                <w:sz w:val="18"/>
                <w:szCs w:val="18"/>
                <w:highlight w:val="none"/>
              </w:rPr>
            </w:pPr>
          </w:p>
        </w:tc>
      </w:tr>
      <w:tr w14:paraId="1D01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5" w:type="dxa"/>
            <w:shd w:val="clear" w:color="000000" w:fill="FFFFFF"/>
            <w:vAlign w:val="center"/>
          </w:tcPr>
          <w:p w14:paraId="4AFED195">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商品混凝土</w:t>
            </w:r>
          </w:p>
        </w:tc>
        <w:tc>
          <w:tcPr>
            <w:tcW w:w="1762" w:type="dxa"/>
            <w:shd w:val="clear" w:color="000000" w:fill="FFFFFF"/>
            <w:vAlign w:val="center"/>
          </w:tcPr>
          <w:p w14:paraId="4BC2226B">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C50</w:t>
            </w:r>
          </w:p>
        </w:tc>
        <w:tc>
          <w:tcPr>
            <w:tcW w:w="798" w:type="dxa"/>
            <w:vAlign w:val="center"/>
          </w:tcPr>
          <w:p w14:paraId="438A9187">
            <w:pPr>
              <w:widowControl/>
              <w:jc w:val="center"/>
              <w:textAlignment w:val="center"/>
              <w:rPr>
                <w:rFonts w:ascii="宋体" w:hAnsi="宋体"/>
                <w:sz w:val="18"/>
                <w:szCs w:val="18"/>
                <w:highlight w:val="none"/>
              </w:rPr>
            </w:pPr>
            <w:r>
              <w:rPr>
                <w:rFonts w:hint="eastAsia" w:ascii="宋体" w:hAnsi="宋体" w:cs="宋体"/>
                <w:color w:val="000000"/>
                <w:kern w:val="0"/>
                <w:sz w:val="18"/>
                <w:szCs w:val="18"/>
                <w:highlight w:val="none"/>
              </w:rPr>
              <w:t>m3</w:t>
            </w:r>
          </w:p>
        </w:tc>
        <w:tc>
          <w:tcPr>
            <w:tcW w:w="808" w:type="dxa"/>
            <w:vAlign w:val="center"/>
          </w:tcPr>
          <w:p w14:paraId="031AFA55">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521</w:t>
            </w:r>
          </w:p>
        </w:tc>
        <w:tc>
          <w:tcPr>
            <w:tcW w:w="3849" w:type="dxa"/>
            <w:vMerge w:val="continue"/>
            <w:vAlign w:val="center"/>
          </w:tcPr>
          <w:p w14:paraId="114C5A13">
            <w:pPr>
              <w:widowControl/>
              <w:spacing w:line="350" w:lineRule="atLeast"/>
              <w:jc w:val="center"/>
              <w:rPr>
                <w:rFonts w:ascii="宋体" w:hAnsi="宋体"/>
                <w:sz w:val="18"/>
                <w:szCs w:val="18"/>
                <w:highlight w:val="none"/>
              </w:rPr>
            </w:pPr>
          </w:p>
        </w:tc>
      </w:tr>
    </w:tbl>
    <w:p w14:paraId="0F502F41">
      <w:pPr>
        <w:spacing w:line="360" w:lineRule="auto"/>
        <w:ind w:firstLine="413" w:firstLineChars="196"/>
        <w:jc w:val="left"/>
        <w:rPr>
          <w:rFonts w:ascii="宋体" w:hAnsi="宋体"/>
          <w:b/>
          <w:szCs w:val="21"/>
          <w:highlight w:val="none"/>
        </w:rPr>
      </w:pPr>
      <w:r>
        <w:rPr>
          <w:rFonts w:hint="eastAsia" w:ascii="宋体" w:hAnsi="宋体"/>
          <w:b/>
          <w:szCs w:val="21"/>
          <w:highlight w:val="none"/>
        </w:rPr>
        <w:t>对于其他特殊混凝土，在普通混凝土结算价格基础上按以下规则结算,该价格在合同供应期间固定不做调整。招标人有权选择使用自有或外租泵送设备，招标人也可自购外加剂由投标人按配合比添加且投标人不得以此收取任何费用。</w:t>
      </w:r>
    </w:p>
    <w:tbl>
      <w:tblPr>
        <w:tblStyle w:val="6"/>
        <w:tblW w:w="8776" w:type="dxa"/>
        <w:jc w:val="center"/>
        <w:tblLayout w:type="fixed"/>
        <w:tblCellMar>
          <w:top w:w="0" w:type="dxa"/>
          <w:left w:w="108" w:type="dxa"/>
          <w:bottom w:w="0" w:type="dxa"/>
          <w:right w:w="108" w:type="dxa"/>
        </w:tblCellMar>
      </w:tblPr>
      <w:tblGrid>
        <w:gridCol w:w="608"/>
        <w:gridCol w:w="3075"/>
        <w:gridCol w:w="1581"/>
        <w:gridCol w:w="2455"/>
        <w:gridCol w:w="1057"/>
      </w:tblGrid>
      <w:tr w14:paraId="4DAD5BBA">
        <w:tblPrEx>
          <w:tblCellMar>
            <w:top w:w="0" w:type="dxa"/>
            <w:left w:w="108" w:type="dxa"/>
            <w:bottom w:w="0" w:type="dxa"/>
            <w:right w:w="108" w:type="dxa"/>
          </w:tblCellMar>
        </w:tblPrEx>
        <w:trPr>
          <w:trHeight w:val="483" w:hRule="atLeast"/>
          <w:jc w:val="center"/>
        </w:trPr>
        <w:tc>
          <w:tcPr>
            <w:tcW w:w="877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376A1C8">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特殊商品混凝土附加费用价格</w:t>
            </w:r>
          </w:p>
        </w:tc>
      </w:tr>
      <w:tr w14:paraId="79DD0FC7">
        <w:tblPrEx>
          <w:tblCellMar>
            <w:top w:w="0" w:type="dxa"/>
            <w:left w:w="108" w:type="dxa"/>
            <w:bottom w:w="0" w:type="dxa"/>
            <w:right w:w="108" w:type="dxa"/>
          </w:tblCellMar>
        </w:tblPrEx>
        <w:trPr>
          <w:trHeight w:val="433"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7EC9B93C">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序号</w:t>
            </w:r>
          </w:p>
        </w:tc>
        <w:tc>
          <w:tcPr>
            <w:tcW w:w="3075" w:type="dxa"/>
            <w:tcBorders>
              <w:top w:val="nil"/>
              <w:left w:val="nil"/>
              <w:bottom w:val="single" w:color="auto" w:sz="4" w:space="0"/>
              <w:right w:val="single" w:color="auto" w:sz="4" w:space="0"/>
            </w:tcBorders>
            <w:shd w:val="clear" w:color="auto" w:fill="auto"/>
            <w:vAlign w:val="center"/>
          </w:tcPr>
          <w:p w14:paraId="721C6FC9">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项目</w:t>
            </w:r>
          </w:p>
        </w:tc>
        <w:tc>
          <w:tcPr>
            <w:tcW w:w="1581" w:type="dxa"/>
            <w:tcBorders>
              <w:top w:val="nil"/>
              <w:left w:val="nil"/>
              <w:bottom w:val="single" w:color="auto" w:sz="4" w:space="0"/>
              <w:right w:val="single" w:color="auto" w:sz="4" w:space="0"/>
            </w:tcBorders>
            <w:shd w:val="clear" w:color="auto" w:fill="auto"/>
            <w:vAlign w:val="center"/>
          </w:tcPr>
          <w:p w14:paraId="26DA202F">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计量单位</w:t>
            </w:r>
          </w:p>
        </w:tc>
        <w:tc>
          <w:tcPr>
            <w:tcW w:w="2455" w:type="dxa"/>
            <w:tcBorders>
              <w:top w:val="nil"/>
              <w:left w:val="nil"/>
              <w:bottom w:val="single" w:color="auto" w:sz="4" w:space="0"/>
              <w:right w:val="single" w:color="auto" w:sz="4" w:space="0"/>
            </w:tcBorders>
            <w:shd w:val="clear" w:color="auto" w:fill="auto"/>
            <w:vAlign w:val="center"/>
          </w:tcPr>
          <w:p w14:paraId="0635C1F1">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价格（</w:t>
            </w:r>
            <w:r>
              <w:rPr>
                <w:rFonts w:hint="eastAsia" w:ascii="宋体" w:hAnsi="宋体" w:cs="宋体"/>
                <w:color w:val="000000"/>
                <w:kern w:val="0"/>
                <w:sz w:val="18"/>
                <w:szCs w:val="18"/>
                <w:highlight w:val="none"/>
              </w:rPr>
              <w:t>元/m3</w:t>
            </w:r>
            <w:r>
              <w:rPr>
                <w:rFonts w:hint="eastAsia" w:ascii="宋体" w:hAnsi="宋体" w:cs="宋体"/>
                <w:b/>
                <w:bCs/>
                <w:color w:val="000000"/>
                <w:kern w:val="0"/>
                <w:sz w:val="18"/>
                <w:szCs w:val="18"/>
                <w:highlight w:val="none"/>
              </w:rPr>
              <w:t>）</w:t>
            </w:r>
          </w:p>
        </w:tc>
        <w:tc>
          <w:tcPr>
            <w:tcW w:w="1057" w:type="dxa"/>
            <w:tcBorders>
              <w:top w:val="nil"/>
              <w:left w:val="nil"/>
              <w:bottom w:val="single" w:color="auto" w:sz="4" w:space="0"/>
              <w:right w:val="single" w:color="auto" w:sz="4" w:space="0"/>
            </w:tcBorders>
            <w:shd w:val="clear" w:color="auto" w:fill="auto"/>
            <w:vAlign w:val="center"/>
          </w:tcPr>
          <w:p w14:paraId="2B4D035D">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备注</w:t>
            </w:r>
          </w:p>
        </w:tc>
      </w:tr>
      <w:tr w14:paraId="7A859BEE">
        <w:tblPrEx>
          <w:tblCellMar>
            <w:top w:w="0" w:type="dxa"/>
            <w:left w:w="108" w:type="dxa"/>
            <w:bottom w:w="0" w:type="dxa"/>
            <w:right w:w="108" w:type="dxa"/>
          </w:tblCellMar>
        </w:tblPrEx>
        <w:trPr>
          <w:trHeight w:val="270"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65491219">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w:t>
            </w:r>
          </w:p>
        </w:tc>
        <w:tc>
          <w:tcPr>
            <w:tcW w:w="3075" w:type="dxa"/>
            <w:tcBorders>
              <w:top w:val="nil"/>
              <w:left w:val="nil"/>
              <w:bottom w:val="single" w:color="auto" w:sz="4" w:space="0"/>
              <w:right w:val="single" w:color="auto" w:sz="4" w:space="0"/>
            </w:tcBorders>
            <w:shd w:val="clear" w:color="auto" w:fill="auto"/>
            <w:vAlign w:val="center"/>
          </w:tcPr>
          <w:p w14:paraId="3ECCCF01">
            <w:pP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细石</w:t>
            </w:r>
          </w:p>
        </w:tc>
        <w:tc>
          <w:tcPr>
            <w:tcW w:w="1581" w:type="dxa"/>
            <w:tcBorders>
              <w:top w:val="nil"/>
              <w:left w:val="nil"/>
              <w:bottom w:val="single" w:color="auto" w:sz="4" w:space="0"/>
              <w:right w:val="single" w:color="auto" w:sz="4" w:space="0"/>
            </w:tcBorders>
            <w:shd w:val="clear" w:color="auto" w:fill="auto"/>
            <w:vAlign w:val="center"/>
          </w:tcPr>
          <w:p w14:paraId="1FE2F171">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1376624F">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4.5元/ m3</w:t>
            </w:r>
          </w:p>
        </w:tc>
        <w:tc>
          <w:tcPr>
            <w:tcW w:w="1057" w:type="dxa"/>
            <w:tcBorders>
              <w:top w:val="nil"/>
              <w:left w:val="nil"/>
              <w:bottom w:val="single" w:color="auto" w:sz="4" w:space="0"/>
              <w:right w:val="single" w:color="auto" w:sz="4" w:space="0"/>
            </w:tcBorders>
            <w:shd w:val="clear" w:color="auto" w:fill="auto"/>
            <w:vAlign w:val="center"/>
          </w:tcPr>
          <w:p w14:paraId="3001879E">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1FA7221C">
        <w:tblPrEx>
          <w:tblCellMar>
            <w:top w:w="0" w:type="dxa"/>
            <w:left w:w="108" w:type="dxa"/>
            <w:bottom w:w="0" w:type="dxa"/>
            <w:right w:w="108" w:type="dxa"/>
          </w:tblCellMar>
        </w:tblPrEx>
        <w:trPr>
          <w:trHeight w:val="270"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3CA6DA0D">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w:t>
            </w:r>
          </w:p>
        </w:tc>
        <w:tc>
          <w:tcPr>
            <w:tcW w:w="3075" w:type="dxa"/>
            <w:tcBorders>
              <w:top w:val="nil"/>
              <w:left w:val="nil"/>
              <w:bottom w:val="single" w:color="auto" w:sz="4" w:space="0"/>
              <w:right w:val="single" w:color="auto" w:sz="4" w:space="0"/>
            </w:tcBorders>
            <w:shd w:val="clear" w:color="auto" w:fill="auto"/>
            <w:vAlign w:val="center"/>
          </w:tcPr>
          <w:p w14:paraId="50D21DE3">
            <w:pP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早强</w:t>
            </w:r>
          </w:p>
        </w:tc>
        <w:tc>
          <w:tcPr>
            <w:tcW w:w="1581" w:type="dxa"/>
            <w:tcBorders>
              <w:top w:val="nil"/>
              <w:left w:val="nil"/>
              <w:bottom w:val="single" w:color="auto" w:sz="4" w:space="0"/>
              <w:right w:val="single" w:color="auto" w:sz="4" w:space="0"/>
            </w:tcBorders>
            <w:shd w:val="clear" w:color="auto" w:fill="auto"/>
            <w:vAlign w:val="center"/>
          </w:tcPr>
          <w:p w14:paraId="72204B6F">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144B8080">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4.5元/ m3</w:t>
            </w:r>
          </w:p>
        </w:tc>
        <w:tc>
          <w:tcPr>
            <w:tcW w:w="1057" w:type="dxa"/>
            <w:tcBorders>
              <w:top w:val="nil"/>
              <w:left w:val="nil"/>
              <w:bottom w:val="single" w:color="auto" w:sz="4" w:space="0"/>
              <w:right w:val="single" w:color="auto" w:sz="4" w:space="0"/>
            </w:tcBorders>
            <w:shd w:val="clear" w:color="auto" w:fill="auto"/>
            <w:vAlign w:val="center"/>
          </w:tcPr>
          <w:p w14:paraId="38CA5061">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64730865">
        <w:tblPrEx>
          <w:tblCellMar>
            <w:top w:w="0" w:type="dxa"/>
            <w:left w:w="108" w:type="dxa"/>
            <w:bottom w:w="0" w:type="dxa"/>
            <w:right w:w="108" w:type="dxa"/>
          </w:tblCellMar>
        </w:tblPrEx>
        <w:trPr>
          <w:trHeight w:val="270"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5F1848D3">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3075" w:type="dxa"/>
            <w:tcBorders>
              <w:top w:val="nil"/>
              <w:left w:val="nil"/>
              <w:bottom w:val="single" w:color="auto" w:sz="4" w:space="0"/>
              <w:right w:val="single" w:color="auto" w:sz="4" w:space="0"/>
            </w:tcBorders>
            <w:shd w:val="clear" w:color="auto" w:fill="auto"/>
            <w:vAlign w:val="center"/>
          </w:tcPr>
          <w:p w14:paraId="0FA403E4">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防冻</w:t>
            </w:r>
          </w:p>
        </w:tc>
        <w:tc>
          <w:tcPr>
            <w:tcW w:w="1581" w:type="dxa"/>
            <w:tcBorders>
              <w:top w:val="nil"/>
              <w:left w:val="nil"/>
              <w:bottom w:val="single" w:color="auto" w:sz="4" w:space="0"/>
              <w:right w:val="single" w:color="auto" w:sz="4" w:space="0"/>
            </w:tcBorders>
            <w:shd w:val="clear" w:color="auto" w:fill="auto"/>
            <w:vAlign w:val="center"/>
          </w:tcPr>
          <w:p w14:paraId="33443F3B">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4F0613FA">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4.5元/m3</w:t>
            </w:r>
          </w:p>
        </w:tc>
        <w:tc>
          <w:tcPr>
            <w:tcW w:w="1057" w:type="dxa"/>
            <w:tcBorders>
              <w:top w:val="nil"/>
              <w:left w:val="nil"/>
              <w:bottom w:val="single" w:color="auto" w:sz="4" w:space="0"/>
              <w:right w:val="single" w:color="auto" w:sz="4" w:space="0"/>
            </w:tcBorders>
            <w:shd w:val="clear" w:color="auto" w:fill="auto"/>
            <w:vAlign w:val="center"/>
          </w:tcPr>
          <w:p w14:paraId="533FD3A4">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33A64C74">
        <w:tblPrEx>
          <w:tblCellMar>
            <w:top w:w="0" w:type="dxa"/>
            <w:left w:w="108" w:type="dxa"/>
            <w:bottom w:w="0" w:type="dxa"/>
            <w:right w:w="108" w:type="dxa"/>
          </w:tblCellMar>
        </w:tblPrEx>
        <w:trPr>
          <w:trHeight w:val="270"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5F2333A8">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3075" w:type="dxa"/>
            <w:tcBorders>
              <w:top w:val="nil"/>
              <w:left w:val="nil"/>
              <w:bottom w:val="single" w:color="auto" w:sz="4" w:space="0"/>
              <w:right w:val="single" w:color="auto" w:sz="4" w:space="0"/>
            </w:tcBorders>
            <w:shd w:val="clear" w:color="auto" w:fill="auto"/>
            <w:vAlign w:val="center"/>
          </w:tcPr>
          <w:p w14:paraId="2238E06A">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水下</w:t>
            </w:r>
          </w:p>
        </w:tc>
        <w:tc>
          <w:tcPr>
            <w:tcW w:w="1581" w:type="dxa"/>
            <w:tcBorders>
              <w:top w:val="nil"/>
              <w:left w:val="nil"/>
              <w:bottom w:val="single" w:color="auto" w:sz="4" w:space="0"/>
              <w:right w:val="single" w:color="auto" w:sz="4" w:space="0"/>
            </w:tcBorders>
            <w:shd w:val="clear" w:color="auto" w:fill="auto"/>
            <w:vAlign w:val="center"/>
          </w:tcPr>
          <w:p w14:paraId="7D924BDD">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4998262F">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8元/ m3</w:t>
            </w:r>
          </w:p>
        </w:tc>
        <w:tc>
          <w:tcPr>
            <w:tcW w:w="1057" w:type="dxa"/>
            <w:tcBorders>
              <w:top w:val="nil"/>
              <w:left w:val="nil"/>
              <w:bottom w:val="single" w:color="auto" w:sz="4" w:space="0"/>
              <w:right w:val="single" w:color="auto" w:sz="4" w:space="0"/>
            </w:tcBorders>
            <w:shd w:val="clear" w:color="auto" w:fill="auto"/>
            <w:vAlign w:val="center"/>
          </w:tcPr>
          <w:p w14:paraId="77A7F2DC">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6D6679BB">
        <w:tblPrEx>
          <w:tblCellMar>
            <w:top w:w="0" w:type="dxa"/>
            <w:left w:w="108" w:type="dxa"/>
            <w:bottom w:w="0" w:type="dxa"/>
            <w:right w:w="108" w:type="dxa"/>
          </w:tblCellMar>
        </w:tblPrEx>
        <w:trPr>
          <w:trHeight w:val="270"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4B60F2A5">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w:t>
            </w:r>
          </w:p>
        </w:tc>
        <w:tc>
          <w:tcPr>
            <w:tcW w:w="3075" w:type="dxa"/>
            <w:tcBorders>
              <w:top w:val="nil"/>
              <w:left w:val="nil"/>
              <w:bottom w:val="single" w:color="auto" w:sz="4" w:space="0"/>
              <w:right w:val="single" w:color="auto" w:sz="4" w:space="0"/>
            </w:tcBorders>
            <w:shd w:val="clear" w:color="auto" w:fill="auto"/>
            <w:vAlign w:val="center"/>
          </w:tcPr>
          <w:p w14:paraId="21C195A9">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抗裂</w:t>
            </w:r>
            <w:r>
              <w:rPr>
                <w:rFonts w:hint="eastAsia" w:ascii="宋体" w:hAnsi="宋体" w:cs="宋体"/>
                <w:kern w:val="0"/>
                <w:sz w:val="18"/>
                <w:szCs w:val="18"/>
                <w:highlight w:val="none"/>
              </w:rPr>
              <w:t>纤维</w:t>
            </w:r>
          </w:p>
        </w:tc>
        <w:tc>
          <w:tcPr>
            <w:tcW w:w="1581" w:type="dxa"/>
            <w:tcBorders>
              <w:top w:val="nil"/>
              <w:left w:val="nil"/>
              <w:bottom w:val="single" w:color="auto" w:sz="4" w:space="0"/>
              <w:right w:val="single" w:color="auto" w:sz="4" w:space="0"/>
            </w:tcBorders>
            <w:shd w:val="clear" w:color="auto" w:fill="auto"/>
            <w:vAlign w:val="center"/>
          </w:tcPr>
          <w:p w14:paraId="2C23E415">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52091322">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8元/ m3</w:t>
            </w:r>
          </w:p>
        </w:tc>
        <w:tc>
          <w:tcPr>
            <w:tcW w:w="1057" w:type="dxa"/>
            <w:tcBorders>
              <w:top w:val="nil"/>
              <w:left w:val="nil"/>
              <w:bottom w:val="single" w:color="auto" w:sz="4" w:space="0"/>
              <w:right w:val="single" w:color="auto" w:sz="4" w:space="0"/>
            </w:tcBorders>
            <w:shd w:val="clear" w:color="auto" w:fill="auto"/>
            <w:vAlign w:val="center"/>
          </w:tcPr>
          <w:p w14:paraId="7338B600">
            <w:pPr>
              <w:widowControl/>
              <w:jc w:val="center"/>
              <w:rPr>
                <w:rFonts w:ascii="宋体" w:hAnsi="宋体" w:cs="宋体"/>
                <w:color w:val="000000"/>
                <w:kern w:val="0"/>
                <w:sz w:val="18"/>
                <w:szCs w:val="18"/>
                <w:highlight w:val="none"/>
              </w:rPr>
            </w:pPr>
          </w:p>
        </w:tc>
      </w:tr>
      <w:tr w14:paraId="652D04D1">
        <w:tblPrEx>
          <w:tblCellMar>
            <w:top w:w="0" w:type="dxa"/>
            <w:left w:w="108" w:type="dxa"/>
            <w:bottom w:w="0" w:type="dxa"/>
            <w:right w:w="108" w:type="dxa"/>
          </w:tblCellMar>
        </w:tblPrEx>
        <w:trPr>
          <w:trHeight w:val="270"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292DAD69">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w:t>
            </w:r>
          </w:p>
        </w:tc>
        <w:tc>
          <w:tcPr>
            <w:tcW w:w="3075" w:type="dxa"/>
            <w:tcBorders>
              <w:top w:val="nil"/>
              <w:left w:val="nil"/>
              <w:bottom w:val="single" w:color="auto" w:sz="4" w:space="0"/>
              <w:right w:val="single" w:color="auto" w:sz="4" w:space="0"/>
            </w:tcBorders>
            <w:shd w:val="clear" w:color="auto" w:fill="auto"/>
            <w:vAlign w:val="center"/>
          </w:tcPr>
          <w:p w14:paraId="35B62369">
            <w:pPr>
              <w:widowControl/>
              <w:jc w:val="center"/>
              <w:rPr>
                <w:rFonts w:ascii="宋体" w:hAnsi="宋体" w:cs="宋体"/>
                <w:color w:val="000000"/>
                <w:kern w:val="0"/>
                <w:sz w:val="18"/>
                <w:szCs w:val="18"/>
                <w:highlight w:val="none"/>
              </w:rPr>
            </w:pPr>
            <w:r>
              <w:rPr>
                <w:rFonts w:ascii="宋体" w:hAnsi="宋体" w:cs="宋体"/>
                <w:color w:val="000000"/>
                <w:kern w:val="0"/>
                <w:sz w:val="18"/>
                <w:szCs w:val="18"/>
                <w:highlight w:val="none"/>
              </w:rPr>
              <w:t>P6</w:t>
            </w:r>
          </w:p>
        </w:tc>
        <w:tc>
          <w:tcPr>
            <w:tcW w:w="1581" w:type="dxa"/>
            <w:tcBorders>
              <w:top w:val="nil"/>
              <w:left w:val="nil"/>
              <w:bottom w:val="single" w:color="auto" w:sz="4" w:space="0"/>
              <w:right w:val="single" w:color="auto" w:sz="4" w:space="0"/>
            </w:tcBorders>
            <w:shd w:val="clear" w:color="auto" w:fill="auto"/>
            <w:vAlign w:val="center"/>
          </w:tcPr>
          <w:p w14:paraId="67CC7AC6">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20202727">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5元/ m3</w:t>
            </w:r>
          </w:p>
        </w:tc>
        <w:tc>
          <w:tcPr>
            <w:tcW w:w="1057" w:type="dxa"/>
            <w:tcBorders>
              <w:top w:val="nil"/>
              <w:left w:val="nil"/>
              <w:bottom w:val="single" w:color="auto" w:sz="4" w:space="0"/>
              <w:right w:val="single" w:color="auto" w:sz="4" w:space="0"/>
            </w:tcBorders>
            <w:shd w:val="clear" w:color="auto" w:fill="auto"/>
            <w:vAlign w:val="center"/>
          </w:tcPr>
          <w:p w14:paraId="0EB558EC">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7AFF4968">
        <w:tblPrEx>
          <w:tblCellMar>
            <w:top w:w="0" w:type="dxa"/>
            <w:left w:w="108" w:type="dxa"/>
            <w:bottom w:w="0" w:type="dxa"/>
            <w:right w:w="108" w:type="dxa"/>
          </w:tblCellMar>
        </w:tblPrEx>
        <w:trPr>
          <w:trHeight w:val="304"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6FE788D0">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w:t>
            </w:r>
          </w:p>
        </w:tc>
        <w:tc>
          <w:tcPr>
            <w:tcW w:w="3075" w:type="dxa"/>
            <w:tcBorders>
              <w:top w:val="nil"/>
              <w:left w:val="nil"/>
              <w:bottom w:val="single" w:color="auto" w:sz="4" w:space="0"/>
              <w:right w:val="single" w:color="auto" w:sz="4" w:space="0"/>
            </w:tcBorders>
            <w:shd w:val="clear" w:color="auto" w:fill="auto"/>
            <w:vAlign w:val="center"/>
          </w:tcPr>
          <w:p w14:paraId="36A28DA4">
            <w:pPr>
              <w:widowControl/>
              <w:jc w:val="center"/>
              <w:rPr>
                <w:rFonts w:hint="default" w:ascii="宋体" w:hAnsi="宋体" w:eastAsia="宋体" w:cs="宋体"/>
                <w:color w:val="000000"/>
                <w:kern w:val="0"/>
                <w:sz w:val="18"/>
                <w:szCs w:val="18"/>
                <w:highlight w:val="none"/>
                <w:lang w:val="en-US" w:eastAsia="zh-CN"/>
              </w:rPr>
            </w:pPr>
            <w:r>
              <w:rPr>
                <w:rFonts w:ascii="宋体" w:hAnsi="宋体" w:cs="宋体"/>
                <w:color w:val="000000"/>
                <w:kern w:val="0"/>
                <w:sz w:val="18"/>
                <w:szCs w:val="18"/>
                <w:highlight w:val="none"/>
              </w:rPr>
              <w:t>P8</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lang w:val="en-US" w:eastAsia="zh-CN"/>
              </w:rPr>
              <w:t>P10</w:t>
            </w:r>
          </w:p>
        </w:tc>
        <w:tc>
          <w:tcPr>
            <w:tcW w:w="1581" w:type="dxa"/>
            <w:tcBorders>
              <w:top w:val="nil"/>
              <w:left w:val="nil"/>
              <w:bottom w:val="single" w:color="auto" w:sz="4" w:space="0"/>
              <w:right w:val="single" w:color="auto" w:sz="4" w:space="0"/>
            </w:tcBorders>
            <w:shd w:val="clear" w:color="auto" w:fill="auto"/>
            <w:vAlign w:val="center"/>
          </w:tcPr>
          <w:p w14:paraId="37DB1C96">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31177137">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8元/ m3</w:t>
            </w:r>
          </w:p>
        </w:tc>
        <w:tc>
          <w:tcPr>
            <w:tcW w:w="1057" w:type="dxa"/>
            <w:tcBorders>
              <w:top w:val="nil"/>
              <w:left w:val="nil"/>
              <w:bottom w:val="single" w:color="auto" w:sz="4" w:space="0"/>
              <w:right w:val="single" w:color="auto" w:sz="4" w:space="0"/>
            </w:tcBorders>
            <w:shd w:val="clear" w:color="auto" w:fill="auto"/>
            <w:vAlign w:val="center"/>
          </w:tcPr>
          <w:p w14:paraId="4F603AFF">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1F9A516E">
        <w:tblPrEx>
          <w:tblCellMar>
            <w:top w:w="0" w:type="dxa"/>
            <w:left w:w="108" w:type="dxa"/>
            <w:bottom w:w="0" w:type="dxa"/>
            <w:right w:w="108" w:type="dxa"/>
          </w:tblCellMar>
        </w:tblPrEx>
        <w:trPr>
          <w:trHeight w:val="349" w:hRule="atLeast"/>
          <w:jc w:val="center"/>
        </w:trPr>
        <w:tc>
          <w:tcPr>
            <w:tcW w:w="608" w:type="dxa"/>
            <w:tcBorders>
              <w:top w:val="nil"/>
              <w:left w:val="single" w:color="auto" w:sz="4" w:space="0"/>
              <w:bottom w:val="single" w:color="auto" w:sz="4" w:space="0"/>
              <w:right w:val="single" w:color="auto" w:sz="4" w:space="0"/>
            </w:tcBorders>
            <w:shd w:val="clear" w:color="auto" w:fill="auto"/>
            <w:vAlign w:val="center"/>
          </w:tcPr>
          <w:p w14:paraId="15FFA079">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w:t>
            </w:r>
          </w:p>
        </w:tc>
        <w:tc>
          <w:tcPr>
            <w:tcW w:w="3075" w:type="dxa"/>
            <w:tcBorders>
              <w:top w:val="nil"/>
              <w:left w:val="nil"/>
              <w:bottom w:val="single" w:color="auto" w:sz="4" w:space="0"/>
              <w:right w:val="single" w:color="auto" w:sz="4" w:space="0"/>
            </w:tcBorders>
            <w:shd w:val="clear" w:color="auto" w:fill="auto"/>
            <w:vAlign w:val="center"/>
          </w:tcPr>
          <w:p w14:paraId="32348B6C">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微膨胀</w:t>
            </w:r>
          </w:p>
        </w:tc>
        <w:tc>
          <w:tcPr>
            <w:tcW w:w="1581" w:type="dxa"/>
            <w:tcBorders>
              <w:top w:val="nil"/>
              <w:left w:val="nil"/>
              <w:bottom w:val="single" w:color="auto" w:sz="4" w:space="0"/>
              <w:right w:val="single" w:color="auto" w:sz="4" w:space="0"/>
            </w:tcBorders>
            <w:shd w:val="clear" w:color="auto" w:fill="auto"/>
            <w:vAlign w:val="center"/>
          </w:tcPr>
          <w:p w14:paraId="7D9B16A6">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nil"/>
              <w:left w:val="nil"/>
              <w:bottom w:val="single" w:color="auto" w:sz="4" w:space="0"/>
              <w:right w:val="single" w:color="auto" w:sz="4" w:space="0"/>
            </w:tcBorders>
            <w:shd w:val="clear" w:color="auto" w:fill="auto"/>
            <w:vAlign w:val="center"/>
          </w:tcPr>
          <w:p w14:paraId="7C00DBED">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15元/ m3</w:t>
            </w:r>
          </w:p>
        </w:tc>
        <w:tc>
          <w:tcPr>
            <w:tcW w:w="1057" w:type="dxa"/>
            <w:tcBorders>
              <w:top w:val="nil"/>
              <w:left w:val="nil"/>
              <w:bottom w:val="single" w:color="auto" w:sz="4" w:space="0"/>
              <w:right w:val="single" w:color="auto" w:sz="4" w:space="0"/>
            </w:tcBorders>
            <w:shd w:val="clear" w:color="auto" w:fill="auto"/>
            <w:vAlign w:val="center"/>
          </w:tcPr>
          <w:p w14:paraId="2A0C4ABD">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14:paraId="6DA28712">
        <w:tblPrEx>
          <w:tblCellMar>
            <w:top w:w="0" w:type="dxa"/>
            <w:left w:w="108" w:type="dxa"/>
            <w:bottom w:w="0" w:type="dxa"/>
            <w:right w:w="108" w:type="dxa"/>
          </w:tblCellMar>
        </w:tblPrEx>
        <w:trPr>
          <w:trHeight w:val="349" w:hRule="atLeast"/>
          <w:jc w:val="center"/>
        </w:trPr>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54FDB697">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9</w:t>
            </w:r>
          </w:p>
        </w:tc>
        <w:tc>
          <w:tcPr>
            <w:tcW w:w="3075" w:type="dxa"/>
            <w:tcBorders>
              <w:top w:val="single" w:color="auto" w:sz="4" w:space="0"/>
              <w:left w:val="nil"/>
              <w:bottom w:val="single" w:color="auto" w:sz="4" w:space="0"/>
              <w:right w:val="single" w:color="auto" w:sz="4" w:space="0"/>
            </w:tcBorders>
            <w:shd w:val="clear" w:color="auto" w:fill="auto"/>
            <w:vAlign w:val="center"/>
          </w:tcPr>
          <w:p w14:paraId="51E3D2EF">
            <w:pPr>
              <w:widowControl/>
              <w:jc w:val="center"/>
              <w:rPr>
                <w:rFonts w:ascii="宋体" w:hAnsi="宋体"/>
                <w:sz w:val="18"/>
                <w:szCs w:val="18"/>
                <w:highlight w:val="none"/>
              </w:rPr>
            </w:pPr>
            <w:r>
              <w:rPr>
                <w:rFonts w:hint="eastAsia" w:ascii="宋体" w:hAnsi="宋体"/>
                <w:sz w:val="18"/>
                <w:szCs w:val="18"/>
                <w:highlight w:val="none"/>
              </w:rPr>
              <w:t>汽车泵≥36米</w:t>
            </w:r>
          </w:p>
        </w:tc>
        <w:tc>
          <w:tcPr>
            <w:tcW w:w="1581" w:type="dxa"/>
            <w:tcBorders>
              <w:top w:val="single" w:color="auto" w:sz="4" w:space="0"/>
              <w:left w:val="nil"/>
              <w:bottom w:val="single" w:color="auto" w:sz="4" w:space="0"/>
              <w:right w:val="single" w:color="auto" w:sz="4" w:space="0"/>
            </w:tcBorders>
            <w:shd w:val="clear" w:color="auto" w:fill="auto"/>
            <w:vAlign w:val="center"/>
          </w:tcPr>
          <w:p w14:paraId="07920374">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single" w:color="auto" w:sz="4" w:space="0"/>
              <w:left w:val="nil"/>
              <w:bottom w:val="single" w:color="auto" w:sz="4" w:space="0"/>
              <w:right w:val="single" w:color="auto" w:sz="4" w:space="0"/>
            </w:tcBorders>
            <w:shd w:val="clear" w:color="auto" w:fill="auto"/>
            <w:vAlign w:val="center"/>
          </w:tcPr>
          <w:p w14:paraId="4825E854">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15元/ m3</w:t>
            </w:r>
          </w:p>
        </w:tc>
        <w:tc>
          <w:tcPr>
            <w:tcW w:w="1057" w:type="dxa"/>
            <w:tcBorders>
              <w:top w:val="single" w:color="auto" w:sz="4" w:space="0"/>
              <w:left w:val="nil"/>
              <w:bottom w:val="single" w:color="auto" w:sz="4" w:space="0"/>
              <w:right w:val="single" w:color="auto" w:sz="4" w:space="0"/>
            </w:tcBorders>
            <w:shd w:val="clear" w:color="auto" w:fill="auto"/>
            <w:vAlign w:val="center"/>
          </w:tcPr>
          <w:p w14:paraId="5600851E">
            <w:pPr>
              <w:widowControl/>
              <w:jc w:val="center"/>
              <w:rPr>
                <w:rFonts w:ascii="宋体" w:hAnsi="宋体" w:cs="宋体"/>
                <w:color w:val="000000"/>
                <w:kern w:val="0"/>
                <w:sz w:val="18"/>
                <w:szCs w:val="18"/>
                <w:highlight w:val="none"/>
              </w:rPr>
            </w:pPr>
          </w:p>
        </w:tc>
      </w:tr>
      <w:tr w14:paraId="4FA9D735">
        <w:tblPrEx>
          <w:tblCellMar>
            <w:top w:w="0" w:type="dxa"/>
            <w:left w:w="108" w:type="dxa"/>
            <w:bottom w:w="0" w:type="dxa"/>
            <w:right w:w="108" w:type="dxa"/>
          </w:tblCellMar>
        </w:tblPrEx>
        <w:trPr>
          <w:trHeight w:val="349" w:hRule="atLeast"/>
          <w:jc w:val="center"/>
        </w:trPr>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4ACD4884">
            <w:pPr>
              <w:widowControl/>
              <w:jc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10</w:t>
            </w:r>
          </w:p>
        </w:tc>
        <w:tc>
          <w:tcPr>
            <w:tcW w:w="3075" w:type="dxa"/>
            <w:tcBorders>
              <w:top w:val="single" w:color="auto" w:sz="4" w:space="0"/>
              <w:left w:val="nil"/>
              <w:bottom w:val="single" w:color="auto" w:sz="4" w:space="0"/>
              <w:right w:val="single" w:color="auto" w:sz="4" w:space="0"/>
            </w:tcBorders>
            <w:shd w:val="clear" w:color="auto" w:fill="auto"/>
            <w:vAlign w:val="center"/>
          </w:tcPr>
          <w:p w14:paraId="641D38AC">
            <w:pPr>
              <w:widowControl/>
              <w:jc w:val="center"/>
              <w:rPr>
                <w:rFonts w:hint="eastAsia" w:ascii="宋体" w:hAnsi="宋体"/>
                <w:sz w:val="18"/>
                <w:szCs w:val="18"/>
                <w:highlight w:val="none"/>
              </w:rPr>
            </w:pPr>
            <w:r>
              <w:rPr>
                <w:rFonts w:hint="eastAsia" w:ascii="宋体" w:hAnsi="宋体"/>
                <w:sz w:val="18"/>
                <w:szCs w:val="18"/>
                <w:highlight w:val="none"/>
              </w:rPr>
              <w:t>抗裂剂</w:t>
            </w:r>
          </w:p>
        </w:tc>
        <w:tc>
          <w:tcPr>
            <w:tcW w:w="1581" w:type="dxa"/>
            <w:tcBorders>
              <w:top w:val="single" w:color="auto" w:sz="4" w:space="0"/>
              <w:left w:val="nil"/>
              <w:bottom w:val="single" w:color="auto" w:sz="4" w:space="0"/>
              <w:right w:val="single" w:color="auto" w:sz="4" w:space="0"/>
            </w:tcBorders>
            <w:shd w:val="clear" w:color="auto" w:fill="auto"/>
            <w:vAlign w:val="center"/>
          </w:tcPr>
          <w:p w14:paraId="12F8A0AA">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m3</w:t>
            </w:r>
          </w:p>
        </w:tc>
        <w:tc>
          <w:tcPr>
            <w:tcW w:w="2455" w:type="dxa"/>
            <w:tcBorders>
              <w:top w:val="single" w:color="auto" w:sz="4" w:space="0"/>
              <w:left w:val="nil"/>
              <w:bottom w:val="single" w:color="auto" w:sz="4" w:space="0"/>
              <w:right w:val="single" w:color="auto" w:sz="4" w:space="0"/>
            </w:tcBorders>
            <w:shd w:val="clear" w:color="auto" w:fill="auto"/>
            <w:vAlign w:val="center"/>
          </w:tcPr>
          <w:p w14:paraId="2EE63CC1">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80</w:t>
            </w:r>
            <w:r>
              <w:rPr>
                <w:rFonts w:hint="eastAsia" w:ascii="宋体" w:hAnsi="宋体" w:cs="宋体"/>
                <w:color w:val="000000"/>
                <w:kern w:val="0"/>
                <w:sz w:val="18"/>
                <w:szCs w:val="18"/>
                <w:highlight w:val="none"/>
              </w:rPr>
              <w:t>元/ m3</w:t>
            </w:r>
          </w:p>
        </w:tc>
        <w:tc>
          <w:tcPr>
            <w:tcW w:w="1057" w:type="dxa"/>
            <w:tcBorders>
              <w:top w:val="single" w:color="auto" w:sz="4" w:space="0"/>
              <w:left w:val="nil"/>
              <w:bottom w:val="single" w:color="auto" w:sz="4" w:space="0"/>
              <w:right w:val="single" w:color="auto" w:sz="4" w:space="0"/>
            </w:tcBorders>
            <w:shd w:val="clear" w:color="auto" w:fill="auto"/>
            <w:vAlign w:val="center"/>
          </w:tcPr>
          <w:p w14:paraId="5D5BA464">
            <w:pPr>
              <w:widowControl/>
              <w:jc w:val="center"/>
              <w:rPr>
                <w:rFonts w:ascii="宋体" w:hAnsi="宋体" w:cs="宋体"/>
                <w:color w:val="000000"/>
                <w:kern w:val="0"/>
                <w:sz w:val="18"/>
                <w:szCs w:val="18"/>
                <w:highlight w:val="none"/>
              </w:rPr>
            </w:pPr>
          </w:p>
        </w:tc>
      </w:tr>
    </w:tbl>
    <w:p w14:paraId="15AAB636">
      <w:pPr>
        <w:spacing w:line="440" w:lineRule="exact"/>
        <w:ind w:firstLine="420" w:firstLineChars="200"/>
        <w:jc w:val="left"/>
        <w:rPr>
          <w:rFonts w:hint="eastAsia" w:ascii="宋体" w:hAnsi="宋体" w:eastAsia="宋体" w:cs="Times New Roman"/>
          <w:b w:val="0"/>
          <w:bCs w:val="0"/>
          <w:kern w:val="2"/>
          <w:sz w:val="21"/>
          <w:szCs w:val="21"/>
          <w:highlight w:val="none"/>
          <w:lang w:val="en-US" w:eastAsia="zh-CN" w:bidi="ar-SA"/>
        </w:rPr>
      </w:pPr>
      <w:r>
        <w:rPr>
          <w:rFonts w:hint="eastAsia" w:ascii="宋体" w:hAnsi="宋体"/>
          <w:szCs w:val="21"/>
          <w:highlight w:val="none"/>
        </w:rPr>
        <w:t>结算单价：为乙方将混凝土送至甲方工地落地价格，包含但不限于混凝土原材料费、加工费、水电费、运输费、泵送费、机械折旧修理费、司机工资、管理费、利润、税金和其他费用等，以及在此期间发生的所有保险及劳动保护费。电泵乙方免费提供使用，同标号砂浆单价不超过相同标号混凝土；润管砂浆免费；小方量运输不收取费用；以上限价均为含税固定单价，不予调整。</w:t>
      </w:r>
    </w:p>
    <w:p w14:paraId="0ECCDFC0">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7.2双方特别约定：遵循“先开票、后付款”的原则，甲方支付前，乙方应按双方确认的应付金额向甲方提供增值税专用发票，并于发票开具后</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2</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日内提交给甲方。甲方收到乙方发票后，按合同约定向乙方付款。</w:t>
      </w:r>
    </w:p>
    <w:p w14:paraId="7EF1402C">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7.3货款支付采用下列第</w:t>
      </w:r>
      <w:r>
        <w:rPr>
          <w:rFonts w:hint="eastAsia" w:ascii="宋体" w:hAnsi="宋体" w:eastAsia="宋体" w:cs="Times New Roman"/>
          <w:b w:val="0"/>
          <w:bCs w:val="0"/>
          <w:kern w:val="2"/>
          <w:sz w:val="21"/>
          <w:szCs w:val="21"/>
          <w:u w:val="single"/>
          <w:lang w:val="en-US" w:eastAsia="zh-CN" w:bidi="ar-SA"/>
        </w:rPr>
        <w:t>7.3.3</w:t>
      </w:r>
      <w:r>
        <w:rPr>
          <w:rFonts w:hint="eastAsia" w:ascii="宋体" w:hAnsi="宋体" w:eastAsia="宋体" w:cs="Times New Roman"/>
          <w:b w:val="0"/>
          <w:bCs w:val="0"/>
          <w:kern w:val="2"/>
          <w:sz w:val="21"/>
          <w:szCs w:val="21"/>
          <w:lang w:val="en-US" w:eastAsia="zh-CN" w:bidi="ar-SA"/>
        </w:rPr>
        <w:t>项：</w:t>
      </w:r>
    </w:p>
    <w:p w14:paraId="6D5E28F5">
      <w:pPr>
        <w:spacing w:line="40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7.3.1先款后货：全额预付。</w:t>
      </w:r>
    </w:p>
    <w:p w14:paraId="4DFEFD00">
      <w:pPr>
        <w:pStyle w:val="2"/>
        <w:ind w:firstLine="420" w:firstLineChars="200"/>
        <w:jc w:val="both"/>
        <w:rPr>
          <w:rFonts w:hint="eastAsia"/>
          <w:lang w:val="en-US" w:eastAsia="zh-CN"/>
        </w:rPr>
      </w:pPr>
      <w:r>
        <w:rPr>
          <w:rFonts w:hint="eastAsia" w:ascii="宋体" w:hAnsi="宋体" w:eastAsia="宋体" w:cs="Times New Roman"/>
          <w:b w:val="0"/>
          <w:bCs w:val="0"/>
          <w:kern w:val="2"/>
          <w:sz w:val="21"/>
          <w:szCs w:val="21"/>
          <w:lang w:val="en-US" w:eastAsia="zh-CN" w:bidi="ar-SA"/>
        </w:rPr>
        <w:t>7.3.2先款后货：部分预付；甲方于乙方发货前支付每批所购物资金额的</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日内支付该批物资金额的</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日内支付该批物资金额的 </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p>
    <w:p w14:paraId="726B97D1">
      <w:pPr>
        <w:pStyle w:val="2"/>
        <w:ind w:firstLine="420" w:firstLineChars="200"/>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7.3.3先货后款，银行转帐、票据及供应链金融等方式支付。每月20日结算，结算完成后，甲方在收到乙方开具的发票后，按下述比例支付货款，结算当月为第一个月，结算后第三月20日前支付70%；第四月20日前支付至85%；供应结束、甲方竣工验收完成后30天内支付至95%；剩余5%的质保金待业主退还我公司质保金后30天内无息退还。可使用E信通等供应链金融产品，贴息费用由乙</w:t>
      </w:r>
      <w:r>
        <w:rPr>
          <w:rFonts w:hint="eastAsia" w:ascii="宋体" w:hAnsi="宋体" w:cs="Times New Roman"/>
          <w:b w:val="0"/>
          <w:bCs w:val="0"/>
          <w:kern w:val="2"/>
          <w:sz w:val="21"/>
          <w:szCs w:val="21"/>
          <w:lang w:val="en-US" w:eastAsia="zh-CN" w:bidi="ar-SA"/>
        </w:rPr>
        <w:t>方承担</w:t>
      </w:r>
      <w:r>
        <w:rPr>
          <w:rFonts w:hint="eastAsia" w:ascii="宋体" w:hAnsi="宋体" w:eastAsia="宋体" w:cs="Times New Roman"/>
          <w:b w:val="0"/>
          <w:bCs w:val="0"/>
          <w:kern w:val="2"/>
          <w:sz w:val="21"/>
          <w:szCs w:val="21"/>
          <w:lang w:val="en-US" w:eastAsia="zh-CN" w:bidi="ar-SA"/>
        </w:rPr>
        <w:t>。</w:t>
      </w:r>
    </w:p>
    <w:p w14:paraId="4063C3F8">
      <w:pPr>
        <w:pStyle w:val="2"/>
        <w:ind w:firstLine="420" w:firstLineChars="200"/>
        <w:jc w:val="both"/>
        <w:rPr>
          <w:rFonts w:hint="eastAsia" w:ascii="宋体" w:hAnsi="宋体" w:eastAsia="宋体" w:cs="Times New Roman"/>
          <w:b w:val="0"/>
          <w:bCs w:val="0"/>
          <w:color w:val="auto"/>
          <w:kern w:val="2"/>
          <w:sz w:val="21"/>
          <w:szCs w:val="21"/>
          <w:lang w:val="en-US" w:eastAsia="zh-CN" w:bidi="ar-SA"/>
        </w:rPr>
      </w:pPr>
      <w:r>
        <w:rPr>
          <w:rFonts w:hint="eastAsia" w:ascii="宋体" w:hAnsi="宋体" w:eastAsia="宋体" w:cs="Times New Roman"/>
          <w:b w:val="0"/>
          <w:bCs w:val="0"/>
          <w:color w:val="auto"/>
          <w:kern w:val="2"/>
          <w:sz w:val="21"/>
          <w:szCs w:val="21"/>
          <w:lang w:val="en-US" w:eastAsia="zh-CN" w:bidi="ar-SA"/>
        </w:rPr>
        <w:t>7.4货款支付方式：甲乙双方协商一致同意采用银行转账、银行承兑汇票、应收账款电子凭证等方式支付本合同款项。</w:t>
      </w:r>
    </w:p>
    <w:p w14:paraId="2020AC9D">
      <w:pPr>
        <w:pStyle w:val="2"/>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乙方指定联系人</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（身份证号：</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），联系方式 </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  。   </w:t>
      </w:r>
    </w:p>
    <w:p w14:paraId="66F23DF2">
      <w:pPr>
        <w:pStyle w:val="2"/>
        <w:ind w:firstLine="420" w:firstLineChars="200"/>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7.5如甲方出现资金困难，乙方同意给予</w:t>
      </w:r>
      <w:r>
        <w:rPr>
          <w:rFonts w:hint="eastAsia" w:ascii="宋体" w:hAnsi="宋体" w:eastAsia="宋体" w:cs="Times New Roman"/>
          <w:b w:val="0"/>
          <w:bCs w:val="0"/>
          <w:color w:val="auto"/>
          <w:kern w:val="2"/>
          <w:sz w:val="21"/>
          <w:szCs w:val="21"/>
          <w:u w:val="single"/>
          <w:lang w:val="en-US" w:eastAsia="zh-CN" w:bidi="ar-SA"/>
        </w:rPr>
        <w:t xml:space="preserve"> </w:t>
      </w:r>
      <w:r>
        <w:rPr>
          <w:rFonts w:hint="eastAsia" w:ascii="宋体" w:hAnsi="宋体" w:cs="Times New Roman"/>
          <w:b w:val="0"/>
          <w:bCs w:val="0"/>
          <w:color w:val="auto"/>
          <w:kern w:val="2"/>
          <w:sz w:val="21"/>
          <w:szCs w:val="21"/>
          <w:u w:val="single"/>
          <w:lang w:val="en-US" w:eastAsia="zh-CN" w:bidi="ar-SA"/>
        </w:rPr>
        <w:t>6</w:t>
      </w:r>
      <w:r>
        <w:rPr>
          <w:rFonts w:hint="eastAsia" w:ascii="宋体" w:hAnsi="宋体" w:eastAsia="宋体" w:cs="Times New Roman"/>
          <w:b w:val="0"/>
          <w:bCs w:val="0"/>
          <w:color w:val="0000FF"/>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个月的付款宽限期，在此宽期间内不视为甲方违约且不计息，乙方不得以此为由中断本项目的货物供应并采取投诉、上述、起诉等催款措施。</w:t>
      </w:r>
    </w:p>
    <w:p w14:paraId="30D8B56C">
      <w:pPr>
        <w:pageBreakBefore w:val="0"/>
        <w:widowControl w:val="0"/>
        <w:kinsoku/>
        <w:wordWrap/>
        <w:overflowPunct/>
        <w:topLinePunct w:val="0"/>
        <w:autoSpaceDE/>
        <w:autoSpaceDN/>
        <w:bidi w:val="0"/>
        <w:adjustRightInd/>
        <w:snapToGrid/>
        <w:spacing w:line="350" w:lineRule="exact"/>
        <w:ind w:firstLine="210" w:firstLineChars="100"/>
        <w:jc w:val="left"/>
        <w:textAlignment w:val="auto"/>
        <w:rPr>
          <w:rFonts w:ascii="宋体" w:hAnsi="宋体"/>
          <w:b/>
          <w:szCs w:val="21"/>
        </w:rPr>
      </w:pPr>
      <w:r>
        <w:rPr>
          <w:rFonts w:hint="eastAsia" w:ascii="宋体" w:hAnsi="宋体" w:cs="Times New Roman"/>
          <w:b w:val="0"/>
          <w:bCs w:val="0"/>
          <w:kern w:val="2"/>
          <w:sz w:val="21"/>
          <w:szCs w:val="21"/>
          <w:lang w:val="en-US" w:eastAsia="zh-CN" w:bidi="ar-SA"/>
        </w:rPr>
        <w:t xml:space="preserve">  </w:t>
      </w:r>
      <w:r>
        <w:rPr>
          <w:rFonts w:hint="eastAsia" w:ascii="宋体" w:hAnsi="宋体"/>
          <w:b/>
          <w:szCs w:val="21"/>
        </w:rPr>
        <w:t>第</w:t>
      </w:r>
      <w:r>
        <w:rPr>
          <w:rFonts w:hint="eastAsia" w:ascii="宋体" w:hAnsi="宋体"/>
          <w:b/>
          <w:szCs w:val="21"/>
          <w:lang w:val="en-US" w:eastAsia="zh-CN"/>
        </w:rPr>
        <w:t>八</w:t>
      </w:r>
      <w:r>
        <w:rPr>
          <w:rFonts w:hint="eastAsia" w:ascii="宋体" w:hAnsi="宋体"/>
          <w:b/>
          <w:szCs w:val="21"/>
        </w:rPr>
        <w:t>条  履约保证金</w:t>
      </w:r>
    </w:p>
    <w:p w14:paraId="18E3C16F">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.1卖方应在采购文件约定的时间内向买方提交履约担保，履约担保用于补偿买方因卖方不能履行其合同义务而蒙受的损失。</w:t>
      </w:r>
    </w:p>
    <w:p w14:paraId="6E79C956">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szCs w:val="21"/>
          <w:lang w:val="en-US" w:eastAsia="zh-CN"/>
        </w:rPr>
        <w:t>8</w:t>
      </w:r>
      <w:r>
        <w:rPr>
          <w:rFonts w:hint="eastAsia" w:ascii="宋体" w:hAnsi="宋体"/>
          <w:szCs w:val="21"/>
        </w:rPr>
        <w:t>.2履约担保的形式：常规保证金可使用电汇现金或履约保函。追加保证金必须使用电</w:t>
      </w:r>
      <w:r>
        <w:rPr>
          <w:rFonts w:hint="eastAsia" w:ascii="宋体" w:hAnsi="宋体" w:cs="宋体"/>
          <w:bCs/>
          <w:szCs w:val="21"/>
        </w:rPr>
        <w:t>汇现金。</w:t>
      </w:r>
    </w:p>
    <w:p w14:paraId="65D05726">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.3履约担保的金额：</w:t>
      </w:r>
    </w:p>
    <w:p w14:paraId="5B22E567">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.3.1常规保证金：</w:t>
      </w:r>
      <w:r>
        <w:rPr>
          <w:rFonts w:hint="eastAsia" w:ascii="宋体" w:hAnsi="宋体" w:cs="宋体"/>
          <w:szCs w:val="21"/>
        </w:rPr>
        <w:t>常规保证金为合同总价的2%，可使用本项目或其他项目欠付货款抵扣，可以后期已供货款抵扣。</w:t>
      </w:r>
    </w:p>
    <w:p w14:paraId="53EC2D0F">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.3.2追加保证金为</w:t>
      </w:r>
      <w:r>
        <w:rPr>
          <w:rFonts w:hint="eastAsia" w:ascii="宋体" w:hAnsi="宋体"/>
          <w:szCs w:val="21"/>
        </w:rPr>
        <w:t>当卖方成交价格低于中标人能接受的所有报价平均值85%时</w:t>
      </w:r>
      <w:r>
        <w:rPr>
          <w:rFonts w:hint="eastAsia" w:ascii="宋体" w:hAnsi="宋体" w:cs="宋体"/>
          <w:bCs/>
          <w:szCs w:val="21"/>
        </w:rPr>
        <w:t>，卖方成交金额与该值的差额作为追加保证金。</w:t>
      </w:r>
    </w:p>
    <w:p w14:paraId="3232EB91">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szCs w:val="21"/>
        </w:rPr>
      </w:pPr>
      <w:r>
        <w:rPr>
          <w:rFonts w:hint="eastAsia" w:ascii="宋体" w:hAnsi="宋体"/>
          <w:szCs w:val="21"/>
          <w:lang w:val="en-US" w:eastAsia="zh-CN"/>
        </w:rPr>
        <w:t>8</w:t>
      </w:r>
      <w:r>
        <w:rPr>
          <w:rFonts w:hint="eastAsia" w:ascii="宋体" w:hAnsi="宋体" w:cs="宋体"/>
          <w:bCs/>
          <w:szCs w:val="21"/>
        </w:rPr>
        <w:t>.3.3上述</w:t>
      </w:r>
      <w:r>
        <w:rPr>
          <w:rFonts w:hint="eastAsia" w:ascii="宋体" w:hAnsi="宋体"/>
          <w:szCs w:val="21"/>
        </w:rPr>
        <w:t>两项履约保证金总额不超过每个包件成交金额的10%。</w:t>
      </w:r>
    </w:p>
    <w:p w14:paraId="6715AB37">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szCs w:val="21"/>
          <w:lang w:val="en-US" w:eastAsia="zh-CN"/>
        </w:rPr>
        <w:t>8</w:t>
      </w:r>
      <w:r>
        <w:rPr>
          <w:rFonts w:hint="eastAsia" w:ascii="宋体" w:hAnsi="宋体"/>
          <w:szCs w:val="21"/>
        </w:rPr>
        <w:t>.4履约保函要求：若采购文件写明可开具履约保函的，保函开具银行应为国有五大银行（中行、建行、工商、农业、交通银行）或国内上市股份制银行；报价人应在报价文件中提供保函开具银行联系方式以备采购人核查；报价人应在报价文件中明确承诺：如出具虚假保函</w:t>
      </w:r>
      <w:r>
        <w:rPr>
          <w:rFonts w:hint="eastAsia" w:ascii="宋体" w:hAnsi="宋体" w:cs="宋体"/>
          <w:bCs/>
          <w:szCs w:val="21"/>
        </w:rPr>
        <w:t>，其无条件同意采购人将其按废标处理，列入物资供应商不良记录。</w:t>
      </w:r>
    </w:p>
    <w:p w14:paraId="08658925">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.5履约保证金的有效期为合同物资最后一批交货验收后一个月。</w:t>
      </w:r>
    </w:p>
    <w:p w14:paraId="2534D69E">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.6履约保证金在合同物资最后一批交货验收后一个月内无息退还。</w:t>
      </w:r>
    </w:p>
    <w:p w14:paraId="2047BA61">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szCs w:val="21"/>
        </w:rPr>
      </w:pPr>
      <w:r>
        <w:rPr>
          <w:rFonts w:hint="eastAsia" w:ascii="宋体" w:hAnsi="宋体"/>
          <w:szCs w:val="21"/>
          <w:lang w:val="en-US" w:eastAsia="zh-CN"/>
        </w:rPr>
        <w:t>8</w:t>
      </w:r>
      <w:r>
        <w:rPr>
          <w:rFonts w:hint="eastAsia" w:ascii="宋体" w:hAnsi="宋体"/>
          <w:szCs w:val="21"/>
        </w:rPr>
        <w:t>.7履约保证金因卖方原因导致物资交货时间延长，其履约保函有效期应相应延长。</w:t>
      </w:r>
    </w:p>
    <w:p w14:paraId="34106690">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szCs w:val="21"/>
        </w:rPr>
      </w:pPr>
      <w:r>
        <w:rPr>
          <w:rFonts w:hint="eastAsia" w:ascii="宋体" w:hAnsi="宋体"/>
          <w:szCs w:val="21"/>
          <w:lang w:val="en-US" w:eastAsia="zh-CN"/>
        </w:rPr>
        <w:t>8</w:t>
      </w:r>
      <w:r>
        <w:rPr>
          <w:rFonts w:hint="eastAsia" w:ascii="宋体" w:hAnsi="宋体"/>
          <w:szCs w:val="21"/>
        </w:rPr>
        <w:t>.8卖方不履行实质性的报价承诺不予退还履约保证金。</w:t>
      </w:r>
    </w:p>
    <w:p w14:paraId="08015AB9">
      <w:pPr>
        <w:pageBreakBefore w:val="0"/>
        <w:widowControl w:val="0"/>
        <w:kinsoku/>
        <w:wordWrap/>
        <w:overflowPunct/>
        <w:topLinePunct w:val="0"/>
        <w:autoSpaceDE/>
        <w:autoSpaceDN/>
        <w:bidi w:val="0"/>
        <w:adjustRightInd/>
        <w:snapToGrid/>
        <w:spacing w:line="350" w:lineRule="exact"/>
        <w:ind w:firstLine="420" w:firstLineChars="200"/>
        <w:jc w:val="left"/>
        <w:textAlignment w:val="auto"/>
        <w:rPr>
          <w:rFonts w:ascii="宋体" w:hAnsi="宋体"/>
          <w:szCs w:val="21"/>
        </w:rPr>
      </w:pPr>
      <w:r>
        <w:rPr>
          <w:rFonts w:hint="eastAsia" w:ascii="宋体" w:hAnsi="宋体"/>
          <w:szCs w:val="21"/>
          <w:lang w:val="en-US" w:eastAsia="zh-CN"/>
        </w:rPr>
        <w:t>8</w:t>
      </w:r>
      <w:r>
        <w:rPr>
          <w:rFonts w:hint="eastAsia" w:ascii="宋体" w:hAnsi="宋体"/>
          <w:szCs w:val="21"/>
        </w:rPr>
        <w:t>.9履约保证金的退还或不予退还并不免除卖方对已交付物资的质量保证责任。</w:t>
      </w:r>
    </w:p>
    <w:p w14:paraId="2DD6B0DF">
      <w:pPr>
        <w:rPr>
          <w:rFonts w:hint="default"/>
          <w:lang w:val="en-US" w:eastAsia="zh-CN"/>
        </w:rPr>
      </w:pPr>
    </w:p>
    <w:p w14:paraId="2E0B3FF0">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w:t>
      </w:r>
      <w:r>
        <w:rPr>
          <w:rFonts w:hint="eastAsia" w:cs="Times New Roman"/>
          <w:b/>
          <w:bCs/>
          <w:lang w:val="en-US" w:eastAsia="zh-CN"/>
        </w:rPr>
        <w:t>九</w:t>
      </w:r>
      <w:r>
        <w:rPr>
          <w:rFonts w:hint="eastAsia" w:ascii="Times New Roman" w:hAnsi="Times New Roman" w:eastAsia="宋体" w:cs="Times New Roman"/>
          <w:b/>
          <w:bCs/>
          <w:lang w:val="en-US" w:eastAsia="zh-CN"/>
        </w:rPr>
        <w:t>条 甲方的权利和义务</w:t>
      </w:r>
    </w:p>
    <w:p w14:paraId="711DA70D">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9</w:t>
      </w:r>
      <w:r>
        <w:rPr>
          <w:rFonts w:hint="eastAsia" w:ascii="宋体" w:hAnsi="宋体" w:eastAsia="宋体" w:cs="Times New Roman"/>
          <w:b w:val="0"/>
          <w:bCs w:val="0"/>
          <w:kern w:val="2"/>
          <w:sz w:val="21"/>
          <w:szCs w:val="21"/>
          <w:lang w:val="en-US" w:eastAsia="zh-CN" w:bidi="ar-SA"/>
        </w:rPr>
        <w:t>.1为乙方提供施工区域内商品混凝土运输便道以及电、水条件。</w:t>
      </w:r>
    </w:p>
    <w:p w14:paraId="6DEE6DA6">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9</w:t>
      </w:r>
      <w:r>
        <w:rPr>
          <w:rFonts w:hint="eastAsia" w:ascii="宋体" w:hAnsi="宋体" w:eastAsia="宋体" w:cs="Times New Roman"/>
          <w:b w:val="0"/>
          <w:bCs w:val="0"/>
          <w:kern w:val="2"/>
          <w:sz w:val="21"/>
          <w:szCs w:val="21"/>
          <w:lang w:val="en-US" w:eastAsia="zh-CN" w:bidi="ar-SA"/>
        </w:rPr>
        <w:t>.2泵送施工时，制定泵送施工方案，组织人员清理泵车进出场通道及作业场地，安排人员并铺设、迁移、拆卸、保管泵管，保障商品混凝土泵送施工正常进行。</w:t>
      </w:r>
    </w:p>
    <w:p w14:paraId="3C0E7FF8">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9</w:t>
      </w:r>
      <w:r>
        <w:rPr>
          <w:rFonts w:hint="eastAsia" w:ascii="宋体" w:hAnsi="宋体" w:eastAsia="宋体" w:cs="Times New Roman"/>
          <w:b w:val="0"/>
          <w:bCs w:val="0"/>
          <w:kern w:val="2"/>
          <w:sz w:val="21"/>
          <w:szCs w:val="21"/>
          <w:lang w:val="en-US" w:eastAsia="zh-CN" w:bidi="ar-SA"/>
        </w:rPr>
        <w:t>.3 及时办理结算和支付商品混凝土货款。</w:t>
      </w:r>
    </w:p>
    <w:p w14:paraId="192E2C61">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w:t>
      </w:r>
      <w:r>
        <w:rPr>
          <w:rFonts w:hint="eastAsia" w:cs="Times New Roman"/>
          <w:b/>
          <w:bCs/>
          <w:lang w:val="en-US" w:eastAsia="zh-CN"/>
        </w:rPr>
        <w:t>十</w:t>
      </w:r>
      <w:r>
        <w:rPr>
          <w:rFonts w:hint="eastAsia" w:ascii="Times New Roman" w:hAnsi="Times New Roman" w:eastAsia="宋体" w:cs="Times New Roman"/>
          <w:b/>
          <w:bCs/>
          <w:lang w:val="en-US" w:eastAsia="zh-CN"/>
        </w:rPr>
        <w:t>条 乙方的权利和义务</w:t>
      </w:r>
    </w:p>
    <w:p w14:paraId="1E9297F0">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.1按照合同约定的供货时间按时发货，保证施工进度和工程连续浇筑混凝土的需要，并对所提供商品混凝土的质量负责。</w:t>
      </w:r>
    </w:p>
    <w:p w14:paraId="4FE4F496">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.2 乙方保证各种原材料的储备充足，并严格按照现行有关规范标准进行原材料检验，向甲方提供相应的检测报告，同时应无条件地配合甲方对原材料质量不定期的抽检。</w:t>
      </w:r>
    </w:p>
    <w:p w14:paraId="211AD070">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.3 按混凝土技术规范和有关规定组织生产，按批量随机取样，检验其相应的性能并在混凝土浇筑后</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2</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日内向甲方报告相关资料；甲方在施工现场进行混凝土取样和成型中，乙方技术人员应在现场配合。</w:t>
      </w:r>
    </w:p>
    <w:p w14:paraId="7F6F229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.4 保证搅拌设备具备微机控制、原材料自动投料、自动计量功能，并保管相应生产的原始数据；设置汽车磅等计量器具，保证供货数量准确。</w:t>
      </w:r>
    </w:p>
    <w:p w14:paraId="42DE6CA6">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.5 乙方应在供应中派人24小时在甲方工地现场协调工作，并服从甲方现场调度的指挥，对甲方现场负责人提出的合理要求应予以充分配合。</w:t>
      </w:r>
    </w:p>
    <w:p w14:paraId="26732E67">
      <w:pPr>
        <w:pStyle w:val="2"/>
        <w:ind w:firstLine="420" w:firstLineChars="200"/>
        <w:jc w:val="both"/>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.6 乙方应自觉遵守国家有关安全生产和道路交通的法规，在生产、运输过程中的安全事故责任、交通事故责任由乙方承担。</w:t>
      </w:r>
    </w:p>
    <w:p w14:paraId="0D4F648E">
      <w:pPr>
        <w:pStyle w:val="2"/>
        <w:ind w:firstLine="420" w:firstLineChars="200"/>
        <w:jc w:val="both"/>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eastAsia" w:ascii="宋体" w:hAnsi="宋体" w:eastAsia="宋体" w:cs="Times New Roman"/>
          <w:b w:val="0"/>
          <w:bCs w:val="0"/>
          <w:kern w:val="2"/>
          <w:sz w:val="21"/>
          <w:szCs w:val="21"/>
          <w:lang w:val="en-US" w:eastAsia="zh-CN" w:bidi="ar-SA"/>
        </w:rPr>
        <w:t>.7 若需泵送则泵管安拆由乙方负责指导，甲方派人安拆，浇筑混凝土时乙方应指派一名现场负责人协调混凝土供应工作。</w:t>
      </w:r>
    </w:p>
    <w:p w14:paraId="1029046F">
      <w:pPr>
        <w:pStyle w:val="2"/>
        <w:ind w:firstLine="420" w:firstLineChars="200"/>
        <w:jc w:val="both"/>
        <w:rPr>
          <w:rFonts w:hint="default"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default" w:ascii="宋体" w:hAnsi="宋体" w:eastAsia="宋体" w:cs="Times New Roman"/>
          <w:b w:val="0"/>
          <w:bCs w:val="0"/>
          <w:kern w:val="2"/>
          <w:sz w:val="21"/>
          <w:szCs w:val="21"/>
          <w:lang w:val="en-US" w:eastAsia="zh-CN" w:bidi="ar-SA"/>
        </w:rPr>
        <w:t>.</w:t>
      </w:r>
      <w:r>
        <w:rPr>
          <w:rFonts w:hint="eastAsia" w:ascii="宋体" w:hAnsi="宋体" w:eastAsia="宋体" w:cs="Times New Roman"/>
          <w:b w:val="0"/>
          <w:bCs w:val="0"/>
          <w:kern w:val="2"/>
          <w:sz w:val="21"/>
          <w:szCs w:val="21"/>
          <w:lang w:val="en-US" w:eastAsia="zh-CN" w:bidi="ar-SA"/>
        </w:rPr>
        <w:t>8</w:t>
      </w:r>
      <w:r>
        <w:rPr>
          <w:rFonts w:hint="default" w:ascii="宋体" w:hAnsi="宋体" w:eastAsia="宋体" w:cs="Times New Roman"/>
          <w:b w:val="0"/>
          <w:bCs w:val="0"/>
          <w:kern w:val="2"/>
          <w:sz w:val="21"/>
          <w:szCs w:val="21"/>
          <w:lang w:val="en-US" w:eastAsia="zh-CN" w:bidi="ar-SA"/>
        </w:rPr>
        <w:t>乙方必须做好运输、装卸等过程中的环境保护，遵守国家和行业的有关规定，因违反规定而受到任何处罚的，乙方承担全部责任。在货物交付甲方之前，对道路、环境、人身、财产等造成损害的，乙方应承担赔偿责任。</w:t>
      </w:r>
    </w:p>
    <w:p w14:paraId="2E7C9E46">
      <w:pPr>
        <w:pStyle w:val="2"/>
        <w:ind w:firstLine="420" w:firstLineChars="200"/>
        <w:jc w:val="both"/>
        <w:rPr>
          <w:rFonts w:hint="default"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default" w:ascii="宋体" w:hAnsi="宋体" w:eastAsia="宋体" w:cs="Times New Roman"/>
          <w:b w:val="0"/>
          <w:bCs w:val="0"/>
          <w:kern w:val="2"/>
          <w:sz w:val="21"/>
          <w:szCs w:val="21"/>
          <w:lang w:val="en-US" w:eastAsia="zh-CN" w:bidi="ar-SA"/>
        </w:rPr>
        <w:t>.</w:t>
      </w:r>
      <w:r>
        <w:rPr>
          <w:rFonts w:hint="eastAsia" w:ascii="宋体" w:hAnsi="宋体" w:eastAsia="宋体" w:cs="Times New Roman"/>
          <w:b w:val="0"/>
          <w:bCs w:val="0"/>
          <w:kern w:val="2"/>
          <w:sz w:val="21"/>
          <w:szCs w:val="21"/>
          <w:lang w:val="en-US" w:eastAsia="zh-CN" w:bidi="ar-SA"/>
        </w:rPr>
        <w:t>9</w:t>
      </w:r>
      <w:r>
        <w:rPr>
          <w:rFonts w:hint="default" w:ascii="宋体" w:hAnsi="宋体" w:eastAsia="宋体" w:cs="Times New Roman"/>
          <w:b w:val="0"/>
          <w:bCs w:val="0"/>
          <w:kern w:val="2"/>
          <w:sz w:val="21"/>
          <w:szCs w:val="21"/>
          <w:lang w:val="en-US" w:eastAsia="zh-CN" w:bidi="ar-SA"/>
        </w:rPr>
        <w:t>乙方积极协助甲方在税法规定期限内办理有关的进项税额的认证申办手续。乙方开具的增值税专用发票在送达甲方后如发生丢失、灭失，乙方同意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14:paraId="0BF8BE46">
      <w:pPr>
        <w:pStyle w:val="2"/>
        <w:ind w:firstLine="420" w:firstLineChars="200"/>
        <w:jc w:val="both"/>
        <w:rPr>
          <w:rFonts w:hint="default"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default" w:ascii="宋体" w:hAnsi="宋体" w:eastAsia="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0</w:t>
      </w:r>
      <w:r>
        <w:rPr>
          <w:rFonts w:hint="default" w:ascii="宋体" w:hAnsi="宋体" w:eastAsia="宋体" w:cs="Times New Roman"/>
          <w:b w:val="0"/>
          <w:bCs w:val="0"/>
          <w:kern w:val="2"/>
          <w:sz w:val="21"/>
          <w:szCs w:val="21"/>
          <w:lang w:val="en-US" w:eastAsia="zh-CN" w:bidi="ar-SA"/>
        </w:rPr>
        <w:t>在涉及到商品混凝土质量问题的退货行为时,如果退货行为涉及到开具红字增值税专用发票的行为,乙方应当履行相关协助义务。</w:t>
      </w:r>
    </w:p>
    <w:p w14:paraId="3C1954EE">
      <w:pPr>
        <w:pStyle w:val="2"/>
        <w:ind w:firstLine="420" w:firstLineChars="200"/>
        <w:jc w:val="both"/>
        <w:rPr>
          <w:rFonts w:hint="default"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default" w:ascii="宋体" w:hAnsi="宋体" w:eastAsia="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1</w:t>
      </w:r>
      <w:r>
        <w:rPr>
          <w:rFonts w:hint="default" w:ascii="宋体" w:hAnsi="宋体" w:eastAsia="宋体" w:cs="Times New Roman"/>
          <w:b w:val="0"/>
          <w:bCs w:val="0"/>
          <w:kern w:val="2"/>
          <w:sz w:val="21"/>
          <w:szCs w:val="21"/>
          <w:lang w:val="en-US" w:eastAsia="zh-CN" w:bidi="ar-SA"/>
        </w:rPr>
        <w:t>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14:paraId="1FB3790B">
      <w:pPr>
        <w:pStyle w:val="2"/>
        <w:ind w:firstLine="420" w:firstLineChars="200"/>
        <w:jc w:val="both"/>
        <w:rPr>
          <w:rFonts w:hint="default"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10</w:t>
      </w:r>
      <w:r>
        <w:rPr>
          <w:rFonts w:hint="default" w:ascii="宋体" w:hAnsi="宋体" w:eastAsia="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2</w:t>
      </w:r>
      <w:r>
        <w:rPr>
          <w:rFonts w:hint="default" w:ascii="宋体" w:hAnsi="宋体" w:eastAsia="宋体" w:cs="Times New Roman"/>
          <w:b w:val="0"/>
          <w:bCs w:val="0"/>
          <w:kern w:val="2"/>
          <w:sz w:val="21"/>
          <w:szCs w:val="21"/>
          <w:lang w:val="en-US" w:eastAsia="zh-CN" w:bidi="ar-SA"/>
        </w:rPr>
        <w:t>乙方必须满足甲方发包方和监理的有关要求。</w:t>
      </w:r>
    </w:p>
    <w:p w14:paraId="6981828A">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第十</w:t>
      </w:r>
      <w:r>
        <w:rPr>
          <w:rFonts w:hint="eastAsia" w:cs="Times New Roman"/>
          <w:b/>
          <w:bCs/>
          <w:lang w:val="en-US" w:eastAsia="zh-CN"/>
        </w:rPr>
        <w:t>一</w:t>
      </w:r>
      <w:r>
        <w:rPr>
          <w:rFonts w:hint="eastAsia" w:ascii="Times New Roman" w:hAnsi="Times New Roman" w:eastAsia="宋体" w:cs="Times New Roman"/>
          <w:b/>
          <w:bCs/>
          <w:lang w:val="en-US" w:eastAsia="zh-CN"/>
        </w:rPr>
        <w:t>条 违约责任</w:t>
      </w:r>
    </w:p>
    <w:p w14:paraId="40A0C604">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1甲方逾期支付货款的（乙方未履行向甲方开具增值税专用发票等合同约定的义务除外），甲方对逾期付款部分从逾期日的次日起向乙方支付资金占用费。资金占用费按合同订立时一年期贷款市场报价利率计算，计算的基数以甲方最后一笔付款时剩余欠款金额为准，不包括前期逾期但现已支付部分的货款，资金占用费最高不得超过本合同项下双方结算价款（不含增值税）的1%。资金占用费由乙方以“价外费”的形式开具发票。除此之外，甲方不再承担其他任何违约责任。</w:t>
      </w:r>
    </w:p>
    <w:p w14:paraId="50A112D3">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.2 由于乙方未按合同约定向甲方提供合格的商品混凝土而给甲方造成损失的，由乙方负责赔偿。</w:t>
      </w:r>
    </w:p>
    <w:p w14:paraId="02AE4A29">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.3 乙方未按合同约定或未按甲方确定的供货时间供货，每逾期一日，乙方按逾期交货</w:t>
      </w:r>
      <w:r>
        <w:rPr>
          <w:rFonts w:hint="eastAsia" w:ascii="宋体" w:hAnsi="宋体" w:eastAsia="宋体" w:cs="Times New Roman"/>
          <w:b w:val="0"/>
          <w:bCs w:val="0"/>
          <w:color w:val="auto"/>
          <w:kern w:val="2"/>
          <w:sz w:val="21"/>
          <w:szCs w:val="21"/>
          <w:lang w:val="en-US" w:eastAsia="zh-CN" w:bidi="ar-SA"/>
        </w:rPr>
        <w:t>金额的</w:t>
      </w:r>
      <w:r>
        <w:rPr>
          <w:rFonts w:hint="eastAsia" w:ascii="宋体" w:hAnsi="宋体" w:eastAsia="宋体" w:cs="Times New Roman"/>
          <w:b w:val="0"/>
          <w:bCs w:val="0"/>
          <w:color w:val="auto"/>
          <w:kern w:val="2"/>
          <w:sz w:val="21"/>
          <w:szCs w:val="21"/>
          <w:u w:val="single"/>
          <w:lang w:val="en-US" w:eastAsia="zh-CN" w:bidi="ar-SA"/>
        </w:rPr>
        <w:t xml:space="preserve"> </w:t>
      </w:r>
      <w:r>
        <w:rPr>
          <w:rFonts w:hint="eastAsia" w:ascii="宋体" w:hAnsi="宋体" w:cs="Times New Roman"/>
          <w:b w:val="0"/>
          <w:bCs w:val="0"/>
          <w:color w:val="auto"/>
          <w:kern w:val="2"/>
          <w:sz w:val="21"/>
          <w:szCs w:val="21"/>
          <w:u w:val="single"/>
          <w:lang w:val="en-US" w:eastAsia="zh-CN" w:bidi="ar-SA"/>
        </w:rPr>
        <w:t>10</w:t>
      </w:r>
      <w:r>
        <w:rPr>
          <w:rFonts w:hint="eastAsia" w:ascii="宋体" w:hAnsi="宋体" w:eastAsia="宋体" w:cs="Times New Roman"/>
          <w:b w:val="0"/>
          <w:bCs w:val="0"/>
          <w:color w:val="auto"/>
          <w:kern w:val="2"/>
          <w:sz w:val="21"/>
          <w:szCs w:val="21"/>
          <w:u w:val="single"/>
          <w:lang w:val="en-US" w:eastAsia="zh-CN" w:bidi="ar-SA"/>
        </w:rPr>
        <w:t xml:space="preserve"> </w:t>
      </w:r>
      <w:r>
        <w:rPr>
          <w:rFonts w:hint="eastAsia" w:ascii="宋体" w:hAnsi="宋体" w:eastAsia="宋体" w:cs="Times New Roman"/>
          <w:b w:val="0"/>
          <w:bCs w:val="0"/>
          <w:color w:val="auto"/>
          <w:kern w:val="2"/>
          <w:sz w:val="21"/>
          <w:szCs w:val="21"/>
          <w:lang w:val="en-US" w:eastAsia="zh-CN" w:bidi="ar-SA"/>
        </w:rPr>
        <w:t>%支付违约金，且甲方有权向第三方采购或部分采购物资，所增加的费用由乙方承担；累计逾期时间超过</w:t>
      </w:r>
      <w:r>
        <w:rPr>
          <w:rFonts w:hint="eastAsia" w:ascii="宋体" w:hAnsi="宋体" w:cs="Times New Roman"/>
          <w:b w:val="0"/>
          <w:bCs w:val="0"/>
          <w:color w:val="auto"/>
          <w:kern w:val="2"/>
          <w:sz w:val="21"/>
          <w:szCs w:val="21"/>
          <w:u w:val="single"/>
          <w:lang w:val="en-US" w:eastAsia="zh-CN" w:bidi="ar-SA"/>
        </w:rPr>
        <w:t>5</w:t>
      </w:r>
      <w:r>
        <w:rPr>
          <w:rFonts w:hint="eastAsia" w:ascii="宋体" w:hAnsi="宋体" w:eastAsia="宋体" w:cs="Times New Roman"/>
          <w:b w:val="0"/>
          <w:bCs w:val="0"/>
          <w:color w:val="auto"/>
          <w:kern w:val="2"/>
          <w:sz w:val="21"/>
          <w:szCs w:val="21"/>
          <w:lang w:val="en-US" w:eastAsia="zh-CN" w:bidi="ar-SA"/>
        </w:rPr>
        <w:t>日的，甲方有权解除合同，乙方还应赔偿由此给甲方造成的一切损失。</w:t>
      </w:r>
    </w:p>
    <w:p w14:paraId="7C9B2A7F">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.4乙方未向甲方提供混凝土的使用要求，未将原材料复试报告和产品合格证给甲方查验，甲</w:t>
      </w:r>
      <w:r>
        <w:rPr>
          <w:rFonts w:hint="eastAsia" w:ascii="宋体" w:hAnsi="宋体" w:eastAsia="宋体" w:cs="Times New Roman"/>
          <w:b w:val="0"/>
          <w:bCs w:val="0"/>
          <w:color w:val="auto"/>
          <w:kern w:val="2"/>
          <w:sz w:val="21"/>
          <w:szCs w:val="21"/>
          <w:lang w:val="en-US" w:eastAsia="zh-CN" w:bidi="ar-SA"/>
        </w:rPr>
        <w:t>方有权拒绝验收乙方所提供的商品混凝土，乙方应无条件承担退货等费用，并向甲方支付合同金额的</w:t>
      </w:r>
      <w:r>
        <w:rPr>
          <w:rFonts w:hint="eastAsia" w:ascii="宋体" w:hAnsi="宋体" w:cs="Times New Roman"/>
          <w:b w:val="0"/>
          <w:bCs w:val="0"/>
          <w:color w:val="auto"/>
          <w:kern w:val="2"/>
          <w:sz w:val="21"/>
          <w:szCs w:val="21"/>
          <w:u w:val="single"/>
          <w:lang w:val="en-US" w:eastAsia="zh-CN" w:bidi="ar-SA"/>
        </w:rPr>
        <w:t>1</w:t>
      </w:r>
      <w:r>
        <w:rPr>
          <w:rFonts w:hint="eastAsia" w:ascii="宋体" w:hAnsi="宋体" w:eastAsia="宋体" w:cs="Times New Roman"/>
          <w:b w:val="0"/>
          <w:bCs w:val="0"/>
          <w:color w:val="auto"/>
          <w:kern w:val="2"/>
          <w:sz w:val="21"/>
          <w:szCs w:val="21"/>
          <w:lang w:val="en-US" w:eastAsia="zh-CN" w:bidi="ar-SA"/>
        </w:rPr>
        <w:t>%的违约</w:t>
      </w:r>
      <w:r>
        <w:rPr>
          <w:rFonts w:hint="eastAsia" w:ascii="宋体" w:hAnsi="宋体" w:eastAsia="宋体" w:cs="Times New Roman"/>
          <w:b w:val="0"/>
          <w:bCs w:val="0"/>
          <w:kern w:val="2"/>
          <w:sz w:val="21"/>
          <w:szCs w:val="21"/>
          <w:lang w:val="en-US" w:eastAsia="zh-CN" w:bidi="ar-SA"/>
        </w:rPr>
        <w:t>金，并由此承担给甲方造成的损失。</w:t>
      </w:r>
    </w:p>
    <w:p w14:paraId="7E85105B">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.5 乙方不得擅自停止供货，否则甲方有权重新选择其他供应商，乙方应承担本合同第一条中含增值税总价   %的违约金并赔偿因断货给甲方造成的损失。</w:t>
      </w:r>
    </w:p>
    <w:p w14:paraId="7790B74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.6 由于乙方的原因，致使甲方单方解除合同的，乙方在接到甲方书面解除合同通知后，必须在48小时内撤走自己所有的机械设备及材料，否则甲方有权自行处理。</w:t>
      </w:r>
    </w:p>
    <w:p w14:paraId="42F01217">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7乙方保证提供的产品、服务不侵犯任何第三方知识产权和其他任何权利。任何第三方提出侵权指控时，乙方负责与第三方交涉并承担一切可能发生的经济上、法律上的责任，由此给甲方带来损失的，乙方无条件予以赔偿。</w:t>
      </w:r>
    </w:p>
    <w:p w14:paraId="7CA3BB9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.8乙方未能按甲方要求提供增值税专用发票（含税务机关代开），甲方有权拒付相应货款。</w:t>
      </w:r>
    </w:p>
    <w:p w14:paraId="28B0ED5C">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.9若因逾期送达发票造成甲方无法抵扣发票相应税款的，乙方还应赔偿甲方由此遭受的损失，金额相当于逾期送达发票可抵扣金额，并加收按逾期送达发票</w:t>
      </w:r>
      <w:r>
        <w:rPr>
          <w:rFonts w:hint="eastAsia" w:ascii="宋体" w:hAnsi="宋体" w:eastAsia="宋体" w:cs="Times New Roman"/>
          <w:b w:val="0"/>
          <w:bCs w:val="0"/>
          <w:color w:val="auto"/>
          <w:kern w:val="2"/>
          <w:sz w:val="21"/>
          <w:szCs w:val="21"/>
          <w:lang w:val="en-US" w:eastAsia="zh-CN" w:bidi="ar-SA"/>
        </w:rPr>
        <w:t>金额_</w:t>
      </w:r>
      <w:r>
        <w:rPr>
          <w:rFonts w:hint="eastAsia" w:ascii="宋体" w:hAnsi="宋体" w:cs="Times New Roman"/>
          <w:b w:val="0"/>
          <w:bCs w:val="0"/>
          <w:color w:val="auto"/>
          <w:kern w:val="2"/>
          <w:sz w:val="21"/>
          <w:szCs w:val="21"/>
          <w:lang w:val="en-US" w:eastAsia="zh-CN" w:bidi="ar-SA"/>
        </w:rPr>
        <w:t>10</w:t>
      </w:r>
      <w:r>
        <w:rPr>
          <w:rFonts w:hint="eastAsia" w:ascii="宋体" w:hAnsi="宋体" w:eastAsia="宋体" w:cs="Times New Roman"/>
          <w:b w:val="0"/>
          <w:bCs w:val="0"/>
          <w:color w:val="auto"/>
          <w:kern w:val="2"/>
          <w:sz w:val="21"/>
          <w:szCs w:val="21"/>
          <w:lang w:val="en-US" w:eastAsia="zh-CN" w:bidi="ar-SA"/>
        </w:rPr>
        <w:t>_%的违约</w:t>
      </w:r>
      <w:r>
        <w:rPr>
          <w:rFonts w:hint="eastAsia" w:ascii="宋体" w:hAnsi="宋体" w:eastAsia="宋体" w:cs="Times New Roman"/>
          <w:b w:val="0"/>
          <w:bCs w:val="0"/>
          <w:kern w:val="2"/>
          <w:sz w:val="21"/>
          <w:szCs w:val="21"/>
          <w:lang w:val="en-US" w:eastAsia="zh-CN" w:bidi="ar-SA"/>
        </w:rPr>
        <w:t>金。</w:t>
      </w:r>
    </w:p>
    <w:p w14:paraId="263AD9B8">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.10乙方应提供真实、有效、合格的发票，如发现乙方提供虚假发票或虚开增值税专用发票的情况，乙方须按发票金</w:t>
      </w:r>
      <w:r>
        <w:rPr>
          <w:rFonts w:hint="eastAsia" w:ascii="宋体" w:hAnsi="宋体" w:eastAsia="宋体" w:cs="Times New Roman"/>
          <w:b w:val="0"/>
          <w:bCs w:val="0"/>
          <w:color w:val="auto"/>
          <w:kern w:val="2"/>
          <w:sz w:val="21"/>
          <w:szCs w:val="21"/>
          <w:lang w:val="en-US" w:eastAsia="zh-CN" w:bidi="ar-SA"/>
        </w:rPr>
        <w:t>额的_</w:t>
      </w:r>
      <w:r>
        <w:rPr>
          <w:rFonts w:hint="eastAsia" w:ascii="宋体" w:hAnsi="宋体" w:cs="Times New Roman"/>
          <w:b w:val="0"/>
          <w:bCs w:val="0"/>
          <w:color w:val="auto"/>
          <w:kern w:val="2"/>
          <w:sz w:val="21"/>
          <w:szCs w:val="21"/>
          <w:lang w:val="en-US" w:eastAsia="zh-CN" w:bidi="ar-SA"/>
        </w:rPr>
        <w:t>10</w:t>
      </w:r>
      <w:r>
        <w:rPr>
          <w:rFonts w:hint="eastAsia" w:ascii="宋体" w:hAnsi="宋体" w:eastAsia="宋体" w:cs="Times New Roman"/>
          <w:b w:val="0"/>
          <w:bCs w:val="0"/>
          <w:color w:val="auto"/>
          <w:kern w:val="2"/>
          <w:sz w:val="21"/>
          <w:szCs w:val="21"/>
          <w:lang w:val="en-US" w:eastAsia="zh-CN" w:bidi="ar-SA"/>
        </w:rPr>
        <w:t>_%向甲方支</w:t>
      </w:r>
      <w:r>
        <w:rPr>
          <w:rFonts w:hint="eastAsia" w:ascii="宋体" w:hAnsi="宋体" w:eastAsia="宋体" w:cs="Times New Roman"/>
          <w:b w:val="0"/>
          <w:bCs w:val="0"/>
          <w:kern w:val="2"/>
          <w:sz w:val="21"/>
          <w:szCs w:val="21"/>
          <w:lang w:val="en-US" w:eastAsia="zh-CN" w:bidi="ar-SA"/>
        </w:rPr>
        <w:t>付违约金，并承担对甲方造成的全部损失。由于乙方原因造成甲方无法抵扣相应税款，发现问题后退回，乙方应无条件更换为有效发票，拒绝或逾期不更换发票的，造成甲方损失及相关风险，由乙方予以承担。发生上述情况时，甲方有权选择解除合同。</w:t>
      </w:r>
    </w:p>
    <w:p w14:paraId="52B597C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.11乙方有义务配合甲方接受税务机关、审计部门的检查工作，如果乙方拒不配合，由乙方</w:t>
      </w:r>
      <w:r>
        <w:rPr>
          <w:rFonts w:hint="eastAsia" w:ascii="宋体" w:hAnsi="宋体" w:eastAsia="宋体" w:cs="Times New Roman"/>
          <w:b w:val="0"/>
          <w:bCs w:val="0"/>
          <w:color w:val="auto"/>
          <w:kern w:val="2"/>
          <w:sz w:val="21"/>
          <w:szCs w:val="21"/>
          <w:lang w:val="en-US" w:eastAsia="zh-CN" w:bidi="ar-SA"/>
        </w:rPr>
        <w:t>支付</w:t>
      </w:r>
      <w:r>
        <w:rPr>
          <w:rFonts w:hint="eastAsia" w:ascii="宋体" w:hAnsi="宋体" w:cs="Times New Roman"/>
          <w:b w:val="0"/>
          <w:bCs w:val="0"/>
          <w:color w:val="auto"/>
          <w:kern w:val="2"/>
          <w:sz w:val="21"/>
          <w:szCs w:val="21"/>
          <w:u w:val="single"/>
          <w:lang w:val="en-US" w:eastAsia="zh-CN" w:bidi="ar-SA"/>
        </w:rPr>
        <w:t>20000.00</w:t>
      </w:r>
      <w:r>
        <w:rPr>
          <w:rFonts w:hint="eastAsia" w:ascii="宋体" w:hAnsi="宋体" w:eastAsia="宋体" w:cs="Times New Roman"/>
          <w:b w:val="0"/>
          <w:bCs w:val="0"/>
          <w:color w:val="auto"/>
          <w:kern w:val="2"/>
          <w:sz w:val="21"/>
          <w:szCs w:val="21"/>
          <w:lang w:val="en-US" w:eastAsia="zh-CN" w:bidi="ar-SA"/>
        </w:rPr>
        <w:t>元的</w:t>
      </w:r>
      <w:r>
        <w:rPr>
          <w:rFonts w:hint="eastAsia" w:ascii="宋体" w:hAnsi="宋体" w:eastAsia="宋体" w:cs="Times New Roman"/>
          <w:b w:val="0"/>
          <w:bCs w:val="0"/>
          <w:kern w:val="2"/>
          <w:sz w:val="21"/>
          <w:szCs w:val="21"/>
          <w:lang w:val="en-US" w:eastAsia="zh-CN" w:bidi="ar-SA"/>
        </w:rPr>
        <w:t>违约金，并承担对甲方造成的损失。</w:t>
      </w:r>
    </w:p>
    <w:p w14:paraId="72BD9FD0">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1</w:t>
      </w:r>
      <w:r>
        <w:rPr>
          <w:rFonts w:hint="eastAsia" w:ascii="宋体" w:hAnsi="宋体" w:eastAsia="宋体" w:cs="Times New Roman"/>
          <w:b w:val="0"/>
          <w:bCs w:val="0"/>
          <w:kern w:val="2"/>
          <w:sz w:val="21"/>
          <w:szCs w:val="21"/>
          <w:lang w:val="en-US" w:eastAsia="zh-CN" w:bidi="ar-SA"/>
        </w:rPr>
        <w:t>.12如乙方被中国铁路总公司、建设单位或中国中铁股份有限公司及其关联企业、列入“限制交易供应商名单”、“不合格供应商名单”或“供应商黑名单”等限制交易名单，甲方可以单方解除合同，解除合同的一切后果由乙方承担。</w:t>
      </w:r>
    </w:p>
    <w:p w14:paraId="0D825452">
      <w:pPr>
        <w:spacing w:line="390" w:lineRule="exact"/>
        <w:ind w:firstLine="420" w:firstLineChars="200"/>
        <w:rPr>
          <w:rFonts w:hint="eastAsia" w:ascii="宋体" w:hAnsi="宋体" w:eastAsia="宋体" w:cs="Times New Roman"/>
          <w:b w:val="0"/>
          <w:bCs w:val="0"/>
          <w:color w:val="auto"/>
          <w:kern w:val="2"/>
          <w:sz w:val="21"/>
          <w:szCs w:val="21"/>
          <w:lang w:val="en-US" w:eastAsia="zh-CN" w:bidi="ar-SA"/>
        </w:rPr>
      </w:pPr>
      <w:r>
        <w:rPr>
          <w:rFonts w:hint="eastAsia" w:ascii="宋体" w:hAnsi="宋体" w:eastAsia="宋体" w:cs="Times New Roman"/>
          <w:b w:val="0"/>
          <w:bCs w:val="0"/>
          <w:color w:val="auto"/>
          <w:kern w:val="2"/>
          <w:sz w:val="21"/>
          <w:szCs w:val="21"/>
          <w:lang w:val="en-US" w:eastAsia="zh-CN" w:bidi="ar-SA"/>
        </w:rPr>
        <w:t>1</w:t>
      </w:r>
      <w:r>
        <w:rPr>
          <w:rFonts w:hint="eastAsia" w:ascii="宋体" w:hAnsi="宋体" w:cs="Times New Roman"/>
          <w:b w:val="0"/>
          <w:bCs w:val="0"/>
          <w:color w:val="auto"/>
          <w:kern w:val="2"/>
          <w:sz w:val="21"/>
          <w:szCs w:val="21"/>
          <w:lang w:val="en-US" w:eastAsia="zh-CN" w:bidi="ar-SA"/>
        </w:rPr>
        <w:t>1</w:t>
      </w:r>
      <w:r>
        <w:rPr>
          <w:rFonts w:hint="eastAsia" w:ascii="宋体" w:hAnsi="宋体" w:eastAsia="宋体" w:cs="Times New Roman"/>
          <w:b w:val="0"/>
          <w:bCs w:val="0"/>
          <w:color w:val="auto"/>
          <w:kern w:val="2"/>
          <w:sz w:val="21"/>
          <w:szCs w:val="21"/>
          <w:lang w:val="en-US" w:eastAsia="zh-CN" w:bidi="ar-SA"/>
        </w:rPr>
        <w:t>.13乙方所交产品的品种、型号、规格和质量等不符合合同约定的，乙方应按照甲方异议时提出的要求处理，由此产生的费用由乙方自行承担。如在甲方指定的期限内，乙方仍不能达到合同约定条件或甲方要求的，每逾期一日，乙方按本批次所交产品金额的5%支付违约金；逾期超过指定期限30日的，甲方有权解除本合同，由此给甲方造成的损失由乙方承担。</w:t>
      </w:r>
    </w:p>
    <w:p w14:paraId="58FCB1D9">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第十</w:t>
      </w:r>
      <w:r>
        <w:rPr>
          <w:rFonts w:hint="eastAsia" w:cs="Times New Roman"/>
          <w:b/>
          <w:bCs/>
          <w:lang w:val="en-US" w:eastAsia="zh-CN"/>
        </w:rPr>
        <w:t>二</w:t>
      </w:r>
      <w:r>
        <w:rPr>
          <w:rFonts w:hint="eastAsia" w:ascii="Times New Roman" w:hAnsi="Times New Roman" w:eastAsia="宋体" w:cs="Times New Roman"/>
          <w:b/>
          <w:bCs/>
          <w:lang w:val="en-US" w:eastAsia="zh-CN"/>
        </w:rPr>
        <w:t>条 争议解决</w:t>
      </w:r>
    </w:p>
    <w:p w14:paraId="7764144D">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2</w:t>
      </w:r>
      <w:r>
        <w:rPr>
          <w:rFonts w:hint="eastAsia" w:ascii="宋体" w:hAnsi="宋体" w:eastAsia="宋体" w:cs="Times New Roman"/>
          <w:b w:val="0"/>
          <w:bCs w:val="0"/>
          <w:kern w:val="2"/>
          <w:sz w:val="21"/>
          <w:szCs w:val="21"/>
          <w:lang w:val="en-US" w:eastAsia="zh-CN" w:bidi="ar-SA"/>
        </w:rPr>
        <w:t>.1若发生乙方需向甲方主张权益或反映问题时，承诺先行向甲方内部投诉平台进行情况反映，投诉事项从甲方收到投诉次日起5个月的处理时限。在此期间，乙方承诺不得向国家或地方相关部门和各级信访部门进行投诉，也不得提起诉讼。否则，乙方自愿接受甲方将乙方纳入《中铁二局限制交易名单》《中铁二局谨慎交易名单》中进行信用惩戒。并按照5万元/次承担违约责任。</w:t>
      </w:r>
    </w:p>
    <w:p w14:paraId="0B2C171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2</w:t>
      </w:r>
      <w:r>
        <w:rPr>
          <w:rFonts w:hint="eastAsia" w:ascii="宋体" w:hAnsi="宋体" w:eastAsia="宋体" w:cs="Times New Roman"/>
          <w:b w:val="0"/>
          <w:bCs w:val="0"/>
          <w:kern w:val="2"/>
          <w:sz w:val="21"/>
          <w:szCs w:val="21"/>
          <w:lang w:val="en-US" w:eastAsia="zh-CN" w:bidi="ar-SA"/>
        </w:rPr>
        <w:t>.2甲乙双方在履行合同时发生争议的，应协商解决。协商不成的，提交成都仲裁委员会进行仲裁。</w:t>
      </w:r>
    </w:p>
    <w:p w14:paraId="5BB14D76">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第十</w:t>
      </w:r>
      <w:r>
        <w:rPr>
          <w:rFonts w:hint="eastAsia" w:cs="Times New Roman"/>
          <w:b/>
          <w:bCs/>
          <w:lang w:val="en-US" w:eastAsia="zh-CN"/>
        </w:rPr>
        <w:t>三</w:t>
      </w:r>
      <w:r>
        <w:rPr>
          <w:rFonts w:hint="eastAsia" w:ascii="Times New Roman" w:hAnsi="Times New Roman" w:eastAsia="宋体" w:cs="Times New Roman"/>
          <w:b/>
          <w:bCs/>
          <w:lang w:val="en-US" w:eastAsia="zh-CN"/>
        </w:rPr>
        <w:t>条 人员和组织</w:t>
      </w:r>
    </w:p>
    <w:p w14:paraId="7E0CC326">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3</w:t>
      </w:r>
      <w:r>
        <w:rPr>
          <w:rFonts w:hint="eastAsia" w:ascii="宋体" w:hAnsi="宋体" w:eastAsia="宋体" w:cs="Times New Roman"/>
          <w:b w:val="0"/>
          <w:bCs w:val="0"/>
          <w:kern w:val="2"/>
          <w:sz w:val="21"/>
          <w:szCs w:val="21"/>
          <w:lang w:val="en-US" w:eastAsia="zh-CN" w:bidi="ar-SA"/>
        </w:rPr>
        <w:t>.1甲方指定1名生产调度与乙方联系。甲方联系人为</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，联系方式：</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p>
    <w:p w14:paraId="5A1DEEF0">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3</w:t>
      </w:r>
      <w:r>
        <w:rPr>
          <w:rFonts w:hint="eastAsia" w:ascii="宋体" w:hAnsi="宋体" w:eastAsia="宋体" w:cs="Times New Roman"/>
          <w:b w:val="0"/>
          <w:bCs w:val="0"/>
          <w:kern w:val="2"/>
          <w:sz w:val="21"/>
          <w:szCs w:val="21"/>
          <w:lang w:val="en-US" w:eastAsia="zh-CN" w:bidi="ar-SA"/>
        </w:rPr>
        <w:t>.2 乙方应有专人负责混凝土生产、前后台联系、试验和计量工作。乙方联系人为        （身份证号：</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），联系方式：</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 </w:t>
      </w:r>
    </w:p>
    <w:p w14:paraId="7B9E1FE3">
      <w:pPr>
        <w:ind w:firstLine="42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第十</w:t>
      </w:r>
      <w:r>
        <w:rPr>
          <w:rFonts w:hint="eastAsia" w:cs="Times New Roman"/>
          <w:b/>
          <w:bCs/>
          <w:lang w:val="en-US" w:eastAsia="zh-CN"/>
        </w:rPr>
        <w:t>四</w:t>
      </w:r>
      <w:r>
        <w:rPr>
          <w:rFonts w:hint="eastAsia" w:ascii="Times New Roman" w:hAnsi="Times New Roman" w:eastAsia="宋体" w:cs="Times New Roman"/>
          <w:b/>
          <w:bCs/>
          <w:lang w:val="en-US" w:eastAsia="zh-CN"/>
        </w:rPr>
        <w:t xml:space="preserve">条　廉政条款 </w:t>
      </w:r>
    </w:p>
    <w:p w14:paraId="7636839C">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乙方承诺：乙方及其工作人员不向甲方工作人员赠送礼金、礼品、有价证券、购物卡及其他有价物品等，不邀请甲方工作人员吃喝游玩及其他娱乐性消费；不向甲方工作人员提供任何工作以外的便利和好处；在合同履行过程中不弄虚作假。若乙方违背上述承诺且经甲方法人单位或其上级纪委监察机关查实认定，或国家司法机关立案查处，视为乙方违约，乙方</w:t>
      </w:r>
      <w:r>
        <w:rPr>
          <w:rFonts w:hint="eastAsia" w:ascii="宋体" w:hAnsi="宋体" w:eastAsia="宋体" w:cs="Times New Roman"/>
          <w:b w:val="0"/>
          <w:bCs w:val="0"/>
          <w:color w:val="auto"/>
          <w:kern w:val="2"/>
          <w:sz w:val="21"/>
          <w:szCs w:val="21"/>
          <w:lang w:val="en-US" w:eastAsia="zh-CN" w:bidi="ar-SA"/>
        </w:rPr>
        <w:t>承担暂定合同总价的</w:t>
      </w:r>
      <w:r>
        <w:rPr>
          <w:rFonts w:hint="eastAsia" w:ascii="宋体" w:hAnsi="宋体" w:cs="Times New Roman"/>
          <w:b w:val="0"/>
          <w:bCs w:val="0"/>
          <w:color w:val="auto"/>
          <w:kern w:val="2"/>
          <w:sz w:val="21"/>
          <w:szCs w:val="21"/>
          <w:u w:val="single"/>
          <w:lang w:val="en-US" w:eastAsia="zh-CN" w:bidi="ar-SA"/>
        </w:rPr>
        <w:t>1</w:t>
      </w:r>
      <w:r>
        <w:rPr>
          <w:rFonts w:hint="eastAsia" w:ascii="宋体" w:hAnsi="宋体" w:eastAsia="宋体" w:cs="Times New Roman"/>
          <w:b w:val="0"/>
          <w:bCs w:val="0"/>
          <w:color w:val="auto"/>
          <w:kern w:val="2"/>
          <w:sz w:val="21"/>
          <w:szCs w:val="21"/>
          <w:lang w:val="en-US" w:eastAsia="zh-CN" w:bidi="ar-SA"/>
        </w:rPr>
        <w:t>%的违约金</w:t>
      </w:r>
      <w:r>
        <w:rPr>
          <w:rFonts w:hint="eastAsia" w:ascii="宋体" w:hAnsi="宋体" w:eastAsia="宋体" w:cs="Times New Roman"/>
          <w:b w:val="0"/>
          <w:bCs w:val="0"/>
          <w:kern w:val="2"/>
          <w:sz w:val="21"/>
          <w:szCs w:val="21"/>
          <w:lang w:val="en-US" w:eastAsia="zh-CN" w:bidi="ar-SA"/>
        </w:rPr>
        <w:t>，违约金及乙方因违背承诺行为所取得的不当利益一并在结算中扣除。</w:t>
      </w:r>
    </w:p>
    <w:p w14:paraId="34345F0B">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甲方工作人员向乙方索贿的，乙方及其工作人员应向甲方法人单位或其上级纪检监察部门、国家司法机关检举。</w:t>
      </w:r>
    </w:p>
    <w:p w14:paraId="537064DC">
      <w:pPr>
        <w:spacing w:line="390" w:lineRule="exact"/>
        <w:ind w:firstLine="422" w:firstLineChars="200"/>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第十</w:t>
      </w:r>
      <w:r>
        <w:rPr>
          <w:rFonts w:hint="eastAsia" w:ascii="宋体" w:hAnsi="宋体" w:cs="Times New Roman"/>
          <w:b/>
          <w:bCs/>
          <w:kern w:val="2"/>
          <w:sz w:val="21"/>
          <w:szCs w:val="21"/>
          <w:lang w:val="en-US" w:eastAsia="zh-CN" w:bidi="ar-SA"/>
        </w:rPr>
        <w:t>五</w:t>
      </w:r>
      <w:r>
        <w:rPr>
          <w:rFonts w:hint="eastAsia" w:ascii="宋体" w:hAnsi="宋体" w:eastAsia="宋体" w:cs="Times New Roman"/>
          <w:b/>
          <w:bCs/>
          <w:kern w:val="2"/>
          <w:sz w:val="21"/>
          <w:szCs w:val="21"/>
          <w:lang w:val="en-US" w:eastAsia="zh-CN" w:bidi="ar-SA"/>
        </w:rPr>
        <w:t>条 其他事项</w:t>
      </w:r>
    </w:p>
    <w:p w14:paraId="6305CC8C">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5</w:t>
      </w:r>
      <w:r>
        <w:rPr>
          <w:rFonts w:hint="eastAsia" w:ascii="宋体" w:hAnsi="宋体" w:eastAsia="宋体" w:cs="Times New Roman"/>
          <w:b w:val="0"/>
          <w:bCs w:val="0"/>
          <w:kern w:val="2"/>
          <w:sz w:val="21"/>
          <w:szCs w:val="21"/>
          <w:lang w:val="en-US" w:eastAsia="zh-CN" w:bidi="ar-SA"/>
        </w:rPr>
        <w:t>.1本合同中所涉及的债权，乙方不得转让，也不得用于任何形式的担保。若乙方擅自转让或用于担保的，则该行为无效，乙方应赔偿甲方因此受到的全部损失。</w:t>
      </w:r>
    </w:p>
    <w:p w14:paraId="33A18303">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5</w:t>
      </w:r>
      <w:r>
        <w:rPr>
          <w:rFonts w:hint="default" w:ascii="宋体" w:hAnsi="宋体" w:eastAsia="宋体" w:cs="Times New Roman"/>
          <w:b w:val="0"/>
          <w:bCs w:val="0"/>
          <w:kern w:val="2"/>
          <w:sz w:val="21"/>
          <w:szCs w:val="21"/>
          <w:lang w:val="en-US" w:eastAsia="zh-CN" w:bidi="ar-SA"/>
        </w:rPr>
        <w:t>.2</w:t>
      </w:r>
      <w:r>
        <w:rPr>
          <w:rFonts w:hint="eastAsia" w:ascii="宋体" w:hAnsi="宋体" w:eastAsia="宋体" w:cs="Times New Roman"/>
          <w:b w:val="0"/>
          <w:bCs w:val="0"/>
          <w:kern w:val="2"/>
          <w:sz w:val="21"/>
          <w:szCs w:val="21"/>
          <w:lang w:val="en-US" w:eastAsia="zh-CN" w:bidi="ar-SA"/>
        </w:rPr>
        <w:t>乙方作为有经验的供应方，知悉建设工程施工具有复杂性、关联性，乙方从事合同内容的最终结算与审计认定事实密切相关，乙方认可发包人、甲方、相关部门等对本工程的审计或鉴定结论对乙方在事实认定上具有约束力。若审计或鉴定结论对标的物数量、价款、质量等的认定与甲乙双方认定结果有差异的，乙方同意据实调整合同价款，并在乙方拨付款、保证金等款项中扣除或由乙方补足。</w:t>
      </w:r>
    </w:p>
    <w:p w14:paraId="707C472A">
      <w:pPr>
        <w:spacing w:line="390" w:lineRule="exact"/>
        <w:ind w:firstLine="420" w:firstLineChars="200"/>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经甲方审计发现对乙方计量计价依据严重不足，不符合计量计价原则导致对乙方多计量计价错误，或《封账协议》（含封账单）中对乙方多付或漏扣少扣，乙方认可甲方审计结论，并无条件按照审计结果和甲方通知退回多收款项。</w:t>
      </w:r>
    </w:p>
    <w:p w14:paraId="487CE02F">
      <w:pPr>
        <w:spacing w:line="390" w:lineRule="exact"/>
        <w:ind w:firstLine="420" w:firstLineChars="200"/>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5</w:t>
      </w:r>
      <w:r>
        <w:rPr>
          <w:rFonts w:hint="default" w:ascii="宋体" w:hAnsi="宋体" w:eastAsia="宋体" w:cs="Times New Roman"/>
          <w:b w:val="0"/>
          <w:bCs w:val="0"/>
          <w:kern w:val="2"/>
          <w:sz w:val="21"/>
          <w:szCs w:val="21"/>
          <w:lang w:val="en-US" w:eastAsia="zh-CN" w:bidi="ar-SA"/>
        </w:rPr>
        <w:t>.3乙方在甲方场所发生工伤事故时，乙方必须第一时间妥善处置事故，及时通知项目部并配合项目部做好安置、取证等相关工作。乙方未及时通知导致损失扩大，乙方承担事故发生的全部损失，不得以任何理由干扰甲方正常工作。</w:t>
      </w:r>
    </w:p>
    <w:p w14:paraId="6218DAA5">
      <w:pPr>
        <w:spacing w:line="390" w:lineRule="exact"/>
        <w:ind w:firstLine="420" w:firstLineChars="200"/>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5</w:t>
      </w:r>
      <w:r>
        <w:rPr>
          <w:rFonts w:hint="default" w:ascii="宋体" w:hAnsi="宋体" w:eastAsia="宋体" w:cs="Times New Roman"/>
          <w:b w:val="0"/>
          <w:bCs w:val="0"/>
          <w:kern w:val="2"/>
          <w:sz w:val="21"/>
          <w:szCs w:val="21"/>
          <w:lang w:val="en-US" w:eastAsia="zh-CN" w:bidi="ar-SA"/>
        </w:rPr>
        <w:t>.</w:t>
      </w:r>
      <w:bookmarkStart w:id="47" w:name="_Hlk142310143"/>
      <w:r>
        <w:rPr>
          <w:rFonts w:hint="default" w:ascii="宋体" w:hAnsi="宋体" w:eastAsia="宋体" w:cs="Times New Roman"/>
          <w:b w:val="0"/>
          <w:bCs w:val="0"/>
          <w:kern w:val="2"/>
          <w:sz w:val="21"/>
          <w:szCs w:val="21"/>
          <w:lang w:val="en-US" w:eastAsia="zh-CN" w:bidi="ar-SA"/>
        </w:rPr>
        <w:t>4乙方与乙方使用的作业人员发生劳动争议、侵权、伤亡等纠纷，未妥善处置，导致甲方被诉（含仲裁、信访、行政处罚等）的，除直接导致甲方损失的费用全额由乙方承担外，每发生一人次，乙方还应向甲方</w:t>
      </w:r>
      <w:r>
        <w:rPr>
          <w:rFonts w:hint="default" w:ascii="宋体" w:hAnsi="宋体" w:eastAsia="宋体" w:cs="Times New Roman"/>
          <w:b w:val="0"/>
          <w:bCs w:val="0"/>
          <w:color w:val="auto"/>
          <w:kern w:val="2"/>
          <w:sz w:val="21"/>
          <w:szCs w:val="21"/>
          <w:lang w:val="en-US" w:eastAsia="zh-CN" w:bidi="ar-SA"/>
        </w:rPr>
        <w:t>支付</w:t>
      </w:r>
      <w:r>
        <w:rPr>
          <w:rFonts w:hint="default" w:ascii="宋体" w:hAnsi="宋体" w:eastAsia="宋体" w:cs="Times New Roman"/>
          <w:b w:val="0"/>
          <w:bCs w:val="0"/>
          <w:color w:val="auto"/>
          <w:kern w:val="2"/>
          <w:sz w:val="21"/>
          <w:szCs w:val="21"/>
          <w:u w:val="single"/>
          <w:lang w:val="en-US" w:eastAsia="zh-CN" w:bidi="ar-SA"/>
        </w:rPr>
        <w:t xml:space="preserve"> </w:t>
      </w:r>
      <w:r>
        <w:rPr>
          <w:rFonts w:hint="eastAsia" w:ascii="宋体" w:hAnsi="宋体" w:cs="Times New Roman"/>
          <w:b w:val="0"/>
          <w:bCs w:val="0"/>
          <w:color w:val="auto"/>
          <w:kern w:val="2"/>
          <w:sz w:val="21"/>
          <w:szCs w:val="21"/>
          <w:u w:val="single"/>
          <w:lang w:val="en-US" w:eastAsia="zh-CN" w:bidi="ar-SA"/>
        </w:rPr>
        <w:t>10000.00</w:t>
      </w:r>
      <w:r>
        <w:rPr>
          <w:rFonts w:hint="default" w:ascii="宋体" w:hAnsi="宋体" w:eastAsia="宋体" w:cs="Times New Roman"/>
          <w:b w:val="0"/>
          <w:bCs w:val="0"/>
          <w:color w:val="auto"/>
          <w:kern w:val="2"/>
          <w:sz w:val="21"/>
          <w:szCs w:val="21"/>
          <w:u w:val="single"/>
          <w:lang w:val="en-US" w:eastAsia="zh-CN" w:bidi="ar-SA"/>
        </w:rPr>
        <w:t xml:space="preserve"> </w:t>
      </w:r>
      <w:r>
        <w:rPr>
          <w:rFonts w:hint="default" w:ascii="宋体" w:hAnsi="宋体" w:eastAsia="宋体" w:cs="Times New Roman"/>
          <w:b w:val="0"/>
          <w:bCs w:val="0"/>
          <w:color w:val="auto"/>
          <w:kern w:val="2"/>
          <w:sz w:val="21"/>
          <w:szCs w:val="21"/>
          <w:lang w:val="en-US" w:eastAsia="zh-CN" w:bidi="ar-SA"/>
        </w:rPr>
        <w:t>元/人次</w:t>
      </w:r>
      <w:r>
        <w:rPr>
          <w:rFonts w:hint="default" w:ascii="宋体" w:hAnsi="宋体" w:eastAsia="宋体" w:cs="Times New Roman"/>
          <w:b w:val="0"/>
          <w:bCs w:val="0"/>
          <w:kern w:val="2"/>
          <w:sz w:val="21"/>
          <w:szCs w:val="21"/>
          <w:lang w:val="en-US" w:eastAsia="zh-CN" w:bidi="ar-SA"/>
        </w:rPr>
        <w:t>违约金，并承担由此给甲方造成的处理被诉案件的全部费用。</w:t>
      </w:r>
      <w:bookmarkEnd w:id="47"/>
    </w:p>
    <w:p w14:paraId="08770FCB">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5</w:t>
      </w:r>
      <w:r>
        <w:rPr>
          <w:rFonts w:hint="eastAsia" w:ascii="宋体" w:hAnsi="宋体" w:eastAsia="宋体" w:cs="Times New Roman"/>
          <w:b w:val="0"/>
          <w:bCs w:val="0"/>
          <w:kern w:val="2"/>
          <w:sz w:val="21"/>
          <w:szCs w:val="21"/>
          <w:lang w:val="en-US" w:eastAsia="zh-CN" w:bidi="ar-SA"/>
        </w:rPr>
        <w:t>.5在本合同履行</w:t>
      </w:r>
      <w:r>
        <w:rPr>
          <w:rFonts w:hint="eastAsia" w:ascii="宋体" w:hAnsi="宋体" w:eastAsia="宋体" w:cs="Times New Roman"/>
          <w:b w:val="0"/>
          <w:bCs w:val="0"/>
          <w:color w:val="auto"/>
          <w:kern w:val="2"/>
          <w:sz w:val="21"/>
          <w:szCs w:val="21"/>
          <w:lang w:val="en-US" w:eastAsia="zh-CN" w:bidi="ar-SA"/>
        </w:rPr>
        <w:t>过程中，如任何一方发生税务登记、公司名称等重大信息的变更事项，应在重大信息变更后的</w:t>
      </w:r>
      <w:r>
        <w:rPr>
          <w:rFonts w:hint="eastAsia" w:ascii="宋体" w:hAnsi="宋体" w:eastAsia="宋体" w:cs="Times New Roman"/>
          <w:b w:val="0"/>
          <w:bCs w:val="0"/>
          <w:color w:val="auto"/>
          <w:kern w:val="2"/>
          <w:sz w:val="21"/>
          <w:szCs w:val="21"/>
          <w:u w:val="single"/>
          <w:lang w:val="en-US" w:eastAsia="zh-CN" w:bidi="ar-SA"/>
        </w:rPr>
        <w:t xml:space="preserve"> </w:t>
      </w:r>
      <w:r>
        <w:rPr>
          <w:rFonts w:hint="eastAsia" w:ascii="宋体" w:hAnsi="宋体" w:cs="Times New Roman"/>
          <w:b w:val="0"/>
          <w:bCs w:val="0"/>
          <w:color w:val="auto"/>
          <w:kern w:val="2"/>
          <w:sz w:val="21"/>
          <w:szCs w:val="21"/>
          <w:u w:val="single"/>
          <w:lang w:val="en-US" w:eastAsia="zh-CN" w:bidi="ar-SA"/>
        </w:rPr>
        <w:t>2</w:t>
      </w:r>
      <w:r>
        <w:rPr>
          <w:rFonts w:hint="eastAsia" w:ascii="宋体" w:hAnsi="宋体" w:eastAsia="宋体" w:cs="Times New Roman"/>
          <w:b w:val="0"/>
          <w:bCs w:val="0"/>
          <w:color w:val="auto"/>
          <w:kern w:val="2"/>
          <w:sz w:val="21"/>
          <w:szCs w:val="21"/>
          <w:u w:val="single"/>
          <w:lang w:val="en-US" w:eastAsia="zh-CN" w:bidi="ar-SA"/>
        </w:rPr>
        <w:t xml:space="preserve"> </w:t>
      </w:r>
      <w:r>
        <w:rPr>
          <w:rFonts w:hint="eastAsia" w:ascii="宋体" w:hAnsi="宋体" w:eastAsia="宋体" w:cs="Times New Roman"/>
          <w:b w:val="0"/>
          <w:bCs w:val="0"/>
          <w:color w:val="auto"/>
          <w:kern w:val="2"/>
          <w:sz w:val="21"/>
          <w:szCs w:val="21"/>
          <w:lang w:val="en-US" w:eastAsia="zh-CN" w:bidi="ar-SA"/>
        </w:rPr>
        <w:t>日内书面通知</w:t>
      </w:r>
      <w:r>
        <w:rPr>
          <w:rFonts w:hint="eastAsia" w:ascii="宋体" w:hAnsi="宋体" w:eastAsia="宋体" w:cs="Times New Roman"/>
          <w:b w:val="0"/>
          <w:bCs w:val="0"/>
          <w:kern w:val="2"/>
          <w:sz w:val="21"/>
          <w:szCs w:val="21"/>
          <w:lang w:val="en-US" w:eastAsia="zh-CN" w:bidi="ar-SA"/>
        </w:rPr>
        <w:t>对方及相关机构变更情况，并提供相关信息资料。</w:t>
      </w:r>
    </w:p>
    <w:p w14:paraId="3DCF8465">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w:t>
      </w:r>
      <w:r>
        <w:rPr>
          <w:rFonts w:hint="eastAsia" w:ascii="宋体" w:hAnsi="宋体" w:cs="Times New Roman"/>
          <w:b w:val="0"/>
          <w:bCs w:val="0"/>
          <w:kern w:val="2"/>
          <w:sz w:val="21"/>
          <w:szCs w:val="21"/>
          <w:lang w:val="en-US" w:eastAsia="zh-CN" w:bidi="ar-SA"/>
        </w:rPr>
        <w:t>5</w:t>
      </w:r>
      <w:r>
        <w:rPr>
          <w:rFonts w:hint="eastAsia" w:ascii="宋体" w:hAnsi="宋体" w:eastAsia="宋体" w:cs="Times New Roman"/>
          <w:b w:val="0"/>
          <w:bCs w:val="0"/>
          <w:kern w:val="2"/>
          <w:sz w:val="21"/>
          <w:szCs w:val="21"/>
          <w:lang w:val="en-US" w:eastAsia="zh-CN" w:bidi="ar-SA"/>
        </w:rPr>
        <w:t>.6双方确定所预留的以下地址为往来函件法院（仲裁、公证等机构）法律文书应当送达双方法人所在地，任一方变更送达地址必须在变更之日起 7日内书面通知对方，否则不发生送达地址变更的法律效力，对方按原地址送达仍然为有效送达。</w:t>
      </w:r>
    </w:p>
    <w:p w14:paraId="5D851102">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甲方送达地址：</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p>
    <w:p w14:paraId="5C3DFD46">
      <w:pPr>
        <w:spacing w:line="390" w:lineRule="exact"/>
        <w:ind w:firstLine="420" w:firstLineChars="200"/>
        <w:rPr>
          <w:rFonts w:ascii="宋体" w:hAnsi="宋体"/>
          <w:sz w:val="24"/>
          <w:szCs w:val="24"/>
        </w:rPr>
      </w:pPr>
      <w:r>
        <w:rPr>
          <w:rFonts w:hint="eastAsia" w:ascii="宋体" w:hAnsi="宋体" w:eastAsia="宋体" w:cs="Times New Roman"/>
          <w:b w:val="0"/>
          <w:bCs w:val="0"/>
          <w:kern w:val="2"/>
          <w:sz w:val="21"/>
          <w:szCs w:val="21"/>
          <w:lang w:val="en-US" w:eastAsia="zh-CN" w:bidi="ar-SA"/>
        </w:rPr>
        <w:t xml:space="preserve">联系人：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w:t>
      </w:r>
    </w:p>
    <w:p w14:paraId="21F6FB45">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联系电话：</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p>
    <w:p w14:paraId="46690CF4">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电子邮箱：</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p>
    <w:p w14:paraId="2A040F9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乙方送达地址：</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 。</w:t>
      </w:r>
    </w:p>
    <w:p w14:paraId="6BBBAAAB">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联系人：</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 。</w:t>
      </w:r>
    </w:p>
    <w:p w14:paraId="42587866">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联系电话：</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w:t>
      </w:r>
    </w:p>
    <w:p w14:paraId="06967979">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电子邮箱：</w:t>
      </w:r>
      <w:r>
        <w:rPr>
          <w:rFonts w:hint="eastAsia" w:ascii="宋体" w:hAnsi="宋体" w:eastAsia="宋体" w:cs="Times New Roman"/>
          <w:b w:val="0"/>
          <w:bCs w:val="0"/>
          <w:kern w:val="2"/>
          <w:sz w:val="21"/>
          <w:szCs w:val="21"/>
          <w:u w:val="single"/>
          <w:lang w:val="en-US" w:eastAsia="zh-CN" w:bidi="ar-SA"/>
        </w:rPr>
        <w:t xml:space="preserve">                             </w:t>
      </w:r>
      <w:r>
        <w:rPr>
          <w:rFonts w:hint="eastAsia" w:ascii="宋体" w:hAnsi="宋体" w:eastAsia="宋体" w:cs="Times New Roman"/>
          <w:b w:val="0"/>
          <w:bCs w:val="0"/>
          <w:kern w:val="2"/>
          <w:sz w:val="21"/>
          <w:szCs w:val="21"/>
          <w:lang w:val="en-US" w:eastAsia="zh-CN" w:bidi="ar-SA"/>
        </w:rPr>
        <w:t xml:space="preserve"> 。</w:t>
      </w:r>
    </w:p>
    <w:p w14:paraId="06FFDCB7">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14.7合同如有未尽事宜，经双方共同协商后签订补充协议。</w:t>
      </w:r>
    </w:p>
    <w:p w14:paraId="4CA36494">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14.8本合同自双方签字并盖章之日起生效。本合同一式    份，双方各执</w:t>
      </w:r>
    </w:p>
    <w:p w14:paraId="18544BA8">
      <w:pPr>
        <w:spacing w:line="390" w:lineRule="exact"/>
        <w:ind w:firstLine="420" w:firstLineChars="200"/>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份。</w:t>
      </w:r>
    </w:p>
    <w:p w14:paraId="1FD2E4CC">
      <w:pPr>
        <w:spacing w:line="390" w:lineRule="exact"/>
        <w:ind w:firstLine="420" w:firstLineChars="200"/>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（重点提示：在合同最后新增要有一个手写部分内容：乙方基于与甲方充分谈判、协商一致而签订本合同，已认真审阅本合同条款，尤其是对本合同加粗、标识等涉及结算、支付等关键内容予以充分理解并接受）</w:t>
      </w:r>
    </w:p>
    <w:p w14:paraId="6FD9B84B">
      <w:pPr>
        <w:pageBreakBefore w:val="0"/>
        <w:widowControl/>
        <w:tabs>
          <w:tab w:val="left" w:pos="8364"/>
        </w:tabs>
        <w:kinsoku/>
        <w:wordWrap/>
        <w:overflowPunct/>
        <w:topLinePunct w:val="0"/>
        <w:autoSpaceDE/>
        <w:autoSpaceDN/>
        <w:bidi w:val="0"/>
        <w:adjustRightInd/>
        <w:snapToGrid/>
        <w:spacing w:line="390" w:lineRule="exact"/>
        <w:ind w:left="0" w:firstLine="482" w:firstLineChars="200"/>
        <w:jc w:val="both"/>
        <w:textAlignment w:val="auto"/>
        <w:outlineLvl w:val="9"/>
        <w:rPr>
          <w:rFonts w:hint="eastAsia" w:ascii="宋体" w:hAnsi="宋体" w:cs="宋体"/>
          <w:b/>
          <w:bCs/>
          <w:color w:val="FF0000"/>
          <w:kern w:val="0"/>
          <w:sz w:val="24"/>
          <w:szCs w:val="24"/>
          <w:highlight w:val="none"/>
          <w:u w:val="single"/>
        </w:rPr>
      </w:pPr>
      <w:r>
        <w:rPr>
          <w:rFonts w:hint="eastAsia" w:ascii="宋体" w:hAnsi="宋体" w:cs="宋体"/>
          <w:b/>
          <w:bCs/>
          <w:color w:val="FF0000"/>
          <w:kern w:val="0"/>
          <w:sz w:val="24"/>
          <w:szCs w:val="24"/>
          <w:highlight w:val="none"/>
          <w:u w:val="single"/>
        </w:rPr>
        <w:t xml:space="preserve">                                                                      </w:t>
      </w:r>
    </w:p>
    <w:p w14:paraId="5492E028">
      <w:pPr>
        <w:pageBreakBefore w:val="0"/>
        <w:widowControl/>
        <w:tabs>
          <w:tab w:val="left" w:pos="8364"/>
        </w:tabs>
        <w:kinsoku/>
        <w:wordWrap/>
        <w:overflowPunct/>
        <w:topLinePunct w:val="0"/>
        <w:autoSpaceDE/>
        <w:autoSpaceDN/>
        <w:bidi w:val="0"/>
        <w:adjustRightInd/>
        <w:snapToGrid/>
        <w:spacing w:line="390" w:lineRule="exact"/>
        <w:ind w:left="0" w:firstLine="482" w:firstLineChars="200"/>
        <w:jc w:val="both"/>
        <w:textAlignment w:val="auto"/>
        <w:outlineLvl w:val="9"/>
        <w:rPr>
          <w:rFonts w:hint="eastAsia" w:ascii="宋体" w:hAnsi="宋体" w:cs="宋体"/>
          <w:b/>
          <w:bCs/>
          <w:color w:val="FF0000"/>
          <w:kern w:val="0"/>
          <w:sz w:val="24"/>
          <w:szCs w:val="24"/>
          <w:highlight w:val="none"/>
          <w:u w:val="single"/>
        </w:rPr>
      </w:pPr>
      <w:r>
        <w:rPr>
          <w:rFonts w:hint="eastAsia" w:ascii="宋体" w:hAnsi="宋体" w:cs="宋体"/>
          <w:b/>
          <w:bCs/>
          <w:color w:val="FF0000"/>
          <w:kern w:val="0"/>
          <w:sz w:val="24"/>
          <w:szCs w:val="24"/>
          <w:highlight w:val="none"/>
          <w:u w:val="single"/>
        </w:rPr>
        <w:t xml:space="preserve">                                                                      </w:t>
      </w:r>
    </w:p>
    <w:p w14:paraId="370DB0A4">
      <w:pPr>
        <w:pageBreakBefore w:val="0"/>
        <w:widowControl/>
        <w:tabs>
          <w:tab w:val="left" w:pos="8364"/>
        </w:tabs>
        <w:kinsoku/>
        <w:wordWrap/>
        <w:overflowPunct/>
        <w:topLinePunct w:val="0"/>
        <w:autoSpaceDE/>
        <w:autoSpaceDN/>
        <w:bidi w:val="0"/>
        <w:adjustRightInd/>
        <w:snapToGrid/>
        <w:spacing w:line="390" w:lineRule="exact"/>
        <w:ind w:left="0" w:firstLine="482" w:firstLineChars="200"/>
        <w:jc w:val="both"/>
        <w:textAlignment w:val="auto"/>
        <w:outlineLvl w:val="9"/>
        <w:rPr>
          <w:rFonts w:hint="eastAsia" w:ascii="宋体" w:hAnsi="宋体" w:cs="宋体"/>
          <w:b/>
          <w:bCs/>
          <w:color w:val="FF0000"/>
          <w:kern w:val="0"/>
          <w:sz w:val="24"/>
          <w:szCs w:val="24"/>
          <w:highlight w:val="none"/>
          <w:u w:val="single"/>
        </w:rPr>
      </w:pPr>
      <w:r>
        <w:rPr>
          <w:rFonts w:hint="eastAsia" w:ascii="宋体" w:hAnsi="宋体" w:cs="宋体"/>
          <w:b/>
          <w:bCs/>
          <w:color w:val="FF0000"/>
          <w:kern w:val="0"/>
          <w:sz w:val="24"/>
          <w:szCs w:val="24"/>
          <w:highlight w:val="none"/>
          <w:u w:val="single"/>
        </w:rPr>
        <w:t xml:space="preserve">                                                                      </w:t>
      </w:r>
    </w:p>
    <w:p w14:paraId="09C85089">
      <w:pPr>
        <w:pageBreakBefore w:val="0"/>
        <w:widowControl/>
        <w:tabs>
          <w:tab w:val="left" w:pos="8364"/>
        </w:tabs>
        <w:kinsoku/>
        <w:wordWrap/>
        <w:overflowPunct/>
        <w:topLinePunct w:val="0"/>
        <w:autoSpaceDE/>
        <w:autoSpaceDN/>
        <w:bidi w:val="0"/>
        <w:adjustRightInd/>
        <w:snapToGrid/>
        <w:spacing w:line="390" w:lineRule="exact"/>
        <w:ind w:left="0" w:firstLine="482" w:firstLineChars="200"/>
        <w:jc w:val="both"/>
        <w:textAlignment w:val="auto"/>
        <w:outlineLvl w:val="9"/>
        <w:rPr>
          <w:rFonts w:hint="eastAsia" w:ascii="宋体" w:hAnsi="宋体" w:cs="宋体"/>
          <w:b/>
          <w:bCs/>
          <w:color w:val="FF0000"/>
          <w:kern w:val="0"/>
          <w:sz w:val="24"/>
          <w:szCs w:val="24"/>
          <w:highlight w:val="none"/>
          <w:u w:val="single"/>
        </w:rPr>
      </w:pPr>
      <w:r>
        <w:rPr>
          <w:rFonts w:hint="eastAsia" w:ascii="宋体" w:hAnsi="宋体" w:cs="宋体"/>
          <w:b/>
          <w:bCs/>
          <w:color w:val="FF0000"/>
          <w:kern w:val="0"/>
          <w:sz w:val="24"/>
          <w:szCs w:val="24"/>
          <w:highlight w:val="none"/>
          <w:u w:val="single"/>
        </w:rPr>
        <w:t xml:space="preserve">                                                                      </w:t>
      </w:r>
    </w:p>
    <w:p w14:paraId="36638178">
      <w:pPr>
        <w:outlineLvl w:val="9"/>
        <w:rPr>
          <w:highlight w:val="none"/>
        </w:rPr>
      </w:pPr>
      <w:r>
        <w:rPr>
          <w:rFonts w:hint="eastAsia" w:ascii="宋体" w:hAnsi="宋体" w:cs="宋体"/>
          <w:b/>
          <w:bCs/>
          <w:color w:val="FF0000"/>
          <w:kern w:val="0"/>
          <w:sz w:val="24"/>
          <w:szCs w:val="24"/>
          <w:highlight w:val="none"/>
          <w:u w:val="none"/>
        </w:rPr>
        <w:t xml:space="preserve">    </w:t>
      </w:r>
      <w:r>
        <w:rPr>
          <w:rFonts w:hint="eastAsia" w:ascii="宋体" w:hAnsi="宋体" w:cs="宋体"/>
          <w:b/>
          <w:bCs/>
          <w:color w:val="FF0000"/>
          <w:kern w:val="0"/>
          <w:sz w:val="24"/>
          <w:szCs w:val="24"/>
          <w:highlight w:val="none"/>
          <w:u w:val="single"/>
        </w:rPr>
        <w:t xml:space="preserve">                   </w:t>
      </w:r>
      <w:r>
        <w:rPr>
          <w:rFonts w:hint="eastAsia" w:ascii="宋体" w:hAnsi="宋体" w:cs="宋体"/>
          <w:b/>
          <w:bCs/>
          <w:color w:val="FF0000"/>
          <w:kern w:val="0"/>
          <w:sz w:val="24"/>
          <w:szCs w:val="24"/>
          <w:highlight w:val="none"/>
          <w:u w:val="single"/>
          <w:lang w:val="en-US" w:eastAsia="zh-CN"/>
        </w:rPr>
        <w:t xml:space="preserve"> </w:t>
      </w:r>
      <w:r>
        <w:rPr>
          <w:rFonts w:hint="eastAsia" w:ascii="宋体" w:hAnsi="宋体" w:cs="宋体"/>
          <w:b/>
          <w:bCs/>
          <w:color w:val="FF0000"/>
          <w:kern w:val="0"/>
          <w:sz w:val="24"/>
          <w:szCs w:val="24"/>
          <w:highlight w:val="none"/>
          <w:u w:val="single"/>
        </w:rPr>
        <w:t xml:space="preserve">  </w:t>
      </w:r>
      <w:r>
        <w:rPr>
          <w:rFonts w:hint="eastAsia" w:ascii="宋体" w:hAnsi="宋体" w:cs="宋体"/>
          <w:b/>
          <w:bCs/>
          <w:color w:val="FF0000"/>
          <w:kern w:val="0"/>
          <w:sz w:val="24"/>
          <w:szCs w:val="24"/>
          <w:highlight w:val="none"/>
          <w:u w:val="single"/>
          <w:lang w:val="en-US" w:eastAsia="zh-CN"/>
        </w:rPr>
        <w:t xml:space="preserve">      </w:t>
      </w:r>
      <w:r>
        <w:rPr>
          <w:rFonts w:hint="eastAsia" w:ascii="宋体" w:hAnsi="宋体" w:cs="宋体"/>
          <w:b/>
          <w:bCs/>
          <w:color w:val="FF0000"/>
          <w:kern w:val="0"/>
          <w:sz w:val="24"/>
          <w:szCs w:val="24"/>
          <w:highlight w:val="none"/>
          <w:u w:val="single"/>
        </w:rPr>
        <w:t xml:space="preserve">     （乙方合同签署人签字：     </w:t>
      </w:r>
      <w:r>
        <w:rPr>
          <w:rFonts w:hint="eastAsia" w:ascii="宋体" w:hAnsi="宋体" w:cs="宋体"/>
          <w:b/>
          <w:bCs/>
          <w:color w:val="FF0000"/>
          <w:kern w:val="0"/>
          <w:sz w:val="24"/>
          <w:szCs w:val="24"/>
          <w:highlight w:val="none"/>
          <w:u w:val="single"/>
          <w:lang w:val="en-US" w:eastAsia="zh-CN"/>
        </w:rPr>
        <w:t xml:space="preserve">   </w:t>
      </w:r>
      <w:r>
        <w:rPr>
          <w:rFonts w:hint="eastAsia" w:ascii="宋体" w:hAnsi="宋体" w:cs="宋体"/>
          <w:b/>
          <w:bCs/>
          <w:color w:val="FF0000"/>
          <w:kern w:val="0"/>
          <w:sz w:val="24"/>
          <w:szCs w:val="24"/>
          <w:highlight w:val="none"/>
          <w:u w:val="single"/>
        </w:rPr>
        <w:t xml:space="preserve"> ）</w:t>
      </w:r>
    </w:p>
    <w:p w14:paraId="23CE4355">
      <w:pPr>
        <w:spacing w:line="390" w:lineRule="exact"/>
        <w:ind w:firstLine="420" w:firstLineChars="200"/>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附件一：先行内部投诉平台投诉的承诺书</w:t>
      </w:r>
    </w:p>
    <w:p w14:paraId="26CF50F2">
      <w:pPr>
        <w:spacing w:line="390" w:lineRule="exact"/>
        <w:ind w:firstLine="420" w:firstLineChars="200"/>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附件二：企业类型声明书</w:t>
      </w:r>
    </w:p>
    <w:p w14:paraId="515408B0">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附件三：订货明细表</w:t>
      </w:r>
    </w:p>
    <w:p w14:paraId="101E0E8B">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附件四：需求明细表</w:t>
      </w:r>
    </w:p>
    <w:p w14:paraId="74E59A1B">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附件五：技术规格书</w:t>
      </w:r>
    </w:p>
    <w:p w14:paraId="52C48F35">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附件六：中标通知书/公司采购批复</w:t>
      </w:r>
    </w:p>
    <w:p w14:paraId="22D69722">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附件七：投标文件（含经招标人接受的澄清和补充资料）</w:t>
      </w:r>
    </w:p>
    <w:p w14:paraId="00EA3FF4">
      <w:pPr>
        <w:spacing w:line="390" w:lineRule="exact"/>
        <w:ind w:firstLine="420" w:firstLineChars="200"/>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附件八：两级合同评审、交底</w:t>
      </w:r>
    </w:p>
    <w:p w14:paraId="706125DC">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附件九：乙方资质证照</w:t>
      </w:r>
    </w:p>
    <w:p w14:paraId="32562589">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附件十：本合同其他条款和上述文件提到的其他有关文件</w:t>
      </w:r>
    </w:p>
    <w:p w14:paraId="2A1B560A">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（以下无合同正文）</w:t>
      </w:r>
    </w:p>
    <w:tbl>
      <w:tblPr>
        <w:tblStyle w:val="6"/>
        <w:tblW w:w="8814" w:type="dxa"/>
        <w:tblInd w:w="0" w:type="dxa"/>
        <w:tblLayout w:type="fixed"/>
        <w:tblCellMar>
          <w:top w:w="0" w:type="dxa"/>
          <w:left w:w="108" w:type="dxa"/>
          <w:bottom w:w="0" w:type="dxa"/>
          <w:right w:w="108" w:type="dxa"/>
        </w:tblCellMar>
      </w:tblPr>
      <w:tblGrid>
        <w:gridCol w:w="4407"/>
        <w:gridCol w:w="4407"/>
      </w:tblGrid>
      <w:tr w14:paraId="2DD6ABF1">
        <w:tblPrEx>
          <w:tblCellMar>
            <w:top w:w="0" w:type="dxa"/>
            <w:left w:w="108" w:type="dxa"/>
            <w:bottom w:w="0" w:type="dxa"/>
            <w:right w:w="108" w:type="dxa"/>
          </w:tblCellMar>
        </w:tblPrEx>
        <w:trPr>
          <w:trHeight w:val="477" w:hRule="atLeast"/>
        </w:trPr>
        <w:tc>
          <w:tcPr>
            <w:tcW w:w="4407" w:type="dxa"/>
          </w:tcPr>
          <w:p w14:paraId="4D4F19B7">
            <w:pPr>
              <w:spacing w:line="39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买方：（盖章）</w:t>
            </w:r>
          </w:p>
        </w:tc>
        <w:tc>
          <w:tcPr>
            <w:tcW w:w="4407" w:type="dxa"/>
          </w:tcPr>
          <w:p w14:paraId="56BE0F70">
            <w:pPr>
              <w:spacing w:line="390" w:lineRule="exact"/>
              <w:ind w:firstLine="420" w:firstLineChars="20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卖方：（盖章）</w:t>
            </w:r>
          </w:p>
        </w:tc>
      </w:tr>
      <w:tr w14:paraId="1B3ADAF6">
        <w:tblPrEx>
          <w:tblCellMar>
            <w:top w:w="0" w:type="dxa"/>
            <w:left w:w="108" w:type="dxa"/>
            <w:bottom w:w="0" w:type="dxa"/>
            <w:right w:w="108" w:type="dxa"/>
          </w:tblCellMar>
        </w:tblPrEx>
        <w:trPr>
          <w:trHeight w:val="639" w:hRule="atLeast"/>
        </w:trPr>
        <w:tc>
          <w:tcPr>
            <w:tcW w:w="4407" w:type="dxa"/>
          </w:tcPr>
          <w:p w14:paraId="1F85C085">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住所地址：</w:t>
            </w:r>
          </w:p>
        </w:tc>
        <w:tc>
          <w:tcPr>
            <w:tcW w:w="4407" w:type="dxa"/>
          </w:tcPr>
          <w:p w14:paraId="000145DD">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住所地址：</w:t>
            </w:r>
          </w:p>
        </w:tc>
      </w:tr>
      <w:tr w14:paraId="547C0F32">
        <w:tblPrEx>
          <w:tblCellMar>
            <w:top w:w="0" w:type="dxa"/>
            <w:left w:w="108" w:type="dxa"/>
            <w:bottom w:w="0" w:type="dxa"/>
            <w:right w:w="108" w:type="dxa"/>
          </w:tblCellMar>
        </w:tblPrEx>
        <w:trPr>
          <w:trHeight w:val="639" w:hRule="atLeast"/>
        </w:trPr>
        <w:tc>
          <w:tcPr>
            <w:tcW w:w="4407" w:type="dxa"/>
          </w:tcPr>
          <w:p w14:paraId="0997D643">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法定代表人：</w:t>
            </w:r>
          </w:p>
        </w:tc>
        <w:tc>
          <w:tcPr>
            <w:tcW w:w="4407" w:type="dxa"/>
          </w:tcPr>
          <w:p w14:paraId="47D3C853">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法定代表人：</w:t>
            </w:r>
          </w:p>
        </w:tc>
      </w:tr>
      <w:tr w14:paraId="386CAC61">
        <w:tblPrEx>
          <w:tblCellMar>
            <w:top w:w="0" w:type="dxa"/>
            <w:left w:w="108" w:type="dxa"/>
            <w:bottom w:w="0" w:type="dxa"/>
            <w:right w:w="108" w:type="dxa"/>
          </w:tblCellMar>
        </w:tblPrEx>
        <w:trPr>
          <w:trHeight w:val="639" w:hRule="atLeast"/>
        </w:trPr>
        <w:tc>
          <w:tcPr>
            <w:tcW w:w="4407" w:type="dxa"/>
          </w:tcPr>
          <w:p w14:paraId="53AEFA8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委托代理人：</w:t>
            </w:r>
          </w:p>
        </w:tc>
        <w:tc>
          <w:tcPr>
            <w:tcW w:w="4407" w:type="dxa"/>
          </w:tcPr>
          <w:p w14:paraId="2D2AC985">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委托代理人：</w:t>
            </w:r>
          </w:p>
        </w:tc>
      </w:tr>
      <w:tr w14:paraId="0B783B44">
        <w:tblPrEx>
          <w:tblCellMar>
            <w:top w:w="0" w:type="dxa"/>
            <w:left w:w="108" w:type="dxa"/>
            <w:bottom w:w="0" w:type="dxa"/>
            <w:right w:w="108" w:type="dxa"/>
          </w:tblCellMar>
        </w:tblPrEx>
        <w:trPr>
          <w:trHeight w:val="639" w:hRule="atLeast"/>
        </w:trPr>
        <w:tc>
          <w:tcPr>
            <w:tcW w:w="4407" w:type="dxa"/>
          </w:tcPr>
          <w:p w14:paraId="2EDE3911">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电话：</w:t>
            </w:r>
          </w:p>
        </w:tc>
        <w:tc>
          <w:tcPr>
            <w:tcW w:w="4407" w:type="dxa"/>
          </w:tcPr>
          <w:p w14:paraId="5E59AD08">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电话：</w:t>
            </w:r>
          </w:p>
        </w:tc>
      </w:tr>
      <w:tr w14:paraId="28FE9BF0">
        <w:tblPrEx>
          <w:tblCellMar>
            <w:top w:w="0" w:type="dxa"/>
            <w:left w:w="108" w:type="dxa"/>
            <w:bottom w:w="0" w:type="dxa"/>
            <w:right w:w="108" w:type="dxa"/>
          </w:tblCellMar>
        </w:tblPrEx>
        <w:trPr>
          <w:trHeight w:val="639" w:hRule="atLeast"/>
        </w:trPr>
        <w:tc>
          <w:tcPr>
            <w:tcW w:w="4407" w:type="dxa"/>
          </w:tcPr>
          <w:p w14:paraId="44A1D66E">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纳税人识别号：</w:t>
            </w:r>
          </w:p>
        </w:tc>
        <w:tc>
          <w:tcPr>
            <w:tcW w:w="4407" w:type="dxa"/>
          </w:tcPr>
          <w:p w14:paraId="18FF0F5A">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纳税人识别号：</w:t>
            </w:r>
          </w:p>
        </w:tc>
      </w:tr>
      <w:tr w14:paraId="3ADD95AA">
        <w:tblPrEx>
          <w:tblCellMar>
            <w:top w:w="0" w:type="dxa"/>
            <w:left w:w="108" w:type="dxa"/>
            <w:bottom w:w="0" w:type="dxa"/>
            <w:right w:w="108" w:type="dxa"/>
          </w:tblCellMar>
        </w:tblPrEx>
        <w:trPr>
          <w:trHeight w:val="639" w:hRule="atLeast"/>
        </w:trPr>
        <w:tc>
          <w:tcPr>
            <w:tcW w:w="4407" w:type="dxa"/>
          </w:tcPr>
          <w:p w14:paraId="6C76AF5C">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开户银行：</w:t>
            </w:r>
          </w:p>
        </w:tc>
        <w:tc>
          <w:tcPr>
            <w:tcW w:w="4407" w:type="dxa"/>
          </w:tcPr>
          <w:p w14:paraId="4DD4D728">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开户银行：</w:t>
            </w:r>
          </w:p>
        </w:tc>
      </w:tr>
      <w:tr w14:paraId="33ADEE2B">
        <w:tblPrEx>
          <w:tblCellMar>
            <w:top w:w="0" w:type="dxa"/>
            <w:left w:w="108" w:type="dxa"/>
            <w:bottom w:w="0" w:type="dxa"/>
            <w:right w:w="108" w:type="dxa"/>
          </w:tblCellMar>
        </w:tblPrEx>
        <w:trPr>
          <w:trHeight w:val="639" w:hRule="atLeast"/>
        </w:trPr>
        <w:tc>
          <w:tcPr>
            <w:tcW w:w="4407" w:type="dxa"/>
          </w:tcPr>
          <w:p w14:paraId="30DE49F4">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账号：</w:t>
            </w:r>
          </w:p>
          <w:p w14:paraId="460BDBC6">
            <w:pPr>
              <w:spacing w:line="390" w:lineRule="exact"/>
              <w:ind w:firstLine="420" w:firstLineChars="200"/>
              <w:rPr>
                <w:rFonts w:hint="eastAsia" w:ascii="宋体" w:hAnsi="宋体" w:eastAsia="宋体" w:cs="Times New Roman"/>
                <w:b w:val="0"/>
                <w:bCs w:val="0"/>
                <w:kern w:val="2"/>
                <w:sz w:val="21"/>
                <w:szCs w:val="21"/>
                <w:lang w:val="en-US" w:eastAsia="zh-CN" w:bidi="ar-SA"/>
              </w:rPr>
            </w:pPr>
          </w:p>
          <w:p w14:paraId="19052705">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签订日期：</w:t>
            </w:r>
          </w:p>
        </w:tc>
        <w:tc>
          <w:tcPr>
            <w:tcW w:w="4407" w:type="dxa"/>
          </w:tcPr>
          <w:p w14:paraId="14179E50">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账号：</w:t>
            </w:r>
          </w:p>
          <w:p w14:paraId="53F80E21">
            <w:pPr>
              <w:spacing w:line="390" w:lineRule="exact"/>
              <w:ind w:firstLine="420" w:firstLineChars="200"/>
              <w:rPr>
                <w:rFonts w:hint="eastAsia" w:ascii="宋体" w:hAnsi="宋体" w:eastAsia="宋体" w:cs="Times New Roman"/>
                <w:b w:val="0"/>
                <w:bCs w:val="0"/>
                <w:kern w:val="2"/>
                <w:sz w:val="21"/>
                <w:szCs w:val="21"/>
                <w:lang w:val="en-US" w:eastAsia="zh-CN" w:bidi="ar-SA"/>
              </w:rPr>
            </w:pPr>
          </w:p>
          <w:p w14:paraId="63B0CD94">
            <w:pPr>
              <w:spacing w:line="39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签订日期：</w:t>
            </w:r>
          </w:p>
        </w:tc>
      </w:tr>
    </w:tbl>
    <w:p w14:paraId="6517EC75">
      <w:pPr>
        <w:spacing w:line="390" w:lineRule="exact"/>
        <w:ind w:firstLine="420" w:firstLineChars="200"/>
        <w:jc w:val="left"/>
        <w:rPr>
          <w:rFonts w:hint="default" w:ascii="宋体" w:hAnsi="宋体" w:eastAsia="宋体" w:cs="Times New Roman"/>
          <w:b w:val="0"/>
          <w:bCs w:val="0"/>
          <w:kern w:val="2"/>
          <w:sz w:val="21"/>
          <w:szCs w:val="21"/>
          <w:lang w:val="en-US" w:eastAsia="zh-CN" w:bidi="ar-SA"/>
        </w:rPr>
      </w:pPr>
    </w:p>
    <w:p w14:paraId="77917C90">
      <w:pPr>
        <w:spacing w:line="390" w:lineRule="exact"/>
        <w:ind w:firstLine="420" w:firstLineChars="200"/>
        <w:jc w:val="left"/>
        <w:rPr>
          <w:rFonts w:hint="eastAsia" w:ascii="宋体" w:hAnsi="宋体" w:eastAsia="宋体" w:cs="Times New Roman"/>
          <w:b w:val="0"/>
          <w:bCs w:val="0"/>
          <w:kern w:val="2"/>
          <w:sz w:val="21"/>
          <w:szCs w:val="21"/>
          <w:lang w:val="en-US" w:eastAsia="zh-CN" w:bidi="ar-SA"/>
        </w:rPr>
      </w:pPr>
    </w:p>
    <w:p w14:paraId="737F428E">
      <w:pPr>
        <w:spacing w:line="390" w:lineRule="exact"/>
        <w:ind w:firstLine="420" w:firstLineChars="200"/>
        <w:jc w:val="left"/>
        <w:rPr>
          <w:rFonts w:hint="eastAsia" w:ascii="宋体" w:hAnsi="宋体" w:eastAsia="宋体" w:cs="Times New Roman"/>
          <w:b w:val="0"/>
          <w:bCs w:val="0"/>
          <w:kern w:val="2"/>
          <w:sz w:val="21"/>
          <w:szCs w:val="21"/>
          <w:lang w:val="en-US" w:eastAsia="zh-CN" w:bidi="ar-SA"/>
        </w:rPr>
      </w:pPr>
    </w:p>
    <w:p w14:paraId="33F80F37">
      <w:pPr>
        <w:rPr>
          <w:rFonts w:hint="eastAsia" w:ascii="宋体" w:hAnsi="宋体" w:eastAsia="宋体" w:cs="Times New Roman"/>
          <w:b w:val="0"/>
          <w:bCs w:val="0"/>
          <w:kern w:val="2"/>
          <w:sz w:val="21"/>
          <w:szCs w:val="21"/>
          <w:lang w:val="en-US" w:eastAsia="zh-CN" w:bidi="ar-SA"/>
        </w:rPr>
      </w:pPr>
    </w:p>
    <w:p w14:paraId="7C400E86">
      <w:pPr>
        <w:pStyle w:val="2"/>
        <w:rPr>
          <w:rFonts w:hint="eastAsia" w:ascii="宋体" w:hAnsi="宋体" w:eastAsia="宋体" w:cs="Times New Roman"/>
          <w:b w:val="0"/>
          <w:bCs w:val="0"/>
          <w:kern w:val="2"/>
          <w:sz w:val="21"/>
          <w:szCs w:val="21"/>
          <w:lang w:val="en-US" w:eastAsia="zh-CN" w:bidi="ar-SA"/>
        </w:rPr>
      </w:pPr>
    </w:p>
    <w:p w14:paraId="52050A5A">
      <w:pPr>
        <w:rPr>
          <w:rFonts w:hint="eastAsia" w:ascii="宋体" w:hAnsi="宋体" w:eastAsia="宋体" w:cs="Times New Roman"/>
          <w:b w:val="0"/>
          <w:bCs w:val="0"/>
          <w:kern w:val="2"/>
          <w:sz w:val="21"/>
          <w:szCs w:val="21"/>
          <w:lang w:val="en-US" w:eastAsia="zh-CN" w:bidi="ar-SA"/>
        </w:rPr>
      </w:pPr>
    </w:p>
    <w:p w14:paraId="5108ABB0">
      <w:pPr>
        <w:pStyle w:val="2"/>
        <w:rPr>
          <w:rFonts w:hint="eastAsia"/>
          <w:lang w:val="en-US" w:eastAsia="zh-CN"/>
        </w:rPr>
      </w:pPr>
    </w:p>
    <w:p w14:paraId="563630D2">
      <w:pPr>
        <w:rPr>
          <w:rFonts w:hint="eastAsia"/>
          <w:lang w:val="en-US" w:eastAsia="zh-CN"/>
        </w:rPr>
      </w:pPr>
    </w:p>
    <w:p w14:paraId="44582F41">
      <w:pPr>
        <w:pStyle w:val="2"/>
        <w:rPr>
          <w:rFonts w:hint="eastAsia"/>
          <w:lang w:val="en-US" w:eastAsia="zh-CN"/>
        </w:rPr>
      </w:pPr>
    </w:p>
    <w:p w14:paraId="0FA960C2">
      <w:pPr>
        <w:rPr>
          <w:rFonts w:hint="eastAsia"/>
          <w:lang w:val="en-US" w:eastAsia="zh-CN"/>
        </w:rPr>
      </w:pPr>
    </w:p>
    <w:p w14:paraId="1EC8C0E9">
      <w:pPr>
        <w:rPr>
          <w:rFonts w:hint="eastAsia"/>
          <w:lang w:val="en-US" w:eastAsia="zh-CN"/>
        </w:rPr>
      </w:pPr>
    </w:p>
    <w:p w14:paraId="516C32B8">
      <w:pPr>
        <w:pStyle w:val="2"/>
        <w:jc w:val="both"/>
        <w:rPr>
          <w:rFonts w:hint="eastAsia"/>
          <w:lang w:val="en-US" w:eastAsia="zh-CN"/>
        </w:rPr>
      </w:pPr>
      <w:r>
        <w:rPr>
          <w:rFonts w:hint="eastAsia"/>
          <w:lang w:val="en-US" w:eastAsia="zh-CN"/>
        </w:rPr>
        <w:t>附件一</w:t>
      </w:r>
    </w:p>
    <w:p w14:paraId="22496DAB">
      <w:pPr>
        <w:tabs>
          <w:tab w:val="left" w:pos="360"/>
        </w:tabs>
        <w:spacing w:line="390" w:lineRule="exact"/>
        <w:ind w:firstLine="0" w:firstLineChars="0"/>
        <w:jc w:val="center"/>
        <w:rPr>
          <w:rFonts w:hint="eastAsia" w:ascii="宋体" w:hAnsi="宋体"/>
          <w:color w:val="000000"/>
          <w:sz w:val="36"/>
          <w:szCs w:val="36"/>
          <w:lang w:val="en-US" w:eastAsia="zh-CN"/>
        </w:rPr>
      </w:pPr>
      <w:r>
        <w:rPr>
          <w:rFonts w:hint="eastAsia" w:ascii="宋体" w:hAnsi="宋体"/>
          <w:color w:val="000000"/>
          <w:sz w:val="36"/>
          <w:szCs w:val="36"/>
          <w:lang w:val="en-US" w:eastAsia="zh-CN"/>
        </w:rPr>
        <w:t>先行内部投诉平台投诉的承诺书</w:t>
      </w:r>
    </w:p>
    <w:p w14:paraId="2BF5609F">
      <w:pPr>
        <w:tabs>
          <w:tab w:val="left" w:pos="360"/>
        </w:tabs>
        <w:spacing w:line="390" w:lineRule="exact"/>
        <w:ind w:firstLine="480" w:firstLineChars="200"/>
        <w:rPr>
          <w:rFonts w:hint="eastAsia" w:ascii="宋体" w:hAnsi="宋体"/>
          <w:color w:val="000000"/>
          <w:sz w:val="24"/>
          <w:szCs w:val="24"/>
          <w:lang w:val="en-US" w:eastAsia="zh-CN"/>
        </w:rPr>
      </w:pPr>
    </w:p>
    <w:p w14:paraId="1561C305">
      <w:pPr>
        <w:tabs>
          <w:tab w:val="left" w:pos="360"/>
        </w:tabs>
        <w:spacing w:line="390" w:lineRule="exact"/>
        <w:ind w:firstLine="0" w:firstLineChars="0"/>
        <w:rPr>
          <w:rFonts w:hint="eastAsia" w:ascii="宋体" w:hAnsi="宋体"/>
          <w:color w:val="000000"/>
          <w:sz w:val="24"/>
          <w:szCs w:val="24"/>
          <w:lang w:val="en-US" w:eastAsia="zh-CN"/>
        </w:rPr>
      </w:pPr>
      <w:r>
        <w:rPr>
          <w:rFonts w:hint="eastAsia" w:ascii="宋体" w:hAnsi="宋体"/>
          <w:color w:val="000000"/>
          <w:sz w:val="24"/>
          <w:szCs w:val="24"/>
          <w:lang w:val="en-US" w:eastAsia="zh-CN"/>
        </w:rPr>
        <w:t>致：中铁二局集团有限公司</w:t>
      </w:r>
    </w:p>
    <w:p w14:paraId="30091722">
      <w:pPr>
        <w:tabs>
          <w:tab w:val="left" w:pos="360"/>
        </w:tabs>
        <w:spacing w:line="390" w:lineRule="exact"/>
        <w:ind w:firstLine="480" w:firstLineChars="200"/>
        <w:rPr>
          <w:rFonts w:hint="eastAsia" w:ascii="宋体" w:hAnsi="宋体"/>
          <w:color w:val="000000"/>
          <w:sz w:val="24"/>
          <w:szCs w:val="24"/>
          <w:lang w:val="en-US" w:eastAsia="zh-CN"/>
        </w:rPr>
      </w:pPr>
      <w:r>
        <w:rPr>
          <w:rFonts w:ascii="新宋体" w:hAnsi="新宋体" w:eastAsia="新宋体"/>
          <w:sz w:val="24"/>
        </w:rPr>
        <w:drawing>
          <wp:anchor distT="0" distB="0" distL="114300" distR="114300" simplePos="0" relativeHeight="251662336" behindDoc="0" locked="0" layoutInCell="1" allowOverlap="1">
            <wp:simplePos x="0" y="0"/>
            <wp:positionH relativeFrom="column">
              <wp:posOffset>4197350</wp:posOffset>
            </wp:positionH>
            <wp:positionV relativeFrom="paragraph">
              <wp:posOffset>462915</wp:posOffset>
            </wp:positionV>
            <wp:extent cx="1327150" cy="1548130"/>
            <wp:effectExtent l="0" t="0" r="6350" b="1270"/>
            <wp:wrapNone/>
            <wp:docPr id="1577128686" name="图片 2" descr="170446639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8686" name="图片 2" descr="17044663943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327150" cy="1548130"/>
                    </a:xfrm>
                    <a:prstGeom prst="rect">
                      <a:avLst/>
                    </a:prstGeom>
                    <a:noFill/>
                    <a:ln>
                      <a:noFill/>
                    </a:ln>
                  </pic:spPr>
                </pic:pic>
              </a:graphicData>
            </a:graphic>
          </wp:anchor>
        </w:drawing>
      </w:r>
      <w:r>
        <w:rPr>
          <w:rFonts w:hint="eastAsia" w:ascii="宋体" w:hAnsi="宋体"/>
          <w:color w:val="000000"/>
          <w:sz w:val="24"/>
          <w:szCs w:val="24"/>
          <w:lang w:val="en-US" w:eastAsia="zh-CN"/>
        </w:rPr>
        <w:t>我公司为贵公司     工程的分包商（供应商），为确保贵公司与我公司双方的合法权益，快捷解决双方争议，我公司对贵公司承诺如下：</w:t>
      </w:r>
    </w:p>
    <w:p w14:paraId="4F396D83">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我公司已知悉贵公司公布的内部投诉渠道如下：</w:t>
      </w:r>
    </w:p>
    <w:p w14:paraId="6D672EE3">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项目部投诉电话：                        。</w:t>
      </w:r>
    </w:p>
    <w:p w14:paraId="1FE8848D">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公司投诉电话：                          。</w:t>
      </w:r>
    </w:p>
    <w:p w14:paraId="7E6B2B36">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中铁二局集团公司投诉平台：</w:t>
      </w:r>
    </w:p>
    <w:p w14:paraId="07210C83">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 xml:space="preserve">微信公众号《中铁二局合作方反馈意见处理平台》 </w:t>
      </w:r>
    </w:p>
    <w:p w14:paraId="390B4447">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中铁二局集团公司劳务工欠薪投诉电话：</w:t>
      </w:r>
    </w:p>
    <w:p w14:paraId="207885AE">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中铁二局集团公司信访办电话：</w:t>
      </w:r>
    </w:p>
    <w:p w14:paraId="36AD41B3">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若发生我公司需向贵公司主张权益或反映问题时，承诺先行向贵公司内部投诉平台进行情况反映，对我公司的投诉事项从贵公司收到投诉次日起5个月的处理时限。在此期间，我公司承诺不得向国家或地方相关部门和各级信访部门进行投诉，也不得提起诉讼。否则，我公司自愿接受贵公司将我公司纳入《中铁二局限制交易名单》《中铁二局谨慎交易名单》中进行信用惩戒。并按照5万元/次承担违约责任。</w:t>
      </w:r>
    </w:p>
    <w:p w14:paraId="633C1165">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特此承诺！</w:t>
      </w:r>
    </w:p>
    <w:p w14:paraId="5FB35EC7">
      <w:pPr>
        <w:tabs>
          <w:tab w:val="left" w:pos="360"/>
        </w:tabs>
        <w:spacing w:line="390" w:lineRule="exact"/>
        <w:ind w:firstLine="480" w:firstLineChars="200"/>
        <w:rPr>
          <w:rFonts w:hint="eastAsia" w:ascii="宋体" w:hAnsi="宋体"/>
          <w:color w:val="000000"/>
          <w:sz w:val="24"/>
          <w:szCs w:val="24"/>
          <w:lang w:val="en-US" w:eastAsia="zh-CN"/>
        </w:rPr>
      </w:pPr>
    </w:p>
    <w:p w14:paraId="08793F6A">
      <w:pPr>
        <w:tabs>
          <w:tab w:val="left" w:pos="360"/>
        </w:tabs>
        <w:spacing w:line="390" w:lineRule="exact"/>
        <w:ind w:firstLine="480" w:firstLineChars="200"/>
        <w:rPr>
          <w:rFonts w:hint="eastAsia" w:ascii="宋体" w:hAnsi="宋体"/>
          <w:color w:val="000000"/>
          <w:sz w:val="24"/>
          <w:szCs w:val="24"/>
          <w:lang w:val="en-US" w:eastAsia="zh-CN"/>
        </w:rPr>
      </w:pPr>
    </w:p>
    <w:p w14:paraId="5964116D">
      <w:pPr>
        <w:spacing w:line="360" w:lineRule="auto"/>
        <w:ind w:firstLine="480" w:firstLineChars="200"/>
        <w:rPr>
          <w:rFonts w:hint="eastAsia"/>
          <w:sz w:val="24"/>
          <w:lang w:val="en-US" w:eastAsia="zh-CN"/>
        </w:rPr>
      </w:pPr>
    </w:p>
    <w:p w14:paraId="631D5BEA">
      <w:pPr>
        <w:ind w:firstLine="1200" w:firstLineChars="500"/>
        <w:rPr>
          <w:sz w:val="24"/>
        </w:rPr>
      </w:pPr>
      <w:r>
        <w:rPr>
          <w:rFonts w:hint="eastAsia"/>
          <w:sz w:val="24"/>
        </w:rPr>
        <w:t xml:space="preserve">甲方：                               乙方： </w:t>
      </w:r>
    </w:p>
    <w:p w14:paraId="44A42B79">
      <w:pPr>
        <w:ind w:firstLine="480" w:firstLineChars="200"/>
        <w:rPr>
          <w:sz w:val="24"/>
        </w:rPr>
      </w:pPr>
    </w:p>
    <w:p w14:paraId="7660CB9F">
      <w:pPr>
        <w:ind w:firstLine="480" w:firstLineChars="200"/>
        <w:rPr>
          <w:sz w:val="24"/>
        </w:rPr>
      </w:pPr>
    </w:p>
    <w:p w14:paraId="092232F7">
      <w:pPr>
        <w:pStyle w:val="2"/>
        <w:rPr>
          <w:sz w:val="24"/>
        </w:rPr>
      </w:pPr>
    </w:p>
    <w:p w14:paraId="3C0DF5F0"/>
    <w:p w14:paraId="112D9EF4">
      <w:pPr>
        <w:pStyle w:val="2"/>
      </w:pPr>
    </w:p>
    <w:p w14:paraId="7AB77BDE"/>
    <w:p w14:paraId="3AA90F06">
      <w:pPr>
        <w:ind w:firstLine="480" w:firstLineChars="200"/>
        <w:rPr>
          <w:sz w:val="24"/>
        </w:rPr>
      </w:pPr>
    </w:p>
    <w:p w14:paraId="45B64EBB">
      <w:pPr>
        <w:snapToGrid w:val="0"/>
        <w:jc w:val="right"/>
        <w:rPr>
          <w:rFonts w:hint="eastAsia"/>
          <w:sz w:val="24"/>
        </w:rPr>
      </w:pPr>
      <w:r>
        <w:rPr>
          <w:rFonts w:hint="eastAsia"/>
          <w:sz w:val="24"/>
        </w:rPr>
        <w:t>日期：   年   月  日</w:t>
      </w:r>
    </w:p>
    <w:p w14:paraId="158750B4">
      <w:pPr>
        <w:tabs>
          <w:tab w:val="left" w:pos="360"/>
        </w:tabs>
        <w:spacing w:line="390" w:lineRule="exact"/>
        <w:ind w:firstLine="1440" w:firstLineChars="600"/>
        <w:rPr>
          <w:rFonts w:hint="default" w:ascii="宋体" w:hAnsi="宋体"/>
          <w:color w:val="000000"/>
          <w:sz w:val="24"/>
          <w:szCs w:val="24"/>
          <w:lang w:val="en-US" w:eastAsia="zh-CN"/>
        </w:rPr>
      </w:pPr>
    </w:p>
    <w:p w14:paraId="63116C26">
      <w:pPr>
        <w:wordWrap w:val="0"/>
        <w:spacing w:line="400" w:lineRule="exact"/>
        <w:ind w:right="560"/>
        <w:rPr>
          <w:b/>
          <w:sz w:val="28"/>
          <w:szCs w:val="28"/>
        </w:rPr>
      </w:pPr>
    </w:p>
    <w:p w14:paraId="37BA9D0A">
      <w:pPr>
        <w:rPr>
          <w:b/>
          <w:sz w:val="28"/>
          <w:szCs w:val="28"/>
        </w:rPr>
      </w:pPr>
    </w:p>
    <w:p w14:paraId="3CAEAF28">
      <w:pPr>
        <w:snapToGrid w:val="0"/>
        <w:jc w:val="left"/>
        <w:rPr>
          <w:sz w:val="24"/>
          <w:highlight w:val="none"/>
        </w:rPr>
      </w:pPr>
      <w:r>
        <w:rPr>
          <w:rFonts w:hint="eastAsia"/>
          <w:sz w:val="24"/>
          <w:highlight w:val="none"/>
        </w:rPr>
        <w:t>附件二</w:t>
      </w:r>
    </w:p>
    <w:p w14:paraId="40587848">
      <w:pPr>
        <w:pStyle w:val="2"/>
        <w:snapToGrid w:val="0"/>
        <w:spacing w:before="156" w:beforeLines="0"/>
        <w:rPr>
          <w:highlight w:val="none"/>
        </w:rPr>
      </w:pPr>
      <w:r>
        <w:rPr>
          <w:rFonts w:hint="eastAsia"/>
          <w:highlight w:val="none"/>
        </w:rPr>
        <w:t>声明书</w:t>
      </w:r>
    </w:p>
    <w:p w14:paraId="15853875">
      <w:pPr>
        <w:rPr>
          <w:highlight w:val="none"/>
        </w:rPr>
      </w:pPr>
    </w:p>
    <w:p w14:paraId="3602179E">
      <w:pPr>
        <w:tabs>
          <w:tab w:val="left" w:pos="360"/>
        </w:tabs>
        <w:spacing w:line="390" w:lineRule="exact"/>
        <w:ind w:firstLine="1440" w:firstLineChars="600"/>
        <w:rPr>
          <w:rFonts w:ascii="宋体" w:hAnsi="宋体"/>
          <w:color w:val="000000"/>
          <w:sz w:val="24"/>
          <w:szCs w:val="24"/>
          <w:highlight w:val="none"/>
        </w:rPr>
      </w:pPr>
    </w:p>
    <w:p w14:paraId="1D765739">
      <w:pPr>
        <w:tabs>
          <w:tab w:val="left" w:pos="360"/>
        </w:tabs>
        <w:spacing w:line="390" w:lineRule="exact"/>
        <w:rPr>
          <w:rFonts w:ascii="宋体" w:hAnsi="宋体"/>
          <w:color w:val="000000"/>
          <w:sz w:val="24"/>
          <w:szCs w:val="24"/>
          <w:highlight w:val="none"/>
        </w:rPr>
      </w:pPr>
      <w:r>
        <w:rPr>
          <w:rFonts w:hint="eastAsia" w:ascii="宋体" w:hAnsi="宋体"/>
          <w:color w:val="000000"/>
          <w:sz w:val="24"/>
          <w:szCs w:val="24"/>
          <w:highlight w:val="none"/>
        </w:rPr>
        <w:t>致：中铁二局集团</w:t>
      </w:r>
      <w:r>
        <w:rPr>
          <w:rFonts w:hint="eastAsia" w:ascii="宋体" w:hAnsi="宋体"/>
          <w:color w:val="000000"/>
          <w:sz w:val="24"/>
          <w:szCs w:val="24"/>
          <w:highlight w:val="none"/>
          <w:lang w:val="en-US" w:eastAsia="zh-CN"/>
        </w:rPr>
        <w:t>有限</w:t>
      </w:r>
      <w:r>
        <w:rPr>
          <w:rFonts w:hint="eastAsia" w:ascii="宋体" w:hAnsi="宋体"/>
          <w:color w:val="000000"/>
          <w:sz w:val="24"/>
          <w:szCs w:val="24"/>
          <w:highlight w:val="none"/>
        </w:rPr>
        <w:t>公司</w:t>
      </w:r>
    </w:p>
    <w:p w14:paraId="6AE27AE4">
      <w:pPr>
        <w:spacing w:line="390" w:lineRule="exact"/>
        <w:ind w:firstLine="480" w:firstLineChars="200"/>
        <w:rPr>
          <w:sz w:val="24"/>
          <w:szCs w:val="24"/>
          <w:highlight w:val="none"/>
        </w:rPr>
      </w:pPr>
      <w:r>
        <w:rPr>
          <w:rFonts w:hint="eastAsia"/>
          <w:sz w:val="24"/>
          <w:szCs w:val="24"/>
          <w:highlight w:val="none"/>
        </w:rPr>
        <w:t>本公司郑重声明，根据《</w:t>
      </w:r>
      <w:r>
        <w:rPr>
          <w:rFonts w:hint="eastAsia"/>
          <w:sz w:val="24"/>
          <w:szCs w:val="24"/>
          <w:highlight w:val="none"/>
          <w:lang w:eastAsia="zh-CN"/>
        </w:rPr>
        <w:t>中华人民共和国中小企业促进法</w:t>
      </w:r>
      <w:r>
        <w:rPr>
          <w:rFonts w:hint="eastAsia"/>
          <w:sz w:val="24"/>
          <w:szCs w:val="24"/>
          <w:highlight w:val="none"/>
        </w:rPr>
        <w:t>》《工业和信息化部、国家统计局、国家发展和改革委员会、财政部关于印发中小企业划型标准规定的通知》及《国家统计局关于印发&lt;统计上大中小微型企业划分办法(2017)&gt;的通知》等规定，我公司经认定或自测，在此声明：我司</w:t>
      </w:r>
      <w:r>
        <w:rPr>
          <w:rFonts w:hint="eastAsia"/>
          <w:sz w:val="24"/>
          <w:szCs w:val="24"/>
          <w:highlight w:val="none"/>
          <w:u w:val="single"/>
        </w:rPr>
        <w:t xml:space="preserve">          </w:t>
      </w:r>
      <w:r>
        <w:rPr>
          <w:rFonts w:hint="eastAsia"/>
          <w:sz w:val="24"/>
          <w:szCs w:val="24"/>
          <w:highlight w:val="none"/>
        </w:rPr>
        <w:t>（属于/不属于）中小型企业，并承诺上述信息真实有效。如有虚假，我公司同意视不同阶段作出如下处理：</w:t>
      </w:r>
    </w:p>
    <w:p w14:paraId="3B1D1FF1">
      <w:pPr>
        <w:spacing w:line="390" w:lineRule="exact"/>
        <w:ind w:firstLine="480" w:firstLineChars="200"/>
        <w:rPr>
          <w:rFonts w:hint="eastAsia" w:eastAsia="宋体"/>
          <w:sz w:val="24"/>
          <w:szCs w:val="24"/>
          <w:highlight w:val="none"/>
          <w:lang w:eastAsia="zh-CN"/>
        </w:rPr>
      </w:pPr>
      <w:r>
        <w:rPr>
          <w:sz w:val="24"/>
          <w:szCs w:val="24"/>
          <w:highlight w:val="none"/>
        </w:rPr>
        <w:t>1.</w:t>
      </w:r>
      <w:r>
        <w:rPr>
          <w:rFonts w:hint="eastAsia"/>
          <w:sz w:val="24"/>
          <w:szCs w:val="24"/>
          <w:highlight w:val="none"/>
        </w:rPr>
        <w:t>投标作无效投标处理，已中标的，中标无效，贵司有权没收本公司的投标保证金和中标服务费</w:t>
      </w:r>
      <w:r>
        <w:rPr>
          <w:rFonts w:hint="eastAsia"/>
          <w:sz w:val="24"/>
          <w:szCs w:val="24"/>
          <w:highlight w:val="none"/>
          <w:lang w:eastAsia="zh-CN"/>
        </w:rPr>
        <w:t>。</w:t>
      </w:r>
    </w:p>
    <w:p w14:paraId="2841B2BD">
      <w:pPr>
        <w:spacing w:line="390" w:lineRule="exact"/>
        <w:ind w:firstLine="480" w:firstLineChars="200"/>
        <w:jc w:val="both"/>
        <w:outlineLvl w:val="9"/>
        <w:rPr>
          <w:rFonts w:hint="eastAsia"/>
          <w:sz w:val="24"/>
          <w:szCs w:val="24"/>
          <w:highlight w:val="none"/>
        </w:rPr>
      </w:pPr>
      <w:r>
        <w:rPr>
          <w:rFonts w:hint="eastAsia"/>
          <w:sz w:val="24"/>
          <w:szCs w:val="24"/>
          <w:highlight w:val="none"/>
        </w:rPr>
        <w:t>2.已签订合同的，自愿放弃法律法规规定及合同约定的中小企业专项权利，并赔偿给贵司造成的额外支出及全部损失。</w:t>
      </w:r>
    </w:p>
    <w:p w14:paraId="0363F5DD">
      <w:pPr>
        <w:pStyle w:val="2"/>
        <w:rPr>
          <w:rFonts w:hint="eastAsia" w:ascii="Times New Roman" w:hAnsi="Times New Roman" w:eastAsia="宋体" w:cs="Times New Roman"/>
          <w:b w:val="0"/>
          <w:bCs w:val="0"/>
          <w:kern w:val="2"/>
          <w:sz w:val="24"/>
          <w:szCs w:val="24"/>
          <w:highlight w:val="none"/>
          <w:lang w:val="en-US" w:eastAsia="zh-CN" w:bidi="ar-SA"/>
        </w:rPr>
      </w:pPr>
    </w:p>
    <w:p w14:paraId="4727DC37">
      <w:pPr>
        <w:rPr>
          <w:rFonts w:hint="eastAsia"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 xml:space="preserve">                                            声明人（盖章）：</w:t>
      </w:r>
    </w:p>
    <w:p w14:paraId="12E5CB6D">
      <w:pPr>
        <w:pStyle w:val="2"/>
        <w:jc w:val="left"/>
        <w:rPr>
          <w:rFonts w:hint="default" w:ascii="Times New Roman" w:hAnsi="Times New Roman" w:eastAsia="宋体" w:cs="Times New Roman"/>
          <w:b w:val="0"/>
          <w:bCs w:val="0"/>
          <w:kern w:val="2"/>
          <w:sz w:val="24"/>
          <w:szCs w:val="24"/>
          <w:highlight w:val="yellow"/>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 xml:space="preserve">                                                    年   月  日</w:t>
      </w:r>
    </w:p>
    <w:p w14:paraId="5E88E4B8">
      <w:pPr>
        <w:pStyle w:val="2"/>
      </w:pPr>
    </w:p>
    <w:p w14:paraId="3C8B1BF1">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p>
    <w:p w14:paraId="5199D7DC">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r>
        <w:rPr>
          <w:rFonts w:hint="eastAsia" w:ascii="宋体" w:hAnsi="宋体" w:cs="宋体"/>
          <w:b/>
          <w:kern w:val="0"/>
          <w:sz w:val="28"/>
          <w:szCs w:val="28"/>
        </w:rPr>
        <w:t>供应商维权告知书</w:t>
      </w:r>
    </w:p>
    <w:p w14:paraId="42921ED4">
      <w:pPr>
        <w:spacing w:line="440" w:lineRule="exact"/>
        <w:ind w:firstLine="482" w:firstLineChars="200"/>
        <w:jc w:val="left"/>
        <w:rPr>
          <w:rFonts w:hint="eastAsia" w:ascii="宋体" w:hAnsi="宋体"/>
          <w:b/>
          <w:sz w:val="24"/>
        </w:rPr>
      </w:pPr>
      <w:r>
        <w:rPr>
          <w:rFonts w:hint="eastAsia" w:ascii="宋体" w:hAnsi="宋体"/>
          <w:b/>
          <w:sz w:val="24"/>
        </w:rPr>
        <w:t>各供应商朋友：</w:t>
      </w:r>
    </w:p>
    <w:p w14:paraId="5D5B7758">
      <w:pPr>
        <w:spacing w:line="440" w:lineRule="exact"/>
        <w:ind w:firstLine="420" w:firstLineChars="200"/>
        <w:jc w:val="left"/>
        <w:rPr>
          <w:rFonts w:hint="eastAsia" w:ascii="宋体" w:hAnsi="宋体"/>
          <w:szCs w:val="21"/>
        </w:rPr>
      </w:pPr>
      <w:r>
        <w:rPr>
          <w:rFonts w:hint="eastAsia" w:ascii="宋体" w:hAnsi="宋体"/>
          <w:szCs w:val="21"/>
        </w:rPr>
        <w:t>首先，感谢各位供应商朋友一直以来对本公司的鼎力支持。纵观整个行业环境，我们既有大好的发展机遇，也面临着严峻的挑战，当前阶段因项目业主方资金未能及时到位，一定程度上给项目增大了债务压力。但困难是暂时的，我们将想方设法履行责任和义务，为维护公平、友好、长期的合作关系，特告知如下。</w:t>
      </w:r>
    </w:p>
    <w:p w14:paraId="3F2C834E">
      <w:pPr>
        <w:spacing w:line="440" w:lineRule="exact"/>
        <w:ind w:firstLine="482" w:firstLineChars="200"/>
        <w:jc w:val="left"/>
        <w:rPr>
          <w:rFonts w:hint="eastAsia" w:ascii="宋体" w:hAnsi="宋体"/>
          <w:b/>
          <w:sz w:val="24"/>
        </w:rPr>
      </w:pPr>
      <w:r>
        <w:rPr>
          <w:rFonts w:hint="eastAsia" w:ascii="宋体" w:hAnsi="宋体"/>
          <w:b/>
          <w:sz w:val="24"/>
        </w:rPr>
        <w:t>一、畅通内部沟通渠道</w:t>
      </w:r>
    </w:p>
    <w:p w14:paraId="55785272">
      <w:pPr>
        <w:spacing w:line="440" w:lineRule="exact"/>
        <w:ind w:firstLine="420" w:firstLineChars="200"/>
        <w:jc w:val="left"/>
        <w:rPr>
          <w:rFonts w:hint="eastAsia" w:ascii="宋体" w:hAnsi="宋体"/>
          <w:szCs w:val="21"/>
        </w:rPr>
      </w:pPr>
      <w:r>
        <w:rPr>
          <w:rFonts w:hint="eastAsia" w:ascii="宋体" w:hAnsi="宋体"/>
          <w:szCs w:val="21"/>
        </w:rPr>
        <w:t>若过程中确实存在争议，请遵循以下顺次协商解决：</w:t>
      </w:r>
    </w:p>
    <w:p w14:paraId="374BD02F">
      <w:pPr>
        <w:spacing w:line="440" w:lineRule="exact"/>
        <w:ind w:firstLine="422" w:firstLineChars="200"/>
        <w:jc w:val="left"/>
        <w:rPr>
          <w:rFonts w:hint="eastAsia" w:ascii="宋体" w:hAnsi="宋体"/>
          <w:szCs w:val="21"/>
        </w:rPr>
      </w:pPr>
      <w:r>
        <w:rPr>
          <w:rFonts w:hint="eastAsia" w:ascii="宋体" w:hAnsi="宋体"/>
          <w:b/>
          <w:bCs/>
          <w:szCs w:val="21"/>
        </w:rPr>
        <w:t>顺序1：</w:t>
      </w:r>
      <w:r>
        <w:rPr>
          <w:rFonts w:hint="eastAsia" w:ascii="宋体" w:hAnsi="宋体"/>
          <w:szCs w:val="21"/>
        </w:rPr>
        <w:t>首先与项目经理部协商解决，项目经理部联系方式：详见附件一</w:t>
      </w:r>
    </w:p>
    <w:p w14:paraId="2FF0B007">
      <w:pPr>
        <w:spacing w:line="440" w:lineRule="exact"/>
        <w:ind w:firstLine="422" w:firstLineChars="200"/>
        <w:jc w:val="left"/>
        <w:rPr>
          <w:rFonts w:hint="eastAsia" w:ascii="宋体" w:hAnsi="宋体"/>
          <w:szCs w:val="21"/>
        </w:rPr>
      </w:pPr>
      <w:r>
        <w:rPr>
          <w:rFonts w:hint="eastAsia" w:ascii="宋体" w:hAnsi="宋体"/>
          <w:b/>
          <w:bCs/>
          <w:szCs w:val="21"/>
        </w:rPr>
        <w:t>顺序2：</w:t>
      </w:r>
      <w:r>
        <w:rPr>
          <w:rFonts w:hint="eastAsia" w:ascii="宋体" w:hAnsi="宋体"/>
          <w:szCs w:val="21"/>
        </w:rPr>
        <w:t xml:space="preserve">若按顺序1协商不成的请继续联系上级职能部门调解;详见附件一 </w:t>
      </w:r>
    </w:p>
    <w:p w14:paraId="7C00FE08">
      <w:pPr>
        <w:spacing w:line="440" w:lineRule="exact"/>
        <w:ind w:firstLine="420" w:firstLineChars="200"/>
        <w:jc w:val="left"/>
        <w:rPr>
          <w:rFonts w:hint="eastAsia" w:ascii="宋体" w:hAnsi="宋体"/>
          <w:szCs w:val="21"/>
        </w:rPr>
      </w:pPr>
      <w:r>
        <w:drawing>
          <wp:anchor distT="0" distB="0" distL="114300" distR="114300" simplePos="0" relativeHeight="251659264" behindDoc="1" locked="0" layoutInCell="1" allowOverlap="1">
            <wp:simplePos x="0" y="0"/>
            <wp:positionH relativeFrom="column">
              <wp:align>center</wp:align>
            </wp:positionH>
            <wp:positionV relativeFrom="paragraph">
              <wp:posOffset>33655</wp:posOffset>
            </wp:positionV>
            <wp:extent cx="1733550" cy="1666875"/>
            <wp:effectExtent l="0" t="0" r="6350" b="9525"/>
            <wp:wrapNone/>
            <wp:docPr id="5"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R 代码&#10;&#10;描述已自动生成"/>
                    <pic:cNvPicPr>
                      <a:picLocks noChangeAspect="1"/>
                    </pic:cNvPicPr>
                  </pic:nvPicPr>
                  <pic:blipFill>
                    <a:blip r:embed="rId7"/>
                    <a:stretch>
                      <a:fillRect/>
                    </a:stretch>
                  </pic:blipFill>
                  <pic:spPr>
                    <a:xfrm>
                      <a:off x="0" y="0"/>
                      <a:ext cx="1733550" cy="1666875"/>
                    </a:xfrm>
                    <a:prstGeom prst="rect">
                      <a:avLst/>
                    </a:prstGeom>
                    <a:noFill/>
                    <a:ln>
                      <a:noFill/>
                    </a:ln>
                  </pic:spPr>
                </pic:pic>
              </a:graphicData>
            </a:graphic>
          </wp:anchor>
        </w:drawing>
      </w:r>
    </w:p>
    <w:p w14:paraId="734095D0">
      <w:pPr>
        <w:spacing w:line="440" w:lineRule="exact"/>
        <w:ind w:firstLine="420" w:firstLineChars="200"/>
        <w:jc w:val="left"/>
        <w:rPr>
          <w:rFonts w:hint="eastAsia" w:ascii="宋体" w:hAnsi="宋体"/>
          <w:szCs w:val="21"/>
        </w:rPr>
      </w:pPr>
    </w:p>
    <w:p w14:paraId="54501906">
      <w:pPr>
        <w:spacing w:line="440" w:lineRule="exact"/>
        <w:ind w:firstLine="420" w:firstLineChars="200"/>
        <w:jc w:val="left"/>
        <w:rPr>
          <w:rFonts w:hint="eastAsia" w:ascii="宋体" w:hAnsi="宋体"/>
          <w:szCs w:val="21"/>
        </w:rPr>
      </w:pPr>
    </w:p>
    <w:p w14:paraId="53C6DC8E">
      <w:pPr>
        <w:spacing w:line="440" w:lineRule="exact"/>
        <w:ind w:firstLine="420" w:firstLineChars="200"/>
        <w:jc w:val="left"/>
        <w:rPr>
          <w:rFonts w:hint="eastAsia" w:ascii="宋体" w:hAnsi="宋体"/>
          <w:szCs w:val="21"/>
        </w:rPr>
      </w:pPr>
    </w:p>
    <w:p w14:paraId="7474DD13">
      <w:pPr>
        <w:spacing w:line="440" w:lineRule="exact"/>
        <w:ind w:firstLine="420" w:firstLineChars="200"/>
        <w:jc w:val="left"/>
        <w:rPr>
          <w:rFonts w:hint="eastAsia" w:ascii="宋体" w:hAnsi="宋体"/>
          <w:szCs w:val="21"/>
        </w:rPr>
      </w:pPr>
    </w:p>
    <w:p w14:paraId="75A6787E">
      <w:pPr>
        <w:spacing w:line="440" w:lineRule="exact"/>
        <w:ind w:firstLine="420" w:firstLineChars="200"/>
        <w:jc w:val="left"/>
        <w:rPr>
          <w:rFonts w:hint="eastAsia" w:ascii="宋体" w:hAnsi="宋体"/>
          <w:szCs w:val="21"/>
        </w:rPr>
      </w:pPr>
    </w:p>
    <w:p w14:paraId="39FE829C">
      <w:pPr>
        <w:spacing w:line="440" w:lineRule="exact"/>
        <w:ind w:firstLine="420" w:firstLineChars="200"/>
        <w:jc w:val="left"/>
        <w:rPr>
          <w:rFonts w:hint="eastAsia" w:ascii="宋体" w:hAnsi="宋体"/>
          <w:szCs w:val="21"/>
        </w:rPr>
      </w:pPr>
    </w:p>
    <w:p w14:paraId="7287B27F">
      <w:pPr>
        <w:spacing w:line="440" w:lineRule="exact"/>
        <w:ind w:firstLine="422" w:firstLineChars="200"/>
        <w:jc w:val="left"/>
        <w:rPr>
          <w:rFonts w:hint="eastAsia" w:ascii="宋体" w:hAnsi="宋体"/>
          <w:szCs w:val="21"/>
        </w:rPr>
      </w:pPr>
      <w:r>
        <w:rPr>
          <w:rFonts w:hint="eastAsia" w:ascii="宋体" w:hAnsi="宋体"/>
          <w:b/>
          <w:bCs/>
          <w:szCs w:val="21"/>
        </w:rPr>
        <w:t>顺序3：</w:t>
      </w:r>
      <w:r>
        <w:fldChar w:fldCharType="begin"/>
      </w:r>
      <w:r>
        <w:instrText xml:space="preserve"> HYPERLINK "mailto:如上述2个途径仍未有效解决问题，各供应商可继续通过邮箱ztejwqxx@163.com，或者扫描" </w:instrText>
      </w:r>
      <w:r>
        <w:fldChar w:fldCharType="separate"/>
      </w:r>
      <w:r>
        <w:rPr>
          <w:rStyle w:val="9"/>
          <w:rFonts w:hint="eastAsia" w:ascii="宋体" w:hAnsi="宋体"/>
          <w:szCs w:val="21"/>
        </w:rPr>
        <w:t>如上述2个途径仍未有效解决问题，各供应商可继续通过邮箱ztejwqxx@163.com，或者扫描“二维码二”进一步反映问题。若乙方在反应货款支付问题时，未通过上述途径、未遵循上述顺序，采取其他方式手段的，视为乙方严重违约，甲方将按规定对乙方在中铁二局范围内进行限制交易处理。</w:t>
      </w:r>
      <w:r>
        <w:rPr>
          <w:rStyle w:val="9"/>
          <w:rFonts w:hint="eastAsia" w:ascii="宋体" w:hAnsi="宋体"/>
          <w:szCs w:val="21"/>
        </w:rPr>
        <w:fldChar w:fldCharType="end"/>
      </w:r>
    </w:p>
    <w:p w14:paraId="55BB5274">
      <w:pPr>
        <w:spacing w:line="440" w:lineRule="exact"/>
        <w:jc w:val="left"/>
        <w:rPr>
          <w:rFonts w:hint="eastAsia" w:ascii="宋体" w:hAnsi="宋体"/>
          <w:szCs w:val="21"/>
        </w:rPr>
      </w:pPr>
    </w:p>
    <w:p w14:paraId="442012E4">
      <w:pPr>
        <w:spacing w:line="440" w:lineRule="exact"/>
        <w:jc w:val="left"/>
        <w:rPr>
          <w:rFonts w:hint="eastAsia" w:ascii="宋体" w:hAnsi="宋体"/>
          <w:szCs w:val="21"/>
        </w:rPr>
      </w:pPr>
    </w:p>
    <w:p w14:paraId="6032B46E">
      <w:pPr>
        <w:spacing w:line="440" w:lineRule="exact"/>
        <w:jc w:val="left"/>
        <w:rPr>
          <w:rFonts w:hint="eastAsia" w:ascii="宋体" w:hAnsi="宋体"/>
          <w:szCs w:val="21"/>
        </w:rPr>
      </w:pPr>
    </w:p>
    <w:p w14:paraId="41932794">
      <w:pPr>
        <w:spacing w:line="440" w:lineRule="exact"/>
        <w:jc w:val="left"/>
        <w:rPr>
          <w:rFonts w:hint="eastAsia" w:ascii="宋体" w:hAnsi="宋体"/>
          <w:szCs w:val="21"/>
        </w:rPr>
      </w:pPr>
    </w:p>
    <w:p w14:paraId="4EC9DEB1">
      <w:pPr>
        <w:spacing w:line="440" w:lineRule="exact"/>
        <w:jc w:val="left"/>
        <w:rPr>
          <w:rFonts w:hint="eastAsia" w:ascii="宋体" w:hAnsi="宋体"/>
          <w:szCs w:val="21"/>
        </w:rPr>
      </w:pPr>
    </w:p>
    <w:p w14:paraId="1462073F">
      <w:pPr>
        <w:spacing w:line="440" w:lineRule="exact"/>
        <w:jc w:val="left"/>
        <w:rPr>
          <w:rFonts w:hint="eastAsia" w:ascii="宋体" w:hAnsi="宋体"/>
          <w:szCs w:val="21"/>
        </w:rPr>
      </w:pPr>
      <w:r>
        <w:rPr>
          <w:rFonts w:hint="eastAsia" w:ascii="宋体" w:hAnsi="宋体"/>
          <w:szCs w:val="21"/>
        </w:rPr>
        <w:drawing>
          <wp:anchor distT="0" distB="0" distL="114300" distR="114300" simplePos="0" relativeHeight="251661312" behindDoc="1" locked="0" layoutInCell="1" allowOverlap="1">
            <wp:simplePos x="0" y="0"/>
            <wp:positionH relativeFrom="column">
              <wp:align>center</wp:align>
            </wp:positionH>
            <wp:positionV relativeFrom="paragraph">
              <wp:posOffset>-1379220</wp:posOffset>
            </wp:positionV>
            <wp:extent cx="1466850" cy="1600200"/>
            <wp:effectExtent l="0" t="0" r="6350" b="0"/>
            <wp:wrapTight wrapText="bothSides">
              <wp:wrapPolygon>
                <wp:start x="0" y="0"/>
                <wp:lineTo x="0" y="21429"/>
                <wp:lineTo x="21506" y="21429"/>
                <wp:lineTo x="21506"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1466850" cy="1600200"/>
                    </a:xfrm>
                    <a:prstGeom prst="rect">
                      <a:avLst/>
                    </a:prstGeom>
                    <a:noFill/>
                    <a:ln>
                      <a:noFill/>
                    </a:ln>
                  </pic:spPr>
                </pic:pic>
              </a:graphicData>
            </a:graphic>
          </wp:anchor>
        </w:drawing>
      </w:r>
    </w:p>
    <w:p w14:paraId="13727F2D">
      <w:pPr>
        <w:spacing w:line="440" w:lineRule="exact"/>
        <w:ind w:firstLine="482" w:firstLineChars="200"/>
        <w:jc w:val="left"/>
        <w:rPr>
          <w:rFonts w:hint="eastAsia" w:ascii="宋体" w:hAnsi="宋体"/>
          <w:b/>
          <w:sz w:val="24"/>
        </w:rPr>
      </w:pPr>
      <w:r>
        <w:rPr>
          <w:rFonts w:hint="eastAsia" w:ascii="宋体" w:hAnsi="宋体"/>
          <w:b/>
          <w:sz w:val="24"/>
        </w:rPr>
        <w:t>二、避免平台误投风险</w:t>
      </w:r>
    </w:p>
    <w:p w14:paraId="1CED6F38">
      <w:pPr>
        <w:spacing w:line="440" w:lineRule="exact"/>
        <w:ind w:firstLine="420" w:firstLineChars="200"/>
        <w:jc w:val="left"/>
        <w:rPr>
          <w:rFonts w:hint="eastAsia" w:ascii="宋体" w:hAnsi="宋体"/>
          <w:szCs w:val="21"/>
        </w:rPr>
      </w:pPr>
      <w:r>
        <w:rPr>
          <w:rFonts w:hint="eastAsia" w:ascii="宋体" w:hAnsi="宋体"/>
          <w:szCs w:val="21"/>
        </w:rPr>
        <w:t>1.若各供应商在支付问题时，未通过上述</w:t>
      </w:r>
      <w:r>
        <w:rPr>
          <w:rFonts w:hint="eastAsia" w:ascii="宋体" w:hAnsi="宋体"/>
          <w:b/>
          <w:szCs w:val="21"/>
        </w:rPr>
        <w:t>途径</w:t>
      </w:r>
      <w:r>
        <w:rPr>
          <w:rFonts w:hint="eastAsia" w:ascii="宋体" w:hAnsi="宋体"/>
          <w:szCs w:val="21"/>
        </w:rPr>
        <w:t>、未遵循上述问题反应</w:t>
      </w:r>
      <w:r>
        <w:rPr>
          <w:rFonts w:ascii="宋体" w:hAnsi="宋体"/>
          <w:b/>
          <w:szCs w:val="21"/>
        </w:rPr>
        <w:t>顺序</w:t>
      </w:r>
      <w:r>
        <w:rPr>
          <w:rFonts w:ascii="宋体" w:hAnsi="宋体"/>
          <w:szCs w:val="21"/>
        </w:rPr>
        <w:t>，</w:t>
      </w:r>
      <w:r>
        <w:rPr>
          <w:rFonts w:hint="eastAsia" w:ascii="宋体" w:hAnsi="宋体"/>
          <w:szCs w:val="21"/>
        </w:rPr>
        <w:t>采取其他方式手段投诉，</w:t>
      </w:r>
      <w:r>
        <w:rPr>
          <w:rFonts w:ascii="宋体" w:hAnsi="宋体"/>
          <w:szCs w:val="21"/>
        </w:rPr>
        <w:t>视为</w:t>
      </w:r>
      <w:r>
        <w:rPr>
          <w:rFonts w:hint="eastAsia" w:ascii="宋体" w:hAnsi="宋体"/>
          <w:szCs w:val="21"/>
        </w:rPr>
        <w:t>供应商严重违约，该行为将被采购人认定为特大不良行为，采购人将按规定在中铁二局范围内对违约供应商及同一法人公司进行限制交易处理。</w:t>
      </w:r>
    </w:p>
    <w:p w14:paraId="7ECA79AE">
      <w:pPr>
        <w:spacing w:line="440" w:lineRule="exact"/>
        <w:ind w:firstLine="420" w:firstLineChars="200"/>
        <w:jc w:val="left"/>
        <w:rPr>
          <w:rFonts w:hint="eastAsia" w:ascii="宋体" w:hAnsi="宋体"/>
          <w:szCs w:val="21"/>
        </w:rPr>
      </w:pPr>
      <w:r>
        <w:rPr>
          <w:rFonts w:hint="eastAsia" w:ascii="宋体" w:hAnsi="宋体"/>
          <w:szCs w:val="21"/>
        </w:rPr>
        <w:t>2.若各供应商恶意或者不实投诉，造成甲方信用、声誉、经济、经营、业绩等实质性损失或者恶劣影响的，采购人将按规定在中铁二局范围内对相关供应商及同一法人公司进行永久限制交易处理。</w:t>
      </w:r>
    </w:p>
    <w:p w14:paraId="2DBDFBE4">
      <w:pPr>
        <w:spacing w:line="440" w:lineRule="exact"/>
        <w:ind w:firstLine="482" w:firstLineChars="200"/>
        <w:jc w:val="left"/>
        <w:rPr>
          <w:rFonts w:hint="eastAsia" w:ascii="宋体" w:hAnsi="宋体"/>
          <w:b/>
          <w:sz w:val="24"/>
        </w:rPr>
      </w:pPr>
      <w:r>
        <w:rPr>
          <w:rFonts w:hint="eastAsia" w:ascii="宋体" w:hAnsi="宋体"/>
          <w:b/>
          <w:sz w:val="24"/>
        </w:rPr>
        <w:t>三、同舟共济砥砺前行</w:t>
      </w:r>
    </w:p>
    <w:p w14:paraId="2719C08C">
      <w:pPr>
        <w:spacing w:line="440" w:lineRule="exact"/>
        <w:ind w:firstLine="420" w:firstLineChars="200"/>
        <w:jc w:val="left"/>
        <w:rPr>
          <w:rFonts w:hint="eastAsia" w:ascii="宋体" w:hAnsi="宋体"/>
          <w:szCs w:val="21"/>
        </w:rPr>
      </w:pPr>
      <w:r>
        <w:rPr>
          <w:rFonts w:hint="eastAsia" w:ascii="宋体" w:hAnsi="宋体"/>
          <w:szCs w:val="21"/>
        </w:rPr>
        <w:t>建筑行业持续低迷，让我们比任何时候都更加深刻的体会到命运共同体的意义，大道不孤，天下一家，上下同欲者胜，风雨同舟者兴。我们衷心希望能和各位供应商朋友携手共济，共克时艰，一起向阳生长、静待花开。在此，向所有与我们并肩作战的各位供应商朋友表示最诚挚的感谢和最深切的敬意。愿我们的合作之舟乘风破浪，直抵成功的彼岸！</w:t>
      </w:r>
    </w:p>
    <w:p w14:paraId="102C2AC8">
      <w:pPr>
        <w:spacing w:line="440" w:lineRule="exact"/>
        <w:ind w:firstLine="420" w:firstLineChars="200"/>
        <w:jc w:val="left"/>
        <w:rPr>
          <w:rFonts w:hint="eastAsia" w:ascii="宋体" w:hAnsi="宋体"/>
          <w:szCs w:val="21"/>
        </w:rPr>
      </w:pPr>
      <w:r>
        <w:rPr>
          <w:rFonts w:hint="eastAsia" w:ascii="宋体" w:hAnsi="宋体"/>
          <w:szCs w:val="21"/>
        </w:rPr>
        <w:t>顺祝商祺！</w:t>
      </w:r>
    </w:p>
    <w:bookmarkEnd w:id="46"/>
    <w:p w14:paraId="7785528F">
      <w:pPr>
        <w:jc w:val="center"/>
        <w:rPr>
          <w:rFonts w:hint="eastAsia" w:ascii="宋体" w:hAnsi="宋体"/>
          <w:b/>
          <w:sz w:val="28"/>
          <w:szCs w:val="28"/>
        </w:rPr>
      </w:pPr>
      <w:r>
        <w:rPr>
          <w:rFonts w:hint="eastAsia" w:ascii="宋体" w:hAnsi="宋体"/>
          <w:b/>
          <w:sz w:val="28"/>
          <w:szCs w:val="28"/>
        </w:rPr>
        <w:t>维权承诺书</w:t>
      </w:r>
    </w:p>
    <w:p w14:paraId="23B24013">
      <w:pPr>
        <w:wordWrap w:val="0"/>
        <w:spacing w:line="480" w:lineRule="auto"/>
        <w:rPr>
          <w:rFonts w:hint="eastAsia" w:ascii="宋体" w:hAnsi="宋体"/>
          <w:kern w:val="0"/>
          <w:szCs w:val="21"/>
        </w:rPr>
      </w:pPr>
      <w:r>
        <w:rPr>
          <w:rFonts w:hint="eastAsia" w:ascii="宋体" w:hAnsi="宋体"/>
          <w:kern w:val="0"/>
          <w:szCs w:val="21"/>
        </w:rPr>
        <w:t xml:space="preserve">致（买方/甲方）： </w:t>
      </w:r>
    </w:p>
    <w:p w14:paraId="01506773">
      <w:pPr>
        <w:wordWrap w:val="0"/>
        <w:spacing w:line="480" w:lineRule="auto"/>
        <w:ind w:firstLine="420" w:firstLineChars="200"/>
        <w:rPr>
          <w:rFonts w:hint="eastAsia" w:ascii="宋体" w:hAnsi="宋体"/>
          <w:kern w:val="0"/>
          <w:szCs w:val="21"/>
        </w:rPr>
      </w:pPr>
      <w:r>
        <w:rPr>
          <w:rFonts w:hint="eastAsia" w:ascii="宋体" w:hAnsi="宋体"/>
          <w:kern w:val="0"/>
          <w:szCs w:val="21"/>
        </w:rPr>
        <w:t>关于（项目名称</w:t>
      </w:r>
      <w:r>
        <w:rPr>
          <w:rFonts w:hint="eastAsia" w:ascii="宋体" w:hAnsi="宋体"/>
          <w:kern w:val="0"/>
          <w:szCs w:val="21"/>
          <w:u w:val="single"/>
        </w:rPr>
        <w:t xml:space="preserve">            </w:t>
      </w:r>
      <w:r>
        <w:rPr>
          <w:rFonts w:hint="eastAsia" w:ascii="宋体" w:hAnsi="宋体"/>
          <w:kern w:val="0"/>
          <w:szCs w:val="21"/>
        </w:rPr>
        <w:t>）招标文件（招标编号为：</w:t>
      </w:r>
      <w:r>
        <w:rPr>
          <w:rFonts w:hint="eastAsia" w:ascii="宋体" w:hAnsi="宋体"/>
          <w:kern w:val="0"/>
          <w:szCs w:val="21"/>
          <w:u w:val="single"/>
        </w:rPr>
        <w:t xml:space="preserve">         </w:t>
      </w:r>
      <w:r>
        <w:rPr>
          <w:rFonts w:hint="eastAsia" w:ascii="宋体" w:hAnsi="宋体"/>
          <w:kern w:val="0"/>
          <w:szCs w:val="21"/>
        </w:rPr>
        <w:t xml:space="preserve">），乙方作为投标人已熟知，并参加    物资     包件的投标，现乙方作为中标供应商与甲方签订合同，同时承诺如下： </w:t>
      </w:r>
    </w:p>
    <w:p w14:paraId="20D8A470">
      <w:pPr>
        <w:wordWrap w:val="0"/>
        <w:spacing w:line="480" w:lineRule="auto"/>
        <w:ind w:firstLine="420" w:firstLineChars="200"/>
        <w:rPr>
          <w:rFonts w:hint="eastAsia" w:ascii="宋体" w:hAnsi="宋体"/>
          <w:kern w:val="0"/>
          <w:szCs w:val="21"/>
        </w:rPr>
      </w:pPr>
      <w:r>
        <w:rPr>
          <w:rFonts w:hint="eastAsia" w:ascii="宋体" w:hAnsi="宋体"/>
          <w:kern w:val="0"/>
          <w:szCs w:val="21"/>
        </w:rPr>
        <w:t>若在合同执行过程中出现物资设备款项支付、合作纠纷等相关问题，乙方遵循以下顺序逐级协商解决：</w:t>
      </w:r>
    </w:p>
    <w:p w14:paraId="4D0AF066">
      <w:pPr>
        <w:spacing w:line="440" w:lineRule="exact"/>
        <w:ind w:firstLine="422" w:firstLineChars="200"/>
        <w:jc w:val="left"/>
        <w:rPr>
          <w:rFonts w:hint="eastAsia" w:ascii="宋体" w:hAnsi="宋体"/>
          <w:color w:val="FF0000"/>
          <w:szCs w:val="21"/>
        </w:rPr>
      </w:pPr>
      <w:r>
        <w:rPr>
          <w:rFonts w:hint="eastAsia" w:ascii="宋体" w:hAnsi="宋体"/>
          <w:b/>
          <w:bCs/>
          <w:szCs w:val="21"/>
        </w:rPr>
        <w:t>顺序1：</w:t>
      </w:r>
      <w:r>
        <w:rPr>
          <w:rFonts w:hint="eastAsia" w:ascii="宋体" w:hAnsi="宋体"/>
          <w:szCs w:val="21"/>
        </w:rPr>
        <w:t>首先与项目经理部协商解决，项目物资部联系方式：详见附件一</w:t>
      </w:r>
    </w:p>
    <w:p w14:paraId="3715BE64">
      <w:pPr>
        <w:spacing w:line="440" w:lineRule="exact"/>
        <w:ind w:firstLine="422" w:firstLineChars="200"/>
        <w:jc w:val="left"/>
        <w:rPr>
          <w:rFonts w:ascii="宋体" w:hAnsi="宋体"/>
          <w:szCs w:val="21"/>
        </w:rPr>
      </w:pPr>
      <w:r>
        <w:rPr>
          <w:rFonts w:hint="eastAsia" w:ascii="宋体" w:hAnsi="宋体"/>
          <w:b/>
          <w:bCs/>
          <w:szCs w:val="21"/>
        </w:rPr>
        <w:t>顺序2：</w:t>
      </w:r>
      <w:r>
        <w:rPr>
          <w:rFonts w:hint="eastAsia" w:ascii="宋体" w:hAnsi="宋体"/>
          <w:szCs w:val="21"/>
        </w:rPr>
        <w:t>若按顺序1协商不成的请继续联系上级职能部门调解：详见附件一</w:t>
      </w:r>
    </w:p>
    <w:p w14:paraId="24B1608C">
      <w:pPr>
        <w:spacing w:line="440" w:lineRule="exact"/>
        <w:ind w:firstLine="420" w:firstLineChars="200"/>
        <w:jc w:val="left"/>
        <w:rPr>
          <w:rFonts w:ascii="宋体" w:hAnsi="宋体"/>
          <w:szCs w:val="21"/>
        </w:rPr>
      </w:pPr>
    </w:p>
    <w:p w14:paraId="6BD392FF">
      <w:pPr>
        <w:spacing w:line="24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 xml:space="preserve">                               </w:t>
      </w:r>
      <w:r>
        <w:rPr>
          <w:rFonts w:hint="eastAsia" w:ascii="宋体" w:hAnsi="宋体" w:eastAsia="宋体"/>
          <w:szCs w:val="21"/>
          <w:lang w:eastAsia="zh-CN"/>
        </w:rPr>
        <w:drawing>
          <wp:inline distT="0" distB="0" distL="114300" distR="114300">
            <wp:extent cx="1257300" cy="1362075"/>
            <wp:effectExtent l="0" t="0" r="0" b="9525"/>
            <wp:docPr id="1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
                    <pic:cNvPicPr>
                      <a:picLocks noChangeAspect="1"/>
                    </pic:cNvPicPr>
                  </pic:nvPicPr>
                  <pic:blipFill>
                    <a:blip r:embed="rId9"/>
                    <a:stretch>
                      <a:fillRect/>
                    </a:stretch>
                  </pic:blipFill>
                  <pic:spPr>
                    <a:xfrm>
                      <a:off x="0" y="0"/>
                      <a:ext cx="1257300" cy="1362075"/>
                    </a:xfrm>
                    <a:prstGeom prst="rect">
                      <a:avLst/>
                    </a:prstGeom>
                    <a:noFill/>
                    <a:ln>
                      <a:noFill/>
                    </a:ln>
                  </pic:spPr>
                </pic:pic>
              </a:graphicData>
            </a:graphic>
          </wp:inline>
        </w:drawing>
      </w:r>
    </w:p>
    <w:p w14:paraId="21B31FFC">
      <w:pPr>
        <w:spacing w:line="440" w:lineRule="exact"/>
        <w:ind w:firstLine="4322" w:firstLineChars="2050"/>
        <w:jc w:val="left"/>
        <w:rPr>
          <w:rFonts w:hint="eastAsia" w:ascii="宋体" w:hAnsi="宋体"/>
          <w:b/>
          <w:bCs/>
          <w:szCs w:val="21"/>
        </w:rPr>
      </w:pPr>
      <w:r>
        <w:rPr>
          <w:rFonts w:hint="eastAsia" w:ascii="宋体" w:hAnsi="宋体"/>
          <w:b/>
          <w:bCs/>
          <w:szCs w:val="21"/>
        </w:rPr>
        <w:t>二维码1</w:t>
      </w:r>
    </w:p>
    <w:p w14:paraId="589CF97F">
      <w:pPr>
        <w:spacing w:line="440" w:lineRule="exact"/>
        <w:ind w:firstLine="422" w:firstLineChars="200"/>
        <w:jc w:val="left"/>
        <w:rPr>
          <w:rFonts w:hint="eastAsia" w:ascii="宋体" w:hAnsi="宋体"/>
          <w:szCs w:val="21"/>
        </w:rPr>
      </w:pPr>
      <w:r>
        <w:rPr>
          <w:rFonts w:hint="eastAsia" w:ascii="宋体" w:hAnsi="宋体"/>
          <w:b/>
          <w:bCs/>
          <w:szCs w:val="21"/>
        </w:rPr>
        <w:t>顺序3：</w:t>
      </w:r>
      <w:r>
        <w:rPr>
          <w:rFonts w:hint="eastAsia" w:hAnsi="宋体"/>
        </w:rPr>
        <w:t>如上述2个途径仍未有效解决问题，各供应商可继续通过邮箱维权邮</w:t>
      </w:r>
      <w:r>
        <w:rPr>
          <w:rFonts w:hint="eastAsia" w:hAnsi="宋体"/>
          <w:b/>
          <w:bCs/>
        </w:rPr>
        <w:t>ztejwqxx@163.com，</w:t>
      </w:r>
      <w:r>
        <w:rPr>
          <w:rFonts w:hint="eastAsia" w:hAnsi="宋体"/>
        </w:rPr>
        <w:t>或者扫描“二维码2”（中铁二局维权投诉平台）进一步反映问题，平台将在</w:t>
      </w:r>
      <w:r>
        <w:rPr>
          <w:rFonts w:hAnsi="宋体"/>
        </w:rPr>
        <w:t>20</w:t>
      </w:r>
      <w:r>
        <w:rPr>
          <w:rFonts w:hint="eastAsia" w:hAnsi="宋体"/>
        </w:rPr>
        <w:t>个工作日内核实处理。</w:t>
      </w:r>
    </w:p>
    <w:p w14:paraId="7C2B5537">
      <w:pPr>
        <w:spacing w:line="240" w:lineRule="auto"/>
        <w:jc w:val="left"/>
        <w:rPr>
          <w:rFonts w:hint="eastAsia" w:ascii="宋体" w:hAnsi="宋体" w:eastAsia="宋体"/>
          <w:bCs/>
          <w:szCs w:val="21"/>
          <w:lang w:eastAsia="zh-CN"/>
        </w:rPr>
      </w:pPr>
      <w:r>
        <w:rPr>
          <w:rFonts w:hint="eastAsia" w:ascii="宋体" w:hAnsi="宋体"/>
          <w:bCs/>
          <w:szCs w:val="21"/>
          <w:lang w:val="en-US" w:eastAsia="zh-CN"/>
        </w:rPr>
        <w:t xml:space="preserve">                                  </w:t>
      </w:r>
      <w:r>
        <w:rPr>
          <w:rFonts w:hint="eastAsia" w:ascii="宋体" w:hAnsi="宋体"/>
          <w:bCs/>
          <w:szCs w:val="21"/>
        </w:rPr>
        <w:t xml:space="preserve"> </w:t>
      </w:r>
      <w:r>
        <w:rPr>
          <w:rFonts w:hint="eastAsia" w:ascii="宋体" w:hAnsi="宋体" w:eastAsia="宋体"/>
          <w:bCs/>
          <w:szCs w:val="21"/>
          <w:lang w:eastAsia="zh-CN"/>
        </w:rPr>
        <w:drawing>
          <wp:inline distT="0" distB="0" distL="114300" distR="114300">
            <wp:extent cx="1289685" cy="1343660"/>
            <wp:effectExtent l="0" t="0" r="5715" b="2540"/>
            <wp:docPr id="9"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2"/>
                    <pic:cNvPicPr>
                      <a:picLocks noChangeAspect="1"/>
                    </pic:cNvPicPr>
                  </pic:nvPicPr>
                  <pic:blipFill>
                    <a:blip r:embed="rId6"/>
                    <a:stretch>
                      <a:fillRect/>
                    </a:stretch>
                  </pic:blipFill>
                  <pic:spPr>
                    <a:xfrm>
                      <a:off x="0" y="0"/>
                      <a:ext cx="1289685" cy="1343660"/>
                    </a:xfrm>
                    <a:prstGeom prst="rect">
                      <a:avLst/>
                    </a:prstGeom>
                    <a:noFill/>
                    <a:ln>
                      <a:noFill/>
                    </a:ln>
                  </pic:spPr>
                </pic:pic>
              </a:graphicData>
            </a:graphic>
          </wp:inline>
        </w:drawing>
      </w:r>
    </w:p>
    <w:p w14:paraId="7AD5F852">
      <w:pPr>
        <w:spacing w:line="440" w:lineRule="exact"/>
        <w:ind w:firstLine="4322" w:firstLineChars="2050"/>
        <w:jc w:val="left"/>
        <w:rPr>
          <w:rFonts w:hint="eastAsia" w:ascii="宋体" w:hAnsi="宋体"/>
          <w:b/>
          <w:szCs w:val="21"/>
        </w:rPr>
      </w:pPr>
      <w:r>
        <w:rPr>
          <w:rFonts w:hint="eastAsia" w:ascii="宋体" w:hAnsi="宋体"/>
          <w:b/>
          <w:szCs w:val="21"/>
        </w:rPr>
        <w:t>二维码2</w:t>
      </w:r>
    </w:p>
    <w:p w14:paraId="587CE7D0">
      <w:pPr>
        <w:wordWrap w:val="0"/>
        <w:spacing w:line="480" w:lineRule="auto"/>
        <w:ind w:firstLine="420" w:firstLineChars="200"/>
        <w:rPr>
          <w:rFonts w:hint="eastAsia" w:ascii="宋体" w:hAnsi="宋体"/>
          <w:kern w:val="0"/>
          <w:szCs w:val="21"/>
        </w:rPr>
      </w:pPr>
      <w:r>
        <w:rPr>
          <w:rFonts w:hint="eastAsia" w:ascii="宋体" w:hAnsi="宋体"/>
          <w:kern w:val="0"/>
          <w:szCs w:val="21"/>
        </w:rPr>
        <w:t>乙方若不按以上顺序逐级协商处理，造成甲方信用、声誉、经济、经营、业绩等实质性损失或者恶劣影响的，乙方接受甲方相应处罚。</w:t>
      </w:r>
    </w:p>
    <w:p w14:paraId="008935B8">
      <w:pPr>
        <w:wordWrap w:val="0"/>
        <w:spacing w:line="480" w:lineRule="auto"/>
        <w:ind w:firstLine="420" w:firstLineChars="200"/>
        <w:rPr>
          <w:rFonts w:ascii="宋体" w:hAnsi="宋体"/>
          <w:kern w:val="0"/>
          <w:szCs w:val="21"/>
        </w:rPr>
      </w:pPr>
      <w:r>
        <w:rPr>
          <w:rFonts w:hint="eastAsia" w:ascii="宋体" w:hAnsi="宋体"/>
          <w:kern w:val="0"/>
          <w:szCs w:val="21"/>
        </w:rPr>
        <w:t>乙方若恶意或者不实投诉，造成甲方信用、声誉、经济、经营、业绩等实质性损失或者恶劣影响的，甲方有权取消乙方的合作资格，并接受甲方相应处罚，承担相关法律、经济责任。</w:t>
      </w:r>
    </w:p>
    <w:p w14:paraId="2A641725">
      <w:pPr>
        <w:pStyle w:val="11"/>
        <w:ind w:firstLine="480"/>
      </w:pPr>
    </w:p>
    <w:p w14:paraId="2732F4F4">
      <w:pPr>
        <w:pStyle w:val="11"/>
        <w:ind w:firstLine="480"/>
        <w:rPr>
          <w:rFonts w:hint="eastAsia"/>
        </w:rPr>
      </w:pPr>
    </w:p>
    <w:p w14:paraId="1DBEF8B4">
      <w:pPr>
        <w:wordWrap w:val="0"/>
        <w:spacing w:line="480" w:lineRule="auto"/>
        <w:ind w:firstLine="4620" w:firstLineChars="2200"/>
        <w:rPr>
          <w:rFonts w:hint="eastAsia" w:ascii="宋体" w:hAnsi="宋体"/>
          <w:kern w:val="0"/>
          <w:szCs w:val="21"/>
          <w:u w:val="single"/>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卖方/乙方（公章）： </w:t>
      </w:r>
    </w:p>
    <w:p w14:paraId="02E618CC">
      <w:pPr>
        <w:wordWrap w:val="0"/>
        <w:spacing w:line="480" w:lineRule="auto"/>
        <w:rPr>
          <w:rFonts w:hint="eastAsia" w:ascii="宋体" w:hAnsi="宋体"/>
          <w:kern w:val="0"/>
          <w:szCs w:val="21"/>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法定代表人或其授权人签字： </w:t>
      </w:r>
    </w:p>
    <w:p w14:paraId="50C83A02">
      <w:pPr>
        <w:wordWrap w:val="0"/>
        <w:spacing w:line="480" w:lineRule="auto"/>
        <w:ind w:firstLine="5040" w:firstLineChars="2400"/>
        <w:rPr>
          <w:rFonts w:ascii="宋体" w:hAnsi="宋体"/>
          <w:kern w:val="0"/>
          <w:szCs w:val="21"/>
        </w:rPr>
      </w:pPr>
      <w:r>
        <w:rPr>
          <w:rFonts w:hint="eastAsia" w:ascii="宋体" w:hAnsi="宋体"/>
          <w:kern w:val="0"/>
          <w:szCs w:val="21"/>
        </w:rPr>
        <w:t xml:space="preserve">日期：  </w:t>
      </w:r>
      <w:r>
        <w:rPr>
          <w:rFonts w:ascii="宋体" w:hAnsi="宋体"/>
          <w:kern w:val="0"/>
          <w:szCs w:val="21"/>
        </w:rPr>
        <w:t xml:space="preserve">   </w:t>
      </w:r>
      <w:r>
        <w:rPr>
          <w:rFonts w:hint="eastAsia" w:ascii="宋体" w:hAnsi="宋体"/>
          <w:kern w:val="0"/>
          <w:szCs w:val="21"/>
        </w:rPr>
        <w:t xml:space="preserve"> 年   月   日</w:t>
      </w:r>
    </w:p>
    <w:p w14:paraId="180D883D">
      <w:pPr>
        <w:rPr>
          <w:rFonts w:ascii="宋体" w:hAnsi="宋体"/>
          <w:sz w:val="28"/>
          <w:szCs w:val="28"/>
        </w:rPr>
      </w:pPr>
    </w:p>
    <w:p w14:paraId="60410BF0">
      <w:pPr>
        <w:outlineLvl w:val="1"/>
        <w:rPr>
          <w:rFonts w:hint="eastAsia" w:ascii="宋体" w:hAnsi="宋体"/>
          <w:sz w:val="28"/>
          <w:szCs w:val="28"/>
        </w:rPr>
      </w:pPr>
    </w:p>
    <w:p w14:paraId="28A295CA">
      <w:pPr>
        <w:outlineLvl w:val="1"/>
        <w:rPr>
          <w:rFonts w:hint="eastAsia" w:ascii="宋体" w:hAnsi="宋体"/>
          <w:sz w:val="28"/>
          <w:szCs w:val="28"/>
        </w:rPr>
      </w:pPr>
    </w:p>
    <w:p w14:paraId="4B9B4711">
      <w:pPr>
        <w:outlineLvl w:val="1"/>
        <w:rPr>
          <w:rFonts w:hint="eastAsia" w:ascii="宋体" w:hAnsi="宋体"/>
          <w:sz w:val="28"/>
          <w:szCs w:val="28"/>
        </w:rPr>
      </w:pPr>
    </w:p>
    <w:p w14:paraId="26494C79">
      <w:pPr>
        <w:outlineLvl w:val="1"/>
        <w:rPr>
          <w:rFonts w:hint="eastAsia" w:ascii="宋体" w:hAnsi="宋体"/>
          <w:sz w:val="28"/>
          <w:szCs w:val="28"/>
        </w:rPr>
      </w:pPr>
    </w:p>
    <w:p w14:paraId="537EE24F">
      <w:pPr>
        <w:outlineLvl w:val="1"/>
        <w:rPr>
          <w:rFonts w:hint="eastAsia" w:ascii="宋体" w:hAnsi="宋体"/>
          <w:sz w:val="28"/>
          <w:szCs w:val="28"/>
        </w:rPr>
      </w:pPr>
    </w:p>
    <w:p w14:paraId="3E3988C3">
      <w:pPr>
        <w:outlineLvl w:val="1"/>
        <w:rPr>
          <w:rFonts w:hint="eastAsia" w:ascii="宋体" w:hAnsi="宋体"/>
          <w:sz w:val="28"/>
          <w:szCs w:val="28"/>
        </w:rPr>
      </w:pPr>
    </w:p>
    <w:p w14:paraId="4B939FF9">
      <w:pPr>
        <w:outlineLvl w:val="1"/>
        <w:rPr>
          <w:rFonts w:hint="eastAsia" w:ascii="宋体" w:hAnsi="宋体"/>
          <w:sz w:val="28"/>
          <w:szCs w:val="28"/>
        </w:rPr>
      </w:pPr>
    </w:p>
    <w:p w14:paraId="65EEE461">
      <w:pPr>
        <w:outlineLvl w:val="1"/>
        <w:rPr>
          <w:rFonts w:hint="eastAsia" w:ascii="宋体" w:hAnsi="宋体"/>
          <w:sz w:val="28"/>
          <w:szCs w:val="28"/>
        </w:rPr>
      </w:pPr>
    </w:p>
    <w:p w14:paraId="3FEF68D4">
      <w:pPr>
        <w:outlineLvl w:val="1"/>
        <w:rPr>
          <w:rFonts w:hint="eastAsia" w:ascii="宋体" w:hAnsi="宋体"/>
          <w:sz w:val="28"/>
          <w:szCs w:val="28"/>
        </w:rPr>
      </w:pPr>
    </w:p>
    <w:p w14:paraId="3392A170">
      <w:pPr>
        <w:outlineLvl w:val="1"/>
        <w:rPr>
          <w:rFonts w:hint="eastAsia" w:ascii="宋体" w:hAnsi="宋体"/>
          <w:sz w:val="28"/>
          <w:szCs w:val="28"/>
        </w:rPr>
      </w:pPr>
    </w:p>
    <w:p w14:paraId="6157F191">
      <w:pPr>
        <w:outlineLvl w:val="1"/>
        <w:rPr>
          <w:rFonts w:hint="eastAsia" w:ascii="宋体" w:hAnsi="宋体"/>
          <w:sz w:val="28"/>
          <w:szCs w:val="28"/>
        </w:rPr>
      </w:pPr>
    </w:p>
    <w:p w14:paraId="6DD6BD19">
      <w:pPr>
        <w:outlineLvl w:val="1"/>
        <w:rPr>
          <w:rFonts w:hint="eastAsia" w:ascii="宋体" w:hAnsi="宋体"/>
          <w:sz w:val="28"/>
          <w:szCs w:val="28"/>
        </w:rPr>
      </w:pPr>
    </w:p>
    <w:p w14:paraId="06C4C398">
      <w:pPr>
        <w:outlineLvl w:val="1"/>
        <w:rPr>
          <w:rFonts w:hint="eastAsia" w:ascii="宋体" w:hAnsi="宋体"/>
          <w:sz w:val="28"/>
          <w:szCs w:val="28"/>
        </w:rPr>
      </w:pPr>
    </w:p>
    <w:p w14:paraId="6690276E">
      <w:pPr>
        <w:outlineLvl w:val="1"/>
        <w:rPr>
          <w:rFonts w:hint="eastAsia" w:ascii="宋体" w:hAnsi="宋体"/>
          <w:sz w:val="28"/>
          <w:szCs w:val="28"/>
        </w:rPr>
      </w:pPr>
    </w:p>
    <w:p w14:paraId="61FA3671">
      <w:pPr>
        <w:outlineLvl w:val="1"/>
        <w:rPr>
          <w:rFonts w:hint="eastAsia" w:ascii="宋体" w:hAnsi="宋体"/>
          <w:sz w:val="28"/>
          <w:szCs w:val="28"/>
        </w:rPr>
      </w:pPr>
    </w:p>
    <w:p w14:paraId="40D1C2DA">
      <w:pPr>
        <w:outlineLvl w:val="1"/>
        <w:rPr>
          <w:rFonts w:hint="eastAsia" w:ascii="宋体" w:hAnsi="宋体"/>
          <w:sz w:val="28"/>
          <w:szCs w:val="28"/>
        </w:rPr>
      </w:pPr>
    </w:p>
    <w:p w14:paraId="0A22B065">
      <w:pPr>
        <w:outlineLvl w:val="1"/>
        <w:rPr>
          <w:rFonts w:hint="eastAsia" w:ascii="宋体" w:hAnsi="宋体"/>
          <w:sz w:val="28"/>
          <w:szCs w:val="28"/>
        </w:rPr>
      </w:pPr>
    </w:p>
    <w:p w14:paraId="4DC2AB62">
      <w:pPr>
        <w:outlineLvl w:val="1"/>
        <w:rPr>
          <w:rFonts w:hint="eastAsia" w:ascii="宋体" w:hAnsi="宋体"/>
          <w:sz w:val="28"/>
          <w:szCs w:val="28"/>
        </w:rPr>
      </w:pPr>
    </w:p>
    <w:p w14:paraId="203ABFA9">
      <w:pPr>
        <w:outlineLvl w:val="1"/>
        <w:rPr>
          <w:rFonts w:hint="eastAsia" w:ascii="宋体" w:hAnsi="宋体"/>
          <w:sz w:val="28"/>
          <w:szCs w:val="28"/>
        </w:rPr>
      </w:pPr>
    </w:p>
    <w:p w14:paraId="2730846D">
      <w:pPr>
        <w:outlineLvl w:val="1"/>
        <w:rPr>
          <w:rFonts w:hint="eastAsia" w:ascii="宋体" w:hAnsi="宋体"/>
          <w:sz w:val="28"/>
          <w:szCs w:val="28"/>
        </w:rPr>
      </w:pPr>
      <w:bookmarkStart w:id="48" w:name="_Toc30623"/>
      <w:r>
        <w:rPr>
          <w:rFonts w:hint="eastAsia" w:ascii="宋体" w:hAnsi="宋体"/>
          <w:sz w:val="28"/>
          <w:szCs w:val="28"/>
        </w:rPr>
        <w:t>附件九</w:t>
      </w:r>
      <w:bookmarkEnd w:id="48"/>
    </w:p>
    <w:p w14:paraId="3176DF28">
      <w:pPr>
        <w:snapToGrid w:val="0"/>
        <w:spacing w:before="60" w:after="60" w:line="312" w:lineRule="auto"/>
        <w:jc w:val="center"/>
        <w:rPr>
          <w:rFonts w:hint="eastAsia" w:ascii="宋体" w:hAnsi="宋体" w:eastAsia="宋体" w:cs="新宋体"/>
          <w:b/>
          <w:bCs/>
          <w:kern w:val="0"/>
          <w:sz w:val="36"/>
          <w:szCs w:val="36"/>
          <w:lang w:val="en-US" w:eastAsia="zh-CN" w:bidi="ar-SA"/>
        </w:rPr>
      </w:pPr>
      <w:r>
        <w:rPr>
          <w:rFonts w:hint="eastAsia" w:ascii="宋体" w:hAnsi="宋体" w:eastAsia="宋体" w:cs="新宋体"/>
          <w:b/>
          <w:bCs/>
          <w:kern w:val="0"/>
          <w:sz w:val="36"/>
          <w:szCs w:val="36"/>
          <w:lang w:val="en-US" w:eastAsia="zh-CN" w:bidi="ar-SA"/>
        </w:rPr>
        <w:t>投标供应商付款操作指南</w:t>
      </w:r>
    </w:p>
    <w:p w14:paraId="0EF7AEE3">
      <w:pPr>
        <w:keepNext/>
        <w:keepLines/>
        <w:snapToGrid w:val="0"/>
        <w:spacing w:line="408" w:lineRule="auto"/>
        <w:jc w:val="left"/>
        <w:outlineLvl w:val="0"/>
        <w:rPr>
          <w:rFonts w:ascii="minorHAnsi" w:hAnsi="minorHAnsi" w:eastAsia="等线"/>
          <w:b/>
          <w:bCs/>
          <w:color w:val="1A1A1A"/>
          <w:sz w:val="28"/>
          <w:szCs w:val="36"/>
        </w:rPr>
      </w:pPr>
      <w:bookmarkStart w:id="49" w:name="_Toc10812"/>
      <w:r>
        <w:rPr>
          <w:rFonts w:ascii="minorHAnsi" w:hAnsi="minorHAnsi" w:eastAsia="等线"/>
          <w:b/>
          <w:bCs/>
          <w:color w:val="1A1A1A"/>
          <w:sz w:val="28"/>
          <w:szCs w:val="36"/>
        </w:rPr>
        <w:t>一、收款开户行</w:t>
      </w:r>
      <w:bookmarkEnd w:id="49"/>
    </w:p>
    <w:p w14:paraId="74C6B754">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开户行名称：中国农业银行股份有限公司总行营业部（非转汇行）</w:t>
      </w:r>
    </w:p>
    <w:p w14:paraId="7809DD0F">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联行号：103100000018</w:t>
      </w:r>
    </w:p>
    <w:p w14:paraId="7E9C3473">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注意：</w:t>
      </w:r>
    </w:p>
    <w:p w14:paraId="48F09B49">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①开户行名称必须填写完整，包括“</w:t>
      </w:r>
      <w:r>
        <w:rPr>
          <w:rFonts w:ascii="宋体" w:hAnsi="宋体" w:cs="宋体"/>
          <w:b/>
          <w:color w:val="FF0000"/>
          <w:sz w:val="24"/>
          <w:szCs w:val="22"/>
        </w:rPr>
        <w:t>（非转汇行）</w:t>
      </w:r>
      <w:r>
        <w:rPr>
          <w:rFonts w:ascii="宋体" w:hAnsi="宋体" w:cs="宋体"/>
          <w:color w:val="000000"/>
          <w:sz w:val="24"/>
          <w:szCs w:val="22"/>
        </w:rPr>
        <w:t>”，字符括号为</w:t>
      </w:r>
      <w:r>
        <w:rPr>
          <w:rFonts w:ascii="宋体" w:hAnsi="宋体" w:cs="宋体"/>
          <w:b/>
          <w:color w:val="FF0000"/>
          <w:sz w:val="24"/>
          <w:szCs w:val="22"/>
        </w:rPr>
        <w:t>全角</w:t>
      </w:r>
      <w:r>
        <w:rPr>
          <w:rFonts w:ascii="宋体" w:hAnsi="宋体" w:cs="宋体"/>
          <w:color w:val="000000"/>
          <w:sz w:val="24"/>
          <w:szCs w:val="22"/>
        </w:rPr>
        <w:t>格式。与前后字符相隔较远的为全角，紧挨着前后字符的为半角。</w:t>
      </w:r>
    </w:p>
    <w:p w14:paraId="48E8640C">
      <w:pPr>
        <w:ind w:left="-708" w:leftChars="-337" w:right="-624" w:rightChars="-297"/>
        <w:rPr>
          <w:rFonts w:hint="eastAsia" w:ascii="宋体" w:hAnsi="宋体" w:cs="宋体"/>
          <w:b/>
          <w:color w:val="000000"/>
          <w:sz w:val="32"/>
          <w:szCs w:val="22"/>
        </w:rPr>
      </w:pPr>
    </w:p>
    <w:p w14:paraId="416DA588">
      <w:pPr>
        <w:keepNext/>
        <w:keepLines/>
        <w:snapToGrid w:val="0"/>
        <w:spacing w:line="408" w:lineRule="auto"/>
        <w:jc w:val="left"/>
        <w:outlineLvl w:val="0"/>
        <w:rPr>
          <w:rFonts w:ascii="minorHAnsi" w:hAnsi="minorHAnsi" w:eastAsia="等线"/>
          <w:b/>
          <w:bCs/>
          <w:color w:val="1A1A1A"/>
          <w:sz w:val="36"/>
          <w:szCs w:val="36"/>
        </w:rPr>
      </w:pPr>
      <w:bookmarkStart w:id="50" w:name="_Toc908"/>
      <w:r>
        <w:rPr>
          <w:rFonts w:ascii="minorHAnsi" w:hAnsi="minorHAnsi" w:eastAsia="等线"/>
          <w:b/>
          <w:bCs/>
          <w:color w:val="1A1A1A"/>
          <w:sz w:val="28"/>
          <w:szCs w:val="36"/>
        </w:rPr>
        <w:t>二、汇款注意事项</w:t>
      </w:r>
      <w:bookmarkEnd w:id="50"/>
    </w:p>
    <w:p w14:paraId="71718F4E">
      <w:pPr>
        <w:keepNext/>
        <w:keepLines/>
        <w:snapToGrid w:val="0"/>
        <w:spacing w:line="408" w:lineRule="auto"/>
        <w:jc w:val="left"/>
        <w:outlineLvl w:val="1"/>
        <w:rPr>
          <w:rFonts w:ascii="minorHAnsi" w:hAnsi="minorHAnsi" w:eastAsia="等线"/>
          <w:b/>
          <w:bCs/>
          <w:color w:val="1A1A1A"/>
          <w:sz w:val="32"/>
          <w:szCs w:val="32"/>
        </w:rPr>
      </w:pPr>
      <w:bookmarkStart w:id="51" w:name="_Toc13400"/>
      <w:r>
        <w:rPr>
          <w:rFonts w:ascii="minorHAnsi" w:hAnsi="minorHAnsi" w:eastAsia="等线"/>
          <w:b/>
          <w:bCs/>
          <w:color w:val="1A1A1A"/>
          <w:sz w:val="28"/>
          <w:szCs w:val="32"/>
        </w:rPr>
        <w:t>（1）通过企业网上银行支付</w:t>
      </w:r>
      <w:bookmarkEnd w:id="51"/>
    </w:p>
    <w:p w14:paraId="6A7B2CA7">
      <w:pPr>
        <w:snapToGrid w:val="0"/>
        <w:ind w:firstLine="480" w:firstLineChars="200"/>
        <w:jc w:val="left"/>
        <w:rPr>
          <w:rFonts w:hint="eastAsia" w:ascii="宋体" w:hAnsi="宋体" w:cs="宋体"/>
          <w:color w:val="000000"/>
          <w:sz w:val="24"/>
          <w:szCs w:val="22"/>
        </w:rPr>
      </w:pPr>
      <w:r>
        <w:rPr>
          <w:rFonts w:ascii="宋体" w:hAnsi="宋体" w:cs="宋体"/>
          <w:color w:val="000000"/>
          <w:sz w:val="24"/>
          <w:szCs w:val="22"/>
        </w:rPr>
        <w:t>①</w:t>
      </w:r>
      <w:r>
        <w:rPr>
          <w:rFonts w:ascii="宋体" w:hAnsi="宋体" w:cs="宋体"/>
          <w:b/>
          <w:color w:val="FF0000"/>
          <w:sz w:val="24"/>
          <w:szCs w:val="22"/>
        </w:rPr>
        <w:t>付款方银行</w:t>
      </w:r>
      <w:r>
        <w:rPr>
          <w:rFonts w:ascii="宋体" w:hAnsi="宋体" w:cs="宋体"/>
          <w:color w:val="000000"/>
          <w:sz w:val="24"/>
          <w:szCs w:val="22"/>
        </w:rPr>
        <w:t>无论从哪个银行汇出，均要选择“</w:t>
      </w:r>
      <w:r>
        <w:rPr>
          <w:rFonts w:ascii="宋体" w:hAnsi="宋体" w:cs="宋体"/>
          <w:b/>
          <w:color w:val="FF0000"/>
          <w:sz w:val="24"/>
          <w:szCs w:val="22"/>
        </w:rPr>
        <w:t>跨行</w:t>
      </w:r>
      <w:r>
        <w:rPr>
          <w:rFonts w:ascii="宋体" w:hAnsi="宋体" w:cs="宋体"/>
          <w:color w:val="000000"/>
          <w:sz w:val="24"/>
          <w:szCs w:val="22"/>
        </w:rPr>
        <w:t xml:space="preserve">”交易，但收款方开户行类别要根据出款银行做区分： </w:t>
      </w:r>
      <w:r>
        <w:rPr>
          <w:rFonts w:ascii="宋体" w:hAnsi="宋体" w:cs="宋体"/>
          <w:color w:val="000000"/>
          <w:sz w:val="24"/>
          <w:szCs w:val="22"/>
        </w:rPr>
        <w:drawing>
          <wp:inline distT="0" distB="0" distL="114300" distR="114300">
            <wp:extent cx="6181090" cy="952500"/>
            <wp:effectExtent l="0" t="0" r="3810" b="0"/>
            <wp:docPr id="11" name="图片 3" descr="descript"/>
            <wp:cNvGraphicFramePr/>
            <a:graphic xmlns:a="http://schemas.openxmlformats.org/drawingml/2006/main">
              <a:graphicData uri="http://schemas.openxmlformats.org/drawingml/2006/picture">
                <pic:pic xmlns:pic="http://schemas.openxmlformats.org/drawingml/2006/picture">
                  <pic:nvPicPr>
                    <pic:cNvPr id="11" name="图片 3" descr="descript"/>
                    <pic:cNvPicPr/>
                  </pic:nvPicPr>
                  <pic:blipFill>
                    <a:blip r:embed="rId10"/>
                    <a:stretch>
                      <a:fillRect/>
                    </a:stretch>
                  </pic:blipFill>
                  <pic:spPr>
                    <a:xfrm>
                      <a:off x="0" y="0"/>
                      <a:ext cx="6181090" cy="952500"/>
                    </a:xfrm>
                    <a:prstGeom prst="rect">
                      <a:avLst/>
                    </a:prstGeom>
                    <a:solidFill>
                      <a:srgbClr val="FFFFFF"/>
                    </a:solidFill>
                    <a:ln>
                      <a:noFill/>
                    </a:ln>
                  </pic:spPr>
                </pic:pic>
              </a:graphicData>
            </a:graphic>
          </wp:inline>
        </w:drawing>
      </w:r>
    </w:p>
    <w:p w14:paraId="7DE0EAA1">
      <w:pPr>
        <w:snapToGrid w:val="0"/>
        <w:ind w:firstLine="480" w:firstLineChars="200"/>
        <w:jc w:val="left"/>
        <w:rPr>
          <w:rFonts w:hint="eastAsia" w:ascii="宋体" w:hAnsi="宋体" w:cs="宋体"/>
          <w:color w:val="000000"/>
          <w:szCs w:val="22"/>
        </w:rPr>
      </w:pPr>
      <w:r>
        <w:rPr>
          <w:rFonts w:ascii="宋体" w:hAnsi="宋体" w:cs="宋体"/>
          <w:color w:val="000000"/>
          <w:sz w:val="24"/>
          <w:szCs w:val="22"/>
        </w:rPr>
        <w:t>②</w:t>
      </w:r>
      <w:r>
        <w:rPr>
          <w:rFonts w:ascii="宋体" w:hAnsi="宋体" w:cs="宋体"/>
          <w:color w:val="FF0000"/>
          <w:sz w:val="24"/>
          <w:szCs w:val="22"/>
        </w:rPr>
        <w:t>付款用途</w:t>
      </w:r>
      <w:r>
        <w:rPr>
          <w:rFonts w:ascii="宋体" w:hAnsi="宋体" w:cs="宋体"/>
          <w:color w:val="000000"/>
          <w:sz w:val="24"/>
          <w:szCs w:val="22"/>
        </w:rPr>
        <w:t>要写在“附言”项里，也就是常说的摘要/备注。附言不超30个字。</w:t>
      </w:r>
    </w:p>
    <w:p w14:paraId="610D2ED2">
      <w:pPr>
        <w:snapToGrid w:val="0"/>
        <w:ind w:firstLine="420" w:firstLineChars="200"/>
        <w:jc w:val="left"/>
        <w:rPr>
          <w:rFonts w:hint="eastAsia" w:ascii="宋体" w:hAnsi="宋体" w:cs="宋体"/>
          <w:color w:val="000000"/>
          <w:szCs w:val="22"/>
        </w:rPr>
      </w:pPr>
    </w:p>
    <w:p w14:paraId="279CB8AC">
      <w:pPr>
        <w:snapToGrid w:val="0"/>
        <w:ind w:firstLine="420" w:firstLineChars="200"/>
        <w:jc w:val="left"/>
        <w:rPr>
          <w:rFonts w:hint="eastAsia" w:ascii="宋体" w:hAnsi="宋体" w:cs="宋体"/>
          <w:color w:val="000000"/>
          <w:szCs w:val="22"/>
        </w:rPr>
      </w:pPr>
      <w:r>
        <w:rPr>
          <w:rFonts w:ascii="宋体" w:hAnsi="宋体" w:cs="宋体"/>
          <w:color w:val="000000"/>
          <w:szCs w:val="22"/>
        </w:rPr>
        <w:drawing>
          <wp:inline distT="0" distB="0" distL="114300" distR="114300">
            <wp:extent cx="5370830" cy="4427220"/>
            <wp:effectExtent l="0" t="0" r="1270" b="5080"/>
            <wp:docPr id="13"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escript"/>
                    <pic:cNvPicPr>
                      <a:picLocks noChangeAspect="1"/>
                    </pic:cNvPicPr>
                  </pic:nvPicPr>
                  <pic:blipFill>
                    <a:blip r:embed="rId11"/>
                    <a:stretch>
                      <a:fillRect/>
                    </a:stretch>
                  </pic:blipFill>
                  <pic:spPr>
                    <a:xfrm>
                      <a:off x="0" y="0"/>
                      <a:ext cx="5370830" cy="4427220"/>
                    </a:xfrm>
                    <a:prstGeom prst="rect">
                      <a:avLst/>
                    </a:prstGeom>
                    <a:noFill/>
                    <a:ln>
                      <a:noFill/>
                    </a:ln>
                  </pic:spPr>
                </pic:pic>
              </a:graphicData>
            </a:graphic>
          </wp:inline>
        </w:drawing>
      </w:r>
    </w:p>
    <w:p w14:paraId="19A43ECF">
      <w:pPr>
        <w:spacing w:line="360" w:lineRule="auto"/>
        <w:ind w:left="-708" w:leftChars="-337" w:right="-624" w:rightChars="-297" w:firstLine="420" w:firstLineChars="200"/>
        <w:rPr>
          <w:rFonts w:hint="eastAsia" w:ascii="宋体" w:hAnsi="宋体" w:cs="宋体"/>
          <w:color w:val="000000"/>
          <w:szCs w:val="22"/>
        </w:rPr>
      </w:pPr>
    </w:p>
    <w:p w14:paraId="14CD0FBD">
      <w:pPr>
        <w:keepNext/>
        <w:keepLines/>
        <w:snapToGrid w:val="0"/>
        <w:spacing w:line="408" w:lineRule="auto"/>
        <w:jc w:val="left"/>
        <w:outlineLvl w:val="1"/>
        <w:rPr>
          <w:rFonts w:ascii="minorHAnsi" w:hAnsi="minorHAnsi" w:eastAsia="等线"/>
          <w:b/>
          <w:bCs/>
          <w:color w:val="1A1A1A"/>
          <w:sz w:val="28"/>
          <w:szCs w:val="32"/>
        </w:rPr>
      </w:pPr>
      <w:bookmarkStart w:id="52" w:name="_Toc31533"/>
      <w:r>
        <w:rPr>
          <w:rFonts w:ascii="minorHAnsi" w:hAnsi="minorHAnsi" w:eastAsia="等线"/>
          <w:b/>
          <w:bCs/>
          <w:color w:val="1A1A1A"/>
          <w:sz w:val="28"/>
          <w:szCs w:val="32"/>
        </w:rPr>
        <w:t>农行网银付款注意事项：</w:t>
      </w:r>
      <w:bookmarkEnd w:id="52"/>
    </w:p>
    <w:p w14:paraId="3ADED9A1">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投标供应商采用</w:t>
      </w:r>
      <w:r>
        <w:rPr>
          <w:rFonts w:ascii="宋体" w:hAnsi="宋体" w:cs="宋体"/>
          <w:b/>
          <w:color w:val="FF0000"/>
          <w:sz w:val="24"/>
          <w:szCs w:val="22"/>
        </w:rPr>
        <w:t>农行网银</w:t>
      </w:r>
      <w:r>
        <w:rPr>
          <w:rFonts w:ascii="宋体" w:hAnsi="宋体" w:cs="宋体"/>
          <w:b/>
          <w:color w:val="000000"/>
          <w:sz w:val="24"/>
          <w:szCs w:val="22"/>
        </w:rPr>
        <w:t>付款时，必须</w:t>
      </w:r>
      <w:r>
        <w:rPr>
          <w:rFonts w:ascii="宋体" w:hAnsi="宋体" w:cs="宋体"/>
          <w:b/>
          <w:color w:val="FF0000"/>
          <w:sz w:val="24"/>
          <w:szCs w:val="22"/>
        </w:rPr>
        <w:t>先进行收款方信息维护</w:t>
      </w:r>
      <w:r>
        <w:rPr>
          <w:rFonts w:ascii="宋体" w:hAnsi="宋体" w:cs="宋体"/>
          <w:b/>
          <w:color w:val="000000"/>
          <w:sz w:val="24"/>
          <w:szCs w:val="22"/>
        </w:rPr>
        <w:t>再付款，维护详见步骤一、二。</w:t>
      </w:r>
    </w:p>
    <w:p w14:paraId="0F9FC2E3">
      <w:pPr>
        <w:spacing w:line="360" w:lineRule="auto"/>
        <w:ind w:firstLine="482" w:firstLineChars="200"/>
        <w:rPr>
          <w:rFonts w:hint="eastAsia" w:ascii="宋体" w:hAnsi="宋体" w:cs="宋体"/>
          <w:color w:val="000000"/>
          <w:szCs w:val="22"/>
        </w:rPr>
      </w:pPr>
      <w:r>
        <w:rPr>
          <w:rFonts w:ascii="宋体" w:hAnsi="宋体" w:cs="宋体"/>
          <w:b/>
          <w:color w:val="000000"/>
          <w:sz w:val="24"/>
          <w:szCs w:val="22"/>
        </w:rPr>
        <w:t>维护完成后进行转账支付，点击</w:t>
      </w:r>
      <w:r>
        <w:rPr>
          <w:rFonts w:ascii="宋体" w:hAnsi="宋体" w:cs="宋体"/>
          <w:b/>
          <w:color w:val="FF0000"/>
          <w:sz w:val="24"/>
          <w:szCs w:val="22"/>
        </w:rPr>
        <w:t>收款方名册</w:t>
      </w:r>
      <w:r>
        <w:rPr>
          <w:rFonts w:ascii="宋体" w:hAnsi="宋体" w:cs="宋体"/>
          <w:b/>
          <w:color w:val="000000"/>
          <w:sz w:val="24"/>
          <w:szCs w:val="22"/>
        </w:rPr>
        <w:t>选择收款单位，转账方式选择“</w:t>
      </w:r>
      <w:r>
        <w:rPr>
          <w:rFonts w:ascii="宋体" w:hAnsi="宋体" w:cs="宋体"/>
          <w:b/>
          <w:color w:val="FF0000"/>
          <w:sz w:val="24"/>
          <w:szCs w:val="22"/>
        </w:rPr>
        <w:t>普通转账</w:t>
      </w:r>
      <w:r>
        <w:rPr>
          <w:rFonts w:ascii="宋体" w:hAnsi="宋体" w:cs="宋体"/>
          <w:b/>
          <w:color w:val="000000"/>
          <w:sz w:val="24"/>
          <w:szCs w:val="22"/>
        </w:rPr>
        <w:t>”。</w:t>
      </w:r>
    </w:p>
    <w:p w14:paraId="33F5D1FF">
      <w:pPr>
        <w:ind w:right="-624" w:rightChars="-297"/>
        <w:jc w:val="left"/>
        <w:rPr>
          <w:rFonts w:hint="eastAsia" w:ascii="宋体" w:hAnsi="宋体" w:cs="宋体"/>
          <w:color w:val="000000"/>
          <w:szCs w:val="22"/>
        </w:rPr>
      </w:pPr>
    </w:p>
    <w:p w14:paraId="225A52C0">
      <w:pPr>
        <w:keepNext/>
        <w:keepLines/>
        <w:snapToGrid w:val="0"/>
        <w:spacing w:line="408" w:lineRule="auto"/>
        <w:jc w:val="left"/>
        <w:outlineLvl w:val="1"/>
        <w:rPr>
          <w:rFonts w:ascii="minorHAnsi" w:hAnsi="minorHAnsi" w:eastAsia="等线"/>
          <w:b/>
          <w:bCs/>
          <w:color w:val="1A1A1A"/>
          <w:sz w:val="28"/>
          <w:szCs w:val="32"/>
        </w:rPr>
      </w:pPr>
      <w:bookmarkStart w:id="53" w:name="_Toc11443"/>
      <w:r>
        <w:rPr>
          <w:rFonts w:ascii="minorHAnsi" w:hAnsi="minorHAnsi" w:eastAsia="等线"/>
          <w:b/>
          <w:bCs/>
          <w:color w:val="1A1A1A"/>
          <w:sz w:val="28"/>
          <w:szCs w:val="32"/>
        </w:rPr>
        <w:t>收款方信息维护步骤一：</w:t>
      </w:r>
      <w:bookmarkEnd w:id="53"/>
    </w:p>
    <w:p w14:paraId="5366FBA5">
      <w:pPr>
        <w:spacing w:line="360" w:lineRule="auto"/>
        <w:ind w:firstLine="480" w:firstLineChars="200"/>
        <w:rPr>
          <w:rFonts w:hint="eastAsia" w:ascii="宋体" w:hAnsi="宋体" w:cs="宋体"/>
          <w:b/>
          <w:color w:val="FF0000"/>
          <w:szCs w:val="22"/>
        </w:rPr>
      </w:pPr>
      <w:r>
        <w:rPr>
          <w:rFonts w:ascii="宋体" w:hAnsi="宋体" w:cs="宋体"/>
          <w:color w:val="000000"/>
          <w:sz w:val="24"/>
          <w:szCs w:val="22"/>
        </w:rPr>
        <w:t>进行</w:t>
      </w:r>
      <w:r>
        <w:rPr>
          <w:rFonts w:ascii="宋体" w:hAnsi="宋体" w:cs="宋体"/>
          <w:color w:val="FF0000"/>
          <w:sz w:val="24"/>
          <w:szCs w:val="22"/>
        </w:rPr>
        <w:t>收款方信息维护</w:t>
      </w:r>
      <w:r>
        <w:rPr>
          <w:rFonts w:ascii="宋体" w:hAnsi="宋体" w:cs="宋体"/>
          <w:color w:val="000000"/>
          <w:sz w:val="24"/>
          <w:szCs w:val="22"/>
        </w:rPr>
        <w:t>-</w:t>
      </w:r>
      <w:r>
        <w:rPr>
          <w:rFonts w:ascii="宋体" w:hAnsi="宋体" w:cs="宋体"/>
          <w:color w:val="FF0000"/>
          <w:sz w:val="24"/>
          <w:szCs w:val="22"/>
        </w:rPr>
        <w:t>新增收款方</w:t>
      </w:r>
      <w:r>
        <w:rPr>
          <w:rFonts w:ascii="宋体" w:hAnsi="宋体" w:cs="宋体"/>
          <w:color w:val="000000"/>
          <w:sz w:val="24"/>
          <w:szCs w:val="22"/>
        </w:rPr>
        <w:t>-需选择“</w:t>
      </w:r>
      <w:r>
        <w:rPr>
          <w:rFonts w:ascii="宋体" w:hAnsi="宋体" w:cs="宋体"/>
          <w:color w:val="FF0000"/>
          <w:sz w:val="24"/>
          <w:szCs w:val="22"/>
        </w:rPr>
        <w:t>特殊账户类型录入</w:t>
      </w:r>
      <w:r>
        <w:rPr>
          <w:rFonts w:ascii="宋体" w:hAnsi="宋体" w:cs="宋体"/>
          <w:color w:val="000000"/>
          <w:sz w:val="24"/>
          <w:szCs w:val="22"/>
        </w:rPr>
        <w:t>”-“</w:t>
      </w:r>
      <w:r>
        <w:rPr>
          <w:rFonts w:ascii="宋体" w:hAnsi="宋体" w:cs="宋体"/>
          <w:color w:val="FF0000"/>
          <w:sz w:val="24"/>
          <w:szCs w:val="22"/>
        </w:rPr>
        <w:t>内部合约</w:t>
      </w:r>
      <w:r>
        <w:rPr>
          <w:rFonts w:ascii="宋体" w:hAnsi="宋体" w:cs="宋体"/>
          <w:color w:val="000000"/>
          <w:sz w:val="24"/>
          <w:szCs w:val="22"/>
        </w:rPr>
        <w:t>”，如图所示：</w:t>
      </w:r>
    </w:p>
    <w:p w14:paraId="6850A72F">
      <w:pPr>
        <w:ind w:left="-709" w:right="-624" w:rightChars="-297" w:firstLine="424" w:firstLineChars="202"/>
        <w:jc w:val="left"/>
        <w:rPr>
          <w:rFonts w:hint="eastAsia" w:ascii="宋体" w:hAnsi="宋体" w:cs="宋体"/>
          <w:color w:val="333333"/>
          <w:szCs w:val="22"/>
        </w:rPr>
      </w:pPr>
    </w:p>
    <w:p w14:paraId="2FB5EEE6">
      <w:pPr>
        <w:ind w:left="-709" w:right="-624" w:rightChars="-297" w:firstLine="424" w:firstLineChars="202"/>
        <w:jc w:val="center"/>
        <w:rPr>
          <w:rFonts w:hint="eastAsia" w:ascii="宋体" w:hAnsi="宋体" w:cs="宋体"/>
          <w:color w:val="000000"/>
          <w:szCs w:val="22"/>
        </w:rPr>
      </w:pPr>
      <w:r>
        <w:rPr>
          <w:rFonts w:ascii="宋体" w:hAnsi="宋体" w:cs="宋体"/>
          <w:color w:val="000000"/>
          <w:szCs w:val="22"/>
        </w:rPr>
        <w:t xml:space="preserve">   </w:t>
      </w:r>
      <w:r>
        <w:rPr>
          <w:rFonts w:ascii="宋体" w:hAnsi="宋体" w:cs="宋体"/>
          <w:color w:val="000000"/>
          <w:szCs w:val="22"/>
        </w:rPr>
        <w:drawing>
          <wp:inline distT="0" distB="0" distL="114300" distR="114300">
            <wp:extent cx="6208395" cy="3369945"/>
            <wp:effectExtent l="0" t="0" r="1905" b="8255"/>
            <wp:docPr id="14"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escript"/>
                    <pic:cNvPicPr>
                      <a:picLocks noChangeAspect="1"/>
                    </pic:cNvPicPr>
                  </pic:nvPicPr>
                  <pic:blipFill>
                    <a:blip r:embed="rId12"/>
                    <a:stretch>
                      <a:fillRect/>
                    </a:stretch>
                  </pic:blipFill>
                  <pic:spPr>
                    <a:xfrm>
                      <a:off x="0" y="0"/>
                      <a:ext cx="6208395" cy="3369945"/>
                    </a:xfrm>
                    <a:prstGeom prst="rect">
                      <a:avLst/>
                    </a:prstGeom>
                    <a:noFill/>
                    <a:ln>
                      <a:noFill/>
                    </a:ln>
                  </pic:spPr>
                </pic:pic>
              </a:graphicData>
            </a:graphic>
          </wp:inline>
        </w:drawing>
      </w:r>
    </w:p>
    <w:p w14:paraId="7F1C8BB9">
      <w:pPr>
        <w:keepNext/>
        <w:keepLines/>
        <w:snapToGrid w:val="0"/>
        <w:spacing w:line="408" w:lineRule="auto"/>
        <w:jc w:val="left"/>
        <w:outlineLvl w:val="1"/>
        <w:rPr>
          <w:rFonts w:ascii="minorHAnsi" w:hAnsi="minorHAnsi" w:eastAsia="等线"/>
          <w:b/>
          <w:bCs/>
          <w:color w:val="1A1A1A"/>
          <w:sz w:val="28"/>
          <w:szCs w:val="32"/>
        </w:rPr>
      </w:pPr>
      <w:bookmarkStart w:id="54" w:name="_Toc4352"/>
      <w:r>
        <w:rPr>
          <w:rFonts w:ascii="minorHAnsi" w:hAnsi="minorHAnsi" w:eastAsia="等线"/>
          <w:b/>
          <w:bCs/>
          <w:color w:val="1A1A1A"/>
          <w:sz w:val="28"/>
          <w:szCs w:val="32"/>
        </w:rPr>
        <w:t>收款方信息维护步骤二：</w:t>
      </w:r>
      <w:bookmarkEnd w:id="54"/>
    </w:p>
    <w:p w14:paraId="2DCE933E">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按要求维护完毕后进行消息确认，如图所示：</w:t>
      </w:r>
    </w:p>
    <w:p w14:paraId="6F82A6AE">
      <w:pPr>
        <w:ind w:left="-709" w:right="-624" w:rightChars="-297" w:firstLine="444" w:firstLineChars="202"/>
        <w:jc w:val="left"/>
        <w:rPr>
          <w:rFonts w:hint="eastAsia" w:ascii="宋体" w:hAnsi="宋体" w:cs="宋体"/>
          <w:color w:val="333333"/>
          <w:sz w:val="22"/>
          <w:szCs w:val="22"/>
        </w:rPr>
      </w:pPr>
    </w:p>
    <w:p w14:paraId="003666F3">
      <w:pPr>
        <w:ind w:left="-709" w:right="-624" w:rightChars="-297" w:firstLine="444" w:firstLineChars="202"/>
        <w:jc w:val="center"/>
        <w:rPr>
          <w:rFonts w:hint="eastAsia" w:ascii="宋体" w:hAnsi="宋体" w:cs="宋体"/>
          <w:color w:val="333333"/>
          <w:sz w:val="22"/>
          <w:szCs w:val="22"/>
        </w:rPr>
      </w:pPr>
      <w:r>
        <w:rPr>
          <w:rFonts w:ascii="宋体" w:hAnsi="宋体" w:cs="宋体"/>
          <w:color w:val="333333"/>
          <w:sz w:val="22"/>
          <w:szCs w:val="22"/>
        </w:rPr>
        <w:drawing>
          <wp:inline distT="0" distB="0" distL="114300" distR="114300">
            <wp:extent cx="5123815" cy="3109595"/>
            <wp:effectExtent l="0" t="0" r="6985" b="1905"/>
            <wp:docPr id="4"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escript"/>
                    <pic:cNvPicPr>
                      <a:picLocks noChangeAspect="1"/>
                    </pic:cNvPicPr>
                  </pic:nvPicPr>
                  <pic:blipFill>
                    <a:blip r:embed="rId13"/>
                    <a:stretch>
                      <a:fillRect/>
                    </a:stretch>
                  </pic:blipFill>
                  <pic:spPr>
                    <a:xfrm>
                      <a:off x="0" y="0"/>
                      <a:ext cx="5123815" cy="3109595"/>
                    </a:xfrm>
                    <a:prstGeom prst="rect">
                      <a:avLst/>
                    </a:prstGeom>
                    <a:noFill/>
                    <a:ln>
                      <a:noFill/>
                    </a:ln>
                  </pic:spPr>
                </pic:pic>
              </a:graphicData>
            </a:graphic>
          </wp:inline>
        </w:drawing>
      </w:r>
    </w:p>
    <w:p w14:paraId="4B5CF094">
      <w:pPr>
        <w:ind w:left="-709" w:right="-624" w:rightChars="-297" w:firstLine="444" w:firstLineChars="202"/>
        <w:jc w:val="left"/>
        <w:rPr>
          <w:rFonts w:hint="eastAsia" w:ascii="宋体" w:hAnsi="宋体" w:cs="宋体"/>
          <w:color w:val="333333"/>
          <w:sz w:val="22"/>
          <w:szCs w:val="22"/>
        </w:rPr>
      </w:pPr>
    </w:p>
    <w:p w14:paraId="6055AF71">
      <w:pPr>
        <w:keepNext/>
        <w:keepLines/>
        <w:snapToGrid w:val="0"/>
        <w:spacing w:line="408" w:lineRule="auto"/>
        <w:jc w:val="left"/>
        <w:outlineLvl w:val="1"/>
        <w:rPr>
          <w:rFonts w:ascii="minorHAnsi" w:hAnsi="minorHAnsi" w:eastAsia="等线"/>
          <w:b/>
          <w:bCs/>
          <w:color w:val="1A1A1A"/>
          <w:sz w:val="28"/>
          <w:szCs w:val="32"/>
        </w:rPr>
      </w:pPr>
      <w:bookmarkStart w:id="55" w:name="_Toc6319"/>
      <w:r>
        <w:rPr>
          <w:rFonts w:ascii="minorHAnsi" w:hAnsi="minorHAnsi" w:eastAsia="等线"/>
          <w:b/>
          <w:bCs/>
          <w:color w:val="1A1A1A"/>
          <w:sz w:val="28"/>
          <w:szCs w:val="32"/>
        </w:rPr>
        <w:t>（2）银行柜台转账</w:t>
      </w:r>
      <w:bookmarkEnd w:id="55"/>
    </w:p>
    <w:p w14:paraId="33757841">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如果是农行柜台转账，需要告诉银行业务人员</w:t>
      </w:r>
      <w:r>
        <w:rPr>
          <w:rFonts w:ascii="宋体" w:hAnsi="宋体" w:cs="宋体"/>
          <w:color w:val="FF0000"/>
          <w:sz w:val="24"/>
          <w:szCs w:val="22"/>
        </w:rPr>
        <w:t>“农行账号往内部合约付款柜面操作，用“21201”交易，勾选账户间转账，账号录入财务公司15077账号，再勾选集中代理收付款，再录入代理行内部合约”。</w:t>
      </w:r>
    </w:p>
    <w:p w14:paraId="3D0982FE">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如需跟出款行付款提示，请务必说明收款方开户银行是中铁财务公司，代理银行为农业银行，此账号为中铁财务公司为我单位开设的代理行账户。</w:t>
      </w:r>
    </w:p>
    <w:p w14:paraId="1022E470">
      <w:pPr>
        <w:ind w:left="-708" w:leftChars="-337" w:right="-624" w:rightChars="-297" w:firstLine="420" w:firstLineChars="200"/>
        <w:jc w:val="center"/>
        <w:rPr>
          <w:rFonts w:hint="eastAsia" w:ascii="宋体" w:hAnsi="宋体" w:cs="宋体"/>
          <w:color w:val="333333"/>
          <w:szCs w:val="22"/>
        </w:rPr>
      </w:pPr>
      <w:r>
        <w:rPr>
          <w:rFonts w:ascii="宋体" w:hAnsi="宋体" w:cs="宋体"/>
          <w:color w:val="333333"/>
          <w:szCs w:val="22"/>
        </w:rPr>
        <w:drawing>
          <wp:inline distT="0" distB="0" distL="114300" distR="114300">
            <wp:extent cx="5191125" cy="3557905"/>
            <wp:effectExtent l="0" t="0" r="3175" b="10795"/>
            <wp:docPr id="15"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escript"/>
                    <pic:cNvPicPr>
                      <a:picLocks noChangeAspect="1"/>
                    </pic:cNvPicPr>
                  </pic:nvPicPr>
                  <pic:blipFill>
                    <a:blip r:embed="rId14"/>
                    <a:stretch>
                      <a:fillRect/>
                    </a:stretch>
                  </pic:blipFill>
                  <pic:spPr>
                    <a:xfrm>
                      <a:off x="0" y="0"/>
                      <a:ext cx="5191125" cy="3557905"/>
                    </a:xfrm>
                    <a:prstGeom prst="rect">
                      <a:avLst/>
                    </a:prstGeom>
                    <a:noFill/>
                    <a:ln>
                      <a:noFill/>
                    </a:ln>
                  </pic:spPr>
                </pic:pic>
              </a:graphicData>
            </a:graphic>
          </wp:inline>
        </w:drawing>
      </w:r>
    </w:p>
    <w:p w14:paraId="53349BD2">
      <w:pPr>
        <w:ind w:left="-708" w:leftChars="-337" w:right="-624" w:rightChars="-297" w:firstLine="420" w:firstLineChars="200"/>
        <w:rPr>
          <w:rFonts w:hint="eastAsia" w:ascii="宋体" w:hAnsi="宋体" w:cs="宋体"/>
          <w:color w:val="333333"/>
          <w:szCs w:val="22"/>
        </w:rPr>
      </w:pPr>
    </w:p>
    <w:p w14:paraId="08C3F5A5">
      <w:pPr>
        <w:keepNext/>
        <w:keepLines/>
        <w:snapToGrid w:val="0"/>
        <w:spacing w:line="408" w:lineRule="auto"/>
        <w:jc w:val="left"/>
        <w:outlineLvl w:val="1"/>
        <w:rPr>
          <w:rFonts w:ascii="minorHAnsi" w:hAnsi="minorHAnsi" w:eastAsia="等线"/>
          <w:b/>
          <w:bCs/>
          <w:color w:val="1A1A1A"/>
          <w:sz w:val="28"/>
          <w:szCs w:val="32"/>
        </w:rPr>
      </w:pPr>
      <w:bookmarkStart w:id="56" w:name="_Toc18001"/>
      <w:r>
        <w:rPr>
          <w:rFonts w:ascii="minorHAnsi" w:hAnsi="minorHAnsi" w:eastAsia="等线"/>
          <w:b/>
          <w:bCs/>
          <w:color w:val="1A1A1A"/>
          <w:sz w:val="28"/>
          <w:szCs w:val="32"/>
        </w:rPr>
        <w:t>（3）付款结果查询</w:t>
      </w:r>
      <w:bookmarkEnd w:id="56"/>
    </w:p>
    <w:p w14:paraId="0D4B4362">
      <w:pPr>
        <w:spacing w:line="360" w:lineRule="auto"/>
        <w:ind w:firstLine="482" w:firstLineChars="200"/>
        <w:rPr>
          <w:rFonts w:hint="eastAsia" w:ascii="宋体" w:hAnsi="宋体" w:cs="宋体"/>
          <w:b/>
          <w:color w:val="333333"/>
          <w:szCs w:val="22"/>
        </w:rPr>
      </w:pPr>
      <w:r>
        <w:rPr>
          <w:rFonts w:ascii="宋体" w:hAnsi="宋体" w:cs="宋体"/>
          <w:b/>
          <w:color w:val="000000"/>
          <w:sz w:val="24"/>
          <w:szCs w:val="22"/>
        </w:rPr>
        <w:t>付款银行确认已出款但收款方未到账时，如确认收款信息填写无误，请将</w:t>
      </w:r>
      <w:r>
        <w:rPr>
          <w:rFonts w:ascii="宋体" w:hAnsi="宋体" w:cs="宋体"/>
          <w:b/>
          <w:color w:val="FF0000"/>
          <w:sz w:val="24"/>
          <w:szCs w:val="22"/>
        </w:rPr>
        <w:t>正式银行回单</w:t>
      </w:r>
      <w:r>
        <w:rPr>
          <w:rFonts w:ascii="宋体" w:hAnsi="宋体" w:cs="宋体"/>
          <w:b/>
          <w:color w:val="000000"/>
          <w:sz w:val="24"/>
          <w:szCs w:val="22"/>
        </w:rPr>
        <w:t>传给招标负责人查询。</w:t>
      </w:r>
    </w:p>
    <w:p w14:paraId="406F0022">
      <w:bookmarkStart w:id="57" w:name="_GoBack"/>
      <w:bookmarkEnd w:id="5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norHAnsi">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05B23">
    <w:pPr>
      <w:pStyle w:val="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C3FF5">
                          <w:pPr>
                            <w:pStyle w:val="4"/>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D4C3FF5">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021C7">
    <w:pPr>
      <w:pStyle w:val="4"/>
      <w:framePr w:wrap="around" w:vAnchor="text" w:hAnchor="margin" w:xAlign="right" w:y="1"/>
      <w:rPr>
        <w:rStyle w:val="8"/>
      </w:rPr>
    </w:pPr>
    <w:r>
      <w:fldChar w:fldCharType="begin"/>
    </w:r>
    <w:r>
      <w:rPr>
        <w:rStyle w:val="8"/>
      </w:rPr>
      <w:instrText xml:space="preserve">PAGE  </w:instrText>
    </w:r>
    <w:r>
      <w:fldChar w:fldCharType="separate"/>
    </w:r>
    <w:r>
      <w:rPr>
        <w:rStyle w:val="8"/>
      </w:rPr>
      <w:t>9</w:t>
    </w:r>
    <w:r>
      <w:fldChar w:fldCharType="end"/>
    </w:r>
  </w:p>
  <w:p w14:paraId="36D7F1A2">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D15FA4"/>
    <w:rsid w:val="32DD7F38"/>
    <w:rsid w:val="342A10D6"/>
    <w:rsid w:val="66844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
    <w:qFormat/>
    <w:uiPriority w:val="0"/>
    <w:pPr>
      <w:keepNext/>
      <w:keepLines/>
      <w:spacing w:line="579" w:lineRule="auto"/>
      <w:jc w:val="center"/>
      <w:outlineLvl w:val="0"/>
    </w:pPr>
    <w:rPr>
      <w:rFonts w:ascii="Times New Roman" w:hAnsi="Times New Roman" w:eastAsia="方正小标宋简体"/>
      <w:b/>
      <w:bCs/>
      <w:kern w:val="44"/>
      <w:sz w:val="44"/>
      <w:szCs w:val="44"/>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Indent"/>
    <w:basedOn w:val="1"/>
    <w:qFormat/>
    <w:uiPriority w:val="0"/>
    <w:pPr>
      <w:ind w:firstLine="600"/>
    </w:pPr>
    <w:rPr>
      <w:sz w:val="28"/>
    </w:r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paragraph" w:styleId="5">
    <w:name w:val="Body Text First Indent 2"/>
    <w:basedOn w:val="3"/>
    <w:qFormat/>
    <w:uiPriority w:val="0"/>
    <w:pPr>
      <w:ind w:firstLine="420"/>
    </w:pPr>
  </w:style>
  <w:style w:type="character" w:styleId="8">
    <w:name w:val="page number"/>
    <w:qFormat/>
    <w:uiPriority w:val="0"/>
  </w:style>
  <w:style w:type="character" w:styleId="9">
    <w:name w:val="Hyperlink"/>
    <w:qFormat/>
    <w:uiPriority w:val="99"/>
    <w:rPr>
      <w:color w:val="0000FF"/>
      <w:u w:val="single"/>
    </w:rPr>
  </w:style>
  <w:style w:type="character" w:customStyle="1" w:styleId="10">
    <w:name w:val="标题 1 字符"/>
    <w:link w:val="2"/>
    <w:qFormat/>
    <w:uiPriority w:val="0"/>
    <w:rPr>
      <w:rFonts w:ascii="Times New Roman" w:hAnsi="Times New Roman" w:eastAsia="方正小标宋简体"/>
      <w:b/>
      <w:bCs/>
      <w:kern w:val="44"/>
      <w:sz w:val="44"/>
      <w:szCs w:val="44"/>
    </w:rPr>
  </w:style>
  <w:style w:type="paragraph" w:customStyle="1" w:styleId="11">
    <w:name w:val="正文2"/>
    <w:basedOn w:val="1"/>
    <w:qFormat/>
    <w:uiPriority w:val="0"/>
    <w:pPr>
      <w:spacing w:line="480" w:lineRule="exact"/>
      <w:ind w:firstLine="200" w:firstLineChars="200"/>
    </w:pPr>
    <w:rPr>
      <w:rFonts w:ascii="Times New Roman" w:hAnsi="Times New Roman" w:cs="Times New Roman"/>
      <w:color w:val="000000"/>
      <w:sz w:val="24"/>
      <w:szCs w:val="24"/>
    </w:rPr>
  </w:style>
  <w:style w:type="character" w:customStyle="1" w:styleId="12">
    <w:name w:val="纯文本 字符"/>
    <w:basedOn w:val="7"/>
    <w:qFormat/>
    <w:uiPriority w:val="99"/>
    <w:rPr>
      <w:rFonts w:ascii="等线" w:hAnsi="Courier New" w:cs="Courier New"/>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2025-07-11T01:38:00Z</dcterms:created>
  <dc:creator>ZZX</dc:creator>
  <cp:lastModifiedBy>张喆先</cp:lastModifiedBy>
  <dcterms:modified xsi:type="dcterms:W3CDTF">2025-09-12T09:34:38Z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BEE984C502E346F7992F24B9A8CD415C</vt:lpwstr>
  </property>
  <property fmtid="{D5CDD505-2E9C-101B-9397-08002B2CF9AE}" pid="4" name="KSOTemplateDocerSaveRecord">
    <vt:lpwstr>eyJoZGlkIjoiODk2ZWY3Yjg2MGE1NTBjZmFmMGI1ZmU4MDAyMWU0OTIiLCJ1c2VySWQiOiIxNjU3MzI4MDg2In0=</vt:lpwstr>
  </property>
</Properties>
</file>