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FA6906"/>
    <w:p w14:paraId="0DEB1B73"/>
    <w:p w14:paraId="3D83F57B">
      <w:pPr>
        <w:spacing w:before="312" w:beforeLines="100" w:line="180" w:lineRule="atLeast"/>
        <w:ind w:left="180" w:right="180"/>
        <w:jc w:val="center"/>
        <w:rPr>
          <w:rFonts w:eastAsia="黑体"/>
          <w:b/>
          <w:color w:val="000000"/>
          <w:sz w:val="44"/>
          <w:szCs w:val="44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黄埔区妇幼保健院（广州开发区医院永和院区）新建项目</w:t>
      </w:r>
    </w:p>
    <w:p w14:paraId="07C70297">
      <w:pPr>
        <w:jc w:val="center"/>
        <w:rPr>
          <w:rFonts w:ascii="黑体" w:hAnsi="黑体" w:eastAsia="黑体"/>
          <w:b/>
          <w:sz w:val="44"/>
          <w:szCs w:val="44"/>
        </w:rPr>
      </w:pPr>
      <w:r>
        <w:rPr>
          <w:rFonts w:hint="eastAsia" w:ascii="黑体" w:hAnsi="黑体" w:eastAsia="黑体"/>
          <w:b/>
          <w:sz w:val="44"/>
          <w:szCs w:val="44"/>
        </w:rPr>
        <w:t>交通地图分析报告书</w:t>
      </w:r>
    </w:p>
    <w:p w14:paraId="37DCE6D0">
      <w:pPr>
        <w:jc w:val="center"/>
        <w:rPr>
          <w:rFonts w:ascii="Times New Roman" w:hAnsi="Times New Roman"/>
          <w:sz w:val="32"/>
          <w:szCs w:val="32"/>
        </w:rPr>
      </w:pPr>
    </w:p>
    <w:p w14:paraId="6659333F">
      <w:pPr>
        <w:jc w:val="center"/>
        <w:rPr>
          <w:sz w:val="32"/>
          <w:szCs w:val="32"/>
        </w:rPr>
      </w:pPr>
    </w:p>
    <w:p w14:paraId="4E90B82A">
      <w:pPr>
        <w:jc w:val="center"/>
        <w:rPr>
          <w:sz w:val="32"/>
          <w:szCs w:val="32"/>
        </w:rPr>
      </w:pPr>
    </w:p>
    <w:p w14:paraId="07924243">
      <w:pPr>
        <w:jc w:val="center"/>
        <w:rPr>
          <w:sz w:val="32"/>
          <w:szCs w:val="32"/>
        </w:rPr>
      </w:pPr>
    </w:p>
    <w:p w14:paraId="4E59162E">
      <w:pPr>
        <w:jc w:val="center"/>
        <w:rPr>
          <w:sz w:val="32"/>
          <w:szCs w:val="32"/>
        </w:rPr>
      </w:pPr>
      <w:bookmarkStart w:id="0" w:name="_GoBack"/>
      <w:bookmarkEnd w:id="0"/>
    </w:p>
    <w:p w14:paraId="71D5D0FC">
      <w:pPr>
        <w:jc w:val="center"/>
        <w:rPr>
          <w:sz w:val="32"/>
          <w:szCs w:val="32"/>
        </w:rPr>
      </w:pPr>
    </w:p>
    <w:p w14:paraId="661DC2FD">
      <w:pPr>
        <w:jc w:val="center"/>
        <w:rPr>
          <w:sz w:val="32"/>
          <w:szCs w:val="32"/>
        </w:rPr>
      </w:pPr>
    </w:p>
    <w:p w14:paraId="21294603">
      <w:pPr>
        <w:spacing w:line="360" w:lineRule="auto"/>
        <w:rPr>
          <w:rFonts w:ascii="宋体" w:hAnsi="宋体"/>
          <w:color w:val="000000"/>
          <w:sz w:val="24"/>
          <w:szCs w:val="24"/>
        </w:rPr>
      </w:pPr>
    </w:p>
    <w:p w14:paraId="4BA853E2">
      <w:pPr>
        <w:spacing w:line="360" w:lineRule="auto"/>
        <w:ind w:firstLine="602" w:firstLineChars="200"/>
        <w:jc w:val="center"/>
        <w:rPr>
          <w:rFonts w:ascii="宋体" w:hAnsi="宋体"/>
          <w:b/>
          <w:bCs/>
          <w:color w:val="000000"/>
          <w:sz w:val="30"/>
          <w:szCs w:val="30"/>
        </w:rPr>
      </w:pPr>
      <w:r>
        <w:rPr>
          <w:rFonts w:hint="eastAsia" w:ascii="黑体" w:hAnsi="黑体" w:eastAsia="黑体"/>
          <w:b/>
          <w:bCs/>
          <w:sz w:val="30"/>
          <w:szCs w:val="30"/>
        </w:rPr>
        <w:t>广州珠江</w:t>
      </w:r>
      <w:r>
        <w:rPr>
          <w:rFonts w:ascii="黑体" w:hAnsi="黑体" w:eastAsia="黑体"/>
          <w:b/>
          <w:bCs/>
          <w:sz w:val="30"/>
          <w:szCs w:val="30"/>
        </w:rPr>
        <w:t>设计</w:t>
      </w:r>
      <w:r>
        <w:rPr>
          <w:rFonts w:hint="eastAsia" w:ascii="黑体" w:hAnsi="黑体" w:eastAsia="黑体"/>
          <w:b/>
          <w:bCs/>
          <w:sz w:val="30"/>
          <w:szCs w:val="30"/>
          <w:lang w:val="en-US" w:eastAsia="zh-CN"/>
        </w:rPr>
        <w:t>集团</w:t>
      </w:r>
      <w:r>
        <w:rPr>
          <w:rFonts w:ascii="黑体" w:hAnsi="黑体" w:eastAsia="黑体"/>
          <w:b/>
          <w:bCs/>
          <w:sz w:val="30"/>
          <w:szCs w:val="30"/>
        </w:rPr>
        <w:t>有限</w:t>
      </w:r>
      <w:r>
        <w:rPr>
          <w:rFonts w:hint="eastAsia" w:ascii="黑体" w:hAnsi="黑体" w:eastAsia="黑体"/>
          <w:b/>
          <w:bCs/>
          <w:sz w:val="30"/>
          <w:szCs w:val="30"/>
        </w:rPr>
        <w:t>公司</w:t>
      </w:r>
    </w:p>
    <w:p w14:paraId="19B2A91F">
      <w:pPr>
        <w:spacing w:line="360" w:lineRule="auto"/>
        <w:ind w:firstLine="480" w:firstLineChars="200"/>
        <w:rPr>
          <w:rFonts w:ascii="宋体" w:hAnsi="宋体"/>
          <w:color w:val="000000"/>
          <w:sz w:val="24"/>
          <w:szCs w:val="24"/>
        </w:rPr>
      </w:pPr>
    </w:p>
    <w:p w14:paraId="496665D4">
      <w:pPr>
        <w:spacing w:line="360" w:lineRule="auto"/>
        <w:ind w:firstLine="480" w:firstLineChars="20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</w:rPr>
        <w:t>本项目所在地</w:t>
      </w:r>
      <w:r>
        <w:rPr>
          <w:color w:val="000000"/>
          <w:sz w:val="24"/>
          <w:szCs w:val="24"/>
        </w:rPr>
        <w:t>为黄埔区，建筑周边交通便利，</w:t>
      </w:r>
      <w:r>
        <w:rPr>
          <w:rFonts w:hint="eastAsia"/>
          <w:color w:val="000000"/>
          <w:sz w:val="24"/>
          <w:szCs w:val="24"/>
        </w:rPr>
        <w:t>公交</w:t>
      </w:r>
      <w:r>
        <w:rPr>
          <w:color w:val="000000"/>
          <w:sz w:val="24"/>
          <w:szCs w:val="24"/>
        </w:rPr>
        <w:t>站场</w:t>
      </w:r>
      <w:r>
        <w:rPr>
          <w:rFonts w:hint="eastAsia"/>
          <w:color w:val="000000"/>
          <w:sz w:val="24"/>
          <w:szCs w:val="24"/>
        </w:rPr>
        <w:t>交通</w:t>
      </w:r>
      <w:r>
        <w:rPr>
          <w:color w:val="000000"/>
          <w:sz w:val="24"/>
          <w:szCs w:val="24"/>
        </w:rPr>
        <w:t>路线不少于3</w:t>
      </w:r>
      <w:r>
        <w:rPr>
          <w:rFonts w:hint="eastAsia"/>
          <w:color w:val="000000"/>
          <w:sz w:val="24"/>
          <w:szCs w:val="24"/>
        </w:rPr>
        <w:t>条，且</w:t>
      </w:r>
      <w:r>
        <w:rPr>
          <w:color w:val="000000"/>
          <w:sz w:val="24"/>
          <w:szCs w:val="24"/>
        </w:rPr>
        <w:t>有便捷的人行通道连接公交站点</w:t>
      </w:r>
      <w:r>
        <w:rPr>
          <w:rFonts w:hint="eastAsia"/>
          <w:color w:val="000000"/>
          <w:sz w:val="24"/>
          <w:szCs w:val="24"/>
        </w:rPr>
        <w:t>。公交站点</w:t>
      </w:r>
      <w:r>
        <w:rPr>
          <w:color w:val="000000"/>
          <w:sz w:val="24"/>
          <w:szCs w:val="24"/>
        </w:rPr>
        <w:t>分别为：</w:t>
      </w:r>
      <w:r>
        <w:rPr>
          <w:rFonts w:hint="eastAsia"/>
          <w:b/>
          <w:color w:val="000000"/>
          <w:sz w:val="24"/>
          <w:szCs w:val="24"/>
        </w:rPr>
        <w:t>永和总站（常春藤）</w:t>
      </w:r>
      <w:r>
        <w:rPr>
          <w:b/>
          <w:color w:val="000000"/>
          <w:sz w:val="24"/>
          <w:szCs w:val="24"/>
        </w:rPr>
        <w:t>公交站</w:t>
      </w:r>
      <w:r>
        <w:rPr>
          <w:color w:val="000000"/>
          <w:sz w:val="24"/>
          <w:szCs w:val="24"/>
        </w:rPr>
        <w:t>，距项目223</w:t>
      </w:r>
      <w:r>
        <w:rPr>
          <w:rFonts w:hint="eastAsia"/>
          <w:color w:val="000000"/>
          <w:sz w:val="24"/>
          <w:szCs w:val="24"/>
        </w:rPr>
        <w:t>米，</w:t>
      </w:r>
      <w:r>
        <w:rPr>
          <w:color w:val="000000"/>
          <w:sz w:val="24"/>
          <w:szCs w:val="24"/>
        </w:rPr>
        <w:t>途径线路为379路</w:t>
      </w:r>
      <w:r>
        <w:rPr>
          <w:rFonts w:hint="eastAsia"/>
          <w:color w:val="000000"/>
          <w:sz w:val="24"/>
          <w:szCs w:val="24"/>
        </w:rPr>
        <w:t>；</w:t>
      </w:r>
      <w:r>
        <w:rPr>
          <w:rFonts w:hint="eastAsia"/>
          <w:b/>
          <w:sz w:val="24"/>
          <w:szCs w:val="24"/>
        </w:rPr>
        <w:t>禾丰村公交</w:t>
      </w:r>
      <w:r>
        <w:rPr>
          <w:b/>
          <w:sz w:val="24"/>
          <w:szCs w:val="24"/>
        </w:rPr>
        <w:t>站</w:t>
      </w:r>
      <w:r>
        <w:rPr>
          <w:sz w:val="24"/>
          <w:szCs w:val="24"/>
        </w:rPr>
        <w:t>，距项目23</w:t>
      </w:r>
      <w:r>
        <w:rPr>
          <w:rFonts w:hint="eastAsia"/>
          <w:sz w:val="24"/>
          <w:szCs w:val="24"/>
        </w:rPr>
        <w:t>米，</w:t>
      </w:r>
      <w:r>
        <w:rPr>
          <w:sz w:val="24"/>
          <w:szCs w:val="24"/>
        </w:rPr>
        <w:t>途径线路为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65A路、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65路、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66路</w:t>
      </w:r>
      <w:r>
        <w:rPr>
          <w:color w:val="000000"/>
          <w:sz w:val="24"/>
          <w:szCs w:val="24"/>
        </w:rPr>
        <w:t>；</w:t>
      </w:r>
      <w:r>
        <w:rPr>
          <w:rFonts w:hint="eastAsia"/>
          <w:b/>
          <w:color w:val="000000"/>
          <w:sz w:val="24"/>
          <w:szCs w:val="24"/>
        </w:rPr>
        <w:t>永和大道（常春藤）公</w:t>
      </w:r>
      <w:r>
        <w:rPr>
          <w:b/>
          <w:color w:val="000000"/>
          <w:sz w:val="24"/>
          <w:szCs w:val="24"/>
        </w:rPr>
        <w:t>交站</w:t>
      </w:r>
      <w:r>
        <w:rPr>
          <w:color w:val="000000"/>
          <w:sz w:val="24"/>
          <w:szCs w:val="24"/>
        </w:rPr>
        <w:t>，距项目326</w:t>
      </w:r>
      <w:r>
        <w:rPr>
          <w:rFonts w:hint="eastAsia"/>
          <w:color w:val="000000"/>
          <w:sz w:val="24"/>
          <w:szCs w:val="24"/>
        </w:rPr>
        <w:t>米，</w:t>
      </w:r>
      <w:r>
        <w:rPr>
          <w:color w:val="000000"/>
          <w:sz w:val="24"/>
          <w:szCs w:val="24"/>
        </w:rPr>
        <w:t>途径线路为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65A路、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65路、</w:t>
      </w: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66路</w:t>
      </w:r>
      <w:r>
        <w:rPr>
          <w:color w:val="000000"/>
          <w:sz w:val="24"/>
          <w:szCs w:val="24"/>
        </w:rPr>
        <w:t>、</w:t>
      </w:r>
      <w:r>
        <w:rPr>
          <w:rFonts w:hint="eastAsia"/>
          <w:color w:val="000000"/>
          <w:sz w:val="24"/>
          <w:szCs w:val="24"/>
        </w:rPr>
        <w:t>3</w:t>
      </w:r>
      <w:r>
        <w:rPr>
          <w:color w:val="000000"/>
          <w:sz w:val="24"/>
          <w:szCs w:val="24"/>
        </w:rPr>
        <w:t>79路</w:t>
      </w:r>
      <w:r>
        <w:rPr>
          <w:rFonts w:hint="eastAsia"/>
          <w:color w:val="000000"/>
          <w:sz w:val="24"/>
          <w:szCs w:val="24"/>
        </w:rPr>
        <w:t>；</w:t>
      </w:r>
      <w:r>
        <w:rPr>
          <w:rFonts w:hint="eastAsia"/>
          <w:b/>
          <w:color w:val="000000"/>
          <w:sz w:val="24"/>
          <w:szCs w:val="24"/>
        </w:rPr>
        <w:t>永丰路（华峰路口）公交站</w:t>
      </w:r>
      <w:r>
        <w:rPr>
          <w:rFonts w:hint="eastAsia"/>
          <w:color w:val="000000"/>
          <w:sz w:val="24"/>
          <w:szCs w:val="24"/>
        </w:rPr>
        <w:t>，距项目3</w:t>
      </w:r>
      <w:r>
        <w:rPr>
          <w:color w:val="000000"/>
          <w:sz w:val="24"/>
          <w:szCs w:val="24"/>
        </w:rPr>
        <w:t>86米，途径线路为</w:t>
      </w:r>
      <w:r>
        <w:rPr>
          <w:rFonts w:hint="eastAsia"/>
          <w:color w:val="000000"/>
          <w:sz w:val="24"/>
          <w:szCs w:val="24"/>
        </w:rPr>
        <w:t>3</w:t>
      </w:r>
      <w:r>
        <w:rPr>
          <w:color w:val="000000"/>
          <w:sz w:val="24"/>
          <w:szCs w:val="24"/>
        </w:rPr>
        <w:t>41路；</w:t>
      </w:r>
      <w:r>
        <w:rPr>
          <w:b/>
          <w:color w:val="000000"/>
          <w:sz w:val="24"/>
          <w:szCs w:val="24"/>
        </w:rPr>
        <w:t>华峰路（红旗村）公交站</w:t>
      </w:r>
      <w:r>
        <w:rPr>
          <w:color w:val="000000"/>
          <w:sz w:val="24"/>
          <w:szCs w:val="24"/>
        </w:rPr>
        <w:t>，据项目</w:t>
      </w:r>
      <w:r>
        <w:rPr>
          <w:rFonts w:hint="eastAsia"/>
          <w:color w:val="000000"/>
          <w:sz w:val="24"/>
          <w:szCs w:val="24"/>
        </w:rPr>
        <w:t>4</w:t>
      </w:r>
      <w:r>
        <w:rPr>
          <w:color w:val="000000"/>
          <w:sz w:val="24"/>
          <w:szCs w:val="24"/>
        </w:rPr>
        <w:t>27米，途径线路为</w:t>
      </w:r>
      <w:r>
        <w:rPr>
          <w:rFonts w:hint="eastAsia"/>
          <w:color w:val="000000"/>
          <w:sz w:val="24"/>
          <w:szCs w:val="24"/>
        </w:rPr>
        <w:t>3</w:t>
      </w:r>
      <w:r>
        <w:rPr>
          <w:color w:val="000000"/>
          <w:sz w:val="24"/>
          <w:szCs w:val="24"/>
        </w:rPr>
        <w:t>30A路，</w:t>
      </w:r>
      <w:r>
        <w:rPr>
          <w:rFonts w:hint="eastAsia"/>
          <w:color w:val="000000"/>
          <w:sz w:val="24"/>
          <w:szCs w:val="24"/>
        </w:rPr>
        <w:t>3</w:t>
      </w:r>
      <w:r>
        <w:rPr>
          <w:color w:val="000000"/>
          <w:sz w:val="24"/>
          <w:szCs w:val="24"/>
        </w:rPr>
        <w:t>41路；详见下图所示。</w:t>
      </w:r>
      <w:r>
        <w:rPr>
          <w:rFonts w:hint="eastAsia" w:ascii="Times New Roman" w:hAnsi="Times New Roman"/>
          <w:color w:val="000000"/>
          <w:sz w:val="24"/>
          <w:szCs w:val="24"/>
        </w:rPr>
        <w:t>因此</w:t>
      </w:r>
      <w:r>
        <w:rPr>
          <w:rFonts w:ascii="Times New Roman" w:hAnsi="Times New Roman"/>
          <w:color w:val="000000"/>
          <w:sz w:val="24"/>
          <w:szCs w:val="24"/>
        </w:rPr>
        <w:t>，项目拟建后500m范围内</w:t>
      </w:r>
      <w:r>
        <w:rPr>
          <w:rFonts w:hint="eastAsia" w:ascii="Times New Roman" w:hAnsi="Times New Roman"/>
          <w:color w:val="000000"/>
          <w:sz w:val="24"/>
          <w:szCs w:val="24"/>
        </w:rPr>
        <w:t>的</w:t>
      </w:r>
      <w:r>
        <w:rPr>
          <w:rFonts w:ascii="Times New Roman" w:hAnsi="Times New Roman"/>
          <w:color w:val="000000"/>
          <w:sz w:val="24"/>
          <w:szCs w:val="24"/>
        </w:rPr>
        <w:t>室外交通状况满足</w:t>
      </w:r>
      <w:r>
        <w:rPr>
          <w:rFonts w:hint="eastAsia" w:ascii="Times New Roman" w:hAnsi="Times New Roman"/>
          <w:color w:val="000000"/>
          <w:sz w:val="24"/>
          <w:szCs w:val="24"/>
        </w:rPr>
        <w:t>《</w:t>
      </w:r>
      <w:r>
        <w:rPr>
          <w:rFonts w:ascii="Times New Roman" w:hAnsi="Times New Roman"/>
          <w:color w:val="000000"/>
          <w:sz w:val="24"/>
          <w:szCs w:val="24"/>
        </w:rPr>
        <w:t>绿色建筑评价标准</w:t>
      </w:r>
      <w:r>
        <w:rPr>
          <w:rFonts w:hint="eastAsia" w:ascii="Times New Roman" w:hAnsi="Times New Roman"/>
          <w:color w:val="000000"/>
          <w:sz w:val="24"/>
          <w:szCs w:val="24"/>
        </w:rPr>
        <w:t>》</w:t>
      </w:r>
      <w:r>
        <w:rPr>
          <w:rFonts w:ascii="Times New Roman" w:hAnsi="Times New Roman"/>
          <w:color w:val="000000"/>
          <w:sz w:val="24"/>
          <w:szCs w:val="24"/>
        </w:rPr>
        <w:t>GB/T 50378-2019</w:t>
      </w:r>
      <w:r>
        <w:rPr>
          <w:rFonts w:hint="eastAsia" w:ascii="Times New Roman" w:hAnsi="Times New Roman"/>
          <w:color w:val="000000"/>
          <w:sz w:val="24"/>
          <w:szCs w:val="24"/>
        </w:rPr>
        <w:t>第6.1.2条</w:t>
      </w:r>
      <w:r>
        <w:rPr>
          <w:rFonts w:ascii="Times New Roman" w:hAnsi="Times New Roman"/>
          <w:color w:val="000000"/>
          <w:sz w:val="24"/>
          <w:szCs w:val="24"/>
        </w:rPr>
        <w:t>，场地人行出入口8</w:t>
      </w:r>
      <w:r>
        <w:rPr>
          <w:rFonts w:hint="eastAsia" w:ascii="Times New Roman" w:hAnsi="Times New Roman"/>
          <w:color w:val="000000"/>
          <w:sz w:val="24"/>
          <w:szCs w:val="24"/>
        </w:rPr>
        <w:t>00m内</w:t>
      </w:r>
      <w:r>
        <w:rPr>
          <w:rFonts w:ascii="Times New Roman" w:hAnsi="Times New Roman"/>
          <w:color w:val="000000"/>
          <w:sz w:val="24"/>
          <w:szCs w:val="24"/>
        </w:rPr>
        <w:t>设有</w:t>
      </w:r>
      <w:r>
        <w:rPr>
          <w:rFonts w:hint="eastAsia" w:ascii="Times New Roman" w:hAnsi="Times New Roman"/>
          <w:color w:val="000000"/>
          <w:sz w:val="24"/>
          <w:szCs w:val="24"/>
        </w:rPr>
        <w:t>2条</w:t>
      </w:r>
      <w:r>
        <w:rPr>
          <w:rFonts w:ascii="Times New Roman" w:hAnsi="Times New Roman"/>
          <w:color w:val="000000"/>
          <w:sz w:val="24"/>
          <w:szCs w:val="24"/>
        </w:rPr>
        <w:t>以上公共交通站点</w:t>
      </w:r>
      <w:r>
        <w:rPr>
          <w:rFonts w:hint="eastAsia" w:ascii="Times New Roman" w:hAnsi="Times New Roman"/>
          <w:color w:val="000000"/>
          <w:sz w:val="24"/>
          <w:szCs w:val="24"/>
        </w:rPr>
        <w:t>，</w:t>
      </w:r>
      <w:r>
        <w:rPr>
          <w:rFonts w:ascii="Times New Roman" w:hAnsi="Times New Roman"/>
          <w:color w:val="000000"/>
          <w:sz w:val="24"/>
          <w:szCs w:val="24"/>
        </w:rPr>
        <w:t>且场地出入口到达公共交通站点的步行距离不大于3</w:t>
      </w:r>
      <w:r>
        <w:rPr>
          <w:rFonts w:hint="eastAsia" w:ascii="Times New Roman" w:hAnsi="Times New Roman"/>
          <w:color w:val="000000"/>
          <w:sz w:val="24"/>
          <w:szCs w:val="24"/>
        </w:rPr>
        <w:t>00m</w:t>
      </w:r>
      <w:r>
        <w:rPr>
          <w:rFonts w:ascii="Times New Roman" w:hAnsi="Times New Roman"/>
          <w:color w:val="000000"/>
          <w:sz w:val="24"/>
          <w:szCs w:val="24"/>
        </w:rPr>
        <w:t>；满足第6.2.1条文第2、第3点的要求，得8分。</w:t>
      </w:r>
    </w:p>
    <w:p w14:paraId="4BE28CF7">
      <w:pPr>
        <w:jc w:val="center"/>
      </w:pPr>
      <w:r>
        <w:pict>
          <v:shape id="_x0000_i1025" o:spt="75" type="#_x0000_t75" style="height:351.85pt;width:697.6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</w:p>
    <w:p w14:paraId="16B9DFA9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图</w:t>
      </w:r>
      <w:r>
        <w:rPr>
          <w:rFonts w:ascii="Times New Roman" w:hAnsi="Times New Roman"/>
          <w:sz w:val="24"/>
          <w:szCs w:val="24"/>
        </w:rPr>
        <w:t xml:space="preserve">1 </w:t>
      </w:r>
      <w:r>
        <w:rPr>
          <w:rFonts w:hint="eastAsia" w:ascii="Times New Roman" w:hAnsi="Times New Roman"/>
          <w:sz w:val="24"/>
          <w:szCs w:val="24"/>
        </w:rPr>
        <w:t>项目</w:t>
      </w:r>
      <w:r>
        <w:rPr>
          <w:rFonts w:ascii="Times New Roman" w:hAnsi="Times New Roman"/>
          <w:sz w:val="24"/>
          <w:szCs w:val="24"/>
        </w:rPr>
        <w:t>出入口距离</w:t>
      </w:r>
      <w:r>
        <w:rPr>
          <w:rFonts w:hint="eastAsia" w:ascii="Times New Roman" w:hAnsi="Times New Roman"/>
          <w:sz w:val="24"/>
          <w:szCs w:val="24"/>
        </w:rPr>
        <w:t>公共汽车站</w:t>
      </w:r>
      <w:r>
        <w:rPr>
          <w:rFonts w:ascii="Times New Roman" w:hAnsi="Times New Roman"/>
          <w:sz w:val="24"/>
          <w:szCs w:val="24"/>
        </w:rPr>
        <w:t>点</w:t>
      </w:r>
      <w:r>
        <w:rPr>
          <w:rFonts w:hint="eastAsia" w:ascii="Times New Roman" w:hAnsi="Times New Roman"/>
          <w:sz w:val="24"/>
          <w:szCs w:val="24"/>
        </w:rPr>
        <w:t>场地分析</w:t>
      </w:r>
      <w:r>
        <w:rPr>
          <w:rFonts w:ascii="Times New Roman" w:hAnsi="Times New Roman"/>
          <w:sz w:val="24"/>
          <w:szCs w:val="24"/>
        </w:rPr>
        <w:t>图</w:t>
      </w:r>
    </w:p>
    <w:p w14:paraId="227E9EEF">
      <w:pPr>
        <w:rPr>
          <w:rFonts w:ascii="Times New Roman" w:hAnsi="Times New Roman"/>
          <w:sz w:val="24"/>
          <w:szCs w:val="24"/>
        </w:rPr>
      </w:pPr>
    </w:p>
    <w:sectPr>
      <w:headerReference r:id="rId3" w:type="default"/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D8C3B4">
    <w:pPr>
      <w:pStyle w:val="5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DEC"/>
    <w:rsid w:val="0003319B"/>
    <w:rsid w:val="0008160E"/>
    <w:rsid w:val="000A1276"/>
    <w:rsid w:val="000B2580"/>
    <w:rsid w:val="000C77B6"/>
    <w:rsid w:val="00193125"/>
    <w:rsid w:val="001A2C6E"/>
    <w:rsid w:val="001D4BF9"/>
    <w:rsid w:val="002102E4"/>
    <w:rsid w:val="00212C16"/>
    <w:rsid w:val="002F093C"/>
    <w:rsid w:val="002F28EA"/>
    <w:rsid w:val="002F3265"/>
    <w:rsid w:val="003044AE"/>
    <w:rsid w:val="0032583D"/>
    <w:rsid w:val="00327B51"/>
    <w:rsid w:val="00354CE3"/>
    <w:rsid w:val="00355D7F"/>
    <w:rsid w:val="003E211D"/>
    <w:rsid w:val="003F7B2B"/>
    <w:rsid w:val="00437109"/>
    <w:rsid w:val="00445FD9"/>
    <w:rsid w:val="00464A73"/>
    <w:rsid w:val="00464CF2"/>
    <w:rsid w:val="00481226"/>
    <w:rsid w:val="00512427"/>
    <w:rsid w:val="005407E8"/>
    <w:rsid w:val="00542EB1"/>
    <w:rsid w:val="00575548"/>
    <w:rsid w:val="0058484B"/>
    <w:rsid w:val="00596811"/>
    <w:rsid w:val="005A2A8A"/>
    <w:rsid w:val="005A7B30"/>
    <w:rsid w:val="005F334D"/>
    <w:rsid w:val="00606D04"/>
    <w:rsid w:val="00630153"/>
    <w:rsid w:val="0066407A"/>
    <w:rsid w:val="0067743C"/>
    <w:rsid w:val="006F533B"/>
    <w:rsid w:val="0074204E"/>
    <w:rsid w:val="007425AA"/>
    <w:rsid w:val="0074447B"/>
    <w:rsid w:val="00751CA4"/>
    <w:rsid w:val="00756EE1"/>
    <w:rsid w:val="007712A7"/>
    <w:rsid w:val="00771C9D"/>
    <w:rsid w:val="00782544"/>
    <w:rsid w:val="007A7A2B"/>
    <w:rsid w:val="00842CF3"/>
    <w:rsid w:val="009379F1"/>
    <w:rsid w:val="00964652"/>
    <w:rsid w:val="0098199F"/>
    <w:rsid w:val="009A62E9"/>
    <w:rsid w:val="009E4DEC"/>
    <w:rsid w:val="009F00D3"/>
    <w:rsid w:val="00A00CCF"/>
    <w:rsid w:val="00A1076B"/>
    <w:rsid w:val="00A16D18"/>
    <w:rsid w:val="00A24BA9"/>
    <w:rsid w:val="00A26F90"/>
    <w:rsid w:val="00A27A8D"/>
    <w:rsid w:val="00A5309C"/>
    <w:rsid w:val="00A73D09"/>
    <w:rsid w:val="00A74BBC"/>
    <w:rsid w:val="00A91C45"/>
    <w:rsid w:val="00AB1028"/>
    <w:rsid w:val="00AE6DC7"/>
    <w:rsid w:val="00AF2937"/>
    <w:rsid w:val="00B875FB"/>
    <w:rsid w:val="00BA47B7"/>
    <w:rsid w:val="00C3530D"/>
    <w:rsid w:val="00C65F42"/>
    <w:rsid w:val="00C70465"/>
    <w:rsid w:val="00C9740D"/>
    <w:rsid w:val="00CE42C4"/>
    <w:rsid w:val="00D00E4D"/>
    <w:rsid w:val="00D2455E"/>
    <w:rsid w:val="00D40F6E"/>
    <w:rsid w:val="00D44B49"/>
    <w:rsid w:val="00DC63FE"/>
    <w:rsid w:val="00DF142E"/>
    <w:rsid w:val="00E24C89"/>
    <w:rsid w:val="00E34739"/>
    <w:rsid w:val="00E7178C"/>
    <w:rsid w:val="00EA2C7D"/>
    <w:rsid w:val="00EE5514"/>
    <w:rsid w:val="00F00A0C"/>
    <w:rsid w:val="00F35FAD"/>
    <w:rsid w:val="00F3774E"/>
    <w:rsid w:val="00F532E0"/>
    <w:rsid w:val="00F57499"/>
    <w:rsid w:val="00F60464"/>
    <w:rsid w:val="00FD691B"/>
    <w:rsid w:val="00FF7766"/>
    <w:rsid w:val="2FE67DC0"/>
    <w:rsid w:val="4301497A"/>
    <w:rsid w:val="43643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uiPriority="0" w:name="annotation text"/>
    <w:lsdException w:uiPriority="99" w:semiHidden="0" w:name="header"/>
    <w:lsdException w:uiPriority="99" w:semiHidden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99" w:semiHidden="0" w:name="Balloon Text"/>
    <w:lsdException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2"/>
    <w:semiHidden/>
    <w:unhideWhenUsed/>
    <w:qFormat/>
    <w:uiPriority w:val="0"/>
    <w:rPr>
      <w:rFonts w:ascii="宋体"/>
      <w:sz w:val="18"/>
      <w:szCs w:val="18"/>
    </w:rPr>
  </w:style>
  <w:style w:type="paragraph" w:styleId="3">
    <w:name w:val="Balloon Text"/>
    <w:basedOn w:val="1"/>
    <w:link w:val="10"/>
    <w:unhideWhenUsed/>
    <w:uiPriority w:val="99"/>
    <w:rPr>
      <w:rFonts w:cs="黑体"/>
      <w:sz w:val="18"/>
      <w:szCs w:val="18"/>
    </w:rPr>
  </w:style>
  <w:style w:type="paragraph" w:styleId="4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cs="黑体"/>
      <w:sz w:val="18"/>
      <w:szCs w:val="18"/>
    </w:rPr>
  </w:style>
  <w:style w:type="paragraph" w:styleId="5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cs="黑体"/>
      <w:sz w:val="18"/>
      <w:szCs w:val="18"/>
    </w:rPr>
  </w:style>
  <w:style w:type="character" w:customStyle="1" w:styleId="8">
    <w:name w:val="页眉 Char"/>
    <w:link w:val="5"/>
    <w:uiPriority w:val="99"/>
    <w:rPr>
      <w:sz w:val="18"/>
      <w:szCs w:val="18"/>
    </w:rPr>
  </w:style>
  <w:style w:type="character" w:customStyle="1" w:styleId="9">
    <w:name w:val="页脚 Char"/>
    <w:link w:val="4"/>
    <w:uiPriority w:val="99"/>
    <w:rPr>
      <w:sz w:val="18"/>
      <w:szCs w:val="18"/>
    </w:rPr>
  </w:style>
  <w:style w:type="character" w:customStyle="1" w:styleId="10">
    <w:name w:val="批注框文本 Char"/>
    <w:link w:val="3"/>
    <w:semiHidden/>
    <w:uiPriority w:val="99"/>
    <w:rPr>
      <w:sz w:val="18"/>
      <w:szCs w:val="18"/>
    </w:rPr>
  </w:style>
  <w:style w:type="paragraph" w:customStyle="1" w:styleId="11">
    <w:name w:val="Char Char Char Char Char Char"/>
    <w:basedOn w:val="2"/>
    <w:uiPriority w:val="0"/>
    <w:pPr>
      <w:shd w:val="clear" w:color="auto" w:fill="000080"/>
    </w:pPr>
    <w:rPr>
      <w:rFonts w:ascii="Tahoma" w:hAnsi="Tahoma" w:cs="宋体"/>
      <w:sz w:val="24"/>
      <w:szCs w:val="24"/>
    </w:rPr>
  </w:style>
  <w:style w:type="character" w:customStyle="1" w:styleId="12">
    <w:name w:val="文档结构图 Char"/>
    <w:link w:val="2"/>
    <w:semiHidden/>
    <w:qFormat/>
    <w:uiPriority w:val="0"/>
    <w:rPr>
      <w:rFonts w:ascii="宋体" w:hAnsi="Calibr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C89535-F9AA-4BFC-842B-813855778ED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 China</Company>
  <Pages>3</Pages>
  <Words>383</Words>
  <Characters>446</Characters>
  <Lines>3</Lines>
  <Paragraphs>1</Paragraphs>
  <TotalTime>0</TotalTime>
  <ScaleCrop>false</ScaleCrop>
  <LinksUpToDate>false</LinksUpToDate>
  <CharactersWithSpaces>448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2014-12-17T06:30:00Z</dcterms:created>
  <dc:creator>Microsoft User</dc:creator>
  <cp:lastModifiedBy>莎莎</cp:lastModifiedBy>
  <cp:lastPrinted>2014-04-03T05:20:00Z</cp:lastPrinted>
  <dcterms:modified xsi:type="dcterms:W3CDTF">2026-01-05T02:38:29Z</dcterms:modified>
  <dc:title>花都区中轴线石岗安置区二期工程</dc:title>
  <cp:revision>34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eyJoZGlkIjoiNjZhMjFjMzlhYmZkMDAxNjZlOTQ1YTdjZmFmZDFmZTUiLCJ1c2VySWQiOiIxMzA4OTQwMzQ0In0=</vt:lpwstr>
  </property>
  <property fmtid="{D5CDD505-2E9C-101B-9397-08002B2CF9AE}" pid="4" name="ICV">
    <vt:lpwstr>CE6A78968A4B46E6B8DFE878079B4165_12</vt:lpwstr>
  </property>
</Properties>
</file>