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52214"/>
    <w:p w14:paraId="2FD861F5"/>
    <w:p w14:paraId="22BFB3B1"/>
    <w:p w14:paraId="35E714FC">
      <w:pPr>
        <w:rPr>
          <w:rFonts w:ascii="黑体" w:hAnsi="黑体" w:eastAsia="黑体"/>
          <w:sz w:val="32"/>
          <w:szCs w:val="32"/>
        </w:rPr>
      </w:pPr>
    </w:p>
    <w:p w14:paraId="11BD833E">
      <w:pPr>
        <w:spacing w:before="312" w:beforeLines="100" w:line="180" w:lineRule="atLeast"/>
        <w:ind w:left="180" w:right="180"/>
        <w:jc w:val="center"/>
        <w:rPr>
          <w:rFonts w:hint="eastAsia" w:eastAsia="黑体"/>
          <w:b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黄埔区妇幼保健院（广州开发区医院永和院区）新建项目</w:t>
      </w:r>
    </w:p>
    <w:p w14:paraId="2853A53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公共服务分析图</w:t>
      </w:r>
    </w:p>
    <w:p w14:paraId="3F8DE444">
      <w:pPr>
        <w:jc w:val="center"/>
        <w:rPr>
          <w:rFonts w:ascii="Times New Roman" w:hAnsi="Times New Roman"/>
          <w:sz w:val="32"/>
          <w:szCs w:val="32"/>
        </w:rPr>
      </w:pPr>
    </w:p>
    <w:p w14:paraId="4A9543B2">
      <w:pPr>
        <w:jc w:val="center"/>
        <w:rPr>
          <w:sz w:val="32"/>
          <w:szCs w:val="32"/>
        </w:rPr>
      </w:pPr>
    </w:p>
    <w:p w14:paraId="6E919D3F">
      <w:pPr>
        <w:jc w:val="center"/>
        <w:rPr>
          <w:sz w:val="32"/>
          <w:szCs w:val="32"/>
        </w:rPr>
      </w:pPr>
    </w:p>
    <w:p w14:paraId="32C36723">
      <w:pPr>
        <w:jc w:val="center"/>
        <w:rPr>
          <w:sz w:val="32"/>
          <w:szCs w:val="32"/>
        </w:rPr>
      </w:pPr>
    </w:p>
    <w:p w14:paraId="49FAA73F">
      <w:pPr>
        <w:jc w:val="center"/>
        <w:rPr>
          <w:sz w:val="32"/>
          <w:szCs w:val="32"/>
        </w:rPr>
      </w:pPr>
    </w:p>
    <w:p w14:paraId="7AF4093D">
      <w:pPr>
        <w:jc w:val="center"/>
        <w:rPr>
          <w:sz w:val="32"/>
          <w:szCs w:val="32"/>
        </w:rPr>
      </w:pPr>
    </w:p>
    <w:p w14:paraId="7451368E">
      <w:pPr>
        <w:jc w:val="center"/>
        <w:rPr>
          <w:sz w:val="32"/>
          <w:szCs w:val="32"/>
        </w:rPr>
      </w:pPr>
    </w:p>
    <w:p w14:paraId="2F2266B0">
      <w:pPr>
        <w:rPr>
          <w:rFonts w:ascii="黑体" w:hAnsi="黑体" w:eastAsia="黑体"/>
          <w:sz w:val="30"/>
          <w:szCs w:val="30"/>
        </w:rPr>
      </w:pPr>
    </w:p>
    <w:p w14:paraId="27122144">
      <w:pPr>
        <w:rPr>
          <w:rFonts w:ascii="黑体" w:hAnsi="黑体" w:eastAsia="黑体"/>
          <w:sz w:val="30"/>
          <w:szCs w:val="30"/>
        </w:rPr>
      </w:pPr>
    </w:p>
    <w:p w14:paraId="23D41D8B">
      <w:pPr>
        <w:rPr>
          <w:rFonts w:ascii="黑体" w:hAnsi="黑体" w:eastAsia="黑体"/>
          <w:sz w:val="30"/>
          <w:szCs w:val="30"/>
        </w:rPr>
      </w:pPr>
    </w:p>
    <w:p w14:paraId="509EB043">
      <w:pPr>
        <w:rPr>
          <w:rFonts w:ascii="黑体" w:hAnsi="黑体" w:eastAsia="黑体"/>
          <w:sz w:val="30"/>
          <w:szCs w:val="30"/>
        </w:rPr>
      </w:pPr>
    </w:p>
    <w:p w14:paraId="26061728">
      <w:pPr>
        <w:rPr>
          <w:rFonts w:ascii="黑体" w:hAnsi="黑体" w:eastAsia="黑体"/>
          <w:sz w:val="30"/>
          <w:szCs w:val="30"/>
        </w:rPr>
      </w:pPr>
    </w:p>
    <w:p w14:paraId="4FE821B9">
      <w:pPr>
        <w:rPr>
          <w:rFonts w:hint="eastAsia" w:ascii="黑体" w:hAnsi="黑体" w:eastAsia="黑体"/>
          <w:sz w:val="30"/>
          <w:szCs w:val="30"/>
        </w:rPr>
      </w:pPr>
    </w:p>
    <w:p w14:paraId="2502C7F4">
      <w:pPr>
        <w:jc w:val="center"/>
        <w:rPr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  <w:bookmarkStart w:id="0" w:name="_GoBack"/>
      <w:bookmarkEnd w:id="0"/>
    </w:p>
    <w:p w14:paraId="79E95E51">
      <w:pPr>
        <w:rPr>
          <w:color w:val="000000"/>
          <w:sz w:val="28"/>
          <w:szCs w:val="28"/>
        </w:rPr>
      </w:pPr>
    </w:p>
    <w:p w14:paraId="19938F08">
      <w:pPr>
        <w:rPr>
          <w:color w:val="000000"/>
          <w:sz w:val="28"/>
          <w:szCs w:val="28"/>
        </w:rPr>
      </w:pPr>
    </w:p>
    <w:p w14:paraId="1DB5FAB2">
      <w:pPr>
        <w:spacing w:line="276" w:lineRule="auto"/>
        <w:ind w:firstLine="480" w:firstLineChars="2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本项目地处选址于</w:t>
      </w:r>
      <w:r>
        <w:rPr>
          <w:rFonts w:hint="eastAsia" w:ascii="Times New Roman" w:hAnsi="Times New Roman"/>
          <w:color w:val="000000"/>
          <w:sz w:val="24"/>
          <w:szCs w:val="24"/>
        </w:rPr>
        <w:t>广州市黄埔区</w:t>
      </w:r>
      <w:r>
        <w:rPr>
          <w:rFonts w:ascii="Times New Roman" w:hAnsi="Times New Roman"/>
          <w:color w:val="000000"/>
          <w:sz w:val="24"/>
          <w:szCs w:val="24"/>
        </w:rPr>
        <w:t>，本项目</w:t>
      </w:r>
      <w:r>
        <w:rPr>
          <w:rFonts w:hint="eastAsia" w:ascii="Times New Roman" w:hAnsi="Times New Roman"/>
          <w:color w:val="000000"/>
          <w:sz w:val="24"/>
          <w:szCs w:val="24"/>
        </w:rPr>
        <w:t>为</w:t>
      </w:r>
      <w:r>
        <w:rPr>
          <w:rFonts w:ascii="Times New Roman" w:hAnsi="Times New Roman"/>
          <w:color w:val="000000"/>
          <w:sz w:val="24"/>
          <w:szCs w:val="24"/>
        </w:rPr>
        <w:t>医院，其公共服务设施包括</w:t>
      </w:r>
      <w:r>
        <w:rPr>
          <w:rFonts w:hint="eastAsia" w:ascii="Times New Roman" w:hAnsi="Times New Roman"/>
          <w:color w:val="000000"/>
          <w:sz w:val="24"/>
          <w:szCs w:val="24"/>
        </w:rPr>
        <w:t>门诊楼、住院楼、</w:t>
      </w:r>
      <w:r>
        <w:rPr>
          <w:rFonts w:ascii="Times New Roman" w:hAnsi="Times New Roman"/>
          <w:color w:val="000000"/>
          <w:sz w:val="24"/>
          <w:szCs w:val="24"/>
        </w:rPr>
        <w:t>行政科研楼、</w:t>
      </w:r>
      <w:r>
        <w:rPr>
          <w:rFonts w:hint="eastAsia" w:ascii="Times New Roman" w:hAnsi="Times New Roman"/>
          <w:color w:val="000000"/>
          <w:sz w:val="24"/>
          <w:szCs w:val="24"/>
        </w:rPr>
        <w:t>食堂等；建筑向</w:t>
      </w:r>
      <w:r>
        <w:rPr>
          <w:rFonts w:ascii="Times New Roman" w:hAnsi="Times New Roman"/>
          <w:color w:val="000000"/>
          <w:sz w:val="24"/>
          <w:szCs w:val="24"/>
        </w:rPr>
        <w:t>社会公众提供开放的活动空间，场地内的公共通道向社会开放。公共服务如图1所示。</w:t>
      </w:r>
    </w:p>
    <w:p w14:paraId="2FC39922">
      <w:pPr>
        <w:spacing w:line="276" w:lineRule="auto"/>
        <w:ind w:firstLine="420" w:firstLineChars="200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</w:rPr>
        <w:pict>
          <v:shape id="_x0000_s1050" o:spid="_x0000_s1050" o:spt="48" type="#_x0000_t48" style="position:absolute;left:0pt;margin-left:381.4pt;margin-top:303.95pt;height:72.9pt;width:101.15pt;z-index:251659264;mso-width-relative:page;mso-height-relative:page;" filled="t" stroked="t" coordsize="21600,21600" adj="-22379,-21556,-5862,2667,-1281,2667">
            <v:path arrowok="t"/>
            <v:fill type="gradient" on="t" color2="fill lighten(0)" focus="100%" focussize="0f,0f" method="linear sigma" recolor="t"/>
            <v:stroke weight="1.25pt" color="#F79646" miterlimit="2"/>
            <v:imagedata o:title=""/>
            <o:lock v:ext="edit"/>
            <v:textbox>
              <w:txbxContent>
                <w:p w14:paraId="4DBE55E2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本项目建筑</w:t>
                  </w:r>
                  <w:r>
                    <w:rPr>
                      <w:b/>
                      <w:sz w:val="18"/>
                      <w:szCs w:val="18"/>
                    </w:rPr>
                    <w:t>包括</w:t>
                  </w:r>
                  <w:r>
                    <w:rPr>
                      <w:rFonts w:hint="eastAsia"/>
                      <w:b/>
                      <w:sz w:val="18"/>
                      <w:szCs w:val="18"/>
                    </w:rPr>
                    <w:t>门诊楼、住院楼、</w:t>
                  </w:r>
                  <w:r>
                    <w:rPr>
                      <w:b/>
                      <w:sz w:val="18"/>
                      <w:szCs w:val="18"/>
                    </w:rPr>
                    <w:t>行政科研楼、</w:t>
                  </w:r>
                  <w:r>
                    <w:rPr>
                      <w:rFonts w:hint="eastAsia"/>
                      <w:b/>
                      <w:sz w:val="18"/>
                      <w:szCs w:val="18"/>
                    </w:rPr>
                    <w:t>食堂等</w:t>
                  </w:r>
                  <w:r>
                    <w:rPr>
                      <w:b/>
                      <w:sz w:val="18"/>
                      <w:szCs w:val="18"/>
                    </w:rPr>
                    <w:t>多种功能。</w:t>
                  </w:r>
                </w:p>
              </w:txbxContent>
            </v:textbox>
          </v:shape>
        </w:pict>
      </w:r>
      <w:r>
        <w:rPr>
          <w:color w:val="000000"/>
        </w:rPr>
        <w:pict>
          <v:shape id="_x0000_s1051" o:spid="_x0000_s1051" o:spt="48" type="#_x0000_t48" style="position:absolute;left:0pt;margin-left:380.65pt;margin-top:146.9pt;height:39.3pt;width:101.15pt;z-index:251659264;mso-width-relative:page;mso-height-relative:page;" filled="t" stroked="t" coordsize="21600,21600" adj="-18440,50510,-5018,4947,-1281,4947">
            <v:path arrowok="t"/>
            <v:fill type="gradient" on="t" color2="fill lighten(0)" focus="100%" focussize="0f,0f" method="linear sigma" recolor="t"/>
            <v:stroke weight="1.25pt" color="#F79646" miterlimit="2"/>
            <v:imagedata o:title=""/>
            <o:lock v:ext="edit"/>
            <o:callout minusy="t"/>
            <v:textbox>
              <w:txbxContent>
                <w:p w14:paraId="3C39CAB6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场地内的公共通道向社会开放</w:t>
                  </w:r>
                </w:p>
              </w:txbxContent>
            </v:textbox>
          </v:shape>
        </w:pict>
      </w:r>
      <w:r>
        <w:rPr>
          <w:color w:val="000000"/>
          <w:sz w:val="28"/>
          <w:szCs w:val="28"/>
        </w:rPr>
        <w:pict>
          <v:shape id="_x0000_s1043" o:spid="_x0000_s1043" o:spt="48" type="#_x0000_t48" style="position:absolute;left:0pt;margin-left:380.65pt;margin-top:38.45pt;height:40.8pt;width:101.15pt;z-index:251659264;mso-width-relative:page;mso-height-relative:page;" filled="t" stroked="t" coordsize="21600,21600" adj="-25166,31156,-6481,4765,-1281,4765">
            <v:path arrowok="t"/>
            <v:fill type="gradient" on="t" color2="fill lighten(0)" focus="100%" focussize="0f,0f" method="linear sigma" recolor="t"/>
            <v:stroke weight="1.25pt" color="#F79646" miterlimit="2"/>
            <v:imagedata o:title=""/>
            <o:lock v:ext="edit"/>
            <o:callout minusy="t"/>
            <v:textbox>
              <w:txbxContent>
                <w:p w14:paraId="0958C4A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向</w:t>
                  </w:r>
                  <w:r>
                    <w:rPr>
                      <w:b/>
                      <w:sz w:val="18"/>
                      <w:szCs w:val="18"/>
                    </w:rPr>
                    <w:t>社会公众提供开放的活动空间</w:t>
                  </w:r>
                </w:p>
              </w:txbxContent>
            </v:textbox>
          </v:shape>
        </w:pict>
      </w:r>
      <w:r>
        <w:t xml:space="preserve"> </w:t>
      </w:r>
      <w:r>
        <w:pict>
          <v:shape id="_x0000_i1025" o:spt="75" type="#_x0000_t75" style="height:382.5pt;width:415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 w14:paraId="29AA6AF8">
      <w:pPr>
        <w:pStyle w:val="10"/>
        <w:spacing w:line="360" w:lineRule="auto"/>
        <w:ind w:firstLine="1980" w:firstLineChars="825"/>
        <w:rPr>
          <w:color w:val="000000"/>
        </w:rPr>
      </w:pPr>
      <w:r>
        <w:rPr>
          <w:color w:val="000000"/>
        </w:rPr>
        <w:t>图1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地块公共服务分析</w:t>
      </w:r>
      <w:r>
        <w:rPr>
          <w:color w:val="000000"/>
        </w:rPr>
        <w:t>图</w:t>
      </w:r>
    </w:p>
    <w:p w14:paraId="2A0951B4">
      <w:pPr>
        <w:pStyle w:val="10"/>
        <w:spacing w:line="360" w:lineRule="auto"/>
        <w:ind w:firstLine="480"/>
      </w:pPr>
      <w:r>
        <w:rPr>
          <w:rFonts w:hint="eastAsia"/>
        </w:rPr>
        <w:t>本项目场地内</w:t>
      </w:r>
      <w:r>
        <w:t>设有地面停车位，同时建筑所在场地地下室设有停车场，</w:t>
      </w:r>
      <w:r>
        <w:rPr>
          <w:rFonts w:hint="eastAsia"/>
        </w:rPr>
        <w:t>其中电动汽车充电桩的车位数占总车位数的比例不低于10%。</w:t>
      </w:r>
    </w:p>
    <w:p w14:paraId="7AD0E727">
      <w:pPr>
        <w:pStyle w:val="10"/>
        <w:spacing w:line="360" w:lineRule="auto"/>
        <w:ind w:firstLine="720" w:firstLineChars="300"/>
        <w:rPr>
          <w:b/>
        </w:rPr>
      </w:pPr>
      <w:r>
        <w:rPr>
          <w:lang w:val="zh-CN"/>
        </w:rPr>
        <w:t>经分析，本项目提供了便捷的公共服务，符合</w:t>
      </w:r>
      <w:r>
        <w:rPr>
          <w:rFonts w:hint="eastAsia"/>
          <w:lang w:val="zh-CN"/>
        </w:rPr>
        <w:t>《</w:t>
      </w:r>
      <w:r>
        <w:rPr>
          <w:lang w:val="zh-CN"/>
        </w:rPr>
        <w:t>绿色建筑评价标准</w:t>
      </w:r>
      <w:r>
        <w:rPr>
          <w:rFonts w:hint="eastAsia"/>
          <w:lang w:val="zh-CN"/>
        </w:rPr>
        <w:t>》</w:t>
      </w:r>
      <w:r>
        <w:rPr>
          <w:lang w:val="zh-CN"/>
        </w:rPr>
        <w:t>GB/T 50378-2019第6.2.3条的相关规定，得10分。满足条款具体如下：</w:t>
      </w:r>
    </w:p>
    <w:p w14:paraId="5897CBD7">
      <w:pPr>
        <w:pStyle w:val="11"/>
        <w:ind w:firstLine="480"/>
        <w:rPr>
          <w:color w:val="auto"/>
          <w:szCs w:val="21"/>
        </w:rPr>
      </w:pPr>
      <w:r>
        <w:rPr>
          <w:color w:val="auto"/>
          <w:szCs w:val="21"/>
        </w:rPr>
        <w:sym w:font="Wingdings 2" w:char="F052"/>
      </w:r>
      <w:r>
        <w:rPr>
          <w:rFonts w:hint="eastAsia"/>
        </w:rPr>
        <w:t xml:space="preserve"> </w:t>
      </w:r>
      <w:r>
        <w:rPr>
          <w:rFonts w:hint="eastAsia"/>
          <w:color w:val="auto"/>
          <w:szCs w:val="21"/>
        </w:rPr>
        <w:t>1.建筑内兼容 2 种及以上面向社会的公共服务功能</w:t>
      </w:r>
      <w:r>
        <w:rPr>
          <w:color w:val="auto"/>
          <w:szCs w:val="21"/>
        </w:rPr>
        <w:t>；</w:t>
      </w:r>
    </w:p>
    <w:p w14:paraId="4851E3D8">
      <w:pPr>
        <w:pStyle w:val="11"/>
        <w:ind w:firstLine="480"/>
        <w:rPr>
          <w:color w:val="auto"/>
          <w:szCs w:val="21"/>
        </w:rPr>
      </w:pPr>
      <w:r>
        <w:rPr>
          <w:color w:val="auto"/>
          <w:szCs w:val="21"/>
        </w:rPr>
        <w:sym w:font="Wingdings 2" w:char="F052"/>
      </w:r>
      <w:r>
        <w:rPr>
          <w:color w:val="auto"/>
          <w:szCs w:val="21"/>
        </w:rPr>
        <w:t xml:space="preserve"> 2</w:t>
      </w:r>
      <w:r>
        <w:rPr>
          <w:rFonts w:hint="eastAsia"/>
          <w:color w:val="auto"/>
          <w:szCs w:val="21"/>
        </w:rPr>
        <w:t>建筑向社会公众提供开放的公共活动空间</w:t>
      </w:r>
      <w:r>
        <w:rPr>
          <w:color w:val="auto"/>
          <w:szCs w:val="21"/>
        </w:rPr>
        <w:t>；</w:t>
      </w:r>
    </w:p>
    <w:p w14:paraId="3A2C4218">
      <w:pPr>
        <w:pStyle w:val="11"/>
        <w:ind w:firstLine="480"/>
        <w:rPr>
          <w:color w:val="auto"/>
          <w:szCs w:val="21"/>
        </w:rPr>
      </w:pPr>
      <w:r>
        <w:rPr>
          <w:color w:val="auto"/>
          <w:szCs w:val="21"/>
        </w:rPr>
        <w:sym w:font="Wingdings 2" w:char="F052"/>
      </w:r>
      <w:r>
        <w:rPr>
          <w:color w:val="auto"/>
          <w:szCs w:val="21"/>
        </w:rPr>
        <w:t xml:space="preserve"> 3</w:t>
      </w:r>
      <w:r>
        <w:rPr>
          <w:rFonts w:hint="eastAsia"/>
          <w:color w:val="auto"/>
          <w:szCs w:val="21"/>
        </w:rPr>
        <w:t>电动汽车充电桩的车位数占总车位数的比例不低于10%</w:t>
      </w:r>
      <w:r>
        <w:rPr>
          <w:color w:val="auto"/>
          <w:szCs w:val="21"/>
        </w:rPr>
        <w:t>；</w:t>
      </w:r>
    </w:p>
    <w:p w14:paraId="07928B7B">
      <w:pPr>
        <w:pStyle w:val="11"/>
        <w:ind w:firstLine="480"/>
        <w:rPr>
          <w:color w:val="auto"/>
          <w:szCs w:val="21"/>
        </w:rPr>
      </w:pPr>
      <w:r>
        <w:rPr>
          <w:color w:val="auto"/>
          <w:szCs w:val="21"/>
        </w:rPr>
        <w:sym w:font="Wingdings 2" w:char="F052"/>
      </w:r>
      <w:r>
        <w:rPr>
          <w:color w:val="auto"/>
          <w:szCs w:val="21"/>
        </w:rPr>
        <w:t xml:space="preserve"> 4</w:t>
      </w:r>
      <w:r>
        <w:rPr>
          <w:rFonts w:hint="eastAsia"/>
          <w:color w:val="auto"/>
          <w:szCs w:val="21"/>
        </w:rPr>
        <w:t>周边500m范围内设有社会公共停车场（库）</w:t>
      </w:r>
      <w:r>
        <w:rPr>
          <w:color w:val="auto"/>
          <w:szCs w:val="21"/>
        </w:rPr>
        <w:t>；</w:t>
      </w:r>
    </w:p>
    <w:p w14:paraId="47BE7513">
      <w:pPr>
        <w:pStyle w:val="11"/>
        <w:ind w:firstLine="480"/>
        <w:rPr>
          <w:color w:val="auto"/>
          <w:szCs w:val="21"/>
        </w:rPr>
      </w:pPr>
      <w:r>
        <w:rPr>
          <w:color w:val="auto"/>
          <w:szCs w:val="21"/>
        </w:rPr>
        <w:sym w:font="Wingdings 2" w:char="F052"/>
      </w:r>
      <w:r>
        <w:rPr>
          <w:color w:val="auto"/>
          <w:szCs w:val="21"/>
        </w:rPr>
        <w:t xml:space="preserve"> 5</w:t>
      </w:r>
      <w:r>
        <w:rPr>
          <w:rFonts w:hint="eastAsia"/>
          <w:color w:val="auto"/>
          <w:szCs w:val="21"/>
        </w:rPr>
        <w:t>场地不封闭或场地内步行公共通道向社会开放。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E943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DEC"/>
    <w:rsid w:val="0001305A"/>
    <w:rsid w:val="0008160E"/>
    <w:rsid w:val="0009709B"/>
    <w:rsid w:val="000A2794"/>
    <w:rsid w:val="000B6FE0"/>
    <w:rsid w:val="000C2A0B"/>
    <w:rsid w:val="000F0A35"/>
    <w:rsid w:val="001132D7"/>
    <w:rsid w:val="00122A06"/>
    <w:rsid w:val="001260D2"/>
    <w:rsid w:val="00155C1B"/>
    <w:rsid w:val="001C4538"/>
    <w:rsid w:val="001D4BF9"/>
    <w:rsid w:val="002463D2"/>
    <w:rsid w:val="00251314"/>
    <w:rsid w:val="00273786"/>
    <w:rsid w:val="00355D7F"/>
    <w:rsid w:val="00437109"/>
    <w:rsid w:val="00464A73"/>
    <w:rsid w:val="004F449A"/>
    <w:rsid w:val="005407E8"/>
    <w:rsid w:val="00575548"/>
    <w:rsid w:val="0058484B"/>
    <w:rsid w:val="005852E9"/>
    <w:rsid w:val="00596811"/>
    <w:rsid w:val="005A7B30"/>
    <w:rsid w:val="005C1B77"/>
    <w:rsid w:val="006314DA"/>
    <w:rsid w:val="0066407A"/>
    <w:rsid w:val="006F0705"/>
    <w:rsid w:val="007425AA"/>
    <w:rsid w:val="0074447B"/>
    <w:rsid w:val="00744D81"/>
    <w:rsid w:val="00756EE1"/>
    <w:rsid w:val="0076064D"/>
    <w:rsid w:val="00782544"/>
    <w:rsid w:val="007A7A2B"/>
    <w:rsid w:val="007C0AB3"/>
    <w:rsid w:val="007C1E67"/>
    <w:rsid w:val="007F50AE"/>
    <w:rsid w:val="00852CB0"/>
    <w:rsid w:val="00892080"/>
    <w:rsid w:val="008A1466"/>
    <w:rsid w:val="008F2A55"/>
    <w:rsid w:val="008F4D28"/>
    <w:rsid w:val="0090497C"/>
    <w:rsid w:val="00905202"/>
    <w:rsid w:val="009379F1"/>
    <w:rsid w:val="0095794C"/>
    <w:rsid w:val="00964652"/>
    <w:rsid w:val="00974A90"/>
    <w:rsid w:val="0098199F"/>
    <w:rsid w:val="00995438"/>
    <w:rsid w:val="009A62E9"/>
    <w:rsid w:val="009B3E44"/>
    <w:rsid w:val="009C64A3"/>
    <w:rsid w:val="009E4DEC"/>
    <w:rsid w:val="009F00D3"/>
    <w:rsid w:val="00A00CCF"/>
    <w:rsid w:val="00A04C17"/>
    <w:rsid w:val="00A12B1E"/>
    <w:rsid w:val="00A16D18"/>
    <w:rsid w:val="00A40DED"/>
    <w:rsid w:val="00A5299B"/>
    <w:rsid w:val="00A715A4"/>
    <w:rsid w:val="00A81040"/>
    <w:rsid w:val="00A91C45"/>
    <w:rsid w:val="00AE6DC7"/>
    <w:rsid w:val="00AF2B9A"/>
    <w:rsid w:val="00B80110"/>
    <w:rsid w:val="00C34DE5"/>
    <w:rsid w:val="00C3530D"/>
    <w:rsid w:val="00C4537A"/>
    <w:rsid w:val="00C70465"/>
    <w:rsid w:val="00D2455E"/>
    <w:rsid w:val="00D35451"/>
    <w:rsid w:val="00D41396"/>
    <w:rsid w:val="00D54963"/>
    <w:rsid w:val="00D700F7"/>
    <w:rsid w:val="00D92D09"/>
    <w:rsid w:val="00DE4AB7"/>
    <w:rsid w:val="00E01DD2"/>
    <w:rsid w:val="00E232DC"/>
    <w:rsid w:val="00E7178C"/>
    <w:rsid w:val="00E84ABF"/>
    <w:rsid w:val="00EA2C7D"/>
    <w:rsid w:val="00EC60DB"/>
    <w:rsid w:val="00EE23FC"/>
    <w:rsid w:val="00F274C6"/>
    <w:rsid w:val="00F30FB3"/>
    <w:rsid w:val="00F3774E"/>
    <w:rsid w:val="00F61D95"/>
    <w:rsid w:val="00FD691B"/>
    <w:rsid w:val="43643DF8"/>
    <w:rsid w:val="72B41894"/>
    <w:rsid w:val="7F4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allout" idref="#_x0000_s1043"/>
        <o:r id="V:Rule2" type="callout" idref="#_x0000_s1050"/>
        <o:r id="V:Rule3" type="callout" idref="#_x0000_s10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rFonts w:cs="黑体"/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黑体"/>
      <w:sz w:val="18"/>
      <w:szCs w:val="18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spacing w:line="300" w:lineRule="auto"/>
      <w:ind w:firstLine="420" w:firstLineChars="200"/>
    </w:pPr>
    <w:rPr>
      <w:rFonts w:ascii="Times New Roman" w:hAnsi="Times New Roman"/>
      <w:sz w:val="24"/>
      <w:szCs w:val="24"/>
    </w:rPr>
  </w:style>
  <w:style w:type="paragraph" w:customStyle="1" w:styleId="11">
    <w:name w:val="lj正文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0"/>
    <customShpInfo spid="_x0000_s1051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374</Words>
  <Characters>399</Characters>
  <Lines>63</Lines>
  <Paragraphs>48</Paragraphs>
  <TotalTime>0</TotalTime>
  <ScaleCrop>false</ScaleCrop>
  <LinksUpToDate>false</LinksUpToDate>
  <CharactersWithSpaces>410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2014-12-17T06:30:00Z</dcterms:created>
  <dc:creator>Microsoft User</dc:creator>
  <cp:lastModifiedBy>莎莎</cp:lastModifiedBy>
  <cp:lastPrinted>2014-04-03T05:20:00Z</cp:lastPrinted>
  <dcterms:modified xsi:type="dcterms:W3CDTF">2026-01-05T02:39:01Z</dcterms:modified>
  <dc:title>花都区中轴线石岗安置区二期工程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eyJoZGlkIjoiNjZhMjFjMzlhYmZkMDAxNjZlOTQ1YTdjZmFmZDFmZTUiLCJ1c2VySWQiOiIxMzA4OTQwMzQ0In0=</vt:lpwstr>
  </property>
  <property fmtid="{D5CDD505-2E9C-101B-9397-08002B2CF9AE}" pid="4" name="ICV">
    <vt:lpwstr>F74DA97487CD474F8C68EAF5FE46D303_12</vt:lpwstr>
  </property>
</Properties>
</file>