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54E11">
      <w:pPr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76B62F88">
      <w:pPr>
        <w:jc w:val="center"/>
        <w:rPr>
          <w:rFonts w:ascii="Times New Roman" w:hAnsi="Times New Roman" w:eastAsia="黑体" w:cs="Times New Roman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7181284F">
      <w:pPr>
        <w:spacing w:before="312" w:beforeLines="100" w:line="180" w:lineRule="atLeast"/>
        <w:ind w:left="180" w:right="180"/>
        <w:jc w:val="center"/>
        <w:rPr>
          <w:rFonts w:ascii="Times New Roman" w:hAnsi="Times New Roman" w:eastAsia="黑体" w:cs="Times New Roman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黄埔区妇幼保健院（广州开发区医院永和院区）新建项目</w:t>
      </w:r>
    </w:p>
    <w:p w14:paraId="4E68D708">
      <w:pPr>
        <w:jc w:val="center"/>
        <w:rPr>
          <w:rFonts w:ascii="Times New Roman" w:hAnsi="Times New Roman" w:eastAsia="黑体" w:cs="Times New Roman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高强度钢筋比例计算书</w:t>
      </w:r>
    </w:p>
    <w:p w14:paraId="301AAFC5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AA109A2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4B99FB8">
      <w:pPr>
        <w:jc w:val="center"/>
        <w:rPr>
          <w:rFonts w:ascii="Times New Roman" w:hAnsi="Times New Roman"/>
          <w:sz w:val="32"/>
          <w:szCs w:val="32"/>
        </w:rPr>
      </w:pPr>
    </w:p>
    <w:p w14:paraId="18A860A3">
      <w:pPr>
        <w:rPr>
          <w:rFonts w:ascii="Times New Roman" w:hAnsi="Times New Roman"/>
          <w:sz w:val="32"/>
          <w:szCs w:val="32"/>
        </w:rPr>
      </w:pPr>
    </w:p>
    <w:p w14:paraId="2643000A">
      <w:pPr>
        <w:jc w:val="center"/>
        <w:rPr>
          <w:rFonts w:ascii="Times New Roman" w:hAnsi="Times New Roman" w:eastAsia="黑体"/>
          <w:sz w:val="30"/>
          <w:szCs w:val="30"/>
        </w:rPr>
      </w:pPr>
    </w:p>
    <w:p w14:paraId="6E27BD0B">
      <w:pPr>
        <w:jc w:val="center"/>
        <w:rPr>
          <w:rFonts w:ascii="Times New Roman" w:hAnsi="Times New Roman" w:eastAsia="黑体"/>
          <w:sz w:val="30"/>
          <w:szCs w:val="30"/>
        </w:rPr>
      </w:pPr>
    </w:p>
    <w:p w14:paraId="68BFA050">
      <w:pPr>
        <w:jc w:val="center"/>
        <w:rPr>
          <w:rFonts w:ascii="Times New Roman" w:hAnsi="Times New Roman" w:eastAsia="黑体"/>
          <w:sz w:val="30"/>
          <w:szCs w:val="30"/>
        </w:rPr>
      </w:pPr>
    </w:p>
    <w:p w14:paraId="027ACECA">
      <w:pPr>
        <w:jc w:val="center"/>
        <w:rPr>
          <w:rFonts w:ascii="Times New Roman" w:hAnsi="Times New Roman" w:eastAsia="黑体"/>
          <w:sz w:val="30"/>
          <w:szCs w:val="30"/>
        </w:rPr>
      </w:pPr>
    </w:p>
    <w:p w14:paraId="5FB5ECE3">
      <w:pPr>
        <w:jc w:val="center"/>
        <w:rPr>
          <w:rFonts w:ascii="Times New Roman" w:hAnsi="Times New Roman" w:eastAsia="黑体"/>
          <w:sz w:val="30"/>
          <w:szCs w:val="30"/>
        </w:rPr>
      </w:pPr>
    </w:p>
    <w:p w14:paraId="49B8BA3E">
      <w:pPr>
        <w:jc w:val="center"/>
        <w:rPr>
          <w:rFonts w:ascii="Times New Roman" w:hAnsi="Times New Roman" w:eastAsia="黑体"/>
          <w:sz w:val="30"/>
          <w:szCs w:val="30"/>
        </w:rPr>
      </w:pPr>
    </w:p>
    <w:p w14:paraId="01A1747B">
      <w:pPr>
        <w:jc w:val="both"/>
        <w:rPr>
          <w:rFonts w:ascii="Times New Roman" w:hAnsi="Times New Roman" w:eastAsia="黑体"/>
          <w:sz w:val="30"/>
          <w:szCs w:val="30"/>
        </w:rPr>
      </w:pPr>
    </w:p>
    <w:p w14:paraId="5CC5F550">
      <w:pPr>
        <w:jc w:val="center"/>
        <w:rPr>
          <w:rFonts w:ascii="Times New Roman" w:hAnsi="Times New Roman" w:eastAsia="黑体"/>
          <w:sz w:val="30"/>
          <w:szCs w:val="30"/>
        </w:rPr>
      </w:pPr>
    </w:p>
    <w:p w14:paraId="74BAA97D">
      <w:pPr>
        <w:jc w:val="center"/>
        <w:rPr>
          <w:rFonts w:ascii="黑体" w:hAnsi="黑体" w:eastAsia="黑体"/>
          <w:sz w:val="30"/>
          <w:szCs w:val="30"/>
        </w:rPr>
        <w:sectPr>
          <w:headerReference r:id="rId3" w:type="firs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sz w:val="30"/>
          <w:szCs w:val="30"/>
        </w:rPr>
        <w:t>广州珠江</w:t>
      </w:r>
      <w:r>
        <w:rPr>
          <w:rFonts w:ascii="黑体" w:hAnsi="黑体" w:eastAsia="黑体"/>
          <w:sz w:val="30"/>
          <w:szCs w:val="30"/>
        </w:rPr>
        <w:t>设计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集团</w:t>
      </w:r>
      <w:r>
        <w:rPr>
          <w:rFonts w:ascii="黑体" w:hAnsi="黑体" w:eastAsia="黑体"/>
          <w:sz w:val="30"/>
          <w:szCs w:val="30"/>
        </w:rPr>
        <w:t>有限</w:t>
      </w:r>
      <w:r>
        <w:rPr>
          <w:rFonts w:hint="eastAsia" w:ascii="黑体" w:hAnsi="黑体" w:eastAsia="黑体"/>
          <w:sz w:val="30"/>
          <w:szCs w:val="30"/>
        </w:rPr>
        <w:t>公司</w:t>
      </w:r>
      <w:bookmarkStart w:id="0" w:name="_GoBack"/>
      <w:bookmarkEnd w:id="0"/>
    </w:p>
    <w:p w14:paraId="55CFD8E2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00D0772">
      <w:pPr>
        <w:widowControl/>
        <w:spacing w:line="360" w:lineRule="auto"/>
        <w:ind w:firstLine="560" w:firstLineChars="200"/>
        <w:textAlignment w:val="center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本项目采用混凝土结构，根据结构G-01结构总说明（一）第七点“主要结构材料”和各层结构梁配筋和板配筋、柱配筋平面，各栋高强度钢筋比例如下表：</w:t>
      </w:r>
    </w:p>
    <w:p w14:paraId="6FC6A64A">
      <w:pPr>
        <w:widowControl/>
        <w:spacing w:line="360" w:lineRule="auto"/>
        <w:ind w:firstLine="560" w:firstLineChars="200"/>
        <w:textAlignment w:val="center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286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285"/>
        <w:gridCol w:w="2451"/>
        <w:gridCol w:w="2550"/>
      </w:tblGrid>
      <w:tr w14:paraId="252167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3285" w:type="dxa"/>
            <w:shd w:val="clear" w:color="auto" w:fill="FFFFFF"/>
            <w:vAlign w:val="center"/>
          </w:tcPr>
          <w:p w14:paraId="59ED56E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级别</w:t>
            </w:r>
          </w:p>
        </w:tc>
        <w:tc>
          <w:tcPr>
            <w:tcW w:w="2451" w:type="dxa"/>
            <w:shd w:val="clear" w:color="auto" w:fill="FFFFFF"/>
            <w:vAlign w:val="center"/>
          </w:tcPr>
          <w:p w14:paraId="73A8532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钢筋类型</w:t>
            </w:r>
          </w:p>
        </w:tc>
        <w:tc>
          <w:tcPr>
            <w:tcW w:w="2550" w:type="dxa"/>
            <w:shd w:val="clear" w:color="auto" w:fill="FFFFFF"/>
            <w:vAlign w:val="center"/>
          </w:tcPr>
          <w:p w14:paraId="2E5AE4F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钢筋重量t</w:t>
            </w:r>
          </w:p>
        </w:tc>
      </w:tr>
      <w:tr w14:paraId="4EADE25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3285" w:type="dxa"/>
            <w:vMerge w:val="restart"/>
            <w:shd w:val="clear" w:color="auto" w:fill="FFFFFF"/>
            <w:vAlign w:val="center"/>
          </w:tcPr>
          <w:p w14:paraId="3C5EB90B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三级钢以下</w:t>
            </w:r>
          </w:p>
        </w:tc>
        <w:tc>
          <w:tcPr>
            <w:tcW w:w="2451" w:type="dxa"/>
            <w:shd w:val="clear" w:color="auto" w:fill="FFFFFF"/>
            <w:vAlign w:val="center"/>
          </w:tcPr>
          <w:p w14:paraId="3BCAC0C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直筋</w:t>
            </w:r>
          </w:p>
        </w:tc>
        <w:tc>
          <w:tcPr>
            <w:tcW w:w="2550" w:type="dxa"/>
            <w:shd w:val="clear" w:color="auto" w:fill="FFFFFF"/>
            <w:vAlign w:val="center"/>
          </w:tcPr>
          <w:p w14:paraId="0F1EB3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AC36C4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3285" w:type="dxa"/>
            <w:vMerge w:val="continue"/>
            <w:shd w:val="clear" w:color="auto" w:fill="FFFFFF"/>
            <w:vAlign w:val="center"/>
          </w:tcPr>
          <w:p w14:paraId="7E049746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1" w:type="dxa"/>
            <w:shd w:val="clear" w:color="auto" w:fill="FFFFFF"/>
            <w:vAlign w:val="center"/>
          </w:tcPr>
          <w:p w14:paraId="489E162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箍筋</w:t>
            </w:r>
          </w:p>
        </w:tc>
        <w:tc>
          <w:tcPr>
            <w:tcW w:w="2550" w:type="dxa"/>
            <w:shd w:val="clear" w:color="auto" w:fill="FFFFFF"/>
            <w:vAlign w:val="center"/>
          </w:tcPr>
          <w:p w14:paraId="129002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4F897B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3285" w:type="dxa"/>
            <w:vMerge w:val="continue"/>
            <w:shd w:val="clear" w:color="auto" w:fill="FFFFFF"/>
            <w:vAlign w:val="center"/>
          </w:tcPr>
          <w:p w14:paraId="47AD9D44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1" w:type="dxa"/>
            <w:shd w:val="clear" w:color="auto" w:fill="FFFFFF"/>
            <w:vAlign w:val="center"/>
          </w:tcPr>
          <w:p w14:paraId="0EFDC5C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其他类钢筋</w:t>
            </w:r>
          </w:p>
        </w:tc>
        <w:tc>
          <w:tcPr>
            <w:tcW w:w="2550" w:type="dxa"/>
            <w:shd w:val="clear" w:color="auto" w:fill="FFFFFF"/>
            <w:vAlign w:val="center"/>
          </w:tcPr>
          <w:p w14:paraId="4DCC55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76CDCF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3285" w:type="dxa"/>
            <w:vMerge w:val="restart"/>
            <w:shd w:val="clear" w:color="auto" w:fill="FFFFFF"/>
            <w:vAlign w:val="center"/>
          </w:tcPr>
          <w:p w14:paraId="461B3C8B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三级钢及三级钢以上</w:t>
            </w:r>
          </w:p>
        </w:tc>
        <w:tc>
          <w:tcPr>
            <w:tcW w:w="2451" w:type="dxa"/>
            <w:shd w:val="clear" w:color="auto" w:fill="FFFFFF"/>
            <w:vAlign w:val="center"/>
          </w:tcPr>
          <w:p w14:paraId="5BE37316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直筋</w:t>
            </w:r>
          </w:p>
        </w:tc>
        <w:tc>
          <w:tcPr>
            <w:tcW w:w="2550" w:type="dxa"/>
            <w:shd w:val="clear" w:color="auto" w:fill="FFFFFF"/>
            <w:vAlign w:val="center"/>
          </w:tcPr>
          <w:p w14:paraId="5CC7323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175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</w:rPr>
              <w:t>.986</w:t>
            </w:r>
          </w:p>
        </w:tc>
      </w:tr>
      <w:tr w14:paraId="3AC202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3285" w:type="dxa"/>
            <w:vMerge w:val="continue"/>
            <w:shd w:val="clear" w:color="auto" w:fill="FFFFFF"/>
            <w:vAlign w:val="center"/>
          </w:tcPr>
          <w:p w14:paraId="51B5713B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1" w:type="dxa"/>
            <w:shd w:val="clear" w:color="auto" w:fill="FFFFFF"/>
            <w:vAlign w:val="center"/>
          </w:tcPr>
          <w:p w14:paraId="0B96064B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箍筋</w:t>
            </w:r>
          </w:p>
        </w:tc>
        <w:tc>
          <w:tcPr>
            <w:tcW w:w="2550" w:type="dxa"/>
            <w:shd w:val="clear" w:color="auto" w:fill="FFFFFF"/>
            <w:vAlign w:val="center"/>
          </w:tcPr>
          <w:p w14:paraId="5154106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46</w:t>
            </w:r>
            <w:r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hint="eastAsia" w:ascii="Times New Roman" w:hAnsi="Times New Roman" w:cs="Times New Roman"/>
                <w:szCs w:val="21"/>
              </w:rPr>
              <w:t>.930</w:t>
            </w:r>
          </w:p>
        </w:tc>
      </w:tr>
      <w:tr w14:paraId="0DF2DBB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3285" w:type="dxa"/>
            <w:vMerge w:val="continue"/>
            <w:shd w:val="clear" w:color="auto" w:fill="FFFFFF"/>
            <w:vAlign w:val="center"/>
          </w:tcPr>
          <w:p w14:paraId="59EF17A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1" w:type="dxa"/>
            <w:shd w:val="clear" w:color="auto" w:fill="FFFFFF"/>
            <w:vAlign w:val="center"/>
          </w:tcPr>
          <w:p w14:paraId="158EE4E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其他类钢筋</w:t>
            </w:r>
          </w:p>
        </w:tc>
        <w:tc>
          <w:tcPr>
            <w:tcW w:w="2550" w:type="dxa"/>
            <w:shd w:val="clear" w:color="auto" w:fill="FFFFFF"/>
            <w:vAlign w:val="center"/>
          </w:tcPr>
          <w:p w14:paraId="68B6AB6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11</w:t>
            </w:r>
            <w:r>
              <w:rPr>
                <w:rFonts w:ascii="Times New Roman" w:hAnsi="Times New Roman" w:cs="Times New Roman"/>
                <w:szCs w:val="21"/>
              </w:rPr>
              <w:t>5</w:t>
            </w:r>
            <w:r>
              <w:rPr>
                <w:rFonts w:hint="eastAsia" w:ascii="Times New Roman" w:hAnsi="Times New Roman" w:cs="Times New Roman"/>
                <w:szCs w:val="21"/>
              </w:rPr>
              <w:t>.732</w:t>
            </w:r>
          </w:p>
        </w:tc>
      </w:tr>
      <w:tr w14:paraId="45930BE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736" w:type="dxa"/>
            <w:gridSpan w:val="2"/>
            <w:shd w:val="clear" w:color="auto" w:fill="FFFFFF"/>
            <w:vAlign w:val="center"/>
          </w:tcPr>
          <w:p w14:paraId="39CDB0B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550" w:type="dxa"/>
            <w:vAlign w:val="center"/>
          </w:tcPr>
          <w:p w14:paraId="7AD9080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23</w:t>
            </w:r>
            <w:r>
              <w:rPr>
                <w:rFonts w:ascii="Times New Roman" w:hAnsi="Times New Roman" w:cs="Times New Roman"/>
                <w:szCs w:val="21"/>
              </w:rPr>
              <w:t>28.648</w:t>
            </w:r>
          </w:p>
        </w:tc>
      </w:tr>
      <w:tr w14:paraId="07084E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736" w:type="dxa"/>
            <w:gridSpan w:val="2"/>
            <w:shd w:val="clear" w:color="auto" w:fill="FFFFFF"/>
            <w:vAlign w:val="center"/>
          </w:tcPr>
          <w:p w14:paraId="3B591AD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三级钢及三级钢以上合计</w:t>
            </w:r>
          </w:p>
        </w:tc>
        <w:tc>
          <w:tcPr>
            <w:tcW w:w="2550" w:type="dxa"/>
            <w:vAlign w:val="center"/>
          </w:tcPr>
          <w:p w14:paraId="4529E07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23</w:t>
            </w:r>
            <w:r>
              <w:rPr>
                <w:rFonts w:ascii="Times New Roman" w:hAnsi="Times New Roman" w:cs="Times New Roman"/>
                <w:szCs w:val="21"/>
              </w:rPr>
              <w:t>28.648</w:t>
            </w:r>
          </w:p>
        </w:tc>
      </w:tr>
      <w:tr w14:paraId="6A4E6A3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736" w:type="dxa"/>
            <w:gridSpan w:val="2"/>
            <w:shd w:val="clear" w:color="auto" w:fill="FFFFFF"/>
            <w:vAlign w:val="center"/>
          </w:tcPr>
          <w:p w14:paraId="6D5B8C8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高强度钢筋比例</w:t>
            </w:r>
          </w:p>
        </w:tc>
        <w:tc>
          <w:tcPr>
            <w:tcW w:w="2550" w:type="dxa"/>
            <w:vAlign w:val="center"/>
          </w:tcPr>
          <w:p w14:paraId="388B4D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100%</w:t>
            </w:r>
          </w:p>
        </w:tc>
      </w:tr>
    </w:tbl>
    <w:p w14:paraId="42E06CE9">
      <w:pPr>
        <w:pStyle w:val="10"/>
        <w:ind w:firstLine="0" w:firstLineChars="0"/>
        <w:rPr>
          <w:rFonts w:ascii="Segoe UI Symbol" w:hAnsi="Segoe UI Symbol" w:cs="Segoe UI Symbol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注：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高强度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钢筋是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指包括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400MP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a及以上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受力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普通钢筋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；高强混凝土是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指包括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C50及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以上混凝土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 w14:paraId="63F53E1B">
      <w:pPr>
        <w:pStyle w:val="10"/>
        <w:ind w:firstLine="48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egoe UI Symbol" w:hAnsi="Segoe UI Symbol" w:cs="Segoe UI Symbol"/>
          <w:b/>
          <w:color w:val="000000" w:themeColor="text1"/>
          <w14:textFill>
            <w14:solidFill>
              <w14:schemeClr w14:val="tx1"/>
            </w14:solidFill>
          </w14:textFill>
        </w:rPr>
        <w:t>☆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达标判断</w:t>
      </w:r>
    </w:p>
    <w:p w14:paraId="1C18EAD7">
      <w:pPr>
        <w:pStyle w:val="11"/>
        <w:spacing w:line="360" w:lineRule="auto"/>
        <w:ind w:firstLine="480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zh-CN"/>
          <w14:textFill>
            <w14:solidFill>
              <w14:schemeClr w14:val="tx1"/>
            </w14:solidFill>
          </w14:textFill>
        </w:rPr>
        <w:t>经分析，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本项目各单体的高强度钢筋使用比例均不少于85%，根据</w:t>
      </w:r>
      <w:r>
        <w:rPr>
          <w:rFonts w:hint="eastAsia"/>
          <w:b/>
          <w:color w:val="000000"/>
        </w:rPr>
        <w:t>《</w:t>
      </w:r>
      <w:r>
        <w:rPr>
          <w:b/>
          <w:color w:val="000000"/>
        </w:rPr>
        <w:t>绿色建筑评价标准</w:t>
      </w:r>
      <w:r>
        <w:rPr>
          <w:rFonts w:hint="eastAsia"/>
          <w:b/>
          <w:color w:val="000000"/>
        </w:rPr>
        <w:t>》</w:t>
      </w:r>
      <w:r>
        <w:rPr>
          <w:b/>
          <w:color w:val="000000"/>
        </w:rPr>
        <w:t>GB/T 50378-2019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第7.2.15条的评分规则，本项目得5分。</w:t>
      </w:r>
    </w:p>
    <w:p w14:paraId="3E690C28">
      <w:pPr>
        <w:adjustRightInd w:val="0"/>
        <w:snapToGrid w:val="0"/>
        <w:spacing w:before="93" w:beforeLines="30" w:after="93" w:afterLines="30" w:line="312" w:lineRule="auto"/>
        <w:rPr>
          <w:rFonts w:ascii="Segoe UI Symbol" w:hAnsi="Segoe UI Symbol" w:cs="Segoe UI Symbo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egoe UI Symbol" w:hAnsi="Segoe UI Symbol" w:cs="Segoe UI Symbol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</w:p>
    <w:p w14:paraId="35BA1090">
      <w:pPr>
        <w:adjustRightInd w:val="0"/>
        <w:snapToGrid w:val="0"/>
        <w:spacing w:before="93" w:beforeLines="30" w:after="93" w:afterLines="30" w:line="312" w:lineRule="auto"/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Segoe UI Symbol" w:hAnsi="Segoe UI Symbol" w:cs="Segoe UI Symbol"/>
          <w:b/>
          <w:color w:val="000000" w:themeColor="text1"/>
          <w14:textFill>
            <w14:solidFill>
              <w14:schemeClr w14:val="tx1"/>
            </w14:solidFill>
          </w14:textFill>
        </w:rPr>
        <w:t>☆</w:t>
      </w:r>
      <w:r>
        <w:rPr>
          <w:rFonts w:ascii="Times New Roman" w:hAnsi="Times New Roman" w:cs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第7.2.15条</w:t>
      </w:r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合理采用高强建筑结构材料，评价总分值为10分，并按下列规则评分：</w:t>
      </w:r>
    </w:p>
    <w:p w14:paraId="524C28F0">
      <w:pPr>
        <w:adjustRightInd w:val="0"/>
        <w:snapToGrid w:val="0"/>
        <w:spacing w:before="93" w:beforeLines="30" w:after="93" w:afterLines="30" w:line="312" w:lineRule="auto"/>
        <w:ind w:firstLine="480" w:firstLineChars="200"/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1 混凝土结构</w:t>
      </w:r>
      <w:r>
        <w:rPr>
          <w:rFonts w:hint="eastAsia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按以下规则分别评分并累计</w:t>
      </w:r>
    </w:p>
    <w:p w14:paraId="41C1191E">
      <w:pPr>
        <w:adjustRightInd w:val="0"/>
        <w:snapToGrid w:val="0"/>
        <w:spacing w:before="93" w:beforeLines="30" w:after="93" w:afterLines="30" w:line="312" w:lineRule="auto"/>
        <w:ind w:firstLine="480" w:firstLineChars="200"/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1）400MPa级及以上</w:t>
      </w:r>
      <w:r>
        <w:rPr>
          <w:rFonts w:hint="eastAsia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高强钢材应用</w:t>
      </w:r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比例达到</w:t>
      </w:r>
      <w:r>
        <w:rPr>
          <w:rFonts w:hint="eastAsia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85</w:t>
      </w:r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%，得</w:t>
      </w:r>
      <w:r>
        <w:rPr>
          <w:rFonts w:hint="eastAsia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5分；</w:t>
      </w:r>
    </w:p>
    <w:p w14:paraId="18FD3D91">
      <w:pPr>
        <w:adjustRightInd w:val="0"/>
        <w:snapToGrid w:val="0"/>
        <w:spacing w:before="93" w:beforeLines="30" w:after="93" w:afterLines="30" w:line="312" w:lineRule="auto"/>
        <w:ind w:firstLine="480" w:firstLineChars="200"/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2）混凝土竖向承重结构采用强度等级不小于C50混凝土用量占竖向承重结构中混凝土总量的比例达到50％，得5分。</w:t>
      </w:r>
    </w:p>
    <w:p w14:paraId="45FE398C">
      <w:pPr>
        <w:ind w:firstLine="560" w:firstLineChars="200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0FF62">
    <w:pPr>
      <w:pStyle w:val="4"/>
      <w:pBdr>
        <w:bottom w:val="thinThickSmallGap" w:color="auto" w:sz="24" w:space="1"/>
      </w:pBdr>
      <w:jc w:val="right"/>
      <w:rPr>
        <w:rFonts w:ascii="Times New Roman" w:hAnsi="Times New Roman" w:cs="Times New Roman"/>
        <w:color w:val="808080"/>
        <w:sz w:val="21"/>
        <w:szCs w:val="21"/>
      </w:rPr>
    </w:pPr>
    <w:r>
      <w:rPr>
        <w:rFonts w:hint="eastAsia" w:ascii="Times New Roman" w:hAnsi="Times New Roman" w:cs="Times New Roman"/>
        <w:color w:val="808080"/>
        <w:sz w:val="21"/>
        <w:szCs w:val="21"/>
      </w:rPr>
      <w:t>项目所在地</w:t>
    </w:r>
    <w:r>
      <w:rPr>
        <w:rFonts w:ascii="Times New Roman" w:hAnsi="Times New Roman" w:cs="Times New Roman"/>
        <w:color w:val="808080"/>
        <w:sz w:val="21"/>
        <w:szCs w:val="21"/>
      </w:rPr>
      <w:t>交通地图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6349A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A53"/>
    <w:rsid w:val="00020DE6"/>
    <w:rsid w:val="00021B7E"/>
    <w:rsid w:val="00037801"/>
    <w:rsid w:val="00056B49"/>
    <w:rsid w:val="000A06A5"/>
    <w:rsid w:val="000A353D"/>
    <w:rsid w:val="000D24EB"/>
    <w:rsid w:val="000D7E90"/>
    <w:rsid w:val="000E2598"/>
    <w:rsid w:val="000F7944"/>
    <w:rsid w:val="001258DA"/>
    <w:rsid w:val="00126862"/>
    <w:rsid w:val="00135CDB"/>
    <w:rsid w:val="001A57C2"/>
    <w:rsid w:val="001B4691"/>
    <w:rsid w:val="00245347"/>
    <w:rsid w:val="00251D6A"/>
    <w:rsid w:val="002660DA"/>
    <w:rsid w:val="002921AF"/>
    <w:rsid w:val="002F0AC9"/>
    <w:rsid w:val="00322A3B"/>
    <w:rsid w:val="003424D4"/>
    <w:rsid w:val="00360DB3"/>
    <w:rsid w:val="00375AAF"/>
    <w:rsid w:val="00381477"/>
    <w:rsid w:val="00392AD5"/>
    <w:rsid w:val="003D13CA"/>
    <w:rsid w:val="003D5C0C"/>
    <w:rsid w:val="003D6861"/>
    <w:rsid w:val="003E0E11"/>
    <w:rsid w:val="003F104D"/>
    <w:rsid w:val="004139FC"/>
    <w:rsid w:val="00427477"/>
    <w:rsid w:val="00437E6E"/>
    <w:rsid w:val="0045326F"/>
    <w:rsid w:val="00454A4F"/>
    <w:rsid w:val="0048142A"/>
    <w:rsid w:val="004901F5"/>
    <w:rsid w:val="004C1D51"/>
    <w:rsid w:val="004C4FD2"/>
    <w:rsid w:val="004E0132"/>
    <w:rsid w:val="005178CB"/>
    <w:rsid w:val="005B191A"/>
    <w:rsid w:val="005F1C30"/>
    <w:rsid w:val="00600844"/>
    <w:rsid w:val="00603A10"/>
    <w:rsid w:val="00637813"/>
    <w:rsid w:val="00645C65"/>
    <w:rsid w:val="0065140D"/>
    <w:rsid w:val="00702C93"/>
    <w:rsid w:val="007658CD"/>
    <w:rsid w:val="00775447"/>
    <w:rsid w:val="007F51FB"/>
    <w:rsid w:val="0080463D"/>
    <w:rsid w:val="008573B0"/>
    <w:rsid w:val="00875946"/>
    <w:rsid w:val="00881484"/>
    <w:rsid w:val="00886CA4"/>
    <w:rsid w:val="00890B07"/>
    <w:rsid w:val="008C4811"/>
    <w:rsid w:val="008F5436"/>
    <w:rsid w:val="00912BF7"/>
    <w:rsid w:val="0091461D"/>
    <w:rsid w:val="00924CD8"/>
    <w:rsid w:val="009E5A74"/>
    <w:rsid w:val="009E68F6"/>
    <w:rsid w:val="009F5B8C"/>
    <w:rsid w:val="00A2250D"/>
    <w:rsid w:val="00A34EE9"/>
    <w:rsid w:val="00A70097"/>
    <w:rsid w:val="00A9063B"/>
    <w:rsid w:val="00A93B99"/>
    <w:rsid w:val="00AB309C"/>
    <w:rsid w:val="00AB3DA1"/>
    <w:rsid w:val="00AC4ADF"/>
    <w:rsid w:val="00B630A5"/>
    <w:rsid w:val="00B95E88"/>
    <w:rsid w:val="00BB7EF5"/>
    <w:rsid w:val="00BC6534"/>
    <w:rsid w:val="00BD2586"/>
    <w:rsid w:val="00C41793"/>
    <w:rsid w:val="00C46997"/>
    <w:rsid w:val="00CD153E"/>
    <w:rsid w:val="00CE77E3"/>
    <w:rsid w:val="00D21239"/>
    <w:rsid w:val="00D766D4"/>
    <w:rsid w:val="00DF2479"/>
    <w:rsid w:val="00E22D7E"/>
    <w:rsid w:val="00E60C03"/>
    <w:rsid w:val="00E87024"/>
    <w:rsid w:val="00E87A53"/>
    <w:rsid w:val="00EA465F"/>
    <w:rsid w:val="00EB5475"/>
    <w:rsid w:val="00F05BAA"/>
    <w:rsid w:val="00F36830"/>
    <w:rsid w:val="00F44FBC"/>
    <w:rsid w:val="00F66BE5"/>
    <w:rsid w:val="00F8266F"/>
    <w:rsid w:val="00F82B52"/>
    <w:rsid w:val="085231C4"/>
    <w:rsid w:val="0A602B64"/>
    <w:rsid w:val="0F502A98"/>
    <w:rsid w:val="120F39B4"/>
    <w:rsid w:val="14250682"/>
    <w:rsid w:val="16686623"/>
    <w:rsid w:val="281A3309"/>
    <w:rsid w:val="28CF5A8A"/>
    <w:rsid w:val="2C2B118C"/>
    <w:rsid w:val="32AC0EBD"/>
    <w:rsid w:val="34BC1C1C"/>
    <w:rsid w:val="35EF0666"/>
    <w:rsid w:val="3B2E733A"/>
    <w:rsid w:val="3B403CDF"/>
    <w:rsid w:val="44E3340E"/>
    <w:rsid w:val="48A53293"/>
    <w:rsid w:val="4DC13104"/>
    <w:rsid w:val="503D1EEF"/>
    <w:rsid w:val="5FA82E81"/>
    <w:rsid w:val="613C407C"/>
    <w:rsid w:val="6D65615E"/>
    <w:rsid w:val="6D982065"/>
    <w:rsid w:val="6E3C7BDA"/>
    <w:rsid w:val="714527F7"/>
    <w:rsid w:val="7F051D32"/>
    <w:rsid w:val="7F9D28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lj正文"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color w:val="000000"/>
      <w:sz w:val="24"/>
      <w:szCs w:val="24"/>
      <w:shd w:val="clear" w:color="auto" w:fill="FFFFFF"/>
      <w:lang w:val="en-US" w:eastAsia="zh-CN" w:bidi="ar-SA"/>
    </w:rPr>
  </w:style>
  <w:style w:type="paragraph" w:customStyle="1" w:styleId="11">
    <w:name w:val="列出段落1"/>
    <w:basedOn w:val="1"/>
    <w:qFormat/>
    <w:uiPriority w:val="0"/>
    <w:pPr>
      <w:spacing w:line="300" w:lineRule="auto"/>
      <w:ind w:firstLine="420" w:firstLineChars="200"/>
    </w:pPr>
    <w:rPr>
      <w:rFonts w:ascii="Times New Roman" w:hAnsi="Times New Roman" w:eastAsia="宋体" w:cs="Times New Roman"/>
      <w:sz w:val="24"/>
      <w:szCs w:val="24"/>
    </w:rPr>
  </w:style>
  <w:style w:type="paragraph" w:customStyle="1" w:styleId="12">
    <w:name w:val="Table Paragraph"/>
    <w:basedOn w:val="1"/>
    <w:qFormat/>
    <w:uiPriority w:val="1"/>
    <w:pPr>
      <w:jc w:val="left"/>
    </w:pPr>
    <w:rPr>
      <w:rFonts w:ascii="Calibri" w:hAnsi="Calibri" w:eastAsia="Calibri" w:cs="Times New Roman"/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2898D5-7D43-4787-A19D-528E8B9FB8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cj</Company>
  <Pages>2</Pages>
  <Words>414</Words>
  <Characters>495</Characters>
  <Lines>3</Lines>
  <Paragraphs>1</Paragraphs>
  <TotalTime>0</TotalTime>
  <ScaleCrop>false</ScaleCrop>
  <LinksUpToDate>false</LinksUpToDate>
  <CharactersWithSpaces>499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2021-09-13T03:00:00Z</dcterms:created>
  <dc:creator>lilonghui</dc:creator>
  <cp:lastModifiedBy>莎莎</cp:lastModifiedBy>
  <dcterms:modified xsi:type="dcterms:W3CDTF">2026-01-05T02:39:52Z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E228CB8E13194E68A2531219DA2C6366</vt:lpwstr>
  </property>
  <property fmtid="{D5CDD505-2E9C-101B-9397-08002B2CF9AE}" pid="4" name="KSOTemplateDocerSaveRecord">
    <vt:lpwstr>eyJoZGlkIjoiNjZhMjFjMzlhYmZkMDAxNjZlOTQ1YTdjZmFmZDFmZTUiLCJ1c2VySWQiOiIxMzA4OTQwMzQ0In0=</vt:lpwstr>
  </property>
</Properties>
</file>