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6EA88">
      <w:pPr>
        <w:spacing w:before="312" w:beforeLines="100" w:line="180" w:lineRule="atLeast"/>
        <w:jc w:val="center"/>
        <w:rPr>
          <w:rFonts w:hint="eastAsia" w:ascii="黑体" w:hAnsi="宋体" w:eastAsia="黑体"/>
          <w:b/>
          <w:bCs/>
          <w:sz w:val="72"/>
          <w:szCs w:val="72"/>
        </w:rPr>
      </w:pPr>
    </w:p>
    <w:p w14:paraId="311B4E29">
      <w:pPr>
        <w:spacing w:before="312" w:beforeLines="100" w:line="180" w:lineRule="atLeast"/>
        <w:jc w:val="center"/>
        <w:rPr>
          <w:rFonts w:hint="eastAsia" w:ascii="黑体" w:hAnsi="宋体" w:eastAsia="黑体"/>
          <w:b/>
          <w:bCs/>
          <w:sz w:val="44"/>
          <w:szCs w:val="44"/>
          <w:lang w:val="en-US"/>
        </w:rPr>
      </w:pPr>
      <w:r>
        <w:rPr>
          <w:rFonts w:hint="eastAsia" w:ascii="黑体" w:hAnsi="宋体" w:eastAsia="黑体"/>
          <w:b/>
          <w:bCs/>
          <w:sz w:val="44"/>
          <w:szCs w:val="44"/>
          <w:lang w:val="en-US" w:eastAsia="zh-CN"/>
        </w:rPr>
        <w:t>黄埔区妇幼保健院（广州开发区医院永和院区）新建项目</w:t>
      </w:r>
    </w:p>
    <w:p w14:paraId="62F7280E">
      <w:pPr>
        <w:spacing w:before="312" w:beforeLines="100" w:line="180" w:lineRule="atLeast"/>
        <w:jc w:val="center"/>
        <w:rPr>
          <w:rFonts w:ascii="黑体" w:hAnsi="宋体" w:eastAsia="黑体"/>
          <w:b/>
          <w:bCs/>
          <w:sz w:val="44"/>
          <w:szCs w:val="44"/>
        </w:rPr>
      </w:pPr>
      <w:r>
        <w:rPr>
          <w:rFonts w:hint="eastAsia" w:ascii="黑体" w:hAnsi="宋体" w:eastAsia="黑体"/>
          <w:b/>
          <w:bCs/>
          <w:sz w:val="44"/>
          <w:szCs w:val="44"/>
        </w:rPr>
        <w:t>室外风环境模拟分析报告</w:t>
      </w:r>
    </w:p>
    <w:p w14:paraId="09D897DB">
      <w:pPr>
        <w:spacing w:before="312" w:beforeLines="100" w:line="180" w:lineRule="atLeast"/>
        <w:jc w:val="center"/>
        <w:rPr>
          <w:rFonts w:ascii="宋体" w:hAnsi="宋体"/>
          <w:bCs/>
          <w:sz w:val="44"/>
          <w:szCs w:val="44"/>
          <w:lang w:val="en-US"/>
        </w:rPr>
      </w:pPr>
    </w:p>
    <w:p w14:paraId="68327B61">
      <w:pPr>
        <w:spacing w:line="180" w:lineRule="atLeast"/>
        <w:jc w:val="center"/>
        <w:rPr>
          <w:rFonts w:ascii="宋体" w:hAnsi="宋体"/>
          <w:b/>
          <w:bCs/>
          <w:sz w:val="36"/>
          <w:szCs w:val="36"/>
          <w:lang w:val="en-US"/>
        </w:rPr>
      </w:pPr>
      <w:bookmarkStart w:id="0" w:name="建筑类别"/>
      <w:bookmarkEnd w:id="0"/>
    </w:p>
    <w:p w14:paraId="7B5288A1">
      <w:pPr>
        <w:spacing w:line="240" w:lineRule="auto"/>
        <w:rPr>
          <w:rFonts w:ascii="宋体" w:hAnsi="宋体"/>
          <w:lang w:val="en-US"/>
        </w:rPr>
      </w:pPr>
    </w:p>
    <w:p w14:paraId="1D9982F2">
      <w:pPr>
        <w:spacing w:line="240" w:lineRule="auto"/>
        <w:rPr>
          <w:rFonts w:ascii="宋体" w:hAnsi="宋体"/>
          <w:lang w:val="en-US"/>
        </w:rPr>
      </w:pPr>
    </w:p>
    <w:p w14:paraId="56EB51D1">
      <w:pPr>
        <w:spacing w:line="240" w:lineRule="auto"/>
        <w:rPr>
          <w:rFonts w:ascii="宋体" w:hAnsi="宋体"/>
          <w:lang w:val="en-US"/>
        </w:rPr>
      </w:pPr>
    </w:p>
    <w:p w14:paraId="543920D9">
      <w:pPr>
        <w:spacing w:line="240" w:lineRule="auto"/>
        <w:jc w:val="center"/>
        <w:rPr>
          <w:rFonts w:ascii="宋体" w:hAnsi="宋体"/>
          <w:lang w:val="en-US"/>
        </w:rPr>
      </w:pPr>
      <w:bookmarkStart w:id="1" w:name="二维码"/>
      <w:bookmarkEnd w:id="1"/>
    </w:p>
    <w:p w14:paraId="3BDE16FF">
      <w:pPr>
        <w:spacing w:line="240" w:lineRule="auto"/>
        <w:rPr>
          <w:rFonts w:ascii="宋体" w:hAnsi="宋体"/>
          <w:lang w:val="en-US"/>
        </w:rPr>
      </w:pPr>
    </w:p>
    <w:p w14:paraId="71D88224">
      <w:pPr>
        <w:spacing w:line="240" w:lineRule="auto"/>
        <w:jc w:val="center"/>
        <w:rPr>
          <w:rFonts w:ascii="宋体" w:hAnsi="宋体"/>
          <w:b/>
          <w:bCs/>
          <w:sz w:val="30"/>
          <w:szCs w:val="32"/>
        </w:rPr>
      </w:pPr>
    </w:p>
    <w:p w14:paraId="60A7A9A3">
      <w:pPr>
        <w:spacing w:line="240" w:lineRule="auto"/>
        <w:jc w:val="center"/>
        <w:rPr>
          <w:rFonts w:ascii="宋体" w:hAnsi="宋体"/>
          <w:b/>
          <w:bCs/>
          <w:sz w:val="30"/>
          <w:szCs w:val="32"/>
        </w:rPr>
      </w:pPr>
    </w:p>
    <w:p w14:paraId="5EC500ED">
      <w:pPr>
        <w:spacing w:line="240" w:lineRule="auto"/>
        <w:jc w:val="center"/>
        <w:rPr>
          <w:rFonts w:ascii="宋体" w:hAnsi="宋体"/>
          <w:b/>
          <w:bCs/>
          <w:sz w:val="30"/>
          <w:szCs w:val="32"/>
        </w:rPr>
      </w:pPr>
    </w:p>
    <w:p w14:paraId="21250E4D">
      <w:pPr>
        <w:spacing w:line="240" w:lineRule="auto"/>
        <w:jc w:val="center"/>
        <w:rPr>
          <w:rFonts w:ascii="宋体" w:hAnsi="宋体"/>
          <w:b/>
          <w:bCs/>
          <w:sz w:val="30"/>
          <w:szCs w:val="32"/>
        </w:rPr>
      </w:pPr>
    </w:p>
    <w:p w14:paraId="07CD3E0B">
      <w:pPr>
        <w:spacing w:line="240" w:lineRule="auto"/>
        <w:jc w:val="center"/>
        <w:rPr>
          <w:rFonts w:ascii="宋体" w:hAnsi="宋体"/>
          <w:b/>
          <w:bCs/>
          <w:sz w:val="30"/>
          <w:szCs w:val="32"/>
        </w:rPr>
      </w:pPr>
    </w:p>
    <w:p w14:paraId="1C17278D">
      <w:pPr>
        <w:spacing w:line="240" w:lineRule="auto"/>
        <w:jc w:val="center"/>
        <w:rPr>
          <w:rFonts w:ascii="宋体" w:hAnsi="宋体"/>
          <w:b/>
          <w:bCs/>
          <w:sz w:val="30"/>
          <w:szCs w:val="32"/>
        </w:rPr>
      </w:pPr>
    </w:p>
    <w:p w14:paraId="101170B6">
      <w:pPr>
        <w:spacing w:line="240" w:lineRule="auto"/>
        <w:jc w:val="both"/>
        <w:rPr>
          <w:rFonts w:ascii="宋体" w:hAnsi="宋体"/>
          <w:b/>
          <w:bCs/>
          <w:sz w:val="30"/>
          <w:szCs w:val="32"/>
        </w:rPr>
      </w:pPr>
    </w:p>
    <w:p w14:paraId="2DE1E5F0">
      <w:pPr>
        <w:spacing w:line="240" w:lineRule="auto"/>
        <w:jc w:val="center"/>
        <w:rPr>
          <w:rFonts w:ascii="宋体" w:hAnsi="宋体"/>
          <w:b/>
          <w:bCs/>
          <w:sz w:val="30"/>
          <w:szCs w:val="32"/>
        </w:rPr>
      </w:pPr>
    </w:p>
    <w:p w14:paraId="35D6AB2C">
      <w:pPr>
        <w:spacing w:line="240" w:lineRule="auto"/>
        <w:jc w:val="center"/>
        <w:rPr>
          <w:rFonts w:ascii="宋体" w:hAnsi="宋体"/>
          <w:b/>
          <w:bCs/>
          <w:sz w:val="30"/>
          <w:szCs w:val="32"/>
        </w:rPr>
      </w:pPr>
      <w:r>
        <w:rPr>
          <w:rFonts w:hint="eastAsia" w:ascii="黑体" w:hAnsi="黑体" w:eastAsia="黑体"/>
          <w:sz w:val="30"/>
          <w:szCs w:val="30"/>
        </w:rPr>
        <w:t>广州珠江</w:t>
      </w:r>
      <w:r>
        <w:rPr>
          <w:rFonts w:ascii="黑体" w:hAnsi="黑体" w:eastAsia="黑体"/>
          <w:sz w:val="30"/>
          <w:szCs w:val="30"/>
        </w:rPr>
        <w:t>设计</w:t>
      </w:r>
      <w:r>
        <w:rPr>
          <w:rFonts w:hint="eastAsia" w:ascii="黑体" w:hAnsi="黑体" w:eastAsia="黑体"/>
          <w:sz w:val="30"/>
          <w:szCs w:val="30"/>
          <w:lang w:val="en-US" w:eastAsia="zh-CN"/>
        </w:rPr>
        <w:t>集团</w:t>
      </w:r>
      <w:r>
        <w:rPr>
          <w:rFonts w:ascii="黑体" w:hAnsi="黑体" w:eastAsia="黑体"/>
          <w:sz w:val="30"/>
          <w:szCs w:val="30"/>
        </w:rPr>
        <w:t>有限</w:t>
      </w:r>
      <w:r>
        <w:rPr>
          <w:rFonts w:hint="eastAsia" w:ascii="黑体" w:hAnsi="黑体" w:eastAsia="黑体"/>
          <w:sz w:val="30"/>
          <w:szCs w:val="30"/>
        </w:rPr>
        <w:t>公司</w:t>
      </w:r>
      <w:bookmarkStart w:id="173" w:name="_GoBack"/>
      <w:bookmarkEnd w:id="173"/>
    </w:p>
    <w:p w14:paraId="7E884048">
      <w:pPr>
        <w:spacing w:line="240" w:lineRule="auto"/>
        <w:jc w:val="center"/>
        <w:rPr>
          <w:rFonts w:hint="eastAsia" w:ascii="宋体" w:hAnsi="宋体"/>
          <w:b/>
          <w:bCs/>
          <w:sz w:val="30"/>
          <w:szCs w:val="32"/>
        </w:rPr>
      </w:pPr>
    </w:p>
    <w:p w14:paraId="664D4418">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2B95752E">
      <w:pPr>
        <w:pStyle w:val="19"/>
        <w:rPr>
          <w:rFonts w:asciiTheme="minorHAnsi" w:hAnsiTheme="minorHAnsi" w:eastAsiaTheme="minorEastAsia" w:cstheme="minorBidi"/>
          <w:b w:val="0"/>
          <w:bCs w:val="0"/>
          <w:szCs w:val="22"/>
        </w:rPr>
      </w:pPr>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fldChar w:fldCharType="begin"/>
      </w:r>
      <w:r>
        <w:instrText xml:space="preserve"> HYPERLINK \l "_Toc179986096" </w:instrText>
      </w:r>
      <w:r>
        <w:fldChar w:fldCharType="separate"/>
      </w:r>
      <w:r>
        <w:rPr>
          <w:rStyle w:val="26"/>
        </w:rPr>
        <w:t>1</w:t>
      </w:r>
      <w:r>
        <w:rPr>
          <w:rFonts w:asciiTheme="minorHAnsi" w:hAnsiTheme="minorHAnsi" w:eastAsiaTheme="minorEastAsia" w:cstheme="minorBidi"/>
          <w:b w:val="0"/>
          <w:bCs w:val="0"/>
          <w:szCs w:val="22"/>
        </w:rPr>
        <w:tab/>
      </w:r>
      <w:r>
        <w:rPr>
          <w:rStyle w:val="26"/>
          <w:rFonts w:hint="eastAsia"/>
        </w:rPr>
        <w:t>项目概况</w:t>
      </w:r>
      <w:r>
        <w:tab/>
      </w:r>
      <w:r>
        <w:fldChar w:fldCharType="begin"/>
      </w:r>
      <w:r>
        <w:instrText xml:space="preserve"> PAGEREF _Toc179986096 \h </w:instrText>
      </w:r>
      <w:r>
        <w:fldChar w:fldCharType="separate"/>
      </w:r>
      <w:r>
        <w:t>3</w:t>
      </w:r>
      <w:r>
        <w:fldChar w:fldCharType="end"/>
      </w:r>
      <w:r>
        <w:fldChar w:fldCharType="end"/>
      </w:r>
    </w:p>
    <w:p w14:paraId="1A004FC5">
      <w:pPr>
        <w:pStyle w:val="20"/>
        <w:rPr>
          <w:rFonts w:asciiTheme="minorHAnsi" w:hAnsiTheme="minorHAnsi" w:eastAsiaTheme="minorEastAsia" w:cstheme="minorBidi"/>
          <w:szCs w:val="22"/>
        </w:rPr>
      </w:pPr>
      <w:r>
        <w:fldChar w:fldCharType="begin"/>
      </w:r>
      <w:r>
        <w:instrText xml:space="preserve"> HYPERLINK \l "_Toc179986097" </w:instrText>
      </w:r>
      <w:r>
        <w:fldChar w:fldCharType="separate"/>
      </w:r>
      <w:r>
        <w:rPr>
          <w:rStyle w:val="26"/>
          <w:lang w:val="en-GB"/>
        </w:rPr>
        <w:t>1.1</w:t>
      </w:r>
      <w:r>
        <w:rPr>
          <w:rFonts w:asciiTheme="minorHAnsi" w:hAnsiTheme="minorHAnsi" w:eastAsiaTheme="minorEastAsia" w:cstheme="minorBidi"/>
          <w:szCs w:val="22"/>
        </w:rPr>
        <w:tab/>
      </w:r>
      <w:r>
        <w:rPr>
          <w:rStyle w:val="26"/>
          <w:rFonts w:hint="eastAsia"/>
        </w:rPr>
        <w:t>总平面图</w:t>
      </w:r>
      <w:r>
        <w:tab/>
      </w:r>
      <w:r>
        <w:fldChar w:fldCharType="begin"/>
      </w:r>
      <w:r>
        <w:instrText xml:space="preserve"> PAGEREF _Toc179986097 \h </w:instrText>
      </w:r>
      <w:r>
        <w:fldChar w:fldCharType="separate"/>
      </w:r>
      <w:r>
        <w:t>4</w:t>
      </w:r>
      <w:r>
        <w:fldChar w:fldCharType="end"/>
      </w:r>
      <w:r>
        <w:fldChar w:fldCharType="end"/>
      </w:r>
    </w:p>
    <w:p w14:paraId="7EC0BFB6">
      <w:pPr>
        <w:pStyle w:val="20"/>
        <w:rPr>
          <w:rFonts w:asciiTheme="minorHAnsi" w:hAnsiTheme="minorHAnsi" w:eastAsiaTheme="minorEastAsia" w:cstheme="minorBidi"/>
          <w:szCs w:val="22"/>
        </w:rPr>
      </w:pPr>
      <w:r>
        <w:fldChar w:fldCharType="begin"/>
      </w:r>
      <w:r>
        <w:instrText xml:space="preserve"> HYPERLINK \l "_Toc179986098" </w:instrText>
      </w:r>
      <w:r>
        <w:fldChar w:fldCharType="separate"/>
      </w:r>
      <w:r>
        <w:rPr>
          <w:rStyle w:val="26"/>
          <w:lang w:val="en-GB"/>
        </w:rPr>
        <w:t>1.2</w:t>
      </w:r>
      <w:r>
        <w:rPr>
          <w:rFonts w:asciiTheme="minorHAnsi" w:hAnsiTheme="minorHAnsi" w:eastAsiaTheme="minorEastAsia" w:cstheme="minorBidi"/>
          <w:szCs w:val="22"/>
        </w:rPr>
        <w:tab/>
      </w:r>
      <w:r>
        <w:rPr>
          <w:rStyle w:val="26"/>
          <w:rFonts w:hint="eastAsia"/>
        </w:rPr>
        <w:t>三维视图</w:t>
      </w:r>
      <w:r>
        <w:tab/>
      </w:r>
      <w:r>
        <w:fldChar w:fldCharType="begin"/>
      </w:r>
      <w:r>
        <w:instrText xml:space="preserve"> PAGEREF _Toc179986098 \h </w:instrText>
      </w:r>
      <w:r>
        <w:fldChar w:fldCharType="separate"/>
      </w:r>
      <w:r>
        <w:t>5</w:t>
      </w:r>
      <w:r>
        <w:fldChar w:fldCharType="end"/>
      </w:r>
      <w:r>
        <w:fldChar w:fldCharType="end"/>
      </w:r>
    </w:p>
    <w:p w14:paraId="37091F56">
      <w:pPr>
        <w:pStyle w:val="19"/>
        <w:rPr>
          <w:rFonts w:asciiTheme="minorHAnsi" w:hAnsiTheme="minorHAnsi" w:eastAsiaTheme="minorEastAsia" w:cstheme="minorBidi"/>
          <w:b w:val="0"/>
          <w:bCs w:val="0"/>
          <w:szCs w:val="22"/>
        </w:rPr>
      </w:pPr>
      <w:r>
        <w:fldChar w:fldCharType="begin"/>
      </w:r>
      <w:r>
        <w:instrText xml:space="preserve"> HYPERLINK \l "_Toc179986099" </w:instrText>
      </w:r>
      <w:r>
        <w:fldChar w:fldCharType="separate"/>
      </w:r>
      <w:r>
        <w:rPr>
          <w:rStyle w:val="26"/>
        </w:rPr>
        <w:t>2</w:t>
      </w:r>
      <w:r>
        <w:rPr>
          <w:rFonts w:asciiTheme="minorHAnsi" w:hAnsiTheme="minorHAnsi" w:eastAsiaTheme="minorEastAsia" w:cstheme="minorBidi"/>
          <w:b w:val="0"/>
          <w:bCs w:val="0"/>
          <w:szCs w:val="22"/>
        </w:rPr>
        <w:tab/>
      </w:r>
      <w:r>
        <w:rPr>
          <w:rStyle w:val="26"/>
          <w:rFonts w:hint="eastAsia"/>
        </w:rPr>
        <w:t>计算依据</w:t>
      </w:r>
      <w:r>
        <w:tab/>
      </w:r>
      <w:r>
        <w:fldChar w:fldCharType="begin"/>
      </w:r>
      <w:r>
        <w:instrText xml:space="preserve"> PAGEREF _Toc179986099 \h </w:instrText>
      </w:r>
      <w:r>
        <w:fldChar w:fldCharType="separate"/>
      </w:r>
      <w:r>
        <w:t>6</w:t>
      </w:r>
      <w:r>
        <w:fldChar w:fldCharType="end"/>
      </w:r>
      <w:r>
        <w:fldChar w:fldCharType="end"/>
      </w:r>
    </w:p>
    <w:p w14:paraId="59E1ED9A">
      <w:pPr>
        <w:pStyle w:val="19"/>
        <w:rPr>
          <w:rFonts w:asciiTheme="minorHAnsi" w:hAnsiTheme="minorHAnsi" w:eastAsiaTheme="minorEastAsia" w:cstheme="minorBidi"/>
          <w:b w:val="0"/>
          <w:bCs w:val="0"/>
          <w:szCs w:val="22"/>
        </w:rPr>
      </w:pPr>
      <w:r>
        <w:fldChar w:fldCharType="begin"/>
      </w:r>
      <w:r>
        <w:instrText xml:space="preserve"> HYPERLINK \l "_Toc179986100" </w:instrText>
      </w:r>
      <w:r>
        <w:fldChar w:fldCharType="separate"/>
      </w:r>
      <w:r>
        <w:rPr>
          <w:rStyle w:val="26"/>
        </w:rPr>
        <w:t>3</w:t>
      </w:r>
      <w:r>
        <w:rPr>
          <w:rFonts w:asciiTheme="minorHAnsi" w:hAnsiTheme="minorHAnsi" w:eastAsiaTheme="minorEastAsia" w:cstheme="minorBidi"/>
          <w:b w:val="0"/>
          <w:bCs w:val="0"/>
          <w:szCs w:val="22"/>
        </w:rPr>
        <w:tab/>
      </w:r>
      <w:r>
        <w:rPr>
          <w:rStyle w:val="26"/>
          <w:rFonts w:hint="eastAsia"/>
        </w:rPr>
        <w:t>参考标准</w:t>
      </w:r>
      <w:r>
        <w:tab/>
      </w:r>
      <w:r>
        <w:fldChar w:fldCharType="begin"/>
      </w:r>
      <w:r>
        <w:instrText xml:space="preserve"> PAGEREF _Toc179986100 \h </w:instrText>
      </w:r>
      <w:r>
        <w:fldChar w:fldCharType="separate"/>
      </w:r>
      <w:r>
        <w:t>6</w:t>
      </w:r>
      <w:r>
        <w:fldChar w:fldCharType="end"/>
      </w:r>
      <w:r>
        <w:fldChar w:fldCharType="end"/>
      </w:r>
    </w:p>
    <w:p w14:paraId="2667AEAE">
      <w:pPr>
        <w:pStyle w:val="19"/>
        <w:rPr>
          <w:rFonts w:asciiTheme="minorHAnsi" w:hAnsiTheme="minorHAnsi" w:eastAsiaTheme="minorEastAsia" w:cstheme="minorBidi"/>
          <w:b w:val="0"/>
          <w:bCs w:val="0"/>
          <w:szCs w:val="22"/>
        </w:rPr>
      </w:pPr>
      <w:r>
        <w:fldChar w:fldCharType="begin"/>
      </w:r>
      <w:r>
        <w:instrText xml:space="preserve"> HYPERLINK \l "_Toc179986101" </w:instrText>
      </w:r>
      <w:r>
        <w:fldChar w:fldCharType="separate"/>
      </w:r>
      <w:r>
        <w:rPr>
          <w:rStyle w:val="26"/>
        </w:rPr>
        <w:t>4</w:t>
      </w:r>
      <w:r>
        <w:rPr>
          <w:rFonts w:asciiTheme="minorHAnsi" w:hAnsiTheme="minorHAnsi" w:eastAsiaTheme="minorEastAsia" w:cstheme="minorBidi"/>
          <w:b w:val="0"/>
          <w:bCs w:val="0"/>
          <w:szCs w:val="22"/>
        </w:rPr>
        <w:tab/>
      </w:r>
      <w:r>
        <w:rPr>
          <w:rStyle w:val="26"/>
          <w:rFonts w:hint="eastAsia"/>
        </w:rPr>
        <w:t>计算原理</w:t>
      </w:r>
      <w:r>
        <w:tab/>
      </w:r>
      <w:r>
        <w:fldChar w:fldCharType="begin"/>
      </w:r>
      <w:r>
        <w:instrText xml:space="preserve"> PAGEREF _Toc179986101 \h </w:instrText>
      </w:r>
      <w:r>
        <w:fldChar w:fldCharType="separate"/>
      </w:r>
      <w:r>
        <w:t>6</w:t>
      </w:r>
      <w:r>
        <w:fldChar w:fldCharType="end"/>
      </w:r>
      <w:r>
        <w:fldChar w:fldCharType="end"/>
      </w:r>
    </w:p>
    <w:p w14:paraId="5DC0AAE7">
      <w:pPr>
        <w:pStyle w:val="20"/>
        <w:rPr>
          <w:rFonts w:asciiTheme="minorHAnsi" w:hAnsiTheme="minorHAnsi" w:eastAsiaTheme="minorEastAsia" w:cstheme="minorBidi"/>
          <w:szCs w:val="22"/>
        </w:rPr>
      </w:pPr>
      <w:r>
        <w:fldChar w:fldCharType="begin"/>
      </w:r>
      <w:r>
        <w:instrText xml:space="preserve"> HYPERLINK \l "_Toc179986102" </w:instrText>
      </w:r>
      <w:r>
        <w:fldChar w:fldCharType="separate"/>
      </w:r>
      <w:r>
        <w:rPr>
          <w:rStyle w:val="26"/>
          <w:lang w:val="en-GB"/>
        </w:rPr>
        <w:t>4.1</w:t>
      </w:r>
      <w:r>
        <w:rPr>
          <w:rFonts w:asciiTheme="minorHAnsi" w:hAnsiTheme="minorHAnsi" w:eastAsiaTheme="minorEastAsia" w:cstheme="minorBidi"/>
          <w:szCs w:val="22"/>
        </w:rPr>
        <w:tab/>
      </w:r>
      <w:r>
        <w:rPr>
          <w:rStyle w:val="26"/>
          <w:rFonts w:hint="eastAsia"/>
        </w:rPr>
        <w:t>风场计算域</w:t>
      </w:r>
      <w:r>
        <w:tab/>
      </w:r>
      <w:r>
        <w:fldChar w:fldCharType="begin"/>
      </w:r>
      <w:r>
        <w:instrText xml:space="preserve"> PAGEREF _Toc179986102 \h </w:instrText>
      </w:r>
      <w:r>
        <w:fldChar w:fldCharType="separate"/>
      </w:r>
      <w:r>
        <w:t>6</w:t>
      </w:r>
      <w:r>
        <w:fldChar w:fldCharType="end"/>
      </w:r>
      <w:r>
        <w:fldChar w:fldCharType="end"/>
      </w:r>
    </w:p>
    <w:p w14:paraId="458279B2">
      <w:pPr>
        <w:pStyle w:val="15"/>
        <w:rPr>
          <w:rFonts w:asciiTheme="minorHAnsi" w:hAnsiTheme="minorHAnsi" w:eastAsiaTheme="minorEastAsia" w:cstheme="minorBidi"/>
          <w:szCs w:val="22"/>
        </w:rPr>
      </w:pPr>
      <w:r>
        <w:fldChar w:fldCharType="begin"/>
      </w:r>
      <w:r>
        <w:instrText xml:space="preserve"> HYPERLINK \l "_Toc179986103" </w:instrText>
      </w:r>
      <w:r>
        <w:fldChar w:fldCharType="separate"/>
      </w:r>
      <w:r>
        <w:rPr>
          <w:rStyle w:val="26"/>
          <w:lang w:val="en-GB"/>
        </w:rPr>
        <w:t>4.1.1</w:t>
      </w:r>
      <w:r>
        <w:rPr>
          <w:rFonts w:asciiTheme="minorHAnsi" w:hAnsiTheme="minorHAnsi" w:eastAsiaTheme="minorEastAsia" w:cstheme="minorBidi"/>
          <w:szCs w:val="22"/>
        </w:rPr>
        <w:tab/>
      </w:r>
      <w:r>
        <w:rPr>
          <w:rStyle w:val="26"/>
          <w:rFonts w:hint="eastAsia"/>
        </w:rPr>
        <w:t>冬季工况风场计算域</w:t>
      </w:r>
      <w:r>
        <w:tab/>
      </w:r>
      <w:r>
        <w:fldChar w:fldCharType="begin"/>
      </w:r>
      <w:r>
        <w:instrText xml:space="preserve"> PAGEREF _Toc179986103 \h </w:instrText>
      </w:r>
      <w:r>
        <w:fldChar w:fldCharType="separate"/>
      </w:r>
      <w:r>
        <w:t>6</w:t>
      </w:r>
      <w:r>
        <w:fldChar w:fldCharType="end"/>
      </w:r>
      <w:r>
        <w:fldChar w:fldCharType="end"/>
      </w:r>
    </w:p>
    <w:p w14:paraId="01624EB7">
      <w:pPr>
        <w:pStyle w:val="15"/>
        <w:rPr>
          <w:rFonts w:asciiTheme="minorHAnsi" w:hAnsiTheme="minorHAnsi" w:eastAsiaTheme="minorEastAsia" w:cstheme="minorBidi"/>
          <w:szCs w:val="22"/>
        </w:rPr>
      </w:pPr>
      <w:r>
        <w:fldChar w:fldCharType="begin"/>
      </w:r>
      <w:r>
        <w:instrText xml:space="preserve"> HYPERLINK \l "_Toc179986104" </w:instrText>
      </w:r>
      <w:r>
        <w:fldChar w:fldCharType="separate"/>
      </w:r>
      <w:r>
        <w:rPr>
          <w:rStyle w:val="26"/>
          <w:lang w:val="en-GB"/>
        </w:rPr>
        <w:t>4.1.2</w:t>
      </w:r>
      <w:r>
        <w:rPr>
          <w:rFonts w:asciiTheme="minorHAnsi" w:hAnsiTheme="minorHAnsi" w:eastAsiaTheme="minorEastAsia" w:cstheme="minorBidi"/>
          <w:szCs w:val="22"/>
        </w:rPr>
        <w:tab/>
      </w:r>
      <w:r>
        <w:rPr>
          <w:rStyle w:val="26"/>
          <w:rFonts w:hint="eastAsia"/>
        </w:rPr>
        <w:t>夏季工况风场计算域</w:t>
      </w:r>
      <w:r>
        <w:tab/>
      </w:r>
      <w:r>
        <w:fldChar w:fldCharType="begin"/>
      </w:r>
      <w:r>
        <w:instrText xml:space="preserve"> PAGEREF _Toc179986104 \h </w:instrText>
      </w:r>
      <w:r>
        <w:fldChar w:fldCharType="separate"/>
      </w:r>
      <w:r>
        <w:t>7</w:t>
      </w:r>
      <w:r>
        <w:fldChar w:fldCharType="end"/>
      </w:r>
      <w:r>
        <w:fldChar w:fldCharType="end"/>
      </w:r>
    </w:p>
    <w:p w14:paraId="465D994A">
      <w:pPr>
        <w:pStyle w:val="15"/>
        <w:rPr>
          <w:rFonts w:asciiTheme="minorHAnsi" w:hAnsiTheme="minorHAnsi" w:eastAsiaTheme="minorEastAsia" w:cstheme="minorBidi"/>
          <w:szCs w:val="22"/>
        </w:rPr>
      </w:pPr>
      <w:r>
        <w:fldChar w:fldCharType="begin"/>
      </w:r>
      <w:r>
        <w:instrText xml:space="preserve"> HYPERLINK \l "_Toc179986105" </w:instrText>
      </w:r>
      <w:r>
        <w:fldChar w:fldCharType="separate"/>
      </w:r>
      <w:r>
        <w:rPr>
          <w:rStyle w:val="26"/>
          <w:lang w:val="en-GB"/>
        </w:rPr>
        <w:t>4.1.3</w:t>
      </w:r>
      <w:r>
        <w:rPr>
          <w:rFonts w:asciiTheme="minorHAnsi" w:hAnsiTheme="minorHAnsi" w:eastAsiaTheme="minorEastAsia" w:cstheme="minorBidi"/>
          <w:szCs w:val="22"/>
        </w:rPr>
        <w:tab/>
      </w:r>
      <w:r>
        <w:rPr>
          <w:rStyle w:val="26"/>
          <w:rFonts w:hint="eastAsia"/>
        </w:rPr>
        <w:t>过渡季工况风场计算域</w:t>
      </w:r>
      <w:r>
        <w:tab/>
      </w:r>
      <w:r>
        <w:fldChar w:fldCharType="begin"/>
      </w:r>
      <w:r>
        <w:instrText xml:space="preserve"> PAGEREF _Toc179986105 \h </w:instrText>
      </w:r>
      <w:r>
        <w:fldChar w:fldCharType="separate"/>
      </w:r>
      <w:r>
        <w:t>7</w:t>
      </w:r>
      <w:r>
        <w:fldChar w:fldCharType="end"/>
      </w:r>
      <w:r>
        <w:fldChar w:fldCharType="end"/>
      </w:r>
    </w:p>
    <w:p w14:paraId="1DDF41D9">
      <w:pPr>
        <w:pStyle w:val="20"/>
        <w:rPr>
          <w:rFonts w:asciiTheme="minorHAnsi" w:hAnsiTheme="minorHAnsi" w:eastAsiaTheme="minorEastAsia" w:cstheme="minorBidi"/>
          <w:szCs w:val="22"/>
        </w:rPr>
      </w:pPr>
      <w:r>
        <w:fldChar w:fldCharType="begin"/>
      </w:r>
      <w:r>
        <w:instrText xml:space="preserve"> HYPERLINK \l "_Toc179986106" </w:instrText>
      </w:r>
      <w:r>
        <w:fldChar w:fldCharType="separate"/>
      </w:r>
      <w:r>
        <w:rPr>
          <w:rStyle w:val="26"/>
          <w:lang w:val="en-GB"/>
        </w:rPr>
        <w:t>4.2</w:t>
      </w:r>
      <w:r>
        <w:rPr>
          <w:rFonts w:asciiTheme="minorHAnsi" w:hAnsiTheme="minorHAnsi" w:eastAsiaTheme="minorEastAsia" w:cstheme="minorBidi"/>
          <w:szCs w:val="22"/>
        </w:rPr>
        <w:tab/>
      </w:r>
      <w:r>
        <w:rPr>
          <w:rStyle w:val="26"/>
          <w:rFonts w:hint="eastAsia"/>
        </w:rPr>
        <w:t>网格划分</w:t>
      </w:r>
      <w:r>
        <w:tab/>
      </w:r>
      <w:r>
        <w:fldChar w:fldCharType="begin"/>
      </w:r>
      <w:r>
        <w:instrText xml:space="preserve"> PAGEREF _Toc179986106 \h </w:instrText>
      </w:r>
      <w:r>
        <w:fldChar w:fldCharType="separate"/>
      </w:r>
      <w:r>
        <w:t>8</w:t>
      </w:r>
      <w:r>
        <w:fldChar w:fldCharType="end"/>
      </w:r>
      <w:r>
        <w:fldChar w:fldCharType="end"/>
      </w:r>
    </w:p>
    <w:p w14:paraId="2DFE6A15">
      <w:pPr>
        <w:pStyle w:val="20"/>
        <w:rPr>
          <w:rFonts w:asciiTheme="minorHAnsi" w:hAnsiTheme="minorHAnsi" w:eastAsiaTheme="minorEastAsia" w:cstheme="minorBidi"/>
          <w:szCs w:val="22"/>
        </w:rPr>
      </w:pPr>
      <w:r>
        <w:fldChar w:fldCharType="begin"/>
      </w:r>
      <w:r>
        <w:instrText xml:space="preserve"> HYPERLINK \l "_Toc179986107" </w:instrText>
      </w:r>
      <w:r>
        <w:fldChar w:fldCharType="separate"/>
      </w:r>
      <w:r>
        <w:rPr>
          <w:rStyle w:val="26"/>
          <w:lang w:val="en-GB"/>
        </w:rPr>
        <w:t>4.3</w:t>
      </w:r>
      <w:r>
        <w:rPr>
          <w:rFonts w:asciiTheme="minorHAnsi" w:hAnsiTheme="minorHAnsi" w:eastAsiaTheme="minorEastAsia" w:cstheme="minorBidi"/>
          <w:szCs w:val="22"/>
        </w:rPr>
        <w:tab/>
      </w:r>
      <w:r>
        <w:rPr>
          <w:rStyle w:val="26"/>
          <w:rFonts w:hint="eastAsia"/>
        </w:rPr>
        <w:t>边界条件</w:t>
      </w:r>
      <w:r>
        <w:tab/>
      </w:r>
      <w:r>
        <w:fldChar w:fldCharType="begin"/>
      </w:r>
      <w:r>
        <w:instrText xml:space="preserve"> PAGEREF _Toc179986107 \h </w:instrText>
      </w:r>
      <w:r>
        <w:fldChar w:fldCharType="separate"/>
      </w:r>
      <w:r>
        <w:t>11</w:t>
      </w:r>
      <w:r>
        <w:fldChar w:fldCharType="end"/>
      </w:r>
      <w:r>
        <w:fldChar w:fldCharType="end"/>
      </w:r>
    </w:p>
    <w:p w14:paraId="0889A240">
      <w:pPr>
        <w:pStyle w:val="15"/>
        <w:rPr>
          <w:rFonts w:asciiTheme="minorHAnsi" w:hAnsiTheme="minorHAnsi" w:eastAsiaTheme="minorEastAsia" w:cstheme="minorBidi"/>
          <w:szCs w:val="22"/>
        </w:rPr>
      </w:pPr>
      <w:r>
        <w:fldChar w:fldCharType="begin"/>
      </w:r>
      <w:r>
        <w:instrText xml:space="preserve"> HYPERLINK \l "_Toc179986108" </w:instrText>
      </w:r>
      <w:r>
        <w:fldChar w:fldCharType="separate"/>
      </w:r>
      <w:r>
        <w:rPr>
          <w:rStyle w:val="26"/>
          <w:lang w:val="en-GB"/>
        </w:rPr>
        <w:t>4.3.1</w:t>
      </w:r>
      <w:r>
        <w:rPr>
          <w:rFonts w:asciiTheme="minorHAnsi" w:hAnsiTheme="minorHAnsi" w:eastAsiaTheme="minorEastAsia" w:cstheme="minorBidi"/>
          <w:szCs w:val="22"/>
        </w:rPr>
        <w:tab/>
      </w:r>
      <w:r>
        <w:rPr>
          <w:rStyle w:val="26"/>
          <w:rFonts w:hint="eastAsia"/>
        </w:rPr>
        <w:t>入口与出口边界条件</w:t>
      </w:r>
      <w:r>
        <w:tab/>
      </w:r>
      <w:r>
        <w:fldChar w:fldCharType="begin"/>
      </w:r>
      <w:r>
        <w:instrText xml:space="preserve"> PAGEREF _Toc179986108 \h </w:instrText>
      </w:r>
      <w:r>
        <w:fldChar w:fldCharType="separate"/>
      </w:r>
      <w:r>
        <w:t>11</w:t>
      </w:r>
      <w:r>
        <w:fldChar w:fldCharType="end"/>
      </w:r>
      <w:r>
        <w:fldChar w:fldCharType="end"/>
      </w:r>
    </w:p>
    <w:p w14:paraId="0469A85E">
      <w:pPr>
        <w:pStyle w:val="15"/>
        <w:rPr>
          <w:rFonts w:asciiTheme="minorHAnsi" w:hAnsiTheme="minorHAnsi" w:eastAsiaTheme="minorEastAsia" w:cstheme="minorBidi"/>
          <w:szCs w:val="22"/>
        </w:rPr>
      </w:pPr>
      <w:r>
        <w:fldChar w:fldCharType="begin"/>
      </w:r>
      <w:r>
        <w:instrText xml:space="preserve"> HYPERLINK \l "_Toc179986109" </w:instrText>
      </w:r>
      <w:r>
        <w:fldChar w:fldCharType="separate"/>
      </w:r>
      <w:r>
        <w:rPr>
          <w:rStyle w:val="26"/>
          <w:lang w:val="en-GB"/>
        </w:rPr>
        <w:t>4.3.2</w:t>
      </w:r>
      <w:r>
        <w:rPr>
          <w:rFonts w:asciiTheme="minorHAnsi" w:hAnsiTheme="minorHAnsi" w:eastAsiaTheme="minorEastAsia" w:cstheme="minorBidi"/>
          <w:szCs w:val="22"/>
        </w:rPr>
        <w:tab/>
      </w:r>
      <w:r>
        <w:rPr>
          <w:rStyle w:val="26"/>
          <w:rFonts w:hint="eastAsia"/>
        </w:rPr>
        <w:t>壁面边界条件</w:t>
      </w:r>
      <w:r>
        <w:tab/>
      </w:r>
      <w:r>
        <w:fldChar w:fldCharType="begin"/>
      </w:r>
      <w:r>
        <w:instrText xml:space="preserve"> PAGEREF _Toc179986109 \h </w:instrText>
      </w:r>
      <w:r>
        <w:fldChar w:fldCharType="separate"/>
      </w:r>
      <w:r>
        <w:t>12</w:t>
      </w:r>
      <w:r>
        <w:fldChar w:fldCharType="end"/>
      </w:r>
      <w:r>
        <w:fldChar w:fldCharType="end"/>
      </w:r>
    </w:p>
    <w:p w14:paraId="2D016A8C">
      <w:pPr>
        <w:pStyle w:val="20"/>
        <w:rPr>
          <w:rFonts w:asciiTheme="minorHAnsi" w:hAnsiTheme="minorHAnsi" w:eastAsiaTheme="minorEastAsia" w:cstheme="minorBidi"/>
          <w:szCs w:val="22"/>
        </w:rPr>
      </w:pPr>
      <w:r>
        <w:fldChar w:fldCharType="begin"/>
      </w:r>
      <w:r>
        <w:instrText xml:space="preserve"> HYPERLINK \l "_Toc179986110" </w:instrText>
      </w:r>
      <w:r>
        <w:fldChar w:fldCharType="separate"/>
      </w:r>
      <w:r>
        <w:rPr>
          <w:rStyle w:val="26"/>
          <w:lang w:val="en-GB"/>
        </w:rPr>
        <w:t>4.4</w:t>
      </w:r>
      <w:r>
        <w:rPr>
          <w:rFonts w:asciiTheme="minorHAnsi" w:hAnsiTheme="minorHAnsi" w:eastAsiaTheme="minorEastAsia" w:cstheme="minorBidi"/>
          <w:szCs w:val="22"/>
        </w:rPr>
        <w:tab/>
      </w:r>
      <w:r>
        <w:rPr>
          <w:rStyle w:val="26"/>
          <w:rFonts w:hint="eastAsia"/>
        </w:rPr>
        <w:t>湍流模型</w:t>
      </w:r>
      <w:r>
        <w:tab/>
      </w:r>
      <w:r>
        <w:fldChar w:fldCharType="begin"/>
      </w:r>
      <w:r>
        <w:instrText xml:space="preserve"> PAGEREF _Toc179986110 \h </w:instrText>
      </w:r>
      <w:r>
        <w:fldChar w:fldCharType="separate"/>
      </w:r>
      <w:r>
        <w:t>12</w:t>
      </w:r>
      <w:r>
        <w:fldChar w:fldCharType="end"/>
      </w:r>
      <w:r>
        <w:fldChar w:fldCharType="end"/>
      </w:r>
    </w:p>
    <w:p w14:paraId="3F4015CA">
      <w:pPr>
        <w:pStyle w:val="20"/>
        <w:rPr>
          <w:rFonts w:asciiTheme="minorHAnsi" w:hAnsiTheme="minorHAnsi" w:eastAsiaTheme="minorEastAsia" w:cstheme="minorBidi"/>
          <w:szCs w:val="22"/>
        </w:rPr>
      </w:pPr>
      <w:r>
        <w:fldChar w:fldCharType="begin"/>
      </w:r>
      <w:r>
        <w:instrText xml:space="preserve"> HYPERLINK \l "_Toc179986111" </w:instrText>
      </w:r>
      <w:r>
        <w:fldChar w:fldCharType="separate"/>
      </w:r>
      <w:r>
        <w:rPr>
          <w:rStyle w:val="26"/>
          <w:lang w:val="en-GB"/>
        </w:rPr>
        <w:t>4.5</w:t>
      </w:r>
      <w:r>
        <w:rPr>
          <w:rFonts w:asciiTheme="minorHAnsi" w:hAnsiTheme="minorHAnsi" w:eastAsiaTheme="minorEastAsia" w:cstheme="minorBidi"/>
          <w:szCs w:val="22"/>
        </w:rPr>
        <w:tab/>
      </w:r>
      <w:r>
        <w:rPr>
          <w:rStyle w:val="26"/>
          <w:rFonts w:hint="eastAsia"/>
        </w:rPr>
        <w:t>求解计算</w:t>
      </w:r>
      <w:r>
        <w:tab/>
      </w:r>
      <w:r>
        <w:fldChar w:fldCharType="begin"/>
      </w:r>
      <w:r>
        <w:instrText xml:space="preserve"> PAGEREF _Toc179986111 \h </w:instrText>
      </w:r>
      <w:r>
        <w:fldChar w:fldCharType="separate"/>
      </w:r>
      <w:r>
        <w:t>13</w:t>
      </w:r>
      <w:r>
        <w:fldChar w:fldCharType="end"/>
      </w:r>
      <w:r>
        <w:fldChar w:fldCharType="end"/>
      </w:r>
    </w:p>
    <w:p w14:paraId="666776E2">
      <w:pPr>
        <w:pStyle w:val="20"/>
        <w:rPr>
          <w:rFonts w:asciiTheme="minorHAnsi" w:hAnsiTheme="minorHAnsi" w:eastAsiaTheme="minorEastAsia" w:cstheme="minorBidi"/>
          <w:szCs w:val="22"/>
        </w:rPr>
      </w:pPr>
      <w:r>
        <w:fldChar w:fldCharType="begin"/>
      </w:r>
      <w:r>
        <w:instrText xml:space="preserve"> HYPERLINK \l "_Toc179986112" </w:instrText>
      </w:r>
      <w:r>
        <w:fldChar w:fldCharType="separate"/>
      </w:r>
      <w:r>
        <w:rPr>
          <w:rStyle w:val="26"/>
          <w:lang w:val="en-GB"/>
        </w:rPr>
        <w:t>4.6</w:t>
      </w:r>
      <w:r>
        <w:rPr>
          <w:rFonts w:asciiTheme="minorHAnsi" w:hAnsiTheme="minorHAnsi" w:eastAsiaTheme="minorEastAsia" w:cstheme="minorBidi"/>
          <w:szCs w:val="22"/>
        </w:rPr>
        <w:tab/>
      </w:r>
      <w:r>
        <w:rPr>
          <w:rStyle w:val="26"/>
          <w:rFonts w:hint="eastAsia"/>
        </w:rPr>
        <w:t>风速放大系数计算</w:t>
      </w:r>
      <w:r>
        <w:tab/>
      </w:r>
      <w:r>
        <w:fldChar w:fldCharType="begin"/>
      </w:r>
      <w:r>
        <w:instrText xml:space="preserve"> PAGEREF _Toc179986112 \h </w:instrText>
      </w:r>
      <w:r>
        <w:fldChar w:fldCharType="separate"/>
      </w:r>
      <w:r>
        <w:t>14</w:t>
      </w:r>
      <w:r>
        <w:fldChar w:fldCharType="end"/>
      </w:r>
      <w:r>
        <w:fldChar w:fldCharType="end"/>
      </w:r>
    </w:p>
    <w:p w14:paraId="1BEE778C">
      <w:pPr>
        <w:pStyle w:val="19"/>
        <w:rPr>
          <w:rFonts w:asciiTheme="minorHAnsi" w:hAnsiTheme="minorHAnsi" w:eastAsiaTheme="minorEastAsia" w:cstheme="minorBidi"/>
          <w:b w:val="0"/>
          <w:bCs w:val="0"/>
          <w:szCs w:val="22"/>
        </w:rPr>
      </w:pPr>
      <w:r>
        <w:fldChar w:fldCharType="begin"/>
      </w:r>
      <w:r>
        <w:instrText xml:space="preserve"> HYPERLINK \l "_Toc179986113" </w:instrText>
      </w:r>
      <w:r>
        <w:fldChar w:fldCharType="separate"/>
      </w:r>
      <w:r>
        <w:rPr>
          <w:rStyle w:val="26"/>
        </w:rPr>
        <w:t>5</w:t>
      </w:r>
      <w:r>
        <w:rPr>
          <w:rFonts w:asciiTheme="minorHAnsi" w:hAnsiTheme="minorHAnsi" w:eastAsiaTheme="minorEastAsia" w:cstheme="minorBidi"/>
          <w:b w:val="0"/>
          <w:bCs w:val="0"/>
          <w:szCs w:val="22"/>
        </w:rPr>
        <w:tab/>
      </w:r>
      <w:r>
        <w:rPr>
          <w:rStyle w:val="26"/>
          <w:rFonts w:hint="eastAsia"/>
        </w:rPr>
        <w:t>结果分析</w:t>
      </w:r>
      <w:r>
        <w:tab/>
      </w:r>
      <w:r>
        <w:fldChar w:fldCharType="begin"/>
      </w:r>
      <w:r>
        <w:instrText xml:space="preserve"> PAGEREF _Toc179986113 \h </w:instrText>
      </w:r>
      <w:r>
        <w:fldChar w:fldCharType="separate"/>
      </w:r>
      <w:r>
        <w:t>15</w:t>
      </w:r>
      <w:r>
        <w:fldChar w:fldCharType="end"/>
      </w:r>
      <w:r>
        <w:fldChar w:fldCharType="end"/>
      </w:r>
    </w:p>
    <w:p w14:paraId="478AC9BE">
      <w:pPr>
        <w:pStyle w:val="20"/>
        <w:rPr>
          <w:rFonts w:asciiTheme="minorHAnsi" w:hAnsiTheme="minorHAnsi" w:eastAsiaTheme="minorEastAsia" w:cstheme="minorBidi"/>
          <w:szCs w:val="22"/>
        </w:rPr>
      </w:pPr>
      <w:r>
        <w:fldChar w:fldCharType="begin"/>
      </w:r>
      <w:r>
        <w:instrText xml:space="preserve"> HYPERLINK \l "_Toc179986114" </w:instrText>
      </w:r>
      <w:r>
        <w:fldChar w:fldCharType="separate"/>
      </w:r>
      <w:r>
        <w:rPr>
          <w:rStyle w:val="26"/>
          <w:lang w:val="en-GB"/>
        </w:rPr>
        <w:t>5.1</w:t>
      </w:r>
      <w:r>
        <w:rPr>
          <w:rFonts w:asciiTheme="minorHAnsi" w:hAnsiTheme="minorHAnsi" w:eastAsiaTheme="minorEastAsia" w:cstheme="minorBidi"/>
          <w:szCs w:val="22"/>
        </w:rPr>
        <w:tab/>
      </w:r>
      <w:r>
        <w:rPr>
          <w:rStyle w:val="26"/>
          <w:rFonts w:hint="eastAsia"/>
        </w:rPr>
        <w:t>工况表</w:t>
      </w:r>
      <w:r>
        <w:tab/>
      </w:r>
      <w:r>
        <w:fldChar w:fldCharType="begin"/>
      </w:r>
      <w:r>
        <w:instrText xml:space="preserve"> PAGEREF _Toc179986114 \h </w:instrText>
      </w:r>
      <w:r>
        <w:fldChar w:fldCharType="separate"/>
      </w:r>
      <w:r>
        <w:t>15</w:t>
      </w:r>
      <w:r>
        <w:fldChar w:fldCharType="end"/>
      </w:r>
      <w:r>
        <w:fldChar w:fldCharType="end"/>
      </w:r>
    </w:p>
    <w:p w14:paraId="212175F2">
      <w:pPr>
        <w:pStyle w:val="20"/>
        <w:rPr>
          <w:rFonts w:asciiTheme="minorHAnsi" w:hAnsiTheme="minorHAnsi" w:eastAsiaTheme="minorEastAsia" w:cstheme="minorBidi"/>
          <w:szCs w:val="22"/>
        </w:rPr>
      </w:pPr>
      <w:r>
        <w:fldChar w:fldCharType="begin"/>
      </w:r>
      <w:r>
        <w:instrText xml:space="preserve"> HYPERLINK \l "_Toc179986115" </w:instrText>
      </w:r>
      <w:r>
        <w:fldChar w:fldCharType="separate"/>
      </w:r>
      <w:r>
        <w:rPr>
          <w:rStyle w:val="26"/>
          <w:lang w:val="en-GB"/>
        </w:rPr>
        <w:t>5.2</w:t>
      </w:r>
      <w:r>
        <w:rPr>
          <w:rFonts w:asciiTheme="minorHAnsi" w:hAnsiTheme="minorHAnsi" w:eastAsiaTheme="minorEastAsia" w:cstheme="minorBidi"/>
          <w:szCs w:val="22"/>
        </w:rPr>
        <w:tab/>
      </w:r>
      <w:r>
        <w:rPr>
          <w:rStyle w:val="26"/>
          <w:rFonts w:hint="eastAsia"/>
        </w:rPr>
        <w:t>冬季工况</w:t>
      </w:r>
      <w:r>
        <w:tab/>
      </w:r>
      <w:r>
        <w:fldChar w:fldCharType="begin"/>
      </w:r>
      <w:r>
        <w:instrText xml:space="preserve"> PAGEREF _Toc179986115 \h </w:instrText>
      </w:r>
      <w:r>
        <w:fldChar w:fldCharType="separate"/>
      </w:r>
      <w:r>
        <w:t>15</w:t>
      </w:r>
      <w:r>
        <w:fldChar w:fldCharType="end"/>
      </w:r>
      <w:r>
        <w:fldChar w:fldCharType="end"/>
      </w:r>
    </w:p>
    <w:p w14:paraId="2DE56AC0">
      <w:pPr>
        <w:pStyle w:val="15"/>
        <w:rPr>
          <w:rFonts w:asciiTheme="minorHAnsi" w:hAnsiTheme="minorHAnsi" w:eastAsiaTheme="minorEastAsia" w:cstheme="minorBidi"/>
          <w:szCs w:val="22"/>
        </w:rPr>
      </w:pPr>
      <w:r>
        <w:fldChar w:fldCharType="begin"/>
      </w:r>
      <w:r>
        <w:instrText xml:space="preserve"> HYPERLINK \l "_Toc179986116" </w:instrText>
      </w:r>
      <w:r>
        <w:fldChar w:fldCharType="separate"/>
      </w:r>
      <w:r>
        <w:rPr>
          <w:rStyle w:val="26"/>
          <w:lang w:val="en-GB"/>
        </w:rPr>
        <w:t>5.2.1</w:t>
      </w:r>
      <w:r>
        <w:rPr>
          <w:rFonts w:asciiTheme="minorHAnsi" w:hAnsiTheme="minorHAnsi" w:eastAsiaTheme="minorEastAsia" w:cstheme="minorBidi"/>
          <w:szCs w:val="22"/>
        </w:rPr>
        <w:tab/>
      </w:r>
      <w:r>
        <w:rPr>
          <w:rStyle w:val="26"/>
          <w:rFonts w:hint="eastAsia"/>
        </w:rPr>
        <w:t>风速达标分析</w:t>
      </w:r>
      <w:r>
        <w:tab/>
      </w:r>
      <w:r>
        <w:fldChar w:fldCharType="begin"/>
      </w:r>
      <w:r>
        <w:instrText xml:space="preserve"> PAGEREF _Toc179986116 \h </w:instrText>
      </w:r>
      <w:r>
        <w:fldChar w:fldCharType="separate"/>
      </w:r>
      <w:r>
        <w:t>15</w:t>
      </w:r>
      <w:r>
        <w:fldChar w:fldCharType="end"/>
      </w:r>
      <w:r>
        <w:fldChar w:fldCharType="end"/>
      </w:r>
    </w:p>
    <w:p w14:paraId="6048F12B">
      <w:pPr>
        <w:pStyle w:val="15"/>
        <w:rPr>
          <w:rFonts w:asciiTheme="minorHAnsi" w:hAnsiTheme="minorHAnsi" w:eastAsiaTheme="minorEastAsia" w:cstheme="minorBidi"/>
          <w:szCs w:val="22"/>
        </w:rPr>
      </w:pPr>
      <w:r>
        <w:fldChar w:fldCharType="begin"/>
      </w:r>
      <w:r>
        <w:instrText xml:space="preserve"> HYPERLINK \l "_Toc179986117" </w:instrText>
      </w:r>
      <w:r>
        <w:fldChar w:fldCharType="separate"/>
      </w:r>
      <w:r>
        <w:rPr>
          <w:rStyle w:val="26"/>
          <w:lang w:val="en-GB"/>
        </w:rPr>
        <w:t>5.2.2</w:t>
      </w:r>
      <w:r>
        <w:rPr>
          <w:rFonts w:asciiTheme="minorHAnsi" w:hAnsiTheme="minorHAnsi" w:eastAsiaTheme="minorEastAsia" w:cstheme="minorBidi"/>
          <w:szCs w:val="22"/>
        </w:rPr>
        <w:tab/>
      </w:r>
      <w:r>
        <w:rPr>
          <w:rStyle w:val="26"/>
          <w:rFonts w:hint="eastAsia"/>
        </w:rPr>
        <w:t>风速放大系数达标分析</w:t>
      </w:r>
      <w:r>
        <w:tab/>
      </w:r>
      <w:r>
        <w:fldChar w:fldCharType="begin"/>
      </w:r>
      <w:r>
        <w:instrText xml:space="preserve"> PAGEREF _Toc179986117 \h </w:instrText>
      </w:r>
      <w:r>
        <w:fldChar w:fldCharType="separate"/>
      </w:r>
      <w:r>
        <w:t>16</w:t>
      </w:r>
      <w:r>
        <w:fldChar w:fldCharType="end"/>
      </w:r>
      <w:r>
        <w:fldChar w:fldCharType="end"/>
      </w:r>
    </w:p>
    <w:p w14:paraId="633BCB6B">
      <w:pPr>
        <w:pStyle w:val="15"/>
        <w:rPr>
          <w:rFonts w:asciiTheme="minorHAnsi" w:hAnsiTheme="minorHAnsi" w:eastAsiaTheme="minorEastAsia" w:cstheme="minorBidi"/>
          <w:szCs w:val="22"/>
        </w:rPr>
      </w:pPr>
      <w:r>
        <w:fldChar w:fldCharType="begin"/>
      </w:r>
      <w:r>
        <w:instrText xml:space="preserve"> HYPERLINK \l "_Toc179986118" </w:instrText>
      </w:r>
      <w:r>
        <w:fldChar w:fldCharType="separate"/>
      </w:r>
      <w:r>
        <w:rPr>
          <w:rStyle w:val="26"/>
          <w:lang w:val="en-GB"/>
        </w:rPr>
        <w:t>5.2.3</w:t>
      </w:r>
      <w:r>
        <w:rPr>
          <w:rFonts w:asciiTheme="minorHAnsi" w:hAnsiTheme="minorHAnsi" w:eastAsiaTheme="minorEastAsia" w:cstheme="minorBidi"/>
          <w:szCs w:val="22"/>
        </w:rPr>
        <w:tab/>
      </w:r>
      <w:r>
        <w:rPr>
          <w:rStyle w:val="26"/>
          <w:rFonts w:hint="eastAsia"/>
        </w:rPr>
        <w:t>冬季工况风速</w:t>
      </w:r>
      <w:r>
        <w:rPr>
          <w:rStyle w:val="26"/>
        </w:rPr>
        <w:t>/</w:t>
      </w:r>
      <w:r>
        <w:rPr>
          <w:rStyle w:val="26"/>
          <w:rFonts w:hint="eastAsia"/>
        </w:rPr>
        <w:t>风速放大系数达标结果汇总</w:t>
      </w:r>
      <w:r>
        <w:tab/>
      </w:r>
      <w:r>
        <w:fldChar w:fldCharType="begin"/>
      </w:r>
      <w:r>
        <w:instrText xml:space="preserve"> PAGEREF _Toc179986118 \h </w:instrText>
      </w:r>
      <w:r>
        <w:fldChar w:fldCharType="separate"/>
      </w:r>
      <w:r>
        <w:t>17</w:t>
      </w:r>
      <w:r>
        <w:fldChar w:fldCharType="end"/>
      </w:r>
      <w:r>
        <w:fldChar w:fldCharType="end"/>
      </w:r>
    </w:p>
    <w:p w14:paraId="42BF5A6F">
      <w:pPr>
        <w:pStyle w:val="15"/>
        <w:rPr>
          <w:rFonts w:asciiTheme="minorHAnsi" w:hAnsiTheme="minorHAnsi" w:eastAsiaTheme="minorEastAsia" w:cstheme="minorBidi"/>
          <w:szCs w:val="22"/>
        </w:rPr>
      </w:pPr>
      <w:r>
        <w:fldChar w:fldCharType="begin"/>
      </w:r>
      <w:r>
        <w:instrText xml:space="preserve"> HYPERLINK \l "_Toc179986119" </w:instrText>
      </w:r>
      <w:r>
        <w:fldChar w:fldCharType="separate"/>
      </w:r>
      <w:r>
        <w:rPr>
          <w:rStyle w:val="26"/>
          <w:lang w:val="en-GB"/>
        </w:rPr>
        <w:t>5.2.4</w:t>
      </w:r>
      <w:r>
        <w:rPr>
          <w:rFonts w:asciiTheme="minorHAnsi" w:hAnsiTheme="minorHAnsi" w:eastAsiaTheme="minorEastAsia" w:cstheme="minorBidi"/>
          <w:szCs w:val="22"/>
        </w:rPr>
        <w:tab/>
      </w:r>
      <w:r>
        <w:rPr>
          <w:rStyle w:val="26"/>
          <w:rFonts w:hint="eastAsia"/>
        </w:rPr>
        <w:t>建筑迎风面和背风面风压分析</w:t>
      </w:r>
      <w:r>
        <w:tab/>
      </w:r>
      <w:r>
        <w:fldChar w:fldCharType="begin"/>
      </w:r>
      <w:r>
        <w:instrText xml:space="preserve"> PAGEREF _Toc179986119 \h </w:instrText>
      </w:r>
      <w:r>
        <w:fldChar w:fldCharType="separate"/>
      </w:r>
      <w:r>
        <w:t>17</w:t>
      </w:r>
      <w:r>
        <w:fldChar w:fldCharType="end"/>
      </w:r>
      <w:r>
        <w:fldChar w:fldCharType="end"/>
      </w:r>
    </w:p>
    <w:p w14:paraId="72B37B16">
      <w:pPr>
        <w:pStyle w:val="20"/>
        <w:rPr>
          <w:rFonts w:asciiTheme="minorHAnsi" w:hAnsiTheme="minorHAnsi" w:eastAsiaTheme="minorEastAsia" w:cstheme="minorBidi"/>
          <w:szCs w:val="22"/>
        </w:rPr>
      </w:pPr>
      <w:r>
        <w:fldChar w:fldCharType="begin"/>
      </w:r>
      <w:r>
        <w:instrText xml:space="preserve"> HYPERLINK \l "_Toc179986120" </w:instrText>
      </w:r>
      <w:r>
        <w:fldChar w:fldCharType="separate"/>
      </w:r>
      <w:r>
        <w:rPr>
          <w:rStyle w:val="26"/>
          <w:lang w:val="en-GB"/>
        </w:rPr>
        <w:t>5.3</w:t>
      </w:r>
      <w:r>
        <w:rPr>
          <w:rFonts w:asciiTheme="minorHAnsi" w:hAnsiTheme="minorHAnsi" w:eastAsiaTheme="minorEastAsia" w:cstheme="minorBidi"/>
          <w:szCs w:val="22"/>
        </w:rPr>
        <w:tab/>
      </w:r>
      <w:r>
        <w:rPr>
          <w:rStyle w:val="26"/>
          <w:rFonts w:hint="eastAsia"/>
        </w:rPr>
        <w:t>夏季工况</w:t>
      </w:r>
      <w:r>
        <w:tab/>
      </w:r>
      <w:r>
        <w:fldChar w:fldCharType="begin"/>
      </w:r>
      <w:r>
        <w:instrText xml:space="preserve"> PAGEREF _Toc179986120 \h </w:instrText>
      </w:r>
      <w:r>
        <w:fldChar w:fldCharType="separate"/>
      </w:r>
      <w:r>
        <w:t>19</w:t>
      </w:r>
      <w:r>
        <w:fldChar w:fldCharType="end"/>
      </w:r>
      <w:r>
        <w:fldChar w:fldCharType="end"/>
      </w:r>
    </w:p>
    <w:p w14:paraId="11C76D77">
      <w:pPr>
        <w:pStyle w:val="15"/>
        <w:rPr>
          <w:rFonts w:asciiTheme="minorHAnsi" w:hAnsiTheme="minorHAnsi" w:eastAsiaTheme="minorEastAsia" w:cstheme="minorBidi"/>
          <w:szCs w:val="22"/>
        </w:rPr>
      </w:pPr>
      <w:r>
        <w:fldChar w:fldCharType="begin"/>
      </w:r>
      <w:r>
        <w:instrText xml:space="preserve"> HYPERLINK \l "_Toc179986121" </w:instrText>
      </w:r>
      <w:r>
        <w:fldChar w:fldCharType="separate"/>
      </w:r>
      <w:r>
        <w:rPr>
          <w:rStyle w:val="26"/>
          <w:lang w:val="en-GB"/>
        </w:rPr>
        <w:t>5.3.1</w:t>
      </w:r>
      <w:r>
        <w:rPr>
          <w:rFonts w:asciiTheme="minorHAnsi" w:hAnsiTheme="minorHAnsi" w:eastAsiaTheme="minorEastAsia" w:cstheme="minorBidi"/>
          <w:szCs w:val="22"/>
        </w:rPr>
        <w:tab/>
      </w:r>
      <w:r>
        <w:rPr>
          <w:rStyle w:val="26"/>
          <w:rFonts w:hint="eastAsia"/>
        </w:rPr>
        <w:t>无风区计算分析</w:t>
      </w:r>
      <w:r>
        <w:tab/>
      </w:r>
      <w:r>
        <w:fldChar w:fldCharType="begin"/>
      </w:r>
      <w:r>
        <w:instrText xml:space="preserve"> PAGEREF _Toc179986121 \h </w:instrText>
      </w:r>
      <w:r>
        <w:fldChar w:fldCharType="separate"/>
      </w:r>
      <w:r>
        <w:t>19</w:t>
      </w:r>
      <w:r>
        <w:fldChar w:fldCharType="end"/>
      </w:r>
      <w:r>
        <w:fldChar w:fldCharType="end"/>
      </w:r>
    </w:p>
    <w:p w14:paraId="5C8BF0A4">
      <w:pPr>
        <w:pStyle w:val="15"/>
        <w:rPr>
          <w:rFonts w:asciiTheme="minorHAnsi" w:hAnsiTheme="minorHAnsi" w:eastAsiaTheme="minorEastAsia" w:cstheme="minorBidi"/>
          <w:szCs w:val="22"/>
        </w:rPr>
      </w:pPr>
      <w:r>
        <w:fldChar w:fldCharType="begin"/>
      </w:r>
      <w:r>
        <w:instrText xml:space="preserve"> HYPERLINK \l "_Toc179986122" </w:instrText>
      </w:r>
      <w:r>
        <w:fldChar w:fldCharType="separate"/>
      </w:r>
      <w:r>
        <w:rPr>
          <w:rStyle w:val="26"/>
          <w:lang w:val="en-GB"/>
        </w:rPr>
        <w:t>5.3.2</w:t>
      </w:r>
      <w:r>
        <w:rPr>
          <w:rFonts w:asciiTheme="minorHAnsi" w:hAnsiTheme="minorHAnsi" w:eastAsiaTheme="minorEastAsia" w:cstheme="minorBidi"/>
          <w:szCs w:val="22"/>
        </w:rPr>
        <w:tab/>
      </w:r>
      <w:r>
        <w:rPr>
          <w:rStyle w:val="26"/>
          <w:rFonts w:hint="eastAsia"/>
        </w:rPr>
        <w:t>旋涡区分析</w:t>
      </w:r>
      <w:r>
        <w:tab/>
      </w:r>
      <w:r>
        <w:fldChar w:fldCharType="begin"/>
      </w:r>
      <w:r>
        <w:instrText xml:space="preserve"> PAGEREF _Toc179986122 \h </w:instrText>
      </w:r>
      <w:r>
        <w:fldChar w:fldCharType="separate"/>
      </w:r>
      <w:r>
        <w:t>20</w:t>
      </w:r>
      <w:r>
        <w:fldChar w:fldCharType="end"/>
      </w:r>
      <w:r>
        <w:fldChar w:fldCharType="end"/>
      </w:r>
    </w:p>
    <w:p w14:paraId="1BCEFB27">
      <w:pPr>
        <w:pStyle w:val="15"/>
        <w:rPr>
          <w:rFonts w:asciiTheme="minorHAnsi" w:hAnsiTheme="minorHAnsi" w:eastAsiaTheme="minorEastAsia" w:cstheme="minorBidi"/>
          <w:szCs w:val="22"/>
        </w:rPr>
      </w:pPr>
      <w:r>
        <w:fldChar w:fldCharType="begin"/>
      </w:r>
      <w:r>
        <w:instrText xml:space="preserve"> HYPERLINK \l "_Toc179986123" </w:instrText>
      </w:r>
      <w:r>
        <w:fldChar w:fldCharType="separate"/>
      </w:r>
      <w:r>
        <w:rPr>
          <w:rStyle w:val="26"/>
          <w:lang w:val="en-GB"/>
        </w:rPr>
        <w:t>5.3.3</w:t>
      </w:r>
      <w:r>
        <w:rPr>
          <w:rFonts w:asciiTheme="minorHAnsi" w:hAnsiTheme="minorHAnsi" w:eastAsiaTheme="minorEastAsia" w:cstheme="minorBidi"/>
          <w:szCs w:val="22"/>
        </w:rPr>
        <w:tab/>
      </w:r>
      <w:r>
        <w:rPr>
          <w:rStyle w:val="26"/>
          <w:rFonts w:hint="eastAsia"/>
        </w:rPr>
        <w:t>旋涡区</w:t>
      </w:r>
      <w:r>
        <w:rPr>
          <w:rStyle w:val="26"/>
        </w:rPr>
        <w:t>/</w:t>
      </w:r>
      <w:r>
        <w:rPr>
          <w:rStyle w:val="26"/>
          <w:rFonts w:hint="eastAsia"/>
        </w:rPr>
        <w:t>无风区达标结果汇总</w:t>
      </w:r>
      <w:r>
        <w:tab/>
      </w:r>
      <w:r>
        <w:fldChar w:fldCharType="begin"/>
      </w:r>
      <w:r>
        <w:instrText xml:space="preserve"> PAGEREF _Toc179986123 \h </w:instrText>
      </w:r>
      <w:r>
        <w:fldChar w:fldCharType="separate"/>
      </w:r>
      <w:r>
        <w:t>20</w:t>
      </w:r>
      <w:r>
        <w:fldChar w:fldCharType="end"/>
      </w:r>
      <w:r>
        <w:fldChar w:fldCharType="end"/>
      </w:r>
    </w:p>
    <w:p w14:paraId="32F61371">
      <w:pPr>
        <w:pStyle w:val="15"/>
        <w:rPr>
          <w:rFonts w:asciiTheme="minorHAnsi" w:hAnsiTheme="minorHAnsi" w:eastAsiaTheme="minorEastAsia" w:cstheme="minorBidi"/>
          <w:szCs w:val="22"/>
        </w:rPr>
      </w:pPr>
      <w:r>
        <w:fldChar w:fldCharType="begin"/>
      </w:r>
      <w:r>
        <w:instrText xml:space="preserve"> HYPERLINK \l "_Toc179986124" </w:instrText>
      </w:r>
      <w:r>
        <w:fldChar w:fldCharType="separate"/>
      </w:r>
      <w:r>
        <w:rPr>
          <w:rStyle w:val="26"/>
          <w:lang w:val="en-GB"/>
        </w:rPr>
        <w:t>5.3.4</w:t>
      </w:r>
      <w:r>
        <w:rPr>
          <w:rFonts w:asciiTheme="minorHAnsi" w:hAnsiTheme="minorHAnsi" w:eastAsiaTheme="minorEastAsia" w:cstheme="minorBidi"/>
          <w:szCs w:val="22"/>
        </w:rPr>
        <w:tab/>
      </w:r>
      <w:r>
        <w:rPr>
          <w:rStyle w:val="26"/>
          <w:rFonts w:hint="eastAsia"/>
        </w:rPr>
        <w:t>外窗内外表面风压差达标分析</w:t>
      </w:r>
      <w:r>
        <w:tab/>
      </w:r>
      <w:r>
        <w:fldChar w:fldCharType="begin"/>
      </w:r>
      <w:r>
        <w:instrText xml:space="preserve"> PAGEREF _Toc179986124 \h </w:instrText>
      </w:r>
      <w:r>
        <w:fldChar w:fldCharType="separate"/>
      </w:r>
      <w:r>
        <w:t>20</w:t>
      </w:r>
      <w:r>
        <w:fldChar w:fldCharType="end"/>
      </w:r>
      <w:r>
        <w:fldChar w:fldCharType="end"/>
      </w:r>
    </w:p>
    <w:p w14:paraId="7CE6CB6C">
      <w:pPr>
        <w:pStyle w:val="20"/>
        <w:rPr>
          <w:rFonts w:asciiTheme="minorHAnsi" w:hAnsiTheme="minorHAnsi" w:eastAsiaTheme="minorEastAsia" w:cstheme="minorBidi"/>
          <w:szCs w:val="22"/>
        </w:rPr>
      </w:pPr>
      <w:r>
        <w:fldChar w:fldCharType="begin"/>
      </w:r>
      <w:r>
        <w:instrText xml:space="preserve"> HYPERLINK \l "_Toc179986125" </w:instrText>
      </w:r>
      <w:r>
        <w:fldChar w:fldCharType="separate"/>
      </w:r>
      <w:r>
        <w:rPr>
          <w:rStyle w:val="26"/>
          <w:lang w:val="en-GB"/>
        </w:rPr>
        <w:t>5.4</w:t>
      </w:r>
      <w:r>
        <w:rPr>
          <w:rFonts w:asciiTheme="minorHAnsi" w:hAnsiTheme="minorHAnsi" w:eastAsiaTheme="minorEastAsia" w:cstheme="minorBidi"/>
          <w:szCs w:val="22"/>
        </w:rPr>
        <w:tab/>
      </w:r>
      <w:r>
        <w:rPr>
          <w:rStyle w:val="26"/>
          <w:rFonts w:hint="eastAsia"/>
        </w:rPr>
        <w:t>过渡季工况</w:t>
      </w:r>
      <w:r>
        <w:tab/>
      </w:r>
      <w:r>
        <w:fldChar w:fldCharType="begin"/>
      </w:r>
      <w:r>
        <w:instrText xml:space="preserve"> PAGEREF _Toc179986125 \h </w:instrText>
      </w:r>
      <w:r>
        <w:fldChar w:fldCharType="separate"/>
      </w:r>
      <w:r>
        <w:t>22</w:t>
      </w:r>
      <w:r>
        <w:fldChar w:fldCharType="end"/>
      </w:r>
      <w:r>
        <w:fldChar w:fldCharType="end"/>
      </w:r>
    </w:p>
    <w:p w14:paraId="6EFCFCB9">
      <w:pPr>
        <w:pStyle w:val="15"/>
        <w:rPr>
          <w:rFonts w:asciiTheme="minorHAnsi" w:hAnsiTheme="minorHAnsi" w:eastAsiaTheme="minorEastAsia" w:cstheme="minorBidi"/>
          <w:szCs w:val="22"/>
        </w:rPr>
      </w:pPr>
      <w:r>
        <w:fldChar w:fldCharType="begin"/>
      </w:r>
      <w:r>
        <w:instrText xml:space="preserve"> HYPERLINK \l "_Toc179986126" </w:instrText>
      </w:r>
      <w:r>
        <w:fldChar w:fldCharType="separate"/>
      </w:r>
      <w:r>
        <w:rPr>
          <w:rStyle w:val="26"/>
          <w:lang w:val="en-GB"/>
        </w:rPr>
        <w:t>5.4.1</w:t>
      </w:r>
      <w:r>
        <w:rPr>
          <w:rFonts w:asciiTheme="minorHAnsi" w:hAnsiTheme="minorHAnsi" w:eastAsiaTheme="minorEastAsia" w:cstheme="minorBidi"/>
          <w:szCs w:val="22"/>
        </w:rPr>
        <w:tab/>
      </w:r>
      <w:r>
        <w:rPr>
          <w:rStyle w:val="26"/>
          <w:rFonts w:hint="eastAsia"/>
        </w:rPr>
        <w:t>无风区计算分析</w:t>
      </w:r>
      <w:r>
        <w:tab/>
      </w:r>
      <w:r>
        <w:fldChar w:fldCharType="begin"/>
      </w:r>
      <w:r>
        <w:instrText xml:space="preserve"> PAGEREF _Toc179986126 \h </w:instrText>
      </w:r>
      <w:r>
        <w:fldChar w:fldCharType="separate"/>
      </w:r>
      <w:r>
        <w:t>22</w:t>
      </w:r>
      <w:r>
        <w:fldChar w:fldCharType="end"/>
      </w:r>
      <w:r>
        <w:fldChar w:fldCharType="end"/>
      </w:r>
    </w:p>
    <w:p w14:paraId="7FF703C3">
      <w:pPr>
        <w:pStyle w:val="15"/>
        <w:rPr>
          <w:rFonts w:asciiTheme="minorHAnsi" w:hAnsiTheme="minorHAnsi" w:eastAsiaTheme="minorEastAsia" w:cstheme="minorBidi"/>
          <w:szCs w:val="22"/>
        </w:rPr>
      </w:pPr>
      <w:r>
        <w:fldChar w:fldCharType="begin"/>
      </w:r>
      <w:r>
        <w:instrText xml:space="preserve"> HYPERLINK \l "_Toc179986127" </w:instrText>
      </w:r>
      <w:r>
        <w:fldChar w:fldCharType="separate"/>
      </w:r>
      <w:r>
        <w:rPr>
          <w:rStyle w:val="26"/>
          <w:lang w:val="en-GB"/>
        </w:rPr>
        <w:t>5.4.2</w:t>
      </w:r>
      <w:r>
        <w:rPr>
          <w:rFonts w:asciiTheme="minorHAnsi" w:hAnsiTheme="minorHAnsi" w:eastAsiaTheme="minorEastAsia" w:cstheme="minorBidi"/>
          <w:szCs w:val="22"/>
        </w:rPr>
        <w:tab/>
      </w:r>
      <w:r>
        <w:rPr>
          <w:rStyle w:val="26"/>
          <w:rFonts w:hint="eastAsia"/>
        </w:rPr>
        <w:t>旋涡区分析</w:t>
      </w:r>
      <w:r>
        <w:tab/>
      </w:r>
      <w:r>
        <w:fldChar w:fldCharType="begin"/>
      </w:r>
      <w:r>
        <w:instrText xml:space="preserve"> PAGEREF _Toc179986127 \h </w:instrText>
      </w:r>
      <w:r>
        <w:fldChar w:fldCharType="separate"/>
      </w:r>
      <w:r>
        <w:t>22</w:t>
      </w:r>
      <w:r>
        <w:fldChar w:fldCharType="end"/>
      </w:r>
      <w:r>
        <w:fldChar w:fldCharType="end"/>
      </w:r>
    </w:p>
    <w:p w14:paraId="172CC468">
      <w:pPr>
        <w:pStyle w:val="15"/>
        <w:rPr>
          <w:rFonts w:asciiTheme="minorHAnsi" w:hAnsiTheme="minorHAnsi" w:eastAsiaTheme="minorEastAsia" w:cstheme="minorBidi"/>
          <w:szCs w:val="22"/>
        </w:rPr>
      </w:pPr>
      <w:r>
        <w:fldChar w:fldCharType="begin"/>
      </w:r>
      <w:r>
        <w:instrText xml:space="preserve"> HYPERLINK \l "_Toc179986128" </w:instrText>
      </w:r>
      <w:r>
        <w:fldChar w:fldCharType="separate"/>
      </w:r>
      <w:r>
        <w:rPr>
          <w:rStyle w:val="26"/>
          <w:lang w:val="en-GB"/>
        </w:rPr>
        <w:t>5.4.3</w:t>
      </w:r>
      <w:r>
        <w:rPr>
          <w:rFonts w:asciiTheme="minorHAnsi" w:hAnsiTheme="minorHAnsi" w:eastAsiaTheme="minorEastAsia" w:cstheme="minorBidi"/>
          <w:szCs w:val="22"/>
        </w:rPr>
        <w:tab/>
      </w:r>
      <w:r>
        <w:rPr>
          <w:rStyle w:val="26"/>
          <w:rFonts w:hint="eastAsia"/>
        </w:rPr>
        <w:t>旋涡区</w:t>
      </w:r>
      <w:r>
        <w:rPr>
          <w:rStyle w:val="26"/>
        </w:rPr>
        <w:t>/</w:t>
      </w:r>
      <w:r>
        <w:rPr>
          <w:rStyle w:val="26"/>
          <w:rFonts w:hint="eastAsia"/>
        </w:rPr>
        <w:t>无风区达标结果汇总</w:t>
      </w:r>
      <w:r>
        <w:tab/>
      </w:r>
      <w:r>
        <w:fldChar w:fldCharType="begin"/>
      </w:r>
      <w:r>
        <w:instrText xml:space="preserve"> PAGEREF _Toc179986128 \h </w:instrText>
      </w:r>
      <w:r>
        <w:fldChar w:fldCharType="separate"/>
      </w:r>
      <w:r>
        <w:t>23</w:t>
      </w:r>
      <w:r>
        <w:fldChar w:fldCharType="end"/>
      </w:r>
      <w:r>
        <w:fldChar w:fldCharType="end"/>
      </w:r>
    </w:p>
    <w:p w14:paraId="429F9E0F">
      <w:pPr>
        <w:pStyle w:val="15"/>
        <w:rPr>
          <w:rFonts w:asciiTheme="minorHAnsi" w:hAnsiTheme="minorHAnsi" w:eastAsiaTheme="minorEastAsia" w:cstheme="minorBidi"/>
          <w:szCs w:val="22"/>
        </w:rPr>
      </w:pPr>
      <w:r>
        <w:fldChar w:fldCharType="begin"/>
      </w:r>
      <w:r>
        <w:instrText xml:space="preserve"> HYPERLINK \l "_Toc179986129" </w:instrText>
      </w:r>
      <w:r>
        <w:fldChar w:fldCharType="separate"/>
      </w:r>
      <w:r>
        <w:rPr>
          <w:rStyle w:val="26"/>
          <w:lang w:val="en-GB"/>
        </w:rPr>
        <w:t>5.4.4</w:t>
      </w:r>
      <w:r>
        <w:rPr>
          <w:rFonts w:asciiTheme="minorHAnsi" w:hAnsiTheme="minorHAnsi" w:eastAsiaTheme="minorEastAsia" w:cstheme="minorBidi"/>
          <w:szCs w:val="22"/>
        </w:rPr>
        <w:tab/>
      </w:r>
      <w:r>
        <w:rPr>
          <w:rStyle w:val="26"/>
          <w:rFonts w:hint="eastAsia"/>
        </w:rPr>
        <w:t>外窗内外表面风压差达标分析</w:t>
      </w:r>
      <w:r>
        <w:tab/>
      </w:r>
      <w:r>
        <w:fldChar w:fldCharType="begin"/>
      </w:r>
      <w:r>
        <w:instrText xml:space="preserve"> PAGEREF _Toc179986129 \h </w:instrText>
      </w:r>
      <w:r>
        <w:fldChar w:fldCharType="separate"/>
      </w:r>
      <w:r>
        <w:t>23</w:t>
      </w:r>
      <w:r>
        <w:fldChar w:fldCharType="end"/>
      </w:r>
      <w:r>
        <w:fldChar w:fldCharType="end"/>
      </w:r>
    </w:p>
    <w:p w14:paraId="55E46210">
      <w:pPr>
        <w:pStyle w:val="20"/>
        <w:rPr>
          <w:rFonts w:asciiTheme="minorHAnsi" w:hAnsiTheme="minorHAnsi" w:eastAsiaTheme="minorEastAsia" w:cstheme="minorBidi"/>
          <w:szCs w:val="22"/>
        </w:rPr>
      </w:pPr>
      <w:r>
        <w:fldChar w:fldCharType="begin"/>
      </w:r>
      <w:r>
        <w:instrText xml:space="preserve"> HYPERLINK \l "_Toc179986130" </w:instrText>
      </w:r>
      <w:r>
        <w:fldChar w:fldCharType="separate"/>
      </w:r>
      <w:r>
        <w:rPr>
          <w:rStyle w:val="26"/>
          <w:lang w:val="en-GB"/>
        </w:rPr>
        <w:t>5.5</w:t>
      </w:r>
      <w:r>
        <w:rPr>
          <w:rFonts w:asciiTheme="minorHAnsi" w:hAnsiTheme="minorHAnsi" w:eastAsiaTheme="minorEastAsia" w:cstheme="minorBidi"/>
          <w:szCs w:val="22"/>
        </w:rPr>
        <w:tab/>
      </w:r>
      <w:r>
        <w:rPr>
          <w:rStyle w:val="26"/>
          <w:rFonts w:hint="eastAsia"/>
        </w:rPr>
        <w:t>结论</w:t>
      </w:r>
      <w:r>
        <w:tab/>
      </w:r>
      <w:r>
        <w:fldChar w:fldCharType="begin"/>
      </w:r>
      <w:r>
        <w:instrText xml:space="preserve"> PAGEREF _Toc179986130 \h </w:instrText>
      </w:r>
      <w:r>
        <w:fldChar w:fldCharType="separate"/>
      </w:r>
      <w:r>
        <w:t>25</w:t>
      </w:r>
      <w:r>
        <w:fldChar w:fldCharType="end"/>
      </w:r>
      <w:r>
        <w:fldChar w:fldCharType="end"/>
      </w:r>
    </w:p>
    <w:p w14:paraId="550E1459">
      <w:pPr>
        <w:pStyle w:val="15"/>
        <w:rPr>
          <w:rFonts w:asciiTheme="minorHAnsi" w:hAnsiTheme="minorHAnsi" w:eastAsiaTheme="minorEastAsia" w:cstheme="minorBidi"/>
          <w:szCs w:val="22"/>
        </w:rPr>
      </w:pPr>
      <w:r>
        <w:fldChar w:fldCharType="begin"/>
      </w:r>
      <w:r>
        <w:instrText xml:space="preserve"> HYPERLINK \l "_Toc179986131" </w:instrText>
      </w:r>
      <w:r>
        <w:fldChar w:fldCharType="separate"/>
      </w:r>
      <w:r>
        <w:rPr>
          <w:rStyle w:val="26"/>
          <w:lang w:val="en-GB"/>
        </w:rPr>
        <w:t>5.5.1</w:t>
      </w:r>
      <w:r>
        <w:rPr>
          <w:rFonts w:asciiTheme="minorHAnsi" w:hAnsiTheme="minorHAnsi" w:eastAsiaTheme="minorEastAsia" w:cstheme="minorBidi"/>
          <w:szCs w:val="22"/>
        </w:rPr>
        <w:tab/>
      </w:r>
      <w:r>
        <w:rPr>
          <w:rStyle w:val="26"/>
          <w:rFonts w:hint="eastAsia"/>
        </w:rPr>
        <w:t>冬季工况达标判断</w:t>
      </w:r>
      <w:r>
        <w:tab/>
      </w:r>
      <w:r>
        <w:fldChar w:fldCharType="begin"/>
      </w:r>
      <w:r>
        <w:instrText xml:space="preserve"> PAGEREF _Toc179986131 \h </w:instrText>
      </w:r>
      <w:r>
        <w:fldChar w:fldCharType="separate"/>
      </w:r>
      <w:r>
        <w:t>25</w:t>
      </w:r>
      <w:r>
        <w:fldChar w:fldCharType="end"/>
      </w:r>
      <w:r>
        <w:fldChar w:fldCharType="end"/>
      </w:r>
    </w:p>
    <w:p w14:paraId="616EDCE1">
      <w:pPr>
        <w:pStyle w:val="15"/>
        <w:rPr>
          <w:rFonts w:asciiTheme="minorHAnsi" w:hAnsiTheme="minorHAnsi" w:eastAsiaTheme="minorEastAsia" w:cstheme="minorBidi"/>
          <w:szCs w:val="22"/>
        </w:rPr>
      </w:pPr>
      <w:r>
        <w:fldChar w:fldCharType="begin"/>
      </w:r>
      <w:r>
        <w:instrText xml:space="preserve"> HYPERLINK \l "_Toc179986132" </w:instrText>
      </w:r>
      <w:r>
        <w:fldChar w:fldCharType="separate"/>
      </w:r>
      <w:r>
        <w:rPr>
          <w:rStyle w:val="26"/>
          <w:lang w:val="en-GB"/>
        </w:rPr>
        <w:t>5.5.2</w:t>
      </w:r>
      <w:r>
        <w:rPr>
          <w:rFonts w:asciiTheme="minorHAnsi" w:hAnsiTheme="minorHAnsi" w:eastAsiaTheme="minorEastAsia" w:cstheme="minorBidi"/>
          <w:szCs w:val="22"/>
        </w:rPr>
        <w:tab/>
      </w:r>
      <w:r>
        <w:rPr>
          <w:rStyle w:val="26"/>
          <w:rFonts w:hint="eastAsia"/>
        </w:rPr>
        <w:t>过渡季、夏季工况达标判断</w:t>
      </w:r>
      <w:r>
        <w:tab/>
      </w:r>
      <w:r>
        <w:fldChar w:fldCharType="begin"/>
      </w:r>
      <w:r>
        <w:instrText xml:space="preserve"> PAGEREF _Toc179986132 \h </w:instrText>
      </w:r>
      <w:r>
        <w:fldChar w:fldCharType="separate"/>
      </w:r>
      <w:r>
        <w:t>25</w:t>
      </w:r>
      <w:r>
        <w:fldChar w:fldCharType="end"/>
      </w:r>
      <w:r>
        <w:fldChar w:fldCharType="end"/>
      </w:r>
    </w:p>
    <w:p w14:paraId="48572B79">
      <w:pPr>
        <w:pStyle w:val="19"/>
        <w:spacing w:line="240" w:lineRule="auto"/>
        <w:sectPr>
          <w:footerReference r:id="rId7" w:type="first"/>
          <w:headerReference r:id="rId5" w:type="default"/>
          <w:footerReference r:id="rId6" w:type="default"/>
          <w:pgSz w:w="11906" w:h="16838"/>
          <w:pgMar w:top="1440" w:right="1418" w:bottom="1440" w:left="1418" w:header="850" w:footer="170" w:gutter="0"/>
          <w:cols w:space="425" w:num="1"/>
          <w:titlePg/>
          <w:docGrid w:type="lines" w:linePitch="312" w:charSpace="0"/>
        </w:sectPr>
      </w:pPr>
      <w:r>
        <w:fldChar w:fldCharType="end"/>
      </w:r>
    </w:p>
    <w:p w14:paraId="714A5DD5">
      <w:pPr>
        <w:pStyle w:val="2"/>
      </w:pPr>
      <w:bookmarkStart w:id="2" w:name="_Toc179986096"/>
      <w:bookmarkStart w:id="3" w:name="_Toc452108759"/>
      <w:r>
        <w:rPr>
          <w:rFonts w:hint="eastAsia"/>
        </w:rPr>
        <w:t>项目概况</w:t>
      </w:r>
      <w:bookmarkEnd w:id="2"/>
      <w:bookmarkEnd w:id="3"/>
    </w:p>
    <w:p w14:paraId="712BA84D">
      <w:pPr>
        <w:pStyle w:val="4"/>
      </w:pPr>
      <w:bookmarkStart w:id="4" w:name="项目概况"/>
      <w:bookmarkEnd w:id="4"/>
      <w:bookmarkStart w:id="5" w:name="_Toc179986097"/>
      <w:bookmarkStart w:id="6" w:name="_Toc452108760"/>
      <w:r>
        <w:rPr>
          <w:rFonts w:hint="eastAsia"/>
        </w:rPr>
        <w:t>总</w:t>
      </w:r>
      <w:r>
        <w:t>平面图</w:t>
      </w:r>
      <w:bookmarkEnd w:id="5"/>
      <w:bookmarkEnd w:id="6"/>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993"/>
        <w:gridCol w:w="993"/>
        <w:gridCol w:w="993"/>
        <w:gridCol w:w="1412"/>
      </w:tblGrid>
      <w:tr w14:paraId="1CD9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shd w:val="clear" w:color="auto" w:fill="4040E7"/>
          </w:tcPr>
          <w:p w14:paraId="60A25A13">
            <w:pPr>
              <w:pStyle w:val="3"/>
              <w:spacing w:line="400" w:lineRule="exact"/>
              <w:ind w:firstLine="0" w:firstLineChars="0"/>
              <w:rPr>
                <w:lang w:val="en-US"/>
              </w:rPr>
            </w:pPr>
            <w:bookmarkStart w:id="7" w:name="总平面图图例表"/>
          </w:p>
        </w:tc>
        <w:tc>
          <w:tcPr>
            <w:tcW w:w="1134" w:type="dxa"/>
            <w:tcBorders>
              <w:top w:val="single" w:color="auto" w:sz="4" w:space="0"/>
              <w:left w:val="single" w:color="auto" w:sz="4" w:space="0"/>
              <w:bottom w:val="single" w:color="auto" w:sz="4" w:space="0"/>
              <w:right w:val="single" w:color="auto" w:sz="4" w:space="0"/>
            </w:tcBorders>
          </w:tcPr>
          <w:p w14:paraId="5BC33ABF">
            <w:pPr>
              <w:pStyle w:val="3"/>
              <w:spacing w:line="400" w:lineRule="exact"/>
              <w:ind w:firstLine="0" w:firstLineChars="0"/>
              <w:rPr>
                <w:lang w:val="en-US"/>
              </w:rPr>
            </w:pPr>
            <w:r>
              <w:rPr>
                <w:rFonts w:hint="eastAsia"/>
                <w:lang w:val="en-US"/>
              </w:rPr>
              <w:t>游憩广场</w:t>
            </w:r>
          </w:p>
        </w:tc>
        <w:tc>
          <w:tcPr>
            <w:tcW w:w="993" w:type="dxa"/>
            <w:tcBorders>
              <w:top w:val="single" w:color="auto" w:sz="4" w:space="0"/>
              <w:left w:val="single" w:color="auto" w:sz="4" w:space="0"/>
              <w:bottom w:val="single" w:color="auto" w:sz="4" w:space="0"/>
              <w:right w:val="single" w:color="auto" w:sz="4" w:space="0"/>
            </w:tcBorders>
            <w:shd w:val="clear" w:color="auto" w:fill="E6AEFF"/>
          </w:tcPr>
          <w:p w14:paraId="73383250">
            <w:pPr>
              <w:pStyle w:val="3"/>
              <w:spacing w:line="400" w:lineRule="exact"/>
              <w:ind w:firstLine="0" w:firstLineChars="0"/>
              <w:rPr>
                <w:lang w:val="en-US"/>
              </w:rPr>
            </w:pPr>
          </w:p>
        </w:tc>
        <w:tc>
          <w:tcPr>
            <w:tcW w:w="993" w:type="dxa"/>
            <w:tcBorders>
              <w:top w:val="single" w:color="auto" w:sz="4" w:space="0"/>
              <w:left w:val="single" w:color="auto" w:sz="4" w:space="0"/>
              <w:bottom w:val="single" w:color="auto" w:sz="4" w:space="0"/>
              <w:right w:val="single" w:color="auto" w:sz="4" w:space="0"/>
            </w:tcBorders>
          </w:tcPr>
          <w:p w14:paraId="58DD6A2D">
            <w:pPr>
              <w:pStyle w:val="3"/>
              <w:spacing w:line="400" w:lineRule="exact"/>
              <w:ind w:firstLine="0" w:firstLineChars="0"/>
              <w:rPr>
                <w:lang w:val="en-US"/>
              </w:rPr>
            </w:pPr>
            <w:r>
              <w:rPr>
                <w:rFonts w:hint="eastAsia"/>
                <w:lang w:val="en-US"/>
              </w:rPr>
              <w:t>停车场</w:t>
            </w:r>
          </w:p>
        </w:tc>
        <w:tc>
          <w:tcPr>
            <w:tcW w:w="993" w:type="dxa"/>
            <w:tcBorders>
              <w:top w:val="single" w:color="auto" w:sz="4" w:space="0"/>
              <w:left w:val="single" w:color="auto" w:sz="4" w:space="0"/>
              <w:bottom w:val="single" w:color="auto" w:sz="4" w:space="0"/>
              <w:right w:val="single" w:color="auto" w:sz="4" w:space="0"/>
            </w:tcBorders>
          </w:tcPr>
          <w:p w14:paraId="5CB903EE">
            <w:pPr>
              <w:pStyle w:val="3"/>
              <w:spacing w:line="400" w:lineRule="exact"/>
              <w:ind w:firstLine="0" w:firstLineChars="0"/>
              <w:rPr>
                <w:lang w:val="en-US"/>
              </w:rPr>
            </w:pPr>
          </w:p>
        </w:tc>
        <w:tc>
          <w:tcPr>
            <w:tcW w:w="1412" w:type="dxa"/>
            <w:tcBorders>
              <w:top w:val="single" w:color="auto" w:sz="4" w:space="0"/>
              <w:left w:val="single" w:color="auto" w:sz="4" w:space="0"/>
              <w:bottom w:val="single" w:color="auto" w:sz="4" w:space="0"/>
              <w:right w:val="single" w:color="auto" w:sz="4" w:space="0"/>
            </w:tcBorders>
          </w:tcPr>
          <w:p w14:paraId="57BBCA57">
            <w:pPr>
              <w:pStyle w:val="3"/>
              <w:spacing w:line="400" w:lineRule="exact"/>
              <w:ind w:firstLine="0" w:firstLineChars="0"/>
              <w:rPr>
                <w:lang w:val="en-US"/>
              </w:rPr>
            </w:pPr>
            <w:r>
              <w:rPr>
                <w:rFonts w:hint="eastAsia"/>
                <w:lang w:val="en-US"/>
              </w:rPr>
              <w:t>儿童娱乐</w:t>
            </w:r>
            <w:r>
              <w:rPr>
                <w:lang w:val="en-US"/>
              </w:rPr>
              <w:t>区</w:t>
            </w:r>
          </w:p>
        </w:tc>
      </w:tr>
      <w:tr w14:paraId="0399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shd w:val="clear" w:color="auto" w:fill="FFFFE7"/>
          </w:tcPr>
          <w:p w14:paraId="6207F888">
            <w:pPr>
              <w:pStyle w:val="3"/>
              <w:spacing w:line="400" w:lineRule="exact"/>
              <w:ind w:firstLine="0" w:firstLineChars="0"/>
              <w:rPr>
                <w:lang w:val="en-US"/>
              </w:rPr>
            </w:pPr>
          </w:p>
        </w:tc>
        <w:tc>
          <w:tcPr>
            <w:tcW w:w="1134" w:type="dxa"/>
            <w:tcBorders>
              <w:top w:val="single" w:color="auto" w:sz="4" w:space="0"/>
              <w:left w:val="single" w:color="auto" w:sz="4" w:space="0"/>
              <w:bottom w:val="single" w:color="auto" w:sz="4" w:space="0"/>
              <w:right w:val="single" w:color="auto" w:sz="4" w:space="0"/>
            </w:tcBorders>
          </w:tcPr>
          <w:p w14:paraId="306666ED">
            <w:pPr>
              <w:pStyle w:val="3"/>
              <w:spacing w:line="400" w:lineRule="exact"/>
              <w:ind w:firstLine="0" w:firstLineChars="0"/>
              <w:rPr>
                <w:lang w:val="en-US"/>
              </w:rPr>
            </w:pPr>
            <w:r>
              <w:rPr>
                <w:rFonts w:hint="eastAsia"/>
                <w:lang w:val="en-US"/>
              </w:rPr>
              <w:t>人行道</w:t>
            </w:r>
          </w:p>
        </w:tc>
        <w:tc>
          <w:tcPr>
            <w:tcW w:w="993" w:type="dxa"/>
            <w:tcBorders>
              <w:top w:val="single" w:color="auto" w:sz="4" w:space="0"/>
              <w:left w:val="single" w:color="auto" w:sz="4" w:space="0"/>
              <w:bottom w:val="single" w:color="auto" w:sz="4" w:space="0"/>
              <w:right w:val="single" w:color="auto" w:sz="4" w:space="0"/>
            </w:tcBorders>
            <w:shd w:val="clear" w:color="auto" w:fill="AECAFF"/>
          </w:tcPr>
          <w:p w14:paraId="463A5366">
            <w:pPr>
              <w:pStyle w:val="3"/>
              <w:spacing w:line="400" w:lineRule="exact"/>
              <w:ind w:firstLine="0" w:firstLineChars="0"/>
              <w:rPr>
                <w:lang w:val="en-US"/>
              </w:rPr>
            </w:pPr>
          </w:p>
        </w:tc>
        <w:tc>
          <w:tcPr>
            <w:tcW w:w="993" w:type="dxa"/>
            <w:tcBorders>
              <w:top w:val="single" w:color="auto" w:sz="4" w:space="0"/>
              <w:left w:val="single" w:color="auto" w:sz="4" w:space="0"/>
              <w:bottom w:val="single" w:color="auto" w:sz="4" w:space="0"/>
              <w:right w:val="single" w:color="auto" w:sz="4" w:space="0"/>
            </w:tcBorders>
          </w:tcPr>
          <w:p w14:paraId="34223667">
            <w:pPr>
              <w:pStyle w:val="3"/>
              <w:spacing w:line="400" w:lineRule="exact"/>
              <w:ind w:firstLine="0" w:firstLineChars="0"/>
              <w:rPr>
                <w:lang w:val="en-US"/>
              </w:rPr>
            </w:pPr>
            <w:r>
              <w:rPr>
                <w:rFonts w:hint="eastAsia"/>
                <w:lang w:val="en-US"/>
              </w:rPr>
              <w:t>庭院</w:t>
            </w:r>
          </w:p>
        </w:tc>
        <w:tc>
          <w:tcPr>
            <w:tcW w:w="993" w:type="dxa"/>
            <w:tcBorders>
              <w:top w:val="single" w:color="auto" w:sz="4" w:space="0"/>
              <w:left w:val="single" w:color="auto" w:sz="4" w:space="0"/>
              <w:bottom w:val="single" w:color="auto" w:sz="4" w:space="0"/>
              <w:right w:val="single" w:color="auto" w:sz="4" w:space="0"/>
            </w:tcBorders>
          </w:tcPr>
          <w:p w14:paraId="2F267800">
            <w:pPr>
              <w:pStyle w:val="3"/>
              <w:spacing w:line="400" w:lineRule="exact"/>
              <w:ind w:firstLine="0" w:firstLineChars="0"/>
              <w:rPr>
                <w:lang w:val="en-US"/>
              </w:rPr>
            </w:pPr>
          </w:p>
        </w:tc>
        <w:tc>
          <w:tcPr>
            <w:tcW w:w="1412" w:type="dxa"/>
            <w:tcBorders>
              <w:top w:val="single" w:color="auto" w:sz="4" w:space="0"/>
              <w:left w:val="single" w:color="auto" w:sz="4" w:space="0"/>
              <w:bottom w:val="single" w:color="auto" w:sz="4" w:space="0"/>
              <w:right w:val="single" w:color="auto" w:sz="4" w:space="0"/>
            </w:tcBorders>
          </w:tcPr>
          <w:p w14:paraId="7134ACE5">
            <w:pPr>
              <w:pStyle w:val="3"/>
              <w:spacing w:line="400" w:lineRule="exact"/>
              <w:ind w:firstLine="0" w:firstLineChars="0"/>
              <w:rPr>
                <w:lang w:val="en-US"/>
              </w:rPr>
            </w:pPr>
            <w:r>
              <w:rPr>
                <w:rFonts w:hint="eastAsia"/>
                <w:lang w:val="en-US"/>
              </w:rPr>
              <w:t>户外</w:t>
            </w:r>
            <w:r>
              <w:rPr>
                <w:lang w:val="en-US"/>
              </w:rPr>
              <w:t>休息区</w:t>
            </w:r>
          </w:p>
        </w:tc>
      </w:tr>
      <w:bookmarkEnd w:id="7"/>
    </w:tbl>
    <w:p w14:paraId="06C54182">
      <w:pPr>
        <w:pStyle w:val="3"/>
        <w:ind w:firstLine="0" w:firstLineChars="0"/>
        <w:jc w:val="center"/>
        <w:rPr>
          <w:lang w:val="en-US"/>
        </w:rPr>
      </w:pPr>
      <w:r>
        <w:rPr>
          <w:rFonts w:hint="eastAsia"/>
          <w:lang w:val="en-US"/>
        </w:rPr>
        <w:t xml:space="preserve"> </w:t>
      </w:r>
      <w:bookmarkStart w:id="8" w:name="总平面图"/>
      <w:bookmarkEnd w:id="8"/>
      <w:r>
        <w:rPr>
          <w:lang w:val="en-US"/>
        </w:rPr>
        <w:drawing>
          <wp:inline distT="0" distB="0" distL="0" distR="0">
            <wp:extent cx="5667375" cy="3133725"/>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9"/>
                    <a:stretch>
                      <a:fillRect/>
                    </a:stretch>
                  </pic:blipFill>
                  <pic:spPr>
                    <a:xfrm>
                      <a:off x="0" y="0"/>
                      <a:ext cx="5667375" cy="3133725"/>
                    </a:xfrm>
                    <a:prstGeom prst="rect">
                      <a:avLst/>
                    </a:prstGeom>
                  </pic:spPr>
                </pic:pic>
              </a:graphicData>
            </a:graphic>
          </wp:inline>
        </w:drawing>
      </w:r>
    </w:p>
    <w:p w14:paraId="271F8F8C">
      <w:pPr>
        <w:pStyle w:val="13"/>
        <w:jc w:val="center"/>
        <w:rPr>
          <w:lang w:val="en-US"/>
        </w:rPr>
      </w:pPr>
      <w:r>
        <w:rPr>
          <w:rFonts w:hint="eastAsia" w:ascii="黑体" w:hAnsi="黑体"/>
        </w:rPr>
        <w:t xml:space="preserve">图 </w:t>
      </w:r>
      <w:r>
        <w:rPr>
          <w:rFonts w:ascii="黑体" w:hAnsi="黑体"/>
        </w:rPr>
        <w:fldChar w:fldCharType="begin"/>
      </w:r>
      <w:r>
        <w:rPr>
          <w:rFonts w:ascii="黑体" w:hAnsi="黑体"/>
        </w:rPr>
        <w:instrText xml:space="preserve"> </w:instrText>
      </w:r>
      <w:r>
        <w:rPr>
          <w:rFonts w:hint="eastAsia" w:ascii="黑体" w:hAnsi="黑体"/>
        </w:rPr>
        <w:instrText xml:space="preserve">STYLEREF 2 \s</w:instrText>
      </w:r>
      <w:r>
        <w:rPr>
          <w:rFonts w:ascii="黑体" w:hAnsi="黑体"/>
        </w:rPr>
        <w:instrText xml:space="preserve"> </w:instrText>
      </w:r>
      <w:r>
        <w:rPr>
          <w:rFonts w:ascii="黑体" w:hAnsi="黑体"/>
        </w:rPr>
        <w:fldChar w:fldCharType="separate"/>
      </w:r>
      <w:r>
        <w:rPr>
          <w:rFonts w:ascii="黑体" w:hAnsi="黑体"/>
        </w:rPr>
        <w:t>1.1</w:t>
      </w:r>
      <w:r>
        <w:rPr>
          <w:rFonts w:ascii="黑体" w:hAnsi="黑体"/>
        </w:rPr>
        <w:fldChar w:fldCharType="end"/>
      </w:r>
      <w:r>
        <w:rPr>
          <w:rFonts w:ascii="黑体" w:hAnsi="黑体"/>
        </w:rPr>
        <w:noBreakHyphen/>
      </w:r>
      <w:r>
        <w:rPr>
          <w:rFonts w:ascii="黑体" w:hAnsi="黑体"/>
        </w:rPr>
        <w:fldChar w:fldCharType="begin"/>
      </w:r>
      <w:r>
        <w:rPr>
          <w:rFonts w:ascii="黑体" w:hAnsi="黑体"/>
        </w:rPr>
        <w:instrText xml:space="preserve"> </w:instrText>
      </w:r>
      <w:r>
        <w:rPr>
          <w:rFonts w:hint="eastAsia" w:ascii="黑体" w:hAnsi="黑体"/>
        </w:rPr>
        <w:instrText xml:space="preserve">SEQ 图 \* ARABIC \s 2</w:instrText>
      </w:r>
      <w:r>
        <w:rPr>
          <w:rFonts w:ascii="黑体" w:hAnsi="黑体"/>
        </w:rPr>
        <w:instrText xml:space="preserve"> </w:instrText>
      </w:r>
      <w:r>
        <w:rPr>
          <w:rFonts w:ascii="黑体" w:hAnsi="黑体"/>
        </w:rPr>
        <w:fldChar w:fldCharType="separate"/>
      </w:r>
      <w:r>
        <w:rPr>
          <w:rFonts w:ascii="黑体" w:hAnsi="黑体"/>
        </w:rPr>
        <w:t>1</w:t>
      </w:r>
      <w:r>
        <w:rPr>
          <w:rFonts w:ascii="黑体" w:hAnsi="黑体"/>
        </w:rPr>
        <w:fldChar w:fldCharType="end"/>
      </w:r>
      <w:r>
        <w:rPr>
          <w:rFonts w:hint="eastAsia" w:ascii="黑体" w:hAnsi="黑体"/>
        </w:rPr>
        <w:t xml:space="preserve">  总平</w:t>
      </w:r>
      <w:r>
        <w:rPr>
          <w:rFonts w:hint="eastAsia"/>
        </w:rPr>
        <w:t>面图</w:t>
      </w:r>
    </w:p>
    <w:p w14:paraId="43814476">
      <w:pPr>
        <w:pStyle w:val="3"/>
        <w:ind w:firstLine="420"/>
        <w:rPr>
          <w:lang w:val="en-US"/>
        </w:rPr>
        <w:sectPr>
          <w:pgSz w:w="11906" w:h="16838"/>
          <w:pgMar w:top="992" w:right="709" w:bottom="822" w:left="1134" w:header="284" w:footer="170" w:gutter="0"/>
          <w:cols w:space="720" w:num="1"/>
          <w:docGrid w:type="linesAndChars" w:linePitch="312" w:charSpace="0"/>
        </w:sectPr>
      </w:pPr>
    </w:p>
    <w:p w14:paraId="22DBA494">
      <w:pPr>
        <w:pStyle w:val="4"/>
      </w:pPr>
      <w:bookmarkStart w:id="9" w:name="_Toc179986098"/>
      <w:bookmarkStart w:id="10" w:name="_Toc452108761"/>
      <w:r>
        <w:rPr>
          <w:rFonts w:hint="eastAsia"/>
        </w:rPr>
        <w:t>三</w:t>
      </w:r>
      <w:r>
        <w:t>维视图</w:t>
      </w:r>
      <w:bookmarkEnd w:id="9"/>
      <w:bookmarkEnd w:id="10"/>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993"/>
        <w:gridCol w:w="993"/>
        <w:gridCol w:w="993"/>
        <w:gridCol w:w="1412"/>
      </w:tblGrid>
      <w:tr w14:paraId="7E313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shd w:val="clear" w:color="auto" w:fill="4040E7"/>
          </w:tcPr>
          <w:p w14:paraId="4E57003A">
            <w:pPr>
              <w:pStyle w:val="3"/>
              <w:spacing w:line="400" w:lineRule="exact"/>
              <w:ind w:firstLine="0" w:firstLineChars="0"/>
              <w:rPr>
                <w:lang w:val="en-US"/>
              </w:rPr>
            </w:pPr>
            <w:bookmarkStart w:id="11" w:name="三维视图图例表"/>
          </w:p>
        </w:tc>
        <w:tc>
          <w:tcPr>
            <w:tcW w:w="1134" w:type="dxa"/>
            <w:tcBorders>
              <w:top w:val="single" w:color="auto" w:sz="4" w:space="0"/>
              <w:left w:val="single" w:color="auto" w:sz="4" w:space="0"/>
              <w:bottom w:val="single" w:color="auto" w:sz="4" w:space="0"/>
              <w:right w:val="single" w:color="auto" w:sz="4" w:space="0"/>
            </w:tcBorders>
          </w:tcPr>
          <w:p w14:paraId="1CC48AFD">
            <w:pPr>
              <w:pStyle w:val="3"/>
              <w:spacing w:line="400" w:lineRule="exact"/>
              <w:ind w:firstLine="0" w:firstLineChars="0"/>
              <w:rPr>
                <w:lang w:val="en-US"/>
              </w:rPr>
            </w:pPr>
            <w:r>
              <w:rPr>
                <w:rFonts w:hint="eastAsia"/>
                <w:lang w:val="en-US"/>
              </w:rPr>
              <w:t>游憩广场</w:t>
            </w:r>
          </w:p>
        </w:tc>
        <w:tc>
          <w:tcPr>
            <w:tcW w:w="993" w:type="dxa"/>
            <w:tcBorders>
              <w:top w:val="single" w:color="auto" w:sz="4" w:space="0"/>
              <w:left w:val="single" w:color="auto" w:sz="4" w:space="0"/>
              <w:bottom w:val="single" w:color="auto" w:sz="4" w:space="0"/>
              <w:right w:val="single" w:color="auto" w:sz="4" w:space="0"/>
            </w:tcBorders>
            <w:shd w:val="clear" w:color="auto" w:fill="E6AEFF"/>
          </w:tcPr>
          <w:p w14:paraId="18C4EC21">
            <w:pPr>
              <w:pStyle w:val="3"/>
              <w:spacing w:line="400" w:lineRule="exact"/>
              <w:ind w:firstLine="0" w:firstLineChars="0"/>
              <w:rPr>
                <w:lang w:val="en-US"/>
              </w:rPr>
            </w:pPr>
          </w:p>
        </w:tc>
        <w:tc>
          <w:tcPr>
            <w:tcW w:w="993" w:type="dxa"/>
            <w:tcBorders>
              <w:top w:val="single" w:color="auto" w:sz="4" w:space="0"/>
              <w:left w:val="single" w:color="auto" w:sz="4" w:space="0"/>
              <w:bottom w:val="single" w:color="auto" w:sz="4" w:space="0"/>
              <w:right w:val="single" w:color="auto" w:sz="4" w:space="0"/>
            </w:tcBorders>
          </w:tcPr>
          <w:p w14:paraId="6DCA1C67">
            <w:pPr>
              <w:pStyle w:val="3"/>
              <w:spacing w:line="400" w:lineRule="exact"/>
              <w:ind w:firstLine="0" w:firstLineChars="0"/>
              <w:rPr>
                <w:lang w:val="en-US"/>
              </w:rPr>
            </w:pPr>
            <w:r>
              <w:rPr>
                <w:rFonts w:hint="eastAsia"/>
                <w:lang w:val="en-US"/>
              </w:rPr>
              <w:t>停车场</w:t>
            </w:r>
          </w:p>
        </w:tc>
        <w:tc>
          <w:tcPr>
            <w:tcW w:w="993" w:type="dxa"/>
            <w:tcBorders>
              <w:top w:val="single" w:color="auto" w:sz="4" w:space="0"/>
              <w:left w:val="single" w:color="auto" w:sz="4" w:space="0"/>
              <w:bottom w:val="single" w:color="auto" w:sz="4" w:space="0"/>
              <w:right w:val="single" w:color="auto" w:sz="4" w:space="0"/>
            </w:tcBorders>
          </w:tcPr>
          <w:p w14:paraId="0A506D27">
            <w:pPr>
              <w:pStyle w:val="3"/>
              <w:spacing w:line="400" w:lineRule="exact"/>
              <w:ind w:firstLine="0" w:firstLineChars="0"/>
              <w:rPr>
                <w:lang w:val="en-US"/>
              </w:rPr>
            </w:pPr>
          </w:p>
        </w:tc>
        <w:tc>
          <w:tcPr>
            <w:tcW w:w="1412" w:type="dxa"/>
            <w:tcBorders>
              <w:top w:val="single" w:color="auto" w:sz="4" w:space="0"/>
              <w:left w:val="single" w:color="auto" w:sz="4" w:space="0"/>
              <w:bottom w:val="single" w:color="auto" w:sz="4" w:space="0"/>
              <w:right w:val="single" w:color="auto" w:sz="4" w:space="0"/>
            </w:tcBorders>
          </w:tcPr>
          <w:p w14:paraId="22CBE67F">
            <w:pPr>
              <w:pStyle w:val="3"/>
              <w:spacing w:line="400" w:lineRule="exact"/>
              <w:ind w:firstLine="0" w:firstLineChars="0"/>
              <w:rPr>
                <w:lang w:val="en-US"/>
              </w:rPr>
            </w:pPr>
            <w:r>
              <w:rPr>
                <w:rFonts w:hint="eastAsia"/>
                <w:lang w:val="en-US"/>
              </w:rPr>
              <w:t>儿童娱乐</w:t>
            </w:r>
            <w:r>
              <w:rPr>
                <w:lang w:val="en-US"/>
              </w:rPr>
              <w:t>区</w:t>
            </w:r>
          </w:p>
        </w:tc>
      </w:tr>
      <w:tr w14:paraId="18AE2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shd w:val="clear" w:color="auto" w:fill="FFFFE7"/>
          </w:tcPr>
          <w:p w14:paraId="230045CC">
            <w:pPr>
              <w:pStyle w:val="3"/>
              <w:spacing w:line="400" w:lineRule="exact"/>
              <w:ind w:firstLine="0" w:firstLineChars="0"/>
              <w:rPr>
                <w:lang w:val="en-US"/>
              </w:rPr>
            </w:pPr>
          </w:p>
        </w:tc>
        <w:tc>
          <w:tcPr>
            <w:tcW w:w="1134" w:type="dxa"/>
            <w:tcBorders>
              <w:top w:val="single" w:color="auto" w:sz="4" w:space="0"/>
              <w:left w:val="single" w:color="auto" w:sz="4" w:space="0"/>
              <w:bottom w:val="single" w:color="auto" w:sz="4" w:space="0"/>
              <w:right w:val="single" w:color="auto" w:sz="4" w:space="0"/>
            </w:tcBorders>
          </w:tcPr>
          <w:p w14:paraId="57C63DF6">
            <w:pPr>
              <w:pStyle w:val="3"/>
              <w:spacing w:line="400" w:lineRule="exact"/>
              <w:ind w:firstLine="0" w:firstLineChars="0"/>
              <w:rPr>
                <w:lang w:val="en-US"/>
              </w:rPr>
            </w:pPr>
            <w:r>
              <w:rPr>
                <w:rFonts w:hint="eastAsia"/>
                <w:lang w:val="en-US"/>
              </w:rPr>
              <w:t>人行道</w:t>
            </w:r>
          </w:p>
        </w:tc>
        <w:tc>
          <w:tcPr>
            <w:tcW w:w="993" w:type="dxa"/>
            <w:tcBorders>
              <w:top w:val="single" w:color="auto" w:sz="4" w:space="0"/>
              <w:left w:val="single" w:color="auto" w:sz="4" w:space="0"/>
              <w:bottom w:val="single" w:color="auto" w:sz="4" w:space="0"/>
              <w:right w:val="single" w:color="auto" w:sz="4" w:space="0"/>
            </w:tcBorders>
            <w:shd w:val="clear" w:color="auto" w:fill="AECAFF"/>
          </w:tcPr>
          <w:p w14:paraId="4C4555EC">
            <w:pPr>
              <w:pStyle w:val="3"/>
              <w:spacing w:line="400" w:lineRule="exact"/>
              <w:ind w:firstLine="0" w:firstLineChars="0"/>
              <w:rPr>
                <w:lang w:val="en-US"/>
              </w:rPr>
            </w:pPr>
          </w:p>
        </w:tc>
        <w:tc>
          <w:tcPr>
            <w:tcW w:w="993" w:type="dxa"/>
            <w:tcBorders>
              <w:top w:val="single" w:color="auto" w:sz="4" w:space="0"/>
              <w:left w:val="single" w:color="auto" w:sz="4" w:space="0"/>
              <w:bottom w:val="single" w:color="auto" w:sz="4" w:space="0"/>
              <w:right w:val="single" w:color="auto" w:sz="4" w:space="0"/>
            </w:tcBorders>
          </w:tcPr>
          <w:p w14:paraId="15F35F3D">
            <w:pPr>
              <w:pStyle w:val="3"/>
              <w:spacing w:line="400" w:lineRule="exact"/>
              <w:ind w:firstLine="0" w:firstLineChars="0"/>
              <w:rPr>
                <w:lang w:val="en-US"/>
              </w:rPr>
            </w:pPr>
            <w:r>
              <w:rPr>
                <w:rFonts w:hint="eastAsia"/>
                <w:lang w:val="en-US"/>
              </w:rPr>
              <w:t>庭院</w:t>
            </w:r>
          </w:p>
        </w:tc>
        <w:tc>
          <w:tcPr>
            <w:tcW w:w="993" w:type="dxa"/>
            <w:tcBorders>
              <w:top w:val="single" w:color="auto" w:sz="4" w:space="0"/>
              <w:left w:val="single" w:color="auto" w:sz="4" w:space="0"/>
              <w:bottom w:val="single" w:color="auto" w:sz="4" w:space="0"/>
              <w:right w:val="single" w:color="auto" w:sz="4" w:space="0"/>
            </w:tcBorders>
          </w:tcPr>
          <w:p w14:paraId="19589136">
            <w:pPr>
              <w:pStyle w:val="3"/>
              <w:spacing w:line="400" w:lineRule="exact"/>
              <w:ind w:firstLine="0" w:firstLineChars="0"/>
              <w:rPr>
                <w:lang w:val="en-US"/>
              </w:rPr>
            </w:pPr>
          </w:p>
        </w:tc>
        <w:tc>
          <w:tcPr>
            <w:tcW w:w="1412" w:type="dxa"/>
            <w:tcBorders>
              <w:top w:val="single" w:color="auto" w:sz="4" w:space="0"/>
              <w:left w:val="single" w:color="auto" w:sz="4" w:space="0"/>
              <w:bottom w:val="single" w:color="auto" w:sz="4" w:space="0"/>
              <w:right w:val="single" w:color="auto" w:sz="4" w:space="0"/>
            </w:tcBorders>
          </w:tcPr>
          <w:p w14:paraId="175E60FC">
            <w:pPr>
              <w:pStyle w:val="3"/>
              <w:spacing w:line="400" w:lineRule="exact"/>
              <w:ind w:firstLine="0" w:firstLineChars="0"/>
              <w:rPr>
                <w:lang w:val="en-US"/>
              </w:rPr>
            </w:pPr>
            <w:r>
              <w:rPr>
                <w:rFonts w:hint="eastAsia"/>
                <w:lang w:val="en-US"/>
              </w:rPr>
              <w:t>户外</w:t>
            </w:r>
            <w:r>
              <w:rPr>
                <w:lang w:val="en-US"/>
              </w:rPr>
              <w:t>休息区</w:t>
            </w:r>
          </w:p>
        </w:tc>
      </w:tr>
      <w:bookmarkEnd w:id="11"/>
    </w:tbl>
    <w:p w14:paraId="078D24CC">
      <w:pPr>
        <w:pStyle w:val="3"/>
        <w:ind w:firstLine="0" w:firstLineChars="0"/>
        <w:jc w:val="center"/>
        <w:rPr>
          <w:lang w:val="en-US"/>
        </w:rPr>
      </w:pPr>
      <w:r>
        <w:rPr>
          <w:rFonts w:hint="eastAsia"/>
          <w:lang w:val="en-US"/>
        </w:rPr>
        <w:t xml:space="preserve"> </w:t>
      </w:r>
      <w:bookmarkStart w:id="12" w:name="三维视图"/>
      <w:bookmarkEnd w:id="12"/>
      <w:r>
        <w:rPr>
          <w:lang w:val="en-US"/>
        </w:rPr>
        <w:drawing>
          <wp:inline distT="0" distB="0" distL="0" distR="0">
            <wp:extent cx="5667375" cy="313372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0"/>
                    <a:stretch>
                      <a:fillRect/>
                    </a:stretch>
                  </pic:blipFill>
                  <pic:spPr>
                    <a:xfrm>
                      <a:off x="0" y="0"/>
                      <a:ext cx="5667375" cy="3133725"/>
                    </a:xfrm>
                    <a:prstGeom prst="rect">
                      <a:avLst/>
                    </a:prstGeom>
                  </pic:spPr>
                </pic:pic>
              </a:graphicData>
            </a:graphic>
          </wp:inline>
        </w:drawing>
      </w:r>
    </w:p>
    <w:p w14:paraId="77127FB8">
      <w:pPr>
        <w:pStyle w:val="13"/>
        <w:jc w:val="center"/>
        <w:rPr>
          <w:lang w:val="en-US"/>
        </w:rPr>
      </w:pPr>
      <w:r>
        <w:rPr>
          <w:rFonts w:hint="eastAsia" w:ascii="黑体" w:hAnsi="黑体"/>
        </w:rPr>
        <w:t xml:space="preserve">图 </w:t>
      </w:r>
      <w:r>
        <w:rPr>
          <w:rFonts w:ascii="黑体" w:hAnsi="黑体"/>
        </w:rPr>
        <w:fldChar w:fldCharType="begin"/>
      </w:r>
      <w:r>
        <w:rPr>
          <w:rFonts w:ascii="黑体" w:hAnsi="黑体"/>
        </w:rPr>
        <w:instrText xml:space="preserve"> </w:instrText>
      </w:r>
      <w:r>
        <w:rPr>
          <w:rFonts w:hint="eastAsia" w:ascii="黑体" w:hAnsi="黑体"/>
        </w:rPr>
        <w:instrText xml:space="preserve">STYLEREF 2 \s</w:instrText>
      </w:r>
      <w:r>
        <w:rPr>
          <w:rFonts w:ascii="黑体" w:hAnsi="黑体"/>
        </w:rPr>
        <w:instrText xml:space="preserve"> </w:instrText>
      </w:r>
      <w:r>
        <w:rPr>
          <w:rFonts w:ascii="黑体" w:hAnsi="黑体"/>
        </w:rPr>
        <w:fldChar w:fldCharType="separate"/>
      </w:r>
      <w:r>
        <w:rPr>
          <w:rFonts w:ascii="黑体" w:hAnsi="黑体"/>
        </w:rPr>
        <w:t>1.2</w:t>
      </w:r>
      <w:r>
        <w:rPr>
          <w:rFonts w:ascii="黑体" w:hAnsi="黑体"/>
        </w:rPr>
        <w:fldChar w:fldCharType="end"/>
      </w:r>
      <w:r>
        <w:rPr>
          <w:rFonts w:ascii="黑体" w:hAnsi="黑体"/>
        </w:rPr>
        <w:noBreakHyphen/>
      </w:r>
      <w:r>
        <w:rPr>
          <w:rFonts w:ascii="黑体" w:hAnsi="黑体"/>
        </w:rPr>
        <w:fldChar w:fldCharType="begin"/>
      </w:r>
      <w:r>
        <w:rPr>
          <w:rFonts w:ascii="黑体" w:hAnsi="黑体"/>
        </w:rPr>
        <w:instrText xml:space="preserve"> </w:instrText>
      </w:r>
      <w:r>
        <w:rPr>
          <w:rFonts w:hint="eastAsia" w:ascii="黑体" w:hAnsi="黑体"/>
        </w:rPr>
        <w:instrText xml:space="preserve">SEQ 图 \* ARABIC \s 2</w:instrText>
      </w:r>
      <w:r>
        <w:rPr>
          <w:rFonts w:ascii="黑体" w:hAnsi="黑体"/>
        </w:rPr>
        <w:instrText xml:space="preserve"> </w:instrText>
      </w:r>
      <w:r>
        <w:rPr>
          <w:rFonts w:ascii="黑体" w:hAnsi="黑体"/>
        </w:rPr>
        <w:fldChar w:fldCharType="separate"/>
      </w:r>
      <w:r>
        <w:rPr>
          <w:rFonts w:ascii="黑体" w:hAnsi="黑体"/>
        </w:rPr>
        <w:t>1</w:t>
      </w:r>
      <w:r>
        <w:rPr>
          <w:rFonts w:ascii="黑体" w:hAnsi="黑体"/>
        </w:rPr>
        <w:fldChar w:fldCharType="end"/>
      </w:r>
      <w:r>
        <w:rPr>
          <w:rFonts w:hint="eastAsia" w:ascii="黑体" w:hAnsi="黑体"/>
        </w:rPr>
        <w:t xml:space="preserve">  三</w:t>
      </w:r>
      <w:r>
        <w:rPr>
          <w:rFonts w:ascii="黑体" w:hAnsi="黑体"/>
        </w:rPr>
        <w:t>维</w:t>
      </w:r>
      <w:r>
        <w:rPr>
          <w:rFonts w:hint="eastAsia"/>
        </w:rPr>
        <w:t>视图</w:t>
      </w:r>
    </w:p>
    <w:p w14:paraId="26D470EB">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190F8E96">
      <w:pPr>
        <w:pStyle w:val="2"/>
      </w:pPr>
      <w:bookmarkStart w:id="13" w:name="_Toc452108762"/>
      <w:bookmarkStart w:id="14" w:name="_Toc179986099"/>
      <w:bookmarkStart w:id="15" w:name="TitleFormat"/>
      <w:r>
        <w:rPr>
          <w:rFonts w:hint="eastAsia"/>
        </w:rPr>
        <w:t>计算</w:t>
      </w:r>
      <w:r>
        <w:t>依据</w:t>
      </w:r>
      <w:bookmarkEnd w:id="13"/>
      <w:bookmarkEnd w:id="14"/>
      <w:bookmarkEnd w:id="15"/>
    </w:p>
    <w:p w14:paraId="01EC3CC4">
      <w:pPr>
        <w:pStyle w:val="3"/>
        <w:ind w:firstLine="420"/>
        <w:rPr>
          <w:lang w:val="en-US"/>
        </w:rPr>
      </w:pPr>
      <w:r>
        <w:rPr>
          <w:rFonts w:hint="eastAsia"/>
          <w:lang w:val="en-US"/>
        </w:rPr>
        <w:t>本项目主要参照资料为：</w:t>
      </w:r>
    </w:p>
    <w:p w14:paraId="57D57221">
      <w:pPr>
        <w:pStyle w:val="3"/>
        <w:numPr>
          <w:ilvl w:val="0"/>
          <w:numId w:val="2"/>
        </w:numPr>
        <w:ind w:firstLineChars="0"/>
        <w:rPr>
          <w:lang w:val="en-US"/>
        </w:rPr>
      </w:pPr>
      <w:bookmarkStart w:id="16" w:name="参考标准名称1"/>
      <w:r>
        <w:rPr>
          <w:rFonts w:hint="eastAsia"/>
          <w:lang w:val="en-US"/>
        </w:rPr>
        <w:t>《绿色建筑评价标准》GB/T50378-2019</w:t>
      </w:r>
      <w:bookmarkEnd w:id="16"/>
    </w:p>
    <w:p w14:paraId="77B5494C">
      <w:pPr>
        <w:pStyle w:val="3"/>
        <w:numPr>
          <w:ilvl w:val="0"/>
          <w:numId w:val="2"/>
        </w:numPr>
        <w:ind w:firstLineChars="0"/>
        <w:rPr>
          <w:lang w:val="en-US"/>
        </w:rPr>
      </w:pPr>
      <w:r>
        <w:rPr>
          <w:rFonts w:hint="eastAsia"/>
          <w:lang w:val="en-US"/>
        </w:rPr>
        <w:t>《建筑通风效果测试与评价标准》JGJ/T 309—2013</w:t>
      </w:r>
    </w:p>
    <w:p w14:paraId="2B63A540">
      <w:pPr>
        <w:pStyle w:val="3"/>
        <w:numPr>
          <w:ilvl w:val="0"/>
          <w:numId w:val="2"/>
        </w:numPr>
        <w:ind w:firstLineChars="0"/>
        <w:rPr>
          <w:lang w:val="en-US"/>
        </w:rPr>
      </w:pPr>
      <w:r>
        <w:rPr>
          <w:rFonts w:hint="eastAsia"/>
          <w:lang w:val="en-US"/>
        </w:rPr>
        <w:t>《绿色建筑评价技术细则》</w:t>
      </w:r>
    </w:p>
    <w:p w14:paraId="6BEA3BB8">
      <w:pPr>
        <w:pStyle w:val="3"/>
        <w:numPr>
          <w:ilvl w:val="0"/>
          <w:numId w:val="2"/>
        </w:numPr>
        <w:ind w:firstLineChars="0"/>
        <w:rPr>
          <w:lang w:val="en-US"/>
        </w:rPr>
      </w:pPr>
      <w:r>
        <w:rPr>
          <w:rFonts w:hint="eastAsia"/>
          <w:lang w:val="en-US"/>
        </w:rPr>
        <w:t>委托方提供的总平面图、建筑专业设计图纸、设计效果图等图纸资料</w:t>
      </w:r>
    </w:p>
    <w:p w14:paraId="7F767413">
      <w:pPr>
        <w:pStyle w:val="2"/>
      </w:pPr>
      <w:bookmarkStart w:id="17" w:name="_Toc452108763"/>
      <w:bookmarkStart w:id="18" w:name="_Toc179986100"/>
      <w:r>
        <w:rPr>
          <w:rFonts w:hint="eastAsia"/>
        </w:rPr>
        <w:t>参考</w:t>
      </w:r>
      <w:r>
        <w:t>标准</w:t>
      </w:r>
      <w:bookmarkEnd w:id="17"/>
      <w:bookmarkEnd w:id="18"/>
    </w:p>
    <w:p w14:paraId="5A161DE2">
      <w:pPr>
        <w:pStyle w:val="3"/>
        <w:ind w:firstLine="420"/>
        <w:rPr>
          <w:lang w:val="en-US"/>
        </w:rPr>
      </w:pPr>
      <w:r>
        <w:rPr>
          <w:rFonts w:hint="eastAsia"/>
          <w:lang w:val="en-US"/>
        </w:rPr>
        <w:t>室外风环境评价依据为</w:t>
      </w:r>
      <w:bookmarkStart w:id="19" w:name="参考标准名称2"/>
      <w:r>
        <w:rPr>
          <w:rFonts w:hint="eastAsia"/>
          <w:lang w:val="en-US"/>
        </w:rPr>
        <w:t>《绿色建筑评价标准》GB/T50378-2019</w:t>
      </w:r>
      <w:bookmarkEnd w:id="19"/>
      <w:r>
        <w:rPr>
          <w:rFonts w:hint="eastAsia"/>
          <w:lang w:val="en-US"/>
        </w:rPr>
        <w:t>中有关室外风环境的条目要求。具体要求如下：</w:t>
      </w:r>
    </w:p>
    <w:p w14:paraId="70883FEE">
      <w:pPr>
        <w:pStyle w:val="3"/>
        <w:ind w:firstLine="420"/>
        <w:rPr>
          <w:lang w:val="en-US"/>
        </w:rPr>
      </w:pPr>
      <w:bookmarkStart w:id="20" w:name="_Toc452108764"/>
      <w:bookmarkStart w:id="21" w:name="_Toc451698935"/>
      <w:bookmarkStart w:id="22" w:name="_Toc451436145"/>
      <w:r>
        <w:rPr>
          <w:lang w:val="en-US"/>
        </w:rPr>
        <w:t>8</w:t>
      </w:r>
      <w:r>
        <w:rPr>
          <w:rFonts w:hint="eastAsia"/>
          <w:lang w:val="en-US"/>
        </w:rPr>
        <w:t>.2.</w:t>
      </w:r>
      <w:r>
        <w:rPr>
          <w:lang w:val="en-US"/>
        </w:rPr>
        <w:t>8</w:t>
      </w:r>
      <w:r>
        <w:rPr>
          <w:rFonts w:hint="eastAsia"/>
          <w:lang w:val="en-US"/>
        </w:rPr>
        <w:t xml:space="preserve"> 场地内风环境有利于室外行走、活动舒适和建筑的自然通风。评分规则如下：</w:t>
      </w:r>
    </w:p>
    <w:p w14:paraId="311FD8AB">
      <w:pPr>
        <w:pStyle w:val="3"/>
        <w:ind w:firstLine="420"/>
        <w:rPr>
          <w:lang w:val="en-US"/>
        </w:rPr>
      </w:pPr>
      <w:r>
        <w:rPr>
          <w:rFonts w:hint="eastAsia"/>
          <w:lang w:val="en-US"/>
        </w:rPr>
        <w:t>1  冬季典型风速和风向条件下，建筑物周围人行区距地</w:t>
      </w:r>
      <w:r>
        <w:rPr>
          <w:lang w:val="en-US"/>
        </w:rPr>
        <w:t>高</w:t>
      </w:r>
      <w:r>
        <w:rPr>
          <w:rFonts w:hint="eastAsia"/>
          <w:lang w:val="en-US"/>
        </w:rPr>
        <w:t>1.5m处风速低于5m/s，户外休息区、儿童娱乐区风速小于2m/s,且室外风速放大系数小于2，得</w:t>
      </w:r>
      <w:bookmarkStart w:id="23" w:name="参考标准冬季风速得分"/>
      <w:r>
        <w:rPr>
          <w:lang w:val="en-US"/>
        </w:rPr>
        <w:t>3</w:t>
      </w:r>
      <w:bookmarkEnd w:id="23"/>
      <w:r>
        <w:rPr>
          <w:rFonts w:hint="eastAsia"/>
          <w:lang w:val="en-US"/>
        </w:rPr>
        <w:t>分；除迎风第一排建筑外，建筑迎风面与背风面表面风压差不超过5Pa，得</w:t>
      </w:r>
      <w:bookmarkStart w:id="24" w:name="参考标准冬季风压得分"/>
      <w:r>
        <w:rPr>
          <w:lang w:val="en-US"/>
        </w:rPr>
        <w:t>2</w:t>
      </w:r>
      <w:bookmarkEnd w:id="24"/>
      <w:r>
        <w:rPr>
          <w:rFonts w:hint="eastAsia"/>
          <w:lang w:val="en-US"/>
        </w:rPr>
        <w:t>分。</w:t>
      </w:r>
    </w:p>
    <w:p w14:paraId="47BE31F6">
      <w:pPr>
        <w:pStyle w:val="3"/>
        <w:ind w:firstLine="420"/>
        <w:rPr>
          <w:lang w:val="en-US"/>
        </w:rPr>
      </w:pPr>
      <w:r>
        <w:rPr>
          <w:rFonts w:hint="eastAsia"/>
          <w:lang w:val="en-US"/>
        </w:rPr>
        <w:t>2  过渡季、夏季典型风速和风向条件下，场地内人活动区不出现涡旋或无风区，得</w:t>
      </w:r>
      <w:bookmarkStart w:id="25" w:name="参考标准夏季风速得分"/>
      <w:r>
        <w:rPr>
          <w:lang w:val="en-US"/>
        </w:rPr>
        <w:t>3</w:t>
      </w:r>
      <w:bookmarkEnd w:id="25"/>
      <w:r>
        <w:rPr>
          <w:rFonts w:hint="eastAsia"/>
          <w:lang w:val="en-US"/>
        </w:rPr>
        <w:t>分；50%以上可开启外窗室内外表面的风压差大于0.5Pa，得</w:t>
      </w:r>
      <w:bookmarkStart w:id="26" w:name="参考标准夏季风压得分"/>
      <w:r>
        <w:rPr>
          <w:lang w:val="en-US"/>
        </w:rPr>
        <w:t>2</w:t>
      </w:r>
      <w:bookmarkEnd w:id="26"/>
      <w:r>
        <w:rPr>
          <w:rFonts w:hint="eastAsia"/>
          <w:lang w:val="en-US"/>
        </w:rPr>
        <w:t>分。</w:t>
      </w:r>
    </w:p>
    <w:p w14:paraId="0C4C771A">
      <w:pPr>
        <w:pStyle w:val="2"/>
      </w:pPr>
      <w:bookmarkStart w:id="27" w:name="_Toc179986101"/>
      <w:r>
        <w:rPr>
          <w:rFonts w:hint="eastAsia"/>
        </w:rPr>
        <w:t>计算原理</w:t>
      </w:r>
      <w:bookmarkEnd w:id="20"/>
      <w:bookmarkEnd w:id="21"/>
      <w:bookmarkEnd w:id="27"/>
    </w:p>
    <w:p w14:paraId="6EE93B15">
      <w:pPr>
        <w:pStyle w:val="4"/>
        <w:numPr>
          <w:ilvl w:val="1"/>
          <w:numId w:val="3"/>
        </w:numPr>
      </w:pPr>
      <w:bookmarkStart w:id="28" w:name="_Toc179986102"/>
      <w:bookmarkStart w:id="29" w:name="_Toc509844740"/>
      <w:bookmarkStart w:id="30" w:name="_Toc452108765"/>
      <w:bookmarkStart w:id="31" w:name="_Toc451698937"/>
      <w:r>
        <w:rPr>
          <w:rFonts w:hint="eastAsia"/>
        </w:rPr>
        <w:t>风场计算域</w:t>
      </w:r>
      <w:bookmarkEnd w:id="28"/>
      <w:bookmarkEnd w:id="29"/>
    </w:p>
    <w:p w14:paraId="7D186519">
      <w:pPr>
        <w:pStyle w:val="3"/>
        <w:ind w:firstLine="420"/>
        <w:rPr>
          <w:lang w:val="en-US"/>
        </w:rPr>
      </w:pPr>
      <w:r>
        <w:rPr>
          <w:rFonts w:hint="eastAsia"/>
          <w:lang w:val="en-US"/>
        </w:rPr>
        <w:t>进行室外风场计算前，需要确定参与计算风场的大小，在流体力学中称为计算域，通常为一个包围建筑群的长方体或正方体，本项目的风场计算域信息如下：</w:t>
      </w:r>
    </w:p>
    <w:p w14:paraId="6C137E17">
      <w:pPr>
        <w:pStyle w:val="5"/>
        <w:numPr>
          <w:ilvl w:val="2"/>
          <w:numId w:val="3"/>
        </w:numPr>
      </w:pPr>
      <w:bookmarkStart w:id="32" w:name="_Toc179986103"/>
      <w:r>
        <w:rPr>
          <w:rFonts w:hint="eastAsia"/>
        </w:rPr>
        <w:t>冬季工况风场计算域</w:t>
      </w:r>
      <w:bookmarkEnd w:id="32"/>
    </w:p>
    <w:p w14:paraId="07ABB5E4">
      <w:pPr>
        <w:pStyle w:val="3"/>
        <w:ind w:firstLine="0" w:firstLineChars="0"/>
        <w:jc w:val="center"/>
        <w:rPr>
          <w:rFonts w:ascii="黑体" w:hAnsi="黑体" w:eastAsia="黑体"/>
          <w:sz w:val="20"/>
          <w:szCs w:val="20"/>
        </w:rPr>
      </w:pPr>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hint="eastAsia" w:ascii="黑体" w:hAnsi="黑体" w:eastAsia="黑体"/>
          <w:sz w:val="20"/>
          <w:szCs w:val="20"/>
        </w:rPr>
        <w:t xml:space="preserve"> 冬季工况风场计算域信息</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0"/>
        <w:gridCol w:w="1846"/>
      </w:tblGrid>
      <w:tr w14:paraId="0FE83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60025B6C">
            <w:pPr>
              <w:pStyle w:val="3"/>
              <w:ind w:firstLine="0" w:firstLineChars="0"/>
              <w:rPr>
                <w:lang w:val="en-US"/>
              </w:rPr>
            </w:pPr>
            <w:r>
              <w:rPr>
                <w:rFonts w:hint="eastAsia"/>
                <w:lang w:val="en-US"/>
              </w:rPr>
              <w:t>顺风</w:t>
            </w:r>
            <w:r>
              <w:rPr>
                <w:lang w:val="en-US"/>
              </w:rPr>
              <w:t>方向</w:t>
            </w:r>
            <w:r>
              <w:rPr>
                <w:rFonts w:hint="eastAsia"/>
                <w:lang w:val="en-US"/>
              </w:rPr>
              <w:t>尺寸（m）</w:t>
            </w:r>
          </w:p>
        </w:tc>
        <w:tc>
          <w:tcPr>
            <w:tcW w:w="1846" w:type="dxa"/>
            <w:shd w:val="clear" w:color="auto" w:fill="auto"/>
          </w:tcPr>
          <w:p w14:paraId="4FFD8D61">
            <w:pPr>
              <w:pStyle w:val="3"/>
              <w:ind w:firstLine="0" w:firstLineChars="0"/>
              <w:rPr>
                <w:lang w:val="en-US"/>
              </w:rPr>
            </w:pPr>
            <w:r>
              <w:t>478</w:t>
            </w:r>
          </w:p>
        </w:tc>
      </w:tr>
      <w:tr w14:paraId="425E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379768E7">
            <w:pPr>
              <w:pStyle w:val="3"/>
              <w:ind w:firstLine="0" w:firstLineChars="0"/>
              <w:rPr>
                <w:lang w:val="en-US"/>
              </w:rPr>
            </w:pPr>
            <w:r>
              <w:rPr>
                <w:rFonts w:hint="eastAsia"/>
                <w:lang w:val="en-US"/>
              </w:rPr>
              <w:t>宽度</w:t>
            </w:r>
            <w:r>
              <w:rPr>
                <w:lang w:val="en-US"/>
              </w:rPr>
              <w:t>方向</w:t>
            </w:r>
            <w:r>
              <w:rPr>
                <w:rFonts w:hint="eastAsia"/>
                <w:lang w:val="en-US"/>
              </w:rPr>
              <w:t>尺寸（m）</w:t>
            </w:r>
          </w:p>
        </w:tc>
        <w:tc>
          <w:tcPr>
            <w:tcW w:w="1846" w:type="dxa"/>
            <w:shd w:val="clear" w:color="auto" w:fill="auto"/>
          </w:tcPr>
          <w:p w14:paraId="08A15067">
            <w:pPr>
              <w:pStyle w:val="3"/>
              <w:ind w:firstLine="0" w:firstLineChars="0"/>
              <w:rPr>
                <w:lang w:val="en-US"/>
              </w:rPr>
            </w:pPr>
            <w:r>
              <w:t>333</w:t>
            </w:r>
          </w:p>
        </w:tc>
      </w:tr>
      <w:tr w14:paraId="1A385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12D80874">
            <w:pPr>
              <w:pStyle w:val="3"/>
              <w:ind w:firstLine="0" w:firstLineChars="0"/>
              <w:rPr>
                <w:lang w:val="en-US"/>
              </w:rPr>
            </w:pPr>
            <w:r>
              <w:rPr>
                <w:rFonts w:hint="eastAsia"/>
                <w:lang w:val="en-US"/>
              </w:rPr>
              <w:t>高度</w:t>
            </w:r>
            <w:r>
              <w:rPr>
                <w:lang w:val="en-US"/>
              </w:rPr>
              <w:t>方向</w:t>
            </w:r>
            <w:r>
              <w:rPr>
                <w:rFonts w:hint="eastAsia"/>
                <w:lang w:val="en-US"/>
              </w:rPr>
              <w:t>尺寸（m）</w:t>
            </w:r>
          </w:p>
        </w:tc>
        <w:tc>
          <w:tcPr>
            <w:tcW w:w="1846" w:type="dxa"/>
            <w:shd w:val="clear" w:color="auto" w:fill="auto"/>
          </w:tcPr>
          <w:p w14:paraId="6DA7ADB6">
            <w:pPr>
              <w:pStyle w:val="3"/>
              <w:ind w:firstLine="0" w:firstLineChars="0"/>
              <w:rPr>
                <w:lang w:val="en-US"/>
              </w:rPr>
            </w:pPr>
            <w:r>
              <w:t>180</w:t>
            </w:r>
          </w:p>
        </w:tc>
      </w:tr>
    </w:tbl>
    <w:p w14:paraId="7F65D0C3">
      <w:pPr>
        <w:pStyle w:val="3"/>
        <w:ind w:firstLine="0" w:firstLineChars="0"/>
        <w:jc w:val="center"/>
        <w:rPr>
          <w:lang w:val="en-US"/>
        </w:rPr>
      </w:pPr>
      <w:r>
        <w:rPr>
          <w:lang w:val="en-US"/>
        </w:rPr>
        <w:drawing>
          <wp:inline distT="0" distB="0" distL="0" distR="0">
            <wp:extent cx="5667375" cy="28098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1"/>
                    <a:stretch>
                      <a:fillRect/>
                    </a:stretch>
                  </pic:blipFill>
                  <pic:spPr>
                    <a:xfrm>
                      <a:off x="0" y="0"/>
                      <a:ext cx="5667375" cy="2809875"/>
                    </a:xfrm>
                    <a:prstGeom prst="rect">
                      <a:avLst/>
                    </a:prstGeom>
                  </pic:spPr>
                </pic:pic>
              </a:graphicData>
            </a:graphic>
          </wp:inline>
        </w:drawing>
      </w:r>
    </w:p>
    <w:p w14:paraId="3CDDF7CE">
      <w:pPr>
        <w:pStyle w:val="13"/>
        <w:jc w:val="center"/>
        <w:rPr>
          <w:szCs w:val="21"/>
          <w:lang w:val="en-US"/>
        </w:rPr>
      </w:pPr>
      <w:r>
        <w:rPr>
          <w:rFonts w:hint="eastAsia"/>
        </w:rPr>
        <w:t xml:space="preserve">图 </w:t>
      </w:r>
      <w:r>
        <w:rPr>
          <w:rFonts w:ascii="黑体" w:hAnsi="黑体"/>
        </w:rPr>
        <w:fldChar w:fldCharType="begin"/>
      </w:r>
      <w:r>
        <w:rPr>
          <w:rFonts w:ascii="黑体" w:hAnsi="黑体"/>
        </w:rPr>
        <w:instrText xml:space="preserve"> </w:instrText>
      </w:r>
      <w:r>
        <w:rPr>
          <w:rFonts w:hint="eastAsia" w:ascii="黑体" w:hAnsi="黑体"/>
        </w:rPr>
        <w:instrText xml:space="preserve">STYLEREF 2 \s</w:instrText>
      </w:r>
      <w:r>
        <w:rPr>
          <w:rFonts w:ascii="黑体" w:hAnsi="黑体"/>
        </w:rPr>
        <w:instrText xml:space="preserve"> </w:instrText>
      </w:r>
      <w:r>
        <w:rPr>
          <w:rFonts w:ascii="黑体" w:hAnsi="黑体"/>
        </w:rPr>
        <w:fldChar w:fldCharType="separate"/>
      </w:r>
      <w:r>
        <w:rPr>
          <w:rFonts w:ascii="黑体" w:hAnsi="黑体"/>
        </w:rPr>
        <w:t>4.1</w:t>
      </w:r>
      <w:r>
        <w:rPr>
          <w:rFonts w:ascii="黑体" w:hAnsi="黑体"/>
        </w:rPr>
        <w:fldChar w:fldCharType="end"/>
      </w:r>
      <w:r>
        <w:rPr>
          <w:rFonts w:ascii="黑体" w:hAnsi="黑体"/>
        </w:rPr>
        <w:noBreakHyphen/>
      </w:r>
      <w:r>
        <w:rPr>
          <w:rFonts w:ascii="黑体" w:hAnsi="黑体"/>
        </w:rPr>
        <w:fldChar w:fldCharType="begin"/>
      </w:r>
      <w:r>
        <w:rPr>
          <w:rFonts w:ascii="黑体" w:hAnsi="黑体"/>
        </w:rPr>
        <w:instrText xml:space="preserve"> </w:instrText>
      </w:r>
      <w:r>
        <w:rPr>
          <w:rFonts w:hint="eastAsia" w:ascii="黑体" w:hAnsi="黑体"/>
        </w:rPr>
        <w:instrText xml:space="preserve">SEQ 图 \* ARABIC \s 2</w:instrText>
      </w:r>
      <w:r>
        <w:rPr>
          <w:rFonts w:ascii="黑体" w:hAnsi="黑体"/>
        </w:rPr>
        <w:instrText xml:space="preserve"> </w:instrText>
      </w:r>
      <w:r>
        <w:rPr>
          <w:rFonts w:ascii="黑体" w:hAnsi="黑体"/>
        </w:rPr>
        <w:fldChar w:fldCharType="separate"/>
      </w:r>
      <w:r>
        <w:rPr>
          <w:rFonts w:ascii="黑体" w:hAnsi="黑体"/>
        </w:rPr>
        <w:t>1</w:t>
      </w:r>
      <w:r>
        <w:rPr>
          <w:rFonts w:ascii="黑体" w:hAnsi="黑体"/>
        </w:rPr>
        <w:fldChar w:fldCharType="end"/>
      </w:r>
      <w:r>
        <w:rPr>
          <w:rFonts w:hint="eastAsia" w:ascii="黑体" w:hAnsi="黑体"/>
        </w:rPr>
        <w:t xml:space="preserve">  冬季</w:t>
      </w:r>
      <w:r>
        <w:rPr>
          <w:rFonts w:hint="eastAsia"/>
        </w:rPr>
        <w:t>工况风场计算域图示</w:t>
      </w:r>
      <w:r>
        <w:rPr>
          <w:rFonts w:hint="eastAsia"/>
          <w:szCs w:val="21"/>
          <w:lang w:val="en-US"/>
        </w:rPr>
        <w:t xml:space="preserve"> </w:t>
      </w:r>
    </w:p>
    <w:p w14:paraId="7FD8EC98">
      <w:pPr>
        <w:pStyle w:val="5"/>
        <w:numPr>
          <w:ilvl w:val="2"/>
          <w:numId w:val="3"/>
        </w:numPr>
      </w:pPr>
      <w:bookmarkStart w:id="33" w:name="_Toc179986104"/>
      <w:r>
        <w:rPr>
          <w:rFonts w:hint="eastAsia"/>
        </w:rPr>
        <w:t>夏季工况风场计算域</w:t>
      </w:r>
      <w:bookmarkEnd w:id="33"/>
    </w:p>
    <w:p w14:paraId="6A583D72">
      <w:pPr>
        <w:pStyle w:val="3"/>
        <w:ind w:firstLine="0" w:firstLineChars="0"/>
        <w:jc w:val="center"/>
        <w:rPr>
          <w:rFonts w:ascii="黑体" w:hAnsi="黑体" w:eastAsia="黑体"/>
          <w:sz w:val="20"/>
          <w:szCs w:val="20"/>
        </w:rPr>
      </w:pPr>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2</w:t>
      </w:r>
      <w:r>
        <w:rPr>
          <w:rFonts w:ascii="黑体" w:hAnsi="黑体" w:eastAsia="黑体"/>
          <w:sz w:val="20"/>
          <w:szCs w:val="20"/>
        </w:rPr>
        <w:fldChar w:fldCharType="end"/>
      </w:r>
      <w:r>
        <w:rPr>
          <w:rFonts w:hint="eastAsia" w:ascii="黑体" w:hAnsi="黑体" w:eastAsia="黑体"/>
          <w:sz w:val="20"/>
          <w:szCs w:val="20"/>
        </w:rPr>
        <w:t xml:space="preserve"> 夏季工况风场计算域信息</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0"/>
        <w:gridCol w:w="1846"/>
      </w:tblGrid>
      <w:tr w14:paraId="029E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6C4D2C5A">
            <w:pPr>
              <w:pStyle w:val="3"/>
              <w:ind w:firstLine="0" w:firstLineChars="0"/>
              <w:rPr>
                <w:lang w:val="en-US"/>
              </w:rPr>
            </w:pPr>
            <w:r>
              <w:rPr>
                <w:rFonts w:hint="eastAsia"/>
                <w:lang w:val="en-US"/>
              </w:rPr>
              <w:t>顺风</w:t>
            </w:r>
            <w:r>
              <w:rPr>
                <w:lang w:val="en-US"/>
              </w:rPr>
              <w:t>方向</w:t>
            </w:r>
            <w:r>
              <w:rPr>
                <w:rFonts w:hint="eastAsia"/>
                <w:lang w:val="en-US"/>
              </w:rPr>
              <w:t>尺寸（m）</w:t>
            </w:r>
          </w:p>
        </w:tc>
        <w:tc>
          <w:tcPr>
            <w:tcW w:w="1846" w:type="dxa"/>
            <w:shd w:val="clear" w:color="auto" w:fill="auto"/>
          </w:tcPr>
          <w:p w14:paraId="51B8DA91">
            <w:pPr>
              <w:pStyle w:val="3"/>
              <w:ind w:firstLine="0" w:firstLineChars="0"/>
              <w:rPr>
                <w:lang w:val="en-US"/>
              </w:rPr>
            </w:pPr>
            <w:r>
              <w:t>396</w:t>
            </w:r>
          </w:p>
        </w:tc>
      </w:tr>
      <w:tr w14:paraId="3F7A6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416FC2B4">
            <w:pPr>
              <w:pStyle w:val="3"/>
              <w:ind w:firstLine="0" w:firstLineChars="0"/>
              <w:rPr>
                <w:lang w:val="en-US"/>
              </w:rPr>
            </w:pPr>
            <w:r>
              <w:rPr>
                <w:rFonts w:hint="eastAsia"/>
                <w:lang w:val="en-US"/>
              </w:rPr>
              <w:t>宽度</w:t>
            </w:r>
            <w:r>
              <w:rPr>
                <w:lang w:val="en-US"/>
              </w:rPr>
              <w:t>方向</w:t>
            </w:r>
            <w:r>
              <w:rPr>
                <w:rFonts w:hint="eastAsia"/>
                <w:lang w:val="en-US"/>
              </w:rPr>
              <w:t>尺寸（m）</w:t>
            </w:r>
          </w:p>
        </w:tc>
        <w:tc>
          <w:tcPr>
            <w:tcW w:w="1846" w:type="dxa"/>
            <w:shd w:val="clear" w:color="auto" w:fill="auto"/>
          </w:tcPr>
          <w:p w14:paraId="132E0BEA">
            <w:pPr>
              <w:pStyle w:val="3"/>
              <w:ind w:firstLine="0" w:firstLineChars="0"/>
              <w:rPr>
                <w:lang w:val="en-US"/>
              </w:rPr>
            </w:pPr>
            <w:r>
              <w:t>408</w:t>
            </w:r>
          </w:p>
        </w:tc>
      </w:tr>
      <w:tr w14:paraId="33BBB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1A2C10DB">
            <w:pPr>
              <w:pStyle w:val="3"/>
              <w:ind w:firstLine="0" w:firstLineChars="0"/>
              <w:rPr>
                <w:lang w:val="en-US"/>
              </w:rPr>
            </w:pPr>
            <w:r>
              <w:rPr>
                <w:rFonts w:hint="eastAsia"/>
                <w:lang w:val="en-US"/>
              </w:rPr>
              <w:t>高度</w:t>
            </w:r>
            <w:r>
              <w:rPr>
                <w:lang w:val="en-US"/>
              </w:rPr>
              <w:t>方向</w:t>
            </w:r>
            <w:r>
              <w:rPr>
                <w:rFonts w:hint="eastAsia"/>
                <w:lang w:val="en-US"/>
              </w:rPr>
              <w:t>尺寸（m）</w:t>
            </w:r>
          </w:p>
        </w:tc>
        <w:tc>
          <w:tcPr>
            <w:tcW w:w="1846" w:type="dxa"/>
            <w:shd w:val="clear" w:color="auto" w:fill="auto"/>
          </w:tcPr>
          <w:p w14:paraId="17B4DAD5">
            <w:pPr>
              <w:pStyle w:val="3"/>
              <w:ind w:firstLine="0" w:firstLineChars="0"/>
              <w:rPr>
                <w:lang w:val="en-US"/>
              </w:rPr>
            </w:pPr>
            <w:r>
              <w:t>180</w:t>
            </w:r>
          </w:p>
        </w:tc>
      </w:tr>
    </w:tbl>
    <w:p w14:paraId="5DAA0630">
      <w:pPr>
        <w:pStyle w:val="3"/>
        <w:ind w:firstLine="0" w:firstLineChars="0"/>
        <w:jc w:val="center"/>
        <w:rPr>
          <w:lang w:val="en-US"/>
        </w:rPr>
      </w:pPr>
      <w:r>
        <w:rPr>
          <w:lang w:val="en-US"/>
        </w:rPr>
        <w:drawing>
          <wp:inline distT="0" distB="0" distL="0" distR="0">
            <wp:extent cx="5667375" cy="280987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12"/>
                    <a:stretch>
                      <a:fillRect/>
                    </a:stretch>
                  </pic:blipFill>
                  <pic:spPr>
                    <a:xfrm>
                      <a:off x="0" y="0"/>
                      <a:ext cx="5667375" cy="2809875"/>
                    </a:xfrm>
                    <a:prstGeom prst="rect">
                      <a:avLst/>
                    </a:prstGeom>
                  </pic:spPr>
                </pic:pic>
              </a:graphicData>
            </a:graphic>
          </wp:inline>
        </w:drawing>
      </w:r>
    </w:p>
    <w:p w14:paraId="6EDBC7B5">
      <w:pPr>
        <w:pStyle w:val="13"/>
        <w:jc w:val="center"/>
        <w:rPr>
          <w:szCs w:val="21"/>
          <w:lang w:val="en-US"/>
        </w:rPr>
      </w:pPr>
      <w:r>
        <w:rPr>
          <w:rFonts w:hint="eastAsia"/>
        </w:rPr>
        <w:t xml:space="preserve">图 </w:t>
      </w:r>
      <w:r>
        <w:rPr>
          <w:rFonts w:ascii="黑体" w:hAnsi="黑体"/>
        </w:rPr>
        <w:fldChar w:fldCharType="begin"/>
      </w:r>
      <w:r>
        <w:rPr>
          <w:rFonts w:ascii="黑体" w:hAnsi="黑体"/>
        </w:rPr>
        <w:instrText xml:space="preserve"> </w:instrText>
      </w:r>
      <w:r>
        <w:rPr>
          <w:rFonts w:hint="eastAsia" w:ascii="黑体" w:hAnsi="黑体"/>
        </w:rPr>
        <w:instrText xml:space="preserve">STYLEREF 2 \s</w:instrText>
      </w:r>
      <w:r>
        <w:rPr>
          <w:rFonts w:ascii="黑体" w:hAnsi="黑体"/>
        </w:rPr>
        <w:instrText xml:space="preserve"> </w:instrText>
      </w:r>
      <w:r>
        <w:rPr>
          <w:rFonts w:ascii="黑体" w:hAnsi="黑体"/>
        </w:rPr>
        <w:fldChar w:fldCharType="separate"/>
      </w:r>
      <w:r>
        <w:rPr>
          <w:rFonts w:ascii="黑体" w:hAnsi="黑体"/>
        </w:rPr>
        <w:t>4.1</w:t>
      </w:r>
      <w:r>
        <w:rPr>
          <w:rFonts w:ascii="黑体" w:hAnsi="黑体"/>
        </w:rPr>
        <w:fldChar w:fldCharType="end"/>
      </w:r>
      <w:r>
        <w:rPr>
          <w:rFonts w:ascii="黑体" w:hAnsi="黑体"/>
        </w:rPr>
        <w:noBreakHyphen/>
      </w:r>
      <w:r>
        <w:rPr>
          <w:rFonts w:ascii="黑体" w:hAnsi="黑体"/>
        </w:rPr>
        <w:fldChar w:fldCharType="begin"/>
      </w:r>
      <w:r>
        <w:rPr>
          <w:rFonts w:ascii="黑体" w:hAnsi="黑体"/>
        </w:rPr>
        <w:instrText xml:space="preserve"> </w:instrText>
      </w:r>
      <w:r>
        <w:rPr>
          <w:rFonts w:hint="eastAsia" w:ascii="黑体" w:hAnsi="黑体"/>
        </w:rPr>
        <w:instrText xml:space="preserve">SEQ 图 \* ARABIC \s 2</w:instrText>
      </w:r>
      <w:r>
        <w:rPr>
          <w:rFonts w:ascii="黑体" w:hAnsi="黑体"/>
        </w:rPr>
        <w:instrText xml:space="preserve"> </w:instrText>
      </w:r>
      <w:r>
        <w:rPr>
          <w:rFonts w:ascii="黑体" w:hAnsi="黑体"/>
        </w:rPr>
        <w:fldChar w:fldCharType="separate"/>
      </w:r>
      <w:r>
        <w:rPr>
          <w:rFonts w:ascii="黑体" w:hAnsi="黑体"/>
        </w:rPr>
        <w:t>2</w:t>
      </w:r>
      <w:r>
        <w:rPr>
          <w:rFonts w:ascii="黑体" w:hAnsi="黑体"/>
        </w:rPr>
        <w:fldChar w:fldCharType="end"/>
      </w:r>
      <w:r>
        <w:rPr>
          <w:rFonts w:hint="eastAsia" w:ascii="黑体" w:hAnsi="黑体"/>
        </w:rPr>
        <w:t xml:space="preserve">  夏季</w:t>
      </w:r>
      <w:r>
        <w:rPr>
          <w:rFonts w:hint="eastAsia"/>
        </w:rPr>
        <w:t>工况风场计算域图示</w:t>
      </w:r>
      <w:r>
        <w:rPr>
          <w:rFonts w:hint="eastAsia"/>
          <w:szCs w:val="21"/>
          <w:lang w:val="en-US"/>
        </w:rPr>
        <w:t xml:space="preserve"> </w:t>
      </w:r>
    </w:p>
    <w:p w14:paraId="10BB9962">
      <w:pPr>
        <w:pStyle w:val="5"/>
        <w:numPr>
          <w:ilvl w:val="2"/>
          <w:numId w:val="3"/>
        </w:numPr>
      </w:pPr>
      <w:bookmarkStart w:id="34" w:name="_Toc179986105"/>
      <w:r>
        <w:rPr>
          <w:rFonts w:hint="eastAsia"/>
        </w:rPr>
        <w:t>过渡季工况风场计算域</w:t>
      </w:r>
      <w:bookmarkEnd w:id="34"/>
    </w:p>
    <w:p w14:paraId="3C31EC26">
      <w:pPr>
        <w:pStyle w:val="3"/>
        <w:ind w:firstLine="0" w:firstLineChars="0"/>
        <w:jc w:val="center"/>
        <w:rPr>
          <w:rFonts w:ascii="黑体" w:hAnsi="黑体" w:eastAsia="黑体"/>
          <w:sz w:val="20"/>
          <w:szCs w:val="20"/>
        </w:rPr>
      </w:pPr>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3</w:t>
      </w:r>
      <w:r>
        <w:rPr>
          <w:rFonts w:ascii="黑体" w:hAnsi="黑体" w:eastAsia="黑体"/>
          <w:sz w:val="20"/>
          <w:szCs w:val="20"/>
        </w:rPr>
        <w:fldChar w:fldCharType="end"/>
      </w:r>
      <w:r>
        <w:rPr>
          <w:rFonts w:hint="eastAsia" w:ascii="黑体" w:hAnsi="黑体" w:eastAsia="黑体"/>
          <w:sz w:val="20"/>
          <w:szCs w:val="20"/>
        </w:rPr>
        <w:t xml:space="preserve"> 过渡季工况风场计算域信息</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0"/>
        <w:gridCol w:w="1846"/>
      </w:tblGrid>
      <w:tr w14:paraId="0BF43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2E80AE09">
            <w:pPr>
              <w:pStyle w:val="3"/>
              <w:ind w:firstLine="0" w:firstLineChars="0"/>
              <w:rPr>
                <w:lang w:val="en-US"/>
              </w:rPr>
            </w:pPr>
            <w:r>
              <w:rPr>
                <w:rFonts w:hint="eastAsia"/>
                <w:lang w:val="en-US"/>
              </w:rPr>
              <w:t>顺风</w:t>
            </w:r>
            <w:r>
              <w:rPr>
                <w:lang w:val="en-US"/>
              </w:rPr>
              <w:t>方向</w:t>
            </w:r>
            <w:r>
              <w:rPr>
                <w:rFonts w:hint="eastAsia"/>
                <w:lang w:val="en-US"/>
              </w:rPr>
              <w:t>尺寸（m）</w:t>
            </w:r>
          </w:p>
        </w:tc>
        <w:tc>
          <w:tcPr>
            <w:tcW w:w="1846" w:type="dxa"/>
            <w:shd w:val="clear" w:color="auto" w:fill="auto"/>
          </w:tcPr>
          <w:p w14:paraId="6FD0ED0E">
            <w:pPr>
              <w:pStyle w:val="3"/>
              <w:ind w:firstLine="0" w:firstLineChars="0"/>
              <w:rPr>
                <w:lang w:val="en-US"/>
              </w:rPr>
            </w:pPr>
            <w:bookmarkStart w:id="35" w:name="冬季风场X尺寸"/>
            <w:r>
              <w:t>396</w:t>
            </w:r>
            <w:bookmarkEnd w:id="35"/>
          </w:p>
        </w:tc>
      </w:tr>
      <w:tr w14:paraId="6A5B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38237792">
            <w:pPr>
              <w:pStyle w:val="3"/>
              <w:ind w:firstLine="0" w:firstLineChars="0"/>
              <w:rPr>
                <w:lang w:val="en-US"/>
              </w:rPr>
            </w:pPr>
            <w:r>
              <w:rPr>
                <w:rFonts w:hint="eastAsia"/>
                <w:lang w:val="en-US"/>
              </w:rPr>
              <w:t>宽度</w:t>
            </w:r>
            <w:r>
              <w:rPr>
                <w:lang w:val="en-US"/>
              </w:rPr>
              <w:t>方向</w:t>
            </w:r>
            <w:r>
              <w:rPr>
                <w:rFonts w:hint="eastAsia"/>
                <w:lang w:val="en-US"/>
              </w:rPr>
              <w:t>尺寸（m）</w:t>
            </w:r>
          </w:p>
        </w:tc>
        <w:tc>
          <w:tcPr>
            <w:tcW w:w="1846" w:type="dxa"/>
            <w:shd w:val="clear" w:color="auto" w:fill="auto"/>
          </w:tcPr>
          <w:p w14:paraId="3C45784F">
            <w:pPr>
              <w:pStyle w:val="3"/>
              <w:ind w:firstLine="0" w:firstLineChars="0"/>
              <w:rPr>
                <w:lang w:val="en-US"/>
              </w:rPr>
            </w:pPr>
            <w:bookmarkStart w:id="36" w:name="冬季风场Y尺寸"/>
            <w:r>
              <w:t>408</w:t>
            </w:r>
            <w:bookmarkEnd w:id="36"/>
          </w:p>
        </w:tc>
      </w:tr>
      <w:tr w14:paraId="0B9DE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tcPr>
          <w:p w14:paraId="0A8A917A">
            <w:pPr>
              <w:pStyle w:val="3"/>
              <w:ind w:firstLine="0" w:firstLineChars="0"/>
              <w:rPr>
                <w:lang w:val="en-US"/>
              </w:rPr>
            </w:pPr>
            <w:r>
              <w:rPr>
                <w:rFonts w:hint="eastAsia"/>
                <w:lang w:val="en-US"/>
              </w:rPr>
              <w:t>高度</w:t>
            </w:r>
            <w:r>
              <w:rPr>
                <w:lang w:val="en-US"/>
              </w:rPr>
              <w:t>方向</w:t>
            </w:r>
            <w:r>
              <w:rPr>
                <w:rFonts w:hint="eastAsia"/>
                <w:lang w:val="en-US"/>
              </w:rPr>
              <w:t>尺寸（m）</w:t>
            </w:r>
          </w:p>
        </w:tc>
        <w:tc>
          <w:tcPr>
            <w:tcW w:w="1846" w:type="dxa"/>
            <w:shd w:val="clear" w:color="auto" w:fill="auto"/>
          </w:tcPr>
          <w:p w14:paraId="58366400">
            <w:pPr>
              <w:pStyle w:val="3"/>
              <w:ind w:firstLine="0" w:firstLineChars="0"/>
              <w:rPr>
                <w:lang w:val="en-US"/>
              </w:rPr>
            </w:pPr>
            <w:bookmarkStart w:id="37" w:name="冬季风场Z尺寸"/>
            <w:r>
              <w:t>180</w:t>
            </w:r>
            <w:bookmarkEnd w:id="37"/>
          </w:p>
        </w:tc>
      </w:tr>
    </w:tbl>
    <w:p w14:paraId="0BA231FF">
      <w:pPr>
        <w:pStyle w:val="3"/>
        <w:ind w:firstLine="0" w:firstLineChars="0"/>
        <w:jc w:val="center"/>
        <w:rPr>
          <w:lang w:val="en-US"/>
        </w:rPr>
      </w:pPr>
      <w:bookmarkStart w:id="38" w:name="冬季工况风场计算域图示"/>
      <w:bookmarkEnd w:id="38"/>
      <w:r>
        <w:rPr>
          <w:lang w:val="en-US"/>
        </w:rPr>
        <w:drawing>
          <wp:inline distT="0" distB="0" distL="0" distR="0">
            <wp:extent cx="5667375" cy="280987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12"/>
                    <a:stretch>
                      <a:fillRect/>
                    </a:stretch>
                  </pic:blipFill>
                  <pic:spPr>
                    <a:xfrm>
                      <a:off x="0" y="0"/>
                      <a:ext cx="5667375" cy="2809875"/>
                    </a:xfrm>
                    <a:prstGeom prst="rect">
                      <a:avLst/>
                    </a:prstGeom>
                  </pic:spPr>
                </pic:pic>
              </a:graphicData>
            </a:graphic>
          </wp:inline>
        </w:drawing>
      </w:r>
    </w:p>
    <w:p w14:paraId="059D40DF">
      <w:pPr>
        <w:pStyle w:val="13"/>
        <w:jc w:val="center"/>
        <w:rPr>
          <w:szCs w:val="21"/>
          <w:lang w:val="en-US"/>
        </w:rPr>
      </w:pPr>
      <w:r>
        <w:rPr>
          <w:rFonts w:hint="eastAsia"/>
        </w:rPr>
        <w:t xml:space="preserve">图 </w:t>
      </w:r>
      <w:r>
        <w:rPr>
          <w:rFonts w:ascii="黑体" w:hAnsi="黑体"/>
        </w:rPr>
        <w:fldChar w:fldCharType="begin"/>
      </w:r>
      <w:r>
        <w:rPr>
          <w:rFonts w:ascii="黑体" w:hAnsi="黑体"/>
        </w:rPr>
        <w:instrText xml:space="preserve"> </w:instrText>
      </w:r>
      <w:r>
        <w:rPr>
          <w:rFonts w:hint="eastAsia" w:ascii="黑体" w:hAnsi="黑体"/>
        </w:rPr>
        <w:instrText xml:space="preserve">STYLEREF 2 \s</w:instrText>
      </w:r>
      <w:r>
        <w:rPr>
          <w:rFonts w:ascii="黑体" w:hAnsi="黑体"/>
        </w:rPr>
        <w:instrText xml:space="preserve"> </w:instrText>
      </w:r>
      <w:r>
        <w:rPr>
          <w:rFonts w:ascii="黑体" w:hAnsi="黑体"/>
        </w:rPr>
        <w:fldChar w:fldCharType="separate"/>
      </w:r>
      <w:r>
        <w:rPr>
          <w:rFonts w:ascii="黑体" w:hAnsi="黑体"/>
        </w:rPr>
        <w:t>4.1</w:t>
      </w:r>
      <w:r>
        <w:rPr>
          <w:rFonts w:ascii="黑体" w:hAnsi="黑体"/>
        </w:rPr>
        <w:fldChar w:fldCharType="end"/>
      </w:r>
      <w:r>
        <w:rPr>
          <w:rFonts w:ascii="黑体" w:hAnsi="黑体"/>
        </w:rPr>
        <w:noBreakHyphen/>
      </w:r>
      <w:r>
        <w:rPr>
          <w:rFonts w:ascii="黑体" w:hAnsi="黑体"/>
        </w:rPr>
        <w:fldChar w:fldCharType="begin"/>
      </w:r>
      <w:r>
        <w:rPr>
          <w:rFonts w:ascii="黑体" w:hAnsi="黑体"/>
        </w:rPr>
        <w:instrText xml:space="preserve"> </w:instrText>
      </w:r>
      <w:r>
        <w:rPr>
          <w:rFonts w:hint="eastAsia" w:ascii="黑体" w:hAnsi="黑体"/>
        </w:rPr>
        <w:instrText xml:space="preserve">SEQ 图 \* ARABIC \s 2</w:instrText>
      </w:r>
      <w:r>
        <w:rPr>
          <w:rFonts w:ascii="黑体" w:hAnsi="黑体"/>
        </w:rPr>
        <w:instrText xml:space="preserve"> </w:instrText>
      </w:r>
      <w:r>
        <w:rPr>
          <w:rFonts w:ascii="黑体" w:hAnsi="黑体"/>
        </w:rPr>
        <w:fldChar w:fldCharType="separate"/>
      </w:r>
      <w:r>
        <w:rPr>
          <w:rFonts w:ascii="黑体" w:hAnsi="黑体"/>
        </w:rPr>
        <w:t>3</w:t>
      </w:r>
      <w:r>
        <w:rPr>
          <w:rFonts w:ascii="黑体" w:hAnsi="黑体"/>
        </w:rPr>
        <w:fldChar w:fldCharType="end"/>
      </w:r>
      <w:r>
        <w:rPr>
          <w:rFonts w:hint="eastAsia" w:ascii="黑体" w:hAnsi="黑体"/>
        </w:rPr>
        <w:t xml:space="preserve">  过渡季</w:t>
      </w:r>
      <w:r>
        <w:rPr>
          <w:rFonts w:hint="eastAsia"/>
        </w:rPr>
        <w:t>工况风场计算域图示</w:t>
      </w:r>
      <w:r>
        <w:rPr>
          <w:rFonts w:hint="eastAsia"/>
          <w:szCs w:val="21"/>
          <w:lang w:val="en-US"/>
        </w:rPr>
        <w:t xml:space="preserve"> </w:t>
      </w:r>
    </w:p>
    <w:p w14:paraId="73B2F8D5">
      <w:pPr>
        <w:pStyle w:val="3"/>
        <w:ind w:firstLine="315" w:firstLineChars="150"/>
        <w:rPr>
          <w:lang w:val="en-US"/>
        </w:rPr>
      </w:pPr>
      <w:bookmarkStart w:id="39" w:name="计算域"/>
      <w:bookmarkEnd w:id="39"/>
    </w:p>
    <w:p w14:paraId="03F22410">
      <w:pPr>
        <w:pStyle w:val="3"/>
        <w:ind w:firstLine="420"/>
        <w:rPr>
          <w:rFonts w:ascii="黑体" w:hAnsi="黑体" w:eastAsia="黑体"/>
          <w:szCs w:val="20"/>
          <w:lang w:val="en-US"/>
        </w:rPr>
      </w:pPr>
      <w:r>
        <w:rPr>
          <w:rFonts w:hint="eastAsia" w:ascii="黑体" w:hAnsi="黑体" w:eastAsia="黑体"/>
          <w:szCs w:val="20"/>
          <w:lang w:val="en-US"/>
        </w:rPr>
        <w:t>注：不同季节因风向不同，为了最大限度反映项目周围区域风场特征，根据不同风向划定不同的计算域。</w:t>
      </w:r>
    </w:p>
    <w:p w14:paraId="4032DA15">
      <w:pPr>
        <w:pStyle w:val="4"/>
      </w:pPr>
      <w:bookmarkStart w:id="40" w:name="_Toc509844741"/>
      <w:bookmarkStart w:id="41" w:name="_Toc179986106"/>
      <w:r>
        <w:rPr>
          <w:rFonts w:hint="eastAsia"/>
        </w:rPr>
        <w:t>网格划分</w:t>
      </w:r>
      <w:bookmarkEnd w:id="40"/>
      <w:bookmarkEnd w:id="41"/>
    </w:p>
    <w:p w14:paraId="75084707">
      <w:pPr>
        <w:pStyle w:val="3"/>
        <w:ind w:left="-141" w:leftChars="-67" w:firstLine="420"/>
        <w:rPr>
          <w:lang w:val="en-US"/>
        </w:rPr>
      </w:pPr>
      <w:r>
        <w:rPr>
          <w:rFonts w:hint="eastAsia"/>
          <w:lang w:val="en-US"/>
        </w:rPr>
        <w:t>网格划分决定着计算的精确程度并影响计算速度，网格太密会导致计算速度下降并浪费计算资源；网格太疏导致计算精度不足结果不够准确，合理的网格方案需要考虑对计算域中不同的部分采用不同的网格方案。建筑周围，远离建筑的区域，建筑物轮廓有明显的局部特征（如尖角，凹槽，凸起等细微的外装饰），贴近地面的区域，都需要采用不同的网格方案。下面为本项目所采用的加密方案：</w:t>
      </w:r>
    </w:p>
    <w:p w14:paraId="4F4BE8DA">
      <w:pPr>
        <w:pStyle w:val="12"/>
        <w:spacing w:before="156"/>
        <w:ind w:left="426" w:firstLine="0"/>
      </w:pPr>
      <w:bookmarkStart w:id="42" w:name="OLE_LINK276"/>
      <w:bookmarkStart w:id="43" w:name="OLE_LINK277"/>
      <w:r>
        <w:rPr>
          <w:rFonts w:hint="eastAsia"/>
        </w:rPr>
        <w:t>1）普通网格：指除靠近地面和建筑以外的网格，通常不需要特别加密处理</w:t>
      </w:r>
    </w:p>
    <w:p w14:paraId="54CEC3E0">
      <w:pPr>
        <w:pStyle w:val="12"/>
        <w:numPr>
          <w:ilvl w:val="0"/>
          <w:numId w:val="4"/>
        </w:numPr>
        <w:spacing w:before="156"/>
      </w:pPr>
      <w:bookmarkStart w:id="44" w:name="OLE_LINK15"/>
      <w:r>
        <w:rPr>
          <w:rFonts w:hint="eastAsia"/>
        </w:rPr>
        <w:t>分弧精度：对于有圆弧特征的建筑局部，把圆弧分解为线段时，弦到弧的最大距离；</w:t>
      </w:r>
    </w:p>
    <w:bookmarkEnd w:id="44"/>
    <w:p w14:paraId="5B6A3D3D">
      <w:pPr>
        <w:pStyle w:val="32"/>
        <w:numPr>
          <w:ilvl w:val="0"/>
          <w:numId w:val="4"/>
        </w:numPr>
        <w:spacing w:before="156"/>
        <w:ind w:firstLineChars="0"/>
      </w:pPr>
      <w:r>
        <w:rPr>
          <w:rFonts w:hint="eastAsia"/>
        </w:rPr>
        <w:t>初始网格大小：初始化时候正交网格的大小，单位米(m)；</w:t>
      </w:r>
    </w:p>
    <w:p w14:paraId="57B0C936">
      <w:pPr>
        <w:pStyle w:val="32"/>
        <w:numPr>
          <w:ilvl w:val="0"/>
          <w:numId w:val="4"/>
        </w:numPr>
        <w:spacing w:before="156"/>
        <w:ind w:firstLineChars="0"/>
      </w:pPr>
      <w:r>
        <w:rPr>
          <w:rFonts w:hint="eastAsia"/>
        </w:rPr>
        <w:t>最小细分级数：初始网格至少细分的级数；</w:t>
      </w:r>
    </w:p>
    <w:p w14:paraId="16962D8B">
      <w:pPr>
        <w:pStyle w:val="32"/>
        <w:numPr>
          <w:ilvl w:val="0"/>
          <w:numId w:val="4"/>
        </w:numPr>
        <w:tabs>
          <w:tab w:val="left" w:pos="851"/>
        </w:tabs>
        <w:spacing w:before="156"/>
        <w:ind w:firstLineChars="0"/>
      </w:pPr>
      <w:r>
        <w:rPr>
          <w:rFonts w:hint="eastAsia"/>
        </w:rPr>
        <w:t>最大细分级数：初始网格最多细分的级数；</w:t>
      </w:r>
    </w:p>
    <w:p w14:paraId="33C08049">
      <w:pPr>
        <w:pStyle w:val="12"/>
        <w:spacing w:before="156"/>
        <w:ind w:left="0" w:firstLine="315" w:firstLineChars="150"/>
      </w:pPr>
      <w:r>
        <w:rPr>
          <w:rFonts w:hint="eastAsia"/>
        </w:rPr>
        <w:t>2）地面网格</w:t>
      </w:r>
    </w:p>
    <w:p w14:paraId="11D0ECC3">
      <w:pPr>
        <w:pStyle w:val="12"/>
        <w:spacing w:before="156"/>
        <w:ind w:firstLine="315" w:firstLineChars="150"/>
      </w:pPr>
      <w:r>
        <w:rPr>
          <w:rFonts w:hint="eastAsia"/>
        </w:rPr>
        <w:t>靠近建筑物的区域称为近场，远离建筑物的区域称为远场。</w:t>
      </w:r>
    </w:p>
    <w:p w14:paraId="47AE4D79">
      <w:pPr>
        <w:pStyle w:val="12"/>
        <w:spacing w:before="156"/>
        <w:ind w:firstLine="315" w:firstLineChars="150"/>
      </w:pPr>
      <w:r>
        <w:rPr>
          <w:rFonts w:hint="eastAsia"/>
        </w:rPr>
        <w:t>近场的地面网格需要加密，对应地面细分级数较大；而远场地面对应网格较疏，地面细分级数较小。</w:t>
      </w:r>
    </w:p>
    <w:p w14:paraId="51EA7930">
      <w:pPr>
        <w:pStyle w:val="12"/>
        <w:spacing w:before="156"/>
        <w:ind w:leftChars="150" w:hanging="105" w:hangingChars="50"/>
      </w:pPr>
      <w:r>
        <w:rPr>
          <w:rFonts w:hint="eastAsia"/>
        </w:rPr>
        <w:t>3）</w:t>
      </w:r>
      <w:r>
        <w:rPr>
          <w:rFonts w:hint="eastAsia"/>
          <w:b/>
        </w:rPr>
        <w:t>附面层</w:t>
      </w:r>
      <w:r>
        <w:rPr>
          <w:rFonts w:hint="eastAsia"/>
        </w:rPr>
        <w:t>网格</w:t>
      </w:r>
    </w:p>
    <w:p w14:paraId="06572474">
      <w:pPr>
        <w:pStyle w:val="3"/>
        <w:ind w:left="-141" w:leftChars="-67" w:firstLine="420"/>
      </w:pPr>
      <w:r>
        <w:rPr>
          <w:rFonts w:hint="eastAsia"/>
          <w:lang w:val="en-US"/>
        </w:rPr>
        <w:t>贴近地面/建筑壁面的空气流动，因为空气自身粘性而受到地面/建筑表面阻滞作用，紧贴地面/建筑壁面的空气流动速度几乎为0，且速度随着与地面/建筑壁面距离的增加而增加，使得靠近地面的一定厚度空气层的流速呈现梯度分布，最终达到主流速度，而这层空气层通常称为流动边界层或者附面层。在做计算流体力学分析时，为了获取边界层/附面层内的空气流动特征，提升分析精度，宜对其中的网格进行分层加密，形成</w:t>
      </w:r>
      <w:r>
        <w:rPr>
          <w:rFonts w:hint="eastAsia"/>
          <w:b/>
          <w:lang w:val="en-US"/>
        </w:rPr>
        <w:t>附面层网格</w:t>
      </w:r>
      <w:r>
        <w:rPr>
          <w:rFonts w:hint="eastAsia"/>
          <w:lang w:val="en-US"/>
        </w:rPr>
        <w:t>。</w:t>
      </w:r>
    </w:p>
    <w:p w14:paraId="1B5AB1C0">
      <w:pPr>
        <w:pStyle w:val="32"/>
        <w:numPr>
          <w:ilvl w:val="0"/>
          <w:numId w:val="5"/>
        </w:numPr>
        <w:tabs>
          <w:tab w:val="left" w:pos="567"/>
        </w:tabs>
        <w:spacing w:before="156"/>
        <w:ind w:hanging="840" w:firstLineChars="0"/>
      </w:pPr>
      <w:r>
        <w:rPr>
          <w:rFonts w:hint="eastAsia"/>
        </w:rPr>
        <w:t xml:space="preserve">   地面附面层数：地面附面层网格的层数；</w:t>
      </w:r>
    </w:p>
    <w:p w14:paraId="6CE65C98">
      <w:pPr>
        <w:pStyle w:val="32"/>
        <w:numPr>
          <w:ilvl w:val="0"/>
          <w:numId w:val="5"/>
        </w:numPr>
        <w:tabs>
          <w:tab w:val="left" w:pos="567"/>
        </w:tabs>
        <w:spacing w:before="156"/>
        <w:ind w:hanging="840" w:firstLineChars="0"/>
      </w:pPr>
      <w:r>
        <w:rPr>
          <w:rFonts w:hint="eastAsia"/>
        </w:rPr>
        <w:t xml:space="preserve">   建筑附面层数：建筑表面附面层网格的层数；</w:t>
      </w:r>
      <w:bookmarkEnd w:id="42"/>
      <w:bookmarkEnd w:id="43"/>
    </w:p>
    <w:p w14:paraId="644E5349">
      <w:pPr>
        <w:pStyle w:val="12"/>
        <w:spacing w:before="156"/>
        <w:ind w:firstLine="210" w:firstLineChars="100"/>
      </w:pPr>
      <w:r>
        <w:rPr>
          <w:rFonts w:hint="eastAsia"/>
        </w:rPr>
        <w:t>以下为本项目的网格划分信息，上述网格方案对网格的控制分别体现在相应的网格参数中：</w:t>
      </w:r>
    </w:p>
    <w:p w14:paraId="04325416">
      <w:pPr>
        <w:pStyle w:val="13"/>
        <w:jc w:val="center"/>
      </w:pPr>
      <w:r>
        <w:rPr>
          <w:rFonts w:hint="eastAsia" w:ascii="黑体" w:hAnsi="黑体"/>
        </w:rPr>
        <w:t>表</w:t>
      </w:r>
      <w:r>
        <w:rPr>
          <w:rFonts w:ascii="黑体" w:hAnsi="黑体"/>
        </w:rPr>
        <w:t xml:space="preserve"> </w:t>
      </w:r>
      <w:r>
        <w:rPr>
          <w:rFonts w:ascii="黑体" w:hAnsi="黑体"/>
        </w:rPr>
        <w:fldChar w:fldCharType="begin"/>
      </w:r>
      <w:r>
        <w:rPr>
          <w:rFonts w:ascii="黑体" w:hAnsi="黑体"/>
        </w:rPr>
        <w:instrText xml:space="preserve"> </w:instrText>
      </w:r>
      <w:r>
        <w:rPr>
          <w:rFonts w:hint="eastAsia" w:ascii="黑体" w:hAnsi="黑体"/>
        </w:rPr>
        <w:instrText xml:space="preserve">STYLEREF 2 \s</w:instrText>
      </w:r>
      <w:r>
        <w:rPr>
          <w:rFonts w:ascii="黑体" w:hAnsi="黑体"/>
        </w:rPr>
        <w:instrText xml:space="preserve"> </w:instrText>
      </w:r>
      <w:r>
        <w:rPr>
          <w:rFonts w:ascii="黑体" w:hAnsi="黑体"/>
        </w:rPr>
        <w:fldChar w:fldCharType="separate"/>
      </w:r>
      <w:r>
        <w:rPr>
          <w:rFonts w:ascii="黑体" w:hAnsi="黑体"/>
        </w:rPr>
        <w:t>4.2</w:t>
      </w:r>
      <w:r>
        <w:rPr>
          <w:rFonts w:ascii="黑体" w:hAnsi="黑体"/>
        </w:rPr>
        <w:fldChar w:fldCharType="end"/>
      </w:r>
      <w:r>
        <w:rPr>
          <w:rFonts w:ascii="黑体" w:hAnsi="黑体"/>
        </w:rPr>
        <w:noBreakHyphen/>
      </w:r>
      <w:r>
        <w:rPr>
          <w:rFonts w:ascii="黑体" w:hAnsi="黑体"/>
        </w:rPr>
        <w:fldChar w:fldCharType="begin"/>
      </w:r>
      <w:r>
        <w:rPr>
          <w:rFonts w:ascii="黑体" w:hAnsi="黑体"/>
        </w:rPr>
        <w:instrText xml:space="preserve"> SEQ 表 \* ARABIC \s 2 </w:instrText>
      </w:r>
      <w:r>
        <w:rPr>
          <w:rFonts w:ascii="黑体" w:hAnsi="黑体"/>
        </w:rPr>
        <w:fldChar w:fldCharType="separate"/>
      </w:r>
      <w:r>
        <w:rPr>
          <w:rFonts w:ascii="黑体" w:hAnsi="黑体"/>
        </w:rPr>
        <w:t>1</w:t>
      </w:r>
      <w:r>
        <w:rPr>
          <w:rFonts w:ascii="黑体" w:hAnsi="黑体"/>
        </w:rPr>
        <w:fldChar w:fldCharType="end"/>
      </w:r>
      <w:r>
        <w:rPr>
          <w:rFonts w:hint="eastAsia" w:ascii="黑体" w:hAnsi="黑体"/>
        </w:rPr>
        <w:t>冬季网</w:t>
      </w:r>
      <w:r>
        <w:rPr>
          <w:rFonts w:hint="eastAsia"/>
        </w:rPr>
        <w:t>格划分信息</w:t>
      </w:r>
    </w:p>
    <w:tbl>
      <w:tblPr>
        <w:tblStyle w:val="21"/>
        <w:tblW w:w="8242" w:type="dxa"/>
        <w:tblInd w:w="279" w:type="dxa"/>
        <w:tblLayout w:type="autofit"/>
        <w:tblCellMar>
          <w:top w:w="0" w:type="dxa"/>
          <w:left w:w="108" w:type="dxa"/>
          <w:bottom w:w="0" w:type="dxa"/>
          <w:right w:w="108" w:type="dxa"/>
        </w:tblCellMar>
      </w:tblPr>
      <w:tblGrid>
        <w:gridCol w:w="1863"/>
        <w:gridCol w:w="1701"/>
        <w:gridCol w:w="2977"/>
        <w:gridCol w:w="1701"/>
      </w:tblGrid>
      <w:tr w14:paraId="7631410C">
        <w:tblPrEx>
          <w:tblCellMar>
            <w:top w:w="0" w:type="dxa"/>
            <w:left w:w="108" w:type="dxa"/>
            <w:bottom w:w="0" w:type="dxa"/>
            <w:right w:w="108" w:type="dxa"/>
          </w:tblCellMar>
        </w:tblPrEx>
        <w:trPr>
          <w:trHeight w:val="270" w:hRule="atLeast"/>
        </w:trPr>
        <w:tc>
          <w:tcPr>
            <w:tcW w:w="1863"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BE86F56">
            <w:pPr>
              <w:spacing w:line="240" w:lineRule="auto"/>
              <w:jc w:val="center"/>
              <w:rPr>
                <w:szCs w:val="21"/>
                <w:lang w:val="en-US"/>
              </w:rPr>
            </w:pPr>
            <w:r>
              <w:rPr>
                <w:rFonts w:hint="eastAsia"/>
                <w:szCs w:val="21"/>
                <w:lang w:val="en-US"/>
              </w:rPr>
              <w:t>网格总数（个）</w:t>
            </w:r>
          </w:p>
        </w:tc>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35E540D1">
            <w:pPr>
              <w:spacing w:line="240" w:lineRule="auto"/>
              <w:jc w:val="center"/>
              <w:rPr>
                <w:szCs w:val="21"/>
                <w:lang w:val="en-US"/>
              </w:rPr>
            </w:pPr>
            <w:r>
              <w:rPr>
                <w:rFonts w:hint="eastAsia"/>
                <w:szCs w:val="21"/>
                <w:lang w:val="en-US"/>
              </w:rPr>
              <w:t>网格类型</w:t>
            </w:r>
          </w:p>
        </w:tc>
        <w:tc>
          <w:tcPr>
            <w:tcW w:w="4678" w:type="dxa"/>
            <w:gridSpan w:val="2"/>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4146ED1B">
            <w:pPr>
              <w:spacing w:line="240" w:lineRule="auto"/>
              <w:jc w:val="center"/>
              <w:rPr>
                <w:szCs w:val="21"/>
                <w:lang w:val="en-US"/>
              </w:rPr>
            </w:pPr>
            <w:r>
              <w:rPr>
                <w:rFonts w:hint="eastAsia"/>
                <w:szCs w:val="21"/>
                <w:lang w:val="en-US"/>
              </w:rPr>
              <w:t>网格尺寸</w:t>
            </w:r>
          </w:p>
        </w:tc>
      </w:tr>
      <w:tr w14:paraId="2DF18B84">
        <w:tblPrEx>
          <w:tblCellMar>
            <w:top w:w="0" w:type="dxa"/>
            <w:left w:w="108" w:type="dxa"/>
            <w:bottom w:w="0" w:type="dxa"/>
            <w:right w:w="108" w:type="dxa"/>
          </w:tblCellMar>
        </w:tblPrEx>
        <w:trPr>
          <w:trHeight w:val="270" w:hRule="atLeast"/>
        </w:trPr>
        <w:tc>
          <w:tcPr>
            <w:tcW w:w="1863" w:type="dxa"/>
            <w:vMerge w:val="restart"/>
            <w:tcBorders>
              <w:top w:val="single" w:color="auto" w:sz="4" w:space="0"/>
              <w:left w:val="single" w:color="auto" w:sz="4" w:space="0"/>
              <w:right w:val="single" w:color="auto" w:sz="4" w:space="0"/>
            </w:tcBorders>
            <w:vAlign w:val="center"/>
          </w:tcPr>
          <w:p w14:paraId="4F5C0B54">
            <w:pPr>
              <w:spacing w:line="240" w:lineRule="auto"/>
              <w:jc w:val="center"/>
              <w:rPr>
                <w:szCs w:val="21"/>
                <w:lang w:val="en-US"/>
              </w:rPr>
            </w:pPr>
            <w:r>
              <w:t>370840</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4D98A567">
            <w:pPr>
              <w:spacing w:line="240" w:lineRule="auto"/>
              <w:jc w:val="center"/>
              <w:rPr>
                <w:szCs w:val="21"/>
                <w:lang w:val="en-US"/>
              </w:rPr>
            </w:pPr>
            <w:r>
              <w:rPr>
                <w:rFonts w:hint="eastAsia"/>
                <w:szCs w:val="21"/>
                <w:lang w:val="en-US"/>
              </w:rPr>
              <w:t>普通网格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6C3B9A72">
            <w:pPr>
              <w:spacing w:line="240" w:lineRule="auto"/>
              <w:jc w:val="center"/>
              <w:rPr>
                <w:szCs w:val="21"/>
                <w:lang w:val="en-US"/>
              </w:rPr>
            </w:pPr>
            <w:r>
              <w:rPr>
                <w:rFonts w:hint="eastAsia"/>
                <w:szCs w:val="21"/>
                <w:lang w:val="en-US"/>
              </w:rPr>
              <w:t>分弧精度(m</w:t>
            </w:r>
            <w:r>
              <w:rPr>
                <w:szCs w:val="21"/>
                <w:lang w:val="en-US"/>
              </w:rPr>
              <w:t>)</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2062A582">
            <w:pPr>
              <w:spacing w:line="240" w:lineRule="auto"/>
              <w:jc w:val="center"/>
              <w:rPr>
                <w:szCs w:val="21"/>
                <w:lang w:val="en-US"/>
              </w:rPr>
            </w:pPr>
            <w:r>
              <w:t>0.24</w:t>
            </w:r>
          </w:p>
        </w:tc>
      </w:tr>
      <w:tr w14:paraId="6FA7BEB3">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2B1BF611">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0573BBE2">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22AF4BB">
            <w:pPr>
              <w:spacing w:line="240" w:lineRule="auto"/>
              <w:jc w:val="center"/>
              <w:rPr>
                <w:szCs w:val="21"/>
                <w:lang w:val="en-US"/>
              </w:rPr>
            </w:pPr>
            <w:r>
              <w:rPr>
                <w:rFonts w:hint="eastAsia"/>
                <w:szCs w:val="21"/>
                <w:lang w:val="en-US"/>
              </w:rPr>
              <w:t>初始网格(m</w:t>
            </w:r>
            <w:r>
              <w:rPr>
                <w:szCs w:val="21"/>
                <w:lang w:val="en-US"/>
              </w:rPr>
              <w:t>)</w:t>
            </w:r>
          </w:p>
        </w:tc>
        <w:tc>
          <w:tcPr>
            <w:tcW w:w="1701" w:type="dxa"/>
            <w:tcBorders>
              <w:top w:val="nil"/>
              <w:left w:val="nil"/>
              <w:bottom w:val="single" w:color="auto" w:sz="4" w:space="0"/>
              <w:right w:val="single" w:color="auto" w:sz="4" w:space="0"/>
            </w:tcBorders>
            <w:shd w:val="clear" w:color="auto" w:fill="auto"/>
            <w:noWrap/>
            <w:vAlign w:val="center"/>
          </w:tcPr>
          <w:p w14:paraId="07A4839B">
            <w:pPr>
              <w:spacing w:line="240" w:lineRule="auto"/>
              <w:jc w:val="center"/>
              <w:rPr>
                <w:szCs w:val="21"/>
                <w:lang w:val="en-US"/>
              </w:rPr>
            </w:pPr>
            <w:r>
              <w:t>8.0</w:t>
            </w:r>
          </w:p>
        </w:tc>
      </w:tr>
      <w:tr w14:paraId="339BE37A">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0DDF3D30">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55506EA9">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4763016A">
            <w:pPr>
              <w:spacing w:line="240" w:lineRule="auto"/>
              <w:jc w:val="center"/>
              <w:rPr>
                <w:szCs w:val="21"/>
                <w:lang w:val="en-US"/>
              </w:rPr>
            </w:pPr>
            <w:r>
              <w:rPr>
                <w:rFonts w:hint="eastAsia"/>
                <w:szCs w:val="21"/>
                <w:lang w:val="en-US"/>
              </w:rPr>
              <w:t>最小细分级数</w:t>
            </w:r>
          </w:p>
        </w:tc>
        <w:tc>
          <w:tcPr>
            <w:tcW w:w="1701" w:type="dxa"/>
            <w:tcBorders>
              <w:top w:val="nil"/>
              <w:left w:val="nil"/>
              <w:bottom w:val="single" w:color="auto" w:sz="4" w:space="0"/>
              <w:right w:val="single" w:color="auto" w:sz="4" w:space="0"/>
            </w:tcBorders>
            <w:shd w:val="clear" w:color="auto" w:fill="auto"/>
            <w:noWrap/>
            <w:vAlign w:val="center"/>
          </w:tcPr>
          <w:p w14:paraId="3F0A162F">
            <w:pPr>
              <w:spacing w:line="240" w:lineRule="auto"/>
              <w:jc w:val="center"/>
              <w:rPr>
                <w:szCs w:val="21"/>
                <w:lang w:val="en-US"/>
              </w:rPr>
            </w:pPr>
            <w:r>
              <w:t>1</w:t>
            </w:r>
          </w:p>
        </w:tc>
      </w:tr>
      <w:tr w14:paraId="5F912F3F">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59B16B3A">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F772C0C">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BE9D4E2">
            <w:pPr>
              <w:spacing w:line="240" w:lineRule="auto"/>
              <w:jc w:val="center"/>
              <w:rPr>
                <w:szCs w:val="21"/>
                <w:lang w:val="en-US"/>
              </w:rPr>
            </w:pPr>
            <w:r>
              <w:rPr>
                <w:rFonts w:hint="eastAsia"/>
                <w:szCs w:val="21"/>
                <w:lang w:val="en-US"/>
              </w:rPr>
              <w:t>最大细分级数</w:t>
            </w:r>
          </w:p>
        </w:tc>
        <w:tc>
          <w:tcPr>
            <w:tcW w:w="1701" w:type="dxa"/>
            <w:tcBorders>
              <w:top w:val="nil"/>
              <w:left w:val="nil"/>
              <w:bottom w:val="single" w:color="auto" w:sz="4" w:space="0"/>
              <w:right w:val="single" w:color="auto" w:sz="4" w:space="0"/>
            </w:tcBorders>
            <w:shd w:val="clear" w:color="auto" w:fill="auto"/>
            <w:noWrap/>
            <w:vAlign w:val="center"/>
          </w:tcPr>
          <w:p w14:paraId="2666B0E1">
            <w:pPr>
              <w:spacing w:line="240" w:lineRule="auto"/>
              <w:jc w:val="center"/>
              <w:rPr>
                <w:szCs w:val="21"/>
                <w:lang w:val="en-US"/>
              </w:rPr>
            </w:pPr>
            <w:r>
              <w:t>2</w:t>
            </w:r>
          </w:p>
        </w:tc>
      </w:tr>
      <w:tr w14:paraId="673B4A9D">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30F52A1F">
            <w:pPr>
              <w:spacing w:line="240" w:lineRule="auto"/>
              <w:jc w:val="center"/>
              <w:rPr>
                <w:szCs w:val="21"/>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680E13D">
            <w:pPr>
              <w:spacing w:line="240" w:lineRule="auto"/>
              <w:jc w:val="center"/>
              <w:rPr>
                <w:szCs w:val="21"/>
                <w:lang w:val="en-US"/>
              </w:rPr>
            </w:pPr>
            <w:r>
              <w:rPr>
                <w:rFonts w:hint="eastAsia"/>
                <w:szCs w:val="21"/>
                <w:lang w:val="en-US"/>
              </w:rPr>
              <w:t>地面网格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0D772F61">
            <w:pPr>
              <w:spacing w:line="240" w:lineRule="auto"/>
              <w:jc w:val="center"/>
              <w:rPr>
                <w:szCs w:val="21"/>
                <w:lang w:val="en-US"/>
              </w:rPr>
            </w:pPr>
            <w:r>
              <w:rPr>
                <w:rFonts w:hint="eastAsia"/>
                <w:szCs w:val="21"/>
                <w:lang w:val="en-US"/>
              </w:rPr>
              <w:t>远场细分级数</w:t>
            </w:r>
          </w:p>
        </w:tc>
        <w:tc>
          <w:tcPr>
            <w:tcW w:w="1701" w:type="dxa"/>
            <w:tcBorders>
              <w:top w:val="nil"/>
              <w:left w:val="nil"/>
              <w:bottom w:val="single" w:color="auto" w:sz="4" w:space="0"/>
              <w:right w:val="single" w:color="auto" w:sz="4" w:space="0"/>
            </w:tcBorders>
            <w:shd w:val="clear" w:color="auto" w:fill="auto"/>
            <w:noWrap/>
            <w:vAlign w:val="center"/>
          </w:tcPr>
          <w:p w14:paraId="6CE74B44">
            <w:pPr>
              <w:spacing w:line="240" w:lineRule="auto"/>
              <w:jc w:val="center"/>
              <w:rPr>
                <w:szCs w:val="21"/>
                <w:lang w:val="en-US"/>
              </w:rPr>
            </w:pPr>
            <w:r>
              <w:t>1</w:t>
            </w:r>
          </w:p>
        </w:tc>
      </w:tr>
      <w:tr w14:paraId="6D52D2CD">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62AEBB10">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5FBD7BF">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66D0699E">
            <w:pPr>
              <w:spacing w:line="240" w:lineRule="auto"/>
              <w:jc w:val="center"/>
              <w:rPr>
                <w:szCs w:val="21"/>
                <w:lang w:val="en-US"/>
              </w:rPr>
            </w:pPr>
            <w:r>
              <w:rPr>
                <w:rFonts w:hint="eastAsia"/>
                <w:szCs w:val="21"/>
                <w:lang w:val="en-US"/>
              </w:rPr>
              <w:t>近场细分级数</w:t>
            </w:r>
          </w:p>
        </w:tc>
        <w:tc>
          <w:tcPr>
            <w:tcW w:w="1701" w:type="dxa"/>
            <w:tcBorders>
              <w:top w:val="nil"/>
              <w:left w:val="nil"/>
              <w:bottom w:val="single" w:color="auto" w:sz="4" w:space="0"/>
              <w:right w:val="single" w:color="auto" w:sz="4" w:space="0"/>
            </w:tcBorders>
            <w:shd w:val="clear" w:color="auto" w:fill="auto"/>
            <w:noWrap/>
            <w:vAlign w:val="center"/>
          </w:tcPr>
          <w:p w14:paraId="1789FB08">
            <w:pPr>
              <w:spacing w:line="240" w:lineRule="auto"/>
              <w:jc w:val="center"/>
              <w:rPr>
                <w:szCs w:val="21"/>
                <w:lang w:val="en-US"/>
              </w:rPr>
            </w:pPr>
            <w:r>
              <w:t>2</w:t>
            </w:r>
          </w:p>
        </w:tc>
      </w:tr>
      <w:tr w14:paraId="7554418A">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700CAEE9">
            <w:pPr>
              <w:spacing w:line="240" w:lineRule="auto"/>
              <w:jc w:val="center"/>
              <w:rPr>
                <w:szCs w:val="21"/>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0555E330">
            <w:pPr>
              <w:spacing w:line="240" w:lineRule="auto"/>
              <w:jc w:val="center"/>
              <w:rPr>
                <w:szCs w:val="21"/>
                <w:lang w:val="en-US"/>
              </w:rPr>
            </w:pPr>
            <w:r>
              <w:rPr>
                <w:rFonts w:hint="eastAsia"/>
                <w:szCs w:val="21"/>
                <w:lang w:val="en-US"/>
              </w:rPr>
              <w:t>附面层</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090B7E89">
            <w:pPr>
              <w:spacing w:line="240" w:lineRule="auto"/>
              <w:jc w:val="center"/>
              <w:rPr>
                <w:szCs w:val="21"/>
                <w:lang w:val="en-US"/>
              </w:rPr>
            </w:pPr>
            <w:r>
              <w:rPr>
                <w:rFonts w:hint="eastAsia"/>
                <w:szCs w:val="21"/>
                <w:lang w:val="en-US"/>
              </w:rPr>
              <w:t>地面附面层数</w:t>
            </w:r>
          </w:p>
        </w:tc>
        <w:tc>
          <w:tcPr>
            <w:tcW w:w="1701" w:type="dxa"/>
            <w:tcBorders>
              <w:top w:val="nil"/>
              <w:left w:val="nil"/>
              <w:bottom w:val="single" w:color="auto" w:sz="4" w:space="0"/>
              <w:right w:val="single" w:color="auto" w:sz="4" w:space="0"/>
            </w:tcBorders>
            <w:shd w:val="clear" w:color="auto" w:fill="auto"/>
            <w:noWrap/>
            <w:vAlign w:val="center"/>
          </w:tcPr>
          <w:p w14:paraId="46A44C56">
            <w:pPr>
              <w:spacing w:line="240" w:lineRule="auto"/>
              <w:jc w:val="center"/>
              <w:rPr>
                <w:szCs w:val="21"/>
                <w:lang w:val="en-US"/>
              </w:rPr>
            </w:pPr>
            <w:r>
              <w:t>2</w:t>
            </w:r>
          </w:p>
        </w:tc>
      </w:tr>
      <w:tr w14:paraId="3448D695">
        <w:tblPrEx>
          <w:tblCellMar>
            <w:top w:w="0" w:type="dxa"/>
            <w:left w:w="108" w:type="dxa"/>
            <w:bottom w:w="0" w:type="dxa"/>
            <w:right w:w="108" w:type="dxa"/>
          </w:tblCellMar>
        </w:tblPrEx>
        <w:trPr>
          <w:trHeight w:val="270" w:hRule="atLeast"/>
        </w:trPr>
        <w:tc>
          <w:tcPr>
            <w:tcW w:w="1863" w:type="dxa"/>
            <w:vMerge w:val="continue"/>
            <w:tcBorders>
              <w:left w:val="single" w:color="auto" w:sz="4" w:space="0"/>
              <w:bottom w:val="single" w:color="auto" w:sz="4" w:space="0"/>
              <w:right w:val="single" w:color="auto" w:sz="4" w:space="0"/>
            </w:tcBorders>
            <w:vAlign w:val="center"/>
          </w:tcPr>
          <w:p w14:paraId="24E1959A">
            <w:pPr>
              <w:spacing w:line="240" w:lineRule="auto"/>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5624EAE6">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D648457">
            <w:pPr>
              <w:spacing w:line="240" w:lineRule="auto"/>
              <w:jc w:val="center"/>
              <w:rPr>
                <w:szCs w:val="21"/>
                <w:lang w:val="en-US"/>
              </w:rPr>
            </w:pPr>
            <w:r>
              <w:rPr>
                <w:rFonts w:hint="eastAsia"/>
                <w:szCs w:val="21"/>
                <w:lang w:val="en-US"/>
              </w:rPr>
              <w:t>建筑附面层数</w:t>
            </w:r>
          </w:p>
        </w:tc>
        <w:tc>
          <w:tcPr>
            <w:tcW w:w="1701" w:type="dxa"/>
            <w:tcBorders>
              <w:top w:val="nil"/>
              <w:left w:val="nil"/>
              <w:bottom w:val="single" w:color="auto" w:sz="4" w:space="0"/>
              <w:right w:val="single" w:color="auto" w:sz="4" w:space="0"/>
            </w:tcBorders>
            <w:shd w:val="clear" w:color="auto" w:fill="auto"/>
            <w:noWrap/>
            <w:vAlign w:val="center"/>
          </w:tcPr>
          <w:p w14:paraId="1614C24F">
            <w:pPr>
              <w:spacing w:line="240" w:lineRule="auto"/>
              <w:jc w:val="center"/>
              <w:rPr>
                <w:szCs w:val="21"/>
                <w:lang w:val="en-US"/>
              </w:rPr>
            </w:pPr>
            <w:r>
              <w:t>0</w:t>
            </w:r>
          </w:p>
        </w:tc>
      </w:tr>
    </w:tbl>
    <w:p w14:paraId="45574878">
      <w:pPr>
        <w:rPr>
          <w:szCs w:val="21"/>
          <w:lang w:val="en-US"/>
        </w:rPr>
      </w:pPr>
    </w:p>
    <w:p w14:paraId="7D4F705C">
      <w:pPr>
        <w:jc w:val="center"/>
      </w:pPr>
      <w:r>
        <w:rPr>
          <w:lang w:val="en-US"/>
        </w:rPr>
        <w:drawing>
          <wp:inline distT="0" distB="0" distL="0" distR="0">
            <wp:extent cx="5667375" cy="302895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pic:cNvPicPr>
                  </pic:nvPicPr>
                  <pic:blipFill>
                    <a:blip r:embed="rId13"/>
                    <a:stretch>
                      <a:fillRect/>
                    </a:stretch>
                  </pic:blipFill>
                  <pic:spPr>
                    <a:xfrm>
                      <a:off x="0" y="0"/>
                      <a:ext cx="5667375" cy="3028950"/>
                    </a:xfrm>
                    <a:prstGeom prst="rect">
                      <a:avLst/>
                    </a:prstGeom>
                  </pic:spPr>
                </pic:pic>
              </a:graphicData>
            </a:graphic>
          </wp:inline>
        </w:drawing>
      </w:r>
    </w:p>
    <w:p w14:paraId="0B857051">
      <w:pPr>
        <w:jc w:val="center"/>
      </w:pPr>
      <w:r>
        <w:rPr>
          <w:rFonts w:hint="eastAsia" w:ascii="黑体" w:hAnsi="黑体" w:eastAsia="黑体"/>
          <w:sz w:val="20"/>
        </w:rPr>
        <w:t xml:space="preserve">图 </w:t>
      </w:r>
      <w:r>
        <w:rPr>
          <w:rFonts w:ascii="黑体" w:hAnsi="黑体" w:eastAsia="黑体"/>
          <w:sz w:val="20"/>
        </w:rPr>
        <w:fldChar w:fldCharType="begin"/>
      </w:r>
      <w:r>
        <w:rPr>
          <w:rFonts w:ascii="黑体" w:hAnsi="黑体" w:eastAsia="黑体"/>
          <w:sz w:val="20"/>
        </w:rPr>
        <w:instrText xml:space="preserve"> </w:instrText>
      </w:r>
      <w:r>
        <w:rPr>
          <w:rFonts w:hint="eastAsia" w:ascii="黑体" w:hAnsi="黑体" w:eastAsia="黑体"/>
          <w:sz w:val="20"/>
        </w:rPr>
        <w:instrText xml:space="preserve">STYLEREF 2 \s</w:instrText>
      </w:r>
      <w:r>
        <w:rPr>
          <w:rFonts w:ascii="黑体" w:hAnsi="黑体" w:eastAsia="黑体"/>
          <w:sz w:val="20"/>
        </w:rPr>
        <w:instrText xml:space="preserve"> </w:instrText>
      </w:r>
      <w:r>
        <w:rPr>
          <w:rFonts w:ascii="黑体" w:hAnsi="黑体" w:eastAsia="黑体"/>
          <w:sz w:val="20"/>
        </w:rPr>
        <w:fldChar w:fldCharType="separate"/>
      </w:r>
      <w:r>
        <w:rPr>
          <w:rFonts w:ascii="黑体" w:hAnsi="黑体" w:eastAsia="黑体"/>
          <w:sz w:val="20"/>
        </w:rPr>
        <w:t>4.2</w:t>
      </w:r>
      <w:r>
        <w:rPr>
          <w:rFonts w:ascii="黑体" w:hAnsi="黑体" w:eastAsia="黑体"/>
          <w:sz w:val="20"/>
        </w:rPr>
        <w:fldChar w:fldCharType="end"/>
      </w:r>
      <w:r>
        <w:rPr>
          <w:rFonts w:ascii="黑体" w:hAnsi="黑体" w:eastAsia="黑体"/>
          <w:sz w:val="20"/>
        </w:rPr>
        <w:noBreakHyphen/>
      </w:r>
      <w:r>
        <w:rPr>
          <w:rFonts w:ascii="黑体" w:hAnsi="黑体" w:eastAsia="黑体"/>
          <w:sz w:val="20"/>
        </w:rPr>
        <w:fldChar w:fldCharType="begin"/>
      </w:r>
      <w:r>
        <w:rPr>
          <w:rFonts w:ascii="黑体" w:hAnsi="黑体" w:eastAsia="黑体"/>
          <w:sz w:val="20"/>
        </w:rPr>
        <w:instrText xml:space="preserve"> </w:instrText>
      </w:r>
      <w:r>
        <w:rPr>
          <w:rFonts w:hint="eastAsia" w:ascii="黑体" w:hAnsi="黑体" w:eastAsia="黑体"/>
          <w:sz w:val="20"/>
        </w:rPr>
        <w:instrText xml:space="preserve">SEQ 图 \* ARABIC \s 2</w:instrText>
      </w:r>
      <w:r>
        <w:rPr>
          <w:rFonts w:ascii="黑体" w:hAnsi="黑体" w:eastAsia="黑体"/>
          <w:sz w:val="20"/>
        </w:rPr>
        <w:instrText xml:space="preserve"> </w:instrText>
      </w:r>
      <w:r>
        <w:rPr>
          <w:rFonts w:ascii="黑体" w:hAnsi="黑体" w:eastAsia="黑体"/>
          <w:sz w:val="20"/>
        </w:rPr>
        <w:fldChar w:fldCharType="separate"/>
      </w:r>
      <w:r>
        <w:rPr>
          <w:rFonts w:ascii="黑体" w:hAnsi="黑体" w:eastAsia="黑体"/>
          <w:sz w:val="20"/>
        </w:rPr>
        <w:t>1</w:t>
      </w:r>
      <w:r>
        <w:rPr>
          <w:rFonts w:ascii="黑体" w:hAnsi="黑体" w:eastAsia="黑体"/>
          <w:sz w:val="20"/>
        </w:rPr>
        <w:fldChar w:fldCharType="end"/>
      </w:r>
      <w:r>
        <w:rPr>
          <w:rFonts w:ascii="黑体" w:hAnsi="黑体" w:eastAsia="黑体"/>
          <w:sz w:val="20"/>
        </w:rPr>
        <w:t xml:space="preserve"> </w:t>
      </w:r>
      <w:r>
        <w:rPr>
          <w:rFonts w:hint="eastAsia" w:ascii="黑体" w:hAnsi="黑体" w:eastAsia="黑体"/>
          <w:sz w:val="20"/>
        </w:rPr>
        <w:t>网格图-冬季</w:t>
      </w:r>
    </w:p>
    <w:p w14:paraId="7E3FD414">
      <w:pPr>
        <w:pStyle w:val="13"/>
        <w:jc w:val="center"/>
      </w:pPr>
      <w:r>
        <w:rPr>
          <w:rFonts w:hint="eastAsia" w:ascii="黑体" w:hAnsi="黑体"/>
        </w:rPr>
        <w:t>表</w:t>
      </w:r>
      <w:r>
        <w:rPr>
          <w:rFonts w:ascii="黑体" w:hAnsi="黑体"/>
        </w:rPr>
        <w:t xml:space="preserve"> </w:t>
      </w:r>
      <w:r>
        <w:rPr>
          <w:rFonts w:ascii="黑体" w:hAnsi="黑体"/>
        </w:rPr>
        <w:fldChar w:fldCharType="begin"/>
      </w:r>
      <w:r>
        <w:rPr>
          <w:rFonts w:ascii="黑体" w:hAnsi="黑体"/>
        </w:rPr>
        <w:instrText xml:space="preserve"> </w:instrText>
      </w:r>
      <w:r>
        <w:rPr>
          <w:rFonts w:hint="eastAsia" w:ascii="黑体" w:hAnsi="黑体"/>
        </w:rPr>
        <w:instrText xml:space="preserve">STYLEREF 2 \s</w:instrText>
      </w:r>
      <w:r>
        <w:rPr>
          <w:rFonts w:ascii="黑体" w:hAnsi="黑体"/>
        </w:rPr>
        <w:instrText xml:space="preserve"> </w:instrText>
      </w:r>
      <w:r>
        <w:rPr>
          <w:rFonts w:ascii="黑体" w:hAnsi="黑体"/>
        </w:rPr>
        <w:fldChar w:fldCharType="separate"/>
      </w:r>
      <w:r>
        <w:rPr>
          <w:rFonts w:ascii="黑体" w:hAnsi="黑体"/>
        </w:rPr>
        <w:t>4.2</w:t>
      </w:r>
      <w:r>
        <w:rPr>
          <w:rFonts w:ascii="黑体" w:hAnsi="黑体"/>
        </w:rPr>
        <w:fldChar w:fldCharType="end"/>
      </w:r>
      <w:r>
        <w:rPr>
          <w:rFonts w:ascii="黑体" w:hAnsi="黑体"/>
        </w:rPr>
        <w:noBreakHyphen/>
      </w:r>
      <w:r>
        <w:rPr>
          <w:rFonts w:ascii="黑体" w:hAnsi="黑体"/>
        </w:rPr>
        <w:fldChar w:fldCharType="begin"/>
      </w:r>
      <w:r>
        <w:rPr>
          <w:rFonts w:ascii="黑体" w:hAnsi="黑体"/>
        </w:rPr>
        <w:instrText xml:space="preserve"> SEQ 表 \* ARABIC \s 2 </w:instrText>
      </w:r>
      <w:r>
        <w:rPr>
          <w:rFonts w:ascii="黑体" w:hAnsi="黑体"/>
        </w:rPr>
        <w:fldChar w:fldCharType="separate"/>
      </w:r>
      <w:r>
        <w:rPr>
          <w:rFonts w:ascii="黑体" w:hAnsi="黑体"/>
        </w:rPr>
        <w:t>2</w:t>
      </w:r>
      <w:r>
        <w:rPr>
          <w:rFonts w:ascii="黑体" w:hAnsi="黑体"/>
        </w:rPr>
        <w:fldChar w:fldCharType="end"/>
      </w:r>
      <w:r>
        <w:rPr>
          <w:rFonts w:hint="eastAsia" w:ascii="黑体" w:hAnsi="黑体"/>
        </w:rPr>
        <w:t>夏季网</w:t>
      </w:r>
      <w:r>
        <w:rPr>
          <w:rFonts w:hint="eastAsia"/>
        </w:rPr>
        <w:t>格划分信息</w:t>
      </w:r>
    </w:p>
    <w:tbl>
      <w:tblPr>
        <w:tblStyle w:val="21"/>
        <w:tblW w:w="8242" w:type="dxa"/>
        <w:tblInd w:w="279" w:type="dxa"/>
        <w:tblLayout w:type="autofit"/>
        <w:tblCellMar>
          <w:top w:w="0" w:type="dxa"/>
          <w:left w:w="108" w:type="dxa"/>
          <w:bottom w:w="0" w:type="dxa"/>
          <w:right w:w="108" w:type="dxa"/>
        </w:tblCellMar>
      </w:tblPr>
      <w:tblGrid>
        <w:gridCol w:w="1863"/>
        <w:gridCol w:w="1701"/>
        <w:gridCol w:w="2977"/>
        <w:gridCol w:w="1701"/>
      </w:tblGrid>
      <w:tr w14:paraId="49F2BB1B">
        <w:tblPrEx>
          <w:tblCellMar>
            <w:top w:w="0" w:type="dxa"/>
            <w:left w:w="108" w:type="dxa"/>
            <w:bottom w:w="0" w:type="dxa"/>
            <w:right w:w="108" w:type="dxa"/>
          </w:tblCellMar>
        </w:tblPrEx>
        <w:trPr>
          <w:trHeight w:val="270" w:hRule="atLeast"/>
        </w:trPr>
        <w:tc>
          <w:tcPr>
            <w:tcW w:w="1863"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9F39010">
            <w:pPr>
              <w:spacing w:line="240" w:lineRule="auto"/>
              <w:jc w:val="center"/>
              <w:rPr>
                <w:szCs w:val="21"/>
                <w:lang w:val="en-US"/>
              </w:rPr>
            </w:pPr>
            <w:r>
              <w:rPr>
                <w:rFonts w:hint="eastAsia"/>
                <w:szCs w:val="21"/>
                <w:lang w:val="en-US"/>
              </w:rPr>
              <w:t>网格总数（个）</w:t>
            </w:r>
          </w:p>
        </w:tc>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498C94D9">
            <w:pPr>
              <w:spacing w:line="240" w:lineRule="auto"/>
              <w:jc w:val="center"/>
              <w:rPr>
                <w:szCs w:val="21"/>
                <w:lang w:val="en-US"/>
              </w:rPr>
            </w:pPr>
            <w:r>
              <w:rPr>
                <w:rFonts w:hint="eastAsia"/>
                <w:szCs w:val="21"/>
                <w:lang w:val="en-US"/>
              </w:rPr>
              <w:t>网格类型</w:t>
            </w:r>
          </w:p>
        </w:tc>
        <w:tc>
          <w:tcPr>
            <w:tcW w:w="4678" w:type="dxa"/>
            <w:gridSpan w:val="2"/>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23FF9E75">
            <w:pPr>
              <w:spacing w:line="240" w:lineRule="auto"/>
              <w:jc w:val="center"/>
              <w:rPr>
                <w:szCs w:val="21"/>
                <w:lang w:val="en-US"/>
              </w:rPr>
            </w:pPr>
            <w:r>
              <w:rPr>
                <w:rFonts w:hint="eastAsia"/>
                <w:szCs w:val="21"/>
                <w:lang w:val="en-US"/>
              </w:rPr>
              <w:t>网格尺寸</w:t>
            </w:r>
          </w:p>
        </w:tc>
      </w:tr>
      <w:tr w14:paraId="351918C9">
        <w:tblPrEx>
          <w:tblCellMar>
            <w:top w:w="0" w:type="dxa"/>
            <w:left w:w="108" w:type="dxa"/>
            <w:bottom w:w="0" w:type="dxa"/>
            <w:right w:w="108" w:type="dxa"/>
          </w:tblCellMar>
        </w:tblPrEx>
        <w:trPr>
          <w:trHeight w:val="270" w:hRule="atLeast"/>
        </w:trPr>
        <w:tc>
          <w:tcPr>
            <w:tcW w:w="1863" w:type="dxa"/>
            <w:vMerge w:val="restart"/>
            <w:tcBorders>
              <w:top w:val="single" w:color="auto" w:sz="4" w:space="0"/>
              <w:left w:val="single" w:color="auto" w:sz="4" w:space="0"/>
              <w:right w:val="single" w:color="auto" w:sz="4" w:space="0"/>
            </w:tcBorders>
            <w:vAlign w:val="center"/>
          </w:tcPr>
          <w:p w14:paraId="7CEDA1EC">
            <w:pPr>
              <w:spacing w:line="240" w:lineRule="auto"/>
              <w:jc w:val="center"/>
              <w:rPr>
                <w:szCs w:val="21"/>
                <w:lang w:val="en-US"/>
              </w:rPr>
            </w:pPr>
            <w:r>
              <w:t>365153</w:t>
            </w: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47A7E069">
            <w:pPr>
              <w:spacing w:line="240" w:lineRule="auto"/>
              <w:jc w:val="center"/>
              <w:rPr>
                <w:szCs w:val="21"/>
                <w:lang w:val="en-US"/>
              </w:rPr>
            </w:pPr>
            <w:r>
              <w:rPr>
                <w:rFonts w:hint="eastAsia"/>
                <w:szCs w:val="21"/>
                <w:lang w:val="en-US"/>
              </w:rPr>
              <w:t>普通网格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2E014C8">
            <w:pPr>
              <w:spacing w:line="240" w:lineRule="auto"/>
              <w:jc w:val="center"/>
              <w:rPr>
                <w:szCs w:val="21"/>
                <w:lang w:val="en-US"/>
              </w:rPr>
            </w:pPr>
            <w:r>
              <w:rPr>
                <w:rFonts w:hint="eastAsia"/>
                <w:szCs w:val="21"/>
                <w:lang w:val="en-US"/>
              </w:rPr>
              <w:t>分弧精度(m</w:t>
            </w:r>
            <w:r>
              <w:rPr>
                <w:szCs w:val="21"/>
                <w:lang w:val="en-US"/>
              </w:rPr>
              <w:t>)</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183BFEA5">
            <w:pPr>
              <w:spacing w:line="240" w:lineRule="auto"/>
              <w:jc w:val="center"/>
              <w:rPr>
                <w:szCs w:val="21"/>
                <w:lang w:val="en-US"/>
              </w:rPr>
            </w:pPr>
            <w:r>
              <w:t>0.24</w:t>
            </w:r>
          </w:p>
        </w:tc>
      </w:tr>
      <w:tr w14:paraId="4429DED9">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7ED59136">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76485C3E">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4AA91F69">
            <w:pPr>
              <w:spacing w:line="240" w:lineRule="auto"/>
              <w:jc w:val="center"/>
              <w:rPr>
                <w:szCs w:val="21"/>
                <w:lang w:val="en-US"/>
              </w:rPr>
            </w:pPr>
            <w:r>
              <w:rPr>
                <w:rFonts w:hint="eastAsia"/>
                <w:szCs w:val="21"/>
                <w:lang w:val="en-US"/>
              </w:rPr>
              <w:t>初始网格(m</w:t>
            </w:r>
            <w:r>
              <w:rPr>
                <w:szCs w:val="21"/>
                <w:lang w:val="en-US"/>
              </w:rPr>
              <w:t>)</w:t>
            </w:r>
          </w:p>
        </w:tc>
        <w:tc>
          <w:tcPr>
            <w:tcW w:w="1701" w:type="dxa"/>
            <w:tcBorders>
              <w:top w:val="nil"/>
              <w:left w:val="nil"/>
              <w:bottom w:val="single" w:color="auto" w:sz="4" w:space="0"/>
              <w:right w:val="single" w:color="auto" w:sz="4" w:space="0"/>
            </w:tcBorders>
            <w:shd w:val="clear" w:color="auto" w:fill="auto"/>
            <w:noWrap/>
            <w:vAlign w:val="center"/>
          </w:tcPr>
          <w:p w14:paraId="6B86AD08">
            <w:pPr>
              <w:spacing w:line="240" w:lineRule="auto"/>
              <w:jc w:val="center"/>
              <w:rPr>
                <w:szCs w:val="21"/>
                <w:lang w:val="en-US"/>
              </w:rPr>
            </w:pPr>
            <w:r>
              <w:t>8.0</w:t>
            </w:r>
          </w:p>
        </w:tc>
      </w:tr>
      <w:tr w14:paraId="1F315F1A">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0AA8126F">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5966EFCD">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F43ACCC">
            <w:pPr>
              <w:spacing w:line="240" w:lineRule="auto"/>
              <w:jc w:val="center"/>
              <w:rPr>
                <w:szCs w:val="21"/>
                <w:lang w:val="en-US"/>
              </w:rPr>
            </w:pPr>
            <w:r>
              <w:rPr>
                <w:rFonts w:hint="eastAsia"/>
                <w:szCs w:val="21"/>
                <w:lang w:val="en-US"/>
              </w:rPr>
              <w:t>最小细分级数</w:t>
            </w:r>
          </w:p>
        </w:tc>
        <w:tc>
          <w:tcPr>
            <w:tcW w:w="1701" w:type="dxa"/>
            <w:tcBorders>
              <w:top w:val="nil"/>
              <w:left w:val="nil"/>
              <w:bottom w:val="single" w:color="auto" w:sz="4" w:space="0"/>
              <w:right w:val="single" w:color="auto" w:sz="4" w:space="0"/>
            </w:tcBorders>
            <w:shd w:val="clear" w:color="auto" w:fill="auto"/>
            <w:noWrap/>
            <w:vAlign w:val="center"/>
          </w:tcPr>
          <w:p w14:paraId="76F48708">
            <w:pPr>
              <w:spacing w:line="240" w:lineRule="auto"/>
              <w:jc w:val="center"/>
              <w:rPr>
                <w:szCs w:val="21"/>
                <w:lang w:val="en-US"/>
              </w:rPr>
            </w:pPr>
            <w:r>
              <w:t>1</w:t>
            </w:r>
          </w:p>
        </w:tc>
      </w:tr>
      <w:tr w14:paraId="11585211">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1421E50A">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81DBDD0">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110EEEFC">
            <w:pPr>
              <w:spacing w:line="240" w:lineRule="auto"/>
              <w:jc w:val="center"/>
              <w:rPr>
                <w:szCs w:val="21"/>
                <w:lang w:val="en-US"/>
              </w:rPr>
            </w:pPr>
            <w:r>
              <w:rPr>
                <w:rFonts w:hint="eastAsia"/>
                <w:szCs w:val="21"/>
                <w:lang w:val="en-US"/>
              </w:rPr>
              <w:t>最大细分级数</w:t>
            </w:r>
          </w:p>
        </w:tc>
        <w:tc>
          <w:tcPr>
            <w:tcW w:w="1701" w:type="dxa"/>
            <w:tcBorders>
              <w:top w:val="nil"/>
              <w:left w:val="nil"/>
              <w:bottom w:val="single" w:color="auto" w:sz="4" w:space="0"/>
              <w:right w:val="single" w:color="auto" w:sz="4" w:space="0"/>
            </w:tcBorders>
            <w:shd w:val="clear" w:color="auto" w:fill="auto"/>
            <w:noWrap/>
            <w:vAlign w:val="center"/>
          </w:tcPr>
          <w:p w14:paraId="2843691C">
            <w:pPr>
              <w:spacing w:line="240" w:lineRule="auto"/>
              <w:jc w:val="center"/>
              <w:rPr>
                <w:szCs w:val="21"/>
                <w:lang w:val="en-US"/>
              </w:rPr>
            </w:pPr>
            <w:r>
              <w:t>2</w:t>
            </w:r>
          </w:p>
        </w:tc>
      </w:tr>
      <w:tr w14:paraId="765D4FB8">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2D3B4E31">
            <w:pPr>
              <w:spacing w:line="240" w:lineRule="auto"/>
              <w:jc w:val="center"/>
              <w:rPr>
                <w:szCs w:val="21"/>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5CF25A5F">
            <w:pPr>
              <w:spacing w:line="240" w:lineRule="auto"/>
              <w:jc w:val="center"/>
              <w:rPr>
                <w:szCs w:val="21"/>
                <w:lang w:val="en-US"/>
              </w:rPr>
            </w:pPr>
            <w:r>
              <w:rPr>
                <w:rFonts w:hint="eastAsia"/>
                <w:szCs w:val="21"/>
                <w:lang w:val="en-US"/>
              </w:rPr>
              <w:t>地面网格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63CD0736">
            <w:pPr>
              <w:spacing w:line="240" w:lineRule="auto"/>
              <w:jc w:val="center"/>
              <w:rPr>
                <w:szCs w:val="21"/>
                <w:lang w:val="en-US"/>
              </w:rPr>
            </w:pPr>
            <w:r>
              <w:rPr>
                <w:rFonts w:hint="eastAsia"/>
                <w:szCs w:val="21"/>
                <w:lang w:val="en-US"/>
              </w:rPr>
              <w:t>远场细分级数</w:t>
            </w:r>
          </w:p>
        </w:tc>
        <w:tc>
          <w:tcPr>
            <w:tcW w:w="1701" w:type="dxa"/>
            <w:tcBorders>
              <w:top w:val="nil"/>
              <w:left w:val="nil"/>
              <w:bottom w:val="single" w:color="auto" w:sz="4" w:space="0"/>
              <w:right w:val="single" w:color="auto" w:sz="4" w:space="0"/>
            </w:tcBorders>
            <w:shd w:val="clear" w:color="auto" w:fill="auto"/>
            <w:noWrap/>
            <w:vAlign w:val="center"/>
          </w:tcPr>
          <w:p w14:paraId="2AE848AE">
            <w:pPr>
              <w:spacing w:line="240" w:lineRule="auto"/>
              <w:jc w:val="center"/>
              <w:rPr>
                <w:szCs w:val="21"/>
                <w:lang w:val="en-US"/>
              </w:rPr>
            </w:pPr>
            <w:r>
              <w:t>1</w:t>
            </w:r>
          </w:p>
        </w:tc>
      </w:tr>
      <w:tr w14:paraId="44FCA0F6">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2B6A81CB">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72AB578A">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2E0CE41B">
            <w:pPr>
              <w:spacing w:line="240" w:lineRule="auto"/>
              <w:jc w:val="center"/>
              <w:rPr>
                <w:szCs w:val="21"/>
                <w:lang w:val="en-US"/>
              </w:rPr>
            </w:pPr>
            <w:r>
              <w:rPr>
                <w:rFonts w:hint="eastAsia"/>
                <w:szCs w:val="21"/>
                <w:lang w:val="en-US"/>
              </w:rPr>
              <w:t>近场细分级数</w:t>
            </w:r>
          </w:p>
        </w:tc>
        <w:tc>
          <w:tcPr>
            <w:tcW w:w="1701" w:type="dxa"/>
            <w:tcBorders>
              <w:top w:val="nil"/>
              <w:left w:val="nil"/>
              <w:bottom w:val="single" w:color="auto" w:sz="4" w:space="0"/>
              <w:right w:val="single" w:color="auto" w:sz="4" w:space="0"/>
            </w:tcBorders>
            <w:shd w:val="clear" w:color="auto" w:fill="auto"/>
            <w:noWrap/>
            <w:vAlign w:val="center"/>
          </w:tcPr>
          <w:p w14:paraId="2E13B13B">
            <w:pPr>
              <w:spacing w:line="240" w:lineRule="auto"/>
              <w:jc w:val="center"/>
              <w:rPr>
                <w:szCs w:val="21"/>
                <w:lang w:val="en-US"/>
              </w:rPr>
            </w:pPr>
            <w:r>
              <w:t>2</w:t>
            </w:r>
          </w:p>
        </w:tc>
      </w:tr>
      <w:tr w14:paraId="2D1AE425">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3A4F18AB">
            <w:pPr>
              <w:spacing w:line="240" w:lineRule="auto"/>
              <w:jc w:val="center"/>
              <w:rPr>
                <w:szCs w:val="21"/>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22CFFF80">
            <w:pPr>
              <w:spacing w:line="240" w:lineRule="auto"/>
              <w:jc w:val="center"/>
              <w:rPr>
                <w:szCs w:val="21"/>
                <w:lang w:val="en-US"/>
              </w:rPr>
            </w:pPr>
            <w:r>
              <w:rPr>
                <w:rFonts w:hint="eastAsia"/>
                <w:szCs w:val="21"/>
                <w:lang w:val="en-US"/>
              </w:rPr>
              <w:t>附面层</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0A318478">
            <w:pPr>
              <w:spacing w:line="240" w:lineRule="auto"/>
              <w:jc w:val="center"/>
              <w:rPr>
                <w:szCs w:val="21"/>
                <w:lang w:val="en-US"/>
              </w:rPr>
            </w:pPr>
            <w:r>
              <w:rPr>
                <w:rFonts w:hint="eastAsia"/>
                <w:szCs w:val="21"/>
                <w:lang w:val="en-US"/>
              </w:rPr>
              <w:t>地面附面层数</w:t>
            </w:r>
          </w:p>
        </w:tc>
        <w:tc>
          <w:tcPr>
            <w:tcW w:w="1701" w:type="dxa"/>
            <w:tcBorders>
              <w:top w:val="nil"/>
              <w:left w:val="nil"/>
              <w:bottom w:val="single" w:color="auto" w:sz="4" w:space="0"/>
              <w:right w:val="single" w:color="auto" w:sz="4" w:space="0"/>
            </w:tcBorders>
            <w:shd w:val="clear" w:color="auto" w:fill="auto"/>
            <w:noWrap/>
            <w:vAlign w:val="center"/>
          </w:tcPr>
          <w:p w14:paraId="206E29D7">
            <w:pPr>
              <w:spacing w:line="240" w:lineRule="auto"/>
              <w:jc w:val="center"/>
              <w:rPr>
                <w:szCs w:val="21"/>
                <w:lang w:val="en-US"/>
              </w:rPr>
            </w:pPr>
            <w:r>
              <w:t>2</w:t>
            </w:r>
          </w:p>
        </w:tc>
      </w:tr>
      <w:tr w14:paraId="4868604D">
        <w:tblPrEx>
          <w:tblCellMar>
            <w:top w:w="0" w:type="dxa"/>
            <w:left w:w="108" w:type="dxa"/>
            <w:bottom w:w="0" w:type="dxa"/>
            <w:right w:w="108" w:type="dxa"/>
          </w:tblCellMar>
        </w:tblPrEx>
        <w:trPr>
          <w:trHeight w:val="270" w:hRule="atLeast"/>
        </w:trPr>
        <w:tc>
          <w:tcPr>
            <w:tcW w:w="1863" w:type="dxa"/>
            <w:vMerge w:val="continue"/>
            <w:tcBorders>
              <w:left w:val="single" w:color="auto" w:sz="4" w:space="0"/>
              <w:bottom w:val="single" w:color="auto" w:sz="4" w:space="0"/>
              <w:right w:val="single" w:color="auto" w:sz="4" w:space="0"/>
            </w:tcBorders>
            <w:vAlign w:val="center"/>
          </w:tcPr>
          <w:p w14:paraId="5366B610">
            <w:pPr>
              <w:spacing w:line="240" w:lineRule="auto"/>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DA69D76">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79A188F7">
            <w:pPr>
              <w:spacing w:line="240" w:lineRule="auto"/>
              <w:jc w:val="center"/>
              <w:rPr>
                <w:szCs w:val="21"/>
                <w:lang w:val="en-US"/>
              </w:rPr>
            </w:pPr>
            <w:r>
              <w:rPr>
                <w:rFonts w:hint="eastAsia"/>
                <w:szCs w:val="21"/>
                <w:lang w:val="en-US"/>
              </w:rPr>
              <w:t>建筑附面层数</w:t>
            </w:r>
          </w:p>
        </w:tc>
        <w:tc>
          <w:tcPr>
            <w:tcW w:w="1701" w:type="dxa"/>
            <w:tcBorders>
              <w:top w:val="nil"/>
              <w:left w:val="nil"/>
              <w:bottom w:val="single" w:color="auto" w:sz="4" w:space="0"/>
              <w:right w:val="single" w:color="auto" w:sz="4" w:space="0"/>
            </w:tcBorders>
            <w:shd w:val="clear" w:color="auto" w:fill="auto"/>
            <w:noWrap/>
            <w:vAlign w:val="center"/>
          </w:tcPr>
          <w:p w14:paraId="0C154562">
            <w:pPr>
              <w:spacing w:line="240" w:lineRule="auto"/>
              <w:jc w:val="center"/>
              <w:rPr>
                <w:szCs w:val="21"/>
                <w:lang w:val="en-US"/>
              </w:rPr>
            </w:pPr>
            <w:r>
              <w:t>0</w:t>
            </w:r>
          </w:p>
        </w:tc>
      </w:tr>
    </w:tbl>
    <w:p w14:paraId="3E7B1118">
      <w:pPr>
        <w:rPr>
          <w:szCs w:val="21"/>
          <w:lang w:val="en-US"/>
        </w:rPr>
      </w:pPr>
    </w:p>
    <w:p w14:paraId="7B921026">
      <w:pPr>
        <w:jc w:val="center"/>
      </w:pPr>
      <w:r>
        <w:rPr>
          <w:lang w:val="en-US"/>
        </w:rPr>
        <w:drawing>
          <wp:inline distT="0" distB="0" distL="0" distR="0">
            <wp:extent cx="5667375" cy="302895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4"/>
                    <pic:cNvPicPr>
                      <a:picLocks noChangeAspect="1"/>
                    </pic:cNvPicPr>
                  </pic:nvPicPr>
                  <pic:blipFill>
                    <a:blip r:embed="rId14"/>
                    <a:stretch>
                      <a:fillRect/>
                    </a:stretch>
                  </pic:blipFill>
                  <pic:spPr>
                    <a:xfrm>
                      <a:off x="0" y="0"/>
                      <a:ext cx="5667375" cy="3028950"/>
                    </a:xfrm>
                    <a:prstGeom prst="rect">
                      <a:avLst/>
                    </a:prstGeom>
                  </pic:spPr>
                </pic:pic>
              </a:graphicData>
            </a:graphic>
          </wp:inline>
        </w:drawing>
      </w:r>
    </w:p>
    <w:p w14:paraId="3E7167A3">
      <w:pPr>
        <w:jc w:val="center"/>
      </w:pPr>
      <w:r>
        <w:rPr>
          <w:rFonts w:hint="eastAsia" w:ascii="黑体" w:hAnsi="黑体" w:eastAsia="黑体"/>
          <w:sz w:val="20"/>
        </w:rPr>
        <w:t xml:space="preserve">图 </w:t>
      </w:r>
      <w:r>
        <w:rPr>
          <w:rFonts w:ascii="黑体" w:hAnsi="黑体" w:eastAsia="黑体"/>
          <w:sz w:val="20"/>
        </w:rPr>
        <w:fldChar w:fldCharType="begin"/>
      </w:r>
      <w:r>
        <w:rPr>
          <w:rFonts w:ascii="黑体" w:hAnsi="黑体" w:eastAsia="黑体"/>
          <w:sz w:val="20"/>
        </w:rPr>
        <w:instrText xml:space="preserve"> </w:instrText>
      </w:r>
      <w:r>
        <w:rPr>
          <w:rFonts w:hint="eastAsia" w:ascii="黑体" w:hAnsi="黑体" w:eastAsia="黑体"/>
          <w:sz w:val="20"/>
        </w:rPr>
        <w:instrText xml:space="preserve">STYLEREF 2 \s</w:instrText>
      </w:r>
      <w:r>
        <w:rPr>
          <w:rFonts w:ascii="黑体" w:hAnsi="黑体" w:eastAsia="黑体"/>
          <w:sz w:val="20"/>
        </w:rPr>
        <w:instrText xml:space="preserve"> </w:instrText>
      </w:r>
      <w:r>
        <w:rPr>
          <w:rFonts w:ascii="黑体" w:hAnsi="黑体" w:eastAsia="黑体"/>
          <w:sz w:val="20"/>
        </w:rPr>
        <w:fldChar w:fldCharType="separate"/>
      </w:r>
      <w:r>
        <w:rPr>
          <w:rFonts w:ascii="黑体" w:hAnsi="黑体" w:eastAsia="黑体"/>
          <w:sz w:val="20"/>
        </w:rPr>
        <w:t>4.2</w:t>
      </w:r>
      <w:r>
        <w:rPr>
          <w:rFonts w:ascii="黑体" w:hAnsi="黑体" w:eastAsia="黑体"/>
          <w:sz w:val="20"/>
        </w:rPr>
        <w:fldChar w:fldCharType="end"/>
      </w:r>
      <w:r>
        <w:rPr>
          <w:rFonts w:ascii="黑体" w:hAnsi="黑体" w:eastAsia="黑体"/>
          <w:sz w:val="20"/>
        </w:rPr>
        <w:noBreakHyphen/>
      </w:r>
      <w:r>
        <w:rPr>
          <w:rFonts w:ascii="黑体" w:hAnsi="黑体" w:eastAsia="黑体"/>
          <w:sz w:val="20"/>
        </w:rPr>
        <w:fldChar w:fldCharType="begin"/>
      </w:r>
      <w:r>
        <w:rPr>
          <w:rFonts w:ascii="黑体" w:hAnsi="黑体" w:eastAsia="黑体"/>
          <w:sz w:val="20"/>
        </w:rPr>
        <w:instrText xml:space="preserve"> </w:instrText>
      </w:r>
      <w:r>
        <w:rPr>
          <w:rFonts w:hint="eastAsia" w:ascii="黑体" w:hAnsi="黑体" w:eastAsia="黑体"/>
          <w:sz w:val="20"/>
        </w:rPr>
        <w:instrText xml:space="preserve">SEQ 图 \* ARABIC \s 2</w:instrText>
      </w:r>
      <w:r>
        <w:rPr>
          <w:rFonts w:ascii="黑体" w:hAnsi="黑体" w:eastAsia="黑体"/>
          <w:sz w:val="20"/>
        </w:rPr>
        <w:instrText xml:space="preserve"> </w:instrText>
      </w:r>
      <w:r>
        <w:rPr>
          <w:rFonts w:ascii="黑体" w:hAnsi="黑体" w:eastAsia="黑体"/>
          <w:sz w:val="20"/>
        </w:rPr>
        <w:fldChar w:fldCharType="separate"/>
      </w:r>
      <w:r>
        <w:rPr>
          <w:rFonts w:ascii="黑体" w:hAnsi="黑体" w:eastAsia="黑体"/>
          <w:sz w:val="20"/>
        </w:rPr>
        <w:t>2</w:t>
      </w:r>
      <w:r>
        <w:rPr>
          <w:rFonts w:ascii="黑体" w:hAnsi="黑体" w:eastAsia="黑体"/>
          <w:sz w:val="20"/>
        </w:rPr>
        <w:fldChar w:fldCharType="end"/>
      </w:r>
      <w:r>
        <w:rPr>
          <w:rFonts w:ascii="黑体" w:hAnsi="黑体" w:eastAsia="黑体"/>
          <w:sz w:val="20"/>
        </w:rPr>
        <w:t xml:space="preserve"> </w:t>
      </w:r>
      <w:r>
        <w:rPr>
          <w:rFonts w:hint="eastAsia" w:ascii="黑体" w:hAnsi="黑体" w:eastAsia="黑体"/>
          <w:sz w:val="20"/>
        </w:rPr>
        <w:t>网格图-夏季</w:t>
      </w:r>
    </w:p>
    <w:p w14:paraId="6136F200">
      <w:pPr>
        <w:pStyle w:val="13"/>
        <w:jc w:val="center"/>
      </w:pPr>
      <w:r>
        <w:rPr>
          <w:rFonts w:hint="eastAsia" w:ascii="黑体" w:hAnsi="黑体"/>
        </w:rPr>
        <w:t>表</w:t>
      </w:r>
      <w:r>
        <w:rPr>
          <w:rFonts w:ascii="黑体" w:hAnsi="黑体"/>
        </w:rPr>
        <w:t xml:space="preserve"> </w:t>
      </w:r>
      <w:r>
        <w:rPr>
          <w:rFonts w:ascii="黑体" w:hAnsi="黑体"/>
        </w:rPr>
        <w:fldChar w:fldCharType="begin"/>
      </w:r>
      <w:r>
        <w:rPr>
          <w:rFonts w:ascii="黑体" w:hAnsi="黑体"/>
        </w:rPr>
        <w:instrText xml:space="preserve"> </w:instrText>
      </w:r>
      <w:r>
        <w:rPr>
          <w:rFonts w:hint="eastAsia" w:ascii="黑体" w:hAnsi="黑体"/>
        </w:rPr>
        <w:instrText xml:space="preserve">STYLEREF 2 \s</w:instrText>
      </w:r>
      <w:r>
        <w:rPr>
          <w:rFonts w:ascii="黑体" w:hAnsi="黑体"/>
        </w:rPr>
        <w:instrText xml:space="preserve"> </w:instrText>
      </w:r>
      <w:r>
        <w:rPr>
          <w:rFonts w:ascii="黑体" w:hAnsi="黑体"/>
        </w:rPr>
        <w:fldChar w:fldCharType="separate"/>
      </w:r>
      <w:r>
        <w:rPr>
          <w:rFonts w:ascii="黑体" w:hAnsi="黑体"/>
        </w:rPr>
        <w:t>4.2</w:t>
      </w:r>
      <w:r>
        <w:rPr>
          <w:rFonts w:ascii="黑体" w:hAnsi="黑体"/>
        </w:rPr>
        <w:fldChar w:fldCharType="end"/>
      </w:r>
      <w:r>
        <w:rPr>
          <w:rFonts w:ascii="黑体" w:hAnsi="黑体"/>
        </w:rPr>
        <w:noBreakHyphen/>
      </w:r>
      <w:r>
        <w:rPr>
          <w:rFonts w:ascii="黑体" w:hAnsi="黑体"/>
        </w:rPr>
        <w:fldChar w:fldCharType="begin"/>
      </w:r>
      <w:r>
        <w:rPr>
          <w:rFonts w:ascii="黑体" w:hAnsi="黑体"/>
        </w:rPr>
        <w:instrText xml:space="preserve"> SEQ 表 \* ARABIC \s 2 </w:instrText>
      </w:r>
      <w:r>
        <w:rPr>
          <w:rFonts w:ascii="黑体" w:hAnsi="黑体"/>
        </w:rPr>
        <w:fldChar w:fldCharType="separate"/>
      </w:r>
      <w:r>
        <w:rPr>
          <w:rFonts w:ascii="黑体" w:hAnsi="黑体"/>
        </w:rPr>
        <w:t>3</w:t>
      </w:r>
      <w:r>
        <w:rPr>
          <w:rFonts w:ascii="黑体" w:hAnsi="黑体"/>
        </w:rPr>
        <w:fldChar w:fldCharType="end"/>
      </w:r>
      <w:r>
        <w:rPr>
          <w:rFonts w:hint="eastAsia" w:ascii="黑体" w:hAnsi="黑体"/>
        </w:rPr>
        <w:t>过渡季网</w:t>
      </w:r>
      <w:r>
        <w:rPr>
          <w:rFonts w:hint="eastAsia"/>
        </w:rPr>
        <w:t>格划分信息</w:t>
      </w:r>
    </w:p>
    <w:tbl>
      <w:tblPr>
        <w:tblStyle w:val="21"/>
        <w:tblW w:w="8242" w:type="dxa"/>
        <w:tblInd w:w="279" w:type="dxa"/>
        <w:tblLayout w:type="autofit"/>
        <w:tblCellMar>
          <w:top w:w="0" w:type="dxa"/>
          <w:left w:w="108" w:type="dxa"/>
          <w:bottom w:w="0" w:type="dxa"/>
          <w:right w:w="108" w:type="dxa"/>
        </w:tblCellMar>
      </w:tblPr>
      <w:tblGrid>
        <w:gridCol w:w="1863"/>
        <w:gridCol w:w="1701"/>
        <w:gridCol w:w="2977"/>
        <w:gridCol w:w="1701"/>
      </w:tblGrid>
      <w:tr w14:paraId="34C98C76">
        <w:tblPrEx>
          <w:tblCellMar>
            <w:top w:w="0" w:type="dxa"/>
            <w:left w:w="108" w:type="dxa"/>
            <w:bottom w:w="0" w:type="dxa"/>
            <w:right w:w="108" w:type="dxa"/>
          </w:tblCellMar>
        </w:tblPrEx>
        <w:trPr>
          <w:trHeight w:val="270" w:hRule="atLeast"/>
        </w:trPr>
        <w:tc>
          <w:tcPr>
            <w:tcW w:w="1863" w:type="dxa"/>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42FA40D6">
            <w:pPr>
              <w:spacing w:line="240" w:lineRule="auto"/>
              <w:jc w:val="center"/>
              <w:rPr>
                <w:szCs w:val="21"/>
                <w:lang w:val="en-US"/>
              </w:rPr>
            </w:pPr>
            <w:r>
              <w:rPr>
                <w:rFonts w:hint="eastAsia"/>
                <w:szCs w:val="21"/>
                <w:lang w:val="en-US"/>
              </w:rPr>
              <w:t>网格总数（个）</w:t>
            </w:r>
          </w:p>
        </w:tc>
        <w:tc>
          <w:tcPr>
            <w:tcW w:w="1701" w:type="dxa"/>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46BB0996">
            <w:pPr>
              <w:spacing w:line="240" w:lineRule="auto"/>
              <w:jc w:val="center"/>
              <w:rPr>
                <w:szCs w:val="21"/>
                <w:lang w:val="en-US"/>
              </w:rPr>
            </w:pPr>
            <w:r>
              <w:rPr>
                <w:rFonts w:hint="eastAsia"/>
                <w:szCs w:val="21"/>
                <w:lang w:val="en-US"/>
              </w:rPr>
              <w:t>网格类型</w:t>
            </w:r>
          </w:p>
        </w:tc>
        <w:tc>
          <w:tcPr>
            <w:tcW w:w="4678" w:type="dxa"/>
            <w:gridSpan w:val="2"/>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7293030">
            <w:pPr>
              <w:spacing w:line="240" w:lineRule="auto"/>
              <w:jc w:val="center"/>
              <w:rPr>
                <w:szCs w:val="21"/>
                <w:lang w:val="en-US"/>
              </w:rPr>
            </w:pPr>
            <w:r>
              <w:rPr>
                <w:rFonts w:hint="eastAsia"/>
                <w:szCs w:val="21"/>
                <w:lang w:val="en-US"/>
              </w:rPr>
              <w:t>网格尺寸</w:t>
            </w:r>
          </w:p>
        </w:tc>
      </w:tr>
      <w:tr w14:paraId="38838450">
        <w:tblPrEx>
          <w:tblCellMar>
            <w:top w:w="0" w:type="dxa"/>
            <w:left w:w="108" w:type="dxa"/>
            <w:bottom w:w="0" w:type="dxa"/>
            <w:right w:w="108" w:type="dxa"/>
          </w:tblCellMar>
        </w:tblPrEx>
        <w:trPr>
          <w:trHeight w:val="270" w:hRule="atLeast"/>
        </w:trPr>
        <w:tc>
          <w:tcPr>
            <w:tcW w:w="1863" w:type="dxa"/>
            <w:vMerge w:val="restart"/>
            <w:tcBorders>
              <w:top w:val="single" w:color="auto" w:sz="4" w:space="0"/>
              <w:left w:val="single" w:color="auto" w:sz="4" w:space="0"/>
              <w:right w:val="single" w:color="auto" w:sz="4" w:space="0"/>
            </w:tcBorders>
            <w:vAlign w:val="center"/>
          </w:tcPr>
          <w:p w14:paraId="58DE53F5">
            <w:pPr>
              <w:spacing w:line="240" w:lineRule="auto"/>
              <w:jc w:val="center"/>
              <w:rPr>
                <w:szCs w:val="21"/>
                <w:lang w:val="en-US"/>
              </w:rPr>
            </w:pPr>
            <w:bookmarkStart w:id="45" w:name="冬季网格总数"/>
            <w:r>
              <w:t>365153</w:t>
            </w:r>
            <w:bookmarkEnd w:id="45"/>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6BEBCDD1">
            <w:pPr>
              <w:spacing w:line="240" w:lineRule="auto"/>
              <w:jc w:val="center"/>
              <w:rPr>
                <w:szCs w:val="21"/>
                <w:lang w:val="en-US"/>
              </w:rPr>
            </w:pPr>
            <w:r>
              <w:rPr>
                <w:rFonts w:hint="eastAsia"/>
                <w:szCs w:val="21"/>
                <w:lang w:val="en-US"/>
              </w:rPr>
              <w:t>普通网格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9353EF1">
            <w:pPr>
              <w:spacing w:line="240" w:lineRule="auto"/>
              <w:jc w:val="center"/>
              <w:rPr>
                <w:szCs w:val="21"/>
                <w:lang w:val="en-US"/>
              </w:rPr>
            </w:pPr>
            <w:r>
              <w:rPr>
                <w:rFonts w:hint="eastAsia"/>
                <w:szCs w:val="21"/>
                <w:lang w:val="en-US"/>
              </w:rPr>
              <w:t>分弧精度(m</w:t>
            </w:r>
            <w:r>
              <w:rPr>
                <w:szCs w:val="21"/>
                <w:lang w:val="en-US"/>
              </w:rPr>
              <w:t>)</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2DEE8DEF">
            <w:pPr>
              <w:spacing w:line="240" w:lineRule="auto"/>
              <w:jc w:val="center"/>
              <w:rPr>
                <w:szCs w:val="21"/>
                <w:lang w:val="en-US"/>
              </w:rPr>
            </w:pPr>
            <w:bookmarkStart w:id="46" w:name="冬季分弧精度"/>
            <w:r>
              <w:t>0.24</w:t>
            </w:r>
            <w:bookmarkEnd w:id="46"/>
          </w:p>
        </w:tc>
      </w:tr>
      <w:tr w14:paraId="2FE872A1">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1E40F9AA">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AB6AF9C">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479582B1">
            <w:pPr>
              <w:spacing w:line="240" w:lineRule="auto"/>
              <w:jc w:val="center"/>
              <w:rPr>
                <w:szCs w:val="21"/>
                <w:lang w:val="en-US"/>
              </w:rPr>
            </w:pPr>
            <w:r>
              <w:rPr>
                <w:rFonts w:hint="eastAsia"/>
                <w:szCs w:val="21"/>
                <w:lang w:val="en-US"/>
              </w:rPr>
              <w:t>初始网格(m</w:t>
            </w:r>
            <w:r>
              <w:rPr>
                <w:szCs w:val="21"/>
                <w:lang w:val="en-US"/>
              </w:rPr>
              <w:t>)</w:t>
            </w:r>
          </w:p>
        </w:tc>
        <w:tc>
          <w:tcPr>
            <w:tcW w:w="1701" w:type="dxa"/>
            <w:tcBorders>
              <w:top w:val="nil"/>
              <w:left w:val="nil"/>
              <w:bottom w:val="single" w:color="auto" w:sz="4" w:space="0"/>
              <w:right w:val="single" w:color="auto" w:sz="4" w:space="0"/>
            </w:tcBorders>
            <w:shd w:val="clear" w:color="auto" w:fill="auto"/>
            <w:noWrap/>
            <w:vAlign w:val="center"/>
          </w:tcPr>
          <w:p w14:paraId="58E8A87A">
            <w:pPr>
              <w:spacing w:line="240" w:lineRule="auto"/>
              <w:jc w:val="center"/>
              <w:rPr>
                <w:szCs w:val="21"/>
                <w:lang w:val="en-US"/>
              </w:rPr>
            </w:pPr>
            <w:bookmarkStart w:id="47" w:name="冬季初始网格"/>
            <w:r>
              <w:t>8.0</w:t>
            </w:r>
            <w:bookmarkEnd w:id="47"/>
          </w:p>
        </w:tc>
      </w:tr>
      <w:tr w14:paraId="1DC55ACB">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0AC06984">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0E69FA39">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54D31229">
            <w:pPr>
              <w:spacing w:line="240" w:lineRule="auto"/>
              <w:jc w:val="center"/>
              <w:rPr>
                <w:szCs w:val="21"/>
                <w:lang w:val="en-US"/>
              </w:rPr>
            </w:pPr>
            <w:r>
              <w:rPr>
                <w:rFonts w:hint="eastAsia"/>
                <w:szCs w:val="21"/>
                <w:lang w:val="en-US"/>
              </w:rPr>
              <w:t>最小细分级数</w:t>
            </w:r>
          </w:p>
        </w:tc>
        <w:tc>
          <w:tcPr>
            <w:tcW w:w="1701" w:type="dxa"/>
            <w:tcBorders>
              <w:top w:val="nil"/>
              <w:left w:val="nil"/>
              <w:bottom w:val="single" w:color="auto" w:sz="4" w:space="0"/>
              <w:right w:val="single" w:color="auto" w:sz="4" w:space="0"/>
            </w:tcBorders>
            <w:shd w:val="clear" w:color="auto" w:fill="auto"/>
            <w:noWrap/>
            <w:vAlign w:val="center"/>
          </w:tcPr>
          <w:p w14:paraId="5A210E2C">
            <w:pPr>
              <w:spacing w:line="240" w:lineRule="auto"/>
              <w:jc w:val="center"/>
              <w:rPr>
                <w:szCs w:val="21"/>
                <w:lang w:val="en-US"/>
              </w:rPr>
            </w:pPr>
            <w:bookmarkStart w:id="48" w:name="冬季最小细分级数"/>
            <w:r>
              <w:t>1</w:t>
            </w:r>
            <w:bookmarkEnd w:id="48"/>
          </w:p>
        </w:tc>
      </w:tr>
      <w:tr w14:paraId="56EA8545">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4B4A05F4">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58CB022">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315A9C19">
            <w:pPr>
              <w:spacing w:line="240" w:lineRule="auto"/>
              <w:jc w:val="center"/>
              <w:rPr>
                <w:szCs w:val="21"/>
                <w:lang w:val="en-US"/>
              </w:rPr>
            </w:pPr>
            <w:r>
              <w:rPr>
                <w:rFonts w:hint="eastAsia"/>
                <w:szCs w:val="21"/>
                <w:lang w:val="en-US"/>
              </w:rPr>
              <w:t>最大细分级数</w:t>
            </w:r>
          </w:p>
        </w:tc>
        <w:tc>
          <w:tcPr>
            <w:tcW w:w="1701" w:type="dxa"/>
            <w:tcBorders>
              <w:top w:val="nil"/>
              <w:left w:val="nil"/>
              <w:bottom w:val="single" w:color="auto" w:sz="4" w:space="0"/>
              <w:right w:val="single" w:color="auto" w:sz="4" w:space="0"/>
            </w:tcBorders>
            <w:shd w:val="clear" w:color="auto" w:fill="auto"/>
            <w:noWrap/>
            <w:vAlign w:val="center"/>
          </w:tcPr>
          <w:p w14:paraId="23A2F8D0">
            <w:pPr>
              <w:spacing w:line="240" w:lineRule="auto"/>
              <w:jc w:val="center"/>
              <w:rPr>
                <w:szCs w:val="21"/>
                <w:lang w:val="en-US"/>
              </w:rPr>
            </w:pPr>
            <w:bookmarkStart w:id="49" w:name="冬季最大细分级数"/>
            <w:r>
              <w:t>2</w:t>
            </w:r>
            <w:bookmarkEnd w:id="49"/>
          </w:p>
        </w:tc>
      </w:tr>
      <w:tr w14:paraId="36800A5D">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3BE3DD37">
            <w:pPr>
              <w:spacing w:line="240" w:lineRule="auto"/>
              <w:jc w:val="center"/>
              <w:rPr>
                <w:szCs w:val="21"/>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478B01C2">
            <w:pPr>
              <w:spacing w:line="240" w:lineRule="auto"/>
              <w:jc w:val="center"/>
              <w:rPr>
                <w:szCs w:val="21"/>
                <w:lang w:val="en-US"/>
              </w:rPr>
            </w:pPr>
            <w:r>
              <w:rPr>
                <w:rFonts w:hint="eastAsia"/>
                <w:szCs w:val="21"/>
                <w:lang w:val="en-US"/>
              </w:rPr>
              <w:t>地面网格</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0290CA58">
            <w:pPr>
              <w:spacing w:line="240" w:lineRule="auto"/>
              <w:jc w:val="center"/>
              <w:rPr>
                <w:szCs w:val="21"/>
                <w:lang w:val="en-US"/>
              </w:rPr>
            </w:pPr>
            <w:r>
              <w:rPr>
                <w:rFonts w:hint="eastAsia"/>
                <w:szCs w:val="21"/>
                <w:lang w:val="en-US"/>
              </w:rPr>
              <w:t>远场细分级数</w:t>
            </w:r>
          </w:p>
        </w:tc>
        <w:tc>
          <w:tcPr>
            <w:tcW w:w="1701" w:type="dxa"/>
            <w:tcBorders>
              <w:top w:val="nil"/>
              <w:left w:val="nil"/>
              <w:bottom w:val="single" w:color="auto" w:sz="4" w:space="0"/>
              <w:right w:val="single" w:color="auto" w:sz="4" w:space="0"/>
            </w:tcBorders>
            <w:shd w:val="clear" w:color="auto" w:fill="auto"/>
            <w:noWrap/>
            <w:vAlign w:val="center"/>
          </w:tcPr>
          <w:p w14:paraId="17BFA4E1">
            <w:pPr>
              <w:spacing w:line="240" w:lineRule="auto"/>
              <w:jc w:val="center"/>
              <w:rPr>
                <w:szCs w:val="21"/>
                <w:lang w:val="en-US"/>
              </w:rPr>
            </w:pPr>
            <w:bookmarkStart w:id="50" w:name="冬季远场细分级数"/>
            <w:r>
              <w:t>1</w:t>
            </w:r>
            <w:bookmarkEnd w:id="50"/>
          </w:p>
        </w:tc>
      </w:tr>
      <w:tr w14:paraId="0A302F80">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363315C7">
            <w:pPr>
              <w:spacing w:line="240" w:lineRule="auto"/>
              <w:jc w:val="center"/>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10983645">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0F5B60F0">
            <w:pPr>
              <w:spacing w:line="240" w:lineRule="auto"/>
              <w:jc w:val="center"/>
              <w:rPr>
                <w:szCs w:val="21"/>
                <w:lang w:val="en-US"/>
              </w:rPr>
            </w:pPr>
            <w:r>
              <w:rPr>
                <w:rFonts w:hint="eastAsia"/>
                <w:szCs w:val="21"/>
                <w:lang w:val="en-US"/>
              </w:rPr>
              <w:t>近场细分级数</w:t>
            </w:r>
          </w:p>
        </w:tc>
        <w:tc>
          <w:tcPr>
            <w:tcW w:w="1701" w:type="dxa"/>
            <w:tcBorders>
              <w:top w:val="nil"/>
              <w:left w:val="nil"/>
              <w:bottom w:val="single" w:color="auto" w:sz="4" w:space="0"/>
              <w:right w:val="single" w:color="auto" w:sz="4" w:space="0"/>
            </w:tcBorders>
            <w:shd w:val="clear" w:color="auto" w:fill="auto"/>
            <w:noWrap/>
            <w:vAlign w:val="center"/>
          </w:tcPr>
          <w:p w14:paraId="02DB36A8">
            <w:pPr>
              <w:spacing w:line="240" w:lineRule="auto"/>
              <w:jc w:val="center"/>
              <w:rPr>
                <w:szCs w:val="21"/>
                <w:lang w:val="en-US"/>
              </w:rPr>
            </w:pPr>
            <w:bookmarkStart w:id="51" w:name="冬季近场细分级数"/>
            <w:r>
              <w:t>2</w:t>
            </w:r>
            <w:bookmarkEnd w:id="51"/>
          </w:p>
        </w:tc>
      </w:tr>
      <w:tr w14:paraId="019DA6D6">
        <w:tblPrEx>
          <w:tblCellMar>
            <w:top w:w="0" w:type="dxa"/>
            <w:left w:w="108" w:type="dxa"/>
            <w:bottom w:w="0" w:type="dxa"/>
            <w:right w:w="108" w:type="dxa"/>
          </w:tblCellMar>
        </w:tblPrEx>
        <w:trPr>
          <w:trHeight w:val="270" w:hRule="atLeast"/>
        </w:trPr>
        <w:tc>
          <w:tcPr>
            <w:tcW w:w="1863" w:type="dxa"/>
            <w:vMerge w:val="continue"/>
            <w:tcBorders>
              <w:left w:val="single" w:color="auto" w:sz="4" w:space="0"/>
              <w:right w:val="single" w:color="auto" w:sz="4" w:space="0"/>
            </w:tcBorders>
            <w:vAlign w:val="center"/>
          </w:tcPr>
          <w:p w14:paraId="7D6DE3C3">
            <w:pPr>
              <w:spacing w:line="240" w:lineRule="auto"/>
              <w:jc w:val="center"/>
              <w:rPr>
                <w:szCs w:val="21"/>
                <w:lang w:val="en-US"/>
              </w:rPr>
            </w:pPr>
          </w:p>
        </w:tc>
        <w:tc>
          <w:tcPr>
            <w:tcW w:w="1701" w:type="dxa"/>
            <w:vMerge w:val="restart"/>
            <w:tcBorders>
              <w:top w:val="single" w:color="auto" w:sz="4" w:space="0"/>
              <w:left w:val="single" w:color="auto" w:sz="4" w:space="0"/>
              <w:bottom w:val="single" w:color="auto" w:sz="4" w:space="0"/>
              <w:right w:val="single" w:color="auto" w:sz="4" w:space="0"/>
            </w:tcBorders>
            <w:shd w:val="clear" w:color="auto" w:fill="F1F1F1" w:themeFill="background1" w:themeFillShade="F2"/>
            <w:noWrap/>
            <w:vAlign w:val="center"/>
          </w:tcPr>
          <w:p w14:paraId="5A2132AB">
            <w:pPr>
              <w:spacing w:line="240" w:lineRule="auto"/>
              <w:jc w:val="center"/>
              <w:rPr>
                <w:szCs w:val="21"/>
                <w:lang w:val="en-US"/>
              </w:rPr>
            </w:pPr>
            <w:r>
              <w:rPr>
                <w:rFonts w:hint="eastAsia"/>
                <w:szCs w:val="21"/>
                <w:lang w:val="en-US"/>
              </w:rPr>
              <w:t>附面层</w:t>
            </w: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103AFE89">
            <w:pPr>
              <w:spacing w:line="240" w:lineRule="auto"/>
              <w:jc w:val="center"/>
              <w:rPr>
                <w:szCs w:val="21"/>
                <w:lang w:val="en-US"/>
              </w:rPr>
            </w:pPr>
            <w:r>
              <w:rPr>
                <w:rFonts w:hint="eastAsia"/>
                <w:szCs w:val="21"/>
                <w:lang w:val="en-US"/>
              </w:rPr>
              <w:t>地面附面层数</w:t>
            </w:r>
          </w:p>
        </w:tc>
        <w:tc>
          <w:tcPr>
            <w:tcW w:w="1701" w:type="dxa"/>
            <w:tcBorders>
              <w:top w:val="nil"/>
              <w:left w:val="nil"/>
              <w:bottom w:val="single" w:color="auto" w:sz="4" w:space="0"/>
              <w:right w:val="single" w:color="auto" w:sz="4" w:space="0"/>
            </w:tcBorders>
            <w:shd w:val="clear" w:color="auto" w:fill="auto"/>
            <w:noWrap/>
            <w:vAlign w:val="center"/>
          </w:tcPr>
          <w:p w14:paraId="5EBD4A34">
            <w:pPr>
              <w:spacing w:line="240" w:lineRule="auto"/>
              <w:jc w:val="center"/>
              <w:rPr>
                <w:szCs w:val="21"/>
                <w:lang w:val="en-US"/>
              </w:rPr>
            </w:pPr>
            <w:bookmarkStart w:id="52" w:name="冬季地面附面层数"/>
            <w:r>
              <w:t>2</w:t>
            </w:r>
            <w:bookmarkEnd w:id="52"/>
          </w:p>
        </w:tc>
      </w:tr>
      <w:tr w14:paraId="0FF2A13F">
        <w:tblPrEx>
          <w:tblCellMar>
            <w:top w:w="0" w:type="dxa"/>
            <w:left w:w="108" w:type="dxa"/>
            <w:bottom w:w="0" w:type="dxa"/>
            <w:right w:w="108" w:type="dxa"/>
          </w:tblCellMar>
        </w:tblPrEx>
        <w:trPr>
          <w:trHeight w:val="270" w:hRule="atLeast"/>
        </w:trPr>
        <w:tc>
          <w:tcPr>
            <w:tcW w:w="1863" w:type="dxa"/>
            <w:vMerge w:val="continue"/>
            <w:tcBorders>
              <w:left w:val="single" w:color="auto" w:sz="4" w:space="0"/>
              <w:bottom w:val="single" w:color="auto" w:sz="4" w:space="0"/>
              <w:right w:val="single" w:color="auto" w:sz="4" w:space="0"/>
            </w:tcBorders>
            <w:vAlign w:val="center"/>
          </w:tcPr>
          <w:p w14:paraId="629F90AD">
            <w:pPr>
              <w:spacing w:line="240" w:lineRule="auto"/>
              <w:rPr>
                <w:szCs w:val="21"/>
                <w:lang w:val="en-US"/>
              </w:rPr>
            </w:pPr>
          </w:p>
        </w:tc>
        <w:tc>
          <w:tcPr>
            <w:tcW w:w="1701" w:type="dxa"/>
            <w:vMerge w:val="continue"/>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10EEAC5">
            <w:pPr>
              <w:spacing w:line="240" w:lineRule="auto"/>
              <w:jc w:val="center"/>
              <w:rPr>
                <w:szCs w:val="21"/>
                <w:lang w:val="en-US"/>
              </w:rPr>
            </w:pPr>
          </w:p>
        </w:tc>
        <w:tc>
          <w:tcPr>
            <w:tcW w:w="2977" w:type="dxa"/>
            <w:tcBorders>
              <w:top w:val="single" w:color="auto" w:sz="4" w:space="0"/>
              <w:left w:val="nil"/>
              <w:bottom w:val="single" w:color="auto" w:sz="4" w:space="0"/>
              <w:right w:val="single" w:color="auto" w:sz="4" w:space="0"/>
            </w:tcBorders>
            <w:shd w:val="clear" w:color="auto" w:fill="F1F1F1" w:themeFill="background1" w:themeFillShade="F2"/>
            <w:noWrap/>
            <w:vAlign w:val="center"/>
          </w:tcPr>
          <w:p w14:paraId="13F54177">
            <w:pPr>
              <w:spacing w:line="240" w:lineRule="auto"/>
              <w:jc w:val="center"/>
              <w:rPr>
                <w:szCs w:val="21"/>
                <w:lang w:val="en-US"/>
              </w:rPr>
            </w:pPr>
            <w:r>
              <w:rPr>
                <w:rFonts w:hint="eastAsia"/>
                <w:szCs w:val="21"/>
                <w:lang w:val="en-US"/>
              </w:rPr>
              <w:t>建筑附面层数</w:t>
            </w:r>
          </w:p>
        </w:tc>
        <w:tc>
          <w:tcPr>
            <w:tcW w:w="1701" w:type="dxa"/>
            <w:tcBorders>
              <w:top w:val="nil"/>
              <w:left w:val="nil"/>
              <w:bottom w:val="single" w:color="auto" w:sz="4" w:space="0"/>
              <w:right w:val="single" w:color="auto" w:sz="4" w:space="0"/>
            </w:tcBorders>
            <w:shd w:val="clear" w:color="auto" w:fill="auto"/>
            <w:noWrap/>
            <w:vAlign w:val="center"/>
          </w:tcPr>
          <w:p w14:paraId="24E70E1F">
            <w:pPr>
              <w:spacing w:line="240" w:lineRule="auto"/>
              <w:jc w:val="center"/>
              <w:rPr>
                <w:szCs w:val="21"/>
                <w:lang w:val="en-US"/>
              </w:rPr>
            </w:pPr>
            <w:bookmarkStart w:id="53" w:name="冬季建筑附面层数"/>
            <w:r>
              <w:t>0</w:t>
            </w:r>
            <w:bookmarkEnd w:id="53"/>
          </w:p>
        </w:tc>
      </w:tr>
    </w:tbl>
    <w:p w14:paraId="7FB93F96">
      <w:pPr>
        <w:rPr>
          <w:szCs w:val="21"/>
          <w:lang w:val="en-US"/>
        </w:rPr>
      </w:pPr>
    </w:p>
    <w:p w14:paraId="23DAACAB">
      <w:pPr>
        <w:jc w:val="center"/>
      </w:pPr>
      <w:r>
        <w:rPr>
          <w:lang w:val="en-US"/>
        </w:rPr>
        <w:drawing>
          <wp:inline distT="0" distB="0" distL="0" distR="0">
            <wp:extent cx="5667375" cy="302895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5"/>
                    <pic:cNvPicPr>
                      <a:picLocks noChangeAspect="1"/>
                    </pic:cNvPicPr>
                  </pic:nvPicPr>
                  <pic:blipFill>
                    <a:blip r:embed="rId14"/>
                    <a:stretch>
                      <a:fillRect/>
                    </a:stretch>
                  </pic:blipFill>
                  <pic:spPr>
                    <a:xfrm>
                      <a:off x="0" y="0"/>
                      <a:ext cx="5667375" cy="3028950"/>
                    </a:xfrm>
                    <a:prstGeom prst="rect">
                      <a:avLst/>
                    </a:prstGeom>
                  </pic:spPr>
                </pic:pic>
              </a:graphicData>
            </a:graphic>
          </wp:inline>
        </w:drawing>
      </w:r>
    </w:p>
    <w:p w14:paraId="4DC039C6">
      <w:pPr>
        <w:jc w:val="center"/>
      </w:pPr>
      <w:r>
        <w:rPr>
          <w:rFonts w:hint="eastAsia" w:ascii="黑体" w:hAnsi="黑体" w:eastAsia="黑体"/>
          <w:sz w:val="20"/>
        </w:rPr>
        <w:t xml:space="preserve">图 </w:t>
      </w:r>
      <w:r>
        <w:rPr>
          <w:rFonts w:ascii="黑体" w:hAnsi="黑体" w:eastAsia="黑体"/>
          <w:sz w:val="20"/>
        </w:rPr>
        <w:fldChar w:fldCharType="begin"/>
      </w:r>
      <w:r>
        <w:rPr>
          <w:rFonts w:ascii="黑体" w:hAnsi="黑体" w:eastAsia="黑体"/>
          <w:sz w:val="20"/>
        </w:rPr>
        <w:instrText xml:space="preserve"> </w:instrText>
      </w:r>
      <w:r>
        <w:rPr>
          <w:rFonts w:hint="eastAsia" w:ascii="黑体" w:hAnsi="黑体" w:eastAsia="黑体"/>
          <w:sz w:val="20"/>
        </w:rPr>
        <w:instrText xml:space="preserve">STYLEREF 2 \s</w:instrText>
      </w:r>
      <w:r>
        <w:rPr>
          <w:rFonts w:ascii="黑体" w:hAnsi="黑体" w:eastAsia="黑体"/>
          <w:sz w:val="20"/>
        </w:rPr>
        <w:instrText xml:space="preserve"> </w:instrText>
      </w:r>
      <w:r>
        <w:rPr>
          <w:rFonts w:ascii="黑体" w:hAnsi="黑体" w:eastAsia="黑体"/>
          <w:sz w:val="20"/>
        </w:rPr>
        <w:fldChar w:fldCharType="separate"/>
      </w:r>
      <w:r>
        <w:rPr>
          <w:rFonts w:ascii="黑体" w:hAnsi="黑体" w:eastAsia="黑体"/>
          <w:sz w:val="20"/>
        </w:rPr>
        <w:t>4.2</w:t>
      </w:r>
      <w:r>
        <w:rPr>
          <w:rFonts w:ascii="黑体" w:hAnsi="黑体" w:eastAsia="黑体"/>
          <w:sz w:val="20"/>
        </w:rPr>
        <w:fldChar w:fldCharType="end"/>
      </w:r>
      <w:r>
        <w:rPr>
          <w:rFonts w:ascii="黑体" w:hAnsi="黑体" w:eastAsia="黑体"/>
          <w:sz w:val="20"/>
        </w:rPr>
        <w:noBreakHyphen/>
      </w:r>
      <w:r>
        <w:rPr>
          <w:rFonts w:ascii="黑体" w:hAnsi="黑体" w:eastAsia="黑体"/>
          <w:sz w:val="20"/>
        </w:rPr>
        <w:fldChar w:fldCharType="begin"/>
      </w:r>
      <w:r>
        <w:rPr>
          <w:rFonts w:ascii="黑体" w:hAnsi="黑体" w:eastAsia="黑体"/>
          <w:sz w:val="20"/>
        </w:rPr>
        <w:instrText xml:space="preserve"> </w:instrText>
      </w:r>
      <w:r>
        <w:rPr>
          <w:rFonts w:hint="eastAsia" w:ascii="黑体" w:hAnsi="黑体" w:eastAsia="黑体"/>
          <w:sz w:val="20"/>
        </w:rPr>
        <w:instrText xml:space="preserve">SEQ 图 \* ARABIC \s 2</w:instrText>
      </w:r>
      <w:r>
        <w:rPr>
          <w:rFonts w:ascii="黑体" w:hAnsi="黑体" w:eastAsia="黑体"/>
          <w:sz w:val="20"/>
        </w:rPr>
        <w:instrText xml:space="preserve"> </w:instrText>
      </w:r>
      <w:r>
        <w:rPr>
          <w:rFonts w:ascii="黑体" w:hAnsi="黑体" w:eastAsia="黑体"/>
          <w:sz w:val="20"/>
        </w:rPr>
        <w:fldChar w:fldCharType="separate"/>
      </w:r>
      <w:r>
        <w:rPr>
          <w:rFonts w:ascii="黑体" w:hAnsi="黑体" w:eastAsia="黑体"/>
          <w:sz w:val="20"/>
        </w:rPr>
        <w:t>3</w:t>
      </w:r>
      <w:r>
        <w:rPr>
          <w:rFonts w:ascii="黑体" w:hAnsi="黑体" w:eastAsia="黑体"/>
          <w:sz w:val="20"/>
        </w:rPr>
        <w:fldChar w:fldCharType="end"/>
      </w:r>
      <w:r>
        <w:rPr>
          <w:rFonts w:ascii="黑体" w:hAnsi="黑体" w:eastAsia="黑体"/>
          <w:sz w:val="20"/>
        </w:rPr>
        <w:t xml:space="preserve"> </w:t>
      </w:r>
      <w:r>
        <w:rPr>
          <w:rFonts w:hint="eastAsia" w:ascii="黑体" w:hAnsi="黑体" w:eastAsia="黑体"/>
          <w:sz w:val="20"/>
        </w:rPr>
        <w:t>网格图-</w:t>
      </w:r>
      <w:bookmarkStart w:id="54" w:name="季节"/>
      <w:r>
        <w:rPr>
          <w:rFonts w:hint="eastAsia" w:ascii="黑体" w:hAnsi="黑体" w:eastAsia="黑体"/>
          <w:sz w:val="20"/>
        </w:rPr>
        <w:t>过渡季</w:t>
      </w:r>
      <w:bookmarkEnd w:id="54"/>
    </w:p>
    <w:p w14:paraId="5FDCF86B">
      <w:pPr>
        <w:pStyle w:val="3"/>
        <w:ind w:firstLine="630" w:firstLineChars="300"/>
        <w:rPr>
          <w:rFonts w:ascii="黑体" w:hAnsi="黑体" w:eastAsia="黑体"/>
          <w:szCs w:val="20"/>
          <w:lang w:val="en-US"/>
        </w:rPr>
      </w:pPr>
      <w:bookmarkStart w:id="55" w:name="网格划分信息"/>
      <w:bookmarkEnd w:id="55"/>
      <w:r>
        <w:rPr>
          <w:rFonts w:hint="eastAsia" w:ascii="黑体" w:hAnsi="黑体" w:eastAsia="黑体"/>
          <w:szCs w:val="20"/>
          <w:lang w:val="en-US"/>
        </w:rPr>
        <w:t>注：前述计算域随风向不同，所以相同的网格方案会产生不同的网格数量。</w:t>
      </w:r>
    </w:p>
    <w:p w14:paraId="2CB44208">
      <w:pPr>
        <w:pStyle w:val="3"/>
        <w:ind w:firstLine="0" w:firstLineChars="0"/>
        <w:rPr>
          <w:rFonts w:ascii="黑体" w:hAnsi="黑体" w:eastAsia="黑体"/>
          <w:szCs w:val="20"/>
          <w:lang w:val="en-US"/>
        </w:rPr>
      </w:pPr>
      <w:bookmarkStart w:id="56" w:name="网格图"/>
      <w:bookmarkEnd w:id="56"/>
    </w:p>
    <w:p w14:paraId="222D9A3B">
      <w:pPr>
        <w:pStyle w:val="4"/>
        <w:numPr>
          <w:ilvl w:val="1"/>
          <w:numId w:val="3"/>
        </w:numPr>
      </w:pPr>
      <w:bookmarkStart w:id="57" w:name="_Toc179986107"/>
      <w:bookmarkStart w:id="58" w:name="_Toc509844742"/>
      <w:r>
        <w:rPr>
          <w:rFonts w:hint="eastAsia"/>
        </w:rPr>
        <w:t>边界条件</w:t>
      </w:r>
      <w:bookmarkEnd w:id="57"/>
      <w:bookmarkEnd w:id="58"/>
    </w:p>
    <w:p w14:paraId="7719C5C9">
      <w:r>
        <w:rPr>
          <w:lang w:val="en-US"/>
        </w:rPr>
        <w:drawing>
          <wp:inline distT="0" distB="0" distL="0" distR="0">
            <wp:extent cx="5486400" cy="3324225"/>
            <wp:effectExtent l="0" t="0" r="0" b="9525"/>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86400" cy="3324225"/>
                    </a:xfrm>
                    <a:prstGeom prst="rect">
                      <a:avLst/>
                    </a:prstGeom>
                    <a:noFill/>
                    <a:ln>
                      <a:noFill/>
                    </a:ln>
                  </pic:spPr>
                </pic:pic>
              </a:graphicData>
            </a:graphic>
          </wp:inline>
        </w:drawing>
      </w:r>
    </w:p>
    <w:p w14:paraId="57F5C05C">
      <w:pPr>
        <w:pStyle w:val="3"/>
        <w:ind w:firstLine="0" w:firstLineChars="0"/>
        <w:jc w:val="center"/>
        <w:rPr>
          <w:rFonts w:ascii="Calibri Light" w:hAnsi="Calibri Light" w:eastAsia="黑体"/>
          <w:sz w:val="20"/>
          <w:szCs w:val="20"/>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4.3</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风场</w:t>
      </w:r>
      <w:r>
        <w:rPr>
          <w:rFonts w:hint="eastAsia" w:ascii="Calibri Light" w:hAnsi="Calibri Light" w:eastAsia="黑体"/>
          <w:sz w:val="20"/>
          <w:szCs w:val="20"/>
        </w:rPr>
        <w:t>边界类型示意图</w:t>
      </w:r>
    </w:p>
    <w:p w14:paraId="5D08B69D">
      <w:pPr>
        <w:pStyle w:val="3"/>
        <w:ind w:firstLine="405" w:firstLineChars="193"/>
      </w:pPr>
      <w:r>
        <w:rPr>
          <w:rFonts w:hint="eastAsia"/>
          <w:lang w:val="en-US"/>
        </w:rPr>
        <w:t>上图展示了计算域中风场边界的类型，本小节将给出不同边界的边界条件。</w:t>
      </w:r>
    </w:p>
    <w:p w14:paraId="47E4EA82">
      <w:pPr>
        <w:pStyle w:val="5"/>
      </w:pPr>
      <w:bookmarkStart w:id="59" w:name="_Toc179986108"/>
      <w:bookmarkStart w:id="60" w:name="_Toc509844743"/>
      <w:r>
        <w:rPr>
          <w:rFonts w:hint="eastAsia"/>
        </w:rPr>
        <w:t>入口与出口边界条件</w:t>
      </w:r>
      <w:bookmarkEnd w:id="59"/>
      <w:bookmarkEnd w:id="60"/>
    </w:p>
    <w:p w14:paraId="11FFD495">
      <w:pPr>
        <w:rPr>
          <w:rFonts w:ascii="黑体" w:hAnsi="黑体" w:eastAsia="黑体"/>
          <w:sz w:val="24"/>
          <w:szCs w:val="24"/>
        </w:rPr>
      </w:pPr>
      <w:r>
        <w:rPr>
          <w:rFonts w:hint="eastAsia" w:ascii="黑体" w:hAnsi="黑体" w:eastAsia="黑体"/>
          <w:sz w:val="24"/>
          <w:szCs w:val="24"/>
        </w:rPr>
        <w:t>1）入口风速梯度</w:t>
      </w:r>
    </w:p>
    <w:p w14:paraId="67B99BF9">
      <w:pPr>
        <w:pStyle w:val="3"/>
        <w:ind w:firstLine="420"/>
        <w:rPr>
          <w:lang w:val="en-US"/>
        </w:rPr>
      </w:pPr>
      <w:r>
        <w:rPr>
          <w:rFonts w:hint="eastAsia"/>
          <w:lang w:val="en-US"/>
        </w:rPr>
        <w:t>本项目中，入口边界条件主要包括不同工况下的风速和风向数据，其中入口风速采用下列梯度风：</w:t>
      </w:r>
    </w:p>
    <w:p w14:paraId="4A31A3D1">
      <w:pPr>
        <w:pStyle w:val="3"/>
        <w:ind w:firstLine="420"/>
        <w:jc w:val="right"/>
        <w:rPr>
          <w:lang w:val="en-US"/>
        </w:rPr>
      </w:pPr>
      <w:r>
        <w:rPr>
          <w:position w:val="-32"/>
          <w:lang w:val="en-US"/>
        </w:rPr>
        <w:object>
          <v:shape id="_x0000_i1025" o:spt="75" type="#_x0000_t75" style="height:41.45pt;width:71.3pt;" o:ole="t" filled="f" o:preferrelative="t" stroked="f" coordsize="21600,21600">
            <v:path/>
            <v:fill on="f" focussize="0,0"/>
            <v:stroke on="f" joinstyle="miter"/>
            <v:imagedata r:id="rId17" o:title=""/>
            <o:lock v:ext="edit" aspectratio="t"/>
            <w10:wrap type="none"/>
            <w10:anchorlock/>
          </v:shape>
          <o:OLEObject Type="Embed" ProgID="Equation.3" ShapeID="_x0000_i1025" DrawAspect="Content" ObjectID="_1468075725" r:id="rId16">
            <o:LockedField>false</o:LockedField>
          </o:OLEObject>
        </w:object>
      </w:r>
      <w:r>
        <w:rPr>
          <w:rFonts w:hint="eastAsia"/>
          <w:lang w:val="en-US"/>
        </w:rPr>
        <w:t xml:space="preserve">                                （</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lang w:val="en-US"/>
        </w:rPr>
        <w:t>4.3</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1</w:t>
      </w:r>
      <w:r>
        <w:rPr>
          <w:lang w:val="en-US"/>
        </w:rPr>
        <w:fldChar w:fldCharType="end"/>
      </w:r>
      <w:r>
        <w:rPr>
          <w:rFonts w:hint="eastAsia"/>
          <w:lang w:val="en-US"/>
        </w:rPr>
        <w:t>）</w:t>
      </w:r>
    </w:p>
    <w:p w14:paraId="5D7F61AA">
      <w:pPr>
        <w:pStyle w:val="3"/>
        <w:ind w:firstLine="0" w:firstLineChars="0"/>
        <w:rPr>
          <w:lang w:val="en-US"/>
        </w:rPr>
      </w:pPr>
      <w:r>
        <w:rPr>
          <w:rFonts w:hint="eastAsia"/>
          <w:lang w:val="en-US"/>
        </w:rPr>
        <w:t>式中：</w:t>
      </w:r>
    </w:p>
    <w:p w14:paraId="04822E96">
      <w:pPr>
        <w:pStyle w:val="3"/>
        <w:ind w:firstLine="0" w:firstLineChars="0"/>
        <w:rPr>
          <w:lang w:val="en-US"/>
        </w:rPr>
      </w:pPr>
      <w:r>
        <w:rPr>
          <w:i/>
          <w:sz w:val="24"/>
          <w:lang w:val="en-US"/>
        </w:rPr>
        <w:t>v, z</w:t>
      </w:r>
      <w:r>
        <w:rPr>
          <w:rFonts w:hint="eastAsia"/>
          <w:lang w:val="en-US"/>
        </w:rPr>
        <w:t>——任何一点的平均风速和高度；</w:t>
      </w:r>
    </w:p>
    <w:p w14:paraId="14F2F8A9">
      <w:pPr>
        <w:pStyle w:val="3"/>
        <w:ind w:firstLine="0" w:firstLineChars="0"/>
        <w:rPr>
          <w:lang w:val="en-US"/>
        </w:rPr>
      </w:pPr>
      <w:r>
        <w:rPr>
          <w:lang w:val="en-US"/>
        </w:rPr>
        <w:object>
          <v:shape id="_x0000_i1026" o:spt="75" type="#_x0000_t75" style="height:19pt;width:14.95pt;" o:ole="t" filled="f" o:preferrelative="t" stroked="f" coordsize="21600,21600">
            <v:path/>
            <v:fill on="f" focussize="0,0"/>
            <v:stroke on="f" joinstyle="miter"/>
            <v:imagedata r:id="rId19" o:title=""/>
            <o:lock v:ext="edit" aspectratio="t"/>
            <w10:wrap type="none"/>
            <w10:anchorlock/>
          </v:shape>
          <o:OLEObject Type="Embed" ProgID="Equation.3" ShapeID="_x0000_i1026" DrawAspect="Content" ObjectID="_1468075726" r:id="rId18">
            <o:LockedField>false</o:LockedField>
          </o:OLEObject>
        </w:object>
      </w:r>
      <w:r>
        <w:rPr>
          <w:rFonts w:hint="eastAsia"/>
          <w:lang w:val="en-US"/>
        </w:rPr>
        <w:t>、</w:t>
      </w:r>
      <w:r>
        <w:rPr>
          <w:lang w:val="en-US"/>
        </w:rPr>
        <w:t xml:space="preserve"> </w:t>
      </w:r>
      <w:r>
        <w:rPr>
          <w:position w:val="-10"/>
          <w:lang w:val="en-US"/>
        </w:rPr>
        <w:object>
          <v:shape id="_x0000_i1027" o:spt="75" type="#_x0000_t75" style="height:19pt;width:14.25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r>
        <w:rPr>
          <w:rFonts w:hint="eastAsia"/>
          <w:lang w:val="en-US"/>
        </w:rPr>
        <w:t>——标准高度处的平均风速和标准高度值，《建筑结构荷载规范》</w:t>
      </w:r>
      <w:r>
        <w:rPr>
          <w:lang w:val="en-US"/>
        </w:rPr>
        <w:t>GB50009-2012</w:t>
      </w:r>
      <w:r>
        <w:rPr>
          <w:rFonts w:hint="eastAsia"/>
          <w:lang w:val="en-US"/>
        </w:rPr>
        <w:t>规定自然风场的标准高度取</w:t>
      </w:r>
      <w:r>
        <w:rPr>
          <w:lang w:val="en-US"/>
        </w:rPr>
        <w:t>10m</w:t>
      </w:r>
      <w:r>
        <w:rPr>
          <w:rFonts w:hint="eastAsia"/>
          <w:lang w:val="en-US"/>
        </w:rPr>
        <w:t>，此平均风速对应入口风设置的数值；</w:t>
      </w:r>
    </w:p>
    <w:p w14:paraId="65E48A1A">
      <w:pPr>
        <w:pStyle w:val="3"/>
        <w:spacing w:after="156" w:afterLines="50"/>
        <w:ind w:firstLine="0" w:firstLineChars="0"/>
        <w:rPr>
          <w:lang w:val="en-US"/>
        </w:rPr>
      </w:pPr>
      <w:r>
        <w:rPr>
          <w:i/>
          <w:lang w:val="en-US"/>
        </w:rPr>
        <w:t>a</w:t>
      </w:r>
      <w:r>
        <w:rPr>
          <w:rFonts w:hint="eastAsia"/>
          <w:lang w:val="en-US"/>
        </w:rPr>
        <w:t>——地面粗糙度指数，</w:t>
      </w:r>
      <w:r>
        <w:rPr>
          <w:lang w:val="en-US"/>
        </w:rPr>
        <w:t>本项目为</w:t>
      </w:r>
      <w:bookmarkStart w:id="61" w:name="地面粗糙度指数2"/>
      <w:r>
        <w:rPr>
          <w:rFonts w:hint="eastAsia"/>
          <w:lang w:val="en-US"/>
        </w:rPr>
        <w:t>0.28</w:t>
      </w:r>
      <w:bookmarkEnd w:id="61"/>
      <w:r>
        <w:rPr>
          <w:rFonts w:hint="eastAsia"/>
          <w:lang w:val="en-US"/>
        </w:rPr>
        <w:t>；</w:t>
      </w:r>
    </w:p>
    <w:p w14:paraId="7DDEE3C0">
      <w:pPr>
        <w:pStyle w:val="3"/>
        <w:ind w:firstLine="2200" w:firstLineChars="1100"/>
        <w:rPr>
          <w:rFonts w:ascii="黑体" w:hAnsi="黑体" w:eastAsia="黑体"/>
        </w:rPr>
      </w:pPr>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4.3</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hint="eastAsia" w:ascii="黑体" w:hAnsi="黑体" w:eastAsia="黑体"/>
          <w:sz w:val="20"/>
          <w:szCs w:val="20"/>
        </w:rPr>
        <w:t>地面粗糙度指数参考值</w:t>
      </w:r>
    </w:p>
    <w:tbl>
      <w:tblPr>
        <w:tblStyle w:val="21"/>
        <w:tblW w:w="8931" w:type="dxa"/>
        <w:tblInd w:w="-34" w:type="dxa"/>
        <w:tblLayout w:type="autofit"/>
        <w:tblCellMar>
          <w:top w:w="0" w:type="dxa"/>
          <w:left w:w="108" w:type="dxa"/>
          <w:bottom w:w="0" w:type="dxa"/>
          <w:right w:w="108" w:type="dxa"/>
        </w:tblCellMar>
      </w:tblPr>
      <w:tblGrid>
        <w:gridCol w:w="2864"/>
        <w:gridCol w:w="4366"/>
        <w:gridCol w:w="1701"/>
      </w:tblGrid>
      <w:tr w14:paraId="7DC57077">
        <w:trPr>
          <w:trHeight w:val="285" w:hRule="atLeast"/>
        </w:trPr>
        <w:tc>
          <w:tcPr>
            <w:tcW w:w="2864" w:type="dxa"/>
            <w:tcBorders>
              <w:top w:val="single" w:color="auto" w:sz="4" w:space="0"/>
              <w:left w:val="single" w:color="auto" w:sz="4" w:space="0"/>
              <w:bottom w:val="single" w:color="auto" w:sz="4" w:space="0"/>
              <w:right w:val="single" w:color="auto" w:sz="4" w:space="0"/>
            </w:tcBorders>
          </w:tcPr>
          <w:p w14:paraId="125C34EF">
            <w:pPr>
              <w:jc w:val="center"/>
              <w:rPr>
                <w:rFonts w:ascii="宋体" w:hAnsi="宋体" w:cs="宋体"/>
                <w:b/>
                <w:bCs/>
                <w:szCs w:val="21"/>
              </w:rPr>
            </w:pPr>
            <w:r>
              <w:rPr>
                <w:rFonts w:hint="eastAsia" w:ascii="宋体" w:hAnsi="宋体" w:cs="宋体"/>
                <w:b/>
                <w:bCs/>
                <w:szCs w:val="21"/>
              </w:rPr>
              <w:t>参考标准</w:t>
            </w:r>
          </w:p>
        </w:tc>
        <w:tc>
          <w:tcPr>
            <w:tcW w:w="4366" w:type="dxa"/>
            <w:tcBorders>
              <w:top w:val="single" w:color="auto" w:sz="4" w:space="0"/>
              <w:left w:val="nil"/>
              <w:bottom w:val="single" w:color="auto" w:sz="4" w:space="0"/>
              <w:right w:val="single" w:color="auto" w:sz="4" w:space="0"/>
            </w:tcBorders>
            <w:vAlign w:val="center"/>
          </w:tcPr>
          <w:p w14:paraId="3302A0AB">
            <w:pPr>
              <w:jc w:val="center"/>
              <w:rPr>
                <w:rFonts w:ascii="宋体" w:hAnsi="宋体" w:cs="宋体"/>
                <w:b/>
                <w:bCs/>
                <w:szCs w:val="21"/>
              </w:rPr>
            </w:pPr>
            <w:r>
              <w:rPr>
                <w:rFonts w:hint="eastAsia" w:ascii="宋体" w:hAnsi="宋体" w:cs="宋体"/>
                <w:b/>
                <w:bCs/>
                <w:szCs w:val="21"/>
              </w:rPr>
              <w:t>地貌类别</w:t>
            </w:r>
          </w:p>
        </w:tc>
        <w:tc>
          <w:tcPr>
            <w:tcW w:w="1701" w:type="dxa"/>
            <w:tcBorders>
              <w:top w:val="single" w:color="auto" w:sz="4" w:space="0"/>
              <w:left w:val="nil"/>
              <w:bottom w:val="single" w:color="auto" w:sz="4" w:space="0"/>
              <w:right w:val="single" w:color="auto" w:sz="4" w:space="0"/>
            </w:tcBorders>
          </w:tcPr>
          <w:p w14:paraId="6C393A6E">
            <w:pPr>
              <w:jc w:val="center"/>
              <w:rPr>
                <w:rFonts w:ascii="宋体" w:hAnsi="宋体" w:cs="宋体"/>
                <w:b/>
                <w:bCs/>
                <w:szCs w:val="21"/>
              </w:rPr>
            </w:pPr>
            <w:r>
              <w:rPr>
                <w:rFonts w:hint="eastAsia" w:ascii="宋体" w:hAnsi="宋体" w:cs="宋体"/>
                <w:b/>
                <w:bCs/>
                <w:szCs w:val="21"/>
              </w:rPr>
              <w:t>地面粗糙度指数</w:t>
            </w:r>
          </w:p>
        </w:tc>
      </w:tr>
      <w:tr w14:paraId="38D05886">
        <w:tblPrEx>
          <w:tblCellMar>
            <w:top w:w="0" w:type="dxa"/>
            <w:left w:w="108" w:type="dxa"/>
            <w:bottom w:w="0" w:type="dxa"/>
            <w:right w:w="108" w:type="dxa"/>
          </w:tblCellMar>
        </w:tblPrEx>
        <w:trPr>
          <w:trHeight w:val="414" w:hRule="atLeast"/>
        </w:trPr>
        <w:tc>
          <w:tcPr>
            <w:tcW w:w="2864" w:type="dxa"/>
            <w:vMerge w:val="restart"/>
            <w:tcBorders>
              <w:top w:val="single" w:color="auto" w:sz="4" w:space="0"/>
              <w:left w:val="single" w:color="auto" w:sz="4" w:space="0"/>
              <w:right w:val="single" w:color="auto" w:sz="4" w:space="0"/>
            </w:tcBorders>
            <w:vAlign w:val="center"/>
          </w:tcPr>
          <w:p w14:paraId="62C495A0">
            <w:pPr>
              <w:rPr>
                <w:rFonts w:ascii="宋体" w:hAnsi="宋体" w:cs="宋体"/>
                <w:b/>
                <w:szCs w:val="21"/>
              </w:rPr>
            </w:pPr>
            <w:r>
              <w:rPr>
                <w:rFonts w:hint="eastAsia"/>
              </w:rPr>
              <w:t>《绿色建筑评价技术细则》</w:t>
            </w:r>
          </w:p>
        </w:tc>
        <w:tc>
          <w:tcPr>
            <w:tcW w:w="4366" w:type="dxa"/>
            <w:tcBorders>
              <w:top w:val="single" w:color="auto" w:sz="4" w:space="0"/>
              <w:left w:val="nil"/>
              <w:bottom w:val="single" w:color="auto" w:sz="4" w:space="0"/>
              <w:right w:val="single" w:color="auto" w:sz="4" w:space="0"/>
            </w:tcBorders>
            <w:vAlign w:val="center"/>
          </w:tcPr>
          <w:p w14:paraId="309414DC">
            <w:pPr>
              <w:jc w:val="center"/>
              <w:rPr>
                <w:rFonts w:ascii="宋体" w:hAnsi="宋体" w:cs="宋体"/>
                <w:szCs w:val="21"/>
              </w:rPr>
            </w:pPr>
            <w:r>
              <w:rPr>
                <w:rFonts w:hint="eastAsia" w:ascii="宋体" w:hAnsi="宋体" w:cs="宋体"/>
                <w:szCs w:val="21"/>
              </w:rPr>
              <w:t>空旷平坦地面</w:t>
            </w:r>
          </w:p>
        </w:tc>
        <w:tc>
          <w:tcPr>
            <w:tcW w:w="1701" w:type="dxa"/>
            <w:tcBorders>
              <w:top w:val="single" w:color="auto" w:sz="4" w:space="0"/>
              <w:left w:val="nil"/>
              <w:bottom w:val="single" w:color="auto" w:sz="4" w:space="0"/>
              <w:right w:val="single" w:color="auto" w:sz="4" w:space="0"/>
            </w:tcBorders>
          </w:tcPr>
          <w:p w14:paraId="21EBF44A">
            <w:pPr>
              <w:jc w:val="center"/>
              <w:rPr>
                <w:rFonts w:ascii="宋体" w:hAnsi="宋体" w:cs="宋体"/>
                <w:szCs w:val="21"/>
              </w:rPr>
            </w:pPr>
            <w:r>
              <w:rPr>
                <w:rFonts w:hint="eastAsia" w:ascii="宋体" w:hAnsi="宋体" w:cs="宋体"/>
                <w:szCs w:val="21"/>
              </w:rPr>
              <w:t>0.14</w:t>
            </w:r>
          </w:p>
        </w:tc>
      </w:tr>
      <w:tr w14:paraId="54EB2E0D">
        <w:tblPrEx>
          <w:tblCellMar>
            <w:top w:w="0" w:type="dxa"/>
            <w:left w:w="108" w:type="dxa"/>
            <w:bottom w:w="0" w:type="dxa"/>
            <w:right w:w="108" w:type="dxa"/>
          </w:tblCellMar>
        </w:tblPrEx>
        <w:trPr>
          <w:trHeight w:val="414" w:hRule="atLeast"/>
        </w:trPr>
        <w:tc>
          <w:tcPr>
            <w:tcW w:w="2864" w:type="dxa"/>
            <w:vMerge w:val="continue"/>
            <w:tcBorders>
              <w:left w:val="single" w:color="auto" w:sz="4" w:space="0"/>
              <w:right w:val="single" w:color="auto" w:sz="4" w:space="0"/>
            </w:tcBorders>
          </w:tcPr>
          <w:p w14:paraId="6610A09D">
            <w:pPr>
              <w:jc w:val="center"/>
              <w:rPr>
                <w:rFonts w:ascii="宋体" w:hAnsi="宋体" w:cs="宋体"/>
                <w:b/>
                <w:szCs w:val="21"/>
              </w:rPr>
            </w:pPr>
          </w:p>
        </w:tc>
        <w:tc>
          <w:tcPr>
            <w:tcW w:w="4366" w:type="dxa"/>
            <w:tcBorders>
              <w:top w:val="single" w:color="auto" w:sz="4" w:space="0"/>
              <w:left w:val="nil"/>
              <w:bottom w:val="single" w:color="auto" w:sz="4" w:space="0"/>
              <w:right w:val="single" w:color="auto" w:sz="4" w:space="0"/>
            </w:tcBorders>
            <w:vAlign w:val="center"/>
          </w:tcPr>
          <w:p w14:paraId="3F4E781A">
            <w:pPr>
              <w:jc w:val="center"/>
              <w:rPr>
                <w:rFonts w:ascii="宋体" w:hAnsi="宋体" w:cs="宋体"/>
                <w:szCs w:val="21"/>
              </w:rPr>
            </w:pPr>
            <w:r>
              <w:rPr>
                <w:rFonts w:hint="eastAsia" w:ascii="宋体" w:hAnsi="宋体" w:cs="宋体"/>
                <w:szCs w:val="21"/>
              </w:rPr>
              <w:t>城市郊区</w:t>
            </w:r>
          </w:p>
        </w:tc>
        <w:tc>
          <w:tcPr>
            <w:tcW w:w="1701" w:type="dxa"/>
            <w:tcBorders>
              <w:top w:val="single" w:color="auto" w:sz="4" w:space="0"/>
              <w:left w:val="nil"/>
              <w:bottom w:val="single" w:color="auto" w:sz="4" w:space="0"/>
              <w:right w:val="single" w:color="auto" w:sz="4" w:space="0"/>
            </w:tcBorders>
          </w:tcPr>
          <w:p w14:paraId="0D74D4D2">
            <w:pPr>
              <w:jc w:val="center"/>
              <w:rPr>
                <w:rFonts w:ascii="宋体" w:hAnsi="宋体" w:cs="宋体"/>
                <w:szCs w:val="21"/>
              </w:rPr>
            </w:pPr>
            <w:r>
              <w:rPr>
                <w:rFonts w:hint="eastAsia" w:ascii="宋体" w:hAnsi="宋体" w:cs="宋体"/>
                <w:szCs w:val="21"/>
              </w:rPr>
              <w:t>0.22</w:t>
            </w:r>
          </w:p>
        </w:tc>
      </w:tr>
      <w:tr w14:paraId="7C6CA51C">
        <w:tblPrEx>
          <w:tblCellMar>
            <w:top w:w="0" w:type="dxa"/>
            <w:left w:w="108" w:type="dxa"/>
            <w:bottom w:w="0" w:type="dxa"/>
            <w:right w:w="108" w:type="dxa"/>
          </w:tblCellMar>
        </w:tblPrEx>
        <w:trPr>
          <w:trHeight w:val="414" w:hRule="atLeast"/>
        </w:trPr>
        <w:tc>
          <w:tcPr>
            <w:tcW w:w="2864" w:type="dxa"/>
            <w:vMerge w:val="continue"/>
            <w:tcBorders>
              <w:left w:val="single" w:color="auto" w:sz="4" w:space="0"/>
              <w:bottom w:val="single" w:color="auto" w:sz="4" w:space="0"/>
              <w:right w:val="single" w:color="auto" w:sz="4" w:space="0"/>
            </w:tcBorders>
          </w:tcPr>
          <w:p w14:paraId="2B71EB6D">
            <w:pPr>
              <w:jc w:val="center"/>
              <w:rPr>
                <w:rFonts w:ascii="宋体" w:hAnsi="宋体" w:cs="宋体"/>
                <w:b/>
                <w:szCs w:val="21"/>
              </w:rPr>
            </w:pPr>
          </w:p>
        </w:tc>
        <w:tc>
          <w:tcPr>
            <w:tcW w:w="4366" w:type="dxa"/>
            <w:tcBorders>
              <w:top w:val="single" w:color="auto" w:sz="4" w:space="0"/>
              <w:left w:val="nil"/>
              <w:bottom w:val="single" w:color="auto" w:sz="4" w:space="0"/>
              <w:right w:val="single" w:color="auto" w:sz="4" w:space="0"/>
            </w:tcBorders>
            <w:vAlign w:val="center"/>
          </w:tcPr>
          <w:p w14:paraId="2B55EFDF">
            <w:pPr>
              <w:jc w:val="center"/>
              <w:rPr>
                <w:rFonts w:ascii="宋体" w:hAnsi="宋体" w:cs="宋体"/>
                <w:szCs w:val="21"/>
              </w:rPr>
            </w:pPr>
            <w:r>
              <w:rPr>
                <w:rFonts w:hint="eastAsia" w:ascii="宋体" w:hAnsi="宋体" w:cs="宋体"/>
                <w:szCs w:val="21"/>
              </w:rPr>
              <w:t>大城市中心</w:t>
            </w:r>
          </w:p>
        </w:tc>
        <w:tc>
          <w:tcPr>
            <w:tcW w:w="1701" w:type="dxa"/>
            <w:tcBorders>
              <w:top w:val="single" w:color="auto" w:sz="4" w:space="0"/>
              <w:left w:val="nil"/>
              <w:bottom w:val="single" w:color="auto" w:sz="4" w:space="0"/>
              <w:right w:val="single" w:color="auto" w:sz="4" w:space="0"/>
            </w:tcBorders>
          </w:tcPr>
          <w:p w14:paraId="7DC5717D">
            <w:pPr>
              <w:jc w:val="center"/>
              <w:rPr>
                <w:rFonts w:ascii="宋体" w:hAnsi="宋体" w:cs="宋体"/>
                <w:szCs w:val="21"/>
              </w:rPr>
            </w:pPr>
            <w:r>
              <w:rPr>
                <w:rFonts w:hint="eastAsia" w:ascii="宋体" w:hAnsi="宋体" w:cs="宋体"/>
                <w:szCs w:val="21"/>
              </w:rPr>
              <w:t>0.28</w:t>
            </w:r>
          </w:p>
        </w:tc>
      </w:tr>
    </w:tbl>
    <w:p w14:paraId="09472C17">
      <w:pPr>
        <w:spacing w:before="156" w:beforeLines="50" w:line="240" w:lineRule="auto"/>
        <w:rPr>
          <w:rFonts w:ascii="黑体" w:hAnsi="黑体" w:eastAsia="黑体"/>
          <w:lang w:val="en-US"/>
        </w:rPr>
      </w:pPr>
      <w:r>
        <w:rPr>
          <w:rFonts w:hint="eastAsia" w:ascii="黑体" w:hAnsi="黑体" w:eastAsia="黑体"/>
          <w:lang w:val="en-US"/>
        </w:rPr>
        <w:t>注：上述地面粗糙度指数参考《绿色建筑评价技术细则》关于4.2.6节条文说明，也可酌情参考《建筑通风效果测试与评价标准》JGJT3099-2013中5.2.1节</w:t>
      </w:r>
    </w:p>
    <w:p w14:paraId="38D428C1">
      <w:pPr>
        <w:spacing w:before="156" w:beforeLines="50" w:line="240" w:lineRule="auto"/>
        <w:rPr>
          <w:rFonts w:ascii="黑体" w:hAnsi="黑体" w:eastAsia="黑体"/>
        </w:rPr>
      </w:pPr>
      <w:r>
        <w:rPr>
          <w:rFonts w:ascii="黑体" w:hAnsi="黑体" w:eastAsia="黑体"/>
          <w:sz w:val="24"/>
          <w:szCs w:val="24"/>
        </w:rPr>
        <w:t>2）出口边界</w:t>
      </w:r>
      <w:r>
        <w:rPr>
          <w:rFonts w:hint="eastAsia" w:ascii="黑体" w:hAnsi="黑体" w:eastAsia="黑体"/>
          <w:sz w:val="24"/>
          <w:szCs w:val="24"/>
        </w:rPr>
        <w:t>条件</w:t>
      </w:r>
    </w:p>
    <w:p w14:paraId="7D805804">
      <w:pPr>
        <w:spacing w:before="156" w:beforeLines="50" w:line="240" w:lineRule="auto"/>
        <w:rPr>
          <w:szCs w:val="21"/>
          <w:lang w:val="en-US"/>
        </w:rPr>
      </w:pPr>
      <w:r>
        <w:rPr>
          <w:szCs w:val="21"/>
          <w:lang w:val="en-US"/>
        </w:rPr>
        <w:t xml:space="preserve">    </w:t>
      </w:r>
      <w:r>
        <w:rPr>
          <w:rFonts w:hint="eastAsia"/>
          <w:szCs w:val="21"/>
          <w:lang w:val="en-US"/>
        </w:rPr>
        <w:t>本项目采用自由出流作为出口边界条件。</w:t>
      </w:r>
    </w:p>
    <w:p w14:paraId="59836F98">
      <w:pPr>
        <w:pStyle w:val="5"/>
      </w:pPr>
      <w:bookmarkStart w:id="62" w:name="_Toc509844744"/>
      <w:bookmarkStart w:id="63" w:name="_Toc179986109"/>
      <w:r>
        <w:rPr>
          <w:rFonts w:hint="eastAsia"/>
        </w:rPr>
        <w:t>壁面边界条件</w:t>
      </w:r>
      <w:bookmarkEnd w:id="62"/>
      <w:bookmarkEnd w:id="63"/>
    </w:p>
    <w:p w14:paraId="4784E867">
      <w:pPr>
        <w:pStyle w:val="3"/>
        <w:ind w:firstLine="210" w:firstLineChars="100"/>
        <w:jc w:val="left"/>
        <w:rPr>
          <w:rFonts w:ascii="Calibri Light" w:hAnsi="Calibri Light" w:eastAsia="黑体"/>
          <w:sz w:val="20"/>
          <w:szCs w:val="20"/>
        </w:rPr>
      </w:pPr>
      <w:r>
        <w:rPr>
          <w:lang w:val="en-US"/>
        </w:rPr>
        <w:t xml:space="preserve">  </w:t>
      </w:r>
      <w:r>
        <w:rPr>
          <w:rFonts w:hint="eastAsia"/>
          <w:lang w:val="en-US"/>
        </w:rPr>
        <w:t>风场的两个</w:t>
      </w:r>
      <w:r>
        <w:rPr>
          <w:rFonts w:hint="eastAsia"/>
          <w:b/>
          <w:lang w:val="en-US"/>
        </w:rPr>
        <w:t>侧</w:t>
      </w:r>
      <w:r>
        <w:rPr>
          <w:rFonts w:hint="eastAsia"/>
          <w:lang w:val="en-US"/>
        </w:rPr>
        <w:t>面边界和</w:t>
      </w:r>
      <w:r>
        <w:rPr>
          <w:rFonts w:hint="eastAsia"/>
          <w:b/>
          <w:lang w:val="en-US"/>
        </w:rPr>
        <w:t>顶</w:t>
      </w:r>
      <w:r>
        <w:rPr>
          <w:rFonts w:hint="eastAsia"/>
          <w:lang w:val="en-US"/>
        </w:rPr>
        <w:t>边界设定为滑移壁面，即假定空气流动不受壁面摩擦力影响，模拟真实的室外风流动。</w:t>
      </w:r>
    </w:p>
    <w:p w14:paraId="610A7CF3">
      <w:r>
        <w:rPr>
          <w:rFonts w:hint="eastAsia"/>
        </w:rPr>
        <w:t xml:space="preserve"> </w:t>
      </w:r>
      <w:r>
        <w:t xml:space="preserve"> </w:t>
      </w:r>
      <w:r>
        <w:rPr>
          <w:rFonts w:hint="eastAsia"/>
        </w:rPr>
        <w:t xml:space="preserve">  风场的地面边界设定为无滑移壁面，空气流动要受到地面摩擦力的影响。</w:t>
      </w:r>
    </w:p>
    <w:p w14:paraId="4D3C019C">
      <w:pPr>
        <w:pStyle w:val="4"/>
        <w:numPr>
          <w:ilvl w:val="1"/>
          <w:numId w:val="3"/>
        </w:numPr>
      </w:pPr>
      <w:bookmarkStart w:id="64" w:name="_Toc179986110"/>
      <w:r>
        <w:rPr>
          <w:rFonts w:hint="eastAsia"/>
        </w:rPr>
        <w:t>湍流模型</w:t>
      </w:r>
      <w:bookmarkEnd w:id="30"/>
      <w:bookmarkEnd w:id="31"/>
      <w:bookmarkEnd w:id="64"/>
    </w:p>
    <w:p w14:paraId="48E9BEBF">
      <w:pPr>
        <w:pStyle w:val="3"/>
        <w:ind w:firstLine="420"/>
      </w:pPr>
      <w:r>
        <w:rPr>
          <w:rFonts w:hint="eastAsia"/>
        </w:rPr>
        <w:t>湍流模型反映了流体流动的状态，在流体力学数值模拟中，不同的流体流动应该选择合适的湍流模型才会最大限度模拟出真实的流场数值。</w:t>
      </w:r>
    </w:p>
    <w:p w14:paraId="04B92B96">
      <w:pPr>
        <w:pStyle w:val="3"/>
        <w:ind w:firstLine="420"/>
      </w:pPr>
      <w:r>
        <w:rPr>
          <w:rFonts w:hint="eastAsia"/>
        </w:rPr>
        <w:t>本项目依据《绿色建筑评价技术细则》推荐的标准k-ε湍流模型进行室外流场计算。</w:t>
      </w:r>
    </w:p>
    <w:p w14:paraId="535409B0">
      <w:pPr>
        <w:pStyle w:val="3"/>
        <w:ind w:firstLine="420"/>
      </w:pPr>
      <w:r>
        <w:rPr>
          <w:rFonts w:hint="eastAsia"/>
        </w:rPr>
        <w:t>下表为几种工程流体中常见的湍流模型适用性：</w:t>
      </w:r>
    </w:p>
    <w:p w14:paraId="1AFDD986">
      <w:pPr>
        <w:pStyle w:val="3"/>
        <w:ind w:firstLine="0" w:firstLineChars="0"/>
        <w:jc w:val="center"/>
        <w:rPr>
          <w:rFonts w:ascii="黑体" w:hAnsi="黑体" w:eastAsia="黑体"/>
          <w:sz w:val="20"/>
          <w:szCs w:val="20"/>
        </w:rPr>
      </w:pPr>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4.4</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常用湍流模型适用范围</w:t>
      </w:r>
    </w:p>
    <w:tbl>
      <w:tblPr>
        <w:tblStyle w:val="21"/>
        <w:tblW w:w="9400" w:type="dxa"/>
        <w:tblInd w:w="93" w:type="dxa"/>
        <w:tblLayout w:type="autofit"/>
        <w:tblCellMar>
          <w:top w:w="0" w:type="dxa"/>
          <w:left w:w="108" w:type="dxa"/>
          <w:bottom w:w="0" w:type="dxa"/>
          <w:right w:w="108" w:type="dxa"/>
        </w:tblCellMar>
      </w:tblPr>
      <w:tblGrid>
        <w:gridCol w:w="2640"/>
        <w:gridCol w:w="6760"/>
      </w:tblGrid>
      <w:tr w14:paraId="36D7FC63">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69207CD7">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0C241D30">
            <w:pPr>
              <w:jc w:val="center"/>
              <w:rPr>
                <w:rFonts w:ascii="宋体" w:hAnsi="宋体" w:cs="宋体"/>
                <w:b/>
                <w:bCs/>
                <w:szCs w:val="21"/>
              </w:rPr>
            </w:pPr>
            <w:r>
              <w:rPr>
                <w:rFonts w:hint="eastAsia" w:ascii="宋体" w:hAnsi="宋体" w:cs="宋体"/>
                <w:b/>
                <w:bCs/>
                <w:szCs w:val="21"/>
              </w:rPr>
              <w:t>特点和适用工况</w:t>
            </w:r>
          </w:p>
        </w:tc>
      </w:tr>
      <w:tr w14:paraId="00960917">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06863B41">
            <w:pPr>
              <w:jc w:val="center"/>
              <w:rPr>
                <w:rFonts w:ascii="宋体" w:hAnsi="宋体" w:cs="宋体"/>
                <w:b/>
                <w:szCs w:val="21"/>
              </w:rPr>
            </w:pPr>
            <w:r>
              <w:rPr>
                <w:rFonts w:hint="eastAsia" w:ascii="宋体" w:hAnsi="宋体" w:cs="宋体"/>
                <w:b/>
                <w:szCs w:val="21"/>
              </w:rPr>
              <w:t xml:space="preserve"> standard k-ε </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161B60BB">
            <w:pPr>
              <w:rPr>
                <w:rFonts w:ascii="宋体" w:hAnsi="宋体" w:cs="宋体"/>
                <w:szCs w:val="21"/>
              </w:rPr>
            </w:pPr>
            <w:r>
              <w:rPr>
                <w:rFonts w:hint="eastAsia" w:ascii="宋体" w:hAnsi="宋体" w:cs="宋体"/>
                <w:szCs w:val="21"/>
              </w:rPr>
              <w:t>简单的工业流场和热交换模拟，无较大压力梯度、分离、强曲率流，适用于初始的参数研究，一般的建筑通风均适用。</w:t>
            </w:r>
          </w:p>
        </w:tc>
      </w:tr>
      <w:tr w14:paraId="293669AB">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194B1802">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5B532B8C">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629EA392">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3553727A">
            <w:pPr>
              <w:jc w:val="center"/>
              <w:rPr>
                <w:rFonts w:ascii="宋体" w:hAnsi="宋体" w:cs="宋体"/>
                <w:b/>
                <w:szCs w:val="21"/>
              </w:rPr>
            </w:pPr>
            <w:r>
              <w:rPr>
                <w:rFonts w:hint="eastAsia" w:ascii="宋体" w:hAnsi="宋体" w:cs="宋体"/>
                <w:b/>
                <w:szCs w:val="21"/>
              </w:rPr>
              <w:t xml:space="preserve">realizable k-ε </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22A32314">
            <w:pPr>
              <w:rPr>
                <w:rFonts w:ascii="宋体" w:hAnsi="宋体" w:cs="宋体"/>
                <w:szCs w:val="21"/>
              </w:rPr>
            </w:pPr>
            <w:r>
              <w:rPr>
                <w:rFonts w:hint="eastAsia" w:ascii="宋体" w:hAnsi="宋体" w:cs="宋体"/>
                <w:szCs w:val="21"/>
              </w:rPr>
              <w:t>旋转流动、强逆压梯度的边界层流动、流动分离和二次流，类似于RNG。</w:t>
            </w:r>
          </w:p>
        </w:tc>
      </w:tr>
    </w:tbl>
    <w:p w14:paraId="0ED8F313">
      <w:pPr>
        <w:pStyle w:val="4"/>
        <w:numPr>
          <w:ilvl w:val="1"/>
          <w:numId w:val="3"/>
        </w:numPr>
      </w:pPr>
      <w:bookmarkStart w:id="65" w:name="_Toc179986111"/>
      <w:bookmarkStart w:id="66" w:name="_Toc451698939"/>
      <w:bookmarkStart w:id="67" w:name="_Toc452108767"/>
      <w:r>
        <w:rPr>
          <w:rFonts w:hint="eastAsia"/>
        </w:rPr>
        <w:t>求解计算</w:t>
      </w:r>
      <w:bookmarkEnd w:id="65"/>
      <w:bookmarkEnd w:id="66"/>
      <w:bookmarkEnd w:id="67"/>
    </w:p>
    <w:p w14:paraId="73B8CDC8">
      <w:pPr>
        <w:pStyle w:val="3"/>
        <w:numPr>
          <w:ilvl w:val="0"/>
          <w:numId w:val="6"/>
        </w:numPr>
        <w:ind w:firstLineChars="0"/>
        <w:rPr>
          <w:b/>
          <w:lang w:val="en-US"/>
        </w:rPr>
      </w:pPr>
      <w:r>
        <w:rPr>
          <w:rFonts w:hint="eastAsia"/>
          <w:b/>
          <w:lang w:val="en-US"/>
        </w:rPr>
        <w:t>数学模型</w:t>
      </w:r>
    </w:p>
    <w:p w14:paraId="6967CE58">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04EA1C0B">
      <w:pPr>
        <w:pStyle w:val="3"/>
        <w:ind w:firstLine="525" w:firstLineChars="250"/>
        <w:jc w:val="center"/>
        <w:rPr>
          <w:lang w:val="en-US"/>
        </w:rPr>
      </w:pPr>
      <w:r>
        <w:rPr>
          <w:lang w:val="en-US"/>
        </w:rPr>
        <w:drawing>
          <wp:inline distT="0" distB="0" distL="0" distR="0">
            <wp:extent cx="2381250" cy="400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5608C2DB">
      <w:pPr>
        <w:pStyle w:val="3"/>
        <w:ind w:firstLine="525" w:firstLineChars="250"/>
        <w:rPr>
          <w:lang w:val="en-US"/>
        </w:rPr>
      </w:pPr>
      <w:r>
        <w:rPr>
          <w:rFonts w:hint="eastAsia"/>
          <w:lang w:val="en-US"/>
        </w:rPr>
        <w:t>该式中的φ可以是速度、湍流动能、湍流耗散率以及温度等物理量，参照下表</w:t>
      </w:r>
    </w:p>
    <w:p w14:paraId="3504BD95">
      <w:pPr>
        <w:pStyle w:val="3"/>
        <w:ind w:firstLine="0" w:firstLineChars="0"/>
        <w:jc w:val="center"/>
        <w:rPr>
          <w:rFonts w:ascii="黑体" w:hAnsi="黑体" w:eastAsia="黑体"/>
          <w:sz w:val="20"/>
          <w:szCs w:val="20"/>
        </w:rPr>
      </w:pPr>
      <w:bookmarkStart w:id="68"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4.5</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8"/>
      <w:r>
        <w:rPr>
          <w:rFonts w:hint="eastAsia" w:ascii="黑体" w:hAnsi="黑体" w:eastAsia="黑体"/>
          <w:sz w:val="20"/>
          <w:szCs w:val="20"/>
        </w:rPr>
        <w:t xml:space="preserve"> </w:t>
      </w:r>
      <w:bookmarkStart w:id="69" w:name="_Ref225175618"/>
      <w:r>
        <w:rPr>
          <w:rFonts w:hint="eastAsia" w:ascii="黑体" w:hAnsi="黑体" w:eastAsia="黑体"/>
          <w:sz w:val="20"/>
          <w:szCs w:val="20"/>
        </w:rPr>
        <w:t>计算流体力学的控制方程</w:t>
      </w:r>
      <w:bookmarkEnd w:id="69"/>
    </w:p>
    <w:tbl>
      <w:tblPr>
        <w:tblStyle w:val="21"/>
        <w:tblW w:w="8820"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008"/>
        <w:gridCol w:w="720"/>
        <w:gridCol w:w="1476"/>
        <w:gridCol w:w="5616"/>
      </w:tblGrid>
      <w:tr w14:paraId="6868FFC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008" w:type="dxa"/>
            <w:tcBorders>
              <w:top w:val="single" w:color="auto" w:sz="4" w:space="0"/>
              <w:left w:val="single" w:color="auto" w:sz="4" w:space="0"/>
              <w:bottom w:val="single" w:color="auto" w:sz="6" w:space="0"/>
              <w:right w:val="single" w:color="auto" w:sz="6" w:space="0"/>
            </w:tcBorders>
            <w:shd w:val="clear" w:color="auto" w:fill="C0C0C0"/>
            <w:vAlign w:val="center"/>
          </w:tcPr>
          <w:p w14:paraId="48C0A956">
            <w:pPr>
              <w:widowControl w:val="0"/>
              <w:jc w:val="both"/>
              <w:rPr>
                <w:rFonts w:cs="Calibri"/>
                <w:b/>
                <w:bCs/>
                <w:kern w:val="2"/>
                <w:szCs w:val="24"/>
              </w:rPr>
            </w:pPr>
            <w:r>
              <w:rPr>
                <w:rFonts w:hint="eastAsia"/>
                <w:b/>
                <w:bCs/>
                <w:szCs w:val="24"/>
              </w:rPr>
              <w:t>名称</w:t>
            </w:r>
          </w:p>
        </w:tc>
        <w:tc>
          <w:tcPr>
            <w:tcW w:w="720" w:type="dxa"/>
            <w:tcBorders>
              <w:top w:val="single" w:color="auto" w:sz="4" w:space="0"/>
              <w:left w:val="single" w:color="auto" w:sz="6" w:space="0"/>
              <w:bottom w:val="single" w:color="auto" w:sz="6" w:space="0"/>
              <w:right w:val="single" w:color="auto" w:sz="6" w:space="0"/>
            </w:tcBorders>
            <w:shd w:val="clear" w:color="auto" w:fill="C0C0C0"/>
            <w:vAlign w:val="center"/>
          </w:tcPr>
          <w:p w14:paraId="2A4801F1">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7358AC95">
            <w:pPr>
              <w:widowControl w:val="0"/>
              <w:jc w:val="both"/>
              <w:rPr>
                <w:rFonts w:cs="Calibri"/>
                <w:kern w:val="2"/>
                <w:szCs w:val="24"/>
              </w:rPr>
            </w:pPr>
            <w:r>
              <w:rPr>
                <w:position w:val="-14"/>
                <w:szCs w:val="24"/>
                <w:lang w:val="en-US"/>
              </w:rPr>
              <w:drawing>
                <wp:inline distT="0" distB="0" distL="0" distR="0">
                  <wp:extent cx="180975" cy="238125"/>
                  <wp:effectExtent l="0" t="0" r="952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62546097">
            <w:pPr>
              <w:widowControl w:val="0"/>
              <w:jc w:val="both"/>
              <w:rPr>
                <w:rFonts w:cs="Calibri"/>
                <w:kern w:val="2"/>
                <w:szCs w:val="24"/>
              </w:rPr>
            </w:pPr>
            <w:r>
              <w:rPr>
                <w:position w:val="-14"/>
                <w:szCs w:val="24"/>
                <w:lang w:val="en-US"/>
              </w:rPr>
              <w:drawing>
                <wp:inline distT="0" distB="0" distL="0" distR="0">
                  <wp:extent cx="190500" cy="238125"/>
                  <wp:effectExtent l="0" t="0" r="0" b="952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6D9D43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008" w:type="dxa"/>
            <w:tcBorders>
              <w:top w:val="single" w:color="auto" w:sz="6" w:space="0"/>
              <w:left w:val="single" w:color="auto" w:sz="4" w:space="0"/>
              <w:bottom w:val="single" w:color="auto" w:sz="6" w:space="0"/>
              <w:right w:val="single" w:color="auto" w:sz="6" w:space="0"/>
            </w:tcBorders>
            <w:vAlign w:val="center"/>
          </w:tcPr>
          <w:p w14:paraId="0CCD4D49">
            <w:pPr>
              <w:widowControl w:val="0"/>
              <w:jc w:val="both"/>
              <w:rPr>
                <w:rFonts w:cs="Calibri"/>
                <w:kern w:val="2"/>
                <w:szCs w:val="24"/>
              </w:rPr>
            </w:pPr>
            <w:r>
              <w:rPr>
                <w:rFonts w:hint="eastAsia"/>
                <w:szCs w:val="24"/>
              </w:rPr>
              <w:t>连续性方程</w:t>
            </w:r>
          </w:p>
        </w:tc>
        <w:tc>
          <w:tcPr>
            <w:tcW w:w="720" w:type="dxa"/>
            <w:tcBorders>
              <w:top w:val="single" w:color="auto" w:sz="6" w:space="0"/>
              <w:left w:val="single" w:color="auto" w:sz="6" w:space="0"/>
              <w:bottom w:val="single" w:color="auto" w:sz="6" w:space="0"/>
              <w:right w:val="single" w:color="auto" w:sz="6" w:space="0"/>
            </w:tcBorders>
            <w:vAlign w:val="center"/>
          </w:tcPr>
          <w:p w14:paraId="29837EFB">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63A15A0C">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2AD67AA2">
            <w:pPr>
              <w:widowControl w:val="0"/>
              <w:jc w:val="both"/>
              <w:rPr>
                <w:rFonts w:cs="Calibri"/>
                <w:kern w:val="2"/>
                <w:szCs w:val="24"/>
              </w:rPr>
            </w:pPr>
            <w:r>
              <w:rPr>
                <w:szCs w:val="24"/>
              </w:rPr>
              <w:t>0</w:t>
            </w:r>
          </w:p>
        </w:tc>
      </w:tr>
      <w:tr w14:paraId="63D2C41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008" w:type="dxa"/>
            <w:tcBorders>
              <w:top w:val="single" w:color="auto" w:sz="6" w:space="0"/>
              <w:left w:val="single" w:color="auto" w:sz="4" w:space="0"/>
              <w:bottom w:val="single" w:color="auto" w:sz="6" w:space="0"/>
              <w:right w:val="single" w:color="auto" w:sz="6" w:space="0"/>
            </w:tcBorders>
            <w:vAlign w:val="center"/>
          </w:tcPr>
          <w:p w14:paraId="5CC986DE">
            <w:pPr>
              <w:widowControl w:val="0"/>
              <w:jc w:val="both"/>
              <w:rPr>
                <w:rFonts w:cs="Calibri"/>
                <w:kern w:val="2"/>
                <w:szCs w:val="24"/>
              </w:rPr>
            </w:pPr>
            <w:r>
              <w:rPr>
                <w:szCs w:val="24"/>
              </w:rPr>
              <w:t xml:space="preserve">x </w:t>
            </w:r>
            <w:r>
              <w:rPr>
                <w:rFonts w:hint="eastAsia"/>
                <w:szCs w:val="24"/>
              </w:rPr>
              <w:t>速度</w:t>
            </w:r>
          </w:p>
        </w:tc>
        <w:tc>
          <w:tcPr>
            <w:tcW w:w="720" w:type="dxa"/>
            <w:tcBorders>
              <w:top w:val="single" w:color="auto" w:sz="6" w:space="0"/>
              <w:left w:val="single" w:color="auto" w:sz="6" w:space="0"/>
              <w:bottom w:val="single" w:color="auto" w:sz="6" w:space="0"/>
              <w:right w:val="single" w:color="auto" w:sz="6" w:space="0"/>
            </w:tcBorders>
            <w:vAlign w:val="center"/>
          </w:tcPr>
          <w:p w14:paraId="3ED2671F">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12F3344">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0E2A7A9E">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5CF77CD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008" w:type="dxa"/>
            <w:tcBorders>
              <w:top w:val="single" w:color="auto" w:sz="6" w:space="0"/>
              <w:left w:val="single" w:color="auto" w:sz="4" w:space="0"/>
              <w:bottom w:val="single" w:color="auto" w:sz="6" w:space="0"/>
              <w:right w:val="single" w:color="auto" w:sz="6" w:space="0"/>
            </w:tcBorders>
            <w:vAlign w:val="center"/>
          </w:tcPr>
          <w:p w14:paraId="46C907D7">
            <w:pPr>
              <w:widowControl w:val="0"/>
              <w:jc w:val="both"/>
              <w:rPr>
                <w:rFonts w:cs="Calibri"/>
                <w:kern w:val="2"/>
                <w:szCs w:val="24"/>
              </w:rPr>
            </w:pPr>
            <w:r>
              <w:rPr>
                <w:szCs w:val="24"/>
              </w:rPr>
              <w:t xml:space="preserve">y </w:t>
            </w:r>
            <w:r>
              <w:rPr>
                <w:rFonts w:hint="eastAsia"/>
                <w:szCs w:val="24"/>
              </w:rPr>
              <w:t>速度</w:t>
            </w:r>
          </w:p>
        </w:tc>
        <w:tc>
          <w:tcPr>
            <w:tcW w:w="720" w:type="dxa"/>
            <w:tcBorders>
              <w:top w:val="single" w:color="auto" w:sz="6" w:space="0"/>
              <w:left w:val="single" w:color="auto" w:sz="6" w:space="0"/>
              <w:bottom w:val="single" w:color="auto" w:sz="6" w:space="0"/>
              <w:right w:val="single" w:color="auto" w:sz="6" w:space="0"/>
            </w:tcBorders>
            <w:vAlign w:val="center"/>
          </w:tcPr>
          <w:p w14:paraId="38677E1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62A95C1">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9AC5AB2">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10BAB91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008" w:type="dxa"/>
            <w:tcBorders>
              <w:top w:val="single" w:color="auto" w:sz="6" w:space="0"/>
              <w:left w:val="single" w:color="auto" w:sz="4" w:space="0"/>
              <w:bottom w:val="single" w:color="auto" w:sz="6" w:space="0"/>
              <w:right w:val="single" w:color="auto" w:sz="6" w:space="0"/>
            </w:tcBorders>
            <w:vAlign w:val="center"/>
          </w:tcPr>
          <w:p w14:paraId="0F3C8961">
            <w:pPr>
              <w:widowControl w:val="0"/>
              <w:jc w:val="both"/>
              <w:rPr>
                <w:rFonts w:cs="Calibri"/>
                <w:kern w:val="2"/>
                <w:szCs w:val="24"/>
              </w:rPr>
            </w:pPr>
            <w:r>
              <w:rPr>
                <w:szCs w:val="24"/>
              </w:rPr>
              <w:t xml:space="preserve">z </w:t>
            </w:r>
            <w:r>
              <w:rPr>
                <w:rFonts w:hint="eastAsia"/>
                <w:szCs w:val="24"/>
              </w:rPr>
              <w:t>速度</w:t>
            </w:r>
          </w:p>
        </w:tc>
        <w:tc>
          <w:tcPr>
            <w:tcW w:w="720" w:type="dxa"/>
            <w:tcBorders>
              <w:top w:val="single" w:color="auto" w:sz="6" w:space="0"/>
              <w:left w:val="single" w:color="auto" w:sz="6" w:space="0"/>
              <w:bottom w:val="single" w:color="auto" w:sz="6" w:space="0"/>
              <w:right w:val="single" w:color="auto" w:sz="6" w:space="0"/>
            </w:tcBorders>
            <w:vAlign w:val="center"/>
          </w:tcPr>
          <w:p w14:paraId="0EB1DF5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0FB1818">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5779123F">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335578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c>
          <w:tcPr>
            <w:tcW w:w="1008" w:type="dxa"/>
            <w:tcBorders>
              <w:top w:val="single" w:color="auto" w:sz="6" w:space="0"/>
              <w:left w:val="single" w:color="auto" w:sz="4" w:space="0"/>
              <w:bottom w:val="single" w:color="auto" w:sz="6" w:space="0"/>
              <w:right w:val="single" w:color="auto" w:sz="6" w:space="0"/>
            </w:tcBorders>
            <w:vAlign w:val="center"/>
          </w:tcPr>
          <w:p w14:paraId="48083A9D">
            <w:pPr>
              <w:rPr>
                <w:rFonts w:cs="Calibri"/>
                <w:kern w:val="2"/>
                <w:szCs w:val="24"/>
              </w:rPr>
            </w:pPr>
            <w:r>
              <w:rPr>
                <w:rFonts w:hint="eastAsia"/>
                <w:szCs w:val="24"/>
              </w:rPr>
              <w:t>湍流</w:t>
            </w:r>
          </w:p>
          <w:p w14:paraId="3019AB00">
            <w:pPr>
              <w:widowControl w:val="0"/>
              <w:jc w:val="both"/>
              <w:rPr>
                <w:rFonts w:cs="Calibri"/>
                <w:kern w:val="2"/>
                <w:szCs w:val="24"/>
              </w:rPr>
            </w:pPr>
            <w:r>
              <w:rPr>
                <w:rFonts w:hint="eastAsia"/>
                <w:szCs w:val="24"/>
              </w:rPr>
              <w:t>动能</w:t>
            </w:r>
          </w:p>
        </w:tc>
        <w:tc>
          <w:tcPr>
            <w:tcW w:w="720" w:type="dxa"/>
            <w:tcBorders>
              <w:top w:val="single" w:color="auto" w:sz="6" w:space="0"/>
              <w:left w:val="single" w:color="auto" w:sz="6" w:space="0"/>
              <w:bottom w:val="single" w:color="auto" w:sz="6" w:space="0"/>
              <w:right w:val="single" w:color="auto" w:sz="6" w:space="0"/>
            </w:tcBorders>
            <w:vAlign w:val="center"/>
          </w:tcPr>
          <w:p w14:paraId="26868057">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161493FF">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04CB759">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0EF3A9D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008" w:type="dxa"/>
            <w:tcBorders>
              <w:top w:val="single" w:color="auto" w:sz="6" w:space="0"/>
              <w:left w:val="single" w:color="auto" w:sz="4" w:space="0"/>
              <w:bottom w:val="single" w:color="auto" w:sz="6" w:space="0"/>
              <w:right w:val="single" w:color="auto" w:sz="6" w:space="0"/>
            </w:tcBorders>
            <w:vAlign w:val="center"/>
          </w:tcPr>
          <w:p w14:paraId="0B874CC2">
            <w:pPr>
              <w:rPr>
                <w:rFonts w:cs="Calibri"/>
                <w:kern w:val="2"/>
                <w:szCs w:val="24"/>
              </w:rPr>
            </w:pPr>
            <w:r>
              <w:rPr>
                <w:rFonts w:hint="eastAsia"/>
                <w:szCs w:val="24"/>
              </w:rPr>
              <w:t>湍流</w:t>
            </w:r>
          </w:p>
          <w:p w14:paraId="0ECC493C">
            <w:pPr>
              <w:widowControl w:val="0"/>
              <w:jc w:val="both"/>
              <w:rPr>
                <w:rFonts w:cs="Calibri"/>
                <w:kern w:val="2"/>
                <w:szCs w:val="24"/>
              </w:rPr>
            </w:pPr>
            <w:r>
              <w:rPr>
                <w:rFonts w:hint="eastAsia"/>
                <w:szCs w:val="24"/>
              </w:rPr>
              <w:t>耗散</w:t>
            </w:r>
          </w:p>
        </w:tc>
        <w:tc>
          <w:tcPr>
            <w:tcW w:w="720" w:type="dxa"/>
            <w:tcBorders>
              <w:top w:val="single" w:color="auto" w:sz="6" w:space="0"/>
              <w:left w:val="single" w:color="auto" w:sz="6" w:space="0"/>
              <w:bottom w:val="single" w:color="auto" w:sz="6" w:space="0"/>
              <w:right w:val="single" w:color="auto" w:sz="6" w:space="0"/>
            </w:tcBorders>
            <w:vAlign w:val="center"/>
          </w:tcPr>
          <w:p w14:paraId="261B8A8A">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4617917">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2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2DC13B3">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72BB18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008" w:type="dxa"/>
            <w:tcBorders>
              <w:top w:val="single" w:color="auto" w:sz="6" w:space="0"/>
              <w:left w:val="single" w:color="auto" w:sz="4" w:space="0"/>
              <w:bottom w:val="single" w:color="auto" w:sz="4" w:space="0"/>
              <w:right w:val="single" w:color="auto" w:sz="6" w:space="0"/>
            </w:tcBorders>
            <w:vAlign w:val="center"/>
          </w:tcPr>
          <w:p w14:paraId="499A9C82">
            <w:pPr>
              <w:widowControl w:val="0"/>
              <w:jc w:val="both"/>
              <w:rPr>
                <w:rFonts w:cs="Calibri"/>
                <w:kern w:val="2"/>
                <w:szCs w:val="24"/>
              </w:rPr>
            </w:pPr>
            <w:r>
              <w:rPr>
                <w:rFonts w:hint="eastAsia"/>
                <w:szCs w:val="24"/>
              </w:rPr>
              <w:t>温度</w:t>
            </w:r>
          </w:p>
        </w:tc>
        <w:tc>
          <w:tcPr>
            <w:tcW w:w="720" w:type="dxa"/>
            <w:tcBorders>
              <w:top w:val="single" w:color="auto" w:sz="6" w:space="0"/>
              <w:left w:val="single" w:color="auto" w:sz="6" w:space="0"/>
              <w:bottom w:val="single" w:color="auto" w:sz="4" w:space="0"/>
              <w:right w:val="single" w:color="auto" w:sz="6" w:space="0"/>
            </w:tcBorders>
            <w:vAlign w:val="center"/>
          </w:tcPr>
          <w:p w14:paraId="6F6D695A">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510F9A2D">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72A711B0">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2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081DB6DD">
      <w:pPr>
        <w:pStyle w:val="3"/>
        <w:ind w:firstLine="525" w:firstLineChars="250"/>
        <w:rPr>
          <w:lang w:val="en-US"/>
        </w:rPr>
      </w:pPr>
      <w:r>
        <w:rPr>
          <w:rFonts w:hint="eastAsia"/>
          <w:lang w:val="en-US"/>
        </w:rPr>
        <w:t>上表中的常数如下：</w:t>
      </w:r>
    </w:p>
    <w:p w14:paraId="2D88AC9A">
      <w:pPr>
        <w:pStyle w:val="3"/>
        <w:ind w:firstLine="525" w:firstLineChars="250"/>
        <w:rPr>
          <w:lang w:val="en-US"/>
        </w:rPr>
      </w:pPr>
      <w:r>
        <w:rPr>
          <w:lang w:val="en-US"/>
        </w:rPr>
        <w:drawing>
          <wp:inline distT="0" distB="0" distL="0" distR="0">
            <wp:extent cx="657225" cy="238125"/>
            <wp:effectExtent l="0" t="0" r="9525" b="9525"/>
            <wp:docPr id="2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2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9525" b="9525"/>
            <wp:docPr id="2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3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3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34"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35"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3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37"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3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2BDD6884">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39"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40"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4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20521F22">
      <w:pPr>
        <w:pStyle w:val="3"/>
        <w:ind w:firstLine="525" w:firstLineChars="250"/>
        <w:rPr>
          <w:lang w:val="en-US"/>
        </w:rPr>
      </w:pPr>
      <w:r>
        <w:rPr>
          <w:lang w:val="en-US"/>
        </w:rPr>
        <w:drawing>
          <wp:inline distT="0" distB="0" distL="0" distR="0">
            <wp:extent cx="1704975" cy="457200"/>
            <wp:effectExtent l="0" t="0" r="9525" b="0"/>
            <wp:docPr id="4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4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5"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799BDE4A">
      <w:pPr>
        <w:pStyle w:val="3"/>
        <w:numPr>
          <w:ilvl w:val="0"/>
          <w:numId w:val="6"/>
        </w:numPr>
        <w:ind w:firstLineChars="0"/>
        <w:rPr>
          <w:b/>
          <w:lang w:val="en-US"/>
        </w:rPr>
      </w:pPr>
      <w:r>
        <w:rPr>
          <w:rFonts w:hint="eastAsia"/>
          <w:b/>
          <w:lang w:val="en-US"/>
        </w:rPr>
        <w:t>算法说明</w:t>
      </w:r>
    </w:p>
    <w:p w14:paraId="15A123FC">
      <w:pPr>
        <w:pStyle w:val="3"/>
        <w:ind w:firstLine="514" w:firstLineChars="245"/>
        <w:rPr>
          <w:lang w:val="en-US"/>
        </w:rPr>
      </w:pPr>
      <w:r>
        <w:rPr>
          <w:rFonts w:hint="eastAsia"/>
          <w:lang w:val="en-US"/>
        </w:rPr>
        <w:t>本项目采用</w:t>
      </w:r>
      <w:r>
        <w:rPr>
          <w:lang w:val="en-US"/>
        </w:rPr>
        <w:t>SIMPLE</w:t>
      </w:r>
      <w:r>
        <w:rPr>
          <w:rFonts w:hint="eastAsia"/>
          <w:lang w:val="en-US"/>
        </w:rPr>
        <w:t>算法求解</w:t>
      </w:r>
      <w:r>
        <w:rPr>
          <w:lang w:val="en-US"/>
        </w:rPr>
        <w:t>上述方程</w:t>
      </w:r>
      <w:r>
        <w:rPr>
          <w:rFonts w:hint="eastAsia"/>
          <w:lang w:val="en-US"/>
        </w:rPr>
        <w:t>组。</w:t>
      </w:r>
      <w:bookmarkEnd w:id="22"/>
    </w:p>
    <w:p w14:paraId="7F20EC91">
      <w:pPr>
        <w:pStyle w:val="4"/>
      </w:pPr>
      <w:bookmarkStart w:id="70" w:name="_Toc179986112"/>
      <w:bookmarkStart w:id="71" w:name="_Toc509844747"/>
      <w:r>
        <w:rPr>
          <w:rFonts w:hint="eastAsia"/>
        </w:rPr>
        <w:t>风速放大系数计算</w:t>
      </w:r>
      <w:bookmarkEnd w:id="70"/>
      <w:bookmarkEnd w:id="71"/>
    </w:p>
    <w:p w14:paraId="5358B017">
      <w:pPr>
        <w:pStyle w:val="13"/>
        <w:ind w:left="143" w:leftChars="68" w:firstLine="420" w:firstLineChars="200"/>
        <w:rPr>
          <w:rFonts w:ascii="Times New Roman" w:hAnsi="Times New Roman" w:eastAsia="宋体"/>
          <w:sz w:val="21"/>
          <w:szCs w:val="21"/>
          <w:lang w:val="en-US"/>
        </w:rPr>
      </w:pPr>
      <w:r>
        <w:rPr>
          <w:rFonts w:hint="eastAsia" w:ascii="Times New Roman" w:hAnsi="Times New Roman" w:eastAsia="宋体"/>
          <w:sz w:val="21"/>
          <w:szCs w:val="21"/>
          <w:lang w:val="en-US"/>
        </w:rPr>
        <w:t>风速放大系数反映了高层建筑对风速的放大作用，通常指建筑物周围离地面高</w:t>
      </w:r>
      <w:r>
        <w:rPr>
          <w:rFonts w:ascii="Times New Roman" w:hAnsi="Times New Roman" w:eastAsia="宋体"/>
          <w:sz w:val="21"/>
          <w:szCs w:val="21"/>
          <w:lang w:val="en-US"/>
        </w:rPr>
        <w:t>1.5m</w:t>
      </w:r>
      <w:r>
        <w:rPr>
          <w:rFonts w:hint="eastAsia" w:ascii="Times New Roman" w:hAnsi="Times New Roman" w:eastAsia="宋体"/>
          <w:sz w:val="21"/>
          <w:szCs w:val="21"/>
          <w:lang w:val="en-US"/>
        </w:rPr>
        <w:t>处最大风速与开阔区域同高度风速之比。可采用下式平均风速随高度变化的指数函数进行风速放大系数的计算：</w:t>
      </w: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30"/>
        <w:gridCol w:w="1832"/>
      </w:tblGrid>
      <w:tr w14:paraId="5E8E0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7230" w:type="dxa"/>
            <w:vMerge w:val="restart"/>
            <w:vAlign w:val="center"/>
          </w:tcPr>
          <w:p w14:paraId="6A44FE18">
            <w:pPr>
              <w:pStyle w:val="3"/>
              <w:ind w:firstLine="420"/>
              <w:rPr>
                <w:lang w:val="en-US"/>
              </w:rPr>
            </w:pPr>
            <m:oMathPara>
              <m:oMathParaPr>
                <m:jc m:val="center"/>
              </m:oMathParaP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i/>
                                <w:lang w:val="en-US"/>
                              </w:rPr>
                            </m:ctrlPr>
                          </m:sSupPr>
                          <m:e>
                            <m:r>
                              <m:rPr/>
                              <w:rPr>
                                <w:rFonts w:ascii="Cambria Math" w:hAnsi="Cambria Math"/>
                                <w:lang w:val="en-US"/>
                              </w:rPr>
                              <m:t>v</m:t>
                            </m:r>
                            <m:ctrlPr>
                              <w:rPr>
                                <w:rFonts w:ascii="Cambria Math" w:hAnsi="Cambria Math"/>
                                <w:i/>
                                <w:lang w:val="en-US"/>
                              </w:rPr>
                            </m:ctrlPr>
                          </m:e>
                          <m:sup>
                            <m:r>
                              <m:rPr/>
                              <w:rPr>
                                <w:rFonts w:ascii="Cambria Math" w:hAnsi="Cambria Math"/>
                                <w:lang w:val="en-US"/>
                              </w:rPr>
                              <m:t>'</m:t>
                            </m:r>
                            <m:ctrlPr>
                              <w:rPr>
                                <w:rFonts w:ascii="Cambria Math" w:hAnsi="Cambria Math"/>
                                <w:i/>
                                <w:lang w:val="en-US"/>
                              </w:rPr>
                            </m:ctrlPr>
                          </m:sup>
                        </m:sSup>
                        <m:r>
                          <m:rP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1.5B</m:t>
                                </m:r>
                                <m:ctrlPr>
                                  <w:rPr>
                                    <w:rFonts w:ascii="Cambria Math" w:hAnsi="Cambria Math"/>
                                    <w:i/>
                                    <w:lang w:val="en-US"/>
                                  </w:rPr>
                                </m:ctrlPr>
                              </m:sub>
                            </m:sSub>
                            <m:ctrlPr>
                              <w:rPr>
                                <w:rFonts w:ascii="Cambria Math" w:hAnsi="Cambria Math"/>
                                <w:i/>
                                <w:lang w:val="en-US"/>
                              </w:rPr>
                            </m:ctrlPr>
                          </m:num>
                          <m:den>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1.5f</m:t>
                                </m:r>
                                <m:ctrlPr>
                                  <w:rPr>
                                    <w:rFonts w:ascii="Cambria Math" w:hAnsi="Cambria Math"/>
                                    <w:i/>
                                    <w:lang w:val="en-US"/>
                                  </w:rPr>
                                </m:ctrlPr>
                              </m:sub>
                            </m:sSub>
                            <m:ctrlPr>
                              <w:rPr>
                                <w:rFonts w:ascii="Cambria Math" w:hAnsi="Cambria Math"/>
                                <w:i/>
                                <w:lang w:val="en-US"/>
                              </w:rPr>
                            </m:ctrlPr>
                          </m:den>
                        </m:f>
                        <m:ctrlPr>
                          <w:rPr>
                            <w:rFonts w:ascii="Cambria Math" w:hAnsi="Cambria Math"/>
                            <w:lang w:val="en-US"/>
                          </w:rPr>
                        </m:ctrlPr>
                      </m:e>
                      <m:e>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1.5f</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v</m:t>
                            </m:r>
                            <m:ctrlPr>
                              <w:rPr>
                                <w:rFonts w:ascii="Cambria Math" w:hAnsi="Cambria Math"/>
                                <w:i/>
                                <w:lang w:val="en-US"/>
                              </w:rPr>
                            </m:ctrlPr>
                          </m:e>
                          <m:sub>
                            <m:r>
                              <m:rPr/>
                              <w:rPr>
                                <w:rFonts w:ascii="Cambria Math" w:hAnsi="Cambria Math"/>
                                <w:lang w:val="en-US"/>
                              </w:rPr>
                              <m:t>10f</m:t>
                            </m:r>
                            <m:ctrlPr>
                              <w:rPr>
                                <w:rFonts w:ascii="Cambria Math" w:hAnsi="Cambria Math"/>
                                <w:i/>
                                <w:lang w:val="en-US"/>
                              </w:rPr>
                            </m:ctrlPr>
                          </m:sub>
                        </m:sSub>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r>
                                      <m:rPr/>
                                      <w:rPr>
                                        <w:rFonts w:ascii="Cambria Math" w:hAnsi="Cambria Math"/>
                                        <w:lang w:val="en-US"/>
                                      </w:rPr>
                                      <m:t>1.5</m:t>
                                    </m:r>
                                    <m:ctrlPr>
                                      <w:rPr>
                                        <w:rFonts w:ascii="Cambria Math" w:hAnsi="Cambria Math"/>
                                        <w:i/>
                                        <w:lang w:val="en-US"/>
                                      </w:rPr>
                                    </m:ctrlPr>
                                  </m:num>
                                  <m:den>
                                    <m:r>
                                      <m:rPr/>
                                      <w:rPr>
                                        <w:rFonts w:ascii="Cambria Math" w:hAnsi="Cambria Math"/>
                                        <w:lang w:val="en-US"/>
                                      </w:rPr>
                                      <m:t>10</m:t>
                                    </m:r>
                                    <m:ctrlPr>
                                      <w:rPr>
                                        <w:rFonts w:ascii="Cambria Math" w:hAnsi="Cambria Math"/>
                                        <w:i/>
                                        <w:lang w:val="en-US"/>
                                      </w:rPr>
                                    </m:ctrlPr>
                                  </m:den>
                                </m:f>
                                <m:ctrlPr>
                                  <w:rPr>
                                    <w:rFonts w:ascii="Cambria Math" w:hAnsi="Cambria Math"/>
                                    <w:i/>
                                    <w:lang w:val="en-US"/>
                                  </w:rPr>
                                </m:ctrlPr>
                              </m:e>
                            </m:d>
                            <m:ctrlPr>
                              <w:rPr>
                                <w:rFonts w:ascii="Cambria Math" w:hAnsi="Cambria Math"/>
                                <w:i/>
                                <w:lang w:val="en-US"/>
                              </w:rPr>
                            </m:ctrlPr>
                          </m:e>
                          <m:sup>
                            <m:r>
                              <m:rPr/>
                              <w:rPr>
                                <w:rFonts w:ascii="Cambria Math" w:hAnsi="Cambria Math"/>
                                <w:lang w:val="en-US"/>
                              </w:rPr>
                              <m:t>α</m:t>
                            </m:r>
                            <m:ctrlPr>
                              <w:rPr>
                                <w:rFonts w:ascii="Cambria Math" w:hAnsi="Cambria Math"/>
                                <w:i/>
                                <w:lang w:val="en-US"/>
                              </w:rPr>
                            </m:ctrlPr>
                          </m:sup>
                        </m:sSup>
                        <m:ctrlPr>
                          <w:rPr>
                            <w:rFonts w:ascii="Cambria Math" w:hAnsi="Cambria Math"/>
                            <w:lang w:val="en-US"/>
                          </w:rPr>
                        </m:ctrlPr>
                      </m:e>
                    </m:eqArr>
                    <m:ctrlPr>
                      <w:rPr>
                        <w:rFonts w:ascii="Cambria Math" w:hAnsi="Cambria Math"/>
                        <w:lang w:val="en-US"/>
                      </w:rPr>
                    </m:ctrlPr>
                  </m:e>
                </m:d>
              </m:oMath>
            </m:oMathPara>
          </w:p>
        </w:tc>
        <w:tc>
          <w:tcPr>
            <w:tcW w:w="1832" w:type="dxa"/>
            <w:vAlign w:val="center"/>
          </w:tcPr>
          <w:p w14:paraId="62ABBE85">
            <w:pPr>
              <w:jc w:val="right"/>
              <w:rPr>
                <w:lang w:val="en-US"/>
              </w:rPr>
            </w:pPr>
            <w:r>
              <w:rPr>
                <w:rFonts w:hint="eastAsia"/>
                <w:lang w:val="en-US"/>
              </w:rPr>
              <w:t>（</w:t>
            </w:r>
            <w:r>
              <w:rPr>
                <w:szCs w:val="21"/>
                <w:lang w:val="en-US"/>
              </w:rPr>
              <w:fldChar w:fldCharType="begin"/>
            </w:r>
            <w:r>
              <w:rPr>
                <w:szCs w:val="21"/>
                <w:lang w:val="en-US"/>
              </w:rPr>
              <w:instrText xml:space="preserve"> </w:instrText>
            </w:r>
            <w:r>
              <w:rPr>
                <w:rFonts w:hint="eastAsia"/>
                <w:szCs w:val="21"/>
                <w:lang w:val="en-US"/>
              </w:rPr>
              <w:instrText xml:space="preserve">STYLEREF 2 \s</w:instrText>
            </w:r>
            <w:r>
              <w:rPr>
                <w:szCs w:val="21"/>
                <w:lang w:val="en-US"/>
              </w:rPr>
              <w:instrText xml:space="preserve"> </w:instrText>
            </w:r>
            <w:r>
              <w:rPr>
                <w:szCs w:val="21"/>
                <w:lang w:val="en-US"/>
              </w:rPr>
              <w:fldChar w:fldCharType="separate"/>
            </w:r>
            <w:r>
              <w:rPr>
                <w:szCs w:val="21"/>
                <w:lang w:val="en-US"/>
              </w:rPr>
              <w:t>4.6</w:t>
            </w:r>
            <w:r>
              <w:rPr>
                <w:szCs w:val="21"/>
                <w:lang w:val="en-US"/>
              </w:rPr>
              <w:fldChar w:fldCharType="end"/>
            </w:r>
            <w:r>
              <w:rPr>
                <w:szCs w:val="21"/>
                <w:lang w:val="en-US"/>
              </w:rPr>
              <w:noBreakHyphen/>
            </w:r>
            <w:r>
              <w:rPr>
                <w:lang w:val="en-US"/>
              </w:rPr>
              <w:fldChar w:fldCharType="begin"/>
            </w:r>
            <w:r>
              <w:rPr>
                <w:lang w:val="en-US"/>
              </w:rPr>
              <w:instrText xml:space="preserve"> SEQ 式 \* ARABIC \s 2 </w:instrText>
            </w:r>
            <w:r>
              <w:rPr>
                <w:lang w:val="en-US"/>
              </w:rPr>
              <w:fldChar w:fldCharType="separate"/>
            </w:r>
            <w:r>
              <w:rPr>
                <w:lang w:val="en-US"/>
              </w:rPr>
              <w:t>1</w:t>
            </w:r>
            <w:r>
              <w:rPr>
                <w:lang w:val="en-US"/>
              </w:rPr>
              <w:fldChar w:fldCharType="end"/>
            </w:r>
            <w:r>
              <w:rPr>
                <w:rFonts w:hint="eastAsia"/>
                <w:lang w:val="en-US"/>
              </w:rPr>
              <w:t>）</w:t>
            </w:r>
          </w:p>
        </w:tc>
      </w:tr>
      <w:tr w14:paraId="2A6E6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30" w:type="dxa"/>
            <w:vMerge w:val="continue"/>
          </w:tcPr>
          <w:p w14:paraId="5611AD4C">
            <w:pPr>
              <w:rPr>
                <w:lang w:val="en-US"/>
              </w:rPr>
            </w:pPr>
          </w:p>
        </w:tc>
        <w:tc>
          <w:tcPr>
            <w:tcW w:w="1832" w:type="dxa"/>
            <w:vAlign w:val="center"/>
          </w:tcPr>
          <w:p w14:paraId="059936A0">
            <w:pPr>
              <w:jc w:val="right"/>
              <w:rPr>
                <w:lang w:val="en-US"/>
              </w:rPr>
            </w:pPr>
            <w:r>
              <w:rPr>
                <w:rFonts w:hint="eastAsia"/>
                <w:lang w:val="en-US"/>
              </w:rPr>
              <w:t>（</w:t>
            </w:r>
            <w:r>
              <w:rPr>
                <w:szCs w:val="21"/>
                <w:lang w:val="en-US"/>
              </w:rPr>
              <w:fldChar w:fldCharType="begin"/>
            </w:r>
            <w:r>
              <w:rPr>
                <w:szCs w:val="21"/>
                <w:lang w:val="en-US"/>
              </w:rPr>
              <w:instrText xml:space="preserve"> </w:instrText>
            </w:r>
            <w:r>
              <w:rPr>
                <w:rFonts w:hint="eastAsia"/>
                <w:szCs w:val="21"/>
                <w:lang w:val="en-US"/>
              </w:rPr>
              <w:instrText xml:space="preserve">STYLEREF 2 \s</w:instrText>
            </w:r>
            <w:r>
              <w:rPr>
                <w:szCs w:val="21"/>
                <w:lang w:val="en-US"/>
              </w:rPr>
              <w:instrText xml:space="preserve"> </w:instrText>
            </w:r>
            <w:r>
              <w:rPr>
                <w:szCs w:val="21"/>
                <w:lang w:val="en-US"/>
              </w:rPr>
              <w:fldChar w:fldCharType="separate"/>
            </w:r>
            <w:r>
              <w:rPr>
                <w:szCs w:val="21"/>
                <w:lang w:val="en-US"/>
              </w:rPr>
              <w:t>4.6</w:t>
            </w:r>
            <w:r>
              <w:rPr>
                <w:szCs w:val="21"/>
                <w:lang w:val="en-US"/>
              </w:rPr>
              <w:fldChar w:fldCharType="end"/>
            </w:r>
            <w:r>
              <w:rPr>
                <w:szCs w:val="21"/>
                <w:lang w:val="en-US"/>
              </w:rPr>
              <w:noBreakHyphen/>
            </w:r>
            <w:r>
              <w:rPr>
                <w:lang w:val="en-US"/>
              </w:rPr>
              <w:fldChar w:fldCharType="begin"/>
            </w:r>
            <w:r>
              <w:rPr>
                <w:lang w:val="en-US"/>
              </w:rPr>
              <w:instrText xml:space="preserve"> SEQ 式 \* ARABIC \s 2 </w:instrText>
            </w:r>
            <w:r>
              <w:rPr>
                <w:lang w:val="en-US"/>
              </w:rPr>
              <w:fldChar w:fldCharType="separate"/>
            </w:r>
            <w:r>
              <w:rPr>
                <w:lang w:val="en-US"/>
              </w:rPr>
              <w:t>2</w:t>
            </w:r>
            <w:r>
              <w:rPr>
                <w:lang w:val="en-US"/>
              </w:rPr>
              <w:fldChar w:fldCharType="end"/>
            </w:r>
            <w:r>
              <w:rPr>
                <w:rFonts w:hint="eastAsia"/>
                <w:lang w:val="en-US"/>
              </w:rPr>
              <w:t>）</w:t>
            </w:r>
          </w:p>
        </w:tc>
      </w:tr>
    </w:tbl>
    <w:p w14:paraId="3588282E">
      <w:pPr>
        <w:pStyle w:val="3"/>
        <w:ind w:firstLine="420"/>
        <w:rPr>
          <w:lang w:val="en-US"/>
        </w:rPr>
      </w:pPr>
      <w:r>
        <w:rPr>
          <w:rFonts w:hint="eastAsia"/>
          <w:lang w:val="en-US"/>
        </w:rPr>
        <w:t>其中：</w:t>
      </w:r>
    </w:p>
    <w:p w14:paraId="6379E9D7">
      <w:pPr>
        <w:pStyle w:val="3"/>
        <w:ind w:firstLine="420"/>
      </w:pPr>
      <w:r>
        <w:rPr>
          <w:position w:val="-6"/>
        </w:rPr>
        <w:object>
          <v:shape id="_x0000_i1028" o:spt="75" type="#_x0000_t75" style="height:14.25pt;width:12.9pt;" o:ole="t" filled="f" o:preferrelative="t" stroked="f" coordsize="21600,21600">
            <v:path/>
            <v:fill on="f" focussize="0,0"/>
            <v:stroke on="f" joinstyle="miter"/>
            <v:imagedata r:id="rId63" o:title=""/>
            <o:lock v:ext="edit" aspectratio="t"/>
            <w10:wrap type="none"/>
            <w10:anchorlock/>
          </v:shape>
          <o:OLEObject Type="Embed" ProgID="Equation.3" ShapeID="_x0000_i1028" DrawAspect="Content" ObjectID="_1468075728" r:id="rId62">
            <o:LockedField>false</o:LockedField>
          </o:OLEObject>
        </w:object>
      </w:r>
      <w:r>
        <w:rPr>
          <w:rFonts w:hint="eastAsia"/>
        </w:rPr>
        <w:t>——风速放大系数；</w:t>
      </w:r>
    </w:p>
    <w:p w14:paraId="3ECB8BAF">
      <w:pPr>
        <w:pStyle w:val="3"/>
        <w:ind w:firstLine="420"/>
        <w:rPr>
          <w:lang w:val="en-US"/>
        </w:rPr>
      </w:pPr>
      <w:r>
        <w:rPr>
          <w:position w:val="-10"/>
        </w:rPr>
        <w:object>
          <v:shape id="_x0000_i1029" o:spt="75" type="#_x0000_t75" style="height:18.35pt;width:23.75pt;" o:ole="t" filled="f" o:preferrelative="t" stroked="f" coordsize="21600,21600">
            <v:path/>
            <v:fill on="f" focussize="0,0"/>
            <v:stroke on="f" joinstyle="miter"/>
            <v:imagedata r:id="rId65" o:title=""/>
            <o:lock v:ext="edit" aspectratio="t"/>
            <w10:wrap type="none"/>
            <w10:anchorlock/>
          </v:shape>
          <o:OLEObject Type="Embed" ProgID="Equation.3" ShapeID="_x0000_i1029" DrawAspect="Content" ObjectID="_1468075729" r:id="rId64">
            <o:LockedField>false</o:LockedField>
          </o:OLEObject>
        </w:object>
      </w:r>
      <w:r>
        <w:rPr>
          <w:rFonts w:hint="eastAsia"/>
        </w:rPr>
        <w:t>——</w:t>
      </w:r>
      <w:r>
        <w:rPr>
          <w:rFonts w:hint="eastAsia"/>
          <w:lang w:val="en-US"/>
        </w:rPr>
        <w:t>建筑物周围距离地面高1.5米处最大风速，该风速通过前述风速计算获取，对应1.5高度处风速云图中的数据。</w:t>
      </w:r>
    </w:p>
    <w:p w14:paraId="7B9565C5">
      <w:pPr>
        <w:pStyle w:val="3"/>
        <w:ind w:firstLine="420"/>
        <w:rPr>
          <w:lang w:val="en-US"/>
        </w:rPr>
      </w:pPr>
      <w:r>
        <w:rPr>
          <w:position w:val="-14"/>
        </w:rPr>
        <w:object>
          <v:shape id="_x0000_i1030" o:spt="75" type="#_x0000_t75" style="height:20.4pt;width:23.75pt;" o:ole="t" filled="f" o:preferrelative="t" stroked="f" coordsize="21600,21600">
            <v:path/>
            <v:fill on="f" focussize="0,0"/>
            <v:stroke on="f" joinstyle="miter"/>
            <v:imagedata r:id="rId67" o:title=""/>
            <o:lock v:ext="edit" aspectratio="t"/>
            <w10:wrap type="none"/>
            <w10:anchorlock/>
          </v:shape>
          <o:OLEObject Type="Embed" ProgID="Equation.3" ShapeID="_x0000_i1030" DrawAspect="Content" ObjectID="_1468075730" r:id="rId66">
            <o:LockedField>false</o:LockedField>
          </o:OLEObject>
        </w:object>
      </w:r>
      <w:r>
        <w:rPr>
          <w:rFonts w:hint="eastAsia"/>
        </w:rPr>
        <w:t>——远离建筑的开阔区域，距离地面1.5米高度处风速</w:t>
      </w:r>
      <w:r>
        <w:rPr>
          <w:rFonts w:hint="eastAsia"/>
          <w:lang w:val="en-US"/>
        </w:rPr>
        <w:t>。</w:t>
      </w:r>
    </w:p>
    <w:p w14:paraId="4FF776DC">
      <w:pPr>
        <w:pStyle w:val="3"/>
        <w:ind w:firstLine="420"/>
        <w:rPr>
          <w:lang w:val="en-US"/>
        </w:rPr>
      </w:pPr>
      <w:r>
        <w:rPr>
          <w:position w:val="-14"/>
        </w:rPr>
        <w:object>
          <v:shape id="_x0000_i1031" o:spt="75" type="#_x0000_t75" style="height:20.4pt;width:20.4pt;" o:ole="t" filled="f" o:preferrelative="t" stroked="f" coordsize="21600,21600">
            <v:path/>
            <v:fill on="f" focussize="0,0"/>
            <v:stroke on="f" joinstyle="miter"/>
            <v:imagedata r:id="rId69" o:title=""/>
            <o:lock v:ext="edit" aspectratio="t"/>
            <w10:wrap type="none"/>
            <w10:anchorlock/>
          </v:shape>
          <o:OLEObject Type="Embed" ProgID="Equation.3" ShapeID="_x0000_i1031" DrawAspect="Content" ObjectID="_1468075731" r:id="rId68">
            <o:LockedField>false</o:LockedField>
          </o:OLEObject>
        </w:object>
      </w:r>
      <w:r>
        <w:rPr>
          <w:rFonts w:hint="eastAsia"/>
        </w:rPr>
        <w:t>——远离建筑的开阔区域，距离地面10米高度处风速，此处取室外风场入口边界风速</w:t>
      </w:r>
      <w:r>
        <w:rPr>
          <w:rFonts w:hint="eastAsia"/>
          <w:lang w:val="en-US"/>
        </w:rPr>
        <w:t>。</w:t>
      </w:r>
    </w:p>
    <w:p w14:paraId="47C5504A">
      <w:pPr>
        <w:pStyle w:val="3"/>
        <w:ind w:firstLine="420"/>
        <w:rPr>
          <w:lang w:val="en-US"/>
        </w:rPr>
      </w:pPr>
      <w:r>
        <w:rPr>
          <w:i/>
          <w:lang w:val="en-US"/>
        </w:rPr>
        <w:t>a</w:t>
      </w:r>
      <w:r>
        <w:rPr>
          <w:rFonts w:hint="eastAsia"/>
          <w:lang w:val="en-US"/>
        </w:rPr>
        <w:t>——地面粗糙度指数，</w:t>
      </w:r>
      <w:r>
        <w:rPr>
          <w:lang w:val="en-US"/>
        </w:rPr>
        <w:t>本项目为</w:t>
      </w:r>
      <w:bookmarkStart w:id="72" w:name="地面粗糙度指数"/>
      <w:r>
        <w:rPr>
          <w:rFonts w:hint="eastAsia"/>
          <w:lang w:val="en-US"/>
        </w:rPr>
        <w:t>0.28</w:t>
      </w:r>
      <w:bookmarkEnd w:id="72"/>
      <w:r>
        <w:rPr>
          <w:rFonts w:hint="eastAsia"/>
          <w:lang w:val="en-US"/>
        </w:rPr>
        <w:t>；</w:t>
      </w:r>
    </w:p>
    <w:p w14:paraId="7DED4FEB">
      <w:pPr>
        <w:pStyle w:val="3"/>
        <w:ind w:firstLine="420"/>
        <w:rPr>
          <w:lang w:val="en-US"/>
        </w:rPr>
      </w:pPr>
    </w:p>
    <w:p w14:paraId="06568D0E">
      <w:pPr>
        <w:pStyle w:val="2"/>
        <w:sectPr>
          <w:pgSz w:w="11906" w:h="16838"/>
          <w:pgMar w:top="1440" w:right="1133" w:bottom="993" w:left="1701" w:header="794" w:footer="170" w:gutter="0"/>
          <w:cols w:space="720" w:num="1"/>
          <w:docGrid w:type="lines" w:linePitch="312" w:charSpace="0"/>
        </w:sectPr>
      </w:pPr>
    </w:p>
    <w:p w14:paraId="2E16037A">
      <w:pPr>
        <w:pStyle w:val="2"/>
      </w:pPr>
      <w:bookmarkStart w:id="73" w:name="_Toc452108768"/>
      <w:bookmarkStart w:id="74" w:name="_Toc179986113"/>
      <w:r>
        <w:rPr>
          <w:rFonts w:hint="eastAsia"/>
        </w:rPr>
        <w:t>结果</w:t>
      </w:r>
      <w:r>
        <w:t>分析</w:t>
      </w:r>
      <w:bookmarkEnd w:id="73"/>
      <w:bookmarkEnd w:id="74"/>
    </w:p>
    <w:p w14:paraId="59C28CF5">
      <w:pPr>
        <w:pStyle w:val="4"/>
        <w:rPr>
          <w:szCs w:val="21"/>
        </w:rPr>
      </w:pPr>
      <w:bookmarkStart w:id="75" w:name="_Toc179986114"/>
      <w:r>
        <w:rPr>
          <w:rFonts w:hint="eastAsia"/>
          <w:szCs w:val="21"/>
        </w:rPr>
        <w:t>工况</w:t>
      </w:r>
      <w:r>
        <w:rPr>
          <w:szCs w:val="21"/>
        </w:rPr>
        <w:t>表</w:t>
      </w:r>
      <w:bookmarkEnd w:id="75"/>
    </w:p>
    <w:p w14:paraId="412F80F3">
      <w:pPr>
        <w:rPr>
          <w:szCs w:val="21"/>
        </w:rPr>
      </w:pPr>
      <w:r>
        <w:rPr>
          <w:rFonts w:hint="eastAsia"/>
          <w:szCs w:val="21"/>
        </w:rPr>
        <w:t>本结果基于以下几个工况进行计算：</w:t>
      </w:r>
    </w:p>
    <w:tbl>
      <w:tblPr>
        <w:tblStyle w:val="21"/>
        <w:tblW w:w="5000" w:type="pct"/>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autofit"/>
        <w:tblCellMar>
          <w:top w:w="0" w:type="dxa"/>
          <w:left w:w="108" w:type="dxa"/>
          <w:bottom w:w="0" w:type="dxa"/>
          <w:right w:w="108" w:type="dxa"/>
        </w:tblCellMar>
      </w:tblPr>
      <w:tblGrid>
        <w:gridCol w:w="1190"/>
        <w:gridCol w:w="2109"/>
        <w:gridCol w:w="2147"/>
        <w:gridCol w:w="1798"/>
        <w:gridCol w:w="1798"/>
      </w:tblGrid>
      <w:tr w14:paraId="6ACD0FA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8" w:type="pct"/>
            <w:tcBorders>
              <w:top w:val="single" w:color="auto" w:sz="12" w:space="0"/>
              <w:left w:val="single" w:color="auto" w:sz="12" w:space="0"/>
              <w:bottom w:val="single" w:color="auto" w:sz="4" w:space="0"/>
              <w:right w:val="single" w:color="auto" w:sz="4" w:space="0"/>
            </w:tcBorders>
            <w:shd w:val="clear" w:color="auto" w:fill="E6E6E6"/>
          </w:tcPr>
          <w:p w14:paraId="3E2893F7">
            <w:pPr>
              <w:jc w:val="center"/>
              <w:rPr>
                <w:rFonts w:ascii="Calibri" w:hAnsi="Calibri"/>
                <w:szCs w:val="21"/>
              </w:rPr>
            </w:pPr>
            <w:bookmarkStart w:id="76" w:name="计算工况表"/>
            <w:r>
              <w:rPr>
                <w:rFonts w:hint="eastAsia" w:ascii="Calibri" w:hAnsi="Calibri"/>
                <w:szCs w:val="21"/>
              </w:rPr>
              <w:t>序号</w:t>
            </w:r>
          </w:p>
        </w:tc>
        <w:tc>
          <w:tcPr>
            <w:tcW w:w="1166" w:type="pct"/>
            <w:tcBorders>
              <w:top w:val="single" w:color="auto" w:sz="12" w:space="0"/>
              <w:left w:val="single" w:color="auto" w:sz="4" w:space="0"/>
              <w:bottom w:val="single" w:color="auto" w:sz="4" w:space="0"/>
              <w:right w:val="single" w:color="auto" w:sz="4" w:space="0"/>
            </w:tcBorders>
            <w:shd w:val="clear" w:color="auto" w:fill="E6E6E6"/>
            <w:vAlign w:val="center"/>
          </w:tcPr>
          <w:p w14:paraId="0A78755B">
            <w:pPr>
              <w:jc w:val="center"/>
              <w:rPr>
                <w:rFonts w:ascii="Calibri" w:hAnsi="Calibri"/>
                <w:szCs w:val="21"/>
              </w:rPr>
            </w:pPr>
            <w:r>
              <w:rPr>
                <w:rFonts w:hint="eastAsia" w:ascii="Calibri" w:hAnsi="Calibri"/>
                <w:szCs w:val="21"/>
              </w:rPr>
              <w:t>季节</w:t>
            </w:r>
          </w:p>
        </w:tc>
        <w:tc>
          <w:tcPr>
            <w:tcW w:w="1187" w:type="pct"/>
            <w:tcBorders>
              <w:top w:val="single" w:color="auto" w:sz="12" w:space="0"/>
              <w:left w:val="single" w:color="auto" w:sz="4" w:space="0"/>
              <w:bottom w:val="single" w:color="auto" w:sz="4" w:space="0"/>
              <w:right w:val="single" w:color="auto" w:sz="4" w:space="0"/>
            </w:tcBorders>
            <w:shd w:val="clear" w:color="auto" w:fill="E6E6E6"/>
            <w:vAlign w:val="center"/>
          </w:tcPr>
          <w:p w14:paraId="36406FED">
            <w:pPr>
              <w:jc w:val="center"/>
              <w:rPr>
                <w:rFonts w:ascii="Calibri" w:hAnsi="Calibri"/>
                <w:szCs w:val="21"/>
              </w:rPr>
            </w:pPr>
            <w:r>
              <w:rPr>
                <w:rFonts w:hint="eastAsia" w:ascii="Calibri" w:hAnsi="Calibri"/>
                <w:szCs w:val="21"/>
              </w:rPr>
              <w:t>风速</w:t>
            </w:r>
            <w:r>
              <w:rPr>
                <w:rFonts w:ascii="Calibri" w:hAnsi="Calibri"/>
                <w:szCs w:val="21"/>
              </w:rPr>
              <w:t>(m/s)</w:t>
            </w:r>
          </w:p>
        </w:tc>
        <w:tc>
          <w:tcPr>
            <w:tcW w:w="994" w:type="pct"/>
            <w:tcBorders>
              <w:top w:val="single" w:color="auto" w:sz="12" w:space="0"/>
              <w:left w:val="single" w:color="auto" w:sz="4" w:space="0"/>
              <w:bottom w:val="single" w:color="auto" w:sz="4" w:space="0"/>
              <w:right w:val="single" w:color="auto" w:sz="4" w:space="0"/>
            </w:tcBorders>
            <w:shd w:val="clear" w:color="auto" w:fill="E6E6E6"/>
          </w:tcPr>
          <w:p w14:paraId="75B56185">
            <w:pPr>
              <w:jc w:val="center"/>
              <w:rPr>
                <w:rFonts w:ascii="Calibri" w:hAnsi="Calibri"/>
                <w:szCs w:val="21"/>
              </w:rPr>
            </w:pPr>
            <w:r>
              <w:rPr>
                <w:rFonts w:hint="eastAsia" w:ascii="Calibri" w:hAnsi="Calibri"/>
                <w:szCs w:val="21"/>
              </w:rPr>
              <w:t>风向</w:t>
            </w:r>
          </w:p>
        </w:tc>
        <w:tc>
          <w:tcPr>
            <w:tcW w:w="994" w:type="pct"/>
            <w:tcBorders>
              <w:top w:val="single" w:color="auto" w:sz="12" w:space="0"/>
              <w:left w:val="single" w:color="auto" w:sz="4" w:space="0"/>
              <w:bottom w:val="single" w:color="auto" w:sz="4" w:space="0"/>
              <w:right w:val="single" w:color="auto" w:sz="12" w:space="0"/>
            </w:tcBorders>
            <w:shd w:val="clear" w:color="auto" w:fill="E6E6E6"/>
          </w:tcPr>
          <w:p w14:paraId="098E5C0E">
            <w:pPr>
              <w:jc w:val="center"/>
              <w:rPr>
                <w:rFonts w:ascii="Calibri" w:hAnsi="Calibri"/>
                <w:szCs w:val="21"/>
              </w:rPr>
            </w:pPr>
            <w:r>
              <w:rPr>
                <w:rFonts w:hint="eastAsia" w:ascii="Calibri" w:hAnsi="Calibri"/>
                <w:szCs w:val="21"/>
              </w:rPr>
              <w:t>风向（°</w:t>
            </w:r>
            <w:r>
              <w:rPr>
                <w:rFonts w:ascii="Calibri" w:hAnsi="Calibri"/>
                <w:szCs w:val="21"/>
              </w:rPr>
              <w:t>）</w:t>
            </w:r>
          </w:p>
        </w:tc>
      </w:tr>
      <w:tr w14:paraId="156CCAF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8" w:type="pct"/>
            <w:tcBorders>
              <w:top w:val="single" w:color="auto" w:sz="4" w:space="0"/>
              <w:left w:val="single" w:color="auto" w:sz="12" w:space="0"/>
              <w:bottom w:val="single" w:color="auto" w:sz="4" w:space="0"/>
              <w:right w:val="single" w:color="auto" w:sz="4" w:space="0"/>
            </w:tcBorders>
          </w:tcPr>
          <w:p w14:paraId="40DEB668">
            <w:pPr>
              <w:rPr>
                <w:rFonts w:ascii="Calibri" w:hAnsi="Calibri"/>
                <w:szCs w:val="21"/>
              </w:rPr>
            </w:pPr>
            <w:r>
              <w:rPr>
                <w:rFonts w:ascii="Calibri" w:hAnsi="Calibri"/>
                <w:szCs w:val="21"/>
              </w:rPr>
              <w:t>1</w:t>
            </w:r>
          </w:p>
        </w:tc>
        <w:tc>
          <w:tcPr>
            <w:tcW w:w="1166" w:type="pct"/>
            <w:tcBorders>
              <w:top w:val="single" w:color="auto" w:sz="4" w:space="0"/>
              <w:left w:val="single" w:color="auto" w:sz="4" w:space="0"/>
              <w:bottom w:val="single" w:color="auto" w:sz="4" w:space="0"/>
              <w:right w:val="single" w:color="auto" w:sz="4" w:space="0"/>
            </w:tcBorders>
            <w:vAlign w:val="center"/>
          </w:tcPr>
          <w:p w14:paraId="023C8B79">
            <w:pPr>
              <w:rPr>
                <w:rFonts w:ascii="Calibri" w:hAnsi="Calibri"/>
                <w:szCs w:val="21"/>
              </w:rPr>
            </w:pPr>
            <w:r>
              <w:rPr>
                <w:rFonts w:ascii="Calibri" w:hAnsi="Calibri"/>
                <w:szCs w:val="21"/>
              </w:rPr>
              <w:t>冬季</w:t>
            </w:r>
          </w:p>
        </w:tc>
        <w:tc>
          <w:tcPr>
            <w:tcW w:w="1187" w:type="pct"/>
            <w:tcBorders>
              <w:top w:val="single" w:color="auto" w:sz="4" w:space="0"/>
              <w:left w:val="single" w:color="auto" w:sz="4" w:space="0"/>
              <w:bottom w:val="single" w:color="auto" w:sz="4" w:space="0"/>
              <w:right w:val="single" w:color="auto" w:sz="4" w:space="0"/>
            </w:tcBorders>
            <w:vAlign w:val="center"/>
          </w:tcPr>
          <w:p w14:paraId="6E9DBEA8">
            <w:pPr>
              <w:rPr>
                <w:rFonts w:ascii="Calibri" w:hAnsi="Calibri"/>
                <w:szCs w:val="21"/>
              </w:rPr>
            </w:pPr>
            <w:r>
              <w:rPr>
                <w:rFonts w:ascii="Calibri" w:hAnsi="Calibri"/>
                <w:szCs w:val="21"/>
              </w:rPr>
              <w:t>2.70</w:t>
            </w:r>
          </w:p>
        </w:tc>
        <w:tc>
          <w:tcPr>
            <w:tcW w:w="994" w:type="pct"/>
            <w:tcBorders>
              <w:top w:val="single" w:color="auto" w:sz="4" w:space="0"/>
              <w:left w:val="single" w:color="auto" w:sz="4" w:space="0"/>
              <w:bottom w:val="single" w:color="auto" w:sz="4" w:space="0"/>
              <w:right w:val="single" w:color="auto" w:sz="4" w:space="0"/>
            </w:tcBorders>
          </w:tcPr>
          <w:p w14:paraId="21AF9F5D">
            <w:pPr>
              <w:rPr>
                <w:rFonts w:ascii="Calibri" w:hAnsi="Calibri"/>
                <w:szCs w:val="21"/>
              </w:rPr>
            </w:pPr>
            <w:r>
              <w:rPr>
                <w:rFonts w:ascii="Calibri" w:hAnsi="Calibri"/>
                <w:szCs w:val="21"/>
              </w:rPr>
              <w:t>NNE</w:t>
            </w:r>
          </w:p>
        </w:tc>
        <w:tc>
          <w:tcPr>
            <w:tcW w:w="994" w:type="pct"/>
            <w:tcBorders>
              <w:top w:val="single" w:color="auto" w:sz="4" w:space="0"/>
              <w:left w:val="single" w:color="auto" w:sz="4" w:space="0"/>
              <w:bottom w:val="single" w:color="auto" w:sz="4" w:space="0"/>
              <w:right w:val="single" w:color="auto" w:sz="12" w:space="0"/>
            </w:tcBorders>
          </w:tcPr>
          <w:p w14:paraId="596ADD80">
            <w:pPr>
              <w:rPr>
                <w:rFonts w:ascii="Calibri" w:hAnsi="Calibri"/>
                <w:szCs w:val="21"/>
              </w:rPr>
            </w:pPr>
            <w:r>
              <w:rPr>
                <w:rFonts w:ascii="Calibri" w:hAnsi="Calibri"/>
                <w:szCs w:val="21"/>
              </w:rPr>
              <w:t>67.5</w:t>
            </w:r>
          </w:p>
        </w:tc>
      </w:tr>
      <w:tr w14:paraId="0484E9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8" w:type="pct"/>
            <w:tcBorders>
              <w:top w:val="single" w:color="auto" w:sz="4" w:space="0"/>
              <w:left w:val="single" w:color="auto" w:sz="12" w:space="0"/>
              <w:bottom w:val="single" w:color="auto" w:sz="4" w:space="0"/>
              <w:right w:val="single" w:color="auto" w:sz="4" w:space="0"/>
            </w:tcBorders>
          </w:tcPr>
          <w:p w14:paraId="16DCC2A8">
            <w:pPr>
              <w:rPr>
                <w:rFonts w:ascii="Calibri" w:hAnsi="Calibri"/>
                <w:szCs w:val="21"/>
              </w:rPr>
            </w:pPr>
            <w:r>
              <w:rPr>
                <w:rFonts w:ascii="Calibri" w:hAnsi="Calibri"/>
                <w:szCs w:val="21"/>
              </w:rPr>
              <w:t>2</w:t>
            </w:r>
          </w:p>
        </w:tc>
        <w:tc>
          <w:tcPr>
            <w:tcW w:w="1166" w:type="pct"/>
            <w:tcBorders>
              <w:top w:val="single" w:color="auto" w:sz="4" w:space="0"/>
              <w:left w:val="single" w:color="auto" w:sz="4" w:space="0"/>
              <w:bottom w:val="single" w:color="auto" w:sz="4" w:space="0"/>
              <w:right w:val="single" w:color="auto" w:sz="4" w:space="0"/>
            </w:tcBorders>
            <w:vAlign w:val="center"/>
          </w:tcPr>
          <w:p w14:paraId="427E9F07">
            <w:pPr>
              <w:rPr>
                <w:rFonts w:ascii="Calibri" w:hAnsi="Calibri"/>
                <w:szCs w:val="21"/>
              </w:rPr>
            </w:pPr>
            <w:r>
              <w:rPr>
                <w:rFonts w:ascii="Calibri" w:hAnsi="Calibri"/>
                <w:szCs w:val="21"/>
              </w:rPr>
              <w:t>夏季</w:t>
            </w:r>
          </w:p>
        </w:tc>
        <w:tc>
          <w:tcPr>
            <w:tcW w:w="1187" w:type="pct"/>
            <w:tcBorders>
              <w:top w:val="single" w:color="auto" w:sz="4" w:space="0"/>
              <w:left w:val="single" w:color="auto" w:sz="4" w:space="0"/>
              <w:bottom w:val="single" w:color="auto" w:sz="4" w:space="0"/>
              <w:right w:val="single" w:color="auto" w:sz="4" w:space="0"/>
            </w:tcBorders>
            <w:vAlign w:val="center"/>
          </w:tcPr>
          <w:p w14:paraId="1C86329D">
            <w:pPr>
              <w:rPr>
                <w:rFonts w:ascii="Calibri" w:hAnsi="Calibri"/>
                <w:szCs w:val="21"/>
              </w:rPr>
            </w:pPr>
            <w:r>
              <w:rPr>
                <w:rFonts w:ascii="Calibri" w:hAnsi="Calibri"/>
                <w:szCs w:val="21"/>
              </w:rPr>
              <w:t>2.30</w:t>
            </w:r>
          </w:p>
        </w:tc>
        <w:tc>
          <w:tcPr>
            <w:tcW w:w="994" w:type="pct"/>
            <w:tcBorders>
              <w:top w:val="single" w:color="auto" w:sz="4" w:space="0"/>
              <w:left w:val="single" w:color="auto" w:sz="4" w:space="0"/>
              <w:bottom w:val="single" w:color="auto" w:sz="4" w:space="0"/>
              <w:right w:val="single" w:color="auto" w:sz="4" w:space="0"/>
            </w:tcBorders>
          </w:tcPr>
          <w:p w14:paraId="766E8A3B">
            <w:pPr>
              <w:rPr>
                <w:rFonts w:ascii="Calibri" w:hAnsi="Calibri"/>
                <w:szCs w:val="21"/>
              </w:rPr>
            </w:pPr>
            <w:r>
              <w:rPr>
                <w:rFonts w:ascii="Calibri" w:hAnsi="Calibri"/>
                <w:szCs w:val="21"/>
              </w:rPr>
              <w:t>SSE</w:t>
            </w:r>
          </w:p>
        </w:tc>
        <w:tc>
          <w:tcPr>
            <w:tcW w:w="994" w:type="pct"/>
            <w:tcBorders>
              <w:top w:val="single" w:color="auto" w:sz="4" w:space="0"/>
              <w:left w:val="single" w:color="auto" w:sz="4" w:space="0"/>
              <w:bottom w:val="single" w:color="auto" w:sz="4" w:space="0"/>
              <w:right w:val="single" w:color="auto" w:sz="12" w:space="0"/>
            </w:tcBorders>
          </w:tcPr>
          <w:p w14:paraId="57BBDD4B">
            <w:pPr>
              <w:rPr>
                <w:rFonts w:ascii="Calibri" w:hAnsi="Calibri"/>
                <w:szCs w:val="21"/>
              </w:rPr>
            </w:pPr>
            <w:r>
              <w:rPr>
                <w:rFonts w:ascii="Calibri" w:hAnsi="Calibri"/>
                <w:szCs w:val="21"/>
              </w:rPr>
              <w:t>292.5</w:t>
            </w:r>
          </w:p>
        </w:tc>
      </w:tr>
      <w:tr w14:paraId="65A8B7C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658" w:type="pct"/>
            <w:tcBorders>
              <w:top w:val="single" w:color="auto" w:sz="4" w:space="0"/>
              <w:left w:val="single" w:color="auto" w:sz="12" w:space="0"/>
              <w:bottom w:val="single" w:color="auto" w:sz="12" w:space="0"/>
              <w:right w:val="single" w:color="auto" w:sz="4" w:space="0"/>
            </w:tcBorders>
          </w:tcPr>
          <w:p w14:paraId="702FC88B">
            <w:pPr>
              <w:rPr>
                <w:rFonts w:ascii="Calibri" w:hAnsi="Calibri"/>
                <w:szCs w:val="21"/>
              </w:rPr>
            </w:pPr>
            <w:r>
              <w:rPr>
                <w:rFonts w:ascii="Calibri" w:hAnsi="Calibri"/>
                <w:szCs w:val="21"/>
              </w:rPr>
              <w:t>3</w:t>
            </w:r>
          </w:p>
        </w:tc>
        <w:tc>
          <w:tcPr>
            <w:tcW w:w="1166" w:type="pct"/>
            <w:tcBorders>
              <w:top w:val="single" w:color="auto" w:sz="4" w:space="0"/>
              <w:left w:val="single" w:color="auto" w:sz="4" w:space="0"/>
              <w:bottom w:val="single" w:color="auto" w:sz="12" w:space="0"/>
              <w:right w:val="single" w:color="auto" w:sz="4" w:space="0"/>
            </w:tcBorders>
            <w:vAlign w:val="center"/>
          </w:tcPr>
          <w:p w14:paraId="4757F7D4">
            <w:pPr>
              <w:rPr>
                <w:rFonts w:ascii="Calibri" w:hAnsi="Calibri"/>
                <w:szCs w:val="21"/>
              </w:rPr>
            </w:pPr>
            <w:r>
              <w:rPr>
                <w:rFonts w:ascii="Calibri" w:hAnsi="Calibri"/>
                <w:szCs w:val="21"/>
              </w:rPr>
              <w:t>过渡季</w:t>
            </w:r>
          </w:p>
        </w:tc>
        <w:tc>
          <w:tcPr>
            <w:tcW w:w="1187" w:type="pct"/>
            <w:tcBorders>
              <w:top w:val="single" w:color="auto" w:sz="4" w:space="0"/>
              <w:left w:val="single" w:color="auto" w:sz="4" w:space="0"/>
              <w:bottom w:val="single" w:color="auto" w:sz="12" w:space="0"/>
              <w:right w:val="single" w:color="auto" w:sz="4" w:space="0"/>
            </w:tcBorders>
            <w:vAlign w:val="center"/>
          </w:tcPr>
          <w:p w14:paraId="78593F0E">
            <w:pPr>
              <w:rPr>
                <w:rFonts w:ascii="Calibri" w:hAnsi="Calibri"/>
                <w:szCs w:val="21"/>
              </w:rPr>
            </w:pPr>
            <w:r>
              <w:rPr>
                <w:rFonts w:ascii="Calibri" w:hAnsi="Calibri"/>
                <w:szCs w:val="21"/>
              </w:rPr>
              <w:t>2.30</w:t>
            </w:r>
          </w:p>
        </w:tc>
        <w:tc>
          <w:tcPr>
            <w:tcW w:w="994" w:type="pct"/>
            <w:tcBorders>
              <w:top w:val="single" w:color="auto" w:sz="4" w:space="0"/>
              <w:left w:val="single" w:color="auto" w:sz="4" w:space="0"/>
              <w:bottom w:val="single" w:color="auto" w:sz="12" w:space="0"/>
              <w:right w:val="single" w:color="auto" w:sz="4" w:space="0"/>
            </w:tcBorders>
          </w:tcPr>
          <w:p w14:paraId="7C07BE21">
            <w:pPr>
              <w:rPr>
                <w:rFonts w:ascii="Calibri" w:hAnsi="Calibri"/>
                <w:szCs w:val="21"/>
              </w:rPr>
            </w:pPr>
            <w:r>
              <w:rPr>
                <w:rFonts w:ascii="Calibri" w:hAnsi="Calibri"/>
                <w:szCs w:val="21"/>
              </w:rPr>
              <w:t>SSE</w:t>
            </w:r>
          </w:p>
        </w:tc>
        <w:tc>
          <w:tcPr>
            <w:tcW w:w="994" w:type="pct"/>
            <w:tcBorders>
              <w:top w:val="single" w:color="auto" w:sz="4" w:space="0"/>
              <w:left w:val="single" w:color="auto" w:sz="4" w:space="0"/>
              <w:bottom w:val="single" w:color="auto" w:sz="12" w:space="0"/>
              <w:right w:val="single" w:color="auto" w:sz="12" w:space="0"/>
            </w:tcBorders>
          </w:tcPr>
          <w:p w14:paraId="26C06C35">
            <w:pPr>
              <w:rPr>
                <w:rFonts w:ascii="Calibri" w:hAnsi="Calibri"/>
                <w:szCs w:val="21"/>
              </w:rPr>
            </w:pPr>
            <w:r>
              <w:rPr>
                <w:rFonts w:ascii="Calibri" w:hAnsi="Calibri"/>
                <w:szCs w:val="21"/>
              </w:rPr>
              <w:t>292.5</w:t>
            </w:r>
          </w:p>
        </w:tc>
      </w:tr>
      <w:bookmarkEnd w:id="76"/>
    </w:tbl>
    <w:p w14:paraId="28177AAC">
      <w:pPr>
        <w:rPr>
          <w:szCs w:val="21"/>
        </w:rPr>
      </w:pPr>
      <w:r>
        <w:rPr>
          <w:rFonts w:hint="eastAsia"/>
          <w:szCs w:val="21"/>
        </w:rPr>
        <w:t>说明：风向逆时针为正，正东为0°，正北为90°，正西为180°，正南为270°。风向字母意义</w:t>
      </w:r>
      <w:r>
        <w:rPr>
          <w:szCs w:val="21"/>
        </w:rPr>
        <w:t>如下图所示</w:t>
      </w:r>
      <w:r>
        <w:rPr>
          <w:rFonts w:hint="eastAsia"/>
          <w:szCs w:val="21"/>
        </w:rPr>
        <w:t>：</w:t>
      </w:r>
    </w:p>
    <w:p w14:paraId="606C3A00">
      <w:pPr>
        <w:jc w:val="center"/>
        <w:rPr>
          <w:szCs w:val="21"/>
        </w:rPr>
      </w:pPr>
      <w:r>
        <w:rPr>
          <w:lang w:val="en-US"/>
        </w:rPr>
        <w:drawing>
          <wp:inline distT="0" distB="0" distL="0" distR="0">
            <wp:extent cx="2735580" cy="26492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0"/>
                    <a:stretch>
                      <a:fillRect/>
                    </a:stretch>
                  </pic:blipFill>
                  <pic:spPr>
                    <a:xfrm>
                      <a:off x="0" y="0"/>
                      <a:ext cx="2736000" cy="2649600"/>
                    </a:xfrm>
                    <a:prstGeom prst="rect">
                      <a:avLst/>
                    </a:prstGeom>
                  </pic:spPr>
                </pic:pic>
              </a:graphicData>
            </a:graphic>
          </wp:inline>
        </w:drawing>
      </w:r>
    </w:p>
    <w:p w14:paraId="4A64A4B1">
      <w:pPr>
        <w:pStyle w:val="3"/>
        <w:ind w:firstLine="0" w:firstLineChars="0"/>
        <w:jc w:val="cente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风向</w:t>
      </w:r>
      <w:r>
        <w:rPr>
          <w:rFonts w:hint="eastAsia" w:ascii="Calibri Light" w:hAnsi="Calibri Light" w:eastAsia="黑体"/>
          <w:sz w:val="20"/>
          <w:szCs w:val="20"/>
        </w:rPr>
        <w:t>示意图</w:t>
      </w:r>
      <w:r>
        <w:rPr>
          <w:rFonts w:hint="eastAsia"/>
        </w:rPr>
        <w:t xml:space="preserve"> </w:t>
      </w:r>
    </w:p>
    <w:p w14:paraId="52FBA797">
      <w:pPr>
        <w:pStyle w:val="4"/>
      </w:pPr>
      <w:bookmarkStart w:id="77" w:name="_Toc509844750"/>
      <w:bookmarkStart w:id="78" w:name="_Toc179986115"/>
      <w:r>
        <w:rPr>
          <w:rFonts w:hint="eastAsia"/>
        </w:rPr>
        <w:t>冬季工况</w:t>
      </w:r>
      <w:bookmarkEnd w:id="77"/>
      <w:bookmarkEnd w:id="78"/>
    </w:p>
    <w:p w14:paraId="36D00266">
      <w:pPr>
        <w:ind w:firstLine="420" w:firstLineChars="200"/>
        <w:jc w:val="both"/>
      </w:pPr>
      <w:r>
        <w:rPr>
          <w:rFonts w:hint="eastAsia"/>
          <w:lang w:val="en-US"/>
        </w:rPr>
        <w:t>本项目冬季工况的入口边界风速为</w:t>
      </w:r>
      <w:bookmarkStart w:id="79" w:name="冬季入口边界风速"/>
      <w:r>
        <w:rPr>
          <w:rFonts w:hint="eastAsia" w:ascii="Calibri" w:hAnsi="Calibri"/>
          <w:szCs w:val="21"/>
        </w:rPr>
        <w:t>2.70</w:t>
      </w:r>
      <w:bookmarkEnd w:id="79"/>
      <w:r>
        <w:rPr>
          <w:rFonts w:ascii="Calibri" w:hAnsi="Calibri"/>
          <w:szCs w:val="21"/>
        </w:rPr>
        <w:t>m/s</w:t>
      </w:r>
      <w:r>
        <w:rPr>
          <w:rFonts w:hint="eastAsia" w:ascii="Calibri" w:hAnsi="Calibri"/>
          <w:szCs w:val="21"/>
        </w:rPr>
        <w:t>，风向为</w:t>
      </w:r>
      <w:bookmarkStart w:id="80" w:name="冬季入口边界风向"/>
      <w:r>
        <w:rPr>
          <w:szCs w:val="21"/>
        </w:rPr>
        <w:t>NNE</w:t>
      </w:r>
      <w:bookmarkEnd w:id="80"/>
      <w:r>
        <w:rPr>
          <w:rFonts w:hint="eastAsia"/>
          <w:szCs w:val="21"/>
        </w:rPr>
        <w:t>。</w:t>
      </w:r>
    </w:p>
    <w:p w14:paraId="2175609D">
      <w:pPr>
        <w:pStyle w:val="5"/>
      </w:pPr>
      <w:bookmarkStart w:id="81" w:name="_Toc509844751"/>
      <w:bookmarkStart w:id="82" w:name="_Toc179986116"/>
      <w:r>
        <w:rPr>
          <w:rFonts w:hint="eastAsia"/>
        </w:rPr>
        <w:t>风速达标分析</w:t>
      </w:r>
      <w:bookmarkEnd w:id="81"/>
      <w:bookmarkEnd w:id="82"/>
      <w:r>
        <w:rPr>
          <w:rFonts w:hint="eastAsia"/>
        </w:rPr>
        <w:t xml:space="preserve"> </w:t>
      </w:r>
    </w:p>
    <w:p w14:paraId="1AC6562C">
      <w:pPr>
        <w:pStyle w:val="3"/>
        <w:ind w:firstLine="420"/>
      </w:pPr>
      <w:r>
        <w:rPr>
          <w:rFonts w:hint="eastAsia"/>
          <w:lang w:val="en-US"/>
        </w:rPr>
        <w:t>下图为整个计算域内风速分布云图，参考图中速度分布可以对项目中建筑布局进行优化。计算域内建筑周围如果有风速超限区域，图中会用速度上限值为5m/s的黑色等值线标示。</w:t>
      </w:r>
    </w:p>
    <w:p w14:paraId="515F0D3D">
      <w:pPr>
        <w:pStyle w:val="3"/>
        <w:ind w:firstLine="420"/>
        <w:rPr>
          <w:lang w:val="en-US"/>
        </w:rPr>
      </w:pPr>
      <w:r>
        <w:rPr>
          <w:rFonts w:hint="eastAsia"/>
          <w:lang w:val="en-US"/>
        </w:rPr>
        <w:t>分析下列图数据，</w:t>
      </w:r>
      <w:bookmarkStart w:id="83" w:name="冬季工况人行区风速分析结论"/>
      <w:bookmarkEnd w:id="83"/>
      <w:r>
        <w:rPr>
          <w:lang w:val="en-US"/>
        </w:rPr>
        <w:t>未标示出超标区域，可知人行区域风速小于5m/s，</w:t>
      </w:r>
      <w:r>
        <w:rPr>
          <w:color w:val="0000FF"/>
          <w:lang w:val="en-US"/>
        </w:rPr>
        <w:t>满足</w:t>
      </w:r>
      <w:r>
        <w:rPr>
          <w:lang w:val="en-US"/>
        </w:rPr>
        <w:t>绿标要求。</w:t>
      </w:r>
    </w:p>
    <w:p w14:paraId="6E65A214">
      <w:pPr>
        <w:pStyle w:val="3"/>
        <w:ind w:left="-6" w:leftChars="-3" w:firstLine="4" w:firstLineChars="2"/>
        <w:jc w:val="center"/>
        <w:rPr>
          <w:rFonts w:ascii="Calibri Light" w:hAnsi="Calibri Light" w:eastAsia="黑体"/>
          <w:sz w:val="20"/>
          <w:szCs w:val="20"/>
        </w:rPr>
      </w:pPr>
      <w:bookmarkStart w:id="84" w:name="冬季工况人行区风速云图"/>
      <w:bookmarkEnd w:id="84"/>
      <w:r>
        <w:rPr>
          <w:lang w:val="en-US"/>
        </w:rPr>
        <w:drawing>
          <wp:inline distT="0" distB="0" distL="0" distR="0">
            <wp:extent cx="5667375" cy="2657475"/>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pic:cNvPicPr>
                  </pic:nvPicPr>
                  <pic:blipFill>
                    <a:blip r:embed="rId71"/>
                    <a:stretch>
                      <a:fillRect/>
                    </a:stretch>
                  </pic:blipFill>
                  <pic:spPr>
                    <a:xfrm>
                      <a:off x="0" y="0"/>
                      <a:ext cx="5667375" cy="2657475"/>
                    </a:xfrm>
                    <a:prstGeom prst="rect">
                      <a:avLst/>
                    </a:prstGeom>
                  </pic:spPr>
                </pic:pic>
              </a:graphicData>
            </a:graphic>
          </wp:inline>
        </w:drawing>
      </w:r>
    </w:p>
    <w:p w14:paraId="562CC7A6">
      <w:pPr>
        <w:pStyle w:val="3"/>
        <w:ind w:firstLine="0" w:firstLineChars="0"/>
        <w:jc w:val="center"/>
        <w:rPr>
          <w:rFonts w:ascii="黑体" w:hAnsi="黑体" w:eastAsia="黑体"/>
          <w:sz w:val="20"/>
          <w:szCs w:val="20"/>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5.2</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hint="eastAsia" w:ascii="黑体" w:hAnsi="黑体" w:eastAsia="黑体"/>
          <w:sz w:val="20"/>
          <w:szCs w:val="20"/>
        </w:rPr>
        <w:t>计算域内-1.5米高度水平面风速云图-冬季</w:t>
      </w:r>
    </w:p>
    <w:p w14:paraId="3DE2456D">
      <w:pPr>
        <w:pStyle w:val="3"/>
        <w:ind w:firstLine="420"/>
        <w:rPr>
          <w:lang w:val="en-US"/>
        </w:rPr>
      </w:pPr>
    </w:p>
    <w:p w14:paraId="2AAC917F">
      <w:pPr>
        <w:pStyle w:val="5"/>
      </w:pPr>
      <w:bookmarkStart w:id="85" w:name="_Toc179986117"/>
      <w:bookmarkStart w:id="86" w:name="_Toc509844752"/>
      <w:r>
        <w:rPr>
          <w:rFonts w:hint="eastAsia"/>
        </w:rPr>
        <w:t>风速放大系数达标分析</w:t>
      </w:r>
      <w:bookmarkEnd w:id="85"/>
      <w:bookmarkEnd w:id="86"/>
    </w:p>
    <w:p w14:paraId="7999EAC1">
      <w:pPr>
        <w:pStyle w:val="3"/>
        <w:ind w:firstLine="420"/>
        <w:jc w:val="left"/>
        <w:rPr>
          <w:lang w:val="en-US"/>
        </w:rPr>
      </w:pPr>
      <w:r>
        <w:rPr>
          <w:rFonts w:hint="eastAsia"/>
          <w:lang w:val="en-US"/>
        </w:rPr>
        <w:t>下图为整个计算域内风速放大系数分布云图，参考该图中速度分布以及前述风速分布可以对项目中整体建筑布局进行优化。同样，计算域内建筑周围如果有风速放大系数超限区域，图中会用上限值为2的黑色等值线标示。分析下列云图数据，</w:t>
      </w:r>
      <w:bookmarkStart w:id="87" w:name="冬季工况人行区风速放大系数分析结论"/>
      <w:bookmarkEnd w:id="87"/>
      <w:r>
        <w:rPr>
          <w:lang w:val="en-US"/>
        </w:rPr>
        <w:t>图中未标示出风速放大系数超标区域，因此可知人行区域风速放大系数小于2，</w:t>
      </w:r>
      <w:r>
        <w:rPr>
          <w:color w:val="0000FF"/>
          <w:lang w:val="en-US"/>
        </w:rPr>
        <w:t>满足</w:t>
      </w:r>
      <w:r>
        <w:rPr>
          <w:lang w:val="en-US"/>
        </w:rPr>
        <w:t>绿标要求。</w:t>
      </w:r>
    </w:p>
    <w:p w14:paraId="1B358CC1">
      <w:pPr>
        <w:pStyle w:val="13"/>
        <w:jc w:val="center"/>
      </w:pPr>
      <w:bookmarkStart w:id="88" w:name="冬季工况人行区风速放大系数云图"/>
      <w:bookmarkEnd w:id="88"/>
      <w:r>
        <w:rPr>
          <w:lang w:val="en-US"/>
        </w:rPr>
        <w:drawing>
          <wp:inline distT="0" distB="0" distL="0" distR="0">
            <wp:extent cx="5667375" cy="262890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72"/>
                    <a:stretch>
                      <a:fillRect/>
                    </a:stretch>
                  </pic:blipFill>
                  <pic:spPr>
                    <a:xfrm>
                      <a:off x="0" y="0"/>
                      <a:ext cx="5667375" cy="2628900"/>
                    </a:xfrm>
                    <a:prstGeom prst="rect">
                      <a:avLst/>
                    </a:prstGeom>
                  </pic:spPr>
                </pic:pic>
              </a:graphicData>
            </a:graphic>
          </wp:inline>
        </w:drawing>
      </w:r>
    </w:p>
    <w:p w14:paraId="7BBFD1AB">
      <w:pPr>
        <w:pStyle w:val="3"/>
        <w:ind w:firstLine="0" w:firstLineChars="0"/>
        <w:jc w:val="center"/>
        <w:rPr>
          <w:lang w:val="en-US"/>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5.2</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2</w:t>
      </w:r>
      <w:r>
        <w:rPr>
          <w:rFonts w:ascii="黑体" w:hAnsi="黑体" w:eastAsia="黑体"/>
          <w:sz w:val="20"/>
          <w:szCs w:val="20"/>
        </w:rPr>
        <w:fldChar w:fldCharType="end"/>
      </w:r>
      <w:r>
        <w:rPr>
          <w:rFonts w:hint="eastAsia" w:ascii="黑体" w:hAnsi="黑体"/>
        </w:rPr>
        <w:t>计算域内-1.5米高处风速放大系数云图</w:t>
      </w:r>
    </w:p>
    <w:p w14:paraId="020E0B40">
      <w:pPr>
        <w:pStyle w:val="3"/>
        <w:ind w:firstLine="420"/>
        <w:rPr>
          <w:lang w:val="en-US"/>
        </w:rPr>
      </w:pPr>
    </w:p>
    <w:p w14:paraId="0DA28F7D">
      <w:pPr>
        <w:pStyle w:val="3"/>
        <w:ind w:firstLine="420"/>
        <w:rPr>
          <w:rFonts w:ascii="黑体" w:hAnsi="黑体" w:eastAsia="黑体"/>
          <w:szCs w:val="20"/>
          <w:lang w:val="en-US"/>
        </w:rPr>
      </w:pPr>
      <w:r>
        <w:rPr>
          <w:rFonts w:hint="eastAsia" w:ascii="黑体" w:hAnsi="黑体" w:eastAsia="黑体"/>
          <w:szCs w:val="20"/>
          <w:lang w:val="en-US"/>
        </w:rPr>
        <w:t>注：</w:t>
      </w:r>
    </w:p>
    <w:p w14:paraId="7AC27C5C">
      <w:pPr>
        <w:pStyle w:val="3"/>
        <w:ind w:firstLine="420"/>
        <w:rPr>
          <w:rFonts w:ascii="黑体" w:hAnsi="黑体" w:eastAsia="黑体"/>
          <w:szCs w:val="20"/>
          <w:lang w:val="en-US"/>
        </w:rPr>
      </w:pPr>
      <w:r>
        <w:rPr>
          <w:rFonts w:hint="eastAsia" w:ascii="黑体" w:hAnsi="黑体" w:eastAsia="黑体"/>
          <w:szCs w:val="20"/>
          <w:lang w:val="en-US"/>
        </w:rPr>
        <w:t>1）计算域内结果云图中图例上限为软件默认输出，图例上限也可按需求在结果浏览中调整。</w:t>
      </w:r>
    </w:p>
    <w:p w14:paraId="51F2DD37">
      <w:pPr>
        <w:ind w:firstLine="420" w:firstLineChars="200"/>
        <w:rPr>
          <w:rFonts w:ascii="黑体" w:hAnsi="黑体" w:eastAsia="黑体"/>
          <w:lang w:val="en-US"/>
        </w:rPr>
      </w:pPr>
      <w:r>
        <w:rPr>
          <w:rFonts w:hint="eastAsia" w:ascii="黑体" w:hAnsi="黑体" w:eastAsia="黑体"/>
          <w:lang w:val="en-US"/>
        </w:rPr>
        <w:t>2）通常将1.5米作为一般人群的参考行走高度，也可酌情调整人行走高度。</w:t>
      </w:r>
      <w:bookmarkStart w:id="89" w:name="_Toc509844757"/>
      <w:bookmarkEnd w:id="89"/>
      <w:bookmarkStart w:id="90" w:name="_Toc509844755"/>
      <w:bookmarkEnd w:id="90"/>
      <w:bookmarkStart w:id="91" w:name="_Toc509844754"/>
      <w:bookmarkEnd w:id="91"/>
      <w:bookmarkStart w:id="92" w:name="_Toc509844756"/>
      <w:bookmarkEnd w:id="92"/>
    </w:p>
    <w:p w14:paraId="1090E23C">
      <w:pPr>
        <w:pStyle w:val="3"/>
        <w:ind w:firstLine="420"/>
        <w:rPr>
          <w:lang w:val="en-US"/>
        </w:rPr>
      </w:pPr>
    </w:p>
    <w:p w14:paraId="05F23A21">
      <w:pPr>
        <w:pStyle w:val="5"/>
      </w:pPr>
      <w:bookmarkStart w:id="93" w:name="_Toc509844753"/>
      <w:bookmarkStart w:id="94" w:name="_Toc179986118"/>
      <w:r>
        <w:rPr>
          <w:rFonts w:hint="eastAsia"/>
        </w:rPr>
        <w:t>冬季工况风速/风速放大系数达标</w:t>
      </w:r>
      <w:bookmarkEnd w:id="93"/>
      <w:r>
        <w:rPr>
          <w:rFonts w:hint="eastAsia"/>
        </w:rPr>
        <w:t>结果汇总</w:t>
      </w:r>
      <w:bookmarkEnd w:id="94"/>
    </w:p>
    <w:p w14:paraId="619F23D9">
      <w:pPr>
        <w:pStyle w:val="3"/>
        <w:ind w:firstLine="420"/>
      </w:pPr>
      <w:r>
        <w:rPr>
          <w:rFonts w:hint="eastAsia"/>
          <w:lang w:val="en-US"/>
        </w:rPr>
        <w:t>综合上述冬季工况风场中风速和风速放大系数的计算分析，将分析结果汇总如下表：</w:t>
      </w:r>
    </w:p>
    <w:p w14:paraId="10999D36">
      <w:pPr>
        <w:pStyle w:val="3"/>
        <w:ind w:firstLine="400"/>
        <w:jc w:val="center"/>
        <w:rPr>
          <w:rFonts w:ascii="黑体" w:hAnsi="黑体" w:eastAsia="黑体"/>
          <w:sz w:val="20"/>
          <w:szCs w:val="20"/>
        </w:rPr>
      </w:pPr>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5.2</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hint="eastAsia" w:ascii="黑体" w:hAnsi="黑体" w:eastAsia="黑体"/>
          <w:sz w:val="20"/>
          <w:szCs w:val="20"/>
        </w:rPr>
        <w:t>冬季工况风速/风速放大系数达标分析汇总</w:t>
      </w:r>
    </w:p>
    <w:tbl>
      <w:tblPr>
        <w:tblStyle w:val="21"/>
        <w:tblW w:w="8522" w:type="dxa"/>
        <w:jc w:val="center"/>
        <w:tblLayout w:type="autofit"/>
        <w:tblCellMar>
          <w:top w:w="0" w:type="dxa"/>
          <w:left w:w="108" w:type="dxa"/>
          <w:bottom w:w="0" w:type="dxa"/>
          <w:right w:w="108" w:type="dxa"/>
        </w:tblCellMar>
      </w:tblPr>
      <w:tblGrid>
        <w:gridCol w:w="3823"/>
        <w:gridCol w:w="1581"/>
        <w:gridCol w:w="1843"/>
        <w:gridCol w:w="1275"/>
      </w:tblGrid>
      <w:tr w14:paraId="05032568">
        <w:tblPrEx>
          <w:tblCellMar>
            <w:top w:w="0" w:type="dxa"/>
            <w:left w:w="108" w:type="dxa"/>
            <w:bottom w:w="0" w:type="dxa"/>
            <w:right w:w="108" w:type="dxa"/>
          </w:tblCellMar>
        </w:tblPrEx>
        <w:trPr>
          <w:trHeight w:val="270" w:hRule="atLeast"/>
          <w:jc w:val="center"/>
        </w:trPr>
        <w:tc>
          <w:tcPr>
            <w:tcW w:w="382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862C712">
            <w:pPr>
              <w:spacing w:line="240" w:lineRule="auto"/>
              <w:ind w:firstLine="433" w:firstLineChars="196"/>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评价内容</w:t>
            </w:r>
          </w:p>
        </w:tc>
        <w:tc>
          <w:tcPr>
            <w:tcW w:w="1581" w:type="dxa"/>
            <w:tcBorders>
              <w:top w:val="single" w:color="auto" w:sz="4" w:space="0"/>
              <w:left w:val="nil"/>
              <w:bottom w:val="single" w:color="auto" w:sz="4" w:space="0"/>
              <w:right w:val="single" w:color="auto" w:sz="4" w:space="0"/>
            </w:tcBorders>
            <w:shd w:val="clear" w:color="auto" w:fill="auto"/>
            <w:noWrap/>
            <w:vAlign w:val="center"/>
          </w:tcPr>
          <w:p w14:paraId="2536074F">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标准要求限值</w:t>
            </w:r>
          </w:p>
        </w:tc>
        <w:tc>
          <w:tcPr>
            <w:tcW w:w="1843" w:type="dxa"/>
            <w:tcBorders>
              <w:top w:val="single" w:color="auto" w:sz="4" w:space="0"/>
              <w:left w:val="nil"/>
              <w:bottom w:val="single" w:color="auto" w:sz="4" w:space="0"/>
              <w:right w:val="single" w:color="auto" w:sz="4" w:space="0"/>
            </w:tcBorders>
            <w:shd w:val="clear" w:color="auto" w:fill="auto"/>
            <w:noWrap/>
            <w:vAlign w:val="center"/>
          </w:tcPr>
          <w:p w14:paraId="45BB367B">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是否有超限区域</w:t>
            </w:r>
          </w:p>
        </w:tc>
        <w:tc>
          <w:tcPr>
            <w:tcW w:w="1275" w:type="dxa"/>
            <w:tcBorders>
              <w:top w:val="single" w:color="auto" w:sz="4" w:space="0"/>
              <w:left w:val="nil"/>
              <w:bottom w:val="single" w:color="auto" w:sz="4" w:space="0"/>
              <w:right w:val="single" w:color="auto" w:sz="4" w:space="0"/>
            </w:tcBorders>
            <w:shd w:val="clear" w:color="auto" w:fill="auto"/>
            <w:noWrap/>
            <w:vAlign w:val="center"/>
          </w:tcPr>
          <w:p w14:paraId="5C98A43B">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达标判断</w:t>
            </w:r>
          </w:p>
        </w:tc>
      </w:tr>
      <w:tr w14:paraId="4FAAECF5">
        <w:tblPrEx>
          <w:tblCellMar>
            <w:top w:w="0" w:type="dxa"/>
            <w:left w:w="108" w:type="dxa"/>
            <w:bottom w:w="0" w:type="dxa"/>
            <w:right w:w="108" w:type="dxa"/>
          </w:tblCellMar>
        </w:tblPrEx>
        <w:trPr>
          <w:trHeight w:val="270" w:hRule="atLeast"/>
          <w:jc w:val="center"/>
        </w:trPr>
        <w:tc>
          <w:tcPr>
            <w:tcW w:w="3823" w:type="dxa"/>
            <w:tcBorders>
              <w:top w:val="nil"/>
              <w:left w:val="single" w:color="auto" w:sz="4" w:space="0"/>
              <w:bottom w:val="single" w:color="auto" w:sz="4" w:space="0"/>
              <w:right w:val="single" w:color="auto" w:sz="4" w:space="0"/>
            </w:tcBorders>
            <w:shd w:val="clear" w:color="auto" w:fill="auto"/>
            <w:noWrap/>
            <w:vAlign w:val="center"/>
          </w:tcPr>
          <w:p w14:paraId="7714FE3A">
            <w:pPr>
              <w:rPr>
                <w:rFonts w:ascii="宋体" w:hAnsi="宋体" w:cs="宋体"/>
                <w:szCs w:val="21"/>
              </w:rPr>
            </w:pPr>
            <w:r>
              <w:rPr>
                <w:rFonts w:hint="eastAsia" w:ascii="宋体" w:hAnsi="宋体" w:cs="宋体"/>
                <w:szCs w:val="21"/>
              </w:rPr>
              <w:t>风速</w:t>
            </w:r>
          </w:p>
        </w:tc>
        <w:tc>
          <w:tcPr>
            <w:tcW w:w="1581" w:type="dxa"/>
            <w:tcBorders>
              <w:top w:val="nil"/>
              <w:left w:val="nil"/>
              <w:bottom w:val="single" w:color="auto" w:sz="4" w:space="0"/>
              <w:right w:val="single" w:color="auto" w:sz="4" w:space="0"/>
            </w:tcBorders>
            <w:shd w:val="clear" w:color="auto" w:fill="auto"/>
            <w:noWrap/>
            <w:vAlign w:val="center"/>
          </w:tcPr>
          <w:p w14:paraId="1329126D">
            <w:pPr>
              <w:ind w:firstLine="420" w:firstLineChars="200"/>
              <w:rPr>
                <w:rFonts w:ascii="宋体" w:hAnsi="宋体" w:cs="宋体"/>
                <w:szCs w:val="21"/>
              </w:rPr>
            </w:pPr>
            <w:r>
              <w:rPr>
                <w:rFonts w:hint="eastAsia" w:ascii="宋体" w:hAnsi="宋体" w:cs="宋体"/>
                <w:szCs w:val="21"/>
              </w:rPr>
              <w:t>＜</w:t>
            </w:r>
            <w:r>
              <w:rPr>
                <w:rFonts w:ascii="宋体" w:hAnsi="宋体" w:cs="宋体"/>
                <w:szCs w:val="21"/>
              </w:rPr>
              <w:t xml:space="preserve">5m/s </w:t>
            </w:r>
          </w:p>
        </w:tc>
        <w:tc>
          <w:tcPr>
            <w:tcW w:w="1843" w:type="dxa"/>
            <w:tcBorders>
              <w:top w:val="nil"/>
              <w:left w:val="nil"/>
              <w:bottom w:val="single" w:color="auto" w:sz="4" w:space="0"/>
              <w:right w:val="single" w:color="auto" w:sz="4" w:space="0"/>
            </w:tcBorders>
            <w:shd w:val="clear" w:color="auto" w:fill="auto"/>
            <w:noWrap/>
            <w:vAlign w:val="center"/>
          </w:tcPr>
          <w:p w14:paraId="1A80FD03">
            <w:pPr>
              <w:spacing w:line="240" w:lineRule="auto"/>
              <w:ind w:firstLine="220" w:firstLineChars="100"/>
              <w:rPr>
                <w:rFonts w:ascii="宋体" w:hAnsi="宋体" w:cs="宋体"/>
                <w:color w:val="000000"/>
                <w:sz w:val="22"/>
                <w:szCs w:val="22"/>
                <w:lang w:val="en-US"/>
              </w:rPr>
            </w:pPr>
            <w:bookmarkStart w:id="95" w:name="冬季工况风速是否有超限区域"/>
            <w:r>
              <w:rPr>
                <w:rFonts w:hint="eastAsia" w:ascii="宋体" w:hAnsi="宋体" w:cs="宋体"/>
                <w:color w:val="000000"/>
                <w:sz w:val="22"/>
                <w:szCs w:val="22"/>
                <w:lang w:val="en-US"/>
              </w:rPr>
              <w:t>否</w:t>
            </w:r>
            <w:bookmarkEnd w:id="95"/>
          </w:p>
        </w:tc>
        <w:tc>
          <w:tcPr>
            <w:tcW w:w="1275" w:type="dxa"/>
            <w:tcBorders>
              <w:top w:val="nil"/>
              <w:left w:val="nil"/>
              <w:bottom w:val="single" w:color="auto" w:sz="4" w:space="0"/>
              <w:right w:val="single" w:color="auto" w:sz="4" w:space="0"/>
            </w:tcBorders>
            <w:shd w:val="clear" w:color="auto" w:fill="auto"/>
            <w:noWrap/>
            <w:vAlign w:val="center"/>
          </w:tcPr>
          <w:p w14:paraId="0F7541FE">
            <w:pPr>
              <w:spacing w:line="240" w:lineRule="auto"/>
              <w:rPr>
                <w:rFonts w:ascii="宋体" w:hAnsi="宋体" w:cs="宋体"/>
                <w:color w:val="000000"/>
                <w:sz w:val="22"/>
                <w:szCs w:val="22"/>
                <w:lang w:val="en-US"/>
              </w:rPr>
            </w:pPr>
            <w:bookmarkStart w:id="96" w:name="冬季工况风速达标判断"/>
            <w:r>
              <w:rPr>
                <w:rFonts w:hint="eastAsia" w:ascii="宋体" w:hAnsi="宋体" w:cs="宋体"/>
                <w:color w:val="000000"/>
                <w:sz w:val="22"/>
                <w:szCs w:val="22"/>
                <w:lang w:val="en-US"/>
              </w:rPr>
              <w:t>是</w:t>
            </w:r>
            <w:bookmarkEnd w:id="96"/>
          </w:p>
        </w:tc>
      </w:tr>
      <w:tr w14:paraId="7E11E43C">
        <w:tblPrEx>
          <w:tblCellMar>
            <w:top w:w="0" w:type="dxa"/>
            <w:left w:w="108" w:type="dxa"/>
            <w:bottom w:w="0" w:type="dxa"/>
            <w:right w:w="108" w:type="dxa"/>
          </w:tblCellMar>
        </w:tblPrEx>
        <w:trPr>
          <w:trHeight w:val="270" w:hRule="atLeast"/>
          <w:jc w:val="center"/>
        </w:trPr>
        <w:tc>
          <w:tcPr>
            <w:tcW w:w="382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A72E3E">
            <w:pPr>
              <w:rPr>
                <w:rFonts w:ascii="宋体" w:hAnsi="宋体" w:cs="宋体"/>
                <w:szCs w:val="21"/>
              </w:rPr>
            </w:pPr>
            <w:r>
              <w:rPr>
                <w:rFonts w:hint="eastAsia" w:ascii="宋体" w:hAnsi="宋体" w:cs="宋体"/>
                <w:szCs w:val="21"/>
              </w:rPr>
              <w:t>风速放大系数</w:t>
            </w:r>
          </w:p>
        </w:tc>
        <w:tc>
          <w:tcPr>
            <w:tcW w:w="1581" w:type="dxa"/>
            <w:tcBorders>
              <w:top w:val="single" w:color="auto" w:sz="4" w:space="0"/>
              <w:left w:val="nil"/>
              <w:bottom w:val="single" w:color="auto" w:sz="4" w:space="0"/>
              <w:right w:val="single" w:color="auto" w:sz="4" w:space="0"/>
            </w:tcBorders>
            <w:shd w:val="clear" w:color="auto" w:fill="auto"/>
            <w:noWrap/>
            <w:vAlign w:val="center"/>
          </w:tcPr>
          <w:p w14:paraId="14DC5570">
            <w:pPr>
              <w:ind w:firstLine="420" w:firstLineChars="200"/>
              <w:rPr>
                <w:rFonts w:ascii="宋体" w:hAnsi="宋体" w:cs="宋体"/>
                <w:szCs w:val="21"/>
              </w:rPr>
            </w:pPr>
            <w:r>
              <w:rPr>
                <w:rFonts w:hint="eastAsia" w:ascii="宋体" w:hAnsi="宋体" w:cs="宋体"/>
                <w:szCs w:val="21"/>
              </w:rPr>
              <w:t>＜</w:t>
            </w:r>
            <w:r>
              <w:rPr>
                <w:rFonts w:ascii="宋体" w:hAnsi="宋体" w:cs="宋体"/>
                <w:szCs w:val="21"/>
              </w:rPr>
              <w:t>2</w:t>
            </w:r>
          </w:p>
        </w:tc>
        <w:tc>
          <w:tcPr>
            <w:tcW w:w="1843" w:type="dxa"/>
            <w:tcBorders>
              <w:top w:val="single" w:color="auto" w:sz="4" w:space="0"/>
              <w:left w:val="nil"/>
              <w:bottom w:val="single" w:color="auto" w:sz="4" w:space="0"/>
              <w:right w:val="single" w:color="auto" w:sz="4" w:space="0"/>
            </w:tcBorders>
            <w:shd w:val="clear" w:color="auto" w:fill="auto"/>
            <w:noWrap/>
            <w:vAlign w:val="center"/>
          </w:tcPr>
          <w:p w14:paraId="67703354">
            <w:pPr>
              <w:spacing w:line="240" w:lineRule="auto"/>
              <w:ind w:firstLine="220" w:firstLineChars="100"/>
              <w:rPr>
                <w:rFonts w:ascii="宋体" w:hAnsi="宋体" w:cs="宋体"/>
                <w:color w:val="000000"/>
                <w:sz w:val="22"/>
                <w:szCs w:val="22"/>
                <w:lang w:val="en-US"/>
              </w:rPr>
            </w:pPr>
            <w:bookmarkStart w:id="97" w:name="冬季工况风速放大系数是否有超限区域"/>
            <w:r>
              <w:rPr>
                <w:rFonts w:hint="eastAsia" w:ascii="宋体" w:hAnsi="宋体" w:cs="宋体"/>
                <w:color w:val="000000"/>
                <w:sz w:val="22"/>
                <w:szCs w:val="22"/>
                <w:lang w:val="en-US"/>
              </w:rPr>
              <w:t>否</w:t>
            </w:r>
            <w:bookmarkEnd w:id="97"/>
          </w:p>
        </w:tc>
        <w:tc>
          <w:tcPr>
            <w:tcW w:w="1275" w:type="dxa"/>
            <w:tcBorders>
              <w:top w:val="single" w:color="auto" w:sz="4" w:space="0"/>
              <w:left w:val="nil"/>
              <w:bottom w:val="single" w:color="auto" w:sz="4" w:space="0"/>
              <w:right w:val="single" w:color="auto" w:sz="4" w:space="0"/>
            </w:tcBorders>
            <w:shd w:val="clear" w:color="auto" w:fill="auto"/>
            <w:noWrap/>
            <w:vAlign w:val="center"/>
          </w:tcPr>
          <w:p w14:paraId="5ED07DDA">
            <w:pPr>
              <w:spacing w:line="240" w:lineRule="auto"/>
              <w:rPr>
                <w:rFonts w:ascii="宋体" w:hAnsi="宋体" w:cs="宋体"/>
                <w:color w:val="000000"/>
                <w:sz w:val="22"/>
                <w:szCs w:val="22"/>
                <w:lang w:val="en-US"/>
              </w:rPr>
            </w:pPr>
            <w:bookmarkStart w:id="98" w:name="冬季工况风速放大系数达标判断"/>
            <w:r>
              <w:rPr>
                <w:rFonts w:hint="eastAsia" w:ascii="宋体" w:hAnsi="宋体" w:cs="宋体"/>
                <w:color w:val="000000"/>
                <w:sz w:val="22"/>
                <w:szCs w:val="22"/>
                <w:lang w:val="en-US"/>
              </w:rPr>
              <w:t>是</w:t>
            </w:r>
            <w:bookmarkEnd w:id="98"/>
          </w:p>
        </w:tc>
      </w:tr>
    </w:tbl>
    <w:p w14:paraId="1C6FFC51"/>
    <w:p w14:paraId="14DE6DE2">
      <w:pPr>
        <w:pStyle w:val="5"/>
      </w:pPr>
      <w:bookmarkStart w:id="99" w:name="_Toc179986119"/>
      <w:r>
        <w:rPr>
          <w:rFonts w:hint="eastAsia"/>
        </w:rPr>
        <w:t>建筑迎风面和背风面风压分析</w:t>
      </w:r>
      <w:bookmarkEnd w:id="99"/>
    </w:p>
    <w:p w14:paraId="609C0E3B">
      <w:pPr>
        <w:pStyle w:val="3"/>
        <w:ind w:firstLine="420"/>
        <w:rPr>
          <w:lang w:val="en-US"/>
        </w:rPr>
      </w:pPr>
      <w:r>
        <w:rPr>
          <w:rFonts w:hint="eastAsia"/>
          <w:lang w:val="en-US"/>
        </w:rPr>
        <w:t>标准中规定“冬季工况下除迎风第一排建筑外，建筑迎风面与背风面表面风压差不超过5Pa”，避免由于建筑迎风面与背风面表面风压差过大，导致冷风通过门窗缝隙渗透过多，从而增加室内热负荷而不节能，因此建筑迎风面与背风面表面风压差的控制需要体现在对应的门窗表面风压上。</w:t>
      </w:r>
    </w:p>
    <w:p w14:paraId="1C9CF780">
      <w:pPr>
        <w:pStyle w:val="6"/>
        <w:rPr>
          <w:lang w:val="en-US"/>
        </w:rPr>
      </w:pPr>
      <w:r>
        <w:rPr>
          <w:rFonts w:hint="eastAsia"/>
          <w:lang w:val="en-US"/>
        </w:rPr>
        <w:t>建筑迎风面和背风面风压差计算方法</w:t>
      </w:r>
    </w:p>
    <w:p w14:paraId="00BB3DCF">
      <w:pPr>
        <w:pStyle w:val="3"/>
        <w:spacing w:after="156" w:afterLines="50"/>
        <w:ind w:firstLine="420"/>
        <w:rPr>
          <w:lang w:val="en-US"/>
        </w:rPr>
      </w:pPr>
      <w:r>
        <w:rPr>
          <w:rFonts w:hint="eastAsia"/>
          <w:lang w:val="en-US"/>
        </w:rPr>
        <w:t>本项目采用面积加权法对建筑迎风面和背风面对应门窗的风压值进行计算，最后获得迎背风面门窗的风压差值。下面将以一个示意建筑为例说明具体计算过程。</w:t>
      </w:r>
    </w:p>
    <w:p w14:paraId="12D2A6EF">
      <w:pPr>
        <w:pStyle w:val="3"/>
        <w:ind w:firstLine="0" w:firstLineChars="0"/>
        <w:jc w:val="center"/>
        <w:rPr>
          <w:lang w:val="en-US"/>
        </w:rPr>
      </w:pPr>
      <w:r>
        <w:rPr>
          <w:lang w:val="en-US"/>
        </w:rPr>
        <w:drawing>
          <wp:inline distT="0" distB="0" distL="0" distR="0">
            <wp:extent cx="3657600" cy="2924175"/>
            <wp:effectExtent l="0" t="0" r="0" b="9525"/>
            <wp:docPr id="6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
                    <pic:cNvPicPr>
                      <a:picLocks noChangeAspect="1" noChangeArrowheads="1"/>
                    </pic:cNvPicPr>
                  </pic:nvPicPr>
                  <pic:blipFill>
                    <a:blip r:embed="rId73">
                      <a:extLst>
                        <a:ext uri="{28A0092B-C50C-407E-A947-70E740481C1C}">
                          <a14:useLocalDpi xmlns:a14="http://schemas.microsoft.com/office/drawing/2010/main" val="0"/>
                        </a:ext>
                      </a:extLst>
                    </a:blip>
                    <a:srcRect r="2290"/>
                    <a:stretch>
                      <a:fillRect/>
                    </a:stretch>
                  </pic:blipFill>
                  <pic:spPr>
                    <a:xfrm>
                      <a:off x="0" y="0"/>
                      <a:ext cx="3657600" cy="2924175"/>
                    </a:xfrm>
                    <a:prstGeom prst="rect">
                      <a:avLst/>
                    </a:prstGeom>
                    <a:noFill/>
                    <a:ln>
                      <a:noFill/>
                    </a:ln>
                  </pic:spPr>
                </pic:pic>
              </a:graphicData>
            </a:graphic>
          </wp:inline>
        </w:drawing>
      </w:r>
    </w:p>
    <w:p w14:paraId="023A4D16">
      <w:pPr>
        <w:pStyle w:val="3"/>
        <w:ind w:firstLine="0" w:firstLineChars="0"/>
        <w:jc w:val="center"/>
        <w:rPr>
          <w:rFonts w:ascii="黑体" w:hAnsi="黑体" w:eastAsia="黑体"/>
          <w:sz w:val="20"/>
          <w:szCs w:val="20"/>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5.2</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3</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 xml:space="preserve"> 示意建筑平面图</w:t>
      </w:r>
    </w:p>
    <w:p w14:paraId="5C65E86C">
      <w:pPr>
        <w:pStyle w:val="3"/>
        <w:ind w:firstLine="420"/>
        <w:rPr>
          <w:lang w:val="en-US"/>
        </w:rPr>
      </w:pPr>
      <w:r>
        <w:rPr>
          <w:rFonts w:hint="eastAsia"/>
          <w:lang w:val="en-US"/>
        </w:rPr>
        <w:t>以上图建筑第二层为例，迎风面窗户C1，C2，C3的平均风压值，通过每个窗户的平均风压和其窗户面积进行加权平均计算， 如下式：</w:t>
      </w:r>
    </w:p>
    <w:tbl>
      <w:tblPr>
        <w:tblStyle w:val="21"/>
        <w:tblW w:w="0" w:type="auto"/>
        <w:tblInd w:w="0" w:type="dxa"/>
        <w:tblLayout w:type="autofit"/>
        <w:tblCellMar>
          <w:top w:w="0" w:type="dxa"/>
          <w:left w:w="108" w:type="dxa"/>
          <w:bottom w:w="0" w:type="dxa"/>
          <w:right w:w="108" w:type="dxa"/>
        </w:tblCellMar>
      </w:tblPr>
      <w:tblGrid>
        <w:gridCol w:w="7988"/>
        <w:gridCol w:w="1084"/>
      </w:tblGrid>
      <w:tr w14:paraId="3E4997B7">
        <w:tc>
          <w:tcPr>
            <w:tcW w:w="8188" w:type="dxa"/>
            <w:shd w:val="clear" w:color="auto" w:fill="auto"/>
          </w:tcPr>
          <w:p w14:paraId="01FF4E16">
            <w:pPr>
              <w:pStyle w:val="3"/>
              <w:ind w:firstLine="0" w:firstLineChars="0"/>
              <w:jc w:val="center"/>
              <w:rPr>
                <w:lang w:val="en-US"/>
              </w:rPr>
            </w:pPr>
            <m:oMathPara>
              <m:oMathParaPr>
                <m:jc m:val="center"/>
              </m:oMathParaPr>
              <m:oMath>
                <m:sSub>
                  <m:sSubPr>
                    <m:ctrlPr>
                      <w:rPr>
                        <w:rFonts w:ascii="Cambria Math" w:hAnsi="Cambria Math"/>
                        <w:lang w:val="en-US"/>
                      </w:rPr>
                    </m:ctrlPr>
                  </m:sSubPr>
                  <m:e>
                    <m:r>
                      <m:rPr/>
                      <w:rPr>
                        <w:rFonts w:ascii="Cambria Math" w:hAnsi="Cambria Math"/>
                        <w:lang w:val="en-US"/>
                      </w:rPr>
                      <m:t>P</m:t>
                    </m:r>
                    <m:ctrlPr>
                      <w:rPr>
                        <w:rFonts w:ascii="Cambria Math" w:hAnsi="Cambria Math"/>
                        <w:lang w:val="en-US"/>
                      </w:rPr>
                    </m:ctrlPr>
                  </m:e>
                  <m:sub>
                    <m:r>
                      <m:rPr>
                        <m:sty m:val="p"/>
                      </m:rPr>
                      <w:rPr>
                        <w:rFonts w:ascii="Cambria Math" w:hAnsi="Cambria Math"/>
                        <w:lang w:val="en-US"/>
                      </w:rPr>
                      <m:t>Up</m:t>
                    </m:r>
                    <m:ctrlPr>
                      <w:rPr>
                        <w:rFonts w:ascii="Cambria Math" w:hAnsi="Cambria Math"/>
                        <w:lang w:val="en-US"/>
                      </w:rPr>
                    </m:ctrlPr>
                  </m:sub>
                </m:sSub>
                <m:r>
                  <m:rPr/>
                  <w:rPr>
                    <w:rFonts w:ascii="Cambria Math" w:hAnsi="Cambria Math"/>
                    <w:lang w:val="en-US"/>
                  </w:rPr>
                  <m:t>=</m:t>
                </m:r>
                <m:f>
                  <m:fPr>
                    <m:ctrlPr>
                      <w:rPr>
                        <w:rFonts w:ascii="Cambria Math" w:hAnsi="Cambria Math"/>
                        <w:lang w:val="en-US"/>
                      </w:rPr>
                    </m:ctrlPr>
                  </m:fPr>
                  <m:num>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m:sty m:val="p"/>
                          </m:rPr>
                          <w:rPr>
                            <w:rFonts w:ascii="Cambria Math" w:hAnsi="Cambria Math"/>
                            <w:lang w:val="en-US"/>
                          </w:rPr>
                          <m:t>C1</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A</m:t>
                        </m:r>
                        <m:ctrlPr>
                          <w:rPr>
                            <w:rFonts w:ascii="Cambria Math" w:hAnsi="Cambria Math"/>
                            <w:i/>
                            <w:lang w:val="en-US"/>
                          </w:rPr>
                        </m:ctrlPr>
                      </m:e>
                      <m:sub>
                        <m:r>
                          <m:rPr>
                            <m:sty m:val="p"/>
                          </m:rPr>
                          <w:rPr>
                            <w:rFonts w:ascii="Cambria Math" w:hAnsi="Cambria Math"/>
                            <w:lang w:val="en-US"/>
                          </w:rPr>
                          <m:t>C1</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w:rPr>
                            <w:rFonts w:ascii="Cambria Math" w:hAnsi="Cambria Math"/>
                            <w:lang w:val="en-US"/>
                          </w:rPr>
                          <m:t>C</m:t>
                        </m:r>
                        <m:r>
                          <m:rPr>
                            <m:sty m:val="p"/>
                          </m:rPr>
                          <w:rPr>
                            <w:rFonts w:ascii="Cambria Math" w:hAnsi="Cambria Math"/>
                            <w:lang w:val="en-US"/>
                          </w:rPr>
                          <m:t>2</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A</m:t>
                        </m:r>
                        <m:ctrlPr>
                          <w:rPr>
                            <w:rFonts w:ascii="Cambria Math" w:hAnsi="Cambria Math"/>
                            <w:i/>
                            <w:lang w:val="en-US"/>
                          </w:rPr>
                        </m:ctrlPr>
                      </m:e>
                      <m:sub>
                        <m:r>
                          <m:rPr>
                            <m:sty m:val="p"/>
                          </m:rPr>
                          <w:rPr>
                            <w:rFonts w:ascii="Cambria Math" w:hAnsi="Cambria Math"/>
                            <w:lang w:val="en-US"/>
                          </w:rPr>
                          <m:t>C2</m:t>
                        </m:r>
                        <m:ctrlPr>
                          <w:rPr>
                            <w:rFonts w:ascii="Cambria Math" w:hAnsi="Cambria Math"/>
                            <w:i/>
                            <w:lang w:val="en-US"/>
                          </w:rPr>
                        </m:ctrlPr>
                      </m:sub>
                    </m:sSub>
                    <m:sSub>
                      <m:sSubPr>
                        <m:ctrlPr>
                          <w:rPr>
                            <w:rFonts w:ascii="Cambria Math" w:hAnsi="Cambria Math"/>
                            <w:i/>
                            <w:lang w:val="en-US"/>
                          </w:rPr>
                        </m:ctrlPr>
                      </m:sSubPr>
                      <m:e>
                        <m:r>
                          <m:rPr/>
                          <w:rPr>
                            <w:rFonts w:ascii="Cambria Math" w:hAnsi="Cambria Math"/>
                            <w:lang w:val="en-US"/>
                          </w:rPr>
                          <m:t>+P</m:t>
                        </m:r>
                        <m:ctrlPr>
                          <w:rPr>
                            <w:rFonts w:ascii="Cambria Math" w:hAnsi="Cambria Math"/>
                            <w:i/>
                            <w:lang w:val="en-US"/>
                          </w:rPr>
                        </m:ctrlPr>
                      </m:e>
                      <m:sub>
                        <m:r>
                          <m:rPr/>
                          <w:rPr>
                            <w:rFonts w:ascii="Cambria Math" w:hAnsi="Cambria Math"/>
                            <w:lang w:val="en-US"/>
                          </w:rPr>
                          <m:t>C</m:t>
                        </m:r>
                        <m:r>
                          <m:rPr>
                            <m:sty m:val="p"/>
                          </m:rPr>
                          <w:rPr>
                            <w:rFonts w:ascii="Cambria Math" w:hAnsi="Cambria Math"/>
                            <w:lang w:val="en-US"/>
                          </w:rPr>
                          <m:t xml:space="preserve">3 </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A</m:t>
                        </m:r>
                        <m:ctrlPr>
                          <w:rPr>
                            <w:rFonts w:ascii="Cambria Math" w:hAnsi="Cambria Math"/>
                            <w:i/>
                            <w:lang w:val="en-US"/>
                          </w:rPr>
                        </m:ctrlPr>
                      </m:e>
                      <m:sub>
                        <m:r>
                          <m:rPr>
                            <m:sty m:val="p"/>
                          </m:rPr>
                          <w:rPr>
                            <w:rFonts w:ascii="Cambria Math" w:hAnsi="Cambria Math"/>
                            <w:lang w:val="en-US"/>
                          </w:rPr>
                          <m:t>C3</m:t>
                        </m:r>
                        <m:ctrlPr>
                          <w:rPr>
                            <w:rFonts w:ascii="Cambria Math" w:hAnsi="Cambria Math"/>
                            <w:i/>
                            <w:lang w:val="en-US"/>
                          </w:rPr>
                        </m:ctrlPr>
                      </m:sub>
                    </m:sSub>
                    <m:ctrlPr>
                      <w:rPr>
                        <w:rFonts w:ascii="Cambria Math" w:hAnsi="Cambria Math"/>
                        <w:lang w:val="en-US"/>
                      </w:rPr>
                    </m:ctrlPr>
                  </m:num>
                  <m:den>
                    <m:sSub>
                      <m:sSubPr>
                        <m:ctrlPr>
                          <w:rPr>
                            <w:rFonts w:ascii="Cambria Math" w:hAnsi="Cambria Math"/>
                            <w:i/>
                            <w:lang w:val="en-US"/>
                          </w:rPr>
                        </m:ctrlPr>
                      </m:sSubPr>
                      <m:e>
                        <m:r>
                          <m:rPr/>
                          <w:rPr>
                            <w:rFonts w:ascii="Cambria Math" w:hAnsi="Cambria Math"/>
                            <w:lang w:val="en-US"/>
                          </w:rPr>
                          <m:t>A</m:t>
                        </m:r>
                        <m:ctrlPr>
                          <w:rPr>
                            <w:rFonts w:ascii="Cambria Math" w:hAnsi="Cambria Math"/>
                            <w:i/>
                            <w:lang w:val="en-US"/>
                          </w:rPr>
                        </m:ctrlPr>
                      </m:e>
                      <m:sub>
                        <m:r>
                          <m:rPr>
                            <m:sty m:val="p"/>
                          </m:rPr>
                          <w:rPr>
                            <w:rFonts w:ascii="Cambria Math" w:hAnsi="Cambria Math"/>
                            <w:lang w:val="en-US"/>
                          </w:rPr>
                          <m:t>C1</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A</m:t>
                        </m:r>
                        <m:ctrlPr>
                          <w:rPr>
                            <w:rFonts w:ascii="Cambria Math" w:hAnsi="Cambria Math"/>
                            <w:i/>
                            <w:lang w:val="en-US"/>
                          </w:rPr>
                        </m:ctrlPr>
                      </m:e>
                      <m:sub>
                        <m:r>
                          <m:rPr>
                            <m:sty m:val="p"/>
                          </m:rPr>
                          <w:rPr>
                            <w:rFonts w:ascii="Cambria Math" w:hAnsi="Cambria Math"/>
                            <w:lang w:val="en-US"/>
                          </w:rPr>
                          <m:t>C2</m:t>
                        </m:r>
                        <m:ctrlPr>
                          <w:rPr>
                            <w:rFonts w:ascii="Cambria Math" w:hAnsi="Cambria Math"/>
                            <w:i/>
                            <w:lang w:val="en-US"/>
                          </w:rPr>
                        </m:ctrlPr>
                      </m:sub>
                    </m:sSub>
                    <m:r>
                      <m:rPr/>
                      <w:rPr>
                        <w:rFonts w:ascii="Cambria Math" w:hAnsi="Cambria Math"/>
                        <w:lang w:val="en-US"/>
                      </w:rPr>
                      <m:t>+</m:t>
                    </m:r>
                    <m:sSub>
                      <m:sSubPr>
                        <m:ctrlPr>
                          <w:rPr>
                            <w:rFonts w:ascii="Cambria Math" w:hAnsi="Cambria Math"/>
                            <w:i/>
                            <w:lang w:val="en-US"/>
                          </w:rPr>
                        </m:ctrlPr>
                      </m:sSubPr>
                      <m:e>
                        <m:r>
                          <m:rPr/>
                          <w:rPr>
                            <w:rFonts w:ascii="Cambria Math" w:hAnsi="Cambria Math"/>
                            <w:lang w:val="en-US"/>
                          </w:rPr>
                          <m:t>A</m:t>
                        </m:r>
                        <m:ctrlPr>
                          <w:rPr>
                            <w:rFonts w:ascii="Cambria Math" w:hAnsi="Cambria Math"/>
                            <w:i/>
                            <w:lang w:val="en-US"/>
                          </w:rPr>
                        </m:ctrlPr>
                      </m:e>
                      <m:sub>
                        <m:r>
                          <m:rPr>
                            <m:sty m:val="p"/>
                          </m:rPr>
                          <w:rPr>
                            <w:rFonts w:ascii="Cambria Math" w:hAnsi="Cambria Math"/>
                            <w:lang w:val="en-US"/>
                          </w:rPr>
                          <m:t>C3</m:t>
                        </m:r>
                        <m:ctrlPr>
                          <w:rPr>
                            <w:rFonts w:ascii="Cambria Math" w:hAnsi="Cambria Math"/>
                            <w:i/>
                            <w:lang w:val="en-US"/>
                          </w:rPr>
                        </m:ctrlPr>
                      </m:sub>
                    </m:sSub>
                    <m:ctrlPr>
                      <w:rPr>
                        <w:rFonts w:ascii="Cambria Math" w:hAnsi="Cambria Math"/>
                        <w:lang w:val="en-US"/>
                      </w:rPr>
                    </m:ctrlPr>
                  </m:den>
                </m:f>
              </m:oMath>
            </m:oMathPara>
          </w:p>
        </w:tc>
        <w:tc>
          <w:tcPr>
            <w:tcW w:w="1100" w:type="dxa"/>
            <w:shd w:val="clear" w:color="auto" w:fill="auto"/>
            <w:vAlign w:val="center"/>
          </w:tcPr>
          <w:p w14:paraId="40B61449">
            <w:pPr>
              <w:pStyle w:val="3"/>
              <w:ind w:firstLine="0" w:firstLineChars="0"/>
              <w:jc w:val="right"/>
              <w:rPr>
                <w:lang w:val="en-US"/>
              </w:rPr>
            </w:pPr>
            <w:r>
              <w:rPr>
                <w:rFonts w:hint="eastAsia"/>
                <w:lang w:val="en-US"/>
              </w:rPr>
              <w:t>（</w:t>
            </w:r>
            <w:r>
              <w:rPr>
                <w:lang w:val="en-US"/>
              </w:rPr>
              <w:fldChar w:fldCharType="begin"/>
            </w:r>
            <w:r>
              <w:rPr>
                <w:lang w:val="en-US"/>
              </w:rPr>
              <w:instrText xml:space="preserve"> </w:instrText>
            </w:r>
            <w:r>
              <w:rPr>
                <w:rFonts w:hint="eastAsia"/>
                <w:lang w:val="en-US"/>
              </w:rPr>
              <w:instrText xml:space="preserve">STYLEREF 2 \s</w:instrText>
            </w:r>
            <w:r>
              <w:rPr>
                <w:lang w:val="en-US"/>
              </w:rPr>
              <w:instrText xml:space="preserve"> </w:instrText>
            </w:r>
            <w:r>
              <w:rPr>
                <w:lang w:val="en-US"/>
              </w:rPr>
              <w:fldChar w:fldCharType="separate"/>
            </w:r>
            <w:r>
              <w:rPr>
                <w:lang w:val="en-US"/>
              </w:rPr>
              <w:t>5.2</w:t>
            </w:r>
            <w:r>
              <w:rPr>
                <w:lang w:val="en-US"/>
              </w:rPr>
              <w:fldChar w:fldCharType="end"/>
            </w:r>
            <w:r>
              <w:rPr>
                <w:lang w:val="en-US"/>
              </w:rPr>
              <w:noBreakHyphen/>
            </w:r>
            <w:r>
              <w:rPr>
                <w:lang w:val="en-US"/>
              </w:rPr>
              <w:fldChar w:fldCharType="begin"/>
            </w:r>
            <w:r>
              <w:rPr>
                <w:lang w:val="en-US"/>
              </w:rPr>
              <w:instrText xml:space="preserve"> SEQ 式 \* ARABIC \s 2 </w:instrText>
            </w:r>
            <w:r>
              <w:rPr>
                <w:lang w:val="en-US"/>
              </w:rPr>
              <w:fldChar w:fldCharType="separate"/>
            </w:r>
            <w:r>
              <w:rPr>
                <w:lang w:val="en-US"/>
              </w:rPr>
              <w:t>1</w:t>
            </w:r>
            <w:r>
              <w:rPr>
                <w:lang w:val="en-US"/>
              </w:rPr>
              <w:fldChar w:fldCharType="end"/>
            </w:r>
            <w:r>
              <w:rPr>
                <w:rFonts w:hint="eastAsia"/>
                <w:lang w:val="en-US"/>
              </w:rPr>
              <w:t>）</w:t>
            </w:r>
          </w:p>
        </w:tc>
      </w:tr>
    </w:tbl>
    <w:p w14:paraId="3A6B2A7B">
      <w:pPr>
        <w:pStyle w:val="3"/>
        <w:ind w:firstLine="420"/>
        <w:rPr>
          <w:sz w:val="24"/>
          <w:lang w:val="en-US"/>
        </w:rPr>
      </w:pPr>
      <w:r>
        <w:rPr>
          <w:rFonts w:hint="eastAsia"/>
          <w:lang w:val="en-US"/>
        </w:rPr>
        <w:t>式中：</w:t>
      </w:r>
      <m:oMath>
        <m:sSub>
          <m:sSubPr>
            <m:ctrlPr>
              <w:rPr>
                <w:rFonts w:ascii="Cambria Math" w:hAnsi="Cambria Math"/>
                <w:i/>
                <w:sz w:val="24"/>
                <w:lang w:val="en-US"/>
              </w:rPr>
            </m:ctrlPr>
          </m:sSubPr>
          <m:e>
            <m:r>
              <m:rPr/>
              <w:rPr>
                <w:rFonts w:ascii="Cambria Math" w:hAnsi="Cambria Math"/>
                <w:sz w:val="24"/>
                <w:lang w:val="en-US"/>
              </w:rPr>
              <m:t>P</m:t>
            </m:r>
            <m:ctrlPr>
              <w:rPr>
                <w:rFonts w:ascii="Cambria Math" w:hAnsi="Cambria Math"/>
                <w:i/>
                <w:sz w:val="24"/>
                <w:lang w:val="en-US"/>
              </w:rPr>
            </m:ctrlPr>
          </m:e>
          <m:sub>
            <m:r>
              <m:rPr>
                <m:sty m:val="p"/>
              </m:rPr>
              <w:rPr>
                <w:rFonts w:ascii="Cambria Math" w:hAnsi="Cambria Math"/>
                <w:sz w:val="24"/>
                <w:lang w:val="en-US"/>
              </w:rPr>
              <m:t>C1</m:t>
            </m:r>
            <m:ctrlPr>
              <w:rPr>
                <w:rFonts w:ascii="Cambria Math" w:hAnsi="Cambria Math"/>
                <w:i/>
                <w:sz w:val="24"/>
                <w:lang w:val="en-US"/>
              </w:rPr>
            </m:ctrlPr>
          </m:sub>
        </m:sSub>
      </m:oMath>
      <w:r>
        <w:rPr>
          <w:rFonts w:hint="eastAsia"/>
          <w:sz w:val="24"/>
          <w:lang w:val="en-US"/>
        </w:rPr>
        <w:t>、</w:t>
      </w:r>
      <m:oMath>
        <m:sSub>
          <m:sSubPr>
            <m:ctrlPr>
              <w:rPr>
                <w:rFonts w:ascii="Cambria Math" w:hAnsi="Cambria Math"/>
                <w:i/>
                <w:sz w:val="24"/>
                <w:lang w:val="en-US"/>
              </w:rPr>
            </m:ctrlPr>
          </m:sSubPr>
          <m:e>
            <m:r>
              <m:rPr/>
              <w:rPr>
                <w:rFonts w:ascii="Cambria Math" w:hAnsi="Cambria Math"/>
                <w:sz w:val="24"/>
                <w:lang w:val="en-US"/>
              </w:rPr>
              <m:t>P</m:t>
            </m:r>
            <m:ctrlPr>
              <w:rPr>
                <w:rFonts w:ascii="Cambria Math" w:hAnsi="Cambria Math"/>
                <w:i/>
                <w:sz w:val="24"/>
                <w:lang w:val="en-US"/>
              </w:rPr>
            </m:ctrlPr>
          </m:e>
          <m:sub>
            <m:r>
              <m:rPr>
                <m:sty m:val="p"/>
              </m:rPr>
              <w:rPr>
                <w:rFonts w:ascii="Cambria Math" w:hAnsi="Cambria Math"/>
                <w:sz w:val="24"/>
                <w:lang w:val="en-US"/>
              </w:rPr>
              <m:t>C2</m:t>
            </m:r>
            <m:ctrlPr>
              <w:rPr>
                <w:rFonts w:ascii="Cambria Math" w:hAnsi="Cambria Math"/>
                <w:i/>
                <w:sz w:val="24"/>
                <w:lang w:val="en-US"/>
              </w:rPr>
            </m:ctrlPr>
          </m:sub>
        </m:sSub>
      </m:oMath>
      <w:r>
        <w:rPr>
          <w:rFonts w:hint="eastAsia"/>
          <w:sz w:val="24"/>
          <w:lang w:val="en-US"/>
        </w:rPr>
        <w:t xml:space="preserve">和 </w:t>
      </w:r>
      <m:oMath>
        <m:sSub>
          <m:sSubPr>
            <m:ctrlPr>
              <w:rPr>
                <w:rFonts w:ascii="Cambria Math" w:hAnsi="Cambria Math"/>
                <w:i/>
                <w:sz w:val="24"/>
                <w:lang w:val="en-US"/>
              </w:rPr>
            </m:ctrlPr>
          </m:sSubPr>
          <m:e>
            <m:r>
              <m:rPr/>
              <w:rPr>
                <w:rFonts w:ascii="Cambria Math" w:hAnsi="Cambria Math"/>
                <w:sz w:val="24"/>
                <w:lang w:val="en-US"/>
              </w:rPr>
              <m:t>P</m:t>
            </m:r>
            <m:ctrlPr>
              <w:rPr>
                <w:rFonts w:ascii="Cambria Math" w:hAnsi="Cambria Math"/>
                <w:i/>
                <w:sz w:val="24"/>
                <w:lang w:val="en-US"/>
              </w:rPr>
            </m:ctrlPr>
          </m:e>
          <m:sub>
            <m:r>
              <m:rPr>
                <m:sty m:val="p"/>
              </m:rPr>
              <w:rPr>
                <w:rFonts w:ascii="Cambria Math" w:hAnsi="Cambria Math"/>
                <w:sz w:val="24"/>
                <w:lang w:val="en-US"/>
              </w:rPr>
              <m:t>C3</m:t>
            </m:r>
            <m:ctrlPr>
              <w:rPr>
                <w:rFonts w:ascii="Cambria Math" w:hAnsi="Cambria Math"/>
                <w:i/>
                <w:sz w:val="24"/>
                <w:lang w:val="en-US"/>
              </w:rPr>
            </m:ctrlPr>
          </m:sub>
        </m:sSub>
      </m:oMath>
      <w:r>
        <w:rPr>
          <w:rFonts w:hint="eastAsia"/>
          <w:lang w:val="en-US"/>
        </w:rPr>
        <w:t>分别为窗户C1，C2，C3的平均风压值，而</w:t>
      </w:r>
      <m:oMath>
        <m:sSub>
          <m:sSubPr>
            <m:ctrlPr>
              <w:rPr>
                <w:rFonts w:ascii="Cambria Math" w:hAnsi="Cambria Math"/>
                <w:i/>
                <w:sz w:val="24"/>
                <w:lang w:val="en-US"/>
              </w:rPr>
            </m:ctrlPr>
          </m:sSubPr>
          <m:e>
            <m:r>
              <m:rPr/>
              <w:rPr>
                <w:rFonts w:ascii="Cambria Math" w:hAnsi="Cambria Math"/>
                <w:sz w:val="24"/>
                <w:lang w:val="en-US"/>
              </w:rPr>
              <m:t>A</m:t>
            </m:r>
            <m:ctrlPr>
              <w:rPr>
                <w:rFonts w:ascii="Cambria Math" w:hAnsi="Cambria Math"/>
                <w:i/>
                <w:sz w:val="24"/>
                <w:lang w:val="en-US"/>
              </w:rPr>
            </m:ctrlPr>
          </m:e>
          <m:sub>
            <m:r>
              <m:rPr>
                <m:sty m:val="p"/>
              </m:rPr>
              <w:rPr>
                <w:rFonts w:ascii="Cambria Math" w:hAnsi="Cambria Math"/>
                <w:sz w:val="24"/>
                <w:lang w:val="en-US"/>
              </w:rPr>
              <m:t>C1</m:t>
            </m:r>
            <m:ctrlPr>
              <w:rPr>
                <w:rFonts w:ascii="Cambria Math" w:hAnsi="Cambria Math"/>
                <w:i/>
                <w:sz w:val="24"/>
                <w:lang w:val="en-US"/>
              </w:rPr>
            </m:ctrlPr>
          </m:sub>
        </m:sSub>
      </m:oMath>
      <w:r>
        <w:rPr>
          <w:rFonts w:hint="eastAsia"/>
          <w:sz w:val="24"/>
          <w:lang w:val="en-US"/>
        </w:rPr>
        <w:t>、</w:t>
      </w:r>
      <m:oMath>
        <m:sSub>
          <m:sSubPr>
            <m:ctrlPr>
              <w:rPr>
                <w:rFonts w:ascii="Cambria Math" w:hAnsi="Cambria Math"/>
                <w:i/>
                <w:sz w:val="24"/>
                <w:lang w:val="en-US"/>
              </w:rPr>
            </m:ctrlPr>
          </m:sSubPr>
          <m:e>
            <m:r>
              <m:rPr/>
              <w:rPr>
                <w:rFonts w:ascii="Cambria Math" w:hAnsi="Cambria Math"/>
                <w:sz w:val="24"/>
                <w:lang w:val="en-US"/>
              </w:rPr>
              <m:t>A</m:t>
            </m:r>
            <m:ctrlPr>
              <w:rPr>
                <w:rFonts w:ascii="Cambria Math" w:hAnsi="Cambria Math"/>
                <w:i/>
                <w:sz w:val="24"/>
                <w:lang w:val="en-US"/>
              </w:rPr>
            </m:ctrlPr>
          </m:e>
          <m:sub>
            <m:r>
              <m:rPr>
                <m:sty m:val="p"/>
              </m:rPr>
              <w:rPr>
                <w:rFonts w:ascii="Cambria Math" w:hAnsi="Cambria Math"/>
                <w:sz w:val="24"/>
                <w:lang w:val="en-US"/>
              </w:rPr>
              <m:t>C2</m:t>
            </m:r>
            <m:ctrlPr>
              <w:rPr>
                <w:rFonts w:ascii="Cambria Math" w:hAnsi="Cambria Math"/>
                <w:i/>
                <w:sz w:val="24"/>
                <w:lang w:val="en-US"/>
              </w:rPr>
            </m:ctrlPr>
          </m:sub>
        </m:sSub>
      </m:oMath>
      <w:r>
        <w:rPr>
          <w:rFonts w:hint="eastAsia"/>
          <w:sz w:val="24"/>
          <w:lang w:val="en-US"/>
        </w:rPr>
        <w:t xml:space="preserve">和 </w:t>
      </w:r>
      <m:oMath>
        <m:sSub>
          <m:sSubPr>
            <m:ctrlPr>
              <w:rPr>
                <w:rFonts w:ascii="Cambria Math" w:hAnsi="Cambria Math"/>
                <w:i/>
                <w:sz w:val="24"/>
                <w:lang w:val="en-US"/>
              </w:rPr>
            </m:ctrlPr>
          </m:sSubPr>
          <m:e>
            <m:r>
              <m:rPr/>
              <w:rPr>
                <w:rFonts w:ascii="Cambria Math" w:hAnsi="Cambria Math"/>
                <w:sz w:val="24"/>
                <w:lang w:val="en-US"/>
              </w:rPr>
              <m:t>A</m:t>
            </m:r>
            <m:ctrlPr>
              <w:rPr>
                <w:rFonts w:ascii="Cambria Math" w:hAnsi="Cambria Math"/>
                <w:i/>
                <w:sz w:val="24"/>
                <w:lang w:val="en-US"/>
              </w:rPr>
            </m:ctrlPr>
          </m:e>
          <m:sub>
            <m:r>
              <m:rPr>
                <m:sty m:val="p"/>
              </m:rPr>
              <w:rPr>
                <w:rFonts w:ascii="Cambria Math" w:hAnsi="Cambria Math"/>
                <w:sz w:val="24"/>
                <w:lang w:val="en-US"/>
              </w:rPr>
              <m:t>C3</m:t>
            </m:r>
            <m:ctrlPr>
              <w:rPr>
                <w:rFonts w:ascii="Cambria Math" w:hAnsi="Cambria Math"/>
                <w:i/>
                <w:sz w:val="24"/>
                <w:lang w:val="en-US"/>
              </w:rPr>
            </m:ctrlPr>
          </m:sub>
        </m:sSub>
      </m:oMath>
      <w:r>
        <w:rPr>
          <w:rFonts w:hint="eastAsia"/>
          <w:lang w:val="en-US"/>
        </w:rPr>
        <w:t>为各个窗户的面积</w:t>
      </w:r>
      <w:r>
        <w:rPr>
          <w:rFonts w:hint="eastAsia"/>
          <w:sz w:val="24"/>
          <w:lang w:val="en-US"/>
        </w:rPr>
        <w:t>，</w:t>
      </w:r>
      <m:oMath>
        <m:sSub>
          <m:sSubPr>
            <m:ctrlPr>
              <w:rPr>
                <w:rFonts w:ascii="Cambria Math" w:hAnsi="Cambria Math"/>
                <w:i/>
                <w:sz w:val="24"/>
                <w:lang w:val="en-US"/>
              </w:rPr>
            </m:ctrlPr>
          </m:sSubPr>
          <m:e>
            <m:r>
              <m:rPr/>
              <w:rPr>
                <w:rFonts w:ascii="Cambria Math" w:hAnsi="Cambria Math"/>
                <w:sz w:val="24"/>
                <w:lang w:val="en-US"/>
              </w:rPr>
              <m:t>P</m:t>
            </m:r>
            <m:ctrlPr>
              <w:rPr>
                <w:rFonts w:ascii="Cambria Math" w:hAnsi="Cambria Math"/>
                <w:i/>
                <w:sz w:val="24"/>
                <w:lang w:val="en-US"/>
              </w:rPr>
            </m:ctrlPr>
          </m:e>
          <m:sub>
            <m:r>
              <m:rPr>
                <m:sty m:val="p"/>
              </m:rPr>
              <w:rPr>
                <w:rFonts w:ascii="Cambria Math" w:hAnsi="Cambria Math"/>
                <w:sz w:val="24"/>
                <w:lang w:val="en-US"/>
              </w:rPr>
              <m:t>up</m:t>
            </m:r>
            <m:ctrlPr>
              <w:rPr>
                <w:rFonts w:ascii="Cambria Math" w:hAnsi="Cambria Math"/>
                <w:i/>
                <w:sz w:val="24"/>
                <w:lang w:val="en-US"/>
              </w:rPr>
            </m:ctrlPr>
          </m:sub>
        </m:sSub>
      </m:oMath>
      <w:r>
        <w:rPr>
          <w:rFonts w:hint="eastAsia"/>
          <w:lang w:val="en-US"/>
        </w:rPr>
        <w:t>为迎风面窗户平均风压。</w:t>
      </w:r>
    </w:p>
    <w:p w14:paraId="06495B71">
      <w:pPr>
        <w:pStyle w:val="3"/>
        <w:spacing w:after="156" w:afterLines="50"/>
        <w:ind w:firstLine="420"/>
        <w:rPr>
          <w:lang w:val="en-US"/>
        </w:rPr>
      </w:pPr>
      <w:r>
        <w:rPr>
          <w:rFonts w:hint="eastAsia"/>
          <w:lang w:val="en-US"/>
        </w:rPr>
        <w:t>背风面窗户平均风压与迎风面窗户平均风压计算公式相同，在此不再赘述。上述以一个示意建筑为例说明了本项目目标建筑迎风面与背风面风压差的计算过程，下面将给出本项目各个目标建筑的迎背风面风压差计算结果。</w:t>
      </w:r>
    </w:p>
    <w:p w14:paraId="073837A2">
      <w:pPr>
        <w:pStyle w:val="6"/>
      </w:pPr>
      <w:r>
        <w:rPr>
          <w:rFonts w:hint="eastAsia"/>
        </w:rPr>
        <w:t>建筑迎风面和背风面风压云图</w:t>
      </w:r>
    </w:p>
    <w:p w14:paraId="40BCD61C">
      <w:pPr>
        <w:pStyle w:val="13"/>
        <w:jc w:val="center"/>
        <w:rPr>
          <w:lang w:val="en-US"/>
        </w:rPr>
      </w:pPr>
      <w:bookmarkStart w:id="100" w:name="冬季工况建筑迎风面风压云图"/>
      <w:bookmarkEnd w:id="100"/>
      <w:r>
        <w:rPr>
          <w:lang w:val="en-US"/>
        </w:rPr>
        <w:drawing>
          <wp:inline distT="0" distB="0" distL="0" distR="0">
            <wp:extent cx="5667375" cy="27908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pic:cNvPicPr>
                      <a:picLocks noChangeAspect="1"/>
                    </pic:cNvPicPr>
                  </pic:nvPicPr>
                  <pic:blipFill>
                    <a:blip r:embed="rId74"/>
                    <a:stretch>
                      <a:fillRect/>
                    </a:stretch>
                  </pic:blipFill>
                  <pic:spPr>
                    <a:xfrm>
                      <a:off x="0" y="0"/>
                      <a:ext cx="5667375" cy="2790825"/>
                    </a:xfrm>
                    <a:prstGeom prst="rect">
                      <a:avLst/>
                    </a:prstGeom>
                  </pic:spPr>
                </pic:pic>
              </a:graphicData>
            </a:graphic>
          </wp:inline>
        </w:drawing>
      </w:r>
    </w:p>
    <w:p w14:paraId="02933402">
      <w:pPr>
        <w:pStyle w:val="3"/>
        <w:ind w:firstLine="0" w:firstLineChars="0"/>
        <w:jc w:val="center"/>
        <w:rPr>
          <w:rFonts w:ascii="黑体" w:hAnsi="黑体" w:eastAsia="黑体"/>
          <w:sz w:val="20"/>
          <w:szCs w:val="20"/>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5.2</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w:t>
      </w:r>
      <w:r>
        <w:rPr>
          <w:rFonts w:ascii="黑体" w:hAnsi="黑体" w:eastAsia="黑体"/>
          <w:sz w:val="20"/>
          <w:szCs w:val="20"/>
        </w:rPr>
        <w:fldChar w:fldCharType="end"/>
      </w:r>
      <w:r>
        <w:rPr>
          <w:rFonts w:hint="eastAsia" w:ascii="黑体" w:hAnsi="黑体" w:eastAsia="黑体"/>
          <w:sz w:val="20"/>
          <w:szCs w:val="20"/>
        </w:rPr>
        <w:t xml:space="preserve"> 建筑迎风面风压云图</w:t>
      </w:r>
    </w:p>
    <w:p w14:paraId="0F99A795">
      <w:pPr>
        <w:pStyle w:val="13"/>
        <w:jc w:val="center"/>
      </w:pPr>
      <w:bookmarkStart w:id="101" w:name="冬季工况建筑背风面风压云图"/>
      <w:bookmarkEnd w:id="101"/>
      <w:r>
        <w:rPr>
          <w:lang w:val="en-US"/>
        </w:rPr>
        <w:drawing>
          <wp:inline distT="0" distB="0" distL="0" distR="0">
            <wp:extent cx="5667375" cy="281940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pic:cNvPicPr>
                      <a:picLocks noChangeAspect="1"/>
                    </pic:cNvPicPr>
                  </pic:nvPicPr>
                  <pic:blipFill>
                    <a:blip r:embed="rId75"/>
                    <a:stretch>
                      <a:fillRect/>
                    </a:stretch>
                  </pic:blipFill>
                  <pic:spPr>
                    <a:xfrm>
                      <a:off x="0" y="0"/>
                      <a:ext cx="5667375" cy="2819400"/>
                    </a:xfrm>
                    <a:prstGeom prst="rect">
                      <a:avLst/>
                    </a:prstGeom>
                  </pic:spPr>
                </pic:pic>
              </a:graphicData>
            </a:graphic>
          </wp:inline>
        </w:drawing>
      </w:r>
    </w:p>
    <w:p w14:paraId="5C7BD09A">
      <w:pPr>
        <w:pStyle w:val="3"/>
        <w:ind w:firstLine="0" w:firstLineChars="0"/>
        <w:jc w:val="center"/>
        <w:rPr>
          <w:rFonts w:ascii="黑体" w:hAnsi="黑体" w:eastAsia="黑体"/>
          <w:sz w:val="20"/>
          <w:szCs w:val="20"/>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5.2</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w:t>
      </w:r>
      <w:r>
        <w:rPr>
          <w:rFonts w:ascii="黑体" w:hAnsi="黑体" w:eastAsia="黑体"/>
          <w:sz w:val="20"/>
          <w:szCs w:val="20"/>
        </w:rPr>
        <w:fldChar w:fldCharType="end"/>
      </w:r>
      <w:r>
        <w:rPr>
          <w:rFonts w:hint="eastAsia" w:ascii="黑体" w:hAnsi="黑体" w:eastAsia="黑体"/>
          <w:sz w:val="20"/>
          <w:szCs w:val="20"/>
        </w:rPr>
        <w:t xml:space="preserve"> 建筑背风面风压云图</w:t>
      </w:r>
    </w:p>
    <w:p w14:paraId="46EC230B">
      <w:pPr>
        <w:jc w:val="center"/>
        <w:rPr>
          <w:rFonts w:ascii="Cambria" w:hAnsi="Cambria" w:eastAsia="黑体"/>
          <w:sz w:val="20"/>
        </w:rPr>
      </w:pPr>
      <w:bookmarkStart w:id="102" w:name="建筑迎背风面风压差表_新增"/>
      <w:bookmarkEnd w:id="102"/>
      <w:bookmarkStart w:id="103" w:name="建筑迎背风面风压差表"/>
    </w:p>
    <w:bookmarkEnd w:id="103"/>
    <w:p w14:paraId="3C1CE1C3">
      <w:pPr>
        <w:pStyle w:val="6"/>
      </w:pPr>
      <w:r>
        <w:rPr>
          <w:rFonts w:hint="eastAsia"/>
        </w:rPr>
        <w:t>建筑迎风和背风面风压差结论汇总</w:t>
      </w:r>
    </w:p>
    <w:p w14:paraId="7D419103">
      <w:pPr>
        <w:pStyle w:val="13"/>
        <w:jc w:val="center"/>
      </w:pPr>
      <w:r>
        <w:rPr>
          <w:rFonts w:hint="eastAsia"/>
        </w:rPr>
        <w:t xml:space="preserve">表 </w:t>
      </w:r>
      <w:r>
        <w:fldChar w:fldCharType="begin"/>
      </w:r>
      <w:r>
        <w:instrText xml:space="preserve"> </w:instrText>
      </w:r>
      <w:r>
        <w:rPr>
          <w:rFonts w:hint="eastAsia"/>
        </w:rPr>
        <w:instrText xml:space="preserve">STYLEREF 2 \s</w:instrText>
      </w:r>
      <w:r>
        <w:instrText xml:space="preserve"> </w:instrText>
      </w:r>
      <w:r>
        <w:fldChar w:fldCharType="separate"/>
      </w:r>
      <w:r>
        <w:t>5.2</w:t>
      </w:r>
      <w:r>
        <w:fldChar w:fldCharType="end"/>
      </w:r>
      <w:r>
        <w:noBreakHyphen/>
      </w:r>
      <w:r>
        <w:fldChar w:fldCharType="begin"/>
      </w:r>
      <w:r>
        <w:instrText xml:space="preserve"> </w:instrText>
      </w:r>
      <w:r>
        <w:rPr>
          <w:rFonts w:hint="eastAsia"/>
        </w:rPr>
        <w:instrText xml:space="preserve">SEQ 表 \* ARABIC \s 2</w:instrText>
      </w:r>
      <w:r>
        <w:instrText xml:space="preserve"> </w:instrText>
      </w:r>
      <w:r>
        <w:fldChar w:fldCharType="separate"/>
      </w:r>
      <w:r>
        <w:t>2</w:t>
      </w:r>
      <w:r>
        <w:fldChar w:fldCharType="end"/>
      </w:r>
      <w:r>
        <w:rPr>
          <w:rFonts w:hint="eastAsia"/>
        </w:rPr>
        <w:t xml:space="preserve">  建筑迎风和背风面风压差结论汇总表</w:t>
      </w:r>
    </w:p>
    <w:tbl>
      <w:tblPr>
        <w:tblStyle w:val="21"/>
        <w:tblW w:w="9303" w:type="dxa"/>
        <w:tblInd w:w="-123"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4077"/>
        <w:gridCol w:w="1276"/>
        <w:gridCol w:w="1276"/>
        <w:gridCol w:w="1701"/>
        <w:gridCol w:w="973"/>
      </w:tblGrid>
      <w:tr w14:paraId="22CEBF4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077" w:type="dxa"/>
            <w:shd w:val="clear" w:color="auto" w:fill="E6E6E6"/>
            <w:vAlign w:val="center"/>
          </w:tcPr>
          <w:p w14:paraId="6F9E9F1C">
            <w:pPr>
              <w:jc w:val="center"/>
              <w:rPr>
                <w:lang w:val="en-US"/>
              </w:rPr>
            </w:pPr>
            <w:bookmarkStart w:id="104" w:name="建筑迎风和背风面风压差结论汇总表"/>
            <w:r>
              <w:rPr>
                <w:rFonts w:hint="eastAsia"/>
                <w:lang w:val="en-US"/>
              </w:rPr>
              <w:t>建筑编号</w:t>
            </w:r>
          </w:p>
        </w:tc>
        <w:tc>
          <w:tcPr>
            <w:tcW w:w="1276" w:type="dxa"/>
            <w:shd w:val="clear" w:color="auto" w:fill="E6E6E6"/>
            <w:vAlign w:val="center"/>
          </w:tcPr>
          <w:p w14:paraId="72FDD5A3">
            <w:pPr>
              <w:jc w:val="center"/>
              <w:rPr>
                <w:lang w:val="en-US"/>
              </w:rPr>
            </w:pPr>
            <w:r>
              <w:rPr>
                <w:rFonts w:hint="eastAsia"/>
                <w:lang w:val="en-US"/>
              </w:rPr>
              <w:t>迎风面平均风压(Pa)</w:t>
            </w:r>
          </w:p>
        </w:tc>
        <w:tc>
          <w:tcPr>
            <w:tcW w:w="1276" w:type="dxa"/>
            <w:shd w:val="clear" w:color="auto" w:fill="E6E6E6"/>
            <w:vAlign w:val="center"/>
          </w:tcPr>
          <w:p w14:paraId="49309618">
            <w:pPr>
              <w:jc w:val="center"/>
              <w:rPr>
                <w:lang w:val="en-US"/>
              </w:rPr>
            </w:pPr>
            <w:r>
              <w:rPr>
                <w:rFonts w:hint="eastAsia"/>
                <w:lang w:val="en-US"/>
              </w:rPr>
              <w:t>背风面平均风压(Pa)</w:t>
            </w:r>
          </w:p>
        </w:tc>
        <w:tc>
          <w:tcPr>
            <w:tcW w:w="1701" w:type="dxa"/>
            <w:shd w:val="clear" w:color="auto" w:fill="E6E6E6"/>
            <w:vAlign w:val="center"/>
          </w:tcPr>
          <w:p w14:paraId="04187404">
            <w:pPr>
              <w:jc w:val="center"/>
              <w:rPr>
                <w:lang w:val="en-US"/>
              </w:rPr>
            </w:pPr>
            <w:r>
              <w:rPr>
                <w:rFonts w:hint="eastAsia"/>
                <w:lang w:val="en-US"/>
              </w:rPr>
              <w:t>建筑迎风和背风面风压差(Pa)</w:t>
            </w:r>
          </w:p>
        </w:tc>
        <w:tc>
          <w:tcPr>
            <w:tcW w:w="973" w:type="dxa"/>
            <w:shd w:val="clear" w:color="auto" w:fill="E6E6E6"/>
            <w:vAlign w:val="center"/>
          </w:tcPr>
          <w:p w14:paraId="04FCA665">
            <w:pPr>
              <w:jc w:val="center"/>
              <w:rPr>
                <w:lang w:val="en-US"/>
              </w:rPr>
            </w:pPr>
            <w:r>
              <w:rPr>
                <w:rFonts w:hint="eastAsia"/>
                <w:lang w:val="en-US"/>
              </w:rPr>
              <w:t>是否达标</w:t>
            </w:r>
          </w:p>
        </w:tc>
      </w:tr>
      <w:tr w14:paraId="213388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077" w:type="dxa"/>
            <w:shd w:val="clear" w:color="auto" w:fill="auto"/>
            <w:vAlign w:val="center"/>
          </w:tcPr>
          <w:p w14:paraId="2B347280">
            <w:pPr>
              <w:jc w:val="center"/>
              <w:rPr>
                <w:lang w:val="en-US"/>
              </w:rPr>
            </w:pPr>
            <w:r>
              <w:rPr>
                <w:lang w:val="en-US"/>
              </w:rPr>
              <w:t>未命名(4806)</w:t>
            </w:r>
          </w:p>
        </w:tc>
        <w:tc>
          <w:tcPr>
            <w:tcW w:w="1276" w:type="dxa"/>
            <w:shd w:val="clear" w:color="auto" w:fill="auto"/>
            <w:vAlign w:val="center"/>
          </w:tcPr>
          <w:p w14:paraId="55B7D771">
            <w:pPr>
              <w:jc w:val="center"/>
              <w:rPr>
                <w:lang w:val="en-US"/>
              </w:rPr>
            </w:pPr>
            <w:r>
              <w:rPr>
                <w:lang w:val="en-US"/>
              </w:rPr>
              <w:t>1.90</w:t>
            </w:r>
          </w:p>
        </w:tc>
        <w:tc>
          <w:tcPr>
            <w:tcW w:w="1276" w:type="dxa"/>
            <w:shd w:val="clear" w:color="auto" w:fill="auto"/>
            <w:vAlign w:val="center"/>
          </w:tcPr>
          <w:p w14:paraId="5B2C73DC">
            <w:pPr>
              <w:jc w:val="center"/>
              <w:rPr>
                <w:lang w:val="en-US"/>
              </w:rPr>
            </w:pPr>
            <w:r>
              <w:rPr>
                <w:lang w:val="en-US"/>
              </w:rPr>
              <w:t>-2.88</w:t>
            </w:r>
          </w:p>
        </w:tc>
        <w:tc>
          <w:tcPr>
            <w:tcW w:w="1701" w:type="dxa"/>
            <w:shd w:val="clear" w:color="auto" w:fill="auto"/>
            <w:vAlign w:val="center"/>
          </w:tcPr>
          <w:p w14:paraId="32035D2C">
            <w:pPr>
              <w:jc w:val="center"/>
              <w:rPr>
                <w:lang w:val="en-US"/>
              </w:rPr>
            </w:pPr>
            <w:r>
              <w:rPr>
                <w:lang w:val="en-US"/>
              </w:rPr>
              <w:t>4.78</w:t>
            </w:r>
          </w:p>
        </w:tc>
        <w:tc>
          <w:tcPr>
            <w:tcW w:w="973" w:type="dxa"/>
            <w:shd w:val="clear" w:color="auto" w:fill="auto"/>
            <w:vAlign w:val="center"/>
          </w:tcPr>
          <w:p w14:paraId="1228EA64">
            <w:pPr>
              <w:jc w:val="center"/>
              <w:rPr>
                <w:lang w:val="en-US"/>
              </w:rPr>
            </w:pPr>
            <w:r>
              <w:rPr>
                <w:lang w:val="en-US"/>
              </w:rPr>
              <w:t>是</w:t>
            </w:r>
          </w:p>
        </w:tc>
      </w:tr>
      <w:tr w14:paraId="1D50DB1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077" w:type="dxa"/>
            <w:shd w:val="clear" w:color="auto" w:fill="auto"/>
            <w:vAlign w:val="center"/>
          </w:tcPr>
          <w:p w14:paraId="165A1F57">
            <w:pPr>
              <w:jc w:val="center"/>
              <w:rPr>
                <w:lang w:val="en-US"/>
              </w:rPr>
            </w:pPr>
            <w:r>
              <w:rPr>
                <w:lang w:val="en-US"/>
              </w:rPr>
              <w:t>未命名(4809)</w:t>
            </w:r>
          </w:p>
        </w:tc>
        <w:tc>
          <w:tcPr>
            <w:tcW w:w="1276" w:type="dxa"/>
            <w:shd w:val="clear" w:color="auto" w:fill="auto"/>
            <w:vAlign w:val="center"/>
          </w:tcPr>
          <w:p w14:paraId="3C9FA263">
            <w:pPr>
              <w:jc w:val="center"/>
              <w:rPr>
                <w:lang w:val="en-US"/>
              </w:rPr>
            </w:pPr>
            <w:r>
              <w:rPr>
                <w:lang w:val="en-US"/>
              </w:rPr>
              <w:t>3.04</w:t>
            </w:r>
          </w:p>
        </w:tc>
        <w:tc>
          <w:tcPr>
            <w:tcW w:w="1276" w:type="dxa"/>
            <w:shd w:val="clear" w:color="auto" w:fill="auto"/>
            <w:vAlign w:val="center"/>
          </w:tcPr>
          <w:p w14:paraId="244E4A77">
            <w:pPr>
              <w:jc w:val="center"/>
              <w:rPr>
                <w:lang w:val="en-US"/>
              </w:rPr>
            </w:pPr>
            <w:r>
              <w:rPr>
                <w:lang w:val="en-US"/>
              </w:rPr>
              <w:t>-4.16</w:t>
            </w:r>
          </w:p>
        </w:tc>
        <w:tc>
          <w:tcPr>
            <w:tcW w:w="1701" w:type="dxa"/>
            <w:shd w:val="clear" w:color="auto" w:fill="auto"/>
            <w:vAlign w:val="center"/>
          </w:tcPr>
          <w:p w14:paraId="632D2EA3">
            <w:pPr>
              <w:jc w:val="center"/>
              <w:rPr>
                <w:lang w:val="en-US"/>
              </w:rPr>
            </w:pPr>
            <w:r>
              <w:rPr>
                <w:color w:val="FF0000"/>
                <w:lang w:val="en-US"/>
              </w:rPr>
              <w:t>7.19</w:t>
            </w:r>
          </w:p>
        </w:tc>
        <w:tc>
          <w:tcPr>
            <w:tcW w:w="973" w:type="dxa"/>
            <w:shd w:val="clear" w:color="auto" w:fill="auto"/>
            <w:vAlign w:val="center"/>
          </w:tcPr>
          <w:p w14:paraId="04EFB308">
            <w:pPr>
              <w:jc w:val="center"/>
              <w:rPr>
                <w:lang w:val="en-US"/>
              </w:rPr>
            </w:pPr>
            <w:r>
              <w:rPr>
                <w:color w:val="FF0000"/>
                <w:lang w:val="en-US"/>
              </w:rPr>
              <w:t>否</w:t>
            </w:r>
          </w:p>
        </w:tc>
      </w:tr>
      <w:tr w14:paraId="3023E2B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077" w:type="dxa"/>
            <w:shd w:val="clear" w:color="auto" w:fill="auto"/>
            <w:vAlign w:val="center"/>
          </w:tcPr>
          <w:p w14:paraId="5669EDE9">
            <w:pPr>
              <w:jc w:val="center"/>
              <w:rPr>
                <w:lang w:val="en-US"/>
              </w:rPr>
            </w:pPr>
            <w:r>
              <w:rPr>
                <w:lang w:val="en-US"/>
              </w:rPr>
              <w:t>未命名(480C)</w:t>
            </w:r>
          </w:p>
        </w:tc>
        <w:tc>
          <w:tcPr>
            <w:tcW w:w="1276" w:type="dxa"/>
            <w:shd w:val="clear" w:color="auto" w:fill="auto"/>
            <w:vAlign w:val="center"/>
          </w:tcPr>
          <w:p w14:paraId="79E475D0">
            <w:pPr>
              <w:jc w:val="center"/>
              <w:rPr>
                <w:lang w:val="en-US"/>
              </w:rPr>
            </w:pPr>
            <w:r>
              <w:rPr>
                <w:lang w:val="en-US"/>
              </w:rPr>
              <w:t>0.34</w:t>
            </w:r>
          </w:p>
        </w:tc>
        <w:tc>
          <w:tcPr>
            <w:tcW w:w="1276" w:type="dxa"/>
            <w:shd w:val="clear" w:color="auto" w:fill="auto"/>
            <w:vAlign w:val="center"/>
          </w:tcPr>
          <w:p w14:paraId="1B5EF236">
            <w:pPr>
              <w:jc w:val="center"/>
              <w:rPr>
                <w:lang w:val="en-US"/>
              </w:rPr>
            </w:pPr>
            <w:r>
              <w:rPr>
                <w:lang w:val="en-US"/>
              </w:rPr>
              <w:t>-2.44</w:t>
            </w:r>
          </w:p>
        </w:tc>
        <w:tc>
          <w:tcPr>
            <w:tcW w:w="1701" w:type="dxa"/>
            <w:shd w:val="clear" w:color="auto" w:fill="auto"/>
            <w:vAlign w:val="center"/>
          </w:tcPr>
          <w:p w14:paraId="22CFA78D">
            <w:pPr>
              <w:jc w:val="center"/>
              <w:rPr>
                <w:lang w:val="en-US"/>
              </w:rPr>
            </w:pPr>
            <w:r>
              <w:rPr>
                <w:lang w:val="en-US"/>
              </w:rPr>
              <w:t>2.79</w:t>
            </w:r>
          </w:p>
        </w:tc>
        <w:tc>
          <w:tcPr>
            <w:tcW w:w="973" w:type="dxa"/>
            <w:shd w:val="clear" w:color="auto" w:fill="auto"/>
            <w:vAlign w:val="center"/>
          </w:tcPr>
          <w:p w14:paraId="675504AB">
            <w:pPr>
              <w:jc w:val="center"/>
              <w:rPr>
                <w:lang w:val="en-US"/>
              </w:rPr>
            </w:pPr>
            <w:r>
              <w:rPr>
                <w:lang w:val="en-US"/>
              </w:rPr>
              <w:t>是</w:t>
            </w:r>
          </w:p>
        </w:tc>
      </w:tr>
      <w:tr w14:paraId="4368AA4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4077" w:type="dxa"/>
            <w:shd w:val="clear" w:color="auto" w:fill="auto"/>
            <w:vAlign w:val="center"/>
          </w:tcPr>
          <w:p w14:paraId="0B03C522">
            <w:pPr>
              <w:jc w:val="center"/>
              <w:rPr>
                <w:lang w:val="en-US"/>
              </w:rPr>
            </w:pPr>
            <w:r>
              <w:rPr>
                <w:lang w:val="en-US"/>
              </w:rPr>
              <w:t>未命名(480F)</w:t>
            </w:r>
          </w:p>
        </w:tc>
        <w:tc>
          <w:tcPr>
            <w:tcW w:w="1276" w:type="dxa"/>
            <w:shd w:val="clear" w:color="auto" w:fill="auto"/>
            <w:vAlign w:val="center"/>
          </w:tcPr>
          <w:p w14:paraId="38804FDA">
            <w:pPr>
              <w:jc w:val="center"/>
              <w:rPr>
                <w:lang w:val="en-US"/>
              </w:rPr>
            </w:pPr>
            <w:r>
              <w:rPr>
                <w:lang w:val="en-US"/>
              </w:rPr>
              <w:t>3.81</w:t>
            </w:r>
          </w:p>
        </w:tc>
        <w:tc>
          <w:tcPr>
            <w:tcW w:w="1276" w:type="dxa"/>
            <w:shd w:val="clear" w:color="auto" w:fill="auto"/>
            <w:vAlign w:val="center"/>
          </w:tcPr>
          <w:p w14:paraId="4EFA6D58">
            <w:pPr>
              <w:jc w:val="center"/>
              <w:rPr>
                <w:lang w:val="en-US"/>
              </w:rPr>
            </w:pPr>
            <w:r>
              <w:rPr>
                <w:lang w:val="en-US"/>
              </w:rPr>
              <w:t>0.71</w:t>
            </w:r>
          </w:p>
        </w:tc>
        <w:tc>
          <w:tcPr>
            <w:tcW w:w="1701" w:type="dxa"/>
            <w:shd w:val="clear" w:color="auto" w:fill="auto"/>
            <w:vAlign w:val="center"/>
          </w:tcPr>
          <w:p w14:paraId="62350D8C">
            <w:pPr>
              <w:jc w:val="center"/>
              <w:rPr>
                <w:lang w:val="en-US"/>
              </w:rPr>
            </w:pPr>
            <w:r>
              <w:rPr>
                <w:lang w:val="en-US"/>
              </w:rPr>
              <w:t>3.10</w:t>
            </w:r>
          </w:p>
        </w:tc>
        <w:tc>
          <w:tcPr>
            <w:tcW w:w="973" w:type="dxa"/>
            <w:shd w:val="clear" w:color="auto" w:fill="auto"/>
            <w:vAlign w:val="center"/>
          </w:tcPr>
          <w:p w14:paraId="2530CC78">
            <w:pPr>
              <w:jc w:val="center"/>
              <w:rPr>
                <w:lang w:val="en-US"/>
              </w:rPr>
            </w:pPr>
            <w:r>
              <w:rPr>
                <w:lang w:val="en-US"/>
              </w:rPr>
              <w:t>是</w:t>
            </w:r>
          </w:p>
        </w:tc>
      </w:tr>
      <w:bookmarkEnd w:id="104"/>
    </w:tbl>
    <w:p w14:paraId="5066CF67">
      <w:pPr>
        <w:rPr>
          <w:lang w:val="en-US"/>
        </w:rPr>
      </w:pPr>
      <w:bookmarkStart w:id="105" w:name="建筑迎风和背风面风压差结论汇总结论"/>
      <w:bookmarkEnd w:id="105"/>
      <w:r>
        <w:rPr>
          <w:lang w:val="en-US"/>
        </w:rPr>
        <w:t>结论：本项目中参评建筑未命名迎背风压差</w:t>
      </w:r>
      <w:r>
        <w:rPr>
          <w:b/>
          <w:color w:val="FF0000"/>
          <w:lang w:val="en-US"/>
        </w:rPr>
        <w:t>超过</w:t>
      </w:r>
      <w:r>
        <w:rPr>
          <w:lang w:val="en-US"/>
        </w:rPr>
        <w:t>5Pa，</w:t>
      </w:r>
      <w:r>
        <w:rPr>
          <w:b/>
          <w:color w:val="FF0000"/>
          <w:lang w:val="en-US"/>
        </w:rPr>
        <w:t>未满足</w:t>
      </w:r>
      <w:r>
        <w:rPr>
          <w:lang w:val="en-US"/>
        </w:rPr>
        <w:t>“除迎风第一排建筑外，建筑迎风面与背风面表面风压差不超过5Pa”的要求，该条不得分。</w:t>
      </w:r>
    </w:p>
    <w:p w14:paraId="26D0BEBC">
      <w:pPr>
        <w:rPr>
          <w:lang w:val="en-US"/>
        </w:rPr>
      </w:pPr>
      <w:bookmarkStart w:id="106" w:name="冬季工况"/>
      <w:bookmarkEnd w:id="106"/>
      <w:r>
        <w:rPr>
          <w:rFonts w:hint="eastAsia"/>
          <w:lang w:val="en-US"/>
        </w:rPr>
        <w:t xml:space="preserve"> </w:t>
      </w:r>
    </w:p>
    <w:p w14:paraId="47D177C8">
      <w:pPr>
        <w:pStyle w:val="4"/>
      </w:pPr>
      <w:bookmarkStart w:id="107" w:name="_Toc179986120"/>
      <w:r>
        <w:rPr>
          <w:rFonts w:hint="eastAsia"/>
        </w:rPr>
        <w:t>夏季工况</w:t>
      </w:r>
      <w:bookmarkEnd w:id="107"/>
    </w:p>
    <w:p w14:paraId="7605FB31">
      <w:pPr>
        <w:pStyle w:val="3"/>
        <w:ind w:firstLine="420"/>
      </w:pPr>
      <w:r>
        <w:rPr>
          <w:rFonts w:hint="eastAsia"/>
          <w:lang w:val="en-US"/>
        </w:rPr>
        <w:t>本项目夏季工况的入口边界风速为2.30m/s，风向为</w:t>
      </w:r>
      <w:r>
        <w:t>SSE</w:t>
      </w:r>
      <w:r>
        <w:rPr>
          <w:rFonts w:hint="eastAsia"/>
          <w:lang w:val="en-US"/>
        </w:rPr>
        <w:t>。</w:t>
      </w:r>
    </w:p>
    <w:p w14:paraId="5D32C755">
      <w:pPr>
        <w:pStyle w:val="3"/>
        <w:ind w:firstLine="420"/>
      </w:pPr>
      <w:r>
        <w:rPr>
          <w:rFonts w:hint="eastAsia"/>
          <w:lang w:val="en-US"/>
        </w:rPr>
        <w:t>根据前述《绿色建筑评价标准》 对于夏季工况的要求，夏季典型风速和风向条件下，场地内人活动区不出现涡旋或无风区。通过该项标准指导设计确保合理的建筑布局，在夏季形成有效的巷道风，优化街区自然通风环境，避免夏季人活动区有明显的气流旋涡和无风区，从而造成闷热不适感。因此本项目需要分析人活动区的风速，并作出判断。</w:t>
      </w:r>
    </w:p>
    <w:p w14:paraId="4E2B02DA">
      <w:pPr>
        <w:pStyle w:val="3"/>
        <w:ind w:firstLine="422"/>
        <w:rPr>
          <w:lang w:val="en-US"/>
        </w:rPr>
      </w:pPr>
      <w:r>
        <w:rPr>
          <w:rFonts w:hint="eastAsia"/>
          <w:b/>
          <w:lang w:val="en-US"/>
        </w:rPr>
        <w:t>无风区的定义</w:t>
      </w:r>
      <w:r>
        <w:rPr>
          <w:rFonts w:hint="eastAsia"/>
          <w:lang w:val="en-US"/>
        </w:rPr>
        <w:t xml:space="preserve"> 通常当人活动区域风速≤0.2m/s时，该区域风向标处于静止状态，在此区域活动的人会有明显的无风感，则该区域为无风区。</w:t>
      </w:r>
    </w:p>
    <w:p w14:paraId="41E5FE71">
      <w:pPr>
        <w:pStyle w:val="3"/>
        <w:ind w:firstLine="409" w:firstLineChars="195"/>
        <w:rPr>
          <w:rFonts w:ascii="黑体" w:hAnsi="黑体" w:eastAsia="黑体"/>
          <w:szCs w:val="20"/>
        </w:rPr>
      </w:pPr>
      <w:r>
        <w:rPr>
          <w:rFonts w:hint="eastAsia" w:ascii="黑体" w:hAnsi="黑体" w:eastAsia="黑体"/>
          <w:szCs w:val="20"/>
          <w:lang w:val="en-US"/>
        </w:rPr>
        <w:t>注：无风区的定义参考《</w:t>
      </w:r>
      <w:r>
        <w:rPr>
          <w:rFonts w:hint="eastAsia" w:ascii="黑体" w:hAnsi="黑体" w:eastAsia="黑体"/>
          <w:szCs w:val="20"/>
        </w:rPr>
        <w:t>建筑设计资料集</w:t>
      </w:r>
      <w:r>
        <w:rPr>
          <w:rFonts w:hint="eastAsia" w:ascii="黑体" w:hAnsi="黑体" w:eastAsia="黑体"/>
          <w:szCs w:val="20"/>
          <w:lang w:val="en-US"/>
        </w:rPr>
        <w:t>》第一分册，第二版。</w:t>
      </w:r>
    </w:p>
    <w:p w14:paraId="37FD27DD">
      <w:pPr>
        <w:pStyle w:val="5"/>
      </w:pPr>
      <w:bookmarkStart w:id="108" w:name="_Toc179986121"/>
      <w:r>
        <w:rPr>
          <w:rFonts w:hint="eastAsia"/>
        </w:rPr>
        <w:t>无风区计算分析</w:t>
      </w:r>
      <w:bookmarkEnd w:id="108"/>
    </w:p>
    <w:p w14:paraId="13B7C32E">
      <w:pPr>
        <w:pStyle w:val="3"/>
        <w:spacing w:after="156" w:afterLines="50"/>
        <w:ind w:firstLine="420"/>
        <w:jc w:val="left"/>
      </w:pPr>
      <w:r>
        <w:rPr>
          <w:rFonts w:hint="eastAsia"/>
        </w:rPr>
        <w:t>下图为整个计算域内风速分布云图，参考图中速度分布可以对项目中建筑布局进行优化。分析下图</w:t>
      </w:r>
      <w:r>
        <w:rPr>
          <w:rFonts w:hint="eastAsia"/>
          <w:lang w:val="en-US"/>
        </w:rPr>
        <w:t>，</w:t>
      </w:r>
      <w:r>
        <w:t>人活动区内未标示出风速</w:t>
      </w:r>
      <w:r>
        <w:rPr>
          <w:color w:val="0000FF"/>
        </w:rPr>
        <w:t>小于</w:t>
      </w:r>
      <w:r>
        <w:t>0.2m/s的超限区域，因此人活动区风速</w:t>
      </w:r>
      <w:r>
        <w:rPr>
          <w:color w:val="0000FF"/>
        </w:rPr>
        <w:t>满足</w:t>
      </w:r>
      <w:r>
        <w:t>绿标要求，项目可采用现有建筑布局。</w:t>
      </w:r>
    </w:p>
    <w:p w14:paraId="10DE7288">
      <w:pPr>
        <w:pStyle w:val="3"/>
        <w:spacing w:after="156" w:afterLines="50"/>
        <w:ind w:firstLine="0" w:firstLineChars="0"/>
        <w:jc w:val="center"/>
      </w:pPr>
      <w:r>
        <w:rPr>
          <w:lang w:val="en-US"/>
        </w:rPr>
        <w:drawing>
          <wp:inline distT="0" distB="0" distL="0" distR="0">
            <wp:extent cx="5667375" cy="265747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pic:cNvPicPr>
                  </pic:nvPicPr>
                  <pic:blipFill>
                    <a:blip r:embed="rId76"/>
                    <a:stretch>
                      <a:fillRect/>
                    </a:stretch>
                  </pic:blipFill>
                  <pic:spPr>
                    <a:xfrm>
                      <a:off x="0" y="0"/>
                      <a:ext cx="5667375" cy="2657475"/>
                    </a:xfrm>
                    <a:prstGeom prst="rect">
                      <a:avLst/>
                    </a:prstGeom>
                  </pic:spPr>
                </pic:pic>
              </a:graphicData>
            </a:graphic>
          </wp:inline>
        </w:drawing>
      </w:r>
    </w:p>
    <w:p w14:paraId="3698F268">
      <w:pPr>
        <w:pStyle w:val="3"/>
        <w:ind w:firstLine="0" w:firstLineChars="0"/>
        <w:jc w:val="cente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5.3</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hint="eastAsia" w:ascii="黑体" w:hAnsi="黑体" w:eastAsia="黑体"/>
          <w:sz w:val="20"/>
          <w:szCs w:val="20"/>
        </w:rPr>
        <w:t>计算域内-1.5米高度水平面风速云图-夏季</w:t>
      </w:r>
    </w:p>
    <w:p w14:paraId="19D89D68">
      <w:pPr>
        <w:pStyle w:val="3"/>
        <w:ind w:firstLine="420"/>
      </w:pPr>
    </w:p>
    <w:p w14:paraId="6BC046BF">
      <w:pPr>
        <w:pStyle w:val="5"/>
      </w:pPr>
      <w:bookmarkStart w:id="109" w:name="_Toc179986122"/>
      <w:r>
        <w:rPr>
          <w:rFonts w:hint="eastAsia"/>
        </w:rPr>
        <w:t>旋涡区分析</w:t>
      </w:r>
      <w:bookmarkEnd w:id="109"/>
    </w:p>
    <w:p w14:paraId="354ABA41">
      <w:pPr>
        <w:pStyle w:val="3"/>
        <w:ind w:firstLine="420"/>
        <w:rPr>
          <w:lang w:val="en-US"/>
        </w:rPr>
      </w:pPr>
      <w:r>
        <w:rPr>
          <w:rFonts w:hint="eastAsia"/>
          <w:lang w:val="en-US"/>
        </w:rPr>
        <w:t>下图为计算域内的风速矢量图，分析下图可知，计算域内没有明显的旋涡产生，本项目建筑布局基本合理。</w:t>
      </w:r>
    </w:p>
    <w:p w14:paraId="1A82DD83">
      <w:pPr>
        <w:pStyle w:val="3"/>
        <w:ind w:firstLine="0" w:firstLineChars="0"/>
        <w:jc w:val="center"/>
        <w:rPr>
          <w:lang w:val="en-US"/>
        </w:rPr>
      </w:pPr>
      <w:r>
        <w:rPr>
          <w:lang w:val="en-US"/>
        </w:rPr>
        <w:drawing>
          <wp:inline distT="0" distB="0" distL="0" distR="0">
            <wp:extent cx="5667375" cy="28670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pic:cNvPicPr>
                      <a:picLocks noChangeAspect="1"/>
                    </pic:cNvPicPr>
                  </pic:nvPicPr>
                  <pic:blipFill>
                    <a:blip r:embed="rId77"/>
                    <a:stretch>
                      <a:fillRect/>
                    </a:stretch>
                  </pic:blipFill>
                  <pic:spPr>
                    <a:xfrm>
                      <a:off x="0" y="0"/>
                      <a:ext cx="5667375" cy="2867025"/>
                    </a:xfrm>
                    <a:prstGeom prst="rect">
                      <a:avLst/>
                    </a:prstGeom>
                  </pic:spPr>
                </pic:pic>
              </a:graphicData>
            </a:graphic>
          </wp:inline>
        </w:drawing>
      </w:r>
    </w:p>
    <w:p w14:paraId="40D39C72">
      <w:pPr>
        <w:pStyle w:val="3"/>
        <w:ind w:firstLine="0" w:firstLineChars="0"/>
        <w:jc w:val="center"/>
        <w:rPr>
          <w:lang w:val="en-US"/>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5.3</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2</w:t>
      </w:r>
      <w:r>
        <w:rPr>
          <w:rFonts w:ascii="黑体" w:hAnsi="黑体" w:eastAsia="黑体"/>
          <w:sz w:val="20"/>
          <w:szCs w:val="20"/>
        </w:rPr>
        <w:fldChar w:fldCharType="end"/>
      </w:r>
      <w:r>
        <w:rPr>
          <w:rFonts w:hint="eastAsia" w:ascii="黑体" w:hAnsi="黑体" w:eastAsia="黑体"/>
          <w:sz w:val="20"/>
          <w:szCs w:val="20"/>
        </w:rPr>
        <w:t>计算域内-1.5米高度水平面风速矢量图</w:t>
      </w:r>
    </w:p>
    <w:p w14:paraId="37E27CB9">
      <w:pPr>
        <w:pStyle w:val="3"/>
        <w:ind w:firstLine="420"/>
        <w:rPr>
          <w:lang w:val="en-US"/>
        </w:rPr>
      </w:pPr>
    </w:p>
    <w:p w14:paraId="33B9B4F5">
      <w:pPr>
        <w:pStyle w:val="5"/>
      </w:pPr>
      <w:bookmarkStart w:id="110" w:name="_Toc179986123"/>
      <w:r>
        <w:rPr>
          <w:rFonts w:hint="eastAsia"/>
        </w:rPr>
        <w:t>旋涡区/无风区达标结果汇总</w:t>
      </w:r>
      <w:bookmarkEnd w:id="110"/>
    </w:p>
    <w:p w14:paraId="6B7EF84B">
      <w:pPr>
        <w:pStyle w:val="3"/>
        <w:ind w:firstLine="0" w:firstLineChars="0"/>
        <w:jc w:val="center"/>
        <w:rPr>
          <w:rFonts w:ascii="黑体" w:hAnsi="黑体" w:eastAsia="黑体"/>
          <w:sz w:val="20"/>
          <w:szCs w:val="20"/>
        </w:rPr>
      </w:pPr>
      <w:r>
        <w:rPr>
          <w:rFonts w:hint="eastAsia" w:ascii="黑体" w:hAnsi="黑体" w:eastAsia="黑体"/>
          <w:sz w:val="20"/>
          <w:szCs w:val="20"/>
        </w:rPr>
        <w:t xml:space="preserve">表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5.3</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表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hint="eastAsia" w:ascii="黑体" w:hAnsi="黑体" w:eastAsia="黑体"/>
          <w:sz w:val="20"/>
          <w:szCs w:val="20"/>
        </w:rPr>
        <w:t xml:space="preserve"> 夏季无风区/旋涡区达标分析汇总</w:t>
      </w:r>
    </w:p>
    <w:tbl>
      <w:tblPr>
        <w:tblStyle w:val="21"/>
        <w:tblW w:w="6662" w:type="dxa"/>
        <w:tblInd w:w="1526" w:type="dxa"/>
        <w:tblLayout w:type="autofit"/>
        <w:tblCellMar>
          <w:top w:w="0" w:type="dxa"/>
          <w:left w:w="108" w:type="dxa"/>
          <w:bottom w:w="0" w:type="dxa"/>
          <w:right w:w="108" w:type="dxa"/>
        </w:tblCellMar>
      </w:tblPr>
      <w:tblGrid>
        <w:gridCol w:w="1134"/>
        <w:gridCol w:w="1701"/>
        <w:gridCol w:w="2551"/>
        <w:gridCol w:w="1276"/>
      </w:tblGrid>
      <w:tr w14:paraId="7AF41388">
        <w:tblPrEx>
          <w:tblCellMar>
            <w:top w:w="0" w:type="dxa"/>
            <w:left w:w="108" w:type="dxa"/>
            <w:bottom w:w="0" w:type="dxa"/>
            <w:right w:w="108" w:type="dxa"/>
          </w:tblCellMar>
        </w:tblPrEx>
        <w:trPr>
          <w:trHeight w:val="270" w:hRule="atLeast"/>
        </w:trPr>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51ECBC">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评价量</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252853DB">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标准要求</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1823D059">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是否有无风区/旋涡区</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1F15FB19">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达标判断</w:t>
            </w:r>
          </w:p>
        </w:tc>
      </w:tr>
      <w:tr w14:paraId="03C667AF">
        <w:tblPrEx>
          <w:tblCellMar>
            <w:top w:w="0" w:type="dxa"/>
            <w:left w:w="108" w:type="dxa"/>
            <w:bottom w:w="0" w:type="dxa"/>
            <w:right w:w="108" w:type="dxa"/>
          </w:tblCellMar>
        </w:tblPrEx>
        <w:trPr>
          <w:trHeight w:val="270" w:hRule="atLeast"/>
        </w:trPr>
        <w:tc>
          <w:tcPr>
            <w:tcW w:w="1134" w:type="dxa"/>
            <w:tcBorders>
              <w:top w:val="nil"/>
              <w:left w:val="single" w:color="auto" w:sz="4" w:space="0"/>
              <w:bottom w:val="single" w:color="auto" w:sz="4" w:space="0"/>
              <w:right w:val="single" w:color="auto" w:sz="4" w:space="0"/>
            </w:tcBorders>
            <w:shd w:val="clear" w:color="auto" w:fill="auto"/>
            <w:noWrap/>
            <w:vAlign w:val="center"/>
          </w:tcPr>
          <w:p w14:paraId="78EBD55A">
            <w:pPr>
              <w:rPr>
                <w:rFonts w:ascii="宋体" w:hAnsi="宋体" w:cs="宋体"/>
                <w:szCs w:val="21"/>
              </w:rPr>
            </w:pPr>
            <w:r>
              <w:rPr>
                <w:rFonts w:hint="eastAsia" w:ascii="宋体" w:hAnsi="宋体" w:cs="宋体"/>
                <w:szCs w:val="21"/>
              </w:rPr>
              <w:t>无风区</w:t>
            </w:r>
          </w:p>
        </w:tc>
        <w:tc>
          <w:tcPr>
            <w:tcW w:w="1701" w:type="dxa"/>
            <w:tcBorders>
              <w:top w:val="nil"/>
              <w:left w:val="nil"/>
              <w:bottom w:val="single" w:color="auto" w:sz="4" w:space="0"/>
              <w:right w:val="single" w:color="auto" w:sz="4" w:space="0"/>
            </w:tcBorders>
            <w:shd w:val="clear" w:color="auto" w:fill="auto"/>
            <w:noWrap/>
            <w:vAlign w:val="center"/>
          </w:tcPr>
          <w:p w14:paraId="149E7BF3">
            <w:pPr>
              <w:rPr>
                <w:rFonts w:ascii="宋体" w:hAnsi="宋体" w:cs="宋体"/>
                <w:szCs w:val="21"/>
              </w:rPr>
            </w:pPr>
            <w:r>
              <w:rPr>
                <w:rFonts w:hint="eastAsia" w:ascii="宋体" w:hAnsi="宋体" w:cs="宋体"/>
                <w:szCs w:val="21"/>
              </w:rPr>
              <w:t>无风区面积为0</w:t>
            </w:r>
          </w:p>
        </w:tc>
        <w:tc>
          <w:tcPr>
            <w:tcW w:w="2551" w:type="dxa"/>
            <w:tcBorders>
              <w:top w:val="nil"/>
              <w:left w:val="nil"/>
              <w:bottom w:val="single" w:color="auto" w:sz="4" w:space="0"/>
              <w:right w:val="single" w:color="auto" w:sz="4" w:space="0"/>
            </w:tcBorders>
            <w:shd w:val="clear" w:color="auto" w:fill="auto"/>
            <w:noWrap/>
            <w:vAlign w:val="center"/>
          </w:tcPr>
          <w:p w14:paraId="4D0A6115">
            <w:pPr>
              <w:spacing w:line="240" w:lineRule="auto"/>
              <w:jc w:val="center"/>
              <w:rPr>
                <w:rFonts w:ascii="宋体" w:hAnsi="宋体" w:cs="宋体"/>
                <w:color w:val="000000"/>
                <w:sz w:val="22"/>
                <w:szCs w:val="22"/>
                <w:lang w:val="en-US"/>
              </w:rPr>
            </w:pPr>
            <w:r>
              <w:rPr>
                <w:rFonts w:hint="eastAsia" w:ascii="宋体" w:hAnsi="宋体" w:cs="宋体"/>
                <w:color w:val="000000"/>
                <w:sz w:val="22"/>
                <w:szCs w:val="22"/>
                <w:lang w:val="en-US"/>
              </w:rPr>
              <w:t>否</w:t>
            </w:r>
          </w:p>
        </w:tc>
        <w:tc>
          <w:tcPr>
            <w:tcW w:w="1276" w:type="dxa"/>
            <w:tcBorders>
              <w:top w:val="nil"/>
              <w:left w:val="nil"/>
              <w:bottom w:val="single" w:color="auto" w:sz="4" w:space="0"/>
              <w:right w:val="single" w:color="auto" w:sz="4" w:space="0"/>
            </w:tcBorders>
            <w:shd w:val="clear" w:color="auto" w:fill="auto"/>
            <w:noWrap/>
            <w:vAlign w:val="center"/>
          </w:tcPr>
          <w:p w14:paraId="02E85C82">
            <w:pPr>
              <w:spacing w:line="240" w:lineRule="auto"/>
              <w:jc w:val="center"/>
              <w:rPr>
                <w:rFonts w:ascii="宋体" w:hAnsi="宋体" w:cs="宋体"/>
                <w:color w:val="000000"/>
                <w:sz w:val="22"/>
                <w:szCs w:val="22"/>
                <w:lang w:val="en-US"/>
              </w:rPr>
            </w:pPr>
            <w:r>
              <w:rPr>
                <w:rFonts w:hint="eastAsia" w:ascii="宋体" w:hAnsi="宋体" w:cs="宋体"/>
                <w:color w:val="000000"/>
                <w:sz w:val="22"/>
                <w:szCs w:val="22"/>
                <w:lang w:val="en-US"/>
              </w:rPr>
              <w:t>是</w:t>
            </w:r>
          </w:p>
        </w:tc>
      </w:tr>
      <w:tr w14:paraId="4506BD0F">
        <w:tblPrEx>
          <w:tblCellMar>
            <w:top w:w="0" w:type="dxa"/>
            <w:left w:w="108" w:type="dxa"/>
            <w:bottom w:w="0" w:type="dxa"/>
            <w:right w:w="108" w:type="dxa"/>
          </w:tblCellMar>
        </w:tblPrEx>
        <w:trPr>
          <w:trHeight w:val="270" w:hRule="atLeast"/>
        </w:trPr>
        <w:tc>
          <w:tcPr>
            <w:tcW w:w="1134" w:type="dxa"/>
            <w:tcBorders>
              <w:top w:val="nil"/>
              <w:left w:val="single" w:color="auto" w:sz="4" w:space="0"/>
              <w:bottom w:val="single" w:color="auto" w:sz="4" w:space="0"/>
              <w:right w:val="single" w:color="auto" w:sz="4" w:space="0"/>
            </w:tcBorders>
            <w:shd w:val="clear" w:color="auto" w:fill="auto"/>
            <w:noWrap/>
            <w:vAlign w:val="center"/>
          </w:tcPr>
          <w:p w14:paraId="5003A13A">
            <w:pPr>
              <w:rPr>
                <w:rFonts w:ascii="宋体" w:hAnsi="宋体" w:cs="宋体"/>
                <w:szCs w:val="21"/>
              </w:rPr>
            </w:pPr>
            <w:r>
              <w:rPr>
                <w:rFonts w:hint="eastAsia" w:ascii="宋体" w:hAnsi="宋体" w:cs="宋体"/>
                <w:szCs w:val="21"/>
              </w:rPr>
              <w:t>旋涡区</w:t>
            </w:r>
          </w:p>
        </w:tc>
        <w:tc>
          <w:tcPr>
            <w:tcW w:w="1701" w:type="dxa"/>
            <w:tcBorders>
              <w:top w:val="nil"/>
              <w:left w:val="nil"/>
              <w:bottom w:val="single" w:color="auto" w:sz="4" w:space="0"/>
              <w:right w:val="single" w:color="auto" w:sz="4" w:space="0"/>
            </w:tcBorders>
            <w:shd w:val="clear" w:color="auto" w:fill="auto"/>
            <w:noWrap/>
            <w:vAlign w:val="center"/>
          </w:tcPr>
          <w:p w14:paraId="172B6D57">
            <w:pPr>
              <w:rPr>
                <w:rFonts w:ascii="宋体" w:hAnsi="宋体" w:cs="宋体"/>
                <w:szCs w:val="21"/>
              </w:rPr>
            </w:pPr>
            <w:r>
              <w:rPr>
                <w:rFonts w:hint="eastAsia" w:ascii="宋体" w:hAnsi="宋体" w:cs="宋体"/>
                <w:szCs w:val="21"/>
              </w:rPr>
              <w:t>旋涡区面积为0</w:t>
            </w:r>
          </w:p>
        </w:tc>
        <w:tc>
          <w:tcPr>
            <w:tcW w:w="2551" w:type="dxa"/>
            <w:tcBorders>
              <w:top w:val="nil"/>
              <w:left w:val="nil"/>
              <w:bottom w:val="single" w:color="auto" w:sz="4" w:space="0"/>
              <w:right w:val="single" w:color="auto" w:sz="4" w:space="0"/>
            </w:tcBorders>
            <w:shd w:val="clear" w:color="auto" w:fill="auto"/>
            <w:noWrap/>
            <w:vAlign w:val="center"/>
          </w:tcPr>
          <w:p w14:paraId="582899C8">
            <w:pPr>
              <w:spacing w:line="240" w:lineRule="auto"/>
              <w:jc w:val="center"/>
              <w:rPr>
                <w:rFonts w:ascii="宋体" w:hAnsi="宋体" w:cs="宋体"/>
                <w:color w:val="000000"/>
                <w:sz w:val="22"/>
                <w:szCs w:val="22"/>
                <w:lang w:val="en-US"/>
              </w:rPr>
            </w:pPr>
            <w:r>
              <w:rPr>
                <w:rFonts w:ascii="宋体" w:hAnsi="宋体" w:cs="宋体"/>
                <w:color w:val="000000"/>
                <w:sz w:val="22"/>
                <w:szCs w:val="22"/>
                <w:lang w:val="en-US"/>
              </w:rPr>
              <w:t>否</w:t>
            </w:r>
          </w:p>
        </w:tc>
        <w:tc>
          <w:tcPr>
            <w:tcW w:w="1276" w:type="dxa"/>
            <w:tcBorders>
              <w:top w:val="nil"/>
              <w:left w:val="nil"/>
              <w:bottom w:val="single" w:color="auto" w:sz="4" w:space="0"/>
              <w:right w:val="single" w:color="auto" w:sz="4" w:space="0"/>
            </w:tcBorders>
            <w:shd w:val="clear" w:color="auto" w:fill="auto"/>
            <w:noWrap/>
            <w:vAlign w:val="center"/>
          </w:tcPr>
          <w:p w14:paraId="49D4E3C3">
            <w:pPr>
              <w:spacing w:line="240" w:lineRule="auto"/>
              <w:jc w:val="center"/>
              <w:rPr>
                <w:rFonts w:ascii="宋体" w:hAnsi="宋体" w:cs="宋体"/>
                <w:color w:val="000000"/>
                <w:sz w:val="22"/>
                <w:szCs w:val="22"/>
                <w:lang w:val="en-US"/>
              </w:rPr>
            </w:pPr>
            <w:r>
              <w:rPr>
                <w:rFonts w:ascii="宋体" w:hAnsi="宋体" w:cs="宋体"/>
                <w:color w:val="000000"/>
                <w:sz w:val="22"/>
                <w:szCs w:val="22"/>
                <w:lang w:val="en-US"/>
              </w:rPr>
              <w:t>是</w:t>
            </w:r>
          </w:p>
        </w:tc>
      </w:tr>
    </w:tbl>
    <w:p w14:paraId="44497BAF">
      <w:pPr>
        <w:pStyle w:val="5"/>
      </w:pPr>
      <w:bookmarkStart w:id="111" w:name="_Toc179986124"/>
      <w:r>
        <w:rPr>
          <w:rFonts w:hint="eastAsia"/>
        </w:rPr>
        <w:t>外窗内外表面风压差达标分析</w:t>
      </w:r>
      <w:bookmarkEnd w:id="111"/>
    </w:p>
    <w:p w14:paraId="00F3DE8F">
      <w:pPr>
        <w:pStyle w:val="3"/>
        <w:ind w:firstLine="420"/>
      </w:pPr>
      <w:r>
        <w:rPr>
          <w:rFonts w:hint="eastAsia"/>
          <w:lang w:val="en-US"/>
        </w:rPr>
        <w:t>分析《绿色建筑评价标准》，夏季为充分利用自然通风获得良好的室内风环境，要求50%以上可开启外窗室内外表面的风压差大于0.5Pa。</w:t>
      </w:r>
    </w:p>
    <w:p w14:paraId="1DF87EFD">
      <w:pPr>
        <w:pStyle w:val="3"/>
        <w:ind w:firstLine="420"/>
      </w:pPr>
      <w:r>
        <w:rPr>
          <w:rFonts w:hint="eastAsia"/>
          <w:lang w:val="en-US"/>
        </w:rPr>
        <w:t>可见在夏季，为了获得良好的室内风环境，首先要有良好的室外风环境。当外窗关闭时，</w:t>
      </w:r>
      <w:r>
        <w:rPr>
          <w:rFonts w:hint="eastAsia"/>
          <w:b/>
          <w:lang w:val="en-US"/>
        </w:rPr>
        <w:t>外窗内表面风压</w:t>
      </w:r>
      <w:r>
        <w:rPr>
          <w:rFonts w:hint="eastAsia"/>
          <w:lang w:val="en-US"/>
        </w:rPr>
        <w:t>近似为0，因此标准要求外窗室</w:t>
      </w:r>
      <w:r>
        <w:rPr>
          <w:rFonts w:hint="eastAsia"/>
          <w:b/>
          <w:lang w:val="en-US"/>
        </w:rPr>
        <w:t>内外表面的风压差</w:t>
      </w:r>
      <w:r>
        <w:rPr>
          <w:rFonts w:hint="eastAsia"/>
          <w:lang w:val="en-US"/>
        </w:rPr>
        <w:t>大于0.5Pa，即为关窗状态下外窗</w:t>
      </w:r>
      <w:r>
        <w:rPr>
          <w:rFonts w:hint="eastAsia"/>
          <w:b/>
          <w:lang w:val="en-US"/>
        </w:rPr>
        <w:t>外表面</w:t>
      </w:r>
      <w:r>
        <w:rPr>
          <w:rFonts w:hint="eastAsia"/>
          <w:lang w:val="en-US"/>
        </w:rPr>
        <w:t>的</w:t>
      </w:r>
      <w:r>
        <w:rPr>
          <w:rFonts w:hint="eastAsia"/>
          <w:b/>
          <w:lang w:val="en-US"/>
        </w:rPr>
        <w:t>风压绝对值</w:t>
      </w:r>
      <w:r>
        <w:rPr>
          <w:rFonts w:hint="eastAsia"/>
          <w:lang w:val="en-US"/>
        </w:rPr>
        <w:t>需大于0.5Pa。只有</w:t>
      </w:r>
      <w:r>
        <w:rPr>
          <w:rFonts w:hint="eastAsia"/>
          <w:b/>
          <w:lang w:val="en-US"/>
        </w:rPr>
        <w:t>外窗外表面</w:t>
      </w:r>
      <w:r>
        <w:rPr>
          <w:rFonts w:hint="eastAsia"/>
          <w:lang w:val="en-US"/>
        </w:rPr>
        <w:t>的风压绝对值足够大时，才可以确保良好的</w:t>
      </w:r>
      <w:r>
        <w:rPr>
          <w:rFonts w:hint="eastAsia"/>
          <w:b/>
          <w:lang w:val="en-US"/>
        </w:rPr>
        <w:t>开窗通风</w:t>
      </w:r>
      <w:r>
        <w:rPr>
          <w:rFonts w:hint="eastAsia"/>
          <w:lang w:val="en-US"/>
        </w:rPr>
        <w:t>效果，形成较好的室内风环境。</w:t>
      </w:r>
    </w:p>
    <w:p w14:paraId="10A35A2D">
      <w:pPr>
        <w:pStyle w:val="3"/>
        <w:ind w:firstLine="420"/>
      </w:pPr>
      <w:r>
        <w:rPr>
          <w:rFonts w:hint="eastAsia"/>
          <w:lang w:val="en-US"/>
        </w:rPr>
        <w:t>下图为夏季工况下，建筑迎风面和背风面对应外窗表面的风压分布图，结合图例数值可以清晰看到外窗表面风压小于0.5Pa的外窗区域。</w:t>
      </w:r>
    </w:p>
    <w:p w14:paraId="6250CBAC">
      <w:pPr>
        <w:pStyle w:val="3"/>
        <w:ind w:firstLine="0" w:firstLineChars="0"/>
        <w:jc w:val="center"/>
      </w:pPr>
      <w:r>
        <w:rPr>
          <w:lang w:val="en-US"/>
        </w:rPr>
        <w:drawing>
          <wp:inline distT="0" distB="0" distL="0" distR="0">
            <wp:extent cx="5667375" cy="27908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pic:cNvPicPr>
                      <a:picLocks noChangeAspect="1"/>
                    </pic:cNvPicPr>
                  </pic:nvPicPr>
                  <pic:blipFill>
                    <a:blip r:embed="rId78"/>
                    <a:stretch>
                      <a:fillRect/>
                    </a:stretch>
                  </pic:blipFill>
                  <pic:spPr>
                    <a:xfrm>
                      <a:off x="0" y="0"/>
                      <a:ext cx="5667375" cy="2790825"/>
                    </a:xfrm>
                    <a:prstGeom prst="rect">
                      <a:avLst/>
                    </a:prstGeom>
                  </pic:spPr>
                </pic:pic>
              </a:graphicData>
            </a:graphic>
          </wp:inline>
        </w:drawing>
      </w:r>
    </w:p>
    <w:p w14:paraId="4F9C7AEB">
      <w:pPr>
        <w:pStyle w:val="3"/>
        <w:ind w:firstLine="0" w:firstLineChars="0"/>
        <w:jc w:val="center"/>
        <w:rPr>
          <w:rFonts w:ascii="黑体" w:hAnsi="黑体" w:eastAsia="黑体"/>
          <w:sz w:val="20"/>
          <w:szCs w:val="20"/>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5.3</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3</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建筑迎风面外窗表面风压云图-夏季</w:t>
      </w:r>
    </w:p>
    <w:p w14:paraId="24EB4F65">
      <w:pPr>
        <w:pStyle w:val="13"/>
        <w:jc w:val="center"/>
      </w:pPr>
      <w:r>
        <w:rPr>
          <w:lang w:val="en-US"/>
        </w:rPr>
        <w:drawing>
          <wp:inline distT="0" distB="0" distL="0" distR="0">
            <wp:extent cx="5667375" cy="281940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pic:cNvPicPr>
                  </pic:nvPicPr>
                  <pic:blipFill>
                    <a:blip r:embed="rId79"/>
                    <a:stretch>
                      <a:fillRect/>
                    </a:stretch>
                  </pic:blipFill>
                  <pic:spPr>
                    <a:xfrm>
                      <a:off x="0" y="0"/>
                      <a:ext cx="5667375" cy="2819400"/>
                    </a:xfrm>
                    <a:prstGeom prst="rect">
                      <a:avLst/>
                    </a:prstGeom>
                  </pic:spPr>
                </pic:pic>
              </a:graphicData>
            </a:graphic>
          </wp:inline>
        </w:drawing>
      </w:r>
    </w:p>
    <w:p w14:paraId="6E8DF8DF">
      <w:pPr>
        <w:pStyle w:val="3"/>
        <w:ind w:firstLine="0" w:firstLineChars="0"/>
        <w:jc w:val="cente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5.3</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建筑背风面外窗表面风压云图-夏季</w:t>
      </w:r>
      <w:r>
        <w:rPr>
          <w:rFonts w:hint="eastAsia"/>
        </w:rPr>
        <w:t xml:space="preserve"> </w:t>
      </w:r>
    </w:p>
    <w:p w14:paraId="128CF5C5">
      <w:pPr>
        <w:rPr>
          <w:lang w:val="en-US"/>
        </w:rPr>
      </w:pPr>
    </w:p>
    <w:p w14:paraId="06115C34">
      <w:r>
        <w:rPr>
          <w:rFonts w:hint="eastAsia"/>
        </w:rPr>
        <w:t>对</w:t>
      </w:r>
      <w:r>
        <w:t>于无外</w:t>
      </w:r>
      <w:r>
        <w:rPr>
          <w:rFonts w:hint="eastAsia"/>
        </w:rPr>
        <w:t>窗</w:t>
      </w:r>
      <w:r>
        <w:t>数据的建筑，</w:t>
      </w:r>
      <w:r>
        <w:rPr>
          <w:rFonts w:hint="eastAsia"/>
        </w:rPr>
        <w:t>下表依据建筑</w:t>
      </w:r>
      <w:r>
        <w:t>外表面</w:t>
      </w:r>
      <w:r>
        <w:rPr>
          <w:rFonts w:hint="eastAsia"/>
        </w:rPr>
        <w:t>平均风压数据，相当于建筑室内外表面风压差数据，并依据标准做出达标判断：</w:t>
      </w:r>
    </w:p>
    <w:p w14:paraId="366F2638">
      <w:pPr>
        <w:pStyle w:val="13"/>
        <w:jc w:val="center"/>
      </w:pPr>
      <w:r>
        <w:rPr>
          <w:rFonts w:hint="eastAsia"/>
        </w:rPr>
        <w:t>表</w:t>
      </w:r>
      <w:r>
        <w:t xml:space="preserve"> </w:t>
      </w:r>
      <w:r>
        <w:fldChar w:fldCharType="begin"/>
      </w:r>
      <w:r>
        <w:instrText xml:space="preserve"> STYLEREF 2 \s </w:instrText>
      </w:r>
      <w:r>
        <w:fldChar w:fldCharType="separate"/>
      </w:r>
      <w:r>
        <w:t>5.3</w:t>
      </w:r>
      <w:r>
        <w:fldChar w:fldCharType="end"/>
      </w:r>
      <w:r>
        <w:noBreakHyphen/>
      </w:r>
      <w:r>
        <w:fldChar w:fldCharType="begin"/>
      </w:r>
      <w:r>
        <w:instrText xml:space="preserve"> SEQ </w:instrText>
      </w:r>
      <w:r>
        <w:rPr>
          <w:rFonts w:hint="eastAsia"/>
        </w:rPr>
        <w:instrText xml:space="preserve">表</w:instrText>
      </w:r>
      <w:r>
        <w:instrText xml:space="preserve"> \* ARABIC \s 2 </w:instrText>
      </w:r>
      <w:r>
        <w:fldChar w:fldCharType="separate"/>
      </w:r>
      <w:r>
        <w:t>2</w:t>
      </w:r>
      <w:r>
        <w:fldChar w:fldCharType="end"/>
      </w:r>
      <w:r>
        <w:t xml:space="preserve">  </w:t>
      </w:r>
      <w:r>
        <w:rPr>
          <w:rFonts w:hint="eastAsia"/>
        </w:rPr>
        <w:t>建筑室内外风压差达标判定表</w:t>
      </w:r>
    </w:p>
    <w:tbl>
      <w:tblPr>
        <w:tblStyle w:val="22"/>
        <w:tblW w:w="0" w:type="auto"/>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autofit"/>
        <w:tblCellMar>
          <w:top w:w="0" w:type="dxa"/>
          <w:left w:w="108" w:type="dxa"/>
          <w:bottom w:w="0" w:type="dxa"/>
          <w:right w:w="108" w:type="dxa"/>
        </w:tblCellMar>
      </w:tblPr>
      <w:tblGrid>
        <w:gridCol w:w="3104"/>
        <w:gridCol w:w="1417"/>
        <w:gridCol w:w="2552"/>
        <w:gridCol w:w="1134"/>
        <w:gridCol w:w="835"/>
      </w:tblGrid>
      <w:tr w14:paraId="28EB36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shd w:val="clear" w:color="auto" w:fill="E6E6E6"/>
            <w:vAlign w:val="center"/>
          </w:tcPr>
          <w:p w14:paraId="60DDCC9C">
            <w:pPr>
              <w:spacing w:line="360" w:lineRule="exact"/>
              <w:jc w:val="center"/>
              <w:rPr>
                <w:lang w:val="en-US"/>
              </w:rPr>
            </w:pPr>
            <w:r>
              <w:rPr>
                <w:rFonts w:hint="eastAsia"/>
                <w:lang w:val="en-US"/>
              </w:rPr>
              <w:t>建筑编号</w:t>
            </w:r>
          </w:p>
        </w:tc>
        <w:tc>
          <w:tcPr>
            <w:tcW w:w="1417" w:type="dxa"/>
            <w:shd w:val="clear" w:color="auto" w:fill="E6E6E6"/>
            <w:vAlign w:val="center"/>
          </w:tcPr>
          <w:p w14:paraId="5B149851">
            <w:pPr>
              <w:spacing w:line="360" w:lineRule="exact"/>
              <w:jc w:val="center"/>
              <w:rPr>
                <w:lang w:val="en-US"/>
              </w:rPr>
            </w:pPr>
            <w:r>
              <w:rPr>
                <w:rFonts w:hint="eastAsia"/>
                <w:lang w:val="en-US"/>
              </w:rPr>
              <w:t>建筑表面积（㎡）</w:t>
            </w:r>
          </w:p>
        </w:tc>
        <w:tc>
          <w:tcPr>
            <w:tcW w:w="2552" w:type="dxa"/>
            <w:shd w:val="clear" w:color="auto" w:fill="E6E6E6"/>
            <w:vAlign w:val="center"/>
          </w:tcPr>
          <w:p w14:paraId="4CEDAF55">
            <w:pPr>
              <w:spacing w:line="360" w:lineRule="exact"/>
              <w:jc w:val="center"/>
              <w:rPr>
                <w:lang w:val="en-US"/>
              </w:rPr>
            </w:pPr>
            <w:r>
              <w:rPr>
                <w:rFonts w:hint="eastAsia"/>
                <w:lang w:val="en-US"/>
              </w:rPr>
              <w:t>室内外风压差大于</w:t>
            </w:r>
            <w:r>
              <w:rPr>
                <w:lang w:val="en-US"/>
              </w:rPr>
              <w:t>0.5Pa</w:t>
            </w:r>
            <w:r>
              <w:rPr>
                <w:rFonts w:hint="eastAsia"/>
                <w:lang w:val="en-US"/>
              </w:rPr>
              <w:t>的建筑表面积（㎡）</w:t>
            </w:r>
          </w:p>
        </w:tc>
        <w:tc>
          <w:tcPr>
            <w:tcW w:w="1134" w:type="dxa"/>
            <w:shd w:val="clear" w:color="auto" w:fill="E6E6E6"/>
            <w:vAlign w:val="center"/>
          </w:tcPr>
          <w:p w14:paraId="67F2A445">
            <w:pPr>
              <w:spacing w:line="360" w:lineRule="exact"/>
              <w:jc w:val="center"/>
              <w:rPr>
                <w:lang w:val="en-US"/>
              </w:rPr>
            </w:pPr>
            <w:r>
              <w:rPr>
                <w:rFonts w:hint="eastAsia"/>
                <w:lang w:val="en-US"/>
              </w:rPr>
              <w:t>达标比例（</w:t>
            </w:r>
            <w:r>
              <w:rPr>
                <w:lang w:val="en-US"/>
              </w:rPr>
              <w:t>%</w:t>
            </w:r>
            <w:r>
              <w:rPr>
                <w:rFonts w:hint="eastAsia"/>
                <w:lang w:val="en-US"/>
              </w:rPr>
              <w:t>）</w:t>
            </w:r>
          </w:p>
        </w:tc>
        <w:tc>
          <w:tcPr>
            <w:tcW w:w="835" w:type="dxa"/>
            <w:shd w:val="clear" w:color="auto" w:fill="E6E6E6"/>
            <w:vAlign w:val="center"/>
          </w:tcPr>
          <w:p w14:paraId="3A834867">
            <w:pPr>
              <w:spacing w:line="360" w:lineRule="exact"/>
              <w:jc w:val="center"/>
              <w:rPr>
                <w:lang w:val="en-US"/>
              </w:rPr>
            </w:pPr>
            <w:r>
              <w:rPr>
                <w:rFonts w:hint="eastAsia"/>
                <w:lang w:val="en-US"/>
              </w:rPr>
              <w:t>是否达标</w:t>
            </w:r>
          </w:p>
        </w:tc>
      </w:tr>
      <w:tr w14:paraId="434DF05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vAlign w:val="center"/>
          </w:tcPr>
          <w:p w14:paraId="11BE6F1F">
            <w:pPr>
              <w:spacing w:line="360" w:lineRule="exact"/>
              <w:jc w:val="center"/>
              <w:rPr>
                <w:lang w:val="en-US"/>
              </w:rPr>
            </w:pPr>
            <w:r>
              <w:rPr>
                <w:lang w:val="en-US"/>
              </w:rPr>
              <w:t>未命名(4806)</w:t>
            </w:r>
          </w:p>
        </w:tc>
        <w:tc>
          <w:tcPr>
            <w:tcW w:w="1417" w:type="dxa"/>
            <w:vAlign w:val="center"/>
          </w:tcPr>
          <w:p w14:paraId="4CD4842C">
            <w:pPr>
              <w:spacing w:line="360" w:lineRule="exact"/>
              <w:jc w:val="center"/>
              <w:rPr>
                <w:lang w:val="en-US"/>
              </w:rPr>
            </w:pPr>
            <w:r>
              <w:rPr>
                <w:lang w:val="en-US"/>
              </w:rPr>
              <w:t>17313.60</w:t>
            </w:r>
          </w:p>
        </w:tc>
        <w:tc>
          <w:tcPr>
            <w:tcW w:w="2552" w:type="dxa"/>
            <w:vAlign w:val="center"/>
          </w:tcPr>
          <w:p w14:paraId="205F8F33">
            <w:pPr>
              <w:spacing w:line="360" w:lineRule="exact"/>
              <w:jc w:val="center"/>
              <w:rPr>
                <w:lang w:val="en-US"/>
              </w:rPr>
            </w:pPr>
            <w:r>
              <w:rPr>
                <w:lang w:val="en-US"/>
              </w:rPr>
              <w:t>16677.60</w:t>
            </w:r>
          </w:p>
        </w:tc>
        <w:tc>
          <w:tcPr>
            <w:tcW w:w="1134" w:type="dxa"/>
            <w:vAlign w:val="center"/>
          </w:tcPr>
          <w:p w14:paraId="73560F9F">
            <w:pPr>
              <w:spacing w:line="360" w:lineRule="exact"/>
              <w:jc w:val="center"/>
              <w:rPr>
                <w:lang w:val="en-US"/>
              </w:rPr>
            </w:pPr>
            <w:r>
              <w:rPr>
                <w:lang w:val="en-US"/>
              </w:rPr>
              <w:t>96.33</w:t>
            </w:r>
          </w:p>
        </w:tc>
        <w:tc>
          <w:tcPr>
            <w:tcW w:w="835" w:type="dxa"/>
            <w:vAlign w:val="center"/>
          </w:tcPr>
          <w:p w14:paraId="6BBC3476">
            <w:pPr>
              <w:spacing w:line="360" w:lineRule="exact"/>
              <w:jc w:val="center"/>
              <w:rPr>
                <w:lang w:val="en-US"/>
              </w:rPr>
            </w:pPr>
            <w:r>
              <w:rPr>
                <w:lang w:val="en-US"/>
              </w:rPr>
              <w:t>是</w:t>
            </w:r>
          </w:p>
        </w:tc>
      </w:tr>
      <w:tr w14:paraId="20F094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vAlign w:val="center"/>
          </w:tcPr>
          <w:p w14:paraId="7D10F45F">
            <w:pPr>
              <w:spacing w:line="360" w:lineRule="exact"/>
              <w:jc w:val="center"/>
              <w:rPr>
                <w:lang w:val="en-US"/>
              </w:rPr>
            </w:pPr>
            <w:r>
              <w:rPr>
                <w:lang w:val="en-US"/>
              </w:rPr>
              <w:t>未命名(4809)</w:t>
            </w:r>
          </w:p>
        </w:tc>
        <w:tc>
          <w:tcPr>
            <w:tcW w:w="1417" w:type="dxa"/>
            <w:vAlign w:val="center"/>
          </w:tcPr>
          <w:p w14:paraId="046153A3">
            <w:pPr>
              <w:spacing w:line="360" w:lineRule="exact"/>
              <w:jc w:val="center"/>
              <w:rPr>
                <w:lang w:val="en-US"/>
              </w:rPr>
            </w:pPr>
            <w:r>
              <w:rPr>
                <w:lang w:val="en-US"/>
              </w:rPr>
              <w:t>13199.60</w:t>
            </w:r>
          </w:p>
        </w:tc>
        <w:tc>
          <w:tcPr>
            <w:tcW w:w="2552" w:type="dxa"/>
            <w:vAlign w:val="center"/>
          </w:tcPr>
          <w:p w14:paraId="458CB447">
            <w:pPr>
              <w:spacing w:line="360" w:lineRule="exact"/>
              <w:jc w:val="center"/>
              <w:rPr>
                <w:lang w:val="en-US"/>
              </w:rPr>
            </w:pPr>
            <w:r>
              <w:rPr>
                <w:lang w:val="en-US"/>
              </w:rPr>
              <w:t>13119.50</w:t>
            </w:r>
          </w:p>
        </w:tc>
        <w:tc>
          <w:tcPr>
            <w:tcW w:w="1134" w:type="dxa"/>
            <w:vAlign w:val="center"/>
          </w:tcPr>
          <w:p w14:paraId="295EAED4">
            <w:pPr>
              <w:spacing w:line="360" w:lineRule="exact"/>
              <w:jc w:val="center"/>
              <w:rPr>
                <w:lang w:val="en-US"/>
              </w:rPr>
            </w:pPr>
            <w:r>
              <w:rPr>
                <w:lang w:val="en-US"/>
              </w:rPr>
              <w:t>99.39</w:t>
            </w:r>
          </w:p>
        </w:tc>
        <w:tc>
          <w:tcPr>
            <w:tcW w:w="835" w:type="dxa"/>
            <w:vAlign w:val="center"/>
          </w:tcPr>
          <w:p w14:paraId="59114B2B">
            <w:pPr>
              <w:spacing w:line="360" w:lineRule="exact"/>
              <w:jc w:val="center"/>
              <w:rPr>
                <w:lang w:val="en-US"/>
              </w:rPr>
            </w:pPr>
            <w:r>
              <w:rPr>
                <w:lang w:val="en-US"/>
              </w:rPr>
              <w:t>是</w:t>
            </w:r>
          </w:p>
        </w:tc>
      </w:tr>
      <w:tr w14:paraId="4BCB701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vAlign w:val="center"/>
          </w:tcPr>
          <w:p w14:paraId="1E96CDA7">
            <w:pPr>
              <w:spacing w:line="360" w:lineRule="exact"/>
              <w:jc w:val="center"/>
              <w:rPr>
                <w:lang w:val="en-US"/>
              </w:rPr>
            </w:pPr>
            <w:r>
              <w:rPr>
                <w:lang w:val="en-US"/>
              </w:rPr>
              <w:t>未命名(480C)</w:t>
            </w:r>
          </w:p>
        </w:tc>
        <w:tc>
          <w:tcPr>
            <w:tcW w:w="1417" w:type="dxa"/>
            <w:vAlign w:val="center"/>
          </w:tcPr>
          <w:p w14:paraId="7EEBD9A9">
            <w:pPr>
              <w:spacing w:line="360" w:lineRule="exact"/>
              <w:jc w:val="center"/>
              <w:rPr>
                <w:lang w:val="en-US"/>
              </w:rPr>
            </w:pPr>
            <w:r>
              <w:rPr>
                <w:lang w:val="en-US"/>
              </w:rPr>
              <w:t>6392.47</w:t>
            </w:r>
          </w:p>
        </w:tc>
        <w:tc>
          <w:tcPr>
            <w:tcW w:w="2552" w:type="dxa"/>
            <w:vAlign w:val="center"/>
          </w:tcPr>
          <w:p w14:paraId="673F0327">
            <w:pPr>
              <w:spacing w:line="360" w:lineRule="exact"/>
              <w:jc w:val="center"/>
              <w:rPr>
                <w:lang w:val="en-US"/>
              </w:rPr>
            </w:pPr>
            <w:r>
              <w:rPr>
                <w:lang w:val="en-US"/>
              </w:rPr>
              <w:t>4762.03</w:t>
            </w:r>
          </w:p>
        </w:tc>
        <w:tc>
          <w:tcPr>
            <w:tcW w:w="1134" w:type="dxa"/>
            <w:vAlign w:val="center"/>
          </w:tcPr>
          <w:p w14:paraId="50164D43">
            <w:pPr>
              <w:spacing w:line="360" w:lineRule="exact"/>
              <w:jc w:val="center"/>
              <w:rPr>
                <w:lang w:val="en-US"/>
              </w:rPr>
            </w:pPr>
            <w:r>
              <w:rPr>
                <w:lang w:val="en-US"/>
              </w:rPr>
              <w:t>74.49</w:t>
            </w:r>
          </w:p>
        </w:tc>
        <w:tc>
          <w:tcPr>
            <w:tcW w:w="835" w:type="dxa"/>
            <w:vAlign w:val="center"/>
          </w:tcPr>
          <w:p w14:paraId="3BEE464A">
            <w:pPr>
              <w:spacing w:line="360" w:lineRule="exact"/>
              <w:jc w:val="center"/>
              <w:rPr>
                <w:lang w:val="en-US"/>
              </w:rPr>
            </w:pPr>
            <w:r>
              <w:rPr>
                <w:lang w:val="en-US"/>
              </w:rPr>
              <w:t>是</w:t>
            </w:r>
          </w:p>
        </w:tc>
      </w:tr>
      <w:tr w14:paraId="45B5283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vAlign w:val="center"/>
          </w:tcPr>
          <w:p w14:paraId="5A7D3756">
            <w:pPr>
              <w:spacing w:line="360" w:lineRule="exact"/>
              <w:jc w:val="center"/>
              <w:rPr>
                <w:lang w:val="en-US"/>
              </w:rPr>
            </w:pPr>
            <w:r>
              <w:rPr>
                <w:lang w:val="en-US"/>
              </w:rPr>
              <w:t>未命名(480F)</w:t>
            </w:r>
          </w:p>
        </w:tc>
        <w:tc>
          <w:tcPr>
            <w:tcW w:w="1417" w:type="dxa"/>
            <w:vAlign w:val="center"/>
          </w:tcPr>
          <w:p w14:paraId="52286D76">
            <w:pPr>
              <w:spacing w:line="360" w:lineRule="exact"/>
              <w:jc w:val="center"/>
              <w:rPr>
                <w:lang w:val="en-US"/>
              </w:rPr>
            </w:pPr>
            <w:r>
              <w:rPr>
                <w:lang w:val="en-US"/>
              </w:rPr>
              <w:t>4991.32</w:t>
            </w:r>
          </w:p>
        </w:tc>
        <w:tc>
          <w:tcPr>
            <w:tcW w:w="2552" w:type="dxa"/>
            <w:vAlign w:val="center"/>
          </w:tcPr>
          <w:p w14:paraId="2C77B6C0">
            <w:pPr>
              <w:spacing w:line="360" w:lineRule="exact"/>
              <w:jc w:val="center"/>
              <w:rPr>
                <w:lang w:val="en-US"/>
              </w:rPr>
            </w:pPr>
            <w:r>
              <w:rPr>
                <w:lang w:val="en-US"/>
              </w:rPr>
              <w:t>4969.38</w:t>
            </w:r>
          </w:p>
        </w:tc>
        <w:tc>
          <w:tcPr>
            <w:tcW w:w="1134" w:type="dxa"/>
            <w:vAlign w:val="center"/>
          </w:tcPr>
          <w:p w14:paraId="0CD41C04">
            <w:pPr>
              <w:spacing w:line="360" w:lineRule="exact"/>
              <w:jc w:val="center"/>
              <w:rPr>
                <w:lang w:val="en-US"/>
              </w:rPr>
            </w:pPr>
            <w:r>
              <w:rPr>
                <w:lang w:val="en-US"/>
              </w:rPr>
              <w:t>99.56</w:t>
            </w:r>
          </w:p>
        </w:tc>
        <w:tc>
          <w:tcPr>
            <w:tcW w:w="835" w:type="dxa"/>
            <w:vAlign w:val="center"/>
          </w:tcPr>
          <w:p w14:paraId="30EC60AD">
            <w:pPr>
              <w:spacing w:line="360" w:lineRule="exact"/>
              <w:jc w:val="center"/>
              <w:rPr>
                <w:lang w:val="en-US"/>
              </w:rPr>
            </w:pPr>
            <w:r>
              <w:rPr>
                <w:lang w:val="en-US"/>
              </w:rPr>
              <w:t>是</w:t>
            </w:r>
          </w:p>
        </w:tc>
      </w:tr>
    </w:tbl>
    <w:p w14:paraId="37302F8F">
      <w:pPr>
        <w:rPr>
          <w:lang w:val="en-US"/>
        </w:rPr>
      </w:pPr>
      <w:r>
        <w:rPr>
          <w:rFonts w:hint="eastAsia"/>
          <w:lang w:val="en-US"/>
        </w:rPr>
        <w:t>说明：达标比例＝（室内外风压差大于</w:t>
      </w:r>
      <w:r>
        <w:rPr>
          <w:lang w:val="en-US"/>
        </w:rPr>
        <w:t>0.5Pa</w:t>
      </w:r>
      <w:r>
        <w:rPr>
          <w:rFonts w:hint="eastAsia"/>
          <w:lang w:val="en-US"/>
        </w:rPr>
        <w:t>的建筑表面积</w:t>
      </w:r>
      <w:r>
        <w:rPr>
          <w:lang w:val="en-US"/>
        </w:rPr>
        <w:t>/</w:t>
      </w:r>
      <w:r>
        <w:rPr>
          <w:rFonts w:hint="eastAsia"/>
          <w:lang w:val="en-US"/>
        </w:rPr>
        <w:t>建筑表面积）</w:t>
      </w:r>
      <w:r>
        <w:rPr>
          <w:lang w:val="en-US"/>
        </w:rPr>
        <w:t>*100</w:t>
      </w:r>
      <w:r>
        <w:rPr>
          <w:rFonts w:hint="eastAsia"/>
          <w:lang w:val="en-US"/>
        </w:rPr>
        <w:t>％</w:t>
      </w:r>
    </w:p>
    <w:p w14:paraId="1BDFC9EC">
      <w:r>
        <w:rPr>
          <w:rFonts w:hint="eastAsia"/>
        </w:rPr>
        <w:t xml:space="preserve"> </w:t>
      </w:r>
    </w:p>
    <w:p w14:paraId="74AC6394">
      <w:pPr>
        <w:rPr>
          <w:lang w:val="en-US"/>
        </w:rPr>
      </w:pPr>
      <w:r>
        <w:rPr>
          <w:rFonts w:hint="eastAsia"/>
          <w:lang w:val="en-US"/>
        </w:rPr>
        <w:t xml:space="preserve">结论：本项目中所有建筑均满足“50%以上可开启外窗室内外表面的风压差大于0.5Pa”的要求。 </w:t>
      </w:r>
    </w:p>
    <w:p w14:paraId="1F4D2C37">
      <w:pPr>
        <w:pStyle w:val="4"/>
      </w:pPr>
      <w:bookmarkStart w:id="112" w:name="季节1"/>
      <w:bookmarkStart w:id="113" w:name="_Toc509844759"/>
      <w:bookmarkStart w:id="114" w:name="_Toc179986125"/>
      <w:r>
        <w:rPr>
          <w:rFonts w:hint="eastAsia"/>
        </w:rPr>
        <w:t>过渡季</w:t>
      </w:r>
      <w:bookmarkEnd w:id="112"/>
      <w:r>
        <w:rPr>
          <w:rFonts w:hint="eastAsia"/>
        </w:rPr>
        <w:t>工况</w:t>
      </w:r>
      <w:bookmarkEnd w:id="113"/>
      <w:bookmarkEnd w:id="114"/>
    </w:p>
    <w:p w14:paraId="52BF3C4D">
      <w:pPr>
        <w:pStyle w:val="3"/>
        <w:ind w:firstLine="420"/>
      </w:pPr>
      <w:r>
        <w:rPr>
          <w:rFonts w:hint="eastAsia"/>
          <w:lang w:val="en-US"/>
        </w:rPr>
        <w:t>本项目</w:t>
      </w:r>
      <w:bookmarkStart w:id="115" w:name="季节2"/>
      <w:r>
        <w:rPr>
          <w:rFonts w:hint="eastAsia"/>
          <w:lang w:val="en-US"/>
        </w:rPr>
        <w:t>过渡季</w:t>
      </w:r>
      <w:bookmarkEnd w:id="115"/>
      <w:r>
        <w:rPr>
          <w:rFonts w:hint="eastAsia"/>
          <w:lang w:val="en-US"/>
        </w:rPr>
        <w:t>工况的入口边界风速为</w:t>
      </w:r>
      <w:bookmarkStart w:id="116" w:name="入口边界风速"/>
      <w:r>
        <w:rPr>
          <w:rFonts w:hint="eastAsia"/>
          <w:lang w:val="en-US"/>
        </w:rPr>
        <w:t>2.30</w:t>
      </w:r>
      <w:bookmarkEnd w:id="116"/>
      <w:r>
        <w:rPr>
          <w:rFonts w:hint="eastAsia"/>
          <w:lang w:val="en-US"/>
        </w:rPr>
        <w:t>m/s，风向为</w:t>
      </w:r>
      <w:bookmarkStart w:id="117" w:name="入口边界风向"/>
      <w:r>
        <w:t>SSE</w:t>
      </w:r>
      <w:bookmarkEnd w:id="117"/>
      <w:r>
        <w:rPr>
          <w:rFonts w:hint="eastAsia"/>
          <w:lang w:val="en-US"/>
        </w:rPr>
        <w:t>。</w:t>
      </w:r>
    </w:p>
    <w:p w14:paraId="593CE80F">
      <w:pPr>
        <w:pStyle w:val="3"/>
        <w:ind w:firstLine="420"/>
      </w:pPr>
      <w:r>
        <w:rPr>
          <w:rFonts w:hint="eastAsia"/>
          <w:lang w:val="en-US"/>
        </w:rPr>
        <w:t>根据前述《绿色建筑评价标准》 对于夏季工况的要求，</w:t>
      </w:r>
      <w:bookmarkStart w:id="118" w:name="季节3"/>
      <w:r>
        <w:rPr>
          <w:rFonts w:hint="eastAsia"/>
          <w:lang w:val="en-US"/>
        </w:rPr>
        <w:t>过渡季</w:t>
      </w:r>
      <w:bookmarkEnd w:id="118"/>
      <w:r>
        <w:rPr>
          <w:rFonts w:hint="eastAsia"/>
          <w:lang w:val="en-US"/>
        </w:rPr>
        <w:t>典型风速和风向条件下，场地内人活动区不出现涡旋或无风区。通过该项标准指导设计确保合理的建筑布局，在</w:t>
      </w:r>
      <w:bookmarkStart w:id="119" w:name="季节4"/>
      <w:r>
        <w:rPr>
          <w:rFonts w:hint="eastAsia"/>
          <w:lang w:val="en-US"/>
        </w:rPr>
        <w:t>过渡季</w:t>
      </w:r>
      <w:bookmarkEnd w:id="119"/>
      <w:r>
        <w:rPr>
          <w:rFonts w:hint="eastAsia"/>
          <w:lang w:val="en-US"/>
        </w:rPr>
        <w:t>形成有效的巷道风，优化街区自然通风环境，避免</w:t>
      </w:r>
      <w:bookmarkStart w:id="120" w:name="季节5"/>
      <w:r>
        <w:rPr>
          <w:rFonts w:hint="eastAsia"/>
          <w:lang w:val="en-US"/>
        </w:rPr>
        <w:t>过渡季</w:t>
      </w:r>
      <w:bookmarkEnd w:id="120"/>
      <w:r>
        <w:rPr>
          <w:rFonts w:hint="eastAsia"/>
          <w:lang w:val="en-US"/>
        </w:rPr>
        <w:t>人活动区有明显的气流旋涡和无风区，从而造成闷热不适感。因此本项目需要分析人活动区的风速，并作出判断。</w:t>
      </w:r>
    </w:p>
    <w:p w14:paraId="369588AB">
      <w:pPr>
        <w:pStyle w:val="3"/>
        <w:ind w:firstLine="422"/>
        <w:rPr>
          <w:lang w:val="en-US"/>
        </w:rPr>
      </w:pPr>
      <w:r>
        <w:rPr>
          <w:rFonts w:hint="eastAsia"/>
          <w:b/>
          <w:lang w:val="en-US"/>
        </w:rPr>
        <w:t>无风区的定义</w:t>
      </w:r>
      <w:r>
        <w:rPr>
          <w:rFonts w:hint="eastAsia"/>
          <w:lang w:val="en-US"/>
        </w:rPr>
        <w:t xml:space="preserve"> 通常当人活动区域风速≤0.2m/s时，该区域风向标处于静止状态，在此区域活动的人会有明显的无风感，则该区域为无风区。</w:t>
      </w:r>
    </w:p>
    <w:p w14:paraId="79E1155F">
      <w:pPr>
        <w:pStyle w:val="3"/>
        <w:ind w:firstLine="409" w:firstLineChars="195"/>
        <w:rPr>
          <w:rFonts w:ascii="黑体" w:hAnsi="黑体" w:eastAsia="黑体"/>
          <w:szCs w:val="20"/>
        </w:rPr>
      </w:pPr>
      <w:r>
        <w:rPr>
          <w:rFonts w:hint="eastAsia" w:ascii="黑体" w:hAnsi="黑体" w:eastAsia="黑体"/>
          <w:szCs w:val="20"/>
          <w:lang w:val="en-US"/>
        </w:rPr>
        <w:t>注：无风区的定义参考《</w:t>
      </w:r>
      <w:r>
        <w:rPr>
          <w:rFonts w:hint="eastAsia" w:ascii="黑体" w:hAnsi="黑体" w:eastAsia="黑体"/>
          <w:szCs w:val="20"/>
        </w:rPr>
        <w:t>建筑设计资料集</w:t>
      </w:r>
      <w:r>
        <w:rPr>
          <w:rFonts w:hint="eastAsia" w:ascii="黑体" w:hAnsi="黑体" w:eastAsia="黑体"/>
          <w:szCs w:val="20"/>
          <w:lang w:val="en-US"/>
        </w:rPr>
        <w:t>》第一分册，第二版。</w:t>
      </w:r>
    </w:p>
    <w:p w14:paraId="48B47549">
      <w:pPr>
        <w:pStyle w:val="5"/>
      </w:pPr>
      <w:bookmarkStart w:id="121" w:name="_Toc509844760"/>
      <w:bookmarkStart w:id="122" w:name="_Toc179986126"/>
      <w:r>
        <w:rPr>
          <w:rFonts w:hint="eastAsia"/>
        </w:rPr>
        <w:t>无风区计算分析</w:t>
      </w:r>
      <w:bookmarkEnd w:id="121"/>
      <w:bookmarkEnd w:id="122"/>
    </w:p>
    <w:p w14:paraId="05B60812">
      <w:pPr>
        <w:pStyle w:val="3"/>
        <w:spacing w:after="156" w:afterLines="50"/>
        <w:ind w:firstLine="420"/>
        <w:jc w:val="left"/>
      </w:pPr>
      <w:r>
        <w:rPr>
          <w:rFonts w:hint="eastAsia"/>
        </w:rPr>
        <w:t>下图为整个计算域内风速分布云图，参考图中速度分布可以对项目中建筑布局进行优化。分析下图</w:t>
      </w:r>
      <w:r>
        <w:rPr>
          <w:rFonts w:hint="eastAsia"/>
          <w:lang w:val="en-US"/>
        </w:rPr>
        <w:t>，</w:t>
      </w:r>
      <w:bookmarkStart w:id="123" w:name="人活动区风速分析结论"/>
      <w:bookmarkEnd w:id="123"/>
      <w:r>
        <w:t>人活动区内未标示出风速</w:t>
      </w:r>
      <w:r>
        <w:rPr>
          <w:color w:val="0000FF"/>
        </w:rPr>
        <w:t>小于</w:t>
      </w:r>
      <w:r>
        <w:t>0.2m/s的超限区域，因此人活动区风速</w:t>
      </w:r>
      <w:r>
        <w:rPr>
          <w:color w:val="0000FF"/>
        </w:rPr>
        <w:t>满足</w:t>
      </w:r>
      <w:r>
        <w:t>绿标要求，项目可采用现有建筑布局。</w:t>
      </w:r>
    </w:p>
    <w:p w14:paraId="101FA485">
      <w:pPr>
        <w:pStyle w:val="3"/>
        <w:spacing w:after="156" w:afterLines="50"/>
        <w:ind w:firstLine="0" w:firstLineChars="0"/>
        <w:jc w:val="center"/>
      </w:pPr>
      <w:bookmarkStart w:id="124" w:name="人行区风速云图"/>
      <w:bookmarkEnd w:id="124"/>
      <w:r>
        <w:rPr>
          <w:lang w:val="en-US"/>
        </w:rPr>
        <w:drawing>
          <wp:inline distT="0" distB="0" distL="0" distR="0">
            <wp:extent cx="5667375" cy="265747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pic:cNvPicPr>
                  </pic:nvPicPr>
                  <pic:blipFill>
                    <a:blip r:embed="rId76"/>
                    <a:stretch>
                      <a:fillRect/>
                    </a:stretch>
                  </pic:blipFill>
                  <pic:spPr>
                    <a:xfrm>
                      <a:off x="0" y="0"/>
                      <a:ext cx="5667375" cy="2657475"/>
                    </a:xfrm>
                    <a:prstGeom prst="rect">
                      <a:avLst/>
                    </a:prstGeom>
                  </pic:spPr>
                </pic:pic>
              </a:graphicData>
            </a:graphic>
          </wp:inline>
        </w:drawing>
      </w:r>
    </w:p>
    <w:p w14:paraId="6B071F52">
      <w:pPr>
        <w:pStyle w:val="3"/>
        <w:ind w:firstLine="0" w:firstLineChars="0"/>
        <w:jc w:val="cente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5.4</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hint="eastAsia" w:ascii="黑体" w:hAnsi="黑体" w:eastAsia="黑体"/>
          <w:sz w:val="20"/>
          <w:szCs w:val="20"/>
        </w:rPr>
        <w:t>计算域内-1.5米高度水平面风速云图-夏季</w:t>
      </w:r>
    </w:p>
    <w:p w14:paraId="5035CDD2">
      <w:pPr>
        <w:pStyle w:val="3"/>
        <w:ind w:firstLine="420"/>
      </w:pPr>
    </w:p>
    <w:p w14:paraId="3D18F49E">
      <w:pPr>
        <w:pStyle w:val="5"/>
      </w:pPr>
      <w:bookmarkStart w:id="125" w:name="_Toc509844761"/>
      <w:bookmarkStart w:id="126" w:name="_Toc179986127"/>
      <w:r>
        <w:rPr>
          <w:rFonts w:hint="eastAsia"/>
        </w:rPr>
        <w:t>旋涡区分析</w:t>
      </w:r>
      <w:bookmarkEnd w:id="125"/>
      <w:bookmarkEnd w:id="126"/>
    </w:p>
    <w:p w14:paraId="34359EE3">
      <w:pPr>
        <w:pStyle w:val="3"/>
        <w:ind w:firstLine="420"/>
        <w:rPr>
          <w:lang w:val="en-US"/>
        </w:rPr>
      </w:pPr>
      <w:r>
        <w:rPr>
          <w:rFonts w:hint="eastAsia"/>
          <w:lang w:val="en-US"/>
        </w:rPr>
        <w:t>下图为计算域内的风速矢量图，分析下图可知，计算域内没有明显的旋涡产生，本项目建筑布局基本合理。</w:t>
      </w:r>
    </w:p>
    <w:p w14:paraId="4118D6E9">
      <w:pPr>
        <w:pStyle w:val="3"/>
        <w:ind w:firstLine="0" w:firstLineChars="0"/>
        <w:jc w:val="both"/>
        <w:rPr>
          <w:lang w:val="en-US"/>
        </w:rPr>
      </w:pPr>
      <w:bookmarkStart w:id="127" w:name="人行区风速矢量图"/>
      <w:bookmarkEnd w:id="127"/>
      <w:r>
        <w:rPr>
          <w:lang w:val="en-US"/>
        </w:rPr>
        <w:drawing>
          <wp:inline distT="0" distB="0" distL="0" distR="0">
            <wp:extent cx="6009640" cy="4299585"/>
            <wp:effectExtent l="0" t="0" r="10160" b="5715"/>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pic:cNvPicPr>
                      <a:picLocks noChangeAspect="1"/>
                    </pic:cNvPicPr>
                  </pic:nvPicPr>
                  <pic:blipFill>
                    <a:blip r:embed="rId77"/>
                    <a:srcRect l="16909" r="12369"/>
                    <a:stretch>
                      <a:fillRect/>
                    </a:stretch>
                  </pic:blipFill>
                  <pic:spPr>
                    <a:xfrm>
                      <a:off x="0" y="0"/>
                      <a:ext cx="6009640" cy="4299585"/>
                    </a:xfrm>
                    <a:prstGeom prst="rect">
                      <a:avLst/>
                    </a:prstGeom>
                  </pic:spPr>
                </pic:pic>
              </a:graphicData>
            </a:graphic>
          </wp:inline>
        </w:drawing>
      </w:r>
    </w:p>
    <w:p w14:paraId="3AF78F73">
      <w:pPr>
        <w:pStyle w:val="3"/>
        <w:ind w:firstLine="0" w:firstLineChars="0"/>
        <w:jc w:val="center"/>
        <w:rPr>
          <w:lang w:val="en-US"/>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5.4</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2</w:t>
      </w:r>
      <w:r>
        <w:rPr>
          <w:rFonts w:ascii="黑体" w:hAnsi="黑体" w:eastAsia="黑体"/>
          <w:sz w:val="20"/>
          <w:szCs w:val="20"/>
        </w:rPr>
        <w:fldChar w:fldCharType="end"/>
      </w:r>
      <w:r>
        <w:rPr>
          <w:rFonts w:hint="eastAsia" w:ascii="黑体" w:hAnsi="黑体" w:eastAsia="黑体"/>
          <w:sz w:val="20"/>
          <w:szCs w:val="20"/>
        </w:rPr>
        <w:t>计算域内-1.5米高度水平面风速矢量图</w:t>
      </w:r>
    </w:p>
    <w:p w14:paraId="66124FBF">
      <w:pPr>
        <w:pStyle w:val="3"/>
        <w:ind w:firstLine="420"/>
        <w:rPr>
          <w:lang w:val="en-US"/>
        </w:rPr>
      </w:pPr>
    </w:p>
    <w:p w14:paraId="4FD1ACAB">
      <w:pPr>
        <w:pStyle w:val="5"/>
      </w:pPr>
      <w:bookmarkStart w:id="128" w:name="_Toc509844762"/>
      <w:bookmarkStart w:id="129" w:name="_Toc179986128"/>
      <w:r>
        <w:rPr>
          <w:rFonts w:hint="eastAsia"/>
        </w:rPr>
        <w:t>旋涡区/无风区达标</w:t>
      </w:r>
      <w:bookmarkEnd w:id="128"/>
      <w:r>
        <w:rPr>
          <w:rFonts w:hint="eastAsia"/>
        </w:rPr>
        <w:t>结果汇总</w:t>
      </w:r>
      <w:bookmarkEnd w:id="129"/>
    </w:p>
    <w:p w14:paraId="4B0C2562">
      <w:pPr>
        <w:pStyle w:val="3"/>
        <w:ind w:firstLine="0" w:firstLineChars="0"/>
        <w:jc w:val="center"/>
        <w:rPr>
          <w:rFonts w:ascii="黑体" w:hAnsi="黑体" w:eastAsia="黑体"/>
          <w:sz w:val="20"/>
          <w:szCs w:val="20"/>
        </w:rPr>
      </w:pPr>
      <w:r>
        <w:rPr>
          <w:rFonts w:hint="eastAsia" w:ascii="黑体" w:hAnsi="黑体" w:eastAsia="黑体"/>
          <w:sz w:val="20"/>
          <w:szCs w:val="20"/>
        </w:rPr>
        <w:t xml:space="preserve">表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5.4</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表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hint="eastAsia" w:ascii="黑体" w:hAnsi="黑体" w:eastAsia="黑体"/>
          <w:sz w:val="20"/>
          <w:szCs w:val="20"/>
        </w:rPr>
        <w:t xml:space="preserve"> </w:t>
      </w:r>
      <w:bookmarkStart w:id="130" w:name="季节8"/>
      <w:r>
        <w:rPr>
          <w:rFonts w:hint="eastAsia" w:ascii="黑体" w:hAnsi="黑体" w:eastAsia="黑体"/>
          <w:sz w:val="20"/>
          <w:szCs w:val="20"/>
        </w:rPr>
        <w:t>过渡季</w:t>
      </w:r>
      <w:bookmarkEnd w:id="130"/>
      <w:r>
        <w:rPr>
          <w:rFonts w:hint="eastAsia" w:ascii="黑体" w:hAnsi="黑体" w:eastAsia="黑体"/>
          <w:sz w:val="20"/>
          <w:szCs w:val="20"/>
        </w:rPr>
        <w:t>无风区/旋涡区达标分析汇总</w:t>
      </w:r>
    </w:p>
    <w:tbl>
      <w:tblPr>
        <w:tblStyle w:val="21"/>
        <w:tblW w:w="6662" w:type="dxa"/>
        <w:tblInd w:w="1526" w:type="dxa"/>
        <w:tblLayout w:type="autofit"/>
        <w:tblCellMar>
          <w:top w:w="0" w:type="dxa"/>
          <w:left w:w="108" w:type="dxa"/>
          <w:bottom w:w="0" w:type="dxa"/>
          <w:right w:w="108" w:type="dxa"/>
        </w:tblCellMar>
      </w:tblPr>
      <w:tblGrid>
        <w:gridCol w:w="1134"/>
        <w:gridCol w:w="1701"/>
        <w:gridCol w:w="2551"/>
        <w:gridCol w:w="1276"/>
      </w:tblGrid>
      <w:tr w14:paraId="1B594011">
        <w:tblPrEx>
          <w:tblCellMar>
            <w:top w:w="0" w:type="dxa"/>
            <w:left w:w="108" w:type="dxa"/>
            <w:bottom w:w="0" w:type="dxa"/>
            <w:right w:w="108" w:type="dxa"/>
          </w:tblCellMar>
        </w:tblPrEx>
        <w:trPr>
          <w:trHeight w:val="270" w:hRule="atLeast"/>
        </w:trPr>
        <w:tc>
          <w:tcPr>
            <w:tcW w:w="113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BB8CBA">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评价量</w:t>
            </w:r>
          </w:p>
        </w:tc>
        <w:tc>
          <w:tcPr>
            <w:tcW w:w="1701" w:type="dxa"/>
            <w:tcBorders>
              <w:top w:val="single" w:color="auto" w:sz="4" w:space="0"/>
              <w:left w:val="nil"/>
              <w:bottom w:val="single" w:color="auto" w:sz="4" w:space="0"/>
              <w:right w:val="single" w:color="auto" w:sz="4" w:space="0"/>
            </w:tcBorders>
            <w:shd w:val="clear" w:color="auto" w:fill="auto"/>
            <w:noWrap/>
            <w:vAlign w:val="center"/>
          </w:tcPr>
          <w:p w14:paraId="109A8A54">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标准要求</w:t>
            </w:r>
          </w:p>
        </w:tc>
        <w:tc>
          <w:tcPr>
            <w:tcW w:w="2551" w:type="dxa"/>
            <w:tcBorders>
              <w:top w:val="single" w:color="auto" w:sz="4" w:space="0"/>
              <w:left w:val="nil"/>
              <w:bottom w:val="single" w:color="auto" w:sz="4" w:space="0"/>
              <w:right w:val="single" w:color="auto" w:sz="4" w:space="0"/>
            </w:tcBorders>
            <w:shd w:val="clear" w:color="auto" w:fill="auto"/>
            <w:noWrap/>
            <w:vAlign w:val="center"/>
          </w:tcPr>
          <w:p w14:paraId="7DE8FC42">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是否有无风区/旋涡区</w:t>
            </w:r>
          </w:p>
        </w:tc>
        <w:tc>
          <w:tcPr>
            <w:tcW w:w="1276" w:type="dxa"/>
            <w:tcBorders>
              <w:top w:val="single" w:color="auto" w:sz="4" w:space="0"/>
              <w:left w:val="nil"/>
              <w:bottom w:val="single" w:color="auto" w:sz="4" w:space="0"/>
              <w:right w:val="single" w:color="auto" w:sz="4" w:space="0"/>
            </w:tcBorders>
            <w:shd w:val="clear" w:color="auto" w:fill="auto"/>
            <w:noWrap/>
            <w:vAlign w:val="center"/>
          </w:tcPr>
          <w:p w14:paraId="5607308E">
            <w:pPr>
              <w:spacing w:line="240" w:lineRule="auto"/>
              <w:rPr>
                <w:rFonts w:ascii="黑体" w:hAnsi="黑体" w:eastAsia="黑体" w:cs="宋体"/>
                <w:b/>
                <w:color w:val="000000"/>
                <w:sz w:val="22"/>
                <w:szCs w:val="22"/>
                <w:lang w:val="en-US"/>
              </w:rPr>
            </w:pPr>
            <w:r>
              <w:rPr>
                <w:rFonts w:hint="eastAsia" w:ascii="黑体" w:hAnsi="黑体" w:eastAsia="黑体" w:cs="宋体"/>
                <w:b/>
                <w:color w:val="000000"/>
                <w:sz w:val="22"/>
                <w:szCs w:val="22"/>
                <w:lang w:val="en-US"/>
              </w:rPr>
              <w:t>达标判断</w:t>
            </w:r>
          </w:p>
        </w:tc>
      </w:tr>
      <w:tr w14:paraId="0971D0D5">
        <w:tblPrEx>
          <w:tblCellMar>
            <w:top w:w="0" w:type="dxa"/>
            <w:left w:w="108" w:type="dxa"/>
            <w:bottom w:w="0" w:type="dxa"/>
            <w:right w:w="108" w:type="dxa"/>
          </w:tblCellMar>
        </w:tblPrEx>
        <w:trPr>
          <w:trHeight w:val="270" w:hRule="atLeast"/>
        </w:trPr>
        <w:tc>
          <w:tcPr>
            <w:tcW w:w="1134" w:type="dxa"/>
            <w:tcBorders>
              <w:top w:val="nil"/>
              <w:left w:val="single" w:color="auto" w:sz="4" w:space="0"/>
              <w:bottom w:val="single" w:color="auto" w:sz="4" w:space="0"/>
              <w:right w:val="single" w:color="auto" w:sz="4" w:space="0"/>
            </w:tcBorders>
            <w:shd w:val="clear" w:color="auto" w:fill="auto"/>
            <w:noWrap/>
            <w:vAlign w:val="center"/>
          </w:tcPr>
          <w:p w14:paraId="1CF220A7">
            <w:pPr>
              <w:rPr>
                <w:rFonts w:ascii="宋体" w:hAnsi="宋体" w:cs="宋体"/>
                <w:szCs w:val="21"/>
              </w:rPr>
            </w:pPr>
            <w:r>
              <w:rPr>
                <w:rFonts w:hint="eastAsia" w:ascii="宋体" w:hAnsi="宋体" w:cs="宋体"/>
                <w:szCs w:val="21"/>
              </w:rPr>
              <w:t>无风区</w:t>
            </w:r>
          </w:p>
        </w:tc>
        <w:tc>
          <w:tcPr>
            <w:tcW w:w="1701" w:type="dxa"/>
            <w:tcBorders>
              <w:top w:val="nil"/>
              <w:left w:val="nil"/>
              <w:bottom w:val="single" w:color="auto" w:sz="4" w:space="0"/>
              <w:right w:val="single" w:color="auto" w:sz="4" w:space="0"/>
            </w:tcBorders>
            <w:shd w:val="clear" w:color="auto" w:fill="auto"/>
            <w:noWrap/>
            <w:vAlign w:val="center"/>
          </w:tcPr>
          <w:p w14:paraId="53457983">
            <w:pPr>
              <w:rPr>
                <w:rFonts w:ascii="宋体" w:hAnsi="宋体" w:cs="宋体"/>
                <w:szCs w:val="21"/>
              </w:rPr>
            </w:pPr>
            <w:r>
              <w:rPr>
                <w:rFonts w:hint="eastAsia" w:ascii="宋体" w:hAnsi="宋体" w:cs="宋体"/>
                <w:szCs w:val="21"/>
              </w:rPr>
              <w:t>无风区面积为0</w:t>
            </w:r>
          </w:p>
        </w:tc>
        <w:tc>
          <w:tcPr>
            <w:tcW w:w="2551" w:type="dxa"/>
            <w:tcBorders>
              <w:top w:val="nil"/>
              <w:left w:val="nil"/>
              <w:bottom w:val="single" w:color="auto" w:sz="4" w:space="0"/>
              <w:right w:val="single" w:color="auto" w:sz="4" w:space="0"/>
            </w:tcBorders>
            <w:shd w:val="clear" w:color="auto" w:fill="auto"/>
            <w:noWrap/>
            <w:vAlign w:val="center"/>
          </w:tcPr>
          <w:p w14:paraId="300484E6">
            <w:pPr>
              <w:spacing w:line="240" w:lineRule="auto"/>
              <w:jc w:val="center"/>
              <w:rPr>
                <w:rFonts w:ascii="宋体" w:hAnsi="宋体" w:cs="宋体"/>
                <w:color w:val="000000"/>
                <w:sz w:val="22"/>
                <w:szCs w:val="22"/>
                <w:lang w:val="en-US"/>
              </w:rPr>
            </w:pPr>
            <w:bookmarkStart w:id="131" w:name="是否有无风区"/>
            <w:r>
              <w:rPr>
                <w:rFonts w:hint="eastAsia" w:ascii="宋体" w:hAnsi="宋体" w:cs="宋体"/>
                <w:color w:val="000000"/>
                <w:sz w:val="22"/>
                <w:szCs w:val="22"/>
                <w:lang w:val="en-US"/>
              </w:rPr>
              <w:t>否</w:t>
            </w:r>
            <w:bookmarkEnd w:id="131"/>
          </w:p>
        </w:tc>
        <w:tc>
          <w:tcPr>
            <w:tcW w:w="1276" w:type="dxa"/>
            <w:tcBorders>
              <w:top w:val="nil"/>
              <w:left w:val="nil"/>
              <w:bottom w:val="single" w:color="auto" w:sz="4" w:space="0"/>
              <w:right w:val="single" w:color="auto" w:sz="4" w:space="0"/>
            </w:tcBorders>
            <w:shd w:val="clear" w:color="auto" w:fill="auto"/>
            <w:noWrap/>
            <w:vAlign w:val="center"/>
          </w:tcPr>
          <w:p w14:paraId="61B17EE1">
            <w:pPr>
              <w:spacing w:line="240" w:lineRule="auto"/>
              <w:jc w:val="center"/>
              <w:rPr>
                <w:rFonts w:ascii="宋体" w:hAnsi="宋体" w:cs="宋体"/>
                <w:color w:val="000000"/>
                <w:sz w:val="22"/>
                <w:szCs w:val="22"/>
                <w:lang w:val="en-US"/>
              </w:rPr>
            </w:pPr>
            <w:bookmarkStart w:id="132" w:name="无风区达标判断"/>
            <w:r>
              <w:rPr>
                <w:rFonts w:hint="eastAsia" w:ascii="宋体" w:hAnsi="宋体" w:cs="宋体"/>
                <w:color w:val="000000"/>
                <w:sz w:val="22"/>
                <w:szCs w:val="22"/>
                <w:lang w:val="en-US"/>
              </w:rPr>
              <w:t>是</w:t>
            </w:r>
            <w:bookmarkEnd w:id="132"/>
          </w:p>
        </w:tc>
      </w:tr>
      <w:tr w14:paraId="3D9D3540">
        <w:tblPrEx>
          <w:tblCellMar>
            <w:top w:w="0" w:type="dxa"/>
            <w:left w:w="108" w:type="dxa"/>
            <w:bottom w:w="0" w:type="dxa"/>
            <w:right w:w="108" w:type="dxa"/>
          </w:tblCellMar>
        </w:tblPrEx>
        <w:trPr>
          <w:trHeight w:val="270" w:hRule="atLeast"/>
        </w:trPr>
        <w:tc>
          <w:tcPr>
            <w:tcW w:w="1134" w:type="dxa"/>
            <w:tcBorders>
              <w:top w:val="nil"/>
              <w:left w:val="single" w:color="auto" w:sz="4" w:space="0"/>
              <w:bottom w:val="single" w:color="auto" w:sz="4" w:space="0"/>
              <w:right w:val="single" w:color="auto" w:sz="4" w:space="0"/>
            </w:tcBorders>
            <w:shd w:val="clear" w:color="auto" w:fill="auto"/>
            <w:noWrap/>
            <w:vAlign w:val="center"/>
          </w:tcPr>
          <w:p w14:paraId="6B4CF342">
            <w:pPr>
              <w:rPr>
                <w:rFonts w:ascii="宋体" w:hAnsi="宋体" w:cs="宋体"/>
                <w:szCs w:val="21"/>
              </w:rPr>
            </w:pPr>
            <w:r>
              <w:rPr>
                <w:rFonts w:hint="eastAsia" w:ascii="宋体" w:hAnsi="宋体" w:cs="宋体"/>
                <w:szCs w:val="21"/>
              </w:rPr>
              <w:t>旋涡区</w:t>
            </w:r>
          </w:p>
        </w:tc>
        <w:tc>
          <w:tcPr>
            <w:tcW w:w="1701" w:type="dxa"/>
            <w:tcBorders>
              <w:top w:val="nil"/>
              <w:left w:val="nil"/>
              <w:bottom w:val="single" w:color="auto" w:sz="4" w:space="0"/>
              <w:right w:val="single" w:color="auto" w:sz="4" w:space="0"/>
            </w:tcBorders>
            <w:shd w:val="clear" w:color="auto" w:fill="auto"/>
            <w:noWrap/>
            <w:vAlign w:val="center"/>
          </w:tcPr>
          <w:p w14:paraId="282C5929">
            <w:pPr>
              <w:rPr>
                <w:rFonts w:ascii="宋体" w:hAnsi="宋体" w:cs="宋体"/>
                <w:szCs w:val="21"/>
              </w:rPr>
            </w:pPr>
            <w:r>
              <w:rPr>
                <w:rFonts w:hint="eastAsia" w:ascii="宋体" w:hAnsi="宋体" w:cs="宋体"/>
                <w:szCs w:val="21"/>
              </w:rPr>
              <w:t>旋涡区面积为0</w:t>
            </w:r>
          </w:p>
        </w:tc>
        <w:tc>
          <w:tcPr>
            <w:tcW w:w="2551" w:type="dxa"/>
            <w:tcBorders>
              <w:top w:val="nil"/>
              <w:left w:val="nil"/>
              <w:bottom w:val="single" w:color="auto" w:sz="4" w:space="0"/>
              <w:right w:val="single" w:color="auto" w:sz="4" w:space="0"/>
            </w:tcBorders>
            <w:shd w:val="clear" w:color="auto" w:fill="auto"/>
            <w:noWrap/>
            <w:vAlign w:val="center"/>
          </w:tcPr>
          <w:p w14:paraId="2A0F767B">
            <w:pPr>
              <w:spacing w:line="240" w:lineRule="auto"/>
              <w:jc w:val="center"/>
              <w:rPr>
                <w:rFonts w:ascii="宋体" w:hAnsi="宋体" w:cs="宋体"/>
                <w:color w:val="000000"/>
                <w:sz w:val="22"/>
                <w:szCs w:val="22"/>
                <w:lang w:val="en-US"/>
              </w:rPr>
            </w:pPr>
            <w:bookmarkStart w:id="133" w:name="是否有旋涡区"/>
            <w:r>
              <w:rPr>
                <w:rFonts w:ascii="宋体" w:hAnsi="宋体" w:cs="宋体"/>
                <w:color w:val="000000"/>
                <w:sz w:val="22"/>
                <w:szCs w:val="22"/>
                <w:lang w:val="en-US"/>
              </w:rPr>
              <w:t>否</w:t>
            </w:r>
            <w:bookmarkEnd w:id="133"/>
          </w:p>
        </w:tc>
        <w:tc>
          <w:tcPr>
            <w:tcW w:w="1276" w:type="dxa"/>
            <w:tcBorders>
              <w:top w:val="nil"/>
              <w:left w:val="nil"/>
              <w:bottom w:val="single" w:color="auto" w:sz="4" w:space="0"/>
              <w:right w:val="single" w:color="auto" w:sz="4" w:space="0"/>
            </w:tcBorders>
            <w:shd w:val="clear" w:color="auto" w:fill="auto"/>
            <w:noWrap/>
            <w:vAlign w:val="center"/>
          </w:tcPr>
          <w:p w14:paraId="3EFC0B23">
            <w:pPr>
              <w:spacing w:line="240" w:lineRule="auto"/>
              <w:jc w:val="center"/>
              <w:rPr>
                <w:rFonts w:ascii="宋体" w:hAnsi="宋体" w:cs="宋体"/>
                <w:color w:val="000000"/>
                <w:sz w:val="22"/>
                <w:szCs w:val="22"/>
                <w:lang w:val="en-US"/>
              </w:rPr>
            </w:pPr>
            <w:bookmarkStart w:id="134" w:name="旋涡区达标判断"/>
            <w:r>
              <w:rPr>
                <w:rFonts w:ascii="宋体" w:hAnsi="宋体" w:cs="宋体"/>
                <w:color w:val="000000"/>
                <w:sz w:val="22"/>
                <w:szCs w:val="22"/>
                <w:lang w:val="en-US"/>
              </w:rPr>
              <w:t>是</w:t>
            </w:r>
            <w:bookmarkEnd w:id="134"/>
          </w:p>
        </w:tc>
      </w:tr>
    </w:tbl>
    <w:p w14:paraId="48997E59">
      <w:pPr>
        <w:pStyle w:val="5"/>
      </w:pPr>
      <w:bookmarkStart w:id="135" w:name="_Toc504501018"/>
      <w:bookmarkStart w:id="136" w:name="_Toc509844763"/>
      <w:bookmarkStart w:id="137" w:name="_Toc179986129"/>
      <w:r>
        <w:rPr>
          <w:rFonts w:hint="eastAsia"/>
        </w:rPr>
        <w:t>外窗内外表面风压</w:t>
      </w:r>
      <w:bookmarkEnd w:id="135"/>
      <w:r>
        <w:rPr>
          <w:rFonts w:hint="eastAsia"/>
        </w:rPr>
        <w:t>差达标分析</w:t>
      </w:r>
      <w:bookmarkEnd w:id="136"/>
      <w:bookmarkEnd w:id="137"/>
    </w:p>
    <w:p w14:paraId="7B059372">
      <w:pPr>
        <w:pStyle w:val="3"/>
        <w:ind w:firstLine="420"/>
      </w:pPr>
      <w:r>
        <w:rPr>
          <w:rFonts w:hint="eastAsia"/>
          <w:lang w:val="en-US"/>
        </w:rPr>
        <w:t>分析《绿色建筑评价标准》，</w:t>
      </w:r>
      <w:bookmarkStart w:id="138" w:name="季节9"/>
      <w:r>
        <w:rPr>
          <w:rFonts w:hint="eastAsia"/>
          <w:lang w:val="en-US"/>
        </w:rPr>
        <w:t>过渡季</w:t>
      </w:r>
      <w:bookmarkEnd w:id="138"/>
      <w:r>
        <w:rPr>
          <w:rFonts w:hint="eastAsia"/>
          <w:lang w:val="en-US"/>
        </w:rPr>
        <w:t>为充分利用自然通风获得良好的室内风环境，要求50%以上可开启外窗室内外表面的风压差大于0.5Pa。</w:t>
      </w:r>
    </w:p>
    <w:p w14:paraId="7608EF34">
      <w:pPr>
        <w:pStyle w:val="3"/>
        <w:ind w:firstLine="420"/>
      </w:pPr>
      <w:r>
        <w:rPr>
          <w:rFonts w:hint="eastAsia"/>
          <w:lang w:val="en-US"/>
        </w:rPr>
        <w:t>可见在夏季，为了获得良好的室内风环境，首先要有良好的室外风环境。当外窗关闭时，</w:t>
      </w:r>
      <w:r>
        <w:rPr>
          <w:rFonts w:hint="eastAsia"/>
          <w:b/>
          <w:lang w:val="en-US"/>
        </w:rPr>
        <w:t>外窗内表面风压</w:t>
      </w:r>
      <w:r>
        <w:rPr>
          <w:rFonts w:hint="eastAsia"/>
          <w:lang w:val="en-US"/>
        </w:rPr>
        <w:t>近似为0，因此标准要求外窗室</w:t>
      </w:r>
      <w:r>
        <w:rPr>
          <w:rFonts w:hint="eastAsia"/>
          <w:b/>
          <w:lang w:val="en-US"/>
        </w:rPr>
        <w:t>内外表面的风压差</w:t>
      </w:r>
      <w:r>
        <w:rPr>
          <w:rFonts w:hint="eastAsia"/>
          <w:lang w:val="en-US"/>
        </w:rPr>
        <w:t>大于0.5Pa，即为关窗状态下外窗</w:t>
      </w:r>
      <w:r>
        <w:rPr>
          <w:rFonts w:hint="eastAsia"/>
          <w:b/>
          <w:lang w:val="en-US"/>
        </w:rPr>
        <w:t>外表面</w:t>
      </w:r>
      <w:r>
        <w:rPr>
          <w:rFonts w:hint="eastAsia"/>
          <w:lang w:val="en-US"/>
        </w:rPr>
        <w:t>的</w:t>
      </w:r>
      <w:r>
        <w:rPr>
          <w:rFonts w:hint="eastAsia"/>
          <w:b/>
          <w:lang w:val="en-US"/>
        </w:rPr>
        <w:t>风压绝对值</w:t>
      </w:r>
      <w:r>
        <w:rPr>
          <w:rFonts w:hint="eastAsia"/>
          <w:lang w:val="en-US"/>
        </w:rPr>
        <w:t>需大于0.5Pa。只有</w:t>
      </w:r>
      <w:r>
        <w:rPr>
          <w:rFonts w:hint="eastAsia"/>
          <w:b/>
          <w:lang w:val="en-US"/>
        </w:rPr>
        <w:t>外窗外表面</w:t>
      </w:r>
      <w:r>
        <w:rPr>
          <w:rFonts w:hint="eastAsia"/>
          <w:lang w:val="en-US"/>
        </w:rPr>
        <w:t>的风压绝对值足够大时，才可以确保良好的</w:t>
      </w:r>
      <w:r>
        <w:rPr>
          <w:rFonts w:hint="eastAsia"/>
          <w:b/>
          <w:lang w:val="en-US"/>
        </w:rPr>
        <w:t>开窗通风</w:t>
      </w:r>
      <w:r>
        <w:rPr>
          <w:rFonts w:hint="eastAsia"/>
          <w:lang w:val="en-US"/>
        </w:rPr>
        <w:t>效果，形成较好的室内风环境。</w:t>
      </w:r>
    </w:p>
    <w:p w14:paraId="0BFB17EA">
      <w:pPr>
        <w:pStyle w:val="3"/>
        <w:ind w:firstLine="420"/>
      </w:pPr>
      <w:r>
        <w:rPr>
          <w:rFonts w:hint="eastAsia"/>
          <w:lang w:val="en-US"/>
        </w:rPr>
        <w:t>下图为夏季工况下，建筑迎风面和背风面对应外窗表面的风压分布图，结合图例数值可以清晰看到外窗表面风压小于0.5Pa的外窗区域。</w:t>
      </w:r>
    </w:p>
    <w:p w14:paraId="55FA0D77">
      <w:pPr>
        <w:pStyle w:val="3"/>
        <w:ind w:firstLine="0" w:firstLineChars="0"/>
        <w:jc w:val="center"/>
      </w:pPr>
      <w:bookmarkStart w:id="139" w:name="迎风面风压云图"/>
      <w:bookmarkEnd w:id="139"/>
      <w:r>
        <w:rPr>
          <w:lang w:val="en-US"/>
        </w:rPr>
        <w:drawing>
          <wp:inline distT="0" distB="0" distL="0" distR="0">
            <wp:extent cx="5667375" cy="279082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pic:cNvPicPr>
                      <a:picLocks noChangeAspect="1"/>
                    </pic:cNvPicPr>
                  </pic:nvPicPr>
                  <pic:blipFill>
                    <a:blip r:embed="rId80"/>
                    <a:stretch>
                      <a:fillRect/>
                    </a:stretch>
                  </pic:blipFill>
                  <pic:spPr>
                    <a:xfrm>
                      <a:off x="0" y="0"/>
                      <a:ext cx="5667375" cy="2790825"/>
                    </a:xfrm>
                    <a:prstGeom prst="rect">
                      <a:avLst/>
                    </a:prstGeom>
                  </pic:spPr>
                </pic:pic>
              </a:graphicData>
            </a:graphic>
          </wp:inline>
        </w:drawing>
      </w:r>
    </w:p>
    <w:p w14:paraId="045475B4">
      <w:pPr>
        <w:pStyle w:val="3"/>
        <w:ind w:firstLine="0" w:firstLineChars="0"/>
        <w:jc w:val="center"/>
        <w:rPr>
          <w:rFonts w:ascii="黑体" w:hAnsi="黑体" w:eastAsia="黑体"/>
          <w:sz w:val="20"/>
          <w:szCs w:val="20"/>
        </w:rP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5.4</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3</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建筑迎风面外窗表面风压云图-</w:t>
      </w:r>
      <w:bookmarkStart w:id="140" w:name="季节10"/>
      <w:r>
        <w:rPr>
          <w:rFonts w:hint="eastAsia" w:ascii="黑体" w:hAnsi="黑体" w:eastAsia="黑体"/>
          <w:sz w:val="20"/>
          <w:szCs w:val="20"/>
        </w:rPr>
        <w:t>过渡季</w:t>
      </w:r>
      <w:bookmarkEnd w:id="140"/>
    </w:p>
    <w:p w14:paraId="7D354B1A">
      <w:pPr>
        <w:pStyle w:val="13"/>
        <w:jc w:val="center"/>
      </w:pPr>
      <w:bookmarkStart w:id="141" w:name="背风面风压云图"/>
      <w:bookmarkEnd w:id="141"/>
      <w:r>
        <w:rPr>
          <w:lang w:val="en-US"/>
        </w:rPr>
        <w:drawing>
          <wp:inline distT="0" distB="0" distL="0" distR="0">
            <wp:extent cx="5667375" cy="281940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81"/>
                    <a:stretch>
                      <a:fillRect/>
                    </a:stretch>
                  </pic:blipFill>
                  <pic:spPr>
                    <a:xfrm>
                      <a:off x="0" y="0"/>
                      <a:ext cx="5667375" cy="2819400"/>
                    </a:xfrm>
                    <a:prstGeom prst="rect">
                      <a:avLst/>
                    </a:prstGeom>
                  </pic:spPr>
                </pic:pic>
              </a:graphicData>
            </a:graphic>
          </wp:inline>
        </w:drawing>
      </w:r>
    </w:p>
    <w:p w14:paraId="5BE0EFE4">
      <w:pPr>
        <w:pStyle w:val="3"/>
        <w:ind w:firstLine="0" w:firstLineChars="0"/>
        <w:jc w:val="center"/>
      </w:pPr>
      <w:r>
        <w:rPr>
          <w:rFonts w:hint="eastAsia" w:ascii="黑体" w:hAnsi="黑体" w:eastAsia="黑体"/>
          <w:sz w:val="20"/>
          <w:szCs w:val="20"/>
        </w:rPr>
        <w:t xml:space="preserve">图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5.4</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图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4</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建筑背风面外窗表面风压云图-</w:t>
      </w:r>
      <w:bookmarkStart w:id="142" w:name="季节11"/>
      <w:r>
        <w:rPr>
          <w:rFonts w:hint="eastAsia" w:ascii="黑体" w:hAnsi="黑体" w:eastAsia="黑体"/>
          <w:sz w:val="20"/>
          <w:szCs w:val="20"/>
        </w:rPr>
        <w:t>过渡季</w:t>
      </w:r>
      <w:bookmarkEnd w:id="142"/>
      <w:r>
        <w:rPr>
          <w:rFonts w:hint="eastAsia"/>
        </w:rPr>
        <w:t xml:space="preserve"> </w:t>
      </w:r>
    </w:p>
    <w:p w14:paraId="37502E6F">
      <w:pPr>
        <w:rPr>
          <w:lang w:val="en-US"/>
        </w:rPr>
      </w:pPr>
    </w:p>
    <w:p w14:paraId="564B76B0">
      <w:r>
        <w:rPr>
          <w:rFonts w:hint="eastAsia"/>
        </w:rPr>
        <w:t>对</w:t>
      </w:r>
      <w:r>
        <w:t>于无外</w:t>
      </w:r>
      <w:r>
        <w:rPr>
          <w:rFonts w:hint="eastAsia"/>
        </w:rPr>
        <w:t>窗</w:t>
      </w:r>
      <w:r>
        <w:t>数据的建筑，</w:t>
      </w:r>
      <w:r>
        <w:rPr>
          <w:rFonts w:hint="eastAsia"/>
        </w:rPr>
        <w:t>下表依据建筑</w:t>
      </w:r>
      <w:r>
        <w:t>外表面</w:t>
      </w:r>
      <w:r>
        <w:rPr>
          <w:rFonts w:hint="eastAsia"/>
        </w:rPr>
        <w:t>平均风压数据，相当于建筑室内外表面风压差数据，并依据标准做出达标判断：</w:t>
      </w:r>
    </w:p>
    <w:p w14:paraId="09E49297">
      <w:pPr>
        <w:pStyle w:val="13"/>
        <w:jc w:val="center"/>
      </w:pPr>
      <w:r>
        <w:rPr>
          <w:rFonts w:hint="eastAsia"/>
        </w:rPr>
        <w:t>表</w:t>
      </w:r>
      <w:r>
        <w:t xml:space="preserve"> </w:t>
      </w:r>
      <w:r>
        <w:fldChar w:fldCharType="begin"/>
      </w:r>
      <w:r>
        <w:instrText xml:space="preserve"> STYLEREF 2 \s </w:instrText>
      </w:r>
      <w:r>
        <w:fldChar w:fldCharType="separate"/>
      </w:r>
      <w:r>
        <w:t>5.4</w:t>
      </w:r>
      <w:r>
        <w:fldChar w:fldCharType="end"/>
      </w:r>
      <w:r>
        <w:noBreakHyphen/>
      </w:r>
      <w:r>
        <w:fldChar w:fldCharType="begin"/>
      </w:r>
      <w:r>
        <w:instrText xml:space="preserve"> SEQ </w:instrText>
      </w:r>
      <w:r>
        <w:rPr>
          <w:rFonts w:hint="eastAsia"/>
        </w:rPr>
        <w:instrText xml:space="preserve">表</w:instrText>
      </w:r>
      <w:r>
        <w:instrText xml:space="preserve"> \* ARABIC \s 2 </w:instrText>
      </w:r>
      <w:r>
        <w:fldChar w:fldCharType="separate"/>
      </w:r>
      <w:r>
        <w:t>2</w:t>
      </w:r>
      <w:r>
        <w:fldChar w:fldCharType="end"/>
      </w:r>
      <w:r>
        <w:t xml:space="preserve">  </w:t>
      </w:r>
      <w:r>
        <w:rPr>
          <w:rFonts w:hint="eastAsia"/>
        </w:rPr>
        <w:t>建筑室内外风压差达标判定表</w:t>
      </w:r>
    </w:p>
    <w:tbl>
      <w:tblPr>
        <w:tblStyle w:val="22"/>
        <w:tblW w:w="0" w:type="auto"/>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autofit"/>
        <w:tblCellMar>
          <w:top w:w="0" w:type="dxa"/>
          <w:left w:w="108" w:type="dxa"/>
          <w:bottom w:w="0" w:type="dxa"/>
          <w:right w:w="108" w:type="dxa"/>
        </w:tblCellMar>
      </w:tblPr>
      <w:tblGrid>
        <w:gridCol w:w="3104"/>
        <w:gridCol w:w="1417"/>
        <w:gridCol w:w="2552"/>
        <w:gridCol w:w="1134"/>
        <w:gridCol w:w="835"/>
      </w:tblGrid>
      <w:tr w14:paraId="3045761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shd w:val="clear" w:color="auto" w:fill="E6E6E6"/>
            <w:vAlign w:val="center"/>
          </w:tcPr>
          <w:p w14:paraId="3578553B">
            <w:pPr>
              <w:spacing w:line="360" w:lineRule="exact"/>
              <w:jc w:val="center"/>
              <w:rPr>
                <w:lang w:val="en-US"/>
              </w:rPr>
            </w:pPr>
            <w:r>
              <w:rPr>
                <w:rFonts w:hint="eastAsia"/>
                <w:lang w:val="en-US"/>
              </w:rPr>
              <w:t>建筑编号</w:t>
            </w:r>
          </w:p>
        </w:tc>
        <w:tc>
          <w:tcPr>
            <w:tcW w:w="1417" w:type="dxa"/>
            <w:shd w:val="clear" w:color="auto" w:fill="E6E6E6"/>
            <w:vAlign w:val="center"/>
          </w:tcPr>
          <w:p w14:paraId="336217B9">
            <w:pPr>
              <w:spacing w:line="360" w:lineRule="exact"/>
              <w:jc w:val="center"/>
              <w:rPr>
                <w:lang w:val="en-US"/>
              </w:rPr>
            </w:pPr>
            <w:r>
              <w:rPr>
                <w:rFonts w:hint="eastAsia"/>
                <w:lang w:val="en-US"/>
              </w:rPr>
              <w:t>建筑表面积（㎡）</w:t>
            </w:r>
          </w:p>
        </w:tc>
        <w:tc>
          <w:tcPr>
            <w:tcW w:w="2552" w:type="dxa"/>
            <w:shd w:val="clear" w:color="auto" w:fill="E6E6E6"/>
            <w:vAlign w:val="center"/>
          </w:tcPr>
          <w:p w14:paraId="77A72871">
            <w:pPr>
              <w:spacing w:line="360" w:lineRule="exact"/>
              <w:jc w:val="center"/>
              <w:rPr>
                <w:lang w:val="en-US"/>
              </w:rPr>
            </w:pPr>
            <w:r>
              <w:rPr>
                <w:rFonts w:hint="eastAsia"/>
                <w:lang w:val="en-US"/>
              </w:rPr>
              <w:t>室内外风压差大于</w:t>
            </w:r>
            <w:r>
              <w:rPr>
                <w:lang w:val="en-US"/>
              </w:rPr>
              <w:t>0.5Pa</w:t>
            </w:r>
            <w:r>
              <w:rPr>
                <w:rFonts w:hint="eastAsia"/>
                <w:lang w:val="en-US"/>
              </w:rPr>
              <w:t>的建筑表面积（㎡）</w:t>
            </w:r>
          </w:p>
        </w:tc>
        <w:tc>
          <w:tcPr>
            <w:tcW w:w="1134" w:type="dxa"/>
            <w:shd w:val="clear" w:color="auto" w:fill="E6E6E6"/>
            <w:vAlign w:val="center"/>
          </w:tcPr>
          <w:p w14:paraId="45982F98">
            <w:pPr>
              <w:spacing w:line="360" w:lineRule="exact"/>
              <w:jc w:val="center"/>
              <w:rPr>
                <w:lang w:val="en-US"/>
              </w:rPr>
            </w:pPr>
            <w:r>
              <w:rPr>
                <w:rFonts w:hint="eastAsia"/>
                <w:lang w:val="en-US"/>
              </w:rPr>
              <w:t>达标比例（</w:t>
            </w:r>
            <w:r>
              <w:rPr>
                <w:lang w:val="en-US"/>
              </w:rPr>
              <w:t>%</w:t>
            </w:r>
            <w:r>
              <w:rPr>
                <w:rFonts w:hint="eastAsia"/>
                <w:lang w:val="en-US"/>
              </w:rPr>
              <w:t>）</w:t>
            </w:r>
          </w:p>
        </w:tc>
        <w:tc>
          <w:tcPr>
            <w:tcW w:w="835" w:type="dxa"/>
            <w:shd w:val="clear" w:color="auto" w:fill="E6E6E6"/>
            <w:vAlign w:val="center"/>
          </w:tcPr>
          <w:p w14:paraId="31A24F4D">
            <w:pPr>
              <w:spacing w:line="360" w:lineRule="exact"/>
              <w:jc w:val="center"/>
              <w:rPr>
                <w:lang w:val="en-US"/>
              </w:rPr>
            </w:pPr>
            <w:r>
              <w:rPr>
                <w:rFonts w:hint="eastAsia"/>
                <w:lang w:val="en-US"/>
              </w:rPr>
              <w:t>是否达标</w:t>
            </w:r>
          </w:p>
        </w:tc>
      </w:tr>
      <w:tr w14:paraId="085F460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vAlign w:val="center"/>
          </w:tcPr>
          <w:p w14:paraId="63B8FD8C">
            <w:pPr>
              <w:spacing w:line="360" w:lineRule="exact"/>
              <w:jc w:val="center"/>
              <w:rPr>
                <w:lang w:val="en-US"/>
              </w:rPr>
            </w:pPr>
            <w:r>
              <w:rPr>
                <w:lang w:val="en-US"/>
              </w:rPr>
              <w:t>未命名(4806)</w:t>
            </w:r>
          </w:p>
        </w:tc>
        <w:tc>
          <w:tcPr>
            <w:tcW w:w="1417" w:type="dxa"/>
            <w:vAlign w:val="center"/>
          </w:tcPr>
          <w:p w14:paraId="561D643D">
            <w:pPr>
              <w:spacing w:line="360" w:lineRule="exact"/>
              <w:jc w:val="center"/>
              <w:rPr>
                <w:lang w:val="en-US"/>
              </w:rPr>
            </w:pPr>
            <w:r>
              <w:rPr>
                <w:lang w:val="en-US"/>
              </w:rPr>
              <w:t>17313.60</w:t>
            </w:r>
          </w:p>
        </w:tc>
        <w:tc>
          <w:tcPr>
            <w:tcW w:w="2552" w:type="dxa"/>
            <w:vAlign w:val="center"/>
          </w:tcPr>
          <w:p w14:paraId="3F7A603C">
            <w:pPr>
              <w:spacing w:line="360" w:lineRule="exact"/>
              <w:jc w:val="center"/>
              <w:rPr>
                <w:lang w:val="en-US"/>
              </w:rPr>
            </w:pPr>
            <w:r>
              <w:rPr>
                <w:lang w:val="en-US"/>
              </w:rPr>
              <w:t>16677.60</w:t>
            </w:r>
          </w:p>
        </w:tc>
        <w:tc>
          <w:tcPr>
            <w:tcW w:w="1134" w:type="dxa"/>
            <w:vAlign w:val="center"/>
          </w:tcPr>
          <w:p w14:paraId="468B6301">
            <w:pPr>
              <w:spacing w:line="360" w:lineRule="exact"/>
              <w:jc w:val="center"/>
              <w:rPr>
                <w:lang w:val="en-US"/>
              </w:rPr>
            </w:pPr>
            <w:r>
              <w:rPr>
                <w:lang w:val="en-US"/>
              </w:rPr>
              <w:t>96.33</w:t>
            </w:r>
          </w:p>
        </w:tc>
        <w:tc>
          <w:tcPr>
            <w:tcW w:w="835" w:type="dxa"/>
            <w:vAlign w:val="center"/>
          </w:tcPr>
          <w:p w14:paraId="093717E4">
            <w:pPr>
              <w:spacing w:line="360" w:lineRule="exact"/>
              <w:jc w:val="center"/>
              <w:rPr>
                <w:lang w:val="en-US"/>
              </w:rPr>
            </w:pPr>
            <w:r>
              <w:rPr>
                <w:lang w:val="en-US"/>
              </w:rPr>
              <w:t>是</w:t>
            </w:r>
          </w:p>
        </w:tc>
      </w:tr>
      <w:tr w14:paraId="1DBEE36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vAlign w:val="center"/>
          </w:tcPr>
          <w:p w14:paraId="64D16FE2">
            <w:pPr>
              <w:spacing w:line="360" w:lineRule="exact"/>
              <w:jc w:val="center"/>
              <w:rPr>
                <w:lang w:val="en-US"/>
              </w:rPr>
            </w:pPr>
            <w:r>
              <w:rPr>
                <w:lang w:val="en-US"/>
              </w:rPr>
              <w:t>未命名(4809)</w:t>
            </w:r>
          </w:p>
        </w:tc>
        <w:tc>
          <w:tcPr>
            <w:tcW w:w="1417" w:type="dxa"/>
            <w:vAlign w:val="center"/>
          </w:tcPr>
          <w:p w14:paraId="545DD577">
            <w:pPr>
              <w:spacing w:line="360" w:lineRule="exact"/>
              <w:jc w:val="center"/>
              <w:rPr>
                <w:lang w:val="en-US"/>
              </w:rPr>
            </w:pPr>
            <w:r>
              <w:rPr>
                <w:lang w:val="en-US"/>
              </w:rPr>
              <w:t>13199.60</w:t>
            </w:r>
          </w:p>
        </w:tc>
        <w:tc>
          <w:tcPr>
            <w:tcW w:w="2552" w:type="dxa"/>
            <w:vAlign w:val="center"/>
          </w:tcPr>
          <w:p w14:paraId="338EBC9A">
            <w:pPr>
              <w:spacing w:line="360" w:lineRule="exact"/>
              <w:jc w:val="center"/>
              <w:rPr>
                <w:lang w:val="en-US"/>
              </w:rPr>
            </w:pPr>
            <w:r>
              <w:rPr>
                <w:lang w:val="en-US"/>
              </w:rPr>
              <w:t>13119.50</w:t>
            </w:r>
          </w:p>
        </w:tc>
        <w:tc>
          <w:tcPr>
            <w:tcW w:w="1134" w:type="dxa"/>
            <w:vAlign w:val="center"/>
          </w:tcPr>
          <w:p w14:paraId="2B96F5AE">
            <w:pPr>
              <w:spacing w:line="360" w:lineRule="exact"/>
              <w:jc w:val="center"/>
              <w:rPr>
                <w:lang w:val="en-US"/>
              </w:rPr>
            </w:pPr>
            <w:r>
              <w:rPr>
                <w:lang w:val="en-US"/>
              </w:rPr>
              <w:t>99.39</w:t>
            </w:r>
          </w:p>
        </w:tc>
        <w:tc>
          <w:tcPr>
            <w:tcW w:w="835" w:type="dxa"/>
            <w:vAlign w:val="center"/>
          </w:tcPr>
          <w:p w14:paraId="0CD805EB">
            <w:pPr>
              <w:spacing w:line="360" w:lineRule="exact"/>
              <w:jc w:val="center"/>
              <w:rPr>
                <w:lang w:val="en-US"/>
              </w:rPr>
            </w:pPr>
            <w:r>
              <w:rPr>
                <w:lang w:val="en-US"/>
              </w:rPr>
              <w:t>是</w:t>
            </w:r>
          </w:p>
        </w:tc>
      </w:tr>
      <w:tr w14:paraId="588BFA9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vAlign w:val="center"/>
          </w:tcPr>
          <w:p w14:paraId="0FC8ED87">
            <w:pPr>
              <w:spacing w:line="360" w:lineRule="exact"/>
              <w:jc w:val="center"/>
              <w:rPr>
                <w:lang w:val="en-US"/>
              </w:rPr>
            </w:pPr>
            <w:r>
              <w:rPr>
                <w:lang w:val="en-US"/>
              </w:rPr>
              <w:t>未命名(480C)</w:t>
            </w:r>
          </w:p>
        </w:tc>
        <w:tc>
          <w:tcPr>
            <w:tcW w:w="1417" w:type="dxa"/>
            <w:vAlign w:val="center"/>
          </w:tcPr>
          <w:p w14:paraId="65C37E51">
            <w:pPr>
              <w:spacing w:line="360" w:lineRule="exact"/>
              <w:jc w:val="center"/>
              <w:rPr>
                <w:lang w:val="en-US"/>
              </w:rPr>
            </w:pPr>
            <w:r>
              <w:rPr>
                <w:lang w:val="en-US"/>
              </w:rPr>
              <w:t>6392.47</w:t>
            </w:r>
          </w:p>
        </w:tc>
        <w:tc>
          <w:tcPr>
            <w:tcW w:w="2552" w:type="dxa"/>
            <w:vAlign w:val="center"/>
          </w:tcPr>
          <w:p w14:paraId="1B4E680B">
            <w:pPr>
              <w:spacing w:line="360" w:lineRule="exact"/>
              <w:jc w:val="center"/>
              <w:rPr>
                <w:lang w:val="en-US"/>
              </w:rPr>
            </w:pPr>
            <w:r>
              <w:rPr>
                <w:lang w:val="en-US"/>
              </w:rPr>
              <w:t>4762.03</w:t>
            </w:r>
          </w:p>
        </w:tc>
        <w:tc>
          <w:tcPr>
            <w:tcW w:w="1134" w:type="dxa"/>
            <w:vAlign w:val="center"/>
          </w:tcPr>
          <w:p w14:paraId="281BC591">
            <w:pPr>
              <w:spacing w:line="360" w:lineRule="exact"/>
              <w:jc w:val="center"/>
              <w:rPr>
                <w:lang w:val="en-US"/>
              </w:rPr>
            </w:pPr>
            <w:r>
              <w:rPr>
                <w:lang w:val="en-US"/>
              </w:rPr>
              <w:t>74.49</w:t>
            </w:r>
          </w:p>
        </w:tc>
        <w:tc>
          <w:tcPr>
            <w:tcW w:w="835" w:type="dxa"/>
            <w:vAlign w:val="center"/>
          </w:tcPr>
          <w:p w14:paraId="41C24444">
            <w:pPr>
              <w:spacing w:line="360" w:lineRule="exact"/>
              <w:jc w:val="center"/>
              <w:rPr>
                <w:lang w:val="en-US"/>
              </w:rPr>
            </w:pPr>
            <w:r>
              <w:rPr>
                <w:lang w:val="en-US"/>
              </w:rPr>
              <w:t>是</w:t>
            </w:r>
          </w:p>
        </w:tc>
      </w:tr>
      <w:tr w14:paraId="5ABD3F3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tcW w:w="3104" w:type="dxa"/>
            <w:vAlign w:val="center"/>
          </w:tcPr>
          <w:p w14:paraId="7383C208">
            <w:pPr>
              <w:spacing w:line="360" w:lineRule="exact"/>
              <w:jc w:val="center"/>
              <w:rPr>
                <w:lang w:val="en-US"/>
              </w:rPr>
            </w:pPr>
            <w:r>
              <w:rPr>
                <w:lang w:val="en-US"/>
              </w:rPr>
              <w:t>未命名(480F)</w:t>
            </w:r>
          </w:p>
        </w:tc>
        <w:tc>
          <w:tcPr>
            <w:tcW w:w="1417" w:type="dxa"/>
            <w:vAlign w:val="center"/>
          </w:tcPr>
          <w:p w14:paraId="33511D87">
            <w:pPr>
              <w:spacing w:line="360" w:lineRule="exact"/>
              <w:jc w:val="center"/>
              <w:rPr>
                <w:lang w:val="en-US"/>
              </w:rPr>
            </w:pPr>
            <w:r>
              <w:rPr>
                <w:lang w:val="en-US"/>
              </w:rPr>
              <w:t>4991.32</w:t>
            </w:r>
          </w:p>
        </w:tc>
        <w:tc>
          <w:tcPr>
            <w:tcW w:w="2552" w:type="dxa"/>
            <w:vAlign w:val="center"/>
          </w:tcPr>
          <w:p w14:paraId="63F68A14">
            <w:pPr>
              <w:spacing w:line="360" w:lineRule="exact"/>
              <w:jc w:val="center"/>
              <w:rPr>
                <w:lang w:val="en-US"/>
              </w:rPr>
            </w:pPr>
            <w:r>
              <w:rPr>
                <w:lang w:val="en-US"/>
              </w:rPr>
              <w:t>4969.38</w:t>
            </w:r>
          </w:p>
        </w:tc>
        <w:tc>
          <w:tcPr>
            <w:tcW w:w="1134" w:type="dxa"/>
            <w:vAlign w:val="center"/>
          </w:tcPr>
          <w:p w14:paraId="554D089B">
            <w:pPr>
              <w:spacing w:line="360" w:lineRule="exact"/>
              <w:jc w:val="center"/>
              <w:rPr>
                <w:lang w:val="en-US"/>
              </w:rPr>
            </w:pPr>
            <w:r>
              <w:rPr>
                <w:lang w:val="en-US"/>
              </w:rPr>
              <w:t>99.56</w:t>
            </w:r>
          </w:p>
        </w:tc>
        <w:tc>
          <w:tcPr>
            <w:tcW w:w="835" w:type="dxa"/>
            <w:vAlign w:val="center"/>
          </w:tcPr>
          <w:p w14:paraId="1E95A8EC">
            <w:pPr>
              <w:spacing w:line="360" w:lineRule="exact"/>
              <w:jc w:val="center"/>
              <w:rPr>
                <w:lang w:val="en-US"/>
              </w:rPr>
            </w:pPr>
            <w:r>
              <w:rPr>
                <w:lang w:val="en-US"/>
              </w:rPr>
              <w:t>是</w:t>
            </w:r>
          </w:p>
        </w:tc>
      </w:tr>
    </w:tbl>
    <w:p w14:paraId="33D1DCA8">
      <w:pPr>
        <w:rPr>
          <w:lang w:val="en-US"/>
        </w:rPr>
      </w:pPr>
      <w:r>
        <w:rPr>
          <w:rFonts w:hint="eastAsia"/>
          <w:lang w:val="en-US"/>
        </w:rPr>
        <w:t>说明：达标比例＝（室内外风压差大于</w:t>
      </w:r>
      <w:r>
        <w:rPr>
          <w:lang w:val="en-US"/>
        </w:rPr>
        <w:t>0.5Pa</w:t>
      </w:r>
      <w:r>
        <w:rPr>
          <w:rFonts w:hint="eastAsia"/>
          <w:lang w:val="en-US"/>
        </w:rPr>
        <w:t>的建筑表面积</w:t>
      </w:r>
      <w:r>
        <w:rPr>
          <w:lang w:val="en-US"/>
        </w:rPr>
        <w:t>/</w:t>
      </w:r>
      <w:r>
        <w:rPr>
          <w:rFonts w:hint="eastAsia"/>
          <w:lang w:val="en-US"/>
        </w:rPr>
        <w:t>建筑表面积）</w:t>
      </w:r>
      <w:r>
        <w:rPr>
          <w:lang w:val="en-US"/>
        </w:rPr>
        <w:t>*100</w:t>
      </w:r>
      <w:r>
        <w:rPr>
          <w:rFonts w:hint="eastAsia"/>
          <w:lang w:val="en-US"/>
        </w:rPr>
        <w:t>％</w:t>
      </w:r>
    </w:p>
    <w:p w14:paraId="2EA932AF">
      <w:bookmarkStart w:id="143" w:name="建筑室内外风压差达标判定"/>
      <w:r>
        <w:rPr>
          <w:rFonts w:hint="eastAsia"/>
        </w:rPr>
        <w:t xml:space="preserve"> </w:t>
      </w:r>
      <w:bookmarkEnd w:id="143"/>
    </w:p>
    <w:p w14:paraId="6B383B62">
      <w:pPr>
        <w:rPr>
          <w:lang w:val="en-US"/>
        </w:rPr>
      </w:pPr>
      <w:bookmarkStart w:id="144" w:name="建筑室内外风压差达标判定结论"/>
      <w:r>
        <w:rPr>
          <w:rFonts w:hint="eastAsia"/>
          <w:lang w:val="en-US"/>
        </w:rPr>
        <w:t>结论：本项目中所有建筑均满足“50%以上可开启外窗室内外表面的风压差大于0.5Pa”的要求。</w:t>
      </w:r>
      <w:bookmarkEnd w:id="144"/>
      <w:r>
        <w:rPr>
          <w:rFonts w:hint="eastAsia"/>
          <w:lang w:val="en-US"/>
        </w:rPr>
        <w:t xml:space="preserve"> </w:t>
      </w:r>
    </w:p>
    <w:p w14:paraId="0E2C05CD">
      <w:pPr>
        <w:pStyle w:val="4"/>
      </w:pPr>
      <w:bookmarkStart w:id="145" w:name="其他工况"/>
      <w:bookmarkEnd w:id="145"/>
      <w:bookmarkStart w:id="146" w:name="_Toc179986130"/>
      <w:bookmarkStart w:id="147" w:name="_Toc509844764"/>
      <w:r>
        <w:rPr>
          <w:rFonts w:hint="eastAsia"/>
        </w:rPr>
        <w:t>结论</w:t>
      </w:r>
      <w:bookmarkEnd w:id="146"/>
      <w:bookmarkEnd w:id="147"/>
    </w:p>
    <w:p w14:paraId="3A28D1E2">
      <w:pPr>
        <w:pStyle w:val="5"/>
      </w:pPr>
      <w:bookmarkStart w:id="148" w:name="_Toc179986131"/>
      <w:bookmarkStart w:id="149" w:name="_Toc509844765"/>
      <w:r>
        <w:rPr>
          <w:rFonts w:hint="eastAsia"/>
        </w:rPr>
        <w:t>冬季工况达标判断</w:t>
      </w:r>
      <w:bookmarkEnd w:id="148"/>
      <w:bookmarkEnd w:id="149"/>
      <w:bookmarkStart w:id="150" w:name="_Toc509844766"/>
      <w:bookmarkEnd w:id="150"/>
    </w:p>
    <w:p w14:paraId="0B5BB8FE">
      <w:pPr>
        <w:pStyle w:val="3"/>
        <w:ind w:firstLine="0" w:firstLineChars="0"/>
        <w:jc w:val="center"/>
        <w:rPr>
          <w:rFonts w:ascii="黑体" w:hAnsi="黑体" w:eastAsia="黑体"/>
          <w:sz w:val="20"/>
          <w:szCs w:val="20"/>
        </w:rPr>
      </w:pPr>
      <w:r>
        <w:rPr>
          <w:rFonts w:hint="eastAsia" w:ascii="黑体" w:hAnsi="黑体" w:eastAsia="黑体"/>
          <w:sz w:val="20"/>
          <w:szCs w:val="20"/>
        </w:rPr>
        <w:t xml:space="preserve">表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5.5</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表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冬季工况达标判断表</w:t>
      </w:r>
    </w:p>
    <w:tbl>
      <w:tblPr>
        <w:tblStyle w:val="21"/>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985"/>
        <w:gridCol w:w="1985"/>
        <w:gridCol w:w="1416"/>
      </w:tblGrid>
      <w:tr w14:paraId="5307F5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12" w:space="0"/>
              <w:bottom w:val="single" w:color="auto" w:sz="4" w:space="0"/>
            </w:tcBorders>
            <w:shd w:val="clear" w:color="auto" w:fill="E6E6E6"/>
            <w:vAlign w:val="center"/>
          </w:tcPr>
          <w:p w14:paraId="77F4BC97">
            <w:pPr>
              <w:jc w:val="center"/>
              <w:rPr>
                <w:lang w:val="en-US"/>
              </w:rPr>
            </w:pPr>
            <w:r>
              <w:rPr>
                <w:rFonts w:hint="eastAsia"/>
                <w:lang w:val="en-US"/>
              </w:rPr>
              <w:t>评价项目</w:t>
            </w:r>
          </w:p>
        </w:tc>
        <w:tc>
          <w:tcPr>
            <w:tcW w:w="1985" w:type="dxa"/>
            <w:tcBorders>
              <w:top w:val="single" w:color="auto" w:sz="12" w:space="0"/>
              <w:bottom w:val="single" w:color="auto" w:sz="4" w:space="0"/>
            </w:tcBorders>
            <w:shd w:val="clear" w:color="auto" w:fill="E6E6E6"/>
          </w:tcPr>
          <w:p w14:paraId="39F48ECA">
            <w:pPr>
              <w:jc w:val="center"/>
              <w:rPr>
                <w:lang w:val="en-US"/>
              </w:rPr>
            </w:pPr>
            <w:r>
              <w:rPr>
                <w:rFonts w:hint="eastAsia"/>
                <w:lang w:val="en-US"/>
              </w:rPr>
              <w:t>标准要求</w:t>
            </w:r>
          </w:p>
        </w:tc>
        <w:tc>
          <w:tcPr>
            <w:tcW w:w="1985" w:type="dxa"/>
            <w:tcBorders>
              <w:top w:val="single" w:color="auto" w:sz="12" w:space="0"/>
              <w:bottom w:val="single" w:color="auto" w:sz="4" w:space="0"/>
            </w:tcBorders>
            <w:shd w:val="clear" w:color="auto" w:fill="E6E6E6"/>
            <w:vAlign w:val="center"/>
          </w:tcPr>
          <w:p w14:paraId="30B1AF8C">
            <w:pPr>
              <w:jc w:val="center"/>
              <w:rPr>
                <w:lang w:val="en-US"/>
              </w:rPr>
            </w:pPr>
            <w:r>
              <w:rPr>
                <w:rFonts w:hint="eastAsia"/>
                <w:lang w:val="en-US"/>
              </w:rPr>
              <w:t>项目计算结果</w:t>
            </w:r>
          </w:p>
        </w:tc>
        <w:tc>
          <w:tcPr>
            <w:tcW w:w="1985" w:type="dxa"/>
            <w:tcBorders>
              <w:top w:val="single" w:color="auto" w:sz="12" w:space="0"/>
              <w:bottom w:val="single" w:color="auto" w:sz="4" w:space="0"/>
            </w:tcBorders>
            <w:shd w:val="clear" w:color="auto" w:fill="E6E6E6"/>
          </w:tcPr>
          <w:p w14:paraId="4C04E5E2">
            <w:pPr>
              <w:jc w:val="center"/>
              <w:rPr>
                <w:lang w:val="en-US"/>
              </w:rPr>
            </w:pPr>
            <w:r>
              <w:rPr>
                <w:rFonts w:hint="eastAsia"/>
                <w:lang w:val="en-US"/>
              </w:rPr>
              <w:t>达标判定</w:t>
            </w:r>
          </w:p>
        </w:tc>
        <w:tc>
          <w:tcPr>
            <w:tcW w:w="1416" w:type="dxa"/>
            <w:tcBorders>
              <w:top w:val="single" w:color="auto" w:sz="12" w:space="0"/>
              <w:bottom w:val="single" w:color="auto" w:sz="4" w:space="0"/>
            </w:tcBorders>
            <w:shd w:val="clear" w:color="auto" w:fill="E6E6E6"/>
          </w:tcPr>
          <w:p w14:paraId="21B8463A">
            <w:pPr>
              <w:jc w:val="center"/>
              <w:rPr>
                <w:lang w:val="en-US"/>
              </w:rPr>
            </w:pPr>
            <w:r>
              <w:rPr>
                <w:rFonts w:hint="eastAsia"/>
                <w:lang w:val="en-US"/>
              </w:rPr>
              <w:t>得分</w:t>
            </w:r>
          </w:p>
        </w:tc>
      </w:tr>
      <w:tr w14:paraId="27D607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tcBorders>
            <w:shd w:val="clear" w:color="auto" w:fill="auto"/>
            <w:vAlign w:val="center"/>
          </w:tcPr>
          <w:p w14:paraId="68778341">
            <w:pPr>
              <w:jc w:val="center"/>
              <w:rPr>
                <w:lang w:val="en-US"/>
              </w:rPr>
            </w:pPr>
            <w:r>
              <w:rPr>
                <w:rFonts w:hint="eastAsia"/>
                <w:lang w:val="en-US"/>
              </w:rPr>
              <w:t>风速</w:t>
            </w:r>
          </w:p>
        </w:tc>
        <w:tc>
          <w:tcPr>
            <w:tcW w:w="1985" w:type="dxa"/>
            <w:vMerge w:val="restart"/>
            <w:tcBorders>
              <w:top w:val="single" w:color="auto" w:sz="4" w:space="0"/>
            </w:tcBorders>
            <w:shd w:val="clear" w:color="auto" w:fill="auto"/>
          </w:tcPr>
          <w:p w14:paraId="68FF0AD9">
            <w:pPr>
              <w:rPr>
                <w:lang w:val="en-US"/>
              </w:rPr>
            </w:pPr>
            <w:r>
              <w:rPr>
                <w:rFonts w:hint="eastAsia"/>
                <w:lang w:val="en-US"/>
              </w:rPr>
              <w:t>建筑物周围人行区距地高1. 5m处风速小于5m/s, 户外休息区、儿童娱乐区风速小于2m/s, 且室外风速放大系数小于2, 得</w:t>
            </w:r>
            <w:bookmarkStart w:id="151" w:name="标准要求冬季风速得分"/>
            <w:r>
              <w:rPr>
                <w:rFonts w:hint="eastAsia"/>
                <w:lang w:val="en-US"/>
              </w:rPr>
              <w:t>3</w:t>
            </w:r>
            <w:bookmarkEnd w:id="151"/>
            <w:r>
              <w:rPr>
                <w:rFonts w:hint="eastAsia"/>
                <w:lang w:val="en-US"/>
              </w:rPr>
              <w:t>分；</w:t>
            </w:r>
          </w:p>
        </w:tc>
        <w:tc>
          <w:tcPr>
            <w:tcW w:w="1985" w:type="dxa"/>
            <w:tcBorders>
              <w:top w:val="single" w:color="auto" w:sz="4" w:space="0"/>
            </w:tcBorders>
            <w:shd w:val="clear" w:color="auto" w:fill="auto"/>
            <w:vAlign w:val="center"/>
          </w:tcPr>
          <w:p w14:paraId="27D38F6D">
            <w:pPr>
              <w:jc w:val="center"/>
              <w:rPr>
                <w:lang w:val="en-US"/>
              </w:rPr>
            </w:pPr>
            <w:r>
              <w:rPr>
                <w:rFonts w:hint="eastAsia"/>
                <w:lang w:val="en-US"/>
              </w:rPr>
              <w:t>计算域</w:t>
            </w:r>
            <w:bookmarkStart w:id="152" w:name="冬季风速结果计算域"/>
            <w:r>
              <w:t>没有出现</w:t>
            </w:r>
            <w:bookmarkEnd w:id="152"/>
            <w:r>
              <w:rPr>
                <w:rFonts w:hint="eastAsia"/>
                <w:lang w:val="en-US"/>
              </w:rPr>
              <w:t>风速大于</w:t>
            </w:r>
            <w:r>
              <w:rPr>
                <w:lang w:val="en-US"/>
              </w:rPr>
              <w:t>5m/s</w:t>
            </w:r>
            <w:r>
              <w:rPr>
                <w:rFonts w:hint="eastAsia"/>
                <w:lang w:val="en-US"/>
              </w:rPr>
              <w:t>的区域</w:t>
            </w:r>
          </w:p>
        </w:tc>
        <w:tc>
          <w:tcPr>
            <w:tcW w:w="1985" w:type="dxa"/>
            <w:vMerge w:val="restart"/>
            <w:tcBorders>
              <w:top w:val="single" w:color="auto" w:sz="4" w:space="0"/>
            </w:tcBorders>
            <w:shd w:val="clear" w:color="auto" w:fill="auto"/>
            <w:vAlign w:val="center"/>
          </w:tcPr>
          <w:p w14:paraId="06A09909">
            <w:pPr>
              <w:jc w:val="center"/>
              <w:rPr>
                <w:b/>
                <w:lang w:val="en-US"/>
              </w:rPr>
            </w:pPr>
            <w:bookmarkStart w:id="153" w:name="冬季风速达标判定"/>
            <w:r>
              <w:rPr>
                <w:rFonts w:hint="eastAsia"/>
                <w:b/>
                <w:lang w:val="en-US"/>
              </w:rPr>
              <w:t>达标</w:t>
            </w:r>
            <w:bookmarkEnd w:id="153"/>
          </w:p>
        </w:tc>
        <w:tc>
          <w:tcPr>
            <w:tcW w:w="1416" w:type="dxa"/>
            <w:vMerge w:val="restart"/>
            <w:tcBorders>
              <w:top w:val="single" w:color="auto" w:sz="4" w:space="0"/>
            </w:tcBorders>
            <w:shd w:val="clear" w:color="auto" w:fill="auto"/>
            <w:vAlign w:val="center"/>
          </w:tcPr>
          <w:p w14:paraId="74B9F07B">
            <w:pPr>
              <w:jc w:val="center"/>
              <w:rPr>
                <w:lang w:val="en-US"/>
              </w:rPr>
            </w:pPr>
            <w:bookmarkStart w:id="154" w:name="冬季风速得分"/>
            <w:r>
              <w:rPr>
                <w:rFonts w:hint="eastAsia"/>
                <w:lang w:val="en-US"/>
              </w:rPr>
              <w:t>3</w:t>
            </w:r>
            <w:bookmarkEnd w:id="154"/>
            <w:r>
              <w:rPr>
                <w:rFonts w:hint="eastAsia"/>
                <w:lang w:val="en-US"/>
              </w:rPr>
              <w:t>分</w:t>
            </w:r>
          </w:p>
        </w:tc>
      </w:tr>
      <w:tr w14:paraId="19C6B6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vAlign w:val="center"/>
          </w:tcPr>
          <w:p w14:paraId="61407A47">
            <w:pPr>
              <w:jc w:val="center"/>
              <w:rPr>
                <w:lang w:val="en-US"/>
              </w:rPr>
            </w:pPr>
            <w:r>
              <w:rPr>
                <w:rFonts w:hint="eastAsia"/>
                <w:lang w:val="en-US"/>
              </w:rPr>
              <w:t>风速放大系数</w:t>
            </w:r>
          </w:p>
        </w:tc>
        <w:tc>
          <w:tcPr>
            <w:tcW w:w="1985" w:type="dxa"/>
            <w:vMerge w:val="continue"/>
            <w:shd w:val="clear" w:color="auto" w:fill="auto"/>
          </w:tcPr>
          <w:p w14:paraId="1B0E8EEF">
            <w:pPr>
              <w:jc w:val="center"/>
              <w:rPr>
                <w:lang w:val="en-US"/>
              </w:rPr>
            </w:pPr>
          </w:p>
        </w:tc>
        <w:tc>
          <w:tcPr>
            <w:tcW w:w="1985" w:type="dxa"/>
            <w:shd w:val="clear" w:color="auto" w:fill="auto"/>
            <w:vAlign w:val="center"/>
          </w:tcPr>
          <w:p w14:paraId="721B628D">
            <w:pPr>
              <w:jc w:val="center"/>
              <w:rPr>
                <w:lang w:val="en-US"/>
              </w:rPr>
            </w:pPr>
            <w:r>
              <w:rPr>
                <w:rFonts w:hint="eastAsia"/>
                <w:lang w:val="en-US"/>
              </w:rPr>
              <w:t>计算域</w:t>
            </w:r>
            <w:bookmarkStart w:id="155" w:name="冬季风速放大系数结果计算域"/>
            <w:r>
              <w:t>没有出现</w:t>
            </w:r>
            <w:bookmarkEnd w:id="155"/>
            <w:r>
              <w:rPr>
                <w:rFonts w:hint="eastAsia"/>
                <w:lang w:val="en-US"/>
              </w:rPr>
              <w:t>风速放大系数大于等于2的区域</w:t>
            </w:r>
          </w:p>
        </w:tc>
        <w:tc>
          <w:tcPr>
            <w:tcW w:w="1985" w:type="dxa"/>
            <w:vMerge w:val="continue"/>
            <w:shd w:val="clear" w:color="auto" w:fill="auto"/>
          </w:tcPr>
          <w:p w14:paraId="0B673F0E">
            <w:pPr>
              <w:jc w:val="center"/>
              <w:rPr>
                <w:lang w:val="en-US"/>
              </w:rPr>
            </w:pPr>
          </w:p>
        </w:tc>
        <w:tc>
          <w:tcPr>
            <w:tcW w:w="1416" w:type="dxa"/>
            <w:vMerge w:val="continue"/>
            <w:shd w:val="clear" w:color="auto" w:fill="auto"/>
          </w:tcPr>
          <w:p w14:paraId="6BC7FDF4">
            <w:pPr>
              <w:jc w:val="center"/>
              <w:rPr>
                <w:lang w:val="en-US"/>
              </w:rPr>
            </w:pPr>
          </w:p>
        </w:tc>
      </w:tr>
      <w:tr w14:paraId="7ECC38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vAlign w:val="center"/>
          </w:tcPr>
          <w:p w14:paraId="7765A5EC">
            <w:pPr>
              <w:jc w:val="center"/>
              <w:rPr>
                <w:lang w:val="en-US"/>
              </w:rPr>
            </w:pPr>
            <w:r>
              <w:rPr>
                <w:rFonts w:hint="eastAsia"/>
                <w:lang w:val="en-US"/>
              </w:rPr>
              <w:t>建筑迎风面/背风面风压值</w:t>
            </w:r>
          </w:p>
        </w:tc>
        <w:tc>
          <w:tcPr>
            <w:tcW w:w="1985" w:type="dxa"/>
            <w:shd w:val="clear" w:color="auto" w:fill="auto"/>
          </w:tcPr>
          <w:p w14:paraId="29430F44">
            <w:pPr>
              <w:jc w:val="center"/>
              <w:rPr>
                <w:lang w:val="en-US"/>
              </w:rPr>
            </w:pPr>
            <w:r>
              <w:rPr>
                <w:rFonts w:hint="eastAsia"/>
                <w:lang w:val="en-US"/>
              </w:rPr>
              <w:t>除迎风第一排建筑外，建筑迎风面与背风面表面风压差不超过5Pa，得</w:t>
            </w:r>
            <w:bookmarkStart w:id="156" w:name="标准要求冬季风压得分"/>
            <w:r>
              <w:rPr>
                <w:rFonts w:hint="eastAsia"/>
                <w:lang w:val="en-US"/>
              </w:rPr>
              <w:t>2</w:t>
            </w:r>
            <w:bookmarkEnd w:id="156"/>
            <w:r>
              <w:rPr>
                <w:rFonts w:hint="eastAsia"/>
                <w:lang w:val="en-US"/>
              </w:rPr>
              <w:t>分</w:t>
            </w:r>
            <w:r>
              <w:rPr>
                <w:lang w:val="en-US"/>
              </w:rPr>
              <w:t>未出现风速超标区域</w:t>
            </w:r>
          </w:p>
        </w:tc>
        <w:tc>
          <w:tcPr>
            <w:tcW w:w="1985" w:type="dxa"/>
            <w:shd w:val="clear" w:color="auto" w:fill="auto"/>
            <w:vAlign w:val="center"/>
          </w:tcPr>
          <w:p w14:paraId="7D562328">
            <w:pPr>
              <w:jc w:val="center"/>
              <w:rPr>
                <w:lang w:val="en-US"/>
              </w:rPr>
            </w:pPr>
            <w:r>
              <w:rPr>
                <w:rFonts w:hint="eastAsia"/>
                <w:lang w:val="en-US"/>
              </w:rPr>
              <w:t>本项目</w:t>
            </w:r>
            <w:bookmarkStart w:id="157" w:name="冬季迎背风面结果"/>
            <w:r>
              <w:rPr>
                <w:color w:val="FF0000"/>
              </w:rPr>
              <w:t>出现</w:t>
            </w:r>
            <w:bookmarkEnd w:id="157"/>
            <w:r>
              <w:rPr>
                <w:rFonts w:hint="eastAsia"/>
                <w:lang w:val="en-US"/>
              </w:rPr>
              <w:t>建筑迎风面与背风面表面风压差大于5Pa的建筑</w:t>
            </w:r>
          </w:p>
        </w:tc>
        <w:tc>
          <w:tcPr>
            <w:tcW w:w="1985" w:type="dxa"/>
            <w:shd w:val="clear" w:color="auto" w:fill="auto"/>
            <w:vAlign w:val="center"/>
          </w:tcPr>
          <w:p w14:paraId="164CD1D6">
            <w:pPr>
              <w:jc w:val="center"/>
              <w:rPr>
                <w:lang w:val="en-US"/>
              </w:rPr>
            </w:pPr>
            <w:bookmarkStart w:id="158" w:name="冬季迎背风面达标判定"/>
            <w:r>
              <w:rPr>
                <w:rFonts w:hint="eastAsia"/>
                <w:b/>
                <w:color w:val="FF0000"/>
                <w:lang w:val="en-US"/>
              </w:rPr>
              <w:t>不达标</w:t>
            </w:r>
            <w:bookmarkEnd w:id="158"/>
          </w:p>
        </w:tc>
        <w:tc>
          <w:tcPr>
            <w:tcW w:w="1416" w:type="dxa"/>
            <w:shd w:val="clear" w:color="auto" w:fill="auto"/>
            <w:vAlign w:val="center"/>
          </w:tcPr>
          <w:p w14:paraId="4DDBC82B">
            <w:pPr>
              <w:jc w:val="center"/>
              <w:rPr>
                <w:lang w:val="en-US"/>
              </w:rPr>
            </w:pPr>
            <w:bookmarkStart w:id="159" w:name="冬季迎背风面得分"/>
            <w:r>
              <w:rPr>
                <w:rFonts w:hint="eastAsia"/>
                <w:lang w:val="en-US"/>
              </w:rPr>
              <w:t>0</w:t>
            </w:r>
            <w:bookmarkEnd w:id="159"/>
            <w:r>
              <w:rPr>
                <w:rFonts w:hint="eastAsia"/>
                <w:lang w:val="en-US"/>
              </w:rPr>
              <w:t>分</w:t>
            </w:r>
          </w:p>
        </w:tc>
      </w:tr>
    </w:tbl>
    <w:p w14:paraId="204582C3">
      <w:pPr>
        <w:rPr>
          <w:szCs w:val="21"/>
          <w:lang w:val="en-US"/>
        </w:rPr>
      </w:pPr>
    </w:p>
    <w:p w14:paraId="5956491B">
      <w:pPr>
        <w:pStyle w:val="5"/>
      </w:pPr>
      <w:bookmarkStart w:id="160" w:name="_Toc509844768"/>
      <w:bookmarkEnd w:id="160"/>
      <w:bookmarkStart w:id="161" w:name="_Toc509844767"/>
      <w:bookmarkEnd w:id="161"/>
      <w:bookmarkStart w:id="162" w:name="_Toc179986132"/>
      <w:bookmarkStart w:id="163" w:name="_Toc509844769"/>
      <w:r>
        <w:rPr>
          <w:rFonts w:hint="eastAsia"/>
        </w:rPr>
        <w:t>过渡季、夏季工况达标判断</w:t>
      </w:r>
      <w:bookmarkEnd w:id="162"/>
      <w:bookmarkEnd w:id="163"/>
    </w:p>
    <w:p w14:paraId="7212D71A">
      <w:pPr>
        <w:pStyle w:val="3"/>
        <w:ind w:firstLine="0" w:firstLineChars="0"/>
        <w:jc w:val="center"/>
        <w:rPr>
          <w:rFonts w:ascii="黑体" w:hAnsi="黑体" w:eastAsia="黑体"/>
          <w:sz w:val="20"/>
          <w:szCs w:val="20"/>
        </w:rPr>
      </w:pPr>
      <w:r>
        <w:rPr>
          <w:rFonts w:hint="eastAsia" w:ascii="黑体" w:hAnsi="黑体" w:eastAsia="黑体"/>
          <w:sz w:val="20"/>
          <w:szCs w:val="20"/>
        </w:rPr>
        <w:t xml:space="preserve">表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5.5</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SEQ 表 \* ARABIC \s 2</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ascii="黑体" w:hAnsi="黑体" w:eastAsia="黑体"/>
          <w:sz w:val="20"/>
          <w:szCs w:val="20"/>
        </w:rPr>
        <w:t>2</w:t>
      </w:r>
      <w:r>
        <w:rPr>
          <w:rFonts w:ascii="黑体" w:hAnsi="黑体" w:eastAsia="黑体"/>
          <w:sz w:val="20"/>
          <w:szCs w:val="20"/>
        </w:rPr>
        <w:fldChar w:fldCharType="end"/>
      </w:r>
      <w:r>
        <w:rPr>
          <w:rFonts w:ascii="黑体" w:hAnsi="黑体" w:eastAsia="黑体"/>
          <w:sz w:val="20"/>
          <w:szCs w:val="20"/>
        </w:rPr>
        <w:t xml:space="preserve">  </w:t>
      </w:r>
      <w:r>
        <w:rPr>
          <w:rFonts w:hint="eastAsia" w:ascii="黑体" w:hAnsi="黑体" w:eastAsia="黑体"/>
          <w:sz w:val="20"/>
          <w:szCs w:val="20"/>
        </w:rPr>
        <w:t>过渡季、夏季工况达标判断表</w:t>
      </w:r>
    </w:p>
    <w:tbl>
      <w:tblPr>
        <w:tblStyle w:val="21"/>
        <w:tblW w:w="93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5"/>
        <w:gridCol w:w="1985"/>
        <w:gridCol w:w="1985"/>
        <w:gridCol w:w="1416"/>
      </w:tblGrid>
      <w:tr w14:paraId="0AC4E6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12" w:space="0"/>
              <w:bottom w:val="single" w:color="auto" w:sz="4" w:space="0"/>
            </w:tcBorders>
            <w:shd w:val="clear" w:color="auto" w:fill="E6E6E6"/>
            <w:vAlign w:val="center"/>
          </w:tcPr>
          <w:p w14:paraId="162BDBC2">
            <w:pPr>
              <w:jc w:val="center"/>
              <w:rPr>
                <w:lang w:val="en-US"/>
              </w:rPr>
            </w:pPr>
            <w:r>
              <w:rPr>
                <w:rFonts w:hint="eastAsia"/>
                <w:lang w:val="en-US"/>
              </w:rPr>
              <w:t>评价项目</w:t>
            </w:r>
          </w:p>
        </w:tc>
        <w:tc>
          <w:tcPr>
            <w:tcW w:w="1985" w:type="dxa"/>
            <w:tcBorders>
              <w:top w:val="single" w:color="auto" w:sz="12" w:space="0"/>
              <w:bottom w:val="single" w:color="auto" w:sz="4" w:space="0"/>
            </w:tcBorders>
            <w:shd w:val="clear" w:color="auto" w:fill="E6E6E6"/>
          </w:tcPr>
          <w:p w14:paraId="2767335F">
            <w:pPr>
              <w:jc w:val="center"/>
              <w:rPr>
                <w:lang w:val="en-US"/>
              </w:rPr>
            </w:pPr>
            <w:r>
              <w:rPr>
                <w:rFonts w:hint="eastAsia"/>
                <w:lang w:val="en-US"/>
              </w:rPr>
              <w:t>标准要求</w:t>
            </w:r>
          </w:p>
        </w:tc>
        <w:tc>
          <w:tcPr>
            <w:tcW w:w="1985" w:type="dxa"/>
            <w:tcBorders>
              <w:top w:val="single" w:color="auto" w:sz="12" w:space="0"/>
              <w:bottom w:val="single" w:color="auto" w:sz="4" w:space="0"/>
            </w:tcBorders>
            <w:shd w:val="clear" w:color="auto" w:fill="E6E6E6"/>
            <w:vAlign w:val="center"/>
          </w:tcPr>
          <w:p w14:paraId="33E0E249">
            <w:pPr>
              <w:jc w:val="center"/>
              <w:rPr>
                <w:lang w:val="en-US"/>
              </w:rPr>
            </w:pPr>
            <w:r>
              <w:rPr>
                <w:rFonts w:hint="eastAsia"/>
                <w:lang w:val="en-US"/>
              </w:rPr>
              <w:t>项目计算结果</w:t>
            </w:r>
          </w:p>
        </w:tc>
        <w:tc>
          <w:tcPr>
            <w:tcW w:w="1985" w:type="dxa"/>
            <w:tcBorders>
              <w:top w:val="single" w:color="auto" w:sz="12" w:space="0"/>
              <w:bottom w:val="single" w:color="auto" w:sz="4" w:space="0"/>
            </w:tcBorders>
            <w:shd w:val="clear" w:color="auto" w:fill="E6E6E6"/>
          </w:tcPr>
          <w:p w14:paraId="5A17FCDF">
            <w:pPr>
              <w:jc w:val="center"/>
              <w:rPr>
                <w:lang w:val="en-US"/>
              </w:rPr>
            </w:pPr>
            <w:r>
              <w:rPr>
                <w:rFonts w:hint="eastAsia"/>
                <w:lang w:val="en-US"/>
              </w:rPr>
              <w:t>达标判定</w:t>
            </w:r>
          </w:p>
        </w:tc>
        <w:tc>
          <w:tcPr>
            <w:tcW w:w="1416" w:type="dxa"/>
            <w:tcBorders>
              <w:top w:val="single" w:color="auto" w:sz="12" w:space="0"/>
              <w:bottom w:val="single" w:color="auto" w:sz="4" w:space="0"/>
            </w:tcBorders>
            <w:shd w:val="clear" w:color="auto" w:fill="E6E6E6"/>
          </w:tcPr>
          <w:p w14:paraId="35B7D195">
            <w:pPr>
              <w:jc w:val="center"/>
              <w:rPr>
                <w:lang w:val="en-US"/>
              </w:rPr>
            </w:pPr>
            <w:r>
              <w:rPr>
                <w:rFonts w:hint="eastAsia"/>
                <w:lang w:val="en-US"/>
              </w:rPr>
              <w:t>得分</w:t>
            </w:r>
          </w:p>
        </w:tc>
      </w:tr>
      <w:tr w14:paraId="1603EB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1" w:type="dxa"/>
            <w:tcBorders>
              <w:top w:val="single" w:color="auto" w:sz="4" w:space="0"/>
            </w:tcBorders>
            <w:shd w:val="clear" w:color="auto" w:fill="auto"/>
            <w:vAlign w:val="center"/>
          </w:tcPr>
          <w:p w14:paraId="7A5C6115">
            <w:pPr>
              <w:jc w:val="center"/>
              <w:rPr>
                <w:lang w:val="en-US"/>
              </w:rPr>
            </w:pPr>
            <w:r>
              <w:rPr>
                <w:rFonts w:hint="eastAsia"/>
                <w:lang w:val="en-US"/>
              </w:rPr>
              <w:t>无风区</w:t>
            </w:r>
          </w:p>
        </w:tc>
        <w:tc>
          <w:tcPr>
            <w:tcW w:w="1985" w:type="dxa"/>
            <w:vMerge w:val="restart"/>
            <w:tcBorders>
              <w:top w:val="single" w:color="auto" w:sz="4" w:space="0"/>
            </w:tcBorders>
            <w:shd w:val="clear" w:color="auto" w:fill="auto"/>
          </w:tcPr>
          <w:p w14:paraId="2D66E3EB">
            <w:pPr>
              <w:rPr>
                <w:lang w:val="en-US"/>
              </w:rPr>
            </w:pPr>
            <w:r>
              <w:rPr>
                <w:rFonts w:hint="eastAsia"/>
                <w:lang w:val="en-US"/>
              </w:rPr>
              <w:t>场地内人活动区</w:t>
            </w:r>
            <w:r>
              <w:rPr>
                <w:rFonts w:hint="eastAsia"/>
                <w:b/>
                <w:lang w:val="en-US"/>
              </w:rPr>
              <w:t>不出现涡旋或无风区</w:t>
            </w:r>
            <w:r>
              <w:rPr>
                <w:rFonts w:hint="eastAsia"/>
                <w:lang w:val="en-US"/>
              </w:rPr>
              <w:t>，得</w:t>
            </w:r>
            <w:bookmarkStart w:id="164" w:name="标准要求夏季风速得分"/>
            <w:r>
              <w:rPr>
                <w:rFonts w:hint="eastAsia"/>
                <w:lang w:val="en-US"/>
              </w:rPr>
              <w:t>3</w:t>
            </w:r>
            <w:bookmarkEnd w:id="164"/>
            <w:r>
              <w:rPr>
                <w:rFonts w:hint="eastAsia"/>
                <w:lang w:val="en-US"/>
              </w:rPr>
              <w:t>分</w:t>
            </w:r>
            <w:r>
              <w:rPr>
                <w:lang w:val="en-US"/>
              </w:rPr>
              <w:t xml:space="preserve"> </w:t>
            </w:r>
          </w:p>
        </w:tc>
        <w:tc>
          <w:tcPr>
            <w:tcW w:w="1985" w:type="dxa"/>
            <w:tcBorders>
              <w:top w:val="single" w:color="auto" w:sz="4" w:space="0"/>
            </w:tcBorders>
            <w:shd w:val="clear" w:color="auto" w:fill="auto"/>
            <w:vAlign w:val="center"/>
          </w:tcPr>
          <w:p w14:paraId="1824B7EF">
            <w:pPr>
              <w:jc w:val="center"/>
              <w:rPr>
                <w:lang w:val="en-US"/>
              </w:rPr>
            </w:pPr>
            <w:r>
              <w:rPr>
                <w:rFonts w:hint="eastAsia"/>
                <w:lang w:val="en-US"/>
              </w:rPr>
              <w:t>计算域</w:t>
            </w:r>
            <w:bookmarkStart w:id="165" w:name="夏季无风区结果计算域"/>
            <w:r>
              <w:rPr>
                <w:rFonts w:hint="eastAsia"/>
                <w:lang w:val="en-US"/>
              </w:rPr>
              <w:t>无</w:t>
            </w:r>
            <w:bookmarkEnd w:id="165"/>
            <w:r>
              <w:rPr>
                <w:rFonts w:hint="eastAsia"/>
                <w:lang w:val="en-US"/>
              </w:rPr>
              <w:t>无风区</w:t>
            </w:r>
          </w:p>
        </w:tc>
        <w:tc>
          <w:tcPr>
            <w:tcW w:w="1985" w:type="dxa"/>
            <w:vMerge w:val="restart"/>
            <w:tcBorders>
              <w:top w:val="single" w:color="auto" w:sz="4" w:space="0"/>
            </w:tcBorders>
            <w:shd w:val="clear" w:color="auto" w:fill="auto"/>
            <w:vAlign w:val="center"/>
          </w:tcPr>
          <w:p w14:paraId="1D207506">
            <w:pPr>
              <w:jc w:val="center"/>
              <w:rPr>
                <w:lang w:val="en-US"/>
              </w:rPr>
            </w:pPr>
            <w:bookmarkStart w:id="166" w:name="夏季无风区达标判定"/>
            <w:r>
              <w:rPr>
                <w:rFonts w:hint="eastAsia"/>
                <w:b/>
                <w:lang w:val="en-US"/>
              </w:rPr>
              <w:t>达标</w:t>
            </w:r>
            <w:bookmarkEnd w:id="166"/>
          </w:p>
        </w:tc>
        <w:tc>
          <w:tcPr>
            <w:tcW w:w="1416" w:type="dxa"/>
            <w:vMerge w:val="restart"/>
            <w:tcBorders>
              <w:top w:val="single" w:color="auto" w:sz="4" w:space="0"/>
            </w:tcBorders>
            <w:shd w:val="clear" w:color="auto" w:fill="auto"/>
            <w:vAlign w:val="center"/>
          </w:tcPr>
          <w:p w14:paraId="3D4A1A40">
            <w:pPr>
              <w:jc w:val="center"/>
              <w:rPr>
                <w:lang w:val="en-US"/>
              </w:rPr>
            </w:pPr>
            <w:bookmarkStart w:id="167" w:name="夏季无风区得分"/>
            <w:r>
              <w:rPr>
                <w:rFonts w:hint="eastAsia"/>
                <w:lang w:val="en-US"/>
              </w:rPr>
              <w:t>3</w:t>
            </w:r>
            <w:bookmarkEnd w:id="167"/>
            <w:r>
              <w:rPr>
                <w:rFonts w:hint="eastAsia"/>
                <w:lang w:val="en-US"/>
              </w:rPr>
              <w:t>分</w:t>
            </w:r>
          </w:p>
        </w:tc>
      </w:tr>
      <w:tr w14:paraId="00BCBF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vAlign w:val="center"/>
          </w:tcPr>
          <w:p w14:paraId="488234FD">
            <w:pPr>
              <w:jc w:val="center"/>
              <w:rPr>
                <w:lang w:val="en-US"/>
              </w:rPr>
            </w:pPr>
            <w:r>
              <w:rPr>
                <w:rFonts w:hint="eastAsia"/>
                <w:lang w:val="en-US"/>
              </w:rPr>
              <w:t>旋涡区</w:t>
            </w:r>
          </w:p>
        </w:tc>
        <w:tc>
          <w:tcPr>
            <w:tcW w:w="1985" w:type="dxa"/>
            <w:vMerge w:val="continue"/>
            <w:shd w:val="clear" w:color="auto" w:fill="auto"/>
          </w:tcPr>
          <w:p w14:paraId="601E654E">
            <w:pPr>
              <w:jc w:val="center"/>
              <w:rPr>
                <w:lang w:val="en-US"/>
              </w:rPr>
            </w:pPr>
          </w:p>
        </w:tc>
        <w:tc>
          <w:tcPr>
            <w:tcW w:w="1985" w:type="dxa"/>
            <w:shd w:val="clear" w:color="auto" w:fill="auto"/>
            <w:vAlign w:val="center"/>
          </w:tcPr>
          <w:p w14:paraId="370F0F72">
            <w:pPr>
              <w:jc w:val="center"/>
              <w:rPr>
                <w:lang w:val="en-US"/>
              </w:rPr>
            </w:pPr>
            <w:r>
              <w:rPr>
                <w:rFonts w:hint="eastAsia"/>
                <w:lang w:val="en-US"/>
              </w:rPr>
              <w:t>计算域无旋涡区</w:t>
            </w:r>
          </w:p>
        </w:tc>
        <w:tc>
          <w:tcPr>
            <w:tcW w:w="1985" w:type="dxa"/>
            <w:vMerge w:val="continue"/>
            <w:shd w:val="clear" w:color="auto" w:fill="auto"/>
          </w:tcPr>
          <w:p w14:paraId="7936D8B5">
            <w:pPr>
              <w:jc w:val="center"/>
              <w:rPr>
                <w:lang w:val="en-US"/>
              </w:rPr>
            </w:pPr>
          </w:p>
        </w:tc>
        <w:tc>
          <w:tcPr>
            <w:tcW w:w="1416" w:type="dxa"/>
            <w:vMerge w:val="continue"/>
            <w:shd w:val="clear" w:color="auto" w:fill="auto"/>
          </w:tcPr>
          <w:p w14:paraId="06DBDA09">
            <w:pPr>
              <w:jc w:val="center"/>
              <w:rPr>
                <w:lang w:val="en-US"/>
              </w:rPr>
            </w:pPr>
          </w:p>
        </w:tc>
      </w:tr>
      <w:tr w14:paraId="64FF14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vAlign w:val="center"/>
          </w:tcPr>
          <w:p w14:paraId="769F02A9">
            <w:pPr>
              <w:jc w:val="center"/>
              <w:rPr>
                <w:lang w:val="en-US"/>
              </w:rPr>
            </w:pPr>
            <w:r>
              <w:rPr>
                <w:rFonts w:hint="eastAsia"/>
                <w:lang w:val="en-US"/>
              </w:rPr>
              <w:t>外窗室内外表面的风压差</w:t>
            </w:r>
          </w:p>
        </w:tc>
        <w:tc>
          <w:tcPr>
            <w:tcW w:w="1985" w:type="dxa"/>
            <w:shd w:val="clear" w:color="auto" w:fill="auto"/>
          </w:tcPr>
          <w:p w14:paraId="51481920">
            <w:pPr>
              <w:jc w:val="center"/>
              <w:rPr>
                <w:lang w:val="en-US"/>
              </w:rPr>
            </w:pPr>
            <w:r>
              <w:rPr>
                <w:b/>
                <w:lang w:val="en-US"/>
              </w:rPr>
              <w:t>50%</w:t>
            </w:r>
            <w:r>
              <w:rPr>
                <w:rFonts w:hint="eastAsia"/>
                <w:b/>
                <w:lang w:val="en-US"/>
              </w:rPr>
              <w:t>以上</w:t>
            </w:r>
            <w:r>
              <w:rPr>
                <w:rFonts w:hint="eastAsia"/>
                <w:lang w:val="en-US"/>
              </w:rPr>
              <w:t>可开启外窗室内外表面的风压差</w:t>
            </w:r>
            <w:r>
              <w:rPr>
                <w:rFonts w:hint="eastAsia"/>
                <w:b/>
                <w:lang w:val="en-US"/>
              </w:rPr>
              <w:t>大于</w:t>
            </w:r>
            <w:r>
              <w:rPr>
                <w:b/>
                <w:lang w:val="en-US"/>
              </w:rPr>
              <w:t>0.5Pa</w:t>
            </w:r>
            <w:r>
              <w:rPr>
                <w:rFonts w:hint="eastAsia"/>
                <w:lang w:val="en-US"/>
              </w:rPr>
              <w:t>，得</w:t>
            </w:r>
            <w:bookmarkStart w:id="168" w:name="标准要求夏季风压得分"/>
            <w:r>
              <w:rPr>
                <w:rFonts w:hint="eastAsia"/>
                <w:lang w:val="en-US"/>
              </w:rPr>
              <w:t>2</w:t>
            </w:r>
            <w:bookmarkEnd w:id="168"/>
            <w:r>
              <w:rPr>
                <w:rFonts w:hint="eastAsia"/>
                <w:lang w:val="en-US"/>
              </w:rPr>
              <w:t>分。</w:t>
            </w:r>
          </w:p>
        </w:tc>
        <w:tc>
          <w:tcPr>
            <w:tcW w:w="1985" w:type="dxa"/>
            <w:shd w:val="clear" w:color="auto" w:fill="auto"/>
            <w:vAlign w:val="center"/>
          </w:tcPr>
          <w:p w14:paraId="0790FBDF">
            <w:pPr>
              <w:jc w:val="center"/>
              <w:rPr>
                <w:lang w:val="en-US"/>
              </w:rPr>
            </w:pPr>
            <w:r>
              <w:rPr>
                <w:rFonts w:hint="eastAsia"/>
                <w:b/>
                <w:lang w:val="en-US"/>
              </w:rPr>
              <w:t>可开启外窗室内外表面的风压差</w:t>
            </w:r>
            <w:bookmarkStart w:id="169" w:name="夏季窗内外风压差结果"/>
            <w:r>
              <w:rPr>
                <w:rFonts w:hint="eastAsia"/>
                <w:lang w:val="en-US"/>
              </w:rPr>
              <w:t>满足</w:t>
            </w:r>
            <w:bookmarkEnd w:id="169"/>
            <w:r>
              <w:rPr>
                <w:rFonts w:hint="eastAsia"/>
                <w:lang w:val="en-US"/>
              </w:rPr>
              <w:t>标准要求</w:t>
            </w:r>
          </w:p>
        </w:tc>
        <w:tc>
          <w:tcPr>
            <w:tcW w:w="1985" w:type="dxa"/>
            <w:shd w:val="clear" w:color="auto" w:fill="auto"/>
            <w:vAlign w:val="center"/>
          </w:tcPr>
          <w:p w14:paraId="02B63A6B">
            <w:pPr>
              <w:jc w:val="center"/>
              <w:rPr>
                <w:b/>
                <w:lang w:val="en-US"/>
              </w:rPr>
            </w:pPr>
            <w:bookmarkStart w:id="170" w:name="夏季窗内外风压差达标判定"/>
            <w:r>
              <w:rPr>
                <w:rFonts w:hint="eastAsia"/>
                <w:b/>
                <w:lang w:val="en-US"/>
              </w:rPr>
              <w:t>达标</w:t>
            </w:r>
            <w:bookmarkEnd w:id="170"/>
          </w:p>
        </w:tc>
        <w:tc>
          <w:tcPr>
            <w:tcW w:w="1416" w:type="dxa"/>
            <w:shd w:val="clear" w:color="auto" w:fill="auto"/>
            <w:vAlign w:val="center"/>
          </w:tcPr>
          <w:p w14:paraId="29960923">
            <w:pPr>
              <w:jc w:val="center"/>
              <w:rPr>
                <w:lang w:val="en-US"/>
              </w:rPr>
            </w:pPr>
            <w:bookmarkStart w:id="171" w:name="夏季窗内外风压差得分"/>
            <w:r>
              <w:rPr>
                <w:rFonts w:hint="eastAsia"/>
                <w:lang w:val="en-US"/>
              </w:rPr>
              <w:t>2</w:t>
            </w:r>
            <w:bookmarkEnd w:id="171"/>
            <w:r>
              <w:rPr>
                <w:rFonts w:hint="eastAsia"/>
                <w:lang w:val="en-US"/>
              </w:rPr>
              <w:t>分</w:t>
            </w:r>
          </w:p>
        </w:tc>
      </w:tr>
    </w:tbl>
    <w:p w14:paraId="606358C4">
      <w:pPr>
        <w:rPr>
          <w:szCs w:val="21"/>
          <w:lang w:val="en-US"/>
        </w:rPr>
      </w:pPr>
    </w:p>
    <w:p w14:paraId="28868F88">
      <w:pPr>
        <w:pStyle w:val="3"/>
        <w:ind w:firstLine="0" w:firstLineChars="0"/>
        <w:rPr>
          <w:lang w:val="en-US"/>
        </w:rPr>
      </w:pPr>
      <w:r>
        <w:rPr>
          <w:rFonts w:hint="eastAsia"/>
          <w:lang w:val="en-US"/>
        </w:rPr>
        <w:t>综合上述达标判断详表的信息，可知本项目得分为</w:t>
      </w:r>
      <w:bookmarkStart w:id="172" w:name="总得分"/>
      <w:r>
        <w:rPr>
          <w:rFonts w:hint="eastAsia"/>
          <w:lang w:val="en-US"/>
        </w:rPr>
        <w:t>8</w:t>
      </w:r>
      <w:bookmarkEnd w:id="172"/>
      <w:r>
        <w:rPr>
          <w:rFonts w:hint="eastAsia"/>
          <w:lang w:val="en-US"/>
        </w:rPr>
        <w:t>分。</w:t>
      </w:r>
    </w:p>
    <w:sectPr>
      <w:pgSz w:w="11906" w:h="16838"/>
      <w:pgMar w:top="1440" w:right="1133" w:bottom="993" w:left="1701"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7AC76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44F64E9D">
          <w:pPr>
            <w:pStyle w:val="17"/>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6"/>
              <w:rFonts w:asciiTheme="minorEastAsia" w:hAnsiTheme="minorEastAsia" w:eastAsiaTheme="minorEastAsia"/>
              <w:sz w:val="20"/>
              <w:szCs w:val="21"/>
            </w:rPr>
            <w:t>http://www.gbsware.cn/</w:t>
          </w:r>
          <w:r>
            <w:rPr>
              <w:rStyle w:val="26"/>
              <w:rFonts w:asciiTheme="minorEastAsia" w:hAnsiTheme="minorEastAsia" w:eastAsiaTheme="minorEastAsia"/>
              <w:sz w:val="20"/>
              <w:szCs w:val="21"/>
            </w:rPr>
            <w:fldChar w:fldCharType="end"/>
          </w:r>
        </w:p>
      </w:tc>
      <w:tc>
        <w:tcPr>
          <w:tcW w:w="3020" w:type="dxa"/>
        </w:tcPr>
        <w:p w14:paraId="0E46B3A7">
          <w:pPr>
            <w:pStyle w:val="17"/>
            <w:jc w:val="center"/>
            <w:rPr>
              <w:rFonts w:asciiTheme="minorEastAsia" w:hAnsiTheme="minorEastAsia" w:eastAsiaTheme="minorEastAsia"/>
              <w:sz w:val="20"/>
              <w:szCs w:val="21"/>
            </w:rPr>
          </w:pPr>
          <w:sdt>
            <w:sdtPr>
              <w:rPr>
                <w:sz w:val="20"/>
              </w:rPr>
              <w:id w:val="1728636285"/>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24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24</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42E69F29">
          <w:pPr>
            <w:pStyle w:val="17"/>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ENT2022</w:t>
          </w:r>
        </w:p>
      </w:tc>
    </w:tr>
  </w:tbl>
  <w:p w14:paraId="6F5B8BC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EEB47">
    <w:pPr>
      <w:pStyle w:val="17"/>
      <w:jc w:val="center"/>
      <w:rPr>
        <w:rFonts w:asciiTheme="minorEastAsia" w:hAnsiTheme="minorEastAsia" w:eastAsiaTheme="minorEastAsia"/>
        <w:szCs w:val="21"/>
      </w:rPr>
    </w:pPr>
  </w:p>
  <w:p w14:paraId="5C0ED152">
    <w:pPr>
      <w:pStyle w:val="1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70F8B1">
    <w:pPr>
      <w:pStyle w:val="18"/>
      <w:pBdr>
        <w:bottom w:val="single" w:color="auto" w:sz="6" w:space="0"/>
      </w:pBdr>
      <w:jc w:val="left"/>
    </w:pPr>
    <w:r>
      <w:rPr>
        <w:lang w:val="en-US"/>
      </w:rPr>
      <w:drawing>
        <wp:inline distT="0" distB="0" distL="0" distR="0">
          <wp:extent cx="866140" cy="25146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室外</w:t>
    </w:r>
    <w:r>
      <w:t>风环境模拟分析报告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7386EA3"/>
    <w:multiLevelType w:val="multilevel"/>
    <w:tmpl w:val="17386EA3"/>
    <w:lvl w:ilvl="0" w:tentative="0">
      <w:start w:val="1"/>
      <w:numFmt w:val="bullet"/>
      <w:lvlText w:val=""/>
      <w:lvlJc w:val="left"/>
      <w:pPr>
        <w:ind w:left="1266" w:hanging="420"/>
      </w:pPr>
      <w:rPr>
        <w:rFonts w:hint="default" w:ascii="Wingdings" w:hAnsi="Wingdings"/>
        <w:sz w:val="15"/>
      </w:rPr>
    </w:lvl>
    <w:lvl w:ilvl="1" w:tentative="0">
      <w:start w:val="1"/>
      <w:numFmt w:val="bullet"/>
      <w:lvlText w:val=""/>
      <w:lvlJc w:val="left"/>
      <w:pPr>
        <w:ind w:left="1686" w:hanging="420"/>
      </w:pPr>
      <w:rPr>
        <w:rFonts w:hint="default" w:ascii="Wingdings" w:hAnsi="Wingdings"/>
      </w:rPr>
    </w:lvl>
    <w:lvl w:ilvl="2" w:tentative="0">
      <w:start w:val="1"/>
      <w:numFmt w:val="bullet"/>
      <w:lvlText w:val=""/>
      <w:lvlJc w:val="left"/>
      <w:pPr>
        <w:ind w:left="2106" w:hanging="420"/>
      </w:pPr>
      <w:rPr>
        <w:rFonts w:hint="default" w:ascii="Wingdings" w:hAnsi="Wingdings"/>
      </w:rPr>
    </w:lvl>
    <w:lvl w:ilvl="3" w:tentative="0">
      <w:start w:val="1"/>
      <w:numFmt w:val="bullet"/>
      <w:lvlText w:val=""/>
      <w:lvlJc w:val="left"/>
      <w:pPr>
        <w:ind w:left="2526" w:hanging="420"/>
      </w:pPr>
      <w:rPr>
        <w:rFonts w:hint="default" w:ascii="Wingdings" w:hAnsi="Wingdings"/>
      </w:rPr>
    </w:lvl>
    <w:lvl w:ilvl="4" w:tentative="0">
      <w:start w:val="1"/>
      <w:numFmt w:val="bullet"/>
      <w:lvlText w:val=""/>
      <w:lvlJc w:val="left"/>
      <w:pPr>
        <w:ind w:left="2946" w:hanging="420"/>
      </w:pPr>
      <w:rPr>
        <w:rFonts w:hint="default" w:ascii="Wingdings" w:hAnsi="Wingdings"/>
      </w:rPr>
    </w:lvl>
    <w:lvl w:ilvl="5" w:tentative="0">
      <w:start w:val="1"/>
      <w:numFmt w:val="bullet"/>
      <w:lvlText w:val=""/>
      <w:lvlJc w:val="left"/>
      <w:pPr>
        <w:ind w:left="3366" w:hanging="420"/>
      </w:pPr>
      <w:rPr>
        <w:rFonts w:hint="default" w:ascii="Wingdings" w:hAnsi="Wingdings"/>
      </w:rPr>
    </w:lvl>
    <w:lvl w:ilvl="6" w:tentative="0">
      <w:start w:val="1"/>
      <w:numFmt w:val="bullet"/>
      <w:lvlText w:val=""/>
      <w:lvlJc w:val="left"/>
      <w:pPr>
        <w:ind w:left="3786" w:hanging="420"/>
      </w:pPr>
      <w:rPr>
        <w:rFonts w:hint="default" w:ascii="Wingdings" w:hAnsi="Wingdings"/>
      </w:rPr>
    </w:lvl>
    <w:lvl w:ilvl="7" w:tentative="0">
      <w:start w:val="1"/>
      <w:numFmt w:val="bullet"/>
      <w:lvlText w:val=""/>
      <w:lvlJc w:val="left"/>
      <w:pPr>
        <w:ind w:left="4206" w:hanging="420"/>
      </w:pPr>
      <w:rPr>
        <w:rFonts w:hint="default" w:ascii="Wingdings" w:hAnsi="Wingdings"/>
      </w:rPr>
    </w:lvl>
    <w:lvl w:ilvl="8" w:tentative="0">
      <w:start w:val="1"/>
      <w:numFmt w:val="bullet"/>
      <w:lvlText w:val=""/>
      <w:lvlJc w:val="left"/>
      <w:pPr>
        <w:ind w:left="4626" w:hanging="420"/>
      </w:pPr>
      <w:rPr>
        <w:rFonts w:hint="default" w:ascii="Wingdings" w:hAnsi="Wingdings"/>
      </w:rPr>
    </w:lvl>
  </w:abstractNum>
  <w:abstractNum w:abstractNumId="4">
    <w:nsid w:val="53F94B4F"/>
    <w:multiLevelType w:val="multilevel"/>
    <w:tmpl w:val="53F94B4F"/>
    <w:lvl w:ilvl="0" w:tentative="0">
      <w:start w:val="1"/>
      <w:numFmt w:val="bullet"/>
      <w:lvlText w:val=""/>
      <w:lvlJc w:val="left"/>
      <w:pPr>
        <w:ind w:left="840" w:hanging="420"/>
      </w:pPr>
      <w:rPr>
        <w:rFonts w:hint="default" w:ascii="Wingdings" w:hAnsi="Wingdings"/>
        <w:sz w:val="15"/>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75F"/>
    <w:rsid w:val="00005045"/>
    <w:rsid w:val="0000578F"/>
    <w:rsid w:val="0002001E"/>
    <w:rsid w:val="000219DF"/>
    <w:rsid w:val="00037A4C"/>
    <w:rsid w:val="000678A8"/>
    <w:rsid w:val="00067FD6"/>
    <w:rsid w:val="00070047"/>
    <w:rsid w:val="00073958"/>
    <w:rsid w:val="00081A16"/>
    <w:rsid w:val="000A23A8"/>
    <w:rsid w:val="000B78A5"/>
    <w:rsid w:val="000C1855"/>
    <w:rsid w:val="000C291D"/>
    <w:rsid w:val="000C3B77"/>
    <w:rsid w:val="000D16B8"/>
    <w:rsid w:val="000D7A8A"/>
    <w:rsid w:val="000F14F7"/>
    <w:rsid w:val="000F63BF"/>
    <w:rsid w:val="000F7EF2"/>
    <w:rsid w:val="00101EBF"/>
    <w:rsid w:val="00106871"/>
    <w:rsid w:val="001105DA"/>
    <w:rsid w:val="00111EDF"/>
    <w:rsid w:val="00112DC5"/>
    <w:rsid w:val="00122AE1"/>
    <w:rsid w:val="00124784"/>
    <w:rsid w:val="00124E90"/>
    <w:rsid w:val="00134709"/>
    <w:rsid w:val="001428A7"/>
    <w:rsid w:val="0014776A"/>
    <w:rsid w:val="00147DF5"/>
    <w:rsid w:val="001511A3"/>
    <w:rsid w:val="00153AEE"/>
    <w:rsid w:val="001570B9"/>
    <w:rsid w:val="0016330F"/>
    <w:rsid w:val="0016667B"/>
    <w:rsid w:val="001737F9"/>
    <w:rsid w:val="001773DA"/>
    <w:rsid w:val="00184656"/>
    <w:rsid w:val="00186918"/>
    <w:rsid w:val="001A38B7"/>
    <w:rsid w:val="001A7C37"/>
    <w:rsid w:val="001B7C87"/>
    <w:rsid w:val="001C1C39"/>
    <w:rsid w:val="001D3071"/>
    <w:rsid w:val="001D3BB9"/>
    <w:rsid w:val="001E133A"/>
    <w:rsid w:val="001F01FD"/>
    <w:rsid w:val="00201812"/>
    <w:rsid w:val="00203163"/>
    <w:rsid w:val="00203A7D"/>
    <w:rsid w:val="00215EBC"/>
    <w:rsid w:val="00217F09"/>
    <w:rsid w:val="0022597C"/>
    <w:rsid w:val="002431AE"/>
    <w:rsid w:val="002555B8"/>
    <w:rsid w:val="00284FB2"/>
    <w:rsid w:val="0029328A"/>
    <w:rsid w:val="00295C3C"/>
    <w:rsid w:val="00295D20"/>
    <w:rsid w:val="002A1AF2"/>
    <w:rsid w:val="002A5BD0"/>
    <w:rsid w:val="002A60F5"/>
    <w:rsid w:val="002B090C"/>
    <w:rsid w:val="002B2E78"/>
    <w:rsid w:val="002B7314"/>
    <w:rsid w:val="002C153B"/>
    <w:rsid w:val="002E4CD4"/>
    <w:rsid w:val="002E702B"/>
    <w:rsid w:val="0030437C"/>
    <w:rsid w:val="0031135A"/>
    <w:rsid w:val="003116CC"/>
    <w:rsid w:val="003121F7"/>
    <w:rsid w:val="0031365D"/>
    <w:rsid w:val="00314D29"/>
    <w:rsid w:val="00315CFC"/>
    <w:rsid w:val="00316B5F"/>
    <w:rsid w:val="00317F3B"/>
    <w:rsid w:val="00321894"/>
    <w:rsid w:val="00321CDB"/>
    <w:rsid w:val="003368D4"/>
    <w:rsid w:val="00337C74"/>
    <w:rsid w:val="00340177"/>
    <w:rsid w:val="0034506B"/>
    <w:rsid w:val="0037000B"/>
    <w:rsid w:val="00372110"/>
    <w:rsid w:val="003747B9"/>
    <w:rsid w:val="003857DF"/>
    <w:rsid w:val="003A50E3"/>
    <w:rsid w:val="003A6A7F"/>
    <w:rsid w:val="003B2E2C"/>
    <w:rsid w:val="003C51B9"/>
    <w:rsid w:val="003C5F3A"/>
    <w:rsid w:val="003D123E"/>
    <w:rsid w:val="003D3E8E"/>
    <w:rsid w:val="003E405A"/>
    <w:rsid w:val="003E54CD"/>
    <w:rsid w:val="00407998"/>
    <w:rsid w:val="00412598"/>
    <w:rsid w:val="00412ACB"/>
    <w:rsid w:val="00413DB8"/>
    <w:rsid w:val="004169B3"/>
    <w:rsid w:val="00437A5C"/>
    <w:rsid w:val="00453246"/>
    <w:rsid w:val="004556B5"/>
    <w:rsid w:val="0046589C"/>
    <w:rsid w:val="0047200C"/>
    <w:rsid w:val="00483193"/>
    <w:rsid w:val="00494ADE"/>
    <w:rsid w:val="0049520E"/>
    <w:rsid w:val="004A0D3B"/>
    <w:rsid w:val="004C7D33"/>
    <w:rsid w:val="004D230F"/>
    <w:rsid w:val="004D449D"/>
    <w:rsid w:val="004E2AEB"/>
    <w:rsid w:val="004F0639"/>
    <w:rsid w:val="0050569B"/>
    <w:rsid w:val="00511D13"/>
    <w:rsid w:val="00512B1A"/>
    <w:rsid w:val="005215FB"/>
    <w:rsid w:val="0053475F"/>
    <w:rsid w:val="00537CCE"/>
    <w:rsid w:val="00537E4B"/>
    <w:rsid w:val="00540765"/>
    <w:rsid w:val="00547D69"/>
    <w:rsid w:val="00562403"/>
    <w:rsid w:val="005725E0"/>
    <w:rsid w:val="005755BA"/>
    <w:rsid w:val="0058501E"/>
    <w:rsid w:val="005910E8"/>
    <w:rsid w:val="00594562"/>
    <w:rsid w:val="005A1031"/>
    <w:rsid w:val="005A1B63"/>
    <w:rsid w:val="005A21DB"/>
    <w:rsid w:val="005A317A"/>
    <w:rsid w:val="005A3A23"/>
    <w:rsid w:val="005A7F1B"/>
    <w:rsid w:val="005B7445"/>
    <w:rsid w:val="005C069E"/>
    <w:rsid w:val="005C6629"/>
    <w:rsid w:val="005D1E21"/>
    <w:rsid w:val="005E2482"/>
    <w:rsid w:val="005F4F73"/>
    <w:rsid w:val="005F689E"/>
    <w:rsid w:val="006031E6"/>
    <w:rsid w:val="006105F7"/>
    <w:rsid w:val="006156D5"/>
    <w:rsid w:val="0062338D"/>
    <w:rsid w:val="006254D5"/>
    <w:rsid w:val="00634E08"/>
    <w:rsid w:val="00642291"/>
    <w:rsid w:val="00642309"/>
    <w:rsid w:val="00646118"/>
    <w:rsid w:val="00654C63"/>
    <w:rsid w:val="00661405"/>
    <w:rsid w:val="00662EF0"/>
    <w:rsid w:val="006645DE"/>
    <w:rsid w:val="00670E9B"/>
    <w:rsid w:val="00672C75"/>
    <w:rsid w:val="0067336D"/>
    <w:rsid w:val="00674121"/>
    <w:rsid w:val="00694FCA"/>
    <w:rsid w:val="0069542D"/>
    <w:rsid w:val="006A07C2"/>
    <w:rsid w:val="006A3243"/>
    <w:rsid w:val="006B6C00"/>
    <w:rsid w:val="006C2D59"/>
    <w:rsid w:val="006C2DCC"/>
    <w:rsid w:val="006D02D6"/>
    <w:rsid w:val="006D45E8"/>
    <w:rsid w:val="006E2867"/>
    <w:rsid w:val="006F289F"/>
    <w:rsid w:val="006F3036"/>
    <w:rsid w:val="007064C5"/>
    <w:rsid w:val="00712C8C"/>
    <w:rsid w:val="0071616F"/>
    <w:rsid w:val="00741470"/>
    <w:rsid w:val="007446D1"/>
    <w:rsid w:val="00745913"/>
    <w:rsid w:val="0074750E"/>
    <w:rsid w:val="00751D7B"/>
    <w:rsid w:val="00754FB6"/>
    <w:rsid w:val="00762314"/>
    <w:rsid w:val="007628A1"/>
    <w:rsid w:val="00782889"/>
    <w:rsid w:val="00790965"/>
    <w:rsid w:val="007A20AF"/>
    <w:rsid w:val="007A5318"/>
    <w:rsid w:val="007A5B7A"/>
    <w:rsid w:val="007B2D7C"/>
    <w:rsid w:val="007B3E87"/>
    <w:rsid w:val="007B61C5"/>
    <w:rsid w:val="007C15B9"/>
    <w:rsid w:val="007C4F93"/>
    <w:rsid w:val="007C52FA"/>
    <w:rsid w:val="007D02FB"/>
    <w:rsid w:val="007D224D"/>
    <w:rsid w:val="007D386E"/>
    <w:rsid w:val="007E5D0D"/>
    <w:rsid w:val="007E6E69"/>
    <w:rsid w:val="00815874"/>
    <w:rsid w:val="008160AB"/>
    <w:rsid w:val="00820783"/>
    <w:rsid w:val="00821D1E"/>
    <w:rsid w:val="00823CD7"/>
    <w:rsid w:val="00823E9B"/>
    <w:rsid w:val="00834E88"/>
    <w:rsid w:val="00851CA4"/>
    <w:rsid w:val="00856B3E"/>
    <w:rsid w:val="00865A08"/>
    <w:rsid w:val="0086632A"/>
    <w:rsid w:val="0087011E"/>
    <w:rsid w:val="00880A06"/>
    <w:rsid w:val="00883D6C"/>
    <w:rsid w:val="00886207"/>
    <w:rsid w:val="008870D0"/>
    <w:rsid w:val="008932A0"/>
    <w:rsid w:val="008A48E6"/>
    <w:rsid w:val="008B115C"/>
    <w:rsid w:val="008B49CE"/>
    <w:rsid w:val="008C231A"/>
    <w:rsid w:val="008C2A0D"/>
    <w:rsid w:val="008D7355"/>
    <w:rsid w:val="008E5E54"/>
    <w:rsid w:val="00902A4F"/>
    <w:rsid w:val="00920203"/>
    <w:rsid w:val="0092087D"/>
    <w:rsid w:val="00920FEB"/>
    <w:rsid w:val="00962922"/>
    <w:rsid w:val="00966AA0"/>
    <w:rsid w:val="00972F40"/>
    <w:rsid w:val="00974ECB"/>
    <w:rsid w:val="009812A9"/>
    <w:rsid w:val="009904E5"/>
    <w:rsid w:val="009A2274"/>
    <w:rsid w:val="009A4F1F"/>
    <w:rsid w:val="009C1CEB"/>
    <w:rsid w:val="009E2DE9"/>
    <w:rsid w:val="009F2CAC"/>
    <w:rsid w:val="00A11D6B"/>
    <w:rsid w:val="00A23D26"/>
    <w:rsid w:val="00A273C5"/>
    <w:rsid w:val="00A32590"/>
    <w:rsid w:val="00A327ED"/>
    <w:rsid w:val="00A352C9"/>
    <w:rsid w:val="00A355BD"/>
    <w:rsid w:val="00A41C1F"/>
    <w:rsid w:val="00A472CE"/>
    <w:rsid w:val="00A628B2"/>
    <w:rsid w:val="00A7322A"/>
    <w:rsid w:val="00A7462A"/>
    <w:rsid w:val="00A8181B"/>
    <w:rsid w:val="00A8393F"/>
    <w:rsid w:val="00AA26C7"/>
    <w:rsid w:val="00AA47FE"/>
    <w:rsid w:val="00AB00F6"/>
    <w:rsid w:val="00AB3E6E"/>
    <w:rsid w:val="00AC7C9E"/>
    <w:rsid w:val="00AC7EEF"/>
    <w:rsid w:val="00AD1722"/>
    <w:rsid w:val="00AD239C"/>
    <w:rsid w:val="00AE0FC4"/>
    <w:rsid w:val="00AE5F8F"/>
    <w:rsid w:val="00B11FE8"/>
    <w:rsid w:val="00B121A8"/>
    <w:rsid w:val="00B14131"/>
    <w:rsid w:val="00B20DC9"/>
    <w:rsid w:val="00B25777"/>
    <w:rsid w:val="00B27308"/>
    <w:rsid w:val="00B32B1D"/>
    <w:rsid w:val="00B41640"/>
    <w:rsid w:val="00B44806"/>
    <w:rsid w:val="00B51A2D"/>
    <w:rsid w:val="00B55B22"/>
    <w:rsid w:val="00B5678B"/>
    <w:rsid w:val="00B5736D"/>
    <w:rsid w:val="00B60841"/>
    <w:rsid w:val="00B67401"/>
    <w:rsid w:val="00B67D57"/>
    <w:rsid w:val="00B71B30"/>
    <w:rsid w:val="00B73C41"/>
    <w:rsid w:val="00B7457E"/>
    <w:rsid w:val="00B757DF"/>
    <w:rsid w:val="00B84271"/>
    <w:rsid w:val="00B86C89"/>
    <w:rsid w:val="00BB1BF9"/>
    <w:rsid w:val="00BD0C1B"/>
    <w:rsid w:val="00BE0E75"/>
    <w:rsid w:val="00BE4681"/>
    <w:rsid w:val="00BE75B4"/>
    <w:rsid w:val="00BF173E"/>
    <w:rsid w:val="00C03066"/>
    <w:rsid w:val="00C15B1A"/>
    <w:rsid w:val="00C3112C"/>
    <w:rsid w:val="00C34A1E"/>
    <w:rsid w:val="00C37EFB"/>
    <w:rsid w:val="00C50BDB"/>
    <w:rsid w:val="00C57197"/>
    <w:rsid w:val="00C63237"/>
    <w:rsid w:val="00C67778"/>
    <w:rsid w:val="00C72E58"/>
    <w:rsid w:val="00C81EB1"/>
    <w:rsid w:val="00C86FAA"/>
    <w:rsid w:val="00C87AC6"/>
    <w:rsid w:val="00C94BB7"/>
    <w:rsid w:val="00C976BE"/>
    <w:rsid w:val="00C97E25"/>
    <w:rsid w:val="00C97F88"/>
    <w:rsid w:val="00CA1378"/>
    <w:rsid w:val="00CB0266"/>
    <w:rsid w:val="00CB0F5E"/>
    <w:rsid w:val="00CB2732"/>
    <w:rsid w:val="00CE28AA"/>
    <w:rsid w:val="00CE6B55"/>
    <w:rsid w:val="00CF109A"/>
    <w:rsid w:val="00CF421E"/>
    <w:rsid w:val="00D13ABE"/>
    <w:rsid w:val="00D24F54"/>
    <w:rsid w:val="00D30545"/>
    <w:rsid w:val="00D32543"/>
    <w:rsid w:val="00D35ECB"/>
    <w:rsid w:val="00D40158"/>
    <w:rsid w:val="00D43C46"/>
    <w:rsid w:val="00D45C26"/>
    <w:rsid w:val="00D5111E"/>
    <w:rsid w:val="00D51770"/>
    <w:rsid w:val="00D56084"/>
    <w:rsid w:val="00D62A9A"/>
    <w:rsid w:val="00D65980"/>
    <w:rsid w:val="00D9645E"/>
    <w:rsid w:val="00D97D3C"/>
    <w:rsid w:val="00DA0532"/>
    <w:rsid w:val="00DA4173"/>
    <w:rsid w:val="00DA64E7"/>
    <w:rsid w:val="00DA66B2"/>
    <w:rsid w:val="00DB09A4"/>
    <w:rsid w:val="00DC5E38"/>
    <w:rsid w:val="00DC73AD"/>
    <w:rsid w:val="00DD16C4"/>
    <w:rsid w:val="00DD2870"/>
    <w:rsid w:val="00DF1DCD"/>
    <w:rsid w:val="00DF470C"/>
    <w:rsid w:val="00DF486E"/>
    <w:rsid w:val="00E05025"/>
    <w:rsid w:val="00E11160"/>
    <w:rsid w:val="00E14637"/>
    <w:rsid w:val="00E14A0C"/>
    <w:rsid w:val="00E1693B"/>
    <w:rsid w:val="00E16C90"/>
    <w:rsid w:val="00E263C0"/>
    <w:rsid w:val="00E27B4C"/>
    <w:rsid w:val="00E35ABB"/>
    <w:rsid w:val="00E36856"/>
    <w:rsid w:val="00E52B53"/>
    <w:rsid w:val="00E60BFC"/>
    <w:rsid w:val="00E660D6"/>
    <w:rsid w:val="00E72A20"/>
    <w:rsid w:val="00E81ACD"/>
    <w:rsid w:val="00E872A7"/>
    <w:rsid w:val="00E90F14"/>
    <w:rsid w:val="00E91EF3"/>
    <w:rsid w:val="00EA5DEE"/>
    <w:rsid w:val="00EB1BD1"/>
    <w:rsid w:val="00EB67C0"/>
    <w:rsid w:val="00EE1BA7"/>
    <w:rsid w:val="00EE68A9"/>
    <w:rsid w:val="00EE7411"/>
    <w:rsid w:val="00EF3DA5"/>
    <w:rsid w:val="00EF7114"/>
    <w:rsid w:val="00F0656F"/>
    <w:rsid w:val="00F07A5A"/>
    <w:rsid w:val="00F10F02"/>
    <w:rsid w:val="00F30C12"/>
    <w:rsid w:val="00F5023B"/>
    <w:rsid w:val="00F67DF1"/>
    <w:rsid w:val="00F7520A"/>
    <w:rsid w:val="00F75DD1"/>
    <w:rsid w:val="00F97363"/>
    <w:rsid w:val="00FA4B87"/>
    <w:rsid w:val="00FA58D9"/>
    <w:rsid w:val="00FB28FF"/>
    <w:rsid w:val="00FB6C39"/>
    <w:rsid w:val="00FC7756"/>
    <w:rsid w:val="00FE4CC4"/>
    <w:rsid w:val="00FE79B9"/>
    <w:rsid w:val="00FF2243"/>
    <w:rsid w:val="0A422709"/>
    <w:rsid w:val="0FED28F5"/>
    <w:rsid w:val="341004F0"/>
    <w:rsid w:val="78284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7"/>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8"/>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7"/>
    <w:qFormat/>
    <w:uiPriority w:val="0"/>
    <w:pPr>
      <w:keepNext/>
      <w:numPr>
        <w:ilvl w:val="3"/>
        <w:numId w:val="1"/>
      </w:numPr>
      <w:spacing w:before="240" w:after="60"/>
      <w:outlineLvl w:val="3"/>
    </w:pPr>
    <w:rPr>
      <w:b/>
      <w:bCs/>
      <w:szCs w:val="28"/>
    </w:rPr>
  </w:style>
  <w:style w:type="paragraph" w:styleId="7">
    <w:name w:val="heading 5"/>
    <w:basedOn w:val="1"/>
    <w:next w:val="1"/>
    <w:link w:val="38"/>
    <w:qFormat/>
    <w:uiPriority w:val="0"/>
    <w:pPr>
      <w:numPr>
        <w:ilvl w:val="4"/>
        <w:numId w:val="1"/>
      </w:numPr>
      <w:spacing w:before="240" w:after="60"/>
      <w:outlineLvl w:val="4"/>
    </w:pPr>
    <w:rPr>
      <w:b/>
      <w:bCs/>
      <w:iCs/>
      <w:szCs w:val="26"/>
    </w:rPr>
  </w:style>
  <w:style w:type="paragraph" w:styleId="8">
    <w:name w:val="heading 6"/>
    <w:basedOn w:val="1"/>
    <w:next w:val="1"/>
    <w:link w:val="39"/>
    <w:qFormat/>
    <w:uiPriority w:val="0"/>
    <w:pPr>
      <w:numPr>
        <w:ilvl w:val="5"/>
        <w:numId w:val="1"/>
      </w:numPr>
      <w:spacing w:before="240" w:after="60"/>
      <w:outlineLvl w:val="5"/>
    </w:pPr>
    <w:rPr>
      <w:b/>
      <w:bCs/>
      <w:szCs w:val="22"/>
    </w:rPr>
  </w:style>
  <w:style w:type="paragraph" w:styleId="9">
    <w:name w:val="heading 7"/>
    <w:basedOn w:val="1"/>
    <w:next w:val="1"/>
    <w:link w:val="40"/>
    <w:qFormat/>
    <w:uiPriority w:val="0"/>
    <w:pPr>
      <w:numPr>
        <w:ilvl w:val="6"/>
        <w:numId w:val="1"/>
      </w:numPr>
      <w:spacing w:before="240" w:after="60"/>
      <w:outlineLvl w:val="6"/>
    </w:pPr>
    <w:rPr>
      <w:sz w:val="24"/>
      <w:szCs w:val="24"/>
    </w:rPr>
  </w:style>
  <w:style w:type="paragraph" w:styleId="10">
    <w:name w:val="heading 8"/>
    <w:basedOn w:val="1"/>
    <w:next w:val="1"/>
    <w:link w:val="41"/>
    <w:qFormat/>
    <w:uiPriority w:val="0"/>
    <w:pPr>
      <w:numPr>
        <w:ilvl w:val="7"/>
        <w:numId w:val="1"/>
      </w:numPr>
      <w:spacing w:before="240" w:after="60"/>
      <w:outlineLvl w:val="7"/>
    </w:pPr>
    <w:rPr>
      <w:i/>
      <w:iCs/>
      <w:sz w:val="24"/>
      <w:szCs w:val="24"/>
    </w:rPr>
  </w:style>
  <w:style w:type="paragraph" w:styleId="11">
    <w:name w:val="heading 9"/>
    <w:basedOn w:val="1"/>
    <w:next w:val="1"/>
    <w:link w:val="42"/>
    <w:qFormat/>
    <w:uiPriority w:val="0"/>
    <w:pPr>
      <w:numPr>
        <w:ilvl w:val="8"/>
        <w:numId w:val="1"/>
      </w:numPr>
      <w:spacing w:before="240" w:after="60"/>
      <w:outlineLvl w:val="8"/>
    </w:pPr>
    <w:rPr>
      <w:rFonts w:ascii="Arial" w:hAnsi="Arial" w:cs="Arial"/>
      <w:sz w:val="22"/>
      <w:szCs w:val="2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1"/>
    <w:qFormat/>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4"/>
    <w:semiHidden/>
    <w:qFormat/>
    <w:uiPriority w:val="0"/>
    <w:pPr>
      <w:shd w:val="clear" w:color="auto" w:fill="000080"/>
    </w:pPr>
  </w:style>
  <w:style w:type="paragraph" w:styleId="15">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6">
    <w:name w:val="Balloon Text"/>
    <w:basedOn w:val="1"/>
    <w:link w:val="34"/>
    <w:qFormat/>
    <w:uiPriority w:val="0"/>
    <w:pPr>
      <w:spacing w:line="240" w:lineRule="auto"/>
    </w:pPr>
    <w:rPr>
      <w:sz w:val="18"/>
      <w:szCs w:val="18"/>
    </w:rPr>
  </w:style>
  <w:style w:type="paragraph" w:styleId="17">
    <w:name w:val="footer"/>
    <w:basedOn w:val="1"/>
    <w:link w:val="29"/>
    <w:qFormat/>
    <w:uiPriority w:val="99"/>
    <w:pPr>
      <w:tabs>
        <w:tab w:val="center" w:pos="4153"/>
        <w:tab w:val="right" w:pos="8306"/>
      </w:tabs>
      <w:snapToGrid w:val="0"/>
    </w:pPr>
    <w:rPr>
      <w:szCs w:val="18"/>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Cs w:val="18"/>
    </w:rPr>
  </w:style>
  <w:style w:type="paragraph" w:styleId="19">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0">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2">
    <w:name w:val="Table Grid"/>
    <w:basedOn w:val="21"/>
    <w:qFormat/>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FollowedHyperlink"/>
    <w:unhideWhenUsed/>
    <w:uiPriority w:val="99"/>
    <w:rPr>
      <w:color w:val="800080"/>
      <w:u w:val="single"/>
    </w:rPr>
  </w:style>
  <w:style w:type="character" w:styleId="25">
    <w:name w:val="Emphasis"/>
    <w:qFormat/>
    <w:uiPriority w:val="20"/>
    <w:rPr>
      <w:color w:val="CC0000"/>
    </w:rPr>
  </w:style>
  <w:style w:type="character" w:styleId="26">
    <w:name w:val="Hyperlink"/>
    <w:qFormat/>
    <w:uiPriority w:val="99"/>
    <w:rPr>
      <w:color w:val="0000FF"/>
      <w:u w:val="single"/>
    </w:rPr>
  </w:style>
  <w:style w:type="character" w:customStyle="1" w:styleId="27">
    <w:name w:val="标题 1 Char"/>
    <w:link w:val="2"/>
    <w:uiPriority w:val="0"/>
    <w:rPr>
      <w:b/>
      <w:bCs/>
      <w:kern w:val="32"/>
      <w:sz w:val="28"/>
      <w:szCs w:val="28"/>
    </w:rPr>
  </w:style>
  <w:style w:type="character" w:customStyle="1" w:styleId="28">
    <w:name w:val="标题 2 Char"/>
    <w:link w:val="4"/>
    <w:qFormat/>
    <w:uiPriority w:val="0"/>
    <w:rPr>
      <w:rFonts w:ascii="宋体" w:cs="Arial"/>
      <w:b/>
      <w:bCs/>
      <w:iCs/>
      <w:color w:val="000000"/>
      <w:sz w:val="24"/>
      <w:szCs w:val="24"/>
    </w:rPr>
  </w:style>
  <w:style w:type="character" w:customStyle="1" w:styleId="29">
    <w:name w:val="页脚 Char"/>
    <w:link w:val="17"/>
    <w:qFormat/>
    <w:uiPriority w:val="99"/>
    <w:rPr>
      <w:sz w:val="21"/>
      <w:szCs w:val="18"/>
      <w:lang w:val="en-GB"/>
    </w:rPr>
  </w:style>
  <w:style w:type="paragraph" w:customStyle="1" w:styleId="30">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1">
    <w:name w:val="正文缩进 Char"/>
    <w:link w:val="12"/>
    <w:qFormat/>
    <w:uiPriority w:val="0"/>
    <w:rPr>
      <w:rFonts w:ascii="宋体"/>
      <w:sz w:val="21"/>
    </w:rPr>
  </w:style>
  <w:style w:type="paragraph" w:styleId="32">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3">
    <w:name w:val="标题 3 Char"/>
    <w:link w:val="5"/>
    <w:qFormat/>
    <w:uiPriority w:val="0"/>
    <w:rPr>
      <w:rFonts w:ascii="宋体" w:hAnsi="宋体" w:cs="Arial"/>
      <w:b/>
      <w:bCs/>
      <w:sz w:val="21"/>
      <w:szCs w:val="21"/>
    </w:rPr>
  </w:style>
  <w:style w:type="character" w:customStyle="1" w:styleId="34">
    <w:name w:val="批注框文本 Char"/>
    <w:link w:val="16"/>
    <w:qFormat/>
    <w:uiPriority w:val="0"/>
    <w:rPr>
      <w:sz w:val="18"/>
      <w:szCs w:val="18"/>
      <w:lang w:val="en-GB"/>
    </w:rPr>
  </w:style>
  <w:style w:type="character" w:styleId="35">
    <w:name w:val="Placeholder Text"/>
    <w:semiHidden/>
    <w:qFormat/>
    <w:uiPriority w:val="99"/>
    <w:rPr>
      <w:color w:val="808080"/>
    </w:rPr>
  </w:style>
  <w:style w:type="paragraph" w:styleId="36">
    <w:name w:val="No Spacing"/>
    <w:qFormat/>
    <w:uiPriority w:val="1"/>
    <w:rPr>
      <w:rFonts w:ascii="Times New Roman" w:hAnsi="Times New Roman" w:eastAsia="宋体" w:cs="Times New Roman"/>
      <w:sz w:val="21"/>
      <w:lang w:val="en-GB" w:eastAsia="zh-CN" w:bidi="ar-SA"/>
    </w:rPr>
  </w:style>
  <w:style w:type="character" w:customStyle="1" w:styleId="37">
    <w:name w:val="标题 4 Char"/>
    <w:link w:val="6"/>
    <w:qFormat/>
    <w:uiPriority w:val="0"/>
    <w:rPr>
      <w:b/>
      <w:bCs/>
      <w:sz w:val="21"/>
      <w:szCs w:val="28"/>
      <w:lang w:val="en-GB"/>
    </w:rPr>
  </w:style>
  <w:style w:type="character" w:customStyle="1" w:styleId="38">
    <w:name w:val="标题 5 Char"/>
    <w:link w:val="7"/>
    <w:qFormat/>
    <w:uiPriority w:val="0"/>
    <w:rPr>
      <w:b/>
      <w:bCs/>
      <w:iCs/>
      <w:sz w:val="21"/>
      <w:szCs w:val="26"/>
      <w:lang w:val="en-GB"/>
    </w:rPr>
  </w:style>
  <w:style w:type="character" w:customStyle="1" w:styleId="39">
    <w:name w:val="标题 6 Char"/>
    <w:link w:val="8"/>
    <w:qFormat/>
    <w:uiPriority w:val="0"/>
    <w:rPr>
      <w:b/>
      <w:bCs/>
      <w:sz w:val="21"/>
      <w:szCs w:val="22"/>
      <w:lang w:val="en-GB"/>
    </w:rPr>
  </w:style>
  <w:style w:type="character" w:customStyle="1" w:styleId="40">
    <w:name w:val="标题 7 Char"/>
    <w:link w:val="9"/>
    <w:qFormat/>
    <w:uiPriority w:val="0"/>
    <w:rPr>
      <w:sz w:val="24"/>
      <w:szCs w:val="24"/>
      <w:lang w:val="en-GB"/>
    </w:rPr>
  </w:style>
  <w:style w:type="character" w:customStyle="1" w:styleId="41">
    <w:name w:val="标题 8 Char"/>
    <w:link w:val="10"/>
    <w:qFormat/>
    <w:uiPriority w:val="0"/>
    <w:rPr>
      <w:i/>
      <w:iCs/>
      <w:sz w:val="24"/>
      <w:szCs w:val="24"/>
      <w:lang w:val="en-GB"/>
    </w:rPr>
  </w:style>
  <w:style w:type="character" w:customStyle="1" w:styleId="42">
    <w:name w:val="标题 9 Char"/>
    <w:link w:val="11"/>
    <w:qFormat/>
    <w:uiPriority w:val="0"/>
    <w:rPr>
      <w:rFonts w:ascii="Arial" w:hAnsi="Arial" w:cs="Arial"/>
      <w:sz w:val="22"/>
      <w:szCs w:val="22"/>
      <w:lang w:val="en-GB"/>
    </w:rPr>
  </w:style>
  <w:style w:type="character" w:customStyle="1" w:styleId="43">
    <w:name w:val="页眉 Char"/>
    <w:link w:val="18"/>
    <w:qFormat/>
    <w:uiPriority w:val="0"/>
    <w:rPr>
      <w:sz w:val="21"/>
      <w:szCs w:val="18"/>
      <w:lang w:val="en-GB"/>
    </w:rPr>
  </w:style>
  <w:style w:type="character" w:customStyle="1" w:styleId="44">
    <w:name w:val="文档结构图 Char"/>
    <w:link w:val="14"/>
    <w:semiHidden/>
    <w:qFormat/>
    <w:uiPriority w:val="0"/>
    <w:rPr>
      <w:sz w:val="21"/>
      <w:shd w:val="clear" w:color="auto" w:fill="00008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4" Type="http://schemas.openxmlformats.org/officeDocument/2006/relationships/fontTable" Target="fontTable.xml"/><Relationship Id="rId83" Type="http://schemas.openxmlformats.org/officeDocument/2006/relationships/customXml" Target="../customXml/item1.xml"/><Relationship Id="rId82" Type="http://schemas.openxmlformats.org/officeDocument/2006/relationships/numbering" Target="numbering.xml"/><Relationship Id="rId81" Type="http://schemas.openxmlformats.org/officeDocument/2006/relationships/image" Target="media/image67.png"/><Relationship Id="rId80" Type="http://schemas.openxmlformats.org/officeDocument/2006/relationships/image" Target="media/image66.png"/><Relationship Id="rId8" Type="http://schemas.openxmlformats.org/officeDocument/2006/relationships/theme" Target="theme/theme1.xml"/><Relationship Id="rId79" Type="http://schemas.openxmlformats.org/officeDocument/2006/relationships/image" Target="media/image65.png"/><Relationship Id="rId78" Type="http://schemas.openxmlformats.org/officeDocument/2006/relationships/image" Target="media/image64.png"/><Relationship Id="rId77" Type="http://schemas.openxmlformats.org/officeDocument/2006/relationships/image" Target="media/image63.png"/><Relationship Id="rId76" Type="http://schemas.openxmlformats.org/officeDocument/2006/relationships/image" Target="media/image62.png"/><Relationship Id="rId75" Type="http://schemas.openxmlformats.org/officeDocument/2006/relationships/image" Target="media/image61.png"/><Relationship Id="rId74" Type="http://schemas.openxmlformats.org/officeDocument/2006/relationships/image" Target="media/image60.png"/><Relationship Id="rId73" Type="http://schemas.openxmlformats.org/officeDocument/2006/relationships/image" Target="media/image59.png"/><Relationship Id="rId72" Type="http://schemas.openxmlformats.org/officeDocument/2006/relationships/image" Target="media/image58.png"/><Relationship Id="rId71" Type="http://schemas.openxmlformats.org/officeDocument/2006/relationships/image" Target="media/image57.png"/><Relationship Id="rId70" Type="http://schemas.openxmlformats.org/officeDocument/2006/relationships/image" Target="media/image56.png"/><Relationship Id="rId7" Type="http://schemas.openxmlformats.org/officeDocument/2006/relationships/footer" Target="footer2.xml"/><Relationship Id="rId69" Type="http://schemas.openxmlformats.org/officeDocument/2006/relationships/image" Target="media/image55.wmf"/><Relationship Id="rId68" Type="http://schemas.openxmlformats.org/officeDocument/2006/relationships/oleObject" Target="embeddings/oleObject7.bin"/><Relationship Id="rId67" Type="http://schemas.openxmlformats.org/officeDocument/2006/relationships/image" Target="media/image54.wmf"/><Relationship Id="rId66" Type="http://schemas.openxmlformats.org/officeDocument/2006/relationships/oleObject" Target="embeddings/oleObject6.bin"/><Relationship Id="rId65" Type="http://schemas.openxmlformats.org/officeDocument/2006/relationships/image" Target="media/image53.wmf"/><Relationship Id="rId64" Type="http://schemas.openxmlformats.org/officeDocument/2006/relationships/oleObject" Target="embeddings/oleObject5.bin"/><Relationship Id="rId63" Type="http://schemas.openxmlformats.org/officeDocument/2006/relationships/image" Target="media/image52.wmf"/><Relationship Id="rId62" Type="http://schemas.openxmlformats.org/officeDocument/2006/relationships/oleObject" Target="embeddings/oleObject4.bin"/><Relationship Id="rId61" Type="http://schemas.openxmlformats.org/officeDocument/2006/relationships/image" Target="media/image51.wmf"/><Relationship Id="rId60" Type="http://schemas.openxmlformats.org/officeDocument/2006/relationships/image" Target="media/image50.wmf"/><Relationship Id="rId6" Type="http://schemas.openxmlformats.org/officeDocument/2006/relationships/footer" Target="footer1.xml"/><Relationship Id="rId59" Type="http://schemas.openxmlformats.org/officeDocument/2006/relationships/image" Target="media/image49.wmf"/><Relationship Id="rId58" Type="http://schemas.openxmlformats.org/officeDocument/2006/relationships/image" Target="media/image48.wmf"/><Relationship Id="rId57" Type="http://schemas.openxmlformats.org/officeDocument/2006/relationships/image" Target="media/image47.wmf"/><Relationship Id="rId56" Type="http://schemas.openxmlformats.org/officeDocument/2006/relationships/image" Target="media/image46.wmf"/><Relationship Id="rId55" Type="http://schemas.openxmlformats.org/officeDocument/2006/relationships/image" Target="media/image45.wmf"/><Relationship Id="rId54" Type="http://schemas.openxmlformats.org/officeDocument/2006/relationships/image" Target="media/image44.wmf"/><Relationship Id="rId53" Type="http://schemas.openxmlformats.org/officeDocument/2006/relationships/image" Target="media/image43.wmf"/><Relationship Id="rId52" Type="http://schemas.openxmlformats.org/officeDocument/2006/relationships/image" Target="media/image42.wmf"/><Relationship Id="rId51" Type="http://schemas.openxmlformats.org/officeDocument/2006/relationships/image" Target="media/image41.wmf"/><Relationship Id="rId50" Type="http://schemas.openxmlformats.org/officeDocument/2006/relationships/image" Target="media/image40.wmf"/><Relationship Id="rId5" Type="http://schemas.openxmlformats.org/officeDocument/2006/relationships/header" Target="header1.xml"/><Relationship Id="rId49" Type="http://schemas.openxmlformats.org/officeDocument/2006/relationships/image" Target="media/image39.wmf"/><Relationship Id="rId48" Type="http://schemas.openxmlformats.org/officeDocument/2006/relationships/image" Target="media/image38.wmf"/><Relationship Id="rId47" Type="http://schemas.openxmlformats.org/officeDocument/2006/relationships/image" Target="media/image37.wmf"/><Relationship Id="rId46" Type="http://schemas.openxmlformats.org/officeDocument/2006/relationships/image" Target="media/image36.wmf"/><Relationship Id="rId45" Type="http://schemas.openxmlformats.org/officeDocument/2006/relationships/image" Target="media/image35.wmf"/><Relationship Id="rId44" Type="http://schemas.openxmlformats.org/officeDocument/2006/relationships/image" Target="media/image34.wmf"/><Relationship Id="rId43" Type="http://schemas.openxmlformats.org/officeDocument/2006/relationships/image" Target="media/image33.wmf"/><Relationship Id="rId42" Type="http://schemas.openxmlformats.org/officeDocument/2006/relationships/image" Target="media/image32.wmf"/><Relationship Id="rId41" Type="http://schemas.openxmlformats.org/officeDocument/2006/relationships/image" Target="media/image31.wmf"/><Relationship Id="rId40" Type="http://schemas.openxmlformats.org/officeDocument/2006/relationships/image" Target="media/image30.wmf"/><Relationship Id="rId4" Type="http://schemas.openxmlformats.org/officeDocument/2006/relationships/endnotes" Target="endnotes.xml"/><Relationship Id="rId39" Type="http://schemas.openxmlformats.org/officeDocument/2006/relationships/image" Target="media/image29.wmf"/><Relationship Id="rId38" Type="http://schemas.openxmlformats.org/officeDocument/2006/relationships/image" Target="media/image28.wmf"/><Relationship Id="rId37" Type="http://schemas.openxmlformats.org/officeDocument/2006/relationships/image" Target="media/image27.wmf"/><Relationship Id="rId36" Type="http://schemas.openxmlformats.org/officeDocument/2006/relationships/image" Target="media/image26.wmf"/><Relationship Id="rId35" Type="http://schemas.openxmlformats.org/officeDocument/2006/relationships/image" Target="media/image25.wmf"/><Relationship Id="rId34" Type="http://schemas.openxmlformats.org/officeDocument/2006/relationships/image" Target="media/image24.wmf"/><Relationship Id="rId33" Type="http://schemas.openxmlformats.org/officeDocument/2006/relationships/image" Target="media/image23.wmf"/><Relationship Id="rId32" Type="http://schemas.openxmlformats.org/officeDocument/2006/relationships/image" Target="media/image22.wmf"/><Relationship Id="rId31" Type="http://schemas.openxmlformats.org/officeDocument/2006/relationships/image" Target="media/image21.wmf"/><Relationship Id="rId30" Type="http://schemas.openxmlformats.org/officeDocument/2006/relationships/image" Target="media/image20.wmf"/><Relationship Id="rId3" Type="http://schemas.openxmlformats.org/officeDocument/2006/relationships/footnotes" Target="footnotes.xml"/><Relationship Id="rId29" Type="http://schemas.openxmlformats.org/officeDocument/2006/relationships/image" Target="media/image19.wmf"/><Relationship Id="rId28" Type="http://schemas.openxmlformats.org/officeDocument/2006/relationships/image" Target="media/image18.wmf"/><Relationship Id="rId27" Type="http://schemas.openxmlformats.org/officeDocument/2006/relationships/image" Target="media/image17.wmf"/><Relationship Id="rId26" Type="http://schemas.openxmlformats.org/officeDocument/2006/relationships/image" Target="media/image16.wmf"/><Relationship Id="rId25" Type="http://schemas.openxmlformats.org/officeDocument/2006/relationships/image" Target="media/image15.wmf"/><Relationship Id="rId24" Type="http://schemas.openxmlformats.org/officeDocument/2006/relationships/image" Target="media/image14.wmf"/><Relationship Id="rId23" Type="http://schemas.openxmlformats.org/officeDocument/2006/relationships/image" Target="media/image13.wmf"/><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oleObject" Target="embeddings/oleObject2.bin"/><Relationship Id="rId17" Type="http://schemas.openxmlformats.org/officeDocument/2006/relationships/image" Target="media/image9.wmf"/><Relationship Id="rId16" Type="http://schemas.openxmlformats.org/officeDocument/2006/relationships/oleObject" Target="embeddings/oleObject1.bin"/><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25170-0CD6-4E60-8FE6-944225EFE1B4}">
  <ds:schemaRefs/>
</ds:datastoreItem>
</file>

<file path=docProps/app.xml><?xml version="1.0" encoding="utf-8"?>
<Properties xmlns="http://schemas.openxmlformats.org/officeDocument/2006/extended-properties" xmlns:vt="http://schemas.openxmlformats.org/officeDocument/2006/docPropsVTypes">
  <Template>tmp3</Template>
  <Company>ths</Company>
  <Pages>24</Pages>
  <Words>2989</Words>
  <Characters>3388</Characters>
  <Lines>97</Lines>
  <Paragraphs>27</Paragraphs>
  <TotalTime>0</TotalTime>
  <ScaleCrop>false</ScaleCrop>
  <LinksUpToDate>false</LinksUpToDate>
  <CharactersWithSpaces>3568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2024-10-16T07:48:00Z</dcterms:created>
  <dc:creator>admin</dc:creator>
  <cp:lastModifiedBy>莎莎</cp:lastModifiedBy>
  <cp:lastPrinted>1900-12-31T16:00:00Z</cp:lastPrinted>
  <dcterms:modified xsi:type="dcterms:W3CDTF">2026-01-05T02:40:47Z</dcterms:modified>
  <dc:title>室外风环境模拟分析报告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eyJoZGlkIjoiNjZhMjFjMzlhYmZkMDAxNjZlOTQ1YTdjZmFmZDFmZTUiLCJ1c2VySWQiOiIxMzA4OTQwMzQ0In0=</vt:lpwstr>
  </property>
  <property fmtid="{D5CDD505-2E9C-101B-9397-08002B2CF9AE}" pid="3" name="KSOProductBuildVer">
    <vt:lpwstr>2052-12.1.0.24657</vt:lpwstr>
  </property>
  <property fmtid="{D5CDD505-2E9C-101B-9397-08002B2CF9AE}" pid="4" name="ICV">
    <vt:lpwstr>41B02265EE394BF38BA93EC7E627BC8E_12</vt:lpwstr>
  </property>
</Properties>
</file>