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7A7F0D">
      <w:r>
        <mc:AlternateContent>
          <mc:Choice Requires="wps">
            <w:drawing>
              <wp:anchor distT="0" distB="0" distL="114300" distR="114300" simplePos="0" relativeHeight="251660288" behindDoc="0" locked="0" layoutInCell="1" allowOverlap="1">
                <wp:simplePos x="0" y="0"/>
                <wp:positionH relativeFrom="column">
                  <wp:posOffset>5528310</wp:posOffset>
                </wp:positionH>
                <wp:positionV relativeFrom="page">
                  <wp:posOffset>461645</wp:posOffset>
                </wp:positionV>
                <wp:extent cx="8201025" cy="557530"/>
                <wp:effectExtent l="0" t="0" r="0" b="0"/>
                <wp:wrapNone/>
                <wp:docPr id="2" name="文本框 3"/>
                <wp:cNvGraphicFramePr/>
                <a:graphic xmlns:a="http://schemas.openxmlformats.org/drawingml/2006/main">
                  <a:graphicData uri="http://schemas.microsoft.com/office/word/2010/wordprocessingShape">
                    <wps:wsp>
                      <wps:cNvSpPr txBox="1"/>
                      <wps:spPr>
                        <a:xfrm>
                          <a:off x="0" y="0"/>
                          <a:ext cx="8201025" cy="557530"/>
                        </a:xfrm>
                        <a:prstGeom prst="rect">
                          <a:avLst/>
                        </a:prstGeom>
                        <a:noFill/>
                        <a:ln w="6350">
                          <a:noFill/>
                        </a:ln>
                      </wps:spPr>
                      <wps:txbx>
                        <w:txbxContent>
                          <w:p w14:paraId="20794C7B">
                            <w:pPr>
                              <w:rPr>
                                <w:rFonts w:hint="default" w:ascii="方正小标宋简体" w:eastAsia="方正小标宋简体"/>
                                <w:sz w:val="44"/>
                                <w:szCs w:val="44"/>
                                <w:lang w:val="en-US" w:eastAsia="zh-CN"/>
                              </w:rPr>
                            </w:pPr>
                            <w:r>
                              <w:rPr>
                                <w:rFonts w:hint="eastAsia" w:ascii="方正小标宋简体" w:eastAsia="方正小标宋简体"/>
                                <w:sz w:val="44"/>
                                <w:szCs w:val="44"/>
                              </w:rPr>
                              <w:t>绿色建筑设计说明专篇（</w:t>
                            </w:r>
                            <w:r>
                              <w:rPr>
                                <w:rFonts w:ascii="方正小标宋简体" w:eastAsia="方正小标宋简体"/>
                                <w:sz w:val="44"/>
                                <w:szCs w:val="44"/>
                              </w:rPr>
                              <w:t>GB/T50738-2019</w:t>
                            </w:r>
                            <w:r>
                              <w:rPr>
                                <w:rFonts w:hint="eastAsia" w:ascii="方正小标宋简体" w:eastAsia="方正小标宋简体"/>
                                <w:sz w:val="44"/>
                                <w:szCs w:val="44"/>
                              </w:rPr>
                              <w:t>）</w:t>
                            </w:r>
                          </w:p>
                        </w:txbxContent>
                      </wps:txbx>
                      <wps:bodyPr upright="1"/>
                    </wps:wsp>
                  </a:graphicData>
                </a:graphic>
              </wp:anchor>
            </w:drawing>
          </mc:Choice>
          <mc:Fallback>
            <w:pict>
              <v:shape id="文本框 3" o:spid="_x0000_s1026" o:spt="202" type="#_x0000_t202" style="position:absolute;left:0pt;margin-left:435.3pt;margin-top:36.35pt;height:43.9pt;width:645.75pt;mso-position-vertical-relative:page;z-index:251660288;mso-width-relative:page;mso-height-relative:page;" filled="f" stroked="f" coordsize="21600,21600" o:gfxdata="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uOQuV2wAAAAsBAAAPAAAAAAAAAAEAIAAAACIAAABkcnMvZG93bnJldi54bWxQSwECFAAU&#10;AAAACACHTuJAeFObirUBAABXAwAADgAAAAAAAAABACAAAAAqAQAAZHJzL2Uyb0RvYy54bWxQSwUG&#10;AAAAAAYABgBZAQAAUQUAAAAA&#10;">
                <v:fill on="f" focussize="0,0"/>
                <v:stroke on="f" weight="0.5pt"/>
                <v:imagedata o:title=""/>
                <o:lock v:ext="edit" aspectratio="f"/>
                <v:textbox>
                  <w:txbxContent>
                    <w:p w14:paraId="20794C7B">
                      <w:pPr>
                        <w:rPr>
                          <w:rFonts w:hint="default" w:ascii="方正小标宋简体" w:eastAsia="方正小标宋简体"/>
                          <w:sz w:val="44"/>
                          <w:szCs w:val="44"/>
                          <w:lang w:val="en-US" w:eastAsia="zh-CN"/>
                        </w:rPr>
                      </w:pPr>
                      <w:r>
                        <w:rPr>
                          <w:rFonts w:hint="eastAsia" w:ascii="方正小标宋简体" w:eastAsia="方正小标宋简体"/>
                          <w:sz w:val="44"/>
                          <w:szCs w:val="44"/>
                        </w:rPr>
                        <w:t>绿色建筑设计说明专篇（</w:t>
                      </w:r>
                      <w:r>
                        <w:rPr>
                          <w:rFonts w:ascii="方正小标宋简体" w:eastAsia="方正小标宋简体"/>
                          <w:sz w:val="44"/>
                          <w:szCs w:val="44"/>
                        </w:rPr>
                        <w:t>GB/T50738-2019</w:t>
                      </w:r>
                      <w:r>
                        <w:rPr>
                          <w:rFonts w:hint="eastAsia" w:ascii="方正小标宋简体" w:eastAsia="方正小标宋简体"/>
                          <w:sz w:val="44"/>
                          <w:szCs w:val="44"/>
                        </w:rPr>
                        <w:t>）</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-102870</wp:posOffset>
                </wp:positionH>
                <wp:positionV relativeFrom="paragraph">
                  <wp:posOffset>-592455</wp:posOffset>
                </wp:positionV>
                <wp:extent cx="1114425" cy="59055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114425" cy="590550"/>
                        </a:xfrm>
                        <a:prstGeom prst="rect">
                          <a:avLst/>
                        </a:prstGeom>
                        <a:noFill/>
                        <a:ln w="6350">
                          <a:noFill/>
                        </a:ln>
                      </wps:spPr>
                      <wps:txbx>
                        <w:txbxContent>
                          <w:p w14:paraId="7CA12CAE">
                            <w:pPr>
                              <w:rPr>
                                <w:rFonts w:ascii="黑体" w:hAnsi="黑体" w:eastAsia="黑体"/>
                                <w:sz w:val="44"/>
                                <w:szCs w:val="44"/>
                              </w:rPr>
                            </w:pPr>
                            <w:r>
                              <w:rPr>
                                <w:rFonts w:hint="eastAsia" w:ascii="黑体" w:hAnsi="黑体" w:eastAsia="黑体"/>
                                <w:sz w:val="44"/>
                                <w:szCs w:val="44"/>
                              </w:rPr>
                              <w:t>附件</w:t>
                            </w:r>
                          </w:p>
                        </w:txbxContent>
                      </wps:txbx>
                      <wps:bodyPr upright="1"/>
                    </wps:wsp>
                  </a:graphicData>
                </a:graphic>
              </wp:anchor>
            </w:drawing>
          </mc:Choice>
          <mc:Fallback>
            <w:pict>
              <v:shape id="文本框 2" o:spid="_x0000_s1026" o:spt="202" type="#_x0000_t202" style="position:absolute;left:0pt;margin-left:-8.1pt;margin-top:-46.65pt;height:46.5pt;width:87.75pt;z-index:251659264;mso-width-relative:page;mso-height-relative:page;" filled="f" stroked="f" coordsize="21600,21600" o:gfxdata="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3e/EH2gAAAAkBAAAPAAAAAAAAAAEAIAAAACIAAABkcnMvZG93bnJldi54bWxQSwECFAAUAAAA&#10;CACHTuJAJG8tAbMBAABXAwAADgAAAAAAAAABACAAAAApAQAAZHJzL2Uyb0RvYy54bWxQSwUGAAAA&#10;AAYABgBZAQAATgUAAAAA&#10;">
                <v:fill on="f" focussize="0,0"/>
                <v:stroke on="f" weight="0.5pt"/>
                <v:imagedata o:title=""/>
                <o:lock v:ext="edit" aspectratio="f"/>
                <v:textbox>
                  <w:txbxContent>
                    <w:p w14:paraId="7CA12CAE">
                      <w:pPr>
                        <w:rPr>
                          <w:rFonts w:ascii="黑体" w:hAnsi="黑体" w:eastAsia="黑体"/>
                          <w:sz w:val="44"/>
                          <w:szCs w:val="44"/>
                        </w:rPr>
                      </w:pPr>
                      <w:r>
                        <w:rPr>
                          <w:rFonts w:hint="eastAsia" w:ascii="黑体" w:hAnsi="黑体" w:eastAsia="黑体"/>
                          <w:sz w:val="44"/>
                          <w:szCs w:val="44"/>
                        </w:rPr>
                        <w:t>附件</w:t>
                      </w:r>
                    </w:p>
                  </w:txbxContent>
                </v:textbox>
              </v:shape>
            </w:pict>
          </mc:Fallback>
        </mc:AlternateContent>
      </w:r>
    </w:p>
    <w:p w14:paraId="57286937">
      <w:pPr>
        <w:jc w:val="left"/>
        <w:outlineLvl w:val="0"/>
        <w:rPr>
          <w:rFonts w:ascii="黑体" w:hAnsi="黑体" w:eastAsia="黑体"/>
          <w:b/>
          <w:sz w:val="26"/>
          <w:szCs w:val="26"/>
        </w:rPr>
      </w:pPr>
      <w:r>
        <w:rPr>
          <w:rFonts w:hint="eastAsia" w:ascii="黑体" w:hAnsi="黑体" w:eastAsia="黑体"/>
          <w:b/>
          <w:sz w:val="26"/>
          <w:szCs w:val="26"/>
        </w:rPr>
        <w:t>一、设计依据</w:t>
      </w:r>
    </w:p>
    <w:p w14:paraId="18AFCC46">
      <w:pPr>
        <w:numPr>
          <w:ilvl w:val="0"/>
          <w:numId w:val="1"/>
        </w:numPr>
        <w:snapToGrid w:val="0"/>
        <w:spacing w:line="264" w:lineRule="auto"/>
        <w:jc w:val="left"/>
        <w:outlineLvl w:val="1"/>
        <w:rPr>
          <w:rFonts w:ascii="宋体"/>
          <w:szCs w:val="21"/>
        </w:rPr>
      </w:pPr>
      <w:r>
        <w:rPr>
          <w:rFonts w:hint="eastAsia" w:ascii="宋体" w:hAnsi="宋体"/>
          <w:szCs w:val="21"/>
        </w:rPr>
        <w:t>《绿色建筑评价标准》</w:t>
      </w:r>
      <w:r>
        <w:rPr>
          <w:rFonts w:ascii="宋体" w:hAnsi="宋体"/>
          <w:szCs w:val="21"/>
        </w:rPr>
        <w:t>GB/T50378</w:t>
      </w:r>
      <w:r>
        <w:rPr>
          <w:rFonts w:hint="eastAsia" w:ascii="宋体" w:hAnsi="宋体"/>
          <w:szCs w:val="21"/>
        </w:rPr>
        <w:t>-2019</w:t>
      </w:r>
    </w:p>
    <w:p w14:paraId="54BD0932">
      <w:pPr>
        <w:numPr>
          <w:ilvl w:val="0"/>
          <w:numId w:val="1"/>
        </w:numPr>
        <w:snapToGrid w:val="0"/>
        <w:spacing w:line="264" w:lineRule="auto"/>
        <w:jc w:val="left"/>
        <w:outlineLvl w:val="1"/>
        <w:rPr>
          <w:rFonts w:ascii="宋体"/>
          <w:szCs w:val="21"/>
        </w:rPr>
      </w:pPr>
      <w:r>
        <w:rPr>
          <w:rFonts w:hint="eastAsia" w:ascii="宋体" w:hAnsi="宋体"/>
          <w:szCs w:val="21"/>
        </w:rPr>
        <w:t>《广东省绿色建筑设计规范》DBJ T 15-201-2020</w:t>
      </w:r>
    </w:p>
    <w:p w14:paraId="4A331853">
      <w:pPr>
        <w:numPr>
          <w:ilvl w:val="0"/>
          <w:numId w:val="1"/>
        </w:numPr>
        <w:snapToGrid w:val="0"/>
        <w:spacing w:line="264" w:lineRule="auto"/>
        <w:jc w:val="left"/>
        <w:outlineLvl w:val="1"/>
        <w:rPr>
          <w:rFonts w:ascii="宋体"/>
          <w:szCs w:val="21"/>
        </w:rPr>
      </w:pPr>
      <w:r>
        <w:rPr>
          <w:rFonts w:hint="eastAsia" w:ascii="宋体" w:hAnsi="宋体"/>
          <w:szCs w:val="21"/>
        </w:rPr>
        <w:t>《民用建筑绿色设计规范》</w:t>
      </w:r>
      <w:r>
        <w:rPr>
          <w:rFonts w:ascii="宋体" w:hAnsi="宋体"/>
          <w:szCs w:val="21"/>
        </w:rPr>
        <w:t>JGJ/T229</w:t>
      </w:r>
      <w:r>
        <w:rPr>
          <w:rFonts w:hint="eastAsia" w:ascii="宋体" w:hAnsi="宋体"/>
          <w:szCs w:val="21"/>
        </w:rPr>
        <w:t>-2010</w:t>
      </w:r>
    </w:p>
    <w:p w14:paraId="2DF5A6DE">
      <w:pPr>
        <w:numPr>
          <w:ilvl w:val="0"/>
          <w:numId w:val="1"/>
        </w:numPr>
        <w:snapToGrid w:val="0"/>
        <w:spacing w:line="264" w:lineRule="auto"/>
        <w:jc w:val="left"/>
        <w:outlineLvl w:val="1"/>
        <w:rPr>
          <w:rFonts w:ascii="宋体"/>
          <w:szCs w:val="21"/>
        </w:rPr>
      </w:pPr>
      <w:r>
        <w:rPr>
          <w:rFonts w:hint="eastAsia" w:ascii="宋体" w:hAnsi="宋体"/>
          <w:szCs w:val="21"/>
        </w:rPr>
        <w:t>《公共建筑节能设计标准》</w:t>
      </w:r>
      <w:r>
        <w:rPr>
          <w:rFonts w:ascii="宋体" w:hAnsi="宋体"/>
          <w:szCs w:val="21"/>
        </w:rPr>
        <w:t>GB50189</w:t>
      </w:r>
      <w:r>
        <w:rPr>
          <w:rFonts w:hint="eastAsia" w:ascii="宋体" w:hAnsi="宋体"/>
          <w:szCs w:val="21"/>
        </w:rPr>
        <w:t>-2015</w:t>
      </w:r>
    </w:p>
    <w:p w14:paraId="0B791BB0">
      <w:pPr>
        <w:numPr>
          <w:ilvl w:val="0"/>
          <w:numId w:val="1"/>
        </w:numPr>
        <w:snapToGrid w:val="0"/>
        <w:spacing w:line="264" w:lineRule="auto"/>
        <w:jc w:val="left"/>
        <w:outlineLvl w:val="1"/>
        <w:rPr>
          <w:rFonts w:ascii="宋体"/>
          <w:szCs w:val="21"/>
        </w:rPr>
      </w:pPr>
      <w:r>
        <w:rPr>
          <w:rFonts w:hint="eastAsia" w:ascii="宋体" w:hAnsi="宋体"/>
          <w:szCs w:val="21"/>
        </w:rPr>
        <w:t>《夏热冬暖地区居住建筑节能设计标准》</w:t>
      </w:r>
      <w:r>
        <w:rPr>
          <w:rFonts w:ascii="宋体" w:hAnsi="宋体"/>
          <w:szCs w:val="21"/>
        </w:rPr>
        <w:t>JGJ75</w:t>
      </w:r>
      <w:r>
        <w:rPr>
          <w:rFonts w:hint="eastAsia" w:ascii="宋体" w:hAnsi="宋体"/>
          <w:szCs w:val="21"/>
        </w:rPr>
        <w:t>-2012</w:t>
      </w:r>
    </w:p>
    <w:p w14:paraId="64382CD9">
      <w:pPr>
        <w:numPr>
          <w:ilvl w:val="0"/>
          <w:numId w:val="1"/>
        </w:numPr>
        <w:snapToGrid w:val="0"/>
        <w:spacing w:line="264" w:lineRule="auto"/>
        <w:jc w:val="left"/>
        <w:outlineLvl w:val="1"/>
        <w:rPr>
          <w:rFonts w:ascii="宋体"/>
          <w:szCs w:val="21"/>
        </w:rPr>
      </w:pPr>
      <w:r>
        <w:rPr>
          <w:rFonts w:hint="eastAsia" w:ascii="宋体" w:hAnsi="宋体"/>
          <w:szCs w:val="21"/>
        </w:rPr>
        <w:t>《广东省居住建筑节能设计标准》</w:t>
      </w:r>
      <w:r>
        <w:rPr>
          <w:rFonts w:ascii="宋体" w:hAnsi="宋体"/>
          <w:szCs w:val="21"/>
        </w:rPr>
        <w:t>DBJ/T15-133</w:t>
      </w:r>
      <w:r>
        <w:rPr>
          <w:rFonts w:hint="eastAsia" w:ascii="宋体" w:hAnsi="宋体"/>
          <w:szCs w:val="21"/>
        </w:rPr>
        <w:t>-2018</w:t>
      </w:r>
    </w:p>
    <w:p w14:paraId="16AA8793">
      <w:pPr>
        <w:numPr>
          <w:ilvl w:val="0"/>
          <w:numId w:val="1"/>
        </w:numPr>
        <w:snapToGrid w:val="0"/>
        <w:spacing w:line="264" w:lineRule="auto"/>
        <w:jc w:val="left"/>
        <w:outlineLvl w:val="1"/>
        <w:rPr>
          <w:rFonts w:ascii="宋体"/>
          <w:szCs w:val="21"/>
        </w:rPr>
      </w:pPr>
      <w:r>
        <w:rPr>
          <w:rFonts w:hint="eastAsia" w:ascii="宋体" w:hAnsi="宋体"/>
          <w:szCs w:val="21"/>
        </w:rPr>
        <w:t>《声环境质量标准》</w:t>
      </w:r>
      <w:r>
        <w:rPr>
          <w:rFonts w:ascii="宋体" w:hAnsi="宋体"/>
          <w:szCs w:val="21"/>
        </w:rPr>
        <w:t>GB3096</w:t>
      </w:r>
      <w:r>
        <w:rPr>
          <w:rFonts w:hint="eastAsia" w:ascii="宋体" w:hAnsi="宋体"/>
          <w:szCs w:val="21"/>
        </w:rPr>
        <w:t>-2008</w:t>
      </w:r>
    </w:p>
    <w:p w14:paraId="5B9522C9">
      <w:pPr>
        <w:numPr>
          <w:ilvl w:val="0"/>
          <w:numId w:val="1"/>
        </w:numPr>
        <w:snapToGrid w:val="0"/>
        <w:spacing w:line="264" w:lineRule="auto"/>
        <w:jc w:val="left"/>
        <w:outlineLvl w:val="1"/>
        <w:rPr>
          <w:rFonts w:ascii="宋体"/>
          <w:szCs w:val="21"/>
        </w:rPr>
      </w:pPr>
      <w:r>
        <w:rPr>
          <w:rFonts w:hint="eastAsia" w:ascii="宋体" w:hAnsi="宋体"/>
          <w:szCs w:val="21"/>
        </w:rPr>
        <w:t>《民用建筑隔声设计规范》</w:t>
      </w:r>
      <w:r>
        <w:rPr>
          <w:rFonts w:ascii="宋体" w:hAnsi="宋体"/>
          <w:szCs w:val="21"/>
        </w:rPr>
        <w:t>GB50118</w:t>
      </w:r>
      <w:r>
        <w:rPr>
          <w:rFonts w:hint="eastAsia" w:ascii="宋体" w:hAnsi="宋体"/>
          <w:szCs w:val="21"/>
        </w:rPr>
        <w:t>-2010</w:t>
      </w:r>
    </w:p>
    <w:p w14:paraId="3679A1BB">
      <w:pPr>
        <w:numPr>
          <w:ilvl w:val="0"/>
          <w:numId w:val="1"/>
        </w:numPr>
        <w:snapToGrid w:val="0"/>
        <w:spacing w:line="264" w:lineRule="auto"/>
        <w:jc w:val="left"/>
        <w:outlineLvl w:val="1"/>
        <w:rPr>
          <w:rFonts w:ascii="宋体"/>
          <w:szCs w:val="21"/>
        </w:rPr>
      </w:pPr>
      <w:r>
        <w:rPr>
          <w:rFonts w:hint="eastAsia" w:ascii="宋体" w:hAnsi="宋体"/>
          <w:szCs w:val="21"/>
        </w:rPr>
        <w:t>《建筑采光设计标准》</w:t>
      </w:r>
      <w:r>
        <w:rPr>
          <w:rFonts w:ascii="宋体" w:hAnsi="宋体"/>
          <w:szCs w:val="21"/>
        </w:rPr>
        <w:t>GB50033</w:t>
      </w:r>
      <w:r>
        <w:rPr>
          <w:rFonts w:hint="eastAsia" w:ascii="宋体" w:hAnsi="宋体"/>
          <w:szCs w:val="21"/>
        </w:rPr>
        <w:t>-2013</w:t>
      </w:r>
    </w:p>
    <w:p w14:paraId="47F9B3F3">
      <w:pPr>
        <w:numPr>
          <w:ilvl w:val="0"/>
          <w:numId w:val="1"/>
        </w:numPr>
        <w:snapToGrid w:val="0"/>
        <w:spacing w:line="264" w:lineRule="auto"/>
        <w:jc w:val="left"/>
        <w:outlineLvl w:val="1"/>
        <w:rPr>
          <w:rFonts w:ascii="宋体"/>
          <w:szCs w:val="21"/>
        </w:rPr>
      </w:pPr>
      <w:r>
        <w:rPr>
          <w:rFonts w:hint="eastAsia" w:ascii="宋体" w:hAnsi="宋体"/>
          <w:szCs w:val="21"/>
        </w:rPr>
        <w:t>《民用建筑热工设计规范》</w:t>
      </w:r>
      <w:r>
        <w:rPr>
          <w:rFonts w:ascii="宋体" w:hAnsi="宋体"/>
          <w:szCs w:val="21"/>
        </w:rPr>
        <w:t>GB50176</w:t>
      </w:r>
      <w:r>
        <w:rPr>
          <w:rFonts w:hint="eastAsia" w:ascii="宋体" w:hAnsi="宋体"/>
          <w:szCs w:val="21"/>
        </w:rPr>
        <w:t>-2016</w:t>
      </w:r>
    </w:p>
    <w:p w14:paraId="09B61781">
      <w:pPr>
        <w:numPr>
          <w:ilvl w:val="0"/>
          <w:numId w:val="1"/>
        </w:numPr>
        <w:snapToGrid w:val="0"/>
        <w:spacing w:line="264" w:lineRule="auto"/>
        <w:jc w:val="left"/>
        <w:outlineLvl w:val="1"/>
        <w:rPr>
          <w:rFonts w:ascii="宋体"/>
          <w:szCs w:val="21"/>
        </w:rPr>
      </w:pPr>
      <w:r>
        <w:rPr>
          <w:rFonts w:hint="eastAsia" w:ascii="宋体" w:hAnsi="宋体"/>
          <w:szCs w:val="21"/>
        </w:rPr>
        <w:t>《民用建筑节水设计标准》</w:t>
      </w:r>
      <w:r>
        <w:rPr>
          <w:rFonts w:ascii="宋体" w:hAnsi="宋体"/>
          <w:szCs w:val="21"/>
        </w:rPr>
        <w:t>GB50555</w:t>
      </w:r>
      <w:r>
        <w:rPr>
          <w:rFonts w:hint="eastAsia" w:ascii="宋体" w:hAnsi="宋体"/>
          <w:szCs w:val="21"/>
        </w:rPr>
        <w:t>-2010</w:t>
      </w:r>
    </w:p>
    <w:p w14:paraId="7A3C0DB4">
      <w:pPr>
        <w:numPr>
          <w:ilvl w:val="0"/>
          <w:numId w:val="1"/>
        </w:numPr>
        <w:snapToGrid w:val="0"/>
        <w:spacing w:line="264" w:lineRule="auto"/>
        <w:jc w:val="left"/>
        <w:outlineLvl w:val="1"/>
        <w:rPr>
          <w:rFonts w:ascii="宋体"/>
          <w:szCs w:val="21"/>
        </w:rPr>
      </w:pPr>
      <w:r>
        <w:rPr>
          <w:rFonts w:hint="eastAsia" w:ascii="宋体" w:hAnsi="宋体"/>
          <w:szCs w:val="21"/>
        </w:rPr>
        <w:t>《城市污水再生利用</w:t>
      </w:r>
      <w:r>
        <w:rPr>
          <w:rFonts w:ascii="宋体" w:hAnsi="宋体"/>
          <w:szCs w:val="21"/>
        </w:rPr>
        <w:t xml:space="preserve"> </w:t>
      </w:r>
      <w:r>
        <w:rPr>
          <w:rFonts w:hint="eastAsia" w:ascii="宋体" w:hAnsi="宋体"/>
          <w:szCs w:val="21"/>
        </w:rPr>
        <w:t>城市杂用水水质》</w:t>
      </w:r>
      <w:r>
        <w:rPr>
          <w:rFonts w:ascii="宋体" w:hAnsi="宋体"/>
          <w:szCs w:val="21"/>
        </w:rPr>
        <w:t>GB/T18920</w:t>
      </w:r>
      <w:r>
        <w:rPr>
          <w:rFonts w:hint="eastAsia" w:ascii="宋体" w:hAnsi="宋体"/>
          <w:szCs w:val="21"/>
        </w:rPr>
        <w:t>-20</w:t>
      </w:r>
      <w:r>
        <w:rPr>
          <w:rFonts w:ascii="宋体" w:hAnsi="宋体"/>
          <w:szCs w:val="21"/>
        </w:rPr>
        <w:t>20</w:t>
      </w:r>
    </w:p>
    <w:p w14:paraId="26D43C98">
      <w:pPr>
        <w:numPr>
          <w:ilvl w:val="0"/>
          <w:numId w:val="1"/>
        </w:numPr>
        <w:snapToGrid w:val="0"/>
        <w:spacing w:line="264" w:lineRule="auto"/>
        <w:jc w:val="left"/>
        <w:outlineLvl w:val="1"/>
        <w:rPr>
          <w:rFonts w:ascii="宋体"/>
          <w:szCs w:val="21"/>
        </w:rPr>
      </w:pPr>
      <w:r>
        <w:rPr>
          <w:rFonts w:hint="eastAsia" w:ascii="宋体" w:hAnsi="宋体"/>
          <w:szCs w:val="21"/>
        </w:rPr>
        <w:t>《室外排水设计标准》</w:t>
      </w:r>
      <w:r>
        <w:rPr>
          <w:rFonts w:ascii="宋体" w:hAnsi="宋体"/>
          <w:szCs w:val="21"/>
        </w:rPr>
        <w:t>GB50014</w:t>
      </w:r>
      <w:r>
        <w:rPr>
          <w:rFonts w:hint="eastAsia" w:ascii="宋体" w:hAnsi="宋体"/>
          <w:szCs w:val="21"/>
        </w:rPr>
        <w:t>-</w:t>
      </w:r>
      <w:r>
        <w:rPr>
          <w:rFonts w:ascii="宋体" w:hAnsi="宋体"/>
          <w:szCs w:val="21"/>
        </w:rPr>
        <w:t>2021</w:t>
      </w:r>
    </w:p>
    <w:p w14:paraId="0C1C9762">
      <w:pPr>
        <w:numPr>
          <w:ilvl w:val="0"/>
          <w:numId w:val="1"/>
        </w:numPr>
        <w:snapToGrid w:val="0"/>
        <w:spacing w:line="264" w:lineRule="auto"/>
        <w:jc w:val="left"/>
        <w:outlineLvl w:val="1"/>
        <w:rPr>
          <w:rFonts w:ascii="宋体"/>
          <w:szCs w:val="21"/>
        </w:rPr>
      </w:pPr>
      <w:r>
        <w:rPr>
          <w:rFonts w:hint="eastAsia" w:ascii="宋体" w:hAnsi="宋体"/>
          <w:szCs w:val="21"/>
        </w:rPr>
        <w:t>《室外给水设计标准》</w:t>
      </w:r>
      <w:r>
        <w:rPr>
          <w:rFonts w:ascii="宋体" w:hAnsi="宋体"/>
          <w:szCs w:val="21"/>
        </w:rPr>
        <w:t>GB50013</w:t>
      </w:r>
      <w:r>
        <w:rPr>
          <w:rFonts w:hint="eastAsia" w:ascii="宋体" w:hAnsi="宋体"/>
          <w:szCs w:val="21"/>
        </w:rPr>
        <w:t>-2018</w:t>
      </w:r>
    </w:p>
    <w:p w14:paraId="743C85ED">
      <w:pPr>
        <w:numPr>
          <w:ilvl w:val="0"/>
          <w:numId w:val="1"/>
        </w:numPr>
        <w:snapToGrid w:val="0"/>
        <w:spacing w:line="264" w:lineRule="auto"/>
        <w:jc w:val="left"/>
        <w:outlineLvl w:val="1"/>
        <w:rPr>
          <w:rFonts w:ascii="宋体"/>
          <w:szCs w:val="21"/>
        </w:rPr>
      </w:pPr>
      <w:r>
        <w:rPr>
          <w:rFonts w:hint="eastAsia" w:ascii="宋体" w:hAnsi="宋体"/>
          <w:szCs w:val="21"/>
        </w:rPr>
        <w:t>《建筑给水排水设计标准》</w:t>
      </w:r>
      <w:r>
        <w:rPr>
          <w:rFonts w:ascii="宋体" w:hAnsi="宋体"/>
          <w:szCs w:val="21"/>
        </w:rPr>
        <w:t>GB50015</w:t>
      </w:r>
      <w:r>
        <w:rPr>
          <w:rFonts w:hint="eastAsia" w:ascii="宋体" w:hAnsi="宋体"/>
          <w:szCs w:val="21"/>
        </w:rPr>
        <w:t>-2019</w:t>
      </w:r>
    </w:p>
    <w:p w14:paraId="2D48AEAF">
      <w:pPr>
        <w:numPr>
          <w:ilvl w:val="0"/>
          <w:numId w:val="1"/>
        </w:numPr>
        <w:snapToGrid w:val="0"/>
        <w:spacing w:line="264" w:lineRule="auto"/>
        <w:jc w:val="left"/>
        <w:outlineLvl w:val="1"/>
        <w:rPr>
          <w:rFonts w:ascii="宋体"/>
          <w:szCs w:val="21"/>
        </w:rPr>
      </w:pPr>
      <w:r>
        <w:rPr>
          <w:rFonts w:hint="eastAsia" w:ascii="宋体" w:hAnsi="宋体"/>
          <w:szCs w:val="21"/>
        </w:rPr>
        <w:t>《民用建筑供暖通风与空气调节设计规范》</w:t>
      </w:r>
      <w:r>
        <w:rPr>
          <w:rFonts w:ascii="宋体" w:hAnsi="宋体"/>
          <w:szCs w:val="21"/>
        </w:rPr>
        <w:t>GB50736</w:t>
      </w:r>
      <w:r>
        <w:rPr>
          <w:rFonts w:hint="eastAsia" w:ascii="宋体" w:hAnsi="宋体"/>
          <w:szCs w:val="21"/>
        </w:rPr>
        <w:t>-2012</w:t>
      </w:r>
    </w:p>
    <w:p w14:paraId="122035C4">
      <w:pPr>
        <w:numPr>
          <w:ilvl w:val="0"/>
          <w:numId w:val="1"/>
        </w:numPr>
        <w:snapToGrid w:val="0"/>
        <w:spacing w:line="264" w:lineRule="auto"/>
        <w:jc w:val="left"/>
        <w:outlineLvl w:val="1"/>
        <w:rPr>
          <w:rFonts w:ascii="宋体"/>
          <w:szCs w:val="21"/>
        </w:rPr>
      </w:pPr>
      <w:r>
        <w:rPr>
          <w:rFonts w:hint="eastAsia" w:ascii="宋体" w:hAnsi="宋体"/>
          <w:szCs w:val="21"/>
        </w:rPr>
        <w:t>《智能建筑设计标准》</w:t>
      </w:r>
      <w:r>
        <w:rPr>
          <w:rFonts w:ascii="宋体" w:hAnsi="宋体"/>
          <w:szCs w:val="21"/>
        </w:rPr>
        <w:t>GB/T50314</w:t>
      </w:r>
      <w:r>
        <w:rPr>
          <w:rFonts w:hint="eastAsia" w:ascii="宋体" w:hAnsi="宋体"/>
          <w:szCs w:val="21"/>
        </w:rPr>
        <w:t>-2015</w:t>
      </w:r>
    </w:p>
    <w:p w14:paraId="0FBC5119">
      <w:pPr>
        <w:numPr>
          <w:ilvl w:val="0"/>
          <w:numId w:val="1"/>
        </w:numPr>
        <w:snapToGrid w:val="0"/>
        <w:spacing w:line="264" w:lineRule="auto"/>
        <w:jc w:val="left"/>
        <w:outlineLvl w:val="1"/>
        <w:rPr>
          <w:rFonts w:ascii="宋体"/>
          <w:szCs w:val="21"/>
        </w:rPr>
      </w:pPr>
      <w:r>
        <w:rPr>
          <w:rFonts w:hint="eastAsia" w:ascii="宋体" w:hAnsi="宋体"/>
          <w:szCs w:val="21"/>
        </w:rPr>
        <w:t>《民用建筑电气设计标准》</w:t>
      </w:r>
      <w:r>
        <w:rPr>
          <w:rFonts w:ascii="宋体" w:hAnsi="宋体"/>
          <w:szCs w:val="21"/>
        </w:rPr>
        <w:t>GB51348-2019</w:t>
      </w:r>
    </w:p>
    <w:p w14:paraId="4D8B94F2">
      <w:pPr>
        <w:numPr>
          <w:ilvl w:val="0"/>
          <w:numId w:val="1"/>
        </w:numPr>
        <w:snapToGrid w:val="0"/>
        <w:spacing w:line="264" w:lineRule="auto"/>
        <w:jc w:val="left"/>
        <w:outlineLvl w:val="1"/>
        <w:rPr>
          <w:rFonts w:ascii="宋体"/>
          <w:szCs w:val="21"/>
        </w:rPr>
      </w:pPr>
      <w:r>
        <w:rPr>
          <w:rFonts w:hint="eastAsia" w:ascii="宋体" w:hAnsi="宋体"/>
          <w:szCs w:val="21"/>
        </w:rPr>
        <w:t>《建筑照明设计标准》</w:t>
      </w:r>
      <w:r>
        <w:rPr>
          <w:rFonts w:ascii="宋体" w:hAnsi="宋体"/>
          <w:szCs w:val="21"/>
        </w:rPr>
        <w:t>GB50034</w:t>
      </w:r>
      <w:r>
        <w:rPr>
          <w:rFonts w:hint="eastAsia" w:ascii="宋体" w:hAnsi="宋体"/>
          <w:szCs w:val="21"/>
        </w:rPr>
        <w:t>-20</w:t>
      </w:r>
      <w:r>
        <w:rPr>
          <w:rFonts w:hint="eastAsia" w:ascii="宋体" w:hAnsi="宋体"/>
          <w:szCs w:val="21"/>
          <w:lang w:val="en-US" w:eastAsia="zh-CN"/>
        </w:rPr>
        <w:t>24</w:t>
      </w:r>
    </w:p>
    <w:p w14:paraId="170F92E1">
      <w:pPr>
        <w:numPr>
          <w:ilvl w:val="0"/>
          <w:numId w:val="1"/>
        </w:numPr>
        <w:snapToGrid w:val="0"/>
        <w:spacing w:line="264" w:lineRule="auto"/>
        <w:jc w:val="left"/>
        <w:outlineLvl w:val="1"/>
        <w:rPr>
          <w:rFonts w:ascii="宋体"/>
          <w:szCs w:val="21"/>
        </w:rPr>
      </w:pPr>
      <w:r>
        <w:rPr>
          <w:rFonts w:hint="eastAsia" w:ascii="宋体" w:hAnsi="宋体"/>
          <w:szCs w:val="21"/>
        </w:rPr>
        <w:t>《城市夜景照明设计规范》</w:t>
      </w:r>
      <w:r>
        <w:rPr>
          <w:rFonts w:ascii="宋体" w:hAnsi="宋体"/>
          <w:szCs w:val="21"/>
        </w:rPr>
        <w:t>JGJ/T163</w:t>
      </w:r>
      <w:r>
        <w:rPr>
          <w:rFonts w:hint="eastAsia" w:ascii="宋体" w:hAnsi="宋体"/>
          <w:szCs w:val="21"/>
        </w:rPr>
        <w:t>-20</w:t>
      </w:r>
      <w:r>
        <w:rPr>
          <w:rFonts w:ascii="宋体" w:hAnsi="宋体"/>
          <w:szCs w:val="21"/>
        </w:rPr>
        <w:t>08</w:t>
      </w:r>
    </w:p>
    <w:p w14:paraId="2C29BBDF">
      <w:pPr>
        <w:numPr>
          <w:ilvl w:val="0"/>
          <w:numId w:val="1"/>
        </w:numPr>
        <w:snapToGrid w:val="0"/>
        <w:spacing w:line="264" w:lineRule="auto"/>
        <w:jc w:val="left"/>
        <w:outlineLvl w:val="1"/>
        <w:rPr>
          <w:rFonts w:ascii="宋体"/>
          <w:szCs w:val="21"/>
        </w:rPr>
      </w:pPr>
      <w:r>
        <w:rPr>
          <w:rFonts w:hint="eastAsia" w:ascii="宋体" w:hAnsi="宋体"/>
          <w:szCs w:val="21"/>
        </w:rPr>
        <w:t>《建筑幕墙》</w:t>
      </w:r>
      <w:r>
        <w:rPr>
          <w:rFonts w:ascii="宋体" w:hAnsi="宋体"/>
          <w:szCs w:val="21"/>
        </w:rPr>
        <w:t>GB21086</w:t>
      </w:r>
      <w:r>
        <w:rPr>
          <w:rFonts w:hint="eastAsia" w:ascii="宋体" w:hAnsi="宋体"/>
          <w:szCs w:val="21"/>
        </w:rPr>
        <w:t>-2007</w:t>
      </w:r>
    </w:p>
    <w:p w14:paraId="7B48A58B">
      <w:pPr>
        <w:numPr>
          <w:ilvl w:val="0"/>
          <w:numId w:val="1"/>
        </w:numPr>
        <w:snapToGrid w:val="0"/>
        <w:spacing w:line="264" w:lineRule="auto"/>
        <w:jc w:val="left"/>
        <w:outlineLvl w:val="1"/>
        <w:rPr>
          <w:rFonts w:ascii="宋体"/>
          <w:szCs w:val="21"/>
        </w:rPr>
      </w:pPr>
      <w:r>
        <w:rPr>
          <w:rFonts w:hint="eastAsia" w:ascii="宋体" w:hAnsi="宋体"/>
          <w:szCs w:val="21"/>
        </w:rPr>
        <w:t>《建筑外门窗气密、水密、抗风压性能检测方法》</w:t>
      </w:r>
      <w:r>
        <w:rPr>
          <w:rFonts w:ascii="宋体" w:hAnsi="宋体"/>
          <w:szCs w:val="21"/>
        </w:rPr>
        <w:t>GB</w:t>
      </w:r>
      <w:r>
        <w:rPr>
          <w:rFonts w:hint="eastAsia" w:ascii="宋体" w:hAnsi="宋体"/>
          <w:szCs w:val="21"/>
        </w:rPr>
        <w:t>/T</w:t>
      </w:r>
      <w:r>
        <w:rPr>
          <w:rFonts w:ascii="宋体" w:hAnsi="宋体"/>
          <w:szCs w:val="21"/>
        </w:rPr>
        <w:t>7106</w:t>
      </w:r>
      <w:r>
        <w:rPr>
          <w:rFonts w:hint="eastAsia" w:ascii="宋体" w:hAnsi="宋体"/>
          <w:szCs w:val="21"/>
        </w:rPr>
        <w:t>-20</w:t>
      </w:r>
      <w:r>
        <w:rPr>
          <w:rFonts w:ascii="宋体" w:hAnsi="宋体"/>
          <w:szCs w:val="21"/>
        </w:rPr>
        <w:t>19</w:t>
      </w:r>
    </w:p>
    <w:p w14:paraId="59F55BBE">
      <w:pPr>
        <w:numPr>
          <w:ilvl w:val="0"/>
          <w:numId w:val="1"/>
        </w:numPr>
        <w:snapToGrid w:val="0"/>
        <w:spacing w:line="264" w:lineRule="auto"/>
        <w:jc w:val="left"/>
        <w:outlineLvl w:val="1"/>
        <w:rPr>
          <w:rFonts w:ascii="宋体"/>
          <w:szCs w:val="21"/>
        </w:rPr>
      </w:pPr>
      <w:r>
        <w:rPr>
          <w:rFonts w:hint="eastAsia" w:ascii="宋体" w:hAnsi="宋体"/>
          <w:szCs w:val="21"/>
        </w:rPr>
        <w:t>《建筑门窗玻璃幕墙热工计算规程》</w:t>
      </w:r>
      <w:r>
        <w:rPr>
          <w:rFonts w:ascii="宋体" w:hAnsi="宋体"/>
          <w:szCs w:val="21"/>
        </w:rPr>
        <w:t>JGJ/T0151</w:t>
      </w:r>
      <w:r>
        <w:rPr>
          <w:rFonts w:hint="eastAsia" w:ascii="宋体" w:hAnsi="宋体"/>
          <w:szCs w:val="21"/>
        </w:rPr>
        <w:t>-2018</w:t>
      </w:r>
    </w:p>
    <w:p w14:paraId="4799ABDB">
      <w:pPr>
        <w:numPr>
          <w:ilvl w:val="0"/>
          <w:numId w:val="1"/>
        </w:numPr>
        <w:snapToGrid w:val="0"/>
        <w:spacing w:line="264" w:lineRule="auto"/>
        <w:jc w:val="left"/>
        <w:outlineLvl w:val="1"/>
        <w:rPr>
          <w:rFonts w:ascii="宋体"/>
          <w:szCs w:val="21"/>
        </w:rPr>
      </w:pPr>
      <w:r>
        <w:rPr>
          <w:rFonts w:hint="eastAsia" w:ascii="宋体" w:hAnsi="宋体"/>
          <w:szCs w:val="21"/>
        </w:rPr>
        <w:t>《城市居住区热环境设计标准》</w:t>
      </w:r>
      <w:r>
        <w:rPr>
          <w:rFonts w:ascii="宋体" w:hAnsi="宋体"/>
          <w:szCs w:val="21"/>
        </w:rPr>
        <w:t>JGJ286</w:t>
      </w:r>
      <w:r>
        <w:rPr>
          <w:rFonts w:hint="eastAsia" w:ascii="宋体" w:hAnsi="宋体"/>
          <w:szCs w:val="21"/>
        </w:rPr>
        <w:t>-2013</w:t>
      </w:r>
    </w:p>
    <w:p w14:paraId="17C0ACDF">
      <w:pPr>
        <w:numPr>
          <w:ilvl w:val="0"/>
          <w:numId w:val="1"/>
        </w:numPr>
        <w:snapToGrid w:val="0"/>
        <w:spacing w:line="264" w:lineRule="auto"/>
        <w:jc w:val="left"/>
        <w:outlineLvl w:val="1"/>
        <w:rPr>
          <w:rFonts w:ascii="宋体" w:hAnsi="Times New Roman"/>
          <w:szCs w:val="21"/>
        </w:rPr>
      </w:pPr>
      <w:r>
        <w:rPr>
          <w:rFonts w:hint="eastAsia" w:ascii="宋体" w:hAnsi="宋体"/>
          <w:szCs w:val="21"/>
        </w:rPr>
        <w:t>《建筑抗震设计规范》</w:t>
      </w:r>
      <w:r>
        <w:rPr>
          <w:rFonts w:ascii="宋体" w:hAnsi="宋体"/>
          <w:szCs w:val="21"/>
        </w:rPr>
        <w:t>GB50011</w:t>
      </w:r>
      <w:r>
        <w:rPr>
          <w:rFonts w:hint="eastAsia" w:ascii="宋体" w:hAnsi="宋体"/>
          <w:szCs w:val="21"/>
        </w:rPr>
        <w:t>-2010（2016年版）</w:t>
      </w:r>
    </w:p>
    <w:p w14:paraId="3970526E">
      <w:pPr>
        <w:numPr>
          <w:ilvl w:val="0"/>
          <w:numId w:val="1"/>
        </w:numPr>
        <w:snapToGrid w:val="0"/>
        <w:spacing w:line="264" w:lineRule="auto"/>
        <w:jc w:val="left"/>
        <w:outlineLvl w:val="1"/>
        <w:rPr>
          <w:rFonts w:ascii="宋体" w:hAnsi="Times New Roman"/>
          <w:szCs w:val="21"/>
        </w:rPr>
      </w:pPr>
      <w:r>
        <w:rPr>
          <w:rFonts w:hint="eastAsia" w:ascii="宋体" w:hAnsi="宋体"/>
          <w:szCs w:val="21"/>
        </w:rPr>
        <w:t>《建筑节能与可再生能源利用通用规范》G</w:t>
      </w:r>
      <w:r>
        <w:rPr>
          <w:rFonts w:ascii="宋体" w:hAnsi="宋体"/>
          <w:szCs w:val="21"/>
        </w:rPr>
        <w:t>B55015-2021</w:t>
      </w:r>
    </w:p>
    <w:p w14:paraId="279FB455">
      <w:pPr>
        <w:numPr>
          <w:ilvl w:val="0"/>
          <w:numId w:val="1"/>
        </w:numPr>
        <w:snapToGrid w:val="0"/>
        <w:spacing w:line="264" w:lineRule="auto"/>
        <w:jc w:val="left"/>
        <w:outlineLvl w:val="1"/>
        <w:rPr>
          <w:rFonts w:ascii="宋体" w:hAnsi="Times New Roman"/>
          <w:szCs w:val="21"/>
        </w:rPr>
      </w:pPr>
      <w:r>
        <w:rPr>
          <w:rFonts w:hint="eastAsia" w:ascii="宋体" w:hAnsi="宋体"/>
          <w:szCs w:val="21"/>
        </w:rPr>
        <w:t>《建筑环境通用规范》G</w:t>
      </w:r>
      <w:r>
        <w:rPr>
          <w:rFonts w:ascii="宋体" w:hAnsi="宋体"/>
          <w:szCs w:val="21"/>
        </w:rPr>
        <w:t>B55016-2021</w:t>
      </w:r>
    </w:p>
    <w:p w14:paraId="3A6DB8BE">
      <w:pPr>
        <w:numPr>
          <w:ilvl w:val="0"/>
          <w:numId w:val="1"/>
        </w:numPr>
        <w:snapToGrid w:val="0"/>
        <w:spacing w:line="264" w:lineRule="auto"/>
        <w:jc w:val="left"/>
        <w:outlineLvl w:val="1"/>
        <w:rPr>
          <w:rFonts w:ascii="宋体"/>
          <w:szCs w:val="21"/>
        </w:rPr>
      </w:pPr>
      <w:r>
        <w:rPr>
          <w:rFonts w:hint="eastAsia" w:ascii="宋体" w:hAnsi="宋体"/>
          <w:szCs w:val="21"/>
        </w:rPr>
        <w:t>《建筑给水排水与节水通用规范》G</w:t>
      </w:r>
      <w:r>
        <w:rPr>
          <w:rFonts w:ascii="宋体" w:hAnsi="宋体"/>
          <w:szCs w:val="21"/>
        </w:rPr>
        <w:t>B55020-2021</w:t>
      </w:r>
    </w:p>
    <w:p w14:paraId="54E16B62">
      <w:pPr>
        <w:numPr>
          <w:ilvl w:val="0"/>
          <w:numId w:val="1"/>
        </w:numPr>
        <w:snapToGrid w:val="0"/>
        <w:spacing w:line="264" w:lineRule="auto"/>
        <w:jc w:val="left"/>
        <w:outlineLvl w:val="1"/>
        <w:rPr>
          <w:rFonts w:ascii="Times New Roman" w:hAnsi="Times New Roman"/>
          <w:szCs w:val="21"/>
        </w:rPr>
      </w:pPr>
      <w:r>
        <w:rPr>
          <w:rFonts w:hint="eastAsia" w:ascii="Times New Roman" w:hAnsi="Times New Roman"/>
          <w:szCs w:val="21"/>
        </w:rPr>
        <w:t>《建筑幕墙、门窗通用技术条件》GB/T31433-2015</w:t>
      </w:r>
    </w:p>
    <w:p w14:paraId="27E97A24">
      <w:pPr>
        <w:numPr>
          <w:ilvl w:val="0"/>
          <w:numId w:val="1"/>
        </w:numPr>
        <w:snapToGrid w:val="0"/>
        <w:spacing w:line="264" w:lineRule="auto"/>
        <w:jc w:val="left"/>
        <w:outlineLvl w:val="1"/>
        <w:rPr>
          <w:rFonts w:ascii="宋体"/>
          <w:szCs w:val="21"/>
        </w:rPr>
      </w:pPr>
      <w:r>
        <w:rPr>
          <w:rFonts w:hint="eastAsia" w:ascii="宋体" w:hAnsi="宋体"/>
          <w:szCs w:val="21"/>
        </w:rPr>
        <w:t>国家、省、市现行的相关法律、法规、规范性文件</w:t>
      </w:r>
    </w:p>
    <w:p w14:paraId="57F3E7A8">
      <w:pPr>
        <w:jc w:val="left"/>
        <w:outlineLvl w:val="0"/>
        <w:rPr>
          <w:rFonts w:ascii="黑体" w:hAnsi="黑体" w:eastAsia="黑体"/>
          <w:b/>
          <w:sz w:val="26"/>
          <w:szCs w:val="26"/>
        </w:rPr>
      </w:pPr>
      <w:r>
        <w:rPr>
          <w:rFonts w:hint="eastAsia" w:ascii="黑体" w:hAnsi="黑体" w:eastAsia="黑体"/>
          <w:b/>
          <w:sz w:val="26"/>
          <w:szCs w:val="26"/>
        </w:rPr>
        <w:t>二、工程概况</w:t>
      </w:r>
    </w:p>
    <w:p w14:paraId="38B7A5C1">
      <w:pPr>
        <w:jc w:val="left"/>
        <w:outlineLvl w:val="1"/>
        <w:rPr>
          <w:rFonts w:ascii="Times New Roman" w:hAnsi="Times New Roman"/>
          <w:szCs w:val="21"/>
          <w:u w:val="single"/>
        </w:rPr>
      </w:pPr>
      <w:r>
        <w:rPr>
          <w:rFonts w:ascii="Times New Roman" w:hAnsi="Times New Roman"/>
          <w:szCs w:val="21"/>
        </w:rPr>
        <w:t>项目名称：</w:t>
      </w:r>
      <w:r>
        <w:rPr>
          <w:rFonts w:ascii="Times New Roman" w:hAnsi="Times New Roman"/>
          <w:szCs w:val="21"/>
          <w:u w:val="single"/>
        </w:rPr>
        <w:t xml:space="preserve"> </w:t>
      </w:r>
      <w:r>
        <w:rPr>
          <w:rFonts w:hint="eastAsia" w:ascii="宋体" w:hAnsi="宋体"/>
          <w:szCs w:val="21"/>
          <w:u w:val="single"/>
          <w:lang w:val="en-US" w:eastAsia="zh-CN"/>
        </w:rPr>
        <w:t>黄埔区妇幼保健院（广州开发区医院永和院区）新建项目</w:t>
      </w:r>
      <w:r>
        <w:rPr>
          <w:rFonts w:ascii="Times New Roman" w:hAnsi="Times New Roman"/>
          <w:szCs w:val="21"/>
          <w:u w:val="single"/>
        </w:rPr>
        <w:t xml:space="preserve">  </w:t>
      </w:r>
    </w:p>
    <w:p w14:paraId="491B69E5">
      <w:pPr>
        <w:jc w:val="left"/>
        <w:outlineLvl w:val="1"/>
        <w:rPr>
          <w:rFonts w:ascii="Times New Roman" w:hAnsi="Times New Roman"/>
          <w:szCs w:val="21"/>
          <w:u w:val="single"/>
        </w:rPr>
      </w:pPr>
      <w:r>
        <w:rPr>
          <w:rFonts w:ascii="Times New Roman" w:hAnsi="Times New Roman"/>
          <w:szCs w:val="21"/>
        </w:rPr>
        <w:t>项目地址：</w:t>
      </w:r>
      <w:r>
        <w:rPr>
          <w:rFonts w:ascii="Times New Roman" w:hAnsi="Times New Roman"/>
          <w:szCs w:val="21"/>
          <w:u w:val="single"/>
        </w:rPr>
        <w:t xml:space="preserve">  </w:t>
      </w:r>
      <w:r>
        <w:rPr>
          <w:rFonts w:hint="eastAsia" w:ascii="Times New Roman" w:hAnsi="Times New Roman"/>
          <w:szCs w:val="21"/>
          <w:u w:val="single"/>
        </w:rPr>
        <w:t>广州市黄埔区</w:t>
      </w:r>
      <w:r>
        <w:rPr>
          <w:rFonts w:ascii="Times New Roman" w:hAnsi="Times New Roman"/>
          <w:szCs w:val="21"/>
          <w:u w:val="single"/>
        </w:rPr>
        <w:t xml:space="preserve">         </w:t>
      </w:r>
    </w:p>
    <w:p w14:paraId="298A9CF9">
      <w:pPr>
        <w:jc w:val="left"/>
        <w:outlineLvl w:val="1"/>
        <w:rPr>
          <w:rFonts w:ascii="Times New Roman" w:hAnsi="Times New Roman"/>
          <w:szCs w:val="21"/>
        </w:rPr>
      </w:pPr>
      <w:r>
        <w:rPr>
          <w:rFonts w:ascii="Times New Roman" w:hAnsi="Times New Roman"/>
          <w:szCs w:val="21"/>
        </w:rPr>
        <w:t>建筑类型：</w:t>
      </w:r>
      <w:r>
        <w:rPr>
          <w:rFonts w:ascii="Times New Roman" w:hAnsi="Times New Roman"/>
          <w:szCs w:val="21"/>
          <w:u w:val="single"/>
        </w:rPr>
        <w:t xml:space="preserve">   </w:t>
      </w:r>
      <w:r>
        <w:rPr>
          <w:rFonts w:hint="eastAsia" w:ascii="Times New Roman" w:hAnsi="Times New Roman"/>
          <w:szCs w:val="21"/>
          <w:u w:val="single"/>
        </w:rPr>
        <w:t>公共</w:t>
      </w:r>
      <w:r>
        <w:rPr>
          <w:rFonts w:ascii="Times New Roman" w:hAnsi="Times New Roman"/>
          <w:szCs w:val="21"/>
          <w:u w:val="single"/>
        </w:rPr>
        <w:t xml:space="preserve">建筑   </w:t>
      </w:r>
      <w:r>
        <w:rPr>
          <w:rFonts w:ascii="Times New Roman" w:hAnsi="Times New Roman"/>
          <w:szCs w:val="21"/>
        </w:rPr>
        <w:t xml:space="preserve"> 建筑功能：</w:t>
      </w:r>
      <w:r>
        <w:rPr>
          <w:rFonts w:ascii="Times New Roman" w:hAnsi="Times New Roman"/>
          <w:szCs w:val="21"/>
          <w:u w:val="single"/>
        </w:rPr>
        <w:t xml:space="preserve">   </w:t>
      </w:r>
      <w:r>
        <w:rPr>
          <w:rFonts w:hint="eastAsia" w:ascii="Times New Roman" w:hAnsi="Times New Roman"/>
          <w:szCs w:val="21"/>
          <w:u w:val="single"/>
        </w:rPr>
        <w:t>医院</w:t>
      </w:r>
      <w:r>
        <w:rPr>
          <w:rFonts w:ascii="Times New Roman" w:hAnsi="Times New Roman"/>
          <w:szCs w:val="21"/>
          <w:u w:val="single"/>
        </w:rPr>
        <w:t xml:space="preserve">  </w:t>
      </w:r>
    </w:p>
    <w:p w14:paraId="24E7265F">
      <w:pPr>
        <w:jc w:val="left"/>
        <w:outlineLvl w:val="1"/>
        <w:rPr>
          <w:rFonts w:ascii="Times New Roman" w:hAnsi="Times New Roman"/>
          <w:szCs w:val="21"/>
        </w:rPr>
      </w:pPr>
      <w:r>
        <w:rPr>
          <w:rFonts w:ascii="Times New Roman" w:hAnsi="Times New Roman"/>
          <w:szCs w:val="21"/>
        </w:rPr>
        <w:t>项目用地面积：</w:t>
      </w:r>
      <w:r>
        <w:rPr>
          <w:rFonts w:ascii="Times New Roman" w:hAnsi="Times New Roman"/>
          <w:szCs w:val="21"/>
          <w:u w:val="single"/>
        </w:rPr>
        <w:t xml:space="preserve">  27842    </w:t>
      </w:r>
      <w:r>
        <w:rPr>
          <w:rFonts w:ascii="Times New Roman" w:hAnsi="Times New Roman"/>
          <w:szCs w:val="21"/>
        </w:rPr>
        <w:t>㎡</w:t>
      </w:r>
    </w:p>
    <w:p w14:paraId="5F7F2060">
      <w:pPr>
        <w:jc w:val="left"/>
        <w:outlineLvl w:val="1"/>
        <w:rPr>
          <w:rFonts w:ascii="Times New Roman" w:hAnsi="Times New Roman"/>
          <w:szCs w:val="21"/>
        </w:rPr>
      </w:pPr>
      <w:r>
        <w:rPr>
          <w:rFonts w:ascii="Times New Roman" w:hAnsi="Times New Roman"/>
          <w:szCs w:val="21"/>
        </w:rPr>
        <w:t>项目建筑面积：</w:t>
      </w:r>
      <w:r>
        <w:rPr>
          <w:rFonts w:ascii="Times New Roman" w:hAnsi="Times New Roman"/>
          <w:szCs w:val="21"/>
          <w:u w:val="single"/>
        </w:rPr>
        <w:t xml:space="preserve">   140143.62     </w:t>
      </w:r>
      <w:r>
        <w:rPr>
          <w:rFonts w:ascii="Times New Roman" w:hAnsi="Times New Roman"/>
          <w:szCs w:val="21"/>
        </w:rPr>
        <w:t>㎡，其中地上：</w:t>
      </w:r>
      <w:r>
        <w:rPr>
          <w:rFonts w:ascii="Times New Roman" w:hAnsi="Times New Roman"/>
          <w:szCs w:val="21"/>
          <w:u w:val="single"/>
        </w:rPr>
        <w:t xml:space="preserve">  81781.30 </w:t>
      </w:r>
      <w:r>
        <w:rPr>
          <w:rFonts w:ascii="Times New Roman" w:hAnsi="Times New Roman"/>
          <w:szCs w:val="21"/>
        </w:rPr>
        <w:t>㎡，地下：</w:t>
      </w:r>
      <w:r>
        <w:rPr>
          <w:rFonts w:ascii="Times New Roman" w:hAnsi="Times New Roman"/>
          <w:szCs w:val="21"/>
          <w:u w:val="single"/>
        </w:rPr>
        <w:t xml:space="preserve">  58362.32  </w:t>
      </w:r>
      <w:r>
        <w:rPr>
          <w:rFonts w:ascii="Times New Roman" w:hAnsi="Times New Roman"/>
          <w:szCs w:val="21"/>
        </w:rPr>
        <w:t>㎡</w:t>
      </w:r>
    </w:p>
    <w:p w14:paraId="1ACC94BF">
      <w:pPr>
        <w:jc w:val="left"/>
        <w:outlineLvl w:val="1"/>
        <w:rPr>
          <w:rFonts w:ascii="宋体" w:cs="宋体"/>
          <w:szCs w:val="21"/>
        </w:rPr>
      </w:pPr>
      <w:r>
        <w:rPr>
          <w:rFonts w:hint="eastAsia" w:ascii="宋体" w:hAnsi="宋体" w:cs="宋体"/>
          <w:szCs w:val="21"/>
        </w:rPr>
        <w:t>建筑层数：</w:t>
      </w:r>
      <w:r>
        <w:rPr>
          <w:rFonts w:ascii="宋体" w:hAnsi="宋体" w:cs="宋体"/>
          <w:szCs w:val="21"/>
          <w:u w:val="single"/>
        </w:rPr>
        <w:t>22</w:t>
      </w:r>
      <w:r>
        <w:rPr>
          <w:rFonts w:hint="eastAsia" w:ascii="宋体" w:hAnsi="宋体" w:cs="宋体"/>
          <w:szCs w:val="21"/>
        </w:rPr>
        <w:t>层，其中地上：</w:t>
      </w:r>
      <w:r>
        <w:rPr>
          <w:rFonts w:ascii="宋体" w:hAnsi="宋体" w:cs="宋体"/>
          <w:szCs w:val="21"/>
          <w:u w:val="single"/>
        </w:rPr>
        <w:t xml:space="preserve"> 22</w:t>
      </w:r>
      <w:r>
        <w:rPr>
          <w:rFonts w:hint="eastAsia" w:ascii="宋体" w:hAnsi="宋体" w:cs="宋体"/>
          <w:szCs w:val="21"/>
        </w:rPr>
        <w:t>层，高度：</w:t>
      </w:r>
      <w:r>
        <w:rPr>
          <w:rFonts w:ascii="宋体" w:hAnsi="宋体" w:cs="宋体"/>
          <w:szCs w:val="21"/>
          <w:u w:val="single"/>
        </w:rPr>
        <w:t xml:space="preserve">  94.5  </w:t>
      </w:r>
      <w:r>
        <w:rPr>
          <w:rFonts w:ascii="宋体" w:hAnsi="宋体" w:cs="宋体"/>
          <w:szCs w:val="21"/>
        </w:rPr>
        <w:t>m</w:t>
      </w:r>
      <w:r>
        <w:rPr>
          <w:rFonts w:hint="eastAsia" w:ascii="宋体" w:hAnsi="宋体" w:cs="宋体"/>
          <w:szCs w:val="21"/>
        </w:rPr>
        <w:t>；地下：</w:t>
      </w:r>
      <w:r>
        <w:rPr>
          <w:rFonts w:ascii="宋体" w:hAnsi="宋体" w:cs="宋体"/>
          <w:szCs w:val="21"/>
          <w:u w:val="single"/>
        </w:rPr>
        <w:t xml:space="preserve">  3 </w:t>
      </w:r>
      <w:r>
        <w:rPr>
          <w:rFonts w:hint="eastAsia" w:ascii="宋体" w:hAnsi="宋体" w:cs="宋体"/>
          <w:szCs w:val="21"/>
        </w:rPr>
        <w:t>层，深度</w:t>
      </w:r>
      <w:r>
        <w:rPr>
          <w:rFonts w:ascii="宋体" w:hAnsi="宋体" w:cs="宋体"/>
          <w:szCs w:val="21"/>
        </w:rPr>
        <w:t>:</w:t>
      </w:r>
      <w:r>
        <w:rPr>
          <w:rFonts w:ascii="宋体" w:hAnsi="宋体" w:cs="宋体"/>
          <w:szCs w:val="21"/>
          <w:u w:val="single"/>
        </w:rPr>
        <w:t xml:space="preserve">  14.5  </w:t>
      </w:r>
      <w:r>
        <w:rPr>
          <w:rFonts w:ascii="宋体" w:hAnsi="宋体" w:cs="宋体"/>
          <w:szCs w:val="21"/>
        </w:rPr>
        <w:t>m</w:t>
      </w:r>
      <w:r>
        <w:rPr>
          <w:rFonts w:hint="eastAsia" w:ascii="宋体" w:hAnsi="宋体" w:cs="宋体"/>
          <w:szCs w:val="21"/>
        </w:rPr>
        <w:t>。</w:t>
      </w:r>
    </w:p>
    <w:p w14:paraId="542AB6EB">
      <w:pPr>
        <w:jc w:val="left"/>
        <w:outlineLvl w:val="1"/>
        <w:rPr>
          <w:rFonts w:ascii="宋体" w:hAnsi="宋体" w:cs="宋体"/>
          <w:szCs w:val="21"/>
        </w:rPr>
      </w:pPr>
      <w:r>
        <w:rPr>
          <w:rFonts w:hint="eastAsia" w:ascii="宋体" w:hAnsi="宋体" w:cs="宋体"/>
          <w:szCs w:val="21"/>
        </w:rPr>
        <w:t>绿色建筑建设目标：</w:t>
      </w:r>
      <w:r>
        <w:rPr>
          <w:rFonts w:ascii="Times New Roman" w:hAnsi="Times New Roman"/>
          <w:szCs w:val="21"/>
        </w:rPr>
        <w:t xml:space="preserve">《绿色建筑评价标准》GB/T50378-2019 </w:t>
      </w:r>
      <w:r>
        <w:rPr>
          <w:rFonts w:hint="eastAsia" w:ascii="宋体" w:hAnsi="Wingdings 2" w:cs="宋体"/>
          <w:szCs w:val="20"/>
        </w:rPr>
        <w:sym w:font="Wingdings 2" w:char="F0A3"/>
      </w:r>
      <w:r>
        <w:rPr>
          <w:rFonts w:hint="eastAsia" w:ascii="宋体" w:hAnsi="宋体" w:cs="宋体"/>
          <w:szCs w:val="21"/>
        </w:rPr>
        <w:t>基本级</w:t>
      </w:r>
      <w:r>
        <w:rPr>
          <w:rFonts w:ascii="宋体" w:hAnsi="宋体" w:cs="宋体"/>
          <w:szCs w:val="21"/>
        </w:rPr>
        <w:t xml:space="preserve">  </w:t>
      </w:r>
      <w:r>
        <w:rPr>
          <w:rFonts w:hint="eastAsia" w:ascii="宋体" w:hAnsi="Wingdings 2" w:cs="宋体"/>
          <w:szCs w:val="20"/>
        </w:rPr>
        <w:sym w:font="Wingdings 2" w:char="F0A3"/>
      </w:r>
      <w:r>
        <w:rPr>
          <w:rFonts w:hint="eastAsia" w:ascii="宋体" w:hAnsi="宋体" w:cs="宋体"/>
          <w:szCs w:val="21"/>
        </w:rPr>
        <w:t>一星级</w:t>
      </w:r>
      <w:r>
        <w:rPr>
          <w:rFonts w:ascii="宋体" w:hAnsi="宋体" w:cs="宋体"/>
          <w:szCs w:val="21"/>
        </w:rPr>
        <w:t xml:space="preserve">  </w:t>
      </w:r>
      <w:r>
        <w:rPr>
          <w:rFonts w:hint="eastAsia" w:ascii="宋体" w:hAnsi="宋体" w:cs="宋体"/>
          <w:szCs w:val="21"/>
        </w:rPr>
        <w:t>√二星级</w:t>
      </w:r>
      <w:r>
        <w:rPr>
          <w:rFonts w:ascii="宋体" w:hAnsi="宋体" w:cs="宋体"/>
          <w:szCs w:val="21"/>
        </w:rPr>
        <w:t xml:space="preserve">  </w:t>
      </w:r>
      <w:r>
        <w:rPr>
          <w:rFonts w:hint="eastAsia" w:ascii="宋体" w:hAnsi="Wingdings 2" w:cs="宋体"/>
          <w:szCs w:val="20"/>
        </w:rPr>
        <w:sym w:font="Wingdings 2" w:char="F0A3"/>
      </w:r>
      <w:r>
        <w:rPr>
          <w:rFonts w:hint="eastAsia" w:ascii="宋体" w:hAnsi="宋体" w:cs="宋体"/>
          <w:szCs w:val="21"/>
        </w:rPr>
        <w:t>三星级</w:t>
      </w:r>
    </w:p>
    <w:p w14:paraId="2E659778">
      <w:pPr>
        <w:jc w:val="left"/>
        <w:outlineLvl w:val="1"/>
        <w:rPr>
          <w:rFonts w:hAnsi="宋体" w:cs="宋体"/>
        </w:rPr>
      </w:pPr>
      <w:r>
        <w:rPr>
          <w:rFonts w:hint="eastAsia" w:hAnsi="宋体" w:cs="宋体"/>
        </w:rPr>
        <w:t>申报绿色建筑的区域范围示意图：（应注明北向角度）</w:t>
      </w:r>
    </w:p>
    <w:p w14:paraId="41C6C925">
      <w:pPr>
        <w:jc w:val="left"/>
        <w:outlineLvl w:val="1"/>
        <w:rPr>
          <w:rFonts w:hAnsi="宋体" w:cs="宋体"/>
        </w:rPr>
      </w:pPr>
      <w:r>
        <w:drawing>
          <wp:inline distT="0" distB="0" distL="0" distR="0">
            <wp:extent cx="2872105" cy="2878455"/>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2876088" cy="2882439"/>
                    </a:xfrm>
                    <a:prstGeom prst="rect">
                      <a:avLst/>
                    </a:prstGeom>
                  </pic:spPr>
                </pic:pic>
              </a:graphicData>
            </a:graphic>
          </wp:inline>
        </w:drawing>
      </w:r>
    </w:p>
    <w:p w14:paraId="1138A00D">
      <w:pPr>
        <w:outlineLvl w:val="0"/>
        <w:rPr>
          <w:rFonts w:ascii="黑体" w:hAnsi="黑体" w:eastAsia="黑体"/>
          <w:b/>
          <w:sz w:val="26"/>
          <w:szCs w:val="26"/>
        </w:rPr>
      </w:pPr>
      <w:r>
        <w:rPr>
          <w:rFonts w:hint="eastAsia" w:ascii="黑体" w:hAnsi="黑体" w:eastAsia="黑体"/>
          <w:b/>
          <w:sz w:val="26"/>
          <w:szCs w:val="26"/>
        </w:rPr>
        <w:t>三、绿色建筑设计自评表</w:t>
      </w:r>
    </w:p>
    <w:tbl>
      <w:tblPr>
        <w:tblStyle w:val="12"/>
        <w:tblW w:w="82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1134"/>
        <w:gridCol w:w="1068"/>
        <w:gridCol w:w="1069"/>
        <w:gridCol w:w="1069"/>
        <w:gridCol w:w="1059"/>
        <w:gridCol w:w="1078"/>
        <w:gridCol w:w="1069"/>
      </w:tblGrid>
      <w:tr w14:paraId="7AF9E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exact"/>
        </w:trPr>
        <w:tc>
          <w:tcPr>
            <w:tcW w:w="676" w:type="dxa"/>
            <w:vMerge w:val="restart"/>
            <w:tcMar>
              <w:left w:w="28" w:type="dxa"/>
              <w:right w:w="28" w:type="dxa"/>
            </w:tcMar>
            <w:vAlign w:val="center"/>
          </w:tcPr>
          <w:p w14:paraId="10C1A5E4">
            <w:pPr>
              <w:widowControl/>
              <w:spacing w:line="240" w:lineRule="exact"/>
              <w:jc w:val="center"/>
              <w:rPr>
                <w:rFonts w:ascii="黑体" w:hAnsi="黑体" w:eastAsia="黑体"/>
                <w:b/>
                <w:bCs/>
                <w:kern w:val="0"/>
                <w:szCs w:val="21"/>
              </w:rPr>
            </w:pPr>
            <w:r>
              <w:rPr>
                <w:rFonts w:hint="eastAsia" w:ascii="黑体" w:hAnsi="黑体" w:eastAsia="黑体" w:cs="宋体"/>
                <w:b/>
                <w:bCs/>
                <w:kern w:val="0"/>
                <w:szCs w:val="21"/>
              </w:rPr>
              <w:t>项</w:t>
            </w:r>
          </w:p>
          <w:p w14:paraId="0ED635C9">
            <w:pPr>
              <w:widowControl/>
              <w:spacing w:line="240" w:lineRule="exact"/>
              <w:jc w:val="center"/>
              <w:rPr>
                <w:rFonts w:ascii="黑体" w:hAnsi="黑体" w:eastAsia="黑体"/>
                <w:b/>
                <w:bCs/>
                <w:kern w:val="0"/>
                <w:szCs w:val="21"/>
              </w:rPr>
            </w:pPr>
            <w:r>
              <w:rPr>
                <w:rFonts w:hint="eastAsia" w:ascii="黑体" w:hAnsi="黑体" w:eastAsia="黑体" w:cs="宋体"/>
                <w:b/>
                <w:bCs/>
                <w:kern w:val="0"/>
                <w:szCs w:val="21"/>
              </w:rPr>
              <w:t>目</w:t>
            </w:r>
          </w:p>
          <w:p w14:paraId="79ECD9FF">
            <w:pPr>
              <w:widowControl/>
              <w:spacing w:line="240" w:lineRule="exact"/>
              <w:jc w:val="center"/>
              <w:rPr>
                <w:rFonts w:ascii="黑体" w:hAnsi="黑体" w:eastAsia="黑体"/>
                <w:b/>
                <w:bCs/>
                <w:kern w:val="0"/>
                <w:szCs w:val="21"/>
              </w:rPr>
            </w:pPr>
            <w:r>
              <w:rPr>
                <w:rFonts w:hint="eastAsia" w:ascii="黑体" w:hAnsi="黑体" w:eastAsia="黑体" w:cs="宋体"/>
                <w:b/>
                <w:bCs/>
                <w:kern w:val="0"/>
                <w:szCs w:val="21"/>
              </w:rPr>
              <w:t>自</w:t>
            </w:r>
          </w:p>
          <w:p w14:paraId="4A3EBFB3">
            <w:pPr>
              <w:widowControl/>
              <w:spacing w:line="240" w:lineRule="exact"/>
              <w:jc w:val="center"/>
              <w:rPr>
                <w:rFonts w:ascii="黑体" w:hAnsi="黑体" w:eastAsia="黑体"/>
                <w:b/>
                <w:bCs/>
                <w:kern w:val="0"/>
                <w:szCs w:val="21"/>
              </w:rPr>
            </w:pPr>
            <w:r>
              <w:rPr>
                <w:rFonts w:hint="eastAsia" w:ascii="黑体" w:hAnsi="黑体" w:eastAsia="黑体" w:cs="宋体"/>
                <w:b/>
                <w:bCs/>
                <w:kern w:val="0"/>
                <w:szCs w:val="21"/>
              </w:rPr>
              <w:t>评</w:t>
            </w:r>
          </w:p>
          <w:p w14:paraId="5168E98B">
            <w:pPr>
              <w:widowControl/>
              <w:spacing w:line="240" w:lineRule="exact"/>
              <w:jc w:val="center"/>
              <w:rPr>
                <w:rFonts w:ascii="宋体"/>
                <w:kern w:val="0"/>
                <w:sz w:val="18"/>
                <w:szCs w:val="18"/>
              </w:rPr>
            </w:pPr>
            <w:r>
              <w:rPr>
                <w:rFonts w:hint="eastAsia" w:ascii="黑体" w:hAnsi="黑体" w:eastAsia="黑体" w:cs="宋体"/>
                <w:b/>
                <w:bCs/>
                <w:kern w:val="0"/>
                <w:szCs w:val="21"/>
              </w:rPr>
              <w:t>表</w:t>
            </w:r>
          </w:p>
        </w:tc>
        <w:tc>
          <w:tcPr>
            <w:tcW w:w="1134" w:type="dxa"/>
            <w:tcMar>
              <w:left w:w="28" w:type="dxa"/>
              <w:right w:w="28" w:type="dxa"/>
            </w:tcMar>
            <w:vAlign w:val="center"/>
          </w:tcPr>
          <w:p w14:paraId="5037D848">
            <w:pPr>
              <w:widowControl/>
              <w:spacing w:line="180" w:lineRule="exact"/>
              <w:jc w:val="center"/>
              <w:rPr>
                <w:rFonts w:ascii="黑体" w:hAnsi="黑体" w:eastAsia="黑体"/>
                <w:kern w:val="0"/>
                <w:sz w:val="18"/>
                <w:szCs w:val="18"/>
              </w:rPr>
            </w:pPr>
            <w:r>
              <w:rPr>
                <w:rFonts w:hint="eastAsia" w:ascii="黑体" w:hAnsi="黑体" w:eastAsia="黑体" w:cs="宋体"/>
                <w:kern w:val="0"/>
                <w:sz w:val="18"/>
                <w:szCs w:val="18"/>
              </w:rPr>
              <w:t>评价指标</w:t>
            </w:r>
          </w:p>
        </w:tc>
        <w:tc>
          <w:tcPr>
            <w:tcW w:w="1068" w:type="dxa"/>
            <w:tcMar>
              <w:left w:w="28" w:type="dxa"/>
              <w:right w:w="28" w:type="dxa"/>
            </w:tcMar>
            <w:vAlign w:val="center"/>
          </w:tcPr>
          <w:p w14:paraId="10BC69D8">
            <w:pPr>
              <w:widowControl/>
              <w:spacing w:line="180" w:lineRule="exact"/>
              <w:jc w:val="center"/>
              <w:rPr>
                <w:rFonts w:ascii="黑体" w:hAnsi="黑体" w:eastAsia="黑体"/>
                <w:kern w:val="0"/>
                <w:sz w:val="18"/>
                <w:szCs w:val="18"/>
              </w:rPr>
            </w:pPr>
            <w:r>
              <w:rPr>
                <w:rFonts w:hint="eastAsia" w:ascii="黑体" w:hAnsi="黑体" w:eastAsia="黑体"/>
                <w:kern w:val="0"/>
                <w:sz w:val="18"/>
                <w:szCs w:val="18"/>
              </w:rPr>
              <w:t>安全耐久</w:t>
            </w:r>
          </w:p>
        </w:tc>
        <w:tc>
          <w:tcPr>
            <w:tcW w:w="1069" w:type="dxa"/>
            <w:tcMar>
              <w:left w:w="28" w:type="dxa"/>
              <w:right w:w="28" w:type="dxa"/>
            </w:tcMar>
            <w:vAlign w:val="center"/>
          </w:tcPr>
          <w:p w14:paraId="08A81968">
            <w:pPr>
              <w:widowControl/>
              <w:spacing w:line="180" w:lineRule="exact"/>
              <w:jc w:val="center"/>
              <w:rPr>
                <w:rFonts w:ascii="黑体" w:hAnsi="黑体" w:eastAsia="黑体"/>
                <w:kern w:val="0"/>
                <w:sz w:val="18"/>
                <w:szCs w:val="18"/>
              </w:rPr>
            </w:pPr>
            <w:r>
              <w:rPr>
                <w:rFonts w:hint="eastAsia" w:ascii="黑体" w:hAnsi="黑体" w:eastAsia="黑体"/>
                <w:kern w:val="0"/>
                <w:sz w:val="18"/>
                <w:szCs w:val="18"/>
              </w:rPr>
              <w:t>健康舒适</w:t>
            </w:r>
          </w:p>
        </w:tc>
        <w:tc>
          <w:tcPr>
            <w:tcW w:w="1069" w:type="dxa"/>
            <w:tcMar>
              <w:left w:w="28" w:type="dxa"/>
              <w:right w:w="28" w:type="dxa"/>
            </w:tcMar>
            <w:vAlign w:val="center"/>
          </w:tcPr>
          <w:p w14:paraId="36773FD7">
            <w:pPr>
              <w:widowControl/>
              <w:spacing w:line="180" w:lineRule="exact"/>
              <w:jc w:val="center"/>
              <w:rPr>
                <w:rFonts w:ascii="黑体" w:hAnsi="黑体" w:eastAsia="黑体"/>
                <w:kern w:val="0"/>
                <w:sz w:val="18"/>
                <w:szCs w:val="18"/>
              </w:rPr>
            </w:pPr>
            <w:r>
              <w:rPr>
                <w:rFonts w:hint="eastAsia" w:ascii="黑体" w:hAnsi="黑体" w:eastAsia="黑体"/>
                <w:kern w:val="0"/>
                <w:sz w:val="18"/>
                <w:szCs w:val="18"/>
              </w:rPr>
              <w:t>生活便利</w:t>
            </w:r>
          </w:p>
        </w:tc>
        <w:tc>
          <w:tcPr>
            <w:tcW w:w="1059" w:type="dxa"/>
            <w:tcMar>
              <w:left w:w="28" w:type="dxa"/>
              <w:right w:w="28" w:type="dxa"/>
            </w:tcMar>
            <w:vAlign w:val="center"/>
          </w:tcPr>
          <w:p w14:paraId="35715921">
            <w:pPr>
              <w:widowControl/>
              <w:spacing w:line="180" w:lineRule="exact"/>
              <w:jc w:val="center"/>
              <w:rPr>
                <w:rFonts w:ascii="黑体" w:hAnsi="黑体" w:eastAsia="黑体"/>
                <w:kern w:val="0"/>
                <w:sz w:val="18"/>
                <w:szCs w:val="18"/>
              </w:rPr>
            </w:pPr>
            <w:r>
              <w:rPr>
                <w:rFonts w:hint="eastAsia" w:ascii="黑体" w:hAnsi="黑体" w:eastAsia="黑体"/>
                <w:kern w:val="0"/>
                <w:sz w:val="18"/>
                <w:szCs w:val="18"/>
              </w:rPr>
              <w:t>资源节约</w:t>
            </w:r>
          </w:p>
        </w:tc>
        <w:tc>
          <w:tcPr>
            <w:tcW w:w="1078" w:type="dxa"/>
            <w:vAlign w:val="center"/>
          </w:tcPr>
          <w:p w14:paraId="784EBDB6">
            <w:pPr>
              <w:widowControl/>
              <w:spacing w:line="180" w:lineRule="exact"/>
              <w:jc w:val="center"/>
              <w:rPr>
                <w:rFonts w:ascii="黑体" w:hAnsi="黑体" w:eastAsia="黑体"/>
                <w:kern w:val="0"/>
                <w:sz w:val="18"/>
                <w:szCs w:val="18"/>
              </w:rPr>
            </w:pPr>
            <w:r>
              <w:rPr>
                <w:rFonts w:hint="eastAsia" w:ascii="黑体" w:hAnsi="黑体" w:eastAsia="黑体"/>
                <w:kern w:val="0"/>
                <w:sz w:val="18"/>
                <w:szCs w:val="18"/>
              </w:rPr>
              <w:t>环境宜居</w:t>
            </w:r>
          </w:p>
        </w:tc>
        <w:tc>
          <w:tcPr>
            <w:tcW w:w="1069" w:type="dxa"/>
            <w:tcMar>
              <w:left w:w="28" w:type="dxa"/>
              <w:right w:w="28" w:type="dxa"/>
            </w:tcMar>
            <w:vAlign w:val="center"/>
          </w:tcPr>
          <w:p w14:paraId="4030C685">
            <w:pPr>
              <w:widowControl/>
              <w:spacing w:line="180" w:lineRule="exact"/>
              <w:jc w:val="center"/>
              <w:rPr>
                <w:rFonts w:ascii="黑体" w:hAnsi="黑体" w:eastAsia="黑体"/>
                <w:kern w:val="0"/>
                <w:sz w:val="18"/>
                <w:szCs w:val="18"/>
              </w:rPr>
            </w:pPr>
            <w:r>
              <w:rPr>
                <w:rFonts w:hint="eastAsia" w:ascii="黑体" w:hAnsi="黑体" w:eastAsia="黑体"/>
                <w:kern w:val="0"/>
                <w:sz w:val="18"/>
                <w:szCs w:val="18"/>
              </w:rPr>
              <w:t>提高与创新</w:t>
            </w:r>
          </w:p>
        </w:tc>
      </w:tr>
      <w:tr w14:paraId="4A36B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exact"/>
        </w:trPr>
        <w:tc>
          <w:tcPr>
            <w:tcW w:w="676" w:type="dxa"/>
            <w:vMerge w:val="continue"/>
            <w:tcMar>
              <w:left w:w="28" w:type="dxa"/>
              <w:right w:w="28" w:type="dxa"/>
            </w:tcMar>
            <w:vAlign w:val="center"/>
          </w:tcPr>
          <w:p w14:paraId="150B0031">
            <w:pPr>
              <w:widowControl/>
              <w:spacing w:line="180" w:lineRule="exact"/>
              <w:jc w:val="left"/>
              <w:rPr>
                <w:rFonts w:ascii="宋体"/>
                <w:kern w:val="0"/>
                <w:sz w:val="18"/>
                <w:szCs w:val="18"/>
              </w:rPr>
            </w:pPr>
          </w:p>
        </w:tc>
        <w:tc>
          <w:tcPr>
            <w:tcW w:w="1134" w:type="dxa"/>
            <w:tcMar>
              <w:left w:w="28" w:type="dxa"/>
              <w:right w:w="28" w:type="dxa"/>
            </w:tcMar>
            <w:vAlign w:val="center"/>
          </w:tcPr>
          <w:p w14:paraId="1952FA6B">
            <w:pPr>
              <w:widowControl/>
              <w:spacing w:line="180" w:lineRule="exact"/>
              <w:jc w:val="center"/>
              <w:rPr>
                <w:rFonts w:ascii="宋体" w:cs="宋体"/>
                <w:kern w:val="0"/>
                <w:sz w:val="18"/>
                <w:szCs w:val="18"/>
              </w:rPr>
            </w:pPr>
            <w:r>
              <w:rPr>
                <w:rFonts w:hint="eastAsia" w:ascii="宋体" w:hAnsi="宋体" w:cs="宋体"/>
                <w:kern w:val="0"/>
                <w:sz w:val="18"/>
                <w:szCs w:val="18"/>
              </w:rPr>
              <w:t>评分项总分</w:t>
            </w:r>
          </w:p>
        </w:tc>
        <w:tc>
          <w:tcPr>
            <w:tcW w:w="1068" w:type="dxa"/>
            <w:tcMar>
              <w:left w:w="28" w:type="dxa"/>
              <w:right w:w="28" w:type="dxa"/>
            </w:tcMar>
            <w:vAlign w:val="center"/>
          </w:tcPr>
          <w:p w14:paraId="6920D342">
            <w:pPr>
              <w:jc w:val="center"/>
              <w:rPr>
                <w:rFonts w:ascii="Times New Roman" w:hAnsi="Times New Roman"/>
                <w:sz w:val="18"/>
                <w:szCs w:val="18"/>
              </w:rPr>
            </w:pPr>
            <w:r>
              <w:rPr>
                <w:rFonts w:ascii="Times New Roman" w:hAnsi="Times New Roman"/>
                <w:sz w:val="18"/>
                <w:szCs w:val="18"/>
              </w:rPr>
              <w:t>100</w:t>
            </w:r>
          </w:p>
        </w:tc>
        <w:tc>
          <w:tcPr>
            <w:tcW w:w="1069" w:type="dxa"/>
            <w:tcMar>
              <w:left w:w="28" w:type="dxa"/>
              <w:right w:w="28" w:type="dxa"/>
            </w:tcMar>
            <w:vAlign w:val="center"/>
          </w:tcPr>
          <w:p w14:paraId="5D10D319">
            <w:pPr>
              <w:jc w:val="center"/>
              <w:rPr>
                <w:rFonts w:ascii="Times New Roman" w:hAnsi="Times New Roman"/>
                <w:sz w:val="18"/>
                <w:szCs w:val="18"/>
              </w:rPr>
            </w:pPr>
            <w:r>
              <w:rPr>
                <w:rFonts w:ascii="Times New Roman" w:hAnsi="Times New Roman"/>
                <w:sz w:val="18"/>
                <w:szCs w:val="18"/>
              </w:rPr>
              <w:t>100</w:t>
            </w:r>
          </w:p>
        </w:tc>
        <w:tc>
          <w:tcPr>
            <w:tcW w:w="1069" w:type="dxa"/>
            <w:tcMar>
              <w:left w:w="28" w:type="dxa"/>
              <w:right w:w="28" w:type="dxa"/>
            </w:tcMar>
            <w:vAlign w:val="center"/>
          </w:tcPr>
          <w:p w14:paraId="1DD65604">
            <w:pPr>
              <w:jc w:val="center"/>
              <w:rPr>
                <w:rFonts w:ascii="Times New Roman" w:hAnsi="Times New Roman"/>
                <w:sz w:val="18"/>
                <w:szCs w:val="18"/>
              </w:rPr>
            </w:pPr>
            <w:r>
              <w:rPr>
                <w:rFonts w:ascii="Times New Roman" w:hAnsi="Times New Roman"/>
                <w:sz w:val="18"/>
                <w:szCs w:val="18"/>
              </w:rPr>
              <w:t>70</w:t>
            </w:r>
          </w:p>
        </w:tc>
        <w:tc>
          <w:tcPr>
            <w:tcW w:w="1059" w:type="dxa"/>
            <w:tcMar>
              <w:left w:w="28" w:type="dxa"/>
              <w:right w:w="28" w:type="dxa"/>
            </w:tcMar>
            <w:vAlign w:val="center"/>
          </w:tcPr>
          <w:p w14:paraId="74906BEA">
            <w:pPr>
              <w:jc w:val="center"/>
              <w:rPr>
                <w:rFonts w:ascii="Times New Roman" w:hAnsi="Times New Roman"/>
                <w:sz w:val="18"/>
                <w:szCs w:val="18"/>
              </w:rPr>
            </w:pPr>
            <w:r>
              <w:rPr>
                <w:rFonts w:ascii="Times New Roman" w:hAnsi="Times New Roman"/>
                <w:sz w:val="18"/>
                <w:szCs w:val="18"/>
              </w:rPr>
              <w:t>200</w:t>
            </w:r>
          </w:p>
        </w:tc>
        <w:tc>
          <w:tcPr>
            <w:tcW w:w="1078" w:type="dxa"/>
            <w:vAlign w:val="center"/>
          </w:tcPr>
          <w:p w14:paraId="6D8D1CD6">
            <w:pPr>
              <w:jc w:val="center"/>
              <w:rPr>
                <w:rFonts w:ascii="Times New Roman" w:hAnsi="Times New Roman"/>
                <w:sz w:val="18"/>
                <w:szCs w:val="18"/>
              </w:rPr>
            </w:pPr>
            <w:r>
              <w:rPr>
                <w:rFonts w:ascii="Times New Roman" w:hAnsi="Times New Roman"/>
                <w:sz w:val="18"/>
                <w:szCs w:val="18"/>
              </w:rPr>
              <w:t>100</w:t>
            </w:r>
          </w:p>
        </w:tc>
        <w:tc>
          <w:tcPr>
            <w:tcW w:w="1069" w:type="dxa"/>
            <w:tcMar>
              <w:left w:w="28" w:type="dxa"/>
              <w:right w:w="28" w:type="dxa"/>
            </w:tcMar>
            <w:vAlign w:val="center"/>
          </w:tcPr>
          <w:p w14:paraId="750645AB">
            <w:pPr>
              <w:jc w:val="center"/>
              <w:rPr>
                <w:rFonts w:ascii="Times New Roman" w:hAnsi="Times New Roman"/>
                <w:sz w:val="18"/>
                <w:szCs w:val="18"/>
              </w:rPr>
            </w:pPr>
            <w:r>
              <w:rPr>
                <w:rFonts w:ascii="Times New Roman" w:hAnsi="Times New Roman"/>
                <w:sz w:val="18"/>
                <w:szCs w:val="18"/>
              </w:rPr>
              <w:t>100</w:t>
            </w:r>
          </w:p>
        </w:tc>
      </w:tr>
      <w:tr w14:paraId="235CC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exact"/>
        </w:trPr>
        <w:tc>
          <w:tcPr>
            <w:tcW w:w="676" w:type="dxa"/>
            <w:vMerge w:val="continue"/>
            <w:tcMar>
              <w:left w:w="28" w:type="dxa"/>
              <w:right w:w="28" w:type="dxa"/>
            </w:tcMar>
            <w:vAlign w:val="center"/>
          </w:tcPr>
          <w:p w14:paraId="5267615E">
            <w:pPr>
              <w:widowControl/>
              <w:spacing w:line="180" w:lineRule="exact"/>
              <w:jc w:val="left"/>
              <w:rPr>
                <w:rFonts w:ascii="宋体"/>
                <w:kern w:val="0"/>
                <w:sz w:val="18"/>
                <w:szCs w:val="18"/>
              </w:rPr>
            </w:pPr>
          </w:p>
        </w:tc>
        <w:tc>
          <w:tcPr>
            <w:tcW w:w="1134" w:type="dxa"/>
            <w:tcMar>
              <w:left w:w="28" w:type="dxa"/>
              <w:right w:w="28" w:type="dxa"/>
            </w:tcMar>
            <w:vAlign w:val="center"/>
          </w:tcPr>
          <w:p w14:paraId="7A1331F0">
            <w:pPr>
              <w:widowControl/>
              <w:spacing w:line="180" w:lineRule="exact"/>
              <w:jc w:val="center"/>
              <w:rPr>
                <w:rFonts w:ascii="宋体" w:cs="宋体"/>
                <w:kern w:val="0"/>
                <w:sz w:val="18"/>
                <w:szCs w:val="18"/>
              </w:rPr>
            </w:pPr>
            <w:r>
              <w:rPr>
                <w:rFonts w:hint="eastAsia" w:ascii="宋体" w:hAnsi="宋体" w:cs="宋体"/>
                <w:kern w:val="0"/>
                <w:sz w:val="18"/>
                <w:szCs w:val="18"/>
              </w:rPr>
              <w:t>评分项最低得分要求</w:t>
            </w:r>
          </w:p>
        </w:tc>
        <w:tc>
          <w:tcPr>
            <w:tcW w:w="1068" w:type="dxa"/>
            <w:tcMar>
              <w:left w:w="28" w:type="dxa"/>
              <w:right w:w="28" w:type="dxa"/>
            </w:tcMar>
            <w:vAlign w:val="center"/>
          </w:tcPr>
          <w:p w14:paraId="05A36BED">
            <w:pPr>
              <w:jc w:val="center"/>
              <w:rPr>
                <w:rFonts w:ascii="Times New Roman" w:hAnsi="Times New Roman"/>
                <w:sz w:val="18"/>
                <w:szCs w:val="18"/>
              </w:rPr>
            </w:pPr>
            <w:r>
              <w:rPr>
                <w:rFonts w:ascii="Times New Roman" w:hAnsi="Times New Roman"/>
                <w:sz w:val="18"/>
                <w:szCs w:val="18"/>
              </w:rPr>
              <w:t>30</w:t>
            </w:r>
          </w:p>
        </w:tc>
        <w:tc>
          <w:tcPr>
            <w:tcW w:w="1069" w:type="dxa"/>
            <w:tcMar>
              <w:left w:w="28" w:type="dxa"/>
              <w:right w:w="28" w:type="dxa"/>
            </w:tcMar>
            <w:vAlign w:val="center"/>
          </w:tcPr>
          <w:p w14:paraId="52F66438">
            <w:pPr>
              <w:jc w:val="center"/>
              <w:rPr>
                <w:rFonts w:ascii="Times New Roman" w:hAnsi="Times New Roman"/>
                <w:sz w:val="18"/>
                <w:szCs w:val="18"/>
              </w:rPr>
            </w:pPr>
            <w:r>
              <w:rPr>
                <w:rFonts w:ascii="Times New Roman" w:hAnsi="Times New Roman"/>
                <w:sz w:val="18"/>
                <w:szCs w:val="18"/>
              </w:rPr>
              <w:t>30</w:t>
            </w:r>
          </w:p>
        </w:tc>
        <w:tc>
          <w:tcPr>
            <w:tcW w:w="1069" w:type="dxa"/>
            <w:tcMar>
              <w:left w:w="28" w:type="dxa"/>
              <w:right w:w="28" w:type="dxa"/>
            </w:tcMar>
            <w:vAlign w:val="center"/>
          </w:tcPr>
          <w:p w14:paraId="5FCF9055">
            <w:pPr>
              <w:jc w:val="center"/>
              <w:rPr>
                <w:rFonts w:ascii="Times New Roman" w:hAnsi="Times New Roman"/>
                <w:sz w:val="18"/>
                <w:szCs w:val="18"/>
              </w:rPr>
            </w:pPr>
            <w:r>
              <w:rPr>
                <w:rFonts w:ascii="Times New Roman" w:hAnsi="Times New Roman"/>
                <w:sz w:val="18"/>
                <w:szCs w:val="18"/>
              </w:rPr>
              <w:t>21</w:t>
            </w:r>
          </w:p>
        </w:tc>
        <w:tc>
          <w:tcPr>
            <w:tcW w:w="1059" w:type="dxa"/>
            <w:tcMar>
              <w:left w:w="28" w:type="dxa"/>
              <w:right w:w="28" w:type="dxa"/>
            </w:tcMar>
            <w:vAlign w:val="center"/>
          </w:tcPr>
          <w:p w14:paraId="30B36FA1">
            <w:pPr>
              <w:jc w:val="center"/>
              <w:rPr>
                <w:rFonts w:ascii="Times New Roman" w:hAnsi="Times New Roman"/>
                <w:sz w:val="18"/>
                <w:szCs w:val="18"/>
              </w:rPr>
            </w:pPr>
            <w:r>
              <w:rPr>
                <w:rFonts w:ascii="Times New Roman" w:hAnsi="Times New Roman"/>
                <w:sz w:val="18"/>
                <w:szCs w:val="18"/>
              </w:rPr>
              <w:t>60</w:t>
            </w:r>
          </w:p>
        </w:tc>
        <w:tc>
          <w:tcPr>
            <w:tcW w:w="1078" w:type="dxa"/>
            <w:vAlign w:val="center"/>
          </w:tcPr>
          <w:p w14:paraId="1009F386">
            <w:pPr>
              <w:jc w:val="center"/>
              <w:rPr>
                <w:rFonts w:ascii="Times New Roman" w:hAnsi="Times New Roman"/>
                <w:sz w:val="18"/>
                <w:szCs w:val="18"/>
              </w:rPr>
            </w:pPr>
            <w:r>
              <w:rPr>
                <w:rFonts w:ascii="Times New Roman" w:hAnsi="Times New Roman"/>
                <w:sz w:val="18"/>
                <w:szCs w:val="18"/>
              </w:rPr>
              <w:t>30</w:t>
            </w:r>
          </w:p>
        </w:tc>
        <w:tc>
          <w:tcPr>
            <w:tcW w:w="1069" w:type="dxa"/>
            <w:tcMar>
              <w:left w:w="28" w:type="dxa"/>
              <w:right w:w="28" w:type="dxa"/>
            </w:tcMar>
            <w:vAlign w:val="center"/>
          </w:tcPr>
          <w:p w14:paraId="76E16B90">
            <w:pPr>
              <w:jc w:val="center"/>
              <w:rPr>
                <w:rFonts w:ascii="Times New Roman" w:hAnsi="Times New Roman"/>
                <w:sz w:val="18"/>
                <w:szCs w:val="18"/>
              </w:rPr>
            </w:pPr>
            <w:r>
              <w:rPr>
                <w:rFonts w:ascii="Times New Roman" w:hAnsi="Times New Roman"/>
                <w:sz w:val="18"/>
                <w:szCs w:val="18"/>
              </w:rPr>
              <w:t>/</w:t>
            </w:r>
          </w:p>
        </w:tc>
      </w:tr>
      <w:tr w14:paraId="26EA8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exact"/>
        </w:trPr>
        <w:tc>
          <w:tcPr>
            <w:tcW w:w="676" w:type="dxa"/>
            <w:vMerge w:val="continue"/>
            <w:tcMar>
              <w:left w:w="28" w:type="dxa"/>
              <w:right w:w="28" w:type="dxa"/>
            </w:tcMar>
            <w:vAlign w:val="center"/>
          </w:tcPr>
          <w:p w14:paraId="22B4FFB1">
            <w:pPr>
              <w:widowControl/>
              <w:spacing w:line="180" w:lineRule="exact"/>
              <w:jc w:val="left"/>
              <w:rPr>
                <w:rFonts w:ascii="宋体"/>
                <w:kern w:val="0"/>
                <w:sz w:val="18"/>
                <w:szCs w:val="18"/>
              </w:rPr>
            </w:pPr>
          </w:p>
        </w:tc>
        <w:tc>
          <w:tcPr>
            <w:tcW w:w="1134" w:type="dxa"/>
            <w:tcMar>
              <w:left w:w="28" w:type="dxa"/>
              <w:right w:w="28" w:type="dxa"/>
            </w:tcMar>
            <w:vAlign w:val="center"/>
          </w:tcPr>
          <w:p w14:paraId="1DE286D0">
            <w:pPr>
              <w:widowControl/>
              <w:spacing w:line="180" w:lineRule="exact"/>
              <w:jc w:val="center"/>
              <w:rPr>
                <w:rFonts w:ascii="宋体" w:cs="宋体"/>
                <w:kern w:val="0"/>
                <w:sz w:val="18"/>
                <w:szCs w:val="18"/>
              </w:rPr>
            </w:pPr>
            <w:r>
              <w:rPr>
                <w:rFonts w:hint="eastAsia" w:ascii="宋体" w:hAnsi="宋体" w:cs="宋体"/>
                <w:kern w:val="0"/>
                <w:sz w:val="18"/>
                <w:szCs w:val="18"/>
              </w:rPr>
              <w:t>评分项得分</w:t>
            </w:r>
          </w:p>
        </w:tc>
        <w:tc>
          <w:tcPr>
            <w:tcW w:w="1068" w:type="dxa"/>
            <w:tcMar>
              <w:left w:w="28" w:type="dxa"/>
              <w:right w:w="28" w:type="dxa"/>
            </w:tcMar>
            <w:vAlign w:val="center"/>
          </w:tcPr>
          <w:p w14:paraId="6EAEB752">
            <w:pPr>
              <w:widowControl/>
              <w:spacing w:line="20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48</w:t>
            </w:r>
          </w:p>
        </w:tc>
        <w:tc>
          <w:tcPr>
            <w:tcW w:w="1069" w:type="dxa"/>
            <w:tcMar>
              <w:left w:w="28" w:type="dxa"/>
              <w:right w:w="28" w:type="dxa"/>
            </w:tcMar>
            <w:vAlign w:val="center"/>
          </w:tcPr>
          <w:p w14:paraId="2AB0CFEF">
            <w:pPr>
              <w:widowControl/>
              <w:spacing w:line="200" w:lineRule="exact"/>
              <w:jc w:val="center"/>
              <w:rPr>
                <w:rFonts w:ascii="Times New Roman" w:hAnsi="Times New Roman"/>
                <w:kern w:val="0"/>
                <w:sz w:val="18"/>
                <w:szCs w:val="18"/>
              </w:rPr>
            </w:pPr>
            <w:r>
              <w:rPr>
                <w:rFonts w:ascii="Times New Roman" w:hAnsi="Times New Roman"/>
                <w:kern w:val="0"/>
                <w:sz w:val="18"/>
                <w:szCs w:val="18"/>
              </w:rPr>
              <w:t>52</w:t>
            </w:r>
          </w:p>
        </w:tc>
        <w:tc>
          <w:tcPr>
            <w:tcW w:w="1069" w:type="dxa"/>
            <w:tcMar>
              <w:left w:w="28" w:type="dxa"/>
              <w:right w:w="28" w:type="dxa"/>
            </w:tcMar>
            <w:vAlign w:val="center"/>
          </w:tcPr>
          <w:p w14:paraId="19651C62">
            <w:pPr>
              <w:widowControl/>
              <w:spacing w:line="200" w:lineRule="exact"/>
              <w:jc w:val="center"/>
              <w:rPr>
                <w:rFonts w:hint="default" w:ascii="Times New Roman" w:hAnsi="Times New Roman" w:eastAsia="宋体"/>
                <w:kern w:val="0"/>
                <w:sz w:val="18"/>
                <w:szCs w:val="18"/>
                <w:lang w:val="en-US" w:eastAsia="zh-CN"/>
              </w:rPr>
            </w:pPr>
            <w:r>
              <w:rPr>
                <w:rFonts w:hint="eastAsia" w:ascii="Times New Roman" w:hAnsi="Times New Roman"/>
                <w:color w:val="auto"/>
                <w:kern w:val="0"/>
                <w:sz w:val="18"/>
                <w:szCs w:val="18"/>
                <w:lang w:val="en-US" w:eastAsia="zh-CN"/>
              </w:rPr>
              <w:t>36</w:t>
            </w:r>
          </w:p>
        </w:tc>
        <w:tc>
          <w:tcPr>
            <w:tcW w:w="1059" w:type="dxa"/>
            <w:tcMar>
              <w:left w:w="28" w:type="dxa"/>
              <w:right w:w="28" w:type="dxa"/>
            </w:tcMar>
            <w:vAlign w:val="center"/>
          </w:tcPr>
          <w:p w14:paraId="2EF033FC">
            <w:pPr>
              <w:widowControl/>
              <w:spacing w:line="200" w:lineRule="exact"/>
              <w:jc w:val="center"/>
              <w:rPr>
                <w:rFonts w:hint="default" w:ascii="Times New Roman" w:hAnsi="Times New Roman" w:eastAsia="宋体"/>
                <w:kern w:val="0"/>
                <w:sz w:val="18"/>
                <w:szCs w:val="18"/>
                <w:lang w:val="en-US" w:eastAsia="zh-CN"/>
              </w:rPr>
            </w:pPr>
            <w:r>
              <w:rPr>
                <w:rFonts w:ascii="Times New Roman" w:hAnsi="Times New Roman"/>
                <w:kern w:val="0"/>
                <w:sz w:val="18"/>
                <w:szCs w:val="18"/>
              </w:rPr>
              <w:t>1</w:t>
            </w:r>
            <w:r>
              <w:rPr>
                <w:rFonts w:hint="eastAsia" w:ascii="Times New Roman" w:hAnsi="Times New Roman"/>
                <w:kern w:val="0"/>
                <w:sz w:val="18"/>
                <w:szCs w:val="18"/>
                <w:lang w:val="en-US" w:eastAsia="zh-CN"/>
              </w:rPr>
              <w:t>19</w:t>
            </w:r>
          </w:p>
        </w:tc>
        <w:tc>
          <w:tcPr>
            <w:tcW w:w="1078" w:type="dxa"/>
            <w:vAlign w:val="center"/>
          </w:tcPr>
          <w:p w14:paraId="3D28DF50">
            <w:pPr>
              <w:widowControl/>
              <w:spacing w:line="200" w:lineRule="exact"/>
              <w:jc w:val="center"/>
              <w:rPr>
                <w:rFonts w:ascii="Times New Roman" w:hAnsi="Times New Roman"/>
                <w:kern w:val="0"/>
                <w:sz w:val="18"/>
                <w:szCs w:val="18"/>
              </w:rPr>
            </w:pPr>
            <w:r>
              <w:rPr>
                <w:rFonts w:ascii="Times New Roman" w:hAnsi="Times New Roman"/>
                <w:kern w:val="0"/>
                <w:sz w:val="18"/>
                <w:szCs w:val="18"/>
              </w:rPr>
              <w:t>38</w:t>
            </w:r>
          </w:p>
        </w:tc>
        <w:tc>
          <w:tcPr>
            <w:tcW w:w="1069" w:type="dxa"/>
            <w:tcMar>
              <w:left w:w="28" w:type="dxa"/>
              <w:right w:w="28" w:type="dxa"/>
            </w:tcMar>
            <w:vAlign w:val="center"/>
          </w:tcPr>
          <w:p w14:paraId="1DACEA07">
            <w:pPr>
              <w:widowControl/>
              <w:spacing w:line="200" w:lineRule="exact"/>
              <w:jc w:val="center"/>
              <w:rPr>
                <w:rFonts w:ascii="Times New Roman" w:hAnsi="Times New Roman"/>
                <w:kern w:val="0"/>
                <w:sz w:val="18"/>
                <w:szCs w:val="18"/>
              </w:rPr>
            </w:pPr>
            <w:r>
              <w:rPr>
                <w:rFonts w:hint="eastAsia" w:ascii="Times New Roman" w:hAnsi="Times New Roman"/>
                <w:kern w:val="0"/>
                <w:sz w:val="18"/>
                <w:szCs w:val="18"/>
              </w:rPr>
              <w:t>17</w:t>
            </w:r>
          </w:p>
        </w:tc>
      </w:tr>
      <w:tr w14:paraId="03E79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exact"/>
        </w:trPr>
        <w:tc>
          <w:tcPr>
            <w:tcW w:w="676" w:type="dxa"/>
            <w:vMerge w:val="continue"/>
            <w:tcMar>
              <w:left w:w="28" w:type="dxa"/>
              <w:right w:w="28" w:type="dxa"/>
            </w:tcMar>
            <w:vAlign w:val="center"/>
          </w:tcPr>
          <w:p w14:paraId="532CC1C9">
            <w:pPr>
              <w:widowControl/>
              <w:spacing w:line="180" w:lineRule="exact"/>
              <w:jc w:val="left"/>
              <w:rPr>
                <w:rFonts w:ascii="宋体"/>
                <w:kern w:val="0"/>
                <w:sz w:val="18"/>
                <w:szCs w:val="18"/>
              </w:rPr>
            </w:pPr>
          </w:p>
        </w:tc>
        <w:tc>
          <w:tcPr>
            <w:tcW w:w="1134" w:type="dxa"/>
            <w:tcMar>
              <w:left w:w="28" w:type="dxa"/>
              <w:right w:w="28" w:type="dxa"/>
            </w:tcMar>
            <w:vAlign w:val="center"/>
          </w:tcPr>
          <w:p w14:paraId="0CC584F4">
            <w:pPr>
              <w:widowControl/>
              <w:spacing w:line="180" w:lineRule="exact"/>
              <w:jc w:val="center"/>
              <w:rPr>
                <w:rFonts w:ascii="宋体" w:cs="宋体"/>
                <w:kern w:val="0"/>
                <w:sz w:val="18"/>
                <w:szCs w:val="18"/>
              </w:rPr>
            </w:pPr>
            <w:r>
              <w:rPr>
                <w:rFonts w:hint="eastAsia" w:ascii="宋体" w:hAnsi="宋体" w:cs="宋体"/>
                <w:kern w:val="0"/>
                <w:sz w:val="18"/>
                <w:szCs w:val="18"/>
              </w:rPr>
              <w:t>总得分</w:t>
            </w:r>
          </w:p>
        </w:tc>
        <w:tc>
          <w:tcPr>
            <w:tcW w:w="5343" w:type="dxa"/>
            <w:gridSpan w:val="5"/>
            <w:tcMar>
              <w:left w:w="28" w:type="dxa"/>
              <w:right w:w="28" w:type="dxa"/>
            </w:tcMar>
            <w:vAlign w:val="center"/>
          </w:tcPr>
          <w:p w14:paraId="2A598035">
            <w:pPr>
              <w:widowControl/>
              <w:spacing w:line="240" w:lineRule="exact"/>
              <w:jc w:val="center"/>
              <w:rPr>
                <w:rFonts w:ascii="Times New Roman" w:hAnsi="Times New Roman"/>
                <w:kern w:val="0"/>
                <w:sz w:val="18"/>
                <w:szCs w:val="18"/>
              </w:rPr>
            </w:pPr>
            <w:r>
              <w:rPr>
                <w:rFonts w:ascii="Times New Roman" w:hAnsi="Times New Roman"/>
                <w:kern w:val="0"/>
                <w:sz w:val="18"/>
                <w:szCs w:val="18"/>
              </w:rPr>
              <w:t>Q=（Q</w:t>
            </w:r>
            <w:r>
              <w:rPr>
                <w:rFonts w:ascii="Times New Roman" w:hAnsi="Times New Roman"/>
                <w:kern w:val="0"/>
                <w:sz w:val="18"/>
                <w:szCs w:val="18"/>
                <w:vertAlign w:val="subscript"/>
              </w:rPr>
              <w:t>0</w:t>
            </w:r>
            <w:r>
              <w:rPr>
                <w:rFonts w:ascii="Times New Roman" w:hAnsi="Times New Roman"/>
                <w:kern w:val="0"/>
                <w:sz w:val="18"/>
                <w:szCs w:val="18"/>
              </w:rPr>
              <w:t>+Q</w:t>
            </w:r>
            <w:r>
              <w:rPr>
                <w:rFonts w:ascii="Times New Roman" w:hAnsi="Times New Roman"/>
                <w:kern w:val="0"/>
                <w:sz w:val="18"/>
                <w:szCs w:val="18"/>
                <w:vertAlign w:val="subscript"/>
              </w:rPr>
              <w:t>1</w:t>
            </w:r>
            <w:r>
              <w:rPr>
                <w:rFonts w:ascii="Times New Roman" w:hAnsi="Times New Roman"/>
                <w:kern w:val="0"/>
                <w:sz w:val="18"/>
                <w:szCs w:val="18"/>
              </w:rPr>
              <w:t>+Q</w:t>
            </w:r>
            <w:r>
              <w:rPr>
                <w:rFonts w:ascii="Times New Roman" w:hAnsi="Times New Roman"/>
                <w:kern w:val="0"/>
                <w:sz w:val="18"/>
                <w:szCs w:val="18"/>
                <w:vertAlign w:val="subscript"/>
              </w:rPr>
              <w:t>2</w:t>
            </w:r>
            <w:r>
              <w:rPr>
                <w:rFonts w:ascii="Times New Roman" w:hAnsi="Times New Roman"/>
                <w:kern w:val="0"/>
                <w:sz w:val="18"/>
                <w:szCs w:val="18"/>
              </w:rPr>
              <w:t>+Q</w:t>
            </w:r>
            <w:r>
              <w:rPr>
                <w:rFonts w:ascii="Times New Roman" w:hAnsi="Times New Roman"/>
                <w:kern w:val="0"/>
                <w:sz w:val="18"/>
                <w:szCs w:val="18"/>
                <w:vertAlign w:val="subscript"/>
              </w:rPr>
              <w:t>3</w:t>
            </w:r>
            <w:r>
              <w:rPr>
                <w:rFonts w:ascii="Times New Roman" w:hAnsi="Times New Roman"/>
                <w:kern w:val="0"/>
                <w:sz w:val="18"/>
                <w:szCs w:val="18"/>
              </w:rPr>
              <w:t>+Q</w:t>
            </w:r>
            <w:r>
              <w:rPr>
                <w:rFonts w:ascii="Times New Roman" w:hAnsi="Times New Roman"/>
                <w:kern w:val="0"/>
                <w:sz w:val="18"/>
                <w:szCs w:val="18"/>
                <w:vertAlign w:val="subscript"/>
              </w:rPr>
              <w:t>4</w:t>
            </w:r>
            <w:r>
              <w:rPr>
                <w:rFonts w:ascii="Times New Roman" w:hAnsi="Times New Roman"/>
                <w:kern w:val="0"/>
                <w:sz w:val="18"/>
                <w:szCs w:val="18"/>
              </w:rPr>
              <w:t>+Q</w:t>
            </w:r>
            <w:r>
              <w:rPr>
                <w:rFonts w:ascii="Times New Roman" w:hAnsi="Times New Roman"/>
                <w:kern w:val="0"/>
                <w:sz w:val="18"/>
                <w:szCs w:val="18"/>
                <w:vertAlign w:val="subscript"/>
              </w:rPr>
              <w:t>5</w:t>
            </w:r>
            <w:r>
              <w:rPr>
                <w:rFonts w:ascii="Times New Roman" w:hAnsi="Times New Roman"/>
                <w:kern w:val="0"/>
                <w:sz w:val="18"/>
                <w:szCs w:val="18"/>
              </w:rPr>
              <w:t>+Q</w:t>
            </w:r>
            <w:r>
              <w:rPr>
                <w:rFonts w:ascii="Times New Roman" w:hAnsi="Times New Roman"/>
                <w:kern w:val="0"/>
                <w:sz w:val="18"/>
                <w:szCs w:val="18"/>
                <w:vertAlign w:val="subscript"/>
              </w:rPr>
              <w:t>A</w:t>
            </w:r>
            <w:r>
              <w:rPr>
                <w:rFonts w:ascii="Times New Roman" w:hAnsi="Times New Roman"/>
                <w:kern w:val="0"/>
                <w:sz w:val="18"/>
                <w:szCs w:val="18"/>
              </w:rPr>
              <w:t>）/10；</w:t>
            </w:r>
          </w:p>
          <w:p w14:paraId="0B1D5431">
            <w:pPr>
              <w:widowControl/>
              <w:spacing w:line="240" w:lineRule="exact"/>
              <w:jc w:val="center"/>
              <w:rPr>
                <w:rFonts w:ascii="Times New Roman" w:hAnsi="Times New Roman"/>
                <w:kern w:val="0"/>
                <w:sz w:val="18"/>
                <w:szCs w:val="18"/>
              </w:rPr>
            </w:pPr>
            <w:r>
              <w:rPr>
                <w:rFonts w:ascii="Times New Roman" w:hAnsi="Times New Roman"/>
                <w:kern w:val="0"/>
                <w:sz w:val="18"/>
                <w:szCs w:val="18"/>
              </w:rPr>
              <w:t>Q</w:t>
            </w:r>
            <w:r>
              <w:rPr>
                <w:rFonts w:ascii="Times New Roman" w:hAnsi="Times New Roman"/>
                <w:kern w:val="0"/>
                <w:sz w:val="18"/>
                <w:szCs w:val="18"/>
                <w:vertAlign w:val="subscript"/>
              </w:rPr>
              <w:t>0</w:t>
            </w:r>
            <w:r>
              <w:rPr>
                <w:rFonts w:ascii="Times New Roman" w:hAnsi="Times New Roman"/>
                <w:kern w:val="0"/>
                <w:sz w:val="18"/>
                <w:szCs w:val="18"/>
              </w:rPr>
              <w:t>为控制项基础分值，当满足所有控制项的要求是取400分。</w:t>
            </w:r>
          </w:p>
        </w:tc>
        <w:tc>
          <w:tcPr>
            <w:tcW w:w="1069" w:type="dxa"/>
            <w:vAlign w:val="center"/>
          </w:tcPr>
          <w:p w14:paraId="56FE8A52">
            <w:pPr>
              <w:widowControl/>
              <w:spacing w:line="200" w:lineRule="exact"/>
              <w:jc w:val="center"/>
              <w:rPr>
                <w:rFonts w:hint="default" w:ascii="Times New Roman" w:hAnsi="Times New Roman" w:eastAsia="宋体"/>
                <w:kern w:val="0"/>
                <w:sz w:val="18"/>
                <w:szCs w:val="18"/>
                <w:lang w:val="en-US" w:eastAsia="zh-CN"/>
              </w:rPr>
            </w:pPr>
            <w:r>
              <w:rPr>
                <w:rFonts w:ascii="Times New Roman" w:hAnsi="Times New Roman"/>
                <w:kern w:val="0"/>
                <w:sz w:val="18"/>
                <w:szCs w:val="18"/>
              </w:rPr>
              <w:t>7</w:t>
            </w:r>
            <w:r>
              <w:rPr>
                <w:rFonts w:hint="eastAsia" w:ascii="Times New Roman" w:hAnsi="Times New Roman"/>
                <w:kern w:val="0"/>
                <w:sz w:val="18"/>
                <w:szCs w:val="18"/>
                <w:lang w:val="en-US" w:eastAsia="zh-CN"/>
              </w:rPr>
              <w:t>1.0</w:t>
            </w:r>
            <w:bookmarkStart w:id="0" w:name="_GoBack"/>
            <w:bookmarkEnd w:id="0"/>
          </w:p>
        </w:tc>
      </w:tr>
    </w:tbl>
    <w:p w14:paraId="740D5754">
      <w:pPr>
        <w:rPr>
          <w:rFonts w:hAnsi="黑体" w:eastAsia="黑体" w:cs="黑体"/>
          <w:b/>
          <w:bCs/>
          <w:kern w:val="0"/>
          <w:sz w:val="18"/>
          <w:szCs w:val="18"/>
        </w:rPr>
      </w:pPr>
    </w:p>
    <w:p w14:paraId="368D31AA">
      <w:pPr>
        <w:spacing w:line="300" w:lineRule="exact"/>
        <w:outlineLvl w:val="1"/>
        <w:rPr>
          <w:rFonts w:hAnsi="黑体" w:eastAsia="黑体"/>
          <w:b/>
          <w:bCs/>
          <w:kern w:val="0"/>
          <w:sz w:val="26"/>
          <w:szCs w:val="26"/>
        </w:rPr>
      </w:pPr>
      <w:r>
        <w:rPr>
          <w:rFonts w:hint="eastAsia" w:ascii="黑体" w:hAnsi="黑体" w:eastAsia="黑体" w:cs="黑体"/>
          <w:b/>
          <w:bCs/>
          <w:kern w:val="0"/>
          <w:sz w:val="26"/>
          <w:szCs w:val="26"/>
        </w:rPr>
        <w:t>四、星级绿色建筑技术要求</w:t>
      </w:r>
    </w:p>
    <w:p w14:paraId="0FF6410C">
      <w:pPr>
        <w:spacing w:line="240" w:lineRule="exact"/>
        <w:rPr>
          <w:rFonts w:ascii="宋体" w:cs="宋体"/>
          <w:sz w:val="18"/>
          <w:szCs w:val="18"/>
        </w:rPr>
      </w:pPr>
    </w:p>
    <w:p w14:paraId="59062C6A">
      <w:pPr>
        <w:spacing w:line="240" w:lineRule="exact"/>
        <w:rPr>
          <w:rFonts w:ascii="宋体" w:cs="宋体"/>
          <w:b/>
          <w:bCs/>
          <w:sz w:val="18"/>
          <w:szCs w:val="18"/>
        </w:rPr>
      </w:pPr>
      <w:r>
        <w:rPr>
          <w:rFonts w:hint="eastAsia" w:ascii="宋体" w:hAnsi="宋体" w:cs="宋体"/>
          <w:b/>
          <w:bCs/>
          <w:sz w:val="18"/>
          <w:szCs w:val="18"/>
        </w:rPr>
        <w:t>建筑专业</w:t>
      </w:r>
    </w:p>
    <w:p w14:paraId="5180B94D">
      <w:pPr>
        <w:spacing w:line="240" w:lineRule="exact"/>
        <w:rPr>
          <w:rFonts w:ascii="黑体" w:hAnsi="宋体" w:eastAsia="黑体"/>
          <w:sz w:val="18"/>
          <w:szCs w:val="18"/>
        </w:rPr>
      </w:pPr>
      <w:r>
        <w:rPr>
          <w:rFonts w:ascii="黑体" w:hAnsi="宋体" w:eastAsia="黑体"/>
          <w:sz w:val="18"/>
          <w:szCs w:val="18"/>
        </w:rPr>
        <w:t>1</w:t>
      </w:r>
      <w:r>
        <w:rPr>
          <w:rFonts w:hint="eastAsia" w:ascii="黑体" w:hAnsi="宋体" w:eastAsia="黑体"/>
          <w:sz w:val="18"/>
          <w:szCs w:val="18"/>
        </w:rPr>
        <w:t>、围护结构热工性能的提高比例为</w:t>
      </w:r>
      <w:r>
        <w:rPr>
          <w:rFonts w:ascii="黑体" w:hAnsi="宋体" w:eastAsia="黑体"/>
          <w:sz w:val="18"/>
          <w:szCs w:val="18"/>
        </w:rPr>
        <w:t>_</w:t>
      </w:r>
      <w:r>
        <w:rPr>
          <w:rFonts w:ascii="黑体" w:hAnsi="宋体" w:eastAsia="黑体"/>
          <w:sz w:val="18"/>
          <w:szCs w:val="18"/>
          <w:u w:val="single"/>
        </w:rPr>
        <w:t>__</w:t>
      </w:r>
      <w:r>
        <w:rPr>
          <w:rFonts w:hint="eastAsia" w:ascii="黑体" w:hAnsi="宋体" w:eastAsia="黑体"/>
          <w:sz w:val="18"/>
          <w:szCs w:val="18"/>
          <w:u w:val="single"/>
        </w:rPr>
        <w:t>＞</w:t>
      </w:r>
      <w:r>
        <w:rPr>
          <w:rFonts w:ascii="黑体" w:hAnsi="宋体" w:eastAsia="黑体"/>
          <w:sz w:val="18"/>
          <w:szCs w:val="18"/>
          <w:u w:val="single"/>
        </w:rPr>
        <w:t>10 %_</w:t>
      </w:r>
      <w:r>
        <w:rPr>
          <w:rFonts w:ascii="黑体" w:hAnsi="宋体" w:eastAsia="黑体"/>
          <w:sz w:val="18"/>
          <w:szCs w:val="18"/>
        </w:rPr>
        <w:t>_</w:t>
      </w:r>
      <w:r>
        <w:rPr>
          <w:rFonts w:hint="eastAsia" w:ascii="黑体" w:hAnsi="宋体" w:eastAsia="黑体"/>
          <w:sz w:val="18"/>
          <w:szCs w:val="18"/>
        </w:rPr>
        <w:t>；或建筑供暖空调负荷降低比例为</w:t>
      </w:r>
      <w:r>
        <w:rPr>
          <w:rFonts w:ascii="黑体" w:hAnsi="宋体" w:eastAsia="黑体"/>
          <w:sz w:val="18"/>
          <w:szCs w:val="18"/>
        </w:rPr>
        <w:t>______</w:t>
      </w:r>
      <w:r>
        <w:rPr>
          <w:rFonts w:hint="eastAsia" w:ascii="黑体" w:hAnsi="宋体" w:eastAsia="黑体"/>
          <w:sz w:val="18"/>
          <w:szCs w:val="18"/>
        </w:rPr>
        <w:t>。</w:t>
      </w:r>
    </w:p>
    <w:p w14:paraId="4D9A953F">
      <w:pPr>
        <w:spacing w:line="240" w:lineRule="exact"/>
        <w:rPr>
          <w:rFonts w:ascii="宋体" w:hAnsi="宋体" w:cs="宋体"/>
          <w:sz w:val="18"/>
          <w:szCs w:val="18"/>
        </w:rPr>
      </w:pPr>
      <w:r>
        <w:rPr>
          <w:rFonts w:hint="eastAsia" w:ascii="宋体" w:hAnsi="宋体" w:cs="宋体"/>
          <w:sz w:val="18"/>
          <w:szCs w:val="18"/>
        </w:rPr>
        <w:t>技术措施说明：本</w:t>
      </w:r>
      <w:r>
        <w:rPr>
          <w:rFonts w:ascii="宋体" w:hAnsi="宋体" w:cs="宋体"/>
          <w:sz w:val="18"/>
          <w:szCs w:val="18"/>
        </w:rPr>
        <w:t>项目</w:t>
      </w:r>
      <w:r>
        <w:rPr>
          <w:rFonts w:hint="eastAsia" w:ascii="宋体" w:hAnsi="宋体" w:cs="宋体"/>
          <w:sz w:val="18"/>
          <w:szCs w:val="18"/>
        </w:rPr>
        <w:t>建筑设计</w:t>
      </w:r>
      <w:r>
        <w:rPr>
          <w:rFonts w:ascii="宋体" w:hAnsi="宋体" w:cs="宋体"/>
          <w:sz w:val="18"/>
          <w:szCs w:val="18"/>
        </w:rPr>
        <w:t>建筑</w:t>
      </w:r>
      <w:r>
        <w:rPr>
          <w:rFonts w:hint="eastAsia" w:ascii="宋体" w:hAnsi="宋体" w:cs="宋体"/>
          <w:sz w:val="18"/>
          <w:szCs w:val="18"/>
        </w:rPr>
        <w:t>供暖空调负荷耗电量比</w:t>
      </w:r>
      <w:r>
        <w:rPr>
          <w:rFonts w:ascii="宋体" w:hAnsi="宋体" w:cs="宋体"/>
          <w:sz w:val="18"/>
          <w:szCs w:val="18"/>
        </w:rPr>
        <w:t>参照建筑</w:t>
      </w:r>
      <w:r>
        <w:rPr>
          <w:rFonts w:hint="eastAsia" w:ascii="宋体" w:hAnsi="宋体" w:cs="宋体"/>
          <w:sz w:val="18"/>
          <w:szCs w:val="18"/>
        </w:rPr>
        <w:t>耗电量降低</w:t>
      </w:r>
      <w:r>
        <w:rPr>
          <w:rFonts w:ascii="宋体" w:hAnsi="宋体" w:cs="宋体"/>
          <w:sz w:val="18"/>
          <w:szCs w:val="18"/>
        </w:rPr>
        <w:t>比例大于10%</w:t>
      </w:r>
      <w:r>
        <w:rPr>
          <w:rFonts w:hint="eastAsia" w:ascii="宋体" w:hAnsi="宋体" w:cs="宋体"/>
          <w:sz w:val="18"/>
          <w:szCs w:val="18"/>
        </w:rPr>
        <w:t>，满足规范限定值要求，统计结果如下表，主要围护结构结构如下：</w:t>
      </w:r>
    </w:p>
    <w:p w14:paraId="5D6CC1BB">
      <w:pPr>
        <w:spacing w:line="240" w:lineRule="exact"/>
        <w:rPr>
          <w:rFonts w:ascii="宋体" w:hAnsi="宋体" w:cs="宋体"/>
          <w:sz w:val="18"/>
          <w:szCs w:val="18"/>
        </w:rPr>
      </w:pPr>
      <w:r>
        <w:rPr>
          <w:rFonts w:hint="eastAsia" w:ascii="宋体" w:hAnsi="宋体" w:cs="宋体"/>
          <w:sz w:val="18"/>
          <w:szCs w:val="18"/>
        </w:rPr>
        <w:t>屋面：采用1</w:t>
      </w:r>
      <w:r>
        <w:rPr>
          <w:rFonts w:ascii="宋体" w:hAnsi="宋体" w:cs="宋体"/>
          <w:sz w:val="18"/>
          <w:szCs w:val="18"/>
        </w:rPr>
        <w:t>00</w:t>
      </w:r>
      <w:r>
        <w:rPr>
          <w:rFonts w:hint="eastAsia" w:ascii="宋体" w:hAnsi="宋体" w:cs="宋体"/>
          <w:sz w:val="18"/>
          <w:szCs w:val="18"/>
        </w:rPr>
        <w:t>mm挤塑聚苯板为隔热层的倒置式屋面，</w:t>
      </w:r>
      <w:r>
        <w:rPr>
          <w:rFonts w:ascii="宋体" w:hAnsi="宋体" w:cs="宋体"/>
          <w:sz w:val="18"/>
          <w:szCs w:val="18"/>
        </w:rPr>
        <w:t>传热系数为</w:t>
      </w:r>
      <w:r>
        <w:rPr>
          <w:rFonts w:hint="eastAsia" w:ascii="宋体" w:hAnsi="宋体" w:cs="宋体"/>
          <w:sz w:val="18"/>
          <w:szCs w:val="18"/>
        </w:rPr>
        <w:t>0</w:t>
      </w:r>
      <w:r>
        <w:rPr>
          <w:rFonts w:ascii="宋体" w:hAnsi="宋体" w:cs="宋体"/>
          <w:sz w:val="18"/>
          <w:szCs w:val="18"/>
        </w:rPr>
        <w:t>.</w:t>
      </w:r>
      <w:r>
        <w:rPr>
          <w:rFonts w:hint="eastAsia" w:ascii="宋体" w:hAnsi="宋体" w:cs="宋体"/>
          <w:sz w:val="18"/>
          <w:szCs w:val="18"/>
          <w:lang w:val="en-US" w:eastAsia="zh-CN"/>
        </w:rPr>
        <w:t>40</w:t>
      </w:r>
      <w:r>
        <w:rPr>
          <w:rFonts w:ascii="宋体" w:hAnsi="宋体" w:cs="宋体"/>
          <w:sz w:val="18"/>
          <w:szCs w:val="18"/>
        </w:rPr>
        <w:t>W/</w:t>
      </w:r>
      <w:r>
        <w:rPr>
          <w:rFonts w:hint="eastAsia" w:ascii="宋体" w:hAnsi="宋体" w:cs="宋体"/>
          <w:sz w:val="18"/>
          <w:szCs w:val="18"/>
        </w:rPr>
        <w:t>m</w:t>
      </w:r>
      <w:r>
        <w:rPr>
          <w:rFonts w:ascii="宋体" w:hAnsi="宋体" w:cs="宋体"/>
          <w:sz w:val="18"/>
          <w:szCs w:val="18"/>
          <w:vertAlign w:val="superscript"/>
        </w:rPr>
        <w:t>2</w:t>
      </w:r>
      <w:r>
        <w:rPr>
          <w:rFonts w:ascii="宋体" w:hAnsi="宋体" w:cs="宋体"/>
          <w:sz w:val="18"/>
          <w:szCs w:val="18"/>
        </w:rPr>
        <w:t>·K</w:t>
      </w:r>
      <w:r>
        <w:rPr>
          <w:rFonts w:hint="eastAsia" w:ascii="宋体" w:hAnsi="宋体" w:cs="宋体"/>
          <w:sz w:val="18"/>
          <w:szCs w:val="18"/>
        </w:rPr>
        <w:t>；</w:t>
      </w:r>
    </w:p>
    <w:p w14:paraId="66753C93">
      <w:pPr>
        <w:spacing w:line="240" w:lineRule="exact"/>
        <w:rPr>
          <w:rFonts w:ascii="宋体" w:hAnsi="宋体" w:cs="宋体"/>
          <w:sz w:val="18"/>
          <w:szCs w:val="18"/>
        </w:rPr>
      </w:pPr>
      <w:r>
        <w:rPr>
          <w:rFonts w:ascii="宋体" w:hAnsi="宋体" w:cs="宋体"/>
          <w:sz w:val="18"/>
          <w:szCs w:val="18"/>
        </w:rPr>
        <w:t>外墙</w:t>
      </w:r>
      <w:r>
        <w:rPr>
          <w:rFonts w:hint="eastAsia" w:ascii="宋体" w:hAnsi="宋体" w:cs="宋体"/>
          <w:sz w:val="18"/>
          <w:szCs w:val="18"/>
        </w:rPr>
        <w:t>：墙体传热系数1</w:t>
      </w:r>
      <w:r>
        <w:rPr>
          <w:rFonts w:ascii="宋体" w:hAnsi="宋体" w:cs="宋体"/>
          <w:sz w:val="18"/>
          <w:szCs w:val="18"/>
        </w:rPr>
        <w:t>.2</w:t>
      </w:r>
      <w:r>
        <w:rPr>
          <w:rFonts w:hint="eastAsia" w:ascii="宋体" w:hAnsi="宋体" w:cs="宋体"/>
          <w:sz w:val="18"/>
          <w:szCs w:val="18"/>
          <w:lang w:val="en-US" w:eastAsia="zh-CN"/>
        </w:rPr>
        <w:t>3</w:t>
      </w:r>
      <w:r>
        <w:rPr>
          <w:rFonts w:ascii="宋体" w:hAnsi="宋体" w:cs="宋体"/>
          <w:sz w:val="18"/>
          <w:szCs w:val="18"/>
        </w:rPr>
        <w:t xml:space="preserve"> W/</w:t>
      </w:r>
      <w:r>
        <w:rPr>
          <w:rFonts w:hint="eastAsia" w:ascii="宋体" w:hAnsi="宋体" w:cs="宋体"/>
          <w:sz w:val="18"/>
          <w:szCs w:val="18"/>
        </w:rPr>
        <w:t>m</w:t>
      </w:r>
      <w:r>
        <w:rPr>
          <w:rFonts w:ascii="宋体" w:hAnsi="宋体" w:cs="宋体"/>
          <w:sz w:val="18"/>
          <w:szCs w:val="18"/>
          <w:vertAlign w:val="superscript"/>
        </w:rPr>
        <w:t>2</w:t>
      </w:r>
      <w:r>
        <w:rPr>
          <w:rFonts w:ascii="宋体" w:hAnsi="宋体" w:cs="宋体"/>
          <w:sz w:val="18"/>
          <w:szCs w:val="18"/>
        </w:rPr>
        <w:t>·K</w:t>
      </w:r>
      <w:r>
        <w:rPr>
          <w:rFonts w:hint="eastAsia" w:ascii="宋体" w:hAnsi="宋体" w:cs="宋体"/>
          <w:sz w:val="18"/>
          <w:szCs w:val="18"/>
        </w:rPr>
        <w:t>；</w:t>
      </w:r>
    </w:p>
    <w:p w14:paraId="287AE461">
      <w:pPr>
        <w:spacing w:line="240" w:lineRule="exact"/>
        <w:rPr>
          <w:rFonts w:ascii="宋体" w:hAnsi="宋体" w:cs="宋体"/>
          <w:sz w:val="18"/>
          <w:szCs w:val="18"/>
        </w:rPr>
      </w:pPr>
      <w:r>
        <w:rPr>
          <w:rFonts w:hint="eastAsia" w:ascii="宋体" w:hAnsi="宋体" w:cs="宋体"/>
          <w:sz w:val="18"/>
          <w:szCs w:val="18"/>
        </w:rPr>
        <w:t>外窗：采用6LOW-e+12A+6中空玻璃。</w:t>
      </w:r>
      <w:r>
        <w:rPr>
          <w:rFonts w:ascii="宋体" w:hAnsi="宋体" w:cs="宋体"/>
          <w:sz w:val="18"/>
          <w:szCs w:val="18"/>
        </w:rPr>
        <w:t xml:space="preserve"> </w:t>
      </w:r>
    </w:p>
    <w:p w14:paraId="0D475532">
      <w:pPr>
        <w:spacing w:line="240" w:lineRule="exact"/>
        <w:rPr>
          <w:b/>
          <w:bCs/>
          <w:sz w:val="18"/>
          <w:szCs w:val="18"/>
        </w:rPr>
      </w:pPr>
      <w:r>
        <w:rPr>
          <w:rFonts w:hint="eastAsia" w:ascii="宋体" w:hAnsi="宋体" w:cs="宋体"/>
          <w:sz w:val="18"/>
          <w:szCs w:val="18"/>
        </w:rPr>
        <w:t>证明材料：√节能计算报告书；√设计图纸（建筑、建筑节能设计专篇）</w:t>
      </w:r>
    </w:p>
    <w:p w14:paraId="67C3FF8C">
      <w:pPr>
        <w:spacing w:line="240" w:lineRule="exact"/>
        <w:rPr>
          <w:rFonts w:ascii="黑体" w:hAnsi="宋体" w:eastAsia="黑体"/>
          <w:sz w:val="18"/>
          <w:szCs w:val="18"/>
        </w:rPr>
      </w:pPr>
    </w:p>
    <w:p w14:paraId="4D56D131">
      <w:pPr>
        <w:spacing w:line="240" w:lineRule="exact"/>
        <w:rPr>
          <w:rFonts w:ascii="黑体" w:hAnsi="宋体" w:eastAsia="黑体"/>
          <w:sz w:val="18"/>
          <w:szCs w:val="18"/>
          <w:u w:val="single"/>
        </w:rPr>
      </w:pPr>
      <w:r>
        <w:rPr>
          <w:rFonts w:ascii="黑体" w:hAnsi="宋体" w:eastAsia="黑体"/>
          <w:sz w:val="18"/>
          <w:szCs w:val="18"/>
        </w:rPr>
        <w:t>2</w:t>
      </w:r>
      <w:r>
        <w:rPr>
          <w:rFonts w:hint="eastAsia" w:ascii="黑体" w:hAnsi="宋体" w:eastAsia="黑体"/>
          <w:sz w:val="18"/>
          <w:szCs w:val="18"/>
        </w:rPr>
        <w:t>、住宅建筑室外与卧室之间的空气声隔声性能为</w:t>
      </w:r>
      <w:r>
        <w:rPr>
          <w:rFonts w:ascii="黑体" w:hAnsi="宋体" w:eastAsia="黑体"/>
          <w:sz w:val="18"/>
          <w:szCs w:val="18"/>
          <w:u w:val="single"/>
        </w:rPr>
        <w:t>/ dB</w:t>
      </w:r>
      <w:r>
        <w:rPr>
          <w:rFonts w:hint="eastAsia" w:ascii="黑体" w:hAnsi="宋体" w:eastAsia="黑体"/>
          <w:sz w:val="18"/>
          <w:szCs w:val="18"/>
          <w:u w:val="single"/>
        </w:rPr>
        <w:t>(A)</w:t>
      </w:r>
      <w:r>
        <w:rPr>
          <w:rFonts w:hint="eastAsia" w:ascii="黑体" w:hAnsi="宋体" w:eastAsia="黑体"/>
          <w:sz w:val="18"/>
          <w:szCs w:val="18"/>
        </w:rPr>
        <w:t>；分户墙两侧卧室之间的空气声隔声性能为</w:t>
      </w:r>
      <w:r>
        <w:rPr>
          <w:rFonts w:ascii="黑体" w:hAnsi="宋体" w:eastAsia="黑体"/>
          <w:sz w:val="18"/>
          <w:szCs w:val="18"/>
          <w:u w:val="single"/>
        </w:rPr>
        <w:t xml:space="preserve">/dB </w:t>
      </w:r>
      <w:r>
        <w:rPr>
          <w:rFonts w:hint="eastAsia" w:ascii="黑体" w:hAnsi="宋体" w:eastAsia="黑体"/>
          <w:sz w:val="18"/>
          <w:szCs w:val="18"/>
          <w:u w:val="single"/>
        </w:rPr>
        <w:t>(A)</w:t>
      </w:r>
      <w:r>
        <w:rPr>
          <w:rFonts w:hint="eastAsia" w:ascii="黑体" w:hAnsi="宋体" w:eastAsia="黑体"/>
          <w:sz w:val="18"/>
          <w:szCs w:val="18"/>
        </w:rPr>
        <w:t>；分户楼板两侧卧室之间的空气声隔声性能为</w:t>
      </w:r>
      <w:r>
        <w:rPr>
          <w:rFonts w:hint="eastAsia" w:ascii="黑体" w:hAnsi="宋体" w:eastAsia="黑体"/>
          <w:sz w:val="18"/>
          <w:szCs w:val="18"/>
          <w:u w:val="single"/>
        </w:rPr>
        <w:t>/</w:t>
      </w:r>
      <w:r>
        <w:rPr>
          <w:rFonts w:ascii="黑体" w:hAnsi="宋体" w:eastAsia="黑体"/>
          <w:sz w:val="18"/>
          <w:szCs w:val="18"/>
          <w:u w:val="single"/>
        </w:rPr>
        <w:t>dB(A)</w:t>
      </w:r>
      <w:r>
        <w:rPr>
          <w:rFonts w:hint="eastAsia" w:ascii="黑体" w:hAnsi="宋体" w:eastAsia="黑体"/>
          <w:sz w:val="18"/>
          <w:szCs w:val="18"/>
        </w:rPr>
        <w:t>；卧室楼板的撞击声隔声性能为</w:t>
      </w:r>
      <w:r>
        <w:rPr>
          <w:rFonts w:ascii="黑体" w:hAnsi="宋体" w:eastAsia="黑体"/>
          <w:sz w:val="18"/>
          <w:szCs w:val="18"/>
          <w:u w:val="single"/>
        </w:rPr>
        <w:t>/dB(A)</w:t>
      </w:r>
      <w:r>
        <w:rPr>
          <w:rFonts w:hint="eastAsia" w:ascii="黑体" w:hAnsi="宋体" w:eastAsia="黑体"/>
          <w:sz w:val="18"/>
          <w:szCs w:val="18"/>
          <w:u w:val="single"/>
        </w:rPr>
        <w:t>和</w:t>
      </w:r>
      <w:r>
        <w:rPr>
          <w:rFonts w:ascii="黑体" w:hAnsi="宋体" w:eastAsia="黑体"/>
          <w:sz w:val="18"/>
          <w:szCs w:val="18"/>
          <w:u w:val="single"/>
        </w:rPr>
        <w:t>/dB(A)</w:t>
      </w:r>
      <w:r>
        <w:rPr>
          <w:rFonts w:hint="eastAsia" w:ascii="黑体" w:hAnsi="宋体" w:eastAsia="黑体"/>
          <w:sz w:val="18"/>
          <w:szCs w:val="18"/>
          <w:u w:val="single"/>
        </w:rPr>
        <w:t>。</w:t>
      </w:r>
    </w:p>
    <w:p w14:paraId="69AD404E">
      <w:pPr>
        <w:spacing w:line="240" w:lineRule="exact"/>
        <w:rPr>
          <w:rFonts w:ascii="宋体" w:hAnsi="宋体" w:cs="宋体"/>
          <w:sz w:val="18"/>
          <w:szCs w:val="18"/>
        </w:rPr>
      </w:pPr>
      <w:r>
        <w:rPr>
          <w:rFonts w:hint="eastAsia" w:ascii="宋体" w:hAnsi="宋体" w:cs="宋体"/>
          <w:sz w:val="18"/>
          <w:szCs w:val="18"/>
        </w:rPr>
        <w:t>技术措施说明：</w:t>
      </w:r>
      <w:r>
        <w:rPr>
          <w:rFonts w:hint="eastAsia" w:ascii="宋体" w:hAnsi="宋体"/>
          <w:sz w:val="18"/>
          <w:szCs w:val="18"/>
        </w:rPr>
        <w:t>本项目为医院，非住宅建筑。</w:t>
      </w:r>
    </w:p>
    <w:p w14:paraId="55D9E735">
      <w:pPr>
        <w:spacing w:line="240" w:lineRule="exact"/>
        <w:rPr>
          <w:b/>
          <w:bCs/>
          <w:sz w:val="18"/>
          <w:szCs w:val="18"/>
        </w:rPr>
      </w:pPr>
      <w:r>
        <w:rPr>
          <w:rFonts w:hint="eastAsia" w:ascii="宋体" w:hAnsi="宋体" w:cs="宋体"/>
          <w:sz w:val="18"/>
          <w:szCs w:val="18"/>
        </w:rPr>
        <w:t>证明材料：</w:t>
      </w:r>
      <w:r>
        <w:rPr>
          <w:rFonts w:hint="eastAsia" w:ascii="宋体" w:hAnsi="宋体"/>
          <w:sz w:val="18"/>
          <w:szCs w:val="18"/>
        </w:rPr>
        <w:t>□</w:t>
      </w:r>
      <w:r>
        <w:rPr>
          <w:rFonts w:hint="eastAsia" w:ascii="宋体" w:hAnsi="宋体" w:cs="宋体"/>
          <w:sz w:val="18"/>
          <w:szCs w:val="18"/>
        </w:rPr>
        <w:t>围护结构隔声量计算书；</w:t>
      </w:r>
      <w:r>
        <w:rPr>
          <w:rFonts w:ascii="宋体" w:hAnsi="宋体" w:cs="宋体"/>
          <w:sz w:val="18"/>
          <w:szCs w:val="18"/>
        </w:rPr>
        <w:t xml:space="preserve"> </w:t>
      </w:r>
      <w:r>
        <w:rPr>
          <w:rFonts w:hint="eastAsia" w:ascii="宋体" w:hAnsi="宋体"/>
          <w:sz w:val="18"/>
          <w:szCs w:val="18"/>
        </w:rPr>
        <w:t>□</w:t>
      </w:r>
      <w:r>
        <w:rPr>
          <w:rFonts w:hint="eastAsia" w:ascii="宋体" w:hAnsi="宋体" w:cs="宋体"/>
          <w:sz w:val="18"/>
          <w:szCs w:val="18"/>
        </w:rPr>
        <w:t>设计图纸（专业、图号）；</w:t>
      </w:r>
    </w:p>
    <w:p w14:paraId="0CC7AE77">
      <w:pPr>
        <w:spacing w:line="240" w:lineRule="exact"/>
        <w:rPr>
          <w:rFonts w:ascii="宋体" w:cs="宋体"/>
          <w:sz w:val="18"/>
          <w:szCs w:val="18"/>
        </w:rPr>
      </w:pPr>
    </w:p>
    <w:p w14:paraId="05CA5C3D">
      <w:pPr>
        <w:spacing w:line="240" w:lineRule="exact"/>
        <w:rPr>
          <w:rFonts w:ascii="黑体" w:hAnsi="宋体" w:eastAsia="黑体"/>
          <w:sz w:val="18"/>
          <w:szCs w:val="18"/>
        </w:rPr>
      </w:pPr>
      <w:r>
        <w:rPr>
          <w:rFonts w:ascii="黑体" w:hAnsi="宋体" w:eastAsia="黑体"/>
          <w:sz w:val="18"/>
          <w:szCs w:val="18"/>
        </w:rPr>
        <w:t>3</w:t>
      </w:r>
      <w:r>
        <w:rPr>
          <w:rFonts w:hint="eastAsia" w:ascii="黑体" w:hAnsi="宋体" w:eastAsia="黑体"/>
          <w:sz w:val="18"/>
          <w:szCs w:val="18"/>
        </w:rPr>
        <w:t>、外窗气密性能为</w:t>
      </w:r>
      <w:r>
        <w:rPr>
          <w:rFonts w:ascii="黑体" w:hAnsi="宋体" w:eastAsia="黑体"/>
          <w:sz w:val="18"/>
          <w:szCs w:val="18"/>
        </w:rPr>
        <w:t>__</w:t>
      </w:r>
      <w:r>
        <w:rPr>
          <w:rFonts w:ascii="黑体" w:hAnsi="宋体" w:eastAsia="黑体"/>
          <w:sz w:val="18"/>
          <w:szCs w:val="18"/>
          <w:u w:val="single"/>
        </w:rPr>
        <w:t>7_</w:t>
      </w:r>
      <w:r>
        <w:rPr>
          <w:rFonts w:ascii="黑体" w:hAnsi="宋体" w:eastAsia="黑体"/>
          <w:sz w:val="18"/>
          <w:szCs w:val="18"/>
        </w:rPr>
        <w:t>_</w:t>
      </w:r>
      <w:r>
        <w:rPr>
          <w:rFonts w:hint="eastAsia" w:ascii="黑体" w:hAnsi="宋体" w:eastAsia="黑体"/>
          <w:sz w:val="18"/>
          <w:szCs w:val="18"/>
        </w:rPr>
        <w:t>级。</w:t>
      </w:r>
    </w:p>
    <w:p w14:paraId="4FF1087C">
      <w:pPr>
        <w:spacing w:line="240" w:lineRule="exact"/>
        <w:rPr>
          <w:rFonts w:ascii="宋体"/>
          <w:sz w:val="18"/>
          <w:szCs w:val="18"/>
        </w:rPr>
      </w:pPr>
      <w:r>
        <w:rPr>
          <w:rFonts w:hint="eastAsia" w:ascii="宋体" w:hAnsi="宋体" w:cs="宋体"/>
          <w:sz w:val="18"/>
          <w:szCs w:val="18"/>
        </w:rPr>
        <w:t>技术措施说明：本项目主要功能房间采用普通铝合金窗框+6LOW-e+12</w:t>
      </w:r>
      <w:r>
        <w:rPr>
          <w:rFonts w:hint="eastAsia" w:ascii="宋体" w:hAnsi="宋体" w:cs="宋体"/>
          <w:sz w:val="18"/>
          <w:szCs w:val="18"/>
          <w:lang w:eastAsia="zh-CN"/>
        </w:rPr>
        <w:t>A</w:t>
      </w:r>
      <w:r>
        <w:rPr>
          <w:rFonts w:hint="eastAsia" w:ascii="宋体" w:hAnsi="宋体" w:cs="宋体"/>
          <w:sz w:val="18"/>
          <w:szCs w:val="18"/>
        </w:rPr>
        <w:t>+6中空玻璃，外窗气密性能均不低于</w:t>
      </w:r>
      <w:r>
        <w:rPr>
          <w:rFonts w:ascii="宋体" w:hAnsi="宋体" w:cs="宋体"/>
          <w:sz w:val="18"/>
          <w:szCs w:val="18"/>
        </w:rPr>
        <w:t>7</w:t>
      </w:r>
      <w:r>
        <w:rPr>
          <w:rFonts w:hint="eastAsia" w:ascii="宋体" w:hAnsi="宋体" w:cs="宋体"/>
          <w:sz w:val="18"/>
          <w:szCs w:val="18"/>
        </w:rPr>
        <w:t>级。</w:t>
      </w:r>
      <w:r>
        <w:rPr>
          <w:rFonts w:ascii="宋体"/>
          <w:sz w:val="18"/>
          <w:szCs w:val="18"/>
        </w:rPr>
        <w:t xml:space="preserve"> </w:t>
      </w:r>
    </w:p>
    <w:p w14:paraId="34A94716">
      <w:pPr>
        <w:spacing w:line="240" w:lineRule="exact"/>
        <w:rPr>
          <w:b/>
          <w:bCs/>
          <w:sz w:val="18"/>
          <w:szCs w:val="18"/>
        </w:rPr>
      </w:pPr>
      <w:r>
        <w:rPr>
          <w:rFonts w:hint="eastAsia" w:ascii="宋体" w:hAnsi="宋体" w:cs="宋体"/>
          <w:sz w:val="18"/>
          <w:szCs w:val="18"/>
        </w:rPr>
        <w:t>证明材料：√设计图纸（建筑、建筑</w:t>
      </w:r>
      <w:r>
        <w:rPr>
          <w:rFonts w:ascii="宋体" w:hAnsi="宋体" w:cs="宋体"/>
          <w:sz w:val="18"/>
          <w:szCs w:val="18"/>
        </w:rPr>
        <w:t>节能专篇</w:t>
      </w:r>
      <w:r>
        <w:rPr>
          <w:rFonts w:hint="eastAsia" w:ascii="宋体" w:hAnsi="宋体" w:cs="宋体"/>
          <w:sz w:val="18"/>
          <w:szCs w:val="18"/>
        </w:rPr>
        <w:t>，</w:t>
      </w:r>
      <w:r>
        <w:rPr>
          <w:rFonts w:ascii="宋体" w:hAnsi="宋体" w:cs="宋体"/>
          <w:sz w:val="18"/>
          <w:szCs w:val="18"/>
        </w:rPr>
        <w:t>SM-01</w:t>
      </w:r>
      <w:r>
        <w:rPr>
          <w:rFonts w:hint="eastAsia" w:ascii="宋体" w:hAnsi="宋体" w:cs="宋体"/>
          <w:sz w:val="18"/>
          <w:szCs w:val="18"/>
        </w:rPr>
        <w:t>_建筑设计总说明，门窗</w:t>
      </w:r>
      <w:r>
        <w:rPr>
          <w:rFonts w:ascii="宋体" w:hAnsi="宋体" w:cs="宋体"/>
          <w:sz w:val="18"/>
          <w:szCs w:val="18"/>
        </w:rPr>
        <w:t>大样</w:t>
      </w:r>
      <w:r>
        <w:rPr>
          <w:rFonts w:hint="eastAsia" w:ascii="宋体" w:hAnsi="宋体" w:cs="宋体"/>
          <w:sz w:val="18"/>
          <w:szCs w:val="18"/>
        </w:rPr>
        <w:t>）</w:t>
      </w:r>
    </w:p>
    <w:p w14:paraId="4A8BCF8F">
      <w:pPr>
        <w:rPr>
          <w:rFonts w:hAnsi="黑体" w:eastAsia="黑体" w:cs="黑体"/>
          <w:b/>
          <w:bCs/>
          <w:kern w:val="0"/>
          <w:sz w:val="18"/>
          <w:szCs w:val="18"/>
        </w:rPr>
      </w:pPr>
    </w:p>
    <w:p w14:paraId="3AF98ECC">
      <w:pPr>
        <w:rPr>
          <w:rFonts w:ascii="黑体" w:hAnsi="宋体" w:eastAsia="黑体"/>
          <w:sz w:val="18"/>
          <w:szCs w:val="18"/>
        </w:rPr>
      </w:pPr>
      <w:r>
        <w:rPr>
          <w:rFonts w:hAnsi="黑体" w:eastAsia="黑体" w:cs="黑体"/>
          <w:kern w:val="0"/>
          <w:sz w:val="18"/>
          <w:szCs w:val="18"/>
        </w:rPr>
        <w:t>4</w:t>
      </w:r>
      <w:r>
        <w:rPr>
          <w:rFonts w:hint="eastAsia" w:hAnsi="黑体" w:eastAsia="黑体" w:cs="黑体"/>
          <w:kern w:val="0"/>
          <w:sz w:val="18"/>
          <w:szCs w:val="18"/>
        </w:rPr>
        <w:t>、装修区域公共建筑</w:t>
      </w:r>
      <w:r>
        <w:rPr>
          <w:rFonts w:hint="eastAsia" w:ascii="黑体" w:hAnsi="宋体" w:eastAsia="黑体"/>
          <w:sz w:val="18"/>
          <w:szCs w:val="18"/>
          <w:u w:val="single"/>
        </w:rPr>
        <w:t>公共</w:t>
      </w:r>
      <w:r>
        <w:rPr>
          <w:rFonts w:ascii="黑体" w:hAnsi="宋体" w:eastAsia="黑体"/>
          <w:sz w:val="18"/>
          <w:szCs w:val="18"/>
          <w:u w:val="single"/>
        </w:rPr>
        <w:t>区域</w:t>
      </w:r>
      <w:r>
        <w:rPr>
          <w:rFonts w:hint="eastAsia" w:ascii="黑体" w:hAnsi="宋体" w:eastAsia="黑体"/>
          <w:sz w:val="18"/>
          <w:szCs w:val="18"/>
          <w:u w:val="single"/>
        </w:rPr>
        <w:t>采用一体化精装修</w:t>
      </w:r>
      <w:r>
        <w:rPr>
          <w:rFonts w:hint="eastAsia" w:hAnsi="黑体" w:eastAsia="黑体" w:cs="黑体"/>
          <w:kern w:val="0"/>
          <w:sz w:val="18"/>
          <w:szCs w:val="18"/>
        </w:rPr>
        <w:t>，</w:t>
      </w:r>
      <w:r>
        <w:rPr>
          <w:rFonts w:hint="eastAsia" w:ascii="黑体" w:hAnsi="宋体" w:eastAsia="黑体"/>
          <w:sz w:val="18"/>
          <w:szCs w:val="18"/>
        </w:rPr>
        <w:t>居住建筑</w:t>
      </w:r>
      <w:r>
        <w:rPr>
          <w:rFonts w:ascii="黑体" w:hAnsi="宋体" w:eastAsia="黑体"/>
          <w:sz w:val="18"/>
          <w:szCs w:val="18"/>
        </w:rPr>
        <w:t>_</w:t>
      </w:r>
      <w:r>
        <w:rPr>
          <w:rFonts w:ascii="黑体" w:hAnsi="宋体" w:eastAsia="黑体"/>
          <w:sz w:val="18"/>
          <w:szCs w:val="18"/>
          <w:u w:val="single"/>
        </w:rPr>
        <w:t>_</w:t>
      </w:r>
      <w:r>
        <w:rPr>
          <w:rFonts w:hint="eastAsia" w:ascii="黑体" w:hAnsi="宋体" w:eastAsia="黑体"/>
          <w:sz w:val="18"/>
          <w:szCs w:val="18"/>
          <w:u w:val="single"/>
        </w:rPr>
        <w:t>所有</w:t>
      </w:r>
      <w:r>
        <w:rPr>
          <w:rFonts w:ascii="黑体" w:hAnsi="宋体" w:eastAsia="黑体"/>
          <w:sz w:val="18"/>
          <w:szCs w:val="18"/>
          <w:u w:val="single"/>
        </w:rPr>
        <w:t>区域</w:t>
      </w:r>
      <w:r>
        <w:rPr>
          <w:rFonts w:hint="eastAsia" w:ascii="黑体" w:hAnsi="宋体" w:eastAsia="黑体"/>
          <w:sz w:val="18"/>
          <w:szCs w:val="18"/>
          <w:u w:val="single"/>
        </w:rPr>
        <w:t xml:space="preserve">采用一体化精装修 </w:t>
      </w:r>
      <w:r>
        <w:rPr>
          <w:rFonts w:hint="eastAsia" w:ascii="黑体" w:hAnsi="宋体" w:eastAsia="黑体"/>
          <w:sz w:val="18"/>
          <w:szCs w:val="18"/>
        </w:rPr>
        <w:t>。</w:t>
      </w:r>
    </w:p>
    <w:p w14:paraId="29A28CD0">
      <w:pPr>
        <w:spacing w:line="240" w:lineRule="exact"/>
        <w:rPr>
          <w:rFonts w:ascii="宋体" w:cs="黑体"/>
          <w:sz w:val="18"/>
          <w:szCs w:val="18"/>
        </w:rPr>
      </w:pPr>
      <w:r>
        <w:rPr>
          <w:rFonts w:hint="eastAsia" w:ascii="宋体" w:hAnsi="宋体" w:cs="黑体"/>
          <w:sz w:val="18"/>
          <w:szCs w:val="18"/>
        </w:rPr>
        <w:t>技术措施说明：本</w:t>
      </w:r>
      <w:r>
        <w:rPr>
          <w:rFonts w:ascii="宋体" w:hAnsi="宋体" w:cs="黑体"/>
          <w:sz w:val="18"/>
          <w:szCs w:val="18"/>
        </w:rPr>
        <w:t>项目为</w:t>
      </w:r>
      <w:r>
        <w:rPr>
          <w:rFonts w:hint="eastAsia" w:ascii="宋体" w:hAnsi="宋体" w:cs="黑体"/>
          <w:sz w:val="18"/>
          <w:szCs w:val="18"/>
        </w:rPr>
        <w:t>公共建筑</w:t>
      </w:r>
      <w:r>
        <w:rPr>
          <w:rFonts w:ascii="宋体" w:hAnsi="宋体" w:cs="黑体"/>
          <w:sz w:val="18"/>
          <w:szCs w:val="18"/>
        </w:rPr>
        <w:t>，</w:t>
      </w:r>
      <w:r>
        <w:rPr>
          <w:rFonts w:hint="eastAsia" w:ascii="宋体" w:hAnsi="宋体" w:cs="黑体"/>
          <w:sz w:val="18"/>
          <w:szCs w:val="18"/>
        </w:rPr>
        <w:t>公共区域实施土建工程与装修一体化设计及施工，统一协调土建设计、机电设计和装修设计，事先进行孔洞预留和装饰面层固定件的预埋，避免在装修时对已有建筑构件打凿、穿孔，</w:t>
      </w:r>
      <w:r>
        <w:rPr>
          <w:rFonts w:ascii="宋体" w:hAnsi="宋体" w:cs="黑体"/>
          <w:sz w:val="18"/>
          <w:szCs w:val="18"/>
        </w:rPr>
        <w:t>造成资源浪费。</w:t>
      </w:r>
    </w:p>
    <w:p w14:paraId="7CE717F8">
      <w:pPr>
        <w:spacing w:line="240" w:lineRule="exact"/>
        <w:rPr>
          <w:b/>
          <w:bCs/>
          <w:sz w:val="18"/>
          <w:szCs w:val="18"/>
        </w:rPr>
      </w:pPr>
      <w:r>
        <w:rPr>
          <w:rFonts w:hint="eastAsia" w:ascii="宋体" w:hAnsi="宋体" w:cs="宋体"/>
          <w:sz w:val="18"/>
          <w:szCs w:val="18"/>
        </w:rPr>
        <w:t>证明材料：√</w:t>
      </w:r>
      <w:r>
        <w:rPr>
          <w:rFonts w:hint="eastAsia" w:ascii="宋体" w:hAnsi="宋体"/>
          <w:sz w:val="18"/>
          <w:szCs w:val="18"/>
        </w:rPr>
        <w:t>二次设计达标承诺函</w:t>
      </w:r>
    </w:p>
    <w:p w14:paraId="0CAB5473">
      <w:pPr>
        <w:spacing w:line="240" w:lineRule="exact"/>
        <w:rPr>
          <w:rFonts w:ascii="黑体" w:hAnsi="宋体" w:eastAsia="黑体"/>
          <w:sz w:val="18"/>
          <w:szCs w:val="18"/>
        </w:rPr>
      </w:pPr>
    </w:p>
    <w:p w14:paraId="1781446D">
      <w:pPr>
        <w:spacing w:line="240" w:lineRule="exact"/>
        <w:rPr>
          <w:rFonts w:ascii="黑体" w:hAnsi="宋体" w:eastAsia="黑体"/>
          <w:sz w:val="18"/>
          <w:szCs w:val="18"/>
        </w:rPr>
      </w:pPr>
      <w:r>
        <w:rPr>
          <w:rFonts w:ascii="黑体" w:hAnsi="宋体" w:eastAsia="黑体"/>
          <w:sz w:val="18"/>
          <w:szCs w:val="18"/>
        </w:rPr>
        <w:t>5</w:t>
      </w:r>
      <w:r>
        <w:rPr>
          <w:rFonts w:hint="eastAsia" w:ascii="黑体" w:hAnsi="宋体" w:eastAsia="黑体"/>
          <w:sz w:val="18"/>
          <w:szCs w:val="18"/>
        </w:rPr>
        <w:t>、室内主要空气污染物浓度降低比例为</w:t>
      </w:r>
      <w:r>
        <w:rPr>
          <w:rFonts w:ascii="黑体" w:hAnsi="宋体" w:eastAsia="黑体"/>
          <w:sz w:val="18"/>
          <w:szCs w:val="18"/>
        </w:rPr>
        <w:t>__20</w:t>
      </w:r>
      <w:r>
        <w:rPr>
          <w:rFonts w:ascii="黑体" w:hAnsi="宋体" w:eastAsia="黑体"/>
          <w:sz w:val="18"/>
          <w:szCs w:val="18"/>
          <w:u w:val="single"/>
        </w:rPr>
        <w:t>%__</w:t>
      </w:r>
      <w:r>
        <w:rPr>
          <w:rFonts w:ascii="黑体" w:hAnsi="宋体" w:eastAsia="黑体"/>
          <w:sz w:val="18"/>
          <w:szCs w:val="18"/>
        </w:rPr>
        <w:t>_</w:t>
      </w:r>
      <w:r>
        <w:rPr>
          <w:rFonts w:hint="eastAsia" w:ascii="黑体" w:hAnsi="宋体" w:eastAsia="黑体"/>
          <w:sz w:val="18"/>
          <w:szCs w:val="18"/>
        </w:rPr>
        <w:t>。</w:t>
      </w:r>
    </w:p>
    <w:p w14:paraId="4A567C68">
      <w:pPr>
        <w:spacing w:line="240" w:lineRule="exact"/>
        <w:rPr>
          <w:rFonts w:ascii="宋体" w:hAnsi="宋体" w:cs="宋体"/>
          <w:sz w:val="18"/>
          <w:szCs w:val="18"/>
        </w:rPr>
      </w:pPr>
      <w:r>
        <w:rPr>
          <w:rFonts w:hint="eastAsia" w:ascii="宋体" w:hAnsi="宋体" w:cs="黑体"/>
          <w:sz w:val="18"/>
          <w:szCs w:val="18"/>
        </w:rPr>
        <w:t>技术措施说明：</w:t>
      </w:r>
      <w:r>
        <w:rPr>
          <w:rFonts w:hint="eastAsia" w:ascii="宋体" w:hAnsi="宋体" w:cs="宋体"/>
          <w:sz w:val="18"/>
          <w:szCs w:val="18"/>
        </w:rPr>
        <w:t>本项目砌体及结构主体均选用</w:t>
      </w:r>
      <w:r>
        <w:rPr>
          <w:rFonts w:ascii="Times New Roman" w:hAnsi="Times New Roman"/>
          <w:sz w:val="18"/>
          <w:szCs w:val="18"/>
        </w:rPr>
        <w:t>符合现行规范的</w:t>
      </w:r>
      <w:r>
        <w:rPr>
          <w:rFonts w:hint="eastAsia" w:ascii="宋体" w:hAnsi="宋体" w:cs="宋体"/>
          <w:sz w:val="18"/>
          <w:szCs w:val="18"/>
        </w:rPr>
        <w:t>预拌混凝土和预拌砂浆，室内涂料</w:t>
      </w:r>
      <w:r>
        <w:rPr>
          <w:rFonts w:ascii="宋体" w:hAnsi="宋体" w:cs="宋体"/>
          <w:sz w:val="18"/>
          <w:szCs w:val="18"/>
        </w:rPr>
        <w:t>、</w:t>
      </w:r>
      <w:r>
        <w:rPr>
          <w:rFonts w:hint="eastAsia" w:ascii="宋体" w:hAnsi="宋体" w:cs="宋体"/>
          <w:sz w:val="18"/>
          <w:szCs w:val="18"/>
        </w:rPr>
        <w:t>密封</w:t>
      </w:r>
      <w:r>
        <w:rPr>
          <w:rFonts w:ascii="宋体" w:hAnsi="宋体" w:cs="宋体"/>
          <w:sz w:val="18"/>
          <w:szCs w:val="18"/>
        </w:rPr>
        <w:t>材料、</w:t>
      </w:r>
      <w:r>
        <w:rPr>
          <w:rFonts w:hint="eastAsia" w:ascii="宋体" w:hAnsi="宋体" w:cs="宋体"/>
          <w:sz w:val="18"/>
          <w:szCs w:val="18"/>
        </w:rPr>
        <w:t>瓷砖、</w:t>
      </w:r>
      <w:r>
        <w:rPr>
          <w:rFonts w:ascii="宋体" w:hAnsi="宋体" w:cs="宋体"/>
          <w:sz w:val="18"/>
          <w:szCs w:val="18"/>
        </w:rPr>
        <w:t>木地板等</w:t>
      </w:r>
      <w:r>
        <w:rPr>
          <w:rFonts w:hint="eastAsia" w:ascii="宋体" w:hAnsi="宋体" w:cs="宋体"/>
          <w:sz w:val="18"/>
          <w:szCs w:val="18"/>
        </w:rPr>
        <w:t>室内装修</w:t>
      </w:r>
      <w:r>
        <w:rPr>
          <w:rFonts w:ascii="宋体" w:hAnsi="宋体" w:cs="宋体"/>
          <w:sz w:val="18"/>
          <w:szCs w:val="18"/>
        </w:rPr>
        <w:t>材料</w:t>
      </w:r>
      <w:r>
        <w:rPr>
          <w:rFonts w:hint="eastAsia" w:ascii="宋体" w:hAnsi="宋体" w:cs="宋体"/>
          <w:sz w:val="18"/>
          <w:szCs w:val="18"/>
        </w:rPr>
        <w:t>选用室内污染物挥发较少的产品，对室内空气污染物进行控制。</w:t>
      </w:r>
      <w:r>
        <w:rPr>
          <w:rFonts w:hint="eastAsia" w:ascii="Times New Roman" w:hAnsi="Times New Roman"/>
          <w:sz w:val="18"/>
          <w:szCs w:val="18"/>
        </w:rPr>
        <w:t>本项目选用污染物释放等级为F</w:t>
      </w:r>
      <w:r>
        <w:rPr>
          <w:rFonts w:ascii="Times New Roman" w:hAnsi="Times New Roman"/>
          <w:sz w:val="18"/>
          <w:szCs w:val="18"/>
        </w:rPr>
        <w:t>1</w:t>
      </w:r>
      <w:r>
        <w:rPr>
          <w:rFonts w:hint="eastAsia" w:ascii="Times New Roman" w:hAnsi="Times New Roman"/>
          <w:sz w:val="18"/>
          <w:szCs w:val="18"/>
        </w:rPr>
        <w:t>级的涂料、板材、瓷砖室内装修材料。经模拟分析，各主要功能房间</w:t>
      </w:r>
      <w:r>
        <w:rPr>
          <w:rFonts w:ascii="宋体" w:hAnsi="宋体" w:cs="宋体"/>
          <w:sz w:val="18"/>
          <w:szCs w:val="18"/>
        </w:rPr>
        <w:t>室内空气污染物浓度</w:t>
      </w:r>
      <w:r>
        <w:rPr>
          <w:rFonts w:hint="eastAsia" w:ascii="宋体" w:hAnsi="宋体" w:cs="宋体"/>
          <w:sz w:val="18"/>
          <w:szCs w:val="18"/>
        </w:rPr>
        <w:t>（</w:t>
      </w:r>
      <w:r>
        <w:rPr>
          <w:rFonts w:ascii="Times New Roman" w:hAnsi="Times New Roman"/>
          <w:sz w:val="18"/>
          <w:szCs w:val="18"/>
        </w:rPr>
        <w:t>甲醛浓度</w:t>
      </w:r>
      <w:r>
        <w:rPr>
          <w:rFonts w:hint="eastAsia" w:ascii="Times New Roman" w:hAnsi="Times New Roman"/>
          <w:sz w:val="18"/>
          <w:szCs w:val="18"/>
        </w:rPr>
        <w:t>、</w:t>
      </w:r>
      <w:r>
        <w:rPr>
          <w:rFonts w:ascii="Times New Roman" w:hAnsi="Times New Roman"/>
          <w:sz w:val="18"/>
          <w:szCs w:val="18"/>
        </w:rPr>
        <w:t>苯浓度</w:t>
      </w:r>
      <w:r>
        <w:rPr>
          <w:rFonts w:hint="eastAsia" w:ascii="Times New Roman" w:hAnsi="Times New Roman"/>
          <w:sz w:val="18"/>
          <w:szCs w:val="18"/>
        </w:rPr>
        <w:t>、</w:t>
      </w:r>
      <w:r>
        <w:rPr>
          <w:rFonts w:ascii="Times New Roman" w:hAnsi="Times New Roman"/>
          <w:sz w:val="18"/>
          <w:szCs w:val="18"/>
        </w:rPr>
        <w:t>TVOC 浓度</w:t>
      </w:r>
      <w:r>
        <w:rPr>
          <w:rFonts w:hint="eastAsia" w:ascii="宋体" w:hAnsi="宋体" w:cs="宋体"/>
          <w:sz w:val="18"/>
          <w:szCs w:val="18"/>
        </w:rPr>
        <w:t>）</w:t>
      </w:r>
      <w:r>
        <w:rPr>
          <w:rFonts w:ascii="宋体" w:hAnsi="宋体" w:cs="宋体"/>
          <w:sz w:val="18"/>
          <w:szCs w:val="18"/>
        </w:rPr>
        <w:t>比规定</w:t>
      </w:r>
      <w:r>
        <w:rPr>
          <w:rFonts w:hint="eastAsia" w:ascii="宋体" w:hAnsi="宋体" w:cs="宋体"/>
          <w:sz w:val="18"/>
          <w:szCs w:val="18"/>
        </w:rPr>
        <w:t>《室内空气质量标准》G</w:t>
      </w:r>
      <w:r>
        <w:rPr>
          <w:rFonts w:ascii="宋体" w:hAnsi="宋体" w:cs="宋体"/>
          <w:sz w:val="18"/>
          <w:szCs w:val="18"/>
        </w:rPr>
        <w:t>B/T 18883要求</w:t>
      </w:r>
      <w:r>
        <w:rPr>
          <w:rFonts w:hint="eastAsia" w:ascii="宋体" w:hAnsi="宋体" w:cs="宋体"/>
          <w:sz w:val="18"/>
          <w:szCs w:val="18"/>
        </w:rPr>
        <w:t>的限定值</w:t>
      </w:r>
      <w:r>
        <w:rPr>
          <w:rFonts w:ascii="宋体" w:hAnsi="宋体" w:cs="宋体"/>
          <w:sz w:val="18"/>
          <w:szCs w:val="18"/>
        </w:rPr>
        <w:t>降低</w:t>
      </w:r>
      <w:r>
        <w:rPr>
          <w:rFonts w:hint="eastAsia" w:ascii="宋体" w:hAnsi="宋体" w:cs="宋体"/>
          <w:sz w:val="18"/>
          <w:szCs w:val="18"/>
        </w:rPr>
        <w:t>20%以上，同时满足《建筑环境通用规范》G</w:t>
      </w:r>
      <w:r>
        <w:rPr>
          <w:rFonts w:ascii="宋体" w:hAnsi="宋体" w:cs="宋体"/>
          <w:sz w:val="18"/>
          <w:szCs w:val="18"/>
        </w:rPr>
        <w:t>B55016-2021</w:t>
      </w:r>
      <w:r>
        <w:rPr>
          <w:rFonts w:hint="eastAsia" w:ascii="宋体" w:hAnsi="宋体" w:cs="宋体"/>
          <w:sz w:val="18"/>
          <w:szCs w:val="18"/>
        </w:rPr>
        <w:t>关于I类民用建筑工程的限量值要求</w:t>
      </w:r>
      <w:r>
        <w:rPr>
          <w:rFonts w:ascii="宋体" w:hAnsi="宋体" w:cs="宋体"/>
          <w:sz w:val="18"/>
          <w:szCs w:val="18"/>
        </w:rPr>
        <w:t>。</w:t>
      </w:r>
    </w:p>
    <w:p w14:paraId="0FE775A8">
      <w:pPr>
        <w:spacing w:line="240" w:lineRule="exact"/>
        <w:rPr>
          <w:b/>
          <w:bCs/>
          <w:sz w:val="18"/>
          <w:szCs w:val="18"/>
        </w:rPr>
      </w:pPr>
      <w:r>
        <w:rPr>
          <w:rFonts w:hint="eastAsia" w:ascii="宋体" w:hAnsi="宋体" w:cs="宋体"/>
          <w:sz w:val="18"/>
          <w:szCs w:val="18"/>
        </w:rPr>
        <w:t>证明材料：√室内有机挥发物浓度预评价报告；√颗粒物预评价报告书；</w:t>
      </w:r>
      <w:r>
        <w:rPr>
          <w:rFonts w:ascii="宋体" w:hAnsi="宋体" w:cs="宋体"/>
          <w:sz w:val="18"/>
          <w:szCs w:val="18"/>
        </w:rPr>
        <w:t xml:space="preserve"> </w:t>
      </w:r>
      <w:r>
        <w:rPr>
          <w:rFonts w:hint="eastAsia" w:ascii="宋体" w:hAnsi="宋体" w:cs="宋体"/>
          <w:sz w:val="18"/>
          <w:szCs w:val="18"/>
        </w:rPr>
        <w:t>√设计图纸（建筑、SM-02_建筑装修构造做法说明表）√</w:t>
      </w:r>
      <w:r>
        <w:rPr>
          <w:rFonts w:hint="eastAsia" w:ascii="宋体" w:hAnsi="宋体"/>
          <w:sz w:val="18"/>
          <w:szCs w:val="18"/>
        </w:rPr>
        <w:t>二次设计达标承诺函</w:t>
      </w:r>
    </w:p>
    <w:p w14:paraId="6D8E43E0">
      <w:pPr>
        <w:spacing w:line="240" w:lineRule="exact"/>
        <w:rPr>
          <w:rFonts w:cs="宋体"/>
          <w:b/>
          <w:bCs/>
          <w:sz w:val="18"/>
          <w:szCs w:val="18"/>
        </w:rPr>
      </w:pPr>
      <w:r>
        <w:rPr>
          <w:rFonts w:hint="eastAsia" w:cs="宋体"/>
          <w:b/>
          <w:bCs/>
          <w:sz w:val="18"/>
          <w:szCs w:val="18"/>
        </w:rPr>
        <w:t>给排水专业</w:t>
      </w:r>
    </w:p>
    <w:p w14:paraId="3C417B47">
      <w:pPr>
        <w:spacing w:line="240" w:lineRule="exact"/>
        <w:rPr>
          <w:rFonts w:ascii="黑体" w:hAnsi="宋体" w:eastAsia="黑体"/>
          <w:sz w:val="18"/>
          <w:szCs w:val="18"/>
        </w:rPr>
      </w:pPr>
      <w:r>
        <w:rPr>
          <w:rFonts w:ascii="黑体" w:hAnsi="宋体" w:eastAsia="黑体"/>
          <w:sz w:val="18"/>
          <w:szCs w:val="18"/>
        </w:rPr>
        <w:t>6</w:t>
      </w:r>
      <w:r>
        <w:rPr>
          <w:rFonts w:hint="eastAsia" w:ascii="黑体" w:hAnsi="宋体" w:eastAsia="黑体"/>
          <w:sz w:val="18"/>
          <w:szCs w:val="18"/>
        </w:rPr>
        <w:t>、节水器具用水效率等级为</w:t>
      </w:r>
      <w:r>
        <w:rPr>
          <w:rFonts w:ascii="黑体" w:hAnsi="宋体" w:eastAsia="黑体"/>
          <w:sz w:val="18"/>
          <w:szCs w:val="18"/>
        </w:rPr>
        <w:t>_</w:t>
      </w:r>
      <w:r>
        <w:rPr>
          <w:rFonts w:ascii="黑体" w:hAnsi="宋体" w:eastAsia="黑体"/>
          <w:sz w:val="18"/>
          <w:szCs w:val="18"/>
          <w:u w:val="single"/>
        </w:rPr>
        <w:t>2</w:t>
      </w:r>
      <w:r>
        <w:rPr>
          <w:rFonts w:ascii="黑体" w:hAnsi="宋体" w:eastAsia="黑体"/>
          <w:sz w:val="18"/>
          <w:szCs w:val="18"/>
        </w:rPr>
        <w:t>_</w:t>
      </w:r>
      <w:r>
        <w:rPr>
          <w:rFonts w:hint="eastAsia" w:ascii="黑体" w:hAnsi="宋体" w:eastAsia="黑体"/>
          <w:sz w:val="18"/>
          <w:szCs w:val="18"/>
        </w:rPr>
        <w:t>级。</w:t>
      </w:r>
    </w:p>
    <w:p w14:paraId="774C9D2B">
      <w:pPr>
        <w:spacing w:line="240" w:lineRule="exact"/>
        <w:rPr>
          <w:rFonts w:ascii="宋体" w:hAnsi="宋体"/>
          <w:sz w:val="18"/>
          <w:szCs w:val="18"/>
        </w:rPr>
      </w:pPr>
      <w:r>
        <w:rPr>
          <w:rFonts w:hint="eastAsia" w:ascii="宋体" w:hAnsi="宋体" w:cs="宋体"/>
          <w:sz w:val="18"/>
          <w:szCs w:val="18"/>
        </w:rPr>
        <w:t>技术措施说明：</w:t>
      </w:r>
      <w:r>
        <w:rPr>
          <w:rFonts w:hint="eastAsia" w:ascii="宋体" w:hAnsi="宋体"/>
          <w:sz w:val="18"/>
          <w:szCs w:val="18"/>
        </w:rPr>
        <w:t>本项目选用用水效率等级不低于</w:t>
      </w:r>
      <w:r>
        <w:rPr>
          <w:rFonts w:ascii="宋体" w:hAnsi="宋体"/>
          <w:sz w:val="18"/>
          <w:szCs w:val="18"/>
        </w:rPr>
        <w:t>2</w:t>
      </w:r>
      <w:r>
        <w:rPr>
          <w:rFonts w:hint="eastAsia" w:ascii="宋体" w:hAnsi="宋体"/>
          <w:sz w:val="18"/>
          <w:szCs w:val="18"/>
        </w:rPr>
        <w:t>级的节水用水器具，卫生洁具五金配件均符合《节水型生活用水器具》</w:t>
      </w:r>
      <w:r>
        <w:rPr>
          <w:rFonts w:ascii="宋体" w:hAnsi="宋体"/>
          <w:sz w:val="18"/>
          <w:szCs w:val="18"/>
        </w:rPr>
        <w:t>CJ164-2014</w:t>
      </w:r>
      <w:r>
        <w:rPr>
          <w:rFonts w:hint="eastAsia" w:ascii="宋体" w:hAnsi="宋体"/>
          <w:sz w:val="18"/>
          <w:szCs w:val="18"/>
        </w:rPr>
        <w:t>标准的要求，各类型用水器具满足以下要求：</w:t>
      </w: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4"/>
        <w:gridCol w:w="954"/>
        <w:gridCol w:w="955"/>
        <w:gridCol w:w="955"/>
        <w:gridCol w:w="955"/>
        <w:gridCol w:w="955"/>
      </w:tblGrid>
      <w:tr w14:paraId="1F191D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7" w:hRule="atLeast"/>
          <w:jc w:val="center"/>
        </w:trPr>
        <w:tc>
          <w:tcPr>
            <w:tcW w:w="954" w:type="dxa"/>
            <w:tcBorders>
              <w:top w:val="single" w:color="auto" w:sz="8" w:space="0"/>
              <w:bottom w:val="single" w:color="auto" w:sz="8" w:space="0"/>
            </w:tcBorders>
            <w:vAlign w:val="center"/>
          </w:tcPr>
          <w:p w14:paraId="2B3CFD8E">
            <w:pPr>
              <w:pStyle w:val="27"/>
              <w:jc w:val="center"/>
              <w:rPr>
                <w:rFonts w:cs="Calibri"/>
                <w:b/>
                <w:color w:val="auto"/>
                <w:sz w:val="18"/>
                <w:szCs w:val="18"/>
              </w:rPr>
            </w:pPr>
            <w:r>
              <w:rPr>
                <w:rFonts w:hint="eastAsia" w:cs="Calibri"/>
                <w:b/>
                <w:color w:val="auto"/>
                <w:sz w:val="18"/>
                <w:szCs w:val="18"/>
              </w:rPr>
              <w:t>类型</w:t>
            </w:r>
          </w:p>
        </w:tc>
        <w:tc>
          <w:tcPr>
            <w:tcW w:w="1909" w:type="dxa"/>
            <w:gridSpan w:val="2"/>
            <w:tcBorders>
              <w:top w:val="single" w:color="auto" w:sz="8" w:space="0"/>
              <w:bottom w:val="single" w:color="auto" w:sz="8" w:space="0"/>
            </w:tcBorders>
            <w:vAlign w:val="center"/>
          </w:tcPr>
          <w:p w14:paraId="42DAE316">
            <w:pPr>
              <w:pStyle w:val="27"/>
              <w:jc w:val="center"/>
              <w:rPr>
                <w:rFonts w:cs="Calibri"/>
                <w:b/>
                <w:color w:val="auto"/>
                <w:sz w:val="18"/>
                <w:szCs w:val="18"/>
              </w:rPr>
            </w:pPr>
            <w:r>
              <w:rPr>
                <w:rFonts w:hint="eastAsia" w:cs="Calibri"/>
                <w:b/>
                <w:color w:val="auto"/>
                <w:sz w:val="18"/>
                <w:szCs w:val="18"/>
              </w:rPr>
              <w:t>评价</w:t>
            </w:r>
            <w:r>
              <w:rPr>
                <w:rFonts w:cs="Calibri"/>
                <w:b/>
                <w:color w:val="auto"/>
                <w:sz w:val="18"/>
                <w:szCs w:val="18"/>
              </w:rPr>
              <w:t>指标</w:t>
            </w:r>
          </w:p>
        </w:tc>
        <w:tc>
          <w:tcPr>
            <w:tcW w:w="955" w:type="dxa"/>
            <w:tcBorders>
              <w:top w:val="single" w:color="auto" w:sz="8" w:space="0"/>
              <w:bottom w:val="single" w:color="auto" w:sz="8" w:space="0"/>
            </w:tcBorders>
            <w:vAlign w:val="center"/>
          </w:tcPr>
          <w:p w14:paraId="618B115D">
            <w:pPr>
              <w:pStyle w:val="27"/>
              <w:jc w:val="center"/>
              <w:rPr>
                <w:rFonts w:cs="Calibri"/>
                <w:b/>
                <w:color w:val="auto"/>
                <w:sz w:val="18"/>
                <w:szCs w:val="18"/>
              </w:rPr>
            </w:pPr>
            <w:r>
              <w:rPr>
                <w:rFonts w:hint="eastAsia" w:cs="Calibri"/>
                <w:b/>
                <w:color w:val="auto"/>
                <w:sz w:val="18"/>
                <w:szCs w:val="18"/>
              </w:rPr>
              <w:t>1级</w:t>
            </w:r>
          </w:p>
        </w:tc>
        <w:tc>
          <w:tcPr>
            <w:tcW w:w="955" w:type="dxa"/>
            <w:tcBorders>
              <w:top w:val="single" w:color="auto" w:sz="8" w:space="0"/>
              <w:bottom w:val="single" w:color="auto" w:sz="8" w:space="0"/>
            </w:tcBorders>
            <w:shd w:val="clear" w:color="auto" w:fill="auto"/>
            <w:vAlign w:val="center"/>
          </w:tcPr>
          <w:p w14:paraId="74E6324D">
            <w:pPr>
              <w:pStyle w:val="27"/>
              <w:jc w:val="center"/>
              <w:rPr>
                <w:rFonts w:cs="Calibri"/>
                <w:b/>
                <w:bCs/>
                <w:color w:val="auto"/>
                <w:sz w:val="18"/>
                <w:szCs w:val="18"/>
              </w:rPr>
            </w:pPr>
            <w:r>
              <w:rPr>
                <w:rFonts w:hint="eastAsia" w:cs="Calibri"/>
                <w:b/>
                <w:bCs/>
                <w:color w:val="auto"/>
                <w:sz w:val="18"/>
                <w:szCs w:val="18"/>
              </w:rPr>
              <w:t>2级</w:t>
            </w:r>
          </w:p>
        </w:tc>
        <w:tc>
          <w:tcPr>
            <w:tcW w:w="955" w:type="dxa"/>
            <w:tcBorders>
              <w:top w:val="single" w:color="auto" w:sz="8" w:space="0"/>
              <w:bottom w:val="single" w:color="auto" w:sz="8" w:space="0"/>
            </w:tcBorders>
            <w:vAlign w:val="center"/>
          </w:tcPr>
          <w:p w14:paraId="6CBA952B">
            <w:pPr>
              <w:pStyle w:val="27"/>
              <w:jc w:val="center"/>
              <w:rPr>
                <w:rFonts w:cs="Calibri"/>
                <w:b/>
                <w:color w:val="auto"/>
                <w:sz w:val="18"/>
                <w:szCs w:val="18"/>
              </w:rPr>
            </w:pPr>
            <w:r>
              <w:rPr>
                <w:rFonts w:hint="eastAsia" w:cs="Calibri"/>
                <w:b/>
                <w:color w:val="auto"/>
                <w:sz w:val="18"/>
                <w:szCs w:val="18"/>
              </w:rPr>
              <w:t>3级</w:t>
            </w:r>
          </w:p>
        </w:tc>
      </w:tr>
      <w:tr w14:paraId="1CF0BF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4" w:type="dxa"/>
            <w:tcBorders>
              <w:top w:val="single" w:color="auto" w:sz="8" w:space="0"/>
            </w:tcBorders>
            <w:vAlign w:val="center"/>
          </w:tcPr>
          <w:p w14:paraId="6084CA2A">
            <w:pPr>
              <w:pStyle w:val="27"/>
              <w:jc w:val="center"/>
              <w:rPr>
                <w:rFonts w:cs="Calibri"/>
                <w:color w:val="auto"/>
                <w:sz w:val="18"/>
                <w:szCs w:val="18"/>
              </w:rPr>
            </w:pPr>
            <w:r>
              <w:rPr>
                <w:rFonts w:hint="eastAsia" w:cs="Calibri"/>
                <w:color w:val="auto"/>
                <w:sz w:val="18"/>
                <w:szCs w:val="18"/>
              </w:rPr>
              <w:t>小便器</w:t>
            </w:r>
          </w:p>
        </w:tc>
        <w:tc>
          <w:tcPr>
            <w:tcW w:w="1909" w:type="dxa"/>
            <w:gridSpan w:val="2"/>
            <w:tcBorders>
              <w:top w:val="single" w:color="auto" w:sz="8" w:space="0"/>
            </w:tcBorders>
            <w:vAlign w:val="center"/>
          </w:tcPr>
          <w:p w14:paraId="2624B176">
            <w:pPr>
              <w:pStyle w:val="27"/>
              <w:jc w:val="center"/>
              <w:rPr>
                <w:rFonts w:cs="Calibri"/>
                <w:color w:val="auto"/>
                <w:sz w:val="18"/>
                <w:szCs w:val="18"/>
              </w:rPr>
            </w:pPr>
            <w:r>
              <w:rPr>
                <w:rFonts w:hint="eastAsia" w:cs="Calibri"/>
                <w:color w:val="auto"/>
                <w:sz w:val="18"/>
                <w:szCs w:val="18"/>
              </w:rPr>
              <w:t>冲洗</w:t>
            </w:r>
            <w:r>
              <w:rPr>
                <w:rFonts w:cs="Calibri"/>
                <w:color w:val="auto"/>
                <w:sz w:val="18"/>
                <w:szCs w:val="18"/>
              </w:rPr>
              <w:t>水量</w:t>
            </w:r>
            <w:r>
              <w:rPr>
                <w:rFonts w:hint="eastAsia" w:cs="Calibri"/>
                <w:color w:val="auto"/>
                <w:sz w:val="18"/>
                <w:szCs w:val="18"/>
              </w:rPr>
              <w:t>/L</w:t>
            </w:r>
          </w:p>
        </w:tc>
        <w:tc>
          <w:tcPr>
            <w:tcW w:w="955" w:type="dxa"/>
            <w:tcBorders>
              <w:top w:val="single" w:color="auto" w:sz="8" w:space="0"/>
            </w:tcBorders>
            <w:vAlign w:val="center"/>
          </w:tcPr>
          <w:p w14:paraId="3821BCBC">
            <w:pPr>
              <w:pStyle w:val="27"/>
              <w:jc w:val="center"/>
              <w:rPr>
                <w:rFonts w:cs="Calibri"/>
                <w:color w:val="auto"/>
                <w:sz w:val="18"/>
                <w:szCs w:val="18"/>
              </w:rPr>
            </w:pPr>
            <w:r>
              <w:rPr>
                <w:rFonts w:hint="eastAsia" w:cs="Calibri"/>
                <w:color w:val="auto"/>
                <w:sz w:val="18"/>
                <w:szCs w:val="18"/>
              </w:rPr>
              <w:t>2.0</w:t>
            </w:r>
          </w:p>
        </w:tc>
        <w:tc>
          <w:tcPr>
            <w:tcW w:w="955" w:type="dxa"/>
            <w:tcBorders>
              <w:top w:val="single" w:color="auto" w:sz="8" w:space="0"/>
            </w:tcBorders>
            <w:shd w:val="clear" w:color="auto" w:fill="auto"/>
            <w:vAlign w:val="center"/>
          </w:tcPr>
          <w:p w14:paraId="628D60B6">
            <w:pPr>
              <w:pStyle w:val="27"/>
              <w:jc w:val="center"/>
              <w:rPr>
                <w:rFonts w:cs="Calibri"/>
                <w:b/>
                <w:color w:val="auto"/>
                <w:sz w:val="18"/>
                <w:szCs w:val="18"/>
              </w:rPr>
            </w:pPr>
            <w:r>
              <w:rPr>
                <w:rFonts w:hint="eastAsia" w:cs="Calibri"/>
                <w:b/>
                <w:color w:val="auto"/>
                <w:sz w:val="18"/>
                <w:szCs w:val="18"/>
              </w:rPr>
              <w:t>3.0</w:t>
            </w:r>
          </w:p>
        </w:tc>
        <w:tc>
          <w:tcPr>
            <w:tcW w:w="955" w:type="dxa"/>
            <w:tcBorders>
              <w:top w:val="single" w:color="auto" w:sz="8" w:space="0"/>
            </w:tcBorders>
            <w:vAlign w:val="center"/>
          </w:tcPr>
          <w:p w14:paraId="1FFD8E6F">
            <w:pPr>
              <w:pStyle w:val="27"/>
              <w:jc w:val="center"/>
              <w:rPr>
                <w:rFonts w:cs="Calibri"/>
                <w:color w:val="auto"/>
                <w:sz w:val="18"/>
                <w:szCs w:val="18"/>
              </w:rPr>
            </w:pPr>
            <w:r>
              <w:rPr>
                <w:rFonts w:hint="eastAsia" w:cs="Calibri"/>
                <w:color w:val="auto"/>
                <w:sz w:val="18"/>
                <w:szCs w:val="18"/>
              </w:rPr>
              <w:t>4.0</w:t>
            </w:r>
          </w:p>
        </w:tc>
      </w:tr>
      <w:tr w14:paraId="0ED0D0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4" w:type="dxa"/>
            <w:vAlign w:val="center"/>
          </w:tcPr>
          <w:p w14:paraId="1F5D0F6D">
            <w:pPr>
              <w:pStyle w:val="27"/>
              <w:jc w:val="center"/>
              <w:rPr>
                <w:rFonts w:cs="Calibri"/>
                <w:color w:val="auto"/>
                <w:sz w:val="18"/>
                <w:szCs w:val="18"/>
              </w:rPr>
            </w:pPr>
            <w:r>
              <w:rPr>
                <w:rFonts w:hint="eastAsia" w:cs="Calibri"/>
                <w:color w:val="auto"/>
                <w:sz w:val="18"/>
                <w:szCs w:val="18"/>
              </w:rPr>
              <w:t>大便器</w:t>
            </w:r>
          </w:p>
        </w:tc>
        <w:tc>
          <w:tcPr>
            <w:tcW w:w="1909" w:type="dxa"/>
            <w:gridSpan w:val="2"/>
            <w:vAlign w:val="center"/>
          </w:tcPr>
          <w:p w14:paraId="1569E0EB">
            <w:pPr>
              <w:pStyle w:val="27"/>
              <w:jc w:val="center"/>
              <w:rPr>
                <w:rFonts w:cs="Calibri"/>
                <w:color w:val="auto"/>
                <w:sz w:val="18"/>
                <w:szCs w:val="18"/>
              </w:rPr>
            </w:pPr>
            <w:r>
              <w:rPr>
                <w:rFonts w:hint="eastAsia" w:cs="Calibri"/>
                <w:color w:val="auto"/>
                <w:sz w:val="18"/>
                <w:szCs w:val="18"/>
              </w:rPr>
              <w:t>冲洗</w:t>
            </w:r>
            <w:r>
              <w:rPr>
                <w:rFonts w:cs="Calibri"/>
                <w:color w:val="auto"/>
                <w:sz w:val="18"/>
                <w:szCs w:val="18"/>
              </w:rPr>
              <w:t>水量</w:t>
            </w:r>
            <w:r>
              <w:rPr>
                <w:rFonts w:hint="eastAsia" w:cs="Calibri"/>
                <w:color w:val="auto"/>
                <w:sz w:val="18"/>
                <w:szCs w:val="18"/>
              </w:rPr>
              <w:t>/L</w:t>
            </w:r>
          </w:p>
        </w:tc>
        <w:tc>
          <w:tcPr>
            <w:tcW w:w="955" w:type="dxa"/>
            <w:vAlign w:val="center"/>
          </w:tcPr>
          <w:p w14:paraId="00BFF14E">
            <w:pPr>
              <w:pStyle w:val="27"/>
              <w:jc w:val="center"/>
              <w:rPr>
                <w:rFonts w:cs="Calibri"/>
                <w:color w:val="auto"/>
                <w:sz w:val="18"/>
                <w:szCs w:val="18"/>
              </w:rPr>
            </w:pPr>
            <w:r>
              <w:rPr>
                <w:rFonts w:hint="eastAsia" w:cs="Calibri"/>
                <w:color w:val="auto"/>
                <w:sz w:val="18"/>
                <w:szCs w:val="18"/>
              </w:rPr>
              <w:t>4.0</w:t>
            </w:r>
          </w:p>
        </w:tc>
        <w:tc>
          <w:tcPr>
            <w:tcW w:w="955" w:type="dxa"/>
            <w:shd w:val="clear" w:color="auto" w:fill="auto"/>
            <w:vAlign w:val="center"/>
          </w:tcPr>
          <w:p w14:paraId="74040F70">
            <w:pPr>
              <w:pStyle w:val="27"/>
              <w:jc w:val="center"/>
              <w:rPr>
                <w:rFonts w:cs="Calibri"/>
                <w:b/>
                <w:color w:val="auto"/>
                <w:sz w:val="18"/>
                <w:szCs w:val="18"/>
              </w:rPr>
            </w:pPr>
            <w:r>
              <w:rPr>
                <w:rFonts w:hint="eastAsia" w:cs="Calibri"/>
                <w:b/>
                <w:color w:val="auto"/>
                <w:sz w:val="18"/>
                <w:szCs w:val="18"/>
              </w:rPr>
              <w:t>5.0</w:t>
            </w:r>
          </w:p>
        </w:tc>
        <w:tc>
          <w:tcPr>
            <w:tcW w:w="955" w:type="dxa"/>
            <w:vAlign w:val="center"/>
          </w:tcPr>
          <w:p w14:paraId="2E1454EF">
            <w:pPr>
              <w:pStyle w:val="27"/>
              <w:jc w:val="center"/>
              <w:rPr>
                <w:rFonts w:cs="Calibri"/>
                <w:color w:val="auto"/>
                <w:sz w:val="18"/>
                <w:szCs w:val="18"/>
              </w:rPr>
            </w:pPr>
            <w:r>
              <w:rPr>
                <w:rFonts w:hint="eastAsia" w:cs="Calibri"/>
                <w:color w:val="auto"/>
                <w:sz w:val="18"/>
                <w:szCs w:val="18"/>
              </w:rPr>
              <w:t>6.0</w:t>
            </w:r>
          </w:p>
        </w:tc>
      </w:tr>
      <w:tr w14:paraId="6C3349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4" w:type="dxa"/>
            <w:vAlign w:val="center"/>
          </w:tcPr>
          <w:p w14:paraId="64EA80C1">
            <w:pPr>
              <w:pStyle w:val="27"/>
              <w:jc w:val="center"/>
              <w:rPr>
                <w:rFonts w:cs="Calibri"/>
                <w:color w:val="auto"/>
                <w:sz w:val="18"/>
                <w:szCs w:val="18"/>
              </w:rPr>
            </w:pPr>
            <w:r>
              <w:rPr>
                <w:rFonts w:hint="eastAsia" w:cs="Calibri"/>
                <w:color w:val="auto"/>
                <w:sz w:val="18"/>
                <w:szCs w:val="18"/>
              </w:rPr>
              <w:t>淋浴器</w:t>
            </w:r>
          </w:p>
        </w:tc>
        <w:tc>
          <w:tcPr>
            <w:tcW w:w="1909" w:type="dxa"/>
            <w:gridSpan w:val="2"/>
            <w:vAlign w:val="center"/>
          </w:tcPr>
          <w:p w14:paraId="4AD449A1">
            <w:pPr>
              <w:pStyle w:val="27"/>
              <w:jc w:val="center"/>
              <w:rPr>
                <w:rFonts w:cs="Calibri"/>
                <w:color w:val="auto"/>
                <w:sz w:val="18"/>
                <w:szCs w:val="18"/>
              </w:rPr>
            </w:pPr>
            <w:r>
              <w:rPr>
                <w:rFonts w:hint="eastAsia" w:cs="Calibri"/>
                <w:color w:val="auto"/>
                <w:sz w:val="18"/>
                <w:szCs w:val="18"/>
              </w:rPr>
              <w:t>流量L/</w:t>
            </w:r>
            <w:r>
              <w:rPr>
                <w:rFonts w:cs="Calibri"/>
                <w:color w:val="auto"/>
                <w:sz w:val="18"/>
                <w:szCs w:val="18"/>
              </w:rPr>
              <w:t>s</w:t>
            </w:r>
          </w:p>
        </w:tc>
        <w:tc>
          <w:tcPr>
            <w:tcW w:w="955" w:type="dxa"/>
            <w:vAlign w:val="center"/>
          </w:tcPr>
          <w:p w14:paraId="0FB4EDC4">
            <w:pPr>
              <w:pStyle w:val="27"/>
              <w:jc w:val="center"/>
              <w:rPr>
                <w:rFonts w:cs="Calibri"/>
                <w:color w:val="auto"/>
                <w:sz w:val="18"/>
                <w:szCs w:val="18"/>
              </w:rPr>
            </w:pPr>
            <w:r>
              <w:rPr>
                <w:rFonts w:hint="eastAsia" w:cs="Calibri"/>
                <w:color w:val="auto"/>
                <w:sz w:val="18"/>
                <w:szCs w:val="18"/>
              </w:rPr>
              <w:t>0.08</w:t>
            </w:r>
          </w:p>
        </w:tc>
        <w:tc>
          <w:tcPr>
            <w:tcW w:w="955" w:type="dxa"/>
            <w:shd w:val="clear" w:color="auto" w:fill="auto"/>
            <w:vAlign w:val="center"/>
          </w:tcPr>
          <w:p w14:paraId="3892C62A">
            <w:pPr>
              <w:pStyle w:val="27"/>
              <w:jc w:val="center"/>
              <w:rPr>
                <w:rFonts w:cs="Calibri"/>
                <w:b/>
                <w:color w:val="auto"/>
                <w:sz w:val="18"/>
                <w:szCs w:val="18"/>
              </w:rPr>
            </w:pPr>
            <w:r>
              <w:rPr>
                <w:rFonts w:hint="eastAsia" w:cs="Calibri"/>
                <w:b/>
                <w:color w:val="auto"/>
                <w:sz w:val="18"/>
                <w:szCs w:val="18"/>
              </w:rPr>
              <w:t>0.12</w:t>
            </w:r>
          </w:p>
        </w:tc>
        <w:tc>
          <w:tcPr>
            <w:tcW w:w="955" w:type="dxa"/>
            <w:vAlign w:val="center"/>
          </w:tcPr>
          <w:p w14:paraId="5CDC8897">
            <w:pPr>
              <w:pStyle w:val="27"/>
              <w:jc w:val="center"/>
              <w:rPr>
                <w:rFonts w:cs="Calibri"/>
                <w:color w:val="auto"/>
                <w:sz w:val="18"/>
                <w:szCs w:val="18"/>
              </w:rPr>
            </w:pPr>
            <w:r>
              <w:rPr>
                <w:rFonts w:hint="eastAsia" w:cs="Calibri"/>
                <w:color w:val="auto"/>
                <w:sz w:val="18"/>
                <w:szCs w:val="18"/>
              </w:rPr>
              <w:t>0.15</w:t>
            </w:r>
          </w:p>
        </w:tc>
      </w:tr>
      <w:tr w14:paraId="2C5B00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4" w:type="dxa"/>
            <w:vAlign w:val="center"/>
          </w:tcPr>
          <w:p w14:paraId="414DC601">
            <w:pPr>
              <w:pStyle w:val="27"/>
              <w:jc w:val="center"/>
              <w:rPr>
                <w:rFonts w:cs="Calibri"/>
                <w:color w:val="auto"/>
                <w:sz w:val="18"/>
                <w:szCs w:val="18"/>
              </w:rPr>
            </w:pPr>
            <w:r>
              <w:rPr>
                <w:rFonts w:hint="eastAsia" w:cs="Calibri"/>
                <w:color w:val="auto"/>
                <w:sz w:val="18"/>
                <w:szCs w:val="18"/>
              </w:rPr>
              <w:t>水嘴</w:t>
            </w:r>
          </w:p>
        </w:tc>
        <w:tc>
          <w:tcPr>
            <w:tcW w:w="1909" w:type="dxa"/>
            <w:gridSpan w:val="2"/>
            <w:vAlign w:val="center"/>
          </w:tcPr>
          <w:p w14:paraId="3D90C083">
            <w:pPr>
              <w:pStyle w:val="27"/>
              <w:jc w:val="center"/>
              <w:rPr>
                <w:rFonts w:cs="Calibri"/>
                <w:color w:val="auto"/>
                <w:sz w:val="18"/>
                <w:szCs w:val="18"/>
              </w:rPr>
            </w:pPr>
            <w:r>
              <w:rPr>
                <w:rFonts w:hint="eastAsia" w:cs="Calibri"/>
                <w:color w:val="auto"/>
                <w:sz w:val="18"/>
                <w:szCs w:val="18"/>
              </w:rPr>
              <w:t>流量L/</w:t>
            </w:r>
            <w:r>
              <w:rPr>
                <w:rFonts w:cs="Calibri"/>
                <w:color w:val="auto"/>
                <w:sz w:val="18"/>
                <w:szCs w:val="18"/>
              </w:rPr>
              <w:t>s</w:t>
            </w:r>
          </w:p>
        </w:tc>
        <w:tc>
          <w:tcPr>
            <w:tcW w:w="955" w:type="dxa"/>
            <w:vAlign w:val="center"/>
          </w:tcPr>
          <w:p w14:paraId="118AD906">
            <w:pPr>
              <w:pStyle w:val="27"/>
              <w:jc w:val="center"/>
              <w:rPr>
                <w:rFonts w:cs="Calibri"/>
                <w:color w:val="auto"/>
                <w:sz w:val="18"/>
                <w:szCs w:val="18"/>
              </w:rPr>
            </w:pPr>
            <w:r>
              <w:rPr>
                <w:rFonts w:hint="eastAsia" w:cs="Calibri"/>
                <w:color w:val="auto"/>
                <w:sz w:val="18"/>
                <w:szCs w:val="18"/>
              </w:rPr>
              <w:t>0.100</w:t>
            </w:r>
          </w:p>
        </w:tc>
        <w:tc>
          <w:tcPr>
            <w:tcW w:w="955" w:type="dxa"/>
            <w:shd w:val="clear" w:color="auto" w:fill="auto"/>
            <w:vAlign w:val="center"/>
          </w:tcPr>
          <w:p w14:paraId="75F16B7E">
            <w:pPr>
              <w:pStyle w:val="27"/>
              <w:jc w:val="center"/>
              <w:rPr>
                <w:rFonts w:cs="Calibri"/>
                <w:b/>
                <w:color w:val="auto"/>
                <w:sz w:val="18"/>
                <w:szCs w:val="18"/>
              </w:rPr>
            </w:pPr>
            <w:r>
              <w:rPr>
                <w:rFonts w:hint="eastAsia" w:cs="Calibri"/>
                <w:b/>
                <w:color w:val="auto"/>
                <w:sz w:val="18"/>
                <w:szCs w:val="18"/>
              </w:rPr>
              <w:t>0.125</w:t>
            </w:r>
          </w:p>
        </w:tc>
        <w:tc>
          <w:tcPr>
            <w:tcW w:w="955" w:type="dxa"/>
            <w:vAlign w:val="center"/>
          </w:tcPr>
          <w:p w14:paraId="7E8ABD1D">
            <w:pPr>
              <w:pStyle w:val="27"/>
              <w:jc w:val="center"/>
              <w:rPr>
                <w:rFonts w:cs="Calibri"/>
                <w:color w:val="auto"/>
                <w:sz w:val="18"/>
                <w:szCs w:val="18"/>
              </w:rPr>
            </w:pPr>
            <w:r>
              <w:rPr>
                <w:rFonts w:hint="eastAsia" w:cs="Calibri"/>
                <w:color w:val="auto"/>
                <w:sz w:val="18"/>
                <w:szCs w:val="18"/>
              </w:rPr>
              <w:t>0.150</w:t>
            </w:r>
          </w:p>
        </w:tc>
      </w:tr>
      <w:tr w14:paraId="00B79E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4" w:type="dxa"/>
            <w:vMerge w:val="restart"/>
            <w:vAlign w:val="center"/>
          </w:tcPr>
          <w:p w14:paraId="1720CDCC">
            <w:pPr>
              <w:pStyle w:val="27"/>
              <w:jc w:val="center"/>
              <w:rPr>
                <w:rFonts w:cs="Calibri"/>
                <w:color w:val="auto"/>
                <w:sz w:val="18"/>
                <w:szCs w:val="18"/>
              </w:rPr>
            </w:pPr>
            <w:r>
              <w:rPr>
                <w:rFonts w:hint="eastAsia" w:cs="Calibri"/>
                <w:color w:val="auto"/>
                <w:sz w:val="18"/>
                <w:szCs w:val="18"/>
              </w:rPr>
              <w:t>坐便器</w:t>
            </w:r>
          </w:p>
        </w:tc>
        <w:tc>
          <w:tcPr>
            <w:tcW w:w="954" w:type="dxa"/>
            <w:vAlign w:val="center"/>
          </w:tcPr>
          <w:p w14:paraId="36A56328">
            <w:pPr>
              <w:pStyle w:val="27"/>
              <w:jc w:val="center"/>
              <w:rPr>
                <w:rFonts w:cs="Calibri"/>
                <w:color w:val="auto"/>
                <w:sz w:val="18"/>
                <w:szCs w:val="18"/>
              </w:rPr>
            </w:pPr>
            <w:r>
              <w:rPr>
                <w:rFonts w:hint="eastAsia" w:cs="Calibri"/>
                <w:color w:val="auto"/>
                <w:sz w:val="18"/>
                <w:szCs w:val="18"/>
              </w:rPr>
              <w:t>单</w:t>
            </w:r>
            <w:r>
              <w:rPr>
                <w:rFonts w:cs="Calibri"/>
                <w:color w:val="auto"/>
                <w:sz w:val="18"/>
                <w:szCs w:val="18"/>
              </w:rPr>
              <w:t>档</w:t>
            </w:r>
          </w:p>
        </w:tc>
        <w:tc>
          <w:tcPr>
            <w:tcW w:w="955" w:type="dxa"/>
            <w:vAlign w:val="center"/>
          </w:tcPr>
          <w:p w14:paraId="17EAED4B">
            <w:pPr>
              <w:pStyle w:val="27"/>
              <w:jc w:val="center"/>
              <w:rPr>
                <w:rFonts w:cs="Calibri"/>
                <w:color w:val="auto"/>
                <w:sz w:val="18"/>
                <w:szCs w:val="18"/>
              </w:rPr>
            </w:pPr>
            <w:r>
              <w:rPr>
                <w:rFonts w:hint="eastAsia" w:cs="Calibri"/>
                <w:color w:val="auto"/>
                <w:sz w:val="18"/>
                <w:szCs w:val="18"/>
              </w:rPr>
              <w:t>平均值/L</w:t>
            </w:r>
          </w:p>
        </w:tc>
        <w:tc>
          <w:tcPr>
            <w:tcW w:w="955" w:type="dxa"/>
            <w:vAlign w:val="center"/>
          </w:tcPr>
          <w:p w14:paraId="3F9CBB85">
            <w:pPr>
              <w:pStyle w:val="27"/>
              <w:jc w:val="center"/>
              <w:rPr>
                <w:rFonts w:cs="Calibri"/>
                <w:color w:val="auto"/>
                <w:sz w:val="18"/>
                <w:szCs w:val="18"/>
              </w:rPr>
            </w:pPr>
            <w:r>
              <w:rPr>
                <w:rFonts w:hint="eastAsia" w:cs="Calibri"/>
                <w:color w:val="auto"/>
                <w:sz w:val="18"/>
                <w:szCs w:val="18"/>
              </w:rPr>
              <w:t>4.0</w:t>
            </w:r>
          </w:p>
        </w:tc>
        <w:tc>
          <w:tcPr>
            <w:tcW w:w="955" w:type="dxa"/>
            <w:shd w:val="clear" w:color="auto" w:fill="auto"/>
            <w:vAlign w:val="center"/>
          </w:tcPr>
          <w:p w14:paraId="5AC14686">
            <w:pPr>
              <w:pStyle w:val="27"/>
              <w:jc w:val="center"/>
              <w:rPr>
                <w:rFonts w:cs="Calibri"/>
                <w:b/>
                <w:color w:val="auto"/>
                <w:sz w:val="18"/>
                <w:szCs w:val="18"/>
              </w:rPr>
            </w:pPr>
            <w:r>
              <w:rPr>
                <w:rFonts w:hint="eastAsia" w:cs="Calibri"/>
                <w:b/>
                <w:color w:val="auto"/>
                <w:sz w:val="18"/>
                <w:szCs w:val="18"/>
              </w:rPr>
              <w:t>5.0</w:t>
            </w:r>
          </w:p>
        </w:tc>
        <w:tc>
          <w:tcPr>
            <w:tcW w:w="955" w:type="dxa"/>
            <w:vAlign w:val="center"/>
          </w:tcPr>
          <w:p w14:paraId="510EDF8F">
            <w:pPr>
              <w:pStyle w:val="27"/>
              <w:jc w:val="center"/>
              <w:rPr>
                <w:rFonts w:cs="Calibri"/>
                <w:color w:val="auto"/>
                <w:sz w:val="18"/>
                <w:szCs w:val="18"/>
              </w:rPr>
            </w:pPr>
            <w:r>
              <w:rPr>
                <w:rFonts w:cs="Calibri"/>
                <w:color w:val="auto"/>
                <w:sz w:val="18"/>
                <w:szCs w:val="18"/>
              </w:rPr>
              <w:t>6.4</w:t>
            </w:r>
          </w:p>
        </w:tc>
      </w:tr>
      <w:tr w14:paraId="49C0AB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4" w:type="dxa"/>
            <w:vMerge w:val="continue"/>
            <w:vAlign w:val="center"/>
          </w:tcPr>
          <w:p w14:paraId="7DA74CFE">
            <w:pPr>
              <w:pStyle w:val="27"/>
              <w:jc w:val="center"/>
              <w:rPr>
                <w:rFonts w:cs="Calibri"/>
                <w:color w:val="auto"/>
                <w:sz w:val="18"/>
                <w:szCs w:val="18"/>
              </w:rPr>
            </w:pPr>
          </w:p>
        </w:tc>
        <w:tc>
          <w:tcPr>
            <w:tcW w:w="954" w:type="dxa"/>
            <w:vMerge w:val="restart"/>
            <w:vAlign w:val="center"/>
          </w:tcPr>
          <w:p w14:paraId="6D7873A5">
            <w:pPr>
              <w:pStyle w:val="27"/>
              <w:jc w:val="center"/>
              <w:rPr>
                <w:rFonts w:cs="Calibri"/>
                <w:color w:val="auto"/>
                <w:sz w:val="18"/>
                <w:szCs w:val="18"/>
              </w:rPr>
            </w:pPr>
            <w:r>
              <w:rPr>
                <w:rFonts w:hint="eastAsia" w:cs="Calibri"/>
                <w:color w:val="auto"/>
                <w:sz w:val="18"/>
                <w:szCs w:val="18"/>
              </w:rPr>
              <w:t>双档</w:t>
            </w:r>
          </w:p>
        </w:tc>
        <w:tc>
          <w:tcPr>
            <w:tcW w:w="955" w:type="dxa"/>
            <w:vAlign w:val="center"/>
          </w:tcPr>
          <w:p w14:paraId="585F0652">
            <w:pPr>
              <w:pStyle w:val="27"/>
              <w:jc w:val="center"/>
              <w:rPr>
                <w:rFonts w:cs="Calibri"/>
                <w:color w:val="auto"/>
                <w:sz w:val="18"/>
                <w:szCs w:val="18"/>
              </w:rPr>
            </w:pPr>
            <w:r>
              <w:rPr>
                <w:rFonts w:hint="eastAsia" w:cs="Calibri"/>
                <w:color w:val="auto"/>
                <w:sz w:val="18"/>
                <w:szCs w:val="18"/>
              </w:rPr>
              <w:t>全冲档/L</w:t>
            </w:r>
          </w:p>
        </w:tc>
        <w:tc>
          <w:tcPr>
            <w:tcW w:w="955" w:type="dxa"/>
            <w:vAlign w:val="center"/>
          </w:tcPr>
          <w:p w14:paraId="4FDB41A8">
            <w:pPr>
              <w:pStyle w:val="27"/>
              <w:jc w:val="center"/>
              <w:rPr>
                <w:rFonts w:cs="Calibri"/>
                <w:color w:val="auto"/>
                <w:sz w:val="18"/>
                <w:szCs w:val="18"/>
              </w:rPr>
            </w:pPr>
            <w:r>
              <w:rPr>
                <w:rFonts w:cs="Calibri"/>
                <w:color w:val="auto"/>
                <w:sz w:val="18"/>
                <w:szCs w:val="18"/>
              </w:rPr>
              <w:t>5.0</w:t>
            </w:r>
          </w:p>
        </w:tc>
        <w:tc>
          <w:tcPr>
            <w:tcW w:w="955" w:type="dxa"/>
            <w:shd w:val="clear" w:color="auto" w:fill="auto"/>
            <w:vAlign w:val="center"/>
          </w:tcPr>
          <w:p w14:paraId="4F1EB429">
            <w:pPr>
              <w:pStyle w:val="27"/>
              <w:jc w:val="center"/>
              <w:rPr>
                <w:rFonts w:cs="Calibri"/>
                <w:b/>
                <w:color w:val="auto"/>
                <w:sz w:val="18"/>
                <w:szCs w:val="18"/>
              </w:rPr>
            </w:pPr>
            <w:r>
              <w:rPr>
                <w:rFonts w:cs="Calibri"/>
                <w:b/>
                <w:color w:val="auto"/>
                <w:sz w:val="18"/>
                <w:szCs w:val="18"/>
              </w:rPr>
              <w:t>6.0</w:t>
            </w:r>
          </w:p>
        </w:tc>
        <w:tc>
          <w:tcPr>
            <w:tcW w:w="955" w:type="dxa"/>
            <w:vAlign w:val="center"/>
          </w:tcPr>
          <w:p w14:paraId="4D380D40">
            <w:pPr>
              <w:pStyle w:val="27"/>
              <w:jc w:val="center"/>
              <w:rPr>
                <w:rFonts w:cs="Calibri"/>
                <w:color w:val="auto"/>
                <w:sz w:val="18"/>
                <w:szCs w:val="18"/>
              </w:rPr>
            </w:pPr>
            <w:r>
              <w:rPr>
                <w:rFonts w:cs="Calibri"/>
                <w:color w:val="auto"/>
                <w:sz w:val="18"/>
                <w:szCs w:val="18"/>
              </w:rPr>
              <w:t>8.0</w:t>
            </w:r>
          </w:p>
        </w:tc>
      </w:tr>
      <w:tr w14:paraId="08A812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4" w:type="dxa"/>
            <w:vMerge w:val="continue"/>
            <w:tcBorders>
              <w:bottom w:val="single" w:color="auto" w:sz="8" w:space="0"/>
            </w:tcBorders>
            <w:vAlign w:val="center"/>
          </w:tcPr>
          <w:p w14:paraId="48C99B0A">
            <w:pPr>
              <w:pStyle w:val="27"/>
              <w:jc w:val="center"/>
              <w:rPr>
                <w:rFonts w:cs="Calibri"/>
                <w:color w:val="auto"/>
                <w:sz w:val="18"/>
                <w:szCs w:val="18"/>
              </w:rPr>
            </w:pPr>
          </w:p>
        </w:tc>
        <w:tc>
          <w:tcPr>
            <w:tcW w:w="954" w:type="dxa"/>
            <w:vMerge w:val="continue"/>
            <w:tcBorders>
              <w:bottom w:val="single" w:color="auto" w:sz="8" w:space="0"/>
            </w:tcBorders>
            <w:vAlign w:val="center"/>
          </w:tcPr>
          <w:p w14:paraId="3E413F92">
            <w:pPr>
              <w:pStyle w:val="27"/>
              <w:jc w:val="center"/>
              <w:rPr>
                <w:rFonts w:cs="Calibri"/>
                <w:color w:val="auto"/>
                <w:sz w:val="18"/>
                <w:szCs w:val="18"/>
              </w:rPr>
            </w:pPr>
          </w:p>
        </w:tc>
        <w:tc>
          <w:tcPr>
            <w:tcW w:w="955" w:type="dxa"/>
            <w:tcBorders>
              <w:bottom w:val="single" w:color="auto" w:sz="8" w:space="0"/>
            </w:tcBorders>
            <w:vAlign w:val="center"/>
          </w:tcPr>
          <w:p w14:paraId="128F31FE">
            <w:pPr>
              <w:pStyle w:val="27"/>
              <w:jc w:val="center"/>
              <w:rPr>
                <w:rFonts w:cs="Calibri"/>
                <w:color w:val="auto"/>
                <w:sz w:val="18"/>
                <w:szCs w:val="18"/>
              </w:rPr>
            </w:pPr>
            <w:r>
              <w:rPr>
                <w:rFonts w:hint="eastAsia" w:cs="Calibri"/>
                <w:color w:val="auto"/>
                <w:sz w:val="18"/>
                <w:szCs w:val="18"/>
              </w:rPr>
              <w:t>平均</w:t>
            </w:r>
            <w:r>
              <w:rPr>
                <w:rFonts w:cs="Calibri"/>
                <w:color w:val="auto"/>
                <w:sz w:val="18"/>
                <w:szCs w:val="18"/>
              </w:rPr>
              <w:t>档</w:t>
            </w:r>
            <w:r>
              <w:rPr>
                <w:rFonts w:hint="eastAsia" w:cs="Calibri"/>
                <w:color w:val="auto"/>
                <w:sz w:val="18"/>
                <w:szCs w:val="18"/>
              </w:rPr>
              <w:t>/L</w:t>
            </w:r>
          </w:p>
        </w:tc>
        <w:tc>
          <w:tcPr>
            <w:tcW w:w="955" w:type="dxa"/>
            <w:tcBorders>
              <w:bottom w:val="single" w:color="auto" w:sz="8" w:space="0"/>
            </w:tcBorders>
            <w:vAlign w:val="center"/>
          </w:tcPr>
          <w:p w14:paraId="4983197F">
            <w:pPr>
              <w:pStyle w:val="27"/>
              <w:jc w:val="center"/>
              <w:rPr>
                <w:rFonts w:cs="Calibri"/>
                <w:color w:val="auto"/>
                <w:sz w:val="18"/>
                <w:szCs w:val="18"/>
              </w:rPr>
            </w:pPr>
            <w:r>
              <w:rPr>
                <w:rFonts w:hint="eastAsia" w:cs="Calibri"/>
                <w:color w:val="auto"/>
                <w:sz w:val="18"/>
                <w:szCs w:val="18"/>
              </w:rPr>
              <w:t>3.5</w:t>
            </w:r>
          </w:p>
        </w:tc>
        <w:tc>
          <w:tcPr>
            <w:tcW w:w="955" w:type="dxa"/>
            <w:tcBorders>
              <w:bottom w:val="single" w:color="auto" w:sz="8" w:space="0"/>
            </w:tcBorders>
            <w:shd w:val="clear" w:color="auto" w:fill="auto"/>
            <w:vAlign w:val="center"/>
          </w:tcPr>
          <w:p w14:paraId="5312A154">
            <w:pPr>
              <w:pStyle w:val="27"/>
              <w:jc w:val="center"/>
              <w:rPr>
                <w:rFonts w:cs="Calibri"/>
                <w:b/>
                <w:color w:val="auto"/>
                <w:sz w:val="18"/>
                <w:szCs w:val="18"/>
              </w:rPr>
            </w:pPr>
            <w:r>
              <w:rPr>
                <w:rFonts w:hint="eastAsia" w:cs="Calibri"/>
                <w:b/>
                <w:color w:val="auto"/>
                <w:sz w:val="18"/>
                <w:szCs w:val="18"/>
              </w:rPr>
              <w:t>4.2</w:t>
            </w:r>
          </w:p>
        </w:tc>
        <w:tc>
          <w:tcPr>
            <w:tcW w:w="955" w:type="dxa"/>
            <w:tcBorders>
              <w:bottom w:val="single" w:color="auto" w:sz="8" w:space="0"/>
            </w:tcBorders>
            <w:vAlign w:val="center"/>
          </w:tcPr>
          <w:p w14:paraId="357239C3">
            <w:pPr>
              <w:pStyle w:val="27"/>
              <w:jc w:val="center"/>
              <w:rPr>
                <w:rFonts w:cs="Calibri"/>
                <w:color w:val="auto"/>
                <w:sz w:val="18"/>
                <w:szCs w:val="18"/>
              </w:rPr>
            </w:pPr>
            <w:r>
              <w:rPr>
                <w:rFonts w:hint="eastAsia" w:cs="Calibri"/>
                <w:color w:val="auto"/>
                <w:sz w:val="18"/>
                <w:szCs w:val="18"/>
              </w:rPr>
              <w:t>5.6</w:t>
            </w:r>
          </w:p>
        </w:tc>
      </w:tr>
    </w:tbl>
    <w:p w14:paraId="4E923E33">
      <w:pPr>
        <w:spacing w:line="240" w:lineRule="exact"/>
        <w:rPr>
          <w:rFonts w:ascii="宋体"/>
          <w:sz w:val="18"/>
          <w:szCs w:val="18"/>
        </w:rPr>
      </w:pPr>
    </w:p>
    <w:p w14:paraId="74F71ABD">
      <w:pPr>
        <w:spacing w:line="240" w:lineRule="exact"/>
        <w:rPr>
          <w:b/>
          <w:bCs/>
          <w:sz w:val="18"/>
          <w:szCs w:val="18"/>
        </w:rPr>
      </w:pPr>
      <w:r>
        <w:rPr>
          <w:rFonts w:hint="eastAsia" w:ascii="宋体" w:hAnsi="宋体" w:cs="宋体"/>
          <w:sz w:val="18"/>
          <w:szCs w:val="18"/>
        </w:rPr>
        <w:t>证明材料：√设计图纸（给排水、S-01_给水排水设计总说明）√水资源利用方案</w:t>
      </w:r>
    </w:p>
    <w:p w14:paraId="1D2069B3">
      <w:pPr>
        <w:rPr>
          <w:rFonts w:hAnsi="黑体" w:eastAsia="黑体" w:cs="黑体"/>
          <w:b/>
          <w:bCs/>
          <w:kern w:val="0"/>
          <w:sz w:val="18"/>
          <w:szCs w:val="18"/>
        </w:rPr>
      </w:pPr>
    </w:p>
    <w:p w14:paraId="4949CE39">
      <w:pPr>
        <w:outlineLvl w:val="0"/>
        <w:rPr>
          <w:rFonts w:ascii="黑体" w:hAnsi="黑体" w:eastAsia="黑体"/>
          <w:b/>
          <w:sz w:val="26"/>
          <w:szCs w:val="26"/>
        </w:rPr>
      </w:pPr>
      <w:r>
        <w:rPr>
          <w:rFonts w:hint="eastAsia" w:ascii="黑体" w:hAnsi="黑体" w:eastAsia="黑体"/>
          <w:b/>
          <w:sz w:val="26"/>
          <w:szCs w:val="26"/>
        </w:rPr>
        <w:t>五、绿色建筑设计技术措施</w:t>
      </w:r>
    </w:p>
    <w:p w14:paraId="2756FEFE">
      <w:pPr>
        <w:spacing w:line="300" w:lineRule="exact"/>
        <w:outlineLvl w:val="1"/>
        <w:rPr>
          <w:rFonts w:ascii="Batang" w:eastAsia="Batang"/>
          <w:sz w:val="18"/>
          <w:szCs w:val="18"/>
        </w:rPr>
      </w:pPr>
      <w:r>
        <w:rPr>
          <w:rFonts w:hAnsi="黑体" w:eastAsia="黑体" w:cs="黑体"/>
          <w:b/>
          <w:bCs/>
          <w:kern w:val="0"/>
          <w:sz w:val="24"/>
          <w:szCs w:val="24"/>
        </w:rPr>
        <w:t>1</w:t>
      </w:r>
      <w:r>
        <w:rPr>
          <w:rFonts w:hint="eastAsia" w:hAnsi="黑体" w:eastAsia="黑体" w:cs="黑体"/>
          <w:b/>
          <w:bCs/>
          <w:kern w:val="0"/>
          <w:sz w:val="24"/>
          <w:szCs w:val="24"/>
        </w:rPr>
        <w:t>、安全耐久</w:t>
      </w:r>
      <w:r>
        <w:rPr>
          <w:rFonts w:hint="eastAsia" w:hAnsi="黑体" w:eastAsia="黑体" w:cs="黑体"/>
          <w:b/>
          <w:bCs/>
          <w:kern w:val="0"/>
          <w:szCs w:val="21"/>
        </w:rPr>
        <w:t>（</w:t>
      </w:r>
      <w:r>
        <w:rPr>
          <w:rFonts w:hint="eastAsia" w:ascii="宋体" w:hAnsi="宋体"/>
          <w:szCs w:val="21"/>
        </w:rPr>
        <w:t>实际得分</w:t>
      </w:r>
      <w:r>
        <w:rPr>
          <w:rFonts w:hint="eastAsia" w:ascii="宋体" w:hAnsi="宋体"/>
          <w:szCs w:val="21"/>
          <w:u w:val="single"/>
        </w:rPr>
        <w:t>　</w:t>
      </w:r>
      <w:r>
        <w:rPr>
          <w:rFonts w:hint="eastAsia" w:ascii="宋体" w:hAnsi="宋体"/>
          <w:szCs w:val="21"/>
          <w:u w:val="single"/>
          <w:lang w:val="en-US" w:eastAsia="zh-CN"/>
        </w:rPr>
        <w:t>48</w:t>
      </w:r>
      <w:r>
        <w:rPr>
          <w:rFonts w:hint="eastAsia" w:ascii="宋体" w:hAnsi="宋体"/>
          <w:szCs w:val="21"/>
          <w:u w:val="single"/>
        </w:rPr>
        <w:t>　</w:t>
      </w:r>
      <w:r>
        <w:rPr>
          <w:rFonts w:hint="eastAsia" w:ascii="宋体" w:hAnsi="宋体"/>
          <w:szCs w:val="21"/>
        </w:rPr>
        <w:t>分</w:t>
      </w:r>
      <w:r>
        <w:rPr>
          <w:rFonts w:hint="eastAsia" w:hAnsi="黑体" w:eastAsia="黑体" w:cs="黑体"/>
          <w:b/>
          <w:bCs/>
          <w:kern w:val="0"/>
          <w:szCs w:val="21"/>
        </w:rPr>
        <w:t>）</w:t>
      </w:r>
    </w:p>
    <w:p w14:paraId="15433399">
      <w:pPr>
        <w:spacing w:line="240" w:lineRule="exact"/>
        <w:jc w:val="center"/>
        <w:rPr>
          <w:rFonts w:cs="宋体"/>
          <w:b/>
          <w:bCs/>
          <w:szCs w:val="21"/>
        </w:rPr>
      </w:pPr>
    </w:p>
    <w:p w14:paraId="6F49E074">
      <w:pPr>
        <w:spacing w:line="240" w:lineRule="exact"/>
        <w:jc w:val="center"/>
        <w:outlineLvl w:val="2"/>
        <w:rPr>
          <w:rFonts w:cs="宋体"/>
          <w:b/>
          <w:bCs/>
          <w:sz w:val="18"/>
          <w:szCs w:val="18"/>
        </w:rPr>
      </w:pPr>
      <w:r>
        <w:rPr>
          <w:rFonts w:hint="eastAsia" w:cs="宋体"/>
          <w:b/>
          <w:bCs/>
          <w:sz w:val="18"/>
          <w:szCs w:val="18"/>
        </w:rPr>
        <w:t>必须说明内容（控制项）</w:t>
      </w:r>
    </w:p>
    <w:p w14:paraId="17EBCE42">
      <w:pPr>
        <w:spacing w:line="240" w:lineRule="exact"/>
        <w:jc w:val="center"/>
        <w:rPr>
          <w:b/>
          <w:bCs/>
          <w:sz w:val="18"/>
          <w:szCs w:val="18"/>
        </w:rPr>
      </w:pPr>
    </w:p>
    <w:p w14:paraId="10F8FFFF">
      <w:pPr>
        <w:spacing w:line="240" w:lineRule="exact"/>
        <w:rPr>
          <w:rFonts w:cs="宋体"/>
          <w:b/>
          <w:bCs/>
          <w:sz w:val="18"/>
          <w:szCs w:val="18"/>
        </w:rPr>
      </w:pPr>
      <w:r>
        <w:rPr>
          <w:rFonts w:hint="eastAsia" w:cs="宋体"/>
          <w:b/>
          <w:bCs/>
          <w:sz w:val="18"/>
          <w:szCs w:val="18"/>
        </w:rPr>
        <w:t>规划专业</w:t>
      </w:r>
    </w:p>
    <w:tbl>
      <w:tblPr>
        <w:tblStyle w:val="12"/>
        <w:tblpPr w:leftFromText="180" w:rightFromText="180" w:vertAnchor="text" w:tblpY="1"/>
        <w:tblOverlap w:val="never"/>
        <w:tblW w:w="87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477"/>
      </w:tblGrid>
      <w:tr w14:paraId="4AF258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397" w:type="dxa"/>
            <w:tcMar>
              <w:left w:w="0" w:type="dxa"/>
              <w:right w:w="0" w:type="dxa"/>
            </w:tcMar>
            <w:vAlign w:val="center"/>
          </w:tcPr>
          <w:p w14:paraId="4F9BD798">
            <w:pPr>
              <w:spacing w:line="220" w:lineRule="exact"/>
              <w:jc w:val="center"/>
              <w:rPr>
                <w:rFonts w:ascii="黑体" w:hAnsi="宋体" w:eastAsia="黑体" w:cs="黑体"/>
                <w:kern w:val="0"/>
                <w:sz w:val="18"/>
                <w:szCs w:val="18"/>
              </w:rPr>
            </w:pPr>
            <w:r>
              <w:rPr>
                <w:rFonts w:hint="eastAsia" w:ascii="MS Mincho" w:hAnsi="MS Mincho" w:eastAsia="黑体" w:cs="MS Mincho"/>
                <w:kern w:val="0"/>
                <w:sz w:val="18"/>
                <w:szCs w:val="18"/>
              </w:rPr>
              <w:t>条文分值</w:t>
            </w:r>
          </w:p>
        </w:tc>
        <w:tc>
          <w:tcPr>
            <w:tcW w:w="477" w:type="dxa"/>
            <w:tcMar>
              <w:left w:w="0" w:type="dxa"/>
              <w:right w:w="0" w:type="dxa"/>
            </w:tcMar>
            <w:vAlign w:val="center"/>
          </w:tcPr>
          <w:p w14:paraId="20BF097E">
            <w:pPr>
              <w:spacing w:line="220" w:lineRule="exact"/>
              <w:jc w:val="center"/>
              <w:rPr>
                <w:rFonts w:ascii="黑体" w:hAnsi="宋体" w:eastAsia="黑体" w:cs="黑体"/>
                <w:kern w:val="0"/>
                <w:sz w:val="18"/>
                <w:szCs w:val="18"/>
              </w:rPr>
            </w:pPr>
            <w:r>
              <w:rPr>
                <w:rFonts w:hint="eastAsia" w:ascii="黑体" w:hAnsi="宋体" w:eastAsia="黑体" w:cs="黑体"/>
                <w:kern w:val="0"/>
                <w:sz w:val="18"/>
                <w:szCs w:val="18"/>
              </w:rPr>
              <w:t>适用</w:t>
            </w:r>
          </w:p>
          <w:p w14:paraId="108C6F42">
            <w:pPr>
              <w:spacing w:line="220" w:lineRule="exact"/>
              <w:jc w:val="center"/>
              <w:rPr>
                <w:rFonts w:ascii="黑体" w:hAnsi="宋体" w:eastAsia="黑体" w:cs="黑体"/>
                <w:kern w:val="0"/>
                <w:sz w:val="18"/>
                <w:szCs w:val="18"/>
              </w:rPr>
            </w:pPr>
            <w:r>
              <w:rPr>
                <w:rFonts w:hint="eastAsia" w:ascii="黑体" w:hAnsi="宋体" w:eastAsia="黑体" w:cs="黑体"/>
                <w:kern w:val="0"/>
                <w:sz w:val="18"/>
                <w:szCs w:val="18"/>
              </w:rPr>
              <w:t>与否</w:t>
            </w:r>
          </w:p>
        </w:tc>
      </w:tr>
      <w:tr w14:paraId="63C2CA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97" w:type="dxa"/>
            <w:tcMar>
              <w:left w:w="0" w:type="dxa"/>
              <w:right w:w="0" w:type="dxa"/>
            </w:tcMar>
          </w:tcPr>
          <w:p w14:paraId="1D6A25F5">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477" w:type="dxa"/>
            <w:tcMar>
              <w:left w:w="0" w:type="dxa"/>
              <w:right w:w="0" w:type="dxa"/>
            </w:tcMar>
          </w:tcPr>
          <w:p w14:paraId="7233C1CB">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5D6E7128">
      <w:pPr>
        <w:spacing w:line="240" w:lineRule="exact"/>
        <w:rPr>
          <w:rFonts w:ascii="宋体" w:cs="宋体"/>
          <w:sz w:val="18"/>
          <w:szCs w:val="18"/>
        </w:rPr>
      </w:pPr>
    </w:p>
    <w:p w14:paraId="67D99C51">
      <w:pPr>
        <w:spacing w:line="240" w:lineRule="exact"/>
        <w:rPr>
          <w:rFonts w:ascii="黑体" w:hAnsi="宋体" w:eastAsia="黑体" w:cs="黑体"/>
          <w:sz w:val="18"/>
          <w:szCs w:val="18"/>
        </w:rPr>
      </w:pPr>
    </w:p>
    <w:p w14:paraId="3D6C5C57">
      <w:pPr>
        <w:spacing w:line="240" w:lineRule="exact"/>
        <w:rPr>
          <w:rFonts w:ascii="黑体" w:hAnsi="宋体" w:eastAsia="黑体"/>
          <w:sz w:val="18"/>
          <w:szCs w:val="18"/>
        </w:rPr>
      </w:pPr>
      <w:r>
        <w:rPr>
          <w:rFonts w:ascii="黑体" w:hAnsi="宋体" w:eastAsia="黑体" w:cs="黑体"/>
          <w:sz w:val="18"/>
          <w:szCs w:val="18"/>
        </w:rPr>
        <w:t>4.1.1</w:t>
      </w:r>
      <w:r>
        <w:rPr>
          <w:rFonts w:hint="eastAsia" w:ascii="黑体" w:hAnsi="宋体" w:eastAsia="黑体" w:cs="黑体"/>
          <w:sz w:val="18"/>
          <w:szCs w:val="18"/>
        </w:rPr>
        <w:t>场地应避开滑坡、泥石流等地质危险地段，易发生洪涝地区应有可靠的防洪涝基础设施；场地应无危险化学品、易燃易爆危险源的威胁，应无电磁辐射、含氡土壤的危害。</w:t>
      </w:r>
    </w:p>
    <w:p w14:paraId="47C7D2D4">
      <w:pPr>
        <w:spacing w:line="240" w:lineRule="exact"/>
        <w:rPr>
          <w:rFonts w:ascii="宋体"/>
          <w:sz w:val="18"/>
          <w:szCs w:val="18"/>
        </w:rPr>
      </w:pPr>
      <w:r>
        <w:rPr>
          <w:rFonts w:hint="eastAsia" w:ascii="宋体" w:hAnsi="宋体" w:cs="宋体"/>
          <w:sz w:val="18"/>
          <w:szCs w:val="18"/>
        </w:rPr>
        <w:t>技术措施说明：</w:t>
      </w:r>
      <w:r>
        <w:rPr>
          <w:rFonts w:hint="eastAsia" w:ascii="Times New Roman" w:hAnsi="Times New Roman"/>
          <w:sz w:val="18"/>
          <w:szCs w:val="18"/>
        </w:rPr>
        <w:t>本场地地势平坦，不存在发生滑坡、崩塌、泥石流等地质灾害的条件；场地不在灰岩地区，不存在土洞溶洞、塌陷等岩溶现象。勘察中未发现全新活动断裂等不良地质现象，场地内不存在埋藏的河道、墓穴、防空洞、孤石等对工程不利的埋藏物。场地无危险化学品、易燃易爆危险源的威胁，无电磁辐射。根据土壤氡浓</w:t>
      </w:r>
      <w:r>
        <w:rPr>
          <w:rFonts w:hint="eastAsia" w:ascii="宋体" w:hAnsi="宋体"/>
          <w:sz w:val="18"/>
          <w:szCs w:val="18"/>
        </w:rPr>
        <w:t>度检测报告，项目所在地</w:t>
      </w:r>
      <w:r>
        <w:rPr>
          <w:rFonts w:ascii="Times New Roman" w:hAnsi="Times New Roman"/>
          <w:kern w:val="0"/>
          <w:sz w:val="18"/>
          <w:szCs w:val="18"/>
        </w:rPr>
        <w:t>土壤氡</w:t>
      </w:r>
      <w:r>
        <w:rPr>
          <w:rFonts w:hint="eastAsia" w:ascii="Times New Roman" w:hAnsi="Times New Roman"/>
          <w:kern w:val="0"/>
          <w:sz w:val="18"/>
          <w:szCs w:val="18"/>
        </w:rPr>
        <w:t>浓度各测点的值均</w:t>
      </w:r>
      <w:r>
        <w:rPr>
          <w:rFonts w:hint="eastAsia" w:ascii="Times New Roman" w:hAnsi="Times New Roman"/>
          <w:sz w:val="18"/>
          <w:szCs w:val="18"/>
        </w:rPr>
        <w:t>小于20000</w:t>
      </w:r>
      <w:r>
        <w:rPr>
          <w:rFonts w:ascii="Times New Roman" w:hAnsi="Times New Roman"/>
          <w:sz w:val="18"/>
          <w:szCs w:val="18"/>
        </w:rPr>
        <w:t>Bq/m</w:t>
      </w:r>
      <w:r>
        <w:rPr>
          <w:rFonts w:ascii="Times New Roman" w:hAnsi="Times New Roman"/>
          <w:sz w:val="18"/>
          <w:szCs w:val="18"/>
          <w:vertAlign w:val="superscript"/>
        </w:rPr>
        <w:t>3</w:t>
      </w:r>
      <w:r>
        <w:rPr>
          <w:rFonts w:hint="eastAsia" w:ascii="Times New Roman" w:hAnsi="Times New Roman"/>
          <w:sz w:val="18"/>
          <w:szCs w:val="18"/>
        </w:rPr>
        <w:t>，不需做防氡工程处理。</w:t>
      </w:r>
    </w:p>
    <w:p w14:paraId="7BD9DE8C">
      <w:pPr>
        <w:spacing w:line="240" w:lineRule="exact"/>
        <w:rPr>
          <w:rFonts w:ascii="宋体" w:cs="宋体"/>
          <w:sz w:val="18"/>
          <w:szCs w:val="18"/>
        </w:rPr>
      </w:pPr>
      <w:r>
        <w:rPr>
          <w:rFonts w:hint="eastAsia" w:ascii="宋体" w:hAnsi="宋体" w:cs="宋体"/>
          <w:sz w:val="18"/>
          <w:szCs w:val="18"/>
        </w:rPr>
        <w:t>证明材料：；</w:t>
      </w:r>
      <w:r>
        <w:rPr>
          <w:rFonts w:ascii="宋体" w:hAnsi="宋体" w:cs="宋体"/>
          <w:sz w:val="18"/>
          <w:szCs w:val="18"/>
        </w:rPr>
        <w:t xml:space="preserve"> </w:t>
      </w:r>
      <w:r>
        <w:rPr>
          <w:rFonts w:hint="eastAsia" w:ascii="宋体" w:hAnsi="宋体" w:cs="宋体"/>
          <w:sz w:val="18"/>
          <w:szCs w:val="18"/>
        </w:rPr>
        <w:t>√土壤氡浓度检测报告；√</w:t>
      </w:r>
      <w:r>
        <w:rPr>
          <w:rFonts w:hint="eastAsia" w:ascii="宋体" w:hAnsi="宋体"/>
          <w:sz w:val="18"/>
          <w:szCs w:val="18"/>
        </w:rPr>
        <w:t>工程地质</w:t>
      </w:r>
      <w:r>
        <w:rPr>
          <w:rFonts w:hint="eastAsia" w:ascii="宋体" w:hAnsi="宋体" w:cs="宋体"/>
          <w:sz w:val="18"/>
          <w:szCs w:val="18"/>
        </w:rPr>
        <w:t>勘察报告；√场地地形图</w:t>
      </w:r>
    </w:p>
    <w:p w14:paraId="7A890F2D">
      <w:pPr>
        <w:spacing w:line="240" w:lineRule="exact"/>
        <w:rPr>
          <w:rFonts w:ascii="宋体" w:cs="宋体"/>
          <w:sz w:val="18"/>
          <w:szCs w:val="18"/>
        </w:rPr>
      </w:pPr>
    </w:p>
    <w:p w14:paraId="21D32FF2">
      <w:pPr>
        <w:spacing w:line="240" w:lineRule="exact"/>
        <w:rPr>
          <w:rFonts w:cs="宋体"/>
          <w:b/>
          <w:bCs/>
          <w:sz w:val="18"/>
          <w:szCs w:val="18"/>
        </w:rPr>
      </w:pPr>
      <w:r>
        <w:rPr>
          <w:rFonts w:hint="eastAsia" w:cs="宋体"/>
          <w:b/>
          <w:bCs/>
          <w:sz w:val="18"/>
          <w:szCs w:val="18"/>
        </w:rPr>
        <w:t>建筑专业</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023F95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6E6B33BB">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7C56F8DF">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533F3495">
      <w:pPr>
        <w:spacing w:line="240" w:lineRule="exact"/>
        <w:rPr>
          <w:rFonts w:ascii="黑体" w:eastAsia="黑体"/>
          <w:sz w:val="18"/>
          <w:szCs w:val="18"/>
        </w:rPr>
      </w:pPr>
      <w:r>
        <w:rPr>
          <w:rFonts w:ascii="黑体" w:eastAsia="黑体" w:cs="黑体"/>
          <w:sz w:val="18"/>
          <w:szCs w:val="18"/>
        </w:rPr>
        <w:t>4.1.5</w:t>
      </w:r>
      <w:r>
        <w:rPr>
          <w:rFonts w:hint="eastAsia" w:ascii="黑体" w:eastAsia="黑体" w:cs="黑体"/>
          <w:sz w:val="18"/>
          <w:szCs w:val="18"/>
        </w:rPr>
        <w:t>建筑外门窗必须安装牢固，其抗风压性能和水密性能应符合国家现行有关标准的规定。</w:t>
      </w:r>
    </w:p>
    <w:p w14:paraId="1433097D">
      <w:pPr>
        <w:spacing w:line="240" w:lineRule="exact"/>
        <w:rPr>
          <w:rFonts w:ascii="黑体" w:eastAsia="黑体"/>
          <w:sz w:val="18"/>
          <w:szCs w:val="18"/>
        </w:rPr>
      </w:pPr>
      <w:r>
        <w:rPr>
          <w:rFonts w:hint="eastAsia" w:ascii="宋体" w:hAnsi="宋体" w:cs="宋体"/>
          <w:sz w:val="18"/>
          <w:szCs w:val="18"/>
        </w:rPr>
        <w:t>技术措施说明：本项目铝合金外门窗主型材主要受力部位基材截面最小实测壁厚分别不应小于2.</w:t>
      </w:r>
      <w:r>
        <w:rPr>
          <w:rFonts w:ascii="宋体" w:hAnsi="宋体" w:cs="宋体"/>
          <w:sz w:val="18"/>
          <w:szCs w:val="18"/>
        </w:rPr>
        <w:t>2</w:t>
      </w:r>
      <w:r>
        <w:rPr>
          <w:rFonts w:hint="eastAsia" w:ascii="宋体" w:hAnsi="宋体" w:cs="宋体"/>
          <w:sz w:val="18"/>
          <w:szCs w:val="18"/>
        </w:rPr>
        <w:t>mm和1.</w:t>
      </w:r>
      <w:r>
        <w:rPr>
          <w:rFonts w:ascii="宋体" w:hAnsi="宋体" w:cs="宋体"/>
          <w:sz w:val="18"/>
          <w:szCs w:val="18"/>
        </w:rPr>
        <w:t>8</w:t>
      </w:r>
      <w:r>
        <w:rPr>
          <w:rFonts w:hint="eastAsia" w:ascii="宋体" w:hAnsi="宋体" w:cs="宋体"/>
          <w:sz w:val="18"/>
          <w:szCs w:val="18"/>
        </w:rPr>
        <w:t>mm，窗框与窗洞之间用聚合物防水砂浆灌满密实，门窗预埋在墙和柱内的木（铁）件和所有木制品应作防腐防锈防白蚁处理；安装于外墙的外窗，设置防止窗扇向室外脱落的装置；外墙推拉窗设置限位装置；外窗抗风压性能不低于4级，水密性能不低于3级，气密性能不低于</w:t>
      </w:r>
      <w:r>
        <w:rPr>
          <w:rFonts w:ascii="宋体" w:hAnsi="宋体" w:cs="宋体"/>
          <w:sz w:val="18"/>
          <w:szCs w:val="18"/>
        </w:rPr>
        <w:t>7</w:t>
      </w:r>
      <w:r>
        <w:rPr>
          <w:rFonts w:hint="eastAsia" w:ascii="宋体" w:hAnsi="宋体" w:cs="宋体"/>
          <w:sz w:val="18"/>
          <w:szCs w:val="18"/>
        </w:rPr>
        <w:t>级。</w:t>
      </w:r>
    </w:p>
    <w:p w14:paraId="0C68A9D6">
      <w:pPr>
        <w:spacing w:line="240" w:lineRule="exact"/>
        <w:rPr>
          <w:rFonts w:cs="宋体"/>
          <w:b/>
          <w:bCs/>
          <w:sz w:val="18"/>
          <w:szCs w:val="18"/>
        </w:rPr>
      </w:pPr>
      <w:r>
        <w:rPr>
          <w:rFonts w:hint="eastAsia" w:ascii="宋体" w:hAnsi="宋体" w:cs="宋体"/>
          <w:sz w:val="18"/>
          <w:szCs w:val="18"/>
        </w:rPr>
        <w:t>证明材料：√设计图纸（建筑、</w:t>
      </w:r>
      <w:r>
        <w:rPr>
          <w:rFonts w:ascii="宋体" w:hAnsi="宋体" w:cs="宋体"/>
          <w:sz w:val="18"/>
          <w:szCs w:val="18"/>
        </w:rPr>
        <w:t>SM-01_建筑设计总说明</w:t>
      </w:r>
      <w:r>
        <w:rPr>
          <w:rFonts w:hint="eastAsia" w:ascii="宋体" w:hAnsi="宋体" w:cs="宋体"/>
          <w:sz w:val="18"/>
          <w:szCs w:val="18"/>
        </w:rPr>
        <w:t>、</w:t>
      </w:r>
      <w:r>
        <w:rPr>
          <w:rFonts w:ascii="宋体" w:hAnsi="宋体" w:cs="宋体"/>
          <w:sz w:val="18"/>
          <w:szCs w:val="18"/>
        </w:rPr>
        <w:t>门窗大样</w:t>
      </w:r>
      <w:r>
        <w:rPr>
          <w:rFonts w:hint="eastAsia" w:ascii="宋体" w:hAnsi="宋体" w:cs="宋体"/>
          <w:sz w:val="18"/>
          <w:szCs w:val="18"/>
        </w:rPr>
        <w:t>）</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6BF0D3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47AA7818">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6A140F61">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0362974C">
      <w:pPr>
        <w:spacing w:line="240" w:lineRule="exact"/>
        <w:rPr>
          <w:rFonts w:ascii="黑体" w:eastAsia="黑体"/>
          <w:sz w:val="18"/>
          <w:szCs w:val="18"/>
        </w:rPr>
      </w:pPr>
      <w:r>
        <w:rPr>
          <w:rFonts w:ascii="黑体" w:eastAsia="黑体" w:cs="黑体"/>
          <w:sz w:val="18"/>
          <w:szCs w:val="18"/>
        </w:rPr>
        <w:t>4.1.6</w:t>
      </w:r>
      <w:r>
        <w:rPr>
          <w:rFonts w:hint="eastAsia" w:ascii="黑体" w:eastAsia="黑体" w:cs="黑体"/>
          <w:sz w:val="18"/>
          <w:szCs w:val="18"/>
        </w:rPr>
        <w:t>卫生间、浴室的地面应设置防水层，墙面、顶棚应设置防潮层。</w:t>
      </w:r>
    </w:p>
    <w:p w14:paraId="10A4E0E7">
      <w:pPr>
        <w:spacing w:line="240" w:lineRule="exact"/>
        <w:rPr>
          <w:rFonts w:ascii="黑体" w:eastAsia="黑体"/>
          <w:sz w:val="18"/>
          <w:szCs w:val="18"/>
        </w:rPr>
      </w:pPr>
      <w:r>
        <w:rPr>
          <w:rFonts w:hint="eastAsia" w:ascii="宋体" w:hAnsi="宋体" w:cs="宋体"/>
          <w:sz w:val="18"/>
          <w:szCs w:val="18"/>
        </w:rPr>
        <w:t>技术措施说明：本项目卫生间的地面设置I级防水做法，采用1.5厚聚氨酯防水涂料+1.5厚聚氨酯防水涂料，上反完成面大于300；墙面采用</w:t>
      </w:r>
      <w:r>
        <w:rPr>
          <w:rFonts w:ascii="宋体" w:hAnsi="宋体" w:cs="宋体"/>
          <w:sz w:val="18"/>
          <w:szCs w:val="18"/>
        </w:rPr>
        <w:t>1.2</w:t>
      </w:r>
      <w:r>
        <w:rPr>
          <w:rFonts w:hint="eastAsia" w:ascii="宋体" w:hAnsi="宋体" w:cs="宋体"/>
          <w:sz w:val="18"/>
          <w:szCs w:val="18"/>
        </w:rPr>
        <w:t>厚聚合物水泥防水涂料+4厚聚合物丙烯酸酯水泥砂浆粘合层；顶棚采用3厚涂刷型聚合物水泥防水砂浆或1.0厚聚合物水泥防水涂料作为顶部防潮层，当上层同有用水房间时，可取消顶部防潮层。</w:t>
      </w:r>
    </w:p>
    <w:p w14:paraId="3A92DE08">
      <w:pPr>
        <w:spacing w:line="240" w:lineRule="exact"/>
        <w:rPr>
          <w:rFonts w:ascii="宋体" w:cs="宋体"/>
          <w:sz w:val="18"/>
          <w:szCs w:val="18"/>
        </w:rPr>
      </w:pPr>
      <w:r>
        <w:rPr>
          <w:rFonts w:hint="eastAsia" w:ascii="宋体" w:hAnsi="宋体" w:cs="宋体"/>
          <w:sz w:val="18"/>
          <w:szCs w:val="18"/>
        </w:rPr>
        <w:t>证明材料：√设计图纸（建筑、SM-02_建筑装修构造做法说明表）</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32F916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5ACCC293">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41B5289C">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52F6A70C">
      <w:pPr>
        <w:spacing w:line="240" w:lineRule="exact"/>
        <w:rPr>
          <w:rFonts w:ascii="黑体" w:eastAsia="黑体"/>
          <w:sz w:val="18"/>
          <w:szCs w:val="18"/>
        </w:rPr>
      </w:pPr>
      <w:r>
        <w:rPr>
          <w:rFonts w:ascii="黑体" w:eastAsia="黑体" w:cs="黑体"/>
          <w:sz w:val="18"/>
          <w:szCs w:val="18"/>
        </w:rPr>
        <w:t>4.1.7</w:t>
      </w:r>
      <w:r>
        <w:rPr>
          <w:rFonts w:hint="eastAsia" w:ascii="黑体" w:eastAsia="黑体" w:cs="黑体"/>
          <w:sz w:val="18"/>
          <w:szCs w:val="18"/>
        </w:rPr>
        <w:t>走廊、疏散通道等通行空间应满足紧急疏散、应急救护等要求，且应保持畅通。</w:t>
      </w:r>
    </w:p>
    <w:p w14:paraId="57B2D35F">
      <w:pPr>
        <w:spacing w:line="240" w:lineRule="exact"/>
        <w:rPr>
          <w:rFonts w:ascii="黑体" w:eastAsia="黑体"/>
          <w:sz w:val="18"/>
          <w:szCs w:val="18"/>
        </w:rPr>
      </w:pPr>
      <w:r>
        <w:rPr>
          <w:rFonts w:hint="eastAsia" w:ascii="宋体" w:hAnsi="宋体" w:cs="宋体"/>
          <w:sz w:val="18"/>
          <w:szCs w:val="18"/>
        </w:rPr>
        <w:t>技术措施说明：项目走廊和疏散通道等通行空间的疏散宽度满足防火设计规范的相关要求，防火墙和公共走廊上疏散用的平开防火门设闭门器，双扇平开防火门安装闭门器和顺序器，常开防火门安装信号控制关闭和反馈装置，保证疏散过程的正常开启。建筑入口设置有应急救护的电源插座。</w:t>
      </w:r>
    </w:p>
    <w:p w14:paraId="60CFF4CC">
      <w:pPr>
        <w:spacing w:line="240" w:lineRule="exact"/>
        <w:rPr>
          <w:rFonts w:cs="宋体"/>
          <w:b/>
          <w:bCs/>
          <w:sz w:val="18"/>
          <w:szCs w:val="18"/>
        </w:rPr>
      </w:pPr>
      <w:r>
        <w:rPr>
          <w:rFonts w:hint="eastAsia" w:ascii="宋体" w:hAnsi="宋体" w:cs="宋体"/>
          <w:sz w:val="18"/>
          <w:szCs w:val="18"/>
        </w:rPr>
        <w:t>证明材料：√设计图纸（建筑、</w:t>
      </w:r>
      <w:r>
        <w:rPr>
          <w:rFonts w:ascii="宋体" w:hAnsi="宋体" w:cs="宋体"/>
          <w:sz w:val="18"/>
          <w:szCs w:val="18"/>
        </w:rPr>
        <w:t>SM-01_建筑设计总说明</w:t>
      </w:r>
      <w:r>
        <w:rPr>
          <w:rFonts w:hint="eastAsia" w:ascii="宋体" w:hAnsi="宋体" w:cs="宋体"/>
          <w:sz w:val="18"/>
          <w:szCs w:val="18"/>
        </w:rPr>
        <w:t>、各层平面图）√设计图纸（电气、各层照明平面图）</w:t>
      </w:r>
      <w:r>
        <w:rPr>
          <w:rFonts w:ascii="Times New Roman" w:hAnsi="Times New Roman"/>
          <w:sz w:val="18"/>
          <w:szCs w:val="18"/>
        </w:rPr>
        <w:t>√二次设计达标承诺函</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3D68E8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76E69BB3">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1331387A">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2F4CC120">
      <w:pPr>
        <w:spacing w:line="240" w:lineRule="exact"/>
        <w:rPr>
          <w:rFonts w:ascii="黑体" w:eastAsia="黑体"/>
          <w:sz w:val="18"/>
          <w:szCs w:val="18"/>
        </w:rPr>
      </w:pPr>
      <w:r>
        <w:rPr>
          <w:rFonts w:ascii="黑体" w:eastAsia="黑体" w:cs="黑体"/>
          <w:sz w:val="18"/>
          <w:szCs w:val="18"/>
        </w:rPr>
        <w:t>4.1.8</w:t>
      </w:r>
      <w:r>
        <w:rPr>
          <w:rFonts w:hint="eastAsia" w:ascii="黑体" w:eastAsia="黑体" w:cs="黑体"/>
          <w:sz w:val="18"/>
          <w:szCs w:val="18"/>
        </w:rPr>
        <w:t>应具有安全防护的警示和引导标识系统。</w:t>
      </w:r>
    </w:p>
    <w:p w14:paraId="2F84E130">
      <w:pPr>
        <w:spacing w:line="240" w:lineRule="exact"/>
        <w:rPr>
          <w:rFonts w:ascii="黑体" w:eastAsia="黑体"/>
          <w:sz w:val="18"/>
          <w:szCs w:val="18"/>
        </w:rPr>
      </w:pPr>
      <w:r>
        <w:rPr>
          <w:rFonts w:hint="eastAsia" w:ascii="宋体" w:hAnsi="宋体" w:cs="宋体"/>
          <w:sz w:val="18"/>
          <w:szCs w:val="18"/>
        </w:rPr>
        <w:t>技术措施说明：本项目在各场所设置显著、醒目的安全警示标志，比如禁止攀爬、禁止倚靠、禁止伸出窗外、禁止抛物、注意安全、当心碰头、当心夹手、当心车辆、当心坠落、当心滑倒、当心落水等。本</w:t>
      </w:r>
      <w:r>
        <w:rPr>
          <w:rFonts w:ascii="宋体" w:hAnsi="宋体" w:cs="宋体"/>
          <w:sz w:val="18"/>
          <w:szCs w:val="18"/>
        </w:rPr>
        <w:t>项目</w:t>
      </w:r>
      <w:r>
        <w:rPr>
          <w:rFonts w:hint="eastAsia" w:ascii="宋体" w:hAnsi="宋体" w:cs="宋体"/>
          <w:sz w:val="18"/>
          <w:szCs w:val="18"/>
        </w:rPr>
        <w:t>同时设置完善的引导性指示标识，比如人行导向标识，紧急出口标志、避险处标志、应急避难场所标志等安全引导性标识，对地下室、停车场等还包括车行导向标识。</w:t>
      </w:r>
    </w:p>
    <w:p w14:paraId="51FBC60F">
      <w:pPr>
        <w:spacing w:line="240" w:lineRule="exact"/>
        <w:rPr>
          <w:rFonts w:ascii="宋体" w:cs="宋体"/>
          <w:sz w:val="18"/>
          <w:szCs w:val="18"/>
        </w:rPr>
      </w:pPr>
      <w:r>
        <w:rPr>
          <w:rFonts w:hint="eastAsia" w:ascii="宋体" w:hAnsi="宋体" w:cs="宋体"/>
          <w:sz w:val="18"/>
          <w:szCs w:val="18"/>
        </w:rPr>
        <w:t>证明材料：√</w:t>
      </w:r>
      <w:r>
        <w:rPr>
          <w:rFonts w:hint="eastAsia" w:ascii="宋体" w:hAnsi="宋体"/>
          <w:sz w:val="18"/>
          <w:szCs w:val="18"/>
        </w:rPr>
        <w:t>二次设计达标承诺函</w:t>
      </w:r>
    </w:p>
    <w:p w14:paraId="408B520C">
      <w:pPr>
        <w:spacing w:line="240" w:lineRule="exact"/>
        <w:rPr>
          <w:rFonts w:cs="宋体"/>
          <w:b/>
          <w:bCs/>
          <w:sz w:val="18"/>
          <w:szCs w:val="18"/>
        </w:rPr>
      </w:pPr>
    </w:p>
    <w:p w14:paraId="40D8C29F">
      <w:pPr>
        <w:spacing w:line="240" w:lineRule="exact"/>
        <w:rPr>
          <w:rFonts w:cs="宋体"/>
          <w:b/>
          <w:bCs/>
          <w:sz w:val="18"/>
          <w:szCs w:val="18"/>
        </w:rPr>
      </w:pPr>
      <w:r>
        <w:rPr>
          <w:rFonts w:hint="eastAsia" w:cs="宋体"/>
          <w:b/>
          <w:bCs/>
          <w:sz w:val="18"/>
          <w:szCs w:val="18"/>
        </w:rPr>
        <w:t>结构专业</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73E283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27" w:hRule="exact"/>
        </w:trPr>
        <w:tc>
          <w:tcPr>
            <w:tcW w:w="397" w:type="dxa"/>
            <w:tcMar>
              <w:left w:w="0" w:type="dxa"/>
              <w:right w:w="0" w:type="dxa"/>
            </w:tcMar>
          </w:tcPr>
          <w:p w14:paraId="14E40EA9">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690B8C3F">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14A6E4D3">
      <w:pPr>
        <w:spacing w:line="240" w:lineRule="exact"/>
        <w:rPr>
          <w:rFonts w:ascii="黑体" w:eastAsia="黑体"/>
          <w:sz w:val="18"/>
          <w:szCs w:val="18"/>
        </w:rPr>
      </w:pPr>
      <w:r>
        <w:rPr>
          <w:rFonts w:ascii="黑体" w:eastAsia="黑体" w:cs="黑体"/>
          <w:sz w:val="18"/>
          <w:szCs w:val="18"/>
        </w:rPr>
        <w:t>4.1.2</w:t>
      </w:r>
      <w:r>
        <w:rPr>
          <w:rFonts w:hint="eastAsia" w:ascii="黑体" w:eastAsia="黑体" w:cs="黑体"/>
          <w:sz w:val="18"/>
          <w:szCs w:val="18"/>
        </w:rPr>
        <w:t>建筑结构应满足承载力和建筑使用功能要求。建筑外墙、屋面、门窗、幕墙及外保温等围护结构应满足安全、耐久和防护的要求。</w:t>
      </w:r>
    </w:p>
    <w:p w14:paraId="5A74A767">
      <w:pPr>
        <w:spacing w:line="240" w:lineRule="exact"/>
        <w:rPr>
          <w:rFonts w:ascii="宋体" w:hAnsi="宋体" w:cs="宋体"/>
          <w:sz w:val="18"/>
          <w:szCs w:val="18"/>
        </w:rPr>
      </w:pPr>
      <w:r>
        <w:rPr>
          <w:rFonts w:hint="eastAsia" w:ascii="宋体" w:hAnsi="宋体" w:cs="宋体"/>
          <w:sz w:val="18"/>
          <w:szCs w:val="18"/>
        </w:rPr>
        <w:t>技术措施说明：</w:t>
      </w:r>
      <w:r>
        <w:rPr>
          <w:rFonts w:ascii="Times New Roman" w:hAnsi="Times New Roman"/>
          <w:sz w:val="18"/>
          <w:szCs w:val="18"/>
        </w:rPr>
        <w:t>本项目铝合金</w:t>
      </w:r>
      <w:r>
        <w:rPr>
          <w:rFonts w:hint="eastAsia" w:ascii="Times New Roman" w:hAnsi="Times New Roman"/>
          <w:sz w:val="18"/>
          <w:szCs w:val="18"/>
        </w:rPr>
        <w:t>外</w:t>
      </w:r>
      <w:r>
        <w:rPr>
          <w:rFonts w:ascii="Times New Roman" w:hAnsi="Times New Roman"/>
          <w:sz w:val="18"/>
          <w:szCs w:val="18"/>
        </w:rPr>
        <w:t>门窗主型材主要受力部位基材截面最小实测壁厚分别不应小于2.2mm和1.8mm。</w:t>
      </w:r>
      <w:r>
        <w:rPr>
          <w:rFonts w:hint="eastAsia" w:ascii="宋体" w:hAnsi="宋体" w:cs="宋体"/>
          <w:sz w:val="18"/>
          <w:szCs w:val="18"/>
        </w:rPr>
        <w:t>窗框与窗洞之间用聚合物防水砂浆灌满密实，</w:t>
      </w:r>
      <w:r>
        <w:rPr>
          <w:rFonts w:ascii="宋体" w:hAnsi="宋体" w:cs="宋体"/>
          <w:sz w:val="18"/>
          <w:szCs w:val="18"/>
        </w:rPr>
        <w:t>与</w:t>
      </w:r>
      <w:r>
        <w:rPr>
          <w:rFonts w:hint="eastAsia" w:ascii="宋体" w:hAnsi="宋体" w:cs="宋体"/>
          <w:sz w:val="18"/>
          <w:szCs w:val="18"/>
        </w:rPr>
        <w:t>建筑</w:t>
      </w:r>
      <w:r>
        <w:rPr>
          <w:rFonts w:ascii="宋体" w:hAnsi="宋体" w:cs="宋体"/>
          <w:sz w:val="18"/>
          <w:szCs w:val="18"/>
        </w:rPr>
        <w:t>主体结构之间</w:t>
      </w:r>
      <w:r>
        <w:rPr>
          <w:rFonts w:hint="eastAsia" w:ascii="宋体" w:hAnsi="宋体" w:cs="宋体"/>
          <w:sz w:val="18"/>
          <w:szCs w:val="18"/>
        </w:rPr>
        <w:t>的</w:t>
      </w:r>
      <w:r>
        <w:rPr>
          <w:rFonts w:ascii="宋体" w:hAnsi="宋体" w:cs="宋体"/>
          <w:sz w:val="18"/>
          <w:szCs w:val="18"/>
        </w:rPr>
        <w:t>连接</w:t>
      </w:r>
      <w:r>
        <w:rPr>
          <w:rFonts w:hint="eastAsia" w:ascii="宋体" w:hAnsi="宋体" w:cs="宋体"/>
          <w:sz w:val="18"/>
          <w:szCs w:val="18"/>
        </w:rPr>
        <w:t>采用</w:t>
      </w:r>
      <w:r>
        <w:rPr>
          <w:rFonts w:ascii="宋体" w:hAnsi="宋体" w:cs="宋体"/>
          <w:sz w:val="18"/>
          <w:szCs w:val="18"/>
        </w:rPr>
        <w:t>预埋件连接</w:t>
      </w:r>
      <w:r>
        <w:rPr>
          <w:rFonts w:hint="eastAsia" w:ascii="宋体" w:hAnsi="宋体" w:cs="宋体"/>
          <w:sz w:val="18"/>
          <w:szCs w:val="18"/>
        </w:rPr>
        <w:t>，</w:t>
      </w:r>
      <w:r>
        <w:rPr>
          <w:rFonts w:ascii="宋体" w:hAnsi="宋体" w:cs="宋体"/>
          <w:sz w:val="18"/>
          <w:szCs w:val="18"/>
        </w:rPr>
        <w:t>满足</w:t>
      </w:r>
      <w:r>
        <w:rPr>
          <w:rFonts w:hint="eastAsia" w:ascii="宋体" w:hAnsi="宋体" w:cs="宋体"/>
          <w:sz w:val="18"/>
          <w:szCs w:val="18"/>
        </w:rPr>
        <w:t>《建筑结构可靠性设计</w:t>
      </w:r>
      <w:r>
        <w:rPr>
          <w:rFonts w:ascii="宋体" w:hAnsi="宋体" w:cs="宋体"/>
          <w:sz w:val="18"/>
          <w:szCs w:val="18"/>
        </w:rPr>
        <w:t>统一标准</w:t>
      </w:r>
      <w:r>
        <w:rPr>
          <w:rFonts w:hint="eastAsia" w:ascii="宋体" w:hAnsi="宋体" w:cs="宋体"/>
          <w:sz w:val="18"/>
          <w:szCs w:val="18"/>
        </w:rPr>
        <w:t>》的</w:t>
      </w:r>
      <w:r>
        <w:rPr>
          <w:rFonts w:ascii="宋体" w:hAnsi="宋体" w:cs="宋体"/>
          <w:sz w:val="18"/>
          <w:szCs w:val="18"/>
        </w:rPr>
        <w:t>相关要求，</w:t>
      </w:r>
      <w:r>
        <w:rPr>
          <w:rFonts w:hint="eastAsia" w:ascii="宋体" w:hAnsi="宋体" w:cs="宋体"/>
          <w:sz w:val="18"/>
          <w:szCs w:val="18"/>
        </w:rPr>
        <w:t>不</w:t>
      </w:r>
      <w:r>
        <w:rPr>
          <w:rFonts w:ascii="宋体" w:hAnsi="宋体" w:cs="宋体"/>
          <w:sz w:val="18"/>
          <w:szCs w:val="18"/>
        </w:rPr>
        <w:t>出现</w:t>
      </w:r>
      <w:r>
        <w:rPr>
          <w:rFonts w:hint="eastAsia" w:ascii="宋体" w:hAnsi="宋体" w:cs="宋体"/>
          <w:sz w:val="18"/>
          <w:szCs w:val="18"/>
        </w:rPr>
        <w:t>影响</w:t>
      </w:r>
      <w:r>
        <w:rPr>
          <w:rFonts w:ascii="宋体" w:hAnsi="宋体" w:cs="宋体"/>
          <w:sz w:val="18"/>
          <w:szCs w:val="18"/>
        </w:rPr>
        <w:t>承载力</w:t>
      </w:r>
      <w:r>
        <w:rPr>
          <w:rFonts w:hint="eastAsia" w:ascii="宋体" w:hAnsi="宋体" w:cs="宋体"/>
          <w:sz w:val="18"/>
          <w:szCs w:val="18"/>
        </w:rPr>
        <w:t>和正常</w:t>
      </w:r>
      <w:r>
        <w:rPr>
          <w:rFonts w:ascii="宋体" w:hAnsi="宋体" w:cs="宋体"/>
          <w:sz w:val="18"/>
          <w:szCs w:val="18"/>
        </w:rPr>
        <w:t>使用的材料性能</w:t>
      </w:r>
      <w:r>
        <w:rPr>
          <w:rFonts w:hint="eastAsia" w:ascii="宋体" w:hAnsi="宋体" w:cs="宋体"/>
          <w:sz w:val="18"/>
          <w:szCs w:val="18"/>
        </w:rPr>
        <w:t>劣化</w:t>
      </w:r>
      <w:r>
        <w:rPr>
          <w:rFonts w:ascii="宋体" w:hAnsi="宋体" w:cs="宋体"/>
          <w:sz w:val="18"/>
          <w:szCs w:val="18"/>
        </w:rPr>
        <w:t>、</w:t>
      </w:r>
      <w:r>
        <w:rPr>
          <w:rFonts w:hint="eastAsia" w:ascii="宋体" w:hAnsi="宋体" w:cs="宋体"/>
          <w:sz w:val="18"/>
          <w:szCs w:val="18"/>
        </w:rPr>
        <w:t>影响</w:t>
      </w:r>
      <w:r>
        <w:rPr>
          <w:rFonts w:ascii="宋体" w:hAnsi="宋体" w:cs="宋体"/>
          <w:sz w:val="18"/>
          <w:szCs w:val="18"/>
        </w:rPr>
        <w:t>耐久性</w:t>
      </w:r>
      <w:r>
        <w:rPr>
          <w:rFonts w:hint="eastAsia" w:ascii="宋体" w:hAnsi="宋体" w:cs="宋体"/>
          <w:sz w:val="18"/>
          <w:szCs w:val="18"/>
        </w:rPr>
        <w:t>的</w:t>
      </w:r>
      <w:r>
        <w:rPr>
          <w:rFonts w:ascii="宋体" w:hAnsi="宋体" w:cs="宋体"/>
          <w:sz w:val="18"/>
          <w:szCs w:val="18"/>
        </w:rPr>
        <w:t>裂缝、</w:t>
      </w:r>
      <w:r>
        <w:rPr>
          <w:rFonts w:hint="eastAsia" w:ascii="宋体" w:hAnsi="宋体" w:cs="宋体"/>
          <w:sz w:val="18"/>
          <w:szCs w:val="18"/>
        </w:rPr>
        <w:t>缺口、</w:t>
      </w:r>
      <w:r>
        <w:rPr>
          <w:rFonts w:ascii="宋体" w:hAnsi="宋体" w:cs="宋体"/>
          <w:sz w:val="18"/>
          <w:szCs w:val="18"/>
        </w:rPr>
        <w:t>削弱等</w:t>
      </w:r>
      <w:r>
        <w:rPr>
          <w:rFonts w:hint="eastAsia" w:ascii="宋体" w:hAnsi="宋体" w:cs="宋体"/>
          <w:sz w:val="18"/>
          <w:szCs w:val="18"/>
        </w:rPr>
        <w:t>，</w:t>
      </w:r>
      <w:r>
        <w:rPr>
          <w:rFonts w:ascii="宋体" w:hAnsi="宋体" w:cs="宋体"/>
          <w:sz w:val="18"/>
          <w:szCs w:val="18"/>
        </w:rPr>
        <w:t>不出现</w:t>
      </w:r>
      <w:r>
        <w:rPr>
          <w:rFonts w:hint="eastAsia" w:ascii="宋体" w:hAnsi="宋体" w:cs="宋体"/>
          <w:sz w:val="18"/>
          <w:szCs w:val="18"/>
        </w:rPr>
        <w:t>影响</w:t>
      </w:r>
      <w:r>
        <w:rPr>
          <w:rFonts w:ascii="宋体" w:hAnsi="宋体" w:cs="宋体"/>
          <w:sz w:val="18"/>
          <w:szCs w:val="18"/>
        </w:rPr>
        <w:t>耐久性的</w:t>
      </w:r>
      <w:r>
        <w:rPr>
          <w:rFonts w:hint="eastAsia" w:ascii="宋体" w:hAnsi="宋体" w:cs="宋体"/>
          <w:sz w:val="18"/>
          <w:szCs w:val="18"/>
        </w:rPr>
        <w:t>其他</w:t>
      </w:r>
      <w:r>
        <w:rPr>
          <w:rFonts w:ascii="宋体" w:hAnsi="宋体" w:cs="宋体"/>
          <w:sz w:val="18"/>
          <w:szCs w:val="18"/>
        </w:rPr>
        <w:t>特定状态。</w:t>
      </w:r>
      <w:r>
        <w:rPr>
          <w:rFonts w:hint="eastAsia" w:ascii="宋体" w:hAnsi="宋体" w:cs="宋体"/>
          <w:sz w:val="18"/>
          <w:szCs w:val="18"/>
        </w:rPr>
        <w:t>门窗预埋在墙和柱内的木（铁）件和所有木制品应作防腐防锈防白蚁处理；设置于外墙的外窗，设置防止窗扇向室外脱落的装置；屋面和外墙的施工和设计满足《建筑外墙防水工程技术规程》和《屋面工程技术规范》的要求，外墙采用防水砂浆，强度等级不低于M</w:t>
      </w:r>
      <w:r>
        <w:rPr>
          <w:rFonts w:ascii="宋体" w:hAnsi="宋体" w:cs="宋体"/>
          <w:sz w:val="18"/>
          <w:szCs w:val="18"/>
        </w:rPr>
        <w:t>7.5</w:t>
      </w:r>
      <w:r>
        <w:rPr>
          <w:rFonts w:hint="eastAsia" w:ascii="宋体" w:hAnsi="宋体" w:cs="宋体"/>
          <w:sz w:val="18"/>
          <w:szCs w:val="18"/>
        </w:rPr>
        <w:t>，与墙体基面粘合度不小于0.60</w:t>
      </w:r>
      <w:r>
        <w:rPr>
          <w:rFonts w:ascii="宋体" w:hAnsi="宋体" w:cs="宋体"/>
          <w:sz w:val="18"/>
          <w:szCs w:val="18"/>
        </w:rPr>
        <w:t>MP</w:t>
      </w:r>
      <w:r>
        <w:rPr>
          <w:rFonts w:hint="eastAsia" w:ascii="宋体" w:hAnsi="宋体" w:cs="宋体"/>
          <w:sz w:val="18"/>
          <w:szCs w:val="18"/>
        </w:rPr>
        <w:t>a，</w:t>
      </w:r>
      <w:r>
        <w:rPr>
          <w:rFonts w:ascii="Times New Roman" w:hAnsi="Times New Roman"/>
          <w:sz w:val="18"/>
          <w:szCs w:val="18"/>
        </w:rPr>
        <w:t>屋面设置2.0厚非固化橡胶沥青防水涂料+1.5厚自粘聚合物改性沥青防水卷材两道防水层</w:t>
      </w:r>
      <w:r>
        <w:rPr>
          <w:rFonts w:hint="eastAsia" w:ascii="Times New Roman" w:hAnsi="Times New Roman"/>
          <w:sz w:val="18"/>
          <w:szCs w:val="18"/>
        </w:rPr>
        <w:t>。</w:t>
      </w:r>
    </w:p>
    <w:p w14:paraId="5D0B652B">
      <w:pPr>
        <w:spacing w:line="240" w:lineRule="exact"/>
        <w:ind w:left="450" w:hanging="450" w:hangingChars="250"/>
        <w:rPr>
          <w:rFonts w:ascii="黑体" w:eastAsia="黑体"/>
          <w:sz w:val="18"/>
          <w:szCs w:val="18"/>
        </w:rPr>
      </w:pPr>
      <w:r>
        <w:rPr>
          <w:rFonts w:hint="eastAsia" w:ascii="宋体" w:hAnsi="宋体" w:cs="宋体"/>
          <w:sz w:val="18"/>
          <w:szCs w:val="18"/>
        </w:rPr>
        <w:t>证明材料：√结构荷载计算书；</w:t>
      </w:r>
      <w:r>
        <w:rPr>
          <w:rFonts w:ascii="宋体" w:hAnsi="宋体" w:cs="宋体"/>
          <w:sz w:val="18"/>
          <w:szCs w:val="18"/>
        </w:rPr>
        <w:t xml:space="preserve"> </w:t>
      </w:r>
      <w:r>
        <w:rPr>
          <w:rFonts w:hint="eastAsia" w:ascii="宋体" w:hAnsi="宋体" w:cs="宋体"/>
          <w:sz w:val="18"/>
          <w:szCs w:val="18"/>
        </w:rPr>
        <w:t>√设计图纸（建筑、</w:t>
      </w:r>
      <w:r>
        <w:rPr>
          <w:rFonts w:ascii="宋体" w:hAnsi="宋体" w:cs="宋体"/>
          <w:sz w:val="18"/>
          <w:szCs w:val="18"/>
        </w:rPr>
        <w:t>SM-01_建筑设计总说明</w:t>
      </w:r>
      <w:r>
        <w:rPr>
          <w:rFonts w:hint="eastAsia" w:ascii="宋体" w:hAnsi="宋体" w:cs="宋体"/>
          <w:sz w:val="18"/>
          <w:szCs w:val="18"/>
        </w:rPr>
        <w:t>）√设计图纸（结构、G-SM-01~02_结构总说明）√设计图纸（建筑、门窗大样</w:t>
      </w:r>
      <w:r>
        <w:rPr>
          <w:rFonts w:ascii="宋体" w:hAnsi="宋体" w:cs="宋体"/>
          <w:sz w:val="18"/>
          <w:szCs w:val="18"/>
        </w:rPr>
        <w:t>表</w:t>
      </w:r>
      <w:r>
        <w:rPr>
          <w:rFonts w:hint="eastAsia" w:ascii="宋体" w:hAnsi="宋体" w:cs="宋体"/>
          <w:sz w:val="18"/>
          <w:szCs w:val="18"/>
        </w:rPr>
        <w:t>）</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33F23A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53FBE9DC">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3683F650">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1AB5C6A2">
      <w:pPr>
        <w:spacing w:line="240" w:lineRule="exact"/>
        <w:rPr>
          <w:rFonts w:ascii="黑体" w:eastAsia="黑体"/>
          <w:sz w:val="18"/>
          <w:szCs w:val="18"/>
        </w:rPr>
      </w:pPr>
      <w:r>
        <w:rPr>
          <w:rFonts w:ascii="黑体" w:eastAsia="黑体" w:cs="黑体"/>
          <w:sz w:val="18"/>
          <w:szCs w:val="18"/>
        </w:rPr>
        <w:t>4.1.3</w:t>
      </w:r>
      <w:r>
        <w:rPr>
          <w:rFonts w:hint="eastAsia" w:ascii="黑体" w:eastAsia="黑体" w:cs="黑体"/>
          <w:sz w:val="18"/>
          <w:szCs w:val="18"/>
        </w:rPr>
        <w:t>外遮阳、太阳能设施、空调室外机位、外墙花池等外部设施应与建筑主体结构统一设计、施工，并应具备安装、检修与维护条件。</w:t>
      </w:r>
    </w:p>
    <w:p w14:paraId="137E9714">
      <w:pPr>
        <w:spacing w:line="240" w:lineRule="exact"/>
        <w:rPr>
          <w:rFonts w:ascii="宋体"/>
          <w:sz w:val="18"/>
          <w:szCs w:val="18"/>
        </w:rPr>
      </w:pPr>
      <w:r>
        <w:rPr>
          <w:rFonts w:hint="eastAsia" w:ascii="宋体" w:hAnsi="宋体" w:cs="宋体"/>
          <w:sz w:val="18"/>
          <w:szCs w:val="18"/>
        </w:rPr>
        <w:t>技术措施说明：本</w:t>
      </w:r>
      <w:r>
        <w:rPr>
          <w:rFonts w:ascii="宋体" w:hAnsi="宋体" w:cs="宋体"/>
          <w:sz w:val="18"/>
          <w:szCs w:val="18"/>
        </w:rPr>
        <w:t>项目太阳能</w:t>
      </w:r>
      <w:r>
        <w:rPr>
          <w:rFonts w:hint="eastAsia" w:ascii="宋体" w:hAnsi="宋体" w:cs="宋体"/>
          <w:sz w:val="18"/>
          <w:szCs w:val="18"/>
        </w:rPr>
        <w:t>光伏板构件设置于裙楼屋面开敞区，便于人员安装</w:t>
      </w:r>
      <w:r>
        <w:rPr>
          <w:rFonts w:hint="eastAsia" w:ascii="黑体" w:eastAsia="黑体" w:cs="黑体"/>
          <w:sz w:val="18"/>
          <w:szCs w:val="18"/>
        </w:rPr>
        <w:t>、</w:t>
      </w:r>
      <w:r>
        <w:rPr>
          <w:rFonts w:hint="eastAsia" w:ascii="宋体" w:hAnsi="宋体" w:cs="宋体"/>
          <w:sz w:val="18"/>
          <w:szCs w:val="18"/>
        </w:rPr>
        <w:t>检修与维护；外遮阳活动</w:t>
      </w:r>
      <w:r>
        <w:rPr>
          <w:rFonts w:ascii="宋体" w:hAnsi="宋体" w:cs="宋体"/>
          <w:sz w:val="18"/>
          <w:szCs w:val="18"/>
        </w:rPr>
        <w:t>卷帘</w:t>
      </w:r>
      <w:r>
        <w:rPr>
          <w:rFonts w:hint="eastAsia" w:ascii="宋体" w:hAnsi="宋体" w:cs="宋体"/>
          <w:sz w:val="18"/>
          <w:szCs w:val="18"/>
        </w:rPr>
        <w:t>或外遮阳百叶等外遮阳设施</w:t>
      </w:r>
      <w:r>
        <w:rPr>
          <w:rFonts w:ascii="宋体" w:hAnsi="宋体" w:cs="宋体"/>
          <w:sz w:val="18"/>
          <w:szCs w:val="18"/>
        </w:rPr>
        <w:t>与</w:t>
      </w:r>
      <w:r>
        <w:rPr>
          <w:rFonts w:hint="eastAsia" w:ascii="宋体" w:hAnsi="宋体" w:cs="宋体"/>
          <w:sz w:val="18"/>
          <w:szCs w:val="18"/>
        </w:rPr>
        <w:t>建筑</w:t>
      </w:r>
      <w:r>
        <w:rPr>
          <w:rFonts w:ascii="宋体" w:hAnsi="宋体" w:cs="宋体"/>
          <w:sz w:val="18"/>
          <w:szCs w:val="18"/>
        </w:rPr>
        <w:t>主体结构之间</w:t>
      </w:r>
      <w:r>
        <w:rPr>
          <w:rFonts w:hint="eastAsia" w:ascii="宋体" w:hAnsi="宋体" w:cs="宋体"/>
          <w:sz w:val="18"/>
          <w:szCs w:val="18"/>
        </w:rPr>
        <w:t>的</w:t>
      </w:r>
      <w:r>
        <w:rPr>
          <w:rFonts w:ascii="宋体" w:hAnsi="宋体" w:cs="宋体"/>
          <w:sz w:val="18"/>
          <w:szCs w:val="18"/>
        </w:rPr>
        <w:t>连接</w:t>
      </w:r>
      <w:r>
        <w:rPr>
          <w:rFonts w:hint="eastAsia" w:ascii="宋体" w:hAnsi="宋体" w:cs="宋体"/>
          <w:sz w:val="18"/>
          <w:szCs w:val="18"/>
        </w:rPr>
        <w:t>采用</w:t>
      </w:r>
      <w:r>
        <w:rPr>
          <w:rFonts w:ascii="宋体" w:hAnsi="宋体" w:cs="宋体"/>
          <w:sz w:val="18"/>
          <w:szCs w:val="18"/>
        </w:rPr>
        <w:t>预埋件连接</w:t>
      </w:r>
      <w:r>
        <w:rPr>
          <w:rFonts w:hint="eastAsia" w:ascii="宋体" w:hAnsi="宋体" w:cs="宋体"/>
          <w:sz w:val="18"/>
          <w:szCs w:val="18"/>
        </w:rPr>
        <w:t>，</w:t>
      </w:r>
      <w:r>
        <w:rPr>
          <w:rFonts w:ascii="宋体" w:hAnsi="宋体" w:cs="宋体"/>
          <w:sz w:val="18"/>
          <w:szCs w:val="18"/>
        </w:rPr>
        <w:t>满足</w:t>
      </w:r>
      <w:r>
        <w:rPr>
          <w:rFonts w:hint="eastAsia" w:ascii="宋体" w:hAnsi="宋体" w:cs="宋体"/>
          <w:sz w:val="18"/>
          <w:szCs w:val="18"/>
        </w:rPr>
        <w:t>《建筑结构可靠性设计</w:t>
      </w:r>
      <w:r>
        <w:rPr>
          <w:rFonts w:ascii="宋体" w:hAnsi="宋体" w:cs="宋体"/>
          <w:sz w:val="18"/>
          <w:szCs w:val="18"/>
        </w:rPr>
        <w:t>统一标准</w:t>
      </w:r>
      <w:r>
        <w:rPr>
          <w:rFonts w:hint="eastAsia" w:ascii="宋体" w:hAnsi="宋体" w:cs="宋体"/>
          <w:sz w:val="18"/>
          <w:szCs w:val="18"/>
        </w:rPr>
        <w:t>》的</w:t>
      </w:r>
      <w:r>
        <w:rPr>
          <w:rFonts w:ascii="宋体" w:hAnsi="宋体" w:cs="宋体"/>
          <w:sz w:val="18"/>
          <w:szCs w:val="18"/>
        </w:rPr>
        <w:t>相关要求，</w:t>
      </w:r>
      <w:r>
        <w:rPr>
          <w:rFonts w:hint="eastAsia" w:ascii="宋体" w:hAnsi="宋体" w:cs="宋体"/>
          <w:sz w:val="18"/>
          <w:szCs w:val="18"/>
        </w:rPr>
        <w:t>不</w:t>
      </w:r>
      <w:r>
        <w:rPr>
          <w:rFonts w:ascii="宋体" w:hAnsi="宋体" w:cs="宋体"/>
          <w:sz w:val="18"/>
          <w:szCs w:val="18"/>
        </w:rPr>
        <w:t>出现</w:t>
      </w:r>
      <w:r>
        <w:rPr>
          <w:rFonts w:hint="eastAsia" w:ascii="宋体" w:hAnsi="宋体" w:cs="宋体"/>
          <w:sz w:val="18"/>
          <w:szCs w:val="18"/>
        </w:rPr>
        <w:t>影响</w:t>
      </w:r>
      <w:r>
        <w:rPr>
          <w:rFonts w:ascii="宋体" w:hAnsi="宋体" w:cs="宋体"/>
          <w:sz w:val="18"/>
          <w:szCs w:val="18"/>
        </w:rPr>
        <w:t>承载力</w:t>
      </w:r>
      <w:r>
        <w:rPr>
          <w:rFonts w:hint="eastAsia" w:ascii="宋体" w:hAnsi="宋体" w:cs="宋体"/>
          <w:sz w:val="18"/>
          <w:szCs w:val="18"/>
        </w:rPr>
        <w:t>和正常</w:t>
      </w:r>
      <w:r>
        <w:rPr>
          <w:rFonts w:ascii="宋体" w:hAnsi="宋体" w:cs="宋体"/>
          <w:sz w:val="18"/>
          <w:szCs w:val="18"/>
        </w:rPr>
        <w:t>使用的材料性能</w:t>
      </w:r>
      <w:r>
        <w:rPr>
          <w:rFonts w:hint="eastAsia" w:ascii="宋体" w:hAnsi="宋体" w:cs="宋体"/>
          <w:sz w:val="18"/>
          <w:szCs w:val="18"/>
        </w:rPr>
        <w:t>劣化</w:t>
      </w:r>
      <w:r>
        <w:rPr>
          <w:rFonts w:ascii="宋体" w:hAnsi="宋体" w:cs="宋体"/>
          <w:sz w:val="18"/>
          <w:szCs w:val="18"/>
        </w:rPr>
        <w:t>、</w:t>
      </w:r>
      <w:r>
        <w:rPr>
          <w:rFonts w:hint="eastAsia" w:ascii="宋体" w:hAnsi="宋体" w:cs="宋体"/>
          <w:sz w:val="18"/>
          <w:szCs w:val="18"/>
        </w:rPr>
        <w:t>影响</w:t>
      </w:r>
      <w:r>
        <w:rPr>
          <w:rFonts w:ascii="宋体" w:hAnsi="宋体" w:cs="宋体"/>
          <w:sz w:val="18"/>
          <w:szCs w:val="18"/>
        </w:rPr>
        <w:t>耐久性</w:t>
      </w:r>
      <w:r>
        <w:rPr>
          <w:rFonts w:hint="eastAsia" w:ascii="宋体" w:hAnsi="宋体" w:cs="宋体"/>
          <w:sz w:val="18"/>
          <w:szCs w:val="18"/>
        </w:rPr>
        <w:t>的</w:t>
      </w:r>
      <w:r>
        <w:rPr>
          <w:rFonts w:ascii="宋体" w:hAnsi="宋体" w:cs="宋体"/>
          <w:sz w:val="18"/>
          <w:szCs w:val="18"/>
        </w:rPr>
        <w:t>裂缝、</w:t>
      </w:r>
      <w:r>
        <w:rPr>
          <w:rFonts w:hint="eastAsia" w:ascii="宋体" w:hAnsi="宋体" w:cs="宋体"/>
          <w:sz w:val="18"/>
          <w:szCs w:val="18"/>
        </w:rPr>
        <w:t>缺口、</w:t>
      </w:r>
      <w:r>
        <w:rPr>
          <w:rFonts w:ascii="宋体" w:hAnsi="宋体" w:cs="宋体"/>
          <w:sz w:val="18"/>
          <w:szCs w:val="18"/>
        </w:rPr>
        <w:t>削弱等</w:t>
      </w:r>
      <w:r>
        <w:rPr>
          <w:rFonts w:hint="eastAsia" w:ascii="宋体" w:hAnsi="宋体" w:cs="宋体"/>
          <w:sz w:val="18"/>
          <w:szCs w:val="18"/>
        </w:rPr>
        <w:t>，</w:t>
      </w:r>
      <w:r>
        <w:rPr>
          <w:rFonts w:ascii="宋体" w:hAnsi="宋体" w:cs="宋体"/>
          <w:sz w:val="18"/>
          <w:szCs w:val="18"/>
        </w:rPr>
        <w:t>不出现</w:t>
      </w:r>
      <w:r>
        <w:rPr>
          <w:rFonts w:hint="eastAsia" w:ascii="宋体" w:hAnsi="宋体" w:cs="宋体"/>
          <w:sz w:val="18"/>
          <w:szCs w:val="18"/>
        </w:rPr>
        <w:t>影响</w:t>
      </w:r>
      <w:r>
        <w:rPr>
          <w:rFonts w:ascii="宋体" w:hAnsi="宋体" w:cs="宋体"/>
          <w:sz w:val="18"/>
          <w:szCs w:val="18"/>
        </w:rPr>
        <w:t>耐久性的</w:t>
      </w:r>
      <w:r>
        <w:rPr>
          <w:rFonts w:hint="eastAsia" w:ascii="宋体" w:hAnsi="宋体" w:cs="宋体"/>
          <w:sz w:val="18"/>
          <w:szCs w:val="18"/>
        </w:rPr>
        <w:t>其他</w:t>
      </w:r>
      <w:r>
        <w:rPr>
          <w:rFonts w:ascii="宋体" w:hAnsi="宋体" w:cs="宋体"/>
          <w:sz w:val="18"/>
          <w:szCs w:val="18"/>
        </w:rPr>
        <w:t>特定状态。分体空调设置在</w:t>
      </w:r>
      <w:r>
        <w:rPr>
          <w:rFonts w:hint="eastAsia" w:ascii="宋体" w:hAnsi="宋体" w:cs="宋体"/>
          <w:sz w:val="18"/>
          <w:szCs w:val="18"/>
        </w:rPr>
        <w:t>室外专用</w:t>
      </w:r>
      <w:r>
        <w:rPr>
          <w:rFonts w:ascii="宋体" w:hAnsi="宋体" w:cs="宋体"/>
          <w:sz w:val="18"/>
          <w:szCs w:val="18"/>
        </w:rPr>
        <w:t>空调机位，</w:t>
      </w:r>
      <w:r>
        <w:rPr>
          <w:rFonts w:hint="eastAsia" w:ascii="宋体" w:hAnsi="宋体" w:cs="宋体"/>
          <w:sz w:val="18"/>
          <w:szCs w:val="18"/>
        </w:rPr>
        <w:t>承重</w:t>
      </w:r>
      <w:r>
        <w:rPr>
          <w:rFonts w:ascii="宋体" w:hAnsi="宋体" w:cs="宋体"/>
          <w:sz w:val="18"/>
          <w:szCs w:val="18"/>
        </w:rPr>
        <w:t>楼与主体结构一体化设计，</w:t>
      </w:r>
      <w:r>
        <w:rPr>
          <w:rFonts w:hint="eastAsia" w:ascii="宋体" w:hAnsi="宋体" w:cs="宋体"/>
          <w:sz w:val="18"/>
          <w:szCs w:val="18"/>
        </w:rPr>
        <w:t>且</w:t>
      </w:r>
      <w:r>
        <w:rPr>
          <w:rFonts w:ascii="宋体" w:hAnsi="宋体" w:cs="宋体"/>
          <w:sz w:val="18"/>
          <w:szCs w:val="18"/>
        </w:rPr>
        <w:t>满足</w:t>
      </w:r>
      <w:r>
        <w:rPr>
          <w:rFonts w:hint="eastAsia" w:ascii="宋体" w:hAnsi="宋体" w:cs="宋体"/>
          <w:sz w:val="18"/>
          <w:szCs w:val="18"/>
        </w:rPr>
        <w:t>分体空调</w:t>
      </w:r>
      <w:r>
        <w:rPr>
          <w:rFonts w:ascii="宋体" w:hAnsi="宋体" w:cs="宋体"/>
          <w:sz w:val="18"/>
          <w:szCs w:val="18"/>
        </w:rPr>
        <w:t>的容量机型安装要求，</w:t>
      </w:r>
      <w:r>
        <w:rPr>
          <w:rFonts w:hint="eastAsia" w:ascii="宋体" w:hAnsi="宋体" w:cs="宋体"/>
          <w:sz w:val="18"/>
          <w:szCs w:val="18"/>
        </w:rPr>
        <w:t>未来</w:t>
      </w:r>
      <w:r>
        <w:rPr>
          <w:rFonts w:ascii="宋体" w:hAnsi="宋体" w:cs="宋体"/>
          <w:sz w:val="18"/>
          <w:szCs w:val="18"/>
        </w:rPr>
        <w:t>检修通过</w:t>
      </w:r>
      <w:r>
        <w:rPr>
          <w:rFonts w:hint="eastAsia" w:ascii="宋体" w:hAnsi="宋体" w:cs="宋体"/>
          <w:sz w:val="18"/>
          <w:szCs w:val="18"/>
        </w:rPr>
        <w:t>飘窗</w:t>
      </w:r>
      <w:r>
        <w:rPr>
          <w:rFonts w:ascii="宋体" w:hAnsi="宋体" w:cs="宋体"/>
          <w:sz w:val="18"/>
          <w:szCs w:val="18"/>
        </w:rPr>
        <w:t>的开启扇可实现</w:t>
      </w:r>
      <w:r>
        <w:rPr>
          <w:rFonts w:hint="eastAsia" w:ascii="宋体" w:hAnsi="宋体" w:cs="宋体"/>
          <w:sz w:val="18"/>
          <w:szCs w:val="18"/>
        </w:rPr>
        <w:t>安装</w:t>
      </w:r>
      <w:r>
        <w:rPr>
          <w:rFonts w:ascii="宋体" w:hAnsi="宋体" w:cs="宋体"/>
          <w:sz w:val="18"/>
          <w:szCs w:val="18"/>
        </w:rPr>
        <w:t>、检修</w:t>
      </w:r>
      <w:r>
        <w:rPr>
          <w:rFonts w:hint="eastAsia" w:ascii="宋体" w:hAnsi="宋体" w:cs="宋体"/>
          <w:sz w:val="18"/>
          <w:szCs w:val="18"/>
        </w:rPr>
        <w:t>操作</w:t>
      </w:r>
      <w:r>
        <w:rPr>
          <w:rFonts w:ascii="宋体" w:hAnsi="宋体" w:cs="宋体"/>
          <w:sz w:val="18"/>
          <w:szCs w:val="18"/>
        </w:rPr>
        <w:t>。</w:t>
      </w:r>
    </w:p>
    <w:p w14:paraId="7EB6912A">
      <w:pPr>
        <w:spacing w:line="240" w:lineRule="exact"/>
        <w:rPr>
          <w:rFonts w:ascii="黑体" w:eastAsia="黑体"/>
          <w:sz w:val="18"/>
          <w:szCs w:val="18"/>
        </w:rPr>
      </w:pPr>
      <w:r>
        <w:rPr>
          <w:rFonts w:hint="eastAsia" w:ascii="宋体" w:hAnsi="宋体" w:cs="宋体"/>
          <w:sz w:val="18"/>
          <w:szCs w:val="18"/>
        </w:rPr>
        <w:t>证明材料：</w:t>
      </w:r>
      <w:r>
        <w:rPr>
          <w:rFonts w:ascii="宋体" w:hAnsi="宋体" w:cs="宋体"/>
          <w:sz w:val="18"/>
          <w:szCs w:val="18"/>
        </w:rPr>
        <w:t xml:space="preserve"> </w:t>
      </w:r>
      <w:r>
        <w:rPr>
          <w:rFonts w:hint="eastAsia" w:ascii="宋体" w:hAnsi="宋体" w:cs="宋体"/>
          <w:sz w:val="18"/>
          <w:szCs w:val="18"/>
        </w:rPr>
        <w:t>√设计图纸（建筑、通用大样图，墙身</w:t>
      </w:r>
      <w:r>
        <w:rPr>
          <w:rFonts w:ascii="宋体" w:hAnsi="宋体" w:cs="宋体"/>
          <w:sz w:val="18"/>
          <w:szCs w:val="18"/>
        </w:rPr>
        <w:t>大样图</w:t>
      </w:r>
      <w:r>
        <w:rPr>
          <w:rFonts w:hint="eastAsia" w:ascii="宋体" w:hAnsi="宋体" w:cs="宋体"/>
          <w:sz w:val="18"/>
          <w:szCs w:val="18"/>
        </w:rPr>
        <w:t>）；√设计图纸（结构、墙身大样图）；</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1ED975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6BC574A0">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10AA80AF">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006701D7">
      <w:pPr>
        <w:spacing w:line="240" w:lineRule="exact"/>
        <w:rPr>
          <w:rFonts w:ascii="黑体" w:eastAsia="黑体"/>
          <w:sz w:val="18"/>
          <w:szCs w:val="18"/>
        </w:rPr>
      </w:pPr>
      <w:r>
        <w:rPr>
          <w:rFonts w:ascii="黑体" w:eastAsia="黑体" w:cs="黑体"/>
          <w:sz w:val="18"/>
          <w:szCs w:val="18"/>
        </w:rPr>
        <w:t>4.1.4</w:t>
      </w:r>
      <w:r>
        <w:rPr>
          <w:rFonts w:hint="eastAsia" w:ascii="黑体" w:eastAsia="黑体" w:cs="黑体"/>
          <w:sz w:val="18"/>
          <w:szCs w:val="18"/>
        </w:rPr>
        <w:t>建筑内部的非结构构件、设备及附属设施等应连接牢固并能适应主体结构变形。</w:t>
      </w:r>
    </w:p>
    <w:p w14:paraId="144FD79F">
      <w:pPr>
        <w:autoSpaceDE w:val="0"/>
        <w:autoSpaceDN w:val="0"/>
        <w:adjustRightInd w:val="0"/>
        <w:spacing w:line="240" w:lineRule="exact"/>
        <w:jc w:val="left"/>
        <w:rPr>
          <w:rFonts w:ascii="宋体" w:hAnsi="宋体" w:cs="宋体"/>
          <w:sz w:val="18"/>
          <w:szCs w:val="18"/>
        </w:rPr>
      </w:pPr>
      <w:r>
        <w:rPr>
          <w:rFonts w:hint="eastAsia" w:ascii="宋体" w:hAnsi="宋体" w:cs="宋体"/>
          <w:sz w:val="18"/>
          <w:szCs w:val="18"/>
        </w:rPr>
        <w:t>技术措施说明：内填充墙高厚比应满足稳定性计算要求；楼屋面下机电设备的吊杆及连接满足吊挂设备的承载力要求；墙上固定吊柜与墙体连接可靠，连接锚栓满足吊柜预期极限承载能力的要求；电梯与主体结构连接可靠，并满足安全使用要求。设备、设施等采用机械固定、焊接、预埋等牢固性构件连接方式与建筑主体结构可靠连接，变形协调，</w:t>
      </w:r>
      <w:r>
        <w:rPr>
          <w:rFonts w:ascii="宋体" w:hAnsi="宋体" w:cs="宋体"/>
          <w:sz w:val="18"/>
          <w:szCs w:val="18"/>
        </w:rPr>
        <w:t>不得采用膨胀螺栓、捆绑及支架的方式</w:t>
      </w:r>
      <w:r>
        <w:rPr>
          <w:rFonts w:hint="eastAsia" w:ascii="宋体" w:hAnsi="宋体" w:cs="宋体"/>
          <w:sz w:val="18"/>
          <w:szCs w:val="18"/>
        </w:rPr>
        <w:t>，防止由于个别构件破坏引起连续性破坏或倒塌，或者因建筑主体变形过大而影响设备设施的正常运行。构造柱设置原则</w:t>
      </w:r>
      <w:r>
        <w:rPr>
          <w:rFonts w:ascii="宋体" w:hAnsi="宋体" w:cs="宋体"/>
          <w:sz w:val="18"/>
          <w:szCs w:val="18"/>
        </w:rPr>
        <w:t>:A.</w:t>
      </w:r>
      <w:r>
        <w:rPr>
          <w:rFonts w:hint="eastAsia" w:ascii="宋体" w:hAnsi="宋体" w:cs="宋体"/>
          <w:sz w:val="18"/>
          <w:szCs w:val="18"/>
        </w:rPr>
        <w:t>填充墙长超过</w:t>
      </w:r>
      <w:r>
        <w:rPr>
          <w:rFonts w:ascii="宋体" w:hAnsi="宋体" w:cs="宋体"/>
          <w:sz w:val="18"/>
          <w:szCs w:val="18"/>
        </w:rPr>
        <w:t>5m</w:t>
      </w:r>
      <w:r>
        <w:rPr>
          <w:rFonts w:hint="eastAsia" w:ascii="宋体" w:hAnsi="宋体" w:cs="宋体"/>
          <w:sz w:val="18"/>
          <w:szCs w:val="18"/>
        </w:rPr>
        <w:t>时。</w:t>
      </w:r>
      <w:r>
        <w:rPr>
          <w:rFonts w:ascii="宋体" w:hAnsi="宋体" w:cs="宋体"/>
          <w:sz w:val="18"/>
          <w:szCs w:val="18"/>
        </w:rPr>
        <w:t>B.</w:t>
      </w:r>
      <w:r>
        <w:rPr>
          <w:rFonts w:hint="eastAsia" w:ascii="宋体" w:hAnsi="宋体" w:cs="宋体"/>
          <w:sz w:val="18"/>
          <w:szCs w:val="18"/>
        </w:rPr>
        <w:t>宽度超过</w:t>
      </w:r>
      <w:r>
        <w:rPr>
          <w:rFonts w:ascii="宋体" w:hAnsi="宋体" w:cs="宋体"/>
          <w:sz w:val="18"/>
          <w:szCs w:val="18"/>
        </w:rPr>
        <w:t>2.0m</w:t>
      </w:r>
      <w:r>
        <w:rPr>
          <w:rFonts w:hint="eastAsia" w:ascii="宋体" w:hAnsi="宋体" w:cs="宋体"/>
          <w:sz w:val="18"/>
          <w:szCs w:val="18"/>
        </w:rPr>
        <w:t>门窗洞口两侧。以及长度超过</w:t>
      </w:r>
      <w:r>
        <w:rPr>
          <w:rFonts w:ascii="宋体" w:hAnsi="宋体" w:cs="宋体"/>
          <w:sz w:val="18"/>
          <w:szCs w:val="18"/>
        </w:rPr>
        <w:t>2.5m</w:t>
      </w:r>
      <w:r>
        <w:rPr>
          <w:rFonts w:hint="eastAsia" w:ascii="宋体" w:hAnsi="宋体" w:cs="宋体"/>
          <w:sz w:val="18"/>
          <w:szCs w:val="18"/>
        </w:rPr>
        <w:t>独立墙体端部。</w:t>
      </w:r>
      <w:r>
        <w:rPr>
          <w:rFonts w:ascii="宋体" w:hAnsi="宋体" w:cs="宋体"/>
          <w:sz w:val="18"/>
          <w:szCs w:val="18"/>
        </w:rPr>
        <w:t>C.</w:t>
      </w:r>
      <w:r>
        <w:rPr>
          <w:rFonts w:hint="eastAsia" w:ascii="宋体" w:hAnsi="宋体" w:cs="宋体"/>
          <w:sz w:val="18"/>
          <w:szCs w:val="18"/>
        </w:rPr>
        <w:t>墙长超过层高且端部无砼柱时，应在墙端设置构造柱。</w:t>
      </w:r>
      <w:r>
        <w:rPr>
          <w:rFonts w:ascii="宋体" w:hAnsi="宋体" w:cs="宋体"/>
          <w:sz w:val="18"/>
          <w:szCs w:val="18"/>
        </w:rPr>
        <w:t>D.</w:t>
      </w:r>
      <w:r>
        <w:rPr>
          <w:rFonts w:hint="eastAsia" w:ascii="宋体" w:hAnsi="宋体" w:cs="宋体"/>
          <w:sz w:val="18"/>
          <w:szCs w:val="18"/>
        </w:rPr>
        <w:t>外挑单片墙时墙端部。</w:t>
      </w:r>
      <w:r>
        <w:rPr>
          <w:rFonts w:ascii="宋体" w:hAnsi="宋体" w:cs="宋体"/>
          <w:sz w:val="18"/>
          <w:szCs w:val="18"/>
        </w:rPr>
        <w:t>E.</w:t>
      </w:r>
      <w:r>
        <w:rPr>
          <w:rFonts w:hint="eastAsia" w:ascii="宋体" w:hAnsi="宋体" w:cs="宋体"/>
          <w:sz w:val="18"/>
          <w:szCs w:val="18"/>
        </w:rPr>
        <w:t>悬臂梁</w:t>
      </w:r>
      <w:r>
        <w:rPr>
          <w:rFonts w:ascii="宋体" w:hAnsi="宋体" w:cs="宋体"/>
          <w:sz w:val="18"/>
          <w:szCs w:val="18"/>
        </w:rPr>
        <w:t>(</w:t>
      </w:r>
      <w:r>
        <w:rPr>
          <w:rFonts w:hint="eastAsia" w:ascii="宋体" w:hAnsi="宋体" w:cs="宋体"/>
          <w:sz w:val="18"/>
          <w:szCs w:val="18"/>
        </w:rPr>
        <w:t>板</w:t>
      </w:r>
      <w:r>
        <w:rPr>
          <w:rFonts w:ascii="宋体" w:hAnsi="宋体" w:cs="宋体"/>
          <w:sz w:val="18"/>
          <w:szCs w:val="18"/>
        </w:rPr>
        <w:t>)</w:t>
      </w:r>
      <w:r>
        <w:rPr>
          <w:rFonts w:hint="eastAsia" w:ascii="宋体" w:hAnsi="宋体" w:cs="宋体"/>
          <w:sz w:val="18"/>
          <w:szCs w:val="18"/>
        </w:rPr>
        <w:t>上的填充墙</w:t>
      </w:r>
      <w:r>
        <w:rPr>
          <w:rFonts w:ascii="宋体" w:hAnsi="宋体" w:cs="宋体"/>
          <w:sz w:val="18"/>
          <w:szCs w:val="18"/>
        </w:rPr>
        <w:t>@3m</w:t>
      </w:r>
      <w:r>
        <w:rPr>
          <w:rFonts w:hint="eastAsia" w:ascii="宋体" w:hAnsi="宋体" w:cs="宋体"/>
          <w:sz w:val="18"/>
          <w:szCs w:val="18"/>
        </w:rPr>
        <w:t>。楼梯间及人流通道采用砌体填充墙时，应设置间距不大于层高且不大于</w:t>
      </w:r>
      <w:r>
        <w:rPr>
          <w:rFonts w:ascii="宋体" w:hAnsi="宋体" w:cs="宋体"/>
          <w:sz w:val="18"/>
          <w:szCs w:val="18"/>
        </w:rPr>
        <w:t>4m</w:t>
      </w:r>
      <w:r>
        <w:rPr>
          <w:rFonts w:hint="eastAsia" w:ascii="宋体" w:hAnsi="宋体" w:cs="宋体"/>
          <w:sz w:val="18"/>
          <w:szCs w:val="18"/>
        </w:rPr>
        <w:t>的钢筋混凝土构造柱，并采用钢丝网砂浆面层加强。墙长大于</w:t>
      </w:r>
      <w:r>
        <w:rPr>
          <w:rFonts w:ascii="宋体" w:hAnsi="宋体" w:cs="宋体"/>
          <w:sz w:val="18"/>
          <w:szCs w:val="18"/>
        </w:rPr>
        <w:t>5m</w:t>
      </w:r>
      <w:r>
        <w:rPr>
          <w:rFonts w:hint="eastAsia" w:ascii="宋体" w:hAnsi="宋体" w:cs="宋体"/>
          <w:sz w:val="18"/>
          <w:szCs w:val="18"/>
        </w:rPr>
        <w:t>时，墙顶与梁宜有拉结，如图十所示施工。墙高超过</w:t>
      </w:r>
      <w:r>
        <w:rPr>
          <w:rFonts w:ascii="宋体" w:hAnsi="宋体" w:cs="宋体"/>
          <w:sz w:val="18"/>
          <w:szCs w:val="18"/>
        </w:rPr>
        <w:t>4m</w:t>
      </w:r>
      <w:r>
        <w:rPr>
          <w:rFonts w:hint="eastAsia" w:ascii="宋体" w:hAnsi="宋体" w:cs="宋体"/>
          <w:sz w:val="18"/>
          <w:szCs w:val="18"/>
        </w:rPr>
        <w:t>时，墙体半高宜设置与柱连接，且沿墙全长贯通的钢筋混凝土水平系（拉）梁。电梯井壁为砌体结构时，其井壁应设置构造梁、柱。</w:t>
      </w:r>
    </w:p>
    <w:p w14:paraId="2ECDD004">
      <w:pPr>
        <w:spacing w:line="240" w:lineRule="exact"/>
        <w:rPr>
          <w:rFonts w:ascii="宋体" w:cs="宋体"/>
          <w:sz w:val="18"/>
          <w:szCs w:val="18"/>
        </w:rPr>
      </w:pPr>
      <w:r>
        <w:rPr>
          <w:rFonts w:hint="eastAsia" w:ascii="宋体" w:hAnsi="宋体" w:cs="宋体"/>
          <w:sz w:val="18"/>
          <w:szCs w:val="18"/>
        </w:rPr>
        <w:t>证明材料：√</w:t>
      </w:r>
      <w:r>
        <w:rPr>
          <w:rFonts w:hint="eastAsia" w:ascii="宋体" w:hAnsi="宋体"/>
          <w:sz w:val="18"/>
          <w:szCs w:val="18"/>
        </w:rPr>
        <w:t>关键连接构件计算书;</w:t>
      </w:r>
      <w:r>
        <w:rPr>
          <w:rFonts w:hint="eastAsia" w:ascii="宋体" w:hAnsi="宋体" w:cs="宋体"/>
          <w:sz w:val="18"/>
          <w:szCs w:val="18"/>
        </w:rPr>
        <w:t>√设计图纸（结构</w:t>
      </w:r>
      <w:r>
        <w:rPr>
          <w:rFonts w:ascii="宋体" w:hAnsi="宋体" w:cs="宋体"/>
          <w:sz w:val="18"/>
          <w:szCs w:val="18"/>
        </w:rPr>
        <w:t xml:space="preserve">、G-ZSM-01~02 </w:t>
      </w:r>
      <w:r>
        <w:rPr>
          <w:rFonts w:hint="eastAsia" w:ascii="宋体" w:hAnsi="宋体" w:cs="宋体"/>
          <w:sz w:val="18"/>
          <w:szCs w:val="18"/>
        </w:rPr>
        <w:t>结构总说明）</w:t>
      </w:r>
    </w:p>
    <w:p w14:paraId="11AB8733">
      <w:pPr>
        <w:spacing w:line="240" w:lineRule="exact"/>
        <w:jc w:val="center"/>
        <w:rPr>
          <w:rFonts w:cs="宋体"/>
          <w:b/>
          <w:bCs/>
          <w:sz w:val="18"/>
          <w:szCs w:val="18"/>
        </w:rPr>
      </w:pPr>
    </w:p>
    <w:p w14:paraId="047B4754">
      <w:pPr>
        <w:spacing w:line="240" w:lineRule="exact"/>
        <w:jc w:val="center"/>
        <w:outlineLvl w:val="2"/>
        <w:rPr>
          <w:rFonts w:cs="宋体"/>
          <w:b/>
          <w:bCs/>
          <w:sz w:val="18"/>
          <w:szCs w:val="18"/>
        </w:rPr>
      </w:pPr>
      <w:r>
        <w:rPr>
          <w:rFonts w:hint="eastAsia" w:cs="宋体"/>
          <w:b/>
          <w:bCs/>
          <w:sz w:val="18"/>
          <w:szCs w:val="18"/>
        </w:rPr>
        <w:t>自选说明内容（评分项）</w:t>
      </w:r>
    </w:p>
    <w:p w14:paraId="36C6B501">
      <w:pPr>
        <w:spacing w:line="240" w:lineRule="exact"/>
        <w:jc w:val="center"/>
        <w:rPr>
          <w:b/>
          <w:bCs/>
          <w:sz w:val="18"/>
          <w:szCs w:val="18"/>
        </w:rPr>
      </w:pPr>
    </w:p>
    <w:tbl>
      <w:tblPr>
        <w:tblStyle w:val="12"/>
        <w:tblW w:w="864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4"/>
        <w:gridCol w:w="864"/>
        <w:gridCol w:w="864"/>
        <w:gridCol w:w="865"/>
        <w:gridCol w:w="864"/>
        <w:gridCol w:w="864"/>
        <w:gridCol w:w="865"/>
        <w:gridCol w:w="864"/>
        <w:gridCol w:w="864"/>
        <w:gridCol w:w="865"/>
      </w:tblGrid>
      <w:tr w14:paraId="177066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864" w:type="dxa"/>
            <w:vAlign w:val="center"/>
          </w:tcPr>
          <w:p w14:paraId="6E6DC0F6">
            <w:pPr>
              <w:spacing w:line="240" w:lineRule="exact"/>
              <w:jc w:val="center"/>
              <w:rPr>
                <w:rFonts w:cs="Calibri"/>
                <w:sz w:val="18"/>
                <w:szCs w:val="18"/>
              </w:rPr>
            </w:pPr>
            <w:r>
              <w:rPr>
                <w:rFonts w:hint="eastAsia" w:cs="Calibri"/>
                <w:sz w:val="18"/>
                <w:szCs w:val="18"/>
              </w:rPr>
              <w:t>条文</w:t>
            </w:r>
          </w:p>
        </w:tc>
        <w:tc>
          <w:tcPr>
            <w:tcW w:w="864" w:type="dxa"/>
            <w:vAlign w:val="center"/>
          </w:tcPr>
          <w:p w14:paraId="748372BF">
            <w:pPr>
              <w:spacing w:line="240" w:lineRule="exact"/>
              <w:jc w:val="center"/>
              <w:rPr>
                <w:rFonts w:cs="Calibri"/>
                <w:sz w:val="18"/>
                <w:szCs w:val="18"/>
              </w:rPr>
            </w:pPr>
            <w:r>
              <w:rPr>
                <w:rFonts w:cs="Calibri"/>
                <w:sz w:val="18"/>
                <w:szCs w:val="18"/>
              </w:rPr>
              <w:t>4.2.1</w:t>
            </w:r>
          </w:p>
        </w:tc>
        <w:tc>
          <w:tcPr>
            <w:tcW w:w="864" w:type="dxa"/>
            <w:vAlign w:val="center"/>
          </w:tcPr>
          <w:p w14:paraId="74C5DD09">
            <w:pPr>
              <w:spacing w:line="240" w:lineRule="exact"/>
              <w:jc w:val="center"/>
              <w:rPr>
                <w:rFonts w:cs="Calibri"/>
                <w:sz w:val="18"/>
                <w:szCs w:val="18"/>
              </w:rPr>
            </w:pPr>
            <w:r>
              <w:rPr>
                <w:rFonts w:cs="Calibri"/>
                <w:sz w:val="18"/>
                <w:szCs w:val="18"/>
              </w:rPr>
              <w:t>4.2.2</w:t>
            </w:r>
          </w:p>
        </w:tc>
        <w:tc>
          <w:tcPr>
            <w:tcW w:w="865" w:type="dxa"/>
            <w:vAlign w:val="center"/>
          </w:tcPr>
          <w:p w14:paraId="5232B00F">
            <w:pPr>
              <w:spacing w:line="240" w:lineRule="exact"/>
              <w:jc w:val="center"/>
              <w:rPr>
                <w:rFonts w:cs="Calibri"/>
                <w:sz w:val="18"/>
                <w:szCs w:val="18"/>
              </w:rPr>
            </w:pPr>
            <w:r>
              <w:rPr>
                <w:rFonts w:cs="Calibri"/>
                <w:sz w:val="18"/>
                <w:szCs w:val="18"/>
              </w:rPr>
              <w:t>4.2.3</w:t>
            </w:r>
          </w:p>
        </w:tc>
        <w:tc>
          <w:tcPr>
            <w:tcW w:w="864" w:type="dxa"/>
            <w:vAlign w:val="center"/>
          </w:tcPr>
          <w:p w14:paraId="1A1EFCFD">
            <w:pPr>
              <w:spacing w:line="240" w:lineRule="exact"/>
              <w:jc w:val="center"/>
              <w:rPr>
                <w:rFonts w:cs="Calibri"/>
                <w:sz w:val="18"/>
                <w:szCs w:val="18"/>
              </w:rPr>
            </w:pPr>
            <w:r>
              <w:rPr>
                <w:rFonts w:cs="Calibri"/>
                <w:sz w:val="18"/>
                <w:szCs w:val="18"/>
              </w:rPr>
              <w:t>4.2.4</w:t>
            </w:r>
          </w:p>
        </w:tc>
        <w:tc>
          <w:tcPr>
            <w:tcW w:w="864" w:type="dxa"/>
            <w:vAlign w:val="center"/>
          </w:tcPr>
          <w:p w14:paraId="4D93ADD4">
            <w:pPr>
              <w:spacing w:line="240" w:lineRule="exact"/>
              <w:jc w:val="center"/>
              <w:rPr>
                <w:rFonts w:cs="Calibri"/>
                <w:sz w:val="18"/>
                <w:szCs w:val="18"/>
              </w:rPr>
            </w:pPr>
            <w:r>
              <w:rPr>
                <w:rFonts w:cs="Calibri"/>
                <w:sz w:val="18"/>
                <w:szCs w:val="18"/>
              </w:rPr>
              <w:t>4.2.5</w:t>
            </w:r>
          </w:p>
        </w:tc>
        <w:tc>
          <w:tcPr>
            <w:tcW w:w="865" w:type="dxa"/>
            <w:vAlign w:val="center"/>
          </w:tcPr>
          <w:p w14:paraId="14E131C6">
            <w:pPr>
              <w:spacing w:line="240" w:lineRule="exact"/>
              <w:jc w:val="center"/>
              <w:rPr>
                <w:rFonts w:cs="Calibri"/>
                <w:sz w:val="18"/>
                <w:szCs w:val="18"/>
              </w:rPr>
            </w:pPr>
            <w:r>
              <w:rPr>
                <w:rFonts w:cs="Calibri"/>
                <w:sz w:val="18"/>
                <w:szCs w:val="18"/>
              </w:rPr>
              <w:t>4.2.6</w:t>
            </w:r>
          </w:p>
        </w:tc>
        <w:tc>
          <w:tcPr>
            <w:tcW w:w="864" w:type="dxa"/>
            <w:vAlign w:val="center"/>
          </w:tcPr>
          <w:p w14:paraId="3DB76C23">
            <w:pPr>
              <w:spacing w:line="240" w:lineRule="exact"/>
              <w:jc w:val="center"/>
              <w:rPr>
                <w:rFonts w:cs="Calibri"/>
                <w:sz w:val="18"/>
                <w:szCs w:val="18"/>
              </w:rPr>
            </w:pPr>
            <w:r>
              <w:rPr>
                <w:rFonts w:cs="Calibri"/>
                <w:sz w:val="18"/>
                <w:szCs w:val="18"/>
              </w:rPr>
              <w:t>4.2.7</w:t>
            </w:r>
          </w:p>
        </w:tc>
        <w:tc>
          <w:tcPr>
            <w:tcW w:w="864" w:type="dxa"/>
            <w:vAlign w:val="center"/>
          </w:tcPr>
          <w:p w14:paraId="0B0D800E">
            <w:pPr>
              <w:spacing w:line="240" w:lineRule="exact"/>
              <w:jc w:val="center"/>
              <w:rPr>
                <w:rFonts w:cs="Calibri"/>
                <w:sz w:val="18"/>
                <w:szCs w:val="18"/>
              </w:rPr>
            </w:pPr>
            <w:r>
              <w:rPr>
                <w:rFonts w:cs="Calibri"/>
                <w:sz w:val="18"/>
                <w:szCs w:val="18"/>
              </w:rPr>
              <w:t>4.2.8</w:t>
            </w:r>
          </w:p>
        </w:tc>
        <w:tc>
          <w:tcPr>
            <w:tcW w:w="865" w:type="dxa"/>
            <w:vAlign w:val="center"/>
          </w:tcPr>
          <w:p w14:paraId="33CE1806">
            <w:pPr>
              <w:spacing w:line="240" w:lineRule="exact"/>
              <w:jc w:val="center"/>
              <w:rPr>
                <w:rFonts w:cs="Calibri"/>
                <w:sz w:val="18"/>
                <w:szCs w:val="18"/>
              </w:rPr>
            </w:pPr>
            <w:r>
              <w:rPr>
                <w:rFonts w:cs="Calibri"/>
                <w:sz w:val="18"/>
                <w:szCs w:val="18"/>
              </w:rPr>
              <w:t>4.2.9</w:t>
            </w:r>
          </w:p>
        </w:tc>
      </w:tr>
      <w:tr w14:paraId="49174B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864" w:type="dxa"/>
            <w:vAlign w:val="center"/>
          </w:tcPr>
          <w:p w14:paraId="77C50C54">
            <w:pPr>
              <w:spacing w:line="240" w:lineRule="exact"/>
              <w:jc w:val="center"/>
              <w:rPr>
                <w:rFonts w:cs="Calibri"/>
                <w:sz w:val="18"/>
                <w:szCs w:val="18"/>
              </w:rPr>
            </w:pPr>
            <w:r>
              <w:rPr>
                <w:rFonts w:hint="eastAsia" w:cs="Calibri"/>
                <w:sz w:val="18"/>
                <w:szCs w:val="18"/>
              </w:rPr>
              <w:t>总分</w:t>
            </w:r>
          </w:p>
        </w:tc>
        <w:tc>
          <w:tcPr>
            <w:tcW w:w="864" w:type="dxa"/>
            <w:vAlign w:val="center"/>
          </w:tcPr>
          <w:p w14:paraId="05CE4440">
            <w:pPr>
              <w:spacing w:line="240" w:lineRule="exact"/>
              <w:jc w:val="center"/>
              <w:rPr>
                <w:rFonts w:cs="Calibri"/>
                <w:sz w:val="18"/>
                <w:szCs w:val="18"/>
              </w:rPr>
            </w:pPr>
            <w:r>
              <w:rPr>
                <w:rFonts w:cs="Calibri"/>
                <w:sz w:val="18"/>
                <w:szCs w:val="18"/>
              </w:rPr>
              <w:t>10</w:t>
            </w:r>
          </w:p>
        </w:tc>
        <w:tc>
          <w:tcPr>
            <w:tcW w:w="864" w:type="dxa"/>
            <w:vAlign w:val="center"/>
          </w:tcPr>
          <w:p w14:paraId="6044EB34">
            <w:pPr>
              <w:spacing w:line="240" w:lineRule="exact"/>
              <w:jc w:val="center"/>
              <w:rPr>
                <w:rFonts w:cs="Calibri"/>
                <w:sz w:val="18"/>
                <w:szCs w:val="18"/>
              </w:rPr>
            </w:pPr>
            <w:r>
              <w:rPr>
                <w:rFonts w:cs="Calibri"/>
                <w:sz w:val="18"/>
                <w:szCs w:val="18"/>
              </w:rPr>
              <w:t>15</w:t>
            </w:r>
          </w:p>
        </w:tc>
        <w:tc>
          <w:tcPr>
            <w:tcW w:w="865" w:type="dxa"/>
            <w:vAlign w:val="center"/>
          </w:tcPr>
          <w:p w14:paraId="657C0008">
            <w:pPr>
              <w:spacing w:line="240" w:lineRule="exact"/>
              <w:jc w:val="center"/>
              <w:rPr>
                <w:rFonts w:cs="Calibri"/>
                <w:sz w:val="18"/>
                <w:szCs w:val="18"/>
              </w:rPr>
            </w:pPr>
            <w:r>
              <w:rPr>
                <w:rFonts w:cs="Calibri"/>
                <w:sz w:val="18"/>
                <w:szCs w:val="18"/>
              </w:rPr>
              <w:t>10</w:t>
            </w:r>
          </w:p>
        </w:tc>
        <w:tc>
          <w:tcPr>
            <w:tcW w:w="864" w:type="dxa"/>
            <w:vAlign w:val="center"/>
          </w:tcPr>
          <w:p w14:paraId="6692A857">
            <w:pPr>
              <w:spacing w:line="240" w:lineRule="exact"/>
              <w:jc w:val="center"/>
              <w:rPr>
                <w:rFonts w:cs="Calibri"/>
                <w:sz w:val="18"/>
                <w:szCs w:val="18"/>
              </w:rPr>
            </w:pPr>
            <w:r>
              <w:rPr>
                <w:rFonts w:cs="Calibri"/>
                <w:sz w:val="18"/>
                <w:szCs w:val="18"/>
              </w:rPr>
              <w:t>10</w:t>
            </w:r>
          </w:p>
        </w:tc>
        <w:tc>
          <w:tcPr>
            <w:tcW w:w="864" w:type="dxa"/>
            <w:vAlign w:val="center"/>
          </w:tcPr>
          <w:p w14:paraId="1E20F8E0">
            <w:pPr>
              <w:spacing w:line="240" w:lineRule="exact"/>
              <w:jc w:val="center"/>
              <w:rPr>
                <w:rFonts w:cs="Calibri"/>
                <w:sz w:val="18"/>
                <w:szCs w:val="18"/>
              </w:rPr>
            </w:pPr>
            <w:r>
              <w:rPr>
                <w:rFonts w:cs="Calibri"/>
                <w:sz w:val="18"/>
                <w:szCs w:val="18"/>
              </w:rPr>
              <w:t>8</w:t>
            </w:r>
          </w:p>
        </w:tc>
        <w:tc>
          <w:tcPr>
            <w:tcW w:w="865" w:type="dxa"/>
            <w:vAlign w:val="center"/>
          </w:tcPr>
          <w:p w14:paraId="29950CF7">
            <w:pPr>
              <w:spacing w:line="240" w:lineRule="exact"/>
              <w:jc w:val="center"/>
              <w:rPr>
                <w:rFonts w:cs="Calibri"/>
                <w:sz w:val="18"/>
                <w:szCs w:val="18"/>
              </w:rPr>
            </w:pPr>
            <w:r>
              <w:rPr>
                <w:rFonts w:cs="Calibri"/>
                <w:sz w:val="18"/>
                <w:szCs w:val="18"/>
              </w:rPr>
              <w:t>18</w:t>
            </w:r>
          </w:p>
        </w:tc>
        <w:tc>
          <w:tcPr>
            <w:tcW w:w="864" w:type="dxa"/>
            <w:vAlign w:val="center"/>
          </w:tcPr>
          <w:p w14:paraId="011AF34E">
            <w:pPr>
              <w:spacing w:line="240" w:lineRule="exact"/>
              <w:jc w:val="center"/>
              <w:rPr>
                <w:rFonts w:cs="Calibri"/>
                <w:sz w:val="18"/>
                <w:szCs w:val="18"/>
              </w:rPr>
            </w:pPr>
            <w:r>
              <w:rPr>
                <w:rFonts w:cs="Calibri"/>
                <w:sz w:val="18"/>
                <w:szCs w:val="18"/>
              </w:rPr>
              <w:t>10</w:t>
            </w:r>
          </w:p>
        </w:tc>
        <w:tc>
          <w:tcPr>
            <w:tcW w:w="864" w:type="dxa"/>
            <w:vAlign w:val="center"/>
          </w:tcPr>
          <w:p w14:paraId="66DDF5C0">
            <w:pPr>
              <w:spacing w:line="240" w:lineRule="exact"/>
              <w:jc w:val="center"/>
              <w:rPr>
                <w:rFonts w:cs="Calibri"/>
                <w:sz w:val="18"/>
                <w:szCs w:val="18"/>
              </w:rPr>
            </w:pPr>
            <w:r>
              <w:rPr>
                <w:rFonts w:cs="Calibri"/>
                <w:sz w:val="18"/>
                <w:szCs w:val="18"/>
              </w:rPr>
              <w:t>10</w:t>
            </w:r>
          </w:p>
        </w:tc>
        <w:tc>
          <w:tcPr>
            <w:tcW w:w="865" w:type="dxa"/>
            <w:vAlign w:val="center"/>
          </w:tcPr>
          <w:p w14:paraId="3DF5FFF4">
            <w:pPr>
              <w:spacing w:line="240" w:lineRule="exact"/>
              <w:jc w:val="center"/>
              <w:rPr>
                <w:rFonts w:cs="Calibri"/>
                <w:sz w:val="18"/>
                <w:szCs w:val="18"/>
              </w:rPr>
            </w:pPr>
            <w:r>
              <w:rPr>
                <w:rFonts w:cs="Calibri"/>
                <w:sz w:val="18"/>
                <w:szCs w:val="18"/>
              </w:rPr>
              <w:t>9</w:t>
            </w:r>
          </w:p>
        </w:tc>
      </w:tr>
      <w:tr w14:paraId="3E498B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864" w:type="dxa"/>
            <w:vAlign w:val="center"/>
          </w:tcPr>
          <w:p w14:paraId="4527405E">
            <w:pPr>
              <w:spacing w:line="240" w:lineRule="exact"/>
              <w:jc w:val="center"/>
              <w:rPr>
                <w:rFonts w:cs="Calibri"/>
                <w:sz w:val="18"/>
                <w:szCs w:val="18"/>
              </w:rPr>
            </w:pPr>
            <w:r>
              <w:rPr>
                <w:rFonts w:hint="eastAsia" w:cs="Calibri"/>
                <w:sz w:val="18"/>
                <w:szCs w:val="18"/>
              </w:rPr>
              <w:t>得分</w:t>
            </w:r>
          </w:p>
        </w:tc>
        <w:tc>
          <w:tcPr>
            <w:tcW w:w="864" w:type="dxa"/>
            <w:vAlign w:val="center"/>
          </w:tcPr>
          <w:p w14:paraId="0D889368">
            <w:pPr>
              <w:spacing w:line="240" w:lineRule="exact"/>
              <w:jc w:val="center"/>
              <w:rPr>
                <w:rFonts w:cs="Calibri"/>
                <w:sz w:val="18"/>
                <w:szCs w:val="18"/>
              </w:rPr>
            </w:pPr>
            <w:r>
              <w:rPr>
                <w:rFonts w:cs="Calibri"/>
                <w:sz w:val="18"/>
                <w:szCs w:val="18"/>
              </w:rPr>
              <w:t>10</w:t>
            </w:r>
          </w:p>
        </w:tc>
        <w:tc>
          <w:tcPr>
            <w:tcW w:w="864" w:type="dxa"/>
            <w:vAlign w:val="center"/>
          </w:tcPr>
          <w:p w14:paraId="2605BCF2">
            <w:pPr>
              <w:spacing w:line="240" w:lineRule="exact"/>
              <w:jc w:val="center"/>
              <w:rPr>
                <w:rFonts w:hint="eastAsia" w:eastAsia="宋体" w:cs="Calibri"/>
                <w:sz w:val="18"/>
                <w:szCs w:val="18"/>
                <w:lang w:eastAsia="zh-CN"/>
              </w:rPr>
            </w:pPr>
            <w:r>
              <w:rPr>
                <w:rFonts w:hint="eastAsia" w:cs="Calibri"/>
                <w:sz w:val="18"/>
                <w:szCs w:val="18"/>
                <w:lang w:val="en-US" w:eastAsia="zh-CN"/>
              </w:rPr>
              <w:t>5</w:t>
            </w:r>
          </w:p>
        </w:tc>
        <w:tc>
          <w:tcPr>
            <w:tcW w:w="865" w:type="dxa"/>
            <w:vAlign w:val="center"/>
          </w:tcPr>
          <w:p w14:paraId="0D29F612">
            <w:pPr>
              <w:spacing w:line="240" w:lineRule="exact"/>
              <w:jc w:val="center"/>
              <w:rPr>
                <w:rFonts w:cs="Calibri"/>
                <w:sz w:val="18"/>
                <w:szCs w:val="18"/>
              </w:rPr>
            </w:pPr>
            <w:r>
              <w:rPr>
                <w:rFonts w:cs="Calibri"/>
                <w:sz w:val="18"/>
                <w:szCs w:val="18"/>
              </w:rPr>
              <w:t>10</w:t>
            </w:r>
          </w:p>
        </w:tc>
        <w:tc>
          <w:tcPr>
            <w:tcW w:w="864" w:type="dxa"/>
            <w:vAlign w:val="center"/>
          </w:tcPr>
          <w:p w14:paraId="1558B81D">
            <w:pPr>
              <w:spacing w:line="240" w:lineRule="exact"/>
              <w:jc w:val="center"/>
              <w:rPr>
                <w:rFonts w:cs="Calibri"/>
                <w:sz w:val="18"/>
                <w:szCs w:val="18"/>
              </w:rPr>
            </w:pPr>
            <w:r>
              <w:rPr>
                <w:rFonts w:cs="Calibri"/>
                <w:sz w:val="18"/>
                <w:szCs w:val="18"/>
              </w:rPr>
              <w:t>10</w:t>
            </w:r>
          </w:p>
        </w:tc>
        <w:tc>
          <w:tcPr>
            <w:tcW w:w="864" w:type="dxa"/>
            <w:vAlign w:val="center"/>
          </w:tcPr>
          <w:p w14:paraId="4D1B296A">
            <w:pPr>
              <w:spacing w:line="240" w:lineRule="exact"/>
              <w:jc w:val="center"/>
              <w:rPr>
                <w:rFonts w:cs="Calibri"/>
                <w:sz w:val="18"/>
                <w:szCs w:val="18"/>
              </w:rPr>
            </w:pPr>
            <w:r>
              <w:rPr>
                <w:rFonts w:cs="Calibri"/>
                <w:sz w:val="18"/>
                <w:szCs w:val="18"/>
              </w:rPr>
              <w:t>8</w:t>
            </w:r>
          </w:p>
        </w:tc>
        <w:tc>
          <w:tcPr>
            <w:tcW w:w="865" w:type="dxa"/>
            <w:vAlign w:val="center"/>
          </w:tcPr>
          <w:p w14:paraId="33D2041A">
            <w:pPr>
              <w:spacing w:line="240" w:lineRule="exact"/>
              <w:jc w:val="center"/>
              <w:rPr>
                <w:rFonts w:cs="Calibri"/>
                <w:sz w:val="18"/>
                <w:szCs w:val="18"/>
              </w:rPr>
            </w:pPr>
            <w:r>
              <w:rPr>
                <w:rFonts w:cs="Calibri"/>
                <w:sz w:val="18"/>
                <w:szCs w:val="18"/>
              </w:rPr>
              <w:t>0</w:t>
            </w:r>
          </w:p>
        </w:tc>
        <w:tc>
          <w:tcPr>
            <w:tcW w:w="864" w:type="dxa"/>
            <w:vAlign w:val="center"/>
          </w:tcPr>
          <w:p w14:paraId="542C0A5A">
            <w:pPr>
              <w:spacing w:line="240" w:lineRule="exact"/>
              <w:jc w:val="center"/>
              <w:rPr>
                <w:rFonts w:cs="Calibri"/>
                <w:sz w:val="18"/>
                <w:szCs w:val="18"/>
              </w:rPr>
            </w:pPr>
            <w:r>
              <w:rPr>
                <w:rFonts w:hint="eastAsia" w:cs="Calibri"/>
                <w:sz w:val="18"/>
                <w:szCs w:val="18"/>
              </w:rPr>
              <w:t>5</w:t>
            </w:r>
          </w:p>
        </w:tc>
        <w:tc>
          <w:tcPr>
            <w:tcW w:w="864" w:type="dxa"/>
            <w:vAlign w:val="center"/>
          </w:tcPr>
          <w:p w14:paraId="7B857EB3">
            <w:pPr>
              <w:spacing w:line="240" w:lineRule="exact"/>
              <w:jc w:val="center"/>
              <w:rPr>
                <w:rFonts w:cs="Calibri"/>
                <w:sz w:val="18"/>
                <w:szCs w:val="18"/>
              </w:rPr>
            </w:pPr>
            <w:r>
              <w:rPr>
                <w:rFonts w:cs="Calibri"/>
                <w:sz w:val="18"/>
                <w:szCs w:val="18"/>
              </w:rPr>
              <w:t>0</w:t>
            </w:r>
          </w:p>
        </w:tc>
        <w:tc>
          <w:tcPr>
            <w:tcW w:w="865" w:type="dxa"/>
            <w:vAlign w:val="center"/>
          </w:tcPr>
          <w:p w14:paraId="266CE9F3">
            <w:pPr>
              <w:spacing w:line="240" w:lineRule="exact"/>
              <w:jc w:val="center"/>
              <w:rPr>
                <w:rFonts w:cs="Calibri"/>
                <w:sz w:val="18"/>
                <w:szCs w:val="18"/>
              </w:rPr>
            </w:pPr>
            <w:r>
              <w:rPr>
                <w:rFonts w:cs="Calibri"/>
                <w:sz w:val="18"/>
                <w:szCs w:val="18"/>
              </w:rPr>
              <w:t>0</w:t>
            </w:r>
          </w:p>
        </w:tc>
      </w:tr>
    </w:tbl>
    <w:p w14:paraId="3C3E2452">
      <w:pPr>
        <w:spacing w:line="240" w:lineRule="exact"/>
        <w:jc w:val="center"/>
        <w:rPr>
          <w:b/>
          <w:bCs/>
          <w:sz w:val="18"/>
          <w:szCs w:val="18"/>
        </w:rPr>
      </w:pPr>
    </w:p>
    <w:p w14:paraId="369CA5EC">
      <w:pPr>
        <w:spacing w:line="240" w:lineRule="exact"/>
        <w:jc w:val="center"/>
        <w:rPr>
          <w:b/>
          <w:bCs/>
          <w:sz w:val="18"/>
          <w:szCs w:val="18"/>
        </w:rPr>
      </w:pPr>
    </w:p>
    <w:p w14:paraId="6FFF7511">
      <w:pPr>
        <w:spacing w:line="240" w:lineRule="exact"/>
        <w:rPr>
          <w:rFonts w:ascii="宋体"/>
          <w:b/>
          <w:bCs/>
          <w:sz w:val="18"/>
          <w:szCs w:val="18"/>
        </w:rPr>
      </w:pPr>
      <w:r>
        <w:rPr>
          <w:rFonts w:hint="eastAsia" w:ascii="宋体"/>
          <w:b/>
          <w:bCs/>
          <w:sz w:val="18"/>
          <w:szCs w:val="18"/>
        </w:rPr>
        <w:t>结构专业</w:t>
      </w:r>
    </w:p>
    <w:p w14:paraId="0A5738A9">
      <w:pPr>
        <w:spacing w:line="240" w:lineRule="exact"/>
        <w:outlineLvl w:val="2"/>
        <w:rPr>
          <w:rFonts w:hint="eastAsia" w:ascii="黑体" w:eastAsia="黑体" w:cs="黑体"/>
          <w:sz w:val="18"/>
          <w:szCs w:val="18"/>
        </w:rPr>
      </w:pPr>
      <w:r>
        <w:rPr>
          <w:rFonts w:hint="eastAsia" w:ascii="黑体" w:eastAsia="黑体" w:cs="黑体"/>
          <w:sz w:val="18"/>
          <w:szCs w:val="18"/>
        </w:rPr>
        <w:t>4.2.1抗震性能。</w:t>
      </w:r>
    </w:p>
    <w:p w14:paraId="6DF3A381">
      <w:pPr>
        <w:spacing w:line="240" w:lineRule="exact"/>
        <w:outlineLvl w:val="2"/>
        <w:rPr>
          <w:rFonts w:hint="eastAsia" w:ascii="宋体" w:hAnsi="宋体" w:cs="宋体"/>
          <w:sz w:val="18"/>
          <w:szCs w:val="18"/>
        </w:rPr>
      </w:pPr>
      <w:r>
        <w:rPr>
          <w:rFonts w:hint="eastAsia" w:ascii="宋体" w:hAnsi="宋体" w:cs="宋体"/>
          <w:sz w:val="18"/>
          <w:szCs w:val="18"/>
        </w:rPr>
        <w:t>技术措施说明：</w:t>
      </w:r>
      <w:r>
        <w:rPr>
          <w:rFonts w:hint="eastAsia" w:ascii="宋体" w:hAnsi="宋体" w:cs="宋体"/>
          <w:sz w:val="18"/>
          <w:szCs w:val="18"/>
          <w:lang w:val="en-US" w:eastAsia="zh-CN"/>
        </w:rPr>
        <w:t>本项目对超限高层建筑进行抗震设防专项设计，进行小震模型包络设计、中震和大震等效弹性计算，本工程除能够满足竖向荷载和风荷载作用下的有关指标外，设防烈度下关键构件、竖向构件达到预期的抗震性能水准2要求，其余构件达到预期的抗震性能水准</w:t>
      </w:r>
      <w:r>
        <w:rPr>
          <w:rFonts w:hint="default" w:ascii="宋体" w:hAnsi="宋体" w:cs="宋体"/>
          <w:sz w:val="18"/>
          <w:szCs w:val="18"/>
          <w:lang w:val="en-US" w:eastAsia="zh-CN"/>
        </w:rPr>
        <w:t>3</w:t>
      </w:r>
      <w:r>
        <w:rPr>
          <w:rFonts w:hint="eastAsia" w:ascii="宋体" w:hAnsi="宋体" w:cs="宋体"/>
          <w:sz w:val="18"/>
          <w:szCs w:val="18"/>
          <w:lang w:val="en-US" w:eastAsia="zh-CN"/>
        </w:rPr>
        <w:t>要求，罕遇地震下各构件可达到抗震性能水准</w:t>
      </w:r>
      <w:r>
        <w:rPr>
          <w:rFonts w:hint="default" w:ascii="宋体" w:hAnsi="宋体" w:cs="宋体"/>
          <w:sz w:val="18"/>
          <w:szCs w:val="18"/>
          <w:lang w:val="en-US" w:eastAsia="zh-CN"/>
        </w:rPr>
        <w:t>4</w:t>
      </w:r>
      <w:r>
        <w:rPr>
          <w:rFonts w:hint="eastAsia" w:ascii="宋体" w:hAnsi="宋体" w:cs="宋体"/>
          <w:sz w:val="18"/>
          <w:szCs w:val="18"/>
          <w:lang w:val="en-US" w:eastAsia="zh-CN"/>
        </w:rPr>
        <w:t>要求，整体达到预期的抗震性能目标</w:t>
      </w:r>
      <w:r>
        <w:rPr>
          <w:rFonts w:hint="default" w:ascii="宋体" w:hAnsi="宋体" w:cs="宋体"/>
          <w:sz w:val="18"/>
          <w:szCs w:val="18"/>
          <w:lang w:val="en-US" w:eastAsia="zh-CN"/>
        </w:rPr>
        <w:t>C+</w:t>
      </w:r>
      <w:r>
        <w:rPr>
          <w:rFonts w:hint="eastAsia" w:ascii="宋体" w:hAnsi="宋体" w:cs="宋体"/>
          <w:sz w:val="18"/>
          <w:szCs w:val="18"/>
          <w:lang w:val="en-US" w:eastAsia="zh-CN"/>
        </w:rPr>
        <w:t>级的要求，故结构设计是安全可行的。</w:t>
      </w:r>
    </w:p>
    <w:p w14:paraId="6FF90C30">
      <w:pPr>
        <w:spacing w:line="240" w:lineRule="exact"/>
        <w:outlineLvl w:val="2"/>
        <w:rPr>
          <w:rFonts w:hint="eastAsia" w:ascii="宋体" w:hAnsi="宋体" w:cs="宋体"/>
          <w:sz w:val="18"/>
          <w:szCs w:val="18"/>
        </w:rPr>
      </w:pPr>
      <w:r>
        <w:rPr>
          <w:rFonts w:hint="eastAsia" w:ascii="宋体" w:hAnsi="宋体" w:cs="宋体"/>
          <w:sz w:val="18"/>
          <w:szCs w:val="18"/>
        </w:rPr>
        <w:t>证明材料：√设计图纸（结构、结构总说明）；√广州开发区医院永和院区新建项目超限报告</w:t>
      </w:r>
    </w:p>
    <w:p w14:paraId="6F1865AB">
      <w:pPr>
        <w:spacing w:line="240" w:lineRule="exact"/>
        <w:rPr>
          <w:rFonts w:hint="eastAsia"/>
          <w:b/>
          <w:bCs/>
          <w:sz w:val="18"/>
          <w:szCs w:val="18"/>
        </w:rPr>
      </w:pPr>
    </w:p>
    <w:p w14:paraId="7F5197AC">
      <w:pPr>
        <w:spacing w:line="240" w:lineRule="exact"/>
        <w:rPr>
          <w:b/>
          <w:bCs/>
          <w:sz w:val="18"/>
          <w:szCs w:val="18"/>
        </w:rPr>
      </w:pPr>
      <w:r>
        <w:rPr>
          <w:rFonts w:hint="eastAsia"/>
          <w:b/>
          <w:bCs/>
          <w:sz w:val="18"/>
          <w:szCs w:val="18"/>
        </w:rPr>
        <w:t>建筑专业</w:t>
      </w:r>
    </w:p>
    <w:p w14:paraId="38FE9AD8">
      <w:pPr>
        <w:spacing w:line="240" w:lineRule="exact"/>
        <w:outlineLvl w:val="2"/>
        <w:rPr>
          <w:rFonts w:ascii="黑体" w:eastAsia="黑体"/>
          <w:sz w:val="18"/>
          <w:szCs w:val="18"/>
        </w:rPr>
      </w:pPr>
      <w:r>
        <w:rPr>
          <w:rFonts w:ascii="黑体" w:eastAsia="黑体" w:cs="黑体"/>
          <w:sz w:val="18"/>
          <w:szCs w:val="18"/>
        </w:rPr>
        <w:t>4.2.2</w:t>
      </w:r>
      <w:r>
        <w:rPr>
          <w:rFonts w:hint="eastAsia" w:ascii="黑体" w:eastAsia="黑体" w:cs="黑体"/>
          <w:sz w:val="18"/>
          <w:szCs w:val="18"/>
        </w:rPr>
        <w:t>采取保障人员安全的防护措施。</w:t>
      </w:r>
    </w:p>
    <w:p w14:paraId="07148D08">
      <w:pPr>
        <w:spacing w:line="240" w:lineRule="exact"/>
        <w:outlineLvl w:val="2"/>
        <w:rPr>
          <w:rFonts w:ascii="黑体" w:eastAsia="黑体"/>
          <w:sz w:val="18"/>
          <w:szCs w:val="18"/>
        </w:rPr>
      </w:pPr>
      <w:r>
        <w:rPr>
          <w:rFonts w:hint="eastAsia" w:ascii="宋体" w:hAnsi="宋体" w:cs="宋体"/>
          <w:sz w:val="18"/>
          <w:szCs w:val="18"/>
        </w:rPr>
        <w:t>技术措施说明：本</w:t>
      </w:r>
      <w:r>
        <w:rPr>
          <w:rFonts w:ascii="宋体" w:hAnsi="宋体" w:cs="宋体"/>
          <w:sz w:val="18"/>
          <w:szCs w:val="18"/>
        </w:rPr>
        <w:t>项目的</w:t>
      </w:r>
      <w:r>
        <w:rPr>
          <w:rFonts w:hint="eastAsia" w:ascii="宋体" w:hAnsi="宋体" w:cs="宋体"/>
          <w:sz w:val="18"/>
          <w:szCs w:val="18"/>
        </w:rPr>
        <w:t>女儿墙</w:t>
      </w:r>
      <w:r>
        <w:rPr>
          <w:rFonts w:ascii="宋体" w:hAnsi="宋体" w:cs="宋体"/>
          <w:sz w:val="18"/>
          <w:szCs w:val="18"/>
        </w:rPr>
        <w:t>、</w:t>
      </w:r>
      <w:r>
        <w:rPr>
          <w:rFonts w:hint="eastAsia" w:ascii="宋体" w:hAnsi="宋体" w:cs="宋体"/>
          <w:sz w:val="18"/>
          <w:szCs w:val="18"/>
        </w:rPr>
        <w:t>栏杆</w:t>
      </w:r>
      <w:r>
        <w:rPr>
          <w:rFonts w:ascii="宋体" w:hAnsi="宋体" w:cs="宋体"/>
          <w:sz w:val="18"/>
          <w:szCs w:val="18"/>
        </w:rPr>
        <w:t>、阳台等</w:t>
      </w:r>
      <w:r>
        <w:rPr>
          <w:rFonts w:hint="eastAsia" w:ascii="宋体" w:hAnsi="宋体" w:cs="宋体"/>
          <w:sz w:val="18"/>
          <w:szCs w:val="18"/>
        </w:rPr>
        <w:t>区域</w:t>
      </w:r>
      <w:r>
        <w:rPr>
          <w:rFonts w:ascii="宋体" w:hAnsi="宋体" w:cs="宋体"/>
          <w:sz w:val="18"/>
          <w:szCs w:val="18"/>
        </w:rPr>
        <w:t>的临空</w:t>
      </w:r>
      <w:r>
        <w:rPr>
          <w:rFonts w:hint="eastAsia" w:ascii="宋体" w:hAnsi="宋体" w:cs="宋体"/>
          <w:sz w:val="18"/>
          <w:szCs w:val="18"/>
        </w:rPr>
        <w:t>侧面设置</w:t>
      </w:r>
      <w:r>
        <w:rPr>
          <w:rFonts w:ascii="宋体" w:hAnsi="宋体" w:cs="宋体"/>
          <w:sz w:val="18"/>
          <w:szCs w:val="18"/>
        </w:rPr>
        <w:t>防护栏杆，</w:t>
      </w:r>
      <w:r>
        <w:rPr>
          <w:rFonts w:hint="eastAsia" w:ascii="宋体" w:hAnsi="宋体" w:cs="宋体"/>
          <w:sz w:val="18"/>
          <w:szCs w:val="18"/>
        </w:rPr>
        <w:t>栏杆以坚固、耐久的材料制作，并能承受《建筑结构荷载规范》GB 50009规定的水平荷载，当采用垂直杆件做栏杆时，其杆件净距不大于1</w:t>
      </w:r>
      <w:r>
        <w:rPr>
          <w:rFonts w:ascii="宋体" w:hAnsi="宋体" w:cs="宋体"/>
          <w:sz w:val="18"/>
          <w:szCs w:val="18"/>
        </w:rPr>
        <w:t>10mm</w:t>
      </w:r>
      <w:r>
        <w:rPr>
          <w:rFonts w:hint="eastAsia" w:ascii="宋体" w:hAnsi="宋体" w:cs="宋体"/>
          <w:sz w:val="18"/>
          <w:szCs w:val="18"/>
        </w:rPr>
        <w:t>；</w:t>
      </w:r>
      <w:r>
        <w:rPr>
          <w:rFonts w:hint="eastAsia" w:ascii="Times New Roman" w:hAnsi="Times New Roman"/>
          <w:sz w:val="18"/>
          <w:szCs w:val="18"/>
        </w:rPr>
        <w:t>临空的窗台低于0.</w:t>
      </w:r>
      <w:r>
        <w:rPr>
          <w:rFonts w:ascii="Times New Roman" w:hAnsi="Times New Roman"/>
          <w:sz w:val="18"/>
          <w:szCs w:val="18"/>
        </w:rPr>
        <w:t>9</w:t>
      </w:r>
      <w:r>
        <w:rPr>
          <w:rFonts w:hint="eastAsia" w:ascii="Times New Roman" w:hAnsi="Times New Roman"/>
          <w:sz w:val="18"/>
          <w:szCs w:val="18"/>
        </w:rPr>
        <w:t>0m时，采取防护措施，防护高度由楼地面（低窗台、凸窗由可踏面）起计算不应低于0.</w:t>
      </w:r>
      <w:r>
        <w:rPr>
          <w:rFonts w:ascii="Times New Roman" w:hAnsi="Times New Roman"/>
          <w:sz w:val="18"/>
          <w:szCs w:val="18"/>
        </w:rPr>
        <w:t>9</w:t>
      </w:r>
      <w:r>
        <w:rPr>
          <w:rFonts w:hint="eastAsia" w:ascii="Times New Roman" w:hAnsi="Times New Roman"/>
          <w:sz w:val="18"/>
          <w:szCs w:val="18"/>
        </w:rPr>
        <w:t>0m，设计均按图集15J403-1-D19-PB6设计不锈钢防护栏杆</w:t>
      </w:r>
      <w:r>
        <w:rPr>
          <w:rFonts w:ascii="Times New Roman" w:hAnsi="Times New Roman"/>
          <w:sz w:val="18"/>
          <w:szCs w:val="18"/>
        </w:rPr>
        <w:t>；</w:t>
      </w:r>
      <w:r>
        <w:rPr>
          <w:rFonts w:hint="eastAsia" w:ascii="宋体" w:hAnsi="宋体" w:cs="宋体"/>
          <w:sz w:val="18"/>
          <w:szCs w:val="18"/>
        </w:rPr>
        <w:t>建筑出入口均设置防坠</w:t>
      </w:r>
      <w:r>
        <w:rPr>
          <w:rFonts w:ascii="宋体" w:hAnsi="宋体" w:cs="宋体"/>
          <w:sz w:val="18"/>
          <w:szCs w:val="18"/>
        </w:rPr>
        <w:t>雨棚</w:t>
      </w:r>
      <w:r>
        <w:rPr>
          <w:rFonts w:hint="eastAsia" w:ascii="宋体" w:hAnsi="宋体" w:cs="宋体"/>
          <w:sz w:val="18"/>
          <w:szCs w:val="18"/>
        </w:rPr>
        <w:t>，</w:t>
      </w:r>
      <w:r>
        <w:rPr>
          <w:rFonts w:ascii="Times New Roman" w:hAnsi="Times New Roman"/>
          <w:sz w:val="18"/>
          <w:szCs w:val="18"/>
        </w:rPr>
        <w:t>有效预防门窗玻璃意外脱落所造成的事故</w:t>
      </w:r>
      <w:r>
        <w:rPr>
          <w:rFonts w:hint="eastAsia" w:ascii="Times New Roman" w:hAnsi="Times New Roman"/>
          <w:sz w:val="18"/>
          <w:szCs w:val="18"/>
        </w:rPr>
        <w:t>，同时</w:t>
      </w:r>
      <w:r>
        <w:rPr>
          <w:rFonts w:ascii="宋体" w:hAnsi="宋体" w:cs="宋体"/>
          <w:sz w:val="18"/>
          <w:szCs w:val="18"/>
        </w:rPr>
        <w:t>实现</w:t>
      </w:r>
      <w:r>
        <w:rPr>
          <w:rFonts w:hint="eastAsia" w:ascii="宋体" w:hAnsi="宋体" w:cs="宋体"/>
          <w:sz w:val="18"/>
          <w:szCs w:val="18"/>
        </w:rPr>
        <w:t>遮阳挡雨的功能，有效降低坠物的风险。</w:t>
      </w:r>
      <w:r>
        <w:rPr>
          <w:rFonts w:ascii="Times New Roman" w:hAnsi="Times New Roman"/>
          <w:sz w:val="18"/>
          <w:szCs w:val="18"/>
        </w:rPr>
        <w:t>同时在建筑周边通过设置绿化带形成可形成坠物风险的隔离带，有效降低坠物的风险。</w:t>
      </w:r>
    </w:p>
    <w:p w14:paraId="59FAFC98">
      <w:pPr>
        <w:spacing w:line="240" w:lineRule="exact"/>
        <w:rPr>
          <w:rFonts w:ascii="宋体"/>
          <w:sz w:val="18"/>
          <w:szCs w:val="18"/>
        </w:rPr>
      </w:pPr>
      <w:r>
        <w:rPr>
          <w:rFonts w:hint="eastAsia" w:ascii="宋体" w:hAnsi="宋体" w:cs="宋体"/>
          <w:sz w:val="18"/>
          <w:szCs w:val="18"/>
        </w:rPr>
        <w:t>证明材料：√设计图纸（建筑、Z</w:t>
      </w:r>
      <w:r>
        <w:rPr>
          <w:rFonts w:ascii="宋体" w:hAnsi="宋体" w:cs="宋体"/>
          <w:sz w:val="18"/>
          <w:szCs w:val="18"/>
        </w:rPr>
        <w:t>P</w:t>
      </w:r>
      <w:r>
        <w:rPr>
          <w:rFonts w:hint="eastAsia" w:ascii="宋体" w:hAnsi="宋体" w:cs="宋体"/>
          <w:sz w:val="18"/>
          <w:szCs w:val="18"/>
        </w:rPr>
        <w:t>-01_总平面图，首层平面图，通用大样）</w:t>
      </w:r>
    </w:p>
    <w:p w14:paraId="3332EE70">
      <w:pPr>
        <w:spacing w:line="240" w:lineRule="exact"/>
        <w:outlineLvl w:val="2"/>
        <w:rPr>
          <w:rFonts w:ascii="黑体" w:hAnsi="宋体" w:eastAsia="黑体"/>
          <w:sz w:val="18"/>
          <w:szCs w:val="18"/>
        </w:rPr>
      </w:pPr>
      <w:r>
        <w:rPr>
          <w:rFonts w:ascii="黑体" w:hAnsi="宋体" w:eastAsia="黑体" w:cs="黑体"/>
          <w:sz w:val="18"/>
          <w:szCs w:val="18"/>
        </w:rPr>
        <w:t>4.2.3</w:t>
      </w:r>
      <w:r>
        <w:rPr>
          <w:rFonts w:hint="eastAsia" w:ascii="黑体" w:hAnsi="宋体" w:eastAsia="黑体" w:cs="黑体"/>
          <w:sz w:val="18"/>
          <w:szCs w:val="18"/>
        </w:rPr>
        <w:t>采用具有安全防护功能的产品或配件。</w:t>
      </w:r>
    </w:p>
    <w:p w14:paraId="60501B2D">
      <w:pPr>
        <w:spacing w:line="240" w:lineRule="exact"/>
        <w:rPr>
          <w:rFonts w:ascii="宋体"/>
          <w:sz w:val="18"/>
          <w:szCs w:val="18"/>
        </w:rPr>
      </w:pPr>
      <w:r>
        <w:rPr>
          <w:rFonts w:hint="eastAsia" w:ascii="宋体" w:hAnsi="宋体" w:cs="宋体"/>
          <w:sz w:val="18"/>
          <w:szCs w:val="18"/>
        </w:rPr>
        <w:t>技术措施说明：项目</w:t>
      </w:r>
      <w:r>
        <w:rPr>
          <w:rFonts w:ascii="宋体" w:hAnsi="宋体" w:cs="宋体"/>
          <w:sz w:val="18"/>
          <w:szCs w:val="18"/>
        </w:rPr>
        <w:t>外窗玻璃采用</w:t>
      </w:r>
      <w:r>
        <w:rPr>
          <w:rFonts w:hint="eastAsia" w:ascii="宋体" w:hAnsi="宋体" w:cs="宋体"/>
          <w:sz w:val="18"/>
          <w:szCs w:val="18"/>
        </w:rPr>
        <w:t>6LOW-e+12</w:t>
      </w:r>
      <w:r>
        <w:rPr>
          <w:rFonts w:hint="eastAsia" w:ascii="宋体" w:hAnsi="宋体" w:cs="宋体"/>
          <w:sz w:val="18"/>
          <w:szCs w:val="18"/>
          <w:lang w:eastAsia="zh-CN"/>
        </w:rPr>
        <w:t>A</w:t>
      </w:r>
      <w:r>
        <w:rPr>
          <w:rFonts w:hint="eastAsia" w:ascii="宋体" w:hAnsi="宋体" w:cs="宋体"/>
          <w:sz w:val="18"/>
          <w:szCs w:val="18"/>
        </w:rPr>
        <w:t>+6中透光中空玻璃</w:t>
      </w:r>
      <w:r>
        <w:rPr>
          <w:rFonts w:ascii="宋体" w:hAnsi="宋体" w:cs="宋体"/>
          <w:sz w:val="18"/>
          <w:szCs w:val="18"/>
        </w:rPr>
        <w:t>，满足安全防护功能的</w:t>
      </w:r>
      <w:r>
        <w:rPr>
          <w:rFonts w:hint="eastAsia" w:ascii="宋体" w:hAnsi="宋体" w:cs="宋体"/>
          <w:sz w:val="18"/>
          <w:szCs w:val="18"/>
        </w:rPr>
        <w:t>钢化安全</w:t>
      </w:r>
      <w:r>
        <w:rPr>
          <w:rFonts w:ascii="宋体" w:hAnsi="宋体" w:cs="宋体"/>
          <w:sz w:val="18"/>
          <w:szCs w:val="18"/>
        </w:rPr>
        <w:t>玻璃要求</w:t>
      </w:r>
      <w:r>
        <w:rPr>
          <w:rFonts w:hint="eastAsia" w:ascii="宋体" w:hAnsi="宋体" w:cs="宋体"/>
          <w:sz w:val="18"/>
          <w:szCs w:val="18"/>
        </w:rPr>
        <w:t>，</w:t>
      </w:r>
      <w:r>
        <w:rPr>
          <w:rFonts w:ascii="宋体" w:hAnsi="宋体" w:cs="宋体"/>
          <w:sz w:val="18"/>
          <w:szCs w:val="18"/>
        </w:rPr>
        <w:t>防护栏杆等</w:t>
      </w:r>
      <w:r>
        <w:rPr>
          <w:rFonts w:hint="eastAsia" w:ascii="宋体" w:hAnsi="宋体" w:cs="宋体"/>
          <w:sz w:val="18"/>
          <w:szCs w:val="18"/>
        </w:rPr>
        <w:t>采用安全钢化夹胶玻璃；对于本项目人流量大</w:t>
      </w:r>
      <w:r>
        <w:rPr>
          <w:rFonts w:hint="eastAsia" w:ascii="Times New Roman" w:hAnsi="Times New Roman"/>
          <w:sz w:val="18"/>
          <w:szCs w:val="18"/>
        </w:rPr>
        <w:t>、门窗开合频繁的公共区域的</w:t>
      </w:r>
      <w:r>
        <w:rPr>
          <w:rFonts w:hint="eastAsia" w:ascii="宋体" w:hAnsi="宋体" w:cs="宋体"/>
          <w:sz w:val="18"/>
          <w:szCs w:val="18"/>
        </w:rPr>
        <w:t>门采用可调力度的闭门器或具有缓冲功能的延时闭门器等措施，防止夹人伤人事故的发生。</w:t>
      </w:r>
    </w:p>
    <w:p w14:paraId="170CC671">
      <w:pPr>
        <w:spacing w:line="240" w:lineRule="exact"/>
        <w:rPr>
          <w:rFonts w:hint="eastAsia" w:ascii="宋体" w:hAnsi="宋体" w:cs="宋体"/>
          <w:sz w:val="18"/>
          <w:szCs w:val="18"/>
        </w:rPr>
      </w:pPr>
      <w:r>
        <w:rPr>
          <w:rFonts w:hint="eastAsia" w:ascii="宋体" w:hAnsi="宋体" w:cs="宋体"/>
          <w:sz w:val="18"/>
          <w:szCs w:val="18"/>
        </w:rPr>
        <w:t>证明材料：√设计图纸（建筑</w:t>
      </w:r>
      <w:r>
        <w:rPr>
          <w:rFonts w:ascii="宋体" w:hAnsi="宋体" w:cs="宋体"/>
          <w:sz w:val="18"/>
          <w:szCs w:val="18"/>
        </w:rPr>
        <w:t>、SM-01</w:t>
      </w:r>
      <w:r>
        <w:rPr>
          <w:rFonts w:hint="eastAsia" w:ascii="宋体" w:hAnsi="宋体" w:cs="宋体"/>
          <w:sz w:val="18"/>
          <w:szCs w:val="18"/>
        </w:rPr>
        <w:t>建筑设计总说明、</w:t>
      </w:r>
      <w:r>
        <w:rPr>
          <w:rFonts w:ascii="宋体" w:hAnsi="宋体" w:cs="宋体"/>
          <w:sz w:val="18"/>
          <w:szCs w:val="18"/>
        </w:rPr>
        <w:t>门窗大样图</w:t>
      </w:r>
      <w:r>
        <w:rPr>
          <w:rFonts w:hint="eastAsia" w:ascii="宋体" w:hAnsi="宋体" w:cs="宋体"/>
          <w:sz w:val="18"/>
          <w:szCs w:val="18"/>
        </w:rPr>
        <w:t>）</w:t>
      </w:r>
    </w:p>
    <w:p w14:paraId="68D9B8A4">
      <w:pPr>
        <w:spacing w:line="240" w:lineRule="exact"/>
        <w:rPr>
          <w:rFonts w:hint="eastAsia" w:ascii="宋体" w:hAnsi="宋体" w:cs="宋体"/>
          <w:sz w:val="18"/>
          <w:szCs w:val="18"/>
        </w:rPr>
      </w:pPr>
    </w:p>
    <w:p w14:paraId="2F741E4F">
      <w:pPr>
        <w:spacing w:line="240" w:lineRule="exact"/>
        <w:rPr>
          <w:rFonts w:ascii="宋体" w:cs="宋体"/>
          <w:b/>
          <w:bCs/>
          <w:sz w:val="18"/>
          <w:szCs w:val="18"/>
        </w:rPr>
      </w:pPr>
      <w:r>
        <w:rPr>
          <w:rFonts w:hint="eastAsia" w:ascii="宋体" w:hAnsi="宋体" w:cs="宋体"/>
          <w:b/>
          <w:bCs/>
          <w:sz w:val="18"/>
          <w:szCs w:val="18"/>
        </w:rPr>
        <w:t>给排水专业</w:t>
      </w:r>
    </w:p>
    <w:p w14:paraId="3D68F9BE">
      <w:pPr>
        <w:spacing w:line="240" w:lineRule="exact"/>
        <w:outlineLvl w:val="2"/>
        <w:rPr>
          <w:rFonts w:ascii="黑体" w:hAnsi="宋体" w:eastAsia="黑体"/>
          <w:sz w:val="18"/>
          <w:szCs w:val="18"/>
        </w:rPr>
      </w:pPr>
      <w:r>
        <w:rPr>
          <w:rFonts w:ascii="黑体" w:hAnsi="宋体" w:eastAsia="黑体" w:cs="黑体"/>
          <w:sz w:val="18"/>
          <w:szCs w:val="18"/>
        </w:rPr>
        <w:t>4.2.7-1</w:t>
      </w:r>
      <w:r>
        <w:rPr>
          <w:rFonts w:hint="eastAsia" w:ascii="黑体" w:hAnsi="宋体" w:eastAsia="黑体" w:cs="黑体"/>
          <w:sz w:val="18"/>
          <w:szCs w:val="18"/>
        </w:rPr>
        <w:t>采取提升建筑部品部件耐久性的措施。</w:t>
      </w:r>
    </w:p>
    <w:p w14:paraId="31E3E47A">
      <w:pPr>
        <w:spacing w:line="240" w:lineRule="exact"/>
        <w:rPr>
          <w:rFonts w:ascii="宋体" w:hAnsi="宋体" w:cs="宋体"/>
          <w:sz w:val="18"/>
          <w:szCs w:val="18"/>
        </w:rPr>
      </w:pPr>
      <w:r>
        <w:rPr>
          <w:rFonts w:hint="eastAsia" w:ascii="宋体" w:hAnsi="宋体" w:cs="宋体"/>
          <w:sz w:val="18"/>
          <w:szCs w:val="18"/>
        </w:rPr>
        <w:t>技术措施说明：</w:t>
      </w:r>
      <w:r>
        <w:rPr>
          <w:rFonts w:hint="eastAsia" w:ascii="宋体" w:hAnsi="宋体" w:eastAsia="宋体" w:cs="宋体"/>
          <w:kern w:val="0"/>
          <w:sz w:val="18"/>
          <w:szCs w:val="18"/>
          <w:lang w:val="en-US" w:eastAsia="zh-CN" w:bidi="ar-SA"/>
        </w:rPr>
        <w:t>给水系统选用密闭性能好的阀门、设备，优先采用软密封闸阀或蝶阀，避免管网漏损。管材与管件连接的密封材料应卫生、严密、防腐、耐压、耐久；为避免重要物资和设备受潮引起的损失，采取有效措施避免管道、阀门和设备的漏水、渗水或结露。选购质量好的管道材料，如：不锈钢管、钢塑或铝塑复合管等，这样的管道材 料不易老化和锈蚀，进而延长了管道的使用年限，有效地缩减了管道的使用和更换成本能够更好的改善管道漏水问题。</w:t>
      </w:r>
    </w:p>
    <w:p w14:paraId="048D0ECB">
      <w:pPr>
        <w:spacing w:line="240" w:lineRule="exact"/>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给水管材：室外埋地管道采用球墨铸铁管给水管，公称压力0.60MPa，承插连接。</w:t>
      </w:r>
    </w:p>
    <w:p w14:paraId="06666B8B">
      <w:pPr>
        <w:spacing w:line="240" w:lineRule="exact"/>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室内给水管线：室内生活给水管主管及支管采用不锈钢管道，卡压或环压连接。管道、管件及阀门的工作压力为1.0MPa。</w:t>
      </w:r>
    </w:p>
    <w:p w14:paraId="0F75811D">
      <w:pPr>
        <w:spacing w:line="240" w:lineRule="exact"/>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排水管材：室内排水管采用 PP静音排水管，专用胶粘接。压力排水管采用内外涂塑钢管，DN≤100mm，丝扣连接；DN&gt;100mm，法兰连接。</w:t>
      </w:r>
    </w:p>
    <w:p w14:paraId="2D74F10E">
      <w:pPr>
        <w:spacing w:line="240" w:lineRule="exact"/>
        <w:rPr>
          <w:rFonts w:ascii="宋体"/>
          <w:sz w:val="18"/>
          <w:szCs w:val="18"/>
        </w:rPr>
      </w:pPr>
      <w:r>
        <w:rPr>
          <w:rFonts w:hint="eastAsia" w:ascii="宋体" w:hAnsi="宋体" w:cs="宋体"/>
          <w:sz w:val="18"/>
          <w:szCs w:val="18"/>
        </w:rPr>
        <w:t>证明材料：√设计图纸（给排水、S-01_给水排水设计总说明）</w:t>
      </w:r>
    </w:p>
    <w:p w14:paraId="1439EB91">
      <w:pPr>
        <w:spacing w:line="240" w:lineRule="exact"/>
        <w:rPr>
          <w:rFonts w:ascii="宋体"/>
          <w:b/>
          <w:bCs/>
          <w:sz w:val="18"/>
          <w:szCs w:val="18"/>
        </w:rPr>
      </w:pPr>
      <w:r>
        <w:rPr>
          <w:rFonts w:hint="eastAsia" w:ascii="宋体" w:hAnsi="宋体" w:cs="宋体"/>
          <w:b/>
          <w:bCs/>
          <w:sz w:val="18"/>
          <w:szCs w:val="18"/>
        </w:rPr>
        <w:t>电气专业</w:t>
      </w:r>
    </w:p>
    <w:p w14:paraId="416B7DA8">
      <w:pPr>
        <w:spacing w:line="240" w:lineRule="exact"/>
        <w:outlineLvl w:val="2"/>
        <w:rPr>
          <w:rFonts w:ascii="黑体" w:hAnsi="宋体" w:eastAsia="黑体"/>
          <w:sz w:val="18"/>
          <w:szCs w:val="18"/>
        </w:rPr>
      </w:pPr>
      <w:r>
        <w:rPr>
          <w:rFonts w:ascii="黑体" w:hAnsi="宋体" w:eastAsia="黑体" w:cs="黑体"/>
          <w:sz w:val="18"/>
          <w:szCs w:val="18"/>
        </w:rPr>
        <w:t>4.2.5</w:t>
      </w:r>
      <w:r>
        <w:rPr>
          <w:rFonts w:hint="eastAsia" w:ascii="黑体" w:hAnsi="宋体" w:eastAsia="黑体" w:cs="黑体"/>
          <w:sz w:val="18"/>
          <w:szCs w:val="18"/>
        </w:rPr>
        <w:t>采取人车分流措施，且步行和自行车交通系统有充足照明。</w:t>
      </w:r>
    </w:p>
    <w:p w14:paraId="5CADEA08">
      <w:pPr>
        <w:spacing w:line="240" w:lineRule="exact"/>
        <w:rPr>
          <w:rFonts w:ascii="宋体" w:hAnsi="宋体" w:cs="宋体"/>
          <w:sz w:val="18"/>
          <w:szCs w:val="18"/>
        </w:rPr>
      </w:pPr>
      <w:r>
        <w:rPr>
          <w:rFonts w:hint="eastAsia" w:ascii="宋体" w:hAnsi="宋体" w:cs="宋体"/>
          <w:sz w:val="18"/>
          <w:szCs w:val="18"/>
        </w:rPr>
        <w:t>技术措施说明：本</w:t>
      </w:r>
      <w:r>
        <w:rPr>
          <w:rFonts w:ascii="宋体" w:hAnsi="宋体" w:cs="宋体"/>
          <w:sz w:val="18"/>
          <w:szCs w:val="18"/>
        </w:rPr>
        <w:t>项目</w:t>
      </w:r>
      <w:r>
        <w:rPr>
          <w:rFonts w:hint="eastAsia" w:ascii="宋体" w:hAnsi="宋体" w:cs="宋体"/>
          <w:sz w:val="18"/>
          <w:szCs w:val="18"/>
        </w:rPr>
        <w:t>地块内的</w:t>
      </w:r>
      <w:r>
        <w:rPr>
          <w:rFonts w:ascii="宋体" w:hAnsi="宋体" w:cs="宋体"/>
          <w:sz w:val="18"/>
          <w:szCs w:val="18"/>
        </w:rPr>
        <w:t>车库</w:t>
      </w:r>
      <w:r>
        <w:rPr>
          <w:rFonts w:hint="eastAsia" w:ascii="宋体" w:hAnsi="宋体" w:cs="宋体"/>
          <w:sz w:val="18"/>
          <w:szCs w:val="18"/>
        </w:rPr>
        <w:t>入口位于场地</w:t>
      </w:r>
      <w:r>
        <w:rPr>
          <w:rFonts w:ascii="宋体" w:hAnsi="宋体" w:cs="宋体"/>
          <w:sz w:val="18"/>
          <w:szCs w:val="18"/>
        </w:rPr>
        <w:t>的</w:t>
      </w:r>
      <w:r>
        <w:rPr>
          <w:rFonts w:hint="eastAsia" w:ascii="宋体" w:hAnsi="宋体" w:cs="宋体"/>
          <w:sz w:val="18"/>
          <w:szCs w:val="18"/>
        </w:rPr>
        <w:t>东南端及西北侧</w:t>
      </w:r>
      <w:r>
        <w:rPr>
          <w:rFonts w:ascii="宋体" w:hAnsi="宋体" w:cs="宋体"/>
          <w:sz w:val="18"/>
          <w:szCs w:val="18"/>
        </w:rPr>
        <w:t>，</w:t>
      </w:r>
      <w:r>
        <w:rPr>
          <w:rFonts w:hint="eastAsia" w:ascii="宋体" w:hAnsi="宋体" w:cs="宋体"/>
          <w:sz w:val="18"/>
          <w:szCs w:val="18"/>
        </w:rPr>
        <w:t>小区主次入口设置于场地东西出入口</w:t>
      </w:r>
      <w:r>
        <w:rPr>
          <w:rFonts w:ascii="宋体" w:hAnsi="宋体" w:cs="宋体"/>
          <w:sz w:val="18"/>
          <w:szCs w:val="18"/>
        </w:rPr>
        <w:t>，</w:t>
      </w:r>
      <w:r>
        <w:rPr>
          <w:rFonts w:hint="eastAsia" w:ascii="宋体" w:hAnsi="宋体" w:cs="宋体"/>
          <w:sz w:val="18"/>
          <w:szCs w:val="18"/>
        </w:rPr>
        <w:t>商业建筑主要入口位于南侧，</w:t>
      </w:r>
      <w:r>
        <w:rPr>
          <w:rFonts w:ascii="宋体" w:hAnsi="宋体" w:cs="宋体"/>
          <w:sz w:val="18"/>
          <w:szCs w:val="18"/>
        </w:rPr>
        <w:t>人行出入口位置错开，</w:t>
      </w:r>
      <w:r>
        <w:rPr>
          <w:rFonts w:hint="eastAsia" w:ascii="宋体" w:hAnsi="宋体" w:cs="宋体"/>
          <w:sz w:val="18"/>
          <w:szCs w:val="18"/>
        </w:rPr>
        <w:t>实现</w:t>
      </w:r>
      <w:r>
        <w:rPr>
          <w:rFonts w:ascii="宋体" w:hAnsi="宋体" w:cs="宋体"/>
          <w:sz w:val="18"/>
          <w:szCs w:val="18"/>
        </w:rPr>
        <w:t>人车分流。</w:t>
      </w:r>
      <w:r>
        <w:rPr>
          <w:rFonts w:hint="eastAsia" w:ascii="宋体" w:hAnsi="宋体" w:cs="宋体"/>
          <w:sz w:val="18"/>
          <w:szCs w:val="18"/>
        </w:rPr>
        <w:t>园林设置合理的照明设计系统，确保场地</w:t>
      </w:r>
      <w:r>
        <w:rPr>
          <w:rFonts w:ascii="宋体" w:hAnsi="宋体" w:cs="宋体"/>
          <w:sz w:val="18"/>
          <w:szCs w:val="18"/>
        </w:rPr>
        <w:t>内</w:t>
      </w:r>
      <w:r>
        <w:rPr>
          <w:rFonts w:hint="eastAsia" w:ascii="宋体" w:hAnsi="宋体" w:cs="宋体"/>
          <w:sz w:val="18"/>
          <w:szCs w:val="18"/>
        </w:rPr>
        <w:t>步行和自行车交通路面的平均照度、路面最小照度和垂直照度标准值不低于行业标准《城市道路照明设计标准》</w:t>
      </w:r>
      <w:r>
        <w:rPr>
          <w:rFonts w:ascii="宋体" w:hAnsi="宋体" w:cs="宋体"/>
          <w:sz w:val="18"/>
          <w:szCs w:val="18"/>
        </w:rPr>
        <w:t>CJJ 45-2015的规定</w:t>
      </w:r>
      <w:r>
        <w:rPr>
          <w:rFonts w:hint="eastAsia" w:ascii="宋体" w:hAnsi="宋体" w:cs="宋体"/>
          <w:sz w:val="18"/>
          <w:szCs w:val="18"/>
        </w:rPr>
        <w:t>，保障夜间行人安全。人行及非机动车道照明标准要求详见下表：</w:t>
      </w: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62"/>
        <w:gridCol w:w="2302"/>
        <w:gridCol w:w="1432"/>
        <w:gridCol w:w="1432"/>
        <w:gridCol w:w="1433"/>
        <w:gridCol w:w="1433"/>
      </w:tblGrid>
      <w:tr w14:paraId="171F8A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62" w:type="dxa"/>
            <w:tcBorders>
              <w:top w:val="single" w:color="auto" w:sz="12" w:space="0"/>
              <w:bottom w:val="single" w:color="auto" w:sz="12" w:space="0"/>
            </w:tcBorders>
            <w:vAlign w:val="center"/>
          </w:tcPr>
          <w:p w14:paraId="5E97F594">
            <w:pPr>
              <w:spacing w:line="240" w:lineRule="exact"/>
              <w:jc w:val="center"/>
              <w:rPr>
                <w:rFonts w:ascii="宋体" w:cs="Calibri"/>
                <w:sz w:val="15"/>
                <w:szCs w:val="15"/>
              </w:rPr>
            </w:pPr>
            <w:r>
              <w:rPr>
                <w:rFonts w:hint="eastAsia" w:ascii="宋体" w:cs="Calibri"/>
                <w:sz w:val="15"/>
                <w:szCs w:val="15"/>
              </w:rPr>
              <w:t>级别</w:t>
            </w:r>
          </w:p>
        </w:tc>
        <w:tc>
          <w:tcPr>
            <w:tcW w:w="2302" w:type="dxa"/>
            <w:tcBorders>
              <w:top w:val="single" w:color="auto" w:sz="12" w:space="0"/>
              <w:bottom w:val="single" w:color="auto" w:sz="12" w:space="0"/>
            </w:tcBorders>
            <w:vAlign w:val="center"/>
          </w:tcPr>
          <w:p w14:paraId="3AADCD73">
            <w:pPr>
              <w:spacing w:line="240" w:lineRule="exact"/>
              <w:jc w:val="center"/>
              <w:rPr>
                <w:rFonts w:ascii="宋体" w:cs="Calibri"/>
                <w:sz w:val="15"/>
                <w:szCs w:val="15"/>
              </w:rPr>
            </w:pPr>
            <w:r>
              <w:rPr>
                <w:rFonts w:hint="eastAsia" w:ascii="宋体" w:cs="Calibri"/>
                <w:sz w:val="15"/>
                <w:szCs w:val="15"/>
              </w:rPr>
              <w:t>道路类型</w:t>
            </w:r>
          </w:p>
        </w:tc>
        <w:tc>
          <w:tcPr>
            <w:tcW w:w="1432" w:type="dxa"/>
            <w:tcBorders>
              <w:top w:val="single" w:color="auto" w:sz="12" w:space="0"/>
              <w:bottom w:val="single" w:color="auto" w:sz="12" w:space="0"/>
            </w:tcBorders>
            <w:vAlign w:val="center"/>
          </w:tcPr>
          <w:p w14:paraId="00E96AD3">
            <w:pPr>
              <w:spacing w:line="240" w:lineRule="exact"/>
              <w:jc w:val="center"/>
              <w:rPr>
                <w:rFonts w:ascii="宋体" w:cs="Calibri"/>
                <w:sz w:val="15"/>
                <w:szCs w:val="15"/>
              </w:rPr>
            </w:pPr>
            <w:r>
              <w:rPr>
                <w:rFonts w:hint="eastAsia" w:ascii="宋体" w:cs="Calibri"/>
                <w:sz w:val="15"/>
                <w:szCs w:val="15"/>
              </w:rPr>
              <w:t>路面平均照度</w:t>
            </w:r>
          </w:p>
          <w:p w14:paraId="11040BDF">
            <w:pPr>
              <w:spacing w:line="240" w:lineRule="exact"/>
              <w:jc w:val="center"/>
              <w:rPr>
                <w:rFonts w:ascii="宋体" w:cs="Calibri"/>
                <w:sz w:val="15"/>
                <w:szCs w:val="15"/>
              </w:rPr>
            </w:pPr>
            <w:r>
              <w:rPr>
                <w:rFonts w:hint="eastAsia" w:ascii="宋体" w:cs="Calibri"/>
                <w:sz w:val="15"/>
                <w:szCs w:val="15"/>
              </w:rPr>
              <w:t>E</w:t>
            </w:r>
            <w:r>
              <w:rPr>
                <w:rFonts w:hint="eastAsia" w:ascii="宋体" w:cs="Calibri"/>
                <w:sz w:val="15"/>
                <w:szCs w:val="15"/>
                <w:vertAlign w:val="subscript"/>
              </w:rPr>
              <w:t>h</w:t>
            </w:r>
            <w:r>
              <w:rPr>
                <w:rFonts w:ascii="宋体" w:cs="Calibri"/>
                <w:sz w:val="15"/>
                <w:szCs w:val="15"/>
                <w:vertAlign w:val="subscript"/>
              </w:rPr>
              <w:t>.av</w:t>
            </w:r>
            <w:r>
              <w:rPr>
                <w:rFonts w:hint="eastAsia" w:ascii="宋体" w:cs="Calibri"/>
                <w:sz w:val="15"/>
                <w:szCs w:val="15"/>
              </w:rPr>
              <w:t>（lx）</w:t>
            </w:r>
          </w:p>
          <w:p w14:paraId="1A6FC57E">
            <w:pPr>
              <w:spacing w:line="240" w:lineRule="exact"/>
              <w:jc w:val="center"/>
              <w:rPr>
                <w:rFonts w:ascii="宋体" w:cs="Calibri"/>
                <w:sz w:val="15"/>
                <w:szCs w:val="15"/>
              </w:rPr>
            </w:pPr>
            <w:r>
              <w:rPr>
                <w:rFonts w:hint="eastAsia" w:ascii="宋体" w:cs="Calibri"/>
                <w:sz w:val="15"/>
                <w:szCs w:val="15"/>
              </w:rPr>
              <w:t>维持值</w:t>
            </w:r>
          </w:p>
        </w:tc>
        <w:tc>
          <w:tcPr>
            <w:tcW w:w="1432" w:type="dxa"/>
            <w:tcBorders>
              <w:top w:val="single" w:color="auto" w:sz="12" w:space="0"/>
              <w:bottom w:val="single" w:color="auto" w:sz="12" w:space="0"/>
            </w:tcBorders>
            <w:vAlign w:val="center"/>
          </w:tcPr>
          <w:p w14:paraId="4C256A0A">
            <w:pPr>
              <w:spacing w:line="240" w:lineRule="exact"/>
              <w:jc w:val="center"/>
              <w:rPr>
                <w:rFonts w:ascii="宋体" w:cs="Calibri"/>
                <w:sz w:val="15"/>
                <w:szCs w:val="15"/>
              </w:rPr>
            </w:pPr>
            <w:r>
              <w:rPr>
                <w:rFonts w:hint="eastAsia" w:ascii="宋体" w:cs="Calibri"/>
                <w:sz w:val="15"/>
                <w:szCs w:val="15"/>
              </w:rPr>
              <w:t>路面最小照度</w:t>
            </w:r>
          </w:p>
          <w:p w14:paraId="169F68CD">
            <w:pPr>
              <w:spacing w:line="240" w:lineRule="exact"/>
              <w:jc w:val="center"/>
              <w:rPr>
                <w:rFonts w:ascii="宋体" w:cs="Calibri"/>
                <w:sz w:val="15"/>
                <w:szCs w:val="15"/>
              </w:rPr>
            </w:pPr>
            <w:r>
              <w:rPr>
                <w:rFonts w:hint="eastAsia" w:ascii="宋体" w:cs="Calibri"/>
                <w:sz w:val="15"/>
                <w:szCs w:val="15"/>
              </w:rPr>
              <w:t>E</w:t>
            </w:r>
            <w:r>
              <w:rPr>
                <w:rFonts w:hint="eastAsia" w:ascii="宋体" w:cs="Calibri"/>
                <w:sz w:val="15"/>
                <w:szCs w:val="15"/>
                <w:vertAlign w:val="subscript"/>
              </w:rPr>
              <w:t>h</w:t>
            </w:r>
            <w:r>
              <w:rPr>
                <w:rFonts w:ascii="宋体" w:cs="Calibri"/>
                <w:sz w:val="15"/>
                <w:szCs w:val="15"/>
                <w:vertAlign w:val="subscript"/>
              </w:rPr>
              <w:t>.</w:t>
            </w:r>
            <w:r>
              <w:rPr>
                <w:rFonts w:hint="eastAsia" w:ascii="宋体" w:cs="Calibri"/>
                <w:sz w:val="15"/>
                <w:szCs w:val="15"/>
                <w:vertAlign w:val="subscript"/>
              </w:rPr>
              <w:t>min</w:t>
            </w:r>
            <w:r>
              <w:rPr>
                <w:rFonts w:hint="eastAsia" w:ascii="宋体" w:cs="Calibri"/>
                <w:sz w:val="15"/>
                <w:szCs w:val="15"/>
              </w:rPr>
              <w:t>（lx）</w:t>
            </w:r>
          </w:p>
          <w:p w14:paraId="12F3733D">
            <w:pPr>
              <w:spacing w:line="240" w:lineRule="exact"/>
              <w:jc w:val="center"/>
              <w:rPr>
                <w:rFonts w:ascii="宋体" w:cs="Calibri"/>
                <w:sz w:val="15"/>
                <w:szCs w:val="15"/>
              </w:rPr>
            </w:pPr>
            <w:r>
              <w:rPr>
                <w:rFonts w:hint="eastAsia" w:ascii="宋体" w:cs="Calibri"/>
                <w:sz w:val="15"/>
                <w:szCs w:val="15"/>
              </w:rPr>
              <w:t>维持值</w:t>
            </w:r>
          </w:p>
        </w:tc>
        <w:tc>
          <w:tcPr>
            <w:tcW w:w="1433" w:type="dxa"/>
            <w:tcBorders>
              <w:top w:val="single" w:color="auto" w:sz="12" w:space="0"/>
              <w:bottom w:val="single" w:color="auto" w:sz="12" w:space="0"/>
            </w:tcBorders>
            <w:vAlign w:val="center"/>
          </w:tcPr>
          <w:p w14:paraId="3A654272">
            <w:pPr>
              <w:spacing w:line="240" w:lineRule="exact"/>
              <w:jc w:val="center"/>
              <w:rPr>
                <w:rFonts w:ascii="宋体" w:cs="Calibri"/>
                <w:sz w:val="15"/>
                <w:szCs w:val="15"/>
              </w:rPr>
            </w:pPr>
            <w:r>
              <w:rPr>
                <w:rFonts w:hint="eastAsia" w:ascii="宋体" w:cs="Calibri"/>
                <w:sz w:val="15"/>
                <w:szCs w:val="15"/>
              </w:rPr>
              <w:t>最小垂直照度</w:t>
            </w:r>
          </w:p>
          <w:p w14:paraId="16ACA19C">
            <w:pPr>
              <w:spacing w:line="240" w:lineRule="exact"/>
              <w:jc w:val="center"/>
              <w:rPr>
                <w:rFonts w:ascii="宋体" w:cs="Calibri"/>
                <w:sz w:val="15"/>
                <w:szCs w:val="15"/>
              </w:rPr>
            </w:pPr>
            <w:r>
              <w:rPr>
                <w:rFonts w:hint="eastAsia" w:ascii="宋体" w:cs="Calibri"/>
                <w:sz w:val="15"/>
                <w:szCs w:val="15"/>
              </w:rPr>
              <w:t>E</w:t>
            </w:r>
            <w:r>
              <w:rPr>
                <w:rFonts w:hint="eastAsia" w:ascii="宋体" w:cs="Calibri"/>
                <w:sz w:val="15"/>
                <w:szCs w:val="15"/>
                <w:vertAlign w:val="subscript"/>
              </w:rPr>
              <w:t>h</w:t>
            </w:r>
            <w:r>
              <w:rPr>
                <w:rFonts w:ascii="宋体" w:cs="Calibri"/>
                <w:sz w:val="15"/>
                <w:szCs w:val="15"/>
                <w:vertAlign w:val="subscript"/>
              </w:rPr>
              <w:t>.</w:t>
            </w:r>
            <w:r>
              <w:rPr>
                <w:rFonts w:hint="eastAsia" w:ascii="宋体" w:cs="Calibri"/>
                <w:sz w:val="15"/>
                <w:szCs w:val="15"/>
                <w:vertAlign w:val="subscript"/>
              </w:rPr>
              <w:t>min</w:t>
            </w:r>
            <w:r>
              <w:rPr>
                <w:rFonts w:hint="eastAsia" w:ascii="宋体" w:cs="Calibri"/>
                <w:sz w:val="15"/>
                <w:szCs w:val="15"/>
              </w:rPr>
              <w:t>（lx）</w:t>
            </w:r>
          </w:p>
          <w:p w14:paraId="25128C9B">
            <w:pPr>
              <w:spacing w:line="240" w:lineRule="exact"/>
              <w:jc w:val="center"/>
              <w:rPr>
                <w:rFonts w:ascii="宋体" w:cs="Calibri"/>
                <w:sz w:val="15"/>
                <w:szCs w:val="15"/>
              </w:rPr>
            </w:pPr>
            <w:r>
              <w:rPr>
                <w:rFonts w:hint="eastAsia" w:ascii="宋体" w:cs="Calibri"/>
                <w:sz w:val="15"/>
                <w:szCs w:val="15"/>
              </w:rPr>
              <w:t>维持值</w:t>
            </w:r>
          </w:p>
        </w:tc>
        <w:tc>
          <w:tcPr>
            <w:tcW w:w="1433" w:type="dxa"/>
            <w:tcBorders>
              <w:top w:val="single" w:color="auto" w:sz="12" w:space="0"/>
              <w:bottom w:val="single" w:color="auto" w:sz="12" w:space="0"/>
            </w:tcBorders>
            <w:vAlign w:val="center"/>
          </w:tcPr>
          <w:p w14:paraId="5B8F56C8">
            <w:pPr>
              <w:spacing w:line="240" w:lineRule="exact"/>
              <w:jc w:val="center"/>
              <w:rPr>
                <w:rFonts w:ascii="宋体" w:cs="Calibri"/>
                <w:sz w:val="15"/>
                <w:szCs w:val="15"/>
              </w:rPr>
            </w:pPr>
            <w:r>
              <w:rPr>
                <w:rFonts w:hint="eastAsia" w:ascii="宋体" w:cs="Calibri"/>
                <w:sz w:val="15"/>
                <w:szCs w:val="15"/>
              </w:rPr>
              <w:t>最小半柱面照度</w:t>
            </w:r>
          </w:p>
          <w:p w14:paraId="2BB7F8B6">
            <w:pPr>
              <w:spacing w:line="240" w:lineRule="exact"/>
              <w:jc w:val="center"/>
              <w:rPr>
                <w:rFonts w:ascii="宋体" w:cs="Calibri"/>
                <w:sz w:val="15"/>
                <w:szCs w:val="15"/>
              </w:rPr>
            </w:pPr>
            <w:r>
              <w:rPr>
                <w:rFonts w:hint="eastAsia" w:ascii="宋体" w:cs="Calibri"/>
                <w:sz w:val="15"/>
                <w:szCs w:val="15"/>
              </w:rPr>
              <w:t>E</w:t>
            </w:r>
            <w:r>
              <w:rPr>
                <w:rFonts w:ascii="宋体" w:cs="Calibri"/>
                <w:sz w:val="15"/>
                <w:szCs w:val="15"/>
                <w:vertAlign w:val="subscript"/>
              </w:rPr>
              <w:t>sc.</w:t>
            </w:r>
            <w:r>
              <w:rPr>
                <w:rFonts w:hint="eastAsia" w:ascii="宋体" w:cs="Calibri"/>
                <w:sz w:val="15"/>
                <w:szCs w:val="15"/>
                <w:vertAlign w:val="subscript"/>
              </w:rPr>
              <w:t>min</w:t>
            </w:r>
            <w:r>
              <w:rPr>
                <w:rFonts w:hint="eastAsia" w:ascii="宋体" w:cs="Calibri"/>
                <w:sz w:val="15"/>
                <w:szCs w:val="15"/>
              </w:rPr>
              <w:t>（lx）</w:t>
            </w:r>
          </w:p>
          <w:p w14:paraId="2C62EA14">
            <w:pPr>
              <w:spacing w:line="240" w:lineRule="exact"/>
              <w:jc w:val="center"/>
              <w:rPr>
                <w:rFonts w:ascii="宋体" w:cs="Calibri"/>
                <w:sz w:val="15"/>
                <w:szCs w:val="15"/>
              </w:rPr>
            </w:pPr>
            <w:r>
              <w:rPr>
                <w:rFonts w:hint="eastAsia" w:ascii="宋体" w:cs="Calibri"/>
                <w:sz w:val="15"/>
                <w:szCs w:val="15"/>
              </w:rPr>
              <w:t>维持值</w:t>
            </w:r>
          </w:p>
        </w:tc>
      </w:tr>
      <w:tr w14:paraId="2BE109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62" w:type="dxa"/>
            <w:tcBorders>
              <w:top w:val="single" w:color="auto" w:sz="12" w:space="0"/>
            </w:tcBorders>
            <w:vAlign w:val="center"/>
          </w:tcPr>
          <w:p w14:paraId="225339FE">
            <w:pPr>
              <w:spacing w:line="240" w:lineRule="exact"/>
              <w:jc w:val="center"/>
              <w:rPr>
                <w:rFonts w:ascii="宋体" w:cs="Calibri"/>
                <w:sz w:val="15"/>
                <w:szCs w:val="15"/>
              </w:rPr>
            </w:pPr>
            <w:r>
              <w:rPr>
                <w:rFonts w:hint="eastAsia" w:ascii="宋体" w:cs="Calibri"/>
                <w:sz w:val="15"/>
                <w:szCs w:val="15"/>
              </w:rPr>
              <w:t>1</w:t>
            </w:r>
          </w:p>
        </w:tc>
        <w:tc>
          <w:tcPr>
            <w:tcW w:w="2302" w:type="dxa"/>
            <w:tcBorders>
              <w:top w:val="single" w:color="auto" w:sz="12" w:space="0"/>
            </w:tcBorders>
            <w:vAlign w:val="center"/>
          </w:tcPr>
          <w:p w14:paraId="0011548F">
            <w:pPr>
              <w:spacing w:line="240" w:lineRule="exact"/>
              <w:jc w:val="center"/>
              <w:rPr>
                <w:rFonts w:ascii="宋体" w:cs="Calibri"/>
                <w:sz w:val="15"/>
                <w:szCs w:val="15"/>
              </w:rPr>
            </w:pPr>
            <w:r>
              <w:rPr>
                <w:rFonts w:hint="eastAsia" w:ascii="宋体" w:cs="Calibri"/>
                <w:sz w:val="15"/>
                <w:szCs w:val="15"/>
              </w:rPr>
              <w:t>商业步行街；市中心或商业区人行流量高的道路；机动车与行人混合使用、与城市机动车道路连接的居住区出入道路</w:t>
            </w:r>
          </w:p>
        </w:tc>
        <w:tc>
          <w:tcPr>
            <w:tcW w:w="1432" w:type="dxa"/>
            <w:tcBorders>
              <w:top w:val="single" w:color="auto" w:sz="12" w:space="0"/>
            </w:tcBorders>
            <w:vAlign w:val="center"/>
          </w:tcPr>
          <w:p w14:paraId="1B006B27">
            <w:pPr>
              <w:spacing w:line="240" w:lineRule="exact"/>
              <w:jc w:val="center"/>
              <w:rPr>
                <w:rFonts w:ascii="宋体" w:cs="Calibri"/>
                <w:sz w:val="15"/>
                <w:szCs w:val="15"/>
              </w:rPr>
            </w:pPr>
            <w:r>
              <w:rPr>
                <w:rFonts w:hint="eastAsia" w:ascii="宋体" w:cs="Calibri"/>
                <w:sz w:val="15"/>
                <w:szCs w:val="15"/>
              </w:rPr>
              <w:t>1</w:t>
            </w:r>
            <w:r>
              <w:rPr>
                <w:rFonts w:ascii="宋体" w:cs="Calibri"/>
                <w:sz w:val="15"/>
                <w:szCs w:val="15"/>
              </w:rPr>
              <w:t>5</w:t>
            </w:r>
          </w:p>
        </w:tc>
        <w:tc>
          <w:tcPr>
            <w:tcW w:w="1432" w:type="dxa"/>
            <w:tcBorders>
              <w:top w:val="single" w:color="auto" w:sz="12" w:space="0"/>
            </w:tcBorders>
            <w:vAlign w:val="center"/>
          </w:tcPr>
          <w:p w14:paraId="7F89F7D2">
            <w:pPr>
              <w:spacing w:line="240" w:lineRule="exact"/>
              <w:jc w:val="center"/>
              <w:rPr>
                <w:rFonts w:ascii="宋体" w:cs="Calibri"/>
                <w:sz w:val="15"/>
                <w:szCs w:val="15"/>
              </w:rPr>
            </w:pPr>
            <w:r>
              <w:rPr>
                <w:rFonts w:ascii="宋体" w:cs="Calibri"/>
                <w:sz w:val="15"/>
                <w:szCs w:val="15"/>
              </w:rPr>
              <w:t>3</w:t>
            </w:r>
          </w:p>
        </w:tc>
        <w:tc>
          <w:tcPr>
            <w:tcW w:w="1433" w:type="dxa"/>
            <w:tcBorders>
              <w:top w:val="single" w:color="auto" w:sz="12" w:space="0"/>
            </w:tcBorders>
            <w:vAlign w:val="center"/>
          </w:tcPr>
          <w:p w14:paraId="53CABF78">
            <w:pPr>
              <w:spacing w:line="240" w:lineRule="exact"/>
              <w:jc w:val="center"/>
              <w:rPr>
                <w:rFonts w:ascii="宋体" w:cs="Calibri"/>
                <w:sz w:val="15"/>
                <w:szCs w:val="15"/>
              </w:rPr>
            </w:pPr>
            <w:r>
              <w:rPr>
                <w:rFonts w:hint="eastAsia" w:ascii="宋体" w:cs="Calibri"/>
                <w:sz w:val="15"/>
                <w:szCs w:val="15"/>
              </w:rPr>
              <w:t>5</w:t>
            </w:r>
          </w:p>
        </w:tc>
        <w:tc>
          <w:tcPr>
            <w:tcW w:w="1433" w:type="dxa"/>
            <w:tcBorders>
              <w:top w:val="single" w:color="auto" w:sz="12" w:space="0"/>
            </w:tcBorders>
            <w:vAlign w:val="center"/>
          </w:tcPr>
          <w:p w14:paraId="6CD5AC6A">
            <w:pPr>
              <w:spacing w:line="240" w:lineRule="exact"/>
              <w:jc w:val="center"/>
              <w:rPr>
                <w:rFonts w:ascii="宋体" w:cs="Calibri"/>
                <w:sz w:val="15"/>
                <w:szCs w:val="15"/>
              </w:rPr>
            </w:pPr>
            <w:r>
              <w:rPr>
                <w:rFonts w:hint="eastAsia" w:ascii="宋体" w:cs="Calibri"/>
                <w:sz w:val="15"/>
                <w:szCs w:val="15"/>
              </w:rPr>
              <w:t>3</w:t>
            </w:r>
          </w:p>
        </w:tc>
      </w:tr>
      <w:tr w14:paraId="06B936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62" w:type="dxa"/>
            <w:vAlign w:val="center"/>
          </w:tcPr>
          <w:p w14:paraId="1C423F01">
            <w:pPr>
              <w:spacing w:line="240" w:lineRule="exact"/>
              <w:jc w:val="center"/>
              <w:rPr>
                <w:rFonts w:ascii="宋体" w:cs="Calibri"/>
                <w:sz w:val="15"/>
                <w:szCs w:val="15"/>
              </w:rPr>
            </w:pPr>
            <w:r>
              <w:rPr>
                <w:rFonts w:hint="eastAsia" w:ascii="宋体" w:cs="Calibri"/>
                <w:sz w:val="15"/>
                <w:szCs w:val="15"/>
              </w:rPr>
              <w:t>2</w:t>
            </w:r>
          </w:p>
        </w:tc>
        <w:tc>
          <w:tcPr>
            <w:tcW w:w="2302" w:type="dxa"/>
            <w:vAlign w:val="center"/>
          </w:tcPr>
          <w:p w14:paraId="3DBFBD04">
            <w:pPr>
              <w:spacing w:line="240" w:lineRule="exact"/>
              <w:jc w:val="center"/>
              <w:rPr>
                <w:rFonts w:ascii="宋体" w:cs="Calibri"/>
                <w:sz w:val="15"/>
                <w:szCs w:val="15"/>
              </w:rPr>
            </w:pPr>
            <w:r>
              <w:rPr>
                <w:rFonts w:hint="eastAsia" w:ascii="宋体" w:cs="Calibri"/>
                <w:sz w:val="15"/>
                <w:szCs w:val="15"/>
              </w:rPr>
              <w:t>流量较高的道路</w:t>
            </w:r>
          </w:p>
        </w:tc>
        <w:tc>
          <w:tcPr>
            <w:tcW w:w="1432" w:type="dxa"/>
            <w:vAlign w:val="center"/>
          </w:tcPr>
          <w:p w14:paraId="702072BF">
            <w:pPr>
              <w:spacing w:line="240" w:lineRule="exact"/>
              <w:jc w:val="center"/>
              <w:rPr>
                <w:rFonts w:ascii="宋体" w:cs="Calibri"/>
                <w:sz w:val="15"/>
                <w:szCs w:val="15"/>
              </w:rPr>
            </w:pPr>
            <w:r>
              <w:rPr>
                <w:rFonts w:hint="eastAsia" w:ascii="宋体" w:cs="Calibri"/>
                <w:sz w:val="15"/>
                <w:szCs w:val="15"/>
              </w:rPr>
              <w:t>1</w:t>
            </w:r>
            <w:r>
              <w:rPr>
                <w:rFonts w:ascii="宋体" w:cs="Calibri"/>
                <w:sz w:val="15"/>
                <w:szCs w:val="15"/>
              </w:rPr>
              <w:t>0</w:t>
            </w:r>
          </w:p>
        </w:tc>
        <w:tc>
          <w:tcPr>
            <w:tcW w:w="1432" w:type="dxa"/>
            <w:vAlign w:val="center"/>
          </w:tcPr>
          <w:p w14:paraId="64359EAC">
            <w:pPr>
              <w:spacing w:line="240" w:lineRule="exact"/>
              <w:jc w:val="center"/>
              <w:rPr>
                <w:rFonts w:ascii="宋体" w:cs="Calibri"/>
                <w:sz w:val="15"/>
                <w:szCs w:val="15"/>
              </w:rPr>
            </w:pPr>
            <w:r>
              <w:rPr>
                <w:rFonts w:hint="eastAsia" w:ascii="宋体" w:cs="Calibri"/>
                <w:sz w:val="15"/>
                <w:szCs w:val="15"/>
              </w:rPr>
              <w:t>2</w:t>
            </w:r>
          </w:p>
        </w:tc>
        <w:tc>
          <w:tcPr>
            <w:tcW w:w="1433" w:type="dxa"/>
            <w:vAlign w:val="center"/>
          </w:tcPr>
          <w:p w14:paraId="6409DE8C">
            <w:pPr>
              <w:spacing w:line="240" w:lineRule="exact"/>
              <w:jc w:val="center"/>
              <w:rPr>
                <w:rFonts w:ascii="宋体" w:cs="Calibri"/>
                <w:sz w:val="15"/>
                <w:szCs w:val="15"/>
              </w:rPr>
            </w:pPr>
            <w:r>
              <w:rPr>
                <w:rFonts w:hint="eastAsia" w:ascii="宋体" w:cs="Calibri"/>
                <w:sz w:val="15"/>
                <w:szCs w:val="15"/>
              </w:rPr>
              <w:t>3</w:t>
            </w:r>
          </w:p>
        </w:tc>
        <w:tc>
          <w:tcPr>
            <w:tcW w:w="1433" w:type="dxa"/>
            <w:vAlign w:val="center"/>
          </w:tcPr>
          <w:p w14:paraId="27CE0596">
            <w:pPr>
              <w:spacing w:line="240" w:lineRule="exact"/>
              <w:jc w:val="center"/>
              <w:rPr>
                <w:rFonts w:ascii="宋体" w:cs="Calibri"/>
                <w:sz w:val="15"/>
                <w:szCs w:val="15"/>
              </w:rPr>
            </w:pPr>
            <w:r>
              <w:rPr>
                <w:rFonts w:hint="eastAsia" w:ascii="宋体" w:cs="Calibri"/>
                <w:sz w:val="15"/>
                <w:szCs w:val="15"/>
              </w:rPr>
              <w:t>2</w:t>
            </w:r>
          </w:p>
        </w:tc>
      </w:tr>
      <w:tr w14:paraId="22576D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62" w:type="dxa"/>
            <w:vAlign w:val="center"/>
          </w:tcPr>
          <w:p w14:paraId="2C5B6373">
            <w:pPr>
              <w:spacing w:line="240" w:lineRule="exact"/>
              <w:jc w:val="center"/>
              <w:rPr>
                <w:rFonts w:ascii="宋体" w:cs="Calibri"/>
                <w:sz w:val="15"/>
                <w:szCs w:val="15"/>
              </w:rPr>
            </w:pPr>
            <w:r>
              <w:rPr>
                <w:rFonts w:hint="eastAsia" w:ascii="宋体" w:cs="Calibri"/>
                <w:sz w:val="15"/>
                <w:szCs w:val="15"/>
              </w:rPr>
              <w:t>3</w:t>
            </w:r>
          </w:p>
        </w:tc>
        <w:tc>
          <w:tcPr>
            <w:tcW w:w="2302" w:type="dxa"/>
            <w:vAlign w:val="center"/>
          </w:tcPr>
          <w:p w14:paraId="7691B436">
            <w:pPr>
              <w:spacing w:line="240" w:lineRule="exact"/>
              <w:jc w:val="center"/>
              <w:rPr>
                <w:rFonts w:ascii="宋体" w:cs="Calibri"/>
                <w:sz w:val="15"/>
                <w:szCs w:val="15"/>
              </w:rPr>
            </w:pPr>
            <w:r>
              <w:rPr>
                <w:rFonts w:hint="eastAsia" w:ascii="宋体" w:cs="Calibri"/>
                <w:sz w:val="15"/>
                <w:szCs w:val="15"/>
              </w:rPr>
              <w:t>流量中等的道路</w:t>
            </w:r>
          </w:p>
        </w:tc>
        <w:tc>
          <w:tcPr>
            <w:tcW w:w="1432" w:type="dxa"/>
            <w:vAlign w:val="center"/>
          </w:tcPr>
          <w:p w14:paraId="657088F0">
            <w:pPr>
              <w:spacing w:line="240" w:lineRule="exact"/>
              <w:jc w:val="center"/>
              <w:rPr>
                <w:rFonts w:ascii="宋体" w:cs="Calibri"/>
                <w:sz w:val="15"/>
                <w:szCs w:val="15"/>
              </w:rPr>
            </w:pPr>
            <w:r>
              <w:rPr>
                <w:rFonts w:hint="eastAsia" w:ascii="宋体" w:cs="Calibri"/>
                <w:sz w:val="15"/>
                <w:szCs w:val="15"/>
              </w:rPr>
              <w:t>7</w:t>
            </w:r>
            <w:r>
              <w:rPr>
                <w:rFonts w:ascii="宋体" w:cs="Calibri"/>
                <w:sz w:val="15"/>
                <w:szCs w:val="15"/>
              </w:rPr>
              <w:t>.5</w:t>
            </w:r>
          </w:p>
        </w:tc>
        <w:tc>
          <w:tcPr>
            <w:tcW w:w="1432" w:type="dxa"/>
            <w:vAlign w:val="center"/>
          </w:tcPr>
          <w:p w14:paraId="7686D1AC">
            <w:pPr>
              <w:spacing w:line="240" w:lineRule="exact"/>
              <w:jc w:val="center"/>
              <w:rPr>
                <w:rFonts w:ascii="宋体" w:cs="Calibri"/>
                <w:sz w:val="15"/>
                <w:szCs w:val="15"/>
              </w:rPr>
            </w:pPr>
            <w:r>
              <w:rPr>
                <w:rFonts w:hint="eastAsia" w:ascii="宋体" w:cs="Calibri"/>
                <w:sz w:val="15"/>
                <w:szCs w:val="15"/>
              </w:rPr>
              <w:t>1</w:t>
            </w:r>
            <w:r>
              <w:rPr>
                <w:rFonts w:ascii="宋体" w:cs="Calibri"/>
                <w:sz w:val="15"/>
                <w:szCs w:val="15"/>
              </w:rPr>
              <w:t>.5</w:t>
            </w:r>
          </w:p>
        </w:tc>
        <w:tc>
          <w:tcPr>
            <w:tcW w:w="1433" w:type="dxa"/>
            <w:vAlign w:val="center"/>
          </w:tcPr>
          <w:p w14:paraId="63596F44">
            <w:pPr>
              <w:spacing w:line="240" w:lineRule="exact"/>
              <w:jc w:val="center"/>
              <w:rPr>
                <w:rFonts w:ascii="宋体" w:cs="Calibri"/>
                <w:sz w:val="15"/>
                <w:szCs w:val="15"/>
              </w:rPr>
            </w:pPr>
            <w:r>
              <w:rPr>
                <w:rFonts w:hint="eastAsia" w:ascii="宋体" w:cs="Calibri"/>
                <w:sz w:val="15"/>
                <w:szCs w:val="15"/>
              </w:rPr>
              <w:t>2</w:t>
            </w:r>
            <w:r>
              <w:rPr>
                <w:rFonts w:ascii="宋体" w:cs="Calibri"/>
                <w:sz w:val="15"/>
                <w:szCs w:val="15"/>
              </w:rPr>
              <w:t>.5</w:t>
            </w:r>
          </w:p>
        </w:tc>
        <w:tc>
          <w:tcPr>
            <w:tcW w:w="1433" w:type="dxa"/>
            <w:vAlign w:val="center"/>
          </w:tcPr>
          <w:p w14:paraId="5824B8C5">
            <w:pPr>
              <w:spacing w:line="240" w:lineRule="exact"/>
              <w:jc w:val="center"/>
              <w:rPr>
                <w:rFonts w:ascii="宋体" w:cs="Calibri"/>
                <w:sz w:val="15"/>
                <w:szCs w:val="15"/>
              </w:rPr>
            </w:pPr>
            <w:r>
              <w:rPr>
                <w:rFonts w:hint="eastAsia" w:ascii="宋体" w:cs="Calibri"/>
                <w:sz w:val="15"/>
                <w:szCs w:val="15"/>
              </w:rPr>
              <w:t>1</w:t>
            </w:r>
            <w:r>
              <w:rPr>
                <w:rFonts w:ascii="宋体" w:cs="Calibri"/>
                <w:sz w:val="15"/>
                <w:szCs w:val="15"/>
              </w:rPr>
              <w:t>.5</w:t>
            </w:r>
          </w:p>
        </w:tc>
      </w:tr>
      <w:tr w14:paraId="3A7F29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62" w:type="dxa"/>
            <w:tcBorders>
              <w:bottom w:val="single" w:color="auto" w:sz="12" w:space="0"/>
            </w:tcBorders>
            <w:vAlign w:val="center"/>
          </w:tcPr>
          <w:p w14:paraId="6D8B97FC">
            <w:pPr>
              <w:spacing w:line="240" w:lineRule="exact"/>
              <w:jc w:val="center"/>
              <w:rPr>
                <w:rFonts w:ascii="宋体" w:cs="Calibri"/>
                <w:sz w:val="15"/>
                <w:szCs w:val="15"/>
              </w:rPr>
            </w:pPr>
            <w:r>
              <w:rPr>
                <w:rFonts w:hint="eastAsia" w:ascii="宋体" w:cs="Calibri"/>
                <w:sz w:val="15"/>
                <w:szCs w:val="15"/>
              </w:rPr>
              <w:t>4</w:t>
            </w:r>
          </w:p>
        </w:tc>
        <w:tc>
          <w:tcPr>
            <w:tcW w:w="2302" w:type="dxa"/>
            <w:tcBorders>
              <w:bottom w:val="single" w:color="auto" w:sz="12" w:space="0"/>
            </w:tcBorders>
            <w:vAlign w:val="center"/>
          </w:tcPr>
          <w:p w14:paraId="525FCB9C">
            <w:pPr>
              <w:spacing w:line="240" w:lineRule="exact"/>
              <w:jc w:val="center"/>
              <w:rPr>
                <w:rFonts w:ascii="宋体" w:cs="Calibri"/>
                <w:sz w:val="15"/>
                <w:szCs w:val="15"/>
              </w:rPr>
            </w:pPr>
            <w:r>
              <w:rPr>
                <w:rFonts w:hint="eastAsia" w:ascii="宋体" w:cs="Calibri"/>
                <w:sz w:val="15"/>
                <w:szCs w:val="15"/>
              </w:rPr>
              <w:t>流量较低的道路</w:t>
            </w:r>
          </w:p>
        </w:tc>
        <w:tc>
          <w:tcPr>
            <w:tcW w:w="1432" w:type="dxa"/>
            <w:tcBorders>
              <w:bottom w:val="single" w:color="auto" w:sz="12" w:space="0"/>
            </w:tcBorders>
            <w:vAlign w:val="center"/>
          </w:tcPr>
          <w:p w14:paraId="3F11F43A">
            <w:pPr>
              <w:spacing w:line="240" w:lineRule="exact"/>
              <w:jc w:val="center"/>
              <w:rPr>
                <w:rFonts w:ascii="宋体" w:cs="Calibri"/>
                <w:sz w:val="15"/>
                <w:szCs w:val="15"/>
              </w:rPr>
            </w:pPr>
            <w:r>
              <w:rPr>
                <w:rFonts w:hint="eastAsia" w:ascii="宋体" w:cs="Calibri"/>
                <w:sz w:val="15"/>
                <w:szCs w:val="15"/>
              </w:rPr>
              <w:t>5</w:t>
            </w:r>
          </w:p>
        </w:tc>
        <w:tc>
          <w:tcPr>
            <w:tcW w:w="1432" w:type="dxa"/>
            <w:tcBorders>
              <w:bottom w:val="single" w:color="auto" w:sz="12" w:space="0"/>
            </w:tcBorders>
            <w:vAlign w:val="center"/>
          </w:tcPr>
          <w:p w14:paraId="59E881CD">
            <w:pPr>
              <w:spacing w:line="240" w:lineRule="exact"/>
              <w:jc w:val="center"/>
              <w:rPr>
                <w:rFonts w:ascii="宋体" w:cs="Calibri"/>
                <w:sz w:val="15"/>
                <w:szCs w:val="15"/>
              </w:rPr>
            </w:pPr>
            <w:r>
              <w:rPr>
                <w:rFonts w:hint="eastAsia" w:ascii="宋体" w:cs="Calibri"/>
                <w:sz w:val="15"/>
                <w:szCs w:val="15"/>
              </w:rPr>
              <w:t>1</w:t>
            </w:r>
          </w:p>
        </w:tc>
        <w:tc>
          <w:tcPr>
            <w:tcW w:w="1433" w:type="dxa"/>
            <w:tcBorders>
              <w:bottom w:val="single" w:color="auto" w:sz="12" w:space="0"/>
            </w:tcBorders>
            <w:vAlign w:val="center"/>
          </w:tcPr>
          <w:p w14:paraId="0EE02B0A">
            <w:pPr>
              <w:spacing w:line="240" w:lineRule="exact"/>
              <w:jc w:val="center"/>
              <w:rPr>
                <w:rFonts w:ascii="宋体" w:cs="Calibri"/>
                <w:sz w:val="15"/>
                <w:szCs w:val="15"/>
              </w:rPr>
            </w:pPr>
            <w:r>
              <w:rPr>
                <w:rFonts w:hint="eastAsia" w:ascii="宋体" w:cs="Calibri"/>
                <w:sz w:val="15"/>
                <w:szCs w:val="15"/>
              </w:rPr>
              <w:t>1</w:t>
            </w:r>
            <w:r>
              <w:rPr>
                <w:rFonts w:ascii="宋体" w:cs="Calibri"/>
                <w:sz w:val="15"/>
                <w:szCs w:val="15"/>
              </w:rPr>
              <w:t>.5</w:t>
            </w:r>
          </w:p>
        </w:tc>
        <w:tc>
          <w:tcPr>
            <w:tcW w:w="1433" w:type="dxa"/>
            <w:tcBorders>
              <w:bottom w:val="single" w:color="auto" w:sz="12" w:space="0"/>
            </w:tcBorders>
            <w:vAlign w:val="center"/>
          </w:tcPr>
          <w:p w14:paraId="471257C1">
            <w:pPr>
              <w:spacing w:line="240" w:lineRule="exact"/>
              <w:jc w:val="center"/>
              <w:rPr>
                <w:rFonts w:ascii="宋体" w:cs="Calibri"/>
                <w:sz w:val="15"/>
                <w:szCs w:val="15"/>
              </w:rPr>
            </w:pPr>
            <w:r>
              <w:rPr>
                <w:rFonts w:hint="eastAsia" w:ascii="宋体" w:cs="Calibri"/>
                <w:sz w:val="15"/>
                <w:szCs w:val="15"/>
              </w:rPr>
              <w:t>1</w:t>
            </w:r>
          </w:p>
        </w:tc>
      </w:tr>
    </w:tbl>
    <w:p w14:paraId="768DF702">
      <w:pPr>
        <w:spacing w:line="240" w:lineRule="exact"/>
        <w:rPr>
          <w:rFonts w:ascii="宋体"/>
          <w:sz w:val="18"/>
          <w:szCs w:val="18"/>
          <w:u w:val="single"/>
        </w:rPr>
      </w:pPr>
    </w:p>
    <w:p w14:paraId="06A1EF63">
      <w:pPr>
        <w:spacing w:line="240" w:lineRule="exact"/>
        <w:rPr>
          <w:sz w:val="18"/>
          <w:szCs w:val="18"/>
        </w:rPr>
      </w:pPr>
      <w:r>
        <w:rPr>
          <w:rFonts w:hint="eastAsia" w:ascii="宋体" w:hAnsi="宋体" w:cs="宋体"/>
          <w:sz w:val="18"/>
          <w:szCs w:val="18"/>
        </w:rPr>
        <w:t>证明材料：√设计图纸（建筑、Z</w:t>
      </w:r>
      <w:r>
        <w:rPr>
          <w:rFonts w:ascii="宋体" w:hAnsi="宋体" w:cs="宋体"/>
          <w:sz w:val="18"/>
          <w:szCs w:val="18"/>
        </w:rPr>
        <w:t>P</w:t>
      </w:r>
      <w:r>
        <w:rPr>
          <w:rFonts w:hint="eastAsia" w:ascii="宋体" w:hAnsi="宋体" w:cs="宋体"/>
          <w:sz w:val="18"/>
          <w:szCs w:val="18"/>
        </w:rPr>
        <w:t>-01_总平面图）；√二次设计达标承诺函</w:t>
      </w:r>
    </w:p>
    <w:p w14:paraId="530CB11D">
      <w:pPr>
        <w:spacing w:line="240" w:lineRule="exact"/>
        <w:outlineLvl w:val="2"/>
        <w:rPr>
          <w:rFonts w:ascii="黑体" w:hAnsi="宋体" w:eastAsia="黑体"/>
          <w:sz w:val="18"/>
          <w:szCs w:val="18"/>
        </w:rPr>
      </w:pPr>
      <w:r>
        <w:rPr>
          <w:rFonts w:ascii="黑体" w:hAnsi="宋体" w:eastAsia="黑体" w:cs="黑体"/>
          <w:sz w:val="18"/>
          <w:szCs w:val="18"/>
        </w:rPr>
        <w:t>4.2.7-1</w:t>
      </w:r>
      <w:r>
        <w:rPr>
          <w:rFonts w:hint="eastAsia" w:ascii="黑体" w:hAnsi="宋体" w:eastAsia="黑体" w:cs="黑体"/>
          <w:sz w:val="18"/>
          <w:szCs w:val="18"/>
        </w:rPr>
        <w:t>采取提升建筑部品部件耐久性的措施。</w:t>
      </w:r>
    </w:p>
    <w:p w14:paraId="46EB22F6">
      <w:pPr>
        <w:pStyle w:val="3"/>
        <w:spacing w:line="240" w:lineRule="exact"/>
        <w:ind w:firstLine="0" w:firstLineChars="0"/>
        <w:jc w:val="left"/>
        <w:rPr>
          <w:rFonts w:ascii="宋体"/>
          <w:sz w:val="18"/>
          <w:szCs w:val="18"/>
          <w:u w:val="single"/>
        </w:rPr>
      </w:pPr>
      <w:r>
        <w:rPr>
          <w:rFonts w:hint="eastAsia" w:ascii="宋体" w:hAnsi="宋体" w:cs="宋体"/>
          <w:sz w:val="18"/>
          <w:szCs w:val="18"/>
        </w:rPr>
        <w:t>技术措施说明：</w:t>
      </w:r>
      <w:r>
        <w:rPr>
          <w:rFonts w:hint="eastAsia" w:ascii="宋体" w:hAnsi="宋体" w:eastAsia="宋体" w:cs="宋体"/>
          <w:kern w:val="2"/>
          <w:sz w:val="18"/>
          <w:szCs w:val="18"/>
        </w:rPr>
        <w:t>电气系统采用低烟低毒阻燃型线缆、矿物绝缘类不燃性电缆、耐火电缆等，且导体材料采用铜芯部分。</w:t>
      </w:r>
    </w:p>
    <w:p w14:paraId="1DEAC48B">
      <w:pPr>
        <w:spacing w:line="240" w:lineRule="exact"/>
        <w:rPr>
          <w:rFonts w:ascii="宋体"/>
          <w:sz w:val="18"/>
          <w:szCs w:val="18"/>
        </w:rPr>
      </w:pPr>
      <w:r>
        <w:rPr>
          <w:rFonts w:hint="eastAsia" w:ascii="宋体" w:hAnsi="宋体" w:cs="宋体"/>
          <w:sz w:val="18"/>
          <w:szCs w:val="18"/>
        </w:rPr>
        <w:t>证明材料：√设计图纸（电气</w:t>
      </w:r>
      <w:r>
        <w:rPr>
          <w:rFonts w:ascii="宋体" w:hAnsi="宋体" w:cs="宋体"/>
          <w:sz w:val="18"/>
          <w:szCs w:val="18"/>
        </w:rPr>
        <w:t>、D-SM-01~06_电气施工图设计说明</w:t>
      </w:r>
      <w:r>
        <w:rPr>
          <w:rFonts w:hint="eastAsia" w:ascii="宋体" w:hAnsi="宋体" w:cs="宋体"/>
          <w:sz w:val="18"/>
          <w:szCs w:val="18"/>
        </w:rPr>
        <w:t>）</w:t>
      </w:r>
    </w:p>
    <w:p w14:paraId="4D37B315">
      <w:pPr>
        <w:spacing w:line="240" w:lineRule="exact"/>
        <w:rPr>
          <w:rFonts w:ascii="宋体"/>
          <w:sz w:val="18"/>
          <w:szCs w:val="18"/>
        </w:rPr>
      </w:pPr>
    </w:p>
    <w:p w14:paraId="4648AFF2">
      <w:pPr>
        <w:spacing w:line="240" w:lineRule="exact"/>
        <w:rPr>
          <w:b/>
          <w:bCs/>
          <w:sz w:val="18"/>
          <w:szCs w:val="18"/>
        </w:rPr>
      </w:pPr>
      <w:r>
        <w:rPr>
          <w:rFonts w:hint="eastAsia"/>
          <w:b/>
          <w:bCs/>
          <w:sz w:val="18"/>
          <w:szCs w:val="18"/>
        </w:rPr>
        <w:t>景观专业</w:t>
      </w:r>
    </w:p>
    <w:p w14:paraId="65E4A6E1">
      <w:pPr>
        <w:spacing w:line="240" w:lineRule="exact"/>
        <w:outlineLvl w:val="2"/>
        <w:rPr>
          <w:rFonts w:ascii="黑体" w:hAnsi="宋体" w:eastAsia="黑体" w:cs="黑体"/>
          <w:sz w:val="18"/>
          <w:szCs w:val="18"/>
        </w:rPr>
      </w:pPr>
      <w:r>
        <w:rPr>
          <w:rFonts w:ascii="黑体" w:hAnsi="宋体" w:eastAsia="黑体" w:cs="黑体"/>
          <w:sz w:val="18"/>
          <w:szCs w:val="18"/>
        </w:rPr>
        <w:t>4.2.4</w:t>
      </w:r>
      <w:r>
        <w:rPr>
          <w:rFonts w:hint="eastAsia" w:ascii="黑体" w:hAnsi="宋体" w:eastAsia="黑体" w:cs="黑体"/>
          <w:sz w:val="18"/>
          <w:szCs w:val="18"/>
        </w:rPr>
        <w:t>室内外地面或路面设置防滑措施。</w:t>
      </w:r>
    </w:p>
    <w:p w14:paraId="38F7E600">
      <w:pPr>
        <w:spacing w:line="240" w:lineRule="exact"/>
        <w:rPr>
          <w:rFonts w:ascii="Times New Roman" w:hAnsi="Times New Roman"/>
          <w:sz w:val="18"/>
          <w:szCs w:val="18"/>
        </w:rPr>
      </w:pPr>
      <w:r>
        <w:rPr>
          <w:rFonts w:hint="eastAsia" w:ascii="宋体" w:hAnsi="宋体" w:cs="宋体"/>
          <w:sz w:val="18"/>
          <w:szCs w:val="18"/>
        </w:rPr>
        <w:t>技术措施说明：</w:t>
      </w:r>
      <w:r>
        <w:rPr>
          <w:rFonts w:hint="eastAsia" w:ascii="Times New Roman" w:hAnsi="Times New Roman"/>
          <w:sz w:val="18"/>
          <w:szCs w:val="18"/>
        </w:rPr>
        <w:t>本项目</w:t>
      </w:r>
      <w:r>
        <w:rPr>
          <w:rFonts w:ascii="Times New Roman" w:hAnsi="Times New Roman"/>
          <w:sz w:val="18"/>
          <w:szCs w:val="18"/>
        </w:rPr>
        <w:t>石材、陶瓷砖、地板涂料、地板胶等地面装饰材料的选用及构造</w:t>
      </w:r>
      <w:r>
        <w:rPr>
          <w:rFonts w:hint="eastAsia" w:ascii="Times New Roman" w:hAnsi="Times New Roman"/>
          <w:sz w:val="18"/>
          <w:szCs w:val="18"/>
        </w:rPr>
        <w:t>，</w:t>
      </w:r>
      <w:r>
        <w:rPr>
          <w:rFonts w:ascii="Times New Roman" w:hAnsi="Times New Roman"/>
          <w:sz w:val="18"/>
          <w:szCs w:val="18"/>
        </w:rPr>
        <w:t>其室内干态地面静摩擦系数及潮湿地面湿态防滑值满足下表要求:</w:t>
      </w:r>
    </w:p>
    <w:tbl>
      <w:tblPr>
        <w:tblStyle w:val="12"/>
        <w:tblW w:w="4998" w:type="pct"/>
        <w:tblInd w:w="0" w:type="dxa"/>
        <w:tblLayout w:type="autofit"/>
        <w:tblCellMar>
          <w:top w:w="0" w:type="dxa"/>
          <w:left w:w="108" w:type="dxa"/>
          <w:bottom w:w="0" w:type="dxa"/>
          <w:right w:w="108" w:type="dxa"/>
        </w:tblCellMar>
      </w:tblPr>
      <w:tblGrid>
        <w:gridCol w:w="1541"/>
        <w:gridCol w:w="3193"/>
        <w:gridCol w:w="4082"/>
      </w:tblGrid>
      <w:tr w14:paraId="4747384D">
        <w:tblPrEx>
          <w:tblCellMar>
            <w:top w:w="0" w:type="dxa"/>
            <w:left w:w="108" w:type="dxa"/>
            <w:bottom w:w="0" w:type="dxa"/>
            <w:right w:w="108" w:type="dxa"/>
          </w:tblCellMar>
        </w:tblPrEx>
        <w:trPr>
          <w:trHeight w:val="255" w:hRule="atLeast"/>
        </w:trPr>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8DC97">
            <w:pPr>
              <w:widowControl/>
              <w:jc w:val="center"/>
              <w:textAlignment w:val="center"/>
              <w:rPr>
                <w:rFonts w:ascii="Times New Roman" w:hAnsi="Times New Roman"/>
                <w:sz w:val="15"/>
                <w:szCs w:val="15"/>
              </w:rPr>
            </w:pPr>
            <w:r>
              <w:rPr>
                <w:rFonts w:ascii="Times New Roman" w:hAnsi="Times New Roman"/>
                <w:kern w:val="0"/>
                <w:sz w:val="15"/>
                <w:szCs w:val="15"/>
                <w:lang w:bidi="ar"/>
              </w:rPr>
              <w:t>防滑等级</w:t>
            </w:r>
          </w:p>
        </w:tc>
        <w:tc>
          <w:tcPr>
            <w:tcW w:w="1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4D14A">
            <w:pPr>
              <w:widowControl/>
              <w:jc w:val="center"/>
              <w:textAlignment w:val="center"/>
              <w:rPr>
                <w:rFonts w:ascii="Times New Roman" w:hAnsi="Times New Roman"/>
                <w:sz w:val="15"/>
                <w:szCs w:val="15"/>
              </w:rPr>
            </w:pPr>
            <w:r>
              <w:rPr>
                <w:rFonts w:ascii="Times New Roman" w:hAnsi="Times New Roman"/>
                <w:kern w:val="0"/>
                <w:sz w:val="15"/>
                <w:szCs w:val="15"/>
                <w:lang w:bidi="ar"/>
              </w:rPr>
              <w:t>静摩擦系数COF/防滑值BPN</w:t>
            </w:r>
          </w:p>
        </w:tc>
        <w:tc>
          <w:tcPr>
            <w:tcW w:w="2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1A164">
            <w:pPr>
              <w:widowControl/>
              <w:jc w:val="center"/>
              <w:textAlignment w:val="center"/>
              <w:rPr>
                <w:rFonts w:ascii="Times New Roman" w:hAnsi="Times New Roman"/>
                <w:sz w:val="15"/>
                <w:szCs w:val="15"/>
              </w:rPr>
            </w:pPr>
            <w:r>
              <w:rPr>
                <w:rFonts w:ascii="Times New Roman" w:hAnsi="Times New Roman"/>
                <w:kern w:val="0"/>
                <w:sz w:val="15"/>
                <w:szCs w:val="15"/>
                <w:lang w:bidi="ar"/>
              </w:rPr>
              <w:t>使用区域</w:t>
            </w:r>
          </w:p>
        </w:tc>
      </w:tr>
      <w:tr w14:paraId="1B436B21">
        <w:tblPrEx>
          <w:tblCellMar>
            <w:top w:w="0" w:type="dxa"/>
            <w:left w:w="108" w:type="dxa"/>
            <w:bottom w:w="0" w:type="dxa"/>
            <w:right w:w="108" w:type="dxa"/>
          </w:tblCellMar>
        </w:tblPrEx>
        <w:trPr>
          <w:trHeight w:val="255" w:hRule="atLeast"/>
        </w:trPr>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68E26">
            <w:pPr>
              <w:widowControl/>
              <w:jc w:val="center"/>
              <w:textAlignment w:val="center"/>
              <w:rPr>
                <w:rFonts w:ascii="Times New Roman" w:hAnsi="Times New Roman"/>
                <w:sz w:val="15"/>
                <w:szCs w:val="15"/>
              </w:rPr>
            </w:pPr>
            <w:r>
              <w:rPr>
                <w:rFonts w:ascii="Times New Roman" w:hAnsi="Times New Roman"/>
                <w:kern w:val="0"/>
                <w:sz w:val="15"/>
                <w:szCs w:val="15"/>
                <w:lang w:bidi="ar"/>
              </w:rPr>
              <w:t>Ad/ Aw</w:t>
            </w:r>
          </w:p>
        </w:tc>
        <w:tc>
          <w:tcPr>
            <w:tcW w:w="1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D8CD5">
            <w:pPr>
              <w:widowControl/>
              <w:jc w:val="center"/>
              <w:textAlignment w:val="center"/>
              <w:rPr>
                <w:rFonts w:ascii="Times New Roman" w:hAnsi="Times New Roman"/>
                <w:sz w:val="15"/>
                <w:szCs w:val="15"/>
              </w:rPr>
            </w:pPr>
            <w:r>
              <w:rPr>
                <w:rFonts w:ascii="Times New Roman" w:hAnsi="Times New Roman"/>
                <w:kern w:val="0"/>
                <w:sz w:val="15"/>
                <w:szCs w:val="15"/>
                <w:lang w:bidi="ar"/>
              </w:rPr>
              <w:t>COF≥0.70/BPN≥80</w:t>
            </w:r>
          </w:p>
        </w:tc>
        <w:tc>
          <w:tcPr>
            <w:tcW w:w="2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79CFB">
            <w:pPr>
              <w:widowControl/>
              <w:jc w:val="center"/>
              <w:textAlignment w:val="center"/>
              <w:rPr>
                <w:rFonts w:ascii="Times New Roman" w:hAnsi="Times New Roman"/>
                <w:sz w:val="15"/>
                <w:szCs w:val="15"/>
              </w:rPr>
            </w:pPr>
            <w:r>
              <w:rPr>
                <w:rFonts w:ascii="Times New Roman" w:hAnsi="Times New Roman"/>
                <w:kern w:val="0"/>
                <w:sz w:val="15"/>
                <w:szCs w:val="15"/>
                <w:lang w:bidi="ar"/>
              </w:rPr>
              <w:t>站台、踏步、坡道、室外活动场地、室内场所</w:t>
            </w:r>
          </w:p>
        </w:tc>
      </w:tr>
      <w:tr w14:paraId="27FC39F3">
        <w:tblPrEx>
          <w:tblCellMar>
            <w:top w:w="0" w:type="dxa"/>
            <w:left w:w="108" w:type="dxa"/>
            <w:bottom w:w="0" w:type="dxa"/>
            <w:right w:w="108" w:type="dxa"/>
          </w:tblCellMar>
        </w:tblPrEx>
        <w:trPr>
          <w:trHeight w:val="255" w:hRule="atLeast"/>
        </w:trPr>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ACD66">
            <w:pPr>
              <w:widowControl/>
              <w:jc w:val="center"/>
              <w:textAlignment w:val="center"/>
              <w:rPr>
                <w:rFonts w:ascii="Times New Roman" w:hAnsi="Times New Roman"/>
                <w:sz w:val="15"/>
                <w:szCs w:val="15"/>
              </w:rPr>
            </w:pPr>
            <w:r>
              <w:rPr>
                <w:rFonts w:ascii="Times New Roman" w:hAnsi="Times New Roman"/>
                <w:kern w:val="0"/>
                <w:sz w:val="15"/>
                <w:szCs w:val="15"/>
                <w:lang w:bidi="ar"/>
              </w:rPr>
              <w:t>Bd/ Bw</w:t>
            </w:r>
          </w:p>
        </w:tc>
        <w:tc>
          <w:tcPr>
            <w:tcW w:w="1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DDEF9">
            <w:pPr>
              <w:widowControl/>
              <w:jc w:val="center"/>
              <w:textAlignment w:val="center"/>
              <w:rPr>
                <w:rFonts w:ascii="Times New Roman" w:hAnsi="Times New Roman"/>
                <w:kern w:val="0"/>
                <w:sz w:val="15"/>
                <w:szCs w:val="15"/>
                <w:lang w:bidi="ar"/>
              </w:rPr>
            </w:pPr>
            <w:r>
              <w:rPr>
                <w:rFonts w:ascii="Times New Roman" w:hAnsi="Times New Roman"/>
                <w:kern w:val="0"/>
                <w:sz w:val="15"/>
                <w:szCs w:val="15"/>
                <w:lang w:bidi="ar"/>
              </w:rPr>
              <w:t>0.60≤COF＜0.70</w:t>
            </w:r>
          </w:p>
          <w:p w14:paraId="1F00F59F">
            <w:pPr>
              <w:widowControl/>
              <w:jc w:val="center"/>
              <w:textAlignment w:val="center"/>
              <w:rPr>
                <w:rFonts w:ascii="Times New Roman" w:hAnsi="Times New Roman"/>
                <w:sz w:val="15"/>
                <w:szCs w:val="15"/>
              </w:rPr>
            </w:pPr>
            <w:r>
              <w:rPr>
                <w:rFonts w:ascii="Times New Roman" w:hAnsi="Times New Roman"/>
                <w:kern w:val="0"/>
                <w:sz w:val="15"/>
                <w:szCs w:val="15"/>
                <w:lang w:bidi="ar"/>
              </w:rPr>
              <w:t>60≤BPN＜80</w:t>
            </w:r>
          </w:p>
        </w:tc>
        <w:tc>
          <w:tcPr>
            <w:tcW w:w="2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5DA9A">
            <w:pPr>
              <w:widowControl/>
              <w:jc w:val="center"/>
              <w:textAlignment w:val="center"/>
              <w:rPr>
                <w:rFonts w:ascii="Times New Roman" w:hAnsi="Times New Roman"/>
                <w:sz w:val="15"/>
                <w:szCs w:val="15"/>
              </w:rPr>
            </w:pPr>
            <w:r>
              <w:rPr>
                <w:rFonts w:ascii="Times New Roman" w:hAnsi="Times New Roman"/>
                <w:kern w:val="0"/>
                <w:sz w:val="15"/>
                <w:szCs w:val="15"/>
                <w:lang w:bidi="ar"/>
              </w:rPr>
              <w:t>建筑出入口及平台、厨房、饭堂、浴室、卫生间、公共走廊、电梯门厅等</w:t>
            </w:r>
          </w:p>
        </w:tc>
      </w:tr>
      <w:tr w14:paraId="60816F3E">
        <w:tblPrEx>
          <w:tblCellMar>
            <w:top w:w="0" w:type="dxa"/>
            <w:left w:w="108" w:type="dxa"/>
            <w:bottom w:w="0" w:type="dxa"/>
            <w:right w:w="108" w:type="dxa"/>
          </w:tblCellMar>
        </w:tblPrEx>
        <w:trPr>
          <w:trHeight w:val="255" w:hRule="atLeast"/>
        </w:trPr>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F1FBF">
            <w:pPr>
              <w:widowControl/>
              <w:jc w:val="center"/>
              <w:textAlignment w:val="center"/>
              <w:rPr>
                <w:rFonts w:ascii="Times New Roman" w:hAnsi="Times New Roman"/>
                <w:sz w:val="15"/>
                <w:szCs w:val="15"/>
              </w:rPr>
            </w:pPr>
            <w:r>
              <w:rPr>
                <w:rFonts w:ascii="Times New Roman" w:hAnsi="Times New Roman"/>
                <w:kern w:val="0"/>
                <w:sz w:val="15"/>
                <w:szCs w:val="15"/>
                <w:lang w:bidi="ar"/>
              </w:rPr>
              <w:t>Cd/ Cw</w:t>
            </w:r>
          </w:p>
        </w:tc>
        <w:tc>
          <w:tcPr>
            <w:tcW w:w="1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8FB1C">
            <w:pPr>
              <w:widowControl/>
              <w:jc w:val="center"/>
              <w:textAlignment w:val="center"/>
              <w:rPr>
                <w:rFonts w:ascii="Times New Roman" w:hAnsi="Times New Roman"/>
                <w:kern w:val="0"/>
                <w:sz w:val="15"/>
                <w:szCs w:val="15"/>
                <w:lang w:bidi="ar"/>
              </w:rPr>
            </w:pPr>
            <w:r>
              <w:rPr>
                <w:rFonts w:ascii="Times New Roman" w:hAnsi="Times New Roman"/>
                <w:kern w:val="0"/>
                <w:sz w:val="15"/>
                <w:szCs w:val="15"/>
                <w:lang w:bidi="ar"/>
              </w:rPr>
              <w:t>0.50≤COF＜0.60</w:t>
            </w:r>
          </w:p>
          <w:p w14:paraId="3EE53685">
            <w:pPr>
              <w:widowControl/>
              <w:jc w:val="center"/>
              <w:textAlignment w:val="center"/>
              <w:rPr>
                <w:rFonts w:ascii="Times New Roman" w:hAnsi="Times New Roman"/>
                <w:sz w:val="15"/>
                <w:szCs w:val="15"/>
              </w:rPr>
            </w:pPr>
            <w:r>
              <w:rPr>
                <w:rFonts w:ascii="Times New Roman" w:hAnsi="Times New Roman"/>
                <w:kern w:val="0"/>
                <w:sz w:val="15"/>
                <w:szCs w:val="15"/>
                <w:lang w:bidi="ar"/>
              </w:rPr>
              <w:t>45≤BPN＜60</w:t>
            </w:r>
          </w:p>
        </w:tc>
        <w:tc>
          <w:tcPr>
            <w:tcW w:w="2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1423C">
            <w:pPr>
              <w:widowControl/>
              <w:jc w:val="center"/>
              <w:textAlignment w:val="center"/>
              <w:rPr>
                <w:rFonts w:ascii="Times New Roman" w:hAnsi="Times New Roman"/>
                <w:sz w:val="15"/>
                <w:szCs w:val="15"/>
              </w:rPr>
            </w:pPr>
            <w:r>
              <w:rPr>
                <w:rFonts w:ascii="Times New Roman" w:hAnsi="Times New Roman"/>
                <w:kern w:val="0"/>
                <w:sz w:val="15"/>
                <w:szCs w:val="15"/>
                <w:lang w:bidi="ar"/>
              </w:rPr>
              <w:t>室内其他公共区域</w:t>
            </w:r>
          </w:p>
        </w:tc>
      </w:tr>
    </w:tbl>
    <w:p w14:paraId="0797CCBF">
      <w:pPr>
        <w:spacing w:line="240" w:lineRule="exact"/>
        <w:ind w:firstLine="360" w:firstLineChars="200"/>
        <w:rPr>
          <w:rFonts w:ascii="Times New Roman" w:hAnsi="Times New Roman"/>
          <w:sz w:val="18"/>
          <w:szCs w:val="18"/>
        </w:rPr>
      </w:pPr>
      <w:r>
        <w:rPr>
          <w:rFonts w:hint="eastAsia" w:ascii="Times New Roman" w:hAnsi="Times New Roman"/>
          <w:sz w:val="18"/>
          <w:szCs w:val="18"/>
        </w:rPr>
        <w:t>由上表可知，</w:t>
      </w:r>
      <w:r>
        <w:rPr>
          <w:rFonts w:ascii="Times New Roman" w:hAnsi="Times New Roman"/>
          <w:sz w:val="18"/>
          <w:szCs w:val="18"/>
        </w:rPr>
        <w:t>本项目建筑出入口及平台、公共走廊、电梯门厅、厨房、浴室、卫生间等设置防滑措施，防滑等级不低于现行行业标准《建筑地面工程防滑技术规程》JGJ/T 331规定的B</w:t>
      </w:r>
      <w:r>
        <w:rPr>
          <w:rFonts w:ascii="Times New Roman" w:hAnsi="Times New Roman"/>
          <w:sz w:val="18"/>
          <w:szCs w:val="18"/>
          <w:vertAlign w:val="subscript"/>
        </w:rPr>
        <w:t>d</w:t>
      </w:r>
      <w:r>
        <w:rPr>
          <w:rFonts w:ascii="Times New Roman" w:hAnsi="Times New Roman"/>
          <w:sz w:val="18"/>
          <w:szCs w:val="18"/>
        </w:rPr>
        <w:t>、B</w:t>
      </w:r>
      <w:r>
        <w:rPr>
          <w:rFonts w:ascii="Times New Roman" w:hAnsi="Times New Roman"/>
          <w:sz w:val="18"/>
          <w:szCs w:val="18"/>
          <w:vertAlign w:val="subscript"/>
        </w:rPr>
        <w:t>w</w:t>
      </w:r>
      <w:r>
        <w:rPr>
          <w:rFonts w:ascii="Times New Roman" w:hAnsi="Times New Roman"/>
          <w:sz w:val="18"/>
          <w:szCs w:val="18"/>
        </w:rPr>
        <w:t>级。建筑室内外活动场所采用防滑地面，防滑等级达到现行行业标准《建筑地面防滑技术规程》JGJ/T 331规定的A</w:t>
      </w:r>
      <w:r>
        <w:rPr>
          <w:rFonts w:ascii="Times New Roman" w:hAnsi="Times New Roman"/>
          <w:sz w:val="18"/>
          <w:szCs w:val="18"/>
          <w:vertAlign w:val="subscript"/>
        </w:rPr>
        <w:t>d</w:t>
      </w:r>
      <w:r>
        <w:rPr>
          <w:rFonts w:ascii="Times New Roman" w:hAnsi="Times New Roman"/>
          <w:sz w:val="18"/>
          <w:szCs w:val="18"/>
        </w:rPr>
        <w:t>、A</w:t>
      </w:r>
      <w:r>
        <w:rPr>
          <w:rFonts w:ascii="Times New Roman" w:hAnsi="Times New Roman"/>
          <w:sz w:val="18"/>
          <w:szCs w:val="18"/>
          <w:vertAlign w:val="subscript"/>
        </w:rPr>
        <w:t>w</w:t>
      </w:r>
      <w:r>
        <w:rPr>
          <w:rFonts w:ascii="Times New Roman" w:hAnsi="Times New Roman"/>
          <w:sz w:val="18"/>
          <w:szCs w:val="18"/>
        </w:rPr>
        <w:t>级。建筑坡道、楼梯踏步防滑等级达到现行行业标准《建筑地面工程防滑技术规程》JGJ/T 331规定的A</w:t>
      </w:r>
      <w:r>
        <w:rPr>
          <w:rFonts w:ascii="Times New Roman" w:hAnsi="Times New Roman"/>
          <w:sz w:val="18"/>
          <w:szCs w:val="18"/>
          <w:vertAlign w:val="subscript"/>
        </w:rPr>
        <w:t>d</w:t>
      </w:r>
      <w:r>
        <w:rPr>
          <w:rFonts w:ascii="Times New Roman" w:hAnsi="Times New Roman"/>
          <w:sz w:val="18"/>
          <w:szCs w:val="18"/>
        </w:rPr>
        <w:t>、A</w:t>
      </w:r>
      <w:r>
        <w:rPr>
          <w:rFonts w:ascii="Times New Roman" w:hAnsi="Times New Roman"/>
          <w:sz w:val="18"/>
          <w:szCs w:val="18"/>
          <w:vertAlign w:val="subscript"/>
        </w:rPr>
        <w:t>w</w:t>
      </w:r>
      <w:r>
        <w:rPr>
          <w:rFonts w:ascii="Times New Roman" w:hAnsi="Times New Roman"/>
          <w:sz w:val="18"/>
          <w:szCs w:val="18"/>
        </w:rPr>
        <w:t>级或按水平地面等级提高一级，并采用防滑条等防滑构造技术措施。</w:t>
      </w:r>
    </w:p>
    <w:p w14:paraId="2D86B52A">
      <w:pPr>
        <w:spacing w:line="240" w:lineRule="exact"/>
        <w:rPr>
          <w:rFonts w:ascii="宋体" w:cs="宋体"/>
          <w:sz w:val="18"/>
          <w:szCs w:val="18"/>
        </w:rPr>
      </w:pPr>
      <w:r>
        <w:rPr>
          <w:rFonts w:hint="eastAsia" w:ascii="宋体" w:hAnsi="宋体" w:cs="宋体"/>
          <w:sz w:val="18"/>
          <w:szCs w:val="18"/>
        </w:rPr>
        <w:t>证明材料：√计图纸（建筑、</w:t>
      </w:r>
      <w:r>
        <w:rPr>
          <w:rFonts w:ascii="宋体" w:hAnsi="宋体" w:cs="宋体"/>
          <w:sz w:val="18"/>
          <w:szCs w:val="18"/>
        </w:rPr>
        <w:t>SM-01</w:t>
      </w:r>
      <w:r>
        <w:rPr>
          <w:rFonts w:hint="eastAsia" w:ascii="宋体" w:hAnsi="宋体" w:cs="宋体"/>
          <w:sz w:val="18"/>
          <w:szCs w:val="18"/>
        </w:rPr>
        <w:t>建筑设计总说明；SM-02_建筑装修构造做法说明表）；</w:t>
      </w:r>
      <w:r>
        <w:rPr>
          <w:rFonts w:ascii="宋体" w:hAnsi="宋体" w:cs="宋体"/>
          <w:sz w:val="18"/>
          <w:szCs w:val="18"/>
        </w:rPr>
        <w:t xml:space="preserve"> </w:t>
      </w:r>
      <w:r>
        <w:rPr>
          <w:rFonts w:hint="eastAsia" w:ascii="宋体" w:hAnsi="宋体" w:cs="宋体"/>
          <w:sz w:val="18"/>
          <w:szCs w:val="18"/>
        </w:rPr>
        <w:t>√二次设计达标承诺函</w:t>
      </w:r>
    </w:p>
    <w:p w14:paraId="4F573E6C">
      <w:pPr>
        <w:outlineLvl w:val="1"/>
        <w:rPr>
          <w:rFonts w:ascii="黑体" w:hAnsi="黑体" w:eastAsia="黑体" w:cs="黑体"/>
          <w:b/>
          <w:bCs/>
          <w:kern w:val="0"/>
          <w:sz w:val="24"/>
          <w:szCs w:val="24"/>
        </w:rPr>
      </w:pPr>
    </w:p>
    <w:p w14:paraId="0B8739E9">
      <w:pPr>
        <w:outlineLvl w:val="1"/>
        <w:rPr>
          <w:rFonts w:hAnsi="黑体" w:eastAsia="黑体" w:cs="黑体"/>
          <w:b/>
          <w:bCs/>
          <w:kern w:val="0"/>
          <w:sz w:val="24"/>
          <w:szCs w:val="24"/>
        </w:rPr>
      </w:pPr>
      <w:r>
        <w:rPr>
          <w:rFonts w:ascii="黑体" w:hAnsi="黑体" w:eastAsia="黑体" w:cs="黑体"/>
          <w:b/>
          <w:bCs/>
          <w:kern w:val="0"/>
          <w:sz w:val="24"/>
          <w:szCs w:val="24"/>
        </w:rPr>
        <w:t>2</w:t>
      </w:r>
      <w:r>
        <w:rPr>
          <w:rFonts w:hint="eastAsia" w:ascii="黑体" w:hAnsi="黑体" w:eastAsia="黑体" w:cs="黑体"/>
          <w:b/>
          <w:bCs/>
          <w:kern w:val="0"/>
          <w:sz w:val="24"/>
          <w:szCs w:val="24"/>
        </w:rPr>
        <w:t>、健康舒适</w:t>
      </w:r>
      <w:r>
        <w:rPr>
          <w:rFonts w:hint="eastAsia" w:hAnsi="黑体" w:eastAsia="黑体" w:cs="黑体"/>
          <w:b/>
          <w:bCs/>
          <w:kern w:val="0"/>
          <w:szCs w:val="21"/>
        </w:rPr>
        <w:t>（</w:t>
      </w:r>
      <w:r>
        <w:rPr>
          <w:rFonts w:hint="eastAsia" w:ascii="宋体" w:hAnsi="宋体"/>
          <w:szCs w:val="21"/>
        </w:rPr>
        <w:t>实际得分</w:t>
      </w:r>
      <w:r>
        <w:rPr>
          <w:rFonts w:hint="eastAsia" w:ascii="宋体" w:hAnsi="宋体"/>
          <w:szCs w:val="21"/>
          <w:u w:val="single"/>
        </w:rPr>
        <w:t>　</w:t>
      </w:r>
      <w:r>
        <w:rPr>
          <w:rFonts w:ascii="宋体" w:hAnsi="宋体"/>
          <w:szCs w:val="21"/>
          <w:u w:val="single"/>
        </w:rPr>
        <w:t>52</w:t>
      </w:r>
      <w:r>
        <w:rPr>
          <w:rFonts w:hint="eastAsia" w:ascii="宋体" w:hAnsi="宋体"/>
          <w:szCs w:val="21"/>
          <w:u w:val="single"/>
        </w:rPr>
        <w:t>　</w:t>
      </w:r>
      <w:r>
        <w:rPr>
          <w:rFonts w:hint="eastAsia" w:ascii="宋体" w:hAnsi="宋体"/>
          <w:szCs w:val="21"/>
        </w:rPr>
        <w:t>分</w:t>
      </w:r>
      <w:r>
        <w:rPr>
          <w:rFonts w:hint="eastAsia" w:hAnsi="黑体" w:eastAsia="黑体" w:cs="黑体"/>
          <w:b/>
          <w:bCs/>
          <w:kern w:val="0"/>
          <w:szCs w:val="21"/>
        </w:rPr>
        <w:t>）</w:t>
      </w:r>
    </w:p>
    <w:p w14:paraId="604B3E87">
      <w:pPr>
        <w:spacing w:line="240" w:lineRule="exact"/>
        <w:jc w:val="center"/>
        <w:rPr>
          <w:rFonts w:cs="宋体"/>
          <w:b/>
          <w:bCs/>
          <w:sz w:val="18"/>
          <w:szCs w:val="18"/>
        </w:rPr>
      </w:pPr>
    </w:p>
    <w:p w14:paraId="29FE89A5">
      <w:pPr>
        <w:spacing w:line="240" w:lineRule="exact"/>
        <w:jc w:val="center"/>
        <w:outlineLvl w:val="2"/>
        <w:rPr>
          <w:b/>
          <w:bCs/>
          <w:sz w:val="18"/>
          <w:szCs w:val="18"/>
        </w:rPr>
      </w:pPr>
      <w:r>
        <w:rPr>
          <w:rFonts w:hint="eastAsia" w:cs="宋体"/>
          <w:b/>
          <w:bCs/>
          <w:sz w:val="18"/>
          <w:szCs w:val="18"/>
        </w:rPr>
        <w:t>必须说明内容（控制项）</w:t>
      </w:r>
    </w:p>
    <w:p w14:paraId="1994583C">
      <w:pPr>
        <w:spacing w:line="240" w:lineRule="exact"/>
        <w:rPr>
          <w:rFonts w:cs="宋体"/>
          <w:b/>
          <w:bCs/>
          <w:sz w:val="18"/>
          <w:szCs w:val="18"/>
        </w:rPr>
      </w:pPr>
    </w:p>
    <w:p w14:paraId="0E2505E6">
      <w:pPr>
        <w:spacing w:line="240" w:lineRule="exact"/>
        <w:rPr>
          <w:b/>
          <w:bCs/>
          <w:sz w:val="18"/>
          <w:szCs w:val="18"/>
        </w:rPr>
      </w:pPr>
      <w:r>
        <w:rPr>
          <w:rFonts w:hint="eastAsia"/>
          <w:b/>
          <w:bCs/>
          <w:sz w:val="18"/>
          <w:szCs w:val="18"/>
        </w:rPr>
        <w:t>建筑专业</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413E34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7184B70A">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104E3506">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7FB1C0F4">
      <w:pPr>
        <w:spacing w:line="240" w:lineRule="exact"/>
        <w:rPr>
          <w:rFonts w:ascii="黑体" w:hAnsi="宋体" w:eastAsia="黑体" w:cs="黑体"/>
          <w:sz w:val="18"/>
          <w:szCs w:val="18"/>
        </w:rPr>
      </w:pPr>
      <w:r>
        <w:rPr>
          <w:rFonts w:ascii="黑体" w:hAnsi="宋体" w:eastAsia="黑体" w:cs="黑体"/>
          <w:sz w:val="18"/>
          <w:szCs w:val="18"/>
        </w:rPr>
        <w:t>5.1.1</w:t>
      </w:r>
      <w:r>
        <w:rPr>
          <w:rFonts w:hint="eastAsia" w:ascii="黑体" w:hAnsi="宋体" w:eastAsia="黑体" w:cs="黑体"/>
          <w:sz w:val="18"/>
          <w:szCs w:val="18"/>
        </w:rPr>
        <w:t>室内空气中的氨、甲醛、苯、总挥发性有机物、氡等污染物浓度应符合现行国家标准《室内空气质量标准》</w:t>
      </w:r>
      <w:r>
        <w:rPr>
          <w:rFonts w:ascii="黑体" w:hAnsi="宋体" w:eastAsia="黑体" w:cs="黑体"/>
          <w:sz w:val="18"/>
          <w:szCs w:val="18"/>
        </w:rPr>
        <w:t>GB/T 18883</w:t>
      </w:r>
      <w:r>
        <w:rPr>
          <w:rFonts w:hint="eastAsia" w:ascii="黑体" w:hAnsi="宋体" w:eastAsia="黑体" w:cs="黑体"/>
          <w:sz w:val="18"/>
          <w:szCs w:val="18"/>
        </w:rPr>
        <w:t>的有关规定。建筑室内和建筑主出入口处应禁止吸烟，并应在醒目位置设置禁烟标志。</w:t>
      </w:r>
    </w:p>
    <w:p w14:paraId="130C9D0E">
      <w:pPr>
        <w:spacing w:line="240" w:lineRule="exact"/>
        <w:rPr>
          <w:rFonts w:ascii="宋体" w:hAnsi="宋体" w:cs="宋体"/>
          <w:sz w:val="18"/>
          <w:szCs w:val="18"/>
        </w:rPr>
      </w:pPr>
      <w:r>
        <w:rPr>
          <w:rFonts w:hint="eastAsia" w:ascii="宋体" w:hAnsi="宋体" w:cs="黑体"/>
          <w:sz w:val="18"/>
          <w:szCs w:val="18"/>
        </w:rPr>
        <w:t>技术措施说明：</w:t>
      </w:r>
      <w:r>
        <w:rPr>
          <w:rFonts w:hint="eastAsia" w:ascii="宋体" w:hAnsi="宋体" w:cs="宋体"/>
          <w:sz w:val="18"/>
          <w:szCs w:val="18"/>
        </w:rPr>
        <w:t>本项目砌体及结构主体均选用</w:t>
      </w:r>
      <w:r>
        <w:rPr>
          <w:rFonts w:ascii="宋体" w:hAnsi="宋体" w:cs="宋体"/>
          <w:sz w:val="18"/>
          <w:szCs w:val="18"/>
        </w:rPr>
        <w:t>的</w:t>
      </w:r>
      <w:r>
        <w:rPr>
          <w:rFonts w:ascii="Times New Roman" w:hAnsi="Times New Roman"/>
          <w:sz w:val="18"/>
          <w:szCs w:val="18"/>
        </w:rPr>
        <w:t>符合现行规范的</w:t>
      </w:r>
      <w:r>
        <w:rPr>
          <w:rFonts w:hint="eastAsia" w:ascii="宋体" w:hAnsi="宋体" w:cs="宋体"/>
          <w:sz w:val="18"/>
          <w:szCs w:val="18"/>
        </w:rPr>
        <w:t>预拌混凝土和预拌砂浆，室内涂料</w:t>
      </w:r>
      <w:r>
        <w:rPr>
          <w:rFonts w:ascii="宋体" w:hAnsi="宋体" w:cs="宋体"/>
          <w:sz w:val="18"/>
          <w:szCs w:val="18"/>
        </w:rPr>
        <w:t>、</w:t>
      </w:r>
      <w:r>
        <w:rPr>
          <w:rFonts w:hint="eastAsia" w:ascii="宋体" w:hAnsi="宋体" w:cs="宋体"/>
          <w:sz w:val="18"/>
          <w:szCs w:val="18"/>
        </w:rPr>
        <w:t>密封</w:t>
      </w:r>
      <w:r>
        <w:rPr>
          <w:rFonts w:ascii="宋体" w:hAnsi="宋体" w:cs="宋体"/>
          <w:sz w:val="18"/>
          <w:szCs w:val="18"/>
        </w:rPr>
        <w:t>材料、</w:t>
      </w:r>
      <w:r>
        <w:rPr>
          <w:rFonts w:hint="eastAsia" w:ascii="宋体" w:hAnsi="宋体" w:cs="宋体"/>
          <w:sz w:val="18"/>
          <w:szCs w:val="18"/>
        </w:rPr>
        <w:t>瓷砖、</w:t>
      </w:r>
      <w:r>
        <w:rPr>
          <w:rFonts w:ascii="宋体" w:hAnsi="宋体" w:cs="宋体"/>
          <w:sz w:val="18"/>
          <w:szCs w:val="18"/>
        </w:rPr>
        <w:t>木地板等</w:t>
      </w:r>
      <w:r>
        <w:rPr>
          <w:rFonts w:hint="eastAsia" w:ascii="宋体" w:hAnsi="宋体" w:cs="宋体"/>
          <w:sz w:val="18"/>
          <w:szCs w:val="18"/>
        </w:rPr>
        <w:t>室内装修</w:t>
      </w:r>
      <w:r>
        <w:rPr>
          <w:rFonts w:ascii="宋体" w:hAnsi="宋体" w:cs="宋体"/>
          <w:sz w:val="18"/>
          <w:szCs w:val="18"/>
        </w:rPr>
        <w:t>材料</w:t>
      </w:r>
      <w:r>
        <w:rPr>
          <w:rFonts w:hint="eastAsia" w:ascii="宋体" w:hAnsi="宋体" w:cs="宋体"/>
          <w:sz w:val="18"/>
          <w:szCs w:val="18"/>
        </w:rPr>
        <w:t>选用室内污染物挥发较少的产品，对室内空气污染物进行控制。</w:t>
      </w:r>
      <w:r>
        <w:rPr>
          <w:rFonts w:hint="eastAsia" w:ascii="Times New Roman" w:hAnsi="Times New Roman"/>
          <w:sz w:val="18"/>
          <w:szCs w:val="18"/>
        </w:rPr>
        <w:t>经模拟分析，本项目拟选用污染物释放等级为F</w:t>
      </w:r>
      <w:r>
        <w:rPr>
          <w:rFonts w:ascii="Times New Roman" w:hAnsi="Times New Roman"/>
          <w:sz w:val="18"/>
          <w:szCs w:val="18"/>
        </w:rPr>
        <w:t>1</w:t>
      </w:r>
      <w:r>
        <w:rPr>
          <w:rFonts w:hint="eastAsia" w:ascii="Times New Roman" w:hAnsi="Times New Roman"/>
          <w:sz w:val="18"/>
          <w:szCs w:val="18"/>
        </w:rPr>
        <w:t>级的涂料、板材、瓷砖室内装修材料。结果显示，各主要功能房间</w:t>
      </w:r>
      <w:r>
        <w:rPr>
          <w:rFonts w:ascii="宋体" w:hAnsi="宋体" w:cs="宋体"/>
          <w:sz w:val="18"/>
          <w:szCs w:val="18"/>
        </w:rPr>
        <w:t>室内空气污染物浓度</w:t>
      </w:r>
      <w:r>
        <w:rPr>
          <w:rFonts w:hint="eastAsia" w:ascii="宋体" w:hAnsi="宋体" w:cs="宋体"/>
          <w:sz w:val="18"/>
          <w:szCs w:val="18"/>
        </w:rPr>
        <w:t>（</w:t>
      </w:r>
      <w:r>
        <w:rPr>
          <w:rFonts w:ascii="Times New Roman" w:hAnsi="Times New Roman"/>
          <w:sz w:val="18"/>
          <w:szCs w:val="18"/>
        </w:rPr>
        <w:t>甲醛浓度</w:t>
      </w:r>
      <w:r>
        <w:rPr>
          <w:rFonts w:hint="eastAsia" w:ascii="Times New Roman" w:hAnsi="Times New Roman"/>
          <w:sz w:val="18"/>
          <w:szCs w:val="18"/>
        </w:rPr>
        <w:t>、</w:t>
      </w:r>
      <w:r>
        <w:rPr>
          <w:rFonts w:ascii="Times New Roman" w:hAnsi="Times New Roman"/>
          <w:sz w:val="18"/>
          <w:szCs w:val="18"/>
        </w:rPr>
        <w:t>苯浓度</w:t>
      </w:r>
      <w:r>
        <w:rPr>
          <w:rFonts w:hint="eastAsia" w:ascii="Times New Roman" w:hAnsi="Times New Roman"/>
          <w:sz w:val="18"/>
          <w:szCs w:val="18"/>
        </w:rPr>
        <w:t>、</w:t>
      </w:r>
      <w:r>
        <w:rPr>
          <w:rFonts w:ascii="Times New Roman" w:hAnsi="Times New Roman"/>
          <w:sz w:val="18"/>
          <w:szCs w:val="18"/>
        </w:rPr>
        <w:t>TVOC 浓度</w:t>
      </w:r>
      <w:r>
        <w:rPr>
          <w:rFonts w:hint="eastAsia" w:ascii="宋体" w:hAnsi="宋体" w:cs="宋体"/>
          <w:sz w:val="18"/>
          <w:szCs w:val="18"/>
        </w:rPr>
        <w:t>）</w:t>
      </w:r>
      <w:r>
        <w:rPr>
          <w:rFonts w:ascii="宋体" w:hAnsi="宋体" w:cs="宋体"/>
          <w:sz w:val="18"/>
          <w:szCs w:val="18"/>
        </w:rPr>
        <w:t>比规定</w:t>
      </w:r>
      <w:r>
        <w:rPr>
          <w:rFonts w:hint="eastAsia" w:ascii="宋体" w:hAnsi="宋体" w:cs="宋体"/>
          <w:sz w:val="18"/>
          <w:szCs w:val="18"/>
        </w:rPr>
        <w:t>《室内空气质量标准》G</w:t>
      </w:r>
      <w:r>
        <w:rPr>
          <w:rFonts w:ascii="宋体" w:hAnsi="宋体" w:cs="宋体"/>
          <w:sz w:val="18"/>
          <w:szCs w:val="18"/>
        </w:rPr>
        <w:t>B/T 18883要求</w:t>
      </w:r>
      <w:r>
        <w:rPr>
          <w:rFonts w:hint="eastAsia" w:ascii="宋体" w:hAnsi="宋体" w:cs="宋体"/>
          <w:sz w:val="18"/>
          <w:szCs w:val="18"/>
        </w:rPr>
        <w:t>的限定值</w:t>
      </w:r>
      <w:r>
        <w:rPr>
          <w:rFonts w:ascii="宋体" w:hAnsi="宋体" w:cs="宋体"/>
          <w:sz w:val="18"/>
          <w:szCs w:val="18"/>
        </w:rPr>
        <w:t>降低2</w:t>
      </w:r>
      <w:r>
        <w:rPr>
          <w:rFonts w:hint="eastAsia" w:ascii="宋体" w:hAnsi="宋体" w:cs="宋体"/>
          <w:sz w:val="18"/>
          <w:szCs w:val="18"/>
        </w:rPr>
        <w:t>0%以上，同时满足《建筑环境通用规范》G</w:t>
      </w:r>
      <w:r>
        <w:rPr>
          <w:rFonts w:ascii="宋体" w:hAnsi="宋体" w:cs="宋体"/>
          <w:sz w:val="18"/>
          <w:szCs w:val="18"/>
        </w:rPr>
        <w:t>B55016-2021</w:t>
      </w:r>
      <w:r>
        <w:rPr>
          <w:rFonts w:hint="eastAsia" w:ascii="宋体" w:hAnsi="宋体" w:cs="宋体"/>
          <w:sz w:val="18"/>
          <w:szCs w:val="18"/>
        </w:rPr>
        <w:t>关于I类民用建筑工程的限量值要求</w:t>
      </w:r>
      <w:r>
        <w:rPr>
          <w:rFonts w:ascii="宋体" w:hAnsi="宋体" w:cs="宋体"/>
          <w:sz w:val="18"/>
          <w:szCs w:val="18"/>
        </w:rPr>
        <w:t>。</w:t>
      </w:r>
      <w:r>
        <w:rPr>
          <w:rFonts w:hint="eastAsia" w:ascii="宋体" w:hAnsi="宋体" w:cs="宋体"/>
          <w:sz w:val="18"/>
          <w:szCs w:val="18"/>
        </w:rPr>
        <w:t>此外，项目为商业建筑建筑，建筑主出入口处及各层</w:t>
      </w:r>
      <w:r>
        <w:rPr>
          <w:rFonts w:ascii="宋体" w:hAnsi="宋体" w:cs="宋体"/>
          <w:sz w:val="18"/>
          <w:szCs w:val="18"/>
        </w:rPr>
        <w:t>公共区域走廊设置明显的禁烟标识</w:t>
      </w:r>
      <w:r>
        <w:rPr>
          <w:rFonts w:hint="eastAsia" w:ascii="宋体" w:hAnsi="宋体" w:cs="宋体"/>
          <w:sz w:val="18"/>
          <w:szCs w:val="18"/>
        </w:rPr>
        <w:t>。</w:t>
      </w:r>
    </w:p>
    <w:p w14:paraId="5B066928">
      <w:pPr>
        <w:spacing w:line="240" w:lineRule="exact"/>
        <w:rPr>
          <w:b/>
          <w:bCs/>
          <w:sz w:val="18"/>
          <w:szCs w:val="18"/>
        </w:rPr>
      </w:pPr>
      <w:r>
        <w:rPr>
          <w:rFonts w:hint="eastAsia" w:ascii="宋体" w:hAnsi="宋体" w:cs="宋体"/>
          <w:sz w:val="18"/>
          <w:szCs w:val="18"/>
        </w:rPr>
        <w:t>证明材料：√室内有机挥发物浓度预评价报告；√颗粒物预评价报告书；√设计图纸（建筑、SM-02_建筑装修构造做法说明表）</w:t>
      </w:r>
      <w:r>
        <w:rPr>
          <w:rFonts w:ascii="宋体" w:hAnsi="宋体" w:cs="宋体"/>
          <w:sz w:val="18"/>
          <w:szCs w:val="18"/>
        </w:rPr>
        <w:t xml:space="preserve"> </w:t>
      </w:r>
      <w:r>
        <w:rPr>
          <w:rFonts w:hint="eastAsia" w:ascii="宋体" w:hAnsi="宋体" w:cs="宋体"/>
          <w:sz w:val="18"/>
          <w:szCs w:val="18"/>
        </w:rPr>
        <w:t>√</w:t>
      </w:r>
      <w:r>
        <w:rPr>
          <w:rFonts w:hint="eastAsia" w:ascii="宋体" w:hAnsi="宋体"/>
          <w:sz w:val="18"/>
          <w:szCs w:val="18"/>
        </w:rPr>
        <w:t>二次设计达标承诺函</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7F6D1B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22925547">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645D9EF1">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2B9B0ABB">
      <w:pPr>
        <w:spacing w:line="240" w:lineRule="exact"/>
        <w:rPr>
          <w:rFonts w:ascii="黑体" w:hAnsi="宋体" w:eastAsia="黑体" w:cs="黑体"/>
          <w:sz w:val="18"/>
          <w:szCs w:val="18"/>
        </w:rPr>
      </w:pPr>
      <w:r>
        <w:rPr>
          <w:rFonts w:ascii="黑体" w:hAnsi="宋体" w:eastAsia="黑体" w:cs="黑体"/>
          <w:sz w:val="18"/>
          <w:szCs w:val="18"/>
        </w:rPr>
        <w:t>5.1.4</w:t>
      </w:r>
      <w:r>
        <w:rPr>
          <w:rFonts w:hint="eastAsia" w:ascii="黑体" w:hAnsi="宋体" w:eastAsia="黑体" w:cs="黑体"/>
          <w:sz w:val="18"/>
          <w:szCs w:val="18"/>
        </w:rPr>
        <w:t>主要功能房间室内噪声级和隔声性能。</w:t>
      </w:r>
    </w:p>
    <w:p w14:paraId="27309D1A">
      <w:pPr>
        <w:spacing w:line="240" w:lineRule="exact"/>
        <w:rPr>
          <w:rFonts w:ascii="黑体" w:hAnsi="宋体" w:eastAsia="黑体" w:cs="黑体"/>
          <w:sz w:val="18"/>
          <w:szCs w:val="18"/>
        </w:rPr>
      </w:pPr>
      <w:r>
        <w:rPr>
          <w:rFonts w:hint="eastAsia" w:ascii="黑体" w:hAnsi="宋体" w:eastAsia="黑体" w:cs="黑体"/>
          <w:sz w:val="18"/>
          <w:szCs w:val="18"/>
        </w:rPr>
        <w:t>技术措施说明：</w:t>
      </w:r>
    </w:p>
    <w:p w14:paraId="49501E2D">
      <w:pPr>
        <w:spacing w:line="240" w:lineRule="exact"/>
        <w:ind w:firstLine="360" w:firstLineChars="200"/>
        <w:rPr>
          <w:rFonts w:ascii="宋体" w:hAnsi="宋体" w:cs="宋体"/>
          <w:sz w:val="18"/>
          <w:szCs w:val="18"/>
        </w:rPr>
      </w:pPr>
      <w:r>
        <w:rPr>
          <w:rFonts w:hint="eastAsia" w:ascii="宋体" w:hAnsi="宋体" w:cs="宋体"/>
          <w:sz w:val="18"/>
          <w:szCs w:val="18"/>
        </w:rPr>
        <w:t>1）本</w:t>
      </w:r>
      <w:r>
        <w:rPr>
          <w:rFonts w:hint="eastAsia" w:ascii="宋体" w:hAnsi="宋体"/>
          <w:sz w:val="18"/>
          <w:szCs w:val="18"/>
        </w:rPr>
        <w:t>项目为医院建筑，外墙</w:t>
      </w:r>
      <w:r>
        <w:rPr>
          <w:rFonts w:ascii="宋体" w:hAnsi="宋体"/>
          <w:sz w:val="18"/>
          <w:szCs w:val="18"/>
        </w:rPr>
        <w:t>采用</w:t>
      </w:r>
      <w:r>
        <w:rPr>
          <w:rFonts w:hint="eastAsia" w:ascii="宋体" w:hAnsi="宋体"/>
          <w:sz w:val="18"/>
          <w:szCs w:val="18"/>
        </w:rPr>
        <w:t>200钢筋混凝土，</w:t>
      </w:r>
      <w:r>
        <w:rPr>
          <w:rFonts w:ascii="宋体" w:hAnsi="宋体"/>
          <w:sz w:val="18"/>
          <w:szCs w:val="18"/>
        </w:rPr>
        <w:t>200mm</w:t>
      </w:r>
      <w:r>
        <w:rPr>
          <w:rFonts w:hint="eastAsia" w:ascii="宋体" w:hAnsi="宋体"/>
          <w:sz w:val="18"/>
          <w:szCs w:val="18"/>
        </w:rPr>
        <w:t>加气混凝土砌块，隔墙采用</w:t>
      </w:r>
      <w:r>
        <w:rPr>
          <w:rFonts w:ascii="宋体" w:hAnsi="宋体"/>
          <w:sz w:val="18"/>
          <w:szCs w:val="18"/>
        </w:rPr>
        <w:t>200mm</w:t>
      </w:r>
      <w:r>
        <w:rPr>
          <w:rFonts w:hint="eastAsia" w:ascii="宋体" w:hAnsi="宋体"/>
          <w:sz w:val="18"/>
          <w:szCs w:val="18"/>
        </w:rPr>
        <w:t>加气混凝土砌块，主要</w:t>
      </w:r>
      <w:r>
        <w:rPr>
          <w:rFonts w:ascii="宋体" w:hAnsi="宋体"/>
          <w:sz w:val="18"/>
          <w:szCs w:val="18"/>
        </w:rPr>
        <w:t>功能房间</w:t>
      </w:r>
      <w:r>
        <w:rPr>
          <w:rFonts w:hint="eastAsia" w:ascii="宋体" w:hAnsi="宋体"/>
          <w:sz w:val="18"/>
          <w:szCs w:val="18"/>
        </w:rPr>
        <w:t>外窗采用</w:t>
      </w:r>
      <w:r>
        <w:rPr>
          <w:rFonts w:hint="eastAsia" w:ascii="宋体" w:hAnsi="宋体" w:cs="宋体"/>
          <w:sz w:val="18"/>
          <w:szCs w:val="18"/>
        </w:rPr>
        <w:t>6LOW-e+12</w:t>
      </w:r>
      <w:r>
        <w:rPr>
          <w:rFonts w:hint="eastAsia" w:ascii="宋体" w:hAnsi="宋体" w:cs="宋体"/>
          <w:sz w:val="18"/>
          <w:szCs w:val="18"/>
          <w:lang w:eastAsia="zh-CN"/>
        </w:rPr>
        <w:t>A</w:t>
      </w:r>
      <w:r>
        <w:rPr>
          <w:rFonts w:hint="eastAsia" w:ascii="宋体" w:hAnsi="宋体" w:cs="宋体"/>
          <w:sz w:val="18"/>
          <w:szCs w:val="18"/>
        </w:rPr>
        <w:t>+6中透光中空玻璃</w:t>
      </w:r>
      <w:r>
        <w:rPr>
          <w:rFonts w:hint="eastAsia" w:ascii="宋体" w:hAnsi="宋体"/>
          <w:sz w:val="18"/>
          <w:szCs w:val="18"/>
        </w:rPr>
        <w:t>，各功能间的门采用钢制平开门，楼板采用</w:t>
      </w:r>
      <w:r>
        <w:rPr>
          <w:rFonts w:ascii="宋体" w:hAnsi="宋体"/>
          <w:sz w:val="18"/>
          <w:szCs w:val="18"/>
        </w:rPr>
        <w:t>3mm隔声垫</w:t>
      </w:r>
      <w:r>
        <w:rPr>
          <w:rFonts w:hint="eastAsia" w:ascii="宋体" w:hAnsi="宋体"/>
          <w:sz w:val="18"/>
          <w:szCs w:val="18"/>
        </w:rPr>
        <w:t>隔声楼板。</w:t>
      </w:r>
      <w:r>
        <w:rPr>
          <w:rFonts w:hint="eastAsia" w:ascii="宋体" w:hAnsi="宋体" w:cs="宋体"/>
          <w:sz w:val="18"/>
          <w:szCs w:val="18"/>
        </w:rPr>
        <w:t>各</w:t>
      </w:r>
      <w:r>
        <w:rPr>
          <w:rFonts w:hint="eastAsia" w:ascii="宋体" w:hAnsi="宋体"/>
          <w:sz w:val="18"/>
          <w:szCs w:val="18"/>
        </w:rPr>
        <w:t>构件隔声性能隔声性能均满足现行国家标准</w:t>
      </w:r>
      <w:r>
        <w:rPr>
          <w:rFonts w:ascii="宋体" w:hAnsi="宋体"/>
          <w:sz w:val="18"/>
          <w:szCs w:val="18"/>
        </w:rPr>
        <w:t xml:space="preserve"> </w:t>
      </w:r>
      <w:r>
        <w:rPr>
          <w:rFonts w:hint="eastAsia" w:ascii="宋体" w:hAnsi="宋体"/>
          <w:sz w:val="18"/>
          <w:szCs w:val="18"/>
        </w:rPr>
        <w:t>《民用建筑隔声设计规范》</w:t>
      </w:r>
      <w:r>
        <w:rPr>
          <w:rFonts w:ascii="宋体" w:hAnsi="宋体"/>
          <w:sz w:val="18"/>
          <w:szCs w:val="18"/>
        </w:rPr>
        <w:t>GB 50118</w:t>
      </w:r>
      <w:r>
        <w:rPr>
          <w:rFonts w:hint="eastAsia" w:ascii="宋体" w:hAnsi="宋体"/>
          <w:sz w:val="18"/>
          <w:szCs w:val="18"/>
        </w:rPr>
        <w:t>中标准限值要求，楼板撞击声隔声性能均满足现行国家标准《民用建筑隔声设计规范》</w:t>
      </w:r>
      <w:r>
        <w:rPr>
          <w:rFonts w:ascii="宋体" w:hAnsi="宋体"/>
          <w:sz w:val="18"/>
          <w:szCs w:val="18"/>
        </w:rPr>
        <w:t>GB 50118</w:t>
      </w:r>
      <w:r>
        <w:rPr>
          <w:rFonts w:hint="eastAsia" w:ascii="宋体" w:hAnsi="宋体"/>
          <w:sz w:val="18"/>
          <w:szCs w:val="18"/>
        </w:rPr>
        <w:t>中高标准限值要求，各构造隔声性能结果详见</w:t>
      </w:r>
      <w:r>
        <w:rPr>
          <w:rFonts w:ascii="宋体" w:hAnsi="宋体"/>
          <w:sz w:val="18"/>
          <w:szCs w:val="18"/>
        </w:rPr>
        <w:t>《</w:t>
      </w:r>
      <w:r>
        <w:rPr>
          <w:rFonts w:hint="eastAsia" w:ascii="宋体" w:hAnsi="宋体" w:cs="宋体"/>
          <w:sz w:val="18"/>
          <w:szCs w:val="18"/>
        </w:rPr>
        <w:t>围护结构隔声量计算书</w:t>
      </w:r>
      <w:r>
        <w:rPr>
          <w:rFonts w:ascii="宋体" w:hAnsi="宋体"/>
          <w:sz w:val="18"/>
          <w:szCs w:val="18"/>
        </w:rPr>
        <w:t>》</w:t>
      </w:r>
      <w:r>
        <w:rPr>
          <w:rFonts w:hint="eastAsia" w:ascii="宋体" w:hAnsi="宋体"/>
          <w:sz w:val="18"/>
          <w:szCs w:val="18"/>
        </w:rPr>
        <w:t>。</w:t>
      </w:r>
    </w:p>
    <w:p w14:paraId="2F340196">
      <w:pPr>
        <w:spacing w:line="240" w:lineRule="exact"/>
        <w:ind w:firstLine="360" w:firstLineChars="200"/>
        <w:jc w:val="left"/>
        <w:rPr>
          <w:rFonts w:ascii="宋体" w:hAnsi="宋体" w:cs="宋体"/>
          <w:sz w:val="18"/>
          <w:szCs w:val="18"/>
        </w:rPr>
      </w:pPr>
      <w:r>
        <w:rPr>
          <w:rFonts w:hint="eastAsia" w:ascii="宋体" w:hAnsi="宋体" w:cs="宋体"/>
          <w:sz w:val="18"/>
          <w:szCs w:val="18"/>
        </w:rPr>
        <w:t>2）根据现场踏勘和对地块周边现状的了解以及该地区的发展规划，可能对建设项目产生影响的外环境噪声源主要为交通噪声与生活噪声。根据《</w:t>
      </w:r>
      <w:r>
        <w:rPr>
          <w:rFonts w:hint="eastAsia" w:ascii="宋体" w:hAnsi="宋体"/>
          <w:sz w:val="18"/>
          <w:szCs w:val="18"/>
        </w:rPr>
        <w:t>室外</w:t>
      </w:r>
      <w:r>
        <w:rPr>
          <w:rFonts w:ascii="宋体" w:hAnsi="宋体"/>
          <w:sz w:val="18"/>
          <w:szCs w:val="18"/>
        </w:rPr>
        <w:t>声环境模拟报告</w:t>
      </w:r>
      <w:r>
        <w:rPr>
          <w:rFonts w:hint="eastAsia" w:ascii="宋体" w:hAnsi="宋体"/>
          <w:sz w:val="18"/>
          <w:szCs w:val="18"/>
        </w:rPr>
        <w:t>》</w:t>
      </w:r>
      <w:r>
        <w:rPr>
          <w:rFonts w:hint="eastAsia" w:ascii="宋体" w:hAnsi="宋体" w:cs="宋体"/>
          <w:sz w:val="18"/>
          <w:szCs w:val="18"/>
        </w:rPr>
        <w:t>，项目最不利室外昼夜背景噪声边界值分别为：昼间：</w:t>
      </w:r>
      <w:r>
        <w:rPr>
          <w:rFonts w:ascii="宋体" w:hAnsi="宋体" w:cs="宋体"/>
          <w:sz w:val="18"/>
          <w:szCs w:val="18"/>
        </w:rPr>
        <w:t>58</w:t>
      </w:r>
      <w:r>
        <w:rPr>
          <w:rFonts w:hint="eastAsia" w:ascii="宋体" w:hAnsi="宋体" w:cs="宋体"/>
          <w:sz w:val="18"/>
          <w:szCs w:val="18"/>
        </w:rPr>
        <w:t>dB，夜间：</w:t>
      </w:r>
      <w:r>
        <w:rPr>
          <w:rFonts w:ascii="宋体" w:hAnsi="宋体" w:cs="宋体"/>
          <w:sz w:val="18"/>
          <w:szCs w:val="18"/>
        </w:rPr>
        <w:t>53</w:t>
      </w:r>
      <w:r>
        <w:rPr>
          <w:rFonts w:hint="eastAsia" w:ascii="宋体" w:hAnsi="宋体" w:cs="宋体"/>
          <w:sz w:val="18"/>
          <w:szCs w:val="18"/>
        </w:rPr>
        <w:t>dB。</w:t>
      </w:r>
      <w:r>
        <w:rPr>
          <w:rFonts w:hint="eastAsia" w:ascii="宋体" w:hAnsi="宋体"/>
          <w:sz w:val="18"/>
          <w:szCs w:val="18"/>
        </w:rPr>
        <w:t>主要功能房间外窗采用</w:t>
      </w:r>
      <w:r>
        <w:rPr>
          <w:rFonts w:hint="eastAsia" w:ascii="宋体" w:hAnsi="宋体" w:cs="宋体"/>
          <w:sz w:val="18"/>
          <w:szCs w:val="18"/>
        </w:rPr>
        <w:t>6LOW-e+12</w:t>
      </w:r>
      <w:r>
        <w:rPr>
          <w:rFonts w:hint="eastAsia" w:ascii="宋体" w:hAnsi="宋体" w:cs="宋体"/>
          <w:sz w:val="18"/>
          <w:szCs w:val="18"/>
          <w:lang w:eastAsia="zh-CN"/>
        </w:rPr>
        <w:t>A</w:t>
      </w:r>
      <w:r>
        <w:rPr>
          <w:rFonts w:hint="eastAsia" w:ascii="宋体" w:hAnsi="宋体" w:cs="宋体"/>
          <w:sz w:val="18"/>
          <w:szCs w:val="18"/>
        </w:rPr>
        <w:t>+6中透光中空玻璃，其交通频谱修正空气隔声量为3</w:t>
      </w:r>
      <w:r>
        <w:rPr>
          <w:rFonts w:ascii="宋体" w:hAnsi="宋体" w:cs="宋体"/>
          <w:sz w:val="18"/>
          <w:szCs w:val="18"/>
        </w:rPr>
        <w:t>0</w:t>
      </w:r>
      <w:r>
        <w:rPr>
          <w:rFonts w:hint="eastAsia" w:ascii="宋体" w:hAnsi="宋体" w:cs="宋体"/>
          <w:sz w:val="18"/>
          <w:szCs w:val="18"/>
        </w:rPr>
        <w:t xml:space="preserve"> dB（A）</w:t>
      </w:r>
      <w:r>
        <w:rPr>
          <w:rFonts w:hint="eastAsia" w:ascii="宋体" w:hAnsi="宋体"/>
          <w:sz w:val="18"/>
          <w:szCs w:val="18"/>
        </w:rPr>
        <w:t>。</w:t>
      </w:r>
      <w:r>
        <w:rPr>
          <w:rFonts w:ascii="宋体" w:hAnsi="宋体"/>
          <w:sz w:val="18"/>
          <w:szCs w:val="18"/>
        </w:rPr>
        <w:t>室内设备噪声主要为空调噪声，</w:t>
      </w:r>
      <w:r>
        <w:rPr>
          <w:rFonts w:hint="eastAsia" w:ascii="宋体" w:hAnsi="宋体"/>
          <w:sz w:val="18"/>
          <w:szCs w:val="18"/>
        </w:rPr>
        <w:t>根据暖通设计文件，各功能房间采用多联式空调室内机，昼间中速档运行。经计算，主要功能房间内室内叠加总声压级达到现行国家现行标准《民用建筑隔声设计规范》</w:t>
      </w:r>
      <w:r>
        <w:rPr>
          <w:rFonts w:ascii="宋体" w:hAnsi="宋体"/>
          <w:sz w:val="18"/>
          <w:szCs w:val="18"/>
        </w:rPr>
        <w:t>GB 50118</w:t>
      </w:r>
      <w:r>
        <w:rPr>
          <w:rFonts w:hint="eastAsia" w:ascii="宋体" w:hAnsi="宋体"/>
          <w:sz w:val="18"/>
          <w:szCs w:val="18"/>
        </w:rPr>
        <w:t>中规定的平均标准限值要求，同时外部噪声源传播至功能房间的室内噪声值满足《建筑环境通用规范》G</w:t>
      </w:r>
      <w:r>
        <w:rPr>
          <w:rFonts w:ascii="宋体" w:hAnsi="宋体"/>
          <w:sz w:val="18"/>
          <w:szCs w:val="18"/>
        </w:rPr>
        <w:t>B55016</w:t>
      </w:r>
      <w:r>
        <w:rPr>
          <w:rFonts w:hint="eastAsia" w:ascii="宋体" w:hAnsi="宋体"/>
          <w:sz w:val="18"/>
          <w:szCs w:val="18"/>
        </w:rPr>
        <w:t>规定的限定值</w:t>
      </w:r>
      <w:r>
        <w:rPr>
          <w:rFonts w:hint="eastAsia" w:ascii="宋体" w:hAnsi="宋体" w:cs="宋体"/>
          <w:sz w:val="18"/>
          <w:szCs w:val="18"/>
        </w:rPr>
        <w:t>。</w:t>
      </w:r>
    </w:p>
    <w:p w14:paraId="779B2737">
      <w:pPr>
        <w:spacing w:line="240" w:lineRule="exact"/>
        <w:rPr>
          <w:rFonts w:ascii="宋体" w:cs="宋体"/>
          <w:sz w:val="18"/>
          <w:szCs w:val="18"/>
        </w:rPr>
      </w:pPr>
      <w:r>
        <w:rPr>
          <w:rFonts w:hint="eastAsia" w:ascii="宋体" w:hAnsi="宋体" w:cs="宋体"/>
          <w:sz w:val="18"/>
          <w:szCs w:val="18"/>
        </w:rPr>
        <w:t>证明材料：√</w:t>
      </w:r>
      <w:r>
        <w:rPr>
          <w:rFonts w:hint="eastAsia" w:ascii="宋体" w:hAnsi="宋体"/>
          <w:sz w:val="18"/>
          <w:szCs w:val="18"/>
        </w:rPr>
        <w:t>室外</w:t>
      </w:r>
      <w:r>
        <w:rPr>
          <w:rFonts w:ascii="宋体" w:hAnsi="宋体"/>
          <w:sz w:val="18"/>
          <w:szCs w:val="18"/>
        </w:rPr>
        <w:t>声环境模拟报告</w:t>
      </w:r>
      <w:r>
        <w:rPr>
          <w:rFonts w:hint="eastAsia" w:ascii="宋体" w:hAnsi="宋体"/>
          <w:sz w:val="18"/>
          <w:szCs w:val="18"/>
        </w:rPr>
        <w:t>；</w:t>
      </w:r>
      <w:r>
        <w:rPr>
          <w:rFonts w:hint="eastAsia" w:ascii="宋体" w:hAnsi="宋体" w:cs="宋体"/>
          <w:sz w:val="18"/>
          <w:szCs w:val="18"/>
        </w:rPr>
        <w:t>√</w:t>
      </w:r>
      <w:r>
        <w:rPr>
          <w:rFonts w:hint="eastAsia" w:ascii="宋体" w:hAnsi="宋体"/>
          <w:sz w:val="18"/>
          <w:szCs w:val="18"/>
        </w:rPr>
        <w:t>室内背景噪声计算书；</w:t>
      </w:r>
      <w:r>
        <w:rPr>
          <w:rFonts w:ascii="宋体" w:hAnsi="宋体"/>
          <w:sz w:val="18"/>
          <w:szCs w:val="18"/>
        </w:rPr>
        <w:t xml:space="preserve"> </w:t>
      </w:r>
      <w:r>
        <w:rPr>
          <w:rFonts w:hint="eastAsia" w:ascii="宋体" w:hAnsi="宋体" w:cs="宋体"/>
          <w:sz w:val="18"/>
          <w:szCs w:val="18"/>
        </w:rPr>
        <w:t>√围护结构隔声量计算书；</w:t>
      </w:r>
      <w:r>
        <w:rPr>
          <w:rFonts w:ascii="宋体" w:hAnsi="宋体" w:cs="宋体"/>
          <w:sz w:val="18"/>
          <w:szCs w:val="18"/>
        </w:rPr>
        <w:t xml:space="preserve"> </w:t>
      </w:r>
      <w:r>
        <w:rPr>
          <w:rFonts w:hint="eastAsia" w:ascii="宋体" w:hAnsi="宋体" w:cs="宋体"/>
          <w:sz w:val="18"/>
          <w:szCs w:val="18"/>
        </w:rPr>
        <w:t>√设计图纸（建筑、</w:t>
      </w:r>
      <w:r>
        <w:rPr>
          <w:rFonts w:ascii="宋体" w:hAnsi="宋体" w:cs="宋体"/>
          <w:sz w:val="18"/>
          <w:szCs w:val="18"/>
        </w:rPr>
        <w:t>SM-01_建筑设计总说明</w:t>
      </w:r>
      <w:r>
        <w:rPr>
          <w:rFonts w:hint="eastAsia" w:ascii="宋体" w:hAnsi="宋体" w:cs="宋体"/>
          <w:sz w:val="18"/>
          <w:szCs w:val="18"/>
        </w:rPr>
        <w:t>、SM-02_建筑装修构造做法说明表、门窗大样图）</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705384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259416D7">
            <w:pPr>
              <w:spacing w:line="240" w:lineRule="exact"/>
              <w:jc w:val="center"/>
              <w:rPr>
                <w:rFonts w:ascii="黑体" w:hAnsi="宋体" w:eastAsia="黑体" w:cs="黑体"/>
                <w:sz w:val="18"/>
                <w:szCs w:val="18"/>
              </w:rPr>
            </w:pPr>
            <w:r>
              <w:rPr>
                <w:rFonts w:hint="eastAsia" w:ascii="黑体" w:hAnsi="宋体" w:eastAsia="黑体" w:cs="黑体"/>
                <w:sz w:val="18"/>
                <w:szCs w:val="18"/>
              </w:rPr>
              <w:t>－</w:t>
            </w:r>
          </w:p>
        </w:tc>
        <w:tc>
          <w:tcPr>
            <w:tcW w:w="397" w:type="dxa"/>
            <w:tcMar>
              <w:left w:w="0" w:type="dxa"/>
              <w:right w:w="0" w:type="dxa"/>
            </w:tcMar>
          </w:tcPr>
          <w:p w14:paraId="7A56A16E">
            <w:pPr>
              <w:spacing w:line="240" w:lineRule="exact"/>
              <w:jc w:val="center"/>
              <w:rPr>
                <w:rFonts w:ascii="黑体" w:hAnsi="宋体" w:eastAsia="黑体" w:cs="黑体"/>
                <w:sz w:val="18"/>
                <w:szCs w:val="18"/>
              </w:rPr>
            </w:pPr>
            <w:r>
              <w:rPr>
                <w:rFonts w:hint="eastAsia" w:ascii="黑体" w:hAnsi="宋体" w:eastAsia="黑体" w:cs="黑体"/>
                <w:sz w:val="18"/>
                <w:szCs w:val="18"/>
              </w:rPr>
              <w:t>√</w:t>
            </w:r>
          </w:p>
        </w:tc>
      </w:tr>
    </w:tbl>
    <w:p w14:paraId="58EF1D25">
      <w:pPr>
        <w:spacing w:line="240" w:lineRule="exact"/>
        <w:rPr>
          <w:rFonts w:ascii="黑体" w:hAnsi="宋体" w:eastAsia="黑体" w:cs="黑体"/>
          <w:sz w:val="18"/>
          <w:szCs w:val="18"/>
        </w:rPr>
      </w:pPr>
      <w:r>
        <w:rPr>
          <w:rFonts w:ascii="黑体" w:hAnsi="宋体" w:eastAsia="黑体" w:cs="黑体"/>
          <w:sz w:val="18"/>
          <w:szCs w:val="18"/>
        </w:rPr>
        <w:t xml:space="preserve">5.1.7 </w:t>
      </w:r>
      <w:r>
        <w:rPr>
          <w:rFonts w:hint="eastAsia" w:ascii="黑体" w:hAnsi="宋体" w:eastAsia="黑体" w:cs="黑体"/>
          <w:sz w:val="18"/>
          <w:szCs w:val="18"/>
        </w:rPr>
        <w:t>围护结构热工性能应符合下列规定：</w:t>
      </w:r>
      <w:r>
        <w:rPr>
          <w:rFonts w:ascii="黑体" w:hAnsi="宋体" w:eastAsia="黑体" w:cs="黑体"/>
          <w:sz w:val="18"/>
          <w:szCs w:val="18"/>
        </w:rPr>
        <w:t>1</w:t>
      </w:r>
      <w:r>
        <w:rPr>
          <w:rFonts w:hint="eastAsia" w:ascii="黑体" w:hAnsi="宋体" w:eastAsia="黑体" w:cs="黑体"/>
          <w:sz w:val="18"/>
          <w:szCs w:val="18"/>
        </w:rPr>
        <w:t>在室内设计温度、湿度条件下，建筑非透光围护结构内表面不得结露；</w:t>
      </w:r>
      <w:r>
        <w:rPr>
          <w:rFonts w:ascii="黑体" w:hAnsi="宋体" w:eastAsia="黑体" w:cs="黑体"/>
          <w:sz w:val="18"/>
          <w:szCs w:val="18"/>
        </w:rPr>
        <w:t xml:space="preserve">2 </w:t>
      </w:r>
      <w:r>
        <w:rPr>
          <w:rFonts w:hint="eastAsia" w:ascii="黑体" w:hAnsi="宋体" w:eastAsia="黑体" w:cs="黑体"/>
          <w:sz w:val="18"/>
          <w:szCs w:val="18"/>
        </w:rPr>
        <w:t>供暖建筑的屋面、外墙内部不应产生冷凝；</w:t>
      </w:r>
      <w:r>
        <w:rPr>
          <w:rFonts w:ascii="黑体" w:hAnsi="宋体" w:eastAsia="黑体" w:cs="黑体"/>
          <w:sz w:val="18"/>
          <w:szCs w:val="18"/>
        </w:rPr>
        <w:t xml:space="preserve">3 </w:t>
      </w:r>
      <w:r>
        <w:rPr>
          <w:rFonts w:hint="eastAsia" w:ascii="黑体" w:hAnsi="宋体" w:eastAsia="黑体" w:cs="黑体"/>
          <w:sz w:val="18"/>
          <w:szCs w:val="18"/>
        </w:rPr>
        <w:t>屋顶和外墙隔热性能应满足现行国家标准《民用建筑热工设计规范》</w:t>
      </w:r>
      <w:r>
        <w:rPr>
          <w:rFonts w:ascii="黑体" w:hAnsi="宋体" w:eastAsia="黑体" w:cs="黑体"/>
          <w:sz w:val="18"/>
          <w:szCs w:val="18"/>
        </w:rPr>
        <w:t>GB 50176</w:t>
      </w:r>
      <w:r>
        <w:rPr>
          <w:rFonts w:hint="eastAsia" w:ascii="黑体" w:hAnsi="宋体" w:eastAsia="黑体" w:cs="黑体"/>
          <w:sz w:val="18"/>
          <w:szCs w:val="18"/>
        </w:rPr>
        <w:t>的要求。</w:t>
      </w:r>
    </w:p>
    <w:p w14:paraId="275FEFA4">
      <w:pPr>
        <w:spacing w:line="240" w:lineRule="exact"/>
        <w:rPr>
          <w:rFonts w:ascii="宋体" w:cs="黑体"/>
          <w:sz w:val="18"/>
          <w:szCs w:val="18"/>
        </w:rPr>
      </w:pPr>
      <w:r>
        <w:rPr>
          <w:rFonts w:hint="eastAsia" w:ascii="宋体" w:hAnsi="宋体" w:cs="黑体"/>
          <w:sz w:val="18"/>
          <w:szCs w:val="18"/>
        </w:rPr>
        <w:t>技术措施说明：夏热冬暖地区第</w:t>
      </w:r>
      <w:r>
        <w:rPr>
          <w:rFonts w:ascii="宋体" w:hAnsi="宋体" w:cs="黑体"/>
          <w:sz w:val="18"/>
          <w:szCs w:val="18"/>
        </w:rPr>
        <w:t>1</w:t>
      </w:r>
      <w:r>
        <w:rPr>
          <w:rFonts w:hint="eastAsia" w:ascii="宋体" w:hAnsi="宋体" w:cs="黑体"/>
          <w:sz w:val="18"/>
          <w:szCs w:val="18"/>
        </w:rPr>
        <w:t>、</w:t>
      </w:r>
      <w:r>
        <w:rPr>
          <w:rFonts w:ascii="宋体" w:hAnsi="宋体" w:cs="黑体"/>
          <w:sz w:val="18"/>
          <w:szCs w:val="18"/>
        </w:rPr>
        <w:t>2</w:t>
      </w:r>
      <w:r>
        <w:rPr>
          <w:rFonts w:hint="eastAsia" w:ascii="宋体" w:hAnsi="宋体" w:cs="黑体"/>
          <w:sz w:val="18"/>
          <w:szCs w:val="18"/>
        </w:rPr>
        <w:t>款直接达标；</w:t>
      </w:r>
      <w:r>
        <w:rPr>
          <w:rFonts w:hint="eastAsia" w:ascii="宋体" w:hAnsi="宋体" w:cs="宋体"/>
          <w:sz w:val="18"/>
          <w:szCs w:val="18"/>
        </w:rPr>
        <w:t>本</w:t>
      </w:r>
      <w:r>
        <w:rPr>
          <w:rFonts w:ascii="宋体" w:hAnsi="宋体" w:cs="宋体"/>
          <w:sz w:val="18"/>
          <w:szCs w:val="18"/>
        </w:rPr>
        <w:t>项目</w:t>
      </w:r>
      <w:r>
        <w:rPr>
          <w:rFonts w:hint="eastAsia" w:ascii="宋体" w:hAnsi="宋体" w:cs="宋体"/>
          <w:sz w:val="18"/>
          <w:szCs w:val="18"/>
        </w:rPr>
        <w:t>屋面及各朝向主墙体在自然通风工况下室内最高表面温度均满足现行国家标准《民用建筑热工设计规范》</w:t>
      </w:r>
      <w:r>
        <w:rPr>
          <w:rFonts w:ascii="宋体" w:hAnsi="宋体" w:cs="宋体"/>
          <w:sz w:val="18"/>
          <w:szCs w:val="18"/>
        </w:rPr>
        <w:t>GB 50176</w:t>
      </w:r>
      <w:r>
        <w:rPr>
          <w:rFonts w:hint="eastAsia" w:ascii="宋体" w:hAnsi="宋体" w:cs="宋体"/>
          <w:sz w:val="18"/>
          <w:szCs w:val="18"/>
        </w:rPr>
        <w:t>的要求。屋顶</w:t>
      </w:r>
      <w:r>
        <w:rPr>
          <w:rFonts w:ascii="宋体" w:hAnsi="宋体" w:cs="宋体"/>
          <w:sz w:val="18"/>
          <w:szCs w:val="18"/>
        </w:rPr>
        <w:t>采用100mm（</w:t>
      </w:r>
      <w:r>
        <w:rPr>
          <w:rFonts w:hint="eastAsia" w:ascii="宋体" w:hAnsi="宋体" w:cs="宋体"/>
          <w:sz w:val="18"/>
          <w:szCs w:val="18"/>
        </w:rPr>
        <w:t>计算8</w:t>
      </w:r>
      <w:r>
        <w:rPr>
          <w:rFonts w:ascii="宋体" w:hAnsi="宋体" w:cs="宋体"/>
          <w:sz w:val="18"/>
          <w:szCs w:val="18"/>
        </w:rPr>
        <w:t>0mm）</w:t>
      </w:r>
      <w:r>
        <w:rPr>
          <w:rFonts w:hint="eastAsia" w:ascii="宋体" w:hAnsi="宋体" w:cs="宋体"/>
          <w:sz w:val="18"/>
          <w:szCs w:val="18"/>
        </w:rPr>
        <w:t>厚</w:t>
      </w:r>
      <w:r>
        <w:rPr>
          <w:rFonts w:ascii="宋体" w:hAnsi="宋体" w:cs="宋体"/>
          <w:sz w:val="18"/>
          <w:szCs w:val="18"/>
        </w:rPr>
        <w:t>的挤塑聚苯板</w:t>
      </w:r>
      <w:r>
        <w:rPr>
          <w:rFonts w:hint="eastAsia" w:ascii="宋体" w:hAnsi="宋体" w:cs="宋体"/>
          <w:sz w:val="18"/>
          <w:szCs w:val="18"/>
        </w:rPr>
        <w:t>倒置式屋面</w:t>
      </w:r>
      <w:r>
        <w:rPr>
          <w:rFonts w:ascii="宋体" w:hAnsi="宋体" w:cs="宋体"/>
          <w:sz w:val="18"/>
          <w:szCs w:val="18"/>
        </w:rPr>
        <w:t>，传热系数为</w:t>
      </w:r>
      <w:r>
        <w:rPr>
          <w:rFonts w:hint="eastAsia" w:ascii="宋体" w:hAnsi="宋体" w:cs="宋体"/>
          <w:sz w:val="18"/>
          <w:szCs w:val="18"/>
        </w:rPr>
        <w:t>≤0.</w:t>
      </w:r>
      <w:r>
        <w:rPr>
          <w:rFonts w:ascii="宋体" w:hAnsi="宋体" w:cs="宋体"/>
          <w:sz w:val="18"/>
          <w:szCs w:val="18"/>
        </w:rPr>
        <w:t>4W</w:t>
      </w:r>
      <w:r>
        <w:rPr>
          <w:rFonts w:hint="eastAsia" w:ascii="宋体" w:hAnsi="宋体" w:cs="宋体"/>
          <w:sz w:val="18"/>
          <w:szCs w:val="18"/>
        </w:rPr>
        <w:t>/</w:t>
      </w:r>
      <w:r>
        <w:rPr>
          <w:rFonts w:ascii="宋体" w:hAnsi="宋体" w:cs="宋体"/>
          <w:sz w:val="18"/>
          <w:szCs w:val="18"/>
        </w:rPr>
        <w:t>(K</w:t>
      </w:r>
      <w:r>
        <w:rPr>
          <w:rFonts w:hint="eastAsia" w:ascii="宋体" w:hAnsi="宋体" w:cs="宋体"/>
          <w:sz w:val="18"/>
          <w:szCs w:val="18"/>
        </w:rPr>
        <w:t>.m</w:t>
      </w:r>
      <w:r>
        <w:rPr>
          <w:rFonts w:hint="eastAsia" w:ascii="宋体" w:hAnsi="宋体" w:cs="宋体"/>
          <w:sz w:val="18"/>
          <w:szCs w:val="18"/>
          <w:vertAlign w:val="superscript"/>
        </w:rPr>
        <w:t>2</w:t>
      </w:r>
      <w:r>
        <w:rPr>
          <w:rFonts w:ascii="宋体" w:hAnsi="宋体" w:cs="宋体"/>
          <w:sz w:val="18"/>
          <w:szCs w:val="18"/>
        </w:rPr>
        <w:t>)</w:t>
      </w:r>
      <w:r>
        <w:rPr>
          <w:rFonts w:hint="eastAsia" w:ascii="宋体" w:hAnsi="宋体" w:cs="宋体"/>
          <w:sz w:val="18"/>
          <w:szCs w:val="18"/>
        </w:rPr>
        <w:t>，内表面</w:t>
      </w:r>
      <w:r>
        <w:rPr>
          <w:rFonts w:ascii="宋体" w:hAnsi="宋体" w:cs="宋体"/>
          <w:sz w:val="18"/>
          <w:szCs w:val="18"/>
        </w:rPr>
        <w:t>隔热</w:t>
      </w:r>
      <w:r>
        <w:rPr>
          <w:rFonts w:hint="eastAsia" w:ascii="宋体" w:hAnsi="宋体" w:cs="宋体"/>
          <w:sz w:val="18"/>
          <w:szCs w:val="18"/>
        </w:rPr>
        <w:t>验算</w:t>
      </w:r>
      <w:r>
        <w:rPr>
          <w:rFonts w:ascii="宋体" w:hAnsi="宋体" w:cs="宋体"/>
          <w:sz w:val="18"/>
          <w:szCs w:val="18"/>
        </w:rPr>
        <w:t>温度</w:t>
      </w:r>
      <w:r>
        <w:rPr>
          <w:rFonts w:hint="eastAsia" w:ascii="宋体" w:hAnsi="宋体" w:cs="宋体"/>
          <w:sz w:val="18"/>
          <w:szCs w:val="18"/>
        </w:rPr>
        <w:t>低于28.5℃；</w:t>
      </w:r>
      <w:r>
        <w:rPr>
          <w:rFonts w:ascii="宋体" w:hAnsi="宋体" w:cs="宋体"/>
          <w:sz w:val="18"/>
          <w:szCs w:val="18"/>
        </w:rPr>
        <w:t>外墙</w:t>
      </w:r>
      <w:r>
        <w:rPr>
          <w:rFonts w:hint="eastAsia" w:ascii="宋体" w:hAnsi="宋体" w:cs="宋体"/>
          <w:sz w:val="18"/>
          <w:szCs w:val="18"/>
        </w:rPr>
        <w:t>主墙体采用200</w:t>
      </w:r>
      <w:r>
        <w:rPr>
          <w:rFonts w:ascii="宋体" w:hAnsi="宋体" w:cs="宋体"/>
          <w:sz w:val="18"/>
          <w:szCs w:val="18"/>
        </w:rPr>
        <w:t>mm加气混凝土砌块墙体，</w:t>
      </w:r>
      <w:r>
        <w:rPr>
          <w:rFonts w:hint="eastAsia" w:ascii="宋体" w:hAnsi="宋体" w:cs="宋体"/>
          <w:sz w:val="18"/>
          <w:szCs w:val="18"/>
        </w:rPr>
        <w:t>经计算，各朝向主墙体的内表面</w:t>
      </w:r>
      <w:r>
        <w:rPr>
          <w:rFonts w:ascii="宋体" w:hAnsi="宋体" w:cs="宋体"/>
          <w:sz w:val="18"/>
          <w:szCs w:val="18"/>
        </w:rPr>
        <w:t>隔热</w:t>
      </w:r>
      <w:r>
        <w:rPr>
          <w:rFonts w:hint="eastAsia" w:ascii="宋体" w:hAnsi="宋体" w:cs="宋体"/>
          <w:sz w:val="18"/>
          <w:szCs w:val="18"/>
        </w:rPr>
        <w:t>验算</w:t>
      </w:r>
      <w:r>
        <w:rPr>
          <w:rFonts w:ascii="宋体" w:hAnsi="宋体" w:cs="宋体"/>
          <w:sz w:val="18"/>
          <w:szCs w:val="18"/>
        </w:rPr>
        <w:t>温度</w:t>
      </w:r>
      <w:r>
        <w:rPr>
          <w:rFonts w:hint="eastAsia" w:ascii="宋体" w:hAnsi="宋体" w:cs="宋体"/>
          <w:sz w:val="18"/>
          <w:szCs w:val="18"/>
        </w:rPr>
        <w:t>均低于28.00℃。</w:t>
      </w:r>
    </w:p>
    <w:p w14:paraId="33ABE91A">
      <w:pPr>
        <w:spacing w:line="240" w:lineRule="exact"/>
        <w:rPr>
          <w:b/>
          <w:bCs/>
          <w:sz w:val="18"/>
          <w:szCs w:val="18"/>
        </w:rPr>
      </w:pPr>
      <w:r>
        <w:rPr>
          <w:rFonts w:hint="eastAsia" w:ascii="宋体" w:hAnsi="宋体" w:cs="宋体"/>
          <w:sz w:val="18"/>
          <w:szCs w:val="18"/>
        </w:rPr>
        <w:t>证明材料：√</w:t>
      </w:r>
      <w:r>
        <w:rPr>
          <w:rFonts w:hint="eastAsia" w:ascii="宋体" w:hAnsi="宋体"/>
          <w:sz w:val="18"/>
          <w:szCs w:val="18"/>
        </w:rPr>
        <w:t>节能计算报告书</w:t>
      </w:r>
      <w:r>
        <w:rPr>
          <w:rFonts w:hint="eastAsia" w:ascii="宋体" w:hAnsi="宋体" w:cs="宋体"/>
          <w:sz w:val="18"/>
          <w:szCs w:val="18"/>
        </w:rPr>
        <w:t>；</w:t>
      </w:r>
      <w:r>
        <w:rPr>
          <w:rFonts w:ascii="宋体" w:hAnsi="宋体" w:cs="宋体"/>
          <w:sz w:val="18"/>
          <w:szCs w:val="18"/>
        </w:rPr>
        <w:t xml:space="preserve"> </w:t>
      </w:r>
      <w:r>
        <w:rPr>
          <w:rFonts w:hint="eastAsia" w:ascii="宋体" w:hAnsi="宋体" w:cs="宋体"/>
          <w:sz w:val="18"/>
          <w:szCs w:val="18"/>
        </w:rPr>
        <w:t>√</w:t>
      </w:r>
      <w:r>
        <w:rPr>
          <w:rFonts w:hint="eastAsia" w:ascii="宋体" w:hAnsi="宋体"/>
          <w:sz w:val="18"/>
          <w:szCs w:val="18"/>
        </w:rPr>
        <w:t>隔热验算计算书</w:t>
      </w:r>
      <w:r>
        <w:rPr>
          <w:rFonts w:hint="eastAsia" w:ascii="宋体" w:hAnsi="宋体" w:cs="宋体"/>
          <w:sz w:val="18"/>
          <w:szCs w:val="18"/>
        </w:rPr>
        <w:t>；</w:t>
      </w:r>
      <w:r>
        <w:rPr>
          <w:rFonts w:ascii="宋体" w:hAnsi="宋体" w:cs="宋体"/>
          <w:sz w:val="18"/>
          <w:szCs w:val="18"/>
        </w:rPr>
        <w:t xml:space="preserve"> </w:t>
      </w:r>
      <w:r>
        <w:rPr>
          <w:rFonts w:hint="eastAsia" w:ascii="宋体" w:hAnsi="宋体" w:cs="宋体"/>
          <w:sz w:val="18"/>
          <w:szCs w:val="18"/>
        </w:rPr>
        <w:t xml:space="preserve">√设计图纸（建筑、建筑节能设计专篇 </w:t>
      </w:r>
      <w:r>
        <w:rPr>
          <w:rFonts w:ascii="宋体" w:hAnsi="宋体" w:cs="宋体"/>
          <w:sz w:val="18"/>
          <w:szCs w:val="18"/>
        </w:rPr>
        <w:t xml:space="preserve"> SM-01_建筑设计总说明</w:t>
      </w:r>
      <w:r>
        <w:rPr>
          <w:rFonts w:hint="eastAsia" w:ascii="宋体" w:hAnsi="宋体" w:cs="宋体"/>
          <w:sz w:val="18"/>
          <w:szCs w:val="18"/>
        </w:rPr>
        <w:t>）</w:t>
      </w:r>
    </w:p>
    <w:p w14:paraId="0721B316">
      <w:pPr>
        <w:spacing w:line="240" w:lineRule="exact"/>
        <w:rPr>
          <w:b/>
          <w:bCs/>
          <w:sz w:val="18"/>
          <w:szCs w:val="18"/>
        </w:rPr>
      </w:pPr>
    </w:p>
    <w:p w14:paraId="5E13630A">
      <w:pPr>
        <w:spacing w:line="240" w:lineRule="exact"/>
        <w:rPr>
          <w:b/>
          <w:bCs/>
          <w:sz w:val="18"/>
          <w:szCs w:val="18"/>
        </w:rPr>
      </w:pPr>
      <w:r>
        <w:rPr>
          <w:rFonts w:hint="eastAsia"/>
          <w:b/>
          <w:bCs/>
          <w:sz w:val="18"/>
          <w:szCs w:val="18"/>
        </w:rPr>
        <w:t>给排水专业</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651BBF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7AB899AD">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376FBEBA">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1EB2F4FE">
      <w:pPr>
        <w:spacing w:line="240" w:lineRule="exact"/>
        <w:rPr>
          <w:rFonts w:ascii="黑体" w:hAnsi="宋体" w:eastAsia="黑体" w:cs="黑体"/>
          <w:sz w:val="18"/>
          <w:szCs w:val="18"/>
        </w:rPr>
      </w:pPr>
      <w:r>
        <w:rPr>
          <w:rFonts w:ascii="黑体" w:hAnsi="宋体" w:eastAsia="黑体" w:cs="黑体"/>
          <w:sz w:val="18"/>
          <w:szCs w:val="18"/>
        </w:rPr>
        <w:t>5.1.3</w:t>
      </w:r>
      <w:r>
        <w:rPr>
          <w:rFonts w:hint="eastAsia" w:ascii="黑体" w:hAnsi="宋体" w:eastAsia="黑体" w:cs="黑体"/>
          <w:sz w:val="18"/>
          <w:szCs w:val="18"/>
        </w:rPr>
        <w:t>给水排水系统的设置应符合相关标准要求。</w:t>
      </w:r>
    </w:p>
    <w:p w14:paraId="3A9B3C9E">
      <w:pPr>
        <w:spacing w:line="240" w:lineRule="exact"/>
        <w:rPr>
          <w:rFonts w:ascii="宋体" w:cs="黑体"/>
          <w:sz w:val="18"/>
          <w:szCs w:val="18"/>
        </w:rPr>
      </w:pPr>
      <w:r>
        <w:rPr>
          <w:rFonts w:hint="eastAsia" w:ascii="宋体" w:hAnsi="宋体" w:cs="黑体"/>
          <w:sz w:val="18"/>
          <w:szCs w:val="18"/>
        </w:rPr>
        <w:t>技术措施说明：（</w:t>
      </w:r>
      <w:r>
        <w:rPr>
          <w:rFonts w:ascii="宋体" w:hAnsi="宋体" w:cs="宋体"/>
          <w:sz w:val="18"/>
          <w:szCs w:val="18"/>
        </w:rPr>
        <w:t>1</w:t>
      </w:r>
      <w:r>
        <w:rPr>
          <w:rFonts w:hint="eastAsia" w:ascii="宋体" w:hAnsi="宋体" w:cs="宋体"/>
          <w:sz w:val="18"/>
          <w:szCs w:val="18"/>
        </w:rPr>
        <w:t>）生活饮用水水质满足现行国家标准《生活饮用水卫生标准》</w:t>
      </w:r>
      <w:r>
        <w:rPr>
          <w:rFonts w:ascii="宋体" w:hAnsi="宋体" w:cs="宋体"/>
          <w:sz w:val="18"/>
          <w:szCs w:val="18"/>
        </w:rPr>
        <w:t>GB5749</w:t>
      </w:r>
      <w:r>
        <w:rPr>
          <w:rFonts w:hint="eastAsia" w:ascii="宋体" w:hAnsi="宋体" w:cs="宋体"/>
          <w:sz w:val="18"/>
          <w:szCs w:val="18"/>
          <w:lang w:val="en-US" w:eastAsia="zh-CN"/>
        </w:rPr>
        <w:t>-2022</w:t>
      </w:r>
      <w:r>
        <w:rPr>
          <w:rFonts w:ascii="宋体" w:hAnsi="宋体" w:cs="宋体"/>
          <w:sz w:val="18"/>
          <w:szCs w:val="18"/>
        </w:rPr>
        <w:t xml:space="preserve"> </w:t>
      </w:r>
      <w:r>
        <w:rPr>
          <w:rFonts w:hint="eastAsia" w:ascii="宋体" w:hAnsi="宋体" w:cs="宋体"/>
          <w:sz w:val="18"/>
          <w:szCs w:val="18"/>
        </w:rPr>
        <w:t>的要求；</w:t>
      </w:r>
      <w:r>
        <w:rPr>
          <w:rFonts w:ascii="宋体" w:hAnsi="宋体" w:cs="宋体"/>
          <w:sz w:val="18"/>
          <w:szCs w:val="18"/>
        </w:rPr>
        <w:t>2</w:t>
      </w:r>
      <w:r>
        <w:rPr>
          <w:rFonts w:hint="eastAsia" w:ascii="宋体" w:hAnsi="宋体" w:cs="宋体"/>
          <w:sz w:val="18"/>
          <w:szCs w:val="18"/>
        </w:rPr>
        <w:t>）制定水池、水箱等储水设施定期清洗消毒计划并实施，且生活饮用水储水设施每半年清洗消毒应不少于</w:t>
      </w:r>
      <w:r>
        <w:rPr>
          <w:rFonts w:ascii="宋体" w:hAnsi="宋体" w:cs="宋体"/>
          <w:sz w:val="18"/>
          <w:szCs w:val="18"/>
        </w:rPr>
        <w:t>1</w:t>
      </w:r>
      <w:r>
        <w:rPr>
          <w:rFonts w:hint="eastAsia" w:ascii="宋体" w:hAnsi="宋体" w:cs="宋体"/>
          <w:sz w:val="18"/>
          <w:szCs w:val="18"/>
        </w:rPr>
        <w:t>次；</w:t>
      </w:r>
      <w:r>
        <w:rPr>
          <w:rFonts w:ascii="宋体" w:hAnsi="宋体" w:cs="宋体"/>
          <w:sz w:val="18"/>
          <w:szCs w:val="18"/>
        </w:rPr>
        <w:t>3</w:t>
      </w:r>
      <w:r>
        <w:rPr>
          <w:rFonts w:hint="eastAsia" w:ascii="宋体" w:hAnsi="宋体" w:cs="宋体"/>
          <w:sz w:val="18"/>
          <w:szCs w:val="18"/>
        </w:rPr>
        <w:t>）使用构造内自带水封的便器，且其水封深度应不小于</w:t>
      </w:r>
      <w:r>
        <w:rPr>
          <w:rFonts w:ascii="宋体" w:hAnsi="宋体" w:cs="宋体"/>
          <w:sz w:val="18"/>
          <w:szCs w:val="18"/>
        </w:rPr>
        <w:t xml:space="preserve"> 50mm</w:t>
      </w:r>
      <w:r>
        <w:rPr>
          <w:rFonts w:hint="eastAsia" w:ascii="宋体" w:hAnsi="宋体" w:cs="宋体"/>
          <w:sz w:val="18"/>
          <w:szCs w:val="18"/>
        </w:rPr>
        <w:t>；</w:t>
      </w:r>
      <w:r>
        <w:rPr>
          <w:rFonts w:ascii="宋体" w:hAnsi="宋体" w:cs="宋体"/>
          <w:sz w:val="18"/>
          <w:szCs w:val="18"/>
        </w:rPr>
        <w:t>4</w:t>
      </w:r>
      <w:r>
        <w:rPr>
          <w:rFonts w:hint="eastAsia" w:ascii="宋体" w:hAnsi="宋体" w:cs="宋体"/>
          <w:sz w:val="18"/>
          <w:szCs w:val="18"/>
        </w:rPr>
        <w:t>）雨水等非传统水源管道和设备设置明确、清晰的永久性标识。</w:t>
      </w:r>
    </w:p>
    <w:p w14:paraId="0F0ACDE0">
      <w:pPr>
        <w:spacing w:line="240" w:lineRule="exact"/>
        <w:rPr>
          <w:b/>
          <w:bCs/>
          <w:sz w:val="18"/>
          <w:szCs w:val="18"/>
        </w:rPr>
      </w:pPr>
      <w:r>
        <w:rPr>
          <w:rFonts w:hint="eastAsia" w:ascii="宋体" w:hAnsi="宋体" w:cs="宋体"/>
          <w:sz w:val="18"/>
          <w:szCs w:val="18"/>
        </w:rPr>
        <w:t>证明材料：√设计图纸（给排水、S-01_给水排水设计总说明）；</w:t>
      </w:r>
      <w:r>
        <w:rPr>
          <w:rFonts w:ascii="宋体" w:hAnsi="宋体" w:cs="宋体"/>
          <w:sz w:val="18"/>
          <w:szCs w:val="18"/>
        </w:rPr>
        <w:t xml:space="preserve"> </w:t>
      </w:r>
      <w:r>
        <w:rPr>
          <w:rFonts w:hint="eastAsia" w:ascii="宋体" w:hAnsi="宋体" w:cs="宋体"/>
          <w:sz w:val="18"/>
          <w:szCs w:val="18"/>
        </w:rPr>
        <w:t>√</w:t>
      </w:r>
      <w:r>
        <w:rPr>
          <w:rFonts w:hint="eastAsia" w:ascii="宋体" w:hAnsi="宋体"/>
          <w:sz w:val="18"/>
          <w:szCs w:val="18"/>
        </w:rPr>
        <w:t>二次设计达标承诺函</w:t>
      </w:r>
    </w:p>
    <w:p w14:paraId="2F6A0111">
      <w:pPr>
        <w:spacing w:line="240" w:lineRule="exact"/>
        <w:rPr>
          <w:b/>
          <w:bCs/>
          <w:sz w:val="18"/>
          <w:szCs w:val="18"/>
        </w:rPr>
      </w:pPr>
    </w:p>
    <w:p w14:paraId="5D335FEC">
      <w:pPr>
        <w:spacing w:line="240" w:lineRule="exact"/>
        <w:rPr>
          <w:b/>
          <w:bCs/>
          <w:sz w:val="18"/>
          <w:szCs w:val="18"/>
        </w:rPr>
      </w:pPr>
      <w:r>
        <w:rPr>
          <w:rFonts w:hint="eastAsia"/>
          <w:b/>
          <w:bCs/>
          <w:sz w:val="18"/>
          <w:szCs w:val="18"/>
        </w:rPr>
        <w:t>暖通专业</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1BA410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0EA2EBBB">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3A5F4CB3">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6881FDAF">
      <w:pPr>
        <w:spacing w:line="240" w:lineRule="exact"/>
        <w:rPr>
          <w:rFonts w:ascii="黑体" w:hAnsi="宋体" w:eastAsia="黑体" w:cs="黑体"/>
          <w:sz w:val="18"/>
          <w:szCs w:val="18"/>
        </w:rPr>
      </w:pPr>
      <w:r>
        <w:rPr>
          <w:rFonts w:ascii="黑体" w:hAnsi="宋体" w:eastAsia="黑体" w:cs="黑体"/>
          <w:sz w:val="18"/>
          <w:szCs w:val="18"/>
        </w:rPr>
        <w:t>5.1.2</w:t>
      </w:r>
      <w:r>
        <w:rPr>
          <w:rFonts w:hint="eastAsia" w:ascii="黑体" w:hAnsi="宋体" w:eastAsia="黑体" w:cs="黑体"/>
          <w:sz w:val="18"/>
          <w:szCs w:val="18"/>
        </w:rPr>
        <w:t>应采取措施避免厨房、餐厅、打印复印室、卫生间、地下车库等区域的空气和污染物串通到其他空间；应防止厨房、卫生间的排气倒灌。</w:t>
      </w:r>
    </w:p>
    <w:p w14:paraId="30BB3DAD">
      <w:pPr>
        <w:spacing w:line="240" w:lineRule="exact"/>
        <w:rPr>
          <w:rFonts w:ascii="宋体" w:cs="黑体"/>
          <w:sz w:val="18"/>
          <w:szCs w:val="18"/>
        </w:rPr>
      </w:pPr>
      <w:r>
        <w:rPr>
          <w:rFonts w:hint="eastAsia" w:ascii="宋体" w:hAnsi="宋体" w:cs="黑体"/>
          <w:sz w:val="18"/>
          <w:szCs w:val="18"/>
        </w:rPr>
        <w:t>技术措施说明：本项目为医院建筑，</w:t>
      </w:r>
      <w:r>
        <w:rPr>
          <w:rFonts w:ascii="宋体"/>
          <w:sz w:val="18"/>
          <w:szCs w:val="18"/>
        </w:rPr>
        <w:t>卫生间</w:t>
      </w:r>
      <w:r>
        <w:rPr>
          <w:rFonts w:hint="eastAsia" w:ascii="宋体"/>
          <w:sz w:val="18"/>
          <w:szCs w:val="18"/>
        </w:rPr>
        <w:t>均为</w:t>
      </w:r>
      <w:r>
        <w:rPr>
          <w:rFonts w:ascii="宋体"/>
          <w:sz w:val="18"/>
          <w:szCs w:val="18"/>
        </w:rPr>
        <w:t>明卫，</w:t>
      </w:r>
      <w:r>
        <w:rPr>
          <w:rFonts w:hint="eastAsia" w:ascii="宋体"/>
          <w:sz w:val="18"/>
          <w:szCs w:val="18"/>
        </w:rPr>
        <w:t>并设置机械排风系统，换气次数为≥</w:t>
      </w:r>
      <w:r>
        <w:rPr>
          <w:rFonts w:ascii="宋体"/>
          <w:sz w:val="18"/>
          <w:szCs w:val="18"/>
        </w:rPr>
        <w:t>1</w:t>
      </w:r>
      <w:r>
        <w:rPr>
          <w:rFonts w:hint="eastAsia" w:ascii="宋体"/>
          <w:sz w:val="18"/>
          <w:szCs w:val="18"/>
        </w:rPr>
        <w:t>5次/小时，排风经排风机/排气扇后直接排出室外。居住区内地下机动车停车库设置机械进排风系统，换气次数为6次/小时（按照</w:t>
      </w:r>
      <w:r>
        <w:rPr>
          <w:rFonts w:ascii="宋体"/>
          <w:sz w:val="18"/>
          <w:szCs w:val="18"/>
        </w:rPr>
        <w:t>层高</w:t>
      </w:r>
      <w:r>
        <w:rPr>
          <w:rFonts w:hint="eastAsia" w:ascii="宋体"/>
          <w:sz w:val="18"/>
          <w:szCs w:val="18"/>
        </w:rPr>
        <w:t>3.0</w:t>
      </w:r>
      <w:r>
        <w:rPr>
          <w:rFonts w:ascii="宋体"/>
          <w:sz w:val="18"/>
          <w:szCs w:val="18"/>
        </w:rPr>
        <w:t>m计算</w:t>
      </w:r>
      <w:r>
        <w:rPr>
          <w:rFonts w:hint="eastAsia" w:ascii="宋体"/>
          <w:sz w:val="18"/>
          <w:szCs w:val="18"/>
        </w:rPr>
        <w:t>）。医院建筑</w:t>
      </w:r>
      <w:r>
        <w:rPr>
          <w:rFonts w:ascii="宋体"/>
          <w:sz w:val="18"/>
          <w:szCs w:val="18"/>
        </w:rPr>
        <w:t>厨房</w:t>
      </w:r>
      <w:r>
        <w:rPr>
          <w:rFonts w:hint="eastAsia" w:ascii="宋体"/>
          <w:sz w:val="18"/>
          <w:szCs w:val="18"/>
        </w:rPr>
        <w:t>设置独立排油烟系统，</w:t>
      </w:r>
      <w:r>
        <w:rPr>
          <w:rFonts w:ascii="宋体"/>
          <w:sz w:val="18"/>
          <w:szCs w:val="18"/>
        </w:rPr>
        <w:t>通过</w:t>
      </w:r>
      <w:r>
        <w:rPr>
          <w:rFonts w:hint="eastAsia" w:ascii="宋体"/>
          <w:sz w:val="18"/>
          <w:szCs w:val="18"/>
        </w:rPr>
        <w:t>不锈钢排油烟竖管通至</w:t>
      </w:r>
      <w:r>
        <w:rPr>
          <w:rFonts w:ascii="宋体"/>
          <w:sz w:val="18"/>
          <w:szCs w:val="18"/>
        </w:rPr>
        <w:t>屋面最高处</w:t>
      </w:r>
      <w:r>
        <w:rPr>
          <w:rFonts w:hint="eastAsia" w:ascii="宋体"/>
          <w:sz w:val="18"/>
          <w:szCs w:val="18"/>
        </w:rPr>
        <w:t>实现高位</w:t>
      </w:r>
      <w:r>
        <w:rPr>
          <w:rFonts w:ascii="宋体"/>
          <w:sz w:val="18"/>
          <w:szCs w:val="18"/>
        </w:rPr>
        <w:t>排放</w:t>
      </w:r>
      <w:r>
        <w:rPr>
          <w:rFonts w:hint="eastAsia" w:ascii="宋体"/>
          <w:sz w:val="18"/>
          <w:szCs w:val="18"/>
        </w:rPr>
        <w:t>。</w:t>
      </w:r>
    </w:p>
    <w:p w14:paraId="170A8779">
      <w:pPr>
        <w:spacing w:line="240" w:lineRule="exact"/>
        <w:rPr>
          <w:rFonts w:ascii="宋体" w:cs="宋体"/>
          <w:sz w:val="18"/>
          <w:szCs w:val="18"/>
        </w:rPr>
      </w:pPr>
      <w:r>
        <w:rPr>
          <w:rFonts w:hint="eastAsia" w:ascii="宋体" w:hAnsi="宋体" w:cs="宋体"/>
          <w:sz w:val="18"/>
          <w:szCs w:val="18"/>
        </w:rPr>
        <w:t>证明材料：√设计图纸（暖通</w:t>
      </w:r>
      <w:r>
        <w:rPr>
          <w:rFonts w:ascii="宋体" w:hAnsi="宋体" w:cs="宋体"/>
          <w:sz w:val="18"/>
          <w:szCs w:val="18"/>
        </w:rPr>
        <w:t>、</w:t>
      </w:r>
      <w:r>
        <w:rPr>
          <w:rFonts w:hint="eastAsia" w:ascii="宋体" w:hAnsi="宋体" w:cs="宋体"/>
          <w:sz w:val="18"/>
          <w:szCs w:val="18"/>
        </w:rPr>
        <w:t>NT-01_空调通风及防排烟设计说明，</w:t>
      </w:r>
      <w:r>
        <w:rPr>
          <w:rFonts w:ascii="宋体" w:hAnsi="宋体" w:cs="宋体"/>
          <w:sz w:val="18"/>
          <w:szCs w:val="18"/>
        </w:rPr>
        <w:t>通风平面图</w:t>
      </w:r>
      <w:r>
        <w:rPr>
          <w:rFonts w:hint="eastAsia" w:ascii="宋体" w:hAnsi="宋体" w:cs="宋体"/>
          <w:sz w:val="18"/>
          <w:szCs w:val="18"/>
        </w:rPr>
        <w:t>、NT-05</w:t>
      </w:r>
      <w:r>
        <w:rPr>
          <w:rFonts w:ascii="宋体" w:hAnsi="宋体" w:cs="宋体"/>
          <w:sz w:val="18"/>
          <w:szCs w:val="18"/>
        </w:rPr>
        <w:t>主要材料设备表</w:t>
      </w:r>
      <w:r>
        <w:rPr>
          <w:rFonts w:hint="eastAsia" w:ascii="宋体" w:hAnsi="宋体" w:cs="宋体"/>
          <w:sz w:val="18"/>
          <w:szCs w:val="18"/>
        </w:rPr>
        <w:t>）</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3DCE0E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488C4F8D">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66FD8E75">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2F724C95">
      <w:pPr>
        <w:spacing w:line="240" w:lineRule="exact"/>
        <w:rPr>
          <w:rFonts w:ascii="黑体" w:hAnsi="宋体" w:eastAsia="黑体" w:cs="黑体"/>
          <w:sz w:val="18"/>
          <w:szCs w:val="18"/>
        </w:rPr>
      </w:pPr>
      <w:r>
        <w:rPr>
          <w:rFonts w:ascii="黑体" w:hAnsi="宋体" w:eastAsia="黑体" w:cs="黑体"/>
          <w:sz w:val="18"/>
          <w:szCs w:val="18"/>
        </w:rPr>
        <w:t>5.1.6</w:t>
      </w:r>
      <w:r>
        <w:rPr>
          <w:rFonts w:hint="eastAsia" w:ascii="黑体" w:hAnsi="宋体" w:eastAsia="黑体" w:cs="黑体"/>
          <w:sz w:val="18"/>
          <w:szCs w:val="18"/>
        </w:rPr>
        <w:t>应采取措施保障室内热环境。采用集中供暖空调系统的建筑，房间内的温度、湿度、新风量等设计参数应符合现行国家标准《民用建筑供暖通风与空气调节设计规范》</w:t>
      </w:r>
      <w:r>
        <w:rPr>
          <w:rFonts w:ascii="黑体" w:hAnsi="宋体" w:eastAsia="黑体" w:cs="黑体"/>
          <w:sz w:val="18"/>
          <w:szCs w:val="18"/>
        </w:rPr>
        <w:t>GB50736</w:t>
      </w:r>
      <w:r>
        <w:rPr>
          <w:rFonts w:hint="eastAsia" w:ascii="黑体" w:hAnsi="宋体" w:eastAsia="黑体" w:cs="黑体"/>
          <w:sz w:val="18"/>
          <w:szCs w:val="18"/>
        </w:rPr>
        <w:t>的有关规定；采用非集中供暖空调系统的建筑，应具有保障室内热环境的措施或预留条件。</w:t>
      </w:r>
    </w:p>
    <w:p w14:paraId="38BDB3AA">
      <w:pPr>
        <w:spacing w:line="240" w:lineRule="exact"/>
        <w:rPr>
          <w:rFonts w:ascii="黑体" w:hAnsi="宋体" w:eastAsia="黑体" w:cs="黑体"/>
          <w:sz w:val="18"/>
          <w:szCs w:val="18"/>
        </w:rPr>
      </w:pPr>
      <w:r>
        <w:rPr>
          <w:rFonts w:hint="eastAsia" w:ascii="黑体" w:hAnsi="宋体" w:eastAsia="黑体" w:cs="黑体"/>
          <w:sz w:val="18"/>
          <w:szCs w:val="18"/>
        </w:rPr>
        <w:t>技术措施说明：</w:t>
      </w:r>
      <w:r>
        <w:rPr>
          <w:rFonts w:hint="eastAsia" w:ascii="宋体" w:hAnsi="宋体" w:cs="宋体"/>
          <w:sz w:val="18"/>
          <w:szCs w:val="18"/>
        </w:rPr>
        <w:t>本</w:t>
      </w:r>
      <w:r>
        <w:rPr>
          <w:rFonts w:ascii="宋体" w:hAnsi="宋体" w:cs="宋体"/>
          <w:sz w:val="18"/>
          <w:szCs w:val="18"/>
        </w:rPr>
        <w:t>项目</w:t>
      </w:r>
      <w:r>
        <w:rPr>
          <w:rFonts w:hint="eastAsia" w:ascii="宋体" w:hAnsi="宋体" w:cs="宋体"/>
          <w:sz w:val="18"/>
          <w:szCs w:val="18"/>
        </w:rPr>
        <w:t>为医院建筑</w:t>
      </w:r>
      <w:r>
        <w:rPr>
          <w:rFonts w:ascii="宋体" w:hAnsi="宋体" w:cs="宋体"/>
          <w:sz w:val="18"/>
          <w:szCs w:val="18"/>
        </w:rPr>
        <w:t>，</w:t>
      </w:r>
      <w:r>
        <w:rPr>
          <w:rFonts w:hint="eastAsia" w:ascii="宋体" w:hAnsi="宋体" w:cs="宋体"/>
          <w:sz w:val="18"/>
          <w:szCs w:val="18"/>
        </w:rPr>
        <w:t>各</w:t>
      </w:r>
      <w:r>
        <w:rPr>
          <w:rFonts w:ascii="宋体" w:hAnsi="宋体" w:cs="宋体"/>
          <w:sz w:val="18"/>
          <w:szCs w:val="18"/>
        </w:rPr>
        <w:t>功能房间</w:t>
      </w:r>
      <w:r>
        <w:rPr>
          <w:rFonts w:hint="eastAsia" w:ascii="宋体" w:hAnsi="宋体" w:cs="宋体"/>
          <w:sz w:val="18"/>
          <w:szCs w:val="18"/>
        </w:rPr>
        <w:t>采用多联式空调，电气专业预留电源插座，给排水专业预留冷凝水接驳立管，空调机位尺寸满足空调室外机安装条件</w:t>
      </w:r>
      <w:r>
        <w:rPr>
          <w:rFonts w:ascii="Times New Roman" w:hAnsi="Times New Roman"/>
          <w:sz w:val="18"/>
          <w:szCs w:val="18"/>
        </w:rPr>
        <w:t>。</w:t>
      </w:r>
    </w:p>
    <w:p w14:paraId="4741051A">
      <w:pPr>
        <w:spacing w:line="240" w:lineRule="exact"/>
        <w:rPr>
          <w:b/>
          <w:bCs/>
          <w:sz w:val="18"/>
          <w:szCs w:val="18"/>
        </w:rPr>
      </w:pPr>
      <w:r>
        <w:rPr>
          <w:rFonts w:hint="eastAsia" w:ascii="宋体" w:hAnsi="宋体" w:cs="宋体"/>
          <w:sz w:val="18"/>
          <w:szCs w:val="18"/>
        </w:rPr>
        <w:t>证明材料：√设计图纸（暖通</w:t>
      </w:r>
      <w:r>
        <w:rPr>
          <w:rFonts w:ascii="宋体" w:hAnsi="宋体" w:cs="宋体"/>
          <w:sz w:val="18"/>
          <w:szCs w:val="18"/>
        </w:rPr>
        <w:t>、</w:t>
      </w:r>
      <w:r>
        <w:rPr>
          <w:rFonts w:hint="eastAsia" w:ascii="宋体" w:hAnsi="宋体" w:cs="宋体"/>
          <w:sz w:val="18"/>
          <w:szCs w:val="18"/>
        </w:rPr>
        <w:t>NT-01_空调通风及防排烟设计说明、</w:t>
      </w:r>
      <w:r>
        <w:rPr>
          <w:rFonts w:ascii="宋体" w:hAnsi="宋体" w:cs="宋体"/>
          <w:sz w:val="18"/>
          <w:szCs w:val="18"/>
        </w:rPr>
        <w:t>各层通风平面</w:t>
      </w:r>
      <w:r>
        <w:rPr>
          <w:rFonts w:hint="eastAsia" w:ascii="宋体" w:hAnsi="宋体" w:cs="宋体"/>
          <w:sz w:val="18"/>
          <w:szCs w:val="18"/>
        </w:rPr>
        <w:t>图）</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2337F7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536FE329">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6DFC08EB">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5AED5545">
      <w:pPr>
        <w:spacing w:line="240" w:lineRule="exact"/>
        <w:rPr>
          <w:rFonts w:ascii="黑体" w:hAnsi="宋体" w:eastAsia="黑体" w:cs="黑体"/>
          <w:sz w:val="18"/>
          <w:szCs w:val="18"/>
        </w:rPr>
      </w:pPr>
      <w:r>
        <w:rPr>
          <w:rFonts w:ascii="黑体" w:hAnsi="宋体" w:eastAsia="黑体" w:cs="黑体"/>
          <w:sz w:val="18"/>
          <w:szCs w:val="18"/>
        </w:rPr>
        <w:t>5.1.8</w:t>
      </w:r>
      <w:r>
        <w:rPr>
          <w:rFonts w:hint="eastAsia" w:ascii="黑体" w:hAnsi="宋体" w:eastAsia="黑体" w:cs="黑体"/>
          <w:sz w:val="18"/>
          <w:szCs w:val="18"/>
        </w:rPr>
        <w:t>主要功能房间应具有现场独立控制的热环境调节装置。</w:t>
      </w:r>
    </w:p>
    <w:p w14:paraId="671FEFB6">
      <w:pPr>
        <w:spacing w:line="240" w:lineRule="exact"/>
        <w:rPr>
          <w:rFonts w:ascii="黑体" w:hAnsi="宋体" w:eastAsia="黑体" w:cs="黑体"/>
          <w:sz w:val="18"/>
          <w:szCs w:val="18"/>
        </w:rPr>
      </w:pPr>
      <w:r>
        <w:rPr>
          <w:rFonts w:hint="eastAsia" w:ascii="黑体" w:hAnsi="宋体" w:eastAsia="黑体" w:cs="黑体"/>
          <w:sz w:val="18"/>
          <w:szCs w:val="18"/>
        </w:rPr>
        <w:t>技术措施说明：</w:t>
      </w:r>
      <w:r>
        <w:rPr>
          <w:rFonts w:hint="eastAsia" w:ascii="宋体" w:hAnsi="宋体" w:cs="宋体"/>
          <w:sz w:val="18"/>
          <w:szCs w:val="18"/>
        </w:rPr>
        <w:t>本</w:t>
      </w:r>
      <w:r>
        <w:rPr>
          <w:rFonts w:ascii="宋体" w:hAnsi="宋体" w:cs="宋体"/>
          <w:sz w:val="18"/>
          <w:szCs w:val="18"/>
        </w:rPr>
        <w:t>项目</w:t>
      </w:r>
      <w:r>
        <w:rPr>
          <w:rFonts w:hint="eastAsia" w:ascii="宋体" w:hAnsi="宋体" w:cs="宋体"/>
          <w:sz w:val="18"/>
          <w:szCs w:val="18"/>
        </w:rPr>
        <w:t>为医院建筑，</w:t>
      </w:r>
      <w:r>
        <w:rPr>
          <w:rFonts w:ascii="宋体" w:hAnsi="宋体" w:cs="宋体"/>
          <w:sz w:val="18"/>
          <w:szCs w:val="18"/>
        </w:rPr>
        <w:t>各</w:t>
      </w:r>
      <w:r>
        <w:rPr>
          <w:rFonts w:hint="eastAsia" w:ascii="宋体" w:hAnsi="宋体" w:cs="宋体"/>
          <w:sz w:val="18"/>
          <w:szCs w:val="18"/>
        </w:rPr>
        <w:t>功能</w:t>
      </w:r>
      <w:r>
        <w:rPr>
          <w:rFonts w:ascii="宋体" w:hAnsi="宋体" w:cs="宋体"/>
          <w:sz w:val="18"/>
          <w:szCs w:val="18"/>
        </w:rPr>
        <w:t>房间</w:t>
      </w:r>
      <w:r>
        <w:rPr>
          <w:rFonts w:hint="eastAsia" w:ascii="宋体" w:hAnsi="宋体" w:cs="宋体"/>
          <w:sz w:val="18"/>
          <w:szCs w:val="18"/>
        </w:rPr>
        <w:t>采用多联式空调</w:t>
      </w:r>
      <w:r>
        <w:rPr>
          <w:rFonts w:ascii="宋体" w:hAnsi="宋体" w:cs="宋体"/>
          <w:sz w:val="18"/>
          <w:szCs w:val="18"/>
        </w:rPr>
        <w:t>，</w:t>
      </w:r>
      <w:r>
        <w:rPr>
          <w:rFonts w:hint="eastAsia" w:ascii="宋体" w:hAnsi="宋体" w:cs="宋体"/>
          <w:sz w:val="18"/>
          <w:szCs w:val="18"/>
        </w:rPr>
        <w:t>各功能房间</w:t>
      </w:r>
      <w:r>
        <w:rPr>
          <w:rFonts w:ascii="宋体" w:hAnsi="宋体" w:cs="宋体"/>
          <w:sz w:val="18"/>
          <w:szCs w:val="18"/>
        </w:rPr>
        <w:t>可实现对热</w:t>
      </w:r>
      <w:r>
        <w:rPr>
          <w:rFonts w:hint="eastAsia" w:ascii="宋体" w:hAnsi="宋体" w:cs="宋体"/>
          <w:sz w:val="18"/>
          <w:szCs w:val="18"/>
        </w:rPr>
        <w:t>环境</w:t>
      </w:r>
      <w:r>
        <w:rPr>
          <w:rFonts w:ascii="宋体" w:hAnsi="宋体" w:cs="宋体"/>
          <w:sz w:val="18"/>
          <w:szCs w:val="18"/>
        </w:rPr>
        <w:t>独立控制的功能</w:t>
      </w:r>
      <w:r>
        <w:rPr>
          <w:rFonts w:hint="eastAsia" w:ascii="宋体" w:hAnsi="宋体" w:cs="宋体"/>
          <w:sz w:val="18"/>
          <w:szCs w:val="18"/>
        </w:rPr>
        <w:t>，满足各房间室内个性化热舒适条件要求。</w:t>
      </w:r>
    </w:p>
    <w:p w14:paraId="0312765D">
      <w:pPr>
        <w:spacing w:line="240" w:lineRule="exact"/>
        <w:rPr>
          <w:b/>
          <w:bCs/>
          <w:sz w:val="18"/>
          <w:szCs w:val="18"/>
        </w:rPr>
      </w:pPr>
      <w:r>
        <w:rPr>
          <w:rFonts w:hint="eastAsia" w:ascii="宋体" w:hAnsi="宋体" w:cs="宋体"/>
          <w:sz w:val="18"/>
          <w:szCs w:val="18"/>
        </w:rPr>
        <w:t>证明材料：√设计图纸（暖通</w:t>
      </w:r>
      <w:r>
        <w:rPr>
          <w:rFonts w:ascii="宋体" w:hAnsi="宋体" w:cs="宋体"/>
          <w:sz w:val="18"/>
          <w:szCs w:val="18"/>
        </w:rPr>
        <w:t>、</w:t>
      </w:r>
      <w:r>
        <w:rPr>
          <w:rFonts w:hint="eastAsia" w:ascii="宋体" w:hAnsi="宋体" w:cs="宋体"/>
          <w:sz w:val="18"/>
          <w:szCs w:val="18"/>
        </w:rPr>
        <w:t>NT-01_空调通风及防排烟设计说明）</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1E155D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6ECA4C20">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357FFD42">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4D9581EB">
      <w:pPr>
        <w:spacing w:line="240" w:lineRule="exact"/>
        <w:rPr>
          <w:rFonts w:ascii="黑体" w:hAnsi="宋体" w:eastAsia="黑体" w:cs="黑体"/>
          <w:sz w:val="18"/>
          <w:szCs w:val="18"/>
        </w:rPr>
      </w:pPr>
      <w:r>
        <w:rPr>
          <w:rFonts w:ascii="黑体" w:hAnsi="宋体" w:eastAsia="黑体" w:cs="黑体"/>
          <w:sz w:val="18"/>
          <w:szCs w:val="18"/>
        </w:rPr>
        <w:t>5.1.9</w:t>
      </w:r>
      <w:r>
        <w:rPr>
          <w:rFonts w:hint="eastAsia" w:ascii="黑体" w:hAnsi="宋体" w:eastAsia="黑体" w:cs="黑体"/>
          <w:sz w:val="18"/>
          <w:szCs w:val="18"/>
        </w:rPr>
        <w:t>地下车库应设置与排风设备联动的一氧化碳浓度监测装置。</w:t>
      </w:r>
    </w:p>
    <w:p w14:paraId="1D94F41B">
      <w:pPr>
        <w:spacing w:line="240" w:lineRule="exact"/>
        <w:rPr>
          <w:rFonts w:ascii="宋体"/>
          <w:sz w:val="18"/>
          <w:szCs w:val="18"/>
        </w:rPr>
      </w:pPr>
      <w:r>
        <w:rPr>
          <w:rFonts w:hint="eastAsia" w:ascii="黑体" w:hAnsi="宋体" w:eastAsia="黑体" w:cs="黑体"/>
          <w:sz w:val="18"/>
          <w:szCs w:val="18"/>
        </w:rPr>
        <w:t>技术措施说明：</w:t>
      </w:r>
      <w:r>
        <w:rPr>
          <w:rFonts w:ascii="宋体"/>
          <w:sz w:val="18"/>
          <w:szCs w:val="18"/>
        </w:rPr>
        <w:t xml:space="preserve"> </w:t>
      </w:r>
      <w:r>
        <w:rPr>
          <w:rFonts w:hint="eastAsia" w:ascii="宋体"/>
          <w:sz w:val="18"/>
          <w:szCs w:val="18"/>
        </w:rPr>
        <w:t>医院建筑所在地块，地下机动车停车库设置有C</w:t>
      </w:r>
      <w:r>
        <w:rPr>
          <w:rFonts w:ascii="宋体"/>
          <w:sz w:val="18"/>
          <w:szCs w:val="18"/>
        </w:rPr>
        <w:t>O</w:t>
      </w:r>
      <w:r>
        <w:rPr>
          <w:rFonts w:hint="eastAsia" w:ascii="宋体"/>
          <w:sz w:val="18"/>
          <w:szCs w:val="18"/>
        </w:rPr>
        <w:t>浓度传感器，单个防火分区至少设置一个C</w:t>
      </w:r>
      <w:r>
        <w:rPr>
          <w:rFonts w:ascii="宋体"/>
          <w:sz w:val="18"/>
          <w:szCs w:val="18"/>
        </w:rPr>
        <w:t>O</w:t>
      </w:r>
      <w:r>
        <w:rPr>
          <w:rFonts w:hint="eastAsia" w:ascii="宋体"/>
          <w:sz w:val="18"/>
          <w:szCs w:val="18"/>
        </w:rPr>
        <w:t>检测点与通风系统联动，且每个防烟分区内每1</w:t>
      </w:r>
      <w:r>
        <w:rPr>
          <w:rFonts w:ascii="宋体"/>
          <w:sz w:val="18"/>
          <w:szCs w:val="18"/>
        </w:rPr>
        <w:t>000</w:t>
      </w:r>
      <w:r>
        <w:rPr>
          <w:rFonts w:hint="eastAsia" w:ascii="宋体"/>
          <w:sz w:val="18"/>
          <w:szCs w:val="18"/>
        </w:rPr>
        <w:t>m</w:t>
      </w:r>
      <w:r>
        <w:rPr>
          <w:rFonts w:ascii="宋体"/>
          <w:sz w:val="18"/>
          <w:szCs w:val="18"/>
          <w:vertAlign w:val="superscript"/>
        </w:rPr>
        <w:t>2</w:t>
      </w:r>
      <w:r>
        <w:rPr>
          <w:rFonts w:hint="eastAsia" w:ascii="宋体"/>
          <w:sz w:val="18"/>
          <w:szCs w:val="18"/>
        </w:rPr>
        <w:t>至少设置一个C</w:t>
      </w:r>
      <w:r>
        <w:rPr>
          <w:rFonts w:ascii="宋体"/>
          <w:sz w:val="18"/>
          <w:szCs w:val="18"/>
        </w:rPr>
        <w:t>O</w:t>
      </w:r>
      <w:r>
        <w:rPr>
          <w:rFonts w:hint="eastAsia" w:ascii="宋体"/>
          <w:sz w:val="18"/>
          <w:szCs w:val="18"/>
        </w:rPr>
        <w:t>检测点。</w:t>
      </w:r>
      <w:r>
        <w:rPr>
          <w:rFonts w:ascii="宋体"/>
          <w:sz w:val="18"/>
          <w:szCs w:val="18"/>
        </w:rPr>
        <w:t>CO</w:t>
      </w:r>
      <w:r>
        <w:rPr>
          <w:rFonts w:hint="eastAsia" w:ascii="宋体"/>
          <w:sz w:val="18"/>
          <w:szCs w:val="18"/>
        </w:rPr>
        <w:t>浓度报警装置的关闭和启动浓度设定限值分别为</w:t>
      </w:r>
      <w:r>
        <w:rPr>
          <w:rFonts w:ascii="宋体"/>
          <w:sz w:val="18"/>
          <w:szCs w:val="18"/>
        </w:rPr>
        <w:t>15mg/m</w:t>
      </w:r>
      <w:r>
        <w:rPr>
          <w:rFonts w:ascii="宋体"/>
          <w:sz w:val="18"/>
          <w:szCs w:val="18"/>
          <w:vertAlign w:val="superscript"/>
        </w:rPr>
        <w:t>3</w:t>
      </w:r>
      <w:r>
        <w:rPr>
          <w:rFonts w:hint="eastAsia" w:ascii="宋体"/>
          <w:sz w:val="18"/>
          <w:szCs w:val="18"/>
        </w:rPr>
        <w:t>和</w:t>
      </w:r>
      <w:r>
        <w:rPr>
          <w:rFonts w:ascii="宋体"/>
          <w:sz w:val="18"/>
          <w:szCs w:val="18"/>
        </w:rPr>
        <w:t>30mg/m</w:t>
      </w:r>
      <w:r>
        <w:rPr>
          <w:rFonts w:ascii="宋体"/>
          <w:sz w:val="18"/>
          <w:szCs w:val="18"/>
          <w:vertAlign w:val="superscript"/>
        </w:rPr>
        <w:t>3</w:t>
      </w:r>
      <w:r>
        <w:rPr>
          <w:rFonts w:hint="eastAsia" w:ascii="宋体"/>
          <w:sz w:val="18"/>
          <w:szCs w:val="18"/>
        </w:rPr>
        <w:t>，当</w:t>
      </w:r>
      <w:r>
        <w:rPr>
          <w:rFonts w:ascii="宋体"/>
          <w:sz w:val="18"/>
          <w:szCs w:val="18"/>
        </w:rPr>
        <w:t>CO</w:t>
      </w:r>
      <w:r>
        <w:rPr>
          <w:rFonts w:hint="eastAsia" w:ascii="宋体"/>
          <w:sz w:val="18"/>
          <w:szCs w:val="18"/>
        </w:rPr>
        <w:t>浓度达到限值时，连锁对应排风风机实现启停。传感器一般布置在主通道侧，避开车辆尾部和送风口，距地</w:t>
      </w:r>
      <w:r>
        <w:rPr>
          <w:rFonts w:ascii="宋体"/>
          <w:sz w:val="18"/>
          <w:szCs w:val="18"/>
        </w:rPr>
        <w:t>2</w:t>
      </w:r>
      <w:r>
        <w:rPr>
          <w:rFonts w:hint="eastAsia" w:ascii="宋体"/>
          <w:sz w:val="18"/>
          <w:szCs w:val="18"/>
        </w:rPr>
        <w:t>m安装。</w:t>
      </w:r>
    </w:p>
    <w:p w14:paraId="565472B9">
      <w:pPr>
        <w:spacing w:line="240" w:lineRule="exact"/>
        <w:rPr>
          <w:b/>
          <w:bCs/>
          <w:sz w:val="18"/>
          <w:szCs w:val="18"/>
        </w:rPr>
      </w:pPr>
      <w:r>
        <w:rPr>
          <w:rFonts w:hint="eastAsia" w:ascii="宋体" w:hAnsi="宋体" w:cs="宋体"/>
          <w:sz w:val="18"/>
          <w:szCs w:val="18"/>
        </w:rPr>
        <w:t>证明材料：√设计图纸（暖通</w:t>
      </w:r>
      <w:r>
        <w:rPr>
          <w:rFonts w:ascii="宋体" w:hAnsi="宋体" w:cs="宋体"/>
          <w:sz w:val="18"/>
          <w:szCs w:val="18"/>
        </w:rPr>
        <w:t>、</w:t>
      </w:r>
      <w:r>
        <w:rPr>
          <w:rFonts w:hint="eastAsia" w:ascii="宋体" w:hAnsi="宋体" w:cs="宋体"/>
          <w:sz w:val="18"/>
          <w:szCs w:val="18"/>
        </w:rPr>
        <w:t>NT-01_空调通风及防排烟设计说明，地下室通风</w:t>
      </w:r>
      <w:r>
        <w:rPr>
          <w:rFonts w:ascii="宋体" w:hAnsi="宋体" w:cs="宋体"/>
          <w:sz w:val="18"/>
          <w:szCs w:val="18"/>
        </w:rPr>
        <w:t>平面图</w:t>
      </w:r>
      <w:r>
        <w:rPr>
          <w:rFonts w:hint="eastAsia" w:ascii="宋体" w:hAnsi="宋体" w:cs="宋体"/>
          <w:sz w:val="18"/>
          <w:szCs w:val="18"/>
        </w:rPr>
        <w:t>）</w:t>
      </w:r>
    </w:p>
    <w:p w14:paraId="28E75960">
      <w:pPr>
        <w:spacing w:line="240" w:lineRule="exact"/>
        <w:rPr>
          <w:b/>
          <w:bCs/>
          <w:sz w:val="18"/>
          <w:szCs w:val="18"/>
        </w:rPr>
      </w:pPr>
    </w:p>
    <w:p w14:paraId="04B60F11">
      <w:pPr>
        <w:spacing w:line="240" w:lineRule="exact"/>
        <w:rPr>
          <w:b/>
          <w:bCs/>
          <w:sz w:val="18"/>
          <w:szCs w:val="18"/>
        </w:rPr>
      </w:pPr>
      <w:r>
        <w:rPr>
          <w:rFonts w:hint="eastAsia"/>
          <w:b/>
          <w:bCs/>
          <w:sz w:val="18"/>
          <w:szCs w:val="18"/>
        </w:rPr>
        <w:t>电气专业</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394C5F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52EA3BB2">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297EE0BD">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7AAF120A">
      <w:pPr>
        <w:spacing w:line="240" w:lineRule="exact"/>
        <w:rPr>
          <w:rFonts w:ascii="黑体" w:hAnsi="宋体" w:eastAsia="黑体" w:cs="黑体"/>
          <w:sz w:val="18"/>
          <w:szCs w:val="18"/>
        </w:rPr>
      </w:pPr>
      <w:r>
        <w:rPr>
          <w:rFonts w:ascii="黑体" w:hAnsi="宋体" w:eastAsia="黑体" w:cs="黑体"/>
          <w:sz w:val="18"/>
          <w:szCs w:val="18"/>
        </w:rPr>
        <w:t>5.1.5</w:t>
      </w:r>
      <w:r>
        <w:rPr>
          <w:rFonts w:hint="eastAsia" w:ascii="黑体" w:hAnsi="宋体" w:eastAsia="黑体" w:cs="黑体"/>
          <w:sz w:val="18"/>
          <w:szCs w:val="18"/>
        </w:rPr>
        <w:t>建筑照明数量和质量，照明产品光生物安全性，</w:t>
      </w:r>
      <w:r>
        <w:rPr>
          <w:rFonts w:ascii="黑体" w:hAnsi="宋体" w:eastAsia="黑体" w:cs="黑体"/>
          <w:sz w:val="18"/>
          <w:szCs w:val="18"/>
        </w:rPr>
        <w:t>LED</w:t>
      </w:r>
      <w:r>
        <w:rPr>
          <w:rFonts w:hint="eastAsia" w:ascii="黑体" w:hAnsi="宋体" w:eastAsia="黑体" w:cs="黑体"/>
          <w:sz w:val="18"/>
          <w:szCs w:val="18"/>
        </w:rPr>
        <w:t>照明产品频闪比。</w:t>
      </w:r>
    </w:p>
    <w:p w14:paraId="03A1EDFE">
      <w:pPr>
        <w:spacing w:line="240" w:lineRule="exact"/>
        <w:jc w:val="left"/>
        <w:rPr>
          <w:rFonts w:ascii="Times New Roman" w:hAnsi="Times New Roman"/>
          <w:sz w:val="18"/>
          <w:szCs w:val="18"/>
        </w:rPr>
      </w:pPr>
      <w:r>
        <w:rPr>
          <w:rFonts w:hint="eastAsia" w:ascii="宋体" w:hAnsi="宋体" w:cs="黑体"/>
          <w:sz w:val="18"/>
          <w:szCs w:val="18"/>
        </w:rPr>
        <w:t>技术措施说明：</w:t>
      </w:r>
      <w:r>
        <w:rPr>
          <w:rFonts w:ascii="宋体" w:hAnsi="宋体" w:cs="黑体"/>
          <w:sz w:val="18"/>
          <w:szCs w:val="18"/>
        </w:rPr>
        <w:t>本</w:t>
      </w:r>
      <w:r>
        <w:rPr>
          <w:rFonts w:ascii="Times New Roman" w:hAnsi="Times New Roman"/>
          <w:sz w:val="18"/>
          <w:szCs w:val="18"/>
        </w:rPr>
        <w:t>项目照明</w:t>
      </w:r>
      <w:r>
        <w:rPr>
          <w:rFonts w:hint="eastAsia" w:ascii="Times New Roman" w:hAnsi="Times New Roman"/>
          <w:sz w:val="18"/>
          <w:szCs w:val="18"/>
        </w:rPr>
        <w:t>数量及质量</w:t>
      </w:r>
      <w:r>
        <w:rPr>
          <w:rFonts w:ascii="Times New Roman" w:hAnsi="Times New Roman"/>
          <w:sz w:val="18"/>
          <w:szCs w:val="18"/>
        </w:rPr>
        <w:t>设计严格执行《建筑照明设计标准》（GB50034-2013）</w:t>
      </w:r>
      <w:r>
        <w:rPr>
          <w:rFonts w:hint="eastAsia" w:ascii="Times New Roman" w:hAnsi="Times New Roman"/>
          <w:sz w:val="18"/>
          <w:szCs w:val="18"/>
        </w:rPr>
        <w:t>、</w:t>
      </w:r>
      <w:r>
        <w:rPr>
          <w:rFonts w:ascii="Times New Roman" w:hAnsi="Times New Roman"/>
          <w:sz w:val="18"/>
          <w:szCs w:val="18"/>
        </w:rPr>
        <w:t>《建筑节能与可再生能源利用通用规范》（GB55015-2021）</w:t>
      </w:r>
      <w:r>
        <w:rPr>
          <w:rFonts w:hint="eastAsia" w:ascii="Times New Roman" w:hAnsi="Times New Roman"/>
          <w:sz w:val="18"/>
          <w:szCs w:val="18"/>
        </w:rPr>
        <w:t>、</w:t>
      </w:r>
      <w:r>
        <w:rPr>
          <w:rFonts w:ascii="Times New Roman" w:hAnsi="Times New Roman"/>
          <w:sz w:val="18"/>
          <w:szCs w:val="18"/>
        </w:rPr>
        <w:t>《建筑</w:t>
      </w:r>
      <w:r>
        <w:rPr>
          <w:rFonts w:hint="eastAsia" w:ascii="Times New Roman" w:hAnsi="Times New Roman"/>
          <w:sz w:val="18"/>
          <w:szCs w:val="18"/>
        </w:rPr>
        <w:t>环境通用规范</w:t>
      </w:r>
      <w:r>
        <w:rPr>
          <w:rFonts w:ascii="Times New Roman" w:hAnsi="Times New Roman"/>
          <w:sz w:val="18"/>
          <w:szCs w:val="18"/>
        </w:rPr>
        <w:t>》（GB55016-2021）规定的照明功率密度值</w:t>
      </w:r>
      <w:r>
        <w:rPr>
          <w:rFonts w:hint="eastAsia" w:ascii="Times New Roman" w:hAnsi="Times New Roman"/>
          <w:sz w:val="18"/>
          <w:szCs w:val="18"/>
        </w:rPr>
        <w:t>及照明质量要求</w:t>
      </w:r>
      <w:r>
        <w:rPr>
          <w:rFonts w:ascii="Times New Roman" w:hAnsi="Times New Roman"/>
          <w:sz w:val="18"/>
          <w:szCs w:val="18"/>
        </w:rPr>
        <w:t>。</w:t>
      </w:r>
    </w:p>
    <w:tbl>
      <w:tblPr>
        <w:tblStyle w:val="12"/>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526"/>
        <w:gridCol w:w="1208"/>
        <w:gridCol w:w="1022"/>
        <w:gridCol w:w="1199"/>
        <w:gridCol w:w="998"/>
        <w:gridCol w:w="1185"/>
        <w:gridCol w:w="842"/>
        <w:gridCol w:w="952"/>
        <w:gridCol w:w="888"/>
      </w:tblGrid>
      <w:tr w14:paraId="45B654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95" w:hRule="atLeast"/>
          <w:jc w:val="center"/>
        </w:trPr>
        <w:tc>
          <w:tcPr>
            <w:tcW w:w="298" w:type="pct"/>
            <w:shd w:val="clear" w:color="auto" w:fill="auto"/>
            <w:vAlign w:val="center"/>
          </w:tcPr>
          <w:p w14:paraId="55470338">
            <w:pPr>
              <w:spacing w:line="240" w:lineRule="exact"/>
              <w:rPr>
                <w:rFonts w:ascii="Times New Roman" w:hAnsi="Times New Roman"/>
                <w:sz w:val="18"/>
                <w:szCs w:val="18"/>
              </w:rPr>
            </w:pPr>
            <w:r>
              <w:rPr>
                <w:rFonts w:hint="eastAsia" w:ascii="Times New Roman" w:hAnsi="Times New Roman"/>
                <w:sz w:val="18"/>
                <w:szCs w:val="18"/>
              </w:rPr>
              <w:t>序号</w:t>
            </w:r>
          </w:p>
        </w:tc>
        <w:tc>
          <w:tcPr>
            <w:tcW w:w="684" w:type="pct"/>
            <w:shd w:val="clear" w:color="auto" w:fill="auto"/>
            <w:vAlign w:val="center"/>
          </w:tcPr>
          <w:p w14:paraId="1AB3E6C1">
            <w:pPr>
              <w:spacing w:line="240" w:lineRule="exact"/>
              <w:rPr>
                <w:rFonts w:ascii="Times New Roman" w:hAnsi="Times New Roman"/>
                <w:sz w:val="18"/>
                <w:szCs w:val="18"/>
              </w:rPr>
            </w:pPr>
            <w:r>
              <w:rPr>
                <w:rFonts w:hint="eastAsia" w:ascii="Times New Roman" w:hAnsi="Times New Roman"/>
                <w:sz w:val="18"/>
                <w:szCs w:val="18"/>
              </w:rPr>
              <w:t>房间名称</w:t>
            </w:r>
          </w:p>
        </w:tc>
        <w:tc>
          <w:tcPr>
            <w:tcW w:w="579" w:type="pct"/>
            <w:shd w:val="clear" w:color="auto" w:fill="auto"/>
            <w:vAlign w:val="center"/>
          </w:tcPr>
          <w:p w14:paraId="3210F7AA">
            <w:pPr>
              <w:spacing w:line="240" w:lineRule="exact"/>
              <w:rPr>
                <w:rFonts w:ascii="Times New Roman" w:hAnsi="Times New Roman"/>
                <w:sz w:val="18"/>
                <w:szCs w:val="18"/>
              </w:rPr>
            </w:pPr>
            <w:r>
              <w:rPr>
                <w:rFonts w:hint="eastAsia" w:ascii="Times New Roman" w:hAnsi="Times New Roman"/>
                <w:sz w:val="18"/>
                <w:szCs w:val="18"/>
              </w:rPr>
              <w:t>要求照度值（lx）</w:t>
            </w:r>
          </w:p>
        </w:tc>
        <w:tc>
          <w:tcPr>
            <w:tcW w:w="679" w:type="pct"/>
            <w:shd w:val="clear" w:color="auto" w:fill="auto"/>
            <w:vAlign w:val="center"/>
          </w:tcPr>
          <w:p w14:paraId="0E919423">
            <w:pPr>
              <w:spacing w:line="240" w:lineRule="exact"/>
              <w:rPr>
                <w:rFonts w:ascii="Times New Roman" w:hAnsi="Times New Roman"/>
                <w:sz w:val="18"/>
                <w:szCs w:val="18"/>
              </w:rPr>
            </w:pPr>
            <w:r>
              <w:rPr>
                <w:rFonts w:hint="eastAsia" w:ascii="Times New Roman" w:hAnsi="Times New Roman"/>
                <w:sz w:val="18"/>
                <w:szCs w:val="18"/>
              </w:rPr>
              <w:t>计算照度值</w:t>
            </w:r>
          </w:p>
          <w:p w14:paraId="694AC724">
            <w:pPr>
              <w:spacing w:line="240" w:lineRule="exact"/>
              <w:rPr>
                <w:rFonts w:ascii="Times New Roman" w:hAnsi="Times New Roman"/>
                <w:sz w:val="18"/>
                <w:szCs w:val="18"/>
              </w:rPr>
            </w:pPr>
            <w:r>
              <w:rPr>
                <w:rFonts w:hint="eastAsia" w:ascii="Times New Roman" w:hAnsi="Times New Roman"/>
                <w:sz w:val="18"/>
                <w:szCs w:val="18"/>
              </w:rPr>
              <w:t>（lx）</w:t>
            </w:r>
          </w:p>
        </w:tc>
        <w:tc>
          <w:tcPr>
            <w:tcW w:w="565" w:type="pct"/>
            <w:shd w:val="clear" w:color="auto" w:fill="auto"/>
            <w:vAlign w:val="center"/>
          </w:tcPr>
          <w:p w14:paraId="4121C9A4">
            <w:pPr>
              <w:spacing w:line="240" w:lineRule="exact"/>
              <w:rPr>
                <w:rFonts w:ascii="Times New Roman" w:hAnsi="Times New Roman"/>
                <w:sz w:val="18"/>
                <w:szCs w:val="18"/>
              </w:rPr>
            </w:pPr>
            <w:r>
              <w:rPr>
                <w:rFonts w:hint="eastAsia" w:ascii="Times New Roman" w:hAnsi="Times New Roman"/>
                <w:sz w:val="18"/>
                <w:szCs w:val="18"/>
              </w:rPr>
              <w:t>功率密度目标值</w:t>
            </w:r>
          </w:p>
          <w:p w14:paraId="7E767F06">
            <w:pPr>
              <w:spacing w:line="240" w:lineRule="exact"/>
              <w:rPr>
                <w:rFonts w:ascii="Times New Roman" w:hAnsi="Times New Roman"/>
                <w:sz w:val="18"/>
                <w:szCs w:val="18"/>
              </w:rPr>
            </w:pPr>
            <w:r>
              <w:rPr>
                <w:rFonts w:hint="eastAsia" w:ascii="Times New Roman" w:hAnsi="Times New Roman"/>
                <w:sz w:val="18"/>
                <w:szCs w:val="18"/>
              </w:rPr>
              <w:t>(w/㎡）</w:t>
            </w:r>
          </w:p>
        </w:tc>
        <w:tc>
          <w:tcPr>
            <w:tcW w:w="671" w:type="pct"/>
            <w:shd w:val="clear" w:color="auto" w:fill="auto"/>
            <w:vAlign w:val="center"/>
          </w:tcPr>
          <w:p w14:paraId="0BA57C9D">
            <w:pPr>
              <w:spacing w:line="240" w:lineRule="exact"/>
              <w:rPr>
                <w:rFonts w:ascii="Times New Roman" w:hAnsi="Times New Roman"/>
                <w:sz w:val="18"/>
                <w:szCs w:val="18"/>
              </w:rPr>
            </w:pPr>
            <w:r>
              <w:rPr>
                <w:rFonts w:hint="eastAsia" w:ascii="Times New Roman" w:hAnsi="Times New Roman"/>
                <w:sz w:val="18"/>
                <w:szCs w:val="18"/>
              </w:rPr>
              <w:t>功率密度计算值</w:t>
            </w:r>
          </w:p>
          <w:p w14:paraId="543DD96F">
            <w:pPr>
              <w:spacing w:line="240" w:lineRule="exact"/>
              <w:rPr>
                <w:rFonts w:ascii="Times New Roman" w:hAnsi="Times New Roman"/>
                <w:sz w:val="18"/>
                <w:szCs w:val="18"/>
              </w:rPr>
            </w:pPr>
            <w:r>
              <w:rPr>
                <w:rFonts w:hint="eastAsia" w:ascii="Times New Roman" w:hAnsi="Times New Roman"/>
                <w:sz w:val="18"/>
                <w:szCs w:val="18"/>
              </w:rPr>
              <w:t>(w/㎡）</w:t>
            </w:r>
          </w:p>
        </w:tc>
        <w:tc>
          <w:tcPr>
            <w:tcW w:w="477" w:type="pct"/>
            <w:shd w:val="clear" w:color="auto" w:fill="auto"/>
            <w:vAlign w:val="center"/>
          </w:tcPr>
          <w:p w14:paraId="6FCB2AB6">
            <w:pPr>
              <w:spacing w:line="240" w:lineRule="exact"/>
              <w:rPr>
                <w:rFonts w:ascii="Times New Roman" w:hAnsi="Times New Roman"/>
                <w:sz w:val="18"/>
                <w:szCs w:val="18"/>
              </w:rPr>
            </w:pPr>
            <w:r>
              <w:rPr>
                <w:rFonts w:hint="eastAsia" w:ascii="Times New Roman" w:hAnsi="Times New Roman"/>
                <w:sz w:val="18"/>
                <w:szCs w:val="18"/>
              </w:rPr>
              <w:t>统一眩光值</w:t>
            </w:r>
          </w:p>
          <w:p w14:paraId="68CEA5DD">
            <w:pPr>
              <w:spacing w:line="240" w:lineRule="exact"/>
              <w:rPr>
                <w:rFonts w:ascii="Times New Roman" w:hAnsi="Times New Roman"/>
                <w:i/>
                <w:sz w:val="18"/>
                <w:szCs w:val="18"/>
              </w:rPr>
            </w:pPr>
            <w:r>
              <w:rPr>
                <w:rFonts w:hint="eastAsia" w:ascii="Times New Roman" w:hAnsi="Times New Roman"/>
                <w:i/>
                <w:sz w:val="18"/>
                <w:szCs w:val="18"/>
              </w:rPr>
              <w:t>UGR</w:t>
            </w:r>
          </w:p>
        </w:tc>
        <w:tc>
          <w:tcPr>
            <w:tcW w:w="539" w:type="pct"/>
            <w:shd w:val="clear" w:color="auto" w:fill="auto"/>
            <w:vAlign w:val="center"/>
          </w:tcPr>
          <w:p w14:paraId="5F54E983">
            <w:pPr>
              <w:spacing w:line="240" w:lineRule="exact"/>
              <w:rPr>
                <w:rFonts w:ascii="Times New Roman" w:hAnsi="Times New Roman"/>
                <w:sz w:val="18"/>
                <w:szCs w:val="18"/>
              </w:rPr>
            </w:pPr>
            <w:r>
              <w:rPr>
                <w:rFonts w:hint="eastAsia" w:ascii="Times New Roman" w:hAnsi="Times New Roman"/>
                <w:sz w:val="18"/>
                <w:szCs w:val="18"/>
              </w:rPr>
              <w:t>一般显色指数</w:t>
            </w:r>
            <w:r>
              <w:rPr>
                <w:rFonts w:hint="eastAsia" w:ascii="Times New Roman" w:hAnsi="Times New Roman"/>
                <w:i/>
                <w:sz w:val="18"/>
                <w:szCs w:val="18"/>
              </w:rPr>
              <w:t>R</w:t>
            </w:r>
            <w:r>
              <w:rPr>
                <w:rFonts w:hint="eastAsia" w:ascii="Times New Roman" w:hAnsi="Times New Roman"/>
                <w:i/>
                <w:sz w:val="18"/>
                <w:szCs w:val="18"/>
                <w:vertAlign w:val="subscript"/>
              </w:rPr>
              <w:t>a</w:t>
            </w:r>
          </w:p>
        </w:tc>
        <w:tc>
          <w:tcPr>
            <w:tcW w:w="503" w:type="pct"/>
            <w:shd w:val="clear" w:color="auto" w:fill="auto"/>
            <w:vAlign w:val="center"/>
          </w:tcPr>
          <w:p w14:paraId="59089524">
            <w:pPr>
              <w:spacing w:line="240" w:lineRule="exact"/>
              <w:rPr>
                <w:rFonts w:ascii="Times New Roman" w:hAnsi="Times New Roman"/>
                <w:sz w:val="18"/>
                <w:szCs w:val="18"/>
              </w:rPr>
            </w:pPr>
            <w:r>
              <w:rPr>
                <w:rFonts w:hint="eastAsia" w:ascii="Times New Roman" w:hAnsi="Times New Roman"/>
                <w:sz w:val="18"/>
                <w:szCs w:val="18"/>
              </w:rPr>
              <w:t>照度均匀度</w:t>
            </w:r>
            <w:r>
              <w:rPr>
                <w:rFonts w:hint="eastAsia" w:ascii="Times New Roman" w:hAnsi="Times New Roman"/>
                <w:i/>
                <w:sz w:val="18"/>
                <w:szCs w:val="18"/>
              </w:rPr>
              <w:t>U</w:t>
            </w:r>
            <w:r>
              <w:rPr>
                <w:rFonts w:ascii="Times New Roman" w:hAnsi="Times New Roman"/>
                <w:i/>
                <w:sz w:val="18"/>
                <w:szCs w:val="18"/>
                <w:vertAlign w:val="subscript"/>
              </w:rPr>
              <w:t>0</w:t>
            </w:r>
          </w:p>
        </w:tc>
      </w:tr>
      <w:tr w14:paraId="2CBFD9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6" w:hRule="exact"/>
          <w:jc w:val="center"/>
        </w:trPr>
        <w:tc>
          <w:tcPr>
            <w:tcW w:w="298" w:type="pct"/>
            <w:shd w:val="clear" w:color="auto" w:fill="auto"/>
            <w:vAlign w:val="center"/>
          </w:tcPr>
          <w:p w14:paraId="1716BFB3">
            <w:pPr>
              <w:spacing w:line="240" w:lineRule="exact"/>
              <w:rPr>
                <w:rFonts w:ascii="Times New Roman" w:hAnsi="Times New Roman"/>
                <w:sz w:val="18"/>
                <w:szCs w:val="18"/>
              </w:rPr>
            </w:pPr>
            <w:r>
              <w:rPr>
                <w:rFonts w:hint="eastAsia" w:ascii="Times New Roman" w:hAnsi="Times New Roman"/>
                <w:sz w:val="18"/>
                <w:szCs w:val="18"/>
              </w:rPr>
              <w:t>1</w:t>
            </w:r>
          </w:p>
        </w:tc>
        <w:tc>
          <w:tcPr>
            <w:tcW w:w="684" w:type="pct"/>
            <w:shd w:val="clear" w:color="auto" w:fill="auto"/>
            <w:vAlign w:val="center"/>
          </w:tcPr>
          <w:p w14:paraId="31B9846F">
            <w:pPr>
              <w:spacing w:line="240" w:lineRule="exact"/>
              <w:rPr>
                <w:rFonts w:ascii="Times New Roman" w:hAnsi="Times New Roman"/>
                <w:sz w:val="18"/>
                <w:szCs w:val="18"/>
              </w:rPr>
            </w:pPr>
            <w:r>
              <w:rPr>
                <w:rFonts w:hint="eastAsia" w:ascii="Times New Roman" w:hAnsi="Times New Roman"/>
                <w:sz w:val="18"/>
                <w:szCs w:val="18"/>
              </w:rPr>
              <w:t>风机房</w:t>
            </w:r>
          </w:p>
        </w:tc>
        <w:tc>
          <w:tcPr>
            <w:tcW w:w="579" w:type="pct"/>
            <w:shd w:val="clear" w:color="auto" w:fill="auto"/>
            <w:vAlign w:val="center"/>
          </w:tcPr>
          <w:p w14:paraId="30923FB2">
            <w:pPr>
              <w:spacing w:line="240" w:lineRule="exact"/>
              <w:rPr>
                <w:rFonts w:ascii="Times New Roman" w:hAnsi="Times New Roman"/>
                <w:sz w:val="18"/>
                <w:szCs w:val="18"/>
              </w:rPr>
            </w:pPr>
            <w:r>
              <w:rPr>
                <w:rFonts w:hint="eastAsia" w:ascii="Times New Roman" w:hAnsi="Times New Roman"/>
                <w:sz w:val="18"/>
                <w:szCs w:val="18"/>
              </w:rPr>
              <w:t>100</w:t>
            </w:r>
          </w:p>
        </w:tc>
        <w:tc>
          <w:tcPr>
            <w:tcW w:w="679" w:type="pct"/>
            <w:shd w:val="clear" w:color="auto" w:fill="auto"/>
            <w:vAlign w:val="center"/>
          </w:tcPr>
          <w:p w14:paraId="1ABA3AF2">
            <w:pPr>
              <w:spacing w:line="240" w:lineRule="exact"/>
              <w:rPr>
                <w:rFonts w:ascii="Times New Roman" w:hAnsi="Times New Roman"/>
                <w:sz w:val="18"/>
                <w:szCs w:val="18"/>
              </w:rPr>
            </w:pPr>
            <w:r>
              <w:rPr>
                <w:rFonts w:hint="eastAsia" w:ascii="Times New Roman" w:hAnsi="Times New Roman"/>
                <w:sz w:val="18"/>
                <w:szCs w:val="18"/>
              </w:rPr>
              <w:t>100</w:t>
            </w:r>
          </w:p>
        </w:tc>
        <w:tc>
          <w:tcPr>
            <w:tcW w:w="565" w:type="pct"/>
            <w:shd w:val="clear" w:color="auto" w:fill="auto"/>
            <w:vAlign w:val="center"/>
          </w:tcPr>
          <w:p w14:paraId="6CC4E7A0">
            <w:pPr>
              <w:spacing w:line="240" w:lineRule="exact"/>
              <w:rPr>
                <w:rFonts w:ascii="Times New Roman" w:hAnsi="Times New Roman"/>
                <w:sz w:val="18"/>
                <w:szCs w:val="18"/>
              </w:rPr>
            </w:pPr>
            <w:r>
              <w:rPr>
                <w:rFonts w:ascii="Times New Roman" w:hAnsi="Times New Roman"/>
                <w:sz w:val="18"/>
                <w:szCs w:val="18"/>
              </w:rPr>
              <w:t>3.5</w:t>
            </w:r>
          </w:p>
        </w:tc>
        <w:tc>
          <w:tcPr>
            <w:tcW w:w="671" w:type="pct"/>
            <w:shd w:val="clear" w:color="auto" w:fill="auto"/>
            <w:vAlign w:val="center"/>
          </w:tcPr>
          <w:p w14:paraId="133913A8">
            <w:pPr>
              <w:spacing w:line="240" w:lineRule="exact"/>
              <w:rPr>
                <w:rFonts w:ascii="Times New Roman" w:hAnsi="Times New Roman"/>
                <w:sz w:val="18"/>
                <w:szCs w:val="18"/>
              </w:rPr>
            </w:pPr>
            <w:r>
              <w:rPr>
                <w:rFonts w:ascii="Times New Roman" w:hAnsi="Times New Roman"/>
                <w:sz w:val="18"/>
                <w:szCs w:val="18"/>
              </w:rPr>
              <w:t>3.5</w:t>
            </w:r>
          </w:p>
        </w:tc>
        <w:tc>
          <w:tcPr>
            <w:tcW w:w="477" w:type="pct"/>
            <w:shd w:val="clear" w:color="auto" w:fill="auto"/>
            <w:vAlign w:val="center"/>
          </w:tcPr>
          <w:p w14:paraId="496996BA">
            <w:pPr>
              <w:spacing w:line="240" w:lineRule="exact"/>
              <w:rPr>
                <w:rFonts w:ascii="Times New Roman" w:hAnsi="Times New Roman"/>
                <w:sz w:val="18"/>
                <w:szCs w:val="18"/>
              </w:rPr>
            </w:pPr>
            <w:r>
              <w:rPr>
                <w:rFonts w:hint="eastAsia" w:ascii="Times New Roman" w:hAnsi="Times New Roman"/>
                <w:sz w:val="18"/>
                <w:szCs w:val="18"/>
              </w:rPr>
              <w:t>-</w:t>
            </w:r>
          </w:p>
        </w:tc>
        <w:tc>
          <w:tcPr>
            <w:tcW w:w="539" w:type="pct"/>
            <w:shd w:val="clear" w:color="auto" w:fill="auto"/>
            <w:vAlign w:val="center"/>
          </w:tcPr>
          <w:p w14:paraId="41BD5608">
            <w:pPr>
              <w:spacing w:line="240" w:lineRule="exact"/>
              <w:rPr>
                <w:rFonts w:ascii="Times New Roman" w:hAnsi="Times New Roman"/>
                <w:sz w:val="18"/>
                <w:szCs w:val="18"/>
              </w:rPr>
            </w:pPr>
            <w:r>
              <w:rPr>
                <w:rFonts w:hint="eastAsia" w:ascii="Times New Roman" w:hAnsi="Times New Roman"/>
                <w:sz w:val="18"/>
                <w:szCs w:val="18"/>
              </w:rPr>
              <w:t>60</w:t>
            </w:r>
          </w:p>
        </w:tc>
        <w:tc>
          <w:tcPr>
            <w:tcW w:w="503" w:type="pct"/>
            <w:shd w:val="clear" w:color="auto" w:fill="auto"/>
            <w:vAlign w:val="center"/>
          </w:tcPr>
          <w:p w14:paraId="6218497B">
            <w:pPr>
              <w:spacing w:line="240" w:lineRule="exact"/>
              <w:rPr>
                <w:rFonts w:ascii="Times New Roman" w:hAnsi="Times New Roman"/>
                <w:sz w:val="18"/>
                <w:szCs w:val="18"/>
              </w:rPr>
            </w:pPr>
            <w:r>
              <w:rPr>
                <w:rFonts w:hint="eastAsia" w:ascii="Times New Roman" w:hAnsi="Times New Roman"/>
                <w:sz w:val="18"/>
                <w:szCs w:val="18"/>
              </w:rPr>
              <w:t>0</w:t>
            </w:r>
            <w:r>
              <w:rPr>
                <w:rFonts w:ascii="Times New Roman" w:hAnsi="Times New Roman"/>
                <w:sz w:val="18"/>
                <w:szCs w:val="18"/>
              </w:rPr>
              <w:t>.6</w:t>
            </w:r>
          </w:p>
        </w:tc>
      </w:tr>
      <w:tr w14:paraId="0D4FA0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77" w:hRule="exact"/>
          <w:jc w:val="center"/>
        </w:trPr>
        <w:tc>
          <w:tcPr>
            <w:tcW w:w="298" w:type="pct"/>
            <w:shd w:val="clear" w:color="auto" w:fill="auto"/>
            <w:vAlign w:val="center"/>
          </w:tcPr>
          <w:p w14:paraId="3FCE742F">
            <w:pPr>
              <w:spacing w:line="240" w:lineRule="exact"/>
              <w:rPr>
                <w:rFonts w:ascii="Times New Roman" w:hAnsi="Times New Roman"/>
                <w:sz w:val="18"/>
                <w:szCs w:val="18"/>
              </w:rPr>
            </w:pPr>
            <w:r>
              <w:rPr>
                <w:rFonts w:hint="eastAsia" w:ascii="Times New Roman" w:hAnsi="Times New Roman"/>
                <w:sz w:val="18"/>
                <w:szCs w:val="18"/>
              </w:rPr>
              <w:t>2</w:t>
            </w:r>
          </w:p>
        </w:tc>
        <w:tc>
          <w:tcPr>
            <w:tcW w:w="684" w:type="pct"/>
            <w:shd w:val="clear" w:color="auto" w:fill="auto"/>
            <w:vAlign w:val="center"/>
          </w:tcPr>
          <w:p w14:paraId="48269CC4">
            <w:pPr>
              <w:spacing w:line="240" w:lineRule="exact"/>
              <w:rPr>
                <w:rFonts w:ascii="Times New Roman" w:hAnsi="Times New Roman"/>
                <w:sz w:val="18"/>
                <w:szCs w:val="18"/>
              </w:rPr>
            </w:pPr>
            <w:r>
              <w:rPr>
                <w:rFonts w:hint="eastAsia" w:ascii="Times New Roman" w:hAnsi="Times New Roman"/>
                <w:sz w:val="18"/>
                <w:szCs w:val="18"/>
              </w:rPr>
              <w:t>水泵房</w:t>
            </w:r>
          </w:p>
        </w:tc>
        <w:tc>
          <w:tcPr>
            <w:tcW w:w="579" w:type="pct"/>
            <w:shd w:val="clear" w:color="auto" w:fill="auto"/>
            <w:vAlign w:val="center"/>
          </w:tcPr>
          <w:p w14:paraId="155F01E9">
            <w:pPr>
              <w:spacing w:line="240" w:lineRule="exact"/>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00</w:t>
            </w:r>
          </w:p>
        </w:tc>
        <w:tc>
          <w:tcPr>
            <w:tcW w:w="679" w:type="pct"/>
            <w:shd w:val="clear" w:color="auto" w:fill="auto"/>
            <w:vAlign w:val="center"/>
          </w:tcPr>
          <w:p w14:paraId="63BAAB69">
            <w:pPr>
              <w:spacing w:line="240" w:lineRule="exact"/>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00</w:t>
            </w:r>
          </w:p>
        </w:tc>
        <w:tc>
          <w:tcPr>
            <w:tcW w:w="565" w:type="pct"/>
            <w:shd w:val="clear" w:color="auto" w:fill="auto"/>
            <w:vAlign w:val="center"/>
          </w:tcPr>
          <w:p w14:paraId="10AD14B5">
            <w:pPr>
              <w:spacing w:line="240" w:lineRule="exact"/>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.5</w:t>
            </w:r>
          </w:p>
        </w:tc>
        <w:tc>
          <w:tcPr>
            <w:tcW w:w="671" w:type="pct"/>
            <w:shd w:val="clear" w:color="auto" w:fill="auto"/>
            <w:vAlign w:val="center"/>
          </w:tcPr>
          <w:p w14:paraId="3BAC13DC">
            <w:pPr>
              <w:spacing w:line="240" w:lineRule="exact"/>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.5</w:t>
            </w:r>
          </w:p>
        </w:tc>
        <w:tc>
          <w:tcPr>
            <w:tcW w:w="477" w:type="pct"/>
            <w:shd w:val="clear" w:color="auto" w:fill="auto"/>
            <w:vAlign w:val="center"/>
          </w:tcPr>
          <w:p w14:paraId="205B38EE">
            <w:pPr>
              <w:spacing w:line="240" w:lineRule="exact"/>
              <w:rPr>
                <w:rFonts w:ascii="Times New Roman" w:hAnsi="Times New Roman"/>
                <w:sz w:val="18"/>
                <w:szCs w:val="18"/>
              </w:rPr>
            </w:pPr>
            <w:r>
              <w:rPr>
                <w:rFonts w:hint="eastAsia" w:ascii="Times New Roman" w:hAnsi="Times New Roman"/>
                <w:sz w:val="18"/>
                <w:szCs w:val="18"/>
              </w:rPr>
              <w:t>-</w:t>
            </w:r>
          </w:p>
        </w:tc>
        <w:tc>
          <w:tcPr>
            <w:tcW w:w="539" w:type="pct"/>
            <w:shd w:val="clear" w:color="auto" w:fill="auto"/>
            <w:vAlign w:val="center"/>
          </w:tcPr>
          <w:p w14:paraId="4C6F9815">
            <w:pPr>
              <w:spacing w:line="240" w:lineRule="exact"/>
              <w:rPr>
                <w:rFonts w:ascii="Times New Roman" w:hAnsi="Times New Roman"/>
                <w:sz w:val="18"/>
                <w:szCs w:val="18"/>
              </w:rPr>
            </w:pPr>
            <w:r>
              <w:rPr>
                <w:rFonts w:hint="eastAsia" w:ascii="Times New Roman" w:hAnsi="Times New Roman"/>
                <w:sz w:val="18"/>
                <w:szCs w:val="18"/>
              </w:rPr>
              <w:t>60</w:t>
            </w:r>
          </w:p>
        </w:tc>
        <w:tc>
          <w:tcPr>
            <w:tcW w:w="503" w:type="pct"/>
            <w:shd w:val="clear" w:color="auto" w:fill="auto"/>
            <w:vAlign w:val="center"/>
          </w:tcPr>
          <w:p w14:paraId="7A54E42C">
            <w:pPr>
              <w:spacing w:line="240" w:lineRule="exact"/>
              <w:rPr>
                <w:rFonts w:ascii="Times New Roman" w:hAnsi="Times New Roman"/>
                <w:sz w:val="18"/>
                <w:szCs w:val="18"/>
              </w:rPr>
            </w:pPr>
            <w:r>
              <w:rPr>
                <w:rFonts w:hint="eastAsia" w:ascii="Times New Roman" w:hAnsi="Times New Roman"/>
                <w:sz w:val="18"/>
                <w:szCs w:val="18"/>
              </w:rPr>
              <w:t>0</w:t>
            </w:r>
            <w:r>
              <w:rPr>
                <w:rFonts w:ascii="Times New Roman" w:hAnsi="Times New Roman"/>
                <w:sz w:val="18"/>
                <w:szCs w:val="18"/>
              </w:rPr>
              <w:t>.6</w:t>
            </w:r>
          </w:p>
        </w:tc>
      </w:tr>
      <w:tr w14:paraId="13F827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298" w:type="pct"/>
            <w:shd w:val="clear" w:color="auto" w:fill="auto"/>
            <w:vAlign w:val="center"/>
          </w:tcPr>
          <w:p w14:paraId="10795820">
            <w:pPr>
              <w:spacing w:line="240" w:lineRule="exact"/>
              <w:rPr>
                <w:rFonts w:ascii="Times New Roman" w:hAnsi="Times New Roman"/>
                <w:sz w:val="18"/>
                <w:szCs w:val="18"/>
              </w:rPr>
            </w:pPr>
            <w:r>
              <w:rPr>
                <w:rFonts w:hint="eastAsia" w:ascii="Times New Roman" w:hAnsi="Times New Roman"/>
                <w:sz w:val="18"/>
                <w:szCs w:val="18"/>
              </w:rPr>
              <w:t>3</w:t>
            </w:r>
          </w:p>
        </w:tc>
        <w:tc>
          <w:tcPr>
            <w:tcW w:w="684" w:type="pct"/>
            <w:shd w:val="clear" w:color="auto" w:fill="auto"/>
            <w:vAlign w:val="center"/>
          </w:tcPr>
          <w:p w14:paraId="6BB8FBA8">
            <w:pPr>
              <w:spacing w:line="240" w:lineRule="exact"/>
              <w:rPr>
                <w:rFonts w:ascii="Times New Roman" w:hAnsi="Times New Roman"/>
                <w:sz w:val="18"/>
                <w:szCs w:val="18"/>
              </w:rPr>
            </w:pPr>
            <w:r>
              <w:rPr>
                <w:rFonts w:hint="eastAsia" w:ascii="Times New Roman" w:hAnsi="Times New Roman"/>
                <w:sz w:val="18"/>
                <w:szCs w:val="18"/>
              </w:rPr>
              <w:t>变配电房</w:t>
            </w:r>
          </w:p>
        </w:tc>
        <w:tc>
          <w:tcPr>
            <w:tcW w:w="579" w:type="pct"/>
            <w:shd w:val="clear" w:color="auto" w:fill="auto"/>
            <w:vAlign w:val="center"/>
          </w:tcPr>
          <w:p w14:paraId="4273CDC5">
            <w:pPr>
              <w:spacing w:line="240" w:lineRule="exact"/>
              <w:rPr>
                <w:rFonts w:ascii="Times New Roman" w:hAnsi="Times New Roman"/>
                <w:sz w:val="18"/>
                <w:szCs w:val="18"/>
              </w:rPr>
            </w:pPr>
            <w:r>
              <w:rPr>
                <w:rFonts w:hint="eastAsia" w:ascii="Times New Roman" w:hAnsi="Times New Roman"/>
                <w:sz w:val="18"/>
                <w:szCs w:val="18"/>
              </w:rPr>
              <w:t>2</w:t>
            </w:r>
            <w:r>
              <w:rPr>
                <w:rFonts w:ascii="Times New Roman" w:hAnsi="Times New Roman"/>
                <w:sz w:val="18"/>
                <w:szCs w:val="18"/>
              </w:rPr>
              <w:t>00</w:t>
            </w:r>
          </w:p>
        </w:tc>
        <w:tc>
          <w:tcPr>
            <w:tcW w:w="679" w:type="pct"/>
            <w:shd w:val="clear" w:color="auto" w:fill="auto"/>
            <w:vAlign w:val="center"/>
          </w:tcPr>
          <w:p w14:paraId="426C69FE">
            <w:pPr>
              <w:spacing w:line="240" w:lineRule="exact"/>
              <w:rPr>
                <w:rFonts w:ascii="Times New Roman" w:hAnsi="Times New Roman"/>
                <w:sz w:val="18"/>
                <w:szCs w:val="18"/>
              </w:rPr>
            </w:pPr>
            <w:r>
              <w:rPr>
                <w:rFonts w:hint="eastAsia" w:ascii="Times New Roman" w:hAnsi="Times New Roman"/>
                <w:sz w:val="18"/>
                <w:szCs w:val="18"/>
              </w:rPr>
              <w:t>2</w:t>
            </w:r>
            <w:r>
              <w:rPr>
                <w:rFonts w:ascii="Times New Roman" w:hAnsi="Times New Roman"/>
                <w:sz w:val="18"/>
                <w:szCs w:val="18"/>
              </w:rPr>
              <w:t>00</w:t>
            </w:r>
          </w:p>
        </w:tc>
        <w:tc>
          <w:tcPr>
            <w:tcW w:w="565" w:type="pct"/>
            <w:shd w:val="clear" w:color="auto" w:fill="auto"/>
            <w:vAlign w:val="center"/>
          </w:tcPr>
          <w:p w14:paraId="6D31F709">
            <w:pPr>
              <w:spacing w:line="240" w:lineRule="exact"/>
              <w:rPr>
                <w:rFonts w:ascii="Times New Roman" w:hAnsi="Times New Roman"/>
                <w:sz w:val="18"/>
                <w:szCs w:val="18"/>
              </w:rPr>
            </w:pPr>
            <w:r>
              <w:rPr>
                <w:rFonts w:hint="eastAsia" w:ascii="Times New Roman" w:hAnsi="Times New Roman"/>
                <w:sz w:val="18"/>
                <w:szCs w:val="18"/>
              </w:rPr>
              <w:t>6</w:t>
            </w:r>
            <w:r>
              <w:rPr>
                <w:rFonts w:ascii="Times New Roman" w:hAnsi="Times New Roman"/>
                <w:sz w:val="18"/>
                <w:szCs w:val="18"/>
              </w:rPr>
              <w:t>.0</w:t>
            </w:r>
          </w:p>
        </w:tc>
        <w:tc>
          <w:tcPr>
            <w:tcW w:w="671" w:type="pct"/>
            <w:shd w:val="clear" w:color="auto" w:fill="auto"/>
            <w:vAlign w:val="center"/>
          </w:tcPr>
          <w:p w14:paraId="3E7B5338">
            <w:pPr>
              <w:spacing w:line="240" w:lineRule="exact"/>
              <w:rPr>
                <w:rFonts w:ascii="Times New Roman" w:hAnsi="Times New Roman"/>
                <w:sz w:val="18"/>
                <w:szCs w:val="18"/>
              </w:rPr>
            </w:pPr>
            <w:r>
              <w:rPr>
                <w:rFonts w:hint="eastAsia" w:ascii="Times New Roman" w:hAnsi="Times New Roman"/>
                <w:sz w:val="18"/>
                <w:szCs w:val="18"/>
              </w:rPr>
              <w:t>6</w:t>
            </w:r>
            <w:r>
              <w:rPr>
                <w:rFonts w:ascii="Times New Roman" w:hAnsi="Times New Roman"/>
                <w:sz w:val="18"/>
                <w:szCs w:val="18"/>
              </w:rPr>
              <w:t>.0</w:t>
            </w:r>
          </w:p>
        </w:tc>
        <w:tc>
          <w:tcPr>
            <w:tcW w:w="477" w:type="pct"/>
            <w:shd w:val="clear" w:color="auto" w:fill="auto"/>
            <w:vAlign w:val="center"/>
          </w:tcPr>
          <w:p w14:paraId="4488C427">
            <w:pPr>
              <w:spacing w:line="240" w:lineRule="exact"/>
              <w:rPr>
                <w:rFonts w:ascii="Times New Roman" w:hAnsi="Times New Roman"/>
                <w:sz w:val="18"/>
                <w:szCs w:val="18"/>
              </w:rPr>
            </w:pPr>
            <w:r>
              <w:rPr>
                <w:rFonts w:hint="eastAsia" w:ascii="Times New Roman" w:hAnsi="Times New Roman"/>
                <w:sz w:val="18"/>
                <w:szCs w:val="18"/>
              </w:rPr>
              <w:t>-</w:t>
            </w:r>
          </w:p>
        </w:tc>
        <w:tc>
          <w:tcPr>
            <w:tcW w:w="539" w:type="pct"/>
            <w:shd w:val="clear" w:color="auto" w:fill="auto"/>
            <w:vAlign w:val="center"/>
          </w:tcPr>
          <w:p w14:paraId="53F5DA84">
            <w:pPr>
              <w:spacing w:line="240" w:lineRule="exact"/>
              <w:rPr>
                <w:rFonts w:ascii="Times New Roman" w:hAnsi="Times New Roman"/>
                <w:sz w:val="18"/>
                <w:szCs w:val="18"/>
              </w:rPr>
            </w:pPr>
            <w:r>
              <w:rPr>
                <w:rFonts w:ascii="Times New Roman" w:hAnsi="Times New Roman"/>
                <w:sz w:val="18"/>
                <w:szCs w:val="18"/>
              </w:rPr>
              <w:t>80</w:t>
            </w:r>
          </w:p>
        </w:tc>
        <w:tc>
          <w:tcPr>
            <w:tcW w:w="503" w:type="pct"/>
            <w:shd w:val="clear" w:color="auto" w:fill="auto"/>
            <w:vAlign w:val="center"/>
          </w:tcPr>
          <w:p w14:paraId="737B773D">
            <w:pPr>
              <w:spacing w:line="240" w:lineRule="exact"/>
              <w:rPr>
                <w:rFonts w:ascii="Times New Roman" w:hAnsi="Times New Roman"/>
                <w:sz w:val="18"/>
                <w:szCs w:val="18"/>
              </w:rPr>
            </w:pPr>
            <w:r>
              <w:rPr>
                <w:rFonts w:hint="eastAsia" w:ascii="Times New Roman" w:hAnsi="Times New Roman"/>
                <w:sz w:val="18"/>
                <w:szCs w:val="18"/>
              </w:rPr>
              <w:t>0</w:t>
            </w:r>
            <w:r>
              <w:rPr>
                <w:rFonts w:ascii="Times New Roman" w:hAnsi="Times New Roman"/>
                <w:sz w:val="18"/>
                <w:szCs w:val="18"/>
              </w:rPr>
              <w:t>.6</w:t>
            </w:r>
          </w:p>
        </w:tc>
      </w:tr>
      <w:tr w14:paraId="138B0E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8" w:hRule="exact"/>
          <w:jc w:val="center"/>
        </w:trPr>
        <w:tc>
          <w:tcPr>
            <w:tcW w:w="298" w:type="pct"/>
            <w:shd w:val="clear" w:color="auto" w:fill="auto"/>
            <w:vAlign w:val="center"/>
          </w:tcPr>
          <w:p w14:paraId="70946D3E">
            <w:pPr>
              <w:spacing w:line="240" w:lineRule="exact"/>
              <w:rPr>
                <w:rFonts w:ascii="Times New Roman" w:hAnsi="Times New Roman"/>
                <w:sz w:val="18"/>
                <w:szCs w:val="18"/>
              </w:rPr>
            </w:pPr>
            <w:r>
              <w:rPr>
                <w:rFonts w:hint="eastAsia" w:ascii="Times New Roman" w:hAnsi="Times New Roman"/>
                <w:sz w:val="18"/>
                <w:szCs w:val="18"/>
              </w:rPr>
              <w:t>4</w:t>
            </w:r>
          </w:p>
        </w:tc>
        <w:tc>
          <w:tcPr>
            <w:tcW w:w="684" w:type="pct"/>
            <w:shd w:val="clear" w:color="auto" w:fill="auto"/>
            <w:vAlign w:val="center"/>
          </w:tcPr>
          <w:p w14:paraId="5E1A6A9B">
            <w:pPr>
              <w:spacing w:line="240" w:lineRule="exact"/>
              <w:rPr>
                <w:rFonts w:ascii="Times New Roman" w:hAnsi="Times New Roman"/>
                <w:sz w:val="18"/>
                <w:szCs w:val="18"/>
              </w:rPr>
            </w:pPr>
            <w:r>
              <w:rPr>
                <w:rFonts w:hint="eastAsia" w:ascii="Times New Roman" w:hAnsi="Times New Roman"/>
                <w:sz w:val="18"/>
                <w:szCs w:val="18"/>
              </w:rPr>
              <w:t>变压器室</w:t>
            </w:r>
          </w:p>
        </w:tc>
        <w:tc>
          <w:tcPr>
            <w:tcW w:w="579" w:type="pct"/>
            <w:shd w:val="clear" w:color="auto" w:fill="auto"/>
            <w:vAlign w:val="center"/>
          </w:tcPr>
          <w:p w14:paraId="4E66811F">
            <w:pPr>
              <w:spacing w:line="240" w:lineRule="exact"/>
              <w:rPr>
                <w:rFonts w:ascii="Times New Roman" w:hAnsi="Times New Roman"/>
                <w:sz w:val="18"/>
                <w:szCs w:val="18"/>
              </w:rPr>
            </w:pPr>
            <w:r>
              <w:rPr>
                <w:rFonts w:ascii="Times New Roman" w:hAnsi="Times New Roman"/>
                <w:sz w:val="18"/>
                <w:szCs w:val="18"/>
              </w:rPr>
              <w:t>100</w:t>
            </w:r>
          </w:p>
        </w:tc>
        <w:tc>
          <w:tcPr>
            <w:tcW w:w="679" w:type="pct"/>
            <w:shd w:val="clear" w:color="auto" w:fill="auto"/>
            <w:vAlign w:val="center"/>
          </w:tcPr>
          <w:p w14:paraId="09A845E7">
            <w:pPr>
              <w:spacing w:line="240" w:lineRule="exact"/>
              <w:rPr>
                <w:rFonts w:ascii="Times New Roman" w:hAnsi="Times New Roman"/>
                <w:sz w:val="18"/>
                <w:szCs w:val="18"/>
              </w:rPr>
            </w:pPr>
            <w:r>
              <w:rPr>
                <w:rFonts w:ascii="Times New Roman" w:hAnsi="Times New Roman"/>
                <w:sz w:val="18"/>
                <w:szCs w:val="18"/>
              </w:rPr>
              <w:t>100</w:t>
            </w:r>
          </w:p>
        </w:tc>
        <w:tc>
          <w:tcPr>
            <w:tcW w:w="565" w:type="pct"/>
            <w:shd w:val="clear" w:color="auto" w:fill="auto"/>
            <w:vAlign w:val="center"/>
          </w:tcPr>
          <w:p w14:paraId="7B9AAC9A">
            <w:pPr>
              <w:spacing w:line="240" w:lineRule="exact"/>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.5</w:t>
            </w:r>
          </w:p>
        </w:tc>
        <w:tc>
          <w:tcPr>
            <w:tcW w:w="671" w:type="pct"/>
            <w:shd w:val="clear" w:color="auto" w:fill="auto"/>
            <w:vAlign w:val="center"/>
          </w:tcPr>
          <w:p w14:paraId="305785C2">
            <w:pPr>
              <w:spacing w:line="240" w:lineRule="exact"/>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.5</w:t>
            </w:r>
          </w:p>
        </w:tc>
        <w:tc>
          <w:tcPr>
            <w:tcW w:w="477" w:type="pct"/>
            <w:shd w:val="clear" w:color="auto" w:fill="auto"/>
            <w:vAlign w:val="center"/>
          </w:tcPr>
          <w:p w14:paraId="0BC0FFE9">
            <w:pPr>
              <w:spacing w:line="240" w:lineRule="exact"/>
              <w:rPr>
                <w:rFonts w:ascii="Times New Roman" w:hAnsi="Times New Roman"/>
                <w:sz w:val="18"/>
                <w:szCs w:val="18"/>
              </w:rPr>
            </w:pPr>
            <w:r>
              <w:rPr>
                <w:rFonts w:hint="eastAsia" w:ascii="Times New Roman" w:hAnsi="Times New Roman"/>
                <w:sz w:val="18"/>
                <w:szCs w:val="18"/>
              </w:rPr>
              <w:t>-</w:t>
            </w:r>
          </w:p>
        </w:tc>
        <w:tc>
          <w:tcPr>
            <w:tcW w:w="539" w:type="pct"/>
            <w:shd w:val="clear" w:color="auto" w:fill="auto"/>
            <w:vAlign w:val="center"/>
          </w:tcPr>
          <w:p w14:paraId="00C0A426">
            <w:pPr>
              <w:spacing w:line="240" w:lineRule="exact"/>
              <w:rPr>
                <w:rFonts w:ascii="Times New Roman" w:hAnsi="Times New Roman"/>
                <w:sz w:val="18"/>
                <w:szCs w:val="18"/>
              </w:rPr>
            </w:pPr>
            <w:r>
              <w:rPr>
                <w:rFonts w:ascii="Times New Roman" w:hAnsi="Times New Roman"/>
                <w:sz w:val="18"/>
                <w:szCs w:val="18"/>
              </w:rPr>
              <w:t>60</w:t>
            </w:r>
          </w:p>
        </w:tc>
        <w:tc>
          <w:tcPr>
            <w:tcW w:w="503" w:type="pct"/>
            <w:shd w:val="clear" w:color="auto" w:fill="auto"/>
            <w:vAlign w:val="center"/>
          </w:tcPr>
          <w:p w14:paraId="6640C750">
            <w:pPr>
              <w:spacing w:line="240" w:lineRule="exact"/>
              <w:rPr>
                <w:rFonts w:ascii="Times New Roman" w:hAnsi="Times New Roman"/>
                <w:sz w:val="18"/>
                <w:szCs w:val="18"/>
              </w:rPr>
            </w:pPr>
            <w:r>
              <w:rPr>
                <w:rFonts w:hint="eastAsia" w:ascii="Times New Roman" w:hAnsi="Times New Roman"/>
                <w:sz w:val="18"/>
                <w:szCs w:val="18"/>
              </w:rPr>
              <w:t>0</w:t>
            </w:r>
            <w:r>
              <w:rPr>
                <w:rFonts w:ascii="Times New Roman" w:hAnsi="Times New Roman"/>
                <w:sz w:val="18"/>
                <w:szCs w:val="18"/>
              </w:rPr>
              <w:t>.6</w:t>
            </w:r>
          </w:p>
        </w:tc>
      </w:tr>
      <w:tr w14:paraId="59AE6A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2" w:hRule="exact"/>
          <w:jc w:val="center"/>
        </w:trPr>
        <w:tc>
          <w:tcPr>
            <w:tcW w:w="298" w:type="pct"/>
            <w:shd w:val="clear" w:color="auto" w:fill="auto"/>
            <w:vAlign w:val="center"/>
          </w:tcPr>
          <w:p w14:paraId="3763F224">
            <w:pPr>
              <w:spacing w:line="240" w:lineRule="exact"/>
              <w:rPr>
                <w:rFonts w:ascii="Times New Roman" w:hAnsi="Times New Roman"/>
                <w:sz w:val="18"/>
                <w:szCs w:val="18"/>
              </w:rPr>
            </w:pPr>
            <w:r>
              <w:rPr>
                <w:rFonts w:hint="eastAsia" w:ascii="Times New Roman" w:hAnsi="Times New Roman"/>
                <w:sz w:val="18"/>
                <w:szCs w:val="18"/>
              </w:rPr>
              <w:t>5</w:t>
            </w:r>
          </w:p>
        </w:tc>
        <w:tc>
          <w:tcPr>
            <w:tcW w:w="684" w:type="pct"/>
            <w:shd w:val="clear" w:color="auto" w:fill="auto"/>
            <w:vAlign w:val="center"/>
          </w:tcPr>
          <w:p w14:paraId="6EE794BC">
            <w:pPr>
              <w:spacing w:line="240" w:lineRule="exact"/>
              <w:rPr>
                <w:rFonts w:ascii="Times New Roman" w:hAnsi="Times New Roman"/>
                <w:sz w:val="18"/>
                <w:szCs w:val="18"/>
              </w:rPr>
            </w:pPr>
            <w:r>
              <w:rPr>
                <w:rFonts w:hint="eastAsia" w:ascii="Times New Roman" w:hAnsi="Times New Roman"/>
                <w:sz w:val="18"/>
                <w:szCs w:val="18"/>
              </w:rPr>
              <w:t>楼梯间</w:t>
            </w:r>
          </w:p>
        </w:tc>
        <w:tc>
          <w:tcPr>
            <w:tcW w:w="579" w:type="pct"/>
            <w:shd w:val="clear" w:color="auto" w:fill="auto"/>
            <w:vAlign w:val="center"/>
          </w:tcPr>
          <w:p w14:paraId="4AEC6A7A">
            <w:pPr>
              <w:spacing w:line="240" w:lineRule="exact"/>
              <w:rPr>
                <w:rFonts w:ascii="Times New Roman" w:hAnsi="Times New Roman"/>
                <w:sz w:val="18"/>
                <w:szCs w:val="18"/>
              </w:rPr>
            </w:pPr>
            <w:r>
              <w:rPr>
                <w:rFonts w:ascii="Times New Roman" w:hAnsi="Times New Roman"/>
                <w:sz w:val="18"/>
                <w:szCs w:val="18"/>
              </w:rPr>
              <w:t>100</w:t>
            </w:r>
          </w:p>
        </w:tc>
        <w:tc>
          <w:tcPr>
            <w:tcW w:w="679" w:type="pct"/>
            <w:shd w:val="clear" w:color="auto" w:fill="auto"/>
            <w:vAlign w:val="center"/>
          </w:tcPr>
          <w:p w14:paraId="0D4E6AC6">
            <w:pPr>
              <w:spacing w:line="240" w:lineRule="exact"/>
              <w:rPr>
                <w:rFonts w:ascii="Times New Roman" w:hAnsi="Times New Roman"/>
                <w:sz w:val="18"/>
                <w:szCs w:val="18"/>
              </w:rPr>
            </w:pPr>
            <w:r>
              <w:rPr>
                <w:rFonts w:ascii="Times New Roman" w:hAnsi="Times New Roman"/>
                <w:sz w:val="18"/>
                <w:szCs w:val="18"/>
              </w:rPr>
              <w:t>100</w:t>
            </w:r>
          </w:p>
        </w:tc>
        <w:tc>
          <w:tcPr>
            <w:tcW w:w="565" w:type="pct"/>
            <w:shd w:val="clear" w:color="auto" w:fill="auto"/>
            <w:vAlign w:val="center"/>
          </w:tcPr>
          <w:p w14:paraId="271C96D4">
            <w:pPr>
              <w:spacing w:line="240" w:lineRule="exact"/>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.5</w:t>
            </w:r>
          </w:p>
        </w:tc>
        <w:tc>
          <w:tcPr>
            <w:tcW w:w="671" w:type="pct"/>
            <w:shd w:val="clear" w:color="auto" w:fill="auto"/>
            <w:vAlign w:val="center"/>
          </w:tcPr>
          <w:p w14:paraId="0A8DFB01">
            <w:pPr>
              <w:spacing w:line="240" w:lineRule="exact"/>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.5</w:t>
            </w:r>
          </w:p>
        </w:tc>
        <w:tc>
          <w:tcPr>
            <w:tcW w:w="477" w:type="pct"/>
            <w:shd w:val="clear" w:color="auto" w:fill="auto"/>
            <w:vAlign w:val="center"/>
          </w:tcPr>
          <w:p w14:paraId="4C08B0BC">
            <w:pPr>
              <w:spacing w:line="240" w:lineRule="exact"/>
              <w:rPr>
                <w:rFonts w:ascii="Times New Roman" w:hAnsi="Times New Roman"/>
                <w:sz w:val="18"/>
                <w:szCs w:val="18"/>
              </w:rPr>
            </w:pPr>
            <w:r>
              <w:rPr>
                <w:rFonts w:ascii="Times New Roman" w:hAnsi="Times New Roman"/>
                <w:sz w:val="18"/>
                <w:szCs w:val="18"/>
              </w:rPr>
              <w:t>22</w:t>
            </w:r>
          </w:p>
        </w:tc>
        <w:tc>
          <w:tcPr>
            <w:tcW w:w="539" w:type="pct"/>
            <w:shd w:val="clear" w:color="auto" w:fill="auto"/>
            <w:vAlign w:val="center"/>
          </w:tcPr>
          <w:p w14:paraId="4E040D5F">
            <w:pPr>
              <w:spacing w:line="240" w:lineRule="exact"/>
              <w:rPr>
                <w:rFonts w:ascii="Times New Roman" w:hAnsi="Times New Roman"/>
                <w:sz w:val="18"/>
                <w:szCs w:val="18"/>
              </w:rPr>
            </w:pPr>
            <w:r>
              <w:rPr>
                <w:rFonts w:ascii="Times New Roman" w:hAnsi="Times New Roman"/>
                <w:sz w:val="18"/>
                <w:szCs w:val="18"/>
              </w:rPr>
              <w:t>80</w:t>
            </w:r>
          </w:p>
        </w:tc>
        <w:tc>
          <w:tcPr>
            <w:tcW w:w="503" w:type="pct"/>
            <w:shd w:val="clear" w:color="auto" w:fill="auto"/>
            <w:vAlign w:val="center"/>
          </w:tcPr>
          <w:p w14:paraId="2302D8D9">
            <w:pPr>
              <w:spacing w:line="240" w:lineRule="exact"/>
              <w:rPr>
                <w:rFonts w:ascii="Times New Roman" w:hAnsi="Times New Roman"/>
                <w:sz w:val="18"/>
                <w:szCs w:val="18"/>
              </w:rPr>
            </w:pPr>
            <w:r>
              <w:rPr>
                <w:rFonts w:hint="eastAsia" w:ascii="Times New Roman" w:hAnsi="Times New Roman"/>
                <w:sz w:val="18"/>
                <w:szCs w:val="18"/>
              </w:rPr>
              <w:t>0</w:t>
            </w:r>
            <w:r>
              <w:rPr>
                <w:rFonts w:ascii="Times New Roman" w:hAnsi="Times New Roman"/>
                <w:sz w:val="18"/>
                <w:szCs w:val="18"/>
              </w:rPr>
              <w:t>.4</w:t>
            </w:r>
          </w:p>
        </w:tc>
      </w:tr>
      <w:tr w14:paraId="01E753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2" w:hRule="exact"/>
          <w:jc w:val="center"/>
        </w:trPr>
        <w:tc>
          <w:tcPr>
            <w:tcW w:w="298" w:type="pct"/>
            <w:shd w:val="clear" w:color="auto" w:fill="auto"/>
            <w:vAlign w:val="center"/>
          </w:tcPr>
          <w:p w14:paraId="06052176">
            <w:pPr>
              <w:spacing w:line="240" w:lineRule="exact"/>
              <w:rPr>
                <w:rFonts w:ascii="Times New Roman" w:hAnsi="Times New Roman"/>
                <w:sz w:val="18"/>
                <w:szCs w:val="18"/>
              </w:rPr>
            </w:pPr>
            <w:r>
              <w:rPr>
                <w:rFonts w:hint="eastAsia" w:ascii="Times New Roman" w:hAnsi="Times New Roman"/>
                <w:sz w:val="18"/>
                <w:szCs w:val="18"/>
              </w:rPr>
              <w:t>6</w:t>
            </w:r>
          </w:p>
        </w:tc>
        <w:tc>
          <w:tcPr>
            <w:tcW w:w="684" w:type="pct"/>
            <w:shd w:val="clear" w:color="auto" w:fill="auto"/>
            <w:vAlign w:val="center"/>
          </w:tcPr>
          <w:p w14:paraId="04ADB05A">
            <w:pPr>
              <w:spacing w:line="240" w:lineRule="exact"/>
              <w:rPr>
                <w:rFonts w:ascii="Times New Roman" w:hAnsi="Times New Roman"/>
                <w:sz w:val="18"/>
                <w:szCs w:val="18"/>
              </w:rPr>
            </w:pPr>
            <w:r>
              <w:rPr>
                <w:rFonts w:hint="eastAsia" w:ascii="Times New Roman" w:hAnsi="Times New Roman"/>
                <w:sz w:val="18"/>
                <w:szCs w:val="18"/>
              </w:rPr>
              <w:t>车库</w:t>
            </w:r>
          </w:p>
        </w:tc>
        <w:tc>
          <w:tcPr>
            <w:tcW w:w="579" w:type="pct"/>
            <w:shd w:val="clear" w:color="auto" w:fill="auto"/>
            <w:vAlign w:val="center"/>
          </w:tcPr>
          <w:p w14:paraId="0E1BDC63">
            <w:pPr>
              <w:spacing w:line="240" w:lineRule="exact"/>
              <w:rPr>
                <w:rFonts w:ascii="Times New Roman" w:hAnsi="Times New Roman"/>
                <w:sz w:val="18"/>
                <w:szCs w:val="18"/>
              </w:rPr>
            </w:pPr>
            <w:r>
              <w:rPr>
                <w:rFonts w:hint="eastAsia" w:ascii="Times New Roman" w:hAnsi="Times New Roman"/>
                <w:sz w:val="18"/>
                <w:szCs w:val="18"/>
              </w:rPr>
              <w:t>5</w:t>
            </w:r>
            <w:r>
              <w:rPr>
                <w:rFonts w:ascii="Times New Roman" w:hAnsi="Times New Roman"/>
                <w:sz w:val="18"/>
                <w:szCs w:val="18"/>
              </w:rPr>
              <w:t>0</w:t>
            </w:r>
          </w:p>
        </w:tc>
        <w:tc>
          <w:tcPr>
            <w:tcW w:w="679" w:type="pct"/>
            <w:shd w:val="clear" w:color="auto" w:fill="auto"/>
            <w:vAlign w:val="center"/>
          </w:tcPr>
          <w:p w14:paraId="682B0B1C">
            <w:pPr>
              <w:spacing w:line="240" w:lineRule="exact"/>
              <w:rPr>
                <w:rFonts w:ascii="Times New Roman" w:hAnsi="Times New Roman"/>
                <w:sz w:val="18"/>
                <w:szCs w:val="18"/>
              </w:rPr>
            </w:pPr>
            <w:r>
              <w:rPr>
                <w:rFonts w:hint="eastAsia" w:ascii="Times New Roman" w:hAnsi="Times New Roman"/>
                <w:sz w:val="18"/>
                <w:szCs w:val="18"/>
              </w:rPr>
              <w:t>5</w:t>
            </w:r>
            <w:r>
              <w:rPr>
                <w:rFonts w:ascii="Times New Roman" w:hAnsi="Times New Roman"/>
                <w:sz w:val="18"/>
                <w:szCs w:val="18"/>
              </w:rPr>
              <w:t>0</w:t>
            </w:r>
          </w:p>
        </w:tc>
        <w:tc>
          <w:tcPr>
            <w:tcW w:w="565" w:type="pct"/>
            <w:shd w:val="clear" w:color="auto" w:fill="auto"/>
            <w:vAlign w:val="center"/>
          </w:tcPr>
          <w:p w14:paraId="555D7643">
            <w:pPr>
              <w:spacing w:line="240" w:lineRule="exact"/>
              <w:rPr>
                <w:rFonts w:ascii="Times New Roman" w:hAnsi="Times New Roman"/>
                <w:sz w:val="18"/>
                <w:szCs w:val="18"/>
              </w:rPr>
            </w:pPr>
            <w:r>
              <w:rPr>
                <w:rFonts w:ascii="Times New Roman" w:hAnsi="Times New Roman"/>
                <w:sz w:val="18"/>
                <w:szCs w:val="18"/>
              </w:rPr>
              <w:t>2.0</w:t>
            </w:r>
          </w:p>
        </w:tc>
        <w:tc>
          <w:tcPr>
            <w:tcW w:w="671" w:type="pct"/>
            <w:shd w:val="clear" w:color="auto" w:fill="auto"/>
            <w:vAlign w:val="center"/>
          </w:tcPr>
          <w:p w14:paraId="4FD302E6">
            <w:pPr>
              <w:spacing w:line="240" w:lineRule="exact"/>
              <w:rPr>
                <w:rFonts w:ascii="Times New Roman" w:hAnsi="Times New Roman"/>
                <w:sz w:val="18"/>
                <w:szCs w:val="18"/>
              </w:rPr>
            </w:pPr>
            <w:r>
              <w:rPr>
                <w:rFonts w:ascii="Times New Roman" w:hAnsi="Times New Roman"/>
                <w:sz w:val="18"/>
                <w:szCs w:val="18"/>
              </w:rPr>
              <w:t>2.0</w:t>
            </w:r>
          </w:p>
        </w:tc>
        <w:tc>
          <w:tcPr>
            <w:tcW w:w="477" w:type="pct"/>
            <w:shd w:val="clear" w:color="auto" w:fill="auto"/>
            <w:vAlign w:val="center"/>
          </w:tcPr>
          <w:p w14:paraId="645678B7">
            <w:pPr>
              <w:spacing w:line="240" w:lineRule="exact"/>
              <w:rPr>
                <w:rFonts w:ascii="Times New Roman" w:hAnsi="Times New Roman"/>
                <w:sz w:val="18"/>
                <w:szCs w:val="18"/>
              </w:rPr>
            </w:pPr>
            <w:r>
              <w:rPr>
                <w:rFonts w:hint="eastAsia" w:ascii="Times New Roman" w:hAnsi="Times New Roman"/>
                <w:sz w:val="18"/>
                <w:szCs w:val="18"/>
              </w:rPr>
              <w:t>-</w:t>
            </w:r>
          </w:p>
        </w:tc>
        <w:tc>
          <w:tcPr>
            <w:tcW w:w="539" w:type="pct"/>
            <w:shd w:val="clear" w:color="auto" w:fill="auto"/>
            <w:vAlign w:val="center"/>
          </w:tcPr>
          <w:p w14:paraId="340DB42E">
            <w:pPr>
              <w:spacing w:line="240" w:lineRule="exact"/>
              <w:rPr>
                <w:rFonts w:ascii="Times New Roman" w:hAnsi="Times New Roman"/>
                <w:sz w:val="18"/>
                <w:szCs w:val="18"/>
              </w:rPr>
            </w:pPr>
            <w:r>
              <w:rPr>
                <w:rFonts w:ascii="Times New Roman" w:hAnsi="Times New Roman"/>
                <w:sz w:val="18"/>
                <w:szCs w:val="18"/>
              </w:rPr>
              <w:t>60</w:t>
            </w:r>
          </w:p>
        </w:tc>
        <w:tc>
          <w:tcPr>
            <w:tcW w:w="503" w:type="pct"/>
            <w:shd w:val="clear" w:color="auto" w:fill="auto"/>
            <w:vAlign w:val="center"/>
          </w:tcPr>
          <w:p w14:paraId="662F1E8F">
            <w:pPr>
              <w:spacing w:line="240" w:lineRule="exact"/>
              <w:rPr>
                <w:rFonts w:ascii="Times New Roman" w:hAnsi="Times New Roman"/>
                <w:sz w:val="18"/>
                <w:szCs w:val="18"/>
              </w:rPr>
            </w:pPr>
            <w:r>
              <w:rPr>
                <w:rFonts w:hint="eastAsia" w:ascii="Times New Roman" w:hAnsi="Times New Roman"/>
                <w:sz w:val="18"/>
                <w:szCs w:val="18"/>
              </w:rPr>
              <w:t>0</w:t>
            </w:r>
            <w:r>
              <w:rPr>
                <w:rFonts w:ascii="Times New Roman" w:hAnsi="Times New Roman"/>
                <w:sz w:val="18"/>
                <w:szCs w:val="18"/>
              </w:rPr>
              <w:t>.6</w:t>
            </w:r>
          </w:p>
        </w:tc>
      </w:tr>
      <w:tr w14:paraId="33D97C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2" w:hRule="exact"/>
          <w:jc w:val="center"/>
        </w:trPr>
        <w:tc>
          <w:tcPr>
            <w:tcW w:w="298" w:type="pct"/>
            <w:shd w:val="clear" w:color="auto" w:fill="auto"/>
            <w:vAlign w:val="center"/>
          </w:tcPr>
          <w:p w14:paraId="61229B0A">
            <w:pPr>
              <w:spacing w:line="240" w:lineRule="exact"/>
              <w:rPr>
                <w:rFonts w:ascii="Times New Roman" w:hAnsi="Times New Roman"/>
                <w:sz w:val="18"/>
                <w:szCs w:val="18"/>
              </w:rPr>
            </w:pPr>
            <w:r>
              <w:rPr>
                <w:rFonts w:hint="eastAsia" w:ascii="Times New Roman" w:hAnsi="Times New Roman"/>
                <w:sz w:val="18"/>
                <w:szCs w:val="18"/>
              </w:rPr>
              <w:t>7</w:t>
            </w:r>
          </w:p>
        </w:tc>
        <w:tc>
          <w:tcPr>
            <w:tcW w:w="684" w:type="pct"/>
            <w:shd w:val="clear" w:color="auto" w:fill="auto"/>
            <w:vAlign w:val="center"/>
          </w:tcPr>
          <w:p w14:paraId="1DADFA39">
            <w:pPr>
              <w:spacing w:line="240" w:lineRule="exact"/>
              <w:rPr>
                <w:rFonts w:ascii="Times New Roman" w:hAnsi="Times New Roman"/>
                <w:sz w:val="18"/>
                <w:szCs w:val="18"/>
              </w:rPr>
            </w:pPr>
            <w:r>
              <w:rPr>
                <w:rFonts w:hint="eastAsia" w:ascii="Times New Roman" w:hAnsi="Times New Roman"/>
                <w:sz w:val="18"/>
                <w:szCs w:val="18"/>
              </w:rPr>
              <w:t>走道</w:t>
            </w:r>
          </w:p>
        </w:tc>
        <w:tc>
          <w:tcPr>
            <w:tcW w:w="579" w:type="pct"/>
            <w:shd w:val="clear" w:color="auto" w:fill="auto"/>
            <w:vAlign w:val="center"/>
          </w:tcPr>
          <w:p w14:paraId="078EED22">
            <w:pPr>
              <w:spacing w:line="240" w:lineRule="exact"/>
              <w:rPr>
                <w:rFonts w:ascii="Times New Roman" w:hAnsi="Times New Roman"/>
                <w:sz w:val="18"/>
                <w:szCs w:val="18"/>
              </w:rPr>
            </w:pPr>
            <w:r>
              <w:rPr>
                <w:rFonts w:ascii="Times New Roman" w:hAnsi="Times New Roman"/>
                <w:sz w:val="18"/>
                <w:szCs w:val="18"/>
              </w:rPr>
              <w:t>100</w:t>
            </w:r>
          </w:p>
        </w:tc>
        <w:tc>
          <w:tcPr>
            <w:tcW w:w="679" w:type="pct"/>
            <w:shd w:val="clear" w:color="auto" w:fill="auto"/>
            <w:vAlign w:val="center"/>
          </w:tcPr>
          <w:p w14:paraId="4740F1AC">
            <w:pPr>
              <w:spacing w:line="240" w:lineRule="exact"/>
              <w:rPr>
                <w:rFonts w:ascii="Times New Roman" w:hAnsi="Times New Roman"/>
                <w:sz w:val="18"/>
                <w:szCs w:val="18"/>
              </w:rPr>
            </w:pPr>
            <w:r>
              <w:rPr>
                <w:rFonts w:ascii="Times New Roman" w:hAnsi="Times New Roman"/>
                <w:sz w:val="18"/>
                <w:szCs w:val="18"/>
              </w:rPr>
              <w:t>100</w:t>
            </w:r>
          </w:p>
        </w:tc>
        <w:tc>
          <w:tcPr>
            <w:tcW w:w="565" w:type="pct"/>
            <w:shd w:val="clear" w:color="auto" w:fill="auto"/>
            <w:vAlign w:val="center"/>
          </w:tcPr>
          <w:p w14:paraId="1C3D9A82">
            <w:pPr>
              <w:spacing w:line="240" w:lineRule="exact"/>
              <w:rPr>
                <w:rFonts w:ascii="Times New Roman" w:hAnsi="Times New Roman"/>
                <w:sz w:val="18"/>
                <w:szCs w:val="18"/>
              </w:rPr>
            </w:pPr>
            <w:r>
              <w:rPr>
                <w:rFonts w:ascii="Times New Roman" w:hAnsi="Times New Roman"/>
                <w:sz w:val="18"/>
                <w:szCs w:val="18"/>
              </w:rPr>
              <w:t>3.5</w:t>
            </w:r>
          </w:p>
        </w:tc>
        <w:tc>
          <w:tcPr>
            <w:tcW w:w="671" w:type="pct"/>
            <w:shd w:val="clear" w:color="auto" w:fill="auto"/>
            <w:vAlign w:val="center"/>
          </w:tcPr>
          <w:p w14:paraId="7B34AF01">
            <w:pPr>
              <w:spacing w:line="240" w:lineRule="exact"/>
              <w:rPr>
                <w:rFonts w:ascii="Times New Roman" w:hAnsi="Times New Roman"/>
                <w:sz w:val="18"/>
                <w:szCs w:val="18"/>
              </w:rPr>
            </w:pPr>
            <w:r>
              <w:rPr>
                <w:rFonts w:ascii="Times New Roman" w:hAnsi="Times New Roman"/>
                <w:sz w:val="18"/>
                <w:szCs w:val="18"/>
              </w:rPr>
              <w:t>3.5</w:t>
            </w:r>
          </w:p>
        </w:tc>
        <w:tc>
          <w:tcPr>
            <w:tcW w:w="477" w:type="pct"/>
            <w:shd w:val="clear" w:color="auto" w:fill="auto"/>
            <w:vAlign w:val="center"/>
          </w:tcPr>
          <w:p w14:paraId="174EB25C">
            <w:pPr>
              <w:spacing w:line="240" w:lineRule="exact"/>
              <w:rPr>
                <w:rFonts w:ascii="Times New Roman" w:hAnsi="Times New Roman"/>
                <w:sz w:val="18"/>
                <w:szCs w:val="18"/>
              </w:rPr>
            </w:pPr>
            <w:r>
              <w:rPr>
                <w:rFonts w:hint="eastAsia" w:ascii="Times New Roman" w:hAnsi="Times New Roman"/>
                <w:sz w:val="18"/>
                <w:szCs w:val="18"/>
              </w:rPr>
              <w:t>2</w:t>
            </w:r>
            <w:r>
              <w:rPr>
                <w:rFonts w:ascii="Times New Roman" w:hAnsi="Times New Roman"/>
                <w:sz w:val="18"/>
                <w:szCs w:val="18"/>
              </w:rPr>
              <w:t>5</w:t>
            </w:r>
          </w:p>
        </w:tc>
        <w:tc>
          <w:tcPr>
            <w:tcW w:w="539" w:type="pct"/>
            <w:shd w:val="clear" w:color="auto" w:fill="auto"/>
            <w:vAlign w:val="center"/>
          </w:tcPr>
          <w:p w14:paraId="1C5DEA82">
            <w:pPr>
              <w:spacing w:line="240" w:lineRule="exact"/>
              <w:rPr>
                <w:rFonts w:ascii="Times New Roman" w:hAnsi="Times New Roman"/>
                <w:sz w:val="18"/>
                <w:szCs w:val="18"/>
              </w:rPr>
            </w:pPr>
            <w:r>
              <w:rPr>
                <w:rFonts w:hint="eastAsia" w:ascii="Times New Roman" w:hAnsi="Times New Roman"/>
                <w:sz w:val="18"/>
                <w:szCs w:val="18"/>
              </w:rPr>
              <w:t>6</w:t>
            </w:r>
            <w:r>
              <w:rPr>
                <w:rFonts w:ascii="Times New Roman" w:hAnsi="Times New Roman"/>
                <w:sz w:val="18"/>
                <w:szCs w:val="18"/>
              </w:rPr>
              <w:t>0</w:t>
            </w:r>
          </w:p>
        </w:tc>
        <w:tc>
          <w:tcPr>
            <w:tcW w:w="503" w:type="pct"/>
            <w:shd w:val="clear" w:color="auto" w:fill="auto"/>
            <w:vAlign w:val="center"/>
          </w:tcPr>
          <w:p w14:paraId="42063E93">
            <w:pPr>
              <w:spacing w:line="240" w:lineRule="exact"/>
              <w:rPr>
                <w:rFonts w:ascii="Times New Roman" w:hAnsi="Times New Roman"/>
                <w:sz w:val="18"/>
                <w:szCs w:val="18"/>
              </w:rPr>
            </w:pPr>
            <w:r>
              <w:rPr>
                <w:rFonts w:hint="eastAsia" w:ascii="Times New Roman" w:hAnsi="Times New Roman"/>
                <w:sz w:val="18"/>
                <w:szCs w:val="18"/>
              </w:rPr>
              <w:t>0</w:t>
            </w:r>
            <w:r>
              <w:rPr>
                <w:rFonts w:ascii="Times New Roman" w:hAnsi="Times New Roman"/>
                <w:sz w:val="18"/>
                <w:szCs w:val="18"/>
              </w:rPr>
              <w:t>.4</w:t>
            </w:r>
          </w:p>
        </w:tc>
      </w:tr>
      <w:tr w14:paraId="47FFD8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2" w:hRule="exact"/>
          <w:jc w:val="center"/>
        </w:trPr>
        <w:tc>
          <w:tcPr>
            <w:tcW w:w="298" w:type="pct"/>
            <w:shd w:val="clear" w:color="auto" w:fill="auto"/>
            <w:vAlign w:val="center"/>
          </w:tcPr>
          <w:p w14:paraId="799508F0">
            <w:pPr>
              <w:spacing w:line="240" w:lineRule="exact"/>
              <w:rPr>
                <w:rFonts w:ascii="Times New Roman" w:hAnsi="Times New Roman"/>
                <w:sz w:val="18"/>
                <w:szCs w:val="18"/>
              </w:rPr>
            </w:pPr>
            <w:r>
              <w:rPr>
                <w:rFonts w:hint="eastAsia" w:ascii="Times New Roman" w:hAnsi="Times New Roman"/>
                <w:sz w:val="18"/>
                <w:szCs w:val="18"/>
              </w:rPr>
              <w:t>8</w:t>
            </w:r>
          </w:p>
        </w:tc>
        <w:tc>
          <w:tcPr>
            <w:tcW w:w="684" w:type="pct"/>
            <w:shd w:val="clear" w:color="auto" w:fill="auto"/>
            <w:vAlign w:val="center"/>
          </w:tcPr>
          <w:p w14:paraId="1E0C29A9">
            <w:pPr>
              <w:spacing w:line="240" w:lineRule="exact"/>
              <w:rPr>
                <w:rFonts w:ascii="Times New Roman" w:hAnsi="Times New Roman"/>
                <w:sz w:val="18"/>
                <w:szCs w:val="18"/>
              </w:rPr>
            </w:pPr>
            <w:r>
              <w:rPr>
                <w:rFonts w:hint="eastAsia" w:ascii="Times New Roman" w:hAnsi="Times New Roman"/>
                <w:sz w:val="18"/>
                <w:szCs w:val="18"/>
              </w:rPr>
              <w:t>电梯前厅</w:t>
            </w:r>
          </w:p>
        </w:tc>
        <w:tc>
          <w:tcPr>
            <w:tcW w:w="579" w:type="pct"/>
            <w:shd w:val="clear" w:color="auto" w:fill="auto"/>
            <w:vAlign w:val="center"/>
          </w:tcPr>
          <w:p w14:paraId="64E8EA4E">
            <w:pPr>
              <w:spacing w:line="240" w:lineRule="exact"/>
              <w:rPr>
                <w:rFonts w:ascii="Times New Roman" w:hAnsi="Times New Roman"/>
                <w:sz w:val="18"/>
                <w:szCs w:val="18"/>
              </w:rPr>
            </w:pPr>
            <w:r>
              <w:rPr>
                <w:rFonts w:ascii="Times New Roman" w:hAnsi="Times New Roman"/>
                <w:sz w:val="18"/>
                <w:szCs w:val="18"/>
              </w:rPr>
              <w:t>100</w:t>
            </w:r>
          </w:p>
        </w:tc>
        <w:tc>
          <w:tcPr>
            <w:tcW w:w="679" w:type="pct"/>
            <w:shd w:val="clear" w:color="auto" w:fill="auto"/>
            <w:vAlign w:val="center"/>
          </w:tcPr>
          <w:p w14:paraId="5BDA4C20">
            <w:pPr>
              <w:spacing w:line="240" w:lineRule="exact"/>
              <w:rPr>
                <w:rFonts w:ascii="Times New Roman" w:hAnsi="Times New Roman"/>
                <w:sz w:val="18"/>
                <w:szCs w:val="18"/>
              </w:rPr>
            </w:pPr>
            <w:r>
              <w:rPr>
                <w:rFonts w:ascii="Times New Roman" w:hAnsi="Times New Roman"/>
                <w:sz w:val="18"/>
                <w:szCs w:val="18"/>
              </w:rPr>
              <w:t>100</w:t>
            </w:r>
          </w:p>
        </w:tc>
        <w:tc>
          <w:tcPr>
            <w:tcW w:w="565" w:type="pct"/>
            <w:shd w:val="clear" w:color="auto" w:fill="auto"/>
            <w:vAlign w:val="center"/>
          </w:tcPr>
          <w:p w14:paraId="13BB1063">
            <w:pPr>
              <w:spacing w:line="240" w:lineRule="exact"/>
              <w:rPr>
                <w:rFonts w:ascii="Times New Roman" w:hAnsi="Times New Roman"/>
                <w:sz w:val="18"/>
                <w:szCs w:val="18"/>
              </w:rPr>
            </w:pPr>
            <w:r>
              <w:rPr>
                <w:rFonts w:ascii="Times New Roman" w:hAnsi="Times New Roman"/>
                <w:sz w:val="18"/>
                <w:szCs w:val="18"/>
              </w:rPr>
              <w:t>3.5</w:t>
            </w:r>
          </w:p>
        </w:tc>
        <w:tc>
          <w:tcPr>
            <w:tcW w:w="671" w:type="pct"/>
            <w:shd w:val="clear" w:color="auto" w:fill="auto"/>
            <w:vAlign w:val="center"/>
          </w:tcPr>
          <w:p w14:paraId="0DD49007">
            <w:pPr>
              <w:spacing w:line="240" w:lineRule="exact"/>
              <w:rPr>
                <w:rFonts w:ascii="Times New Roman" w:hAnsi="Times New Roman"/>
                <w:sz w:val="18"/>
                <w:szCs w:val="18"/>
              </w:rPr>
            </w:pPr>
            <w:r>
              <w:rPr>
                <w:rFonts w:ascii="Times New Roman" w:hAnsi="Times New Roman"/>
                <w:sz w:val="18"/>
                <w:szCs w:val="18"/>
              </w:rPr>
              <w:t>3.5</w:t>
            </w:r>
          </w:p>
        </w:tc>
        <w:tc>
          <w:tcPr>
            <w:tcW w:w="477" w:type="pct"/>
            <w:shd w:val="clear" w:color="auto" w:fill="auto"/>
            <w:vAlign w:val="center"/>
          </w:tcPr>
          <w:p w14:paraId="03813BC2">
            <w:pPr>
              <w:spacing w:line="240" w:lineRule="exact"/>
              <w:rPr>
                <w:rFonts w:ascii="Times New Roman" w:hAnsi="Times New Roman"/>
                <w:sz w:val="18"/>
                <w:szCs w:val="18"/>
              </w:rPr>
            </w:pPr>
            <w:r>
              <w:rPr>
                <w:rFonts w:ascii="Times New Roman" w:hAnsi="Times New Roman"/>
                <w:sz w:val="18"/>
                <w:szCs w:val="18"/>
              </w:rPr>
              <w:t>-</w:t>
            </w:r>
          </w:p>
        </w:tc>
        <w:tc>
          <w:tcPr>
            <w:tcW w:w="539" w:type="pct"/>
            <w:shd w:val="clear" w:color="auto" w:fill="auto"/>
            <w:vAlign w:val="center"/>
          </w:tcPr>
          <w:p w14:paraId="0C503827">
            <w:pPr>
              <w:spacing w:line="240" w:lineRule="exact"/>
              <w:rPr>
                <w:rFonts w:ascii="Times New Roman" w:hAnsi="Times New Roman"/>
                <w:sz w:val="18"/>
                <w:szCs w:val="18"/>
              </w:rPr>
            </w:pPr>
            <w:r>
              <w:rPr>
                <w:rFonts w:hint="eastAsia" w:ascii="Times New Roman" w:hAnsi="Times New Roman"/>
                <w:sz w:val="18"/>
                <w:szCs w:val="18"/>
              </w:rPr>
              <w:t>6</w:t>
            </w:r>
            <w:r>
              <w:rPr>
                <w:rFonts w:ascii="Times New Roman" w:hAnsi="Times New Roman"/>
                <w:sz w:val="18"/>
                <w:szCs w:val="18"/>
              </w:rPr>
              <w:t>0</w:t>
            </w:r>
          </w:p>
        </w:tc>
        <w:tc>
          <w:tcPr>
            <w:tcW w:w="503" w:type="pct"/>
            <w:shd w:val="clear" w:color="auto" w:fill="auto"/>
            <w:vAlign w:val="center"/>
          </w:tcPr>
          <w:p w14:paraId="473E52E0">
            <w:pPr>
              <w:spacing w:line="240" w:lineRule="exact"/>
              <w:rPr>
                <w:rFonts w:ascii="Times New Roman" w:hAnsi="Times New Roman"/>
                <w:sz w:val="18"/>
                <w:szCs w:val="18"/>
              </w:rPr>
            </w:pPr>
            <w:r>
              <w:rPr>
                <w:rFonts w:hint="eastAsia" w:ascii="Times New Roman" w:hAnsi="Times New Roman"/>
                <w:sz w:val="18"/>
                <w:szCs w:val="18"/>
              </w:rPr>
              <w:t>0</w:t>
            </w:r>
            <w:r>
              <w:rPr>
                <w:rFonts w:ascii="Times New Roman" w:hAnsi="Times New Roman"/>
                <w:sz w:val="18"/>
                <w:szCs w:val="18"/>
              </w:rPr>
              <w:t>.4</w:t>
            </w:r>
          </w:p>
        </w:tc>
      </w:tr>
      <w:tr w14:paraId="4B3B01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2" w:hRule="exact"/>
          <w:jc w:val="center"/>
        </w:trPr>
        <w:tc>
          <w:tcPr>
            <w:tcW w:w="298" w:type="pct"/>
            <w:shd w:val="clear" w:color="auto" w:fill="auto"/>
            <w:vAlign w:val="center"/>
          </w:tcPr>
          <w:p w14:paraId="59614B44">
            <w:pPr>
              <w:spacing w:line="240" w:lineRule="exact"/>
              <w:rPr>
                <w:rFonts w:ascii="Times New Roman" w:hAnsi="Times New Roman"/>
                <w:sz w:val="18"/>
                <w:szCs w:val="18"/>
              </w:rPr>
            </w:pPr>
            <w:r>
              <w:rPr>
                <w:rFonts w:hint="eastAsia" w:ascii="Times New Roman" w:hAnsi="Times New Roman"/>
                <w:sz w:val="18"/>
                <w:szCs w:val="18"/>
              </w:rPr>
              <w:t>9</w:t>
            </w:r>
          </w:p>
        </w:tc>
        <w:tc>
          <w:tcPr>
            <w:tcW w:w="684" w:type="pct"/>
            <w:shd w:val="clear" w:color="auto" w:fill="auto"/>
            <w:vAlign w:val="center"/>
          </w:tcPr>
          <w:p w14:paraId="7DE6D2C5">
            <w:pPr>
              <w:spacing w:line="240" w:lineRule="exact"/>
              <w:rPr>
                <w:rFonts w:ascii="Times New Roman" w:hAnsi="Times New Roman"/>
                <w:sz w:val="18"/>
                <w:szCs w:val="18"/>
              </w:rPr>
            </w:pPr>
            <w:r>
              <w:rPr>
                <w:rFonts w:hint="eastAsia" w:ascii="Times New Roman" w:hAnsi="Times New Roman"/>
                <w:sz w:val="18"/>
                <w:szCs w:val="18"/>
              </w:rPr>
              <w:t>发电机房</w:t>
            </w:r>
          </w:p>
        </w:tc>
        <w:tc>
          <w:tcPr>
            <w:tcW w:w="579" w:type="pct"/>
            <w:shd w:val="clear" w:color="auto" w:fill="auto"/>
            <w:vAlign w:val="center"/>
          </w:tcPr>
          <w:p w14:paraId="75FE314E">
            <w:pPr>
              <w:spacing w:line="240" w:lineRule="exact"/>
              <w:rPr>
                <w:rFonts w:ascii="Times New Roman" w:hAnsi="Times New Roman"/>
                <w:sz w:val="18"/>
                <w:szCs w:val="18"/>
              </w:rPr>
            </w:pPr>
            <w:r>
              <w:rPr>
                <w:rFonts w:hint="eastAsia" w:ascii="Times New Roman" w:hAnsi="Times New Roman"/>
                <w:sz w:val="18"/>
                <w:szCs w:val="18"/>
              </w:rPr>
              <w:t>2</w:t>
            </w:r>
            <w:r>
              <w:rPr>
                <w:rFonts w:ascii="Times New Roman" w:hAnsi="Times New Roman"/>
                <w:sz w:val="18"/>
                <w:szCs w:val="18"/>
              </w:rPr>
              <w:t>00</w:t>
            </w:r>
          </w:p>
        </w:tc>
        <w:tc>
          <w:tcPr>
            <w:tcW w:w="679" w:type="pct"/>
            <w:shd w:val="clear" w:color="auto" w:fill="auto"/>
            <w:vAlign w:val="center"/>
          </w:tcPr>
          <w:p w14:paraId="289810AC">
            <w:pPr>
              <w:spacing w:line="240" w:lineRule="exact"/>
              <w:rPr>
                <w:rFonts w:ascii="Times New Roman" w:hAnsi="Times New Roman"/>
                <w:sz w:val="18"/>
                <w:szCs w:val="18"/>
              </w:rPr>
            </w:pPr>
            <w:r>
              <w:rPr>
                <w:rFonts w:hint="eastAsia" w:ascii="Times New Roman" w:hAnsi="Times New Roman"/>
                <w:sz w:val="18"/>
                <w:szCs w:val="18"/>
              </w:rPr>
              <w:t>2</w:t>
            </w:r>
            <w:r>
              <w:rPr>
                <w:rFonts w:ascii="Times New Roman" w:hAnsi="Times New Roman"/>
                <w:sz w:val="18"/>
                <w:szCs w:val="18"/>
              </w:rPr>
              <w:t>00</w:t>
            </w:r>
          </w:p>
        </w:tc>
        <w:tc>
          <w:tcPr>
            <w:tcW w:w="565" w:type="pct"/>
            <w:shd w:val="clear" w:color="auto" w:fill="auto"/>
            <w:vAlign w:val="center"/>
          </w:tcPr>
          <w:p w14:paraId="64756032">
            <w:pPr>
              <w:spacing w:line="240" w:lineRule="exact"/>
              <w:rPr>
                <w:rFonts w:ascii="Times New Roman" w:hAnsi="Times New Roman"/>
                <w:sz w:val="18"/>
                <w:szCs w:val="18"/>
              </w:rPr>
            </w:pPr>
            <w:r>
              <w:rPr>
                <w:rFonts w:ascii="Times New Roman" w:hAnsi="Times New Roman"/>
                <w:sz w:val="18"/>
                <w:szCs w:val="18"/>
              </w:rPr>
              <w:t>6.0</w:t>
            </w:r>
          </w:p>
        </w:tc>
        <w:tc>
          <w:tcPr>
            <w:tcW w:w="671" w:type="pct"/>
            <w:shd w:val="clear" w:color="auto" w:fill="auto"/>
            <w:vAlign w:val="center"/>
          </w:tcPr>
          <w:p w14:paraId="635FEBDF">
            <w:pPr>
              <w:spacing w:line="240" w:lineRule="exact"/>
              <w:rPr>
                <w:rFonts w:ascii="Times New Roman" w:hAnsi="Times New Roman"/>
                <w:sz w:val="18"/>
                <w:szCs w:val="18"/>
              </w:rPr>
            </w:pPr>
            <w:r>
              <w:rPr>
                <w:rFonts w:ascii="Times New Roman" w:hAnsi="Times New Roman"/>
                <w:sz w:val="18"/>
                <w:szCs w:val="18"/>
              </w:rPr>
              <w:t>6.0</w:t>
            </w:r>
          </w:p>
        </w:tc>
        <w:tc>
          <w:tcPr>
            <w:tcW w:w="477" w:type="pct"/>
            <w:shd w:val="clear" w:color="auto" w:fill="auto"/>
            <w:vAlign w:val="center"/>
          </w:tcPr>
          <w:p w14:paraId="16C1C5F8">
            <w:pPr>
              <w:spacing w:line="240" w:lineRule="exact"/>
              <w:rPr>
                <w:rFonts w:ascii="Times New Roman" w:hAnsi="Times New Roman"/>
                <w:sz w:val="18"/>
                <w:szCs w:val="18"/>
              </w:rPr>
            </w:pPr>
            <w:r>
              <w:rPr>
                <w:rFonts w:hint="eastAsia" w:ascii="Times New Roman" w:hAnsi="Times New Roman"/>
                <w:sz w:val="18"/>
                <w:szCs w:val="18"/>
              </w:rPr>
              <w:t>2</w:t>
            </w:r>
            <w:r>
              <w:rPr>
                <w:rFonts w:ascii="Times New Roman" w:hAnsi="Times New Roman"/>
                <w:sz w:val="18"/>
                <w:szCs w:val="18"/>
              </w:rPr>
              <w:t>5</w:t>
            </w:r>
          </w:p>
        </w:tc>
        <w:tc>
          <w:tcPr>
            <w:tcW w:w="539" w:type="pct"/>
            <w:shd w:val="clear" w:color="auto" w:fill="auto"/>
            <w:vAlign w:val="center"/>
          </w:tcPr>
          <w:p w14:paraId="3BE64C3C">
            <w:pPr>
              <w:spacing w:line="240" w:lineRule="exact"/>
              <w:rPr>
                <w:rFonts w:ascii="Times New Roman" w:hAnsi="Times New Roman"/>
                <w:sz w:val="18"/>
                <w:szCs w:val="18"/>
              </w:rPr>
            </w:pPr>
            <w:r>
              <w:rPr>
                <w:rFonts w:hint="eastAsia" w:ascii="Times New Roman" w:hAnsi="Times New Roman"/>
                <w:sz w:val="18"/>
                <w:szCs w:val="18"/>
              </w:rPr>
              <w:t>8</w:t>
            </w:r>
            <w:r>
              <w:rPr>
                <w:rFonts w:ascii="Times New Roman" w:hAnsi="Times New Roman"/>
                <w:sz w:val="18"/>
                <w:szCs w:val="18"/>
              </w:rPr>
              <w:t>0</w:t>
            </w:r>
          </w:p>
        </w:tc>
        <w:tc>
          <w:tcPr>
            <w:tcW w:w="503" w:type="pct"/>
            <w:shd w:val="clear" w:color="auto" w:fill="auto"/>
            <w:vAlign w:val="center"/>
          </w:tcPr>
          <w:p w14:paraId="1FF66A9F">
            <w:pPr>
              <w:spacing w:line="240" w:lineRule="exact"/>
              <w:rPr>
                <w:rFonts w:ascii="Times New Roman" w:hAnsi="Times New Roman"/>
                <w:sz w:val="18"/>
                <w:szCs w:val="18"/>
              </w:rPr>
            </w:pPr>
            <w:r>
              <w:rPr>
                <w:rFonts w:hint="eastAsia" w:ascii="Times New Roman" w:hAnsi="Times New Roman"/>
                <w:sz w:val="18"/>
                <w:szCs w:val="18"/>
              </w:rPr>
              <w:t>0</w:t>
            </w:r>
            <w:r>
              <w:rPr>
                <w:rFonts w:ascii="Times New Roman" w:hAnsi="Times New Roman"/>
                <w:sz w:val="18"/>
                <w:szCs w:val="18"/>
              </w:rPr>
              <w:t>.6</w:t>
            </w:r>
          </w:p>
        </w:tc>
      </w:tr>
      <w:tr w14:paraId="535726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2" w:hRule="exact"/>
          <w:jc w:val="center"/>
        </w:trPr>
        <w:tc>
          <w:tcPr>
            <w:tcW w:w="298" w:type="pct"/>
            <w:shd w:val="clear" w:color="auto" w:fill="auto"/>
            <w:vAlign w:val="center"/>
          </w:tcPr>
          <w:p w14:paraId="5CEC630E">
            <w:pPr>
              <w:spacing w:line="240" w:lineRule="exact"/>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0</w:t>
            </w:r>
          </w:p>
        </w:tc>
        <w:tc>
          <w:tcPr>
            <w:tcW w:w="684" w:type="pct"/>
            <w:shd w:val="clear" w:color="auto" w:fill="auto"/>
            <w:vAlign w:val="center"/>
          </w:tcPr>
          <w:p w14:paraId="0E7497FB">
            <w:pPr>
              <w:spacing w:line="240" w:lineRule="exact"/>
              <w:rPr>
                <w:rFonts w:ascii="Times New Roman" w:hAnsi="Times New Roman"/>
                <w:sz w:val="18"/>
                <w:szCs w:val="18"/>
              </w:rPr>
            </w:pPr>
            <w:r>
              <w:rPr>
                <w:rFonts w:hint="eastAsia" w:ascii="Times New Roman" w:hAnsi="Times New Roman"/>
                <w:sz w:val="18"/>
                <w:szCs w:val="18"/>
              </w:rPr>
              <w:t>消防控制室</w:t>
            </w:r>
          </w:p>
        </w:tc>
        <w:tc>
          <w:tcPr>
            <w:tcW w:w="579" w:type="pct"/>
            <w:shd w:val="clear" w:color="auto" w:fill="auto"/>
            <w:vAlign w:val="center"/>
          </w:tcPr>
          <w:p w14:paraId="35457177">
            <w:pPr>
              <w:spacing w:line="240" w:lineRule="exact"/>
              <w:rPr>
                <w:rFonts w:ascii="Times New Roman" w:hAnsi="Times New Roman"/>
                <w:sz w:val="18"/>
                <w:szCs w:val="18"/>
              </w:rPr>
            </w:pPr>
            <w:r>
              <w:rPr>
                <w:rFonts w:hint="eastAsia" w:ascii="Times New Roman" w:hAnsi="Times New Roman"/>
                <w:sz w:val="18"/>
                <w:szCs w:val="18"/>
              </w:rPr>
              <w:t>5</w:t>
            </w:r>
            <w:r>
              <w:rPr>
                <w:rFonts w:ascii="Times New Roman" w:hAnsi="Times New Roman"/>
                <w:sz w:val="18"/>
                <w:szCs w:val="18"/>
              </w:rPr>
              <w:t>00</w:t>
            </w:r>
          </w:p>
        </w:tc>
        <w:tc>
          <w:tcPr>
            <w:tcW w:w="679" w:type="pct"/>
            <w:shd w:val="clear" w:color="auto" w:fill="auto"/>
            <w:vAlign w:val="center"/>
          </w:tcPr>
          <w:p w14:paraId="376C6A55">
            <w:pPr>
              <w:spacing w:line="240" w:lineRule="exact"/>
              <w:rPr>
                <w:rFonts w:ascii="Times New Roman" w:hAnsi="Times New Roman"/>
                <w:sz w:val="18"/>
                <w:szCs w:val="18"/>
              </w:rPr>
            </w:pPr>
            <w:r>
              <w:rPr>
                <w:rFonts w:hint="eastAsia" w:ascii="Times New Roman" w:hAnsi="Times New Roman"/>
                <w:sz w:val="18"/>
                <w:szCs w:val="18"/>
              </w:rPr>
              <w:t>5</w:t>
            </w:r>
            <w:r>
              <w:rPr>
                <w:rFonts w:ascii="Times New Roman" w:hAnsi="Times New Roman"/>
                <w:sz w:val="18"/>
                <w:szCs w:val="18"/>
              </w:rPr>
              <w:t>00</w:t>
            </w:r>
          </w:p>
        </w:tc>
        <w:tc>
          <w:tcPr>
            <w:tcW w:w="565" w:type="pct"/>
            <w:shd w:val="clear" w:color="auto" w:fill="auto"/>
            <w:vAlign w:val="center"/>
          </w:tcPr>
          <w:p w14:paraId="71CC17C4">
            <w:pPr>
              <w:spacing w:line="240" w:lineRule="exact"/>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3.5</w:t>
            </w:r>
          </w:p>
        </w:tc>
        <w:tc>
          <w:tcPr>
            <w:tcW w:w="671" w:type="pct"/>
            <w:shd w:val="clear" w:color="auto" w:fill="auto"/>
            <w:vAlign w:val="center"/>
          </w:tcPr>
          <w:p w14:paraId="6E9FEBD9">
            <w:pPr>
              <w:spacing w:line="240" w:lineRule="exact"/>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3.5</w:t>
            </w:r>
          </w:p>
        </w:tc>
        <w:tc>
          <w:tcPr>
            <w:tcW w:w="477" w:type="pct"/>
            <w:shd w:val="clear" w:color="auto" w:fill="auto"/>
            <w:vAlign w:val="center"/>
          </w:tcPr>
          <w:p w14:paraId="7A45B0B6">
            <w:pPr>
              <w:spacing w:line="240" w:lineRule="exact"/>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9</w:t>
            </w:r>
          </w:p>
        </w:tc>
        <w:tc>
          <w:tcPr>
            <w:tcW w:w="539" w:type="pct"/>
            <w:shd w:val="clear" w:color="auto" w:fill="auto"/>
            <w:vAlign w:val="center"/>
          </w:tcPr>
          <w:p w14:paraId="601B5C37">
            <w:pPr>
              <w:spacing w:line="240" w:lineRule="exact"/>
              <w:rPr>
                <w:rFonts w:ascii="Times New Roman" w:hAnsi="Times New Roman"/>
                <w:sz w:val="18"/>
                <w:szCs w:val="18"/>
              </w:rPr>
            </w:pPr>
            <w:r>
              <w:rPr>
                <w:rFonts w:hint="eastAsia" w:ascii="Times New Roman" w:hAnsi="Times New Roman"/>
                <w:sz w:val="18"/>
                <w:szCs w:val="18"/>
              </w:rPr>
              <w:t>8</w:t>
            </w:r>
            <w:r>
              <w:rPr>
                <w:rFonts w:ascii="Times New Roman" w:hAnsi="Times New Roman"/>
                <w:sz w:val="18"/>
                <w:szCs w:val="18"/>
              </w:rPr>
              <w:t>0</w:t>
            </w:r>
          </w:p>
        </w:tc>
        <w:tc>
          <w:tcPr>
            <w:tcW w:w="503" w:type="pct"/>
            <w:shd w:val="clear" w:color="auto" w:fill="auto"/>
            <w:vAlign w:val="center"/>
          </w:tcPr>
          <w:p w14:paraId="6D53724B">
            <w:pPr>
              <w:spacing w:line="240" w:lineRule="exact"/>
              <w:rPr>
                <w:rFonts w:ascii="Times New Roman" w:hAnsi="Times New Roman"/>
                <w:sz w:val="18"/>
                <w:szCs w:val="18"/>
              </w:rPr>
            </w:pPr>
            <w:r>
              <w:rPr>
                <w:rFonts w:hint="eastAsia" w:ascii="Times New Roman" w:hAnsi="Times New Roman"/>
                <w:sz w:val="18"/>
                <w:szCs w:val="18"/>
              </w:rPr>
              <w:t>0</w:t>
            </w:r>
            <w:r>
              <w:rPr>
                <w:rFonts w:ascii="Times New Roman" w:hAnsi="Times New Roman"/>
                <w:sz w:val="18"/>
                <w:szCs w:val="18"/>
              </w:rPr>
              <w:t>.6</w:t>
            </w:r>
          </w:p>
        </w:tc>
      </w:tr>
      <w:tr w14:paraId="6F964D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2" w:hRule="exact"/>
          <w:jc w:val="center"/>
        </w:trPr>
        <w:tc>
          <w:tcPr>
            <w:tcW w:w="298" w:type="pct"/>
            <w:shd w:val="clear" w:color="auto" w:fill="auto"/>
            <w:vAlign w:val="center"/>
          </w:tcPr>
          <w:p w14:paraId="4D674996">
            <w:pPr>
              <w:spacing w:line="240" w:lineRule="exact"/>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1</w:t>
            </w:r>
          </w:p>
        </w:tc>
        <w:tc>
          <w:tcPr>
            <w:tcW w:w="684" w:type="pct"/>
            <w:shd w:val="clear" w:color="auto" w:fill="auto"/>
            <w:vAlign w:val="center"/>
          </w:tcPr>
          <w:p w14:paraId="167645AF">
            <w:pPr>
              <w:spacing w:line="240" w:lineRule="exact"/>
              <w:rPr>
                <w:rFonts w:ascii="Times New Roman" w:hAnsi="Times New Roman"/>
                <w:sz w:val="18"/>
                <w:szCs w:val="18"/>
              </w:rPr>
            </w:pPr>
            <w:r>
              <w:rPr>
                <w:rFonts w:hint="eastAsia" w:ascii="Times New Roman" w:hAnsi="Times New Roman"/>
                <w:sz w:val="18"/>
                <w:szCs w:val="18"/>
              </w:rPr>
              <w:t>网络机房</w:t>
            </w:r>
          </w:p>
        </w:tc>
        <w:tc>
          <w:tcPr>
            <w:tcW w:w="579" w:type="pct"/>
            <w:shd w:val="clear" w:color="auto" w:fill="auto"/>
            <w:vAlign w:val="center"/>
          </w:tcPr>
          <w:p w14:paraId="369472AB">
            <w:pPr>
              <w:spacing w:line="240" w:lineRule="exact"/>
              <w:rPr>
                <w:rFonts w:ascii="Times New Roman" w:hAnsi="Times New Roman"/>
                <w:sz w:val="18"/>
                <w:szCs w:val="18"/>
              </w:rPr>
            </w:pPr>
            <w:r>
              <w:rPr>
                <w:rFonts w:hint="eastAsia" w:ascii="Times New Roman" w:hAnsi="Times New Roman"/>
                <w:sz w:val="18"/>
                <w:szCs w:val="18"/>
              </w:rPr>
              <w:t>5</w:t>
            </w:r>
            <w:r>
              <w:rPr>
                <w:rFonts w:ascii="Times New Roman" w:hAnsi="Times New Roman"/>
                <w:sz w:val="18"/>
                <w:szCs w:val="18"/>
              </w:rPr>
              <w:t>00</w:t>
            </w:r>
          </w:p>
        </w:tc>
        <w:tc>
          <w:tcPr>
            <w:tcW w:w="679" w:type="pct"/>
            <w:shd w:val="clear" w:color="auto" w:fill="auto"/>
            <w:vAlign w:val="center"/>
          </w:tcPr>
          <w:p w14:paraId="13D0543B">
            <w:pPr>
              <w:spacing w:line="240" w:lineRule="exact"/>
              <w:rPr>
                <w:rFonts w:ascii="Times New Roman" w:hAnsi="Times New Roman"/>
                <w:sz w:val="18"/>
                <w:szCs w:val="18"/>
              </w:rPr>
            </w:pPr>
            <w:r>
              <w:rPr>
                <w:rFonts w:hint="eastAsia" w:ascii="Times New Roman" w:hAnsi="Times New Roman"/>
                <w:sz w:val="18"/>
                <w:szCs w:val="18"/>
              </w:rPr>
              <w:t>5</w:t>
            </w:r>
            <w:r>
              <w:rPr>
                <w:rFonts w:ascii="Times New Roman" w:hAnsi="Times New Roman"/>
                <w:sz w:val="18"/>
                <w:szCs w:val="18"/>
              </w:rPr>
              <w:t>00</w:t>
            </w:r>
          </w:p>
        </w:tc>
        <w:tc>
          <w:tcPr>
            <w:tcW w:w="565" w:type="pct"/>
            <w:shd w:val="clear" w:color="auto" w:fill="auto"/>
            <w:vAlign w:val="center"/>
          </w:tcPr>
          <w:p w14:paraId="00D6441A">
            <w:pPr>
              <w:spacing w:line="240" w:lineRule="exact"/>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3.5</w:t>
            </w:r>
          </w:p>
        </w:tc>
        <w:tc>
          <w:tcPr>
            <w:tcW w:w="671" w:type="pct"/>
            <w:shd w:val="clear" w:color="auto" w:fill="auto"/>
            <w:vAlign w:val="center"/>
          </w:tcPr>
          <w:p w14:paraId="51D65170">
            <w:pPr>
              <w:spacing w:line="240" w:lineRule="exact"/>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3.5</w:t>
            </w:r>
          </w:p>
        </w:tc>
        <w:tc>
          <w:tcPr>
            <w:tcW w:w="477" w:type="pct"/>
            <w:shd w:val="clear" w:color="auto" w:fill="auto"/>
            <w:vAlign w:val="center"/>
          </w:tcPr>
          <w:p w14:paraId="7164BEC4">
            <w:pPr>
              <w:spacing w:line="240" w:lineRule="exact"/>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9</w:t>
            </w:r>
          </w:p>
        </w:tc>
        <w:tc>
          <w:tcPr>
            <w:tcW w:w="539" w:type="pct"/>
            <w:shd w:val="clear" w:color="auto" w:fill="auto"/>
            <w:vAlign w:val="center"/>
          </w:tcPr>
          <w:p w14:paraId="5D8D1242">
            <w:pPr>
              <w:spacing w:line="240" w:lineRule="exact"/>
              <w:rPr>
                <w:rFonts w:ascii="Times New Roman" w:hAnsi="Times New Roman"/>
                <w:sz w:val="18"/>
                <w:szCs w:val="18"/>
              </w:rPr>
            </w:pPr>
            <w:r>
              <w:rPr>
                <w:rFonts w:hint="eastAsia" w:ascii="Times New Roman" w:hAnsi="Times New Roman"/>
                <w:sz w:val="18"/>
                <w:szCs w:val="18"/>
              </w:rPr>
              <w:t>8</w:t>
            </w:r>
            <w:r>
              <w:rPr>
                <w:rFonts w:ascii="Times New Roman" w:hAnsi="Times New Roman"/>
                <w:sz w:val="18"/>
                <w:szCs w:val="18"/>
              </w:rPr>
              <w:t>0</w:t>
            </w:r>
          </w:p>
        </w:tc>
        <w:tc>
          <w:tcPr>
            <w:tcW w:w="503" w:type="pct"/>
            <w:shd w:val="clear" w:color="auto" w:fill="auto"/>
            <w:vAlign w:val="center"/>
          </w:tcPr>
          <w:p w14:paraId="12AE8427">
            <w:pPr>
              <w:spacing w:line="240" w:lineRule="exact"/>
              <w:rPr>
                <w:rFonts w:ascii="Times New Roman" w:hAnsi="Times New Roman"/>
                <w:sz w:val="18"/>
                <w:szCs w:val="18"/>
              </w:rPr>
            </w:pPr>
            <w:r>
              <w:rPr>
                <w:rFonts w:hint="eastAsia" w:ascii="Times New Roman" w:hAnsi="Times New Roman"/>
                <w:sz w:val="18"/>
                <w:szCs w:val="18"/>
              </w:rPr>
              <w:t>0</w:t>
            </w:r>
            <w:r>
              <w:rPr>
                <w:rFonts w:ascii="Times New Roman" w:hAnsi="Times New Roman"/>
                <w:sz w:val="18"/>
                <w:szCs w:val="18"/>
              </w:rPr>
              <w:t>.6</w:t>
            </w:r>
          </w:p>
        </w:tc>
      </w:tr>
    </w:tbl>
    <w:p w14:paraId="49DC15CB">
      <w:pPr>
        <w:spacing w:line="240" w:lineRule="exact"/>
        <w:ind w:firstLine="360" w:firstLineChars="200"/>
        <w:jc w:val="left"/>
        <w:rPr>
          <w:rFonts w:ascii="Times New Roman" w:hAnsi="Times New Roman"/>
          <w:sz w:val="18"/>
          <w:szCs w:val="18"/>
        </w:rPr>
      </w:pPr>
      <w:r>
        <w:rPr>
          <w:rFonts w:ascii="Times New Roman" w:hAnsi="Times New Roman"/>
          <w:sz w:val="18"/>
          <w:szCs w:val="18"/>
        </w:rPr>
        <w:t>光源：一般场所为荧光灯或节能型LED光源。要求</w:t>
      </w:r>
      <w:r>
        <w:rPr>
          <w:rFonts w:hint="eastAsia" w:ascii="Times New Roman" w:hAnsi="Times New Roman"/>
          <w:sz w:val="18"/>
          <w:szCs w:val="18"/>
        </w:rPr>
        <w:t>活动室、教室等</w:t>
      </w:r>
      <w:r>
        <w:rPr>
          <w:rFonts w:ascii="Times New Roman" w:hAnsi="Times New Roman"/>
          <w:sz w:val="18"/>
          <w:szCs w:val="18"/>
        </w:rPr>
        <w:t>人员长期停留的场所应选用现行国家标准《灯和灯系统的光生物安全性》GB/T50145规定的无危险照明产品，LED照明产品的光输出波形的波动深度尚应满足现行国家标准《LED室内照明应用技术要求》GB/T 31831的规定，其限定值如下表：</w:t>
      </w:r>
    </w:p>
    <w:tbl>
      <w:tblPr>
        <w:tblStyle w:val="12"/>
        <w:tblW w:w="5000" w:type="pct"/>
        <w:jc w:val="center"/>
        <w:tblLayout w:type="autofit"/>
        <w:tblCellMar>
          <w:top w:w="0" w:type="dxa"/>
          <w:left w:w="108" w:type="dxa"/>
          <w:bottom w:w="0" w:type="dxa"/>
          <w:right w:w="108" w:type="dxa"/>
        </w:tblCellMar>
      </w:tblPr>
      <w:tblGrid>
        <w:gridCol w:w="4361"/>
        <w:gridCol w:w="4459"/>
      </w:tblGrid>
      <w:tr w14:paraId="23751431">
        <w:tblPrEx>
          <w:tblCellMar>
            <w:top w:w="0" w:type="dxa"/>
            <w:left w:w="108" w:type="dxa"/>
            <w:bottom w:w="0" w:type="dxa"/>
            <w:right w:w="108" w:type="dxa"/>
          </w:tblCellMar>
        </w:tblPrEx>
        <w:trPr>
          <w:cantSplit/>
          <w:trHeight w:val="53" w:hRule="atLeast"/>
          <w:jc w:val="center"/>
        </w:trPr>
        <w:tc>
          <w:tcPr>
            <w:tcW w:w="2472" w:type="pct"/>
            <w:tcBorders>
              <w:top w:val="single" w:color="auto" w:sz="4" w:space="0"/>
              <w:left w:val="single" w:color="auto" w:sz="4" w:space="0"/>
              <w:bottom w:val="single" w:color="auto" w:sz="4" w:space="0"/>
              <w:right w:val="single" w:color="auto" w:sz="4" w:space="0"/>
            </w:tcBorders>
            <w:vAlign w:val="center"/>
          </w:tcPr>
          <w:p w14:paraId="29660E57">
            <w:pPr>
              <w:spacing w:line="240" w:lineRule="exact"/>
              <w:rPr>
                <w:rFonts w:ascii="Times New Roman" w:hAnsi="Times New Roman"/>
                <w:sz w:val="18"/>
                <w:szCs w:val="18"/>
              </w:rPr>
            </w:pPr>
            <w:r>
              <w:rPr>
                <w:rFonts w:ascii="Times New Roman" w:hAnsi="Times New Roman"/>
                <w:sz w:val="18"/>
                <w:szCs w:val="18"/>
              </w:rPr>
              <w:t>波动频率f</w:t>
            </w:r>
          </w:p>
        </w:tc>
        <w:tc>
          <w:tcPr>
            <w:tcW w:w="2528" w:type="pct"/>
            <w:tcBorders>
              <w:top w:val="single" w:color="auto" w:sz="4" w:space="0"/>
              <w:left w:val="single" w:color="auto" w:sz="4" w:space="0"/>
              <w:right w:val="single" w:color="auto" w:sz="4" w:space="0"/>
            </w:tcBorders>
            <w:vAlign w:val="center"/>
          </w:tcPr>
          <w:p w14:paraId="6B772385">
            <w:pPr>
              <w:spacing w:line="240" w:lineRule="exact"/>
              <w:rPr>
                <w:rFonts w:ascii="Times New Roman" w:hAnsi="Times New Roman"/>
                <w:sz w:val="18"/>
                <w:szCs w:val="18"/>
              </w:rPr>
            </w:pPr>
            <w:r>
              <w:rPr>
                <w:rFonts w:ascii="Times New Roman" w:hAnsi="Times New Roman"/>
                <w:sz w:val="18"/>
                <w:szCs w:val="18"/>
              </w:rPr>
              <w:t>波动深度FPF限值（%）</w:t>
            </w:r>
          </w:p>
        </w:tc>
      </w:tr>
      <w:tr w14:paraId="327B492F">
        <w:tblPrEx>
          <w:tblCellMar>
            <w:top w:w="0" w:type="dxa"/>
            <w:left w:w="108" w:type="dxa"/>
            <w:bottom w:w="0" w:type="dxa"/>
            <w:right w:w="108" w:type="dxa"/>
          </w:tblCellMar>
        </w:tblPrEx>
        <w:trPr>
          <w:cantSplit/>
          <w:trHeight w:val="285" w:hRule="atLeast"/>
          <w:jc w:val="center"/>
        </w:trPr>
        <w:tc>
          <w:tcPr>
            <w:tcW w:w="2472" w:type="pct"/>
            <w:tcBorders>
              <w:top w:val="single" w:color="auto" w:sz="4" w:space="0"/>
              <w:left w:val="single" w:color="auto" w:sz="4" w:space="0"/>
              <w:bottom w:val="single" w:color="auto" w:sz="4" w:space="0"/>
              <w:right w:val="single" w:color="auto" w:sz="4" w:space="0"/>
            </w:tcBorders>
            <w:vAlign w:val="center"/>
          </w:tcPr>
          <w:p w14:paraId="16C784EE">
            <w:pPr>
              <w:spacing w:line="240" w:lineRule="exact"/>
              <w:rPr>
                <w:rFonts w:ascii="Times New Roman" w:hAnsi="Times New Roman"/>
                <w:sz w:val="18"/>
                <w:szCs w:val="18"/>
              </w:rPr>
            </w:pPr>
            <w:r>
              <w:rPr>
                <w:rFonts w:ascii="Times New Roman" w:hAnsi="Times New Roman"/>
                <w:sz w:val="18"/>
                <w:szCs w:val="18"/>
              </w:rPr>
              <w:t>F&lt;=9Hz</w:t>
            </w:r>
          </w:p>
        </w:tc>
        <w:tc>
          <w:tcPr>
            <w:tcW w:w="2528" w:type="pct"/>
            <w:tcBorders>
              <w:top w:val="single" w:color="auto" w:sz="4" w:space="0"/>
              <w:left w:val="single" w:color="auto" w:sz="4" w:space="0"/>
              <w:bottom w:val="single" w:color="auto" w:sz="4" w:space="0"/>
              <w:right w:val="single" w:color="auto" w:sz="4" w:space="0"/>
            </w:tcBorders>
            <w:vAlign w:val="center"/>
          </w:tcPr>
          <w:p w14:paraId="57A7621B">
            <w:pPr>
              <w:spacing w:line="240" w:lineRule="exact"/>
              <w:rPr>
                <w:rFonts w:ascii="Times New Roman" w:hAnsi="Times New Roman"/>
                <w:sz w:val="18"/>
                <w:szCs w:val="18"/>
              </w:rPr>
            </w:pPr>
            <w:r>
              <w:rPr>
                <w:rFonts w:ascii="Times New Roman" w:hAnsi="Times New Roman"/>
                <w:sz w:val="18"/>
                <w:szCs w:val="18"/>
              </w:rPr>
              <w:t>FPF&lt;=0.288</w:t>
            </w:r>
          </w:p>
        </w:tc>
      </w:tr>
      <w:tr w14:paraId="5A52F64E">
        <w:tblPrEx>
          <w:tblCellMar>
            <w:top w:w="0" w:type="dxa"/>
            <w:left w:w="108" w:type="dxa"/>
            <w:bottom w:w="0" w:type="dxa"/>
            <w:right w:w="108" w:type="dxa"/>
          </w:tblCellMar>
        </w:tblPrEx>
        <w:trPr>
          <w:cantSplit/>
          <w:trHeight w:val="285" w:hRule="atLeast"/>
          <w:jc w:val="center"/>
        </w:trPr>
        <w:tc>
          <w:tcPr>
            <w:tcW w:w="2472" w:type="pct"/>
            <w:tcBorders>
              <w:top w:val="single" w:color="auto" w:sz="4" w:space="0"/>
              <w:left w:val="single" w:color="auto" w:sz="4" w:space="0"/>
              <w:bottom w:val="single" w:color="auto" w:sz="4" w:space="0"/>
              <w:right w:val="single" w:color="auto" w:sz="4" w:space="0"/>
            </w:tcBorders>
            <w:vAlign w:val="center"/>
          </w:tcPr>
          <w:p w14:paraId="7EFAF35B">
            <w:pPr>
              <w:spacing w:line="240" w:lineRule="exact"/>
              <w:rPr>
                <w:rFonts w:ascii="Times New Roman" w:hAnsi="Times New Roman"/>
                <w:sz w:val="18"/>
                <w:szCs w:val="18"/>
              </w:rPr>
            </w:pPr>
            <w:r>
              <w:rPr>
                <w:rFonts w:ascii="Times New Roman" w:hAnsi="Times New Roman"/>
                <w:sz w:val="18"/>
                <w:szCs w:val="18"/>
              </w:rPr>
              <w:t>9Hz&lt;f&lt;=3125Hz</w:t>
            </w:r>
          </w:p>
        </w:tc>
        <w:tc>
          <w:tcPr>
            <w:tcW w:w="2528" w:type="pct"/>
            <w:tcBorders>
              <w:top w:val="single" w:color="auto" w:sz="4" w:space="0"/>
              <w:left w:val="single" w:color="auto" w:sz="4" w:space="0"/>
              <w:bottom w:val="single" w:color="auto" w:sz="4" w:space="0"/>
              <w:right w:val="single" w:color="auto" w:sz="4" w:space="0"/>
            </w:tcBorders>
            <w:vAlign w:val="center"/>
          </w:tcPr>
          <w:p w14:paraId="1C339AF8">
            <w:pPr>
              <w:spacing w:line="240" w:lineRule="exact"/>
              <w:rPr>
                <w:rFonts w:ascii="Times New Roman" w:hAnsi="Times New Roman"/>
                <w:sz w:val="18"/>
                <w:szCs w:val="18"/>
              </w:rPr>
            </w:pPr>
            <w:r>
              <w:rPr>
                <w:rFonts w:ascii="Times New Roman" w:hAnsi="Times New Roman"/>
                <w:sz w:val="18"/>
                <w:szCs w:val="18"/>
              </w:rPr>
              <w:t>FPF&lt;Fx0.08/2.5</w:t>
            </w:r>
          </w:p>
        </w:tc>
      </w:tr>
      <w:tr w14:paraId="42067587">
        <w:tblPrEx>
          <w:tblCellMar>
            <w:top w:w="0" w:type="dxa"/>
            <w:left w:w="108" w:type="dxa"/>
            <w:bottom w:w="0" w:type="dxa"/>
            <w:right w:w="108" w:type="dxa"/>
          </w:tblCellMar>
        </w:tblPrEx>
        <w:trPr>
          <w:cantSplit/>
          <w:trHeight w:val="285" w:hRule="atLeast"/>
          <w:jc w:val="center"/>
        </w:trPr>
        <w:tc>
          <w:tcPr>
            <w:tcW w:w="2472" w:type="pct"/>
            <w:tcBorders>
              <w:top w:val="single" w:color="auto" w:sz="4" w:space="0"/>
              <w:left w:val="single" w:color="auto" w:sz="4" w:space="0"/>
              <w:bottom w:val="single" w:color="auto" w:sz="4" w:space="0"/>
              <w:right w:val="single" w:color="auto" w:sz="4" w:space="0"/>
            </w:tcBorders>
            <w:vAlign w:val="center"/>
          </w:tcPr>
          <w:p w14:paraId="0DF673BD">
            <w:pPr>
              <w:spacing w:line="240" w:lineRule="exact"/>
              <w:rPr>
                <w:rFonts w:ascii="Times New Roman" w:hAnsi="Times New Roman"/>
                <w:sz w:val="18"/>
                <w:szCs w:val="18"/>
              </w:rPr>
            </w:pPr>
            <w:r>
              <w:rPr>
                <w:rFonts w:ascii="Times New Roman" w:hAnsi="Times New Roman"/>
                <w:sz w:val="18"/>
                <w:szCs w:val="18"/>
              </w:rPr>
              <w:t>f&gt;3125Hz</w:t>
            </w:r>
          </w:p>
        </w:tc>
        <w:tc>
          <w:tcPr>
            <w:tcW w:w="2528" w:type="pct"/>
            <w:tcBorders>
              <w:top w:val="single" w:color="auto" w:sz="4" w:space="0"/>
              <w:left w:val="single" w:color="auto" w:sz="4" w:space="0"/>
              <w:bottom w:val="single" w:color="auto" w:sz="4" w:space="0"/>
              <w:right w:val="single" w:color="auto" w:sz="4" w:space="0"/>
            </w:tcBorders>
            <w:vAlign w:val="center"/>
          </w:tcPr>
          <w:p w14:paraId="4819F821">
            <w:pPr>
              <w:spacing w:line="240" w:lineRule="exact"/>
              <w:rPr>
                <w:rFonts w:ascii="Times New Roman" w:hAnsi="Times New Roman"/>
                <w:sz w:val="18"/>
                <w:szCs w:val="18"/>
              </w:rPr>
            </w:pPr>
            <w:r>
              <w:rPr>
                <w:rFonts w:ascii="Times New Roman" w:hAnsi="Times New Roman"/>
                <w:sz w:val="18"/>
                <w:szCs w:val="18"/>
              </w:rPr>
              <w:t>无限制</w:t>
            </w:r>
          </w:p>
        </w:tc>
      </w:tr>
    </w:tbl>
    <w:p w14:paraId="0AE04427">
      <w:pPr>
        <w:spacing w:line="240" w:lineRule="exact"/>
        <w:ind w:firstLine="360" w:firstLineChars="200"/>
        <w:jc w:val="left"/>
        <w:rPr>
          <w:rFonts w:ascii="Times New Roman" w:hAnsi="Times New Roman"/>
          <w:sz w:val="18"/>
          <w:szCs w:val="18"/>
        </w:rPr>
      </w:pPr>
      <w:r>
        <w:rPr>
          <w:rFonts w:ascii="Times New Roman" w:hAnsi="Times New Roman"/>
          <w:sz w:val="18"/>
          <w:szCs w:val="18"/>
        </w:rPr>
        <w:t>灯具：一般照明采用直接照明为主方式，所有照明灯具、光源、电气附件等均选用高效、节能型，提高照明效率。控制：地下室车库采用断路器集中控制，风机房等设备房采用平板开关就地控制，楼梯间采用延时自熄节能开关控制。</w:t>
      </w:r>
    </w:p>
    <w:p w14:paraId="3D8FFC96">
      <w:pPr>
        <w:spacing w:line="240" w:lineRule="exact"/>
        <w:rPr>
          <w:rFonts w:ascii="宋体" w:cs="宋体"/>
          <w:sz w:val="18"/>
          <w:szCs w:val="18"/>
        </w:rPr>
      </w:pPr>
      <w:r>
        <w:rPr>
          <w:rFonts w:hint="eastAsia" w:ascii="宋体" w:hAnsi="宋体" w:cs="宋体"/>
          <w:sz w:val="18"/>
          <w:szCs w:val="18"/>
        </w:rPr>
        <w:t>证明材料：√</w:t>
      </w:r>
      <w:r>
        <w:rPr>
          <w:rFonts w:hint="eastAsia" w:ascii="宋体" w:hAnsi="宋体"/>
          <w:sz w:val="18"/>
          <w:szCs w:val="18"/>
        </w:rPr>
        <w:t>照明功率密度</w:t>
      </w:r>
      <w:r>
        <w:rPr>
          <w:rFonts w:hint="eastAsia" w:ascii="宋体" w:hAnsi="宋体" w:cs="宋体"/>
          <w:sz w:val="18"/>
          <w:szCs w:val="18"/>
        </w:rPr>
        <w:t>计算书；√设计图纸（电气</w:t>
      </w:r>
      <w:r>
        <w:rPr>
          <w:rFonts w:ascii="宋体" w:hAnsi="宋体" w:cs="宋体"/>
          <w:sz w:val="18"/>
          <w:szCs w:val="18"/>
        </w:rPr>
        <w:t>、D-SM-01~06_电气施工图设计说明</w:t>
      </w:r>
      <w:r>
        <w:rPr>
          <w:rFonts w:hint="eastAsia" w:ascii="宋体" w:hAnsi="宋体" w:cs="宋体"/>
          <w:sz w:val="18"/>
          <w:szCs w:val="18"/>
        </w:rPr>
        <w:t>）√</w:t>
      </w:r>
      <w:r>
        <w:rPr>
          <w:rFonts w:hint="eastAsia" w:ascii="宋体" w:hAnsi="宋体"/>
          <w:sz w:val="18"/>
          <w:szCs w:val="18"/>
        </w:rPr>
        <w:t>二次设计达标承诺函</w:t>
      </w:r>
    </w:p>
    <w:p w14:paraId="091C5F7D">
      <w:pPr>
        <w:spacing w:line="240" w:lineRule="exact"/>
        <w:jc w:val="center"/>
        <w:outlineLvl w:val="2"/>
        <w:rPr>
          <w:rFonts w:cs="宋体"/>
          <w:b/>
          <w:bCs/>
          <w:sz w:val="18"/>
          <w:szCs w:val="18"/>
        </w:rPr>
      </w:pPr>
      <w:r>
        <w:rPr>
          <w:rFonts w:hint="eastAsia" w:cs="宋体"/>
          <w:b/>
          <w:bCs/>
          <w:sz w:val="18"/>
          <w:szCs w:val="18"/>
        </w:rPr>
        <w:t>自选说明内容（评分项）</w:t>
      </w:r>
    </w:p>
    <w:p w14:paraId="56AFB04A">
      <w:pPr>
        <w:spacing w:line="240" w:lineRule="exact"/>
        <w:jc w:val="center"/>
        <w:rPr>
          <w:b/>
          <w:bCs/>
          <w:sz w:val="18"/>
          <w:szCs w:val="18"/>
        </w:rPr>
      </w:pPr>
    </w:p>
    <w:tbl>
      <w:tblPr>
        <w:tblStyle w:val="12"/>
        <w:tblW w:w="864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0"/>
        <w:gridCol w:w="720"/>
        <w:gridCol w:w="721"/>
        <w:gridCol w:w="721"/>
        <w:gridCol w:w="721"/>
        <w:gridCol w:w="721"/>
        <w:gridCol w:w="721"/>
        <w:gridCol w:w="721"/>
        <w:gridCol w:w="721"/>
        <w:gridCol w:w="721"/>
        <w:gridCol w:w="721"/>
        <w:gridCol w:w="714"/>
      </w:tblGrid>
      <w:tr w14:paraId="49C495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720" w:type="dxa"/>
            <w:vAlign w:val="center"/>
          </w:tcPr>
          <w:p w14:paraId="0B14A2D2">
            <w:pPr>
              <w:spacing w:line="240" w:lineRule="exact"/>
              <w:jc w:val="center"/>
              <w:rPr>
                <w:rFonts w:cs="Calibri"/>
                <w:sz w:val="18"/>
                <w:szCs w:val="18"/>
              </w:rPr>
            </w:pPr>
            <w:r>
              <w:rPr>
                <w:rFonts w:hint="eastAsia" w:cs="Calibri"/>
                <w:sz w:val="18"/>
                <w:szCs w:val="18"/>
              </w:rPr>
              <w:t>条文</w:t>
            </w:r>
          </w:p>
        </w:tc>
        <w:tc>
          <w:tcPr>
            <w:tcW w:w="720" w:type="dxa"/>
            <w:vAlign w:val="center"/>
          </w:tcPr>
          <w:p w14:paraId="02EC7C46">
            <w:pPr>
              <w:spacing w:line="240" w:lineRule="exact"/>
              <w:jc w:val="center"/>
              <w:rPr>
                <w:rFonts w:cs="Calibri"/>
                <w:sz w:val="18"/>
                <w:szCs w:val="18"/>
              </w:rPr>
            </w:pPr>
            <w:r>
              <w:rPr>
                <w:rFonts w:cs="Calibri"/>
                <w:sz w:val="18"/>
                <w:szCs w:val="18"/>
              </w:rPr>
              <w:t>5.2.1</w:t>
            </w:r>
          </w:p>
        </w:tc>
        <w:tc>
          <w:tcPr>
            <w:tcW w:w="721" w:type="dxa"/>
            <w:vAlign w:val="center"/>
          </w:tcPr>
          <w:p w14:paraId="70D6CB47">
            <w:pPr>
              <w:spacing w:line="240" w:lineRule="exact"/>
              <w:jc w:val="center"/>
              <w:rPr>
                <w:rFonts w:cs="Calibri"/>
                <w:sz w:val="18"/>
                <w:szCs w:val="18"/>
              </w:rPr>
            </w:pPr>
            <w:r>
              <w:rPr>
                <w:rFonts w:cs="Calibri"/>
                <w:sz w:val="18"/>
                <w:szCs w:val="18"/>
              </w:rPr>
              <w:t>5.2.2</w:t>
            </w:r>
          </w:p>
        </w:tc>
        <w:tc>
          <w:tcPr>
            <w:tcW w:w="721" w:type="dxa"/>
            <w:vAlign w:val="center"/>
          </w:tcPr>
          <w:p w14:paraId="2E92F8A8">
            <w:pPr>
              <w:spacing w:line="240" w:lineRule="exact"/>
              <w:jc w:val="center"/>
              <w:rPr>
                <w:rFonts w:cs="Calibri"/>
                <w:sz w:val="18"/>
                <w:szCs w:val="18"/>
              </w:rPr>
            </w:pPr>
            <w:r>
              <w:rPr>
                <w:rFonts w:cs="Calibri"/>
                <w:sz w:val="18"/>
                <w:szCs w:val="18"/>
              </w:rPr>
              <w:t>5.2.3</w:t>
            </w:r>
          </w:p>
        </w:tc>
        <w:tc>
          <w:tcPr>
            <w:tcW w:w="721" w:type="dxa"/>
            <w:vAlign w:val="center"/>
          </w:tcPr>
          <w:p w14:paraId="1C7A4760">
            <w:pPr>
              <w:spacing w:line="240" w:lineRule="exact"/>
              <w:jc w:val="center"/>
              <w:rPr>
                <w:rFonts w:cs="Calibri"/>
                <w:sz w:val="18"/>
                <w:szCs w:val="18"/>
              </w:rPr>
            </w:pPr>
            <w:r>
              <w:rPr>
                <w:rFonts w:cs="Calibri"/>
                <w:sz w:val="18"/>
                <w:szCs w:val="18"/>
              </w:rPr>
              <w:t>5.2.4</w:t>
            </w:r>
          </w:p>
        </w:tc>
        <w:tc>
          <w:tcPr>
            <w:tcW w:w="721" w:type="dxa"/>
            <w:vAlign w:val="center"/>
          </w:tcPr>
          <w:p w14:paraId="29862903">
            <w:pPr>
              <w:spacing w:line="240" w:lineRule="exact"/>
              <w:jc w:val="center"/>
              <w:rPr>
                <w:rFonts w:cs="Calibri"/>
                <w:sz w:val="18"/>
                <w:szCs w:val="18"/>
              </w:rPr>
            </w:pPr>
            <w:r>
              <w:rPr>
                <w:rFonts w:cs="Calibri"/>
                <w:sz w:val="18"/>
                <w:szCs w:val="18"/>
              </w:rPr>
              <w:t>5.2.5</w:t>
            </w:r>
          </w:p>
        </w:tc>
        <w:tc>
          <w:tcPr>
            <w:tcW w:w="721" w:type="dxa"/>
            <w:vAlign w:val="center"/>
          </w:tcPr>
          <w:p w14:paraId="7074B429">
            <w:pPr>
              <w:spacing w:line="240" w:lineRule="exact"/>
              <w:jc w:val="center"/>
              <w:rPr>
                <w:rFonts w:cs="Calibri"/>
                <w:sz w:val="18"/>
                <w:szCs w:val="18"/>
              </w:rPr>
            </w:pPr>
            <w:r>
              <w:rPr>
                <w:rFonts w:cs="Calibri"/>
                <w:sz w:val="18"/>
                <w:szCs w:val="18"/>
              </w:rPr>
              <w:t>5.2.6</w:t>
            </w:r>
          </w:p>
        </w:tc>
        <w:tc>
          <w:tcPr>
            <w:tcW w:w="721" w:type="dxa"/>
            <w:vAlign w:val="center"/>
          </w:tcPr>
          <w:p w14:paraId="4C61C6E1">
            <w:pPr>
              <w:spacing w:line="240" w:lineRule="exact"/>
              <w:jc w:val="center"/>
              <w:rPr>
                <w:rFonts w:cs="Calibri"/>
                <w:sz w:val="18"/>
                <w:szCs w:val="18"/>
              </w:rPr>
            </w:pPr>
            <w:r>
              <w:rPr>
                <w:rFonts w:cs="Calibri"/>
                <w:sz w:val="18"/>
                <w:szCs w:val="18"/>
              </w:rPr>
              <w:t>5.2.7</w:t>
            </w:r>
          </w:p>
        </w:tc>
        <w:tc>
          <w:tcPr>
            <w:tcW w:w="721" w:type="dxa"/>
            <w:vAlign w:val="center"/>
          </w:tcPr>
          <w:p w14:paraId="12C656D6">
            <w:pPr>
              <w:spacing w:line="240" w:lineRule="exact"/>
              <w:jc w:val="center"/>
              <w:rPr>
                <w:rFonts w:cs="Calibri"/>
                <w:sz w:val="18"/>
                <w:szCs w:val="18"/>
              </w:rPr>
            </w:pPr>
            <w:r>
              <w:rPr>
                <w:rFonts w:cs="Calibri"/>
                <w:sz w:val="18"/>
                <w:szCs w:val="18"/>
              </w:rPr>
              <w:t>5.2.8</w:t>
            </w:r>
          </w:p>
        </w:tc>
        <w:tc>
          <w:tcPr>
            <w:tcW w:w="721" w:type="dxa"/>
            <w:vAlign w:val="center"/>
          </w:tcPr>
          <w:p w14:paraId="09356169">
            <w:pPr>
              <w:spacing w:line="240" w:lineRule="exact"/>
              <w:jc w:val="center"/>
              <w:rPr>
                <w:rFonts w:cs="Calibri"/>
                <w:sz w:val="18"/>
                <w:szCs w:val="18"/>
              </w:rPr>
            </w:pPr>
            <w:r>
              <w:rPr>
                <w:rFonts w:cs="Calibri"/>
                <w:sz w:val="18"/>
                <w:szCs w:val="18"/>
              </w:rPr>
              <w:t>5.2.9</w:t>
            </w:r>
          </w:p>
        </w:tc>
        <w:tc>
          <w:tcPr>
            <w:tcW w:w="721" w:type="dxa"/>
            <w:vAlign w:val="center"/>
          </w:tcPr>
          <w:p w14:paraId="6721207C">
            <w:pPr>
              <w:spacing w:line="240" w:lineRule="exact"/>
              <w:jc w:val="center"/>
              <w:rPr>
                <w:rFonts w:cs="Calibri"/>
                <w:sz w:val="18"/>
                <w:szCs w:val="18"/>
              </w:rPr>
            </w:pPr>
            <w:r>
              <w:rPr>
                <w:rFonts w:cs="Calibri"/>
                <w:sz w:val="18"/>
                <w:szCs w:val="18"/>
              </w:rPr>
              <w:t>5.2.10</w:t>
            </w:r>
          </w:p>
        </w:tc>
        <w:tc>
          <w:tcPr>
            <w:tcW w:w="714" w:type="dxa"/>
            <w:vAlign w:val="center"/>
          </w:tcPr>
          <w:p w14:paraId="157F72BB">
            <w:pPr>
              <w:spacing w:line="240" w:lineRule="exact"/>
              <w:jc w:val="center"/>
              <w:rPr>
                <w:rFonts w:cs="Calibri"/>
                <w:sz w:val="18"/>
                <w:szCs w:val="18"/>
              </w:rPr>
            </w:pPr>
            <w:r>
              <w:rPr>
                <w:rFonts w:cs="Calibri"/>
                <w:sz w:val="18"/>
                <w:szCs w:val="18"/>
              </w:rPr>
              <w:t>5.2.11</w:t>
            </w:r>
          </w:p>
        </w:tc>
      </w:tr>
      <w:tr w14:paraId="2E0A39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720" w:type="dxa"/>
            <w:vAlign w:val="center"/>
          </w:tcPr>
          <w:p w14:paraId="2B3DB9C2">
            <w:pPr>
              <w:spacing w:line="240" w:lineRule="exact"/>
              <w:jc w:val="center"/>
              <w:rPr>
                <w:rFonts w:cs="Calibri"/>
                <w:sz w:val="18"/>
                <w:szCs w:val="18"/>
              </w:rPr>
            </w:pPr>
            <w:r>
              <w:rPr>
                <w:rFonts w:hint="eastAsia" w:cs="Calibri"/>
                <w:sz w:val="18"/>
                <w:szCs w:val="18"/>
              </w:rPr>
              <w:t>总分</w:t>
            </w:r>
          </w:p>
        </w:tc>
        <w:tc>
          <w:tcPr>
            <w:tcW w:w="720" w:type="dxa"/>
            <w:vAlign w:val="center"/>
          </w:tcPr>
          <w:p w14:paraId="6F7D77D6">
            <w:pPr>
              <w:spacing w:line="240" w:lineRule="exact"/>
              <w:jc w:val="center"/>
              <w:rPr>
                <w:rFonts w:cs="Calibri"/>
                <w:sz w:val="18"/>
                <w:szCs w:val="18"/>
              </w:rPr>
            </w:pPr>
            <w:r>
              <w:rPr>
                <w:rFonts w:cs="Calibri"/>
                <w:sz w:val="18"/>
                <w:szCs w:val="18"/>
              </w:rPr>
              <w:t>12</w:t>
            </w:r>
          </w:p>
        </w:tc>
        <w:tc>
          <w:tcPr>
            <w:tcW w:w="721" w:type="dxa"/>
            <w:vAlign w:val="center"/>
          </w:tcPr>
          <w:p w14:paraId="786C7DFB">
            <w:pPr>
              <w:spacing w:line="240" w:lineRule="exact"/>
              <w:jc w:val="center"/>
              <w:rPr>
                <w:rFonts w:cs="Calibri"/>
                <w:sz w:val="18"/>
                <w:szCs w:val="18"/>
              </w:rPr>
            </w:pPr>
            <w:r>
              <w:rPr>
                <w:rFonts w:cs="Calibri"/>
                <w:sz w:val="18"/>
                <w:szCs w:val="18"/>
              </w:rPr>
              <w:t>8</w:t>
            </w:r>
          </w:p>
        </w:tc>
        <w:tc>
          <w:tcPr>
            <w:tcW w:w="721" w:type="dxa"/>
            <w:vAlign w:val="center"/>
          </w:tcPr>
          <w:p w14:paraId="7D6C693F">
            <w:pPr>
              <w:spacing w:line="240" w:lineRule="exact"/>
              <w:jc w:val="center"/>
              <w:rPr>
                <w:rFonts w:cs="Calibri"/>
                <w:sz w:val="18"/>
                <w:szCs w:val="18"/>
              </w:rPr>
            </w:pPr>
            <w:r>
              <w:rPr>
                <w:rFonts w:cs="Calibri"/>
                <w:sz w:val="18"/>
                <w:szCs w:val="18"/>
              </w:rPr>
              <w:t>8</w:t>
            </w:r>
          </w:p>
        </w:tc>
        <w:tc>
          <w:tcPr>
            <w:tcW w:w="721" w:type="dxa"/>
            <w:vAlign w:val="center"/>
          </w:tcPr>
          <w:p w14:paraId="738E1F7B">
            <w:pPr>
              <w:spacing w:line="240" w:lineRule="exact"/>
              <w:jc w:val="center"/>
              <w:rPr>
                <w:rFonts w:cs="Calibri"/>
                <w:sz w:val="18"/>
                <w:szCs w:val="18"/>
              </w:rPr>
            </w:pPr>
            <w:r>
              <w:rPr>
                <w:rFonts w:cs="Calibri"/>
                <w:sz w:val="18"/>
                <w:szCs w:val="18"/>
              </w:rPr>
              <w:t>9</w:t>
            </w:r>
          </w:p>
        </w:tc>
        <w:tc>
          <w:tcPr>
            <w:tcW w:w="721" w:type="dxa"/>
            <w:vAlign w:val="center"/>
          </w:tcPr>
          <w:p w14:paraId="744A481B">
            <w:pPr>
              <w:spacing w:line="240" w:lineRule="exact"/>
              <w:jc w:val="center"/>
              <w:rPr>
                <w:rFonts w:cs="Calibri"/>
                <w:sz w:val="18"/>
                <w:szCs w:val="18"/>
              </w:rPr>
            </w:pPr>
            <w:r>
              <w:rPr>
                <w:rFonts w:cs="Calibri"/>
                <w:sz w:val="18"/>
                <w:szCs w:val="18"/>
              </w:rPr>
              <w:t>8</w:t>
            </w:r>
          </w:p>
        </w:tc>
        <w:tc>
          <w:tcPr>
            <w:tcW w:w="721" w:type="dxa"/>
            <w:vAlign w:val="center"/>
          </w:tcPr>
          <w:p w14:paraId="4DA73B9A">
            <w:pPr>
              <w:spacing w:line="240" w:lineRule="exact"/>
              <w:jc w:val="center"/>
              <w:rPr>
                <w:rFonts w:cs="Calibri"/>
                <w:sz w:val="18"/>
                <w:szCs w:val="18"/>
              </w:rPr>
            </w:pPr>
            <w:r>
              <w:rPr>
                <w:rFonts w:cs="Calibri"/>
                <w:sz w:val="18"/>
                <w:szCs w:val="18"/>
              </w:rPr>
              <w:t>8</w:t>
            </w:r>
          </w:p>
        </w:tc>
        <w:tc>
          <w:tcPr>
            <w:tcW w:w="721" w:type="dxa"/>
            <w:vAlign w:val="center"/>
          </w:tcPr>
          <w:p w14:paraId="097B49FA">
            <w:pPr>
              <w:spacing w:line="240" w:lineRule="exact"/>
              <w:jc w:val="center"/>
              <w:rPr>
                <w:rFonts w:cs="Calibri"/>
                <w:sz w:val="18"/>
                <w:szCs w:val="18"/>
              </w:rPr>
            </w:pPr>
            <w:r>
              <w:rPr>
                <w:rFonts w:cs="Calibri"/>
                <w:sz w:val="18"/>
                <w:szCs w:val="18"/>
              </w:rPr>
              <w:t>10</w:t>
            </w:r>
          </w:p>
        </w:tc>
        <w:tc>
          <w:tcPr>
            <w:tcW w:w="721" w:type="dxa"/>
            <w:vAlign w:val="center"/>
          </w:tcPr>
          <w:p w14:paraId="34C305BF">
            <w:pPr>
              <w:spacing w:line="240" w:lineRule="exact"/>
              <w:jc w:val="center"/>
              <w:rPr>
                <w:rFonts w:cs="Calibri"/>
                <w:sz w:val="18"/>
                <w:szCs w:val="18"/>
              </w:rPr>
            </w:pPr>
            <w:r>
              <w:rPr>
                <w:rFonts w:cs="Calibri"/>
                <w:sz w:val="18"/>
                <w:szCs w:val="18"/>
              </w:rPr>
              <w:t>12</w:t>
            </w:r>
          </w:p>
        </w:tc>
        <w:tc>
          <w:tcPr>
            <w:tcW w:w="721" w:type="dxa"/>
            <w:vAlign w:val="center"/>
          </w:tcPr>
          <w:p w14:paraId="6FB22BD8">
            <w:pPr>
              <w:spacing w:line="240" w:lineRule="exact"/>
              <w:jc w:val="center"/>
              <w:rPr>
                <w:rFonts w:cs="Calibri"/>
                <w:sz w:val="18"/>
                <w:szCs w:val="18"/>
              </w:rPr>
            </w:pPr>
            <w:r>
              <w:rPr>
                <w:rFonts w:cs="Calibri"/>
                <w:sz w:val="18"/>
                <w:szCs w:val="18"/>
              </w:rPr>
              <w:t>8</w:t>
            </w:r>
          </w:p>
        </w:tc>
        <w:tc>
          <w:tcPr>
            <w:tcW w:w="721" w:type="dxa"/>
            <w:vAlign w:val="center"/>
          </w:tcPr>
          <w:p w14:paraId="32163A69">
            <w:pPr>
              <w:spacing w:line="240" w:lineRule="exact"/>
              <w:jc w:val="center"/>
              <w:rPr>
                <w:rFonts w:cs="Calibri"/>
                <w:sz w:val="18"/>
                <w:szCs w:val="18"/>
              </w:rPr>
            </w:pPr>
            <w:r>
              <w:rPr>
                <w:rFonts w:cs="Calibri"/>
                <w:sz w:val="18"/>
                <w:szCs w:val="18"/>
              </w:rPr>
              <w:t>8</w:t>
            </w:r>
          </w:p>
        </w:tc>
        <w:tc>
          <w:tcPr>
            <w:tcW w:w="714" w:type="dxa"/>
            <w:vAlign w:val="center"/>
          </w:tcPr>
          <w:p w14:paraId="663DE86D">
            <w:pPr>
              <w:spacing w:line="240" w:lineRule="exact"/>
              <w:jc w:val="center"/>
              <w:rPr>
                <w:rFonts w:cs="Calibri"/>
                <w:sz w:val="18"/>
                <w:szCs w:val="18"/>
              </w:rPr>
            </w:pPr>
            <w:r>
              <w:rPr>
                <w:rFonts w:cs="Calibri"/>
                <w:sz w:val="18"/>
                <w:szCs w:val="18"/>
              </w:rPr>
              <w:t>9</w:t>
            </w:r>
          </w:p>
        </w:tc>
      </w:tr>
      <w:tr w14:paraId="4CA56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720" w:type="dxa"/>
            <w:vAlign w:val="center"/>
          </w:tcPr>
          <w:p w14:paraId="57408487">
            <w:pPr>
              <w:spacing w:line="240" w:lineRule="exact"/>
              <w:jc w:val="center"/>
              <w:rPr>
                <w:rFonts w:cs="Calibri"/>
                <w:sz w:val="18"/>
                <w:szCs w:val="18"/>
              </w:rPr>
            </w:pPr>
            <w:r>
              <w:rPr>
                <w:rFonts w:hint="eastAsia" w:cs="Calibri"/>
                <w:sz w:val="18"/>
                <w:szCs w:val="18"/>
              </w:rPr>
              <w:t>得分</w:t>
            </w:r>
          </w:p>
        </w:tc>
        <w:tc>
          <w:tcPr>
            <w:tcW w:w="720" w:type="dxa"/>
            <w:vAlign w:val="center"/>
          </w:tcPr>
          <w:p w14:paraId="7F96072D">
            <w:pPr>
              <w:spacing w:line="240" w:lineRule="exact"/>
              <w:jc w:val="center"/>
              <w:rPr>
                <w:rFonts w:cs="Calibri"/>
                <w:sz w:val="18"/>
                <w:szCs w:val="18"/>
              </w:rPr>
            </w:pPr>
            <w:r>
              <w:rPr>
                <w:rFonts w:hint="eastAsia" w:cs="Calibri"/>
                <w:sz w:val="18"/>
                <w:szCs w:val="18"/>
              </w:rPr>
              <w:t>12</w:t>
            </w:r>
          </w:p>
        </w:tc>
        <w:tc>
          <w:tcPr>
            <w:tcW w:w="721" w:type="dxa"/>
            <w:vAlign w:val="center"/>
          </w:tcPr>
          <w:p w14:paraId="6CD86A5B">
            <w:pPr>
              <w:spacing w:line="240" w:lineRule="exact"/>
              <w:jc w:val="center"/>
              <w:rPr>
                <w:rFonts w:cs="Calibri"/>
                <w:sz w:val="18"/>
                <w:szCs w:val="18"/>
              </w:rPr>
            </w:pPr>
            <w:r>
              <w:rPr>
                <w:rFonts w:cs="Calibri"/>
                <w:sz w:val="18"/>
                <w:szCs w:val="18"/>
              </w:rPr>
              <w:t>5</w:t>
            </w:r>
          </w:p>
        </w:tc>
        <w:tc>
          <w:tcPr>
            <w:tcW w:w="721" w:type="dxa"/>
            <w:vAlign w:val="center"/>
          </w:tcPr>
          <w:p w14:paraId="3F84A682">
            <w:pPr>
              <w:spacing w:line="240" w:lineRule="exact"/>
              <w:jc w:val="center"/>
              <w:rPr>
                <w:rFonts w:cs="Calibri"/>
                <w:sz w:val="18"/>
                <w:szCs w:val="18"/>
              </w:rPr>
            </w:pPr>
            <w:r>
              <w:rPr>
                <w:rFonts w:hint="eastAsia" w:cs="Calibri"/>
                <w:sz w:val="18"/>
                <w:szCs w:val="18"/>
              </w:rPr>
              <w:t>8</w:t>
            </w:r>
          </w:p>
        </w:tc>
        <w:tc>
          <w:tcPr>
            <w:tcW w:w="721" w:type="dxa"/>
            <w:vAlign w:val="center"/>
          </w:tcPr>
          <w:p w14:paraId="6EE1A343">
            <w:pPr>
              <w:spacing w:line="240" w:lineRule="exact"/>
              <w:jc w:val="center"/>
              <w:rPr>
                <w:rFonts w:cs="Calibri"/>
                <w:sz w:val="18"/>
                <w:szCs w:val="18"/>
              </w:rPr>
            </w:pPr>
            <w:r>
              <w:rPr>
                <w:rFonts w:hint="eastAsia" w:cs="Calibri"/>
                <w:sz w:val="18"/>
                <w:szCs w:val="18"/>
              </w:rPr>
              <w:t>9</w:t>
            </w:r>
          </w:p>
        </w:tc>
        <w:tc>
          <w:tcPr>
            <w:tcW w:w="721" w:type="dxa"/>
            <w:vAlign w:val="center"/>
          </w:tcPr>
          <w:p w14:paraId="1C65E3D8">
            <w:pPr>
              <w:spacing w:line="240" w:lineRule="exact"/>
              <w:jc w:val="center"/>
              <w:rPr>
                <w:rFonts w:cs="Calibri"/>
                <w:sz w:val="18"/>
                <w:szCs w:val="18"/>
              </w:rPr>
            </w:pPr>
            <w:r>
              <w:rPr>
                <w:rFonts w:hint="eastAsia" w:cs="Calibri"/>
                <w:sz w:val="18"/>
                <w:szCs w:val="18"/>
              </w:rPr>
              <w:t>8</w:t>
            </w:r>
          </w:p>
        </w:tc>
        <w:tc>
          <w:tcPr>
            <w:tcW w:w="721" w:type="dxa"/>
            <w:vAlign w:val="center"/>
          </w:tcPr>
          <w:p w14:paraId="2873B3DD">
            <w:pPr>
              <w:spacing w:line="240" w:lineRule="exact"/>
              <w:jc w:val="center"/>
              <w:rPr>
                <w:rFonts w:cs="Calibri"/>
                <w:sz w:val="18"/>
                <w:szCs w:val="18"/>
              </w:rPr>
            </w:pPr>
            <w:r>
              <w:rPr>
                <w:rFonts w:hint="eastAsia" w:cs="Calibri"/>
                <w:sz w:val="18"/>
                <w:szCs w:val="18"/>
              </w:rPr>
              <w:t>4</w:t>
            </w:r>
          </w:p>
        </w:tc>
        <w:tc>
          <w:tcPr>
            <w:tcW w:w="721" w:type="dxa"/>
            <w:vAlign w:val="center"/>
          </w:tcPr>
          <w:p w14:paraId="33F21794">
            <w:pPr>
              <w:spacing w:line="240" w:lineRule="exact"/>
              <w:jc w:val="center"/>
              <w:rPr>
                <w:rFonts w:cs="Calibri"/>
                <w:sz w:val="18"/>
                <w:szCs w:val="18"/>
              </w:rPr>
            </w:pPr>
            <w:r>
              <w:rPr>
                <w:rFonts w:cs="Calibri"/>
                <w:sz w:val="18"/>
                <w:szCs w:val="18"/>
              </w:rPr>
              <w:t>3</w:t>
            </w:r>
          </w:p>
        </w:tc>
        <w:tc>
          <w:tcPr>
            <w:tcW w:w="721" w:type="dxa"/>
            <w:vAlign w:val="center"/>
          </w:tcPr>
          <w:p w14:paraId="4153C2AB">
            <w:pPr>
              <w:spacing w:line="240" w:lineRule="exact"/>
              <w:jc w:val="center"/>
              <w:rPr>
                <w:rFonts w:cs="Calibri"/>
                <w:sz w:val="18"/>
                <w:szCs w:val="18"/>
              </w:rPr>
            </w:pPr>
            <w:r>
              <w:rPr>
                <w:rFonts w:cs="Calibri"/>
                <w:sz w:val="18"/>
                <w:szCs w:val="18"/>
              </w:rPr>
              <w:t>3</w:t>
            </w:r>
          </w:p>
        </w:tc>
        <w:tc>
          <w:tcPr>
            <w:tcW w:w="721" w:type="dxa"/>
            <w:vAlign w:val="center"/>
          </w:tcPr>
          <w:p w14:paraId="71AFCA7B">
            <w:pPr>
              <w:spacing w:line="240" w:lineRule="exact"/>
              <w:jc w:val="center"/>
              <w:rPr>
                <w:rFonts w:cs="Calibri"/>
                <w:sz w:val="18"/>
                <w:szCs w:val="18"/>
              </w:rPr>
            </w:pPr>
            <w:r>
              <w:rPr>
                <w:rFonts w:cs="Calibri"/>
                <w:sz w:val="18"/>
                <w:szCs w:val="18"/>
              </w:rPr>
              <w:t>0</w:t>
            </w:r>
          </w:p>
        </w:tc>
        <w:tc>
          <w:tcPr>
            <w:tcW w:w="721" w:type="dxa"/>
            <w:vAlign w:val="center"/>
          </w:tcPr>
          <w:p w14:paraId="18D6171E">
            <w:pPr>
              <w:spacing w:line="240" w:lineRule="exact"/>
              <w:jc w:val="center"/>
              <w:rPr>
                <w:rFonts w:cs="Calibri"/>
                <w:sz w:val="18"/>
                <w:szCs w:val="18"/>
              </w:rPr>
            </w:pPr>
            <w:r>
              <w:rPr>
                <w:rFonts w:hint="eastAsia" w:cs="Calibri"/>
                <w:sz w:val="18"/>
                <w:szCs w:val="18"/>
              </w:rPr>
              <w:t>0</w:t>
            </w:r>
          </w:p>
        </w:tc>
        <w:tc>
          <w:tcPr>
            <w:tcW w:w="714" w:type="dxa"/>
            <w:vAlign w:val="center"/>
          </w:tcPr>
          <w:p w14:paraId="6F1DCB21">
            <w:pPr>
              <w:spacing w:line="240" w:lineRule="exact"/>
              <w:jc w:val="center"/>
              <w:rPr>
                <w:rFonts w:cs="Calibri"/>
                <w:sz w:val="18"/>
                <w:szCs w:val="18"/>
              </w:rPr>
            </w:pPr>
            <w:r>
              <w:rPr>
                <w:rFonts w:hint="eastAsia" w:cs="Calibri"/>
                <w:sz w:val="18"/>
                <w:szCs w:val="18"/>
              </w:rPr>
              <w:t>0</w:t>
            </w:r>
          </w:p>
        </w:tc>
      </w:tr>
    </w:tbl>
    <w:p w14:paraId="16DCBEBA">
      <w:pPr>
        <w:spacing w:line="240" w:lineRule="exact"/>
        <w:jc w:val="center"/>
        <w:rPr>
          <w:b/>
          <w:bCs/>
          <w:sz w:val="18"/>
          <w:szCs w:val="18"/>
        </w:rPr>
      </w:pPr>
    </w:p>
    <w:p w14:paraId="40F589EA">
      <w:pPr>
        <w:spacing w:line="240" w:lineRule="exact"/>
        <w:rPr>
          <w:b/>
          <w:bCs/>
          <w:sz w:val="18"/>
          <w:szCs w:val="18"/>
        </w:rPr>
      </w:pPr>
      <w:r>
        <w:rPr>
          <w:rFonts w:hint="eastAsia"/>
          <w:b/>
          <w:bCs/>
          <w:sz w:val="18"/>
          <w:szCs w:val="18"/>
        </w:rPr>
        <w:t>建筑专业</w:t>
      </w:r>
    </w:p>
    <w:p w14:paraId="3659C236">
      <w:pPr>
        <w:spacing w:line="240" w:lineRule="exact"/>
        <w:rPr>
          <w:rFonts w:ascii="黑体" w:hAnsi="宋体" w:eastAsia="黑体"/>
          <w:sz w:val="18"/>
          <w:szCs w:val="18"/>
        </w:rPr>
      </w:pPr>
      <w:r>
        <w:rPr>
          <w:rFonts w:ascii="黑体" w:hAnsi="宋体" w:eastAsia="黑体" w:cs="黑体"/>
          <w:sz w:val="18"/>
          <w:szCs w:val="18"/>
        </w:rPr>
        <w:t>5.2.1</w:t>
      </w:r>
      <w:r>
        <w:rPr>
          <w:rFonts w:hint="eastAsia" w:ascii="黑体" w:hAnsi="宋体" w:eastAsia="黑体" w:cs="黑体"/>
          <w:sz w:val="18"/>
          <w:szCs w:val="18"/>
        </w:rPr>
        <w:t>控制室内主要空气污染物的浓度。</w:t>
      </w:r>
    </w:p>
    <w:p w14:paraId="31ADE271">
      <w:pPr>
        <w:spacing w:line="240" w:lineRule="exact"/>
        <w:rPr>
          <w:rFonts w:ascii="宋体" w:hAnsi="宋体" w:cs="宋体"/>
          <w:sz w:val="18"/>
          <w:szCs w:val="18"/>
        </w:rPr>
      </w:pPr>
      <w:r>
        <w:rPr>
          <w:rFonts w:hint="eastAsia" w:ascii="宋体" w:hAnsi="宋体" w:cs="宋体"/>
          <w:sz w:val="18"/>
          <w:szCs w:val="18"/>
        </w:rPr>
        <w:t>技术措施说明：本项目砌体及结构主体</w:t>
      </w:r>
      <w:r>
        <w:rPr>
          <w:rFonts w:ascii="Times New Roman" w:hAnsi="Times New Roman"/>
          <w:sz w:val="18"/>
          <w:szCs w:val="18"/>
        </w:rPr>
        <w:t>选用符合现行规范的</w:t>
      </w:r>
      <w:r>
        <w:rPr>
          <w:rFonts w:hint="eastAsia" w:ascii="宋体" w:hAnsi="宋体" w:cs="宋体"/>
          <w:sz w:val="18"/>
          <w:szCs w:val="18"/>
        </w:rPr>
        <w:t>预拌混凝土和预拌砂浆，室内涂料</w:t>
      </w:r>
      <w:r>
        <w:rPr>
          <w:rFonts w:ascii="宋体" w:hAnsi="宋体" w:cs="宋体"/>
          <w:sz w:val="18"/>
          <w:szCs w:val="18"/>
        </w:rPr>
        <w:t>、</w:t>
      </w:r>
      <w:r>
        <w:rPr>
          <w:rFonts w:hint="eastAsia" w:ascii="宋体" w:hAnsi="宋体" w:cs="宋体"/>
          <w:sz w:val="18"/>
          <w:szCs w:val="18"/>
        </w:rPr>
        <w:t>密封</w:t>
      </w:r>
      <w:r>
        <w:rPr>
          <w:rFonts w:ascii="宋体" w:hAnsi="宋体" w:cs="宋体"/>
          <w:sz w:val="18"/>
          <w:szCs w:val="18"/>
        </w:rPr>
        <w:t>材料、</w:t>
      </w:r>
      <w:r>
        <w:rPr>
          <w:rFonts w:hint="eastAsia" w:ascii="宋体" w:hAnsi="宋体" w:cs="宋体"/>
          <w:sz w:val="18"/>
          <w:szCs w:val="18"/>
        </w:rPr>
        <w:t>瓷砖、</w:t>
      </w:r>
      <w:r>
        <w:rPr>
          <w:rFonts w:ascii="宋体" w:hAnsi="宋体" w:cs="宋体"/>
          <w:sz w:val="18"/>
          <w:szCs w:val="18"/>
        </w:rPr>
        <w:t>木地板等</w:t>
      </w:r>
      <w:r>
        <w:rPr>
          <w:rFonts w:hint="eastAsia" w:ascii="宋体" w:hAnsi="宋体" w:cs="宋体"/>
          <w:sz w:val="18"/>
          <w:szCs w:val="18"/>
        </w:rPr>
        <w:t>室内装修</w:t>
      </w:r>
      <w:r>
        <w:rPr>
          <w:rFonts w:ascii="宋体" w:hAnsi="宋体" w:cs="宋体"/>
          <w:sz w:val="18"/>
          <w:szCs w:val="18"/>
        </w:rPr>
        <w:t>材料</w:t>
      </w:r>
      <w:r>
        <w:rPr>
          <w:rFonts w:hint="eastAsia" w:ascii="宋体" w:hAnsi="宋体" w:cs="宋体"/>
          <w:sz w:val="18"/>
          <w:szCs w:val="18"/>
        </w:rPr>
        <w:t>选用室内污染物挥发较少的产品，对室内空气污染物进行控制。</w:t>
      </w:r>
      <w:r>
        <w:rPr>
          <w:rFonts w:hint="eastAsia" w:ascii="Times New Roman" w:hAnsi="Times New Roman"/>
          <w:sz w:val="18"/>
          <w:szCs w:val="18"/>
        </w:rPr>
        <w:t>经模拟分析，本项目拟选用污染物释放等级为F</w:t>
      </w:r>
      <w:r>
        <w:rPr>
          <w:rFonts w:ascii="Times New Roman" w:hAnsi="Times New Roman"/>
          <w:sz w:val="18"/>
          <w:szCs w:val="18"/>
        </w:rPr>
        <w:t>1</w:t>
      </w:r>
      <w:r>
        <w:rPr>
          <w:rFonts w:hint="eastAsia" w:ascii="Times New Roman" w:hAnsi="Times New Roman"/>
          <w:sz w:val="18"/>
          <w:szCs w:val="18"/>
        </w:rPr>
        <w:t>级的涂料、板材、瓷砖室内装修材料。结果显示，各主要功能房间</w:t>
      </w:r>
      <w:r>
        <w:rPr>
          <w:rFonts w:ascii="宋体" w:hAnsi="宋体" w:cs="宋体"/>
          <w:sz w:val="18"/>
          <w:szCs w:val="18"/>
        </w:rPr>
        <w:t>室内空气污染物浓度</w:t>
      </w:r>
      <w:r>
        <w:rPr>
          <w:rFonts w:hint="eastAsia" w:ascii="宋体" w:hAnsi="宋体" w:cs="宋体"/>
          <w:sz w:val="18"/>
          <w:szCs w:val="18"/>
        </w:rPr>
        <w:t>（</w:t>
      </w:r>
      <w:r>
        <w:rPr>
          <w:rFonts w:ascii="Times New Roman" w:hAnsi="Times New Roman"/>
          <w:sz w:val="18"/>
          <w:szCs w:val="18"/>
        </w:rPr>
        <w:t>甲醛浓度</w:t>
      </w:r>
      <w:r>
        <w:rPr>
          <w:rFonts w:hint="eastAsia" w:ascii="Times New Roman" w:hAnsi="Times New Roman"/>
          <w:sz w:val="18"/>
          <w:szCs w:val="18"/>
        </w:rPr>
        <w:t>、</w:t>
      </w:r>
      <w:r>
        <w:rPr>
          <w:rFonts w:ascii="Times New Roman" w:hAnsi="Times New Roman"/>
          <w:sz w:val="18"/>
          <w:szCs w:val="18"/>
        </w:rPr>
        <w:t>苯浓度</w:t>
      </w:r>
      <w:r>
        <w:rPr>
          <w:rFonts w:hint="eastAsia" w:ascii="Times New Roman" w:hAnsi="Times New Roman"/>
          <w:sz w:val="18"/>
          <w:szCs w:val="18"/>
        </w:rPr>
        <w:t>、</w:t>
      </w:r>
      <w:r>
        <w:rPr>
          <w:rFonts w:ascii="Times New Roman" w:hAnsi="Times New Roman"/>
          <w:sz w:val="18"/>
          <w:szCs w:val="18"/>
        </w:rPr>
        <w:t>TVOC 浓度</w:t>
      </w:r>
      <w:r>
        <w:rPr>
          <w:rFonts w:hint="eastAsia" w:ascii="宋体" w:hAnsi="宋体" w:cs="宋体"/>
          <w:sz w:val="18"/>
          <w:szCs w:val="18"/>
        </w:rPr>
        <w:t>）</w:t>
      </w:r>
      <w:r>
        <w:rPr>
          <w:rFonts w:ascii="宋体" w:hAnsi="宋体" w:cs="宋体"/>
          <w:sz w:val="18"/>
          <w:szCs w:val="18"/>
        </w:rPr>
        <w:t>比规定</w:t>
      </w:r>
      <w:r>
        <w:rPr>
          <w:rFonts w:hint="eastAsia" w:ascii="宋体" w:hAnsi="宋体" w:cs="宋体"/>
          <w:sz w:val="18"/>
          <w:szCs w:val="18"/>
        </w:rPr>
        <w:t>《室内空气质量标准》G</w:t>
      </w:r>
      <w:r>
        <w:rPr>
          <w:rFonts w:ascii="宋体" w:hAnsi="宋体" w:cs="宋体"/>
          <w:sz w:val="18"/>
          <w:szCs w:val="18"/>
        </w:rPr>
        <w:t>B/T 18883要求</w:t>
      </w:r>
      <w:r>
        <w:rPr>
          <w:rFonts w:hint="eastAsia" w:ascii="宋体" w:hAnsi="宋体" w:cs="宋体"/>
          <w:sz w:val="18"/>
          <w:szCs w:val="18"/>
        </w:rPr>
        <w:t>的限定值</w:t>
      </w:r>
      <w:r>
        <w:rPr>
          <w:rFonts w:ascii="宋体" w:hAnsi="宋体" w:cs="宋体"/>
          <w:sz w:val="18"/>
          <w:szCs w:val="18"/>
        </w:rPr>
        <w:t>降低20</w:t>
      </w:r>
      <w:r>
        <w:rPr>
          <w:rFonts w:hint="eastAsia" w:ascii="宋体" w:hAnsi="宋体" w:cs="宋体"/>
          <w:sz w:val="18"/>
          <w:szCs w:val="18"/>
        </w:rPr>
        <w:t>%以上，同时满足《建筑环境通用规范》G</w:t>
      </w:r>
      <w:r>
        <w:rPr>
          <w:rFonts w:ascii="宋体" w:hAnsi="宋体" w:cs="宋体"/>
          <w:sz w:val="18"/>
          <w:szCs w:val="18"/>
        </w:rPr>
        <w:t>B55016-2021</w:t>
      </w:r>
      <w:r>
        <w:rPr>
          <w:rFonts w:hint="eastAsia" w:ascii="宋体" w:hAnsi="宋体" w:cs="宋体"/>
          <w:sz w:val="18"/>
          <w:szCs w:val="18"/>
        </w:rPr>
        <w:t>关于I类民用建筑工程的限量值要求</w:t>
      </w:r>
      <w:r>
        <w:rPr>
          <w:rFonts w:ascii="宋体" w:hAnsi="宋体" w:cs="宋体"/>
          <w:sz w:val="18"/>
          <w:szCs w:val="18"/>
        </w:rPr>
        <w:t>。</w:t>
      </w:r>
    </w:p>
    <w:p w14:paraId="48B966A5">
      <w:pPr>
        <w:spacing w:line="240" w:lineRule="exact"/>
        <w:rPr>
          <w:rFonts w:ascii="宋体" w:hAnsi="宋体"/>
          <w:sz w:val="18"/>
          <w:szCs w:val="18"/>
        </w:rPr>
      </w:pPr>
      <w:r>
        <w:rPr>
          <w:rFonts w:hint="eastAsia" w:ascii="宋体" w:hAnsi="宋体" w:cs="宋体"/>
          <w:sz w:val="18"/>
          <w:szCs w:val="18"/>
        </w:rPr>
        <w:t>证明材料：√室内有机挥发物浓度预评价报告；</w:t>
      </w:r>
      <w:r>
        <w:rPr>
          <w:rFonts w:ascii="宋体" w:hAnsi="宋体" w:cs="宋体"/>
          <w:sz w:val="18"/>
          <w:szCs w:val="18"/>
        </w:rPr>
        <w:t xml:space="preserve"> </w:t>
      </w:r>
      <w:r>
        <w:rPr>
          <w:rFonts w:hint="eastAsia" w:ascii="宋体" w:hAnsi="宋体" w:cs="宋体"/>
          <w:sz w:val="18"/>
          <w:szCs w:val="18"/>
        </w:rPr>
        <w:t>√颗粒物预评价报告书；</w:t>
      </w:r>
      <w:r>
        <w:rPr>
          <w:rFonts w:ascii="宋体" w:hAnsi="宋体" w:cs="宋体"/>
          <w:sz w:val="18"/>
          <w:szCs w:val="18"/>
        </w:rPr>
        <w:t xml:space="preserve"> </w:t>
      </w:r>
      <w:r>
        <w:rPr>
          <w:rFonts w:hint="eastAsia" w:ascii="宋体" w:hAnsi="宋体" w:cs="宋体"/>
          <w:sz w:val="18"/>
          <w:szCs w:val="18"/>
        </w:rPr>
        <w:t>√设计图纸（建筑、</w:t>
      </w:r>
      <w:r>
        <w:rPr>
          <w:rFonts w:ascii="宋体" w:hAnsi="宋体" w:cs="宋体"/>
          <w:sz w:val="18"/>
          <w:szCs w:val="18"/>
        </w:rPr>
        <w:t>SM-01_建筑设计总说明</w:t>
      </w:r>
      <w:r>
        <w:rPr>
          <w:rFonts w:hint="eastAsia" w:ascii="宋体" w:hAnsi="宋体" w:cs="宋体"/>
          <w:sz w:val="18"/>
          <w:szCs w:val="18"/>
        </w:rPr>
        <w:t xml:space="preserve"> SM-02_建筑装修构造做法说明表）√</w:t>
      </w:r>
      <w:r>
        <w:rPr>
          <w:rFonts w:hint="eastAsia" w:ascii="宋体" w:hAnsi="宋体"/>
          <w:sz w:val="18"/>
          <w:szCs w:val="18"/>
        </w:rPr>
        <w:t>二次设计达标承诺函</w:t>
      </w:r>
    </w:p>
    <w:p w14:paraId="377D48EB">
      <w:pPr>
        <w:spacing w:line="240" w:lineRule="exact"/>
        <w:rPr>
          <w:rFonts w:ascii="黑体" w:hAnsi="宋体" w:eastAsia="黑体"/>
          <w:sz w:val="18"/>
          <w:szCs w:val="18"/>
        </w:rPr>
      </w:pPr>
      <w:r>
        <w:rPr>
          <w:rFonts w:ascii="黑体" w:hAnsi="宋体" w:eastAsia="黑体" w:cs="黑体"/>
          <w:sz w:val="18"/>
          <w:szCs w:val="18"/>
        </w:rPr>
        <w:t>5.2.2</w:t>
      </w:r>
      <w:r>
        <w:rPr>
          <w:rFonts w:hint="eastAsia" w:ascii="黑体" w:hAnsi="宋体" w:eastAsia="黑体" w:cs="黑体"/>
          <w:sz w:val="18"/>
          <w:szCs w:val="18"/>
        </w:rPr>
        <w:t>选用的装饰装修材料满足国家现行绿色产品评价标准中对有害物质限量的要求。</w:t>
      </w:r>
    </w:p>
    <w:p w14:paraId="7D85FAE3">
      <w:pPr>
        <w:spacing w:line="240" w:lineRule="exact"/>
        <w:rPr>
          <w:rFonts w:ascii="宋体"/>
          <w:sz w:val="18"/>
          <w:szCs w:val="18"/>
        </w:rPr>
      </w:pPr>
      <w:r>
        <w:rPr>
          <w:rFonts w:hint="eastAsia" w:ascii="宋体" w:hAnsi="宋体" w:cs="宋体"/>
          <w:sz w:val="18"/>
          <w:szCs w:val="18"/>
        </w:rPr>
        <w:t>技术措施说明：（本项目</w:t>
      </w:r>
      <w:r>
        <w:rPr>
          <w:rFonts w:ascii="宋体" w:hAnsi="宋体" w:cs="宋体"/>
          <w:sz w:val="18"/>
          <w:szCs w:val="18"/>
        </w:rPr>
        <w:t>的</w:t>
      </w:r>
      <w:r>
        <w:rPr>
          <w:rFonts w:hint="eastAsia" w:ascii="宋体" w:hAnsi="宋体" w:cs="宋体"/>
          <w:sz w:val="18"/>
          <w:szCs w:val="18"/>
        </w:rPr>
        <w:t>预拌混凝土和预拌砂浆全部采用通过认证的绿色建材；此外室内</w:t>
      </w:r>
      <w:r>
        <w:rPr>
          <w:rFonts w:ascii="宋体" w:hAnsi="宋体" w:cs="宋体"/>
          <w:sz w:val="18"/>
          <w:szCs w:val="18"/>
        </w:rPr>
        <w:t>装修材料</w:t>
      </w:r>
      <w:r>
        <w:rPr>
          <w:rFonts w:hint="eastAsia" w:ascii="宋体" w:hAnsi="宋体" w:cs="宋体"/>
          <w:sz w:val="18"/>
          <w:szCs w:val="18"/>
        </w:rPr>
        <w:t>涂料</w:t>
      </w:r>
      <w:r>
        <w:rPr>
          <w:rFonts w:ascii="宋体" w:hAnsi="宋体" w:cs="宋体"/>
          <w:sz w:val="18"/>
          <w:szCs w:val="18"/>
        </w:rPr>
        <w:t>、</w:t>
      </w:r>
      <w:r>
        <w:rPr>
          <w:rFonts w:hint="eastAsia" w:ascii="宋体" w:hAnsi="宋体" w:cs="宋体"/>
          <w:sz w:val="18"/>
          <w:szCs w:val="18"/>
        </w:rPr>
        <w:t>密封</w:t>
      </w:r>
      <w:r>
        <w:rPr>
          <w:rFonts w:ascii="宋体" w:hAnsi="宋体" w:cs="宋体"/>
          <w:sz w:val="18"/>
          <w:szCs w:val="18"/>
        </w:rPr>
        <w:t>材料、</w:t>
      </w:r>
      <w:r>
        <w:rPr>
          <w:rFonts w:hint="eastAsia" w:ascii="宋体" w:hAnsi="宋体" w:cs="宋体"/>
          <w:sz w:val="18"/>
          <w:szCs w:val="18"/>
        </w:rPr>
        <w:t>瓷砖、</w:t>
      </w:r>
      <w:r>
        <w:rPr>
          <w:rFonts w:ascii="宋体" w:hAnsi="宋体" w:cs="宋体"/>
          <w:sz w:val="18"/>
          <w:szCs w:val="18"/>
        </w:rPr>
        <w:t>木地板等材料均满足</w:t>
      </w:r>
      <w:r>
        <w:rPr>
          <w:rFonts w:hint="eastAsia" w:ascii="宋体" w:hAnsi="宋体" w:cs="宋体"/>
          <w:sz w:val="18"/>
          <w:szCs w:val="18"/>
        </w:rPr>
        <w:t>《绿色产品评价 人造板和木质地板》GB/T 35601、《绿色产品评价 涂料》GB/T 35602、《绿色产品评价卫生陶瓷》GB/T 35603、《绿色产品评价 建筑玻璃》GB/T 35604、《绿色产品评价 墙体材料》GB/T 35605、《绿色产品评价绝热材料》GB/T 35608、《绿色产品评价 防水与密封材料》GB/T 35609、《绿色产品评价 陶瓷砖（板）》GB/T 35610的相关要求</w:t>
      </w:r>
      <w:r>
        <w:rPr>
          <w:rFonts w:ascii="宋体" w:hAnsi="宋体" w:cs="宋体"/>
          <w:sz w:val="18"/>
          <w:szCs w:val="18"/>
        </w:rPr>
        <w:t>，</w:t>
      </w:r>
      <w:r>
        <w:rPr>
          <w:rFonts w:hint="eastAsia" w:ascii="宋体" w:hAnsi="宋体" w:cs="宋体"/>
          <w:sz w:val="18"/>
          <w:szCs w:val="18"/>
        </w:rPr>
        <w:t>有害物种类</w:t>
      </w:r>
      <w:r>
        <w:rPr>
          <w:rFonts w:ascii="宋体" w:hAnsi="宋体" w:cs="宋体"/>
          <w:sz w:val="18"/>
          <w:szCs w:val="18"/>
        </w:rPr>
        <w:t>及</w:t>
      </w:r>
      <w:r>
        <w:rPr>
          <w:rFonts w:hint="eastAsia" w:ascii="宋体" w:hAnsi="宋体" w:cs="宋体"/>
          <w:sz w:val="18"/>
          <w:szCs w:val="18"/>
        </w:rPr>
        <w:t>限量</w:t>
      </w:r>
      <w:r>
        <w:rPr>
          <w:rFonts w:ascii="宋体" w:hAnsi="宋体" w:cs="宋体"/>
          <w:sz w:val="18"/>
          <w:szCs w:val="18"/>
        </w:rPr>
        <w:t>进行了限定，</w:t>
      </w:r>
      <w:r>
        <w:rPr>
          <w:rFonts w:hint="eastAsia" w:ascii="宋体" w:hAnsi="宋体" w:cs="宋体"/>
          <w:sz w:val="18"/>
          <w:szCs w:val="18"/>
        </w:rPr>
        <w:t>新风量</w:t>
      </w:r>
      <w:r>
        <w:rPr>
          <w:rFonts w:ascii="宋体" w:hAnsi="宋体" w:cs="宋体"/>
          <w:sz w:val="18"/>
          <w:szCs w:val="18"/>
        </w:rPr>
        <w:t>系统的</w:t>
      </w:r>
      <w:r>
        <w:rPr>
          <w:rFonts w:hint="eastAsia" w:ascii="宋体" w:hAnsi="宋体" w:cs="宋体"/>
          <w:sz w:val="18"/>
          <w:szCs w:val="18"/>
        </w:rPr>
        <w:t>新风量</w:t>
      </w:r>
      <w:r>
        <w:rPr>
          <w:rFonts w:ascii="宋体" w:hAnsi="宋体" w:cs="宋体"/>
          <w:sz w:val="18"/>
          <w:szCs w:val="18"/>
        </w:rPr>
        <w:t>满足</w:t>
      </w:r>
      <w:r>
        <w:rPr>
          <w:rFonts w:hint="eastAsia" w:ascii="宋体" w:hAnsi="宋体" w:cs="宋体"/>
          <w:sz w:val="18"/>
          <w:szCs w:val="18"/>
        </w:rPr>
        <w:t>《公共建筑室内空气质量控制设计标准》JGJ／T461对应的</w:t>
      </w:r>
      <w:r>
        <w:rPr>
          <w:rFonts w:ascii="宋体" w:hAnsi="宋体" w:cs="宋体"/>
          <w:sz w:val="18"/>
          <w:szCs w:val="18"/>
        </w:rPr>
        <w:t>一类室内环境的新风量要求</w:t>
      </w:r>
      <w:r>
        <w:rPr>
          <w:rFonts w:hint="eastAsia" w:ascii="宋体" w:hAnsi="宋体" w:cs="宋体"/>
          <w:sz w:val="18"/>
          <w:szCs w:val="18"/>
        </w:rPr>
        <w:t>。选用满足要求的装修装饰材料达到</w:t>
      </w:r>
      <w:r>
        <w:rPr>
          <w:rFonts w:ascii="宋体" w:hAnsi="宋体" w:cs="宋体"/>
          <w:sz w:val="18"/>
          <w:szCs w:val="18"/>
        </w:rPr>
        <w:t>3</w:t>
      </w:r>
      <w:r>
        <w:rPr>
          <w:rFonts w:hint="eastAsia" w:ascii="宋体" w:hAnsi="宋体" w:cs="宋体"/>
          <w:sz w:val="18"/>
          <w:szCs w:val="18"/>
        </w:rPr>
        <w:t>类及以上）</w:t>
      </w:r>
    </w:p>
    <w:p w14:paraId="63EF7165">
      <w:pPr>
        <w:spacing w:line="240" w:lineRule="exact"/>
        <w:rPr>
          <w:rFonts w:ascii="黑体" w:hAnsi="宋体" w:eastAsia="黑体"/>
          <w:sz w:val="18"/>
          <w:szCs w:val="18"/>
        </w:rPr>
      </w:pPr>
      <w:r>
        <w:rPr>
          <w:rFonts w:hint="eastAsia" w:ascii="宋体" w:hAnsi="宋体" w:cs="宋体"/>
          <w:sz w:val="18"/>
          <w:szCs w:val="18"/>
        </w:rPr>
        <w:t>证明材料：√</w:t>
      </w:r>
      <w:r>
        <w:rPr>
          <w:rFonts w:hint="eastAsia" w:ascii="宋体" w:hAnsi="宋体"/>
          <w:sz w:val="18"/>
          <w:szCs w:val="18"/>
        </w:rPr>
        <w:t>二次设计达标承诺函</w:t>
      </w:r>
    </w:p>
    <w:p w14:paraId="74F9C095">
      <w:pPr>
        <w:spacing w:line="240" w:lineRule="exact"/>
        <w:rPr>
          <w:rFonts w:ascii="黑体" w:hAnsi="宋体" w:eastAsia="黑体"/>
          <w:sz w:val="18"/>
          <w:szCs w:val="18"/>
        </w:rPr>
      </w:pPr>
      <w:r>
        <w:rPr>
          <w:rFonts w:ascii="黑体" w:hAnsi="宋体" w:eastAsia="黑体" w:cs="黑体"/>
          <w:sz w:val="18"/>
          <w:szCs w:val="18"/>
        </w:rPr>
        <w:t>5.2.6</w:t>
      </w:r>
      <w:r>
        <w:rPr>
          <w:rFonts w:hint="eastAsia" w:ascii="黑体" w:hAnsi="宋体" w:eastAsia="黑体" w:cs="黑体"/>
          <w:sz w:val="18"/>
          <w:szCs w:val="18"/>
        </w:rPr>
        <w:t>采取措施优化主要功能房间的室内声环境。</w:t>
      </w:r>
    </w:p>
    <w:p w14:paraId="72A9489D">
      <w:pPr>
        <w:spacing w:line="240" w:lineRule="exact"/>
        <w:jc w:val="left"/>
        <w:rPr>
          <w:rFonts w:ascii="宋体" w:hAnsi="宋体" w:cs="宋体"/>
          <w:sz w:val="18"/>
          <w:szCs w:val="18"/>
        </w:rPr>
      </w:pPr>
      <w:r>
        <w:rPr>
          <w:rFonts w:hint="eastAsia" w:ascii="宋体" w:hAnsi="宋体" w:cs="宋体"/>
          <w:sz w:val="18"/>
          <w:szCs w:val="18"/>
        </w:rPr>
        <w:t>技术措施说明：根据现场踏勘和对地块周边现状的了解以及该地区的发展规划，可能对建设项目产生影响的外环境噪声源主要为交通噪声与生活噪声。根据《</w:t>
      </w:r>
      <w:r>
        <w:rPr>
          <w:rFonts w:hint="eastAsia" w:ascii="宋体" w:hAnsi="宋体"/>
          <w:sz w:val="18"/>
          <w:szCs w:val="18"/>
        </w:rPr>
        <w:t>室外</w:t>
      </w:r>
      <w:r>
        <w:rPr>
          <w:rFonts w:ascii="宋体" w:hAnsi="宋体"/>
          <w:sz w:val="18"/>
          <w:szCs w:val="18"/>
        </w:rPr>
        <w:t>声环境模拟报告</w:t>
      </w:r>
      <w:r>
        <w:rPr>
          <w:rFonts w:hint="eastAsia" w:ascii="宋体" w:hAnsi="宋体"/>
          <w:sz w:val="18"/>
          <w:szCs w:val="18"/>
        </w:rPr>
        <w:t>》</w:t>
      </w:r>
      <w:r>
        <w:rPr>
          <w:rFonts w:hint="eastAsia" w:ascii="宋体" w:hAnsi="宋体" w:cs="宋体"/>
          <w:sz w:val="18"/>
          <w:szCs w:val="18"/>
        </w:rPr>
        <w:t>，项目最不利室外背景噪声值的建筑单体为会议室，其昼夜室外背景噪声边界值分别为：昼间：</w:t>
      </w:r>
      <w:r>
        <w:rPr>
          <w:rFonts w:ascii="宋体" w:hAnsi="宋体" w:cs="宋体"/>
          <w:sz w:val="18"/>
          <w:szCs w:val="18"/>
        </w:rPr>
        <w:t>58</w:t>
      </w:r>
      <w:r>
        <w:rPr>
          <w:rFonts w:hint="eastAsia" w:ascii="宋体" w:hAnsi="宋体" w:cs="宋体"/>
          <w:sz w:val="18"/>
          <w:szCs w:val="18"/>
        </w:rPr>
        <w:t>dB，夜间：5</w:t>
      </w:r>
      <w:r>
        <w:rPr>
          <w:rFonts w:ascii="宋体" w:hAnsi="宋体" w:cs="宋体"/>
          <w:sz w:val="18"/>
          <w:szCs w:val="18"/>
        </w:rPr>
        <w:t>3</w:t>
      </w:r>
      <w:r>
        <w:rPr>
          <w:rFonts w:hint="eastAsia" w:ascii="宋体" w:hAnsi="宋体" w:cs="宋体"/>
          <w:sz w:val="18"/>
          <w:szCs w:val="18"/>
        </w:rPr>
        <w:t>dB。</w:t>
      </w:r>
      <w:r>
        <w:rPr>
          <w:rFonts w:hint="eastAsia" w:ascii="宋体" w:hAnsi="宋体"/>
          <w:sz w:val="18"/>
          <w:szCs w:val="18"/>
        </w:rPr>
        <w:t>主要功能房间外窗采用</w:t>
      </w:r>
      <w:r>
        <w:rPr>
          <w:rFonts w:hint="eastAsia" w:ascii="宋体" w:hAnsi="宋体" w:cs="宋体"/>
          <w:sz w:val="18"/>
          <w:szCs w:val="18"/>
        </w:rPr>
        <w:t>6LOW-e+12</w:t>
      </w:r>
      <w:r>
        <w:rPr>
          <w:rFonts w:hint="eastAsia" w:ascii="宋体" w:hAnsi="宋体" w:cs="宋体"/>
          <w:sz w:val="18"/>
          <w:szCs w:val="18"/>
          <w:lang w:eastAsia="zh-CN"/>
        </w:rPr>
        <w:t>A</w:t>
      </w:r>
      <w:r>
        <w:rPr>
          <w:rFonts w:hint="eastAsia" w:ascii="宋体" w:hAnsi="宋体" w:cs="宋体"/>
          <w:sz w:val="18"/>
          <w:szCs w:val="18"/>
        </w:rPr>
        <w:t>+6中透光中空玻璃，其交通频谱空气隔声量为3</w:t>
      </w:r>
      <w:r>
        <w:rPr>
          <w:rFonts w:ascii="宋体" w:hAnsi="宋体" w:cs="宋体"/>
          <w:sz w:val="18"/>
          <w:szCs w:val="18"/>
        </w:rPr>
        <w:t>0</w:t>
      </w:r>
      <w:r>
        <w:rPr>
          <w:rFonts w:hint="eastAsia" w:ascii="宋体" w:hAnsi="宋体" w:cs="宋体"/>
          <w:sz w:val="18"/>
          <w:szCs w:val="18"/>
        </w:rPr>
        <w:t xml:space="preserve"> dB（A）</w:t>
      </w:r>
      <w:r>
        <w:rPr>
          <w:rFonts w:hint="eastAsia" w:ascii="宋体" w:hAnsi="宋体"/>
          <w:sz w:val="18"/>
          <w:szCs w:val="18"/>
        </w:rPr>
        <w:t>。</w:t>
      </w:r>
      <w:r>
        <w:rPr>
          <w:rFonts w:ascii="宋体" w:hAnsi="宋体"/>
          <w:sz w:val="18"/>
          <w:szCs w:val="18"/>
        </w:rPr>
        <w:t>室内设备噪声主要为空调噪声，</w:t>
      </w:r>
      <w:r>
        <w:rPr>
          <w:rFonts w:hint="eastAsia" w:ascii="宋体" w:hAnsi="宋体"/>
          <w:sz w:val="18"/>
          <w:szCs w:val="18"/>
        </w:rPr>
        <w:t>根据暖通设计文件，各功能房间采用多联式空调，室内机昼间中速档运行。经计算，主要功能房间内室内叠加总声压级达到现行国家现行标准《民用建筑隔声设计规范》</w:t>
      </w:r>
      <w:r>
        <w:rPr>
          <w:rFonts w:ascii="宋体" w:hAnsi="宋体"/>
          <w:sz w:val="18"/>
          <w:szCs w:val="18"/>
        </w:rPr>
        <w:t>GB 50118</w:t>
      </w:r>
      <w:r>
        <w:rPr>
          <w:rFonts w:hint="eastAsia" w:ascii="宋体" w:hAnsi="宋体"/>
          <w:sz w:val="18"/>
          <w:szCs w:val="18"/>
        </w:rPr>
        <w:t>中规定的低限标准限值和高要求标准的平均值要求，同时外部噪声源传播至功能房间的室内噪声值满足《建筑环境通用规范》G</w:t>
      </w:r>
      <w:r>
        <w:rPr>
          <w:rFonts w:ascii="宋体" w:hAnsi="宋体"/>
          <w:sz w:val="18"/>
          <w:szCs w:val="18"/>
        </w:rPr>
        <w:t>B55016</w:t>
      </w:r>
      <w:r>
        <w:rPr>
          <w:rFonts w:hint="eastAsia" w:ascii="宋体" w:hAnsi="宋体"/>
          <w:sz w:val="18"/>
          <w:szCs w:val="18"/>
        </w:rPr>
        <w:t>规定的限定值要求</w:t>
      </w:r>
      <w:r>
        <w:rPr>
          <w:rFonts w:hint="eastAsia" w:ascii="宋体" w:hAnsi="宋体" w:cs="宋体"/>
          <w:sz w:val="18"/>
          <w:szCs w:val="18"/>
        </w:rPr>
        <w:t>。</w:t>
      </w:r>
    </w:p>
    <w:p w14:paraId="13E3854C">
      <w:pPr>
        <w:spacing w:line="240" w:lineRule="exact"/>
        <w:rPr>
          <w:rFonts w:ascii="黑体" w:hAnsi="宋体" w:eastAsia="黑体"/>
          <w:sz w:val="18"/>
          <w:szCs w:val="18"/>
        </w:rPr>
      </w:pPr>
      <w:r>
        <w:rPr>
          <w:rFonts w:hint="eastAsia" w:ascii="宋体" w:hAnsi="宋体" w:cs="宋体"/>
          <w:sz w:val="18"/>
          <w:szCs w:val="18"/>
        </w:rPr>
        <w:t>证明材料：√</w:t>
      </w:r>
      <w:r>
        <w:rPr>
          <w:rFonts w:hint="eastAsia" w:ascii="宋体" w:hAnsi="宋体"/>
          <w:sz w:val="18"/>
          <w:szCs w:val="18"/>
        </w:rPr>
        <w:t>室外</w:t>
      </w:r>
      <w:r>
        <w:rPr>
          <w:rFonts w:ascii="宋体" w:hAnsi="宋体"/>
          <w:sz w:val="18"/>
          <w:szCs w:val="18"/>
        </w:rPr>
        <w:t>声环境模拟报告</w:t>
      </w:r>
      <w:r>
        <w:rPr>
          <w:rFonts w:hint="eastAsia" w:ascii="宋体" w:hAnsi="宋体"/>
          <w:sz w:val="18"/>
          <w:szCs w:val="18"/>
        </w:rPr>
        <w:t>；</w:t>
      </w:r>
      <w:r>
        <w:rPr>
          <w:rFonts w:hint="eastAsia" w:ascii="宋体" w:hAnsi="宋体" w:cs="宋体"/>
          <w:sz w:val="18"/>
          <w:szCs w:val="18"/>
        </w:rPr>
        <w:t>√</w:t>
      </w:r>
      <w:r>
        <w:rPr>
          <w:rFonts w:hint="eastAsia" w:cs="宋体"/>
          <w:sz w:val="18"/>
          <w:szCs w:val="18"/>
        </w:rPr>
        <w:t>室内背景噪声计算书；</w:t>
      </w:r>
      <w:r>
        <w:rPr>
          <w:rFonts w:hint="eastAsia" w:ascii="宋体" w:hAnsi="宋体" w:cs="宋体"/>
          <w:sz w:val="18"/>
          <w:szCs w:val="18"/>
        </w:rPr>
        <w:t>√设计图纸（建筑、</w:t>
      </w:r>
      <w:r>
        <w:rPr>
          <w:rFonts w:ascii="宋体" w:hAnsi="宋体" w:cs="宋体"/>
          <w:sz w:val="18"/>
          <w:szCs w:val="18"/>
        </w:rPr>
        <w:t>SM-01_建筑设计总说明</w:t>
      </w:r>
      <w:r>
        <w:rPr>
          <w:rFonts w:hint="eastAsia" w:ascii="宋体" w:hAnsi="宋体" w:cs="宋体"/>
          <w:sz w:val="18"/>
          <w:szCs w:val="18"/>
        </w:rPr>
        <w:t xml:space="preserve"> SM-02_建筑装修构造做法说明表）</w:t>
      </w:r>
    </w:p>
    <w:p w14:paraId="7F44B902">
      <w:pPr>
        <w:spacing w:line="240" w:lineRule="exact"/>
        <w:rPr>
          <w:rFonts w:ascii="黑体" w:hAnsi="宋体" w:eastAsia="黑体"/>
          <w:sz w:val="18"/>
          <w:szCs w:val="18"/>
        </w:rPr>
      </w:pPr>
      <w:r>
        <w:rPr>
          <w:rFonts w:ascii="黑体" w:hAnsi="宋体" w:eastAsia="黑体" w:cs="黑体"/>
          <w:sz w:val="18"/>
          <w:szCs w:val="18"/>
        </w:rPr>
        <w:t>5.2.7</w:t>
      </w:r>
      <w:r>
        <w:rPr>
          <w:rFonts w:hint="eastAsia" w:ascii="黑体" w:hAnsi="宋体" w:eastAsia="黑体" w:cs="黑体"/>
          <w:sz w:val="18"/>
          <w:szCs w:val="18"/>
        </w:rPr>
        <w:t>主要功能房间的隔声性能良好。</w:t>
      </w:r>
    </w:p>
    <w:p w14:paraId="1466A029">
      <w:pPr>
        <w:spacing w:line="240" w:lineRule="exact"/>
        <w:rPr>
          <w:rFonts w:ascii="宋体" w:hAnsi="宋体" w:cs="宋体"/>
          <w:sz w:val="18"/>
          <w:szCs w:val="18"/>
        </w:rPr>
      </w:pPr>
      <w:r>
        <w:rPr>
          <w:rFonts w:hint="eastAsia" w:ascii="宋体" w:hAnsi="宋体" w:cs="宋体"/>
          <w:sz w:val="18"/>
          <w:szCs w:val="18"/>
        </w:rPr>
        <w:t>技术措施说明：本</w:t>
      </w:r>
      <w:r>
        <w:rPr>
          <w:rFonts w:hint="eastAsia" w:ascii="宋体" w:hAnsi="宋体"/>
          <w:sz w:val="18"/>
          <w:szCs w:val="18"/>
        </w:rPr>
        <w:t>项目为</w:t>
      </w:r>
      <w:r>
        <w:rPr>
          <w:rFonts w:hint="eastAsia" w:ascii="宋体" w:hAnsi="宋体"/>
          <w:sz w:val="18"/>
          <w:szCs w:val="18"/>
          <w:lang w:val="en-US" w:eastAsia="zh-CN"/>
        </w:rPr>
        <w:t>医院</w:t>
      </w:r>
      <w:r>
        <w:rPr>
          <w:rFonts w:hint="eastAsia" w:ascii="宋体" w:hAnsi="宋体"/>
          <w:sz w:val="18"/>
          <w:szCs w:val="18"/>
        </w:rPr>
        <w:t>建筑，隔墙采用</w:t>
      </w:r>
      <w:r>
        <w:rPr>
          <w:rFonts w:ascii="宋体" w:hAnsi="宋体"/>
          <w:sz w:val="18"/>
          <w:szCs w:val="18"/>
        </w:rPr>
        <w:t>200mm</w:t>
      </w:r>
      <w:r>
        <w:rPr>
          <w:rFonts w:hint="eastAsia" w:ascii="宋体" w:hAnsi="宋体"/>
          <w:sz w:val="18"/>
          <w:szCs w:val="18"/>
        </w:rPr>
        <w:t>加气混凝土砌块，主要</w:t>
      </w:r>
      <w:r>
        <w:rPr>
          <w:rFonts w:ascii="宋体" w:hAnsi="宋体"/>
          <w:sz w:val="18"/>
          <w:szCs w:val="18"/>
        </w:rPr>
        <w:t>功能房间</w:t>
      </w:r>
      <w:r>
        <w:rPr>
          <w:rFonts w:hint="eastAsia" w:ascii="宋体" w:hAnsi="宋体"/>
          <w:sz w:val="18"/>
          <w:szCs w:val="18"/>
        </w:rPr>
        <w:t>外窗采用</w:t>
      </w:r>
      <w:r>
        <w:rPr>
          <w:rFonts w:hint="eastAsia" w:ascii="宋体" w:hAnsi="宋体" w:cs="宋体"/>
          <w:sz w:val="18"/>
          <w:szCs w:val="18"/>
        </w:rPr>
        <w:t>6LOW-e+12</w:t>
      </w:r>
      <w:r>
        <w:rPr>
          <w:rFonts w:hint="eastAsia" w:ascii="宋体" w:hAnsi="宋体" w:cs="宋体"/>
          <w:sz w:val="18"/>
          <w:szCs w:val="18"/>
          <w:lang w:eastAsia="zh-CN"/>
        </w:rPr>
        <w:t>A</w:t>
      </w:r>
      <w:r>
        <w:rPr>
          <w:rFonts w:hint="eastAsia" w:ascii="宋体" w:hAnsi="宋体" w:cs="宋体"/>
          <w:sz w:val="18"/>
          <w:szCs w:val="18"/>
        </w:rPr>
        <w:t>+6中透光中空玻璃</w:t>
      </w:r>
      <w:r>
        <w:rPr>
          <w:rFonts w:hint="eastAsia" w:ascii="宋体" w:hAnsi="宋体"/>
          <w:sz w:val="18"/>
          <w:szCs w:val="18"/>
        </w:rPr>
        <w:t>，各功能间的门采用钢制平开门，楼板采用</w:t>
      </w:r>
      <w:r>
        <w:rPr>
          <w:rFonts w:ascii="宋体" w:hAnsi="宋体"/>
          <w:sz w:val="18"/>
          <w:szCs w:val="18"/>
        </w:rPr>
        <w:t>3mm隔声垫</w:t>
      </w:r>
      <w:r>
        <w:rPr>
          <w:rFonts w:hint="eastAsia" w:ascii="宋体" w:hAnsi="宋体"/>
          <w:sz w:val="18"/>
          <w:szCs w:val="18"/>
        </w:rPr>
        <w:t>隔声楼板。</w:t>
      </w:r>
      <w:r>
        <w:rPr>
          <w:rFonts w:hint="eastAsia" w:ascii="宋体" w:hAnsi="宋体" w:cs="宋体"/>
          <w:sz w:val="18"/>
          <w:szCs w:val="18"/>
        </w:rPr>
        <w:t>各</w:t>
      </w:r>
      <w:r>
        <w:rPr>
          <w:rFonts w:hint="eastAsia" w:ascii="宋体" w:hAnsi="宋体"/>
          <w:sz w:val="18"/>
          <w:szCs w:val="18"/>
        </w:rPr>
        <w:t>构件隔声性能隔声性能均满足现行国家标准</w:t>
      </w:r>
      <w:r>
        <w:rPr>
          <w:rFonts w:ascii="宋体" w:hAnsi="宋体"/>
          <w:sz w:val="18"/>
          <w:szCs w:val="18"/>
        </w:rPr>
        <w:t xml:space="preserve"> </w:t>
      </w:r>
      <w:r>
        <w:rPr>
          <w:rFonts w:hint="eastAsia" w:ascii="宋体" w:hAnsi="宋体"/>
          <w:sz w:val="18"/>
          <w:szCs w:val="18"/>
        </w:rPr>
        <w:t>《民用建筑隔声设计规范》</w:t>
      </w:r>
      <w:r>
        <w:rPr>
          <w:rFonts w:ascii="宋体" w:hAnsi="宋体"/>
          <w:sz w:val="18"/>
          <w:szCs w:val="18"/>
        </w:rPr>
        <w:t>GB 50118</w:t>
      </w:r>
      <w:r>
        <w:rPr>
          <w:rFonts w:hint="eastAsia" w:ascii="宋体" w:hAnsi="宋体"/>
          <w:sz w:val="18"/>
          <w:szCs w:val="18"/>
        </w:rPr>
        <w:t>中标准限值要求，楼板撞击声隔声性能均满足现行国家标准《民用建筑隔声设计规范》</w:t>
      </w:r>
      <w:r>
        <w:rPr>
          <w:rFonts w:ascii="宋体" w:hAnsi="宋体"/>
          <w:sz w:val="18"/>
          <w:szCs w:val="18"/>
        </w:rPr>
        <w:t>GB 50118</w:t>
      </w:r>
      <w:r>
        <w:rPr>
          <w:rFonts w:hint="eastAsia" w:ascii="宋体" w:hAnsi="宋体"/>
          <w:sz w:val="18"/>
          <w:szCs w:val="18"/>
        </w:rPr>
        <w:t>中平均值限值要求，各构造隔声性能结果详见</w:t>
      </w:r>
      <w:r>
        <w:rPr>
          <w:rFonts w:ascii="宋体" w:hAnsi="宋体"/>
          <w:sz w:val="18"/>
          <w:szCs w:val="18"/>
        </w:rPr>
        <w:t>《</w:t>
      </w:r>
      <w:r>
        <w:rPr>
          <w:rFonts w:hint="eastAsia" w:ascii="宋体" w:hAnsi="宋体" w:cs="宋体"/>
          <w:sz w:val="18"/>
          <w:szCs w:val="18"/>
        </w:rPr>
        <w:t>围护结构隔声量计算书</w:t>
      </w:r>
      <w:r>
        <w:rPr>
          <w:rFonts w:ascii="宋体" w:hAnsi="宋体"/>
          <w:sz w:val="18"/>
          <w:szCs w:val="18"/>
        </w:rPr>
        <w:t>》</w:t>
      </w:r>
      <w:r>
        <w:rPr>
          <w:rFonts w:hint="eastAsia" w:ascii="宋体" w:hAnsi="宋体"/>
          <w:sz w:val="18"/>
          <w:szCs w:val="18"/>
        </w:rPr>
        <w:t>。</w:t>
      </w:r>
    </w:p>
    <w:p w14:paraId="129D4DF4">
      <w:pPr>
        <w:spacing w:line="240" w:lineRule="exact"/>
        <w:rPr>
          <w:rFonts w:ascii="黑体" w:hAnsi="宋体" w:eastAsia="黑体"/>
          <w:sz w:val="18"/>
          <w:szCs w:val="18"/>
        </w:rPr>
      </w:pPr>
      <w:r>
        <w:rPr>
          <w:rFonts w:hint="eastAsia" w:ascii="宋体" w:hAnsi="宋体" w:cs="宋体"/>
          <w:sz w:val="18"/>
          <w:szCs w:val="18"/>
        </w:rPr>
        <w:t>证明材料：√围护结构隔声量计算书；</w:t>
      </w:r>
      <w:r>
        <w:rPr>
          <w:rFonts w:ascii="宋体" w:hAnsi="宋体" w:cs="宋体"/>
          <w:sz w:val="18"/>
          <w:szCs w:val="18"/>
        </w:rPr>
        <w:t xml:space="preserve"> </w:t>
      </w:r>
      <w:r>
        <w:rPr>
          <w:rFonts w:hint="eastAsia" w:ascii="宋体" w:hAnsi="宋体" w:cs="宋体"/>
          <w:sz w:val="18"/>
          <w:szCs w:val="18"/>
        </w:rPr>
        <w:t>√设计图纸（建筑、</w:t>
      </w:r>
      <w:r>
        <w:rPr>
          <w:rFonts w:ascii="宋体" w:hAnsi="宋体" w:cs="宋体"/>
          <w:sz w:val="18"/>
          <w:szCs w:val="18"/>
        </w:rPr>
        <w:t>SM-01_建筑设计总说明</w:t>
      </w:r>
      <w:r>
        <w:rPr>
          <w:rFonts w:hint="eastAsia" w:ascii="宋体" w:hAnsi="宋体" w:cs="宋体"/>
          <w:sz w:val="18"/>
          <w:szCs w:val="18"/>
        </w:rPr>
        <w:t xml:space="preserve"> SM-02_建筑装修构造做法说明表）</w:t>
      </w:r>
    </w:p>
    <w:p w14:paraId="6B1C3C23">
      <w:pPr>
        <w:spacing w:line="240" w:lineRule="exact"/>
        <w:rPr>
          <w:rFonts w:ascii="黑体" w:hAnsi="宋体" w:eastAsia="黑体"/>
          <w:sz w:val="18"/>
          <w:szCs w:val="18"/>
        </w:rPr>
      </w:pPr>
      <w:r>
        <w:rPr>
          <w:rFonts w:ascii="黑体" w:hAnsi="宋体" w:eastAsia="黑体" w:cs="黑体"/>
          <w:sz w:val="18"/>
          <w:szCs w:val="18"/>
        </w:rPr>
        <w:t>5.2.8</w:t>
      </w:r>
      <w:r>
        <w:rPr>
          <w:rFonts w:hint="eastAsia" w:ascii="黑体" w:hAnsi="宋体" w:eastAsia="黑体" w:cs="黑体"/>
          <w:sz w:val="18"/>
          <w:szCs w:val="18"/>
        </w:rPr>
        <w:t>充分利用天然光。</w:t>
      </w:r>
    </w:p>
    <w:p w14:paraId="35E01B19">
      <w:pPr>
        <w:spacing w:line="240" w:lineRule="exact"/>
        <w:rPr>
          <w:rFonts w:ascii="宋体"/>
          <w:sz w:val="18"/>
          <w:szCs w:val="18"/>
        </w:rPr>
      </w:pPr>
      <w:r>
        <w:rPr>
          <w:rFonts w:hint="eastAsia" w:ascii="宋体" w:hAnsi="宋体" w:cs="宋体"/>
          <w:sz w:val="18"/>
          <w:szCs w:val="18"/>
        </w:rPr>
        <w:t>技术措施说明：本项目</w:t>
      </w:r>
      <w:r>
        <w:rPr>
          <w:rFonts w:hint="eastAsia" w:ascii="Times New Roman" w:hAnsi="宋体"/>
          <w:kern w:val="0"/>
          <w:sz w:val="18"/>
          <w:szCs w:val="18"/>
        </w:rPr>
        <w:t>窗的不舒适眩光指数D</w:t>
      </w:r>
      <w:r>
        <w:rPr>
          <w:rFonts w:ascii="Times New Roman" w:hAnsi="宋体"/>
          <w:kern w:val="0"/>
          <w:sz w:val="18"/>
          <w:szCs w:val="18"/>
        </w:rPr>
        <w:t>GI</w:t>
      </w:r>
      <w:r>
        <w:rPr>
          <w:rFonts w:hint="eastAsia" w:ascii="Times New Roman" w:hAnsi="宋体"/>
          <w:kern w:val="0"/>
          <w:sz w:val="18"/>
          <w:szCs w:val="18"/>
        </w:rPr>
        <w:t>均不大于现行规范限定值要求，有效改善室内天然采光的均匀度。</w:t>
      </w:r>
    </w:p>
    <w:p w14:paraId="5B594B0A">
      <w:pPr>
        <w:spacing w:line="240" w:lineRule="exact"/>
        <w:rPr>
          <w:rFonts w:ascii="宋体" w:cs="宋体"/>
          <w:sz w:val="18"/>
          <w:szCs w:val="18"/>
        </w:rPr>
      </w:pPr>
      <w:r>
        <w:rPr>
          <w:rFonts w:hint="eastAsia" w:ascii="宋体" w:hAnsi="宋体" w:cs="宋体"/>
          <w:sz w:val="18"/>
          <w:szCs w:val="18"/>
        </w:rPr>
        <w:t>证明材料：√眩光分析</w:t>
      </w:r>
      <w:r>
        <w:rPr>
          <w:rFonts w:ascii="宋体" w:hAnsi="宋体" w:cs="宋体"/>
          <w:sz w:val="18"/>
          <w:szCs w:val="18"/>
        </w:rPr>
        <w:t>报告</w:t>
      </w:r>
      <w:r>
        <w:rPr>
          <w:rFonts w:hint="eastAsia" w:ascii="宋体" w:hAnsi="宋体" w:cs="宋体"/>
          <w:sz w:val="18"/>
          <w:szCs w:val="18"/>
        </w:rPr>
        <w:t>；√设计图纸（建筑</w:t>
      </w:r>
      <w:r>
        <w:rPr>
          <w:rFonts w:ascii="宋体" w:hAnsi="宋体" w:cs="宋体"/>
          <w:sz w:val="18"/>
          <w:szCs w:val="18"/>
        </w:rPr>
        <w:t>，</w:t>
      </w:r>
      <w:r>
        <w:rPr>
          <w:rFonts w:hint="eastAsia" w:ascii="宋体" w:hAnsi="宋体" w:cs="宋体"/>
          <w:sz w:val="18"/>
          <w:szCs w:val="18"/>
        </w:rPr>
        <w:t>建筑各层</w:t>
      </w:r>
      <w:r>
        <w:rPr>
          <w:rFonts w:ascii="宋体" w:hAnsi="宋体" w:cs="宋体"/>
          <w:sz w:val="18"/>
          <w:szCs w:val="18"/>
        </w:rPr>
        <w:t>平面图</w:t>
      </w:r>
      <w:r>
        <w:rPr>
          <w:rFonts w:hint="eastAsia" w:ascii="宋体" w:hAnsi="宋体" w:cs="宋体"/>
          <w:sz w:val="18"/>
          <w:szCs w:val="18"/>
        </w:rPr>
        <w:t>、门窗大样）</w:t>
      </w:r>
    </w:p>
    <w:p w14:paraId="3AB1E77F">
      <w:pPr>
        <w:spacing w:line="240" w:lineRule="exact"/>
        <w:rPr>
          <w:b/>
          <w:bCs/>
          <w:sz w:val="18"/>
          <w:szCs w:val="18"/>
        </w:rPr>
      </w:pPr>
    </w:p>
    <w:p w14:paraId="44CBFAC2">
      <w:pPr>
        <w:spacing w:line="240" w:lineRule="exact"/>
        <w:rPr>
          <w:b/>
          <w:bCs/>
          <w:sz w:val="18"/>
          <w:szCs w:val="18"/>
        </w:rPr>
      </w:pPr>
      <w:r>
        <w:rPr>
          <w:rFonts w:hint="eastAsia"/>
          <w:b/>
          <w:bCs/>
          <w:sz w:val="18"/>
          <w:szCs w:val="18"/>
        </w:rPr>
        <w:t xml:space="preserve">给排水专业 </w:t>
      </w:r>
      <w:r>
        <w:rPr>
          <w:b/>
          <w:bCs/>
          <w:sz w:val="18"/>
          <w:szCs w:val="18"/>
        </w:rPr>
        <w:t xml:space="preserve">    </w:t>
      </w:r>
    </w:p>
    <w:p w14:paraId="145EB8C9">
      <w:pPr>
        <w:spacing w:line="240" w:lineRule="exact"/>
        <w:rPr>
          <w:rFonts w:ascii="黑体" w:hAnsi="宋体" w:eastAsia="黑体"/>
          <w:sz w:val="18"/>
          <w:szCs w:val="18"/>
        </w:rPr>
      </w:pPr>
      <w:r>
        <w:rPr>
          <w:rFonts w:ascii="黑体" w:hAnsi="宋体" w:eastAsia="黑体" w:cs="黑体"/>
          <w:sz w:val="18"/>
          <w:szCs w:val="18"/>
        </w:rPr>
        <w:t>5.2.3</w:t>
      </w:r>
      <w:r>
        <w:rPr>
          <w:rFonts w:hint="eastAsia" w:ascii="黑体" w:hAnsi="宋体" w:eastAsia="黑体" w:cs="黑体"/>
          <w:sz w:val="18"/>
          <w:szCs w:val="18"/>
        </w:rPr>
        <w:t>直饮水、集中生活热水、游泳池水、采暖空调系统用水、景观水体等的水质符合国家现行有关标准的规定。</w:t>
      </w:r>
    </w:p>
    <w:p w14:paraId="217F2EA8">
      <w:pPr>
        <w:spacing w:line="240" w:lineRule="exact"/>
        <w:rPr>
          <w:rFonts w:ascii="宋体"/>
          <w:sz w:val="18"/>
          <w:szCs w:val="18"/>
        </w:rPr>
      </w:pPr>
      <w:r>
        <w:rPr>
          <w:rFonts w:hint="eastAsia" w:ascii="宋体" w:hAnsi="宋体" w:cs="宋体"/>
          <w:sz w:val="18"/>
          <w:szCs w:val="18"/>
        </w:rPr>
        <w:t>技术措施说明：项目为</w:t>
      </w:r>
      <w:r>
        <w:rPr>
          <w:rFonts w:hint="eastAsia" w:ascii="宋体" w:hAnsi="宋体" w:cs="宋体"/>
          <w:sz w:val="18"/>
          <w:szCs w:val="18"/>
          <w:lang w:val="en-US" w:eastAsia="zh-CN"/>
        </w:rPr>
        <w:t>医院</w:t>
      </w:r>
      <w:r>
        <w:rPr>
          <w:rFonts w:hint="eastAsia" w:ascii="宋体" w:hAnsi="宋体" w:cs="宋体"/>
          <w:sz w:val="18"/>
          <w:szCs w:val="18"/>
        </w:rPr>
        <w:t>建筑，</w:t>
      </w:r>
      <w:r>
        <w:rPr>
          <w:rFonts w:hint="eastAsia" w:ascii="宋体" w:hAnsi="宋体" w:cs="宋体"/>
          <w:sz w:val="18"/>
          <w:szCs w:val="18"/>
          <w:lang w:val="en-US" w:eastAsia="zh-CN"/>
        </w:rPr>
        <w:t>无</w:t>
      </w:r>
      <w:r>
        <w:rPr>
          <w:rFonts w:hint="eastAsia" w:ascii="宋体" w:hAnsi="宋体" w:cs="宋体"/>
          <w:sz w:val="18"/>
          <w:szCs w:val="18"/>
        </w:rPr>
        <w:t>游泳池水和景观用水等系统。生活饮用水水质满足现行国家标准《生活饮用水卫生标准》</w:t>
      </w:r>
      <w:r>
        <w:rPr>
          <w:rFonts w:ascii="宋体" w:hAnsi="宋体" w:cs="宋体"/>
          <w:sz w:val="18"/>
          <w:szCs w:val="18"/>
        </w:rPr>
        <w:t>GB5749</w:t>
      </w:r>
      <w:r>
        <w:rPr>
          <w:rFonts w:hint="eastAsia" w:ascii="宋体" w:hAnsi="宋体" w:cs="宋体"/>
          <w:sz w:val="18"/>
          <w:szCs w:val="18"/>
          <w:lang w:val="en-US" w:eastAsia="zh-CN"/>
        </w:rPr>
        <w:t>-2022</w:t>
      </w:r>
      <w:r>
        <w:rPr>
          <w:rFonts w:ascii="宋体" w:hAnsi="宋体" w:cs="宋体"/>
          <w:sz w:val="18"/>
          <w:szCs w:val="18"/>
        </w:rPr>
        <w:t xml:space="preserve"> </w:t>
      </w:r>
      <w:r>
        <w:rPr>
          <w:rFonts w:hint="eastAsia" w:ascii="宋体" w:hAnsi="宋体" w:cs="宋体"/>
          <w:sz w:val="18"/>
          <w:szCs w:val="18"/>
        </w:rPr>
        <w:t>的要求</w:t>
      </w:r>
      <w:r>
        <w:rPr>
          <w:rFonts w:hint="eastAsia" w:ascii="宋体" w:hAnsi="宋体" w:cs="宋体"/>
          <w:sz w:val="18"/>
          <w:szCs w:val="18"/>
          <w:lang w:eastAsia="zh-CN"/>
        </w:rPr>
        <w:t>；</w:t>
      </w:r>
      <w:r>
        <w:rPr>
          <w:rFonts w:hint="eastAsia" w:ascii="宋体" w:hAnsi="宋体" w:cs="宋体"/>
          <w:sz w:val="18"/>
          <w:szCs w:val="18"/>
          <w:lang w:val="en-US" w:eastAsia="zh-CN"/>
        </w:rPr>
        <w:t>直饮水满足》生活饮用水卫生标准》GB 5749-2022的要求；集中生活热水满足《生活热水水质标准》CJ T521-2018要求；</w:t>
      </w:r>
      <w:r>
        <w:rPr>
          <w:rFonts w:hint="eastAsia" w:ascii="宋体" w:hAnsi="宋体" w:cs="宋体"/>
          <w:sz w:val="18"/>
          <w:szCs w:val="18"/>
        </w:rPr>
        <w:t>采暖空调系统用水</w:t>
      </w:r>
      <w:r>
        <w:rPr>
          <w:rFonts w:hint="eastAsia" w:ascii="宋体" w:hAnsi="宋体" w:cs="宋体"/>
          <w:sz w:val="18"/>
          <w:szCs w:val="18"/>
          <w:lang w:val="en-US" w:eastAsia="zh-CN"/>
        </w:rPr>
        <w:t>满足《采暖空调系统水质》GB29044T-2012的规范要求</w:t>
      </w:r>
      <w:r>
        <w:rPr>
          <w:rFonts w:hint="eastAsia" w:ascii="宋体" w:hAnsi="宋体" w:cs="宋体"/>
          <w:sz w:val="18"/>
          <w:szCs w:val="18"/>
        </w:rPr>
        <w:t>。</w:t>
      </w:r>
    </w:p>
    <w:p w14:paraId="153AE7AB">
      <w:pPr>
        <w:spacing w:line="240" w:lineRule="exact"/>
        <w:rPr>
          <w:rFonts w:ascii="黑体" w:hAnsi="宋体" w:eastAsia="黑体"/>
          <w:sz w:val="18"/>
          <w:szCs w:val="18"/>
        </w:rPr>
      </w:pPr>
      <w:r>
        <w:rPr>
          <w:rFonts w:hint="eastAsia" w:ascii="宋体" w:hAnsi="宋体" w:cs="宋体"/>
          <w:sz w:val="18"/>
          <w:szCs w:val="18"/>
        </w:rPr>
        <w:t>证明材料：√设计图纸（给排水、S-01_给水排水设计总说明；NT-01_空调通风及防排烟设计说明）；</w:t>
      </w:r>
      <w:r>
        <w:rPr>
          <w:rFonts w:ascii="宋体" w:hAnsi="宋体" w:cs="宋体"/>
          <w:sz w:val="18"/>
          <w:szCs w:val="18"/>
        </w:rPr>
        <w:t xml:space="preserve"> </w:t>
      </w:r>
      <w:r>
        <w:rPr>
          <w:rFonts w:hint="eastAsia" w:ascii="宋体" w:hAnsi="宋体" w:cs="宋体"/>
          <w:sz w:val="18"/>
          <w:szCs w:val="18"/>
        </w:rPr>
        <w:t>√</w:t>
      </w:r>
      <w:r>
        <w:rPr>
          <w:rFonts w:hint="eastAsia" w:ascii="宋体" w:hAnsi="宋体"/>
          <w:sz w:val="18"/>
          <w:szCs w:val="18"/>
        </w:rPr>
        <w:t>二次设计达标承诺函</w:t>
      </w:r>
    </w:p>
    <w:p w14:paraId="06657F46">
      <w:pPr>
        <w:spacing w:line="240" w:lineRule="exact"/>
        <w:rPr>
          <w:rFonts w:ascii="黑体" w:hAnsi="宋体" w:eastAsia="黑体"/>
          <w:sz w:val="18"/>
          <w:szCs w:val="18"/>
        </w:rPr>
      </w:pPr>
      <w:r>
        <w:rPr>
          <w:rFonts w:ascii="黑体" w:hAnsi="宋体" w:eastAsia="黑体" w:cs="黑体"/>
          <w:sz w:val="18"/>
          <w:szCs w:val="18"/>
        </w:rPr>
        <w:t>5.2.4</w:t>
      </w:r>
      <w:r>
        <w:rPr>
          <w:rFonts w:hint="eastAsia" w:ascii="黑体" w:hAnsi="宋体" w:eastAsia="黑体" w:cs="黑体"/>
          <w:sz w:val="18"/>
          <w:szCs w:val="18"/>
        </w:rPr>
        <w:t>生活饮用水水池、水箱等储水设施采取措施满足卫生要求。</w:t>
      </w:r>
    </w:p>
    <w:p w14:paraId="12909F9C">
      <w:pPr>
        <w:spacing w:line="240" w:lineRule="exact"/>
        <w:rPr>
          <w:rFonts w:ascii="宋体" w:hAnsi="宋体" w:cs="宋体"/>
          <w:sz w:val="18"/>
          <w:szCs w:val="18"/>
        </w:rPr>
      </w:pPr>
      <w:r>
        <w:rPr>
          <w:rFonts w:hint="eastAsia" w:ascii="宋体" w:hAnsi="宋体" w:cs="宋体"/>
          <w:sz w:val="18"/>
          <w:szCs w:val="18"/>
        </w:rPr>
        <w:t>技术措施说明：</w:t>
      </w:r>
    </w:p>
    <w:p w14:paraId="18376264">
      <w:pPr>
        <w:spacing w:line="240" w:lineRule="exact"/>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项目</w:t>
      </w:r>
      <w:r>
        <w:rPr>
          <w:rFonts w:ascii="宋体" w:hAnsi="宋体" w:cs="宋体"/>
          <w:sz w:val="18"/>
          <w:szCs w:val="18"/>
        </w:rPr>
        <w:t>使用符合现行国家标准《二次供水设施卫生规范》GB 17051</w:t>
      </w:r>
      <w:r>
        <w:rPr>
          <w:rFonts w:hint="eastAsia" w:ascii="宋体" w:hAnsi="宋体" w:cs="宋体"/>
          <w:sz w:val="18"/>
          <w:szCs w:val="18"/>
          <w:lang w:val="en-US" w:eastAsia="zh-CN"/>
        </w:rPr>
        <w:t>-2025</w:t>
      </w:r>
      <w:r>
        <w:rPr>
          <w:rFonts w:ascii="宋体" w:hAnsi="宋体" w:cs="宋体"/>
          <w:sz w:val="18"/>
          <w:szCs w:val="18"/>
        </w:rPr>
        <w:t xml:space="preserve"> </w:t>
      </w:r>
      <w:r>
        <w:rPr>
          <w:rFonts w:hint="eastAsia" w:ascii="宋体" w:hAnsi="宋体" w:cs="宋体"/>
          <w:sz w:val="18"/>
          <w:szCs w:val="18"/>
        </w:rPr>
        <w:t>和现行行业标准《二次供水工程技术规程》</w:t>
      </w:r>
      <w:r>
        <w:rPr>
          <w:rFonts w:ascii="宋体" w:hAnsi="宋体" w:cs="宋体"/>
          <w:sz w:val="18"/>
          <w:szCs w:val="18"/>
        </w:rPr>
        <w:t xml:space="preserve">CJJ 140 </w:t>
      </w:r>
      <w:r>
        <w:rPr>
          <w:rFonts w:hint="eastAsia" w:ascii="宋体" w:hAnsi="宋体" w:cs="宋体"/>
          <w:sz w:val="18"/>
          <w:szCs w:val="18"/>
          <w:lang w:val="en-US" w:eastAsia="zh-CN"/>
        </w:rPr>
        <w:t>-2010</w:t>
      </w:r>
      <w:r>
        <w:rPr>
          <w:rFonts w:hint="eastAsia" w:ascii="宋体" w:hAnsi="宋体" w:cs="宋体"/>
          <w:sz w:val="18"/>
          <w:szCs w:val="18"/>
        </w:rPr>
        <w:t>要求的S3</w:t>
      </w:r>
      <w:r>
        <w:rPr>
          <w:rFonts w:ascii="宋体" w:hAnsi="宋体" w:cs="宋体"/>
          <w:sz w:val="18"/>
          <w:szCs w:val="18"/>
        </w:rPr>
        <w:t>1603</w:t>
      </w:r>
      <w:r>
        <w:rPr>
          <w:rFonts w:hint="eastAsia" w:ascii="宋体" w:hAnsi="宋体" w:cs="宋体"/>
          <w:sz w:val="18"/>
          <w:szCs w:val="18"/>
        </w:rPr>
        <w:t>不锈钢装配式成品水箱，有效避免现场加工过程中的污染问题，且在安全生产、品质控制、能够有效避免现场加工过程中的污染问题，在安全生产、品质控制、减少误差等方面均较现场加工更有优势。</w:t>
      </w:r>
    </w:p>
    <w:p w14:paraId="09465CF3">
      <w:pPr>
        <w:spacing w:line="240" w:lineRule="exact"/>
        <w:ind w:firstLine="360" w:firstLineChars="200"/>
        <w:rPr>
          <w:rFonts w:ascii="宋体" w:hAnsi="宋体" w:cs="宋体"/>
          <w:sz w:val="18"/>
          <w:szCs w:val="18"/>
        </w:rPr>
      </w:pPr>
      <w:r>
        <w:rPr>
          <w:rFonts w:ascii="宋体" w:hAnsi="宋体" w:cs="宋体"/>
          <w:sz w:val="18"/>
          <w:szCs w:val="18"/>
        </w:rPr>
        <w:t>2）</w:t>
      </w:r>
      <w:r>
        <w:rPr>
          <w:rFonts w:hint="eastAsia" w:ascii="宋体" w:hAnsi="宋体" w:cs="宋体"/>
          <w:sz w:val="18"/>
          <w:szCs w:val="18"/>
        </w:rPr>
        <w:t>储水设施</w:t>
      </w:r>
      <w:r>
        <w:rPr>
          <w:rFonts w:ascii="宋体" w:hAnsi="宋体" w:cs="宋体"/>
          <w:sz w:val="18"/>
          <w:szCs w:val="18"/>
        </w:rPr>
        <w:t>避免储水变质的主要技术措施：储水设施分格、保证设施内水流通畅、检查口（人孔）加锁、溢流管及通气管口采取防止生物进入</w:t>
      </w:r>
      <w:r>
        <w:rPr>
          <w:rFonts w:hint="eastAsia" w:ascii="宋体" w:hAnsi="宋体" w:cs="宋体"/>
          <w:sz w:val="18"/>
          <w:szCs w:val="18"/>
        </w:rPr>
        <w:t>水箱并污染储水</w:t>
      </w:r>
      <w:r>
        <w:rPr>
          <w:rFonts w:ascii="宋体" w:hAnsi="宋体" w:cs="宋体"/>
          <w:sz w:val="18"/>
          <w:szCs w:val="18"/>
        </w:rPr>
        <w:t>等。</w:t>
      </w:r>
    </w:p>
    <w:p w14:paraId="7CB0B438">
      <w:pPr>
        <w:spacing w:line="240" w:lineRule="exact"/>
        <w:rPr>
          <w:rFonts w:ascii="黑体" w:hAnsi="宋体" w:eastAsia="黑体"/>
          <w:sz w:val="18"/>
          <w:szCs w:val="18"/>
        </w:rPr>
      </w:pPr>
      <w:r>
        <w:rPr>
          <w:rFonts w:hint="eastAsia" w:ascii="宋体" w:hAnsi="宋体" w:cs="宋体"/>
          <w:sz w:val="18"/>
          <w:szCs w:val="18"/>
        </w:rPr>
        <w:t>证明材料：√设计图纸（给排水、S-01_给水排水设计总说明，</w:t>
      </w:r>
      <w:r>
        <w:rPr>
          <w:rFonts w:ascii="宋体" w:hAnsi="宋体" w:cs="宋体"/>
          <w:sz w:val="18"/>
          <w:szCs w:val="18"/>
        </w:rPr>
        <w:t>S-DY-02_生活泵房大样图</w:t>
      </w:r>
      <w:r>
        <w:rPr>
          <w:rFonts w:hint="eastAsia" w:ascii="宋体" w:hAnsi="宋体" w:cs="宋体"/>
          <w:sz w:val="18"/>
          <w:szCs w:val="18"/>
        </w:rPr>
        <w:t>）</w:t>
      </w:r>
    </w:p>
    <w:p w14:paraId="69C6C011">
      <w:pPr>
        <w:spacing w:line="240" w:lineRule="exact"/>
        <w:rPr>
          <w:rFonts w:ascii="黑体" w:hAnsi="宋体" w:eastAsia="黑体"/>
          <w:sz w:val="18"/>
          <w:szCs w:val="18"/>
        </w:rPr>
      </w:pPr>
      <w:r>
        <w:rPr>
          <w:rFonts w:ascii="黑体" w:hAnsi="宋体" w:eastAsia="黑体" w:cs="黑体"/>
          <w:sz w:val="18"/>
          <w:szCs w:val="18"/>
        </w:rPr>
        <w:t>5.2.5</w:t>
      </w:r>
      <w:r>
        <w:rPr>
          <w:rFonts w:hint="eastAsia" w:ascii="黑体" w:hAnsi="宋体" w:eastAsia="黑体" w:cs="黑体"/>
          <w:sz w:val="18"/>
          <w:szCs w:val="18"/>
        </w:rPr>
        <w:t>所有给水排水管道、设备、设施设置明确、清晰的永久性标识。</w:t>
      </w:r>
    </w:p>
    <w:p w14:paraId="157CA910">
      <w:pPr>
        <w:spacing w:line="240" w:lineRule="exact"/>
        <w:rPr>
          <w:rFonts w:ascii="宋体"/>
          <w:sz w:val="18"/>
          <w:szCs w:val="18"/>
        </w:rPr>
      </w:pPr>
      <w:r>
        <w:rPr>
          <w:rFonts w:hint="eastAsia" w:ascii="宋体" w:hAnsi="宋体" w:cs="宋体"/>
          <w:sz w:val="18"/>
          <w:szCs w:val="18"/>
        </w:rPr>
        <w:t>技术措施说明：建筑内给水排水管道及设备的标识设置按照现行国家标准《工业管道的基本识别色、识别符号和安全标识》</w:t>
      </w:r>
      <w:r>
        <w:rPr>
          <w:rFonts w:ascii="宋体" w:hAnsi="宋体" w:cs="宋体"/>
          <w:sz w:val="18"/>
          <w:szCs w:val="18"/>
        </w:rPr>
        <w:t>GB 7231</w:t>
      </w:r>
      <w:r>
        <w:rPr>
          <w:rFonts w:hint="eastAsia" w:ascii="宋体" w:hAnsi="宋体" w:cs="宋体"/>
          <w:sz w:val="18"/>
          <w:szCs w:val="18"/>
          <w:lang w:val="en-US" w:eastAsia="zh-CN"/>
        </w:rPr>
        <w:t>-2003</w:t>
      </w:r>
      <w:r>
        <w:rPr>
          <w:rFonts w:ascii="宋体" w:hAnsi="宋体" w:cs="宋体"/>
          <w:sz w:val="18"/>
          <w:szCs w:val="18"/>
        </w:rPr>
        <w:t>、《建筑给水排水及采暖工程施工质量验收规范》GB 50242</w:t>
      </w:r>
      <w:r>
        <w:rPr>
          <w:rFonts w:hint="eastAsia" w:ascii="宋体" w:hAnsi="宋体" w:cs="宋体"/>
          <w:sz w:val="18"/>
          <w:szCs w:val="18"/>
          <w:lang w:val="en-US" w:eastAsia="zh-CN"/>
        </w:rPr>
        <w:t>-2002</w:t>
      </w:r>
      <w:r>
        <w:rPr>
          <w:rFonts w:ascii="宋体" w:hAnsi="宋体" w:cs="宋体"/>
          <w:sz w:val="18"/>
          <w:szCs w:val="18"/>
        </w:rPr>
        <w:t xml:space="preserve"> </w:t>
      </w:r>
      <w:r>
        <w:rPr>
          <w:rFonts w:hint="eastAsia" w:ascii="宋体" w:hAnsi="宋体" w:cs="宋体"/>
          <w:sz w:val="18"/>
          <w:szCs w:val="18"/>
        </w:rPr>
        <w:t>中的相关要求执行。</w:t>
      </w:r>
    </w:p>
    <w:p w14:paraId="42F7D316">
      <w:pPr>
        <w:spacing w:line="240" w:lineRule="exact"/>
        <w:rPr>
          <w:rFonts w:ascii="宋体" w:hAnsi="宋体" w:cs="宋体"/>
          <w:sz w:val="18"/>
          <w:szCs w:val="18"/>
        </w:rPr>
      </w:pPr>
      <w:r>
        <w:rPr>
          <w:rFonts w:hint="eastAsia" w:ascii="宋体" w:hAnsi="宋体" w:cs="宋体"/>
          <w:sz w:val="18"/>
          <w:szCs w:val="18"/>
        </w:rPr>
        <w:t>证明材料：√设计图纸（给排水、S-01_给水排水设计总说明；S-0</w:t>
      </w:r>
      <w:r>
        <w:rPr>
          <w:rFonts w:ascii="宋体" w:hAnsi="宋体" w:cs="宋体"/>
          <w:sz w:val="18"/>
          <w:szCs w:val="18"/>
        </w:rPr>
        <w:t>2</w:t>
      </w:r>
      <w:r>
        <w:rPr>
          <w:rFonts w:hint="eastAsia" w:ascii="宋体" w:hAnsi="宋体" w:cs="宋体"/>
          <w:sz w:val="18"/>
          <w:szCs w:val="18"/>
        </w:rPr>
        <w:t>_消防给水设计总说明）</w:t>
      </w:r>
    </w:p>
    <w:p w14:paraId="0E317F97">
      <w:pPr>
        <w:spacing w:line="240" w:lineRule="exact"/>
        <w:rPr>
          <w:b/>
          <w:bCs/>
          <w:sz w:val="18"/>
          <w:szCs w:val="18"/>
        </w:rPr>
      </w:pPr>
    </w:p>
    <w:p w14:paraId="30C78466">
      <w:pPr>
        <w:spacing w:line="240" w:lineRule="exact"/>
        <w:rPr>
          <w:b/>
          <w:bCs/>
          <w:sz w:val="18"/>
          <w:szCs w:val="18"/>
        </w:rPr>
      </w:pPr>
      <w:r>
        <w:rPr>
          <w:rFonts w:hint="eastAsia"/>
          <w:b/>
          <w:bCs/>
          <w:sz w:val="18"/>
          <w:szCs w:val="18"/>
        </w:rPr>
        <w:t>暖通专业</w:t>
      </w:r>
    </w:p>
    <w:p w14:paraId="04ED5548">
      <w:pPr>
        <w:spacing w:line="240" w:lineRule="exact"/>
        <w:rPr>
          <w:rFonts w:ascii="黑体" w:hAnsi="宋体" w:eastAsia="黑体"/>
          <w:sz w:val="18"/>
          <w:szCs w:val="18"/>
        </w:rPr>
      </w:pPr>
      <w:r>
        <w:rPr>
          <w:rFonts w:hint="eastAsia" w:ascii="黑体" w:hAnsi="宋体" w:eastAsia="黑体" w:cs="黑体"/>
          <w:sz w:val="18"/>
          <w:szCs w:val="18"/>
        </w:rPr>
        <w:t>5.2.9具有良好的室内热湿环境。。</w:t>
      </w:r>
    </w:p>
    <w:p w14:paraId="41A533EB">
      <w:pPr>
        <w:spacing w:line="240" w:lineRule="exact"/>
        <w:rPr>
          <w:rFonts w:ascii="宋体" w:hAnsi="宋体" w:cs="宋体"/>
          <w:sz w:val="18"/>
          <w:szCs w:val="18"/>
        </w:rPr>
      </w:pPr>
      <w:r>
        <w:rPr>
          <w:rFonts w:hint="eastAsia" w:ascii="宋体" w:hAnsi="宋体" w:cs="宋体"/>
          <w:sz w:val="18"/>
          <w:szCs w:val="18"/>
        </w:rPr>
        <w:t>技术措施说明：本项目主要功能房间达到现行国家标准《民用建筑室内热湿环境评价标准》规定的室内人工冷热源热湿环境整体评价 II 级面积比例达到60%。</w:t>
      </w:r>
    </w:p>
    <w:p w14:paraId="470C10C5">
      <w:pPr>
        <w:spacing w:line="240" w:lineRule="exact"/>
        <w:rPr>
          <w:rFonts w:ascii="宋体" w:hAnsi="宋体" w:cs="宋体"/>
          <w:sz w:val="18"/>
          <w:szCs w:val="18"/>
        </w:rPr>
      </w:pPr>
      <w:r>
        <w:rPr>
          <w:rFonts w:hint="eastAsia" w:ascii="宋体" w:hAnsi="宋体" w:cs="宋体"/>
          <w:sz w:val="18"/>
          <w:szCs w:val="18"/>
        </w:rPr>
        <w:t>证明材料：√设计图纸（暖通</w:t>
      </w:r>
      <w:r>
        <w:rPr>
          <w:rFonts w:ascii="宋体" w:hAnsi="宋体" w:cs="宋体"/>
          <w:sz w:val="18"/>
          <w:szCs w:val="18"/>
        </w:rPr>
        <w:t>、</w:t>
      </w:r>
      <w:r>
        <w:rPr>
          <w:rFonts w:hint="eastAsia" w:ascii="宋体" w:hAnsi="宋体" w:cs="宋体"/>
          <w:sz w:val="18"/>
          <w:szCs w:val="18"/>
        </w:rPr>
        <w:t>NT-01_空调通风及防排烟设计说明），√人工冷热源计算书</w:t>
      </w:r>
    </w:p>
    <w:p w14:paraId="59C8C2D9">
      <w:pPr>
        <w:spacing w:line="240" w:lineRule="exact"/>
        <w:rPr>
          <w:rFonts w:ascii="宋体" w:hAnsi="宋体" w:cs="宋体"/>
          <w:sz w:val="18"/>
          <w:szCs w:val="18"/>
        </w:rPr>
      </w:pPr>
    </w:p>
    <w:p w14:paraId="44CDD1D7">
      <w:pPr>
        <w:spacing w:line="300" w:lineRule="exact"/>
        <w:outlineLvl w:val="1"/>
        <w:rPr>
          <w:rFonts w:hAnsi="黑体" w:eastAsia="黑体" w:cs="黑体"/>
          <w:b/>
          <w:bCs/>
          <w:kern w:val="0"/>
          <w:sz w:val="24"/>
        </w:rPr>
      </w:pPr>
      <w:r>
        <w:rPr>
          <w:rFonts w:ascii="黑体" w:hAnsi="黑体" w:eastAsia="黑体" w:cs="黑体"/>
          <w:b/>
          <w:bCs/>
          <w:kern w:val="0"/>
          <w:sz w:val="24"/>
        </w:rPr>
        <w:t>3</w:t>
      </w:r>
      <w:r>
        <w:rPr>
          <w:rFonts w:hint="eastAsia" w:ascii="黑体" w:hAnsi="黑体" w:eastAsia="黑体" w:cs="黑体"/>
          <w:b/>
          <w:bCs/>
          <w:kern w:val="0"/>
          <w:sz w:val="24"/>
        </w:rPr>
        <w:t>、生活便利</w:t>
      </w:r>
      <w:r>
        <w:rPr>
          <w:rFonts w:hint="eastAsia" w:hAnsi="黑体" w:eastAsia="黑体" w:cs="黑体"/>
          <w:b/>
          <w:bCs/>
          <w:kern w:val="0"/>
          <w:szCs w:val="21"/>
        </w:rPr>
        <w:t>（</w:t>
      </w:r>
      <w:r>
        <w:rPr>
          <w:rFonts w:hint="eastAsia" w:ascii="宋体" w:hAnsi="宋体"/>
          <w:szCs w:val="21"/>
        </w:rPr>
        <w:t>实际得分</w:t>
      </w:r>
      <w:r>
        <w:rPr>
          <w:rFonts w:hint="eastAsia" w:ascii="宋体" w:hAnsi="宋体"/>
          <w:szCs w:val="21"/>
          <w:u w:val="single"/>
        </w:rPr>
        <w:t>　</w:t>
      </w:r>
      <w:r>
        <w:rPr>
          <w:rFonts w:hint="eastAsia" w:ascii="宋体" w:hAnsi="宋体"/>
          <w:szCs w:val="21"/>
          <w:u w:val="single"/>
          <w:lang w:val="en-US" w:eastAsia="zh-CN"/>
        </w:rPr>
        <w:t>36</w:t>
      </w:r>
      <w:r>
        <w:rPr>
          <w:rFonts w:hint="eastAsia" w:ascii="宋体" w:hAnsi="宋体"/>
          <w:szCs w:val="21"/>
          <w:u w:val="single"/>
        </w:rPr>
        <w:t>　</w:t>
      </w:r>
      <w:r>
        <w:rPr>
          <w:rFonts w:hint="eastAsia" w:ascii="宋体" w:hAnsi="宋体"/>
          <w:szCs w:val="21"/>
        </w:rPr>
        <w:t>分</w:t>
      </w:r>
      <w:r>
        <w:rPr>
          <w:rFonts w:hint="eastAsia" w:hAnsi="黑体" w:eastAsia="黑体" w:cs="黑体"/>
          <w:b/>
          <w:bCs/>
          <w:kern w:val="0"/>
          <w:szCs w:val="21"/>
        </w:rPr>
        <w:t>）</w:t>
      </w:r>
    </w:p>
    <w:p w14:paraId="433F4DEF">
      <w:pPr>
        <w:spacing w:line="240" w:lineRule="exact"/>
        <w:rPr>
          <w:rFonts w:hAnsi="黑体" w:eastAsia="黑体"/>
          <w:b/>
          <w:bCs/>
          <w:kern w:val="0"/>
          <w:sz w:val="18"/>
          <w:szCs w:val="18"/>
        </w:rPr>
      </w:pPr>
    </w:p>
    <w:p w14:paraId="70AD8325">
      <w:pPr>
        <w:spacing w:line="240" w:lineRule="exact"/>
        <w:jc w:val="center"/>
        <w:outlineLvl w:val="2"/>
        <w:rPr>
          <w:rFonts w:cs="宋体"/>
          <w:b/>
          <w:bCs/>
          <w:sz w:val="18"/>
          <w:szCs w:val="18"/>
        </w:rPr>
      </w:pPr>
      <w:r>
        <w:rPr>
          <w:rFonts w:hint="eastAsia" w:cs="宋体"/>
          <w:b/>
          <w:bCs/>
          <w:sz w:val="18"/>
          <w:szCs w:val="18"/>
        </w:rPr>
        <w:t>必须说明内容（控制项）</w:t>
      </w:r>
    </w:p>
    <w:p w14:paraId="709B7EF4">
      <w:pPr>
        <w:spacing w:line="240" w:lineRule="exact"/>
        <w:jc w:val="center"/>
        <w:rPr>
          <w:b/>
          <w:bCs/>
          <w:sz w:val="18"/>
          <w:szCs w:val="18"/>
        </w:rPr>
      </w:pPr>
    </w:p>
    <w:p w14:paraId="62D763E1">
      <w:pPr>
        <w:spacing w:line="240" w:lineRule="exact"/>
        <w:rPr>
          <w:b/>
          <w:bCs/>
          <w:sz w:val="18"/>
          <w:szCs w:val="18"/>
        </w:rPr>
      </w:pPr>
      <w:r>
        <w:rPr>
          <w:rFonts w:hint="eastAsia"/>
          <w:b/>
          <w:bCs/>
          <w:sz w:val="18"/>
          <w:szCs w:val="18"/>
        </w:rPr>
        <w:t>规划专业</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367B1C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38DBBDC4">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4A10D596">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5E1F3EAA">
      <w:pPr>
        <w:spacing w:line="240" w:lineRule="exact"/>
        <w:rPr>
          <w:rFonts w:ascii="黑体" w:hAnsi="宋体" w:eastAsia="黑体"/>
          <w:sz w:val="18"/>
          <w:szCs w:val="18"/>
        </w:rPr>
      </w:pPr>
      <w:r>
        <w:rPr>
          <w:rFonts w:ascii="黑体" w:hAnsi="宋体" w:eastAsia="黑体" w:cs="黑体"/>
          <w:sz w:val="18"/>
          <w:szCs w:val="18"/>
        </w:rPr>
        <w:t>6.1.2</w:t>
      </w:r>
      <w:r>
        <w:rPr>
          <w:rFonts w:hint="eastAsia" w:ascii="黑体" w:hAnsi="宋体" w:eastAsia="黑体" w:cs="黑体"/>
          <w:sz w:val="18"/>
          <w:szCs w:val="18"/>
        </w:rPr>
        <w:t>场地人行出入口</w:t>
      </w:r>
      <w:r>
        <w:rPr>
          <w:rFonts w:ascii="黑体" w:hAnsi="宋体" w:eastAsia="黑体" w:cs="黑体"/>
          <w:sz w:val="18"/>
          <w:szCs w:val="18"/>
        </w:rPr>
        <w:t>500m</w:t>
      </w:r>
      <w:r>
        <w:rPr>
          <w:rFonts w:hint="eastAsia" w:ascii="黑体" w:hAnsi="宋体" w:eastAsia="黑体" w:cs="黑体"/>
          <w:sz w:val="18"/>
          <w:szCs w:val="18"/>
        </w:rPr>
        <w:t>内应设有公共交通站点或配备联系公共交通站点的专用接驳车。</w:t>
      </w:r>
    </w:p>
    <w:p w14:paraId="436079C6">
      <w:pPr>
        <w:spacing w:line="240" w:lineRule="exact"/>
        <w:rPr>
          <w:rFonts w:ascii="宋体"/>
          <w:sz w:val="18"/>
          <w:szCs w:val="18"/>
        </w:rPr>
      </w:pPr>
      <w:r>
        <w:rPr>
          <w:rFonts w:hint="eastAsia" w:ascii="宋体" w:hAnsi="宋体" w:cs="宋体"/>
          <w:sz w:val="18"/>
          <w:szCs w:val="18"/>
        </w:rPr>
        <w:t>技术措施说明：</w:t>
      </w:r>
      <w:r>
        <w:rPr>
          <w:rFonts w:ascii="Times New Roman" w:hAnsi="Times New Roman"/>
          <w:sz w:val="18"/>
          <w:szCs w:val="18"/>
        </w:rPr>
        <w:t>本项目位于广州市</w:t>
      </w:r>
      <w:r>
        <w:rPr>
          <w:rFonts w:hint="eastAsia" w:ascii="Times New Roman" w:hAnsi="Times New Roman"/>
          <w:sz w:val="18"/>
          <w:szCs w:val="18"/>
          <w:lang w:val="en-US" w:eastAsia="zh-CN"/>
        </w:rPr>
        <w:t>黄埔</w:t>
      </w:r>
      <w:r>
        <w:rPr>
          <w:rFonts w:ascii="Times New Roman" w:hAnsi="Times New Roman"/>
          <w:sz w:val="18"/>
          <w:szCs w:val="18"/>
        </w:rPr>
        <w:t>区，</w:t>
      </w:r>
      <w:r>
        <w:rPr>
          <w:rFonts w:hint="eastAsia" w:ascii="Times New Roman" w:hAnsi="Times New Roman"/>
          <w:sz w:val="18"/>
          <w:szCs w:val="18"/>
        </w:rPr>
        <w:t>项目选址周围交通配套较完善，场地出入口到达公共交通站点的步行距离不大于300m</w:t>
      </w:r>
      <w:r>
        <w:rPr>
          <w:rFonts w:ascii="Times New Roman" w:hAnsi="Times New Roman"/>
          <w:sz w:val="18"/>
          <w:szCs w:val="18"/>
        </w:rPr>
        <w:t>，满足居民绿色出行的基本要求。</w:t>
      </w:r>
    </w:p>
    <w:p w14:paraId="372D3996">
      <w:pPr>
        <w:spacing w:line="240" w:lineRule="exact"/>
        <w:rPr>
          <w:b/>
          <w:bCs/>
          <w:sz w:val="18"/>
          <w:szCs w:val="18"/>
        </w:rPr>
      </w:pPr>
      <w:r>
        <w:rPr>
          <w:rFonts w:hint="eastAsia" w:ascii="宋体" w:hAnsi="宋体" w:cs="宋体"/>
          <w:sz w:val="18"/>
          <w:szCs w:val="18"/>
        </w:rPr>
        <w:t>证明材料：√交通地图分析</w:t>
      </w:r>
      <w:r>
        <w:rPr>
          <w:rFonts w:ascii="宋体" w:hAnsi="宋体" w:cs="宋体"/>
          <w:sz w:val="18"/>
          <w:szCs w:val="18"/>
        </w:rPr>
        <w:t>报告</w:t>
      </w:r>
      <w:r>
        <w:rPr>
          <w:rFonts w:hint="eastAsia" w:ascii="宋体" w:hAnsi="宋体" w:cs="宋体"/>
          <w:sz w:val="18"/>
          <w:szCs w:val="18"/>
        </w:rPr>
        <w:t>书</w:t>
      </w:r>
      <w:r>
        <w:rPr>
          <w:rFonts w:hint="eastAsia" w:ascii="宋体" w:hAnsi="宋体"/>
          <w:sz w:val="18"/>
          <w:szCs w:val="18"/>
        </w:rPr>
        <w:t>；</w:t>
      </w:r>
      <w:r>
        <w:rPr>
          <w:rFonts w:ascii="宋体" w:hAnsi="宋体"/>
          <w:sz w:val="18"/>
          <w:szCs w:val="18"/>
        </w:rPr>
        <w:t xml:space="preserve"> </w:t>
      </w:r>
      <w:r>
        <w:rPr>
          <w:rFonts w:hint="eastAsia" w:ascii="宋体" w:hAnsi="宋体" w:cs="宋体"/>
          <w:sz w:val="18"/>
          <w:szCs w:val="18"/>
        </w:rPr>
        <w:t>√设计图纸（建筑、Z</w:t>
      </w:r>
      <w:r>
        <w:rPr>
          <w:rFonts w:ascii="宋体" w:hAnsi="宋体" w:cs="宋体"/>
          <w:sz w:val="18"/>
          <w:szCs w:val="18"/>
        </w:rPr>
        <w:t>P</w:t>
      </w:r>
      <w:r>
        <w:rPr>
          <w:rFonts w:hint="eastAsia" w:ascii="宋体" w:hAnsi="宋体" w:cs="宋体"/>
          <w:sz w:val="18"/>
          <w:szCs w:val="18"/>
        </w:rPr>
        <w:t>-01_总平面图）</w:t>
      </w:r>
    </w:p>
    <w:p w14:paraId="5DC18054">
      <w:pPr>
        <w:spacing w:line="240" w:lineRule="exact"/>
        <w:rPr>
          <w:b/>
          <w:bCs/>
          <w:sz w:val="18"/>
          <w:szCs w:val="18"/>
        </w:rPr>
      </w:pPr>
      <w:r>
        <w:rPr>
          <w:rFonts w:hint="eastAsia"/>
          <w:b/>
          <w:bCs/>
          <w:sz w:val="18"/>
          <w:szCs w:val="18"/>
        </w:rPr>
        <w:t>建筑专业</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0FAA00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319176CE">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0A6FF0D4">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2E9EE034">
      <w:pPr>
        <w:spacing w:line="240" w:lineRule="exact"/>
        <w:rPr>
          <w:rFonts w:ascii="黑体" w:hAnsi="宋体" w:eastAsia="黑体"/>
          <w:sz w:val="18"/>
          <w:szCs w:val="18"/>
        </w:rPr>
      </w:pPr>
      <w:r>
        <w:rPr>
          <w:rFonts w:ascii="黑体" w:hAnsi="宋体" w:eastAsia="黑体" w:cs="黑体"/>
          <w:sz w:val="18"/>
          <w:szCs w:val="18"/>
        </w:rPr>
        <w:t>6.1.3-1</w:t>
      </w:r>
      <w:r>
        <w:rPr>
          <w:rFonts w:hint="eastAsia" w:ascii="黑体" w:hAnsi="宋体" w:eastAsia="黑体" w:cs="黑体"/>
          <w:sz w:val="18"/>
          <w:szCs w:val="18"/>
        </w:rPr>
        <w:t>停车场应具有电动汽车充电设施或具备充电设施的安装条件，并应合理设置电动汽车和无障碍汽车停车位。</w:t>
      </w:r>
    </w:p>
    <w:p w14:paraId="25BC067B">
      <w:pPr>
        <w:spacing w:line="240" w:lineRule="exact"/>
        <w:rPr>
          <w:rFonts w:ascii="Times New Roman" w:hAnsi="Times New Roman"/>
          <w:sz w:val="18"/>
          <w:szCs w:val="18"/>
        </w:rPr>
      </w:pPr>
      <w:r>
        <w:rPr>
          <w:rFonts w:hint="eastAsia" w:ascii="宋体" w:hAnsi="宋体" w:cs="宋体"/>
          <w:sz w:val="18"/>
          <w:szCs w:val="18"/>
        </w:rPr>
        <w:t>技术措施说明：</w:t>
      </w:r>
      <w:r>
        <w:rPr>
          <w:rFonts w:ascii="Times New Roman" w:hAnsi="Times New Roman"/>
          <w:sz w:val="18"/>
          <w:szCs w:val="18"/>
        </w:rPr>
        <w:t>本项目</w:t>
      </w:r>
      <w:r>
        <w:rPr>
          <w:rFonts w:hint="eastAsia" w:ascii="Times New Roman" w:hAnsi="Times New Roman"/>
          <w:sz w:val="18"/>
          <w:szCs w:val="18"/>
        </w:rPr>
        <w:t>设置有不少于总停车数</w:t>
      </w:r>
      <w:r>
        <w:rPr>
          <w:rFonts w:ascii="Times New Roman" w:hAnsi="Times New Roman"/>
          <w:sz w:val="18"/>
          <w:szCs w:val="18"/>
        </w:rPr>
        <w:t>0.5</w:t>
      </w:r>
      <w:r>
        <w:rPr>
          <w:rFonts w:hint="eastAsia" w:ascii="Times New Roman" w:hAnsi="Times New Roman"/>
          <w:sz w:val="18"/>
          <w:szCs w:val="18"/>
        </w:rPr>
        <w:t>％的无障碍机动车停车位</w:t>
      </w:r>
      <w:r>
        <w:rPr>
          <w:rFonts w:ascii="Times New Roman" w:hAnsi="Times New Roman"/>
          <w:sz w:val="18"/>
          <w:szCs w:val="18"/>
        </w:rPr>
        <w:t>，满足现行国家标准《无障碍设计规范要求》GB50763的要求。</w:t>
      </w:r>
    </w:p>
    <w:p w14:paraId="75D6BBCD">
      <w:pPr>
        <w:spacing w:line="240" w:lineRule="exact"/>
        <w:rPr>
          <w:rFonts w:ascii="宋体" w:cs="宋体"/>
          <w:sz w:val="18"/>
          <w:szCs w:val="18"/>
        </w:rPr>
      </w:pPr>
      <w:r>
        <w:rPr>
          <w:rFonts w:hint="eastAsia" w:ascii="宋体" w:hAnsi="宋体" w:cs="宋体"/>
          <w:sz w:val="18"/>
          <w:szCs w:val="18"/>
        </w:rPr>
        <w:t>证明材料：√设计图纸（建筑、Z</w:t>
      </w:r>
      <w:r>
        <w:rPr>
          <w:rFonts w:ascii="宋体" w:hAnsi="宋体" w:cs="宋体"/>
          <w:sz w:val="18"/>
          <w:szCs w:val="18"/>
        </w:rPr>
        <w:t>P</w:t>
      </w:r>
      <w:r>
        <w:rPr>
          <w:rFonts w:hint="eastAsia" w:ascii="宋体" w:hAnsi="宋体" w:cs="宋体"/>
          <w:sz w:val="18"/>
          <w:szCs w:val="18"/>
        </w:rPr>
        <w:t>-01_总平面图，SM-03_建筑无障碍设计专篇，地下平面图）</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157CA9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3D317D32">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0958A3F5">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39DF15A2">
      <w:pPr>
        <w:spacing w:line="240" w:lineRule="exact"/>
        <w:rPr>
          <w:rFonts w:ascii="黑体" w:hAnsi="宋体" w:eastAsia="黑体"/>
          <w:sz w:val="18"/>
          <w:szCs w:val="18"/>
        </w:rPr>
      </w:pPr>
      <w:r>
        <w:rPr>
          <w:rFonts w:ascii="黑体" w:hAnsi="宋体" w:eastAsia="黑体" w:cs="黑体"/>
          <w:sz w:val="18"/>
          <w:szCs w:val="18"/>
        </w:rPr>
        <w:t>6.1.4</w:t>
      </w:r>
      <w:r>
        <w:rPr>
          <w:rFonts w:hint="eastAsia" w:ascii="黑体" w:hAnsi="宋体" w:eastAsia="黑体" w:cs="黑体"/>
          <w:sz w:val="18"/>
          <w:szCs w:val="18"/>
        </w:rPr>
        <w:t>自行车停车场所应位置合理、方便出入。</w:t>
      </w:r>
    </w:p>
    <w:p w14:paraId="29443AFD">
      <w:pPr>
        <w:spacing w:line="240" w:lineRule="exact"/>
        <w:rPr>
          <w:rFonts w:ascii="宋体"/>
          <w:sz w:val="18"/>
          <w:szCs w:val="18"/>
        </w:rPr>
      </w:pPr>
      <w:r>
        <w:rPr>
          <w:rFonts w:hint="eastAsia" w:ascii="宋体" w:hAnsi="宋体" w:cs="宋体"/>
          <w:sz w:val="18"/>
          <w:szCs w:val="18"/>
        </w:rPr>
        <w:t>技术措施说明：</w:t>
      </w:r>
      <w:r>
        <w:rPr>
          <w:rFonts w:hint="eastAsia" w:ascii="Times New Roman" w:hAnsi="Times New Roman"/>
          <w:sz w:val="18"/>
          <w:szCs w:val="18"/>
        </w:rPr>
        <w:t>设置有自行车停车场所，</w:t>
      </w:r>
      <w:r>
        <w:rPr>
          <w:rFonts w:ascii="Times New Roman" w:hAnsi="Times New Roman"/>
          <w:sz w:val="18"/>
          <w:szCs w:val="18"/>
        </w:rPr>
        <w:t>出入口方便出入，鼓励绿色出行。</w:t>
      </w:r>
    </w:p>
    <w:p w14:paraId="70CBBAC4">
      <w:pPr>
        <w:spacing w:line="240" w:lineRule="exact"/>
        <w:rPr>
          <w:rFonts w:ascii="黑体" w:hAnsi="宋体" w:eastAsia="黑体"/>
          <w:sz w:val="18"/>
          <w:szCs w:val="18"/>
        </w:rPr>
      </w:pPr>
      <w:r>
        <w:rPr>
          <w:rFonts w:hint="eastAsia" w:ascii="宋体" w:hAnsi="宋体" w:cs="宋体"/>
          <w:sz w:val="18"/>
          <w:szCs w:val="18"/>
        </w:rPr>
        <w:t>证明材料：√设计图纸（建筑、Z-01_总平面图；地下平面图）</w:t>
      </w:r>
    </w:p>
    <w:p w14:paraId="16B621A1">
      <w:pPr>
        <w:spacing w:line="240" w:lineRule="exact"/>
        <w:rPr>
          <w:b/>
          <w:bCs/>
          <w:sz w:val="18"/>
          <w:szCs w:val="18"/>
        </w:rPr>
      </w:pPr>
    </w:p>
    <w:p w14:paraId="24B88BB4">
      <w:pPr>
        <w:spacing w:line="240" w:lineRule="exact"/>
        <w:rPr>
          <w:b/>
          <w:bCs/>
          <w:sz w:val="18"/>
          <w:szCs w:val="18"/>
        </w:rPr>
      </w:pPr>
      <w:r>
        <w:rPr>
          <w:rFonts w:hint="eastAsia"/>
          <w:b/>
          <w:bCs/>
          <w:sz w:val="18"/>
          <w:szCs w:val="18"/>
        </w:rPr>
        <w:t>电气专业</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29523E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6D5609B9">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0AB8981D">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324196AB">
      <w:pPr>
        <w:spacing w:line="240" w:lineRule="exact"/>
        <w:rPr>
          <w:rFonts w:ascii="黑体" w:hAnsi="宋体" w:eastAsia="黑体"/>
          <w:sz w:val="18"/>
          <w:szCs w:val="18"/>
        </w:rPr>
      </w:pPr>
      <w:r>
        <w:rPr>
          <w:rFonts w:ascii="黑体" w:hAnsi="宋体" w:eastAsia="黑体" w:cs="黑体"/>
          <w:sz w:val="18"/>
          <w:szCs w:val="18"/>
        </w:rPr>
        <w:t>6.1.3-2</w:t>
      </w:r>
      <w:r>
        <w:rPr>
          <w:rFonts w:hint="eastAsia" w:ascii="黑体" w:hAnsi="宋体" w:eastAsia="黑体" w:cs="黑体"/>
          <w:sz w:val="18"/>
          <w:szCs w:val="18"/>
        </w:rPr>
        <w:t>停车场应具有电动汽车充电设施或具备充电设施的安装条件，并应合理设置电动汽车和无障碍汽车停车位。</w:t>
      </w:r>
    </w:p>
    <w:p w14:paraId="497DA75C">
      <w:pPr>
        <w:spacing w:line="240" w:lineRule="exact"/>
        <w:rPr>
          <w:rFonts w:ascii="宋体"/>
          <w:sz w:val="18"/>
          <w:szCs w:val="18"/>
        </w:rPr>
      </w:pPr>
      <w:r>
        <w:rPr>
          <w:rFonts w:hint="eastAsia" w:ascii="宋体" w:hAnsi="宋体" w:cs="宋体"/>
          <w:sz w:val="18"/>
          <w:szCs w:val="18"/>
        </w:rPr>
        <w:t>技术措施说明：</w:t>
      </w:r>
      <w:r>
        <w:rPr>
          <w:rFonts w:hint="eastAsia" w:ascii="Times New Roman" w:hAnsi="Times New Roman"/>
          <w:sz w:val="18"/>
          <w:szCs w:val="18"/>
        </w:rPr>
        <w:t>预留的充电车位，预留外电源管线、变压器容量、一级配电应预留低压柜安装空间、干线电缆敷设条件，第二级配电应预留区域总箱的安装空间与接入系统位置和配电支路电缆敷设条件，以便按需建设充电设施。</w:t>
      </w:r>
    </w:p>
    <w:p w14:paraId="24F92E77">
      <w:pPr>
        <w:spacing w:line="240" w:lineRule="exact"/>
        <w:rPr>
          <w:b/>
          <w:bCs/>
          <w:sz w:val="18"/>
          <w:szCs w:val="18"/>
        </w:rPr>
      </w:pPr>
      <w:r>
        <w:rPr>
          <w:rFonts w:hint="eastAsia" w:ascii="宋体" w:hAnsi="宋体" w:cs="宋体"/>
          <w:sz w:val="18"/>
          <w:szCs w:val="18"/>
        </w:rPr>
        <w:t>证明材料：√设计图纸（电气</w:t>
      </w:r>
      <w:r>
        <w:rPr>
          <w:rFonts w:ascii="宋体" w:hAnsi="宋体" w:cs="宋体"/>
          <w:sz w:val="18"/>
          <w:szCs w:val="18"/>
        </w:rPr>
        <w:t>、D-SM-01~06_电气施工图设计说明</w:t>
      </w:r>
      <w:r>
        <w:rPr>
          <w:rFonts w:hint="eastAsia" w:ascii="宋体" w:hAnsi="宋体" w:cs="宋体"/>
          <w:sz w:val="18"/>
          <w:szCs w:val="18"/>
        </w:rPr>
        <w:t>，</w:t>
      </w:r>
      <w:r>
        <w:rPr>
          <w:rFonts w:ascii="宋体" w:hAnsi="宋体" w:cs="宋体"/>
          <w:sz w:val="18"/>
          <w:szCs w:val="18"/>
        </w:rPr>
        <w:t xml:space="preserve"> </w:t>
      </w:r>
      <w:r>
        <w:rPr>
          <w:rFonts w:hint="eastAsia" w:ascii="宋体" w:hAnsi="宋体" w:cs="宋体"/>
          <w:sz w:val="18"/>
          <w:szCs w:val="18"/>
        </w:rPr>
        <w:t>地下室</w:t>
      </w:r>
      <w:r>
        <w:rPr>
          <w:rFonts w:ascii="宋体" w:hAnsi="宋体" w:cs="宋体"/>
          <w:sz w:val="18"/>
          <w:szCs w:val="18"/>
        </w:rPr>
        <w:t>配电</w:t>
      </w:r>
      <w:r>
        <w:rPr>
          <w:rFonts w:hint="eastAsia" w:ascii="宋体" w:hAnsi="宋体" w:cs="宋体"/>
          <w:sz w:val="18"/>
          <w:szCs w:val="18"/>
        </w:rPr>
        <w:t>平面图）</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02EC23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3F7FC648">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305D5E4B">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00B1D28C">
      <w:pPr>
        <w:spacing w:line="240" w:lineRule="exact"/>
        <w:rPr>
          <w:rFonts w:ascii="黑体" w:hAnsi="宋体" w:eastAsia="黑体"/>
          <w:sz w:val="18"/>
          <w:szCs w:val="18"/>
        </w:rPr>
      </w:pPr>
      <w:r>
        <w:rPr>
          <w:rFonts w:ascii="黑体" w:hAnsi="宋体" w:eastAsia="黑体" w:cs="黑体"/>
          <w:sz w:val="18"/>
          <w:szCs w:val="18"/>
        </w:rPr>
        <w:t>6.1.5</w:t>
      </w:r>
      <w:r>
        <w:rPr>
          <w:rFonts w:hint="eastAsia" w:ascii="黑体" w:hAnsi="宋体" w:eastAsia="黑体" w:cs="黑体"/>
          <w:sz w:val="18"/>
          <w:szCs w:val="18"/>
        </w:rPr>
        <w:t>建筑设备管理系统应具有自动监控管理功能。</w:t>
      </w:r>
    </w:p>
    <w:p w14:paraId="01483907">
      <w:pPr>
        <w:spacing w:line="240" w:lineRule="exact"/>
        <w:rPr>
          <w:rFonts w:ascii="宋体" w:hAnsi="宋体" w:cs="宋体"/>
          <w:sz w:val="18"/>
          <w:szCs w:val="18"/>
        </w:rPr>
      </w:pPr>
      <w:r>
        <w:rPr>
          <w:rFonts w:hint="eastAsia" w:ascii="宋体" w:hAnsi="宋体" w:cs="宋体"/>
          <w:sz w:val="18"/>
          <w:szCs w:val="18"/>
        </w:rPr>
        <w:t>技术措施说明：本</w:t>
      </w:r>
      <w:r>
        <w:rPr>
          <w:rFonts w:ascii="宋体" w:hAnsi="宋体" w:cs="宋体"/>
          <w:sz w:val="18"/>
          <w:szCs w:val="18"/>
        </w:rPr>
        <w:t>项目</w:t>
      </w:r>
      <w:r>
        <w:rPr>
          <w:rFonts w:hint="eastAsia" w:ascii="宋体" w:hAnsi="宋体" w:cs="宋体"/>
          <w:sz w:val="18"/>
          <w:szCs w:val="18"/>
        </w:rPr>
        <w:t>为</w:t>
      </w:r>
      <w:r>
        <w:rPr>
          <w:rFonts w:hint="eastAsia" w:ascii="宋体" w:hAnsi="宋体" w:cs="宋体"/>
          <w:sz w:val="18"/>
          <w:szCs w:val="18"/>
          <w:lang w:val="en-US" w:eastAsia="zh-CN"/>
        </w:rPr>
        <w:t>医院</w:t>
      </w:r>
      <w:r>
        <w:rPr>
          <w:rFonts w:hint="eastAsia" w:ascii="宋体" w:hAnsi="宋体" w:cs="宋体"/>
          <w:sz w:val="18"/>
          <w:szCs w:val="18"/>
        </w:rPr>
        <w:t>建筑，建筑设备管理系统具有自动监控管理功能。。</w:t>
      </w:r>
    </w:p>
    <w:p w14:paraId="590D55A6">
      <w:pPr>
        <w:spacing w:line="240" w:lineRule="exact"/>
        <w:rPr>
          <w:rFonts w:ascii="黑体" w:hAnsi="宋体" w:eastAsia="黑体"/>
          <w:sz w:val="18"/>
          <w:szCs w:val="18"/>
        </w:rPr>
      </w:pPr>
      <w:r>
        <w:rPr>
          <w:rFonts w:hint="eastAsia" w:ascii="宋体" w:hAnsi="宋体" w:cs="宋体"/>
          <w:sz w:val="18"/>
          <w:szCs w:val="18"/>
        </w:rPr>
        <w:t>证明材料：√设计图纸（弱电</w:t>
      </w:r>
      <w:r>
        <w:rPr>
          <w:rFonts w:ascii="宋体" w:hAnsi="宋体" w:cs="宋体"/>
          <w:sz w:val="18"/>
          <w:szCs w:val="18"/>
        </w:rPr>
        <w:t>、DR-SM-01~03_弱电设计说明</w:t>
      </w:r>
      <w:r>
        <w:rPr>
          <w:rFonts w:hint="eastAsia" w:ascii="宋体" w:hAnsi="宋体" w:cs="宋体"/>
          <w:sz w:val="18"/>
          <w:szCs w:val="18"/>
        </w:rPr>
        <w:t>，</w:t>
      </w:r>
      <w:r>
        <w:rPr>
          <w:rFonts w:ascii="宋体" w:hAnsi="宋体" w:cs="宋体"/>
          <w:sz w:val="18"/>
          <w:szCs w:val="18"/>
        </w:rPr>
        <w:t>DR-XT-10_建筑设备监控系统图</w:t>
      </w:r>
      <w:r>
        <w:rPr>
          <w:rFonts w:hint="eastAsia" w:ascii="宋体" w:hAnsi="宋体" w:cs="宋体"/>
          <w:sz w:val="18"/>
          <w:szCs w:val="18"/>
        </w:rPr>
        <w:t>）；√</w:t>
      </w:r>
      <w:r>
        <w:rPr>
          <w:rFonts w:hint="eastAsia" w:ascii="宋体" w:hAnsi="宋体"/>
          <w:sz w:val="18"/>
          <w:szCs w:val="18"/>
        </w:rPr>
        <w:t>二次设计达标承诺函</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00C55A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5A3B05F8">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30BDEF9D">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4B1C2F85">
      <w:pPr>
        <w:spacing w:line="240" w:lineRule="exact"/>
        <w:rPr>
          <w:rFonts w:ascii="黑体" w:hAnsi="宋体" w:eastAsia="黑体"/>
          <w:sz w:val="18"/>
          <w:szCs w:val="18"/>
        </w:rPr>
      </w:pPr>
      <w:r>
        <w:rPr>
          <w:rFonts w:ascii="黑体" w:hAnsi="宋体" w:eastAsia="黑体" w:cs="黑体"/>
          <w:sz w:val="18"/>
          <w:szCs w:val="18"/>
        </w:rPr>
        <w:t>6.1.6</w:t>
      </w:r>
      <w:r>
        <w:rPr>
          <w:rFonts w:hint="eastAsia" w:ascii="黑体" w:hAnsi="宋体" w:eastAsia="黑体" w:cs="黑体"/>
          <w:sz w:val="18"/>
          <w:szCs w:val="18"/>
        </w:rPr>
        <w:t>建筑应设置信息网络系统。</w:t>
      </w:r>
    </w:p>
    <w:p w14:paraId="52FBE3CF">
      <w:pPr>
        <w:spacing w:line="240" w:lineRule="exact"/>
        <w:rPr>
          <w:rFonts w:ascii="宋体"/>
          <w:sz w:val="18"/>
          <w:szCs w:val="18"/>
        </w:rPr>
      </w:pPr>
      <w:r>
        <w:rPr>
          <w:rFonts w:hint="eastAsia" w:ascii="宋体" w:hAnsi="宋体" w:cs="宋体"/>
          <w:sz w:val="18"/>
          <w:szCs w:val="18"/>
        </w:rPr>
        <w:t>技术措施说明：本</w:t>
      </w:r>
      <w:r>
        <w:rPr>
          <w:rFonts w:ascii="宋体" w:hAnsi="宋体" w:cs="宋体"/>
          <w:sz w:val="18"/>
          <w:szCs w:val="18"/>
        </w:rPr>
        <w:t>项目</w:t>
      </w:r>
      <w:r>
        <w:rPr>
          <w:rFonts w:hint="eastAsia" w:ascii="宋体" w:hAnsi="宋体" w:cs="宋体"/>
          <w:sz w:val="18"/>
          <w:szCs w:val="18"/>
        </w:rPr>
        <w:t>根据《智能建筑设计标准》G</w:t>
      </w:r>
      <w:r>
        <w:rPr>
          <w:rFonts w:ascii="宋体" w:hAnsi="宋体" w:cs="宋体"/>
          <w:sz w:val="18"/>
          <w:szCs w:val="18"/>
        </w:rPr>
        <w:t>B 50314</w:t>
      </w:r>
      <w:r>
        <w:rPr>
          <w:rFonts w:hint="eastAsia" w:ascii="宋体" w:hAnsi="宋体" w:cs="宋体"/>
          <w:sz w:val="18"/>
          <w:szCs w:val="18"/>
        </w:rPr>
        <w:t>和《居住区智能化系统配置与技术要求》</w:t>
      </w:r>
      <w:r>
        <w:rPr>
          <w:rFonts w:ascii="宋体" w:hAnsi="宋体" w:cs="宋体"/>
          <w:sz w:val="18"/>
          <w:szCs w:val="18"/>
        </w:rPr>
        <w:t>CJ/T 174，设置合理</w:t>
      </w:r>
      <w:r>
        <w:rPr>
          <w:rFonts w:cs="宋体"/>
          <w:sz w:val="18"/>
          <w:szCs w:val="18"/>
        </w:rPr>
        <w:t>、完善的信息网络系统。</w:t>
      </w:r>
    </w:p>
    <w:p w14:paraId="735D2659">
      <w:pPr>
        <w:spacing w:line="240" w:lineRule="exact"/>
        <w:rPr>
          <w:rFonts w:ascii="黑体" w:hAnsi="宋体" w:eastAsia="黑体"/>
          <w:sz w:val="18"/>
          <w:szCs w:val="18"/>
        </w:rPr>
      </w:pPr>
      <w:r>
        <w:rPr>
          <w:rFonts w:hint="eastAsia" w:ascii="宋体" w:hAnsi="宋体" w:cs="宋体"/>
          <w:sz w:val="18"/>
          <w:szCs w:val="18"/>
        </w:rPr>
        <w:t>证明材料：√设计图纸（弱电</w:t>
      </w:r>
      <w:r>
        <w:rPr>
          <w:rFonts w:ascii="宋体" w:hAnsi="宋体" w:cs="宋体"/>
          <w:sz w:val="18"/>
          <w:szCs w:val="18"/>
        </w:rPr>
        <w:t>、DR-SM-01~03_弱电设计说明</w:t>
      </w:r>
      <w:r>
        <w:rPr>
          <w:rFonts w:hint="eastAsia" w:ascii="宋体" w:hAnsi="宋体" w:cs="宋体"/>
          <w:sz w:val="18"/>
          <w:szCs w:val="18"/>
        </w:rPr>
        <w:t>，</w:t>
      </w:r>
      <w:r>
        <w:rPr>
          <w:rFonts w:ascii="宋体" w:hAnsi="宋体" w:cs="宋体"/>
          <w:sz w:val="18"/>
          <w:szCs w:val="18"/>
        </w:rPr>
        <w:t>DR-XT-03_</w:t>
      </w:r>
      <w:r>
        <w:rPr>
          <w:rFonts w:hint="eastAsia" w:ascii="宋体" w:hAnsi="宋体" w:cs="宋体"/>
          <w:sz w:val="18"/>
          <w:szCs w:val="18"/>
        </w:rPr>
        <w:t>信息网络系统图）</w:t>
      </w:r>
    </w:p>
    <w:p w14:paraId="2F234AB0">
      <w:pPr>
        <w:spacing w:line="240" w:lineRule="exact"/>
        <w:rPr>
          <w:b/>
          <w:bCs/>
          <w:sz w:val="18"/>
          <w:szCs w:val="18"/>
        </w:rPr>
      </w:pPr>
      <w:r>
        <w:rPr>
          <w:rFonts w:hint="eastAsia"/>
          <w:b/>
          <w:bCs/>
          <w:sz w:val="18"/>
          <w:szCs w:val="18"/>
        </w:rPr>
        <w:t>景观专业</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025D1C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5DA46A46">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50A2BF6C">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5B190446">
      <w:pPr>
        <w:spacing w:line="240" w:lineRule="exact"/>
        <w:rPr>
          <w:rFonts w:ascii="黑体" w:hAnsi="宋体" w:eastAsia="黑体"/>
          <w:sz w:val="18"/>
          <w:szCs w:val="18"/>
        </w:rPr>
      </w:pPr>
      <w:r>
        <w:rPr>
          <w:rFonts w:ascii="黑体" w:hAnsi="宋体" w:eastAsia="黑体" w:cs="黑体"/>
          <w:sz w:val="18"/>
          <w:szCs w:val="18"/>
        </w:rPr>
        <w:t>6.1.1</w:t>
      </w:r>
      <w:r>
        <w:rPr>
          <w:rFonts w:hint="eastAsia" w:ascii="黑体" w:hAnsi="宋体" w:eastAsia="黑体" w:cs="黑体"/>
          <w:sz w:val="18"/>
          <w:szCs w:val="18"/>
        </w:rPr>
        <w:t>建筑、室外场地、公共绿地、城市道路相互之间应设置连贯的无障碍步行系统。</w:t>
      </w:r>
    </w:p>
    <w:p w14:paraId="5315DCDA">
      <w:pPr>
        <w:spacing w:line="240" w:lineRule="exact"/>
        <w:rPr>
          <w:rFonts w:ascii="宋体"/>
          <w:sz w:val="18"/>
          <w:szCs w:val="18"/>
        </w:rPr>
      </w:pPr>
      <w:r>
        <w:rPr>
          <w:rFonts w:hint="eastAsia" w:ascii="宋体" w:hAnsi="宋体" w:cs="宋体"/>
          <w:sz w:val="18"/>
          <w:szCs w:val="18"/>
        </w:rPr>
        <w:t>技术措施说明：城市主要道路、建筑物和居住区的人行天桥和人行道，应设轮椅坡道和安全梯道；在坡道和梯道两侧应设扶手。城市中心地区可设垂直升降梯取代轮椅坡道。各级公共绿地的入口与道路及休息凉亭等设施的平面应平缓防滑；地面有高差时，应设轮椅坡道和扶手。在休息坐椅应设轮椅停留位置。建筑入口为无障碍入口时，入口室外的地面坡度不应大于1：50，室外通路地面坡度不应大于1：</w:t>
      </w:r>
      <w:r>
        <w:rPr>
          <w:rFonts w:ascii="宋体" w:hAnsi="宋体" w:cs="宋体"/>
          <w:sz w:val="18"/>
          <w:szCs w:val="18"/>
        </w:rPr>
        <w:t>2</w:t>
      </w:r>
      <w:r>
        <w:rPr>
          <w:rFonts w:hint="eastAsia" w:ascii="宋体" w:hAnsi="宋体" w:cs="宋体"/>
          <w:sz w:val="18"/>
          <w:szCs w:val="18"/>
        </w:rPr>
        <w:t>0。</w:t>
      </w:r>
    </w:p>
    <w:p w14:paraId="4AB1C945">
      <w:pPr>
        <w:spacing w:line="240" w:lineRule="exact"/>
        <w:rPr>
          <w:b/>
          <w:bCs/>
          <w:sz w:val="18"/>
          <w:szCs w:val="18"/>
        </w:rPr>
      </w:pPr>
      <w:r>
        <w:rPr>
          <w:rFonts w:hint="eastAsia" w:ascii="宋体" w:hAnsi="宋体" w:cs="宋体"/>
          <w:sz w:val="18"/>
          <w:szCs w:val="18"/>
        </w:rPr>
        <w:t>证明材料：√设计图纸（建筑、Z</w:t>
      </w:r>
      <w:r>
        <w:rPr>
          <w:rFonts w:ascii="宋体" w:hAnsi="宋体" w:cs="宋体"/>
          <w:sz w:val="18"/>
          <w:szCs w:val="18"/>
        </w:rPr>
        <w:t>P</w:t>
      </w:r>
      <w:r>
        <w:rPr>
          <w:rFonts w:hint="eastAsia" w:ascii="宋体" w:hAnsi="宋体" w:cs="宋体"/>
          <w:sz w:val="18"/>
          <w:szCs w:val="18"/>
        </w:rPr>
        <w:t>-01_总平面图，SM-03_建筑无障碍设计专篇）；</w:t>
      </w:r>
      <w:r>
        <w:rPr>
          <w:rFonts w:ascii="宋体" w:hAnsi="宋体" w:cs="宋体"/>
          <w:sz w:val="18"/>
          <w:szCs w:val="18"/>
        </w:rPr>
        <w:t xml:space="preserve">  </w:t>
      </w:r>
      <w:r>
        <w:rPr>
          <w:rFonts w:hint="eastAsia" w:ascii="宋体" w:hAnsi="宋体" w:cs="宋体"/>
          <w:sz w:val="18"/>
          <w:szCs w:val="18"/>
        </w:rPr>
        <w:t>√</w:t>
      </w:r>
      <w:r>
        <w:rPr>
          <w:rFonts w:hint="eastAsia" w:ascii="宋体" w:hAnsi="宋体"/>
          <w:sz w:val="18"/>
          <w:szCs w:val="18"/>
        </w:rPr>
        <w:t>二次设计达标承诺函</w:t>
      </w:r>
    </w:p>
    <w:p w14:paraId="72EE1CC9">
      <w:pPr>
        <w:spacing w:line="240" w:lineRule="exact"/>
        <w:rPr>
          <w:sz w:val="18"/>
          <w:szCs w:val="18"/>
        </w:rPr>
      </w:pPr>
      <w:r>
        <w:rPr>
          <w:rFonts w:hint="eastAsia"/>
          <w:sz w:val="18"/>
          <w:szCs w:val="18"/>
        </w:rPr>
        <w:t>-</w:t>
      </w:r>
    </w:p>
    <w:p w14:paraId="113575A7">
      <w:pPr>
        <w:spacing w:line="240" w:lineRule="exact"/>
        <w:jc w:val="center"/>
        <w:outlineLvl w:val="2"/>
        <w:rPr>
          <w:rFonts w:cs="宋体"/>
          <w:b/>
          <w:bCs/>
          <w:sz w:val="18"/>
          <w:szCs w:val="18"/>
        </w:rPr>
      </w:pPr>
      <w:r>
        <w:rPr>
          <w:rFonts w:hint="eastAsia" w:cs="宋体"/>
          <w:b/>
          <w:bCs/>
          <w:sz w:val="18"/>
          <w:szCs w:val="18"/>
        </w:rPr>
        <w:t>自选说明内容（评分项）</w:t>
      </w:r>
    </w:p>
    <w:p w14:paraId="41FD8A0D">
      <w:pPr>
        <w:spacing w:line="240" w:lineRule="exact"/>
        <w:jc w:val="center"/>
        <w:rPr>
          <w:b/>
          <w:bCs/>
          <w:sz w:val="18"/>
          <w:szCs w:val="18"/>
        </w:rPr>
      </w:pPr>
    </w:p>
    <w:tbl>
      <w:tblPr>
        <w:tblStyle w:val="12"/>
        <w:tblW w:w="864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8"/>
        <w:gridCol w:w="865"/>
        <w:gridCol w:w="865"/>
        <w:gridCol w:w="865"/>
        <w:gridCol w:w="865"/>
        <w:gridCol w:w="865"/>
        <w:gridCol w:w="865"/>
        <w:gridCol w:w="865"/>
        <w:gridCol w:w="865"/>
        <w:gridCol w:w="865"/>
      </w:tblGrid>
      <w:tr w14:paraId="5BDA4F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858" w:type="dxa"/>
            <w:vAlign w:val="center"/>
          </w:tcPr>
          <w:p w14:paraId="1D6F4D3E">
            <w:pPr>
              <w:spacing w:line="240" w:lineRule="exact"/>
              <w:jc w:val="center"/>
              <w:rPr>
                <w:rFonts w:cs="Calibri"/>
                <w:sz w:val="18"/>
                <w:szCs w:val="18"/>
              </w:rPr>
            </w:pPr>
            <w:r>
              <w:rPr>
                <w:rFonts w:hint="eastAsia" w:cs="Calibri"/>
                <w:sz w:val="18"/>
                <w:szCs w:val="18"/>
              </w:rPr>
              <w:t>条文</w:t>
            </w:r>
          </w:p>
        </w:tc>
        <w:tc>
          <w:tcPr>
            <w:tcW w:w="865" w:type="dxa"/>
            <w:vAlign w:val="center"/>
          </w:tcPr>
          <w:p w14:paraId="18F2EAF9">
            <w:pPr>
              <w:spacing w:line="240" w:lineRule="exact"/>
              <w:jc w:val="center"/>
              <w:rPr>
                <w:rFonts w:cs="Calibri"/>
                <w:sz w:val="18"/>
                <w:szCs w:val="18"/>
              </w:rPr>
            </w:pPr>
            <w:r>
              <w:rPr>
                <w:rFonts w:cs="Calibri"/>
                <w:sz w:val="18"/>
                <w:szCs w:val="18"/>
              </w:rPr>
              <w:t>6.2.1</w:t>
            </w:r>
          </w:p>
        </w:tc>
        <w:tc>
          <w:tcPr>
            <w:tcW w:w="865" w:type="dxa"/>
            <w:vAlign w:val="center"/>
          </w:tcPr>
          <w:p w14:paraId="669C1B8D">
            <w:pPr>
              <w:spacing w:line="240" w:lineRule="exact"/>
              <w:jc w:val="center"/>
              <w:rPr>
                <w:rFonts w:cs="Calibri"/>
                <w:sz w:val="18"/>
                <w:szCs w:val="18"/>
              </w:rPr>
            </w:pPr>
            <w:r>
              <w:rPr>
                <w:rFonts w:cs="Calibri"/>
                <w:sz w:val="18"/>
                <w:szCs w:val="18"/>
              </w:rPr>
              <w:t>6.2.2</w:t>
            </w:r>
          </w:p>
        </w:tc>
        <w:tc>
          <w:tcPr>
            <w:tcW w:w="865" w:type="dxa"/>
            <w:vAlign w:val="center"/>
          </w:tcPr>
          <w:p w14:paraId="5D26E897">
            <w:pPr>
              <w:spacing w:line="240" w:lineRule="exact"/>
              <w:jc w:val="center"/>
              <w:rPr>
                <w:rFonts w:cs="Calibri"/>
                <w:sz w:val="18"/>
                <w:szCs w:val="18"/>
              </w:rPr>
            </w:pPr>
            <w:r>
              <w:rPr>
                <w:rFonts w:cs="Calibri"/>
                <w:sz w:val="18"/>
                <w:szCs w:val="18"/>
              </w:rPr>
              <w:t>6.2.3</w:t>
            </w:r>
          </w:p>
        </w:tc>
        <w:tc>
          <w:tcPr>
            <w:tcW w:w="865" w:type="dxa"/>
            <w:vAlign w:val="center"/>
          </w:tcPr>
          <w:p w14:paraId="21A0EAF3">
            <w:pPr>
              <w:spacing w:line="240" w:lineRule="exact"/>
              <w:jc w:val="center"/>
              <w:rPr>
                <w:rFonts w:cs="Calibri"/>
                <w:sz w:val="18"/>
                <w:szCs w:val="18"/>
              </w:rPr>
            </w:pPr>
            <w:r>
              <w:rPr>
                <w:rFonts w:cs="Calibri"/>
                <w:sz w:val="18"/>
                <w:szCs w:val="18"/>
              </w:rPr>
              <w:t>6.2.4</w:t>
            </w:r>
          </w:p>
        </w:tc>
        <w:tc>
          <w:tcPr>
            <w:tcW w:w="865" w:type="dxa"/>
            <w:vAlign w:val="center"/>
          </w:tcPr>
          <w:p w14:paraId="3F5AEA62">
            <w:pPr>
              <w:spacing w:line="240" w:lineRule="exact"/>
              <w:jc w:val="center"/>
              <w:rPr>
                <w:rFonts w:cs="Calibri"/>
                <w:sz w:val="18"/>
                <w:szCs w:val="18"/>
              </w:rPr>
            </w:pPr>
            <w:r>
              <w:rPr>
                <w:rFonts w:cs="Calibri"/>
                <w:sz w:val="18"/>
                <w:szCs w:val="18"/>
              </w:rPr>
              <w:t>6.2.5</w:t>
            </w:r>
          </w:p>
        </w:tc>
        <w:tc>
          <w:tcPr>
            <w:tcW w:w="865" w:type="dxa"/>
            <w:vAlign w:val="center"/>
          </w:tcPr>
          <w:p w14:paraId="78BCCE69">
            <w:pPr>
              <w:spacing w:line="240" w:lineRule="exact"/>
              <w:jc w:val="center"/>
              <w:rPr>
                <w:rFonts w:cs="Calibri"/>
                <w:sz w:val="18"/>
                <w:szCs w:val="18"/>
              </w:rPr>
            </w:pPr>
            <w:r>
              <w:rPr>
                <w:rFonts w:cs="Calibri"/>
                <w:sz w:val="18"/>
                <w:szCs w:val="18"/>
              </w:rPr>
              <w:t>6.2.6</w:t>
            </w:r>
          </w:p>
        </w:tc>
        <w:tc>
          <w:tcPr>
            <w:tcW w:w="865" w:type="dxa"/>
            <w:vAlign w:val="center"/>
          </w:tcPr>
          <w:p w14:paraId="7B4F9666">
            <w:pPr>
              <w:spacing w:line="240" w:lineRule="exact"/>
              <w:jc w:val="center"/>
              <w:rPr>
                <w:rFonts w:cs="Calibri"/>
                <w:sz w:val="18"/>
                <w:szCs w:val="18"/>
              </w:rPr>
            </w:pPr>
            <w:r>
              <w:rPr>
                <w:rFonts w:cs="Calibri"/>
                <w:sz w:val="18"/>
                <w:szCs w:val="18"/>
              </w:rPr>
              <w:t>6.2.7</w:t>
            </w:r>
          </w:p>
        </w:tc>
        <w:tc>
          <w:tcPr>
            <w:tcW w:w="865" w:type="dxa"/>
            <w:vAlign w:val="center"/>
          </w:tcPr>
          <w:p w14:paraId="38607758">
            <w:pPr>
              <w:spacing w:line="240" w:lineRule="exact"/>
              <w:jc w:val="center"/>
              <w:rPr>
                <w:rFonts w:cs="Calibri"/>
                <w:sz w:val="18"/>
                <w:szCs w:val="18"/>
              </w:rPr>
            </w:pPr>
            <w:r>
              <w:rPr>
                <w:rFonts w:cs="Calibri"/>
                <w:sz w:val="18"/>
                <w:szCs w:val="18"/>
              </w:rPr>
              <w:t>6.2.8</w:t>
            </w:r>
          </w:p>
        </w:tc>
        <w:tc>
          <w:tcPr>
            <w:tcW w:w="865" w:type="dxa"/>
            <w:vAlign w:val="center"/>
          </w:tcPr>
          <w:p w14:paraId="05DE21AA">
            <w:pPr>
              <w:spacing w:line="240" w:lineRule="exact"/>
              <w:jc w:val="center"/>
              <w:rPr>
                <w:rFonts w:cs="Calibri"/>
                <w:sz w:val="18"/>
                <w:szCs w:val="18"/>
              </w:rPr>
            </w:pPr>
            <w:r>
              <w:rPr>
                <w:rFonts w:cs="Calibri"/>
                <w:sz w:val="18"/>
                <w:szCs w:val="18"/>
              </w:rPr>
              <w:t>6.2.9</w:t>
            </w:r>
          </w:p>
        </w:tc>
      </w:tr>
      <w:tr w14:paraId="63799C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858" w:type="dxa"/>
            <w:vAlign w:val="center"/>
          </w:tcPr>
          <w:p w14:paraId="55745A09">
            <w:pPr>
              <w:spacing w:line="240" w:lineRule="exact"/>
              <w:jc w:val="center"/>
              <w:rPr>
                <w:rFonts w:cs="Calibri"/>
                <w:sz w:val="18"/>
                <w:szCs w:val="18"/>
              </w:rPr>
            </w:pPr>
            <w:r>
              <w:rPr>
                <w:rFonts w:hint="eastAsia" w:cs="Calibri"/>
                <w:sz w:val="18"/>
                <w:szCs w:val="18"/>
              </w:rPr>
              <w:t>总分</w:t>
            </w:r>
          </w:p>
        </w:tc>
        <w:tc>
          <w:tcPr>
            <w:tcW w:w="865" w:type="dxa"/>
            <w:vAlign w:val="center"/>
          </w:tcPr>
          <w:p w14:paraId="444DBD43">
            <w:pPr>
              <w:spacing w:line="240" w:lineRule="exact"/>
              <w:jc w:val="center"/>
              <w:rPr>
                <w:rFonts w:cs="Calibri"/>
                <w:sz w:val="18"/>
                <w:szCs w:val="18"/>
              </w:rPr>
            </w:pPr>
            <w:r>
              <w:rPr>
                <w:rFonts w:cs="Calibri"/>
                <w:sz w:val="18"/>
                <w:szCs w:val="18"/>
              </w:rPr>
              <w:t>8</w:t>
            </w:r>
          </w:p>
        </w:tc>
        <w:tc>
          <w:tcPr>
            <w:tcW w:w="865" w:type="dxa"/>
            <w:vAlign w:val="center"/>
          </w:tcPr>
          <w:p w14:paraId="584F897A">
            <w:pPr>
              <w:spacing w:line="240" w:lineRule="exact"/>
              <w:jc w:val="center"/>
              <w:rPr>
                <w:rFonts w:cs="Calibri"/>
                <w:sz w:val="18"/>
                <w:szCs w:val="18"/>
              </w:rPr>
            </w:pPr>
            <w:r>
              <w:rPr>
                <w:rFonts w:cs="Calibri"/>
                <w:sz w:val="18"/>
                <w:szCs w:val="18"/>
              </w:rPr>
              <w:t>8</w:t>
            </w:r>
          </w:p>
        </w:tc>
        <w:tc>
          <w:tcPr>
            <w:tcW w:w="865" w:type="dxa"/>
            <w:vAlign w:val="center"/>
          </w:tcPr>
          <w:p w14:paraId="1B1E402C">
            <w:pPr>
              <w:spacing w:line="240" w:lineRule="exact"/>
              <w:jc w:val="center"/>
              <w:rPr>
                <w:rFonts w:cs="Calibri"/>
                <w:sz w:val="18"/>
                <w:szCs w:val="18"/>
              </w:rPr>
            </w:pPr>
            <w:r>
              <w:rPr>
                <w:rFonts w:cs="Calibri"/>
                <w:sz w:val="18"/>
                <w:szCs w:val="18"/>
              </w:rPr>
              <w:t>10</w:t>
            </w:r>
          </w:p>
        </w:tc>
        <w:tc>
          <w:tcPr>
            <w:tcW w:w="865" w:type="dxa"/>
            <w:vAlign w:val="center"/>
          </w:tcPr>
          <w:p w14:paraId="22F2B1E5">
            <w:pPr>
              <w:spacing w:line="240" w:lineRule="exact"/>
              <w:jc w:val="center"/>
              <w:rPr>
                <w:rFonts w:cs="Calibri"/>
                <w:sz w:val="18"/>
                <w:szCs w:val="18"/>
              </w:rPr>
            </w:pPr>
            <w:r>
              <w:rPr>
                <w:rFonts w:cs="Calibri"/>
                <w:sz w:val="18"/>
                <w:szCs w:val="18"/>
              </w:rPr>
              <w:t>5</w:t>
            </w:r>
          </w:p>
        </w:tc>
        <w:tc>
          <w:tcPr>
            <w:tcW w:w="865" w:type="dxa"/>
            <w:vAlign w:val="center"/>
          </w:tcPr>
          <w:p w14:paraId="14E90E42">
            <w:pPr>
              <w:spacing w:line="240" w:lineRule="exact"/>
              <w:jc w:val="center"/>
              <w:rPr>
                <w:rFonts w:cs="Calibri"/>
                <w:sz w:val="18"/>
                <w:szCs w:val="18"/>
              </w:rPr>
            </w:pPr>
            <w:r>
              <w:rPr>
                <w:rFonts w:cs="Calibri"/>
                <w:sz w:val="18"/>
                <w:szCs w:val="18"/>
              </w:rPr>
              <w:t>10</w:t>
            </w:r>
          </w:p>
        </w:tc>
        <w:tc>
          <w:tcPr>
            <w:tcW w:w="865" w:type="dxa"/>
            <w:vAlign w:val="center"/>
          </w:tcPr>
          <w:p w14:paraId="45476E4C">
            <w:pPr>
              <w:spacing w:line="240" w:lineRule="exact"/>
              <w:jc w:val="center"/>
              <w:rPr>
                <w:rFonts w:cs="Calibri"/>
                <w:sz w:val="18"/>
                <w:szCs w:val="18"/>
              </w:rPr>
            </w:pPr>
            <w:r>
              <w:rPr>
                <w:rFonts w:cs="Calibri"/>
                <w:sz w:val="18"/>
                <w:szCs w:val="18"/>
              </w:rPr>
              <w:t>8</w:t>
            </w:r>
          </w:p>
        </w:tc>
        <w:tc>
          <w:tcPr>
            <w:tcW w:w="865" w:type="dxa"/>
            <w:vAlign w:val="center"/>
          </w:tcPr>
          <w:p w14:paraId="269B2820">
            <w:pPr>
              <w:spacing w:line="240" w:lineRule="exact"/>
              <w:jc w:val="center"/>
              <w:rPr>
                <w:rFonts w:cs="Calibri"/>
                <w:sz w:val="18"/>
                <w:szCs w:val="18"/>
              </w:rPr>
            </w:pPr>
            <w:r>
              <w:rPr>
                <w:rFonts w:cs="Calibri"/>
                <w:sz w:val="18"/>
                <w:szCs w:val="18"/>
              </w:rPr>
              <w:t>5</w:t>
            </w:r>
          </w:p>
        </w:tc>
        <w:tc>
          <w:tcPr>
            <w:tcW w:w="865" w:type="dxa"/>
            <w:vAlign w:val="center"/>
          </w:tcPr>
          <w:p w14:paraId="5175CE07">
            <w:pPr>
              <w:spacing w:line="240" w:lineRule="exact"/>
              <w:jc w:val="center"/>
              <w:rPr>
                <w:rFonts w:cs="Calibri"/>
                <w:sz w:val="18"/>
                <w:szCs w:val="18"/>
              </w:rPr>
            </w:pPr>
            <w:r>
              <w:rPr>
                <w:rFonts w:cs="Calibri"/>
                <w:sz w:val="18"/>
                <w:szCs w:val="18"/>
              </w:rPr>
              <w:t>7</w:t>
            </w:r>
          </w:p>
        </w:tc>
        <w:tc>
          <w:tcPr>
            <w:tcW w:w="865" w:type="dxa"/>
            <w:vAlign w:val="center"/>
          </w:tcPr>
          <w:p w14:paraId="7D784BFF">
            <w:pPr>
              <w:spacing w:line="240" w:lineRule="exact"/>
              <w:jc w:val="center"/>
              <w:rPr>
                <w:rFonts w:cs="Calibri"/>
                <w:sz w:val="18"/>
                <w:szCs w:val="18"/>
              </w:rPr>
            </w:pPr>
            <w:r>
              <w:rPr>
                <w:rFonts w:cs="Calibri"/>
                <w:sz w:val="18"/>
                <w:szCs w:val="18"/>
              </w:rPr>
              <w:t>9</w:t>
            </w:r>
          </w:p>
        </w:tc>
      </w:tr>
      <w:tr w14:paraId="380C0B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858" w:type="dxa"/>
            <w:vAlign w:val="center"/>
          </w:tcPr>
          <w:p w14:paraId="4E04269F">
            <w:pPr>
              <w:spacing w:line="240" w:lineRule="exact"/>
              <w:jc w:val="center"/>
              <w:rPr>
                <w:rFonts w:cs="Calibri"/>
                <w:sz w:val="18"/>
                <w:szCs w:val="18"/>
              </w:rPr>
            </w:pPr>
            <w:r>
              <w:rPr>
                <w:rFonts w:hint="eastAsia" w:cs="Calibri"/>
                <w:sz w:val="18"/>
                <w:szCs w:val="18"/>
              </w:rPr>
              <w:t>得分</w:t>
            </w:r>
          </w:p>
        </w:tc>
        <w:tc>
          <w:tcPr>
            <w:tcW w:w="865" w:type="dxa"/>
            <w:vAlign w:val="center"/>
          </w:tcPr>
          <w:p w14:paraId="2C70C96F">
            <w:pPr>
              <w:spacing w:line="240" w:lineRule="exact"/>
              <w:jc w:val="center"/>
              <w:rPr>
                <w:rFonts w:cs="Calibri"/>
                <w:sz w:val="18"/>
                <w:szCs w:val="18"/>
              </w:rPr>
            </w:pPr>
            <w:r>
              <w:rPr>
                <w:rFonts w:cs="Calibri"/>
                <w:sz w:val="18"/>
                <w:szCs w:val="18"/>
              </w:rPr>
              <w:t>8</w:t>
            </w:r>
          </w:p>
        </w:tc>
        <w:tc>
          <w:tcPr>
            <w:tcW w:w="865" w:type="dxa"/>
            <w:vAlign w:val="center"/>
          </w:tcPr>
          <w:p w14:paraId="25786CF8">
            <w:pPr>
              <w:spacing w:line="240" w:lineRule="exact"/>
              <w:jc w:val="center"/>
              <w:rPr>
                <w:rFonts w:cs="Calibri"/>
                <w:sz w:val="18"/>
                <w:szCs w:val="18"/>
              </w:rPr>
            </w:pPr>
            <w:r>
              <w:rPr>
                <w:rFonts w:hint="eastAsia" w:cs="Calibri"/>
                <w:sz w:val="18"/>
                <w:szCs w:val="18"/>
              </w:rPr>
              <w:t>5</w:t>
            </w:r>
          </w:p>
        </w:tc>
        <w:tc>
          <w:tcPr>
            <w:tcW w:w="865" w:type="dxa"/>
            <w:vAlign w:val="center"/>
          </w:tcPr>
          <w:p w14:paraId="00428880">
            <w:pPr>
              <w:spacing w:line="240" w:lineRule="exact"/>
              <w:jc w:val="center"/>
              <w:rPr>
                <w:rFonts w:cs="Calibri"/>
                <w:sz w:val="18"/>
                <w:szCs w:val="18"/>
              </w:rPr>
            </w:pPr>
            <w:r>
              <w:rPr>
                <w:rFonts w:hint="eastAsia" w:cs="Calibri"/>
                <w:sz w:val="18"/>
                <w:szCs w:val="18"/>
              </w:rPr>
              <w:t>10</w:t>
            </w:r>
          </w:p>
        </w:tc>
        <w:tc>
          <w:tcPr>
            <w:tcW w:w="865" w:type="dxa"/>
            <w:vAlign w:val="center"/>
          </w:tcPr>
          <w:p w14:paraId="715C73D4">
            <w:pPr>
              <w:spacing w:line="240" w:lineRule="exact"/>
              <w:jc w:val="center"/>
              <w:rPr>
                <w:rFonts w:cs="Calibri"/>
                <w:sz w:val="18"/>
                <w:szCs w:val="18"/>
              </w:rPr>
            </w:pPr>
            <w:r>
              <w:rPr>
                <w:rFonts w:cs="Calibri"/>
                <w:sz w:val="18"/>
                <w:szCs w:val="18"/>
              </w:rPr>
              <w:t>0</w:t>
            </w:r>
          </w:p>
        </w:tc>
        <w:tc>
          <w:tcPr>
            <w:tcW w:w="865" w:type="dxa"/>
            <w:vAlign w:val="center"/>
          </w:tcPr>
          <w:p w14:paraId="29027E5C">
            <w:pPr>
              <w:spacing w:line="240" w:lineRule="exact"/>
              <w:jc w:val="center"/>
              <w:rPr>
                <w:rFonts w:cs="Calibri"/>
                <w:sz w:val="18"/>
                <w:szCs w:val="18"/>
              </w:rPr>
            </w:pPr>
            <w:r>
              <w:rPr>
                <w:rFonts w:hint="eastAsia" w:cs="Calibri"/>
                <w:sz w:val="18"/>
                <w:szCs w:val="18"/>
              </w:rPr>
              <w:t>2</w:t>
            </w:r>
          </w:p>
        </w:tc>
        <w:tc>
          <w:tcPr>
            <w:tcW w:w="865" w:type="dxa"/>
            <w:vAlign w:val="center"/>
          </w:tcPr>
          <w:p w14:paraId="179E5666">
            <w:pPr>
              <w:spacing w:line="240" w:lineRule="exact"/>
              <w:jc w:val="center"/>
              <w:rPr>
                <w:rFonts w:cs="Calibri"/>
                <w:sz w:val="18"/>
                <w:szCs w:val="18"/>
              </w:rPr>
            </w:pPr>
            <w:r>
              <w:rPr>
                <w:rFonts w:cs="Calibri"/>
                <w:sz w:val="18"/>
                <w:szCs w:val="18"/>
              </w:rPr>
              <w:t>8</w:t>
            </w:r>
          </w:p>
        </w:tc>
        <w:tc>
          <w:tcPr>
            <w:tcW w:w="865" w:type="dxa"/>
            <w:vAlign w:val="center"/>
          </w:tcPr>
          <w:p w14:paraId="2D5A6FAB">
            <w:pPr>
              <w:spacing w:line="240" w:lineRule="exact"/>
              <w:jc w:val="center"/>
              <w:rPr>
                <w:rFonts w:cs="Calibri"/>
                <w:sz w:val="18"/>
                <w:szCs w:val="18"/>
              </w:rPr>
            </w:pPr>
            <w:r>
              <w:rPr>
                <w:rFonts w:cs="Calibri"/>
                <w:sz w:val="18"/>
                <w:szCs w:val="18"/>
              </w:rPr>
              <w:t>0</w:t>
            </w:r>
          </w:p>
        </w:tc>
        <w:tc>
          <w:tcPr>
            <w:tcW w:w="865" w:type="dxa"/>
            <w:vAlign w:val="center"/>
          </w:tcPr>
          <w:p w14:paraId="072E2B4B">
            <w:pPr>
              <w:spacing w:line="240" w:lineRule="exact"/>
              <w:jc w:val="center"/>
              <w:rPr>
                <w:rFonts w:hint="eastAsia" w:eastAsia="宋体" w:cs="Calibri"/>
                <w:sz w:val="18"/>
                <w:szCs w:val="18"/>
                <w:lang w:eastAsia="zh-CN"/>
              </w:rPr>
            </w:pPr>
            <w:r>
              <w:rPr>
                <w:rFonts w:hint="eastAsia" w:cs="Calibri"/>
                <w:sz w:val="18"/>
                <w:szCs w:val="18"/>
                <w:lang w:val="en-US" w:eastAsia="zh-CN"/>
              </w:rPr>
              <w:t>3</w:t>
            </w:r>
          </w:p>
        </w:tc>
        <w:tc>
          <w:tcPr>
            <w:tcW w:w="865" w:type="dxa"/>
            <w:vAlign w:val="center"/>
          </w:tcPr>
          <w:p w14:paraId="3CD563AD">
            <w:pPr>
              <w:spacing w:line="240" w:lineRule="exact"/>
              <w:jc w:val="center"/>
              <w:rPr>
                <w:rFonts w:hint="eastAsia" w:eastAsia="宋体" w:cs="Calibri"/>
                <w:sz w:val="18"/>
                <w:szCs w:val="18"/>
                <w:lang w:eastAsia="zh-CN"/>
              </w:rPr>
            </w:pPr>
            <w:r>
              <w:rPr>
                <w:rFonts w:hint="eastAsia" w:cs="Calibri"/>
                <w:sz w:val="18"/>
                <w:szCs w:val="18"/>
                <w:lang w:val="en-US" w:eastAsia="zh-CN"/>
              </w:rPr>
              <w:t>0</w:t>
            </w:r>
          </w:p>
        </w:tc>
      </w:tr>
    </w:tbl>
    <w:p w14:paraId="618DA1BB">
      <w:pPr>
        <w:spacing w:line="240" w:lineRule="exact"/>
        <w:jc w:val="center"/>
        <w:rPr>
          <w:b/>
          <w:bCs/>
          <w:sz w:val="18"/>
          <w:szCs w:val="18"/>
        </w:rPr>
      </w:pPr>
    </w:p>
    <w:p w14:paraId="536ABECD">
      <w:pPr>
        <w:spacing w:line="240" w:lineRule="exact"/>
        <w:rPr>
          <w:b/>
          <w:bCs/>
          <w:sz w:val="18"/>
          <w:szCs w:val="18"/>
        </w:rPr>
      </w:pPr>
      <w:r>
        <w:rPr>
          <w:rFonts w:hint="eastAsia"/>
          <w:b/>
          <w:bCs/>
          <w:sz w:val="18"/>
          <w:szCs w:val="18"/>
        </w:rPr>
        <w:t>规划专业</w:t>
      </w:r>
    </w:p>
    <w:p w14:paraId="03B3EB3E">
      <w:pPr>
        <w:spacing w:line="240" w:lineRule="exact"/>
        <w:rPr>
          <w:rFonts w:ascii="黑体" w:hAnsi="宋体" w:eastAsia="黑体"/>
          <w:sz w:val="18"/>
          <w:szCs w:val="18"/>
        </w:rPr>
      </w:pPr>
      <w:r>
        <w:rPr>
          <w:rFonts w:ascii="黑体" w:hAnsi="宋体" w:eastAsia="黑体" w:cs="黑体"/>
          <w:sz w:val="18"/>
          <w:szCs w:val="18"/>
        </w:rPr>
        <w:t>6.2.1</w:t>
      </w:r>
      <w:r>
        <w:rPr>
          <w:rFonts w:hint="eastAsia" w:ascii="黑体" w:hAnsi="宋体" w:eastAsia="黑体" w:cs="黑体"/>
          <w:sz w:val="18"/>
          <w:szCs w:val="18"/>
        </w:rPr>
        <w:t>场地与公共交通站点联系便捷。</w:t>
      </w:r>
    </w:p>
    <w:p w14:paraId="44501083">
      <w:pPr>
        <w:spacing w:line="240" w:lineRule="exact"/>
        <w:rPr>
          <w:rFonts w:ascii="宋体"/>
          <w:sz w:val="18"/>
          <w:szCs w:val="18"/>
        </w:rPr>
      </w:pPr>
      <w:r>
        <w:rPr>
          <w:rFonts w:hint="eastAsia" w:ascii="宋体" w:hAnsi="宋体" w:cs="宋体"/>
          <w:sz w:val="18"/>
          <w:szCs w:val="18"/>
        </w:rPr>
        <w:t>技术措施说明：</w:t>
      </w:r>
      <w:r>
        <w:rPr>
          <w:rFonts w:ascii="Times New Roman" w:hAnsi="Times New Roman"/>
          <w:sz w:val="18"/>
          <w:szCs w:val="18"/>
        </w:rPr>
        <w:t>本项目位于广州市</w:t>
      </w:r>
      <w:r>
        <w:rPr>
          <w:rFonts w:hint="eastAsia" w:ascii="Times New Roman" w:hAnsi="Times New Roman"/>
          <w:sz w:val="18"/>
          <w:szCs w:val="18"/>
        </w:rPr>
        <w:t>黄埔</w:t>
      </w:r>
      <w:r>
        <w:rPr>
          <w:rFonts w:ascii="Times New Roman" w:hAnsi="Times New Roman"/>
          <w:sz w:val="18"/>
          <w:szCs w:val="18"/>
        </w:rPr>
        <w:t>区，</w:t>
      </w:r>
      <w:r>
        <w:rPr>
          <w:rFonts w:hint="eastAsia" w:ascii="Times New Roman" w:hAnsi="Times New Roman"/>
          <w:sz w:val="18"/>
          <w:szCs w:val="18"/>
        </w:rPr>
        <w:t>项目选址周围交通配套较完善，场地出入口到达公共交通站点的步行距离不大于300m</w:t>
      </w:r>
      <w:r>
        <w:rPr>
          <w:rFonts w:ascii="Times New Roman" w:hAnsi="Times New Roman"/>
          <w:sz w:val="18"/>
          <w:szCs w:val="18"/>
        </w:rPr>
        <w:t>，满足居民绿色出行的基本要求。</w:t>
      </w:r>
    </w:p>
    <w:p w14:paraId="3843B1CA">
      <w:pPr>
        <w:spacing w:line="240" w:lineRule="exact"/>
        <w:rPr>
          <w:rFonts w:ascii="宋体" w:cs="宋体"/>
          <w:sz w:val="18"/>
          <w:szCs w:val="18"/>
        </w:rPr>
      </w:pPr>
      <w:r>
        <w:rPr>
          <w:rFonts w:hint="eastAsia" w:ascii="宋体" w:hAnsi="宋体" w:cs="宋体"/>
          <w:sz w:val="18"/>
          <w:szCs w:val="18"/>
        </w:rPr>
        <w:t>证明材料：√设计图纸（建筑、Z</w:t>
      </w:r>
      <w:r>
        <w:rPr>
          <w:rFonts w:ascii="宋体" w:hAnsi="宋体" w:cs="宋体"/>
          <w:sz w:val="18"/>
          <w:szCs w:val="18"/>
        </w:rPr>
        <w:t>P</w:t>
      </w:r>
      <w:r>
        <w:rPr>
          <w:rFonts w:hint="eastAsia" w:ascii="宋体" w:hAnsi="宋体" w:cs="宋体"/>
          <w:sz w:val="18"/>
          <w:szCs w:val="18"/>
        </w:rPr>
        <w:t>-01_总平面图）</w:t>
      </w:r>
    </w:p>
    <w:p w14:paraId="4ECAC038">
      <w:pPr>
        <w:spacing w:line="240" w:lineRule="exact"/>
        <w:rPr>
          <w:rFonts w:ascii="黑体" w:hAnsi="宋体" w:eastAsia="黑体"/>
          <w:sz w:val="18"/>
          <w:szCs w:val="18"/>
        </w:rPr>
      </w:pPr>
      <w:r>
        <w:rPr>
          <w:rFonts w:ascii="黑体" w:hAnsi="宋体" w:eastAsia="黑体" w:cs="黑体"/>
          <w:sz w:val="18"/>
          <w:szCs w:val="18"/>
        </w:rPr>
        <w:t>6.2.3</w:t>
      </w:r>
      <w:r>
        <w:rPr>
          <w:rFonts w:hint="eastAsia" w:ascii="黑体" w:hAnsi="宋体" w:eastAsia="黑体" w:cs="黑体"/>
          <w:sz w:val="18"/>
          <w:szCs w:val="18"/>
        </w:rPr>
        <w:t>提供便利的公共服务。</w:t>
      </w:r>
    </w:p>
    <w:p w14:paraId="634C7C12">
      <w:pPr>
        <w:spacing w:line="240" w:lineRule="exact"/>
        <w:rPr>
          <w:rFonts w:ascii="宋体" w:hAnsi="宋体" w:cs="宋体"/>
          <w:sz w:val="18"/>
          <w:szCs w:val="18"/>
        </w:rPr>
      </w:pPr>
      <w:r>
        <w:rPr>
          <w:rFonts w:hint="eastAsia" w:ascii="宋体" w:hAnsi="宋体" w:cs="宋体"/>
          <w:sz w:val="18"/>
          <w:szCs w:val="18"/>
        </w:rPr>
        <w:t>技术措施说明：本</w:t>
      </w:r>
      <w:r>
        <w:rPr>
          <w:rFonts w:ascii="宋体" w:hAnsi="宋体" w:cs="宋体"/>
          <w:sz w:val="18"/>
          <w:szCs w:val="18"/>
        </w:rPr>
        <w:t>项目</w:t>
      </w:r>
      <w:r>
        <w:rPr>
          <w:rFonts w:hint="eastAsia" w:ascii="宋体" w:hAnsi="宋体" w:cs="宋体"/>
          <w:sz w:val="18"/>
          <w:szCs w:val="18"/>
        </w:rPr>
        <w:t>为医院建筑，地块建筑内兼容 2 种及以上面向社会的公共服务功能，对社会公众开放；场地内电动电动汽车充电桩的车位数占总车位数的比例≥10%； 场地内有步行通道向社会开放；周边 500m 范围内设有社会公共停车场（库）。</w:t>
      </w:r>
    </w:p>
    <w:p w14:paraId="5CAEA96A">
      <w:pPr>
        <w:spacing w:line="240" w:lineRule="exact"/>
        <w:rPr>
          <w:b/>
          <w:bCs/>
          <w:sz w:val="18"/>
          <w:szCs w:val="18"/>
        </w:rPr>
      </w:pPr>
      <w:r>
        <w:rPr>
          <w:rFonts w:hint="eastAsia" w:ascii="宋体" w:hAnsi="宋体" w:cs="宋体"/>
          <w:sz w:val="18"/>
          <w:szCs w:val="18"/>
        </w:rPr>
        <w:t>证明材料：√设计图纸（建筑、Z</w:t>
      </w:r>
      <w:r>
        <w:rPr>
          <w:rFonts w:ascii="宋体" w:hAnsi="宋体" w:cs="宋体"/>
          <w:sz w:val="18"/>
          <w:szCs w:val="18"/>
        </w:rPr>
        <w:t>P</w:t>
      </w:r>
      <w:r>
        <w:rPr>
          <w:rFonts w:hint="eastAsia" w:ascii="宋体" w:hAnsi="宋体" w:cs="宋体"/>
          <w:sz w:val="18"/>
          <w:szCs w:val="18"/>
        </w:rPr>
        <w:t>-01_总平面图）</w:t>
      </w:r>
    </w:p>
    <w:p w14:paraId="4DC1E15E">
      <w:pPr>
        <w:spacing w:line="240" w:lineRule="exact"/>
        <w:rPr>
          <w:b/>
          <w:bCs/>
          <w:sz w:val="18"/>
          <w:szCs w:val="18"/>
        </w:rPr>
      </w:pPr>
    </w:p>
    <w:p w14:paraId="71DD9D5A">
      <w:pPr>
        <w:spacing w:line="240" w:lineRule="exact"/>
        <w:rPr>
          <w:b/>
          <w:bCs/>
          <w:sz w:val="18"/>
          <w:szCs w:val="18"/>
        </w:rPr>
      </w:pPr>
      <w:r>
        <w:rPr>
          <w:rFonts w:hint="eastAsia"/>
          <w:b/>
          <w:bCs/>
          <w:sz w:val="18"/>
          <w:szCs w:val="18"/>
        </w:rPr>
        <w:t>建筑专业</w:t>
      </w:r>
    </w:p>
    <w:p w14:paraId="01E09436">
      <w:pPr>
        <w:spacing w:line="240" w:lineRule="exact"/>
        <w:rPr>
          <w:rFonts w:ascii="黑体" w:hAnsi="宋体" w:eastAsia="黑体"/>
          <w:sz w:val="18"/>
          <w:szCs w:val="18"/>
        </w:rPr>
      </w:pPr>
      <w:r>
        <w:rPr>
          <w:rFonts w:ascii="黑体" w:hAnsi="宋体" w:eastAsia="黑体" w:cs="黑体"/>
          <w:sz w:val="18"/>
          <w:szCs w:val="18"/>
        </w:rPr>
        <w:t>6.2.2-1</w:t>
      </w:r>
      <w:r>
        <w:rPr>
          <w:rFonts w:hint="eastAsia" w:ascii="黑体" w:hAnsi="宋体" w:eastAsia="黑体" w:cs="黑体"/>
          <w:sz w:val="18"/>
          <w:szCs w:val="18"/>
        </w:rPr>
        <w:t>、</w:t>
      </w:r>
      <w:r>
        <w:rPr>
          <w:rFonts w:hint="eastAsia" w:ascii="黑体" w:hAnsi="宋体" w:eastAsia="黑体" w:cs="黑体"/>
          <w:sz w:val="18"/>
          <w:szCs w:val="18"/>
          <w:lang w:val="en-US" w:eastAsia="zh-CN"/>
        </w:rPr>
        <w:t>3</w:t>
      </w:r>
      <w:r>
        <w:rPr>
          <w:rFonts w:hint="eastAsia" w:ascii="黑体" w:hAnsi="宋体" w:eastAsia="黑体" w:cs="黑体"/>
          <w:sz w:val="18"/>
          <w:szCs w:val="18"/>
        </w:rPr>
        <w:t>建筑室内外公共区域满足全龄化设计要求。</w:t>
      </w:r>
    </w:p>
    <w:p w14:paraId="7226E353">
      <w:pPr>
        <w:spacing w:line="240" w:lineRule="exact"/>
        <w:rPr>
          <w:rFonts w:ascii="宋体"/>
          <w:sz w:val="18"/>
          <w:szCs w:val="18"/>
        </w:rPr>
      </w:pPr>
      <w:r>
        <w:rPr>
          <w:rFonts w:hint="eastAsia" w:ascii="宋体" w:hAnsi="宋体" w:cs="宋体"/>
          <w:sz w:val="18"/>
          <w:szCs w:val="18"/>
        </w:rPr>
        <w:t>技术措施说明：</w:t>
      </w:r>
      <w:r>
        <w:rPr>
          <w:rFonts w:hint="eastAsia" w:ascii="Times New Roman" w:hAnsi="Times New Roman"/>
          <w:sz w:val="18"/>
          <w:szCs w:val="18"/>
        </w:rPr>
        <w:t>本工程按《无障碍设计规范》GB50763及《建筑与市政工程无障碍通用规范》G</w:t>
      </w:r>
      <w:r>
        <w:rPr>
          <w:rFonts w:ascii="Times New Roman" w:hAnsi="Times New Roman"/>
          <w:sz w:val="18"/>
          <w:szCs w:val="18"/>
        </w:rPr>
        <w:t>B55019</w:t>
      </w:r>
      <w:r>
        <w:rPr>
          <w:rFonts w:hint="eastAsia" w:ascii="Times New Roman" w:hAnsi="Times New Roman"/>
          <w:sz w:val="18"/>
          <w:szCs w:val="18"/>
        </w:rPr>
        <w:t>进行无障碍设计。</w:t>
      </w:r>
      <w:r>
        <w:rPr>
          <w:rFonts w:hint="eastAsia" w:ascii="宋体" w:hAnsi="宋体" w:cs="宋体"/>
          <w:sz w:val="18"/>
          <w:szCs w:val="18"/>
        </w:rPr>
        <w:t>城市主要道路、建筑物和居住区的人行道，应设轮椅坡道和安全梯道；在坡道和梯道两侧应设扶手，各级公共绿地的入口与道路及休息凉亭等设施的平面应平缓防滑；地面有高差时，应设轮椅坡道和扶手。在休息坐椅应设轮椅停留位置。建筑入口为无障碍入口时，入口室外的地面坡度不应大于1：50，室外通路地面坡度不应大于1：</w:t>
      </w:r>
      <w:r>
        <w:rPr>
          <w:rFonts w:ascii="宋体" w:hAnsi="宋体" w:cs="宋体"/>
          <w:sz w:val="18"/>
          <w:szCs w:val="18"/>
        </w:rPr>
        <w:t>2</w:t>
      </w:r>
      <w:r>
        <w:rPr>
          <w:rFonts w:hint="eastAsia" w:ascii="宋体" w:hAnsi="宋体" w:cs="宋体"/>
          <w:sz w:val="18"/>
          <w:szCs w:val="18"/>
        </w:rPr>
        <w:t>0。此外，</w:t>
      </w:r>
      <w:r>
        <w:rPr>
          <w:rFonts w:ascii="宋体" w:hAnsi="宋体" w:cs="宋体"/>
          <w:sz w:val="18"/>
          <w:szCs w:val="18"/>
        </w:rPr>
        <w:t>本项目</w:t>
      </w:r>
      <w:r>
        <w:rPr>
          <w:rFonts w:hint="eastAsia" w:ascii="宋体" w:hAnsi="宋体" w:cs="宋体"/>
          <w:sz w:val="18"/>
          <w:szCs w:val="18"/>
        </w:rPr>
        <w:t>首层</w:t>
      </w:r>
      <w:r>
        <w:rPr>
          <w:rFonts w:ascii="宋体" w:hAnsi="宋体" w:cs="宋体"/>
          <w:sz w:val="18"/>
          <w:szCs w:val="18"/>
        </w:rPr>
        <w:t>设置</w:t>
      </w:r>
      <w:r>
        <w:rPr>
          <w:rFonts w:hint="eastAsia" w:ascii="宋体" w:hAnsi="宋体" w:cs="宋体"/>
          <w:sz w:val="18"/>
          <w:szCs w:val="18"/>
        </w:rPr>
        <w:t>有</w:t>
      </w:r>
      <w:r>
        <w:rPr>
          <w:rFonts w:ascii="宋体" w:hAnsi="宋体" w:cs="宋体"/>
          <w:sz w:val="18"/>
          <w:szCs w:val="18"/>
        </w:rPr>
        <w:t>无障碍</w:t>
      </w:r>
      <w:r>
        <w:rPr>
          <w:rFonts w:hint="eastAsia" w:ascii="宋体" w:hAnsi="宋体" w:cs="宋体"/>
          <w:sz w:val="18"/>
          <w:szCs w:val="18"/>
        </w:rPr>
        <w:t>卫生间</w:t>
      </w:r>
      <w:r>
        <w:rPr>
          <w:rFonts w:ascii="宋体" w:hAnsi="宋体" w:cs="宋体"/>
          <w:sz w:val="18"/>
          <w:szCs w:val="18"/>
        </w:rPr>
        <w:t>、</w:t>
      </w:r>
      <w:r>
        <w:rPr>
          <w:rFonts w:hint="eastAsia" w:ascii="宋体" w:hAnsi="宋体" w:cs="宋体"/>
          <w:sz w:val="18"/>
          <w:szCs w:val="18"/>
        </w:rPr>
        <w:t>停车库设置有</w:t>
      </w:r>
      <w:r>
        <w:rPr>
          <w:rFonts w:ascii="宋体" w:hAnsi="宋体" w:cs="宋体"/>
          <w:sz w:val="18"/>
          <w:szCs w:val="18"/>
        </w:rPr>
        <w:t>无障碍</w:t>
      </w:r>
      <w:r>
        <w:rPr>
          <w:rFonts w:hint="eastAsia" w:ascii="宋体" w:hAnsi="宋体" w:cs="宋体"/>
          <w:sz w:val="18"/>
          <w:szCs w:val="18"/>
        </w:rPr>
        <w:t>停车位</w:t>
      </w:r>
      <w:r>
        <w:rPr>
          <w:rFonts w:ascii="宋体" w:hAnsi="宋体" w:cs="宋体"/>
          <w:sz w:val="18"/>
          <w:szCs w:val="18"/>
        </w:rPr>
        <w:t>等</w:t>
      </w:r>
      <w:r>
        <w:rPr>
          <w:rFonts w:hint="eastAsia" w:ascii="宋体" w:hAnsi="宋体" w:cs="宋体"/>
          <w:sz w:val="18"/>
          <w:szCs w:val="18"/>
        </w:rPr>
        <w:t>无障碍</w:t>
      </w:r>
      <w:r>
        <w:rPr>
          <w:rFonts w:ascii="宋体" w:hAnsi="宋体" w:cs="宋体"/>
          <w:sz w:val="18"/>
          <w:szCs w:val="18"/>
        </w:rPr>
        <w:t>设施</w:t>
      </w:r>
      <w:r>
        <w:rPr>
          <w:rFonts w:hint="eastAsia" w:ascii="宋体" w:hAnsi="宋体" w:cs="宋体"/>
          <w:sz w:val="18"/>
          <w:szCs w:val="18"/>
        </w:rPr>
        <w:t>，</w:t>
      </w:r>
      <w:r>
        <w:rPr>
          <w:rFonts w:ascii="宋体" w:hAnsi="宋体" w:cs="宋体"/>
          <w:sz w:val="18"/>
          <w:szCs w:val="18"/>
        </w:rPr>
        <w:t>满足无障碍相关设计规范要求</w:t>
      </w:r>
      <w:r>
        <w:rPr>
          <w:rFonts w:hint="eastAsia" w:ascii="宋体" w:hAnsi="宋体" w:cs="宋体"/>
          <w:sz w:val="18"/>
          <w:szCs w:val="18"/>
        </w:rPr>
        <w:t>。同时，项目建筑设有可容纳担架的无障碍电梯。</w:t>
      </w:r>
    </w:p>
    <w:p w14:paraId="7FC20651">
      <w:pPr>
        <w:spacing w:line="240" w:lineRule="exact"/>
        <w:rPr>
          <w:rFonts w:ascii="宋体" w:hAnsi="宋体" w:cs="宋体"/>
          <w:sz w:val="18"/>
          <w:szCs w:val="18"/>
        </w:rPr>
      </w:pPr>
      <w:r>
        <w:rPr>
          <w:rFonts w:hint="eastAsia" w:ascii="宋体" w:hAnsi="宋体" w:cs="宋体"/>
          <w:sz w:val="18"/>
          <w:szCs w:val="18"/>
        </w:rPr>
        <w:t>证明材料：√设计图纸（建筑、Z</w:t>
      </w:r>
      <w:r>
        <w:rPr>
          <w:rFonts w:ascii="宋体" w:hAnsi="宋体" w:cs="宋体"/>
          <w:sz w:val="18"/>
          <w:szCs w:val="18"/>
        </w:rPr>
        <w:t>P</w:t>
      </w:r>
      <w:r>
        <w:rPr>
          <w:rFonts w:hint="eastAsia" w:ascii="宋体" w:hAnsi="宋体" w:cs="宋体"/>
          <w:sz w:val="18"/>
          <w:szCs w:val="18"/>
        </w:rPr>
        <w:t>-01_总平面图，SM-03_建筑无障碍设计专篇，各层</w:t>
      </w:r>
      <w:r>
        <w:rPr>
          <w:rFonts w:ascii="宋体" w:hAnsi="宋体" w:cs="宋体"/>
          <w:sz w:val="18"/>
          <w:szCs w:val="18"/>
        </w:rPr>
        <w:t>平面图</w:t>
      </w:r>
      <w:r>
        <w:rPr>
          <w:rFonts w:hint="eastAsia" w:ascii="宋体" w:hAnsi="宋体" w:cs="宋体"/>
          <w:sz w:val="18"/>
          <w:szCs w:val="18"/>
        </w:rPr>
        <w:t>）√二次设计达标承诺函</w:t>
      </w:r>
    </w:p>
    <w:p w14:paraId="40CD60E6">
      <w:pPr>
        <w:spacing w:line="240" w:lineRule="exact"/>
        <w:rPr>
          <w:rFonts w:ascii="黑体" w:hAnsi="宋体" w:eastAsia="黑体"/>
          <w:sz w:val="18"/>
          <w:szCs w:val="18"/>
        </w:rPr>
      </w:pPr>
      <w:r>
        <w:rPr>
          <w:rFonts w:ascii="黑体" w:hAnsi="宋体" w:eastAsia="黑体" w:cs="黑体"/>
          <w:sz w:val="18"/>
          <w:szCs w:val="18"/>
        </w:rPr>
        <w:t>6.2.5</w:t>
      </w:r>
      <w:r>
        <w:rPr>
          <w:rFonts w:hint="eastAsia" w:ascii="黑体" w:hAnsi="宋体" w:eastAsia="黑体" w:cs="黑体"/>
          <w:sz w:val="18"/>
          <w:szCs w:val="18"/>
        </w:rPr>
        <w:t>合理设置健身场地和空间。</w:t>
      </w:r>
    </w:p>
    <w:p w14:paraId="63F7CCCB">
      <w:pPr>
        <w:spacing w:line="240" w:lineRule="exact"/>
        <w:rPr>
          <w:rFonts w:ascii="Times New Roman" w:hAnsi="Times New Roman"/>
          <w:sz w:val="18"/>
          <w:szCs w:val="18"/>
        </w:rPr>
      </w:pPr>
      <w:r>
        <w:rPr>
          <w:rFonts w:hint="eastAsia" w:ascii="宋体" w:hAnsi="宋体" w:cs="宋体"/>
          <w:sz w:val="18"/>
          <w:szCs w:val="18"/>
        </w:rPr>
        <w:t>技术措施说明：</w:t>
      </w:r>
      <w:r>
        <w:rPr>
          <w:rFonts w:ascii="Times New Roman" w:hAnsi="Times New Roman"/>
          <w:sz w:val="18"/>
          <w:szCs w:val="18"/>
        </w:rPr>
        <w:t>各单体的楼梯间均靠外墙设置，每层均设置有外窗，具有良好的天然彩光和视野，楼梯间首层</w:t>
      </w:r>
    </w:p>
    <w:p w14:paraId="1765AAE0">
      <w:pPr>
        <w:spacing w:line="240" w:lineRule="exact"/>
        <w:rPr>
          <w:rFonts w:ascii="宋体"/>
          <w:sz w:val="18"/>
          <w:szCs w:val="18"/>
        </w:rPr>
      </w:pPr>
      <w:r>
        <w:rPr>
          <w:rFonts w:ascii="Times New Roman" w:hAnsi="Times New Roman"/>
          <w:sz w:val="18"/>
          <w:szCs w:val="18"/>
        </w:rPr>
        <w:t>疏散门直通室外，距离建筑出入口的步行距离均不大于15m。</w:t>
      </w:r>
    </w:p>
    <w:p w14:paraId="68B2E113">
      <w:pPr>
        <w:spacing w:line="240" w:lineRule="exact"/>
        <w:rPr>
          <w:rFonts w:ascii="宋体" w:hAnsi="宋体" w:cs="宋体"/>
          <w:sz w:val="18"/>
          <w:szCs w:val="18"/>
        </w:rPr>
      </w:pPr>
      <w:r>
        <w:rPr>
          <w:rFonts w:hint="eastAsia" w:ascii="宋体" w:hAnsi="宋体" w:cs="宋体"/>
          <w:sz w:val="18"/>
          <w:szCs w:val="18"/>
        </w:rPr>
        <w:t>证明材料：√设计图纸（建筑、</w:t>
      </w:r>
      <w:r>
        <w:rPr>
          <w:rFonts w:ascii="宋体" w:hAnsi="宋体" w:cs="宋体"/>
          <w:sz w:val="18"/>
          <w:szCs w:val="18"/>
        </w:rPr>
        <w:t>ZP-01</w:t>
      </w:r>
      <w:r>
        <w:rPr>
          <w:rFonts w:hint="eastAsia" w:ascii="宋体" w:hAnsi="宋体" w:cs="宋体"/>
          <w:sz w:val="18"/>
          <w:szCs w:val="18"/>
        </w:rPr>
        <w:t>_总平面图）√设计图纸（建筑、首层平面图）</w:t>
      </w:r>
    </w:p>
    <w:p w14:paraId="38D44E59">
      <w:pPr>
        <w:spacing w:line="240" w:lineRule="exact"/>
        <w:rPr>
          <w:rFonts w:ascii="宋体" w:hAnsi="宋体" w:cs="宋体"/>
          <w:sz w:val="18"/>
          <w:szCs w:val="18"/>
        </w:rPr>
      </w:pPr>
    </w:p>
    <w:p w14:paraId="7B63176D">
      <w:pPr>
        <w:spacing w:line="240" w:lineRule="exact"/>
        <w:rPr>
          <w:b/>
          <w:bCs/>
          <w:sz w:val="18"/>
          <w:szCs w:val="18"/>
        </w:rPr>
      </w:pPr>
      <w:r>
        <w:rPr>
          <w:rFonts w:hint="eastAsia"/>
          <w:b/>
          <w:bCs/>
          <w:sz w:val="18"/>
          <w:szCs w:val="18"/>
        </w:rPr>
        <w:t>给排水专业</w:t>
      </w:r>
    </w:p>
    <w:p w14:paraId="15B43FDF">
      <w:pPr>
        <w:spacing w:line="240" w:lineRule="exact"/>
        <w:rPr>
          <w:rFonts w:ascii="黑体" w:hAnsi="宋体" w:eastAsia="黑体" w:cs="黑体"/>
          <w:sz w:val="18"/>
          <w:szCs w:val="18"/>
        </w:rPr>
      </w:pPr>
      <w:r>
        <w:rPr>
          <w:rFonts w:hint="eastAsia" w:ascii="黑体" w:hAnsi="宋体" w:eastAsia="黑体" w:cs="黑体"/>
          <w:sz w:val="18"/>
          <w:szCs w:val="18"/>
        </w:rPr>
        <w:t>6.2.8设置用水远传计量系统、水质在线监测系统。</w:t>
      </w:r>
    </w:p>
    <w:p w14:paraId="534ABF25">
      <w:pPr>
        <w:autoSpaceDE w:val="0"/>
        <w:autoSpaceDN w:val="0"/>
        <w:adjustRightInd w:val="0"/>
        <w:spacing w:line="240" w:lineRule="exact"/>
        <w:jc w:val="left"/>
        <w:rPr>
          <w:rFonts w:ascii="宋体" w:hAnsi="宋体" w:cs="宋体"/>
          <w:sz w:val="18"/>
          <w:szCs w:val="18"/>
        </w:rPr>
      </w:pPr>
      <w:r>
        <w:rPr>
          <w:rFonts w:hint="eastAsia" w:ascii="宋体" w:hAnsi="宋体" w:cs="宋体"/>
          <w:sz w:val="18"/>
          <w:szCs w:val="18"/>
        </w:rPr>
        <w:t>技术措施说明：项目设置远传计量系统对各类水质用水进行计量。按绿化、消防、生活给水等用水类别设置分类计量水表，水表采用高灵敏度水表计量，具备信号采集、数据处理、存储及数据上传功能。根据用水单元、用水类别设置分级水表，下级水表的设置覆盖上一级水表的所有出流量，设计不出现无计量支路，分级计量水表安装率达到100%。</w:t>
      </w:r>
    </w:p>
    <w:p w14:paraId="5048B280">
      <w:pPr>
        <w:spacing w:line="240" w:lineRule="exact"/>
        <w:rPr>
          <w:rFonts w:ascii="宋体" w:hAnsi="宋体" w:cs="宋体"/>
          <w:sz w:val="18"/>
          <w:szCs w:val="18"/>
        </w:rPr>
      </w:pPr>
      <w:r>
        <w:rPr>
          <w:rFonts w:hint="eastAsia" w:ascii="宋体" w:hAnsi="宋体" w:cs="宋体"/>
          <w:sz w:val="18"/>
          <w:szCs w:val="18"/>
        </w:rPr>
        <w:t>证明材料：√设计图纸（给排水</w:t>
      </w:r>
      <w:r>
        <w:rPr>
          <w:rFonts w:ascii="宋体" w:hAnsi="宋体" w:cs="宋体"/>
          <w:sz w:val="18"/>
          <w:szCs w:val="18"/>
        </w:rPr>
        <w:t>、</w:t>
      </w:r>
      <w:r>
        <w:rPr>
          <w:rFonts w:hint="eastAsia" w:ascii="宋体" w:hAnsi="宋体" w:cs="宋体"/>
          <w:sz w:val="18"/>
          <w:szCs w:val="18"/>
        </w:rPr>
        <w:t>SM-01_给排水设计说明）</w:t>
      </w:r>
    </w:p>
    <w:p w14:paraId="0C6BF16A">
      <w:pPr>
        <w:spacing w:line="240" w:lineRule="exact"/>
        <w:rPr>
          <w:rFonts w:ascii="宋体" w:hAnsi="宋体" w:cs="宋体"/>
          <w:sz w:val="18"/>
          <w:szCs w:val="18"/>
        </w:rPr>
      </w:pPr>
    </w:p>
    <w:p w14:paraId="74ED443A">
      <w:pPr>
        <w:spacing w:line="240" w:lineRule="exact"/>
        <w:rPr>
          <w:b/>
          <w:bCs/>
          <w:sz w:val="18"/>
          <w:szCs w:val="18"/>
        </w:rPr>
      </w:pPr>
      <w:r>
        <w:rPr>
          <w:rFonts w:hint="eastAsia"/>
          <w:b/>
          <w:bCs/>
          <w:sz w:val="18"/>
          <w:szCs w:val="18"/>
        </w:rPr>
        <w:t>电气专业</w:t>
      </w:r>
    </w:p>
    <w:p w14:paraId="0F6F146C">
      <w:pPr>
        <w:spacing w:line="240" w:lineRule="exact"/>
        <w:rPr>
          <w:rFonts w:ascii="黑体" w:hAnsi="宋体" w:eastAsia="黑体"/>
          <w:sz w:val="18"/>
          <w:szCs w:val="18"/>
        </w:rPr>
      </w:pPr>
      <w:r>
        <w:rPr>
          <w:rFonts w:ascii="黑体" w:hAnsi="宋体" w:eastAsia="黑体" w:cs="黑体"/>
          <w:sz w:val="18"/>
          <w:szCs w:val="18"/>
        </w:rPr>
        <w:t>6.2.8</w:t>
      </w:r>
      <w:r>
        <w:rPr>
          <w:rFonts w:hint="eastAsia" w:ascii="黑体" w:hAnsi="宋体" w:eastAsia="黑体" w:cs="黑体"/>
          <w:sz w:val="18"/>
          <w:szCs w:val="18"/>
        </w:rPr>
        <w:t>设置用水远传计量系统、水质在线监测系统。</w:t>
      </w:r>
    </w:p>
    <w:p w14:paraId="65A1F94D">
      <w:pPr>
        <w:spacing w:line="240" w:lineRule="exact"/>
        <w:rPr>
          <w:rFonts w:ascii="宋体"/>
          <w:sz w:val="18"/>
          <w:szCs w:val="18"/>
        </w:rPr>
      </w:pPr>
      <w:r>
        <w:rPr>
          <w:rFonts w:hint="eastAsia" w:ascii="宋体" w:hAnsi="宋体" w:cs="宋体"/>
          <w:sz w:val="18"/>
          <w:szCs w:val="18"/>
        </w:rPr>
        <w:t>技术措施说明：</w:t>
      </w:r>
      <w:r>
        <w:rPr>
          <w:rFonts w:ascii="宋体"/>
          <w:sz w:val="18"/>
          <w:szCs w:val="18"/>
        </w:rPr>
        <w:t xml:space="preserve"> </w:t>
      </w:r>
    </w:p>
    <w:p w14:paraId="068D5270">
      <w:pPr>
        <w:pStyle w:val="23"/>
        <w:numPr>
          <w:ilvl w:val="0"/>
          <w:numId w:val="2"/>
        </w:numPr>
        <w:autoSpaceDE w:val="0"/>
        <w:autoSpaceDN w:val="0"/>
        <w:adjustRightInd w:val="0"/>
        <w:spacing w:line="240" w:lineRule="exact"/>
        <w:ind w:firstLineChars="0"/>
        <w:jc w:val="left"/>
        <w:rPr>
          <w:rFonts w:ascii="宋体" w:hAnsi="宋体" w:cs="宋体"/>
          <w:sz w:val="18"/>
          <w:szCs w:val="18"/>
        </w:rPr>
      </w:pPr>
      <w:r>
        <w:rPr>
          <w:rFonts w:hint="eastAsia" w:ascii="宋体" w:hAnsi="宋体" w:cs="宋体"/>
          <w:sz w:val="18"/>
          <w:szCs w:val="18"/>
        </w:rPr>
        <w:t>项目设置远传计量系统对各类水质用水进行计量。按绿化、消防、生活给水等用水类别设置分类计量水表，水表采用高灵敏度水表计量，具备信号采集、数据处理、存储及数据上传功能。</w:t>
      </w:r>
    </w:p>
    <w:p w14:paraId="367F1FE8">
      <w:pPr>
        <w:pStyle w:val="23"/>
        <w:numPr>
          <w:ilvl w:val="0"/>
          <w:numId w:val="2"/>
        </w:numPr>
        <w:autoSpaceDE w:val="0"/>
        <w:autoSpaceDN w:val="0"/>
        <w:adjustRightInd w:val="0"/>
        <w:spacing w:line="240" w:lineRule="exact"/>
        <w:ind w:firstLineChars="0"/>
        <w:jc w:val="left"/>
        <w:rPr>
          <w:rFonts w:ascii="宋体" w:hAnsi="宋体" w:cs="宋体"/>
          <w:sz w:val="18"/>
          <w:szCs w:val="18"/>
        </w:rPr>
      </w:pPr>
      <w:r>
        <w:rPr>
          <w:rFonts w:hint="eastAsia" w:ascii="宋体" w:hAnsi="宋体" w:cs="宋体"/>
          <w:sz w:val="18"/>
          <w:szCs w:val="18"/>
        </w:rPr>
        <w:t>根据用水单元、用水类别设置分级水表，下级水表的设置覆盖上一级水表的所有出流量，设计不出现无计量支路，分级计量水表安装率达到100%。运营管理方通过远传计量系统计量数据，依据水量平衡的原理，随时了解管道漏损情况，及时查找漏损点并进行整改。</w:t>
      </w:r>
    </w:p>
    <w:p w14:paraId="06845F72">
      <w:pPr>
        <w:spacing w:line="240" w:lineRule="exact"/>
        <w:rPr>
          <w:rFonts w:ascii="黑体" w:hAnsi="宋体" w:eastAsia="黑体"/>
          <w:sz w:val="18"/>
          <w:szCs w:val="18"/>
        </w:rPr>
      </w:pPr>
      <w:r>
        <w:rPr>
          <w:rFonts w:hint="eastAsia" w:ascii="宋体" w:hAnsi="宋体" w:cs="宋体"/>
          <w:sz w:val="18"/>
          <w:szCs w:val="18"/>
        </w:rPr>
        <w:t>证明材料：√设计图纸（弱电、</w:t>
      </w:r>
      <w:r>
        <w:rPr>
          <w:rFonts w:ascii="宋体" w:hAnsi="宋体" w:cs="宋体"/>
          <w:sz w:val="18"/>
          <w:szCs w:val="18"/>
        </w:rPr>
        <w:t>弱电设计说明</w:t>
      </w:r>
      <w:r>
        <w:rPr>
          <w:rFonts w:hint="eastAsia" w:ascii="宋体" w:hAnsi="宋体" w:cs="宋体"/>
          <w:sz w:val="18"/>
          <w:szCs w:val="18"/>
        </w:rPr>
        <w:t>，</w:t>
      </w:r>
      <w:r>
        <w:rPr>
          <w:rFonts w:hint="eastAsia" w:ascii="宋体" w:hAnsi="宋体" w:cs="宋体"/>
          <w:kern w:val="0"/>
          <w:sz w:val="18"/>
          <w:szCs w:val="18"/>
        </w:rPr>
        <w:t>远程抄水表 电子巡更系统图</w:t>
      </w:r>
      <w:r>
        <w:rPr>
          <w:rFonts w:hint="eastAsia" w:ascii="宋体" w:hAnsi="宋体" w:cs="宋体"/>
          <w:sz w:val="18"/>
          <w:szCs w:val="18"/>
        </w:rPr>
        <w:t>）√设计图纸（给排水</w:t>
      </w:r>
      <w:r>
        <w:rPr>
          <w:rFonts w:ascii="宋体" w:hAnsi="宋体" w:cs="宋体"/>
          <w:sz w:val="18"/>
          <w:szCs w:val="18"/>
        </w:rPr>
        <w:t>、</w:t>
      </w:r>
      <w:r>
        <w:rPr>
          <w:rFonts w:hint="eastAsia" w:ascii="宋体" w:hAnsi="宋体" w:cs="宋体"/>
          <w:sz w:val="18"/>
          <w:szCs w:val="18"/>
        </w:rPr>
        <w:t>S-01_给水排水设计总说明,</w:t>
      </w:r>
      <w:r>
        <w:rPr>
          <w:rFonts w:ascii="宋体" w:hAnsi="宋体" w:cs="宋体"/>
          <w:sz w:val="18"/>
          <w:szCs w:val="18"/>
        </w:rPr>
        <w:t>S-XT-01_生活给水系统原理图</w:t>
      </w:r>
      <w:r>
        <w:rPr>
          <w:rFonts w:hint="eastAsia" w:ascii="宋体" w:hAnsi="宋体" w:cs="宋体"/>
          <w:sz w:val="18"/>
          <w:szCs w:val="18"/>
        </w:rPr>
        <w:t>）√</w:t>
      </w:r>
      <w:r>
        <w:rPr>
          <w:rFonts w:hint="eastAsia" w:ascii="宋体" w:hAnsi="宋体"/>
          <w:sz w:val="18"/>
          <w:szCs w:val="18"/>
        </w:rPr>
        <w:t>二次设计达标承诺函</w:t>
      </w:r>
    </w:p>
    <w:p w14:paraId="5C0000B7">
      <w:pPr>
        <w:spacing w:line="240" w:lineRule="exact"/>
        <w:rPr>
          <w:rFonts w:hint="eastAsia"/>
          <w:b/>
          <w:bCs/>
          <w:sz w:val="18"/>
          <w:szCs w:val="18"/>
        </w:rPr>
      </w:pPr>
    </w:p>
    <w:p w14:paraId="5426334D">
      <w:pPr>
        <w:spacing w:line="240" w:lineRule="exact"/>
        <w:rPr>
          <w:b/>
          <w:bCs/>
          <w:sz w:val="18"/>
          <w:szCs w:val="18"/>
        </w:rPr>
      </w:pPr>
      <w:r>
        <w:rPr>
          <w:rFonts w:hint="eastAsia"/>
          <w:b/>
          <w:bCs/>
          <w:sz w:val="18"/>
          <w:szCs w:val="18"/>
        </w:rPr>
        <w:t>景观专业</w:t>
      </w:r>
    </w:p>
    <w:p w14:paraId="1D1E8694">
      <w:pPr>
        <w:spacing w:line="240" w:lineRule="exact"/>
        <w:rPr>
          <w:rFonts w:ascii="黑体" w:hAnsi="宋体" w:eastAsia="黑体"/>
          <w:sz w:val="18"/>
          <w:szCs w:val="18"/>
        </w:rPr>
      </w:pPr>
      <w:r>
        <w:rPr>
          <w:rFonts w:ascii="黑体" w:hAnsi="宋体" w:eastAsia="黑体" w:cs="黑体"/>
          <w:sz w:val="18"/>
          <w:szCs w:val="18"/>
        </w:rPr>
        <w:t>6.2.2-</w:t>
      </w:r>
      <w:r>
        <w:rPr>
          <w:rFonts w:hint="eastAsia" w:ascii="黑体" w:hAnsi="宋体" w:eastAsia="黑体" w:cs="黑体"/>
          <w:sz w:val="18"/>
          <w:szCs w:val="18"/>
        </w:rPr>
        <w:t>1建筑室内外公共区域满足全龄化设计要求。</w:t>
      </w:r>
    </w:p>
    <w:p w14:paraId="34F3144C">
      <w:pPr>
        <w:spacing w:line="240" w:lineRule="exact"/>
        <w:rPr>
          <w:rFonts w:ascii="宋体"/>
          <w:sz w:val="18"/>
          <w:szCs w:val="18"/>
        </w:rPr>
      </w:pPr>
      <w:r>
        <w:rPr>
          <w:rFonts w:hint="eastAsia" w:ascii="宋体" w:hAnsi="宋体" w:cs="宋体"/>
          <w:sz w:val="18"/>
          <w:szCs w:val="18"/>
        </w:rPr>
        <w:t>技术措施说明：城市主要道路、建筑物和商业建筑区的人行天桥和人行道，应设轮椅坡道和安全梯道；在坡道和梯道两侧应设扶手。各级公共绿地的入口与道路及休息凉亭等设施的平面应平缓防滑；地面有高差时，应设轮椅坡道和扶手。在休息坐椅应设轮椅停留位置。建筑入口为无障碍入口时，入口室外的地面坡度不应大于1：50，室外通路地面坡度不应大于1：</w:t>
      </w:r>
      <w:r>
        <w:rPr>
          <w:rFonts w:ascii="宋体" w:hAnsi="宋体" w:cs="宋体"/>
          <w:sz w:val="18"/>
          <w:szCs w:val="18"/>
        </w:rPr>
        <w:t>2</w:t>
      </w:r>
      <w:r>
        <w:rPr>
          <w:rFonts w:hint="eastAsia" w:ascii="宋体" w:hAnsi="宋体" w:cs="宋体"/>
          <w:sz w:val="18"/>
          <w:szCs w:val="18"/>
        </w:rPr>
        <w:t>0。</w:t>
      </w:r>
    </w:p>
    <w:p w14:paraId="77D679F9">
      <w:pPr>
        <w:spacing w:line="240" w:lineRule="exact"/>
        <w:rPr>
          <w:b/>
          <w:bCs/>
          <w:sz w:val="18"/>
          <w:szCs w:val="18"/>
        </w:rPr>
      </w:pPr>
      <w:r>
        <w:rPr>
          <w:rFonts w:hint="eastAsia" w:ascii="宋体" w:hAnsi="宋体" w:cs="宋体"/>
          <w:sz w:val="18"/>
          <w:szCs w:val="18"/>
        </w:rPr>
        <w:t>证明材料：√设计图纸（建筑、Z</w:t>
      </w:r>
      <w:r>
        <w:rPr>
          <w:rFonts w:ascii="宋体" w:hAnsi="宋体" w:cs="宋体"/>
          <w:sz w:val="18"/>
          <w:szCs w:val="18"/>
        </w:rPr>
        <w:t>P</w:t>
      </w:r>
      <w:r>
        <w:rPr>
          <w:rFonts w:hint="eastAsia" w:ascii="宋体" w:hAnsi="宋体" w:cs="宋体"/>
          <w:sz w:val="18"/>
          <w:szCs w:val="18"/>
        </w:rPr>
        <w:t>-01_总平面图，SM-03_建筑无障碍设计专篇）；√</w:t>
      </w:r>
      <w:r>
        <w:rPr>
          <w:rFonts w:hint="eastAsia" w:ascii="宋体" w:hAnsi="宋体"/>
          <w:sz w:val="18"/>
          <w:szCs w:val="18"/>
        </w:rPr>
        <w:t>二次设计达标承诺函</w:t>
      </w:r>
    </w:p>
    <w:p w14:paraId="011A23E4">
      <w:pPr>
        <w:spacing w:line="240" w:lineRule="exact"/>
        <w:rPr>
          <w:b/>
          <w:bCs/>
          <w:sz w:val="18"/>
          <w:szCs w:val="18"/>
        </w:rPr>
      </w:pPr>
    </w:p>
    <w:p w14:paraId="4A524EC3">
      <w:pPr>
        <w:spacing w:line="240" w:lineRule="exact"/>
        <w:outlineLvl w:val="1"/>
        <w:rPr>
          <w:b/>
          <w:bCs/>
          <w:sz w:val="18"/>
          <w:szCs w:val="18"/>
        </w:rPr>
      </w:pPr>
      <w:r>
        <w:rPr>
          <w:rFonts w:ascii="黑体" w:hAnsi="黑体" w:eastAsia="黑体" w:cs="黑体"/>
          <w:b/>
          <w:bCs/>
          <w:kern w:val="0"/>
          <w:sz w:val="24"/>
          <w:szCs w:val="24"/>
        </w:rPr>
        <w:t>4</w:t>
      </w:r>
      <w:r>
        <w:rPr>
          <w:rFonts w:hint="eastAsia" w:ascii="黑体" w:hAnsi="黑体" w:eastAsia="黑体" w:cs="黑体"/>
          <w:b/>
          <w:bCs/>
          <w:kern w:val="0"/>
          <w:sz w:val="24"/>
          <w:szCs w:val="24"/>
        </w:rPr>
        <w:t>、资源节约</w:t>
      </w:r>
      <w:r>
        <w:rPr>
          <w:rFonts w:hint="eastAsia" w:hAnsi="黑体" w:eastAsia="黑体" w:cs="黑体"/>
          <w:b/>
          <w:bCs/>
          <w:kern w:val="0"/>
          <w:szCs w:val="21"/>
        </w:rPr>
        <w:t>（</w:t>
      </w:r>
      <w:r>
        <w:rPr>
          <w:rFonts w:hint="eastAsia" w:ascii="宋体" w:hAnsi="宋体"/>
          <w:szCs w:val="21"/>
        </w:rPr>
        <w:t>实际得分</w:t>
      </w:r>
      <w:r>
        <w:rPr>
          <w:rFonts w:hint="eastAsia" w:ascii="宋体" w:hAnsi="宋体"/>
          <w:szCs w:val="21"/>
          <w:u w:val="single"/>
        </w:rPr>
        <w:t>　1</w:t>
      </w:r>
      <w:r>
        <w:rPr>
          <w:rFonts w:hint="eastAsia" w:ascii="宋体" w:hAnsi="宋体"/>
          <w:szCs w:val="21"/>
          <w:u w:val="single"/>
          <w:lang w:val="en-US" w:eastAsia="zh-CN"/>
        </w:rPr>
        <w:t>19</w:t>
      </w:r>
      <w:r>
        <w:rPr>
          <w:rFonts w:hint="eastAsia" w:ascii="宋体" w:hAnsi="宋体"/>
          <w:szCs w:val="21"/>
          <w:u w:val="single"/>
        </w:rPr>
        <w:t>　</w:t>
      </w:r>
      <w:r>
        <w:rPr>
          <w:rFonts w:hint="eastAsia" w:ascii="宋体" w:hAnsi="宋体"/>
          <w:szCs w:val="21"/>
        </w:rPr>
        <w:t>分</w:t>
      </w:r>
      <w:r>
        <w:rPr>
          <w:rFonts w:hint="eastAsia" w:hAnsi="黑体" w:eastAsia="黑体" w:cs="黑体"/>
          <w:b/>
          <w:bCs/>
          <w:kern w:val="0"/>
          <w:szCs w:val="21"/>
        </w:rPr>
        <w:t>）</w:t>
      </w:r>
    </w:p>
    <w:p w14:paraId="674FB7A4">
      <w:pPr>
        <w:spacing w:line="240" w:lineRule="exact"/>
        <w:jc w:val="center"/>
        <w:rPr>
          <w:rFonts w:cs="宋体"/>
          <w:b/>
          <w:bCs/>
          <w:sz w:val="18"/>
          <w:szCs w:val="18"/>
        </w:rPr>
      </w:pPr>
    </w:p>
    <w:p w14:paraId="7CD98734">
      <w:pPr>
        <w:spacing w:line="240" w:lineRule="exact"/>
        <w:jc w:val="center"/>
        <w:outlineLvl w:val="2"/>
        <w:rPr>
          <w:b/>
          <w:bCs/>
          <w:sz w:val="18"/>
          <w:szCs w:val="18"/>
        </w:rPr>
      </w:pPr>
      <w:r>
        <w:rPr>
          <w:rFonts w:hint="eastAsia" w:cs="宋体"/>
          <w:b/>
          <w:bCs/>
          <w:sz w:val="18"/>
          <w:szCs w:val="18"/>
        </w:rPr>
        <w:t>必须说明内容（控制项）</w:t>
      </w:r>
    </w:p>
    <w:p w14:paraId="6C2D0364">
      <w:pPr>
        <w:spacing w:line="240" w:lineRule="exact"/>
        <w:rPr>
          <w:rFonts w:hAnsi="黑体" w:eastAsia="黑体"/>
          <w:b/>
          <w:bCs/>
          <w:kern w:val="0"/>
          <w:sz w:val="18"/>
          <w:szCs w:val="18"/>
        </w:rPr>
      </w:pPr>
    </w:p>
    <w:p w14:paraId="13D16AC2">
      <w:pPr>
        <w:spacing w:line="240" w:lineRule="exact"/>
        <w:rPr>
          <w:b/>
          <w:bCs/>
          <w:sz w:val="18"/>
          <w:szCs w:val="18"/>
        </w:rPr>
      </w:pPr>
      <w:r>
        <w:rPr>
          <w:rFonts w:hint="eastAsia"/>
          <w:b/>
          <w:bCs/>
          <w:sz w:val="18"/>
          <w:szCs w:val="18"/>
        </w:rPr>
        <w:t>建筑专业</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05A62C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3479F58F">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2B6AAA6D">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3A8313E8">
      <w:pPr>
        <w:spacing w:line="240" w:lineRule="exact"/>
        <w:outlineLvl w:val="2"/>
        <w:rPr>
          <w:rFonts w:ascii="黑体" w:hAnsi="宋体" w:eastAsia="黑体"/>
          <w:sz w:val="18"/>
          <w:szCs w:val="18"/>
        </w:rPr>
      </w:pPr>
      <w:r>
        <w:rPr>
          <w:rFonts w:ascii="黑体" w:hAnsi="宋体" w:eastAsia="黑体" w:cs="黑体"/>
          <w:sz w:val="18"/>
          <w:szCs w:val="18"/>
        </w:rPr>
        <w:t>7.1.1</w:t>
      </w:r>
      <w:r>
        <w:rPr>
          <w:rFonts w:hint="eastAsia" w:ascii="黑体" w:hAnsi="宋体" w:eastAsia="黑体" w:cs="黑体"/>
          <w:sz w:val="18"/>
          <w:szCs w:val="18"/>
        </w:rPr>
        <w:t>应结合场地自然条件和建筑功能需求，对建筑的体形、平面布局、空间尺度、围护结构等进行节能设计，且应符合国家有关节能设计的要求。</w:t>
      </w:r>
    </w:p>
    <w:p w14:paraId="225F0173">
      <w:pPr>
        <w:spacing w:line="240" w:lineRule="exact"/>
        <w:rPr>
          <w:rFonts w:ascii="宋体" w:hAnsi="宋体" w:cs="宋体"/>
          <w:sz w:val="18"/>
          <w:szCs w:val="18"/>
        </w:rPr>
      </w:pPr>
      <w:r>
        <w:rPr>
          <w:rFonts w:hint="eastAsia" w:ascii="宋体" w:hAnsi="宋体" w:cs="宋体"/>
          <w:sz w:val="18"/>
          <w:szCs w:val="18"/>
        </w:rPr>
        <w:t>技术措施说明：本</w:t>
      </w:r>
      <w:r>
        <w:rPr>
          <w:rFonts w:ascii="宋体" w:hAnsi="宋体" w:cs="宋体"/>
          <w:sz w:val="18"/>
          <w:szCs w:val="18"/>
        </w:rPr>
        <w:t>项目</w:t>
      </w:r>
      <w:r>
        <w:rPr>
          <w:rFonts w:hint="eastAsia" w:ascii="宋体" w:hAnsi="宋体" w:cs="宋体"/>
          <w:sz w:val="18"/>
          <w:szCs w:val="18"/>
        </w:rPr>
        <w:t>医院建筑设计</w:t>
      </w:r>
      <w:r>
        <w:rPr>
          <w:rFonts w:ascii="宋体" w:hAnsi="宋体" w:cs="宋体"/>
          <w:sz w:val="18"/>
          <w:szCs w:val="18"/>
        </w:rPr>
        <w:t>建筑</w:t>
      </w:r>
      <w:r>
        <w:rPr>
          <w:rFonts w:hint="eastAsia" w:ascii="宋体" w:hAnsi="宋体" w:cs="宋体"/>
          <w:sz w:val="18"/>
          <w:szCs w:val="18"/>
        </w:rPr>
        <w:t>供暖空调负荷耗电量比</w:t>
      </w:r>
      <w:r>
        <w:rPr>
          <w:rFonts w:ascii="宋体" w:hAnsi="宋体" w:cs="宋体"/>
          <w:sz w:val="18"/>
          <w:szCs w:val="18"/>
        </w:rPr>
        <w:t>参照建筑</w:t>
      </w:r>
      <w:r>
        <w:rPr>
          <w:rFonts w:hint="eastAsia" w:ascii="宋体" w:hAnsi="宋体" w:cs="宋体"/>
          <w:sz w:val="18"/>
          <w:szCs w:val="18"/>
        </w:rPr>
        <w:t>耗电量降低</w:t>
      </w:r>
      <w:r>
        <w:rPr>
          <w:rFonts w:ascii="宋体" w:hAnsi="宋体" w:cs="宋体"/>
          <w:sz w:val="18"/>
          <w:szCs w:val="18"/>
        </w:rPr>
        <w:t>比例大于10%</w:t>
      </w:r>
      <w:r>
        <w:rPr>
          <w:rFonts w:hint="eastAsia" w:ascii="宋体" w:hAnsi="宋体" w:cs="宋体"/>
          <w:sz w:val="18"/>
          <w:szCs w:val="18"/>
        </w:rPr>
        <w:t>，满足规范限定值要求，统计结果如下表，主要围护结构结构如下：</w:t>
      </w:r>
    </w:p>
    <w:p w14:paraId="7262749E">
      <w:pPr>
        <w:spacing w:line="240" w:lineRule="exact"/>
        <w:rPr>
          <w:rFonts w:ascii="宋体" w:hAnsi="宋体" w:cs="宋体"/>
          <w:sz w:val="18"/>
          <w:szCs w:val="18"/>
        </w:rPr>
      </w:pPr>
      <w:r>
        <w:rPr>
          <w:rFonts w:hint="eastAsia" w:ascii="宋体" w:hAnsi="宋体" w:cs="宋体"/>
          <w:sz w:val="18"/>
          <w:szCs w:val="18"/>
        </w:rPr>
        <w:t>屋面：采用1</w:t>
      </w:r>
      <w:r>
        <w:rPr>
          <w:rFonts w:ascii="宋体" w:hAnsi="宋体" w:cs="宋体"/>
          <w:sz w:val="18"/>
          <w:szCs w:val="18"/>
        </w:rPr>
        <w:t>00</w:t>
      </w:r>
      <w:r>
        <w:rPr>
          <w:rFonts w:hint="eastAsia" w:ascii="宋体" w:hAnsi="宋体" w:cs="宋体"/>
          <w:sz w:val="18"/>
          <w:szCs w:val="18"/>
        </w:rPr>
        <w:t>mm挤塑聚苯板为隔热层的倒置式屋面，</w:t>
      </w:r>
      <w:r>
        <w:rPr>
          <w:rFonts w:ascii="宋体" w:hAnsi="宋体" w:cs="宋体"/>
          <w:sz w:val="18"/>
          <w:szCs w:val="18"/>
        </w:rPr>
        <w:t>传热系数为</w:t>
      </w:r>
      <w:r>
        <w:rPr>
          <w:rFonts w:hint="eastAsia" w:ascii="宋体" w:hAnsi="宋体" w:cs="宋体"/>
          <w:sz w:val="18"/>
          <w:szCs w:val="18"/>
        </w:rPr>
        <w:t>≤0.</w:t>
      </w:r>
      <w:r>
        <w:rPr>
          <w:rFonts w:ascii="宋体" w:hAnsi="宋体" w:cs="宋体"/>
          <w:sz w:val="18"/>
          <w:szCs w:val="18"/>
        </w:rPr>
        <w:t>4</w:t>
      </w:r>
      <w:r>
        <w:rPr>
          <w:rFonts w:hint="eastAsia" w:ascii="宋体" w:hAnsi="宋体" w:cs="宋体"/>
          <w:sz w:val="18"/>
          <w:szCs w:val="18"/>
        </w:rPr>
        <w:t>0</w:t>
      </w:r>
      <w:r>
        <w:rPr>
          <w:rFonts w:ascii="宋体" w:hAnsi="宋体" w:cs="宋体"/>
          <w:sz w:val="18"/>
          <w:szCs w:val="18"/>
        </w:rPr>
        <w:t>W/</w:t>
      </w:r>
      <w:r>
        <w:rPr>
          <w:rFonts w:hint="eastAsia" w:ascii="宋体" w:hAnsi="宋体" w:cs="宋体"/>
          <w:sz w:val="18"/>
          <w:szCs w:val="18"/>
        </w:rPr>
        <w:t>m</w:t>
      </w:r>
      <w:r>
        <w:rPr>
          <w:rFonts w:ascii="宋体" w:hAnsi="宋体" w:cs="宋体"/>
          <w:sz w:val="18"/>
          <w:szCs w:val="18"/>
          <w:vertAlign w:val="superscript"/>
        </w:rPr>
        <w:t>2</w:t>
      </w:r>
      <w:r>
        <w:rPr>
          <w:rFonts w:ascii="宋体" w:hAnsi="宋体" w:cs="宋体"/>
          <w:sz w:val="18"/>
          <w:szCs w:val="18"/>
        </w:rPr>
        <w:t>·K</w:t>
      </w:r>
      <w:r>
        <w:rPr>
          <w:rFonts w:hint="eastAsia" w:ascii="宋体" w:hAnsi="宋体" w:cs="宋体"/>
          <w:sz w:val="18"/>
          <w:szCs w:val="18"/>
        </w:rPr>
        <w:t>；</w:t>
      </w:r>
    </w:p>
    <w:p w14:paraId="08555C3A">
      <w:pPr>
        <w:spacing w:line="240" w:lineRule="exact"/>
        <w:rPr>
          <w:rFonts w:ascii="宋体" w:hAnsi="宋体" w:cs="宋体"/>
          <w:sz w:val="18"/>
          <w:szCs w:val="18"/>
        </w:rPr>
      </w:pPr>
      <w:r>
        <w:rPr>
          <w:rFonts w:ascii="宋体" w:hAnsi="宋体" w:cs="宋体"/>
          <w:sz w:val="18"/>
          <w:szCs w:val="18"/>
        </w:rPr>
        <w:t>外墙</w:t>
      </w:r>
      <w:r>
        <w:rPr>
          <w:rFonts w:hint="eastAsia" w:ascii="宋体" w:hAnsi="宋体" w:cs="宋体"/>
          <w:sz w:val="18"/>
          <w:szCs w:val="18"/>
        </w:rPr>
        <w:t>：东西朝向墙体传热系数≤</w:t>
      </w:r>
      <w:r>
        <w:rPr>
          <w:rFonts w:ascii="宋体" w:hAnsi="宋体" w:cs="宋体"/>
          <w:sz w:val="18"/>
          <w:szCs w:val="18"/>
        </w:rPr>
        <w:t>1.5 W/</w:t>
      </w:r>
      <w:r>
        <w:rPr>
          <w:rFonts w:hint="eastAsia" w:ascii="宋体" w:hAnsi="宋体" w:cs="宋体"/>
          <w:sz w:val="18"/>
          <w:szCs w:val="18"/>
        </w:rPr>
        <w:t>m</w:t>
      </w:r>
      <w:r>
        <w:rPr>
          <w:rFonts w:ascii="宋体" w:hAnsi="宋体" w:cs="宋体"/>
          <w:sz w:val="18"/>
          <w:szCs w:val="18"/>
          <w:vertAlign w:val="superscript"/>
        </w:rPr>
        <w:t>2</w:t>
      </w:r>
      <w:r>
        <w:rPr>
          <w:rFonts w:ascii="宋体" w:hAnsi="宋体" w:cs="宋体"/>
          <w:sz w:val="18"/>
          <w:szCs w:val="18"/>
        </w:rPr>
        <w:t>·K</w:t>
      </w:r>
      <w:r>
        <w:rPr>
          <w:rFonts w:hint="eastAsia" w:ascii="宋体" w:hAnsi="宋体" w:cs="宋体"/>
          <w:sz w:val="18"/>
          <w:szCs w:val="18"/>
        </w:rPr>
        <w:t>；</w:t>
      </w:r>
    </w:p>
    <w:p w14:paraId="03D13521">
      <w:pPr>
        <w:spacing w:line="240" w:lineRule="exact"/>
        <w:rPr>
          <w:rFonts w:ascii="宋体" w:hAnsi="宋体" w:cs="宋体"/>
          <w:sz w:val="18"/>
          <w:szCs w:val="18"/>
        </w:rPr>
      </w:pPr>
      <w:r>
        <w:rPr>
          <w:rFonts w:hint="eastAsia" w:ascii="宋体" w:hAnsi="宋体" w:cs="宋体"/>
          <w:sz w:val="18"/>
          <w:szCs w:val="18"/>
        </w:rPr>
        <w:t>外窗：采用普通铝合金+6LOW-e+12</w:t>
      </w:r>
      <w:r>
        <w:rPr>
          <w:rFonts w:hint="eastAsia" w:ascii="宋体" w:hAnsi="宋体" w:cs="宋体"/>
          <w:sz w:val="18"/>
          <w:szCs w:val="18"/>
          <w:lang w:eastAsia="zh-CN"/>
        </w:rPr>
        <w:t>A</w:t>
      </w:r>
      <w:r>
        <w:rPr>
          <w:rFonts w:hint="eastAsia" w:ascii="宋体" w:hAnsi="宋体" w:cs="宋体"/>
          <w:sz w:val="18"/>
          <w:szCs w:val="18"/>
        </w:rPr>
        <w:t>+6中空玻璃。</w:t>
      </w:r>
      <w:r>
        <w:rPr>
          <w:rFonts w:ascii="宋体" w:hAnsi="宋体" w:cs="宋体"/>
          <w:sz w:val="18"/>
          <w:szCs w:val="18"/>
        </w:rPr>
        <w:t xml:space="preserve">  </w:t>
      </w:r>
    </w:p>
    <w:p w14:paraId="28ED0670">
      <w:pPr>
        <w:spacing w:line="240" w:lineRule="exact"/>
        <w:rPr>
          <w:rFonts w:ascii="宋体" w:cs="宋体"/>
          <w:sz w:val="18"/>
          <w:szCs w:val="18"/>
        </w:rPr>
      </w:pPr>
      <w:r>
        <w:rPr>
          <w:rFonts w:hint="eastAsia" w:ascii="宋体" w:hAnsi="宋体" w:cs="宋体"/>
          <w:sz w:val="18"/>
          <w:szCs w:val="18"/>
        </w:rPr>
        <w:t>证明材料：√节能计算报告书；</w:t>
      </w:r>
      <w:r>
        <w:rPr>
          <w:rFonts w:ascii="宋体" w:hAnsi="宋体" w:cs="宋体"/>
          <w:sz w:val="18"/>
          <w:szCs w:val="18"/>
        </w:rPr>
        <w:t xml:space="preserve"> </w:t>
      </w:r>
      <w:r>
        <w:rPr>
          <w:rFonts w:hint="eastAsia" w:ascii="宋体" w:hAnsi="宋体" w:cs="宋体"/>
          <w:sz w:val="18"/>
          <w:szCs w:val="18"/>
        </w:rPr>
        <w:t>√设计图纸（建筑、SM-02_建筑装修构造做法说明表，建筑节能设计专篇）</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1BAE5A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7D383E3A">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34A1ED90">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2C934FE0">
      <w:pPr>
        <w:spacing w:line="240" w:lineRule="exact"/>
        <w:rPr>
          <w:rFonts w:ascii="黑体" w:hAnsi="宋体" w:eastAsia="黑体"/>
          <w:sz w:val="18"/>
          <w:szCs w:val="18"/>
        </w:rPr>
      </w:pPr>
      <w:r>
        <w:rPr>
          <w:rFonts w:ascii="黑体" w:hAnsi="宋体" w:eastAsia="黑体" w:cs="黑体"/>
          <w:sz w:val="18"/>
          <w:szCs w:val="18"/>
        </w:rPr>
        <w:t>7.1.9</w:t>
      </w:r>
      <w:r>
        <w:rPr>
          <w:rFonts w:hint="eastAsia" w:ascii="黑体" w:hAnsi="宋体" w:eastAsia="黑体" w:cs="黑体"/>
          <w:sz w:val="18"/>
          <w:szCs w:val="18"/>
        </w:rPr>
        <w:t>建筑造型要素应简约，应无大量装饰性构件。</w:t>
      </w:r>
    </w:p>
    <w:p w14:paraId="5DB69124">
      <w:pPr>
        <w:spacing w:line="240" w:lineRule="exact"/>
        <w:rPr>
          <w:rFonts w:ascii="宋体" w:hAnsi="宋体" w:cs="宋体"/>
          <w:sz w:val="18"/>
          <w:szCs w:val="18"/>
        </w:rPr>
      </w:pPr>
      <w:r>
        <w:rPr>
          <w:rFonts w:hint="eastAsia" w:ascii="宋体" w:hAnsi="宋体" w:cs="宋体"/>
          <w:sz w:val="18"/>
          <w:szCs w:val="18"/>
        </w:rPr>
        <w:t>技术措施说明：项目建筑单体造型要求简约，无大量装饰性构件。</w:t>
      </w:r>
    </w:p>
    <w:p w14:paraId="68828CC9">
      <w:pPr>
        <w:spacing w:line="240" w:lineRule="exact"/>
        <w:rPr>
          <w:rFonts w:ascii="宋体" w:cs="宋体"/>
          <w:sz w:val="18"/>
          <w:szCs w:val="18"/>
        </w:rPr>
      </w:pPr>
      <w:r>
        <w:rPr>
          <w:rFonts w:hint="eastAsia" w:ascii="宋体" w:hAnsi="宋体" w:cs="宋体"/>
          <w:sz w:val="18"/>
          <w:szCs w:val="18"/>
        </w:rPr>
        <w:t>证明材料：</w:t>
      </w:r>
      <w:r>
        <w:rPr>
          <w:rFonts w:ascii="宋体" w:hAnsi="宋体"/>
          <w:sz w:val="18"/>
          <w:szCs w:val="18"/>
        </w:rPr>
        <w:t xml:space="preserve"> </w:t>
      </w:r>
      <w:r>
        <w:rPr>
          <w:rFonts w:hint="eastAsia" w:ascii="宋体" w:hAnsi="宋体" w:cs="宋体"/>
          <w:sz w:val="18"/>
          <w:szCs w:val="18"/>
        </w:rPr>
        <w:t>√设计图纸（建筑、建筑立面图，建筑平面图）</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041C21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61C60264">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75A9C3EF">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0819C56B">
      <w:pPr>
        <w:spacing w:line="240" w:lineRule="exact"/>
        <w:rPr>
          <w:rFonts w:ascii="黑体" w:hAnsi="宋体" w:eastAsia="黑体"/>
          <w:sz w:val="18"/>
          <w:szCs w:val="18"/>
        </w:rPr>
      </w:pPr>
      <w:r>
        <w:rPr>
          <w:rFonts w:ascii="黑体" w:hAnsi="宋体" w:eastAsia="黑体" w:cs="黑体"/>
          <w:sz w:val="18"/>
          <w:szCs w:val="18"/>
        </w:rPr>
        <w:t>7.1.6</w:t>
      </w:r>
      <w:r>
        <w:rPr>
          <w:rFonts w:hint="eastAsia" w:ascii="黑体" w:hAnsi="宋体" w:eastAsia="黑体" w:cs="黑体"/>
          <w:sz w:val="18"/>
          <w:szCs w:val="18"/>
        </w:rPr>
        <w:t>垂直电梯应采取群控、变频调速或能量反馈等节能措施；自动扶梯应采用变频感应启动等节能控制措施。</w:t>
      </w:r>
    </w:p>
    <w:p w14:paraId="54861E01">
      <w:pPr>
        <w:spacing w:line="240" w:lineRule="exact"/>
        <w:rPr>
          <w:rFonts w:ascii="宋体" w:hAnsi="宋体" w:cs="宋体"/>
          <w:sz w:val="18"/>
          <w:szCs w:val="18"/>
        </w:rPr>
      </w:pPr>
      <w:r>
        <w:rPr>
          <w:rFonts w:hint="eastAsia" w:ascii="宋体" w:hAnsi="宋体" w:cs="宋体"/>
          <w:sz w:val="18"/>
          <w:szCs w:val="18"/>
        </w:rPr>
        <w:t>技术措施说明：</w:t>
      </w:r>
      <w:r>
        <w:rPr>
          <w:rFonts w:hint="eastAsia" w:ascii="宋体"/>
          <w:sz w:val="18"/>
          <w:szCs w:val="18"/>
        </w:rPr>
        <w:t>本项目电梯采用变频调速拖动方式或能量再生回馈技术的节能电梯，并采用轿厢无人自控关灯、关风扇技术、驱动器休眠技术等节能控制措施，同一侯梯厅设置2台以上的电梯采用电梯群控或群控楼宇智能管理技术。</w:t>
      </w:r>
    </w:p>
    <w:p w14:paraId="64EB9CC7">
      <w:pPr>
        <w:spacing w:line="240" w:lineRule="exact"/>
        <w:rPr>
          <w:rFonts w:ascii="黑体" w:hAnsi="宋体" w:eastAsia="黑体"/>
          <w:sz w:val="18"/>
          <w:szCs w:val="18"/>
        </w:rPr>
      </w:pPr>
      <w:r>
        <w:rPr>
          <w:rFonts w:hint="eastAsia" w:ascii="宋体" w:hAnsi="宋体" w:cs="宋体"/>
          <w:sz w:val="18"/>
          <w:szCs w:val="18"/>
        </w:rPr>
        <w:t>证明材料：√设计图纸（电气</w:t>
      </w:r>
      <w:r>
        <w:rPr>
          <w:rFonts w:ascii="宋体" w:hAnsi="宋体" w:cs="宋体"/>
          <w:sz w:val="18"/>
          <w:szCs w:val="18"/>
        </w:rPr>
        <w:t>，D-SM-01~06_电气施工图设计说明</w:t>
      </w:r>
      <w:r>
        <w:rPr>
          <w:rFonts w:hint="eastAsia" w:ascii="宋体" w:hAnsi="宋体" w:cs="宋体"/>
          <w:sz w:val="18"/>
          <w:szCs w:val="18"/>
        </w:rPr>
        <w:t>）</w:t>
      </w:r>
    </w:p>
    <w:p w14:paraId="0473D0BB">
      <w:pPr>
        <w:spacing w:line="240" w:lineRule="exact"/>
        <w:rPr>
          <w:b/>
          <w:bCs/>
          <w:sz w:val="18"/>
          <w:szCs w:val="18"/>
        </w:rPr>
      </w:pPr>
    </w:p>
    <w:p w14:paraId="219A724D">
      <w:pPr>
        <w:spacing w:line="240" w:lineRule="exact"/>
        <w:rPr>
          <w:b/>
          <w:bCs/>
          <w:sz w:val="18"/>
          <w:szCs w:val="18"/>
        </w:rPr>
      </w:pPr>
      <w:r>
        <w:rPr>
          <w:rFonts w:hint="eastAsia"/>
          <w:b/>
          <w:bCs/>
          <w:sz w:val="18"/>
          <w:szCs w:val="18"/>
        </w:rPr>
        <w:t>结构专业</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08C9E1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0609E4E9">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1EB23261">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4B4F9F22">
      <w:pPr>
        <w:spacing w:line="240" w:lineRule="exact"/>
        <w:rPr>
          <w:rFonts w:ascii="黑体" w:hAnsi="宋体" w:eastAsia="黑体"/>
          <w:sz w:val="18"/>
          <w:szCs w:val="18"/>
        </w:rPr>
      </w:pPr>
      <w:r>
        <w:rPr>
          <w:rFonts w:ascii="黑体" w:hAnsi="宋体" w:eastAsia="黑体" w:cs="黑体"/>
          <w:sz w:val="18"/>
          <w:szCs w:val="18"/>
        </w:rPr>
        <w:t>7.1.8</w:t>
      </w:r>
      <w:r>
        <w:rPr>
          <w:rFonts w:hint="eastAsia" w:ascii="黑体" w:hAnsi="宋体" w:eastAsia="黑体" w:cs="黑体"/>
          <w:sz w:val="18"/>
          <w:szCs w:val="18"/>
        </w:rPr>
        <w:t>不应采用建筑形体和布置严重不规则的建筑结构。</w:t>
      </w:r>
    </w:p>
    <w:p w14:paraId="0B60AE23">
      <w:pPr>
        <w:spacing w:line="240" w:lineRule="exact"/>
        <w:rPr>
          <w:rFonts w:ascii="宋体" w:hAnsi="宋体" w:cs="宋体"/>
          <w:sz w:val="18"/>
          <w:szCs w:val="18"/>
        </w:rPr>
      </w:pPr>
      <w:r>
        <w:rPr>
          <w:rFonts w:hint="eastAsia" w:ascii="宋体" w:hAnsi="宋体" w:cs="宋体"/>
          <w:sz w:val="18"/>
          <w:szCs w:val="18"/>
        </w:rPr>
        <w:t>技术措施说明：经判断，本项目医院建筑建筑形体为一般不规则，不属于严重不规则的建筑结构。</w:t>
      </w:r>
    </w:p>
    <w:p w14:paraId="2E65AF3C">
      <w:pPr>
        <w:spacing w:line="240" w:lineRule="exact"/>
        <w:rPr>
          <w:rFonts w:ascii="宋体" w:cs="宋体"/>
          <w:sz w:val="18"/>
          <w:szCs w:val="18"/>
        </w:rPr>
      </w:pPr>
      <w:r>
        <w:rPr>
          <w:rFonts w:hint="eastAsia" w:ascii="宋体" w:hAnsi="宋体" w:cs="宋体"/>
          <w:sz w:val="18"/>
          <w:szCs w:val="18"/>
        </w:rPr>
        <w:t>证明材料：√建筑形体规则性判定报告；</w:t>
      </w:r>
      <w:r>
        <w:rPr>
          <w:rFonts w:ascii="宋体" w:hAnsi="宋体" w:cs="宋体"/>
          <w:sz w:val="18"/>
          <w:szCs w:val="18"/>
        </w:rPr>
        <w:t xml:space="preserve"> </w:t>
      </w:r>
      <w:r>
        <w:rPr>
          <w:rFonts w:hint="eastAsia" w:ascii="宋体" w:hAnsi="宋体" w:cs="宋体"/>
          <w:sz w:val="18"/>
          <w:szCs w:val="18"/>
        </w:rPr>
        <w:t>√设计图纸（结构</w:t>
      </w:r>
      <w:r>
        <w:rPr>
          <w:rFonts w:ascii="宋体" w:hAnsi="宋体" w:cs="宋体"/>
          <w:sz w:val="18"/>
          <w:szCs w:val="18"/>
        </w:rPr>
        <w:t>、</w:t>
      </w:r>
      <w:r>
        <w:rPr>
          <w:rFonts w:hint="eastAsia" w:ascii="宋体" w:hAnsi="宋体" w:cs="宋体"/>
          <w:sz w:val="18"/>
          <w:szCs w:val="18"/>
        </w:rPr>
        <w:t>G-SM-01~02_结构总说明）</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1D5CDC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103AC267">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6F28D681">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57924061">
      <w:pPr>
        <w:spacing w:line="240" w:lineRule="exact"/>
        <w:rPr>
          <w:rFonts w:ascii="黑体" w:hAnsi="宋体" w:eastAsia="黑体"/>
          <w:sz w:val="18"/>
          <w:szCs w:val="18"/>
        </w:rPr>
      </w:pPr>
      <w:r>
        <w:rPr>
          <w:rFonts w:ascii="黑体" w:hAnsi="宋体" w:eastAsia="黑体" w:cs="黑体"/>
          <w:sz w:val="18"/>
          <w:szCs w:val="18"/>
        </w:rPr>
        <w:t>7.1.10</w:t>
      </w:r>
      <w:r>
        <w:rPr>
          <w:rFonts w:hint="eastAsia" w:ascii="黑体" w:hAnsi="宋体" w:eastAsia="黑体" w:cs="黑体"/>
          <w:sz w:val="18"/>
          <w:szCs w:val="18"/>
        </w:rPr>
        <w:t>选用的建筑材料应符合相关要求。</w:t>
      </w:r>
    </w:p>
    <w:p w14:paraId="1BEC5546">
      <w:pPr>
        <w:spacing w:line="240" w:lineRule="exact"/>
        <w:rPr>
          <w:rFonts w:ascii="宋体"/>
          <w:sz w:val="18"/>
          <w:szCs w:val="18"/>
        </w:rPr>
      </w:pPr>
      <w:r>
        <w:rPr>
          <w:rFonts w:hint="eastAsia" w:ascii="宋体" w:hAnsi="宋体" w:cs="宋体"/>
          <w:sz w:val="18"/>
          <w:szCs w:val="18"/>
        </w:rPr>
        <w:t>技术措施说明：本项目主要建筑材料为加气混凝土砌块、铝合金型材、装配式内隔墙、预拌混凝土、</w:t>
      </w:r>
      <w:r>
        <w:rPr>
          <w:rFonts w:ascii="Times New Roman" w:hAnsi="Times New Roman"/>
          <w:sz w:val="18"/>
          <w:szCs w:val="18"/>
        </w:rPr>
        <w:t>钢筋、</w:t>
      </w:r>
      <w:r>
        <w:rPr>
          <w:rFonts w:hint="eastAsia" w:ascii="宋体" w:hAnsi="宋体" w:cs="宋体"/>
          <w:sz w:val="18"/>
          <w:szCs w:val="18"/>
        </w:rPr>
        <w:t>商品砂浆，挤塑聚苯板、L</w:t>
      </w:r>
      <w:r>
        <w:rPr>
          <w:rFonts w:ascii="宋体" w:hAnsi="宋体" w:cs="宋体"/>
          <w:sz w:val="18"/>
          <w:szCs w:val="18"/>
        </w:rPr>
        <w:t>OW-e</w:t>
      </w:r>
      <w:r>
        <w:rPr>
          <w:rFonts w:hint="eastAsia" w:ascii="宋体" w:hAnsi="宋体" w:cs="宋体"/>
          <w:sz w:val="18"/>
          <w:szCs w:val="18"/>
        </w:rPr>
        <w:t>中空玻璃等等，相关材料均可在500km的范围内有相应的供应厂商。</w:t>
      </w:r>
    </w:p>
    <w:p w14:paraId="102E54D3">
      <w:pPr>
        <w:spacing w:line="240" w:lineRule="exact"/>
        <w:rPr>
          <w:rFonts w:ascii="黑体" w:hAnsi="宋体" w:eastAsia="黑体"/>
          <w:sz w:val="18"/>
          <w:szCs w:val="18"/>
        </w:rPr>
      </w:pPr>
      <w:r>
        <w:rPr>
          <w:rFonts w:hint="eastAsia" w:ascii="宋体" w:hAnsi="宋体" w:cs="宋体"/>
          <w:sz w:val="18"/>
          <w:szCs w:val="18"/>
        </w:rPr>
        <w:t>证明材料：√设计图纸（结构</w:t>
      </w:r>
      <w:r>
        <w:rPr>
          <w:rFonts w:ascii="宋体" w:hAnsi="宋体" w:cs="宋体"/>
          <w:sz w:val="18"/>
          <w:szCs w:val="18"/>
        </w:rPr>
        <w:t>、</w:t>
      </w:r>
      <w:r>
        <w:rPr>
          <w:rFonts w:hint="eastAsia" w:ascii="宋体" w:hAnsi="宋体" w:cs="宋体"/>
          <w:sz w:val="18"/>
          <w:szCs w:val="18"/>
        </w:rPr>
        <w:t>G-SM-01~02_结构总说明；建筑、SM-01_建筑设计总说明，</w:t>
      </w:r>
      <w:r>
        <w:rPr>
          <w:rFonts w:ascii="宋体" w:hAnsi="宋体" w:cs="宋体"/>
          <w:sz w:val="18"/>
          <w:szCs w:val="18"/>
        </w:rPr>
        <w:t>SM-02_建筑装修构造做法说明表</w:t>
      </w:r>
      <w:r>
        <w:rPr>
          <w:rFonts w:hint="eastAsia" w:ascii="宋体" w:hAnsi="宋体" w:cs="宋体"/>
          <w:sz w:val="18"/>
          <w:szCs w:val="18"/>
        </w:rPr>
        <w:t>）√二次设计达标承诺函</w:t>
      </w:r>
    </w:p>
    <w:p w14:paraId="6E438776">
      <w:pPr>
        <w:spacing w:line="240" w:lineRule="exact"/>
        <w:rPr>
          <w:b/>
          <w:bCs/>
          <w:sz w:val="18"/>
          <w:szCs w:val="18"/>
        </w:rPr>
      </w:pPr>
    </w:p>
    <w:p w14:paraId="1E0C45C5">
      <w:pPr>
        <w:spacing w:line="240" w:lineRule="exact"/>
        <w:rPr>
          <w:b/>
          <w:bCs/>
          <w:sz w:val="18"/>
          <w:szCs w:val="18"/>
        </w:rPr>
      </w:pPr>
      <w:r>
        <w:rPr>
          <w:rFonts w:hint="eastAsia"/>
          <w:b/>
          <w:bCs/>
          <w:sz w:val="18"/>
          <w:szCs w:val="18"/>
        </w:rPr>
        <w:t>给排水专业</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6183D8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28178845">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69B3AD1E">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3D4BDC7B">
      <w:pPr>
        <w:spacing w:line="240" w:lineRule="exact"/>
        <w:rPr>
          <w:rFonts w:ascii="黑体" w:hAnsi="宋体" w:eastAsia="黑体"/>
          <w:sz w:val="18"/>
          <w:szCs w:val="18"/>
        </w:rPr>
      </w:pPr>
      <w:r>
        <w:rPr>
          <w:rFonts w:ascii="黑体" w:hAnsi="宋体" w:eastAsia="黑体" w:cs="黑体"/>
          <w:sz w:val="18"/>
          <w:szCs w:val="18"/>
        </w:rPr>
        <w:t>7.1.7</w:t>
      </w:r>
      <w:r>
        <w:rPr>
          <w:rFonts w:hint="eastAsia" w:ascii="黑体" w:hAnsi="宋体" w:eastAsia="黑体" w:cs="黑体"/>
          <w:sz w:val="18"/>
          <w:szCs w:val="18"/>
        </w:rPr>
        <w:t>应制定水资源利用方案，统筹利用各种水资源。</w:t>
      </w:r>
    </w:p>
    <w:p w14:paraId="71D0FD9F">
      <w:pPr>
        <w:spacing w:line="240" w:lineRule="exact"/>
        <w:rPr>
          <w:rFonts w:ascii="宋体" w:hAnsi="宋体" w:cs="宋体"/>
          <w:sz w:val="18"/>
          <w:szCs w:val="18"/>
        </w:rPr>
      </w:pPr>
      <w:r>
        <w:rPr>
          <w:rFonts w:hint="eastAsia" w:ascii="宋体" w:hAnsi="宋体" w:cs="宋体"/>
          <w:sz w:val="18"/>
          <w:szCs w:val="18"/>
        </w:rPr>
        <w:t>技术措施说明：</w:t>
      </w:r>
    </w:p>
    <w:p w14:paraId="0F0BE73F">
      <w:pPr>
        <w:spacing w:line="240" w:lineRule="exact"/>
        <w:rPr>
          <w:rFonts w:ascii="宋体"/>
          <w:sz w:val="18"/>
          <w:szCs w:val="18"/>
        </w:rPr>
      </w:pPr>
      <w:r>
        <w:rPr>
          <w:rFonts w:ascii="宋体"/>
          <w:b/>
          <w:bCs/>
          <w:sz w:val="18"/>
          <w:szCs w:val="18"/>
        </w:rPr>
        <w:t>给水方案：</w:t>
      </w:r>
      <w:r>
        <w:rPr>
          <w:rFonts w:hint="eastAsia" w:ascii="宋体"/>
          <w:sz w:val="18"/>
          <w:szCs w:val="18"/>
          <w:lang w:eastAsia="zh-CN"/>
        </w:rPr>
        <w:t>地下室采用市政水直接供水。本工程生活水源为市政水源，由北侧永安大道的市政给水管网引入1条给水管，水压约为0.14MPa，管径为DN200。一层及以上楼层采用增压供水设备供水。首层至5层由低区变频加压供水设备加压供水，6层至14层由中区变频加压供水设备加压供水，15层至22层由高区变频加压供水设备加压供水，共3个分区。生活泵房设置在地下二层设备房，设置1座自洁式不锈钢水箱，总有效容积为47.5m3。设置3套变频加压供水水泵组。生活水箱（水池）应配置消毒施设，生活供水施设在交付使用前必须清洗和消毒。压力超过0.2 MPa的给水支管设置减压阀，使得阀后供水压力为0.2MPa。根据水平衡测试标准的要求安装分级计量水表，市政生活给水总表后设置本项目的生活水箱水表。其后各层卫生间、消防水箱供水管等给水支管分别设置计量水表。</w:t>
      </w:r>
    </w:p>
    <w:p w14:paraId="49BD4F1F">
      <w:pPr>
        <w:spacing w:line="240" w:lineRule="exact"/>
        <w:rPr>
          <w:rFonts w:hint="eastAsia" w:ascii="宋体" w:eastAsia="宋体"/>
          <w:sz w:val="18"/>
          <w:szCs w:val="18"/>
          <w:lang w:eastAsia="zh-CN"/>
        </w:rPr>
      </w:pPr>
      <w:r>
        <w:rPr>
          <w:rFonts w:ascii="宋体"/>
          <w:b/>
          <w:bCs/>
          <w:sz w:val="18"/>
          <w:szCs w:val="18"/>
        </w:rPr>
        <w:t>排水方案：</w:t>
      </w:r>
      <w:r>
        <w:rPr>
          <w:rFonts w:hint="eastAsia" w:ascii="宋体"/>
          <w:sz w:val="18"/>
          <w:szCs w:val="18"/>
          <w:lang w:eastAsia="zh-CN"/>
        </w:rPr>
        <w:t>用地的周边道路已建成雨水及污水排水管，室外排水采用雨水和污水分流制。核医学废水经衰变池处理；检验科、实验室、血透等特殊医疗废水经一体化预处理池处理；中心供应高温废水经降温池处理；传染楼的废水经消毒池处理；餐饮厨房废水经隔油池处理；医患生活粪便污水经化粪池处理，排入项目北侧的污水处理站，达到《污水综合排放标准》（GB8978－1996）后，最终排入市政污水管。区内共设4座钢筋混凝土化粪池。室外场地雨水经过雨水口、排水沟收集至管道，排至室外院区雨水管道。室内生活污、废水系统：室内污、废水为分流制排水系统，室内±0.000以上污、废水重力排出室外。为保证较好的室内环境及保证排水通畅，卫生间排水系统设置专用通气立管。粪便污水在室外经化粪池处理后与废水汇合排至市政污水管道。人均污水量为40L/人.天，化粪池清掏周期180天。餐饮厨房废水在室外隔油池处理后与废水汇合排至市政污水管道，隔油池清掏周期7天。排水附件：采用水封深度50mm的地漏。</w:t>
      </w:r>
      <w:r>
        <w:rPr>
          <w:rFonts w:hint="eastAsia" w:ascii="宋体" w:hAnsi="宋体"/>
          <w:sz w:val="18"/>
          <w:szCs w:val="18"/>
        </w:rPr>
        <w:t>本项目选用用水效率等级不低于</w:t>
      </w:r>
      <w:r>
        <w:rPr>
          <w:rFonts w:ascii="宋体" w:hAnsi="宋体"/>
          <w:sz w:val="18"/>
          <w:szCs w:val="18"/>
        </w:rPr>
        <w:t>2</w:t>
      </w:r>
      <w:r>
        <w:rPr>
          <w:rFonts w:hint="eastAsia" w:ascii="宋体" w:hAnsi="宋体"/>
          <w:sz w:val="18"/>
          <w:szCs w:val="18"/>
        </w:rPr>
        <w:t>级的节水用水器具，卫生洁具五金配件均符合《节水型生活用水器具》</w:t>
      </w:r>
      <w:r>
        <w:rPr>
          <w:rFonts w:ascii="宋体" w:hAnsi="宋体"/>
          <w:sz w:val="18"/>
          <w:szCs w:val="18"/>
        </w:rPr>
        <w:t>CJ164-2014</w:t>
      </w:r>
      <w:r>
        <w:rPr>
          <w:rFonts w:hint="eastAsia" w:ascii="宋体" w:hAnsi="宋体"/>
          <w:sz w:val="18"/>
          <w:szCs w:val="18"/>
        </w:rPr>
        <w:t>标准的要求</w:t>
      </w:r>
      <w:r>
        <w:rPr>
          <w:rFonts w:hint="eastAsia" w:ascii="宋体" w:hAnsi="宋体"/>
          <w:sz w:val="18"/>
          <w:szCs w:val="18"/>
          <w:lang w:eastAsia="zh-CN"/>
        </w:rPr>
        <w:t>。</w:t>
      </w:r>
    </w:p>
    <w:p w14:paraId="3A6AB47C">
      <w:pPr>
        <w:spacing w:line="240" w:lineRule="exact"/>
        <w:rPr>
          <w:rFonts w:ascii="宋体" w:hAnsi="宋体" w:cs="宋体"/>
          <w:sz w:val="18"/>
          <w:szCs w:val="18"/>
        </w:rPr>
      </w:pPr>
      <w:r>
        <w:rPr>
          <w:rFonts w:hint="eastAsia" w:ascii="宋体" w:hAnsi="宋体" w:cs="宋体"/>
          <w:sz w:val="18"/>
          <w:szCs w:val="18"/>
        </w:rPr>
        <w:t>证明材料：√水资源利用方案；</w:t>
      </w:r>
      <w:r>
        <w:rPr>
          <w:rFonts w:ascii="宋体" w:hAnsi="宋体" w:cs="宋体"/>
          <w:sz w:val="18"/>
          <w:szCs w:val="18"/>
        </w:rPr>
        <w:t xml:space="preserve"> </w:t>
      </w:r>
      <w:r>
        <w:rPr>
          <w:rFonts w:hint="eastAsia" w:ascii="宋体" w:hAnsi="宋体" w:cs="宋体"/>
          <w:sz w:val="18"/>
          <w:szCs w:val="18"/>
        </w:rPr>
        <w:t>√设计图纸（给排水、S-01_给水排水设计总说明，S-XT-01_住宅生活给水系统原理图</w:t>
      </w:r>
      <w:r>
        <w:rPr>
          <w:rFonts w:ascii="宋体" w:hAnsi="宋体" w:cs="宋体"/>
          <w:sz w:val="18"/>
          <w:szCs w:val="18"/>
        </w:rPr>
        <w:t>,</w:t>
      </w:r>
      <w:r>
        <w:t xml:space="preserve"> </w:t>
      </w:r>
      <w:r>
        <w:rPr>
          <w:rFonts w:ascii="宋体" w:hAnsi="宋体" w:cs="宋体"/>
          <w:sz w:val="18"/>
          <w:szCs w:val="18"/>
        </w:rPr>
        <w:t>S-1-X1~S-5-X2_</w:t>
      </w:r>
      <w:r>
        <w:rPr>
          <w:rFonts w:hint="eastAsia" w:ascii="宋体" w:hAnsi="宋体" w:cs="宋体"/>
          <w:sz w:val="18"/>
          <w:szCs w:val="18"/>
        </w:rPr>
        <w:t>排水系统原理图）</w:t>
      </w:r>
    </w:p>
    <w:p w14:paraId="565282FE">
      <w:pPr>
        <w:spacing w:line="240" w:lineRule="exact"/>
        <w:rPr>
          <w:b/>
          <w:bCs/>
          <w:sz w:val="18"/>
          <w:szCs w:val="18"/>
        </w:rPr>
      </w:pPr>
    </w:p>
    <w:p w14:paraId="070819E7">
      <w:pPr>
        <w:spacing w:line="240" w:lineRule="exact"/>
        <w:rPr>
          <w:b/>
          <w:bCs/>
          <w:sz w:val="18"/>
          <w:szCs w:val="18"/>
        </w:rPr>
      </w:pPr>
      <w:r>
        <w:rPr>
          <w:rFonts w:hint="eastAsia"/>
          <w:b/>
          <w:bCs/>
          <w:sz w:val="18"/>
          <w:szCs w:val="18"/>
        </w:rPr>
        <w:t>暖通专业</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55DB04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4D5D05E2">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0A7B11DB">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20A771CF">
      <w:pPr>
        <w:spacing w:line="240" w:lineRule="exact"/>
        <w:rPr>
          <w:rFonts w:ascii="黑体" w:hAnsi="宋体" w:eastAsia="黑体"/>
          <w:sz w:val="18"/>
          <w:szCs w:val="18"/>
        </w:rPr>
      </w:pPr>
      <w:r>
        <w:rPr>
          <w:rFonts w:ascii="黑体" w:hAnsi="宋体" w:eastAsia="黑体" w:cs="黑体"/>
          <w:sz w:val="18"/>
          <w:szCs w:val="18"/>
        </w:rPr>
        <w:t>7.1.2</w:t>
      </w:r>
      <w:r>
        <w:rPr>
          <w:rFonts w:hint="eastAsia" w:ascii="黑体" w:hAnsi="宋体" w:eastAsia="黑体" w:cs="黑体"/>
          <w:sz w:val="18"/>
          <w:szCs w:val="18"/>
        </w:rPr>
        <w:t>应采取措施降低部分负荷、部分空间使用下的供暖、空调系统能耗。</w:t>
      </w:r>
    </w:p>
    <w:p w14:paraId="00D81FCB">
      <w:pPr>
        <w:spacing w:line="240" w:lineRule="exact"/>
        <w:rPr>
          <w:rFonts w:ascii="宋体"/>
          <w:sz w:val="18"/>
          <w:szCs w:val="18"/>
        </w:rPr>
      </w:pPr>
      <w:r>
        <w:rPr>
          <w:rFonts w:hint="eastAsia" w:ascii="宋体" w:hAnsi="宋体" w:cs="宋体"/>
          <w:sz w:val="18"/>
          <w:szCs w:val="18"/>
        </w:rPr>
        <w:t>技术措施说明：本项目为医院建筑，</w:t>
      </w:r>
      <w:r>
        <w:rPr>
          <w:rFonts w:hint="eastAsia" w:ascii="宋体" w:hAnsi="宋体"/>
          <w:sz w:val="18"/>
          <w:szCs w:val="18"/>
        </w:rPr>
        <w:t>各功能房间设置多联式空调系统，符合相关节能标准</w:t>
      </w:r>
      <w:r>
        <w:rPr>
          <w:rFonts w:hint="eastAsia" w:ascii="宋体" w:hAnsi="宋体" w:cs="宋体"/>
          <w:sz w:val="18"/>
          <w:szCs w:val="18"/>
        </w:rPr>
        <w:t>。</w:t>
      </w:r>
    </w:p>
    <w:p w14:paraId="28C4D004">
      <w:pPr>
        <w:spacing w:line="240" w:lineRule="exact"/>
        <w:rPr>
          <w:rFonts w:ascii="宋体" w:hAnsi="宋体" w:cs="宋体"/>
          <w:sz w:val="18"/>
          <w:szCs w:val="18"/>
        </w:rPr>
      </w:pPr>
      <w:r>
        <w:rPr>
          <w:rFonts w:hint="eastAsia" w:ascii="宋体" w:hAnsi="宋体" w:cs="宋体"/>
          <w:sz w:val="18"/>
          <w:szCs w:val="18"/>
        </w:rPr>
        <w:t>证明材料：√设计图纸（暖通</w:t>
      </w:r>
      <w:r>
        <w:rPr>
          <w:rFonts w:ascii="宋体" w:hAnsi="宋体" w:cs="宋体"/>
          <w:sz w:val="18"/>
          <w:szCs w:val="18"/>
        </w:rPr>
        <w:t>、</w:t>
      </w:r>
      <w:r>
        <w:rPr>
          <w:rFonts w:hint="eastAsia" w:ascii="宋体" w:hAnsi="宋体" w:cs="宋体"/>
          <w:sz w:val="18"/>
          <w:szCs w:val="18"/>
        </w:rPr>
        <w:t>NT-01_空调通风及防排烟设计说明）</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4B7BE2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687C116A">
            <w:pPr>
              <w:spacing w:line="240" w:lineRule="exact"/>
              <w:rPr>
                <w:rFonts w:ascii="宋体" w:hAnsi="宋体" w:cs="宋体"/>
                <w:b/>
                <w:sz w:val="18"/>
                <w:szCs w:val="18"/>
              </w:rPr>
            </w:pPr>
            <w:r>
              <w:rPr>
                <w:rFonts w:hint="eastAsia" w:ascii="宋体" w:hAnsi="宋体" w:cs="宋体"/>
                <w:b/>
                <w:sz w:val="18"/>
                <w:szCs w:val="18"/>
              </w:rPr>
              <w:t>－</w:t>
            </w:r>
          </w:p>
        </w:tc>
        <w:tc>
          <w:tcPr>
            <w:tcW w:w="397" w:type="dxa"/>
            <w:tcMar>
              <w:left w:w="0" w:type="dxa"/>
              <w:right w:w="0" w:type="dxa"/>
            </w:tcMar>
          </w:tcPr>
          <w:p w14:paraId="640331FD">
            <w:pPr>
              <w:spacing w:line="240" w:lineRule="exact"/>
              <w:rPr>
                <w:rFonts w:ascii="宋体" w:hAnsi="宋体" w:cs="宋体"/>
                <w:b/>
                <w:sz w:val="18"/>
                <w:szCs w:val="18"/>
              </w:rPr>
            </w:pPr>
            <w:r>
              <w:rPr>
                <w:rFonts w:hint="eastAsia" w:ascii="宋体" w:hAnsi="宋体" w:cs="宋体"/>
                <w:b/>
                <w:sz w:val="18"/>
                <w:szCs w:val="18"/>
              </w:rPr>
              <w:t>√</w:t>
            </w:r>
          </w:p>
        </w:tc>
      </w:tr>
    </w:tbl>
    <w:p w14:paraId="79BD09D3">
      <w:pPr>
        <w:spacing w:line="240" w:lineRule="exact"/>
        <w:rPr>
          <w:rFonts w:ascii="黑体" w:hAnsi="宋体" w:eastAsia="黑体" w:cs="黑体"/>
          <w:sz w:val="18"/>
          <w:szCs w:val="18"/>
        </w:rPr>
      </w:pPr>
      <w:r>
        <w:rPr>
          <w:rFonts w:hint="eastAsia" w:ascii="黑体" w:hAnsi="宋体" w:eastAsia="黑体" w:cs="黑体"/>
          <w:sz w:val="18"/>
          <w:szCs w:val="18"/>
        </w:rPr>
        <w:t>7.1.3应根据建筑空间功能设置分区温度，合理降低室内过渡区空间的温度设定标准。</w:t>
      </w:r>
    </w:p>
    <w:p w14:paraId="49382084">
      <w:pPr>
        <w:spacing w:line="240" w:lineRule="exact"/>
        <w:rPr>
          <w:rFonts w:ascii="宋体"/>
          <w:sz w:val="18"/>
          <w:szCs w:val="18"/>
        </w:rPr>
      </w:pPr>
      <w:r>
        <w:rPr>
          <w:rFonts w:hint="eastAsia" w:ascii="宋体" w:hAnsi="宋体" w:cs="宋体"/>
          <w:sz w:val="18"/>
          <w:szCs w:val="18"/>
        </w:rPr>
        <w:t>技术措施说明：本项目</w:t>
      </w:r>
      <w:r>
        <w:rPr>
          <w:rFonts w:ascii="宋体" w:hAnsi="宋体" w:cs="宋体"/>
          <w:sz w:val="18"/>
          <w:szCs w:val="18"/>
        </w:rPr>
        <w:t>为</w:t>
      </w:r>
      <w:r>
        <w:rPr>
          <w:rFonts w:hint="eastAsia" w:ascii="宋体" w:hAnsi="宋体" w:cs="宋体"/>
          <w:sz w:val="18"/>
          <w:szCs w:val="18"/>
        </w:rPr>
        <w:t>医院</w:t>
      </w:r>
      <w:r>
        <w:rPr>
          <w:rFonts w:ascii="宋体" w:hAnsi="宋体" w:cs="宋体"/>
          <w:sz w:val="18"/>
          <w:szCs w:val="18"/>
        </w:rPr>
        <w:t>建筑，</w:t>
      </w:r>
      <w:r>
        <w:rPr>
          <w:rFonts w:hint="eastAsia" w:ascii="宋体" w:hAnsi="宋体" w:cs="宋体"/>
          <w:sz w:val="18"/>
          <w:szCs w:val="18"/>
        </w:rPr>
        <w:t>走廊采用自然通风措施，未设置空调系统，本条直接达标。</w:t>
      </w:r>
    </w:p>
    <w:p w14:paraId="31DEDFFC">
      <w:pPr>
        <w:spacing w:line="240" w:lineRule="exact"/>
        <w:rPr>
          <w:b/>
          <w:bCs/>
          <w:sz w:val="18"/>
          <w:szCs w:val="18"/>
        </w:rPr>
      </w:pPr>
      <w:r>
        <w:rPr>
          <w:rFonts w:hint="eastAsia" w:ascii="宋体" w:hAnsi="宋体" w:cs="宋体"/>
          <w:sz w:val="18"/>
          <w:szCs w:val="18"/>
        </w:rPr>
        <w:t>证明材料：√设计图纸（暖通</w:t>
      </w:r>
      <w:r>
        <w:rPr>
          <w:rFonts w:ascii="宋体" w:hAnsi="宋体" w:cs="宋体"/>
          <w:sz w:val="18"/>
          <w:szCs w:val="18"/>
        </w:rPr>
        <w:t>、</w:t>
      </w:r>
      <w:r>
        <w:rPr>
          <w:rFonts w:hint="eastAsia" w:ascii="宋体" w:hAnsi="宋体" w:cs="宋体"/>
          <w:sz w:val="18"/>
          <w:szCs w:val="18"/>
        </w:rPr>
        <w:t>NT-01_空调通风及防排烟设计说明）</w:t>
      </w:r>
    </w:p>
    <w:p w14:paraId="3E457A6E">
      <w:pPr>
        <w:spacing w:line="240" w:lineRule="exact"/>
        <w:rPr>
          <w:b/>
          <w:bCs/>
          <w:sz w:val="18"/>
          <w:szCs w:val="18"/>
        </w:rPr>
      </w:pPr>
    </w:p>
    <w:p w14:paraId="0C240C01">
      <w:pPr>
        <w:spacing w:line="240" w:lineRule="exact"/>
        <w:rPr>
          <w:b/>
          <w:bCs/>
          <w:sz w:val="18"/>
          <w:szCs w:val="18"/>
        </w:rPr>
      </w:pPr>
      <w:r>
        <w:rPr>
          <w:rFonts w:hint="eastAsia"/>
          <w:b/>
          <w:bCs/>
          <w:sz w:val="18"/>
          <w:szCs w:val="18"/>
        </w:rPr>
        <w:t>电气专业</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01EAA7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46605DAB">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350E186F">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425A123F">
      <w:pPr>
        <w:spacing w:line="240" w:lineRule="exact"/>
        <w:rPr>
          <w:rFonts w:ascii="黑体" w:hAnsi="宋体" w:eastAsia="黑体"/>
          <w:sz w:val="18"/>
          <w:szCs w:val="18"/>
        </w:rPr>
      </w:pPr>
      <w:r>
        <w:rPr>
          <w:rFonts w:ascii="黑体" w:hAnsi="宋体" w:eastAsia="黑体" w:cs="黑体"/>
          <w:sz w:val="18"/>
          <w:szCs w:val="18"/>
        </w:rPr>
        <w:t>7.1.4</w:t>
      </w:r>
      <w:r>
        <w:rPr>
          <w:rFonts w:hint="eastAsia" w:ascii="黑体" w:hAnsi="宋体" w:eastAsia="黑体" w:cs="黑体"/>
          <w:sz w:val="18"/>
          <w:szCs w:val="18"/>
        </w:rPr>
        <w:t>主要功能房间的照明功率密度值不应高于现行国家标准《建筑照明设计标准》</w:t>
      </w:r>
      <w:r>
        <w:rPr>
          <w:rFonts w:ascii="黑体" w:hAnsi="宋体" w:eastAsia="黑体" w:cs="黑体"/>
          <w:sz w:val="18"/>
          <w:szCs w:val="18"/>
        </w:rPr>
        <w:t>GB 50034</w:t>
      </w:r>
      <w:r>
        <w:rPr>
          <w:rFonts w:hint="eastAsia" w:ascii="黑体" w:hAnsi="宋体" w:eastAsia="黑体" w:cs="黑体"/>
          <w:sz w:val="18"/>
          <w:szCs w:val="18"/>
        </w:rPr>
        <w:t>规定的现行值；公共区域的照明系统应采用分区、定时、感应等节能控制；采光区域的照明控制应独立于其他区域的照明控制。</w:t>
      </w:r>
    </w:p>
    <w:p w14:paraId="1634039D">
      <w:pPr>
        <w:spacing w:line="240" w:lineRule="exact"/>
        <w:ind w:firstLine="360" w:firstLineChars="200"/>
        <w:jc w:val="left"/>
        <w:rPr>
          <w:rFonts w:ascii="宋体"/>
          <w:sz w:val="18"/>
          <w:szCs w:val="18"/>
        </w:rPr>
      </w:pPr>
      <w:r>
        <w:rPr>
          <w:rFonts w:hint="eastAsia" w:ascii="宋体" w:hAnsi="宋体" w:cs="宋体"/>
          <w:sz w:val="18"/>
          <w:szCs w:val="18"/>
        </w:rPr>
        <w:t>技术措施说明：</w:t>
      </w:r>
      <w:r>
        <w:rPr>
          <w:rFonts w:hint="eastAsia" w:ascii="宋体"/>
          <w:sz w:val="18"/>
          <w:szCs w:val="18"/>
        </w:rPr>
        <w:t>本项目照明设计严格执行《建筑照明设计标准》（GB50034-2013）规定的照明功率密度目标值。</w:t>
      </w:r>
    </w:p>
    <w:p w14:paraId="3DF65F05">
      <w:pPr>
        <w:spacing w:line="240" w:lineRule="exact"/>
        <w:ind w:firstLine="360" w:firstLineChars="200"/>
        <w:rPr>
          <w:rFonts w:ascii="宋体" w:hAnsi="宋体" w:cs="宋体"/>
          <w:sz w:val="18"/>
          <w:szCs w:val="18"/>
        </w:rPr>
      </w:pPr>
      <w:r>
        <w:rPr>
          <w:rFonts w:hint="eastAsia" w:ascii="宋体" w:hAnsi="宋体" w:cs="宋体"/>
          <w:sz w:val="18"/>
          <w:szCs w:val="18"/>
        </w:rPr>
        <w:t>光源：一般场所为荧光灯或节能型LED光源；</w:t>
      </w:r>
    </w:p>
    <w:p w14:paraId="6789655A">
      <w:pPr>
        <w:spacing w:line="240" w:lineRule="exact"/>
        <w:ind w:firstLine="360" w:firstLineChars="200"/>
        <w:jc w:val="left"/>
        <w:rPr>
          <w:rFonts w:ascii="宋体" w:hAnsi="宋体" w:cs="宋体"/>
          <w:sz w:val="18"/>
          <w:szCs w:val="18"/>
        </w:rPr>
      </w:pPr>
      <w:r>
        <w:rPr>
          <w:rFonts w:hint="eastAsia" w:ascii="宋体" w:hAnsi="宋体" w:cs="宋体"/>
          <w:sz w:val="18"/>
          <w:szCs w:val="18"/>
        </w:rPr>
        <w:t>灯具：一般照明采用直接照明为主方式，所有照明灯具、光源、电气附件等均选用高效、节能型，提高照明效率。</w:t>
      </w:r>
    </w:p>
    <w:p w14:paraId="1B3F02CF">
      <w:pPr>
        <w:spacing w:line="240" w:lineRule="exact"/>
        <w:ind w:firstLine="360" w:firstLineChars="200"/>
        <w:jc w:val="left"/>
        <w:rPr>
          <w:rFonts w:ascii="宋体" w:hAnsi="宋体" w:cs="宋体"/>
          <w:sz w:val="18"/>
          <w:szCs w:val="18"/>
        </w:rPr>
      </w:pPr>
      <w:r>
        <w:rPr>
          <w:rFonts w:hint="eastAsia" w:ascii="宋体" w:hAnsi="宋体" w:cs="宋体"/>
          <w:sz w:val="18"/>
          <w:szCs w:val="18"/>
        </w:rPr>
        <w:t xml:space="preserve">控制：地下室车库采用断路器集中控制，风机房等设备房采用平板开关就地控制，楼梯间采用延时自熄节能开关控制。 </w:t>
      </w:r>
    </w:p>
    <w:tbl>
      <w:tblPr>
        <w:tblStyle w:val="12"/>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757"/>
        <w:gridCol w:w="1739"/>
        <w:gridCol w:w="1468"/>
        <w:gridCol w:w="1267"/>
        <w:gridCol w:w="1887"/>
        <w:gridCol w:w="1702"/>
      </w:tblGrid>
      <w:tr w14:paraId="409FA1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95" w:hRule="atLeast"/>
          <w:jc w:val="center"/>
        </w:trPr>
        <w:tc>
          <w:tcPr>
            <w:tcW w:w="429" w:type="pct"/>
            <w:shd w:val="clear" w:color="auto" w:fill="auto"/>
            <w:vAlign w:val="center"/>
          </w:tcPr>
          <w:p w14:paraId="7A640696">
            <w:pPr>
              <w:spacing w:line="240" w:lineRule="exact"/>
              <w:rPr>
                <w:rFonts w:ascii="Times New Roman" w:hAnsi="Times New Roman"/>
                <w:sz w:val="18"/>
                <w:szCs w:val="18"/>
              </w:rPr>
            </w:pPr>
            <w:r>
              <w:rPr>
                <w:rFonts w:hint="eastAsia" w:ascii="Times New Roman" w:hAnsi="Times New Roman"/>
                <w:sz w:val="18"/>
                <w:szCs w:val="18"/>
              </w:rPr>
              <w:t>序号</w:t>
            </w:r>
          </w:p>
        </w:tc>
        <w:tc>
          <w:tcPr>
            <w:tcW w:w="985" w:type="pct"/>
            <w:shd w:val="clear" w:color="auto" w:fill="auto"/>
            <w:vAlign w:val="center"/>
          </w:tcPr>
          <w:p w14:paraId="5158911D">
            <w:pPr>
              <w:spacing w:line="240" w:lineRule="exact"/>
              <w:rPr>
                <w:rFonts w:ascii="Times New Roman" w:hAnsi="Times New Roman"/>
                <w:sz w:val="18"/>
                <w:szCs w:val="18"/>
              </w:rPr>
            </w:pPr>
            <w:r>
              <w:rPr>
                <w:rFonts w:hint="eastAsia" w:ascii="Times New Roman" w:hAnsi="Times New Roman"/>
                <w:sz w:val="18"/>
                <w:szCs w:val="18"/>
              </w:rPr>
              <w:t>房间名称</w:t>
            </w:r>
          </w:p>
        </w:tc>
        <w:tc>
          <w:tcPr>
            <w:tcW w:w="832" w:type="pct"/>
            <w:shd w:val="clear" w:color="auto" w:fill="auto"/>
            <w:vAlign w:val="center"/>
          </w:tcPr>
          <w:p w14:paraId="46904757">
            <w:pPr>
              <w:spacing w:line="240" w:lineRule="exact"/>
              <w:rPr>
                <w:rFonts w:ascii="Times New Roman" w:hAnsi="Times New Roman"/>
                <w:sz w:val="18"/>
                <w:szCs w:val="18"/>
              </w:rPr>
            </w:pPr>
            <w:r>
              <w:rPr>
                <w:rFonts w:hint="eastAsia" w:ascii="Times New Roman" w:hAnsi="Times New Roman"/>
                <w:sz w:val="18"/>
                <w:szCs w:val="18"/>
              </w:rPr>
              <w:t>要求照度值（lx）</w:t>
            </w:r>
          </w:p>
        </w:tc>
        <w:tc>
          <w:tcPr>
            <w:tcW w:w="718" w:type="pct"/>
            <w:shd w:val="clear" w:color="auto" w:fill="auto"/>
            <w:vAlign w:val="center"/>
          </w:tcPr>
          <w:p w14:paraId="579F32C7">
            <w:pPr>
              <w:spacing w:line="240" w:lineRule="exact"/>
              <w:rPr>
                <w:rFonts w:ascii="Times New Roman" w:hAnsi="Times New Roman"/>
                <w:sz w:val="18"/>
                <w:szCs w:val="18"/>
              </w:rPr>
            </w:pPr>
            <w:r>
              <w:rPr>
                <w:rFonts w:hint="eastAsia" w:ascii="Times New Roman" w:hAnsi="Times New Roman"/>
                <w:sz w:val="18"/>
                <w:szCs w:val="18"/>
              </w:rPr>
              <w:t>计算照度值</w:t>
            </w:r>
          </w:p>
          <w:p w14:paraId="1A0A07F2">
            <w:pPr>
              <w:spacing w:line="240" w:lineRule="exact"/>
              <w:rPr>
                <w:rFonts w:ascii="Times New Roman" w:hAnsi="Times New Roman"/>
                <w:sz w:val="18"/>
                <w:szCs w:val="18"/>
              </w:rPr>
            </w:pPr>
            <w:r>
              <w:rPr>
                <w:rFonts w:hint="eastAsia" w:ascii="Times New Roman" w:hAnsi="Times New Roman"/>
                <w:sz w:val="18"/>
                <w:szCs w:val="18"/>
              </w:rPr>
              <w:t>（lx）</w:t>
            </w:r>
          </w:p>
        </w:tc>
        <w:tc>
          <w:tcPr>
            <w:tcW w:w="1069" w:type="pct"/>
            <w:shd w:val="clear" w:color="auto" w:fill="auto"/>
            <w:vAlign w:val="center"/>
          </w:tcPr>
          <w:p w14:paraId="7E1EC604">
            <w:pPr>
              <w:spacing w:line="240" w:lineRule="exact"/>
              <w:rPr>
                <w:rFonts w:ascii="Times New Roman" w:hAnsi="Times New Roman"/>
                <w:sz w:val="18"/>
                <w:szCs w:val="18"/>
              </w:rPr>
            </w:pPr>
            <w:r>
              <w:rPr>
                <w:rFonts w:hint="eastAsia" w:ascii="Times New Roman" w:hAnsi="Times New Roman"/>
                <w:sz w:val="18"/>
                <w:szCs w:val="18"/>
              </w:rPr>
              <w:t>功率密度目标值</w:t>
            </w:r>
          </w:p>
          <w:p w14:paraId="67411A80">
            <w:pPr>
              <w:spacing w:line="240" w:lineRule="exact"/>
              <w:rPr>
                <w:rFonts w:ascii="Times New Roman" w:hAnsi="Times New Roman"/>
                <w:sz w:val="18"/>
                <w:szCs w:val="18"/>
              </w:rPr>
            </w:pPr>
            <w:r>
              <w:rPr>
                <w:rFonts w:hint="eastAsia" w:ascii="Times New Roman" w:hAnsi="Times New Roman"/>
                <w:sz w:val="18"/>
                <w:szCs w:val="18"/>
              </w:rPr>
              <w:t>(w/㎡）</w:t>
            </w:r>
          </w:p>
        </w:tc>
        <w:tc>
          <w:tcPr>
            <w:tcW w:w="964" w:type="pct"/>
            <w:shd w:val="clear" w:color="auto" w:fill="auto"/>
            <w:vAlign w:val="center"/>
          </w:tcPr>
          <w:p w14:paraId="46116E1D">
            <w:pPr>
              <w:spacing w:line="240" w:lineRule="exact"/>
              <w:rPr>
                <w:rFonts w:ascii="Times New Roman" w:hAnsi="Times New Roman"/>
                <w:sz w:val="18"/>
                <w:szCs w:val="18"/>
              </w:rPr>
            </w:pPr>
            <w:r>
              <w:rPr>
                <w:rFonts w:hint="eastAsia" w:ascii="Times New Roman" w:hAnsi="Times New Roman"/>
                <w:sz w:val="18"/>
                <w:szCs w:val="18"/>
              </w:rPr>
              <w:t>功率密度计算值</w:t>
            </w:r>
          </w:p>
          <w:p w14:paraId="0DE5681A">
            <w:pPr>
              <w:spacing w:line="240" w:lineRule="exact"/>
              <w:rPr>
                <w:rFonts w:ascii="Times New Roman" w:hAnsi="Times New Roman"/>
                <w:sz w:val="18"/>
                <w:szCs w:val="18"/>
              </w:rPr>
            </w:pPr>
            <w:r>
              <w:rPr>
                <w:rFonts w:hint="eastAsia" w:ascii="Times New Roman" w:hAnsi="Times New Roman"/>
                <w:sz w:val="18"/>
                <w:szCs w:val="18"/>
              </w:rPr>
              <w:t>(w/㎡）</w:t>
            </w:r>
          </w:p>
        </w:tc>
      </w:tr>
      <w:tr w14:paraId="41F6D2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6" w:hRule="exact"/>
          <w:jc w:val="center"/>
        </w:trPr>
        <w:tc>
          <w:tcPr>
            <w:tcW w:w="429" w:type="pct"/>
            <w:shd w:val="clear" w:color="auto" w:fill="auto"/>
            <w:vAlign w:val="center"/>
          </w:tcPr>
          <w:p w14:paraId="2F70F84A">
            <w:pPr>
              <w:spacing w:line="240" w:lineRule="exact"/>
              <w:rPr>
                <w:rFonts w:ascii="Times New Roman" w:hAnsi="Times New Roman"/>
                <w:sz w:val="18"/>
                <w:szCs w:val="18"/>
              </w:rPr>
            </w:pPr>
            <w:r>
              <w:rPr>
                <w:rFonts w:hint="eastAsia" w:ascii="Times New Roman" w:hAnsi="Times New Roman"/>
                <w:sz w:val="18"/>
                <w:szCs w:val="18"/>
              </w:rPr>
              <w:t>1</w:t>
            </w:r>
          </w:p>
        </w:tc>
        <w:tc>
          <w:tcPr>
            <w:tcW w:w="985" w:type="pct"/>
            <w:shd w:val="clear" w:color="auto" w:fill="auto"/>
            <w:vAlign w:val="center"/>
          </w:tcPr>
          <w:p w14:paraId="1A852D29">
            <w:pPr>
              <w:spacing w:line="240" w:lineRule="exact"/>
              <w:rPr>
                <w:rFonts w:ascii="Times New Roman" w:hAnsi="Times New Roman"/>
                <w:sz w:val="18"/>
                <w:szCs w:val="18"/>
              </w:rPr>
            </w:pPr>
            <w:r>
              <w:rPr>
                <w:rFonts w:hint="eastAsia" w:ascii="Times New Roman" w:hAnsi="Times New Roman"/>
                <w:sz w:val="18"/>
                <w:szCs w:val="18"/>
              </w:rPr>
              <w:t>风机房</w:t>
            </w:r>
          </w:p>
        </w:tc>
        <w:tc>
          <w:tcPr>
            <w:tcW w:w="832" w:type="pct"/>
            <w:shd w:val="clear" w:color="auto" w:fill="auto"/>
            <w:vAlign w:val="center"/>
          </w:tcPr>
          <w:p w14:paraId="62F602EE">
            <w:pPr>
              <w:spacing w:line="240" w:lineRule="exact"/>
              <w:rPr>
                <w:rFonts w:ascii="Times New Roman" w:hAnsi="Times New Roman"/>
                <w:sz w:val="18"/>
                <w:szCs w:val="18"/>
              </w:rPr>
            </w:pPr>
            <w:r>
              <w:rPr>
                <w:rFonts w:hint="eastAsia" w:ascii="Times New Roman" w:hAnsi="Times New Roman"/>
                <w:sz w:val="18"/>
                <w:szCs w:val="18"/>
              </w:rPr>
              <w:t>100</w:t>
            </w:r>
          </w:p>
        </w:tc>
        <w:tc>
          <w:tcPr>
            <w:tcW w:w="718" w:type="pct"/>
            <w:shd w:val="clear" w:color="auto" w:fill="auto"/>
            <w:vAlign w:val="center"/>
          </w:tcPr>
          <w:p w14:paraId="4FEA05E7">
            <w:pPr>
              <w:spacing w:line="240" w:lineRule="exact"/>
              <w:rPr>
                <w:rFonts w:ascii="Times New Roman" w:hAnsi="Times New Roman"/>
                <w:sz w:val="18"/>
                <w:szCs w:val="18"/>
              </w:rPr>
            </w:pPr>
            <w:r>
              <w:rPr>
                <w:rFonts w:hint="eastAsia" w:ascii="Times New Roman" w:hAnsi="Times New Roman"/>
                <w:sz w:val="18"/>
                <w:szCs w:val="18"/>
              </w:rPr>
              <w:t>100</w:t>
            </w:r>
          </w:p>
        </w:tc>
        <w:tc>
          <w:tcPr>
            <w:tcW w:w="1069" w:type="pct"/>
            <w:shd w:val="clear" w:color="auto" w:fill="auto"/>
            <w:vAlign w:val="center"/>
          </w:tcPr>
          <w:p w14:paraId="20B11C1F">
            <w:pPr>
              <w:spacing w:line="240" w:lineRule="exact"/>
              <w:rPr>
                <w:rFonts w:ascii="Times New Roman" w:hAnsi="Times New Roman"/>
                <w:sz w:val="18"/>
                <w:szCs w:val="18"/>
              </w:rPr>
            </w:pPr>
            <w:r>
              <w:rPr>
                <w:rFonts w:ascii="Times New Roman" w:hAnsi="Times New Roman"/>
                <w:sz w:val="18"/>
                <w:szCs w:val="18"/>
              </w:rPr>
              <w:t>3.5</w:t>
            </w:r>
          </w:p>
        </w:tc>
        <w:tc>
          <w:tcPr>
            <w:tcW w:w="964" w:type="pct"/>
            <w:shd w:val="clear" w:color="auto" w:fill="auto"/>
            <w:vAlign w:val="center"/>
          </w:tcPr>
          <w:p w14:paraId="60EEFEF2">
            <w:pPr>
              <w:spacing w:line="240" w:lineRule="exact"/>
              <w:rPr>
                <w:rFonts w:ascii="Times New Roman" w:hAnsi="Times New Roman"/>
                <w:sz w:val="18"/>
                <w:szCs w:val="18"/>
              </w:rPr>
            </w:pPr>
            <w:r>
              <w:rPr>
                <w:rFonts w:ascii="Times New Roman" w:hAnsi="Times New Roman"/>
                <w:sz w:val="18"/>
                <w:szCs w:val="18"/>
              </w:rPr>
              <w:t>3.5</w:t>
            </w:r>
          </w:p>
        </w:tc>
      </w:tr>
      <w:tr w14:paraId="02FFEA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77" w:hRule="exact"/>
          <w:jc w:val="center"/>
        </w:trPr>
        <w:tc>
          <w:tcPr>
            <w:tcW w:w="429" w:type="pct"/>
            <w:shd w:val="clear" w:color="auto" w:fill="auto"/>
            <w:vAlign w:val="center"/>
          </w:tcPr>
          <w:p w14:paraId="6E6F91AC">
            <w:pPr>
              <w:spacing w:line="240" w:lineRule="exact"/>
              <w:rPr>
                <w:rFonts w:ascii="Times New Roman" w:hAnsi="Times New Roman"/>
                <w:sz w:val="18"/>
                <w:szCs w:val="18"/>
              </w:rPr>
            </w:pPr>
            <w:r>
              <w:rPr>
                <w:rFonts w:hint="eastAsia" w:ascii="Times New Roman" w:hAnsi="Times New Roman"/>
                <w:sz w:val="18"/>
                <w:szCs w:val="18"/>
              </w:rPr>
              <w:t>2</w:t>
            </w:r>
          </w:p>
        </w:tc>
        <w:tc>
          <w:tcPr>
            <w:tcW w:w="985" w:type="pct"/>
            <w:shd w:val="clear" w:color="auto" w:fill="auto"/>
            <w:vAlign w:val="center"/>
          </w:tcPr>
          <w:p w14:paraId="6C45DEF4">
            <w:pPr>
              <w:spacing w:line="240" w:lineRule="exact"/>
              <w:rPr>
                <w:rFonts w:ascii="Times New Roman" w:hAnsi="Times New Roman"/>
                <w:sz w:val="18"/>
                <w:szCs w:val="18"/>
              </w:rPr>
            </w:pPr>
            <w:r>
              <w:rPr>
                <w:rFonts w:hint="eastAsia" w:ascii="Times New Roman" w:hAnsi="Times New Roman"/>
                <w:sz w:val="18"/>
                <w:szCs w:val="18"/>
              </w:rPr>
              <w:t>水泵房</w:t>
            </w:r>
          </w:p>
        </w:tc>
        <w:tc>
          <w:tcPr>
            <w:tcW w:w="832" w:type="pct"/>
            <w:shd w:val="clear" w:color="auto" w:fill="auto"/>
            <w:vAlign w:val="center"/>
          </w:tcPr>
          <w:p w14:paraId="38FBFA1D">
            <w:pPr>
              <w:spacing w:line="240" w:lineRule="exact"/>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00</w:t>
            </w:r>
          </w:p>
        </w:tc>
        <w:tc>
          <w:tcPr>
            <w:tcW w:w="718" w:type="pct"/>
            <w:shd w:val="clear" w:color="auto" w:fill="auto"/>
            <w:vAlign w:val="center"/>
          </w:tcPr>
          <w:p w14:paraId="2BA30395">
            <w:pPr>
              <w:spacing w:line="240" w:lineRule="exact"/>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00</w:t>
            </w:r>
          </w:p>
        </w:tc>
        <w:tc>
          <w:tcPr>
            <w:tcW w:w="1069" w:type="pct"/>
            <w:shd w:val="clear" w:color="auto" w:fill="auto"/>
            <w:vAlign w:val="center"/>
          </w:tcPr>
          <w:p w14:paraId="457D581F">
            <w:pPr>
              <w:spacing w:line="240" w:lineRule="exact"/>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.5</w:t>
            </w:r>
          </w:p>
        </w:tc>
        <w:tc>
          <w:tcPr>
            <w:tcW w:w="964" w:type="pct"/>
            <w:shd w:val="clear" w:color="auto" w:fill="auto"/>
            <w:vAlign w:val="center"/>
          </w:tcPr>
          <w:p w14:paraId="3D9D1929">
            <w:pPr>
              <w:spacing w:line="240" w:lineRule="exact"/>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.5</w:t>
            </w:r>
          </w:p>
        </w:tc>
      </w:tr>
      <w:tr w14:paraId="1A1B0E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429" w:type="pct"/>
            <w:shd w:val="clear" w:color="auto" w:fill="auto"/>
            <w:vAlign w:val="center"/>
          </w:tcPr>
          <w:p w14:paraId="119BB010">
            <w:pPr>
              <w:spacing w:line="240" w:lineRule="exact"/>
              <w:rPr>
                <w:rFonts w:ascii="Times New Roman" w:hAnsi="Times New Roman"/>
                <w:sz w:val="18"/>
                <w:szCs w:val="18"/>
              </w:rPr>
            </w:pPr>
            <w:r>
              <w:rPr>
                <w:rFonts w:hint="eastAsia" w:ascii="Times New Roman" w:hAnsi="Times New Roman"/>
                <w:sz w:val="18"/>
                <w:szCs w:val="18"/>
              </w:rPr>
              <w:t>3</w:t>
            </w:r>
          </w:p>
        </w:tc>
        <w:tc>
          <w:tcPr>
            <w:tcW w:w="985" w:type="pct"/>
            <w:shd w:val="clear" w:color="auto" w:fill="auto"/>
            <w:vAlign w:val="center"/>
          </w:tcPr>
          <w:p w14:paraId="078470FD">
            <w:pPr>
              <w:spacing w:line="240" w:lineRule="exact"/>
              <w:rPr>
                <w:rFonts w:ascii="Times New Roman" w:hAnsi="Times New Roman"/>
                <w:sz w:val="18"/>
                <w:szCs w:val="18"/>
              </w:rPr>
            </w:pPr>
            <w:r>
              <w:rPr>
                <w:rFonts w:hint="eastAsia" w:ascii="Times New Roman" w:hAnsi="Times New Roman"/>
                <w:sz w:val="18"/>
                <w:szCs w:val="18"/>
              </w:rPr>
              <w:t>变配电房</w:t>
            </w:r>
          </w:p>
        </w:tc>
        <w:tc>
          <w:tcPr>
            <w:tcW w:w="832" w:type="pct"/>
            <w:shd w:val="clear" w:color="auto" w:fill="auto"/>
            <w:vAlign w:val="center"/>
          </w:tcPr>
          <w:p w14:paraId="12236992">
            <w:pPr>
              <w:spacing w:line="240" w:lineRule="exact"/>
              <w:rPr>
                <w:rFonts w:ascii="Times New Roman" w:hAnsi="Times New Roman"/>
                <w:sz w:val="18"/>
                <w:szCs w:val="18"/>
              </w:rPr>
            </w:pPr>
            <w:r>
              <w:rPr>
                <w:rFonts w:hint="eastAsia" w:ascii="Times New Roman" w:hAnsi="Times New Roman"/>
                <w:sz w:val="18"/>
                <w:szCs w:val="18"/>
              </w:rPr>
              <w:t>2</w:t>
            </w:r>
            <w:r>
              <w:rPr>
                <w:rFonts w:ascii="Times New Roman" w:hAnsi="Times New Roman"/>
                <w:sz w:val="18"/>
                <w:szCs w:val="18"/>
              </w:rPr>
              <w:t>00</w:t>
            </w:r>
          </w:p>
        </w:tc>
        <w:tc>
          <w:tcPr>
            <w:tcW w:w="718" w:type="pct"/>
            <w:shd w:val="clear" w:color="auto" w:fill="auto"/>
            <w:vAlign w:val="center"/>
          </w:tcPr>
          <w:p w14:paraId="52B3B9F3">
            <w:pPr>
              <w:spacing w:line="240" w:lineRule="exact"/>
              <w:rPr>
                <w:rFonts w:ascii="Times New Roman" w:hAnsi="Times New Roman"/>
                <w:sz w:val="18"/>
                <w:szCs w:val="18"/>
              </w:rPr>
            </w:pPr>
            <w:r>
              <w:rPr>
                <w:rFonts w:hint="eastAsia" w:ascii="Times New Roman" w:hAnsi="Times New Roman"/>
                <w:sz w:val="18"/>
                <w:szCs w:val="18"/>
              </w:rPr>
              <w:t>2</w:t>
            </w:r>
            <w:r>
              <w:rPr>
                <w:rFonts w:ascii="Times New Roman" w:hAnsi="Times New Roman"/>
                <w:sz w:val="18"/>
                <w:szCs w:val="18"/>
              </w:rPr>
              <w:t>00</w:t>
            </w:r>
          </w:p>
        </w:tc>
        <w:tc>
          <w:tcPr>
            <w:tcW w:w="1069" w:type="pct"/>
            <w:shd w:val="clear" w:color="auto" w:fill="auto"/>
            <w:vAlign w:val="center"/>
          </w:tcPr>
          <w:p w14:paraId="7AB8F106">
            <w:pPr>
              <w:spacing w:line="240" w:lineRule="exact"/>
              <w:rPr>
                <w:rFonts w:ascii="Times New Roman" w:hAnsi="Times New Roman"/>
                <w:sz w:val="18"/>
                <w:szCs w:val="18"/>
              </w:rPr>
            </w:pPr>
            <w:r>
              <w:rPr>
                <w:rFonts w:hint="eastAsia" w:ascii="Times New Roman" w:hAnsi="Times New Roman"/>
                <w:sz w:val="18"/>
                <w:szCs w:val="18"/>
              </w:rPr>
              <w:t>6</w:t>
            </w:r>
            <w:r>
              <w:rPr>
                <w:rFonts w:ascii="Times New Roman" w:hAnsi="Times New Roman"/>
                <w:sz w:val="18"/>
                <w:szCs w:val="18"/>
              </w:rPr>
              <w:t>.0</w:t>
            </w:r>
          </w:p>
        </w:tc>
        <w:tc>
          <w:tcPr>
            <w:tcW w:w="964" w:type="pct"/>
            <w:shd w:val="clear" w:color="auto" w:fill="auto"/>
            <w:vAlign w:val="center"/>
          </w:tcPr>
          <w:p w14:paraId="3F8BCEB9">
            <w:pPr>
              <w:spacing w:line="240" w:lineRule="exact"/>
              <w:rPr>
                <w:rFonts w:ascii="Times New Roman" w:hAnsi="Times New Roman"/>
                <w:sz w:val="18"/>
                <w:szCs w:val="18"/>
              </w:rPr>
            </w:pPr>
            <w:r>
              <w:rPr>
                <w:rFonts w:hint="eastAsia" w:ascii="Times New Roman" w:hAnsi="Times New Roman"/>
                <w:sz w:val="18"/>
                <w:szCs w:val="18"/>
              </w:rPr>
              <w:t>6</w:t>
            </w:r>
            <w:r>
              <w:rPr>
                <w:rFonts w:ascii="Times New Roman" w:hAnsi="Times New Roman"/>
                <w:sz w:val="18"/>
                <w:szCs w:val="18"/>
              </w:rPr>
              <w:t>.0</w:t>
            </w:r>
          </w:p>
        </w:tc>
      </w:tr>
      <w:tr w14:paraId="6FEA49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8" w:hRule="exact"/>
          <w:jc w:val="center"/>
        </w:trPr>
        <w:tc>
          <w:tcPr>
            <w:tcW w:w="429" w:type="pct"/>
            <w:shd w:val="clear" w:color="auto" w:fill="auto"/>
            <w:vAlign w:val="center"/>
          </w:tcPr>
          <w:p w14:paraId="4D2A7D21">
            <w:pPr>
              <w:spacing w:line="240" w:lineRule="exact"/>
              <w:rPr>
                <w:rFonts w:ascii="Times New Roman" w:hAnsi="Times New Roman"/>
                <w:sz w:val="18"/>
                <w:szCs w:val="18"/>
              </w:rPr>
            </w:pPr>
            <w:r>
              <w:rPr>
                <w:rFonts w:hint="eastAsia" w:ascii="Times New Roman" w:hAnsi="Times New Roman"/>
                <w:sz w:val="18"/>
                <w:szCs w:val="18"/>
              </w:rPr>
              <w:t>4</w:t>
            </w:r>
          </w:p>
        </w:tc>
        <w:tc>
          <w:tcPr>
            <w:tcW w:w="985" w:type="pct"/>
            <w:shd w:val="clear" w:color="auto" w:fill="auto"/>
            <w:vAlign w:val="center"/>
          </w:tcPr>
          <w:p w14:paraId="6DD5DA5E">
            <w:pPr>
              <w:spacing w:line="240" w:lineRule="exact"/>
              <w:rPr>
                <w:rFonts w:ascii="Times New Roman" w:hAnsi="Times New Roman"/>
                <w:sz w:val="18"/>
                <w:szCs w:val="18"/>
              </w:rPr>
            </w:pPr>
            <w:r>
              <w:rPr>
                <w:rFonts w:hint="eastAsia" w:ascii="Times New Roman" w:hAnsi="Times New Roman"/>
                <w:sz w:val="18"/>
                <w:szCs w:val="18"/>
              </w:rPr>
              <w:t>变压器室</w:t>
            </w:r>
          </w:p>
        </w:tc>
        <w:tc>
          <w:tcPr>
            <w:tcW w:w="832" w:type="pct"/>
            <w:shd w:val="clear" w:color="auto" w:fill="auto"/>
            <w:vAlign w:val="center"/>
          </w:tcPr>
          <w:p w14:paraId="1EEBA8FD">
            <w:pPr>
              <w:spacing w:line="240" w:lineRule="exact"/>
              <w:rPr>
                <w:rFonts w:ascii="Times New Roman" w:hAnsi="Times New Roman"/>
                <w:sz w:val="18"/>
                <w:szCs w:val="18"/>
              </w:rPr>
            </w:pPr>
            <w:r>
              <w:rPr>
                <w:rFonts w:ascii="Times New Roman" w:hAnsi="Times New Roman"/>
                <w:sz w:val="18"/>
                <w:szCs w:val="18"/>
              </w:rPr>
              <w:t>100</w:t>
            </w:r>
          </w:p>
        </w:tc>
        <w:tc>
          <w:tcPr>
            <w:tcW w:w="718" w:type="pct"/>
            <w:shd w:val="clear" w:color="auto" w:fill="auto"/>
            <w:vAlign w:val="center"/>
          </w:tcPr>
          <w:p w14:paraId="07E47F63">
            <w:pPr>
              <w:spacing w:line="240" w:lineRule="exact"/>
              <w:rPr>
                <w:rFonts w:ascii="Times New Roman" w:hAnsi="Times New Roman"/>
                <w:sz w:val="18"/>
                <w:szCs w:val="18"/>
              </w:rPr>
            </w:pPr>
            <w:r>
              <w:rPr>
                <w:rFonts w:ascii="Times New Roman" w:hAnsi="Times New Roman"/>
                <w:sz w:val="18"/>
                <w:szCs w:val="18"/>
              </w:rPr>
              <w:t>100</w:t>
            </w:r>
          </w:p>
        </w:tc>
        <w:tc>
          <w:tcPr>
            <w:tcW w:w="1069" w:type="pct"/>
            <w:shd w:val="clear" w:color="auto" w:fill="auto"/>
            <w:vAlign w:val="center"/>
          </w:tcPr>
          <w:p w14:paraId="7C6ED2BF">
            <w:pPr>
              <w:spacing w:line="240" w:lineRule="exact"/>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.5</w:t>
            </w:r>
          </w:p>
        </w:tc>
        <w:tc>
          <w:tcPr>
            <w:tcW w:w="964" w:type="pct"/>
            <w:shd w:val="clear" w:color="auto" w:fill="auto"/>
            <w:vAlign w:val="center"/>
          </w:tcPr>
          <w:p w14:paraId="3678774A">
            <w:pPr>
              <w:spacing w:line="240" w:lineRule="exact"/>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.5</w:t>
            </w:r>
          </w:p>
        </w:tc>
      </w:tr>
      <w:tr w14:paraId="215369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2" w:hRule="exact"/>
          <w:jc w:val="center"/>
        </w:trPr>
        <w:tc>
          <w:tcPr>
            <w:tcW w:w="429" w:type="pct"/>
            <w:shd w:val="clear" w:color="auto" w:fill="auto"/>
            <w:vAlign w:val="center"/>
          </w:tcPr>
          <w:p w14:paraId="3AE1FCC8">
            <w:pPr>
              <w:spacing w:line="240" w:lineRule="exact"/>
              <w:rPr>
                <w:rFonts w:ascii="Times New Roman" w:hAnsi="Times New Roman"/>
                <w:sz w:val="18"/>
                <w:szCs w:val="18"/>
              </w:rPr>
            </w:pPr>
            <w:r>
              <w:rPr>
                <w:rFonts w:hint="eastAsia" w:ascii="Times New Roman" w:hAnsi="Times New Roman"/>
                <w:sz w:val="18"/>
                <w:szCs w:val="18"/>
              </w:rPr>
              <w:t>5</w:t>
            </w:r>
          </w:p>
        </w:tc>
        <w:tc>
          <w:tcPr>
            <w:tcW w:w="985" w:type="pct"/>
            <w:shd w:val="clear" w:color="auto" w:fill="auto"/>
            <w:vAlign w:val="center"/>
          </w:tcPr>
          <w:p w14:paraId="5D8B0244">
            <w:pPr>
              <w:spacing w:line="240" w:lineRule="exact"/>
              <w:rPr>
                <w:rFonts w:ascii="Times New Roman" w:hAnsi="Times New Roman"/>
                <w:sz w:val="18"/>
                <w:szCs w:val="18"/>
              </w:rPr>
            </w:pPr>
            <w:r>
              <w:rPr>
                <w:rFonts w:hint="eastAsia" w:ascii="Times New Roman" w:hAnsi="Times New Roman"/>
                <w:sz w:val="18"/>
                <w:szCs w:val="18"/>
              </w:rPr>
              <w:t>楼梯间</w:t>
            </w:r>
          </w:p>
        </w:tc>
        <w:tc>
          <w:tcPr>
            <w:tcW w:w="832" w:type="pct"/>
            <w:shd w:val="clear" w:color="auto" w:fill="auto"/>
            <w:vAlign w:val="center"/>
          </w:tcPr>
          <w:p w14:paraId="0D39ADBB">
            <w:pPr>
              <w:spacing w:line="240" w:lineRule="exact"/>
              <w:rPr>
                <w:rFonts w:ascii="Times New Roman" w:hAnsi="Times New Roman"/>
                <w:sz w:val="18"/>
                <w:szCs w:val="18"/>
              </w:rPr>
            </w:pPr>
            <w:r>
              <w:rPr>
                <w:rFonts w:ascii="Times New Roman" w:hAnsi="Times New Roman"/>
                <w:sz w:val="18"/>
                <w:szCs w:val="18"/>
              </w:rPr>
              <w:t>100</w:t>
            </w:r>
          </w:p>
        </w:tc>
        <w:tc>
          <w:tcPr>
            <w:tcW w:w="718" w:type="pct"/>
            <w:shd w:val="clear" w:color="auto" w:fill="auto"/>
            <w:vAlign w:val="center"/>
          </w:tcPr>
          <w:p w14:paraId="51494CF6">
            <w:pPr>
              <w:spacing w:line="240" w:lineRule="exact"/>
              <w:rPr>
                <w:rFonts w:ascii="Times New Roman" w:hAnsi="Times New Roman"/>
                <w:sz w:val="18"/>
                <w:szCs w:val="18"/>
              </w:rPr>
            </w:pPr>
            <w:r>
              <w:rPr>
                <w:rFonts w:ascii="Times New Roman" w:hAnsi="Times New Roman"/>
                <w:sz w:val="18"/>
                <w:szCs w:val="18"/>
              </w:rPr>
              <w:t>100</w:t>
            </w:r>
          </w:p>
        </w:tc>
        <w:tc>
          <w:tcPr>
            <w:tcW w:w="1069" w:type="pct"/>
            <w:shd w:val="clear" w:color="auto" w:fill="auto"/>
            <w:vAlign w:val="center"/>
          </w:tcPr>
          <w:p w14:paraId="18FD16F5">
            <w:pPr>
              <w:spacing w:line="240" w:lineRule="exact"/>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.5</w:t>
            </w:r>
          </w:p>
        </w:tc>
        <w:tc>
          <w:tcPr>
            <w:tcW w:w="964" w:type="pct"/>
            <w:shd w:val="clear" w:color="auto" w:fill="auto"/>
            <w:vAlign w:val="center"/>
          </w:tcPr>
          <w:p w14:paraId="48929E3C">
            <w:pPr>
              <w:spacing w:line="240" w:lineRule="exact"/>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.5</w:t>
            </w:r>
          </w:p>
        </w:tc>
      </w:tr>
      <w:tr w14:paraId="407ED1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2" w:hRule="exact"/>
          <w:jc w:val="center"/>
        </w:trPr>
        <w:tc>
          <w:tcPr>
            <w:tcW w:w="429" w:type="pct"/>
            <w:shd w:val="clear" w:color="auto" w:fill="auto"/>
            <w:vAlign w:val="center"/>
          </w:tcPr>
          <w:p w14:paraId="3617DFDA">
            <w:pPr>
              <w:spacing w:line="240" w:lineRule="exact"/>
              <w:rPr>
                <w:rFonts w:ascii="Times New Roman" w:hAnsi="Times New Roman"/>
                <w:sz w:val="18"/>
                <w:szCs w:val="18"/>
              </w:rPr>
            </w:pPr>
            <w:r>
              <w:rPr>
                <w:rFonts w:hint="eastAsia" w:ascii="Times New Roman" w:hAnsi="Times New Roman"/>
                <w:sz w:val="18"/>
                <w:szCs w:val="18"/>
              </w:rPr>
              <w:t>6</w:t>
            </w:r>
          </w:p>
        </w:tc>
        <w:tc>
          <w:tcPr>
            <w:tcW w:w="985" w:type="pct"/>
            <w:shd w:val="clear" w:color="auto" w:fill="auto"/>
            <w:vAlign w:val="center"/>
          </w:tcPr>
          <w:p w14:paraId="7DB30D41">
            <w:pPr>
              <w:spacing w:line="240" w:lineRule="exact"/>
              <w:rPr>
                <w:rFonts w:ascii="Times New Roman" w:hAnsi="Times New Roman"/>
                <w:sz w:val="18"/>
                <w:szCs w:val="18"/>
              </w:rPr>
            </w:pPr>
            <w:r>
              <w:rPr>
                <w:rFonts w:hint="eastAsia" w:ascii="Times New Roman" w:hAnsi="Times New Roman"/>
                <w:sz w:val="18"/>
                <w:szCs w:val="18"/>
              </w:rPr>
              <w:t>车库</w:t>
            </w:r>
          </w:p>
        </w:tc>
        <w:tc>
          <w:tcPr>
            <w:tcW w:w="832" w:type="pct"/>
            <w:shd w:val="clear" w:color="auto" w:fill="auto"/>
            <w:vAlign w:val="center"/>
          </w:tcPr>
          <w:p w14:paraId="64EC38A7">
            <w:pPr>
              <w:spacing w:line="240" w:lineRule="exact"/>
              <w:rPr>
                <w:rFonts w:ascii="Times New Roman" w:hAnsi="Times New Roman"/>
                <w:sz w:val="18"/>
                <w:szCs w:val="18"/>
              </w:rPr>
            </w:pPr>
            <w:r>
              <w:rPr>
                <w:rFonts w:hint="eastAsia" w:ascii="Times New Roman" w:hAnsi="Times New Roman"/>
                <w:sz w:val="18"/>
                <w:szCs w:val="18"/>
              </w:rPr>
              <w:t>5</w:t>
            </w:r>
            <w:r>
              <w:rPr>
                <w:rFonts w:ascii="Times New Roman" w:hAnsi="Times New Roman"/>
                <w:sz w:val="18"/>
                <w:szCs w:val="18"/>
              </w:rPr>
              <w:t>0</w:t>
            </w:r>
          </w:p>
        </w:tc>
        <w:tc>
          <w:tcPr>
            <w:tcW w:w="718" w:type="pct"/>
            <w:shd w:val="clear" w:color="auto" w:fill="auto"/>
            <w:vAlign w:val="center"/>
          </w:tcPr>
          <w:p w14:paraId="5A3361EE">
            <w:pPr>
              <w:spacing w:line="240" w:lineRule="exact"/>
              <w:rPr>
                <w:rFonts w:ascii="Times New Roman" w:hAnsi="Times New Roman"/>
                <w:sz w:val="18"/>
                <w:szCs w:val="18"/>
              </w:rPr>
            </w:pPr>
            <w:r>
              <w:rPr>
                <w:rFonts w:hint="eastAsia" w:ascii="Times New Roman" w:hAnsi="Times New Roman"/>
                <w:sz w:val="18"/>
                <w:szCs w:val="18"/>
              </w:rPr>
              <w:t>5</w:t>
            </w:r>
            <w:r>
              <w:rPr>
                <w:rFonts w:ascii="Times New Roman" w:hAnsi="Times New Roman"/>
                <w:sz w:val="18"/>
                <w:szCs w:val="18"/>
              </w:rPr>
              <w:t>0</w:t>
            </w:r>
          </w:p>
        </w:tc>
        <w:tc>
          <w:tcPr>
            <w:tcW w:w="1069" w:type="pct"/>
            <w:shd w:val="clear" w:color="auto" w:fill="auto"/>
            <w:vAlign w:val="center"/>
          </w:tcPr>
          <w:p w14:paraId="48A8D01A">
            <w:pPr>
              <w:spacing w:line="240" w:lineRule="exact"/>
              <w:rPr>
                <w:rFonts w:ascii="Times New Roman" w:hAnsi="Times New Roman"/>
                <w:sz w:val="18"/>
                <w:szCs w:val="18"/>
              </w:rPr>
            </w:pPr>
            <w:r>
              <w:rPr>
                <w:rFonts w:ascii="Times New Roman" w:hAnsi="Times New Roman"/>
                <w:sz w:val="18"/>
                <w:szCs w:val="18"/>
              </w:rPr>
              <w:t>2.0</w:t>
            </w:r>
          </w:p>
        </w:tc>
        <w:tc>
          <w:tcPr>
            <w:tcW w:w="964" w:type="pct"/>
            <w:shd w:val="clear" w:color="auto" w:fill="auto"/>
            <w:vAlign w:val="center"/>
          </w:tcPr>
          <w:p w14:paraId="52C31816">
            <w:pPr>
              <w:spacing w:line="240" w:lineRule="exact"/>
              <w:rPr>
                <w:rFonts w:ascii="Times New Roman" w:hAnsi="Times New Roman"/>
                <w:sz w:val="18"/>
                <w:szCs w:val="18"/>
              </w:rPr>
            </w:pPr>
            <w:r>
              <w:rPr>
                <w:rFonts w:ascii="Times New Roman" w:hAnsi="Times New Roman"/>
                <w:sz w:val="18"/>
                <w:szCs w:val="18"/>
              </w:rPr>
              <w:t>2.0</w:t>
            </w:r>
          </w:p>
        </w:tc>
      </w:tr>
      <w:tr w14:paraId="4953E6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2" w:hRule="exact"/>
          <w:jc w:val="center"/>
        </w:trPr>
        <w:tc>
          <w:tcPr>
            <w:tcW w:w="429" w:type="pct"/>
            <w:shd w:val="clear" w:color="auto" w:fill="auto"/>
            <w:vAlign w:val="center"/>
          </w:tcPr>
          <w:p w14:paraId="246CFAF5">
            <w:pPr>
              <w:spacing w:line="240" w:lineRule="exact"/>
              <w:rPr>
                <w:rFonts w:ascii="Times New Roman" w:hAnsi="Times New Roman"/>
                <w:sz w:val="18"/>
                <w:szCs w:val="18"/>
              </w:rPr>
            </w:pPr>
            <w:r>
              <w:rPr>
                <w:rFonts w:hint="eastAsia" w:ascii="Times New Roman" w:hAnsi="Times New Roman"/>
                <w:sz w:val="18"/>
                <w:szCs w:val="18"/>
              </w:rPr>
              <w:t>7</w:t>
            </w:r>
          </w:p>
        </w:tc>
        <w:tc>
          <w:tcPr>
            <w:tcW w:w="985" w:type="pct"/>
            <w:shd w:val="clear" w:color="auto" w:fill="auto"/>
            <w:vAlign w:val="center"/>
          </w:tcPr>
          <w:p w14:paraId="7A3BE022">
            <w:pPr>
              <w:spacing w:line="240" w:lineRule="exact"/>
              <w:rPr>
                <w:rFonts w:ascii="Times New Roman" w:hAnsi="Times New Roman"/>
                <w:sz w:val="18"/>
                <w:szCs w:val="18"/>
              </w:rPr>
            </w:pPr>
            <w:r>
              <w:rPr>
                <w:rFonts w:hint="eastAsia" w:ascii="Times New Roman" w:hAnsi="Times New Roman"/>
                <w:sz w:val="18"/>
                <w:szCs w:val="18"/>
              </w:rPr>
              <w:t>走道</w:t>
            </w:r>
          </w:p>
        </w:tc>
        <w:tc>
          <w:tcPr>
            <w:tcW w:w="832" w:type="pct"/>
            <w:shd w:val="clear" w:color="auto" w:fill="auto"/>
            <w:vAlign w:val="center"/>
          </w:tcPr>
          <w:p w14:paraId="78068911">
            <w:pPr>
              <w:spacing w:line="240" w:lineRule="exact"/>
              <w:rPr>
                <w:rFonts w:ascii="Times New Roman" w:hAnsi="Times New Roman"/>
                <w:sz w:val="18"/>
                <w:szCs w:val="18"/>
              </w:rPr>
            </w:pPr>
            <w:r>
              <w:rPr>
                <w:rFonts w:ascii="Times New Roman" w:hAnsi="Times New Roman"/>
                <w:sz w:val="18"/>
                <w:szCs w:val="18"/>
              </w:rPr>
              <w:t>100</w:t>
            </w:r>
          </w:p>
        </w:tc>
        <w:tc>
          <w:tcPr>
            <w:tcW w:w="718" w:type="pct"/>
            <w:shd w:val="clear" w:color="auto" w:fill="auto"/>
            <w:vAlign w:val="center"/>
          </w:tcPr>
          <w:p w14:paraId="584BA4E2">
            <w:pPr>
              <w:spacing w:line="240" w:lineRule="exact"/>
              <w:rPr>
                <w:rFonts w:ascii="Times New Roman" w:hAnsi="Times New Roman"/>
                <w:sz w:val="18"/>
                <w:szCs w:val="18"/>
              </w:rPr>
            </w:pPr>
            <w:r>
              <w:rPr>
                <w:rFonts w:ascii="Times New Roman" w:hAnsi="Times New Roman"/>
                <w:sz w:val="18"/>
                <w:szCs w:val="18"/>
              </w:rPr>
              <w:t>100</w:t>
            </w:r>
          </w:p>
        </w:tc>
        <w:tc>
          <w:tcPr>
            <w:tcW w:w="1069" w:type="pct"/>
            <w:shd w:val="clear" w:color="auto" w:fill="auto"/>
            <w:vAlign w:val="center"/>
          </w:tcPr>
          <w:p w14:paraId="6FE43416">
            <w:pPr>
              <w:spacing w:line="240" w:lineRule="exact"/>
              <w:rPr>
                <w:rFonts w:ascii="Times New Roman" w:hAnsi="Times New Roman"/>
                <w:sz w:val="18"/>
                <w:szCs w:val="18"/>
              </w:rPr>
            </w:pPr>
            <w:r>
              <w:rPr>
                <w:rFonts w:ascii="Times New Roman" w:hAnsi="Times New Roman"/>
                <w:sz w:val="18"/>
                <w:szCs w:val="18"/>
              </w:rPr>
              <w:t>3.5</w:t>
            </w:r>
          </w:p>
        </w:tc>
        <w:tc>
          <w:tcPr>
            <w:tcW w:w="964" w:type="pct"/>
            <w:shd w:val="clear" w:color="auto" w:fill="auto"/>
            <w:vAlign w:val="center"/>
          </w:tcPr>
          <w:p w14:paraId="4053AE2E">
            <w:pPr>
              <w:spacing w:line="240" w:lineRule="exact"/>
              <w:rPr>
                <w:rFonts w:ascii="Times New Roman" w:hAnsi="Times New Roman"/>
                <w:sz w:val="18"/>
                <w:szCs w:val="18"/>
              </w:rPr>
            </w:pPr>
            <w:r>
              <w:rPr>
                <w:rFonts w:ascii="Times New Roman" w:hAnsi="Times New Roman"/>
                <w:sz w:val="18"/>
                <w:szCs w:val="18"/>
              </w:rPr>
              <w:t>3.5</w:t>
            </w:r>
          </w:p>
        </w:tc>
      </w:tr>
      <w:tr w14:paraId="4D4032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2" w:hRule="exact"/>
          <w:jc w:val="center"/>
        </w:trPr>
        <w:tc>
          <w:tcPr>
            <w:tcW w:w="429" w:type="pct"/>
            <w:shd w:val="clear" w:color="auto" w:fill="auto"/>
            <w:vAlign w:val="center"/>
          </w:tcPr>
          <w:p w14:paraId="641F1FAA">
            <w:pPr>
              <w:spacing w:line="240" w:lineRule="exact"/>
              <w:rPr>
                <w:rFonts w:ascii="Times New Roman" w:hAnsi="Times New Roman"/>
                <w:sz w:val="18"/>
                <w:szCs w:val="18"/>
              </w:rPr>
            </w:pPr>
            <w:r>
              <w:rPr>
                <w:rFonts w:hint="eastAsia" w:ascii="Times New Roman" w:hAnsi="Times New Roman"/>
                <w:sz w:val="18"/>
                <w:szCs w:val="18"/>
              </w:rPr>
              <w:t>8</w:t>
            </w:r>
          </w:p>
        </w:tc>
        <w:tc>
          <w:tcPr>
            <w:tcW w:w="985" w:type="pct"/>
            <w:shd w:val="clear" w:color="auto" w:fill="auto"/>
            <w:vAlign w:val="center"/>
          </w:tcPr>
          <w:p w14:paraId="78D89458">
            <w:pPr>
              <w:spacing w:line="240" w:lineRule="exact"/>
              <w:rPr>
                <w:rFonts w:ascii="Times New Roman" w:hAnsi="Times New Roman"/>
                <w:sz w:val="18"/>
                <w:szCs w:val="18"/>
              </w:rPr>
            </w:pPr>
            <w:r>
              <w:rPr>
                <w:rFonts w:hint="eastAsia" w:ascii="Times New Roman" w:hAnsi="Times New Roman"/>
                <w:sz w:val="18"/>
                <w:szCs w:val="18"/>
              </w:rPr>
              <w:t>电梯前厅</w:t>
            </w:r>
          </w:p>
        </w:tc>
        <w:tc>
          <w:tcPr>
            <w:tcW w:w="832" w:type="pct"/>
            <w:shd w:val="clear" w:color="auto" w:fill="auto"/>
            <w:vAlign w:val="center"/>
          </w:tcPr>
          <w:p w14:paraId="3BD61F0F">
            <w:pPr>
              <w:spacing w:line="240" w:lineRule="exact"/>
              <w:rPr>
                <w:rFonts w:ascii="Times New Roman" w:hAnsi="Times New Roman"/>
                <w:sz w:val="18"/>
                <w:szCs w:val="18"/>
              </w:rPr>
            </w:pPr>
            <w:r>
              <w:rPr>
                <w:rFonts w:ascii="Times New Roman" w:hAnsi="Times New Roman"/>
                <w:sz w:val="18"/>
                <w:szCs w:val="18"/>
              </w:rPr>
              <w:t>100</w:t>
            </w:r>
          </w:p>
        </w:tc>
        <w:tc>
          <w:tcPr>
            <w:tcW w:w="718" w:type="pct"/>
            <w:shd w:val="clear" w:color="auto" w:fill="auto"/>
            <w:vAlign w:val="center"/>
          </w:tcPr>
          <w:p w14:paraId="7C9AB89C">
            <w:pPr>
              <w:spacing w:line="240" w:lineRule="exact"/>
              <w:rPr>
                <w:rFonts w:ascii="Times New Roman" w:hAnsi="Times New Roman"/>
                <w:sz w:val="18"/>
                <w:szCs w:val="18"/>
              </w:rPr>
            </w:pPr>
            <w:r>
              <w:rPr>
                <w:rFonts w:ascii="Times New Roman" w:hAnsi="Times New Roman"/>
                <w:sz w:val="18"/>
                <w:szCs w:val="18"/>
              </w:rPr>
              <w:t>100</w:t>
            </w:r>
          </w:p>
        </w:tc>
        <w:tc>
          <w:tcPr>
            <w:tcW w:w="1069" w:type="pct"/>
            <w:shd w:val="clear" w:color="auto" w:fill="auto"/>
            <w:vAlign w:val="center"/>
          </w:tcPr>
          <w:p w14:paraId="64037859">
            <w:pPr>
              <w:spacing w:line="240" w:lineRule="exact"/>
              <w:rPr>
                <w:rFonts w:ascii="Times New Roman" w:hAnsi="Times New Roman"/>
                <w:sz w:val="18"/>
                <w:szCs w:val="18"/>
              </w:rPr>
            </w:pPr>
            <w:r>
              <w:rPr>
                <w:rFonts w:ascii="Times New Roman" w:hAnsi="Times New Roman"/>
                <w:sz w:val="18"/>
                <w:szCs w:val="18"/>
              </w:rPr>
              <w:t>3.5</w:t>
            </w:r>
          </w:p>
        </w:tc>
        <w:tc>
          <w:tcPr>
            <w:tcW w:w="964" w:type="pct"/>
            <w:shd w:val="clear" w:color="auto" w:fill="auto"/>
            <w:vAlign w:val="center"/>
          </w:tcPr>
          <w:p w14:paraId="4226B41C">
            <w:pPr>
              <w:spacing w:line="240" w:lineRule="exact"/>
              <w:rPr>
                <w:rFonts w:ascii="Times New Roman" w:hAnsi="Times New Roman"/>
                <w:sz w:val="18"/>
                <w:szCs w:val="18"/>
              </w:rPr>
            </w:pPr>
            <w:r>
              <w:rPr>
                <w:rFonts w:ascii="Times New Roman" w:hAnsi="Times New Roman"/>
                <w:sz w:val="18"/>
                <w:szCs w:val="18"/>
              </w:rPr>
              <w:t>3.5</w:t>
            </w:r>
          </w:p>
        </w:tc>
      </w:tr>
      <w:tr w14:paraId="29823A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2" w:hRule="exact"/>
          <w:jc w:val="center"/>
        </w:trPr>
        <w:tc>
          <w:tcPr>
            <w:tcW w:w="429" w:type="pct"/>
            <w:shd w:val="clear" w:color="auto" w:fill="auto"/>
            <w:vAlign w:val="center"/>
          </w:tcPr>
          <w:p w14:paraId="7E14665B">
            <w:pPr>
              <w:spacing w:line="240" w:lineRule="exact"/>
              <w:rPr>
                <w:rFonts w:ascii="Times New Roman" w:hAnsi="Times New Roman"/>
                <w:sz w:val="18"/>
                <w:szCs w:val="18"/>
              </w:rPr>
            </w:pPr>
            <w:r>
              <w:rPr>
                <w:rFonts w:hint="eastAsia" w:ascii="Times New Roman" w:hAnsi="Times New Roman"/>
                <w:sz w:val="18"/>
                <w:szCs w:val="18"/>
              </w:rPr>
              <w:t>9</w:t>
            </w:r>
          </w:p>
        </w:tc>
        <w:tc>
          <w:tcPr>
            <w:tcW w:w="985" w:type="pct"/>
            <w:shd w:val="clear" w:color="auto" w:fill="auto"/>
            <w:vAlign w:val="center"/>
          </w:tcPr>
          <w:p w14:paraId="78DAA742">
            <w:pPr>
              <w:spacing w:line="240" w:lineRule="exact"/>
              <w:rPr>
                <w:rFonts w:ascii="Times New Roman" w:hAnsi="Times New Roman"/>
                <w:sz w:val="18"/>
                <w:szCs w:val="18"/>
              </w:rPr>
            </w:pPr>
            <w:r>
              <w:rPr>
                <w:rFonts w:hint="eastAsia" w:ascii="Times New Roman" w:hAnsi="Times New Roman"/>
                <w:sz w:val="18"/>
                <w:szCs w:val="18"/>
              </w:rPr>
              <w:t>发电机房</w:t>
            </w:r>
          </w:p>
        </w:tc>
        <w:tc>
          <w:tcPr>
            <w:tcW w:w="832" w:type="pct"/>
            <w:shd w:val="clear" w:color="auto" w:fill="auto"/>
            <w:vAlign w:val="center"/>
          </w:tcPr>
          <w:p w14:paraId="67B44398">
            <w:pPr>
              <w:spacing w:line="240" w:lineRule="exact"/>
              <w:rPr>
                <w:rFonts w:ascii="Times New Roman" w:hAnsi="Times New Roman"/>
                <w:sz w:val="18"/>
                <w:szCs w:val="18"/>
              </w:rPr>
            </w:pPr>
            <w:r>
              <w:rPr>
                <w:rFonts w:hint="eastAsia" w:ascii="Times New Roman" w:hAnsi="Times New Roman"/>
                <w:sz w:val="18"/>
                <w:szCs w:val="18"/>
              </w:rPr>
              <w:t>2</w:t>
            </w:r>
            <w:r>
              <w:rPr>
                <w:rFonts w:ascii="Times New Roman" w:hAnsi="Times New Roman"/>
                <w:sz w:val="18"/>
                <w:szCs w:val="18"/>
              </w:rPr>
              <w:t>00</w:t>
            </w:r>
          </w:p>
        </w:tc>
        <w:tc>
          <w:tcPr>
            <w:tcW w:w="718" w:type="pct"/>
            <w:shd w:val="clear" w:color="auto" w:fill="auto"/>
            <w:vAlign w:val="center"/>
          </w:tcPr>
          <w:p w14:paraId="7C8DB19E">
            <w:pPr>
              <w:spacing w:line="240" w:lineRule="exact"/>
              <w:rPr>
                <w:rFonts w:ascii="Times New Roman" w:hAnsi="Times New Roman"/>
                <w:sz w:val="18"/>
                <w:szCs w:val="18"/>
              </w:rPr>
            </w:pPr>
            <w:r>
              <w:rPr>
                <w:rFonts w:hint="eastAsia" w:ascii="Times New Roman" w:hAnsi="Times New Roman"/>
                <w:sz w:val="18"/>
                <w:szCs w:val="18"/>
              </w:rPr>
              <w:t>2</w:t>
            </w:r>
            <w:r>
              <w:rPr>
                <w:rFonts w:ascii="Times New Roman" w:hAnsi="Times New Roman"/>
                <w:sz w:val="18"/>
                <w:szCs w:val="18"/>
              </w:rPr>
              <w:t>00</w:t>
            </w:r>
          </w:p>
        </w:tc>
        <w:tc>
          <w:tcPr>
            <w:tcW w:w="1069" w:type="pct"/>
            <w:shd w:val="clear" w:color="auto" w:fill="auto"/>
            <w:vAlign w:val="center"/>
          </w:tcPr>
          <w:p w14:paraId="604E28BB">
            <w:pPr>
              <w:spacing w:line="240" w:lineRule="exact"/>
              <w:rPr>
                <w:rFonts w:ascii="Times New Roman" w:hAnsi="Times New Roman"/>
                <w:sz w:val="18"/>
                <w:szCs w:val="18"/>
              </w:rPr>
            </w:pPr>
            <w:r>
              <w:rPr>
                <w:rFonts w:ascii="Times New Roman" w:hAnsi="Times New Roman"/>
                <w:sz w:val="18"/>
                <w:szCs w:val="18"/>
              </w:rPr>
              <w:t>6.0</w:t>
            </w:r>
          </w:p>
        </w:tc>
        <w:tc>
          <w:tcPr>
            <w:tcW w:w="964" w:type="pct"/>
            <w:shd w:val="clear" w:color="auto" w:fill="auto"/>
            <w:vAlign w:val="center"/>
          </w:tcPr>
          <w:p w14:paraId="38119A22">
            <w:pPr>
              <w:spacing w:line="240" w:lineRule="exact"/>
              <w:rPr>
                <w:rFonts w:ascii="Times New Roman" w:hAnsi="Times New Roman"/>
                <w:sz w:val="18"/>
                <w:szCs w:val="18"/>
              </w:rPr>
            </w:pPr>
            <w:r>
              <w:rPr>
                <w:rFonts w:ascii="Times New Roman" w:hAnsi="Times New Roman"/>
                <w:sz w:val="18"/>
                <w:szCs w:val="18"/>
              </w:rPr>
              <w:t>6.0</w:t>
            </w:r>
          </w:p>
        </w:tc>
      </w:tr>
      <w:tr w14:paraId="2A0B03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2" w:hRule="exact"/>
          <w:jc w:val="center"/>
        </w:trPr>
        <w:tc>
          <w:tcPr>
            <w:tcW w:w="429" w:type="pct"/>
            <w:shd w:val="clear" w:color="auto" w:fill="auto"/>
            <w:vAlign w:val="center"/>
          </w:tcPr>
          <w:p w14:paraId="4B6DEFD5">
            <w:pPr>
              <w:spacing w:line="240" w:lineRule="exact"/>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0</w:t>
            </w:r>
          </w:p>
        </w:tc>
        <w:tc>
          <w:tcPr>
            <w:tcW w:w="985" w:type="pct"/>
            <w:shd w:val="clear" w:color="auto" w:fill="auto"/>
            <w:vAlign w:val="center"/>
          </w:tcPr>
          <w:p w14:paraId="0FB3B37C">
            <w:pPr>
              <w:spacing w:line="240" w:lineRule="exact"/>
              <w:rPr>
                <w:rFonts w:ascii="Times New Roman" w:hAnsi="Times New Roman"/>
                <w:sz w:val="18"/>
                <w:szCs w:val="18"/>
              </w:rPr>
            </w:pPr>
            <w:r>
              <w:rPr>
                <w:rFonts w:hint="eastAsia" w:ascii="Times New Roman" w:hAnsi="Times New Roman"/>
                <w:sz w:val="18"/>
                <w:szCs w:val="18"/>
              </w:rPr>
              <w:t>消防控制室</w:t>
            </w:r>
          </w:p>
        </w:tc>
        <w:tc>
          <w:tcPr>
            <w:tcW w:w="832" w:type="pct"/>
            <w:shd w:val="clear" w:color="auto" w:fill="auto"/>
            <w:vAlign w:val="center"/>
          </w:tcPr>
          <w:p w14:paraId="5345034D">
            <w:pPr>
              <w:spacing w:line="240" w:lineRule="exact"/>
              <w:rPr>
                <w:rFonts w:ascii="Times New Roman" w:hAnsi="Times New Roman"/>
                <w:sz w:val="18"/>
                <w:szCs w:val="18"/>
              </w:rPr>
            </w:pPr>
            <w:r>
              <w:rPr>
                <w:rFonts w:hint="eastAsia" w:ascii="Times New Roman" w:hAnsi="Times New Roman"/>
                <w:sz w:val="18"/>
                <w:szCs w:val="18"/>
              </w:rPr>
              <w:t>5</w:t>
            </w:r>
            <w:r>
              <w:rPr>
                <w:rFonts w:ascii="Times New Roman" w:hAnsi="Times New Roman"/>
                <w:sz w:val="18"/>
                <w:szCs w:val="18"/>
              </w:rPr>
              <w:t>00</w:t>
            </w:r>
          </w:p>
        </w:tc>
        <w:tc>
          <w:tcPr>
            <w:tcW w:w="718" w:type="pct"/>
            <w:shd w:val="clear" w:color="auto" w:fill="auto"/>
            <w:vAlign w:val="center"/>
          </w:tcPr>
          <w:p w14:paraId="169FA4EF">
            <w:pPr>
              <w:spacing w:line="240" w:lineRule="exact"/>
              <w:rPr>
                <w:rFonts w:ascii="Times New Roman" w:hAnsi="Times New Roman"/>
                <w:sz w:val="18"/>
                <w:szCs w:val="18"/>
              </w:rPr>
            </w:pPr>
            <w:r>
              <w:rPr>
                <w:rFonts w:hint="eastAsia" w:ascii="Times New Roman" w:hAnsi="Times New Roman"/>
                <w:sz w:val="18"/>
                <w:szCs w:val="18"/>
              </w:rPr>
              <w:t>5</w:t>
            </w:r>
            <w:r>
              <w:rPr>
                <w:rFonts w:ascii="Times New Roman" w:hAnsi="Times New Roman"/>
                <w:sz w:val="18"/>
                <w:szCs w:val="18"/>
              </w:rPr>
              <w:t>00</w:t>
            </w:r>
          </w:p>
        </w:tc>
        <w:tc>
          <w:tcPr>
            <w:tcW w:w="1069" w:type="pct"/>
            <w:shd w:val="clear" w:color="auto" w:fill="auto"/>
            <w:vAlign w:val="center"/>
          </w:tcPr>
          <w:p w14:paraId="63756428">
            <w:pPr>
              <w:spacing w:line="240" w:lineRule="exact"/>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3.5</w:t>
            </w:r>
          </w:p>
        </w:tc>
        <w:tc>
          <w:tcPr>
            <w:tcW w:w="964" w:type="pct"/>
            <w:shd w:val="clear" w:color="auto" w:fill="auto"/>
            <w:vAlign w:val="center"/>
          </w:tcPr>
          <w:p w14:paraId="497A32A3">
            <w:pPr>
              <w:spacing w:line="240" w:lineRule="exact"/>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3.5</w:t>
            </w:r>
          </w:p>
        </w:tc>
      </w:tr>
      <w:tr w14:paraId="5A500E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2" w:hRule="exact"/>
          <w:jc w:val="center"/>
        </w:trPr>
        <w:tc>
          <w:tcPr>
            <w:tcW w:w="429" w:type="pct"/>
            <w:shd w:val="clear" w:color="auto" w:fill="auto"/>
            <w:vAlign w:val="center"/>
          </w:tcPr>
          <w:p w14:paraId="3D045AFA">
            <w:pPr>
              <w:spacing w:line="240" w:lineRule="exact"/>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1</w:t>
            </w:r>
          </w:p>
        </w:tc>
        <w:tc>
          <w:tcPr>
            <w:tcW w:w="985" w:type="pct"/>
            <w:shd w:val="clear" w:color="auto" w:fill="auto"/>
            <w:vAlign w:val="center"/>
          </w:tcPr>
          <w:p w14:paraId="74EA8C7E">
            <w:pPr>
              <w:spacing w:line="240" w:lineRule="exact"/>
              <w:rPr>
                <w:rFonts w:ascii="Times New Roman" w:hAnsi="Times New Roman"/>
                <w:sz w:val="18"/>
                <w:szCs w:val="18"/>
              </w:rPr>
            </w:pPr>
            <w:r>
              <w:rPr>
                <w:rFonts w:hint="eastAsia" w:ascii="Times New Roman" w:hAnsi="Times New Roman"/>
                <w:sz w:val="18"/>
                <w:szCs w:val="18"/>
              </w:rPr>
              <w:t>网络机房</w:t>
            </w:r>
          </w:p>
        </w:tc>
        <w:tc>
          <w:tcPr>
            <w:tcW w:w="832" w:type="pct"/>
            <w:shd w:val="clear" w:color="auto" w:fill="auto"/>
            <w:vAlign w:val="center"/>
          </w:tcPr>
          <w:p w14:paraId="50CA31DD">
            <w:pPr>
              <w:spacing w:line="240" w:lineRule="exact"/>
              <w:rPr>
                <w:rFonts w:ascii="Times New Roman" w:hAnsi="Times New Roman"/>
                <w:sz w:val="18"/>
                <w:szCs w:val="18"/>
              </w:rPr>
            </w:pPr>
            <w:r>
              <w:rPr>
                <w:rFonts w:hint="eastAsia" w:ascii="Times New Roman" w:hAnsi="Times New Roman"/>
                <w:sz w:val="18"/>
                <w:szCs w:val="18"/>
              </w:rPr>
              <w:t>5</w:t>
            </w:r>
            <w:r>
              <w:rPr>
                <w:rFonts w:ascii="Times New Roman" w:hAnsi="Times New Roman"/>
                <w:sz w:val="18"/>
                <w:szCs w:val="18"/>
              </w:rPr>
              <w:t>00</w:t>
            </w:r>
          </w:p>
        </w:tc>
        <w:tc>
          <w:tcPr>
            <w:tcW w:w="718" w:type="pct"/>
            <w:shd w:val="clear" w:color="auto" w:fill="auto"/>
            <w:vAlign w:val="center"/>
          </w:tcPr>
          <w:p w14:paraId="46C63D89">
            <w:pPr>
              <w:spacing w:line="240" w:lineRule="exact"/>
              <w:rPr>
                <w:rFonts w:ascii="Times New Roman" w:hAnsi="Times New Roman"/>
                <w:sz w:val="18"/>
                <w:szCs w:val="18"/>
              </w:rPr>
            </w:pPr>
            <w:r>
              <w:rPr>
                <w:rFonts w:hint="eastAsia" w:ascii="Times New Roman" w:hAnsi="Times New Roman"/>
                <w:sz w:val="18"/>
                <w:szCs w:val="18"/>
              </w:rPr>
              <w:t>5</w:t>
            </w:r>
            <w:r>
              <w:rPr>
                <w:rFonts w:ascii="Times New Roman" w:hAnsi="Times New Roman"/>
                <w:sz w:val="18"/>
                <w:szCs w:val="18"/>
              </w:rPr>
              <w:t>00</w:t>
            </w:r>
          </w:p>
        </w:tc>
        <w:tc>
          <w:tcPr>
            <w:tcW w:w="1069" w:type="pct"/>
            <w:shd w:val="clear" w:color="auto" w:fill="auto"/>
            <w:vAlign w:val="center"/>
          </w:tcPr>
          <w:p w14:paraId="2E50D3C2">
            <w:pPr>
              <w:spacing w:line="240" w:lineRule="exact"/>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3.5</w:t>
            </w:r>
          </w:p>
        </w:tc>
        <w:tc>
          <w:tcPr>
            <w:tcW w:w="964" w:type="pct"/>
            <w:shd w:val="clear" w:color="auto" w:fill="auto"/>
            <w:vAlign w:val="center"/>
          </w:tcPr>
          <w:p w14:paraId="769A2BCE">
            <w:pPr>
              <w:spacing w:line="240" w:lineRule="exact"/>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3.5</w:t>
            </w:r>
          </w:p>
        </w:tc>
      </w:tr>
    </w:tbl>
    <w:p w14:paraId="47CB0F46">
      <w:pPr>
        <w:spacing w:line="240" w:lineRule="exact"/>
        <w:rPr>
          <w:rFonts w:ascii="黑体" w:hAnsi="宋体" w:eastAsia="黑体"/>
          <w:sz w:val="18"/>
          <w:szCs w:val="18"/>
        </w:rPr>
      </w:pPr>
      <w:r>
        <w:rPr>
          <w:rFonts w:hint="eastAsia" w:ascii="宋体" w:hAnsi="宋体" w:cs="宋体"/>
          <w:sz w:val="18"/>
          <w:szCs w:val="18"/>
        </w:rPr>
        <w:t>证明材料：√照明功率密度计算书；</w:t>
      </w:r>
      <w:r>
        <w:rPr>
          <w:rFonts w:ascii="宋体" w:hAnsi="宋体" w:cs="宋体"/>
          <w:sz w:val="18"/>
          <w:szCs w:val="18"/>
        </w:rPr>
        <w:t xml:space="preserve"> </w:t>
      </w:r>
      <w:r>
        <w:rPr>
          <w:rFonts w:hint="eastAsia" w:ascii="宋体" w:hAnsi="宋体" w:cs="宋体"/>
          <w:sz w:val="18"/>
          <w:szCs w:val="18"/>
        </w:rPr>
        <w:t>√设计图纸（电气</w:t>
      </w:r>
      <w:r>
        <w:rPr>
          <w:rFonts w:ascii="宋体" w:hAnsi="宋体" w:cs="宋体"/>
          <w:sz w:val="18"/>
          <w:szCs w:val="18"/>
        </w:rPr>
        <w:t>、D-SM-01~06_电气施工图设计说明</w:t>
      </w:r>
      <w:r>
        <w:rPr>
          <w:rFonts w:hint="eastAsia" w:ascii="宋体" w:hAnsi="宋体" w:cs="宋体"/>
          <w:sz w:val="18"/>
          <w:szCs w:val="18"/>
        </w:rPr>
        <w:t>）√二次设计达标承诺函</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08DA10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63717F44">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03C40F76">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531DE784">
      <w:pPr>
        <w:spacing w:line="240" w:lineRule="exact"/>
        <w:rPr>
          <w:rFonts w:ascii="黑体" w:hAnsi="宋体" w:eastAsia="黑体"/>
          <w:sz w:val="18"/>
          <w:szCs w:val="18"/>
        </w:rPr>
      </w:pPr>
      <w:r>
        <w:rPr>
          <w:rFonts w:ascii="黑体" w:hAnsi="宋体" w:eastAsia="黑体" w:cs="黑体"/>
          <w:sz w:val="18"/>
          <w:szCs w:val="18"/>
        </w:rPr>
        <w:t>7.1.5</w:t>
      </w:r>
      <w:r>
        <w:rPr>
          <w:rFonts w:hint="eastAsia" w:ascii="黑体" w:hAnsi="宋体" w:eastAsia="黑体" w:cs="黑体"/>
          <w:sz w:val="18"/>
          <w:szCs w:val="18"/>
        </w:rPr>
        <w:t>冷热源、输配系统和照明等各部分能耗应进行独立分项计量。</w:t>
      </w:r>
    </w:p>
    <w:p w14:paraId="131DEF79">
      <w:pPr>
        <w:spacing w:line="240" w:lineRule="exact"/>
        <w:ind w:firstLine="360" w:firstLineChars="200"/>
        <w:jc w:val="left"/>
        <w:rPr>
          <w:rFonts w:ascii="宋体"/>
          <w:sz w:val="18"/>
          <w:szCs w:val="18"/>
        </w:rPr>
      </w:pPr>
      <w:r>
        <w:rPr>
          <w:rFonts w:hint="eastAsia" w:ascii="宋体" w:hAnsi="宋体" w:cs="宋体"/>
          <w:sz w:val="18"/>
          <w:szCs w:val="18"/>
        </w:rPr>
        <w:t>技术措施说明：</w:t>
      </w:r>
      <w:r>
        <w:rPr>
          <w:rFonts w:hint="eastAsia" w:ascii="宋体"/>
          <w:sz w:val="18"/>
          <w:szCs w:val="18"/>
        </w:rPr>
        <w:t>本项目按照明和插座、空调、电力、消防负荷分项计量。</w:t>
      </w:r>
    </w:p>
    <w:p w14:paraId="308EB404">
      <w:pPr>
        <w:spacing w:line="240" w:lineRule="exact"/>
        <w:ind w:firstLine="360" w:firstLineChars="200"/>
        <w:jc w:val="left"/>
        <w:rPr>
          <w:rFonts w:ascii="宋体"/>
          <w:sz w:val="18"/>
          <w:szCs w:val="18"/>
        </w:rPr>
      </w:pPr>
      <w:r>
        <w:rPr>
          <w:rFonts w:hint="eastAsia" w:ascii="宋体"/>
          <w:sz w:val="18"/>
          <w:szCs w:val="18"/>
        </w:rPr>
        <w:t>a.在每路10KV电源进线处分别设置计量装置，其型号规格由供电部门确定。</w:t>
      </w:r>
    </w:p>
    <w:p w14:paraId="1B32DAD3">
      <w:pPr>
        <w:spacing w:line="240" w:lineRule="exact"/>
        <w:ind w:firstLine="360" w:firstLineChars="200"/>
        <w:jc w:val="left"/>
        <w:rPr>
          <w:rFonts w:ascii="宋体"/>
          <w:sz w:val="18"/>
          <w:szCs w:val="18"/>
        </w:rPr>
      </w:pPr>
      <w:r>
        <w:rPr>
          <w:rFonts w:hint="eastAsia" w:ascii="宋体"/>
          <w:sz w:val="18"/>
          <w:szCs w:val="18"/>
        </w:rPr>
        <w:t>b. 在每台变压器低压主进线处设低压计量装置，计量有功功率、无功功率、峰/谷/平时电能等电量参数。</w:t>
      </w:r>
    </w:p>
    <w:p w14:paraId="58EF24CB">
      <w:pPr>
        <w:spacing w:line="240" w:lineRule="exact"/>
        <w:ind w:firstLine="360" w:firstLineChars="200"/>
        <w:jc w:val="left"/>
        <w:rPr>
          <w:rFonts w:ascii="宋体"/>
          <w:sz w:val="18"/>
          <w:szCs w:val="18"/>
        </w:rPr>
      </w:pPr>
      <w:r>
        <w:rPr>
          <w:rFonts w:hint="eastAsia" w:ascii="宋体"/>
          <w:sz w:val="18"/>
          <w:szCs w:val="18"/>
        </w:rPr>
        <w:t>c. 在分类负荷及有独立计量要求的低压配电回路上分别装设电能计量装置。</w:t>
      </w:r>
    </w:p>
    <w:p w14:paraId="70A9A608">
      <w:pPr>
        <w:spacing w:line="240" w:lineRule="exact"/>
        <w:ind w:firstLine="360" w:firstLineChars="200"/>
        <w:jc w:val="left"/>
        <w:rPr>
          <w:rFonts w:ascii="宋体"/>
          <w:sz w:val="18"/>
          <w:szCs w:val="18"/>
        </w:rPr>
      </w:pPr>
      <w:r>
        <w:rPr>
          <w:rFonts w:hint="eastAsia" w:ascii="宋体"/>
          <w:sz w:val="18"/>
          <w:szCs w:val="18"/>
        </w:rPr>
        <w:t>d. 低压计量装置采用多功能数字式仪表或带通信接口的电度表。</w:t>
      </w:r>
    </w:p>
    <w:p w14:paraId="4343AE2E">
      <w:pPr>
        <w:spacing w:line="240" w:lineRule="exact"/>
        <w:rPr>
          <w:rFonts w:cs="宋体"/>
          <w:b/>
          <w:bCs/>
          <w:sz w:val="18"/>
          <w:szCs w:val="18"/>
        </w:rPr>
      </w:pPr>
      <w:r>
        <w:rPr>
          <w:rFonts w:hint="eastAsia" w:ascii="宋体" w:hAnsi="宋体" w:cs="宋体"/>
          <w:sz w:val="18"/>
          <w:szCs w:val="18"/>
        </w:rPr>
        <w:t>证明材料：√设计图纸（电气</w:t>
      </w:r>
      <w:r>
        <w:rPr>
          <w:rFonts w:ascii="宋体" w:hAnsi="宋体" w:cs="宋体"/>
          <w:sz w:val="18"/>
          <w:szCs w:val="18"/>
        </w:rPr>
        <w:t>、D-SM-01~06_电气施工图设计说明</w:t>
      </w:r>
      <w:r>
        <w:rPr>
          <w:rFonts w:hint="eastAsia" w:ascii="宋体" w:hAnsi="宋体" w:cs="宋体"/>
          <w:sz w:val="18"/>
          <w:szCs w:val="18"/>
        </w:rPr>
        <w:t>，电气高压、低压配电、电箱及照明系统图）</w:t>
      </w:r>
    </w:p>
    <w:p w14:paraId="5BAE610D">
      <w:pPr>
        <w:spacing w:line="240" w:lineRule="exact"/>
        <w:jc w:val="center"/>
        <w:outlineLvl w:val="2"/>
        <w:rPr>
          <w:rFonts w:cs="宋体"/>
          <w:b/>
          <w:bCs/>
          <w:sz w:val="18"/>
          <w:szCs w:val="18"/>
        </w:rPr>
      </w:pPr>
      <w:r>
        <w:rPr>
          <w:rFonts w:hint="eastAsia" w:cs="宋体"/>
          <w:b/>
          <w:bCs/>
          <w:sz w:val="18"/>
          <w:szCs w:val="18"/>
        </w:rPr>
        <w:t>自选说明内容（评分项）</w:t>
      </w:r>
    </w:p>
    <w:p w14:paraId="1ED5D9A5">
      <w:pPr>
        <w:spacing w:line="240" w:lineRule="exact"/>
        <w:jc w:val="center"/>
        <w:rPr>
          <w:b/>
          <w:bCs/>
          <w:sz w:val="18"/>
          <w:szCs w:val="18"/>
        </w:rPr>
      </w:pPr>
    </w:p>
    <w:tbl>
      <w:tblPr>
        <w:tblStyle w:val="12"/>
        <w:tblW w:w="864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4"/>
        <w:gridCol w:w="864"/>
        <w:gridCol w:w="864"/>
        <w:gridCol w:w="864"/>
        <w:gridCol w:w="864"/>
        <w:gridCol w:w="864"/>
        <w:gridCol w:w="864"/>
        <w:gridCol w:w="865"/>
        <w:gridCol w:w="865"/>
        <w:gridCol w:w="865"/>
      </w:tblGrid>
      <w:tr w14:paraId="5860F9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864" w:type="dxa"/>
            <w:vAlign w:val="center"/>
          </w:tcPr>
          <w:p w14:paraId="383BA835">
            <w:pPr>
              <w:spacing w:line="240" w:lineRule="exact"/>
              <w:jc w:val="center"/>
              <w:rPr>
                <w:rFonts w:cs="Calibri"/>
                <w:sz w:val="18"/>
                <w:szCs w:val="18"/>
              </w:rPr>
            </w:pPr>
            <w:r>
              <w:rPr>
                <w:rFonts w:hint="eastAsia" w:cs="Calibri"/>
                <w:sz w:val="18"/>
                <w:szCs w:val="18"/>
              </w:rPr>
              <w:t>条文</w:t>
            </w:r>
          </w:p>
        </w:tc>
        <w:tc>
          <w:tcPr>
            <w:tcW w:w="864" w:type="dxa"/>
            <w:vAlign w:val="center"/>
          </w:tcPr>
          <w:p w14:paraId="73936AC8">
            <w:pPr>
              <w:spacing w:line="240" w:lineRule="exact"/>
              <w:jc w:val="center"/>
              <w:rPr>
                <w:rFonts w:cs="Calibri"/>
                <w:sz w:val="18"/>
                <w:szCs w:val="18"/>
              </w:rPr>
            </w:pPr>
            <w:r>
              <w:rPr>
                <w:rFonts w:cs="Calibri"/>
                <w:sz w:val="18"/>
                <w:szCs w:val="18"/>
              </w:rPr>
              <w:t>7.2.1</w:t>
            </w:r>
          </w:p>
        </w:tc>
        <w:tc>
          <w:tcPr>
            <w:tcW w:w="864" w:type="dxa"/>
            <w:vAlign w:val="center"/>
          </w:tcPr>
          <w:p w14:paraId="57E8EEF6">
            <w:pPr>
              <w:spacing w:line="240" w:lineRule="exact"/>
              <w:jc w:val="center"/>
              <w:rPr>
                <w:rFonts w:cs="Calibri"/>
                <w:sz w:val="18"/>
                <w:szCs w:val="18"/>
              </w:rPr>
            </w:pPr>
            <w:r>
              <w:rPr>
                <w:rFonts w:cs="Calibri"/>
                <w:sz w:val="18"/>
                <w:szCs w:val="18"/>
              </w:rPr>
              <w:t>7.2.2</w:t>
            </w:r>
          </w:p>
        </w:tc>
        <w:tc>
          <w:tcPr>
            <w:tcW w:w="864" w:type="dxa"/>
            <w:vAlign w:val="center"/>
          </w:tcPr>
          <w:p w14:paraId="42CA7A2E">
            <w:pPr>
              <w:spacing w:line="240" w:lineRule="exact"/>
              <w:jc w:val="center"/>
              <w:rPr>
                <w:rFonts w:cs="Calibri"/>
                <w:sz w:val="18"/>
                <w:szCs w:val="18"/>
              </w:rPr>
            </w:pPr>
            <w:r>
              <w:rPr>
                <w:rFonts w:cs="Calibri"/>
                <w:sz w:val="18"/>
                <w:szCs w:val="18"/>
              </w:rPr>
              <w:t>7.2.3</w:t>
            </w:r>
          </w:p>
        </w:tc>
        <w:tc>
          <w:tcPr>
            <w:tcW w:w="864" w:type="dxa"/>
            <w:vAlign w:val="center"/>
          </w:tcPr>
          <w:p w14:paraId="1A674A7F">
            <w:pPr>
              <w:spacing w:line="240" w:lineRule="exact"/>
              <w:jc w:val="center"/>
              <w:rPr>
                <w:rFonts w:cs="Calibri"/>
                <w:sz w:val="18"/>
                <w:szCs w:val="18"/>
              </w:rPr>
            </w:pPr>
            <w:r>
              <w:rPr>
                <w:rFonts w:cs="Calibri"/>
                <w:sz w:val="18"/>
                <w:szCs w:val="18"/>
              </w:rPr>
              <w:t>7.2.4</w:t>
            </w:r>
          </w:p>
        </w:tc>
        <w:tc>
          <w:tcPr>
            <w:tcW w:w="864" w:type="dxa"/>
            <w:vAlign w:val="center"/>
          </w:tcPr>
          <w:p w14:paraId="6D91DB4A">
            <w:pPr>
              <w:spacing w:line="240" w:lineRule="exact"/>
              <w:jc w:val="center"/>
              <w:rPr>
                <w:rFonts w:cs="Calibri"/>
                <w:sz w:val="18"/>
                <w:szCs w:val="18"/>
              </w:rPr>
            </w:pPr>
            <w:r>
              <w:rPr>
                <w:rFonts w:cs="Calibri"/>
                <w:sz w:val="18"/>
                <w:szCs w:val="18"/>
              </w:rPr>
              <w:t>7.2.5</w:t>
            </w:r>
          </w:p>
        </w:tc>
        <w:tc>
          <w:tcPr>
            <w:tcW w:w="864" w:type="dxa"/>
            <w:vAlign w:val="center"/>
          </w:tcPr>
          <w:p w14:paraId="0C17B894">
            <w:pPr>
              <w:spacing w:line="240" w:lineRule="exact"/>
              <w:jc w:val="center"/>
              <w:rPr>
                <w:rFonts w:cs="Calibri"/>
                <w:sz w:val="18"/>
                <w:szCs w:val="18"/>
              </w:rPr>
            </w:pPr>
            <w:r>
              <w:rPr>
                <w:rFonts w:cs="Calibri"/>
                <w:sz w:val="18"/>
                <w:szCs w:val="18"/>
              </w:rPr>
              <w:t>7.2.6</w:t>
            </w:r>
          </w:p>
        </w:tc>
        <w:tc>
          <w:tcPr>
            <w:tcW w:w="865" w:type="dxa"/>
            <w:vAlign w:val="center"/>
          </w:tcPr>
          <w:p w14:paraId="5F346D36">
            <w:pPr>
              <w:spacing w:line="240" w:lineRule="exact"/>
              <w:jc w:val="center"/>
              <w:rPr>
                <w:rFonts w:cs="Calibri"/>
                <w:sz w:val="18"/>
                <w:szCs w:val="18"/>
              </w:rPr>
            </w:pPr>
            <w:r>
              <w:rPr>
                <w:rFonts w:cs="Calibri"/>
                <w:sz w:val="18"/>
                <w:szCs w:val="18"/>
              </w:rPr>
              <w:t>7.2.7</w:t>
            </w:r>
          </w:p>
        </w:tc>
        <w:tc>
          <w:tcPr>
            <w:tcW w:w="865" w:type="dxa"/>
            <w:vAlign w:val="center"/>
          </w:tcPr>
          <w:p w14:paraId="293D37C5">
            <w:pPr>
              <w:spacing w:line="240" w:lineRule="exact"/>
              <w:jc w:val="center"/>
              <w:rPr>
                <w:rFonts w:cs="Calibri"/>
                <w:sz w:val="18"/>
                <w:szCs w:val="18"/>
              </w:rPr>
            </w:pPr>
            <w:r>
              <w:rPr>
                <w:rFonts w:cs="Calibri"/>
                <w:sz w:val="18"/>
                <w:szCs w:val="18"/>
              </w:rPr>
              <w:t>7.2.8</w:t>
            </w:r>
          </w:p>
        </w:tc>
        <w:tc>
          <w:tcPr>
            <w:tcW w:w="865" w:type="dxa"/>
            <w:vAlign w:val="center"/>
          </w:tcPr>
          <w:p w14:paraId="127DFFA0">
            <w:pPr>
              <w:spacing w:line="240" w:lineRule="exact"/>
              <w:jc w:val="center"/>
              <w:rPr>
                <w:rFonts w:cs="Calibri"/>
                <w:sz w:val="18"/>
                <w:szCs w:val="18"/>
              </w:rPr>
            </w:pPr>
            <w:r>
              <w:rPr>
                <w:rFonts w:cs="Calibri"/>
                <w:sz w:val="18"/>
                <w:szCs w:val="18"/>
              </w:rPr>
              <w:t>7.2.9</w:t>
            </w:r>
          </w:p>
        </w:tc>
      </w:tr>
      <w:tr w14:paraId="3C3110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864" w:type="dxa"/>
            <w:vAlign w:val="center"/>
          </w:tcPr>
          <w:p w14:paraId="67F7857B">
            <w:pPr>
              <w:spacing w:line="240" w:lineRule="exact"/>
              <w:jc w:val="center"/>
              <w:rPr>
                <w:rFonts w:cs="Calibri"/>
                <w:sz w:val="18"/>
                <w:szCs w:val="18"/>
              </w:rPr>
            </w:pPr>
            <w:r>
              <w:rPr>
                <w:rFonts w:hint="eastAsia" w:cs="Calibri"/>
                <w:sz w:val="18"/>
                <w:szCs w:val="18"/>
              </w:rPr>
              <w:t>总分</w:t>
            </w:r>
          </w:p>
        </w:tc>
        <w:tc>
          <w:tcPr>
            <w:tcW w:w="864" w:type="dxa"/>
            <w:vAlign w:val="center"/>
          </w:tcPr>
          <w:p w14:paraId="272ACB73">
            <w:pPr>
              <w:spacing w:line="240" w:lineRule="exact"/>
              <w:jc w:val="center"/>
              <w:rPr>
                <w:rFonts w:cs="Calibri"/>
                <w:sz w:val="18"/>
                <w:szCs w:val="18"/>
              </w:rPr>
            </w:pPr>
            <w:r>
              <w:rPr>
                <w:rFonts w:cs="Calibri"/>
                <w:sz w:val="18"/>
                <w:szCs w:val="18"/>
              </w:rPr>
              <w:t>20</w:t>
            </w:r>
          </w:p>
        </w:tc>
        <w:tc>
          <w:tcPr>
            <w:tcW w:w="864" w:type="dxa"/>
            <w:vAlign w:val="center"/>
          </w:tcPr>
          <w:p w14:paraId="56845A39">
            <w:pPr>
              <w:spacing w:line="240" w:lineRule="exact"/>
              <w:jc w:val="center"/>
              <w:rPr>
                <w:rFonts w:cs="Calibri"/>
                <w:sz w:val="18"/>
                <w:szCs w:val="18"/>
              </w:rPr>
            </w:pPr>
            <w:r>
              <w:rPr>
                <w:rFonts w:cs="Calibri"/>
                <w:sz w:val="18"/>
                <w:szCs w:val="18"/>
              </w:rPr>
              <w:t>12</w:t>
            </w:r>
          </w:p>
        </w:tc>
        <w:tc>
          <w:tcPr>
            <w:tcW w:w="864" w:type="dxa"/>
            <w:vAlign w:val="center"/>
          </w:tcPr>
          <w:p w14:paraId="7E31BF1A">
            <w:pPr>
              <w:spacing w:line="240" w:lineRule="exact"/>
              <w:jc w:val="center"/>
              <w:rPr>
                <w:rFonts w:cs="Calibri"/>
                <w:sz w:val="18"/>
                <w:szCs w:val="18"/>
              </w:rPr>
            </w:pPr>
            <w:r>
              <w:rPr>
                <w:rFonts w:cs="Calibri"/>
                <w:sz w:val="18"/>
                <w:szCs w:val="18"/>
              </w:rPr>
              <w:t>8</w:t>
            </w:r>
          </w:p>
        </w:tc>
        <w:tc>
          <w:tcPr>
            <w:tcW w:w="864" w:type="dxa"/>
            <w:vAlign w:val="center"/>
          </w:tcPr>
          <w:p w14:paraId="423F2BB2">
            <w:pPr>
              <w:spacing w:line="240" w:lineRule="exact"/>
              <w:jc w:val="center"/>
              <w:rPr>
                <w:rFonts w:cs="Calibri"/>
                <w:sz w:val="18"/>
                <w:szCs w:val="18"/>
              </w:rPr>
            </w:pPr>
            <w:r>
              <w:rPr>
                <w:rFonts w:cs="Calibri"/>
                <w:sz w:val="18"/>
                <w:szCs w:val="18"/>
              </w:rPr>
              <w:t>15</w:t>
            </w:r>
          </w:p>
        </w:tc>
        <w:tc>
          <w:tcPr>
            <w:tcW w:w="864" w:type="dxa"/>
            <w:vAlign w:val="center"/>
          </w:tcPr>
          <w:p w14:paraId="5C13E719">
            <w:pPr>
              <w:spacing w:line="240" w:lineRule="exact"/>
              <w:jc w:val="center"/>
              <w:rPr>
                <w:rFonts w:cs="Calibri"/>
                <w:sz w:val="18"/>
                <w:szCs w:val="18"/>
              </w:rPr>
            </w:pPr>
            <w:r>
              <w:rPr>
                <w:rFonts w:hint="eastAsia" w:cs="Calibri"/>
                <w:sz w:val="18"/>
                <w:szCs w:val="18"/>
              </w:rPr>
              <w:t>0</w:t>
            </w:r>
          </w:p>
        </w:tc>
        <w:tc>
          <w:tcPr>
            <w:tcW w:w="864" w:type="dxa"/>
            <w:vAlign w:val="center"/>
          </w:tcPr>
          <w:p w14:paraId="472F6E7E">
            <w:pPr>
              <w:spacing w:line="240" w:lineRule="exact"/>
              <w:jc w:val="center"/>
              <w:rPr>
                <w:rFonts w:cs="Calibri"/>
                <w:sz w:val="18"/>
                <w:szCs w:val="18"/>
              </w:rPr>
            </w:pPr>
            <w:r>
              <w:rPr>
                <w:rFonts w:cs="Calibri"/>
                <w:sz w:val="18"/>
                <w:szCs w:val="18"/>
              </w:rPr>
              <w:t>5</w:t>
            </w:r>
          </w:p>
        </w:tc>
        <w:tc>
          <w:tcPr>
            <w:tcW w:w="865" w:type="dxa"/>
            <w:vAlign w:val="center"/>
          </w:tcPr>
          <w:p w14:paraId="7D28C526">
            <w:pPr>
              <w:spacing w:line="240" w:lineRule="exact"/>
              <w:jc w:val="center"/>
              <w:rPr>
                <w:rFonts w:cs="Calibri"/>
                <w:sz w:val="18"/>
                <w:szCs w:val="18"/>
              </w:rPr>
            </w:pPr>
            <w:r>
              <w:rPr>
                <w:rFonts w:cs="Calibri"/>
                <w:sz w:val="18"/>
                <w:szCs w:val="18"/>
              </w:rPr>
              <w:t>10</w:t>
            </w:r>
          </w:p>
        </w:tc>
        <w:tc>
          <w:tcPr>
            <w:tcW w:w="865" w:type="dxa"/>
            <w:vAlign w:val="center"/>
          </w:tcPr>
          <w:p w14:paraId="31741E61">
            <w:pPr>
              <w:spacing w:line="240" w:lineRule="exact"/>
              <w:jc w:val="center"/>
              <w:rPr>
                <w:rFonts w:cs="Calibri"/>
                <w:sz w:val="18"/>
                <w:szCs w:val="18"/>
              </w:rPr>
            </w:pPr>
            <w:r>
              <w:rPr>
                <w:rFonts w:cs="Calibri"/>
                <w:sz w:val="18"/>
                <w:szCs w:val="18"/>
              </w:rPr>
              <w:t>10</w:t>
            </w:r>
          </w:p>
        </w:tc>
        <w:tc>
          <w:tcPr>
            <w:tcW w:w="865" w:type="dxa"/>
            <w:vAlign w:val="center"/>
          </w:tcPr>
          <w:p w14:paraId="077C077D">
            <w:pPr>
              <w:spacing w:line="240" w:lineRule="exact"/>
              <w:jc w:val="center"/>
              <w:rPr>
                <w:rFonts w:cs="Calibri"/>
                <w:sz w:val="18"/>
                <w:szCs w:val="18"/>
              </w:rPr>
            </w:pPr>
            <w:r>
              <w:rPr>
                <w:rFonts w:cs="Calibri"/>
                <w:sz w:val="18"/>
                <w:szCs w:val="18"/>
              </w:rPr>
              <w:t>10</w:t>
            </w:r>
          </w:p>
        </w:tc>
      </w:tr>
      <w:tr w14:paraId="62F75B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864" w:type="dxa"/>
            <w:vAlign w:val="center"/>
          </w:tcPr>
          <w:p w14:paraId="0F8848DB">
            <w:pPr>
              <w:spacing w:line="240" w:lineRule="exact"/>
              <w:jc w:val="center"/>
              <w:rPr>
                <w:rFonts w:cs="Calibri"/>
                <w:sz w:val="18"/>
                <w:szCs w:val="18"/>
              </w:rPr>
            </w:pPr>
            <w:r>
              <w:rPr>
                <w:rFonts w:hint="eastAsia" w:cs="Calibri"/>
                <w:sz w:val="18"/>
                <w:szCs w:val="18"/>
              </w:rPr>
              <w:t>得分</w:t>
            </w:r>
          </w:p>
        </w:tc>
        <w:tc>
          <w:tcPr>
            <w:tcW w:w="864" w:type="dxa"/>
            <w:vAlign w:val="center"/>
          </w:tcPr>
          <w:p w14:paraId="6A3BDC0B">
            <w:pPr>
              <w:spacing w:line="240" w:lineRule="exact"/>
              <w:jc w:val="center"/>
              <w:rPr>
                <w:rFonts w:cs="Calibri"/>
                <w:sz w:val="18"/>
                <w:szCs w:val="18"/>
              </w:rPr>
            </w:pPr>
            <w:r>
              <w:rPr>
                <w:rFonts w:cs="Calibri"/>
                <w:sz w:val="18"/>
                <w:szCs w:val="18"/>
              </w:rPr>
              <w:t>12</w:t>
            </w:r>
          </w:p>
        </w:tc>
        <w:tc>
          <w:tcPr>
            <w:tcW w:w="864" w:type="dxa"/>
            <w:vAlign w:val="center"/>
          </w:tcPr>
          <w:p w14:paraId="073D350A">
            <w:pPr>
              <w:spacing w:line="240" w:lineRule="exact"/>
              <w:jc w:val="center"/>
              <w:rPr>
                <w:rFonts w:cs="Calibri"/>
                <w:sz w:val="18"/>
                <w:szCs w:val="18"/>
              </w:rPr>
            </w:pPr>
            <w:r>
              <w:rPr>
                <w:rFonts w:hint="eastAsia" w:cs="Calibri"/>
                <w:sz w:val="18"/>
                <w:szCs w:val="18"/>
              </w:rPr>
              <w:t>5</w:t>
            </w:r>
          </w:p>
        </w:tc>
        <w:tc>
          <w:tcPr>
            <w:tcW w:w="864" w:type="dxa"/>
            <w:vAlign w:val="center"/>
          </w:tcPr>
          <w:p w14:paraId="49DAAD37">
            <w:pPr>
              <w:spacing w:line="240" w:lineRule="exact"/>
              <w:jc w:val="center"/>
              <w:rPr>
                <w:rFonts w:cs="Calibri"/>
                <w:sz w:val="18"/>
                <w:szCs w:val="18"/>
              </w:rPr>
            </w:pPr>
            <w:r>
              <w:rPr>
                <w:rFonts w:cs="Calibri"/>
                <w:sz w:val="18"/>
                <w:szCs w:val="18"/>
              </w:rPr>
              <w:t>8</w:t>
            </w:r>
          </w:p>
        </w:tc>
        <w:tc>
          <w:tcPr>
            <w:tcW w:w="864" w:type="dxa"/>
            <w:vAlign w:val="center"/>
          </w:tcPr>
          <w:p w14:paraId="3C1DE893">
            <w:pPr>
              <w:spacing w:line="240" w:lineRule="exact"/>
              <w:jc w:val="center"/>
              <w:rPr>
                <w:rFonts w:hint="eastAsia" w:eastAsia="宋体" w:cs="Calibri"/>
                <w:sz w:val="18"/>
                <w:szCs w:val="18"/>
                <w:lang w:eastAsia="zh-CN"/>
              </w:rPr>
            </w:pPr>
            <w:r>
              <w:rPr>
                <w:rFonts w:cs="Calibri"/>
                <w:sz w:val="18"/>
                <w:szCs w:val="18"/>
              </w:rPr>
              <w:t>1</w:t>
            </w:r>
            <w:r>
              <w:rPr>
                <w:rFonts w:hint="eastAsia" w:cs="Calibri"/>
                <w:sz w:val="18"/>
                <w:szCs w:val="18"/>
                <w:lang w:val="en-US" w:eastAsia="zh-CN"/>
              </w:rPr>
              <w:t>5</w:t>
            </w:r>
          </w:p>
        </w:tc>
        <w:tc>
          <w:tcPr>
            <w:tcW w:w="864" w:type="dxa"/>
            <w:vAlign w:val="center"/>
          </w:tcPr>
          <w:p w14:paraId="5899EE01">
            <w:pPr>
              <w:spacing w:line="240" w:lineRule="exact"/>
              <w:jc w:val="center"/>
              <w:rPr>
                <w:rFonts w:cs="Calibri"/>
                <w:sz w:val="18"/>
                <w:szCs w:val="18"/>
              </w:rPr>
            </w:pPr>
            <w:r>
              <w:rPr>
                <w:rFonts w:cs="Calibri"/>
                <w:sz w:val="18"/>
                <w:szCs w:val="18"/>
              </w:rPr>
              <w:t>10</w:t>
            </w:r>
          </w:p>
        </w:tc>
        <w:tc>
          <w:tcPr>
            <w:tcW w:w="864" w:type="dxa"/>
            <w:vAlign w:val="center"/>
          </w:tcPr>
          <w:p w14:paraId="67604F56">
            <w:pPr>
              <w:spacing w:line="240" w:lineRule="exact"/>
              <w:jc w:val="center"/>
              <w:rPr>
                <w:rFonts w:cs="Calibri"/>
                <w:sz w:val="18"/>
                <w:szCs w:val="18"/>
              </w:rPr>
            </w:pPr>
            <w:r>
              <w:rPr>
                <w:rFonts w:cs="Calibri"/>
                <w:sz w:val="18"/>
                <w:szCs w:val="18"/>
              </w:rPr>
              <w:t>0</w:t>
            </w:r>
          </w:p>
        </w:tc>
        <w:tc>
          <w:tcPr>
            <w:tcW w:w="865" w:type="dxa"/>
            <w:vAlign w:val="center"/>
          </w:tcPr>
          <w:p w14:paraId="76B9A2B5">
            <w:pPr>
              <w:spacing w:line="240" w:lineRule="exact"/>
              <w:jc w:val="center"/>
              <w:rPr>
                <w:rFonts w:cs="Calibri"/>
                <w:sz w:val="18"/>
                <w:szCs w:val="18"/>
              </w:rPr>
            </w:pPr>
            <w:r>
              <w:rPr>
                <w:rFonts w:cs="Calibri"/>
                <w:sz w:val="18"/>
                <w:szCs w:val="18"/>
              </w:rPr>
              <w:t>8</w:t>
            </w:r>
          </w:p>
        </w:tc>
        <w:tc>
          <w:tcPr>
            <w:tcW w:w="865" w:type="dxa"/>
            <w:vAlign w:val="center"/>
          </w:tcPr>
          <w:p w14:paraId="39A9E299">
            <w:pPr>
              <w:spacing w:line="240" w:lineRule="exact"/>
              <w:jc w:val="center"/>
              <w:rPr>
                <w:rFonts w:hint="default" w:eastAsia="宋体" w:cs="Calibri"/>
                <w:sz w:val="18"/>
                <w:szCs w:val="18"/>
                <w:lang w:val="en-US" w:eastAsia="zh-CN"/>
              </w:rPr>
            </w:pPr>
            <w:r>
              <w:rPr>
                <w:rFonts w:hint="eastAsia" w:cs="Calibri"/>
                <w:sz w:val="18"/>
                <w:szCs w:val="18"/>
                <w:lang w:val="en-US" w:eastAsia="zh-CN"/>
              </w:rPr>
              <w:t>10</w:t>
            </w:r>
          </w:p>
        </w:tc>
        <w:tc>
          <w:tcPr>
            <w:tcW w:w="865" w:type="dxa"/>
            <w:vAlign w:val="center"/>
          </w:tcPr>
          <w:p w14:paraId="1B7B91D8">
            <w:pPr>
              <w:spacing w:line="240" w:lineRule="exact"/>
              <w:jc w:val="center"/>
              <w:rPr>
                <w:rFonts w:hint="default" w:eastAsia="宋体" w:cs="Calibri"/>
                <w:sz w:val="18"/>
                <w:szCs w:val="18"/>
                <w:lang w:val="en-US" w:eastAsia="zh-CN"/>
              </w:rPr>
            </w:pPr>
            <w:r>
              <w:rPr>
                <w:rFonts w:hint="eastAsia" w:cs="Calibri"/>
                <w:sz w:val="18"/>
                <w:szCs w:val="18"/>
                <w:lang w:val="en-US" w:eastAsia="zh-CN"/>
              </w:rPr>
              <w:t>10</w:t>
            </w:r>
          </w:p>
        </w:tc>
      </w:tr>
    </w:tbl>
    <w:p w14:paraId="2F1413FB">
      <w:pPr>
        <w:spacing w:line="240" w:lineRule="exact"/>
        <w:jc w:val="center"/>
        <w:rPr>
          <w:sz w:val="18"/>
          <w:szCs w:val="18"/>
        </w:rPr>
      </w:pPr>
    </w:p>
    <w:tbl>
      <w:tblPr>
        <w:tblStyle w:val="12"/>
        <w:tblW w:w="864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4"/>
        <w:gridCol w:w="864"/>
        <w:gridCol w:w="864"/>
        <w:gridCol w:w="864"/>
        <w:gridCol w:w="864"/>
        <w:gridCol w:w="864"/>
        <w:gridCol w:w="864"/>
        <w:gridCol w:w="865"/>
        <w:gridCol w:w="865"/>
        <w:gridCol w:w="865"/>
      </w:tblGrid>
      <w:tr w14:paraId="55083E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864" w:type="dxa"/>
            <w:vAlign w:val="center"/>
          </w:tcPr>
          <w:p w14:paraId="0AD1645D">
            <w:pPr>
              <w:spacing w:line="240" w:lineRule="exact"/>
              <w:jc w:val="center"/>
              <w:rPr>
                <w:rFonts w:cs="Calibri"/>
                <w:sz w:val="18"/>
                <w:szCs w:val="18"/>
              </w:rPr>
            </w:pPr>
            <w:r>
              <w:rPr>
                <w:rFonts w:hint="eastAsia" w:cs="Calibri"/>
                <w:sz w:val="18"/>
                <w:szCs w:val="18"/>
              </w:rPr>
              <w:t>条文</w:t>
            </w:r>
          </w:p>
        </w:tc>
        <w:tc>
          <w:tcPr>
            <w:tcW w:w="864" w:type="dxa"/>
          </w:tcPr>
          <w:p w14:paraId="7ABE5218">
            <w:pPr>
              <w:spacing w:line="240" w:lineRule="exact"/>
              <w:jc w:val="center"/>
              <w:rPr>
                <w:rFonts w:cs="Calibri"/>
                <w:sz w:val="18"/>
                <w:szCs w:val="18"/>
              </w:rPr>
            </w:pPr>
            <w:r>
              <w:rPr>
                <w:rFonts w:cs="Calibri"/>
                <w:sz w:val="18"/>
                <w:szCs w:val="18"/>
              </w:rPr>
              <w:t>7.2.10</w:t>
            </w:r>
          </w:p>
        </w:tc>
        <w:tc>
          <w:tcPr>
            <w:tcW w:w="864" w:type="dxa"/>
          </w:tcPr>
          <w:p w14:paraId="53B5EEE2">
            <w:pPr>
              <w:spacing w:line="240" w:lineRule="exact"/>
              <w:jc w:val="center"/>
              <w:rPr>
                <w:rFonts w:cs="Calibri"/>
                <w:sz w:val="18"/>
                <w:szCs w:val="18"/>
              </w:rPr>
            </w:pPr>
            <w:r>
              <w:rPr>
                <w:rFonts w:cs="Calibri"/>
                <w:sz w:val="18"/>
                <w:szCs w:val="18"/>
              </w:rPr>
              <w:t>7.2.11</w:t>
            </w:r>
          </w:p>
        </w:tc>
        <w:tc>
          <w:tcPr>
            <w:tcW w:w="864" w:type="dxa"/>
          </w:tcPr>
          <w:p w14:paraId="771B7336">
            <w:pPr>
              <w:spacing w:line="240" w:lineRule="exact"/>
              <w:jc w:val="center"/>
              <w:rPr>
                <w:rFonts w:cs="Calibri"/>
                <w:sz w:val="18"/>
                <w:szCs w:val="18"/>
              </w:rPr>
            </w:pPr>
            <w:r>
              <w:rPr>
                <w:rFonts w:cs="Calibri"/>
                <w:sz w:val="18"/>
                <w:szCs w:val="18"/>
              </w:rPr>
              <w:t>7.2.12</w:t>
            </w:r>
          </w:p>
        </w:tc>
        <w:tc>
          <w:tcPr>
            <w:tcW w:w="864" w:type="dxa"/>
          </w:tcPr>
          <w:p w14:paraId="066B1AF3">
            <w:pPr>
              <w:spacing w:line="240" w:lineRule="exact"/>
              <w:jc w:val="center"/>
              <w:rPr>
                <w:rFonts w:cs="Calibri"/>
                <w:sz w:val="18"/>
                <w:szCs w:val="18"/>
              </w:rPr>
            </w:pPr>
            <w:r>
              <w:rPr>
                <w:rFonts w:cs="Calibri"/>
                <w:sz w:val="18"/>
                <w:szCs w:val="18"/>
              </w:rPr>
              <w:t>7.2.13</w:t>
            </w:r>
          </w:p>
        </w:tc>
        <w:tc>
          <w:tcPr>
            <w:tcW w:w="864" w:type="dxa"/>
          </w:tcPr>
          <w:p w14:paraId="6F853AC3">
            <w:pPr>
              <w:spacing w:line="240" w:lineRule="exact"/>
              <w:jc w:val="center"/>
              <w:rPr>
                <w:rFonts w:cs="Calibri"/>
                <w:sz w:val="18"/>
                <w:szCs w:val="18"/>
              </w:rPr>
            </w:pPr>
            <w:r>
              <w:rPr>
                <w:rFonts w:cs="Calibri"/>
                <w:sz w:val="18"/>
                <w:szCs w:val="18"/>
              </w:rPr>
              <w:t>7.2.14</w:t>
            </w:r>
          </w:p>
        </w:tc>
        <w:tc>
          <w:tcPr>
            <w:tcW w:w="864" w:type="dxa"/>
          </w:tcPr>
          <w:p w14:paraId="7D577A25">
            <w:pPr>
              <w:spacing w:line="240" w:lineRule="exact"/>
              <w:jc w:val="center"/>
              <w:rPr>
                <w:rFonts w:cs="Calibri"/>
                <w:sz w:val="18"/>
                <w:szCs w:val="18"/>
              </w:rPr>
            </w:pPr>
            <w:r>
              <w:rPr>
                <w:rFonts w:cs="Calibri"/>
                <w:sz w:val="18"/>
                <w:szCs w:val="18"/>
              </w:rPr>
              <w:t>7.2.15</w:t>
            </w:r>
          </w:p>
        </w:tc>
        <w:tc>
          <w:tcPr>
            <w:tcW w:w="865" w:type="dxa"/>
          </w:tcPr>
          <w:p w14:paraId="79F1620A">
            <w:pPr>
              <w:spacing w:line="240" w:lineRule="exact"/>
              <w:jc w:val="center"/>
              <w:rPr>
                <w:rFonts w:cs="Calibri"/>
                <w:sz w:val="18"/>
                <w:szCs w:val="18"/>
              </w:rPr>
            </w:pPr>
            <w:r>
              <w:rPr>
                <w:rFonts w:cs="Calibri"/>
                <w:sz w:val="18"/>
                <w:szCs w:val="18"/>
              </w:rPr>
              <w:t>7.2.16</w:t>
            </w:r>
          </w:p>
        </w:tc>
        <w:tc>
          <w:tcPr>
            <w:tcW w:w="865" w:type="dxa"/>
          </w:tcPr>
          <w:p w14:paraId="13CBA570">
            <w:pPr>
              <w:spacing w:line="240" w:lineRule="exact"/>
              <w:jc w:val="center"/>
              <w:rPr>
                <w:rFonts w:cs="Calibri"/>
                <w:sz w:val="18"/>
                <w:szCs w:val="18"/>
              </w:rPr>
            </w:pPr>
            <w:r>
              <w:rPr>
                <w:rFonts w:cs="Calibri"/>
                <w:sz w:val="18"/>
                <w:szCs w:val="18"/>
              </w:rPr>
              <w:t>7.2.17</w:t>
            </w:r>
          </w:p>
        </w:tc>
        <w:tc>
          <w:tcPr>
            <w:tcW w:w="865" w:type="dxa"/>
          </w:tcPr>
          <w:p w14:paraId="6A49B53C">
            <w:pPr>
              <w:spacing w:line="240" w:lineRule="exact"/>
              <w:jc w:val="center"/>
              <w:rPr>
                <w:rFonts w:cs="Calibri"/>
                <w:sz w:val="18"/>
                <w:szCs w:val="18"/>
              </w:rPr>
            </w:pPr>
            <w:r>
              <w:rPr>
                <w:rFonts w:cs="Calibri"/>
                <w:sz w:val="18"/>
                <w:szCs w:val="18"/>
              </w:rPr>
              <w:t>7.2.18</w:t>
            </w:r>
          </w:p>
        </w:tc>
      </w:tr>
      <w:tr w14:paraId="11060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864" w:type="dxa"/>
            <w:vAlign w:val="center"/>
          </w:tcPr>
          <w:p w14:paraId="0E20581B">
            <w:pPr>
              <w:spacing w:line="240" w:lineRule="exact"/>
              <w:jc w:val="center"/>
              <w:rPr>
                <w:rFonts w:cs="Calibri"/>
                <w:sz w:val="18"/>
                <w:szCs w:val="18"/>
              </w:rPr>
            </w:pPr>
            <w:r>
              <w:rPr>
                <w:rFonts w:hint="eastAsia" w:cs="Calibri"/>
                <w:sz w:val="18"/>
                <w:szCs w:val="18"/>
              </w:rPr>
              <w:t>总分</w:t>
            </w:r>
          </w:p>
        </w:tc>
        <w:tc>
          <w:tcPr>
            <w:tcW w:w="864" w:type="dxa"/>
          </w:tcPr>
          <w:p w14:paraId="32B456EB">
            <w:pPr>
              <w:spacing w:line="240" w:lineRule="exact"/>
              <w:jc w:val="center"/>
              <w:rPr>
                <w:rFonts w:cs="Calibri"/>
                <w:sz w:val="18"/>
                <w:szCs w:val="18"/>
              </w:rPr>
            </w:pPr>
            <w:r>
              <w:rPr>
                <w:rFonts w:cs="Calibri"/>
                <w:sz w:val="18"/>
                <w:szCs w:val="18"/>
              </w:rPr>
              <w:t>15</w:t>
            </w:r>
          </w:p>
        </w:tc>
        <w:tc>
          <w:tcPr>
            <w:tcW w:w="864" w:type="dxa"/>
          </w:tcPr>
          <w:p w14:paraId="0B044197">
            <w:pPr>
              <w:spacing w:line="240" w:lineRule="exact"/>
              <w:jc w:val="center"/>
              <w:rPr>
                <w:rFonts w:cs="Calibri"/>
                <w:sz w:val="18"/>
                <w:szCs w:val="18"/>
              </w:rPr>
            </w:pPr>
            <w:r>
              <w:rPr>
                <w:rFonts w:cs="Calibri"/>
                <w:sz w:val="18"/>
                <w:szCs w:val="18"/>
              </w:rPr>
              <w:t>12</w:t>
            </w:r>
          </w:p>
        </w:tc>
        <w:tc>
          <w:tcPr>
            <w:tcW w:w="864" w:type="dxa"/>
          </w:tcPr>
          <w:p w14:paraId="3390D8A4">
            <w:pPr>
              <w:spacing w:line="240" w:lineRule="exact"/>
              <w:jc w:val="center"/>
              <w:rPr>
                <w:rFonts w:cs="Calibri"/>
                <w:sz w:val="18"/>
                <w:szCs w:val="18"/>
              </w:rPr>
            </w:pPr>
            <w:r>
              <w:rPr>
                <w:rFonts w:cs="Calibri"/>
                <w:sz w:val="18"/>
                <w:szCs w:val="18"/>
              </w:rPr>
              <w:t>8</w:t>
            </w:r>
          </w:p>
        </w:tc>
        <w:tc>
          <w:tcPr>
            <w:tcW w:w="864" w:type="dxa"/>
          </w:tcPr>
          <w:p w14:paraId="3F655332">
            <w:pPr>
              <w:spacing w:line="240" w:lineRule="exact"/>
              <w:jc w:val="center"/>
              <w:rPr>
                <w:rFonts w:cs="Calibri"/>
                <w:sz w:val="18"/>
                <w:szCs w:val="18"/>
              </w:rPr>
            </w:pPr>
            <w:r>
              <w:rPr>
                <w:rFonts w:cs="Calibri"/>
                <w:sz w:val="18"/>
                <w:szCs w:val="18"/>
              </w:rPr>
              <w:t>15</w:t>
            </w:r>
          </w:p>
        </w:tc>
        <w:tc>
          <w:tcPr>
            <w:tcW w:w="864" w:type="dxa"/>
          </w:tcPr>
          <w:p w14:paraId="3F1443D6">
            <w:pPr>
              <w:spacing w:line="240" w:lineRule="exact"/>
              <w:jc w:val="center"/>
              <w:rPr>
                <w:rFonts w:cs="Calibri"/>
                <w:sz w:val="18"/>
                <w:szCs w:val="18"/>
              </w:rPr>
            </w:pPr>
            <w:r>
              <w:rPr>
                <w:rFonts w:cs="Calibri"/>
                <w:sz w:val="18"/>
                <w:szCs w:val="18"/>
              </w:rPr>
              <w:t>8</w:t>
            </w:r>
          </w:p>
        </w:tc>
        <w:tc>
          <w:tcPr>
            <w:tcW w:w="864" w:type="dxa"/>
          </w:tcPr>
          <w:p w14:paraId="6F355A7F">
            <w:pPr>
              <w:spacing w:line="240" w:lineRule="exact"/>
              <w:jc w:val="center"/>
              <w:rPr>
                <w:rFonts w:cs="Calibri"/>
                <w:sz w:val="18"/>
                <w:szCs w:val="18"/>
              </w:rPr>
            </w:pPr>
            <w:r>
              <w:rPr>
                <w:rFonts w:cs="Calibri"/>
                <w:sz w:val="18"/>
                <w:szCs w:val="18"/>
              </w:rPr>
              <w:t>10</w:t>
            </w:r>
          </w:p>
        </w:tc>
        <w:tc>
          <w:tcPr>
            <w:tcW w:w="865" w:type="dxa"/>
          </w:tcPr>
          <w:p w14:paraId="77B29629">
            <w:pPr>
              <w:spacing w:line="240" w:lineRule="exact"/>
              <w:jc w:val="center"/>
              <w:rPr>
                <w:rFonts w:cs="Calibri"/>
                <w:sz w:val="18"/>
                <w:szCs w:val="18"/>
              </w:rPr>
            </w:pPr>
            <w:r>
              <w:rPr>
                <w:rFonts w:cs="Calibri"/>
                <w:sz w:val="18"/>
                <w:szCs w:val="18"/>
              </w:rPr>
              <w:t>8</w:t>
            </w:r>
          </w:p>
        </w:tc>
        <w:tc>
          <w:tcPr>
            <w:tcW w:w="865" w:type="dxa"/>
          </w:tcPr>
          <w:p w14:paraId="0BAEBD64">
            <w:pPr>
              <w:spacing w:line="240" w:lineRule="exact"/>
              <w:jc w:val="center"/>
              <w:rPr>
                <w:rFonts w:cs="Calibri"/>
                <w:sz w:val="18"/>
                <w:szCs w:val="18"/>
              </w:rPr>
            </w:pPr>
            <w:r>
              <w:rPr>
                <w:rFonts w:cs="Calibri"/>
                <w:sz w:val="18"/>
                <w:szCs w:val="18"/>
              </w:rPr>
              <w:t>12</w:t>
            </w:r>
          </w:p>
        </w:tc>
        <w:tc>
          <w:tcPr>
            <w:tcW w:w="865" w:type="dxa"/>
          </w:tcPr>
          <w:p w14:paraId="7917EEB0">
            <w:pPr>
              <w:spacing w:line="240" w:lineRule="exact"/>
              <w:jc w:val="center"/>
              <w:rPr>
                <w:rFonts w:cs="Calibri"/>
                <w:sz w:val="18"/>
                <w:szCs w:val="18"/>
              </w:rPr>
            </w:pPr>
            <w:r>
              <w:rPr>
                <w:rFonts w:cs="Calibri"/>
                <w:sz w:val="18"/>
                <w:szCs w:val="18"/>
              </w:rPr>
              <w:t>12</w:t>
            </w:r>
          </w:p>
        </w:tc>
      </w:tr>
      <w:tr w14:paraId="7B27D4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864" w:type="dxa"/>
            <w:vAlign w:val="center"/>
          </w:tcPr>
          <w:p w14:paraId="72836800">
            <w:pPr>
              <w:spacing w:line="240" w:lineRule="exact"/>
              <w:jc w:val="center"/>
              <w:rPr>
                <w:rFonts w:cs="Calibri"/>
                <w:sz w:val="18"/>
                <w:szCs w:val="18"/>
              </w:rPr>
            </w:pPr>
            <w:r>
              <w:rPr>
                <w:rFonts w:hint="eastAsia" w:cs="Calibri"/>
                <w:sz w:val="18"/>
                <w:szCs w:val="18"/>
              </w:rPr>
              <w:t>得分</w:t>
            </w:r>
          </w:p>
        </w:tc>
        <w:tc>
          <w:tcPr>
            <w:tcW w:w="864" w:type="dxa"/>
            <w:vAlign w:val="center"/>
          </w:tcPr>
          <w:p w14:paraId="5F274491">
            <w:pPr>
              <w:spacing w:line="240" w:lineRule="exact"/>
              <w:jc w:val="center"/>
              <w:rPr>
                <w:rFonts w:cs="Calibri"/>
                <w:sz w:val="18"/>
                <w:szCs w:val="18"/>
              </w:rPr>
            </w:pPr>
            <w:r>
              <w:rPr>
                <w:rFonts w:cs="Calibri"/>
                <w:sz w:val="18"/>
                <w:szCs w:val="18"/>
              </w:rPr>
              <w:t>8</w:t>
            </w:r>
          </w:p>
        </w:tc>
        <w:tc>
          <w:tcPr>
            <w:tcW w:w="864" w:type="dxa"/>
            <w:vAlign w:val="center"/>
          </w:tcPr>
          <w:p w14:paraId="4FD5FFA1">
            <w:pPr>
              <w:spacing w:line="240" w:lineRule="exact"/>
              <w:jc w:val="center"/>
              <w:rPr>
                <w:rFonts w:cs="Calibri"/>
                <w:sz w:val="18"/>
                <w:szCs w:val="18"/>
              </w:rPr>
            </w:pPr>
            <w:r>
              <w:rPr>
                <w:rFonts w:cs="Calibri"/>
                <w:sz w:val="18"/>
                <w:szCs w:val="18"/>
              </w:rPr>
              <w:t>9</w:t>
            </w:r>
          </w:p>
        </w:tc>
        <w:tc>
          <w:tcPr>
            <w:tcW w:w="864" w:type="dxa"/>
            <w:vAlign w:val="center"/>
          </w:tcPr>
          <w:p w14:paraId="0CF96523">
            <w:pPr>
              <w:spacing w:line="240" w:lineRule="exact"/>
              <w:jc w:val="center"/>
              <w:rPr>
                <w:rFonts w:cs="Calibri"/>
                <w:sz w:val="18"/>
                <w:szCs w:val="18"/>
              </w:rPr>
            </w:pPr>
            <w:r>
              <w:rPr>
                <w:rFonts w:cs="Calibri"/>
                <w:sz w:val="18"/>
                <w:szCs w:val="18"/>
              </w:rPr>
              <w:t>8</w:t>
            </w:r>
          </w:p>
        </w:tc>
        <w:tc>
          <w:tcPr>
            <w:tcW w:w="864" w:type="dxa"/>
            <w:vAlign w:val="center"/>
          </w:tcPr>
          <w:p w14:paraId="0A3B7E87">
            <w:pPr>
              <w:spacing w:line="240" w:lineRule="exact"/>
              <w:jc w:val="center"/>
              <w:rPr>
                <w:rFonts w:cs="Calibri"/>
                <w:sz w:val="18"/>
                <w:szCs w:val="18"/>
              </w:rPr>
            </w:pPr>
            <w:r>
              <w:rPr>
                <w:rFonts w:cs="Calibri"/>
                <w:sz w:val="18"/>
                <w:szCs w:val="18"/>
              </w:rPr>
              <w:t>0</w:t>
            </w:r>
          </w:p>
        </w:tc>
        <w:tc>
          <w:tcPr>
            <w:tcW w:w="864" w:type="dxa"/>
            <w:vAlign w:val="center"/>
          </w:tcPr>
          <w:p w14:paraId="098F7E74">
            <w:pPr>
              <w:spacing w:line="240" w:lineRule="exact"/>
              <w:jc w:val="center"/>
              <w:rPr>
                <w:rFonts w:cs="Calibri"/>
                <w:sz w:val="18"/>
                <w:szCs w:val="18"/>
              </w:rPr>
            </w:pPr>
            <w:r>
              <w:rPr>
                <w:rFonts w:cs="Calibri"/>
                <w:sz w:val="18"/>
                <w:szCs w:val="18"/>
              </w:rPr>
              <w:t>8</w:t>
            </w:r>
          </w:p>
        </w:tc>
        <w:tc>
          <w:tcPr>
            <w:tcW w:w="864" w:type="dxa"/>
            <w:vAlign w:val="center"/>
          </w:tcPr>
          <w:p w14:paraId="3DFA58C5">
            <w:pPr>
              <w:spacing w:line="240" w:lineRule="exact"/>
              <w:jc w:val="center"/>
              <w:rPr>
                <w:rFonts w:cs="Calibri"/>
                <w:sz w:val="18"/>
                <w:szCs w:val="18"/>
              </w:rPr>
            </w:pPr>
            <w:r>
              <w:rPr>
                <w:rFonts w:cs="Calibri"/>
                <w:sz w:val="18"/>
                <w:szCs w:val="18"/>
              </w:rPr>
              <w:t>5</w:t>
            </w:r>
          </w:p>
        </w:tc>
        <w:tc>
          <w:tcPr>
            <w:tcW w:w="865" w:type="dxa"/>
            <w:vAlign w:val="center"/>
          </w:tcPr>
          <w:p w14:paraId="1B2D8252">
            <w:pPr>
              <w:spacing w:line="240" w:lineRule="exact"/>
              <w:jc w:val="center"/>
              <w:rPr>
                <w:rFonts w:cs="Calibri"/>
                <w:sz w:val="18"/>
                <w:szCs w:val="18"/>
              </w:rPr>
            </w:pPr>
            <w:r>
              <w:rPr>
                <w:rFonts w:cs="Calibri"/>
                <w:sz w:val="18"/>
                <w:szCs w:val="18"/>
              </w:rPr>
              <w:t>3</w:t>
            </w:r>
          </w:p>
        </w:tc>
        <w:tc>
          <w:tcPr>
            <w:tcW w:w="865" w:type="dxa"/>
            <w:vAlign w:val="center"/>
          </w:tcPr>
          <w:p w14:paraId="281063C9">
            <w:pPr>
              <w:spacing w:line="240" w:lineRule="exact"/>
              <w:jc w:val="center"/>
              <w:rPr>
                <w:rFonts w:cs="Calibri"/>
                <w:sz w:val="18"/>
                <w:szCs w:val="18"/>
              </w:rPr>
            </w:pPr>
            <w:r>
              <w:rPr>
                <w:rFonts w:cs="Calibri"/>
                <w:sz w:val="18"/>
                <w:szCs w:val="18"/>
              </w:rPr>
              <w:t>0</w:t>
            </w:r>
          </w:p>
        </w:tc>
        <w:tc>
          <w:tcPr>
            <w:tcW w:w="865" w:type="dxa"/>
            <w:vAlign w:val="center"/>
          </w:tcPr>
          <w:p w14:paraId="56DA39B7">
            <w:pPr>
              <w:spacing w:line="240" w:lineRule="exact"/>
              <w:jc w:val="center"/>
              <w:rPr>
                <w:rFonts w:cs="Calibri"/>
                <w:sz w:val="18"/>
                <w:szCs w:val="18"/>
              </w:rPr>
            </w:pPr>
            <w:r>
              <w:rPr>
                <w:rFonts w:cs="Calibri"/>
                <w:sz w:val="18"/>
                <w:szCs w:val="18"/>
              </w:rPr>
              <w:t>0</w:t>
            </w:r>
          </w:p>
        </w:tc>
      </w:tr>
    </w:tbl>
    <w:p w14:paraId="7F31B95C">
      <w:pPr>
        <w:spacing w:line="240" w:lineRule="exact"/>
        <w:rPr>
          <w:b/>
          <w:bCs/>
          <w:sz w:val="18"/>
          <w:szCs w:val="18"/>
        </w:rPr>
      </w:pPr>
      <w:r>
        <w:rPr>
          <w:rFonts w:hint="eastAsia"/>
          <w:b/>
          <w:bCs/>
          <w:sz w:val="18"/>
          <w:szCs w:val="18"/>
        </w:rPr>
        <w:t>规划专业</w:t>
      </w:r>
    </w:p>
    <w:p w14:paraId="66D28FAD">
      <w:pPr>
        <w:spacing w:line="240" w:lineRule="exact"/>
        <w:rPr>
          <w:rFonts w:ascii="黑体" w:hAnsi="宋体" w:eastAsia="黑体"/>
          <w:sz w:val="18"/>
          <w:szCs w:val="18"/>
        </w:rPr>
      </w:pPr>
      <w:r>
        <w:rPr>
          <w:rFonts w:ascii="黑体" w:hAnsi="宋体" w:eastAsia="黑体" w:cs="黑体"/>
          <w:sz w:val="18"/>
          <w:szCs w:val="18"/>
        </w:rPr>
        <w:t>7.2.1</w:t>
      </w:r>
      <w:r>
        <w:rPr>
          <w:rFonts w:hint="eastAsia" w:ascii="黑体" w:hAnsi="宋体" w:eastAsia="黑体" w:cs="黑体"/>
          <w:sz w:val="18"/>
          <w:szCs w:val="18"/>
        </w:rPr>
        <w:t>节约集约利用土地。</w:t>
      </w:r>
    </w:p>
    <w:p w14:paraId="22EDE7CD">
      <w:pPr>
        <w:spacing w:line="240" w:lineRule="exact"/>
        <w:rPr>
          <w:rFonts w:ascii="宋体" w:hAnsi="宋体" w:cs="宋体"/>
          <w:sz w:val="18"/>
          <w:szCs w:val="18"/>
        </w:rPr>
      </w:pPr>
      <w:r>
        <w:rPr>
          <w:rFonts w:hint="eastAsia" w:ascii="宋体" w:hAnsi="宋体" w:cs="宋体"/>
          <w:sz w:val="18"/>
          <w:szCs w:val="18"/>
        </w:rPr>
        <w:t>技术措施说明：本项目为医院建筑，建筑用地</w:t>
      </w:r>
      <w:r>
        <w:rPr>
          <w:rFonts w:ascii="宋体" w:hAnsi="宋体" w:cs="宋体"/>
          <w:sz w:val="18"/>
          <w:szCs w:val="18"/>
        </w:rPr>
        <w:t>面积为27852.0</w:t>
      </w:r>
      <w:r>
        <w:rPr>
          <w:rFonts w:hint="eastAsia" w:ascii="宋体" w:hAnsi="宋体" w:cs="宋体"/>
          <w:sz w:val="18"/>
          <w:szCs w:val="18"/>
        </w:rPr>
        <w:t>m</w:t>
      </w:r>
      <w:r>
        <w:rPr>
          <w:rFonts w:ascii="宋体" w:hAnsi="宋体" w:cs="宋体"/>
          <w:sz w:val="18"/>
          <w:szCs w:val="18"/>
          <w:vertAlign w:val="superscript"/>
        </w:rPr>
        <w:t>2</w:t>
      </w:r>
      <w:r>
        <w:rPr>
          <w:rFonts w:ascii="宋体" w:hAnsi="宋体" w:cs="宋体"/>
          <w:sz w:val="18"/>
          <w:szCs w:val="18"/>
        </w:rPr>
        <w:t>，</w:t>
      </w:r>
      <w:r>
        <w:rPr>
          <w:rFonts w:hint="eastAsia" w:ascii="宋体" w:hAnsi="宋体" w:cs="宋体"/>
          <w:sz w:val="18"/>
          <w:szCs w:val="18"/>
        </w:rPr>
        <w:t>建筑面积</w:t>
      </w:r>
      <w:r>
        <w:rPr>
          <w:rFonts w:ascii="宋体" w:hAnsi="宋体" w:cs="宋体"/>
          <w:sz w:val="18"/>
          <w:szCs w:val="18"/>
        </w:rPr>
        <w:t>140143.62</w:t>
      </w:r>
      <w:r>
        <w:rPr>
          <w:rFonts w:hint="eastAsia" w:ascii="宋体" w:hAnsi="宋体" w:cs="宋体"/>
          <w:sz w:val="18"/>
          <w:szCs w:val="18"/>
        </w:rPr>
        <w:t>m</w:t>
      </w:r>
      <w:r>
        <w:rPr>
          <w:rFonts w:ascii="宋体" w:hAnsi="宋体" w:cs="宋体"/>
          <w:sz w:val="18"/>
          <w:szCs w:val="18"/>
          <w:vertAlign w:val="superscript"/>
        </w:rPr>
        <w:t>2</w:t>
      </w:r>
      <w:r>
        <w:rPr>
          <w:rFonts w:hint="eastAsia" w:ascii="宋体" w:hAnsi="宋体" w:cs="宋体"/>
          <w:sz w:val="18"/>
          <w:szCs w:val="18"/>
        </w:rPr>
        <w:t>，计算容积率面积为</w:t>
      </w:r>
      <w:r>
        <w:rPr>
          <w:rFonts w:ascii="宋体" w:hAnsi="宋体" w:cs="宋体"/>
          <w:sz w:val="18"/>
          <w:szCs w:val="18"/>
        </w:rPr>
        <w:t>85441.30㎡。</w:t>
      </w:r>
      <w:r>
        <w:rPr>
          <w:rFonts w:hint="eastAsia" w:ascii="宋体" w:hAnsi="宋体" w:cs="宋体"/>
          <w:sz w:val="18"/>
          <w:szCs w:val="18"/>
        </w:rPr>
        <w:t>R=</w:t>
      </w:r>
      <w:r>
        <w:rPr>
          <w:rFonts w:ascii="宋体" w:hAnsi="宋体" w:cs="宋体"/>
          <w:sz w:val="18"/>
          <w:szCs w:val="18"/>
        </w:rPr>
        <w:t>3.07</w:t>
      </w:r>
      <w:r>
        <w:rPr>
          <w:rFonts w:hint="eastAsia" w:ascii="宋体" w:hAnsi="宋体" w:cs="宋体"/>
          <w:sz w:val="18"/>
          <w:szCs w:val="18"/>
        </w:rPr>
        <w:t>。</w:t>
      </w:r>
    </w:p>
    <w:p w14:paraId="133CE139">
      <w:pPr>
        <w:spacing w:line="240" w:lineRule="exact"/>
        <w:rPr>
          <w:rFonts w:ascii="宋体" w:hAnsi="宋体"/>
          <w:sz w:val="18"/>
          <w:szCs w:val="18"/>
        </w:rPr>
      </w:pPr>
      <w:r>
        <w:rPr>
          <w:rFonts w:hint="eastAsia" w:ascii="宋体" w:hAnsi="宋体" w:cs="宋体"/>
          <w:sz w:val="18"/>
          <w:szCs w:val="18"/>
        </w:rPr>
        <w:t>证明材料：√设计图纸（建筑、Z</w:t>
      </w:r>
      <w:r>
        <w:rPr>
          <w:rFonts w:ascii="宋体" w:hAnsi="宋体" w:cs="宋体"/>
          <w:sz w:val="18"/>
          <w:szCs w:val="18"/>
        </w:rPr>
        <w:t>P</w:t>
      </w:r>
      <w:r>
        <w:rPr>
          <w:rFonts w:hint="eastAsia" w:ascii="宋体" w:hAnsi="宋体" w:cs="宋体"/>
          <w:sz w:val="18"/>
          <w:szCs w:val="18"/>
        </w:rPr>
        <w:t>-01_总平面图）;</w:t>
      </w:r>
      <w:r>
        <w:rPr>
          <w:rFonts w:ascii="宋体" w:hAnsi="宋体"/>
          <w:sz w:val="18"/>
          <w:szCs w:val="18"/>
        </w:rPr>
        <w:t xml:space="preserve"> </w:t>
      </w:r>
    </w:p>
    <w:p w14:paraId="32E8DEB5">
      <w:pPr>
        <w:spacing w:line="240" w:lineRule="exact"/>
        <w:rPr>
          <w:b/>
          <w:bCs/>
          <w:sz w:val="18"/>
          <w:szCs w:val="18"/>
        </w:rPr>
      </w:pPr>
    </w:p>
    <w:p w14:paraId="6C3CDBDD">
      <w:pPr>
        <w:spacing w:line="240" w:lineRule="exact"/>
        <w:rPr>
          <w:b/>
          <w:bCs/>
          <w:sz w:val="18"/>
          <w:szCs w:val="18"/>
        </w:rPr>
      </w:pPr>
      <w:r>
        <w:rPr>
          <w:rFonts w:hint="eastAsia"/>
          <w:b/>
          <w:bCs/>
          <w:sz w:val="18"/>
          <w:szCs w:val="18"/>
        </w:rPr>
        <w:t>建筑专业</w:t>
      </w:r>
    </w:p>
    <w:p w14:paraId="65F0035E">
      <w:pPr>
        <w:spacing w:line="240" w:lineRule="exact"/>
        <w:rPr>
          <w:rFonts w:ascii="黑体" w:hAnsi="宋体" w:eastAsia="黑体"/>
          <w:sz w:val="18"/>
          <w:szCs w:val="18"/>
        </w:rPr>
      </w:pPr>
      <w:r>
        <w:rPr>
          <w:rFonts w:ascii="黑体" w:hAnsi="宋体" w:eastAsia="黑体" w:cs="黑体"/>
          <w:sz w:val="18"/>
          <w:szCs w:val="18"/>
        </w:rPr>
        <w:t>7.2.2</w:t>
      </w:r>
      <w:r>
        <w:rPr>
          <w:rFonts w:hint="eastAsia" w:ascii="黑体" w:hAnsi="宋体" w:eastAsia="黑体" w:cs="黑体"/>
          <w:sz w:val="18"/>
          <w:szCs w:val="18"/>
        </w:rPr>
        <w:t>合理开发利用地下空间。</w:t>
      </w:r>
    </w:p>
    <w:p w14:paraId="3FCD19B9">
      <w:pPr>
        <w:spacing w:line="240" w:lineRule="exact"/>
        <w:rPr>
          <w:rFonts w:ascii="宋体"/>
          <w:sz w:val="18"/>
          <w:szCs w:val="18"/>
        </w:rPr>
      </w:pPr>
      <w:r>
        <w:rPr>
          <w:rFonts w:hint="eastAsia" w:ascii="宋体" w:hAnsi="宋体" w:cs="宋体"/>
          <w:sz w:val="18"/>
          <w:szCs w:val="18"/>
        </w:rPr>
        <w:t>技术措施说明：本项目医院建筑，地下建筑面积为</w:t>
      </w:r>
      <w:r>
        <w:rPr>
          <w:rFonts w:ascii="宋体" w:hAnsi="宋体" w:cs="宋体"/>
          <w:sz w:val="18"/>
          <w:szCs w:val="18"/>
        </w:rPr>
        <w:t>58362.32</w:t>
      </w:r>
      <w:r>
        <w:rPr>
          <w:rFonts w:hint="eastAsia" w:ascii="宋体" w:hAnsi="宋体" w:cs="宋体"/>
          <w:sz w:val="18"/>
          <w:szCs w:val="18"/>
        </w:rPr>
        <w:t>平方米，Rp1≥0.5。</w:t>
      </w:r>
    </w:p>
    <w:p w14:paraId="10DA116C">
      <w:pPr>
        <w:spacing w:line="240" w:lineRule="exact"/>
        <w:rPr>
          <w:rFonts w:ascii="黑体" w:hAnsi="宋体" w:eastAsia="黑体"/>
          <w:sz w:val="18"/>
          <w:szCs w:val="18"/>
        </w:rPr>
      </w:pPr>
      <w:r>
        <w:rPr>
          <w:rFonts w:hint="eastAsia" w:ascii="宋体" w:hAnsi="宋体" w:cs="宋体"/>
          <w:sz w:val="18"/>
          <w:szCs w:val="18"/>
        </w:rPr>
        <w:t>证明材料：</w:t>
      </w:r>
      <w:r>
        <w:rPr>
          <w:rFonts w:ascii="宋体" w:hAnsi="宋体"/>
          <w:sz w:val="18"/>
          <w:szCs w:val="18"/>
        </w:rPr>
        <w:t xml:space="preserve"> </w:t>
      </w:r>
      <w:r>
        <w:rPr>
          <w:rFonts w:hint="eastAsia" w:ascii="宋体" w:hAnsi="宋体" w:cs="宋体"/>
          <w:sz w:val="18"/>
          <w:szCs w:val="18"/>
        </w:rPr>
        <w:t>√设计图纸（建筑、Z</w:t>
      </w:r>
      <w:r>
        <w:rPr>
          <w:rFonts w:ascii="宋体" w:hAnsi="宋体" w:cs="宋体"/>
          <w:sz w:val="18"/>
          <w:szCs w:val="18"/>
        </w:rPr>
        <w:t>P</w:t>
      </w:r>
      <w:r>
        <w:rPr>
          <w:rFonts w:hint="eastAsia" w:ascii="宋体" w:hAnsi="宋体" w:cs="宋体"/>
          <w:sz w:val="18"/>
          <w:szCs w:val="18"/>
        </w:rPr>
        <w:t>-01_总平面图，地下室平面图）</w:t>
      </w:r>
    </w:p>
    <w:p w14:paraId="2C30E161">
      <w:pPr>
        <w:spacing w:line="240" w:lineRule="exact"/>
        <w:rPr>
          <w:rFonts w:ascii="黑体" w:hAnsi="宋体" w:eastAsia="黑体"/>
          <w:sz w:val="18"/>
          <w:szCs w:val="18"/>
        </w:rPr>
      </w:pPr>
      <w:r>
        <w:rPr>
          <w:rFonts w:ascii="黑体" w:hAnsi="宋体" w:eastAsia="黑体" w:cs="黑体"/>
          <w:sz w:val="18"/>
          <w:szCs w:val="18"/>
        </w:rPr>
        <w:t>7.2.3</w:t>
      </w:r>
      <w:r>
        <w:rPr>
          <w:rFonts w:hint="eastAsia" w:ascii="黑体" w:hAnsi="宋体" w:eastAsia="黑体" w:cs="黑体"/>
          <w:sz w:val="18"/>
          <w:szCs w:val="18"/>
        </w:rPr>
        <w:t>采用机械式停车设施、地下停车库或地面停车楼等方式。</w:t>
      </w:r>
    </w:p>
    <w:p w14:paraId="46E1E150">
      <w:pPr>
        <w:spacing w:line="240" w:lineRule="exact"/>
        <w:rPr>
          <w:rFonts w:ascii="宋体"/>
          <w:sz w:val="18"/>
          <w:szCs w:val="18"/>
        </w:rPr>
      </w:pPr>
      <w:r>
        <w:rPr>
          <w:rFonts w:hint="eastAsia" w:ascii="宋体" w:hAnsi="宋体" w:cs="宋体"/>
          <w:sz w:val="18"/>
          <w:szCs w:val="18"/>
        </w:rPr>
        <w:t>技术措施说明：本项目为医院建筑，地面停车占地面积与其总建设用地面积的比率小于 8%。</w:t>
      </w:r>
    </w:p>
    <w:p w14:paraId="3A3D53DC">
      <w:pPr>
        <w:spacing w:line="240" w:lineRule="exact"/>
        <w:rPr>
          <w:rFonts w:ascii="宋体" w:cs="宋体"/>
          <w:sz w:val="18"/>
          <w:szCs w:val="18"/>
        </w:rPr>
      </w:pPr>
      <w:r>
        <w:rPr>
          <w:rFonts w:hint="eastAsia" w:ascii="宋体" w:hAnsi="宋体" w:cs="宋体"/>
          <w:sz w:val="18"/>
          <w:szCs w:val="18"/>
        </w:rPr>
        <w:t>证明材料：√设计图纸（建筑、Z</w:t>
      </w:r>
      <w:r>
        <w:rPr>
          <w:rFonts w:ascii="宋体" w:hAnsi="宋体" w:cs="宋体"/>
          <w:sz w:val="18"/>
          <w:szCs w:val="18"/>
        </w:rPr>
        <w:t>P</w:t>
      </w:r>
      <w:r>
        <w:rPr>
          <w:rFonts w:hint="eastAsia" w:ascii="宋体" w:hAnsi="宋体" w:cs="宋体"/>
          <w:sz w:val="18"/>
          <w:szCs w:val="18"/>
        </w:rPr>
        <w:t>-01_总平面图，地下室平面图）</w:t>
      </w:r>
    </w:p>
    <w:p w14:paraId="5D6B5215">
      <w:pPr>
        <w:spacing w:line="240" w:lineRule="exact"/>
        <w:rPr>
          <w:rFonts w:ascii="黑体" w:hAnsi="宋体" w:eastAsia="黑体"/>
          <w:sz w:val="18"/>
          <w:szCs w:val="18"/>
        </w:rPr>
      </w:pPr>
      <w:r>
        <w:rPr>
          <w:rFonts w:ascii="黑体" w:hAnsi="宋体" w:eastAsia="黑体" w:cs="黑体"/>
          <w:sz w:val="18"/>
          <w:szCs w:val="18"/>
        </w:rPr>
        <w:t>7.2.4</w:t>
      </w:r>
      <w:r>
        <w:rPr>
          <w:rFonts w:hint="eastAsia" w:ascii="黑体" w:hAnsi="宋体" w:eastAsia="黑体" w:cs="黑体"/>
          <w:sz w:val="18"/>
          <w:szCs w:val="18"/>
        </w:rPr>
        <w:t>优化建筑围护结构的热工性能。</w:t>
      </w:r>
    </w:p>
    <w:p w14:paraId="493ABBEC">
      <w:pPr>
        <w:spacing w:line="240" w:lineRule="exact"/>
        <w:rPr>
          <w:rFonts w:ascii="宋体" w:hAnsi="宋体" w:cs="宋体"/>
          <w:sz w:val="18"/>
          <w:szCs w:val="18"/>
        </w:rPr>
      </w:pPr>
      <w:r>
        <w:rPr>
          <w:rFonts w:hint="eastAsia" w:ascii="宋体" w:hAnsi="宋体" w:cs="宋体"/>
          <w:sz w:val="18"/>
          <w:szCs w:val="18"/>
        </w:rPr>
        <w:t>技术措施说明：本</w:t>
      </w:r>
      <w:r>
        <w:rPr>
          <w:rFonts w:ascii="宋体" w:hAnsi="宋体" w:cs="宋体"/>
          <w:sz w:val="18"/>
          <w:szCs w:val="18"/>
        </w:rPr>
        <w:t>项目</w:t>
      </w:r>
      <w:r>
        <w:rPr>
          <w:rFonts w:hint="eastAsia" w:ascii="宋体" w:hAnsi="宋体" w:cs="宋体"/>
          <w:sz w:val="18"/>
          <w:szCs w:val="18"/>
        </w:rPr>
        <w:t>医院建筑设计</w:t>
      </w:r>
      <w:r>
        <w:rPr>
          <w:rFonts w:ascii="宋体" w:hAnsi="宋体" w:cs="宋体"/>
          <w:sz w:val="18"/>
          <w:szCs w:val="18"/>
        </w:rPr>
        <w:t>建筑</w:t>
      </w:r>
      <w:r>
        <w:rPr>
          <w:rFonts w:hint="eastAsia" w:ascii="宋体" w:hAnsi="宋体" w:cs="宋体"/>
          <w:sz w:val="18"/>
          <w:szCs w:val="18"/>
        </w:rPr>
        <w:t>供暖空调负荷耗电量比</w:t>
      </w:r>
      <w:r>
        <w:rPr>
          <w:rFonts w:ascii="宋体" w:hAnsi="宋体" w:cs="宋体"/>
          <w:sz w:val="18"/>
          <w:szCs w:val="18"/>
        </w:rPr>
        <w:t>参照建筑</w:t>
      </w:r>
      <w:r>
        <w:rPr>
          <w:rFonts w:hint="eastAsia" w:ascii="宋体" w:hAnsi="宋体" w:cs="宋体"/>
          <w:sz w:val="18"/>
          <w:szCs w:val="18"/>
        </w:rPr>
        <w:t>耗电量降低</w:t>
      </w:r>
      <w:r>
        <w:rPr>
          <w:rFonts w:ascii="宋体" w:hAnsi="宋体" w:cs="宋体"/>
          <w:sz w:val="18"/>
          <w:szCs w:val="18"/>
        </w:rPr>
        <w:t>比例大于1</w:t>
      </w:r>
      <w:r>
        <w:rPr>
          <w:rFonts w:hint="eastAsia" w:ascii="宋体" w:hAnsi="宋体" w:cs="宋体"/>
          <w:sz w:val="18"/>
          <w:szCs w:val="18"/>
          <w:lang w:val="en-US" w:eastAsia="zh-CN"/>
        </w:rPr>
        <w:t>5</w:t>
      </w:r>
      <w:r>
        <w:rPr>
          <w:rFonts w:ascii="宋体" w:hAnsi="宋体" w:cs="宋体"/>
          <w:sz w:val="18"/>
          <w:szCs w:val="18"/>
        </w:rPr>
        <w:t>%</w:t>
      </w:r>
      <w:r>
        <w:rPr>
          <w:rFonts w:hint="eastAsia" w:ascii="宋体" w:hAnsi="宋体" w:cs="宋体"/>
          <w:sz w:val="18"/>
          <w:szCs w:val="18"/>
        </w:rPr>
        <w:t>，满足规范限定值要求，统计结果如下表，主要围护结构结构如下：</w:t>
      </w:r>
    </w:p>
    <w:p w14:paraId="72A10BDE">
      <w:pPr>
        <w:spacing w:line="240" w:lineRule="exact"/>
        <w:rPr>
          <w:rFonts w:ascii="宋体" w:hAnsi="宋体" w:cs="宋体"/>
          <w:sz w:val="18"/>
          <w:szCs w:val="18"/>
        </w:rPr>
      </w:pPr>
      <w:r>
        <w:rPr>
          <w:rFonts w:hint="eastAsia" w:ascii="宋体" w:hAnsi="宋体" w:cs="宋体"/>
          <w:sz w:val="18"/>
          <w:szCs w:val="18"/>
        </w:rPr>
        <w:t>屋面：采用1</w:t>
      </w:r>
      <w:r>
        <w:rPr>
          <w:rFonts w:ascii="宋体" w:hAnsi="宋体" w:cs="宋体"/>
          <w:sz w:val="18"/>
          <w:szCs w:val="18"/>
        </w:rPr>
        <w:t>00</w:t>
      </w:r>
      <w:r>
        <w:rPr>
          <w:rFonts w:hint="eastAsia" w:ascii="宋体" w:hAnsi="宋体" w:cs="宋体"/>
          <w:sz w:val="18"/>
          <w:szCs w:val="18"/>
        </w:rPr>
        <w:t>mm挤塑聚苯板为隔热层的倒置式屋面，</w:t>
      </w:r>
      <w:r>
        <w:rPr>
          <w:rFonts w:ascii="宋体" w:hAnsi="宋体" w:cs="宋体"/>
          <w:sz w:val="18"/>
          <w:szCs w:val="18"/>
        </w:rPr>
        <w:t>传热系数为</w:t>
      </w:r>
      <w:r>
        <w:rPr>
          <w:rFonts w:hint="eastAsia" w:ascii="宋体" w:hAnsi="宋体" w:cs="宋体"/>
          <w:sz w:val="18"/>
          <w:szCs w:val="18"/>
        </w:rPr>
        <w:t>≤0.</w:t>
      </w:r>
      <w:r>
        <w:rPr>
          <w:rFonts w:ascii="宋体" w:hAnsi="宋体" w:cs="宋体"/>
          <w:sz w:val="18"/>
          <w:szCs w:val="18"/>
        </w:rPr>
        <w:t>4</w:t>
      </w:r>
      <w:r>
        <w:rPr>
          <w:rFonts w:hint="eastAsia" w:ascii="宋体" w:hAnsi="宋体" w:cs="宋体"/>
          <w:sz w:val="18"/>
          <w:szCs w:val="18"/>
        </w:rPr>
        <w:t>0</w:t>
      </w:r>
      <w:r>
        <w:rPr>
          <w:rFonts w:ascii="宋体" w:hAnsi="宋体" w:cs="宋体"/>
          <w:sz w:val="18"/>
          <w:szCs w:val="18"/>
        </w:rPr>
        <w:t>W/</w:t>
      </w:r>
      <w:r>
        <w:rPr>
          <w:rFonts w:hint="eastAsia" w:ascii="宋体" w:hAnsi="宋体" w:cs="宋体"/>
          <w:sz w:val="18"/>
          <w:szCs w:val="18"/>
        </w:rPr>
        <w:t>m</w:t>
      </w:r>
      <w:r>
        <w:rPr>
          <w:rFonts w:ascii="宋体" w:hAnsi="宋体" w:cs="宋体"/>
          <w:sz w:val="18"/>
          <w:szCs w:val="18"/>
          <w:vertAlign w:val="superscript"/>
        </w:rPr>
        <w:t>2</w:t>
      </w:r>
      <w:r>
        <w:rPr>
          <w:rFonts w:ascii="宋体" w:hAnsi="宋体" w:cs="宋体"/>
          <w:sz w:val="18"/>
          <w:szCs w:val="18"/>
        </w:rPr>
        <w:t>·K</w:t>
      </w:r>
      <w:r>
        <w:rPr>
          <w:rFonts w:hint="eastAsia" w:ascii="宋体" w:hAnsi="宋体" w:cs="宋体"/>
          <w:sz w:val="18"/>
          <w:szCs w:val="18"/>
        </w:rPr>
        <w:t>；</w:t>
      </w:r>
    </w:p>
    <w:p w14:paraId="65B2F3FC">
      <w:pPr>
        <w:spacing w:line="240" w:lineRule="exact"/>
        <w:rPr>
          <w:rFonts w:ascii="宋体" w:hAnsi="宋体" w:cs="宋体"/>
          <w:sz w:val="18"/>
          <w:szCs w:val="18"/>
        </w:rPr>
      </w:pPr>
      <w:r>
        <w:rPr>
          <w:rFonts w:ascii="宋体" w:hAnsi="宋体" w:cs="宋体"/>
          <w:sz w:val="18"/>
          <w:szCs w:val="18"/>
        </w:rPr>
        <w:t>外墙</w:t>
      </w:r>
      <w:r>
        <w:rPr>
          <w:rFonts w:hint="eastAsia" w:ascii="宋体" w:hAnsi="宋体" w:cs="宋体"/>
          <w:sz w:val="18"/>
          <w:szCs w:val="18"/>
        </w:rPr>
        <w:t>：东西朝向墙体传热系数≤</w:t>
      </w:r>
      <w:r>
        <w:rPr>
          <w:rFonts w:ascii="宋体" w:hAnsi="宋体" w:cs="宋体"/>
          <w:sz w:val="18"/>
          <w:szCs w:val="18"/>
        </w:rPr>
        <w:t>1.5 W/</w:t>
      </w:r>
      <w:r>
        <w:rPr>
          <w:rFonts w:hint="eastAsia" w:ascii="宋体" w:hAnsi="宋体" w:cs="宋体"/>
          <w:sz w:val="18"/>
          <w:szCs w:val="18"/>
        </w:rPr>
        <w:t>m</w:t>
      </w:r>
      <w:r>
        <w:rPr>
          <w:rFonts w:ascii="宋体" w:hAnsi="宋体" w:cs="宋体"/>
          <w:sz w:val="18"/>
          <w:szCs w:val="18"/>
          <w:vertAlign w:val="superscript"/>
        </w:rPr>
        <w:t>2</w:t>
      </w:r>
      <w:r>
        <w:rPr>
          <w:rFonts w:ascii="宋体" w:hAnsi="宋体" w:cs="宋体"/>
          <w:sz w:val="18"/>
          <w:szCs w:val="18"/>
        </w:rPr>
        <w:t>·K</w:t>
      </w:r>
      <w:r>
        <w:rPr>
          <w:rFonts w:hint="eastAsia" w:ascii="宋体" w:hAnsi="宋体" w:cs="宋体"/>
          <w:sz w:val="18"/>
          <w:szCs w:val="18"/>
        </w:rPr>
        <w:t>；</w:t>
      </w:r>
    </w:p>
    <w:p w14:paraId="2D88AA45">
      <w:pPr>
        <w:spacing w:line="240" w:lineRule="exact"/>
        <w:rPr>
          <w:rFonts w:ascii="宋体" w:hAnsi="宋体" w:cs="宋体"/>
          <w:sz w:val="18"/>
          <w:szCs w:val="18"/>
        </w:rPr>
      </w:pPr>
      <w:r>
        <w:rPr>
          <w:rFonts w:hint="eastAsia" w:ascii="宋体" w:hAnsi="宋体" w:cs="宋体"/>
          <w:sz w:val="18"/>
          <w:szCs w:val="18"/>
        </w:rPr>
        <w:t>外窗：采用普通铝合金+6LOW-e+12</w:t>
      </w:r>
      <w:r>
        <w:rPr>
          <w:rFonts w:hint="eastAsia" w:ascii="宋体" w:hAnsi="宋体" w:cs="宋体"/>
          <w:sz w:val="18"/>
          <w:szCs w:val="18"/>
          <w:lang w:eastAsia="zh-CN"/>
        </w:rPr>
        <w:t>A</w:t>
      </w:r>
      <w:r>
        <w:rPr>
          <w:rFonts w:hint="eastAsia" w:ascii="宋体" w:hAnsi="宋体" w:cs="宋体"/>
          <w:sz w:val="18"/>
          <w:szCs w:val="18"/>
        </w:rPr>
        <w:t>+6中空玻璃。</w:t>
      </w:r>
    </w:p>
    <w:p w14:paraId="43BEEA66">
      <w:pPr>
        <w:spacing w:line="240" w:lineRule="exact"/>
        <w:rPr>
          <w:rFonts w:hint="eastAsia" w:ascii="宋体" w:hAnsi="宋体" w:cs="宋体"/>
          <w:sz w:val="18"/>
          <w:szCs w:val="18"/>
        </w:rPr>
      </w:pPr>
      <w:r>
        <w:rPr>
          <w:rFonts w:hint="eastAsia" w:ascii="宋体" w:hAnsi="宋体" w:cs="宋体"/>
          <w:sz w:val="18"/>
          <w:szCs w:val="18"/>
        </w:rPr>
        <w:t>证明材料：√</w:t>
      </w:r>
      <w:r>
        <w:rPr>
          <w:rFonts w:hint="eastAsia" w:ascii="宋体" w:hAnsi="宋体" w:cs="宋体"/>
          <w:sz w:val="18"/>
          <w:szCs w:val="18"/>
          <w:lang w:val="en-US" w:eastAsia="zh-CN"/>
        </w:rPr>
        <w:t>综合</w:t>
      </w:r>
      <w:r>
        <w:rPr>
          <w:rFonts w:hint="eastAsia" w:ascii="宋体" w:hAnsi="宋体" w:cs="宋体"/>
          <w:sz w:val="18"/>
          <w:szCs w:val="18"/>
        </w:rPr>
        <w:t>能耗</w:t>
      </w:r>
      <w:r>
        <w:rPr>
          <w:rFonts w:hint="eastAsia" w:ascii="宋体" w:hAnsi="宋体" w:cs="宋体"/>
          <w:sz w:val="18"/>
          <w:szCs w:val="18"/>
          <w:lang w:val="en-US" w:eastAsia="zh-CN"/>
        </w:rPr>
        <w:t>节能率</w:t>
      </w:r>
      <w:r>
        <w:rPr>
          <w:rFonts w:hint="eastAsia" w:ascii="宋体" w:hAnsi="宋体" w:cs="宋体"/>
          <w:sz w:val="18"/>
          <w:szCs w:val="18"/>
        </w:rPr>
        <w:t>计算书</w:t>
      </w:r>
      <w:r>
        <w:rPr>
          <w:rFonts w:hint="eastAsia" w:ascii="宋体" w:hAnsi="宋体"/>
          <w:sz w:val="18"/>
          <w:szCs w:val="18"/>
        </w:rPr>
        <w:t>；</w:t>
      </w:r>
      <w:r>
        <w:rPr>
          <w:rFonts w:ascii="宋体" w:hAnsi="宋体"/>
          <w:sz w:val="18"/>
          <w:szCs w:val="18"/>
        </w:rPr>
        <w:t xml:space="preserve"> </w:t>
      </w:r>
      <w:r>
        <w:rPr>
          <w:rFonts w:hint="eastAsia" w:ascii="宋体" w:hAnsi="宋体" w:cs="宋体"/>
          <w:sz w:val="18"/>
          <w:szCs w:val="18"/>
        </w:rPr>
        <w:t>√设计图纸（建筑、建筑节能设计专篇）</w:t>
      </w:r>
    </w:p>
    <w:p w14:paraId="0C236B3D">
      <w:pPr>
        <w:spacing w:line="240" w:lineRule="exact"/>
        <w:rPr>
          <w:rFonts w:ascii="黑体" w:hAnsi="宋体" w:eastAsia="黑体"/>
          <w:sz w:val="18"/>
          <w:szCs w:val="18"/>
        </w:rPr>
      </w:pPr>
      <w:r>
        <w:rPr>
          <w:rFonts w:ascii="黑体" w:hAnsi="宋体" w:eastAsia="黑体" w:cs="黑体"/>
          <w:sz w:val="18"/>
          <w:szCs w:val="18"/>
        </w:rPr>
        <w:t>7.2.8</w:t>
      </w:r>
      <w:r>
        <w:rPr>
          <w:rFonts w:hint="eastAsia" w:ascii="黑体" w:hAnsi="宋体" w:eastAsia="黑体" w:cs="黑体"/>
          <w:sz w:val="18"/>
          <w:szCs w:val="18"/>
        </w:rPr>
        <w:t>采用措施降低建筑能耗。</w:t>
      </w:r>
    </w:p>
    <w:p w14:paraId="379E52AD">
      <w:pPr>
        <w:spacing w:line="240" w:lineRule="exact"/>
        <w:rPr>
          <w:rFonts w:ascii="宋体" w:hAnsi="宋体" w:cs="宋体"/>
          <w:sz w:val="18"/>
          <w:szCs w:val="18"/>
        </w:rPr>
      </w:pPr>
      <w:r>
        <w:rPr>
          <w:rFonts w:hint="eastAsia" w:ascii="宋体" w:hAnsi="宋体" w:cs="宋体"/>
          <w:sz w:val="18"/>
          <w:szCs w:val="18"/>
        </w:rPr>
        <w:t>技术措施说明：</w:t>
      </w:r>
    </w:p>
    <w:p w14:paraId="108A62A0">
      <w:pPr>
        <w:spacing w:line="240" w:lineRule="exact"/>
        <w:rPr>
          <w:rFonts w:ascii="宋体" w:hAnsi="宋体" w:cs="宋体"/>
          <w:sz w:val="18"/>
          <w:szCs w:val="18"/>
        </w:rPr>
      </w:pPr>
      <w:r>
        <w:rPr>
          <w:rFonts w:hint="eastAsia" w:ascii="宋体" w:hAnsi="宋体" w:cs="宋体"/>
          <w:sz w:val="18"/>
          <w:szCs w:val="18"/>
        </w:rPr>
        <w:t>（1）本</w:t>
      </w:r>
      <w:r>
        <w:rPr>
          <w:rFonts w:ascii="宋体" w:hAnsi="宋体" w:cs="宋体"/>
          <w:sz w:val="18"/>
          <w:szCs w:val="18"/>
        </w:rPr>
        <w:t>项目</w:t>
      </w:r>
      <w:r>
        <w:rPr>
          <w:rFonts w:hint="eastAsia" w:ascii="宋体" w:hAnsi="宋体" w:cs="宋体"/>
          <w:sz w:val="18"/>
          <w:szCs w:val="18"/>
        </w:rPr>
        <w:t>各单体设计</w:t>
      </w:r>
      <w:r>
        <w:rPr>
          <w:rFonts w:ascii="宋体" w:hAnsi="宋体" w:cs="宋体"/>
          <w:sz w:val="18"/>
          <w:szCs w:val="18"/>
        </w:rPr>
        <w:t>建筑</w:t>
      </w:r>
      <w:r>
        <w:rPr>
          <w:rFonts w:hint="eastAsia" w:ascii="宋体" w:hAnsi="宋体" w:cs="宋体"/>
          <w:sz w:val="18"/>
          <w:szCs w:val="18"/>
        </w:rPr>
        <w:t>热工性能比参照建筑热工性能分别降低</w:t>
      </w:r>
      <w:r>
        <w:rPr>
          <w:rFonts w:ascii="宋体" w:hAnsi="宋体" w:cs="宋体"/>
          <w:sz w:val="18"/>
          <w:szCs w:val="18"/>
        </w:rPr>
        <w:t>20%</w:t>
      </w:r>
      <w:r>
        <w:rPr>
          <w:rFonts w:hint="eastAsia" w:ascii="宋体" w:hAnsi="宋体" w:cs="宋体"/>
          <w:sz w:val="18"/>
          <w:szCs w:val="18"/>
        </w:rPr>
        <w:t>以上，主要围护结构结构如下：</w:t>
      </w:r>
    </w:p>
    <w:p w14:paraId="458B2360">
      <w:pPr>
        <w:spacing w:line="240" w:lineRule="exact"/>
        <w:rPr>
          <w:rFonts w:ascii="宋体" w:hAnsi="宋体" w:cs="宋体"/>
          <w:sz w:val="18"/>
          <w:szCs w:val="18"/>
        </w:rPr>
      </w:pPr>
      <w:r>
        <w:rPr>
          <w:rFonts w:hint="eastAsia" w:ascii="宋体" w:hAnsi="宋体" w:cs="宋体"/>
          <w:sz w:val="18"/>
          <w:szCs w:val="18"/>
        </w:rPr>
        <w:t>屋面：采用1</w:t>
      </w:r>
      <w:r>
        <w:rPr>
          <w:rFonts w:ascii="宋体" w:hAnsi="宋体" w:cs="宋体"/>
          <w:sz w:val="18"/>
          <w:szCs w:val="18"/>
        </w:rPr>
        <w:t>00</w:t>
      </w:r>
      <w:r>
        <w:rPr>
          <w:rFonts w:hint="eastAsia" w:ascii="宋体" w:hAnsi="宋体" w:cs="宋体"/>
          <w:sz w:val="18"/>
          <w:szCs w:val="18"/>
        </w:rPr>
        <w:t>mm挤塑聚苯板为隔热层的倒置式屋面，</w:t>
      </w:r>
      <w:r>
        <w:rPr>
          <w:rFonts w:ascii="宋体" w:hAnsi="宋体" w:cs="宋体"/>
          <w:sz w:val="18"/>
          <w:szCs w:val="18"/>
        </w:rPr>
        <w:t>传热系数为</w:t>
      </w:r>
      <w:r>
        <w:rPr>
          <w:rFonts w:hint="eastAsia" w:ascii="宋体" w:hAnsi="宋体" w:cs="宋体"/>
          <w:sz w:val="18"/>
          <w:szCs w:val="18"/>
        </w:rPr>
        <w:t>0</w:t>
      </w:r>
      <w:r>
        <w:rPr>
          <w:rFonts w:ascii="宋体" w:hAnsi="宋体" w:cs="宋体"/>
          <w:sz w:val="18"/>
          <w:szCs w:val="18"/>
        </w:rPr>
        <w:t>.</w:t>
      </w:r>
      <w:r>
        <w:rPr>
          <w:rFonts w:hint="eastAsia" w:ascii="宋体" w:hAnsi="宋体" w:cs="宋体"/>
          <w:sz w:val="18"/>
          <w:szCs w:val="18"/>
          <w:lang w:val="en-US" w:eastAsia="zh-CN"/>
        </w:rPr>
        <w:t>40</w:t>
      </w:r>
      <w:r>
        <w:rPr>
          <w:rFonts w:ascii="宋体" w:hAnsi="宋体" w:cs="宋体"/>
          <w:sz w:val="18"/>
          <w:szCs w:val="18"/>
        </w:rPr>
        <w:t>W/</w:t>
      </w:r>
      <w:r>
        <w:rPr>
          <w:rFonts w:hint="eastAsia" w:ascii="宋体" w:hAnsi="宋体" w:cs="宋体"/>
          <w:sz w:val="18"/>
          <w:szCs w:val="18"/>
        </w:rPr>
        <w:t>m</w:t>
      </w:r>
      <w:r>
        <w:rPr>
          <w:rFonts w:ascii="宋体" w:hAnsi="宋体" w:cs="宋体"/>
          <w:sz w:val="18"/>
          <w:szCs w:val="18"/>
          <w:vertAlign w:val="superscript"/>
        </w:rPr>
        <w:t>2</w:t>
      </w:r>
      <w:r>
        <w:rPr>
          <w:rFonts w:ascii="宋体" w:hAnsi="宋体" w:cs="宋体"/>
          <w:sz w:val="18"/>
          <w:szCs w:val="18"/>
        </w:rPr>
        <w:t>·K</w:t>
      </w:r>
      <w:r>
        <w:rPr>
          <w:rFonts w:hint="eastAsia" w:ascii="宋体" w:hAnsi="宋体" w:cs="宋体"/>
          <w:sz w:val="18"/>
          <w:szCs w:val="18"/>
        </w:rPr>
        <w:t>；</w:t>
      </w:r>
    </w:p>
    <w:p w14:paraId="0A68CAC6">
      <w:pPr>
        <w:spacing w:line="240" w:lineRule="exact"/>
        <w:rPr>
          <w:rFonts w:ascii="宋体" w:hAnsi="宋体" w:cs="宋体"/>
          <w:sz w:val="18"/>
          <w:szCs w:val="18"/>
        </w:rPr>
      </w:pPr>
      <w:r>
        <w:rPr>
          <w:rFonts w:ascii="宋体" w:hAnsi="宋体" w:cs="宋体"/>
          <w:sz w:val="18"/>
          <w:szCs w:val="18"/>
        </w:rPr>
        <w:t>外墙</w:t>
      </w:r>
      <w:r>
        <w:rPr>
          <w:rFonts w:hint="eastAsia" w:ascii="宋体" w:hAnsi="宋体" w:cs="宋体"/>
          <w:sz w:val="18"/>
          <w:szCs w:val="18"/>
        </w:rPr>
        <w:t>：墙体传热系数1</w:t>
      </w:r>
      <w:r>
        <w:rPr>
          <w:rFonts w:ascii="宋体" w:hAnsi="宋体" w:cs="宋体"/>
          <w:sz w:val="18"/>
          <w:szCs w:val="18"/>
        </w:rPr>
        <w:t>.2</w:t>
      </w:r>
      <w:r>
        <w:rPr>
          <w:rFonts w:hint="eastAsia" w:ascii="宋体" w:hAnsi="宋体" w:cs="宋体"/>
          <w:sz w:val="18"/>
          <w:szCs w:val="18"/>
          <w:lang w:val="en-US" w:eastAsia="zh-CN"/>
        </w:rPr>
        <w:t>3</w:t>
      </w:r>
      <w:r>
        <w:rPr>
          <w:rFonts w:ascii="宋体" w:hAnsi="宋体" w:cs="宋体"/>
          <w:sz w:val="18"/>
          <w:szCs w:val="18"/>
        </w:rPr>
        <w:t xml:space="preserve"> W/</w:t>
      </w:r>
      <w:r>
        <w:rPr>
          <w:rFonts w:hint="eastAsia" w:ascii="宋体" w:hAnsi="宋体" w:cs="宋体"/>
          <w:sz w:val="18"/>
          <w:szCs w:val="18"/>
        </w:rPr>
        <w:t>m</w:t>
      </w:r>
      <w:r>
        <w:rPr>
          <w:rFonts w:ascii="宋体" w:hAnsi="宋体" w:cs="宋体"/>
          <w:sz w:val="18"/>
          <w:szCs w:val="18"/>
          <w:vertAlign w:val="superscript"/>
        </w:rPr>
        <w:t>2</w:t>
      </w:r>
      <w:r>
        <w:rPr>
          <w:rFonts w:ascii="宋体" w:hAnsi="宋体" w:cs="宋体"/>
          <w:sz w:val="18"/>
          <w:szCs w:val="18"/>
        </w:rPr>
        <w:t>·K</w:t>
      </w:r>
      <w:r>
        <w:rPr>
          <w:rFonts w:hint="eastAsia" w:ascii="宋体" w:hAnsi="宋体" w:cs="宋体"/>
          <w:sz w:val="18"/>
          <w:szCs w:val="18"/>
        </w:rPr>
        <w:t>；</w:t>
      </w:r>
    </w:p>
    <w:p w14:paraId="5154C3C6">
      <w:pPr>
        <w:spacing w:line="240" w:lineRule="exact"/>
        <w:rPr>
          <w:rFonts w:ascii="宋体" w:hAnsi="宋体" w:cs="宋体"/>
          <w:sz w:val="18"/>
          <w:szCs w:val="18"/>
        </w:rPr>
      </w:pPr>
      <w:r>
        <w:rPr>
          <w:rFonts w:hint="eastAsia" w:ascii="宋体" w:hAnsi="宋体" w:cs="宋体"/>
          <w:sz w:val="18"/>
          <w:szCs w:val="18"/>
        </w:rPr>
        <w:t>外窗：采用6LOW-e+12A+6中空玻璃。</w:t>
      </w:r>
    </w:p>
    <w:p w14:paraId="504CA23C">
      <w:pPr>
        <w:spacing w:line="240" w:lineRule="exact"/>
        <w:rPr>
          <w:rFonts w:ascii="Times New Roman" w:hAnsi="Times New Roman"/>
          <w:sz w:val="18"/>
          <w:szCs w:val="18"/>
        </w:rPr>
      </w:pPr>
      <w:r>
        <w:rPr>
          <w:rFonts w:hint="eastAsia" w:ascii="宋体"/>
          <w:sz w:val="18"/>
          <w:szCs w:val="18"/>
        </w:rPr>
        <w:t>（2）本项目选用高效节能L</w:t>
      </w:r>
      <w:r>
        <w:rPr>
          <w:rFonts w:ascii="宋体"/>
          <w:sz w:val="18"/>
          <w:szCs w:val="18"/>
        </w:rPr>
        <w:t>ED</w:t>
      </w:r>
      <w:r>
        <w:rPr>
          <w:rFonts w:hint="eastAsia" w:ascii="宋体"/>
          <w:sz w:val="18"/>
          <w:szCs w:val="18"/>
        </w:rPr>
        <w:t>灯具，各房间的照明功率密度值均满足《建筑照明设计标准》（GB50034-20</w:t>
      </w:r>
      <w:r>
        <w:rPr>
          <w:rFonts w:hint="eastAsia" w:ascii="宋体"/>
          <w:sz w:val="18"/>
          <w:szCs w:val="18"/>
          <w:lang w:val="en-US" w:eastAsia="zh-CN"/>
        </w:rPr>
        <w:t>24</w:t>
      </w:r>
      <w:r>
        <w:rPr>
          <w:rFonts w:hint="eastAsia" w:ascii="宋体"/>
          <w:sz w:val="18"/>
          <w:szCs w:val="18"/>
        </w:rPr>
        <w:t>）</w:t>
      </w:r>
      <w:r>
        <w:rPr>
          <w:rFonts w:ascii="Times New Roman" w:hAnsi="Times New Roman"/>
          <w:sz w:val="18"/>
          <w:szCs w:val="18"/>
        </w:rPr>
        <w:t>及《建筑节能与可再生能源利用通用规范》（GB55015-2021）规定的</w:t>
      </w:r>
      <w:r>
        <w:rPr>
          <w:rFonts w:hint="eastAsia" w:ascii="Times New Roman" w:hAnsi="Times New Roman"/>
          <w:sz w:val="18"/>
          <w:szCs w:val="18"/>
        </w:rPr>
        <w:t>目标值</w:t>
      </w:r>
      <w:r>
        <w:rPr>
          <w:rFonts w:ascii="Times New Roman" w:hAnsi="Times New Roman"/>
          <w:sz w:val="18"/>
          <w:szCs w:val="18"/>
        </w:rPr>
        <w:t>。</w:t>
      </w:r>
    </w:p>
    <w:p w14:paraId="26F8B5AF">
      <w:pPr>
        <w:spacing w:line="240" w:lineRule="exact"/>
        <w:rPr>
          <w:rFonts w:ascii="宋体"/>
          <w:sz w:val="18"/>
          <w:szCs w:val="18"/>
        </w:rPr>
      </w:pPr>
      <w:r>
        <w:rPr>
          <w:rFonts w:hint="eastAsia" w:ascii="Times New Roman" w:hAnsi="Times New Roman"/>
          <w:sz w:val="18"/>
          <w:szCs w:val="18"/>
        </w:rPr>
        <w:t>（3）</w:t>
      </w:r>
      <w:r>
        <w:rPr>
          <w:rFonts w:ascii="Times New Roman" w:hAnsi="Times New Roman"/>
          <w:sz w:val="18"/>
          <w:szCs w:val="18"/>
        </w:rPr>
        <w:t>各功能房间多联机空调性能系数满足《公共建筑节能设计标准》GB 50189-2015规定的IPLV值要求。</w:t>
      </w:r>
    </w:p>
    <w:p w14:paraId="14041DF5">
      <w:pPr>
        <w:spacing w:line="240" w:lineRule="exact"/>
        <w:rPr>
          <w:rFonts w:ascii="宋体"/>
          <w:sz w:val="18"/>
          <w:szCs w:val="18"/>
        </w:rPr>
      </w:pPr>
      <w:r>
        <w:rPr>
          <w:rFonts w:hint="eastAsia" w:ascii="宋体"/>
          <w:sz w:val="18"/>
          <w:szCs w:val="18"/>
        </w:rPr>
        <w:t xml:space="preserve"> </w:t>
      </w:r>
      <w:r>
        <w:rPr>
          <w:rFonts w:ascii="宋体"/>
          <w:sz w:val="18"/>
          <w:szCs w:val="18"/>
        </w:rPr>
        <w:t xml:space="preserve">  </w:t>
      </w:r>
      <w:r>
        <w:rPr>
          <w:rFonts w:hint="eastAsia" w:ascii="宋体"/>
          <w:sz w:val="18"/>
          <w:szCs w:val="18"/>
        </w:rPr>
        <w:t>经计算，各单体</w:t>
      </w:r>
      <w:r>
        <w:rPr>
          <w:rFonts w:ascii="Times New Roman" w:hAnsi="Times New Roman"/>
          <w:sz w:val="18"/>
          <w:szCs w:val="18"/>
        </w:rPr>
        <w:t>设计建筑供暖空调及照明系统能耗比参照建筑供暖空调及照明系统能耗的降低比例大于20%</w:t>
      </w:r>
      <w:r>
        <w:rPr>
          <w:rFonts w:hint="eastAsia" w:ascii="宋体"/>
          <w:sz w:val="18"/>
          <w:szCs w:val="18"/>
        </w:rPr>
        <w:t>。</w:t>
      </w:r>
    </w:p>
    <w:p w14:paraId="693F2120">
      <w:pPr>
        <w:spacing w:line="240" w:lineRule="exact"/>
        <w:rPr>
          <w:rFonts w:hint="eastAsia" w:ascii="宋体" w:hAnsi="宋体" w:cs="宋体"/>
          <w:sz w:val="18"/>
          <w:szCs w:val="18"/>
        </w:rPr>
      </w:pPr>
      <w:r>
        <w:rPr>
          <w:rFonts w:hint="eastAsia" w:ascii="宋体" w:hAnsi="宋体" w:cs="宋体"/>
          <w:sz w:val="18"/>
          <w:szCs w:val="18"/>
        </w:rPr>
        <w:t>证明材料：√</w:t>
      </w:r>
      <w:r>
        <w:rPr>
          <w:rFonts w:hint="eastAsia" w:ascii="宋体" w:hAnsi="宋体" w:cs="宋体"/>
          <w:sz w:val="18"/>
          <w:szCs w:val="18"/>
          <w:lang w:val="en-US" w:eastAsia="zh-CN"/>
        </w:rPr>
        <w:t>绿色建筑空调照明系统节能率</w:t>
      </w:r>
      <w:r>
        <w:rPr>
          <w:rFonts w:hint="eastAsia" w:ascii="宋体" w:hAnsi="宋体" w:cs="宋体"/>
          <w:sz w:val="18"/>
          <w:szCs w:val="18"/>
        </w:rPr>
        <w:t>计算书；√设计图纸（</w:t>
      </w:r>
      <w:r>
        <w:rPr>
          <w:rFonts w:hint="eastAsia" w:ascii="宋体" w:hAnsi="宋体" w:cs="宋体"/>
          <w:sz w:val="18"/>
          <w:szCs w:val="18"/>
          <w:lang w:val="en-US" w:eastAsia="zh-CN"/>
        </w:rPr>
        <w:t>建筑</w:t>
      </w:r>
      <w:r>
        <w:rPr>
          <w:rFonts w:hint="eastAsia" w:ascii="宋体" w:hAnsi="宋体" w:cs="宋体"/>
          <w:sz w:val="18"/>
          <w:szCs w:val="18"/>
        </w:rPr>
        <w:t>、</w:t>
      </w:r>
      <w:r>
        <w:rPr>
          <w:rFonts w:hint="eastAsia" w:ascii="宋体" w:hAnsi="宋体" w:cs="宋体"/>
          <w:sz w:val="18"/>
          <w:szCs w:val="18"/>
          <w:lang w:val="en-US" w:eastAsia="zh-CN"/>
        </w:rPr>
        <w:t>建筑构造做法表；暖通、暖通设备表；电气、电气设计说明</w:t>
      </w:r>
      <w:r>
        <w:rPr>
          <w:rFonts w:hint="eastAsia" w:ascii="宋体" w:hAnsi="宋体" w:cs="宋体"/>
          <w:sz w:val="18"/>
          <w:szCs w:val="18"/>
        </w:rPr>
        <w:t>）</w:t>
      </w:r>
    </w:p>
    <w:p w14:paraId="4EE017C6">
      <w:pPr>
        <w:spacing w:line="240" w:lineRule="exact"/>
        <w:rPr>
          <w:rFonts w:ascii="黑体" w:hAnsi="宋体" w:eastAsia="黑体"/>
          <w:sz w:val="18"/>
          <w:szCs w:val="18"/>
        </w:rPr>
      </w:pPr>
      <w:r>
        <w:rPr>
          <w:rFonts w:ascii="黑体" w:hAnsi="宋体" w:eastAsia="黑体" w:cs="黑体"/>
          <w:sz w:val="18"/>
          <w:szCs w:val="18"/>
        </w:rPr>
        <w:t>7.2.14</w:t>
      </w:r>
      <w:r>
        <w:rPr>
          <w:rFonts w:hint="eastAsia" w:ascii="黑体" w:hAnsi="宋体" w:eastAsia="黑体" w:cs="黑体"/>
          <w:sz w:val="18"/>
          <w:szCs w:val="18"/>
        </w:rPr>
        <w:t>建筑所有区域实施土建工程与装修工程一体化设计及施工。</w:t>
      </w:r>
    </w:p>
    <w:p w14:paraId="254BE147">
      <w:pPr>
        <w:spacing w:line="240" w:lineRule="exact"/>
        <w:rPr>
          <w:rFonts w:ascii="宋体"/>
          <w:sz w:val="18"/>
          <w:szCs w:val="18"/>
        </w:rPr>
      </w:pPr>
      <w:r>
        <w:rPr>
          <w:rFonts w:hint="eastAsia" w:ascii="宋体" w:hAnsi="宋体" w:cs="宋体"/>
          <w:sz w:val="18"/>
          <w:szCs w:val="18"/>
        </w:rPr>
        <w:t>技术措施说明：</w:t>
      </w:r>
      <w:r>
        <w:rPr>
          <w:rFonts w:hint="eastAsia" w:ascii="宋体" w:hAnsi="宋体" w:cs="黑体"/>
          <w:sz w:val="18"/>
          <w:szCs w:val="18"/>
        </w:rPr>
        <w:t>本</w:t>
      </w:r>
      <w:r>
        <w:rPr>
          <w:rFonts w:ascii="宋体" w:hAnsi="宋体" w:cs="黑体"/>
          <w:sz w:val="18"/>
          <w:szCs w:val="18"/>
        </w:rPr>
        <w:t>项目为</w:t>
      </w:r>
      <w:r>
        <w:rPr>
          <w:rFonts w:hint="eastAsia" w:ascii="宋体" w:hAnsi="宋体" w:cs="宋体"/>
          <w:sz w:val="18"/>
          <w:szCs w:val="18"/>
        </w:rPr>
        <w:t>医院</w:t>
      </w:r>
      <w:r>
        <w:rPr>
          <w:rFonts w:hint="eastAsia" w:ascii="宋体" w:hAnsi="宋体" w:cs="黑体"/>
          <w:sz w:val="18"/>
          <w:szCs w:val="18"/>
        </w:rPr>
        <w:t>建筑</w:t>
      </w:r>
      <w:r>
        <w:rPr>
          <w:rFonts w:ascii="宋体" w:hAnsi="宋体" w:cs="黑体"/>
          <w:sz w:val="18"/>
          <w:szCs w:val="18"/>
        </w:rPr>
        <w:t>，所有</w:t>
      </w:r>
      <w:r>
        <w:rPr>
          <w:rFonts w:hint="eastAsia" w:ascii="宋体" w:hAnsi="宋体" w:cs="黑体"/>
          <w:sz w:val="18"/>
          <w:szCs w:val="18"/>
        </w:rPr>
        <w:t>区域实施土建工程与装修一体化设计及施工，统一协调土建设计、机电设计和装修设计，事先进行孔洞预留和装饰面层固定件的预埋，避免在装修时对已有建筑构件打凿、穿孔，</w:t>
      </w:r>
      <w:r>
        <w:rPr>
          <w:rFonts w:ascii="宋体" w:hAnsi="宋体" w:cs="黑体"/>
          <w:sz w:val="18"/>
          <w:szCs w:val="18"/>
        </w:rPr>
        <w:t>造成资源浪费。</w:t>
      </w:r>
    </w:p>
    <w:p w14:paraId="16AD88EC">
      <w:pPr>
        <w:spacing w:line="240" w:lineRule="exact"/>
        <w:rPr>
          <w:rFonts w:ascii="宋体"/>
          <w:sz w:val="18"/>
          <w:szCs w:val="18"/>
        </w:rPr>
      </w:pPr>
      <w:r>
        <w:rPr>
          <w:rFonts w:hint="eastAsia" w:ascii="宋体" w:hAnsi="宋体" w:cs="宋体"/>
          <w:sz w:val="18"/>
          <w:szCs w:val="18"/>
        </w:rPr>
        <w:t>证明材料：</w:t>
      </w:r>
      <w:r>
        <w:rPr>
          <w:rFonts w:ascii="宋体" w:hAnsi="宋体" w:cs="宋体"/>
          <w:sz w:val="18"/>
          <w:szCs w:val="18"/>
        </w:rPr>
        <w:t xml:space="preserve"> </w:t>
      </w:r>
      <w:r>
        <w:rPr>
          <w:rFonts w:hint="eastAsia" w:ascii="宋体" w:hAnsi="宋体" w:cs="宋体"/>
          <w:sz w:val="18"/>
          <w:szCs w:val="18"/>
        </w:rPr>
        <w:t>√二次设计达标承诺函</w:t>
      </w:r>
    </w:p>
    <w:p w14:paraId="0BB4E46B">
      <w:pPr>
        <w:spacing w:line="240" w:lineRule="exact"/>
        <w:rPr>
          <w:rFonts w:ascii="宋体" w:hAnsi="宋体" w:cs="宋体"/>
          <w:sz w:val="18"/>
          <w:szCs w:val="18"/>
        </w:rPr>
      </w:pPr>
    </w:p>
    <w:p w14:paraId="2399F383">
      <w:pPr>
        <w:spacing w:line="240" w:lineRule="exact"/>
        <w:rPr>
          <w:b/>
          <w:bCs/>
          <w:sz w:val="18"/>
          <w:szCs w:val="18"/>
        </w:rPr>
      </w:pPr>
      <w:r>
        <w:rPr>
          <w:rFonts w:hint="eastAsia"/>
          <w:b/>
          <w:bCs/>
          <w:sz w:val="18"/>
          <w:szCs w:val="18"/>
        </w:rPr>
        <w:t>结构专业</w:t>
      </w:r>
    </w:p>
    <w:p w14:paraId="174EE661">
      <w:pPr>
        <w:spacing w:line="240" w:lineRule="exact"/>
        <w:rPr>
          <w:rFonts w:ascii="黑体" w:hAnsi="宋体" w:eastAsia="黑体"/>
          <w:sz w:val="18"/>
          <w:szCs w:val="18"/>
        </w:rPr>
      </w:pPr>
      <w:r>
        <w:rPr>
          <w:rFonts w:ascii="黑体" w:hAnsi="宋体" w:eastAsia="黑体" w:cs="黑体"/>
          <w:sz w:val="18"/>
          <w:szCs w:val="18"/>
        </w:rPr>
        <w:t>7.2.15</w:t>
      </w:r>
      <w:r>
        <w:rPr>
          <w:rFonts w:hint="eastAsia" w:ascii="黑体" w:hAnsi="宋体" w:eastAsia="黑体" w:cs="黑体"/>
          <w:sz w:val="18"/>
          <w:szCs w:val="18"/>
        </w:rPr>
        <w:t>合理选用建筑结构材料与构件。</w:t>
      </w:r>
    </w:p>
    <w:p w14:paraId="1483BB41">
      <w:pPr>
        <w:spacing w:line="240" w:lineRule="exact"/>
        <w:rPr>
          <w:rFonts w:ascii="宋体" w:hAnsi="宋体" w:cs="宋体"/>
          <w:sz w:val="18"/>
          <w:szCs w:val="18"/>
        </w:rPr>
      </w:pPr>
      <w:r>
        <w:rPr>
          <w:rFonts w:hint="eastAsia" w:ascii="宋体" w:hAnsi="宋体" w:cs="宋体"/>
          <w:sz w:val="18"/>
          <w:szCs w:val="18"/>
        </w:rPr>
        <w:t>技术措施说明：本</w:t>
      </w:r>
      <w:r>
        <w:rPr>
          <w:rFonts w:ascii="宋体" w:hAnsi="宋体" w:cs="宋体"/>
          <w:sz w:val="18"/>
          <w:szCs w:val="18"/>
        </w:rPr>
        <w:t>项目</w:t>
      </w:r>
      <w:r>
        <w:rPr>
          <w:rFonts w:hint="eastAsia" w:ascii="宋体" w:hAnsi="宋体" w:cs="宋体"/>
          <w:sz w:val="18"/>
          <w:szCs w:val="18"/>
        </w:rPr>
        <w:t>采用钢筋混凝土剪力墙结构，各</w:t>
      </w:r>
      <w:r>
        <w:rPr>
          <w:rFonts w:ascii="宋体" w:hAnsi="宋体" w:cs="宋体"/>
          <w:sz w:val="18"/>
          <w:szCs w:val="18"/>
        </w:rPr>
        <w:t>主受力钢筋、面筋、</w:t>
      </w:r>
      <w:r>
        <w:rPr>
          <w:rFonts w:hint="eastAsia" w:ascii="宋体" w:hAnsi="宋体" w:cs="宋体"/>
          <w:sz w:val="18"/>
          <w:szCs w:val="18"/>
        </w:rPr>
        <w:t>箍筋</w:t>
      </w:r>
      <w:r>
        <w:rPr>
          <w:rFonts w:ascii="宋体" w:hAnsi="宋体" w:cs="宋体"/>
          <w:sz w:val="18"/>
          <w:szCs w:val="18"/>
        </w:rPr>
        <w:t>等均采用三级以上高强度钢筋</w:t>
      </w:r>
      <w:r>
        <w:rPr>
          <w:rFonts w:hint="eastAsia" w:ascii="宋体" w:hAnsi="宋体" w:cs="宋体"/>
          <w:sz w:val="18"/>
          <w:szCs w:val="18"/>
        </w:rPr>
        <w:t>H</w:t>
      </w:r>
      <w:r>
        <w:rPr>
          <w:rFonts w:ascii="宋体" w:hAnsi="宋体" w:cs="宋体"/>
          <w:sz w:val="18"/>
          <w:szCs w:val="18"/>
        </w:rPr>
        <w:t>RB400M</w:t>
      </w:r>
      <w:r>
        <w:rPr>
          <w:rFonts w:hint="eastAsia" w:ascii="宋体" w:hAnsi="宋体" w:cs="宋体"/>
          <w:sz w:val="18"/>
          <w:szCs w:val="18"/>
        </w:rPr>
        <w:t>p</w:t>
      </w:r>
      <w:r>
        <w:rPr>
          <w:rFonts w:ascii="宋体" w:hAnsi="宋体" w:cs="宋体"/>
          <w:sz w:val="18"/>
          <w:szCs w:val="18"/>
        </w:rPr>
        <w:t>a</w:t>
      </w:r>
      <w:r>
        <w:rPr>
          <w:rFonts w:hint="eastAsia" w:ascii="宋体" w:hAnsi="宋体" w:cs="宋体"/>
          <w:sz w:val="18"/>
          <w:szCs w:val="18"/>
        </w:rPr>
        <w:t>，</w:t>
      </w:r>
      <w:r>
        <w:rPr>
          <w:rFonts w:ascii="宋体" w:hAnsi="宋体" w:cs="宋体"/>
          <w:sz w:val="18"/>
          <w:szCs w:val="18"/>
        </w:rPr>
        <w:t>高强度钢筋</w:t>
      </w:r>
      <w:r>
        <w:rPr>
          <w:rFonts w:hint="eastAsia" w:ascii="宋体" w:hAnsi="宋体" w:cs="宋体"/>
          <w:sz w:val="18"/>
          <w:szCs w:val="18"/>
        </w:rPr>
        <w:t>比例</w:t>
      </w:r>
      <w:r>
        <w:rPr>
          <w:rFonts w:ascii="宋体" w:hAnsi="宋体" w:cs="宋体"/>
          <w:sz w:val="18"/>
          <w:szCs w:val="18"/>
        </w:rPr>
        <w:t>达到</w:t>
      </w:r>
      <w:r>
        <w:rPr>
          <w:rFonts w:hint="eastAsia" w:ascii="宋体" w:hAnsi="宋体" w:cs="宋体"/>
          <w:sz w:val="18"/>
          <w:szCs w:val="18"/>
        </w:rPr>
        <w:t>100%。</w:t>
      </w:r>
    </w:p>
    <w:p w14:paraId="5EFC8081">
      <w:pPr>
        <w:spacing w:line="240" w:lineRule="exact"/>
        <w:rPr>
          <w:b/>
          <w:bCs/>
          <w:sz w:val="18"/>
          <w:szCs w:val="18"/>
        </w:rPr>
      </w:pPr>
      <w:r>
        <w:rPr>
          <w:rFonts w:hint="eastAsia" w:ascii="宋体" w:hAnsi="宋体" w:cs="宋体"/>
          <w:sz w:val="18"/>
          <w:szCs w:val="18"/>
        </w:rPr>
        <w:t>证明材料：√高强钢筋材料用量比例计算书；</w:t>
      </w:r>
      <w:r>
        <w:rPr>
          <w:rFonts w:ascii="宋体" w:hAnsi="宋体" w:cs="宋体"/>
          <w:sz w:val="18"/>
          <w:szCs w:val="18"/>
        </w:rPr>
        <w:t xml:space="preserve"> </w:t>
      </w:r>
      <w:r>
        <w:rPr>
          <w:rFonts w:hint="eastAsia" w:ascii="宋体" w:hAnsi="宋体" w:cs="宋体"/>
          <w:sz w:val="18"/>
          <w:szCs w:val="18"/>
        </w:rPr>
        <w:t>√设计图纸（结构、G-SM-01~02_结构总说明</w:t>
      </w:r>
      <w:r>
        <w:rPr>
          <w:rFonts w:ascii="宋体" w:hAnsi="宋体" w:cs="宋体"/>
          <w:sz w:val="18"/>
          <w:szCs w:val="18"/>
        </w:rPr>
        <w:t>，</w:t>
      </w:r>
      <w:r>
        <w:rPr>
          <w:rFonts w:hint="eastAsia" w:ascii="宋体" w:hAnsi="宋体" w:cs="宋体"/>
          <w:sz w:val="18"/>
          <w:szCs w:val="18"/>
        </w:rPr>
        <w:t>各层</w:t>
      </w:r>
      <w:r>
        <w:rPr>
          <w:rFonts w:ascii="宋体" w:hAnsi="宋体" w:cs="宋体"/>
          <w:sz w:val="18"/>
          <w:szCs w:val="18"/>
        </w:rPr>
        <w:t>竖向、板配筋、梁配筋平面图</w:t>
      </w:r>
      <w:r>
        <w:rPr>
          <w:rFonts w:hint="eastAsia" w:ascii="宋体" w:hAnsi="宋体" w:cs="宋体"/>
          <w:sz w:val="18"/>
          <w:szCs w:val="18"/>
        </w:rPr>
        <w:t>）</w:t>
      </w:r>
    </w:p>
    <w:p w14:paraId="4A216EC8">
      <w:pPr>
        <w:spacing w:line="240" w:lineRule="exact"/>
        <w:rPr>
          <w:b/>
          <w:bCs/>
          <w:sz w:val="18"/>
          <w:szCs w:val="18"/>
        </w:rPr>
      </w:pPr>
    </w:p>
    <w:p w14:paraId="4F18EB67">
      <w:pPr>
        <w:spacing w:line="240" w:lineRule="exact"/>
        <w:rPr>
          <w:b/>
          <w:bCs/>
          <w:sz w:val="18"/>
          <w:szCs w:val="18"/>
        </w:rPr>
      </w:pPr>
      <w:r>
        <w:rPr>
          <w:rFonts w:hint="eastAsia"/>
          <w:b/>
          <w:bCs/>
          <w:sz w:val="18"/>
          <w:szCs w:val="18"/>
        </w:rPr>
        <w:t>给排水专业</w:t>
      </w:r>
    </w:p>
    <w:p w14:paraId="19FC89CA">
      <w:pPr>
        <w:spacing w:line="240" w:lineRule="exact"/>
        <w:rPr>
          <w:rFonts w:ascii="黑体" w:hAnsi="宋体" w:eastAsia="黑体"/>
          <w:sz w:val="18"/>
          <w:szCs w:val="18"/>
        </w:rPr>
      </w:pPr>
      <w:r>
        <w:rPr>
          <w:rFonts w:ascii="黑体" w:hAnsi="宋体" w:eastAsia="黑体" w:cs="黑体"/>
          <w:sz w:val="18"/>
          <w:szCs w:val="18"/>
        </w:rPr>
        <w:t>7.2.7-3</w:t>
      </w:r>
      <w:r>
        <w:rPr>
          <w:rFonts w:hint="eastAsia" w:ascii="黑体" w:hAnsi="宋体" w:eastAsia="黑体" w:cs="黑体"/>
          <w:sz w:val="18"/>
          <w:szCs w:val="18"/>
        </w:rPr>
        <w:t>采用节能型电气设备及节能控制措施。</w:t>
      </w:r>
    </w:p>
    <w:p w14:paraId="520D0328">
      <w:pPr>
        <w:spacing w:line="240" w:lineRule="exact"/>
        <w:rPr>
          <w:rFonts w:ascii="宋体"/>
          <w:sz w:val="18"/>
          <w:szCs w:val="18"/>
        </w:rPr>
      </w:pPr>
      <w:r>
        <w:rPr>
          <w:rFonts w:hint="eastAsia" w:ascii="宋体" w:hAnsi="宋体" w:cs="宋体"/>
          <w:sz w:val="18"/>
          <w:szCs w:val="18"/>
        </w:rPr>
        <w:t>技术措施说明：本</w:t>
      </w:r>
      <w:r>
        <w:rPr>
          <w:rFonts w:ascii="宋体" w:hAnsi="宋体" w:cs="宋体"/>
          <w:sz w:val="18"/>
          <w:szCs w:val="18"/>
        </w:rPr>
        <w:t>项目</w:t>
      </w:r>
      <w:r>
        <w:rPr>
          <w:rFonts w:hint="eastAsia" w:ascii="宋体" w:hAnsi="宋体" w:cs="宋体"/>
          <w:sz w:val="18"/>
          <w:szCs w:val="18"/>
        </w:rPr>
        <w:t>清水水泵能效等级满足国家现行标准《</w:t>
      </w:r>
      <w:r>
        <w:rPr>
          <w:rFonts w:ascii="宋体" w:hAnsi="宋体" w:cs="宋体"/>
          <w:sz w:val="18"/>
          <w:szCs w:val="18"/>
        </w:rPr>
        <w:t>清水离心泵能效限定及节能评价值》GB19762</w:t>
      </w:r>
      <w:r>
        <w:rPr>
          <w:rFonts w:hint="eastAsia" w:ascii="宋体" w:hAnsi="宋体" w:cs="宋体"/>
          <w:sz w:val="18"/>
          <w:szCs w:val="18"/>
          <w:lang w:val="en-US" w:eastAsia="zh-CN"/>
        </w:rPr>
        <w:t>-2007</w:t>
      </w:r>
      <w:r>
        <w:rPr>
          <w:rFonts w:hint="eastAsia" w:ascii="宋体" w:hAnsi="宋体" w:cs="宋体"/>
          <w:sz w:val="18"/>
          <w:szCs w:val="18"/>
        </w:rPr>
        <w:t>规定的2级能效要求</w:t>
      </w:r>
      <w:r>
        <w:rPr>
          <w:rFonts w:ascii="Times New Roman" w:hAnsi="Times New Roman"/>
          <w:sz w:val="18"/>
          <w:szCs w:val="18"/>
        </w:rPr>
        <w:t>，水泵电机尚应满足《电动机能效限定值及能效等级》GB18613-2020规定的3级能效等级要求。</w:t>
      </w:r>
    </w:p>
    <w:p w14:paraId="758FA813">
      <w:pPr>
        <w:spacing w:line="240" w:lineRule="exact"/>
        <w:rPr>
          <w:rFonts w:hint="eastAsia" w:ascii="宋体" w:hAnsi="宋体" w:cs="宋体"/>
          <w:sz w:val="18"/>
          <w:szCs w:val="18"/>
        </w:rPr>
      </w:pPr>
      <w:r>
        <w:rPr>
          <w:rFonts w:hint="eastAsia" w:ascii="宋体" w:hAnsi="宋体" w:cs="宋体"/>
          <w:sz w:val="18"/>
          <w:szCs w:val="18"/>
        </w:rPr>
        <w:t>证明材料：√设计图纸（给排水、S-01_给水排水设计总说明，S-XT-01_住宅生活给水系统原理图）</w:t>
      </w:r>
    </w:p>
    <w:p w14:paraId="381AFD0E">
      <w:pPr>
        <w:spacing w:line="240" w:lineRule="exact"/>
        <w:rPr>
          <w:rFonts w:hint="eastAsia" w:ascii="黑体" w:hAnsi="宋体" w:eastAsia="黑体" w:cs="黑体"/>
          <w:color w:val="000000" w:themeColor="text1"/>
          <w:sz w:val="18"/>
          <w:szCs w:val="18"/>
          <w:lang w:val="en-US" w:eastAsia="zh-CN"/>
          <w14:textFill>
            <w14:solidFill>
              <w14:schemeClr w14:val="tx1"/>
            </w14:solidFill>
          </w14:textFill>
        </w:rPr>
      </w:pPr>
      <w:r>
        <w:rPr>
          <w:rFonts w:hint="eastAsia" w:ascii="黑体" w:hAnsi="宋体" w:eastAsia="黑体" w:cs="黑体"/>
          <w:color w:val="000000" w:themeColor="text1"/>
          <w:sz w:val="18"/>
          <w:szCs w:val="18"/>
          <w:lang w:val="en-US" w:eastAsia="zh-CN"/>
          <w14:textFill>
            <w14:solidFill>
              <w14:schemeClr w14:val="tx1"/>
            </w14:solidFill>
          </w14:textFill>
        </w:rPr>
        <w:t>7.2.9结合当地气候和自然资源条件合理利用可再生能源。</w:t>
      </w:r>
    </w:p>
    <w:p w14:paraId="6AF47A4E">
      <w:pPr>
        <w:spacing w:line="240" w:lineRule="exact"/>
        <w:rPr>
          <w:rFonts w:hint="eastAsia" w:ascii="宋体" w:hAnsi="宋体" w:cs="宋体"/>
          <w:sz w:val="18"/>
          <w:szCs w:val="18"/>
          <w:lang w:val="en-US" w:eastAsia="zh-CN"/>
        </w:rPr>
      </w:pPr>
      <w:r>
        <w:rPr>
          <w:rFonts w:hint="eastAsia" w:ascii="宋体" w:hAnsi="宋体" w:cs="宋体"/>
          <w:sz w:val="18"/>
          <w:szCs w:val="18"/>
        </w:rPr>
        <w:t>技术措施说明：</w:t>
      </w:r>
      <w:r>
        <w:rPr>
          <w:rFonts w:hint="eastAsia" w:ascii="宋体" w:hAnsi="宋体" w:cs="宋体"/>
          <w:sz w:val="18"/>
          <w:szCs w:val="18"/>
          <w:lang w:val="en-US" w:eastAsia="zh-CN"/>
        </w:rPr>
        <w:t>本项目住院楼、行政楼、门诊裙楼及传染楼均设置空气源热泵系统提供生活热水，采用可再生能源提供生活用热水的比例达到100%。</w:t>
      </w:r>
    </w:p>
    <w:p w14:paraId="4DFEA9FD">
      <w:pPr>
        <w:spacing w:line="240" w:lineRule="exact"/>
        <w:rPr>
          <w:rFonts w:hint="default" w:ascii="宋体" w:hAnsi="宋体" w:cs="宋体"/>
          <w:sz w:val="18"/>
          <w:szCs w:val="18"/>
          <w:lang w:val="en-US" w:eastAsia="zh-CN"/>
        </w:rPr>
      </w:pPr>
      <w:r>
        <w:rPr>
          <w:rFonts w:hint="eastAsia" w:ascii="宋体" w:hAnsi="宋体" w:cs="宋体"/>
          <w:sz w:val="18"/>
          <w:szCs w:val="18"/>
        </w:rPr>
        <w:t>证明材料：√设计图纸（给排水、S-01_给水排水设计总说明，S-XT-01_住宅生活给水系统原理图）</w:t>
      </w:r>
    </w:p>
    <w:p w14:paraId="72201A17">
      <w:pPr>
        <w:spacing w:line="240" w:lineRule="exact"/>
        <w:rPr>
          <w:rFonts w:ascii="黑体" w:hAnsi="宋体" w:eastAsia="黑体"/>
          <w:color w:val="000000" w:themeColor="text1"/>
          <w:sz w:val="18"/>
          <w:szCs w:val="18"/>
          <w14:textFill>
            <w14:solidFill>
              <w14:schemeClr w14:val="tx1"/>
            </w14:solidFill>
          </w14:textFill>
        </w:rPr>
      </w:pPr>
      <w:r>
        <w:rPr>
          <w:rFonts w:ascii="黑体" w:hAnsi="宋体" w:eastAsia="黑体" w:cs="黑体"/>
          <w:color w:val="000000" w:themeColor="text1"/>
          <w:sz w:val="18"/>
          <w:szCs w:val="18"/>
          <w14:textFill>
            <w14:solidFill>
              <w14:schemeClr w14:val="tx1"/>
            </w14:solidFill>
          </w14:textFill>
        </w:rPr>
        <w:t>7.2.10</w:t>
      </w:r>
      <w:r>
        <w:rPr>
          <w:rFonts w:hint="eastAsia" w:ascii="黑体" w:hAnsi="宋体" w:eastAsia="黑体" w:cs="黑体"/>
          <w:color w:val="000000" w:themeColor="text1"/>
          <w:sz w:val="18"/>
          <w:szCs w:val="18"/>
          <w14:textFill>
            <w14:solidFill>
              <w14:schemeClr w14:val="tx1"/>
            </w14:solidFill>
          </w14:textFill>
        </w:rPr>
        <w:t>使用较高用水效率等级的卫生器具。</w:t>
      </w:r>
    </w:p>
    <w:p w14:paraId="75305B08">
      <w:pPr>
        <w:spacing w:line="240" w:lineRule="exact"/>
        <w:rPr>
          <w:rFonts w:ascii="宋体" w:hAnsi="宋体"/>
          <w:color w:val="000000" w:themeColor="text1"/>
          <w:sz w:val="18"/>
          <w:szCs w:val="18"/>
          <w14:textFill>
            <w14:solidFill>
              <w14:schemeClr w14:val="tx1"/>
            </w14:solidFill>
          </w14:textFill>
        </w:rPr>
      </w:pPr>
      <w:r>
        <w:rPr>
          <w:rFonts w:hint="eastAsia" w:ascii="宋体" w:hAnsi="宋体" w:cs="宋体"/>
          <w:sz w:val="18"/>
          <w:szCs w:val="18"/>
        </w:rPr>
        <w:t>技术措施说明：</w:t>
      </w:r>
      <w:r>
        <w:rPr>
          <w:rFonts w:hint="eastAsia" w:ascii="宋体" w:hAnsi="宋体"/>
          <w:color w:val="000000" w:themeColor="text1"/>
          <w:sz w:val="18"/>
          <w:szCs w:val="18"/>
          <w14:textFill>
            <w14:solidFill>
              <w14:schemeClr w14:val="tx1"/>
            </w14:solidFill>
          </w14:textFill>
        </w:rPr>
        <w:t>本项目选用用水效率等级不低于</w:t>
      </w:r>
      <w:r>
        <w:rPr>
          <w:rFonts w:ascii="宋体" w:hAnsi="宋体"/>
          <w:color w:val="000000" w:themeColor="text1"/>
          <w:sz w:val="18"/>
          <w:szCs w:val="18"/>
          <w14:textFill>
            <w14:solidFill>
              <w14:schemeClr w14:val="tx1"/>
            </w14:solidFill>
          </w14:textFill>
        </w:rPr>
        <w:t>2</w:t>
      </w:r>
      <w:r>
        <w:rPr>
          <w:rFonts w:hint="eastAsia" w:ascii="宋体" w:hAnsi="宋体"/>
          <w:color w:val="000000" w:themeColor="text1"/>
          <w:sz w:val="18"/>
          <w:szCs w:val="18"/>
          <w14:textFill>
            <w14:solidFill>
              <w14:schemeClr w14:val="tx1"/>
            </w14:solidFill>
          </w14:textFill>
        </w:rPr>
        <w:t>级的节水用水器具，卫生洁具五金配件均符合《节水型生活用水器具》</w:t>
      </w:r>
      <w:r>
        <w:rPr>
          <w:rFonts w:ascii="宋体" w:hAnsi="宋体"/>
          <w:color w:val="000000" w:themeColor="text1"/>
          <w:sz w:val="18"/>
          <w:szCs w:val="18"/>
          <w14:textFill>
            <w14:solidFill>
              <w14:schemeClr w14:val="tx1"/>
            </w14:solidFill>
          </w14:textFill>
        </w:rPr>
        <w:t>CJ164-2014</w:t>
      </w:r>
      <w:r>
        <w:rPr>
          <w:rFonts w:hint="eastAsia" w:ascii="宋体" w:hAnsi="宋体"/>
          <w:color w:val="000000" w:themeColor="text1"/>
          <w:sz w:val="18"/>
          <w:szCs w:val="18"/>
          <w14:textFill>
            <w14:solidFill>
              <w14:schemeClr w14:val="tx1"/>
            </w14:solidFill>
          </w14:textFill>
        </w:rPr>
        <w:t>标准的要求，各类型用水器具满足以下要求：</w:t>
      </w: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4"/>
        <w:gridCol w:w="954"/>
        <w:gridCol w:w="955"/>
        <w:gridCol w:w="955"/>
        <w:gridCol w:w="955"/>
        <w:gridCol w:w="955"/>
      </w:tblGrid>
      <w:tr w14:paraId="715483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7" w:hRule="atLeast"/>
          <w:jc w:val="center"/>
        </w:trPr>
        <w:tc>
          <w:tcPr>
            <w:tcW w:w="954" w:type="dxa"/>
            <w:tcBorders>
              <w:top w:val="single" w:color="auto" w:sz="8" w:space="0"/>
              <w:bottom w:val="single" w:color="auto" w:sz="8" w:space="0"/>
            </w:tcBorders>
            <w:vAlign w:val="center"/>
          </w:tcPr>
          <w:p w14:paraId="6B449B1A">
            <w:pPr>
              <w:pStyle w:val="27"/>
              <w:jc w:val="center"/>
              <w:rPr>
                <w:rFonts w:cs="Calibri"/>
                <w:b/>
                <w:color w:val="000000" w:themeColor="text1"/>
                <w:sz w:val="18"/>
                <w:szCs w:val="18"/>
                <w14:textFill>
                  <w14:solidFill>
                    <w14:schemeClr w14:val="tx1"/>
                  </w14:solidFill>
                </w14:textFill>
              </w:rPr>
            </w:pPr>
            <w:r>
              <w:rPr>
                <w:rFonts w:hint="eastAsia" w:cs="Calibri"/>
                <w:b/>
                <w:color w:val="000000" w:themeColor="text1"/>
                <w:sz w:val="18"/>
                <w:szCs w:val="18"/>
                <w14:textFill>
                  <w14:solidFill>
                    <w14:schemeClr w14:val="tx1"/>
                  </w14:solidFill>
                </w14:textFill>
              </w:rPr>
              <w:t>类型</w:t>
            </w:r>
          </w:p>
        </w:tc>
        <w:tc>
          <w:tcPr>
            <w:tcW w:w="1909" w:type="dxa"/>
            <w:gridSpan w:val="2"/>
            <w:tcBorders>
              <w:top w:val="single" w:color="auto" w:sz="8" w:space="0"/>
              <w:bottom w:val="single" w:color="auto" w:sz="8" w:space="0"/>
            </w:tcBorders>
            <w:vAlign w:val="center"/>
          </w:tcPr>
          <w:p w14:paraId="44F4E10B">
            <w:pPr>
              <w:pStyle w:val="27"/>
              <w:jc w:val="center"/>
              <w:rPr>
                <w:rFonts w:cs="Calibri"/>
                <w:b/>
                <w:color w:val="000000" w:themeColor="text1"/>
                <w:sz w:val="18"/>
                <w:szCs w:val="18"/>
                <w14:textFill>
                  <w14:solidFill>
                    <w14:schemeClr w14:val="tx1"/>
                  </w14:solidFill>
                </w14:textFill>
              </w:rPr>
            </w:pPr>
            <w:r>
              <w:rPr>
                <w:rFonts w:hint="eastAsia" w:cs="Calibri"/>
                <w:b/>
                <w:color w:val="000000" w:themeColor="text1"/>
                <w:sz w:val="18"/>
                <w:szCs w:val="18"/>
                <w14:textFill>
                  <w14:solidFill>
                    <w14:schemeClr w14:val="tx1"/>
                  </w14:solidFill>
                </w14:textFill>
              </w:rPr>
              <w:t>评价</w:t>
            </w:r>
            <w:r>
              <w:rPr>
                <w:rFonts w:cs="Calibri"/>
                <w:b/>
                <w:color w:val="000000" w:themeColor="text1"/>
                <w:sz w:val="18"/>
                <w:szCs w:val="18"/>
                <w14:textFill>
                  <w14:solidFill>
                    <w14:schemeClr w14:val="tx1"/>
                  </w14:solidFill>
                </w14:textFill>
              </w:rPr>
              <w:t>指标</w:t>
            </w:r>
          </w:p>
        </w:tc>
        <w:tc>
          <w:tcPr>
            <w:tcW w:w="955" w:type="dxa"/>
            <w:tcBorders>
              <w:top w:val="single" w:color="auto" w:sz="8" w:space="0"/>
              <w:bottom w:val="single" w:color="auto" w:sz="8" w:space="0"/>
            </w:tcBorders>
            <w:vAlign w:val="center"/>
          </w:tcPr>
          <w:p w14:paraId="412DBB5B">
            <w:pPr>
              <w:pStyle w:val="27"/>
              <w:jc w:val="center"/>
              <w:rPr>
                <w:rFonts w:cs="Calibri"/>
                <w:b/>
                <w:color w:val="000000" w:themeColor="text1"/>
                <w:sz w:val="18"/>
                <w:szCs w:val="18"/>
                <w14:textFill>
                  <w14:solidFill>
                    <w14:schemeClr w14:val="tx1"/>
                  </w14:solidFill>
                </w14:textFill>
              </w:rPr>
            </w:pPr>
            <w:r>
              <w:rPr>
                <w:rFonts w:hint="eastAsia" w:cs="Calibri"/>
                <w:b/>
                <w:color w:val="000000" w:themeColor="text1"/>
                <w:sz w:val="18"/>
                <w:szCs w:val="18"/>
                <w14:textFill>
                  <w14:solidFill>
                    <w14:schemeClr w14:val="tx1"/>
                  </w14:solidFill>
                </w14:textFill>
              </w:rPr>
              <w:t>1级</w:t>
            </w:r>
          </w:p>
        </w:tc>
        <w:tc>
          <w:tcPr>
            <w:tcW w:w="955" w:type="dxa"/>
            <w:tcBorders>
              <w:top w:val="single" w:color="auto" w:sz="8" w:space="0"/>
              <w:bottom w:val="single" w:color="auto" w:sz="8" w:space="0"/>
            </w:tcBorders>
            <w:shd w:val="clear" w:color="auto" w:fill="auto"/>
            <w:vAlign w:val="center"/>
          </w:tcPr>
          <w:p w14:paraId="74770DF0">
            <w:pPr>
              <w:pStyle w:val="27"/>
              <w:jc w:val="center"/>
              <w:rPr>
                <w:rFonts w:cs="Calibri"/>
                <w:b/>
                <w:bCs/>
                <w:color w:val="000000" w:themeColor="text1"/>
                <w:sz w:val="18"/>
                <w:szCs w:val="18"/>
                <w14:textFill>
                  <w14:solidFill>
                    <w14:schemeClr w14:val="tx1"/>
                  </w14:solidFill>
                </w14:textFill>
              </w:rPr>
            </w:pPr>
            <w:r>
              <w:rPr>
                <w:rFonts w:hint="eastAsia" w:cs="Calibri"/>
                <w:b/>
                <w:bCs/>
                <w:color w:val="000000" w:themeColor="text1"/>
                <w:sz w:val="18"/>
                <w:szCs w:val="18"/>
                <w14:textFill>
                  <w14:solidFill>
                    <w14:schemeClr w14:val="tx1"/>
                  </w14:solidFill>
                </w14:textFill>
              </w:rPr>
              <w:t>2级</w:t>
            </w:r>
          </w:p>
        </w:tc>
        <w:tc>
          <w:tcPr>
            <w:tcW w:w="955" w:type="dxa"/>
            <w:tcBorders>
              <w:top w:val="single" w:color="auto" w:sz="8" w:space="0"/>
              <w:bottom w:val="single" w:color="auto" w:sz="8" w:space="0"/>
            </w:tcBorders>
            <w:vAlign w:val="center"/>
          </w:tcPr>
          <w:p w14:paraId="3D04D27E">
            <w:pPr>
              <w:pStyle w:val="27"/>
              <w:jc w:val="center"/>
              <w:rPr>
                <w:rFonts w:cs="Calibri"/>
                <w:b/>
                <w:color w:val="000000" w:themeColor="text1"/>
                <w:sz w:val="18"/>
                <w:szCs w:val="18"/>
                <w14:textFill>
                  <w14:solidFill>
                    <w14:schemeClr w14:val="tx1"/>
                  </w14:solidFill>
                </w14:textFill>
              </w:rPr>
            </w:pPr>
            <w:r>
              <w:rPr>
                <w:rFonts w:hint="eastAsia" w:cs="Calibri"/>
                <w:b/>
                <w:color w:val="000000" w:themeColor="text1"/>
                <w:sz w:val="18"/>
                <w:szCs w:val="18"/>
                <w14:textFill>
                  <w14:solidFill>
                    <w14:schemeClr w14:val="tx1"/>
                  </w14:solidFill>
                </w14:textFill>
              </w:rPr>
              <w:t>3级</w:t>
            </w:r>
          </w:p>
        </w:tc>
      </w:tr>
      <w:tr w14:paraId="34F7DE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4" w:type="dxa"/>
            <w:tcBorders>
              <w:top w:val="single" w:color="auto" w:sz="8" w:space="0"/>
            </w:tcBorders>
            <w:vAlign w:val="center"/>
          </w:tcPr>
          <w:p w14:paraId="6FE9749F">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小便器</w:t>
            </w:r>
          </w:p>
        </w:tc>
        <w:tc>
          <w:tcPr>
            <w:tcW w:w="1909" w:type="dxa"/>
            <w:gridSpan w:val="2"/>
            <w:tcBorders>
              <w:top w:val="single" w:color="auto" w:sz="8" w:space="0"/>
            </w:tcBorders>
            <w:vAlign w:val="center"/>
          </w:tcPr>
          <w:p w14:paraId="3B369711">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冲洗</w:t>
            </w:r>
            <w:r>
              <w:rPr>
                <w:rFonts w:cs="Calibri"/>
                <w:color w:val="000000" w:themeColor="text1"/>
                <w:sz w:val="18"/>
                <w:szCs w:val="18"/>
                <w14:textFill>
                  <w14:solidFill>
                    <w14:schemeClr w14:val="tx1"/>
                  </w14:solidFill>
                </w14:textFill>
              </w:rPr>
              <w:t>水量</w:t>
            </w:r>
            <w:r>
              <w:rPr>
                <w:rFonts w:hint="eastAsia" w:cs="Calibri"/>
                <w:color w:val="000000" w:themeColor="text1"/>
                <w:sz w:val="18"/>
                <w:szCs w:val="18"/>
                <w14:textFill>
                  <w14:solidFill>
                    <w14:schemeClr w14:val="tx1"/>
                  </w14:solidFill>
                </w14:textFill>
              </w:rPr>
              <w:t>/L</w:t>
            </w:r>
          </w:p>
        </w:tc>
        <w:tc>
          <w:tcPr>
            <w:tcW w:w="955" w:type="dxa"/>
            <w:tcBorders>
              <w:top w:val="single" w:color="auto" w:sz="8" w:space="0"/>
            </w:tcBorders>
            <w:vAlign w:val="center"/>
          </w:tcPr>
          <w:p w14:paraId="52C12874">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2.0</w:t>
            </w:r>
          </w:p>
        </w:tc>
        <w:tc>
          <w:tcPr>
            <w:tcW w:w="955" w:type="dxa"/>
            <w:tcBorders>
              <w:top w:val="single" w:color="auto" w:sz="8" w:space="0"/>
            </w:tcBorders>
            <w:shd w:val="clear" w:color="auto" w:fill="auto"/>
            <w:vAlign w:val="center"/>
          </w:tcPr>
          <w:p w14:paraId="2E00D210">
            <w:pPr>
              <w:pStyle w:val="27"/>
              <w:jc w:val="center"/>
              <w:rPr>
                <w:rFonts w:cs="Calibri"/>
                <w:b/>
                <w:color w:val="000000" w:themeColor="text1"/>
                <w:sz w:val="18"/>
                <w:szCs w:val="18"/>
                <w14:textFill>
                  <w14:solidFill>
                    <w14:schemeClr w14:val="tx1"/>
                  </w14:solidFill>
                </w14:textFill>
              </w:rPr>
            </w:pPr>
            <w:r>
              <w:rPr>
                <w:rFonts w:hint="eastAsia" w:cs="Calibri"/>
                <w:b/>
                <w:color w:val="000000" w:themeColor="text1"/>
                <w:sz w:val="18"/>
                <w:szCs w:val="18"/>
                <w14:textFill>
                  <w14:solidFill>
                    <w14:schemeClr w14:val="tx1"/>
                  </w14:solidFill>
                </w14:textFill>
              </w:rPr>
              <w:t>3.0</w:t>
            </w:r>
          </w:p>
        </w:tc>
        <w:tc>
          <w:tcPr>
            <w:tcW w:w="955" w:type="dxa"/>
            <w:tcBorders>
              <w:top w:val="single" w:color="auto" w:sz="8" w:space="0"/>
            </w:tcBorders>
            <w:vAlign w:val="center"/>
          </w:tcPr>
          <w:p w14:paraId="44470C66">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4.0</w:t>
            </w:r>
          </w:p>
        </w:tc>
      </w:tr>
      <w:tr w14:paraId="2E338E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4" w:type="dxa"/>
            <w:vAlign w:val="center"/>
          </w:tcPr>
          <w:p w14:paraId="5303594F">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大便器</w:t>
            </w:r>
          </w:p>
        </w:tc>
        <w:tc>
          <w:tcPr>
            <w:tcW w:w="1909" w:type="dxa"/>
            <w:gridSpan w:val="2"/>
            <w:vAlign w:val="center"/>
          </w:tcPr>
          <w:p w14:paraId="21B6471E">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冲洗</w:t>
            </w:r>
            <w:r>
              <w:rPr>
                <w:rFonts w:cs="Calibri"/>
                <w:color w:val="000000" w:themeColor="text1"/>
                <w:sz w:val="18"/>
                <w:szCs w:val="18"/>
                <w14:textFill>
                  <w14:solidFill>
                    <w14:schemeClr w14:val="tx1"/>
                  </w14:solidFill>
                </w14:textFill>
              </w:rPr>
              <w:t>水量</w:t>
            </w:r>
            <w:r>
              <w:rPr>
                <w:rFonts w:hint="eastAsia" w:cs="Calibri"/>
                <w:color w:val="000000" w:themeColor="text1"/>
                <w:sz w:val="18"/>
                <w:szCs w:val="18"/>
                <w14:textFill>
                  <w14:solidFill>
                    <w14:schemeClr w14:val="tx1"/>
                  </w14:solidFill>
                </w14:textFill>
              </w:rPr>
              <w:t>/L</w:t>
            </w:r>
          </w:p>
        </w:tc>
        <w:tc>
          <w:tcPr>
            <w:tcW w:w="955" w:type="dxa"/>
            <w:vAlign w:val="center"/>
          </w:tcPr>
          <w:p w14:paraId="17406A69">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4.0</w:t>
            </w:r>
          </w:p>
        </w:tc>
        <w:tc>
          <w:tcPr>
            <w:tcW w:w="955" w:type="dxa"/>
            <w:shd w:val="clear" w:color="auto" w:fill="auto"/>
            <w:vAlign w:val="center"/>
          </w:tcPr>
          <w:p w14:paraId="31418B03">
            <w:pPr>
              <w:pStyle w:val="27"/>
              <w:jc w:val="center"/>
              <w:rPr>
                <w:rFonts w:cs="Calibri"/>
                <w:b/>
                <w:color w:val="000000" w:themeColor="text1"/>
                <w:sz w:val="18"/>
                <w:szCs w:val="18"/>
                <w14:textFill>
                  <w14:solidFill>
                    <w14:schemeClr w14:val="tx1"/>
                  </w14:solidFill>
                </w14:textFill>
              </w:rPr>
            </w:pPr>
            <w:r>
              <w:rPr>
                <w:rFonts w:hint="eastAsia" w:cs="Calibri"/>
                <w:b/>
                <w:color w:val="000000" w:themeColor="text1"/>
                <w:sz w:val="18"/>
                <w:szCs w:val="18"/>
                <w14:textFill>
                  <w14:solidFill>
                    <w14:schemeClr w14:val="tx1"/>
                  </w14:solidFill>
                </w14:textFill>
              </w:rPr>
              <w:t>5.0</w:t>
            </w:r>
          </w:p>
        </w:tc>
        <w:tc>
          <w:tcPr>
            <w:tcW w:w="955" w:type="dxa"/>
            <w:vAlign w:val="center"/>
          </w:tcPr>
          <w:p w14:paraId="2C47A304">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6.0</w:t>
            </w:r>
          </w:p>
        </w:tc>
      </w:tr>
      <w:tr w14:paraId="2C2323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4" w:type="dxa"/>
            <w:vAlign w:val="center"/>
          </w:tcPr>
          <w:p w14:paraId="5462AF7B">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淋浴器</w:t>
            </w:r>
          </w:p>
        </w:tc>
        <w:tc>
          <w:tcPr>
            <w:tcW w:w="1909" w:type="dxa"/>
            <w:gridSpan w:val="2"/>
            <w:vAlign w:val="center"/>
          </w:tcPr>
          <w:p w14:paraId="5F03EBEC">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流量L/</w:t>
            </w:r>
            <w:r>
              <w:rPr>
                <w:rFonts w:cs="Calibri"/>
                <w:color w:val="000000" w:themeColor="text1"/>
                <w:sz w:val="18"/>
                <w:szCs w:val="18"/>
                <w14:textFill>
                  <w14:solidFill>
                    <w14:schemeClr w14:val="tx1"/>
                  </w14:solidFill>
                </w14:textFill>
              </w:rPr>
              <w:t>s</w:t>
            </w:r>
          </w:p>
        </w:tc>
        <w:tc>
          <w:tcPr>
            <w:tcW w:w="955" w:type="dxa"/>
            <w:vAlign w:val="center"/>
          </w:tcPr>
          <w:p w14:paraId="4F793E45">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0.08</w:t>
            </w:r>
          </w:p>
        </w:tc>
        <w:tc>
          <w:tcPr>
            <w:tcW w:w="955" w:type="dxa"/>
            <w:shd w:val="clear" w:color="auto" w:fill="auto"/>
            <w:vAlign w:val="center"/>
          </w:tcPr>
          <w:p w14:paraId="6AA4F1A5">
            <w:pPr>
              <w:pStyle w:val="27"/>
              <w:jc w:val="center"/>
              <w:rPr>
                <w:rFonts w:cs="Calibri"/>
                <w:b/>
                <w:color w:val="000000" w:themeColor="text1"/>
                <w:sz w:val="18"/>
                <w:szCs w:val="18"/>
                <w14:textFill>
                  <w14:solidFill>
                    <w14:schemeClr w14:val="tx1"/>
                  </w14:solidFill>
                </w14:textFill>
              </w:rPr>
            </w:pPr>
            <w:r>
              <w:rPr>
                <w:rFonts w:hint="eastAsia" w:cs="Calibri"/>
                <w:b/>
                <w:color w:val="000000" w:themeColor="text1"/>
                <w:sz w:val="18"/>
                <w:szCs w:val="18"/>
                <w14:textFill>
                  <w14:solidFill>
                    <w14:schemeClr w14:val="tx1"/>
                  </w14:solidFill>
                </w14:textFill>
              </w:rPr>
              <w:t>0.12</w:t>
            </w:r>
          </w:p>
        </w:tc>
        <w:tc>
          <w:tcPr>
            <w:tcW w:w="955" w:type="dxa"/>
            <w:vAlign w:val="center"/>
          </w:tcPr>
          <w:p w14:paraId="3D30BB64">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0.15</w:t>
            </w:r>
          </w:p>
        </w:tc>
      </w:tr>
      <w:tr w14:paraId="6A98D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4" w:type="dxa"/>
            <w:vAlign w:val="center"/>
          </w:tcPr>
          <w:p w14:paraId="577178D1">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水嘴</w:t>
            </w:r>
          </w:p>
        </w:tc>
        <w:tc>
          <w:tcPr>
            <w:tcW w:w="1909" w:type="dxa"/>
            <w:gridSpan w:val="2"/>
            <w:vAlign w:val="center"/>
          </w:tcPr>
          <w:p w14:paraId="5FCC9386">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流量L/</w:t>
            </w:r>
            <w:r>
              <w:rPr>
                <w:rFonts w:cs="Calibri"/>
                <w:color w:val="000000" w:themeColor="text1"/>
                <w:sz w:val="18"/>
                <w:szCs w:val="18"/>
                <w14:textFill>
                  <w14:solidFill>
                    <w14:schemeClr w14:val="tx1"/>
                  </w14:solidFill>
                </w14:textFill>
              </w:rPr>
              <w:t>s</w:t>
            </w:r>
          </w:p>
        </w:tc>
        <w:tc>
          <w:tcPr>
            <w:tcW w:w="955" w:type="dxa"/>
            <w:vAlign w:val="center"/>
          </w:tcPr>
          <w:p w14:paraId="1A406FD0">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0.100</w:t>
            </w:r>
          </w:p>
        </w:tc>
        <w:tc>
          <w:tcPr>
            <w:tcW w:w="955" w:type="dxa"/>
            <w:shd w:val="clear" w:color="auto" w:fill="auto"/>
            <w:vAlign w:val="center"/>
          </w:tcPr>
          <w:p w14:paraId="5A899ACE">
            <w:pPr>
              <w:pStyle w:val="27"/>
              <w:jc w:val="center"/>
              <w:rPr>
                <w:rFonts w:cs="Calibri"/>
                <w:b/>
                <w:color w:val="000000" w:themeColor="text1"/>
                <w:sz w:val="18"/>
                <w:szCs w:val="18"/>
                <w14:textFill>
                  <w14:solidFill>
                    <w14:schemeClr w14:val="tx1"/>
                  </w14:solidFill>
                </w14:textFill>
              </w:rPr>
            </w:pPr>
            <w:r>
              <w:rPr>
                <w:rFonts w:hint="eastAsia" w:cs="Calibri"/>
                <w:b/>
                <w:color w:val="000000" w:themeColor="text1"/>
                <w:sz w:val="18"/>
                <w:szCs w:val="18"/>
                <w14:textFill>
                  <w14:solidFill>
                    <w14:schemeClr w14:val="tx1"/>
                  </w14:solidFill>
                </w14:textFill>
              </w:rPr>
              <w:t>0.125</w:t>
            </w:r>
          </w:p>
        </w:tc>
        <w:tc>
          <w:tcPr>
            <w:tcW w:w="955" w:type="dxa"/>
            <w:vAlign w:val="center"/>
          </w:tcPr>
          <w:p w14:paraId="3BFA31FB">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0.150</w:t>
            </w:r>
          </w:p>
        </w:tc>
      </w:tr>
      <w:tr w14:paraId="05AF93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4" w:type="dxa"/>
            <w:vMerge w:val="restart"/>
            <w:vAlign w:val="center"/>
          </w:tcPr>
          <w:p w14:paraId="38E40D19">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坐便器</w:t>
            </w:r>
          </w:p>
        </w:tc>
        <w:tc>
          <w:tcPr>
            <w:tcW w:w="954" w:type="dxa"/>
            <w:vAlign w:val="center"/>
          </w:tcPr>
          <w:p w14:paraId="7D16DF34">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单</w:t>
            </w:r>
            <w:r>
              <w:rPr>
                <w:rFonts w:cs="Calibri"/>
                <w:color w:val="000000" w:themeColor="text1"/>
                <w:sz w:val="18"/>
                <w:szCs w:val="18"/>
                <w14:textFill>
                  <w14:solidFill>
                    <w14:schemeClr w14:val="tx1"/>
                  </w14:solidFill>
                </w14:textFill>
              </w:rPr>
              <w:t>档</w:t>
            </w:r>
          </w:p>
        </w:tc>
        <w:tc>
          <w:tcPr>
            <w:tcW w:w="955" w:type="dxa"/>
            <w:vAlign w:val="center"/>
          </w:tcPr>
          <w:p w14:paraId="402545E3">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平均值/L</w:t>
            </w:r>
          </w:p>
        </w:tc>
        <w:tc>
          <w:tcPr>
            <w:tcW w:w="955" w:type="dxa"/>
            <w:vAlign w:val="center"/>
          </w:tcPr>
          <w:p w14:paraId="1C7EF5A0">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4.0</w:t>
            </w:r>
          </w:p>
        </w:tc>
        <w:tc>
          <w:tcPr>
            <w:tcW w:w="955" w:type="dxa"/>
            <w:shd w:val="clear" w:color="auto" w:fill="auto"/>
            <w:vAlign w:val="center"/>
          </w:tcPr>
          <w:p w14:paraId="452D6E38">
            <w:pPr>
              <w:pStyle w:val="27"/>
              <w:jc w:val="center"/>
              <w:rPr>
                <w:rFonts w:cs="Calibri"/>
                <w:b/>
                <w:color w:val="000000" w:themeColor="text1"/>
                <w:sz w:val="18"/>
                <w:szCs w:val="18"/>
                <w14:textFill>
                  <w14:solidFill>
                    <w14:schemeClr w14:val="tx1"/>
                  </w14:solidFill>
                </w14:textFill>
              </w:rPr>
            </w:pPr>
            <w:r>
              <w:rPr>
                <w:rFonts w:hint="eastAsia" w:cs="Calibri"/>
                <w:b/>
                <w:color w:val="000000" w:themeColor="text1"/>
                <w:sz w:val="18"/>
                <w:szCs w:val="18"/>
                <w14:textFill>
                  <w14:solidFill>
                    <w14:schemeClr w14:val="tx1"/>
                  </w14:solidFill>
                </w14:textFill>
              </w:rPr>
              <w:t>5.0</w:t>
            </w:r>
          </w:p>
        </w:tc>
        <w:tc>
          <w:tcPr>
            <w:tcW w:w="955" w:type="dxa"/>
            <w:vAlign w:val="center"/>
          </w:tcPr>
          <w:p w14:paraId="4A2D4CFF">
            <w:pPr>
              <w:pStyle w:val="27"/>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6.4</w:t>
            </w:r>
          </w:p>
        </w:tc>
      </w:tr>
      <w:tr w14:paraId="37A59A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4" w:type="dxa"/>
            <w:vMerge w:val="continue"/>
            <w:vAlign w:val="center"/>
          </w:tcPr>
          <w:p w14:paraId="31A24FD4">
            <w:pPr>
              <w:pStyle w:val="27"/>
              <w:jc w:val="center"/>
              <w:rPr>
                <w:rFonts w:cs="Calibri"/>
                <w:color w:val="000000" w:themeColor="text1"/>
                <w:sz w:val="18"/>
                <w:szCs w:val="18"/>
                <w14:textFill>
                  <w14:solidFill>
                    <w14:schemeClr w14:val="tx1"/>
                  </w14:solidFill>
                </w14:textFill>
              </w:rPr>
            </w:pPr>
          </w:p>
        </w:tc>
        <w:tc>
          <w:tcPr>
            <w:tcW w:w="954" w:type="dxa"/>
            <w:vMerge w:val="restart"/>
            <w:vAlign w:val="center"/>
          </w:tcPr>
          <w:p w14:paraId="47B2BB98">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双档</w:t>
            </w:r>
          </w:p>
        </w:tc>
        <w:tc>
          <w:tcPr>
            <w:tcW w:w="955" w:type="dxa"/>
            <w:vAlign w:val="center"/>
          </w:tcPr>
          <w:p w14:paraId="475D8063">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全冲档/L</w:t>
            </w:r>
          </w:p>
        </w:tc>
        <w:tc>
          <w:tcPr>
            <w:tcW w:w="955" w:type="dxa"/>
            <w:vAlign w:val="center"/>
          </w:tcPr>
          <w:p w14:paraId="41C20DA5">
            <w:pPr>
              <w:pStyle w:val="27"/>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5.0</w:t>
            </w:r>
          </w:p>
        </w:tc>
        <w:tc>
          <w:tcPr>
            <w:tcW w:w="955" w:type="dxa"/>
            <w:shd w:val="clear" w:color="auto" w:fill="auto"/>
            <w:vAlign w:val="center"/>
          </w:tcPr>
          <w:p w14:paraId="291F3D21">
            <w:pPr>
              <w:pStyle w:val="27"/>
              <w:jc w:val="center"/>
              <w:rPr>
                <w:rFonts w:cs="Calibri"/>
                <w:b/>
                <w:color w:val="000000" w:themeColor="text1"/>
                <w:sz w:val="18"/>
                <w:szCs w:val="18"/>
                <w14:textFill>
                  <w14:solidFill>
                    <w14:schemeClr w14:val="tx1"/>
                  </w14:solidFill>
                </w14:textFill>
              </w:rPr>
            </w:pPr>
            <w:r>
              <w:rPr>
                <w:rFonts w:cs="Calibri"/>
                <w:b/>
                <w:color w:val="000000" w:themeColor="text1"/>
                <w:sz w:val="18"/>
                <w:szCs w:val="18"/>
                <w14:textFill>
                  <w14:solidFill>
                    <w14:schemeClr w14:val="tx1"/>
                  </w14:solidFill>
                </w14:textFill>
              </w:rPr>
              <w:t>6.0</w:t>
            </w:r>
          </w:p>
        </w:tc>
        <w:tc>
          <w:tcPr>
            <w:tcW w:w="955" w:type="dxa"/>
            <w:vAlign w:val="center"/>
          </w:tcPr>
          <w:p w14:paraId="239A1E63">
            <w:pPr>
              <w:pStyle w:val="27"/>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8.0</w:t>
            </w:r>
          </w:p>
        </w:tc>
      </w:tr>
      <w:tr w14:paraId="4452AE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4" w:type="dxa"/>
            <w:vMerge w:val="continue"/>
            <w:tcBorders>
              <w:bottom w:val="single" w:color="auto" w:sz="8" w:space="0"/>
            </w:tcBorders>
            <w:vAlign w:val="center"/>
          </w:tcPr>
          <w:p w14:paraId="4CF81C91">
            <w:pPr>
              <w:pStyle w:val="27"/>
              <w:jc w:val="center"/>
              <w:rPr>
                <w:rFonts w:cs="Calibri"/>
                <w:color w:val="000000" w:themeColor="text1"/>
                <w:sz w:val="18"/>
                <w:szCs w:val="18"/>
                <w14:textFill>
                  <w14:solidFill>
                    <w14:schemeClr w14:val="tx1"/>
                  </w14:solidFill>
                </w14:textFill>
              </w:rPr>
            </w:pPr>
          </w:p>
        </w:tc>
        <w:tc>
          <w:tcPr>
            <w:tcW w:w="954" w:type="dxa"/>
            <w:vMerge w:val="continue"/>
            <w:tcBorders>
              <w:bottom w:val="single" w:color="auto" w:sz="8" w:space="0"/>
            </w:tcBorders>
            <w:vAlign w:val="center"/>
          </w:tcPr>
          <w:p w14:paraId="118F7086">
            <w:pPr>
              <w:pStyle w:val="27"/>
              <w:jc w:val="center"/>
              <w:rPr>
                <w:rFonts w:cs="Calibri"/>
                <w:color w:val="000000" w:themeColor="text1"/>
                <w:sz w:val="18"/>
                <w:szCs w:val="18"/>
                <w14:textFill>
                  <w14:solidFill>
                    <w14:schemeClr w14:val="tx1"/>
                  </w14:solidFill>
                </w14:textFill>
              </w:rPr>
            </w:pPr>
          </w:p>
        </w:tc>
        <w:tc>
          <w:tcPr>
            <w:tcW w:w="955" w:type="dxa"/>
            <w:tcBorders>
              <w:bottom w:val="single" w:color="auto" w:sz="8" w:space="0"/>
            </w:tcBorders>
            <w:vAlign w:val="center"/>
          </w:tcPr>
          <w:p w14:paraId="357EF796">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平均</w:t>
            </w:r>
            <w:r>
              <w:rPr>
                <w:rFonts w:cs="Calibri"/>
                <w:color w:val="000000" w:themeColor="text1"/>
                <w:sz w:val="18"/>
                <w:szCs w:val="18"/>
                <w14:textFill>
                  <w14:solidFill>
                    <w14:schemeClr w14:val="tx1"/>
                  </w14:solidFill>
                </w14:textFill>
              </w:rPr>
              <w:t>档</w:t>
            </w:r>
            <w:r>
              <w:rPr>
                <w:rFonts w:hint="eastAsia" w:cs="Calibri"/>
                <w:color w:val="000000" w:themeColor="text1"/>
                <w:sz w:val="18"/>
                <w:szCs w:val="18"/>
                <w14:textFill>
                  <w14:solidFill>
                    <w14:schemeClr w14:val="tx1"/>
                  </w14:solidFill>
                </w14:textFill>
              </w:rPr>
              <w:t>/L</w:t>
            </w:r>
          </w:p>
        </w:tc>
        <w:tc>
          <w:tcPr>
            <w:tcW w:w="955" w:type="dxa"/>
            <w:tcBorders>
              <w:bottom w:val="single" w:color="auto" w:sz="8" w:space="0"/>
            </w:tcBorders>
            <w:vAlign w:val="center"/>
          </w:tcPr>
          <w:p w14:paraId="757BF9F1">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3.5</w:t>
            </w:r>
          </w:p>
        </w:tc>
        <w:tc>
          <w:tcPr>
            <w:tcW w:w="955" w:type="dxa"/>
            <w:tcBorders>
              <w:bottom w:val="single" w:color="auto" w:sz="8" w:space="0"/>
            </w:tcBorders>
            <w:shd w:val="clear" w:color="auto" w:fill="auto"/>
            <w:vAlign w:val="center"/>
          </w:tcPr>
          <w:p w14:paraId="23165626">
            <w:pPr>
              <w:pStyle w:val="27"/>
              <w:jc w:val="center"/>
              <w:rPr>
                <w:rFonts w:cs="Calibri"/>
                <w:b/>
                <w:color w:val="000000" w:themeColor="text1"/>
                <w:sz w:val="18"/>
                <w:szCs w:val="18"/>
                <w14:textFill>
                  <w14:solidFill>
                    <w14:schemeClr w14:val="tx1"/>
                  </w14:solidFill>
                </w14:textFill>
              </w:rPr>
            </w:pPr>
            <w:r>
              <w:rPr>
                <w:rFonts w:hint="eastAsia" w:cs="Calibri"/>
                <w:b/>
                <w:color w:val="000000" w:themeColor="text1"/>
                <w:sz w:val="18"/>
                <w:szCs w:val="18"/>
                <w14:textFill>
                  <w14:solidFill>
                    <w14:schemeClr w14:val="tx1"/>
                  </w14:solidFill>
                </w14:textFill>
              </w:rPr>
              <w:t>4.2</w:t>
            </w:r>
          </w:p>
        </w:tc>
        <w:tc>
          <w:tcPr>
            <w:tcW w:w="955" w:type="dxa"/>
            <w:tcBorders>
              <w:bottom w:val="single" w:color="auto" w:sz="8" w:space="0"/>
            </w:tcBorders>
            <w:vAlign w:val="center"/>
          </w:tcPr>
          <w:p w14:paraId="511285B6">
            <w:pPr>
              <w:pStyle w:val="27"/>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5.6</w:t>
            </w:r>
          </w:p>
        </w:tc>
      </w:tr>
    </w:tbl>
    <w:p w14:paraId="7DF36866">
      <w:pPr>
        <w:spacing w:line="240" w:lineRule="exact"/>
        <w:rPr>
          <w:b/>
          <w:bCs/>
          <w:sz w:val="18"/>
          <w:szCs w:val="18"/>
        </w:rPr>
      </w:pPr>
      <w:r>
        <w:rPr>
          <w:rFonts w:hint="eastAsia" w:ascii="宋体" w:hAnsi="宋体" w:cs="宋体"/>
          <w:sz w:val="18"/>
          <w:szCs w:val="18"/>
        </w:rPr>
        <w:t>证明材料：√设计图纸（给排水、S-01_给水排水设计总说明）√水资源利用方案</w:t>
      </w:r>
    </w:p>
    <w:p w14:paraId="6516A020">
      <w:pPr>
        <w:spacing w:line="240" w:lineRule="exact"/>
        <w:rPr>
          <w:rFonts w:ascii="宋体" w:hAnsi="宋体" w:cs="宋体"/>
          <w:sz w:val="18"/>
          <w:szCs w:val="18"/>
        </w:rPr>
      </w:pPr>
    </w:p>
    <w:p w14:paraId="15F21E9B">
      <w:pPr>
        <w:spacing w:line="240" w:lineRule="exact"/>
        <w:rPr>
          <w:b/>
          <w:bCs/>
          <w:sz w:val="18"/>
          <w:szCs w:val="18"/>
        </w:rPr>
      </w:pPr>
      <w:r>
        <w:rPr>
          <w:rFonts w:hint="eastAsia"/>
          <w:b/>
          <w:bCs/>
          <w:sz w:val="18"/>
          <w:szCs w:val="18"/>
        </w:rPr>
        <w:t>暖通专业</w:t>
      </w:r>
    </w:p>
    <w:p w14:paraId="7FD92A71">
      <w:pPr>
        <w:spacing w:line="240" w:lineRule="exact"/>
        <w:rPr>
          <w:rFonts w:ascii="黑体" w:hAnsi="宋体" w:eastAsia="黑体"/>
          <w:sz w:val="18"/>
          <w:szCs w:val="18"/>
        </w:rPr>
      </w:pPr>
      <w:r>
        <w:rPr>
          <w:rFonts w:ascii="黑体" w:hAnsi="宋体" w:eastAsia="黑体" w:cs="黑体"/>
          <w:sz w:val="18"/>
          <w:szCs w:val="18"/>
        </w:rPr>
        <w:t>7.2.5</w:t>
      </w:r>
      <w:r>
        <w:rPr>
          <w:rFonts w:hint="eastAsia" w:ascii="黑体" w:hAnsi="宋体" w:eastAsia="黑体" w:cs="黑体"/>
          <w:sz w:val="18"/>
          <w:szCs w:val="18"/>
        </w:rPr>
        <w:t>供暖空调系统的冷、热源机组能效均优于现行国家标准《公共建筑节能设计标准》</w:t>
      </w:r>
      <w:r>
        <w:rPr>
          <w:rFonts w:ascii="黑体" w:hAnsi="宋体" w:eastAsia="黑体" w:cs="黑体"/>
          <w:sz w:val="18"/>
          <w:szCs w:val="18"/>
        </w:rPr>
        <w:t>GB 50189</w:t>
      </w:r>
      <w:r>
        <w:rPr>
          <w:rFonts w:hint="eastAsia" w:ascii="黑体" w:hAnsi="宋体" w:eastAsia="黑体" w:cs="黑体"/>
          <w:sz w:val="18"/>
          <w:szCs w:val="18"/>
        </w:rPr>
        <w:t>的规定以及现行有关国家标准能效限定值的要求。</w:t>
      </w:r>
    </w:p>
    <w:p w14:paraId="3C8502EB">
      <w:pPr>
        <w:spacing w:line="240" w:lineRule="exact"/>
        <w:rPr>
          <w:rFonts w:ascii="宋体"/>
          <w:sz w:val="18"/>
          <w:szCs w:val="18"/>
        </w:rPr>
      </w:pPr>
      <w:r>
        <w:rPr>
          <w:rFonts w:hint="eastAsia" w:ascii="宋体" w:hAnsi="宋体" w:cs="宋体"/>
          <w:sz w:val="18"/>
          <w:szCs w:val="18"/>
        </w:rPr>
        <w:t>技术措施说明：</w:t>
      </w:r>
      <w:r>
        <w:rPr>
          <w:rFonts w:ascii="宋体" w:hAnsi="宋体" w:cs="宋体"/>
          <w:sz w:val="18"/>
          <w:szCs w:val="18"/>
        </w:rPr>
        <w:t>暖通专业采用</w:t>
      </w:r>
      <w:r>
        <w:rPr>
          <w:rFonts w:hint="eastAsia" w:ascii="宋体" w:hAnsi="宋体" w:cs="宋体"/>
          <w:sz w:val="18"/>
          <w:szCs w:val="18"/>
        </w:rPr>
        <w:t>IPLV（C）达到6.0以上</w:t>
      </w:r>
      <w:r>
        <w:rPr>
          <w:rFonts w:ascii="宋体" w:hAnsi="宋体" w:cs="宋体"/>
          <w:sz w:val="18"/>
          <w:szCs w:val="18"/>
        </w:rPr>
        <w:t>的多联空调机组，</w:t>
      </w:r>
      <w:r>
        <w:rPr>
          <w:rFonts w:hint="eastAsia" w:ascii="宋体" w:hAnsi="宋体" w:cs="宋体"/>
          <w:sz w:val="18"/>
          <w:szCs w:val="18"/>
        </w:rPr>
        <w:t>比</w:t>
      </w:r>
      <w:r>
        <w:rPr>
          <w:rFonts w:ascii="宋体" w:hAnsi="宋体" w:cs="宋体"/>
          <w:sz w:val="18"/>
          <w:szCs w:val="18"/>
        </w:rPr>
        <w:t>规定性指标高</w:t>
      </w:r>
      <w:r>
        <w:rPr>
          <w:rFonts w:hint="eastAsia" w:ascii="宋体" w:hAnsi="宋体" w:cs="宋体"/>
          <w:sz w:val="18"/>
          <w:szCs w:val="18"/>
        </w:rPr>
        <w:t>16%以上。</w:t>
      </w:r>
    </w:p>
    <w:p w14:paraId="33572555">
      <w:pPr>
        <w:spacing w:line="240" w:lineRule="exact"/>
        <w:rPr>
          <w:b/>
          <w:bCs/>
          <w:sz w:val="18"/>
          <w:szCs w:val="18"/>
        </w:rPr>
      </w:pPr>
      <w:r>
        <w:rPr>
          <w:rFonts w:hint="eastAsia" w:ascii="宋体" w:hAnsi="宋体" w:cs="宋体"/>
          <w:sz w:val="18"/>
          <w:szCs w:val="18"/>
        </w:rPr>
        <w:t>证明材料：√设计图纸（暖通</w:t>
      </w:r>
      <w:r>
        <w:rPr>
          <w:rFonts w:ascii="宋体" w:hAnsi="宋体" w:cs="宋体"/>
          <w:sz w:val="18"/>
          <w:szCs w:val="18"/>
        </w:rPr>
        <w:t>、</w:t>
      </w:r>
      <w:r>
        <w:rPr>
          <w:rFonts w:hint="eastAsia" w:ascii="宋体" w:hAnsi="宋体" w:cs="宋体"/>
          <w:sz w:val="18"/>
          <w:szCs w:val="18"/>
        </w:rPr>
        <w:t>NT-SM-01 暖通空调及防排烟设计说明、NT-SM-02 暖通空调及防排烟施工说明 ，NT-05 主要设备材料表）</w:t>
      </w:r>
    </w:p>
    <w:p w14:paraId="145F4E6E">
      <w:pPr>
        <w:spacing w:line="240" w:lineRule="exact"/>
        <w:rPr>
          <w:rFonts w:ascii="黑体" w:hAnsi="宋体" w:eastAsia="黑体"/>
          <w:sz w:val="18"/>
          <w:szCs w:val="18"/>
        </w:rPr>
      </w:pPr>
      <w:r>
        <w:rPr>
          <w:rFonts w:ascii="黑体" w:hAnsi="宋体" w:eastAsia="黑体" w:cs="黑体"/>
          <w:sz w:val="18"/>
          <w:szCs w:val="18"/>
        </w:rPr>
        <w:t>7.2.6</w:t>
      </w:r>
      <w:r>
        <w:rPr>
          <w:rFonts w:hint="eastAsia" w:ascii="黑体" w:hAnsi="宋体" w:eastAsia="黑体" w:cs="黑体"/>
          <w:sz w:val="18"/>
          <w:szCs w:val="18"/>
        </w:rPr>
        <w:t>采取有效措施降低供暖空调系统的末端系统及输配系统的能耗。</w:t>
      </w:r>
    </w:p>
    <w:p w14:paraId="5842C433">
      <w:pPr>
        <w:spacing w:line="240" w:lineRule="exact"/>
        <w:rPr>
          <w:rFonts w:ascii="宋体"/>
          <w:sz w:val="18"/>
          <w:szCs w:val="18"/>
        </w:rPr>
      </w:pPr>
      <w:r>
        <w:rPr>
          <w:rFonts w:hint="eastAsia" w:ascii="宋体" w:hAnsi="宋体" w:cs="宋体"/>
          <w:sz w:val="18"/>
          <w:szCs w:val="18"/>
        </w:rPr>
        <w:t>技术措施说明：本项目</w:t>
      </w:r>
      <w:r>
        <w:rPr>
          <w:rFonts w:ascii="宋体" w:hAnsi="宋体" w:cs="宋体"/>
          <w:sz w:val="18"/>
          <w:szCs w:val="18"/>
        </w:rPr>
        <w:t>为</w:t>
      </w:r>
      <w:r>
        <w:rPr>
          <w:rFonts w:hint="eastAsia" w:ascii="宋体" w:hAnsi="宋体" w:cs="宋体"/>
          <w:sz w:val="18"/>
          <w:szCs w:val="18"/>
        </w:rPr>
        <w:t>医院</w:t>
      </w:r>
      <w:r>
        <w:rPr>
          <w:rFonts w:ascii="宋体" w:hAnsi="宋体" w:cs="宋体"/>
          <w:sz w:val="18"/>
          <w:szCs w:val="18"/>
        </w:rPr>
        <w:t>建筑，</w:t>
      </w:r>
      <w:r>
        <w:rPr>
          <w:rFonts w:hint="eastAsia" w:ascii="宋体" w:hAnsi="宋体" w:cs="宋体"/>
          <w:sz w:val="18"/>
          <w:szCs w:val="18"/>
        </w:rPr>
        <w:t>各功能房间采用多联式空调系统，本条可直接得分。</w:t>
      </w:r>
    </w:p>
    <w:p w14:paraId="7AD0F5A3">
      <w:pPr>
        <w:spacing w:line="240" w:lineRule="exact"/>
        <w:rPr>
          <w:rFonts w:ascii="宋体" w:cs="宋体"/>
          <w:sz w:val="18"/>
          <w:szCs w:val="18"/>
        </w:rPr>
      </w:pPr>
      <w:r>
        <w:rPr>
          <w:rFonts w:hint="eastAsia" w:ascii="宋体" w:hAnsi="宋体" w:cs="宋体"/>
          <w:sz w:val="18"/>
          <w:szCs w:val="18"/>
        </w:rPr>
        <w:t>证明材料：</w:t>
      </w:r>
      <w:r>
        <w:rPr>
          <w:rFonts w:ascii="宋体" w:hAnsi="宋体" w:cs="宋体"/>
          <w:sz w:val="18"/>
          <w:szCs w:val="18"/>
        </w:rPr>
        <w:t xml:space="preserve"> </w:t>
      </w:r>
      <w:r>
        <w:rPr>
          <w:rFonts w:hint="eastAsia" w:ascii="宋体" w:hAnsi="宋体" w:cs="宋体"/>
          <w:sz w:val="18"/>
          <w:szCs w:val="18"/>
        </w:rPr>
        <w:t>√设计图纸（暖通</w:t>
      </w:r>
      <w:r>
        <w:rPr>
          <w:rFonts w:ascii="宋体" w:hAnsi="宋体" w:cs="宋体"/>
          <w:sz w:val="18"/>
          <w:szCs w:val="18"/>
        </w:rPr>
        <w:t>、</w:t>
      </w:r>
      <w:r>
        <w:rPr>
          <w:rFonts w:hint="eastAsia" w:ascii="宋体" w:hAnsi="宋体" w:cs="宋体"/>
          <w:sz w:val="18"/>
          <w:szCs w:val="18"/>
        </w:rPr>
        <w:t>NT-01_空调通风及防排烟设计说明）</w:t>
      </w:r>
    </w:p>
    <w:p w14:paraId="34F3649D">
      <w:pPr>
        <w:spacing w:line="240" w:lineRule="exact"/>
        <w:rPr>
          <w:rFonts w:ascii="黑体" w:hAnsi="宋体" w:eastAsia="黑体"/>
          <w:sz w:val="18"/>
          <w:szCs w:val="18"/>
        </w:rPr>
      </w:pPr>
      <w:r>
        <w:rPr>
          <w:rFonts w:ascii="黑体" w:hAnsi="宋体" w:eastAsia="黑体" w:cs="黑体"/>
          <w:sz w:val="18"/>
          <w:szCs w:val="18"/>
        </w:rPr>
        <w:t>7.2.7-3</w:t>
      </w:r>
      <w:r>
        <w:rPr>
          <w:rFonts w:hint="eastAsia" w:ascii="黑体" w:hAnsi="宋体" w:eastAsia="黑体" w:cs="黑体"/>
          <w:sz w:val="18"/>
          <w:szCs w:val="18"/>
        </w:rPr>
        <w:t>采用节能型电气设备及节能控制措施。</w:t>
      </w:r>
    </w:p>
    <w:p w14:paraId="279E61E8">
      <w:pPr>
        <w:spacing w:line="240" w:lineRule="exact"/>
        <w:jc w:val="left"/>
        <w:rPr>
          <w:rFonts w:ascii="宋体"/>
          <w:sz w:val="18"/>
          <w:szCs w:val="18"/>
        </w:rPr>
      </w:pPr>
      <w:r>
        <w:rPr>
          <w:rFonts w:hint="eastAsia" w:ascii="宋体" w:hAnsi="宋体" w:cs="宋体"/>
          <w:sz w:val="18"/>
          <w:szCs w:val="18"/>
        </w:rPr>
        <w:t>技术措施说明：本项目为医院建筑，地下室车库设置有机械进排风系统，非消防独立使用的</w:t>
      </w:r>
      <w:r>
        <w:rPr>
          <w:rFonts w:ascii="宋体" w:hAnsi="宋体" w:cs="宋体"/>
          <w:sz w:val="18"/>
          <w:szCs w:val="18"/>
        </w:rPr>
        <w:t>风机</w:t>
      </w:r>
      <w:r>
        <w:rPr>
          <w:rFonts w:hint="eastAsia" w:ascii="宋体" w:hAnsi="宋体" w:cs="宋体"/>
          <w:sz w:val="18"/>
          <w:szCs w:val="18"/>
        </w:rPr>
        <w:t>，其能效等级</w:t>
      </w:r>
      <w:r>
        <w:rPr>
          <w:rFonts w:ascii="宋体" w:hAnsi="宋体" w:cs="宋体"/>
          <w:sz w:val="18"/>
          <w:szCs w:val="18"/>
        </w:rPr>
        <w:t>满足《通风机能效限定值及能效等级》（GB19761-2020）的节能评价值</w:t>
      </w:r>
      <w:r>
        <w:rPr>
          <w:rFonts w:hint="eastAsia" w:ascii="宋体" w:hAnsi="宋体" w:cs="宋体"/>
          <w:sz w:val="18"/>
          <w:szCs w:val="18"/>
        </w:rPr>
        <w:t>2级</w:t>
      </w:r>
      <w:r>
        <w:rPr>
          <w:rFonts w:ascii="宋体" w:hAnsi="宋体" w:cs="宋体"/>
          <w:sz w:val="18"/>
          <w:szCs w:val="18"/>
        </w:rPr>
        <w:t>的要求</w:t>
      </w:r>
      <w:r>
        <w:rPr>
          <w:rFonts w:ascii="Times New Roman" w:hAnsi="Times New Roman"/>
          <w:sz w:val="18"/>
          <w:szCs w:val="18"/>
        </w:rPr>
        <w:t>，风机电机尚应满足《电动机能效限定值及能效等级》GB18613-2020规定的3级能效等级要求。</w:t>
      </w:r>
    </w:p>
    <w:p w14:paraId="439269A5">
      <w:pPr>
        <w:spacing w:line="240" w:lineRule="exact"/>
        <w:rPr>
          <w:rFonts w:ascii="宋体" w:cs="宋体"/>
          <w:sz w:val="18"/>
          <w:szCs w:val="18"/>
        </w:rPr>
      </w:pPr>
      <w:r>
        <w:rPr>
          <w:rFonts w:hint="eastAsia" w:ascii="宋体" w:hAnsi="宋体" w:cs="宋体"/>
          <w:sz w:val="18"/>
          <w:szCs w:val="18"/>
        </w:rPr>
        <w:t>证明材料：√设计图纸（暖通</w:t>
      </w:r>
      <w:r>
        <w:rPr>
          <w:rFonts w:ascii="宋体" w:hAnsi="宋体" w:cs="宋体"/>
          <w:sz w:val="18"/>
          <w:szCs w:val="18"/>
        </w:rPr>
        <w:t>、</w:t>
      </w:r>
      <w:r>
        <w:rPr>
          <w:rFonts w:hint="eastAsia" w:ascii="宋体" w:hAnsi="宋体" w:cs="宋体"/>
          <w:sz w:val="18"/>
          <w:szCs w:val="18"/>
        </w:rPr>
        <w:t>NT-01_空调通风及防排烟设计说明，NT-05_主要材料设备表）</w:t>
      </w:r>
    </w:p>
    <w:p w14:paraId="2EF031F5">
      <w:pPr>
        <w:spacing w:line="240" w:lineRule="exact"/>
        <w:rPr>
          <w:rFonts w:ascii="黑体" w:hAnsi="宋体" w:eastAsia="黑体"/>
          <w:sz w:val="18"/>
          <w:szCs w:val="18"/>
        </w:rPr>
      </w:pPr>
      <w:r>
        <w:rPr>
          <w:rFonts w:ascii="黑体" w:hAnsi="宋体" w:eastAsia="黑体" w:cs="黑体"/>
          <w:sz w:val="18"/>
          <w:szCs w:val="18"/>
        </w:rPr>
        <w:t>7.2.1</w:t>
      </w:r>
      <w:r>
        <w:rPr>
          <w:rFonts w:hint="eastAsia" w:ascii="黑体" w:hAnsi="宋体" w:eastAsia="黑体" w:cs="黑体"/>
          <w:sz w:val="18"/>
          <w:szCs w:val="18"/>
          <w:lang w:val="en-US" w:eastAsia="zh-CN"/>
        </w:rPr>
        <w:t>1</w:t>
      </w:r>
      <w:r>
        <w:rPr>
          <w:rFonts w:ascii="黑体" w:hAnsi="宋体" w:eastAsia="黑体" w:cs="黑体"/>
          <w:sz w:val="18"/>
          <w:szCs w:val="18"/>
        </w:rPr>
        <w:t>-</w:t>
      </w:r>
      <w:r>
        <w:rPr>
          <w:rFonts w:hint="eastAsia" w:ascii="黑体" w:hAnsi="宋体" w:eastAsia="黑体" w:cs="黑体"/>
          <w:sz w:val="18"/>
          <w:szCs w:val="18"/>
          <w:lang w:val="en-US" w:eastAsia="zh-CN"/>
        </w:rPr>
        <w:t>2</w:t>
      </w:r>
      <w:r>
        <w:rPr>
          <w:rFonts w:hint="eastAsia" w:ascii="黑体" w:hAnsi="宋体" w:eastAsia="黑体" w:cs="黑体"/>
          <w:sz w:val="18"/>
          <w:szCs w:val="18"/>
        </w:rPr>
        <w:t>绿化灌溉及空调冷却水系统采用节水设备或技术。</w:t>
      </w:r>
    </w:p>
    <w:p w14:paraId="537F2300">
      <w:pPr>
        <w:spacing w:line="240" w:lineRule="exact"/>
        <w:rPr>
          <w:rFonts w:ascii="宋体"/>
          <w:sz w:val="18"/>
          <w:szCs w:val="18"/>
        </w:rPr>
      </w:pPr>
      <w:r>
        <w:rPr>
          <w:rFonts w:hint="eastAsia" w:ascii="宋体" w:hAnsi="宋体" w:cs="宋体"/>
          <w:sz w:val="18"/>
          <w:szCs w:val="18"/>
        </w:rPr>
        <w:t>技术措施说明：本</w:t>
      </w:r>
      <w:r>
        <w:rPr>
          <w:rFonts w:ascii="宋体" w:hAnsi="宋体" w:cs="宋体"/>
          <w:sz w:val="18"/>
          <w:szCs w:val="18"/>
        </w:rPr>
        <w:t>项目</w:t>
      </w:r>
      <w:r>
        <w:rPr>
          <w:rFonts w:hint="eastAsia" w:ascii="宋体" w:hAnsi="宋体" w:cs="宋体"/>
          <w:sz w:val="18"/>
          <w:szCs w:val="18"/>
          <w:lang w:val="en-US" w:eastAsia="zh-CN"/>
        </w:rPr>
        <w:t>水冷式</w:t>
      </w:r>
      <w:r>
        <w:rPr>
          <w:rFonts w:hint="eastAsia" w:ascii="宋体" w:hAnsi="宋体" w:cs="宋体"/>
          <w:sz w:val="18"/>
          <w:szCs w:val="18"/>
        </w:rPr>
        <w:t>空调系统</w:t>
      </w:r>
      <w:r>
        <w:rPr>
          <w:rFonts w:hint="eastAsia" w:ascii="宋体" w:hAnsi="宋体" w:cs="宋体"/>
          <w:sz w:val="18"/>
          <w:szCs w:val="18"/>
          <w:lang w:val="en-US" w:eastAsia="zh-CN"/>
        </w:rPr>
        <w:t>的循环</w:t>
      </w:r>
      <w:r>
        <w:rPr>
          <w:rFonts w:hint="eastAsia" w:ascii="宋体" w:hAnsi="宋体" w:cs="宋体"/>
          <w:sz w:val="18"/>
          <w:szCs w:val="18"/>
        </w:rPr>
        <w:t>冷却水</w:t>
      </w:r>
      <w:r>
        <w:rPr>
          <w:rFonts w:hint="eastAsia" w:ascii="宋体" w:hAnsi="宋体" w:cs="宋体"/>
          <w:sz w:val="18"/>
          <w:szCs w:val="18"/>
          <w:lang w:val="en-US" w:eastAsia="zh-CN"/>
        </w:rPr>
        <w:t>采用加大集水盘和设置平衡管的方式，避免冷却水泵停泵时冷却水溢出造成水资源浪费</w:t>
      </w:r>
      <w:r>
        <w:rPr>
          <w:rFonts w:hint="eastAsia" w:ascii="宋体" w:hAnsi="宋体" w:cs="宋体"/>
          <w:sz w:val="18"/>
          <w:szCs w:val="18"/>
        </w:rPr>
        <w:t>。</w:t>
      </w:r>
    </w:p>
    <w:p w14:paraId="0BA7BAF7">
      <w:pPr>
        <w:spacing w:line="240" w:lineRule="exact"/>
        <w:rPr>
          <w:b/>
          <w:bCs/>
          <w:sz w:val="18"/>
          <w:szCs w:val="18"/>
        </w:rPr>
      </w:pPr>
      <w:r>
        <w:rPr>
          <w:rFonts w:hint="eastAsia" w:ascii="宋体" w:hAnsi="宋体" w:cs="宋体"/>
          <w:sz w:val="18"/>
          <w:szCs w:val="18"/>
        </w:rPr>
        <w:t>证明材料：√设计图纸（暖通</w:t>
      </w:r>
      <w:r>
        <w:rPr>
          <w:rFonts w:ascii="宋体" w:hAnsi="宋体" w:cs="宋体"/>
          <w:sz w:val="18"/>
          <w:szCs w:val="18"/>
        </w:rPr>
        <w:t>、</w:t>
      </w:r>
      <w:r>
        <w:rPr>
          <w:rFonts w:hint="eastAsia" w:ascii="宋体" w:hAnsi="宋体" w:cs="宋体"/>
          <w:sz w:val="18"/>
          <w:szCs w:val="18"/>
        </w:rPr>
        <w:t>NT-01_空调通风及防排烟设计说明，NT-05_主要材料设备表 ）</w:t>
      </w:r>
    </w:p>
    <w:p w14:paraId="261219B7">
      <w:pPr>
        <w:spacing w:line="240" w:lineRule="exact"/>
        <w:rPr>
          <w:b/>
          <w:bCs/>
          <w:sz w:val="18"/>
          <w:szCs w:val="18"/>
        </w:rPr>
      </w:pPr>
      <w:r>
        <w:rPr>
          <w:rFonts w:hint="eastAsia"/>
          <w:b/>
          <w:bCs/>
          <w:sz w:val="18"/>
          <w:szCs w:val="18"/>
        </w:rPr>
        <w:t>电气专业</w:t>
      </w:r>
    </w:p>
    <w:p w14:paraId="67CB3105">
      <w:pPr>
        <w:spacing w:line="240" w:lineRule="exact"/>
        <w:rPr>
          <w:rFonts w:ascii="黑体" w:hAnsi="宋体" w:eastAsia="黑体"/>
          <w:sz w:val="18"/>
          <w:szCs w:val="18"/>
        </w:rPr>
      </w:pPr>
      <w:r>
        <w:rPr>
          <w:rFonts w:ascii="黑体" w:hAnsi="宋体" w:eastAsia="黑体" w:cs="黑体"/>
          <w:sz w:val="18"/>
          <w:szCs w:val="18"/>
        </w:rPr>
        <w:t>7.2.7-1</w:t>
      </w:r>
      <w:r>
        <w:rPr>
          <w:rFonts w:hint="eastAsia" w:ascii="黑体" w:hAnsi="宋体" w:eastAsia="黑体" w:cs="黑体"/>
          <w:sz w:val="18"/>
          <w:szCs w:val="18"/>
        </w:rPr>
        <w:t>、</w:t>
      </w:r>
      <w:r>
        <w:rPr>
          <w:rFonts w:ascii="黑体" w:hAnsi="宋体" w:eastAsia="黑体" w:cs="黑体"/>
          <w:sz w:val="18"/>
          <w:szCs w:val="18"/>
        </w:rPr>
        <w:t>3</w:t>
      </w:r>
      <w:r>
        <w:rPr>
          <w:rFonts w:hint="eastAsia" w:ascii="黑体" w:hAnsi="宋体" w:eastAsia="黑体" w:cs="黑体"/>
          <w:sz w:val="18"/>
          <w:szCs w:val="18"/>
        </w:rPr>
        <w:t>采用节能型电气设备及节能控制措施。</w:t>
      </w:r>
    </w:p>
    <w:p w14:paraId="34C3BDBB">
      <w:pPr>
        <w:pStyle w:val="27"/>
        <w:rPr>
          <w:rFonts w:cs="宋体"/>
          <w:color w:val="auto"/>
          <w:sz w:val="18"/>
          <w:szCs w:val="18"/>
        </w:rPr>
      </w:pPr>
      <w:r>
        <w:rPr>
          <w:rFonts w:hint="eastAsia" w:cs="宋体"/>
          <w:color w:val="auto"/>
          <w:sz w:val="18"/>
          <w:szCs w:val="18"/>
        </w:rPr>
        <w:t>技术措施说明：1）本项目各主要房间照明功率密度值达到现行国家标准《建筑照明设计标准》</w:t>
      </w:r>
      <w:r>
        <w:rPr>
          <w:rFonts w:cs="宋体"/>
          <w:color w:val="auto"/>
          <w:sz w:val="18"/>
          <w:szCs w:val="18"/>
        </w:rPr>
        <w:t>GB 50034-2013</w:t>
      </w:r>
      <w:r>
        <w:rPr>
          <w:rFonts w:hint="eastAsia" w:cs="宋体"/>
          <w:color w:val="auto"/>
          <w:sz w:val="18"/>
          <w:szCs w:val="18"/>
        </w:rPr>
        <w:t>中规定的目标值。</w:t>
      </w:r>
    </w:p>
    <w:p w14:paraId="2AF854D8">
      <w:pPr>
        <w:pStyle w:val="27"/>
        <w:rPr>
          <w:rFonts w:cs="宋体"/>
          <w:color w:val="auto"/>
          <w:sz w:val="18"/>
          <w:szCs w:val="18"/>
        </w:rPr>
      </w:pPr>
      <w:r>
        <w:rPr>
          <w:rFonts w:cs="宋体"/>
          <w:color w:val="auto"/>
          <w:sz w:val="18"/>
          <w:szCs w:val="18"/>
        </w:rPr>
        <w:t>2</w:t>
      </w:r>
      <w:r>
        <w:rPr>
          <w:rFonts w:hint="eastAsia" w:cs="宋体"/>
          <w:color w:val="auto"/>
          <w:sz w:val="18"/>
          <w:szCs w:val="18"/>
        </w:rPr>
        <w:t>）合理选用节能型电气设备，三相配电变压器满足现行国家标准变压器能效等级按《电力变压器能效限定值及能效等级》</w:t>
      </w:r>
      <w:r>
        <w:rPr>
          <w:rFonts w:cs="宋体"/>
          <w:color w:val="auto"/>
          <w:sz w:val="18"/>
          <w:szCs w:val="18"/>
        </w:rPr>
        <w:t>GB 20052-2020</w:t>
      </w:r>
      <w:r>
        <w:rPr>
          <w:rFonts w:hint="eastAsia" w:cs="宋体"/>
          <w:color w:val="auto"/>
          <w:sz w:val="18"/>
          <w:szCs w:val="18"/>
        </w:rPr>
        <w:t>的节能评价值要求；L</w:t>
      </w:r>
      <w:r>
        <w:rPr>
          <w:rFonts w:cs="宋体"/>
          <w:color w:val="auto"/>
          <w:sz w:val="18"/>
          <w:szCs w:val="18"/>
        </w:rPr>
        <w:t>ED</w:t>
      </w:r>
      <w:r>
        <w:rPr>
          <w:rFonts w:hint="eastAsia" w:cs="宋体"/>
          <w:color w:val="auto"/>
          <w:sz w:val="18"/>
          <w:szCs w:val="18"/>
        </w:rPr>
        <w:t>灯具</w:t>
      </w:r>
      <w:r>
        <w:rPr>
          <w:rFonts w:cs="宋体"/>
          <w:color w:val="auto"/>
          <w:sz w:val="18"/>
          <w:szCs w:val="18"/>
        </w:rPr>
        <w:t>选型采用</w:t>
      </w:r>
      <w:r>
        <w:rPr>
          <w:rFonts w:hint="eastAsia" w:cs="宋体"/>
          <w:color w:val="auto"/>
          <w:sz w:val="18"/>
          <w:szCs w:val="18"/>
        </w:rPr>
        <w:t>高效</w:t>
      </w:r>
      <w:r>
        <w:rPr>
          <w:rFonts w:cs="宋体"/>
          <w:color w:val="auto"/>
          <w:sz w:val="18"/>
          <w:szCs w:val="18"/>
        </w:rPr>
        <w:t>荧光灯和LED灯源，</w:t>
      </w:r>
      <w:r>
        <w:rPr>
          <w:rFonts w:hint="eastAsia" w:cs="宋体"/>
          <w:color w:val="auto"/>
          <w:sz w:val="18"/>
          <w:szCs w:val="18"/>
        </w:rPr>
        <w:t>均</w:t>
      </w:r>
      <w:r>
        <w:rPr>
          <w:rFonts w:cs="宋体"/>
          <w:color w:val="auto"/>
          <w:sz w:val="18"/>
          <w:szCs w:val="18"/>
        </w:rPr>
        <w:t>分别满足相应规范的节能</w:t>
      </w:r>
      <w:r>
        <w:rPr>
          <w:rFonts w:hint="eastAsia" w:cs="宋体"/>
          <w:color w:val="auto"/>
          <w:sz w:val="18"/>
          <w:szCs w:val="18"/>
        </w:rPr>
        <w:t>评</w:t>
      </w:r>
      <w:r>
        <w:rPr>
          <w:rFonts w:cs="宋体"/>
          <w:color w:val="auto"/>
          <w:sz w:val="18"/>
          <w:szCs w:val="18"/>
        </w:rPr>
        <w:t>价值要求</w:t>
      </w:r>
      <w:r>
        <w:rPr>
          <w:rFonts w:hint="eastAsia" w:cs="宋体"/>
          <w:color w:val="auto"/>
          <w:sz w:val="18"/>
          <w:szCs w:val="18"/>
        </w:rPr>
        <w:t>。</w:t>
      </w:r>
      <w:r>
        <w:rPr>
          <w:rFonts w:cs="宋体"/>
          <w:color w:val="auto"/>
          <w:sz w:val="18"/>
          <w:szCs w:val="18"/>
        </w:rPr>
        <w:t xml:space="preserve"> </w:t>
      </w:r>
    </w:p>
    <w:tbl>
      <w:tblPr>
        <w:tblStyle w:val="12"/>
        <w:tblW w:w="0" w:type="auto"/>
        <w:tblInd w:w="0" w:type="dxa"/>
        <w:tblLayout w:type="autofit"/>
        <w:tblCellMar>
          <w:top w:w="0" w:type="dxa"/>
          <w:left w:w="108" w:type="dxa"/>
          <w:bottom w:w="0" w:type="dxa"/>
          <w:right w:w="108" w:type="dxa"/>
        </w:tblCellMar>
      </w:tblPr>
      <w:tblGrid>
        <w:gridCol w:w="816"/>
        <w:gridCol w:w="1058"/>
        <w:gridCol w:w="801"/>
        <w:gridCol w:w="785"/>
        <w:gridCol w:w="810"/>
        <w:gridCol w:w="1058"/>
        <w:gridCol w:w="801"/>
        <w:gridCol w:w="785"/>
        <w:gridCol w:w="810"/>
        <w:gridCol w:w="816"/>
      </w:tblGrid>
      <w:tr w14:paraId="0C731540">
        <w:tblPrEx>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604823">
            <w:pPr>
              <w:widowControl/>
              <w:jc w:val="center"/>
              <w:textAlignment w:val="center"/>
              <w:rPr>
                <w:rFonts w:ascii="Times New Roman" w:hAnsi="Times New Roman"/>
                <w:kern w:val="0"/>
                <w:sz w:val="15"/>
                <w:szCs w:val="15"/>
                <w:lang w:bidi="ar"/>
              </w:rPr>
            </w:pPr>
            <w:r>
              <w:rPr>
                <w:rFonts w:ascii="Times New Roman" w:hAnsi="Times New Roman"/>
                <w:kern w:val="0"/>
                <w:sz w:val="15"/>
                <w:szCs w:val="15"/>
                <w:lang w:bidi="ar"/>
              </w:rPr>
              <w:t>额定容量</w:t>
            </w:r>
          </w:p>
          <w:p w14:paraId="682A547C">
            <w:pPr>
              <w:widowControl/>
              <w:jc w:val="center"/>
              <w:textAlignment w:val="center"/>
              <w:rPr>
                <w:rFonts w:ascii="Times New Roman" w:hAnsi="Times New Roman"/>
                <w:sz w:val="15"/>
                <w:szCs w:val="15"/>
              </w:rPr>
            </w:pPr>
            <w:r>
              <w:rPr>
                <w:rFonts w:ascii="Times New Roman" w:hAnsi="Times New Roman"/>
                <w:kern w:val="0"/>
                <w:sz w:val="15"/>
                <w:szCs w:val="15"/>
                <w:lang w:bidi="ar"/>
              </w:rPr>
              <w:t>(KVA)</w:t>
            </w:r>
          </w:p>
        </w:tc>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21F1B68">
            <w:pPr>
              <w:widowControl/>
              <w:jc w:val="center"/>
              <w:textAlignment w:val="center"/>
              <w:rPr>
                <w:rFonts w:ascii="Times New Roman" w:hAnsi="Times New Roman"/>
                <w:sz w:val="15"/>
                <w:szCs w:val="15"/>
              </w:rPr>
            </w:pPr>
            <w:r>
              <w:rPr>
                <w:rFonts w:ascii="Times New Roman" w:hAnsi="Times New Roman"/>
                <w:kern w:val="0"/>
                <w:sz w:val="15"/>
                <w:szCs w:val="15"/>
                <w:lang w:bidi="ar"/>
              </w:rPr>
              <w:t>干式配电变压器能效等级—2级</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7D3CD0">
            <w:pPr>
              <w:widowControl/>
              <w:jc w:val="center"/>
              <w:textAlignment w:val="center"/>
              <w:rPr>
                <w:rFonts w:ascii="Times New Roman" w:hAnsi="Times New Roman"/>
                <w:sz w:val="15"/>
                <w:szCs w:val="15"/>
              </w:rPr>
            </w:pPr>
            <w:r>
              <w:rPr>
                <w:rFonts w:ascii="Times New Roman" w:hAnsi="Times New Roman"/>
                <w:kern w:val="0"/>
                <w:sz w:val="15"/>
                <w:szCs w:val="15"/>
                <w:lang w:bidi="ar"/>
              </w:rPr>
              <w:t>短路阻抗</w:t>
            </w:r>
          </w:p>
        </w:tc>
      </w:tr>
      <w:tr w14:paraId="31DEC543">
        <w:tblPrEx>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2DF9B">
            <w:pPr>
              <w:jc w:val="center"/>
              <w:rPr>
                <w:rFonts w:ascii="Times New Roman" w:hAnsi="Times New Roman"/>
                <w:sz w:val="15"/>
                <w:szCs w:val="15"/>
              </w:rPr>
            </w:pP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B671E92">
            <w:pPr>
              <w:widowControl/>
              <w:jc w:val="center"/>
              <w:textAlignment w:val="center"/>
              <w:rPr>
                <w:rFonts w:ascii="Times New Roman" w:hAnsi="Times New Roman"/>
                <w:sz w:val="15"/>
                <w:szCs w:val="15"/>
              </w:rPr>
            </w:pPr>
            <w:r>
              <w:rPr>
                <w:rFonts w:ascii="Times New Roman" w:hAnsi="Times New Roman"/>
                <w:kern w:val="0"/>
                <w:sz w:val="15"/>
                <w:szCs w:val="15"/>
                <w:lang w:bidi="ar"/>
              </w:rPr>
              <w:t>电工钢带</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D88DB14">
            <w:pPr>
              <w:widowControl/>
              <w:jc w:val="center"/>
              <w:textAlignment w:val="center"/>
              <w:rPr>
                <w:rFonts w:ascii="Times New Roman" w:hAnsi="Times New Roman"/>
                <w:sz w:val="15"/>
                <w:szCs w:val="15"/>
              </w:rPr>
            </w:pPr>
            <w:r>
              <w:rPr>
                <w:rFonts w:ascii="Times New Roman" w:hAnsi="Times New Roman"/>
                <w:kern w:val="0"/>
                <w:sz w:val="15"/>
                <w:szCs w:val="15"/>
                <w:lang w:bidi="ar"/>
              </w:rPr>
              <w:t>非晶合金</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D4725">
            <w:pPr>
              <w:jc w:val="center"/>
              <w:rPr>
                <w:rFonts w:ascii="Times New Roman" w:hAnsi="Times New Roman"/>
                <w:sz w:val="15"/>
                <w:szCs w:val="15"/>
              </w:rPr>
            </w:pPr>
          </w:p>
        </w:tc>
      </w:tr>
      <w:tr w14:paraId="3D00C10C">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BAC38">
            <w:pPr>
              <w:jc w:val="center"/>
              <w:rPr>
                <w:rFonts w:ascii="Times New Roman" w:hAnsi="Times New Roman"/>
                <w:sz w:val="15"/>
                <w:szCs w:val="15"/>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F837AE">
            <w:pPr>
              <w:widowControl/>
              <w:jc w:val="center"/>
              <w:textAlignment w:val="center"/>
              <w:rPr>
                <w:rFonts w:ascii="Times New Roman" w:hAnsi="Times New Roman"/>
                <w:sz w:val="15"/>
                <w:szCs w:val="15"/>
              </w:rPr>
            </w:pPr>
            <w:r>
              <w:rPr>
                <w:rFonts w:ascii="Times New Roman" w:hAnsi="Times New Roman"/>
                <w:kern w:val="0"/>
                <w:sz w:val="15"/>
                <w:szCs w:val="15"/>
                <w:lang w:bidi="ar"/>
              </w:rPr>
              <w:t>空载损耗(W)</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41DBC9">
            <w:pPr>
              <w:widowControl/>
              <w:jc w:val="center"/>
              <w:textAlignment w:val="center"/>
              <w:rPr>
                <w:rFonts w:ascii="Times New Roman" w:hAnsi="Times New Roman"/>
                <w:sz w:val="15"/>
                <w:szCs w:val="15"/>
              </w:rPr>
            </w:pPr>
            <w:r>
              <w:rPr>
                <w:rFonts w:ascii="Times New Roman" w:hAnsi="Times New Roman"/>
                <w:kern w:val="0"/>
                <w:sz w:val="15"/>
                <w:szCs w:val="15"/>
                <w:lang w:bidi="ar"/>
              </w:rPr>
              <w:t>负载损耗/W)</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CAC672">
            <w:pPr>
              <w:widowControl/>
              <w:jc w:val="center"/>
              <w:textAlignment w:val="center"/>
              <w:rPr>
                <w:rFonts w:ascii="Times New Roman" w:hAnsi="Times New Roman"/>
                <w:sz w:val="15"/>
                <w:szCs w:val="15"/>
              </w:rPr>
            </w:pPr>
            <w:r>
              <w:rPr>
                <w:rFonts w:ascii="Times New Roman" w:hAnsi="Times New Roman"/>
                <w:kern w:val="0"/>
                <w:sz w:val="15"/>
                <w:szCs w:val="15"/>
                <w:lang w:bidi="ar"/>
              </w:rPr>
              <w:t>空载损耗(W)</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E338E8">
            <w:pPr>
              <w:widowControl/>
              <w:jc w:val="center"/>
              <w:textAlignment w:val="center"/>
              <w:rPr>
                <w:rFonts w:ascii="Times New Roman" w:hAnsi="Times New Roman"/>
                <w:sz w:val="15"/>
                <w:szCs w:val="15"/>
              </w:rPr>
            </w:pPr>
            <w:r>
              <w:rPr>
                <w:rFonts w:ascii="Times New Roman" w:hAnsi="Times New Roman"/>
                <w:kern w:val="0"/>
                <w:sz w:val="15"/>
                <w:szCs w:val="15"/>
                <w:lang w:bidi="ar"/>
              </w:rPr>
              <w:t>负载损耗/W)</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8EF303">
            <w:pPr>
              <w:jc w:val="center"/>
              <w:rPr>
                <w:rFonts w:ascii="Times New Roman" w:hAnsi="Times New Roman"/>
                <w:sz w:val="15"/>
                <w:szCs w:val="15"/>
              </w:rPr>
            </w:pPr>
          </w:p>
        </w:tc>
      </w:tr>
      <w:tr w14:paraId="5AF6B080">
        <w:tblPrEx>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B3258E">
            <w:pPr>
              <w:jc w:val="center"/>
              <w:rPr>
                <w:rFonts w:ascii="Times New Roman" w:hAnsi="Times New Roman"/>
                <w:sz w:val="15"/>
                <w:szCs w:val="15"/>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BEBC2">
            <w:pPr>
              <w:jc w:val="center"/>
              <w:rPr>
                <w:rFonts w:ascii="Times New Roman" w:hAnsi="Times New Roman"/>
                <w:sz w:val="15"/>
                <w:szCs w:val="15"/>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BCD41B">
            <w:pPr>
              <w:widowControl/>
              <w:jc w:val="center"/>
              <w:textAlignment w:val="center"/>
              <w:rPr>
                <w:rFonts w:ascii="Times New Roman" w:hAnsi="Times New Roman"/>
                <w:sz w:val="15"/>
                <w:szCs w:val="15"/>
              </w:rPr>
            </w:pPr>
            <w:r>
              <w:rPr>
                <w:rFonts w:ascii="Times New Roman" w:hAnsi="Times New Roman"/>
                <w:kern w:val="0"/>
                <w:sz w:val="15"/>
                <w:szCs w:val="15"/>
                <w:lang w:bidi="ar"/>
              </w:rPr>
              <w:t>B(100°C)</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907CBC">
            <w:pPr>
              <w:widowControl/>
              <w:jc w:val="center"/>
              <w:textAlignment w:val="center"/>
              <w:rPr>
                <w:rFonts w:ascii="Times New Roman" w:hAnsi="Times New Roman"/>
                <w:sz w:val="15"/>
                <w:szCs w:val="15"/>
              </w:rPr>
            </w:pPr>
            <w:r>
              <w:rPr>
                <w:rFonts w:ascii="Times New Roman" w:hAnsi="Times New Roman"/>
                <w:kern w:val="0"/>
                <w:sz w:val="15"/>
                <w:szCs w:val="15"/>
                <w:lang w:bidi="ar"/>
              </w:rPr>
              <w:t>F(120°C)</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D2861B">
            <w:pPr>
              <w:widowControl/>
              <w:jc w:val="center"/>
              <w:textAlignment w:val="center"/>
              <w:rPr>
                <w:rFonts w:ascii="Times New Roman" w:hAnsi="Times New Roman"/>
                <w:sz w:val="15"/>
                <w:szCs w:val="15"/>
              </w:rPr>
            </w:pPr>
            <w:r>
              <w:rPr>
                <w:rFonts w:ascii="Times New Roman" w:hAnsi="Times New Roman"/>
                <w:kern w:val="0"/>
                <w:sz w:val="15"/>
                <w:szCs w:val="15"/>
                <w:lang w:bidi="ar"/>
              </w:rPr>
              <w:t>H(145°C)</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8F400">
            <w:pPr>
              <w:jc w:val="center"/>
              <w:rPr>
                <w:rFonts w:ascii="Times New Roman" w:hAnsi="Times New Roman"/>
                <w:sz w:val="15"/>
                <w:szCs w:val="15"/>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B8F0B1">
            <w:pPr>
              <w:widowControl/>
              <w:jc w:val="center"/>
              <w:textAlignment w:val="center"/>
              <w:rPr>
                <w:rFonts w:ascii="Times New Roman" w:hAnsi="Times New Roman"/>
                <w:sz w:val="15"/>
                <w:szCs w:val="15"/>
              </w:rPr>
            </w:pPr>
            <w:r>
              <w:rPr>
                <w:rFonts w:ascii="Times New Roman" w:hAnsi="Times New Roman"/>
                <w:kern w:val="0"/>
                <w:sz w:val="15"/>
                <w:szCs w:val="15"/>
                <w:lang w:bidi="ar"/>
              </w:rPr>
              <w:t>B(100°C)</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063EEC">
            <w:pPr>
              <w:widowControl/>
              <w:jc w:val="center"/>
              <w:textAlignment w:val="center"/>
              <w:rPr>
                <w:rFonts w:ascii="Times New Roman" w:hAnsi="Times New Roman"/>
                <w:sz w:val="15"/>
                <w:szCs w:val="15"/>
              </w:rPr>
            </w:pPr>
            <w:r>
              <w:rPr>
                <w:rFonts w:ascii="Times New Roman" w:hAnsi="Times New Roman"/>
                <w:kern w:val="0"/>
                <w:sz w:val="15"/>
                <w:szCs w:val="15"/>
                <w:lang w:bidi="ar"/>
              </w:rPr>
              <w:t>F(120°C)</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CE8AE0">
            <w:pPr>
              <w:widowControl/>
              <w:jc w:val="center"/>
              <w:textAlignment w:val="center"/>
              <w:rPr>
                <w:rFonts w:ascii="Times New Roman" w:hAnsi="Times New Roman"/>
                <w:sz w:val="15"/>
                <w:szCs w:val="15"/>
              </w:rPr>
            </w:pPr>
            <w:r>
              <w:rPr>
                <w:rFonts w:ascii="Times New Roman" w:hAnsi="Times New Roman"/>
                <w:kern w:val="0"/>
                <w:sz w:val="15"/>
                <w:szCs w:val="15"/>
                <w:lang w:bidi="ar"/>
              </w:rPr>
              <w:t>H(145°C)</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68055B">
            <w:pPr>
              <w:jc w:val="center"/>
              <w:rPr>
                <w:rFonts w:ascii="Times New Roman" w:hAnsi="Times New Roman"/>
                <w:sz w:val="15"/>
                <w:szCs w:val="15"/>
              </w:rPr>
            </w:pPr>
          </w:p>
        </w:tc>
      </w:tr>
      <w:tr w14:paraId="3F2C616C">
        <w:tblPrEx>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F333F7">
            <w:pPr>
              <w:widowControl/>
              <w:jc w:val="center"/>
              <w:textAlignment w:val="center"/>
              <w:rPr>
                <w:rFonts w:ascii="Times New Roman" w:hAnsi="Times New Roman"/>
                <w:sz w:val="15"/>
                <w:szCs w:val="15"/>
              </w:rPr>
            </w:pPr>
            <w:r>
              <w:rPr>
                <w:rFonts w:ascii="Times New Roman" w:hAnsi="Times New Roman"/>
                <w:kern w:val="0"/>
                <w:sz w:val="15"/>
                <w:szCs w:val="15"/>
                <w:lang w:bidi="ar"/>
              </w:rPr>
              <w:t>2000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6F5962">
            <w:pPr>
              <w:widowControl/>
              <w:jc w:val="center"/>
              <w:textAlignment w:val="center"/>
              <w:rPr>
                <w:rFonts w:ascii="Times New Roman" w:hAnsi="Times New Roman"/>
                <w:sz w:val="15"/>
                <w:szCs w:val="15"/>
              </w:rPr>
            </w:pPr>
            <w:r>
              <w:rPr>
                <w:rFonts w:ascii="Times New Roman" w:hAnsi="Times New Roman"/>
                <w:kern w:val="0"/>
                <w:sz w:val="15"/>
                <w:szCs w:val="15"/>
                <w:lang w:bidi="ar"/>
              </w:rPr>
              <w:t>2075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D10018">
            <w:pPr>
              <w:widowControl/>
              <w:jc w:val="center"/>
              <w:textAlignment w:val="center"/>
              <w:rPr>
                <w:rFonts w:ascii="Times New Roman" w:hAnsi="Times New Roman"/>
                <w:sz w:val="15"/>
                <w:szCs w:val="15"/>
              </w:rPr>
            </w:pPr>
            <w:r>
              <w:rPr>
                <w:rFonts w:ascii="Times New Roman" w:hAnsi="Times New Roman"/>
                <w:kern w:val="0"/>
                <w:sz w:val="15"/>
                <w:szCs w:val="15"/>
                <w:lang w:bidi="ar"/>
              </w:rPr>
              <w:t>12240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FCF354">
            <w:pPr>
              <w:widowControl/>
              <w:jc w:val="center"/>
              <w:textAlignment w:val="center"/>
              <w:rPr>
                <w:rFonts w:ascii="Times New Roman" w:hAnsi="Times New Roman"/>
                <w:sz w:val="15"/>
                <w:szCs w:val="15"/>
              </w:rPr>
            </w:pPr>
            <w:r>
              <w:rPr>
                <w:rFonts w:ascii="Times New Roman" w:hAnsi="Times New Roman"/>
                <w:kern w:val="0"/>
                <w:sz w:val="15"/>
                <w:szCs w:val="15"/>
                <w:lang w:bidi="ar"/>
              </w:rPr>
              <w:t>13005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08A360">
            <w:pPr>
              <w:widowControl/>
              <w:jc w:val="center"/>
              <w:textAlignment w:val="center"/>
              <w:rPr>
                <w:rFonts w:ascii="Times New Roman" w:hAnsi="Times New Roman"/>
                <w:sz w:val="15"/>
                <w:szCs w:val="15"/>
              </w:rPr>
            </w:pPr>
            <w:r>
              <w:rPr>
                <w:rFonts w:ascii="Times New Roman" w:hAnsi="Times New Roman"/>
                <w:kern w:val="0"/>
                <w:sz w:val="15"/>
                <w:szCs w:val="15"/>
                <w:lang w:bidi="ar"/>
              </w:rPr>
              <w:t>14005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FCBBD7">
            <w:pPr>
              <w:widowControl/>
              <w:jc w:val="center"/>
              <w:textAlignment w:val="center"/>
              <w:rPr>
                <w:rFonts w:ascii="Times New Roman" w:hAnsi="Times New Roman"/>
                <w:sz w:val="15"/>
                <w:szCs w:val="15"/>
              </w:rPr>
            </w:pPr>
            <w:r>
              <w:rPr>
                <w:rFonts w:ascii="Times New Roman" w:hAnsi="Times New Roman"/>
                <w:kern w:val="0"/>
                <w:sz w:val="15"/>
                <w:szCs w:val="15"/>
                <w:lang w:bidi="ar"/>
              </w:rPr>
              <w:t>850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EC8A6E">
            <w:pPr>
              <w:widowControl/>
              <w:jc w:val="center"/>
              <w:textAlignment w:val="center"/>
              <w:rPr>
                <w:rFonts w:ascii="Times New Roman" w:hAnsi="Times New Roman"/>
                <w:sz w:val="15"/>
                <w:szCs w:val="15"/>
              </w:rPr>
            </w:pPr>
            <w:r>
              <w:rPr>
                <w:rFonts w:ascii="Times New Roman" w:hAnsi="Times New Roman"/>
                <w:kern w:val="0"/>
                <w:sz w:val="15"/>
                <w:szCs w:val="15"/>
                <w:lang w:bidi="ar"/>
              </w:rPr>
              <w:t>12240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B9ED90">
            <w:pPr>
              <w:widowControl/>
              <w:jc w:val="center"/>
              <w:textAlignment w:val="center"/>
              <w:rPr>
                <w:rFonts w:ascii="Times New Roman" w:hAnsi="Times New Roman"/>
                <w:sz w:val="15"/>
                <w:szCs w:val="15"/>
              </w:rPr>
            </w:pPr>
            <w:r>
              <w:rPr>
                <w:rFonts w:ascii="Times New Roman" w:hAnsi="Times New Roman"/>
                <w:kern w:val="0"/>
                <w:sz w:val="15"/>
                <w:szCs w:val="15"/>
                <w:lang w:bidi="ar"/>
              </w:rPr>
              <w:t>13005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2650F1">
            <w:pPr>
              <w:widowControl/>
              <w:jc w:val="center"/>
              <w:textAlignment w:val="center"/>
              <w:rPr>
                <w:rFonts w:ascii="Times New Roman" w:hAnsi="Times New Roman"/>
                <w:sz w:val="15"/>
                <w:szCs w:val="15"/>
              </w:rPr>
            </w:pPr>
            <w:r>
              <w:rPr>
                <w:rFonts w:ascii="Times New Roman" w:hAnsi="Times New Roman"/>
                <w:kern w:val="0"/>
                <w:sz w:val="15"/>
                <w:szCs w:val="15"/>
                <w:lang w:bidi="ar"/>
              </w:rPr>
              <w:t>14005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2E04C9">
            <w:pPr>
              <w:widowControl/>
              <w:jc w:val="center"/>
              <w:textAlignment w:val="center"/>
              <w:rPr>
                <w:rFonts w:ascii="Times New Roman" w:hAnsi="Times New Roman"/>
                <w:sz w:val="15"/>
                <w:szCs w:val="15"/>
              </w:rPr>
            </w:pPr>
            <w:r>
              <w:rPr>
                <w:rFonts w:ascii="Times New Roman" w:hAnsi="Times New Roman"/>
                <w:kern w:val="0"/>
                <w:sz w:val="15"/>
                <w:szCs w:val="15"/>
                <w:lang w:bidi="ar"/>
              </w:rPr>
              <w:t>6%</w:t>
            </w:r>
          </w:p>
        </w:tc>
      </w:tr>
      <w:tr w14:paraId="7EEDD9EA">
        <w:tblPrEx>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CF011F">
            <w:pPr>
              <w:widowControl/>
              <w:jc w:val="center"/>
              <w:textAlignment w:val="center"/>
              <w:rPr>
                <w:rFonts w:ascii="Times New Roman" w:hAnsi="Times New Roman"/>
                <w:sz w:val="15"/>
                <w:szCs w:val="15"/>
              </w:rPr>
            </w:pPr>
            <w:r>
              <w:rPr>
                <w:rFonts w:ascii="Times New Roman" w:hAnsi="Times New Roman"/>
                <w:kern w:val="0"/>
                <w:sz w:val="15"/>
                <w:szCs w:val="15"/>
                <w:lang w:bidi="ar"/>
              </w:rPr>
              <w:t>1600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9E34AE">
            <w:pPr>
              <w:widowControl/>
              <w:jc w:val="center"/>
              <w:textAlignment w:val="center"/>
              <w:rPr>
                <w:rFonts w:ascii="Times New Roman" w:hAnsi="Times New Roman"/>
                <w:sz w:val="15"/>
                <w:szCs w:val="15"/>
              </w:rPr>
            </w:pPr>
            <w:r>
              <w:rPr>
                <w:rFonts w:ascii="Times New Roman" w:hAnsi="Times New Roman"/>
                <w:kern w:val="0"/>
                <w:sz w:val="15"/>
                <w:szCs w:val="15"/>
                <w:lang w:bidi="ar"/>
              </w:rPr>
              <w:t>1665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F9FC8A">
            <w:pPr>
              <w:widowControl/>
              <w:jc w:val="center"/>
              <w:textAlignment w:val="center"/>
              <w:rPr>
                <w:rFonts w:ascii="Times New Roman" w:hAnsi="Times New Roman"/>
                <w:sz w:val="15"/>
                <w:szCs w:val="15"/>
              </w:rPr>
            </w:pPr>
            <w:r>
              <w:rPr>
                <w:rFonts w:ascii="Times New Roman" w:hAnsi="Times New Roman"/>
                <w:kern w:val="0"/>
                <w:sz w:val="15"/>
                <w:szCs w:val="15"/>
                <w:lang w:bidi="ar"/>
              </w:rPr>
              <w:t>9945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B84F2F">
            <w:pPr>
              <w:widowControl/>
              <w:jc w:val="center"/>
              <w:textAlignment w:val="center"/>
              <w:rPr>
                <w:rFonts w:ascii="Times New Roman" w:hAnsi="Times New Roman"/>
                <w:sz w:val="15"/>
                <w:szCs w:val="15"/>
              </w:rPr>
            </w:pPr>
            <w:r>
              <w:rPr>
                <w:rFonts w:ascii="Times New Roman" w:hAnsi="Times New Roman"/>
                <w:kern w:val="0"/>
                <w:sz w:val="15"/>
                <w:szCs w:val="15"/>
                <w:lang w:bidi="ar"/>
              </w:rPr>
              <w:t>10555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3A3CE1">
            <w:pPr>
              <w:widowControl/>
              <w:jc w:val="center"/>
              <w:textAlignment w:val="center"/>
              <w:rPr>
                <w:rFonts w:ascii="Times New Roman" w:hAnsi="Times New Roman"/>
                <w:sz w:val="15"/>
                <w:szCs w:val="15"/>
              </w:rPr>
            </w:pPr>
            <w:r>
              <w:rPr>
                <w:rFonts w:ascii="Times New Roman" w:hAnsi="Times New Roman"/>
                <w:kern w:val="0"/>
                <w:sz w:val="15"/>
                <w:szCs w:val="15"/>
                <w:lang w:bidi="ar"/>
              </w:rPr>
              <w:t>11320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880435">
            <w:pPr>
              <w:widowControl/>
              <w:jc w:val="center"/>
              <w:textAlignment w:val="center"/>
              <w:rPr>
                <w:rFonts w:ascii="Times New Roman" w:hAnsi="Times New Roman"/>
                <w:sz w:val="15"/>
                <w:szCs w:val="15"/>
              </w:rPr>
            </w:pPr>
            <w:r>
              <w:rPr>
                <w:rFonts w:ascii="Times New Roman" w:hAnsi="Times New Roman"/>
                <w:kern w:val="0"/>
                <w:sz w:val="15"/>
                <w:szCs w:val="15"/>
                <w:lang w:bidi="ar"/>
              </w:rPr>
              <w:t>645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21FCC7">
            <w:pPr>
              <w:widowControl/>
              <w:jc w:val="center"/>
              <w:textAlignment w:val="center"/>
              <w:rPr>
                <w:rFonts w:ascii="Times New Roman" w:hAnsi="Times New Roman"/>
                <w:sz w:val="15"/>
                <w:szCs w:val="15"/>
              </w:rPr>
            </w:pPr>
            <w:r>
              <w:rPr>
                <w:rFonts w:ascii="Times New Roman" w:hAnsi="Times New Roman"/>
                <w:kern w:val="0"/>
                <w:sz w:val="15"/>
                <w:szCs w:val="15"/>
                <w:lang w:bidi="ar"/>
              </w:rPr>
              <w:t>9945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384239">
            <w:pPr>
              <w:widowControl/>
              <w:jc w:val="center"/>
              <w:textAlignment w:val="center"/>
              <w:rPr>
                <w:rFonts w:ascii="Times New Roman" w:hAnsi="Times New Roman"/>
                <w:sz w:val="15"/>
                <w:szCs w:val="15"/>
              </w:rPr>
            </w:pPr>
            <w:r>
              <w:rPr>
                <w:rFonts w:ascii="Times New Roman" w:hAnsi="Times New Roman"/>
                <w:kern w:val="0"/>
                <w:sz w:val="15"/>
                <w:szCs w:val="15"/>
                <w:lang w:bidi="ar"/>
              </w:rPr>
              <w:t>10555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CC2174">
            <w:pPr>
              <w:widowControl/>
              <w:jc w:val="center"/>
              <w:textAlignment w:val="center"/>
              <w:rPr>
                <w:rFonts w:ascii="Times New Roman" w:hAnsi="Times New Roman"/>
                <w:sz w:val="15"/>
                <w:szCs w:val="15"/>
              </w:rPr>
            </w:pPr>
            <w:r>
              <w:rPr>
                <w:rFonts w:ascii="Times New Roman" w:hAnsi="Times New Roman"/>
                <w:kern w:val="0"/>
                <w:sz w:val="15"/>
                <w:szCs w:val="15"/>
                <w:lang w:bidi="ar"/>
              </w:rPr>
              <w:t>11320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8B3700">
            <w:pPr>
              <w:widowControl/>
              <w:jc w:val="center"/>
              <w:textAlignment w:val="center"/>
              <w:rPr>
                <w:rFonts w:ascii="Times New Roman" w:hAnsi="Times New Roman"/>
                <w:sz w:val="15"/>
                <w:szCs w:val="15"/>
              </w:rPr>
            </w:pPr>
            <w:r>
              <w:rPr>
                <w:rFonts w:ascii="Times New Roman" w:hAnsi="Times New Roman"/>
                <w:kern w:val="0"/>
                <w:sz w:val="15"/>
                <w:szCs w:val="15"/>
                <w:lang w:bidi="ar"/>
              </w:rPr>
              <w:t>6%</w:t>
            </w:r>
          </w:p>
        </w:tc>
      </w:tr>
      <w:tr w14:paraId="22B75A75">
        <w:tblPrEx>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8EC6E9">
            <w:pPr>
              <w:widowControl/>
              <w:jc w:val="center"/>
              <w:textAlignment w:val="center"/>
              <w:rPr>
                <w:rFonts w:ascii="Times New Roman" w:hAnsi="Times New Roman"/>
                <w:sz w:val="15"/>
                <w:szCs w:val="15"/>
              </w:rPr>
            </w:pPr>
            <w:r>
              <w:rPr>
                <w:rFonts w:ascii="Times New Roman" w:hAnsi="Times New Roman"/>
                <w:kern w:val="0"/>
                <w:sz w:val="15"/>
                <w:szCs w:val="15"/>
                <w:lang w:bidi="ar"/>
              </w:rPr>
              <w:t>1250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2C7B90">
            <w:pPr>
              <w:widowControl/>
              <w:jc w:val="center"/>
              <w:textAlignment w:val="center"/>
              <w:rPr>
                <w:rFonts w:ascii="Times New Roman" w:hAnsi="Times New Roman"/>
                <w:sz w:val="15"/>
                <w:szCs w:val="15"/>
              </w:rPr>
            </w:pPr>
            <w:r>
              <w:rPr>
                <w:rFonts w:ascii="Times New Roman" w:hAnsi="Times New Roman"/>
                <w:kern w:val="0"/>
                <w:sz w:val="15"/>
                <w:szCs w:val="15"/>
                <w:lang w:bidi="ar"/>
              </w:rPr>
              <w:t>1420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8BFF3C">
            <w:pPr>
              <w:widowControl/>
              <w:jc w:val="center"/>
              <w:textAlignment w:val="center"/>
              <w:rPr>
                <w:rFonts w:ascii="Times New Roman" w:hAnsi="Times New Roman"/>
                <w:sz w:val="15"/>
                <w:szCs w:val="15"/>
              </w:rPr>
            </w:pPr>
            <w:r>
              <w:rPr>
                <w:rFonts w:ascii="Times New Roman" w:hAnsi="Times New Roman"/>
                <w:kern w:val="0"/>
                <w:sz w:val="15"/>
                <w:szCs w:val="15"/>
                <w:lang w:bidi="ar"/>
              </w:rPr>
              <w:t>8190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B268CA">
            <w:pPr>
              <w:widowControl/>
              <w:jc w:val="center"/>
              <w:textAlignment w:val="center"/>
              <w:rPr>
                <w:rFonts w:ascii="Times New Roman" w:hAnsi="Times New Roman"/>
                <w:sz w:val="15"/>
                <w:szCs w:val="15"/>
              </w:rPr>
            </w:pPr>
            <w:r>
              <w:rPr>
                <w:rFonts w:ascii="Times New Roman" w:hAnsi="Times New Roman"/>
                <w:kern w:val="0"/>
                <w:sz w:val="15"/>
                <w:szCs w:val="15"/>
                <w:lang w:bidi="ar"/>
              </w:rPr>
              <w:t>8720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3C953E">
            <w:pPr>
              <w:widowControl/>
              <w:jc w:val="center"/>
              <w:textAlignment w:val="center"/>
              <w:rPr>
                <w:rFonts w:ascii="Times New Roman" w:hAnsi="Times New Roman"/>
                <w:sz w:val="15"/>
                <w:szCs w:val="15"/>
              </w:rPr>
            </w:pPr>
            <w:r>
              <w:rPr>
                <w:rFonts w:ascii="Times New Roman" w:hAnsi="Times New Roman"/>
                <w:kern w:val="0"/>
                <w:sz w:val="15"/>
                <w:szCs w:val="15"/>
                <w:lang w:bidi="ar"/>
              </w:rPr>
              <w:t>9335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9717A3">
            <w:pPr>
              <w:widowControl/>
              <w:jc w:val="center"/>
              <w:textAlignment w:val="center"/>
              <w:rPr>
                <w:rFonts w:ascii="Times New Roman" w:hAnsi="Times New Roman"/>
                <w:sz w:val="15"/>
                <w:szCs w:val="15"/>
              </w:rPr>
            </w:pPr>
            <w:r>
              <w:rPr>
                <w:rFonts w:ascii="Times New Roman" w:hAnsi="Times New Roman"/>
                <w:kern w:val="0"/>
                <w:sz w:val="15"/>
                <w:szCs w:val="15"/>
                <w:lang w:bidi="ar"/>
              </w:rPr>
              <w:t>550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A4A5E5">
            <w:pPr>
              <w:widowControl/>
              <w:jc w:val="center"/>
              <w:textAlignment w:val="center"/>
              <w:rPr>
                <w:rFonts w:ascii="Times New Roman" w:hAnsi="Times New Roman"/>
                <w:sz w:val="15"/>
                <w:szCs w:val="15"/>
              </w:rPr>
            </w:pPr>
            <w:r>
              <w:rPr>
                <w:rFonts w:ascii="Times New Roman" w:hAnsi="Times New Roman"/>
                <w:kern w:val="0"/>
                <w:sz w:val="15"/>
                <w:szCs w:val="15"/>
                <w:lang w:bidi="ar"/>
              </w:rPr>
              <w:t>8190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4AE1C7">
            <w:pPr>
              <w:widowControl/>
              <w:jc w:val="center"/>
              <w:textAlignment w:val="center"/>
              <w:rPr>
                <w:rFonts w:ascii="Times New Roman" w:hAnsi="Times New Roman"/>
                <w:sz w:val="15"/>
                <w:szCs w:val="15"/>
              </w:rPr>
            </w:pPr>
            <w:r>
              <w:rPr>
                <w:rFonts w:ascii="Times New Roman" w:hAnsi="Times New Roman"/>
                <w:kern w:val="0"/>
                <w:sz w:val="15"/>
                <w:szCs w:val="15"/>
                <w:lang w:bidi="ar"/>
              </w:rPr>
              <w:t>8720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BC7D9B">
            <w:pPr>
              <w:widowControl/>
              <w:jc w:val="center"/>
              <w:textAlignment w:val="center"/>
              <w:rPr>
                <w:rFonts w:ascii="Times New Roman" w:hAnsi="Times New Roman"/>
                <w:sz w:val="15"/>
                <w:szCs w:val="15"/>
              </w:rPr>
            </w:pPr>
            <w:r>
              <w:rPr>
                <w:rFonts w:ascii="Times New Roman" w:hAnsi="Times New Roman"/>
                <w:kern w:val="0"/>
                <w:sz w:val="15"/>
                <w:szCs w:val="15"/>
                <w:lang w:bidi="ar"/>
              </w:rPr>
              <w:t>9335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069D65">
            <w:pPr>
              <w:widowControl/>
              <w:jc w:val="center"/>
              <w:textAlignment w:val="center"/>
              <w:rPr>
                <w:rFonts w:ascii="Times New Roman" w:hAnsi="Times New Roman"/>
                <w:sz w:val="15"/>
                <w:szCs w:val="15"/>
              </w:rPr>
            </w:pPr>
            <w:r>
              <w:rPr>
                <w:rFonts w:ascii="Times New Roman" w:hAnsi="Times New Roman"/>
                <w:kern w:val="0"/>
                <w:sz w:val="15"/>
                <w:szCs w:val="15"/>
                <w:lang w:bidi="ar"/>
              </w:rPr>
              <w:t>6%</w:t>
            </w:r>
          </w:p>
        </w:tc>
      </w:tr>
      <w:tr w14:paraId="3A4D2D38">
        <w:tblPrEx>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9B17AD">
            <w:pPr>
              <w:widowControl/>
              <w:jc w:val="center"/>
              <w:textAlignment w:val="center"/>
              <w:rPr>
                <w:rFonts w:ascii="Times New Roman" w:hAnsi="Times New Roman"/>
                <w:sz w:val="15"/>
                <w:szCs w:val="15"/>
              </w:rPr>
            </w:pPr>
            <w:r>
              <w:rPr>
                <w:rFonts w:ascii="Times New Roman" w:hAnsi="Times New Roman"/>
                <w:kern w:val="0"/>
                <w:sz w:val="15"/>
                <w:szCs w:val="15"/>
                <w:lang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0B2DA9">
            <w:pPr>
              <w:widowControl/>
              <w:jc w:val="center"/>
              <w:textAlignment w:val="center"/>
              <w:rPr>
                <w:rFonts w:ascii="Times New Roman" w:hAnsi="Times New Roman"/>
                <w:sz w:val="15"/>
                <w:szCs w:val="15"/>
              </w:rPr>
            </w:pPr>
            <w:r>
              <w:rPr>
                <w:rFonts w:ascii="Times New Roman" w:hAnsi="Times New Roman"/>
                <w:kern w:val="0"/>
                <w:sz w:val="15"/>
                <w:szCs w:val="15"/>
                <w:lang w:bidi="ar"/>
              </w:rPr>
              <w:t>1205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5172CA">
            <w:pPr>
              <w:widowControl/>
              <w:jc w:val="center"/>
              <w:textAlignment w:val="center"/>
              <w:rPr>
                <w:rFonts w:ascii="Times New Roman" w:hAnsi="Times New Roman"/>
                <w:sz w:val="15"/>
                <w:szCs w:val="15"/>
              </w:rPr>
            </w:pPr>
            <w:r>
              <w:rPr>
                <w:rFonts w:ascii="Times New Roman" w:hAnsi="Times New Roman"/>
                <w:kern w:val="0"/>
                <w:sz w:val="15"/>
                <w:szCs w:val="15"/>
                <w:lang w:bidi="ar"/>
              </w:rPr>
              <w:t>6885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9ADF7E">
            <w:pPr>
              <w:widowControl/>
              <w:jc w:val="center"/>
              <w:textAlignment w:val="center"/>
              <w:rPr>
                <w:rFonts w:ascii="Times New Roman" w:hAnsi="Times New Roman"/>
                <w:sz w:val="15"/>
                <w:szCs w:val="15"/>
              </w:rPr>
            </w:pPr>
            <w:r>
              <w:rPr>
                <w:rFonts w:ascii="Times New Roman" w:hAnsi="Times New Roman"/>
                <w:kern w:val="0"/>
                <w:sz w:val="15"/>
                <w:szCs w:val="15"/>
                <w:lang w:bidi="ar"/>
              </w:rPr>
              <w:t>7315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D32271">
            <w:pPr>
              <w:widowControl/>
              <w:jc w:val="center"/>
              <w:textAlignment w:val="center"/>
              <w:rPr>
                <w:rFonts w:ascii="Times New Roman" w:hAnsi="Times New Roman"/>
                <w:sz w:val="15"/>
                <w:szCs w:val="15"/>
              </w:rPr>
            </w:pPr>
            <w:r>
              <w:rPr>
                <w:rFonts w:ascii="Times New Roman" w:hAnsi="Times New Roman"/>
                <w:kern w:val="0"/>
                <w:sz w:val="15"/>
                <w:szCs w:val="15"/>
                <w:lang w:bidi="ar"/>
              </w:rPr>
              <w:t>7885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9A6657">
            <w:pPr>
              <w:widowControl/>
              <w:jc w:val="center"/>
              <w:textAlignment w:val="center"/>
              <w:rPr>
                <w:rFonts w:ascii="Times New Roman" w:hAnsi="Times New Roman"/>
                <w:sz w:val="15"/>
                <w:szCs w:val="15"/>
              </w:rPr>
            </w:pPr>
            <w:r>
              <w:rPr>
                <w:rFonts w:ascii="Times New Roman" w:hAnsi="Times New Roman"/>
                <w:kern w:val="0"/>
                <w:sz w:val="15"/>
                <w:szCs w:val="15"/>
                <w:lang w:bidi="ar"/>
              </w:rPr>
              <w:t>470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F407AD">
            <w:pPr>
              <w:widowControl/>
              <w:jc w:val="center"/>
              <w:textAlignment w:val="center"/>
              <w:rPr>
                <w:rFonts w:ascii="Times New Roman" w:hAnsi="Times New Roman"/>
                <w:sz w:val="15"/>
                <w:szCs w:val="15"/>
              </w:rPr>
            </w:pPr>
            <w:r>
              <w:rPr>
                <w:rFonts w:ascii="Times New Roman" w:hAnsi="Times New Roman"/>
                <w:kern w:val="0"/>
                <w:sz w:val="15"/>
                <w:szCs w:val="15"/>
                <w:lang w:bidi="ar"/>
              </w:rPr>
              <w:t>6885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37AFBB">
            <w:pPr>
              <w:widowControl/>
              <w:jc w:val="center"/>
              <w:textAlignment w:val="center"/>
              <w:rPr>
                <w:rFonts w:ascii="Times New Roman" w:hAnsi="Times New Roman"/>
                <w:sz w:val="15"/>
                <w:szCs w:val="15"/>
              </w:rPr>
            </w:pPr>
            <w:r>
              <w:rPr>
                <w:rFonts w:ascii="Times New Roman" w:hAnsi="Times New Roman"/>
                <w:kern w:val="0"/>
                <w:sz w:val="15"/>
                <w:szCs w:val="15"/>
                <w:lang w:bidi="ar"/>
              </w:rPr>
              <w:t>7135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A3C662">
            <w:pPr>
              <w:widowControl/>
              <w:jc w:val="center"/>
              <w:textAlignment w:val="center"/>
              <w:rPr>
                <w:rFonts w:ascii="Times New Roman" w:hAnsi="Times New Roman"/>
                <w:sz w:val="15"/>
                <w:szCs w:val="15"/>
              </w:rPr>
            </w:pPr>
            <w:r>
              <w:rPr>
                <w:rFonts w:ascii="Times New Roman" w:hAnsi="Times New Roman"/>
                <w:kern w:val="0"/>
                <w:sz w:val="15"/>
                <w:szCs w:val="15"/>
                <w:lang w:bidi="ar"/>
              </w:rPr>
              <w:t>7885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2319E9">
            <w:pPr>
              <w:widowControl/>
              <w:jc w:val="center"/>
              <w:textAlignment w:val="center"/>
              <w:rPr>
                <w:rFonts w:ascii="Times New Roman" w:hAnsi="Times New Roman"/>
                <w:sz w:val="15"/>
                <w:szCs w:val="15"/>
              </w:rPr>
            </w:pPr>
            <w:r>
              <w:rPr>
                <w:rFonts w:ascii="Times New Roman" w:hAnsi="Times New Roman"/>
                <w:kern w:val="0"/>
                <w:sz w:val="15"/>
                <w:szCs w:val="15"/>
                <w:lang w:bidi="ar"/>
              </w:rPr>
              <w:t>6%</w:t>
            </w:r>
          </w:p>
        </w:tc>
      </w:tr>
      <w:tr w14:paraId="32967A18">
        <w:tblPrEx>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FCBAA3">
            <w:pPr>
              <w:widowControl/>
              <w:jc w:val="center"/>
              <w:textAlignment w:val="center"/>
              <w:rPr>
                <w:rFonts w:ascii="Times New Roman" w:hAnsi="Times New Roman"/>
                <w:sz w:val="15"/>
                <w:szCs w:val="15"/>
              </w:rPr>
            </w:pPr>
            <w:r>
              <w:rPr>
                <w:rFonts w:ascii="Times New Roman" w:hAnsi="Times New Roman"/>
                <w:kern w:val="0"/>
                <w:sz w:val="15"/>
                <w:szCs w:val="15"/>
                <w:lang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EFBEB9">
            <w:pPr>
              <w:widowControl/>
              <w:jc w:val="center"/>
              <w:textAlignment w:val="center"/>
              <w:rPr>
                <w:rFonts w:ascii="Times New Roman" w:hAnsi="Times New Roman"/>
                <w:sz w:val="15"/>
                <w:szCs w:val="15"/>
              </w:rPr>
            </w:pPr>
            <w:r>
              <w:rPr>
                <w:rFonts w:ascii="Times New Roman" w:hAnsi="Times New Roman"/>
                <w:kern w:val="0"/>
                <w:sz w:val="15"/>
                <w:szCs w:val="15"/>
                <w:lang w:bidi="ar"/>
              </w:rPr>
              <w:t>1035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749C7C">
            <w:pPr>
              <w:widowControl/>
              <w:jc w:val="center"/>
              <w:textAlignment w:val="center"/>
              <w:rPr>
                <w:rFonts w:ascii="Times New Roman" w:hAnsi="Times New Roman"/>
                <w:sz w:val="15"/>
                <w:szCs w:val="15"/>
              </w:rPr>
            </w:pPr>
            <w:r>
              <w:rPr>
                <w:rFonts w:ascii="Times New Roman" w:hAnsi="Times New Roman"/>
                <w:kern w:val="0"/>
                <w:sz w:val="15"/>
                <w:szCs w:val="15"/>
                <w:lang w:bidi="ar"/>
              </w:rPr>
              <w:t>5895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F077F6">
            <w:pPr>
              <w:widowControl/>
              <w:jc w:val="center"/>
              <w:textAlignment w:val="center"/>
              <w:rPr>
                <w:rFonts w:ascii="Times New Roman" w:hAnsi="Times New Roman"/>
                <w:sz w:val="15"/>
                <w:szCs w:val="15"/>
              </w:rPr>
            </w:pPr>
            <w:r>
              <w:rPr>
                <w:rFonts w:ascii="Times New Roman" w:hAnsi="Times New Roman"/>
                <w:kern w:val="0"/>
                <w:sz w:val="15"/>
                <w:szCs w:val="15"/>
                <w:lang w:bidi="ar"/>
              </w:rPr>
              <w:t>6265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688B3F">
            <w:pPr>
              <w:widowControl/>
              <w:jc w:val="center"/>
              <w:textAlignment w:val="center"/>
              <w:rPr>
                <w:rFonts w:ascii="Times New Roman" w:hAnsi="Times New Roman"/>
                <w:sz w:val="15"/>
                <w:szCs w:val="15"/>
              </w:rPr>
            </w:pPr>
            <w:r>
              <w:rPr>
                <w:rFonts w:ascii="Times New Roman" w:hAnsi="Times New Roman"/>
                <w:kern w:val="0"/>
                <w:sz w:val="15"/>
                <w:szCs w:val="15"/>
                <w:lang w:bidi="ar"/>
              </w:rPr>
              <w:t>6715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D799AF">
            <w:pPr>
              <w:widowControl/>
              <w:jc w:val="center"/>
              <w:textAlignment w:val="center"/>
              <w:rPr>
                <w:rFonts w:ascii="Times New Roman" w:hAnsi="Times New Roman"/>
                <w:sz w:val="15"/>
                <w:szCs w:val="15"/>
              </w:rPr>
            </w:pPr>
            <w:r>
              <w:rPr>
                <w:rFonts w:ascii="Times New Roman" w:hAnsi="Times New Roman"/>
                <w:kern w:val="0"/>
                <w:sz w:val="15"/>
                <w:szCs w:val="15"/>
                <w:lang w:bidi="ar"/>
              </w:rPr>
              <w:t>410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D73CDE">
            <w:pPr>
              <w:widowControl/>
              <w:jc w:val="center"/>
              <w:textAlignment w:val="center"/>
              <w:rPr>
                <w:rFonts w:ascii="Times New Roman" w:hAnsi="Times New Roman"/>
                <w:sz w:val="15"/>
                <w:szCs w:val="15"/>
              </w:rPr>
            </w:pPr>
            <w:r>
              <w:rPr>
                <w:rFonts w:ascii="Times New Roman" w:hAnsi="Times New Roman"/>
                <w:kern w:val="0"/>
                <w:sz w:val="15"/>
                <w:szCs w:val="15"/>
                <w:lang w:bidi="ar"/>
              </w:rPr>
              <w:t>5895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E6B16B">
            <w:pPr>
              <w:widowControl/>
              <w:jc w:val="center"/>
              <w:textAlignment w:val="center"/>
              <w:rPr>
                <w:rFonts w:ascii="Times New Roman" w:hAnsi="Times New Roman"/>
                <w:sz w:val="15"/>
                <w:szCs w:val="15"/>
              </w:rPr>
            </w:pPr>
            <w:r>
              <w:rPr>
                <w:rFonts w:ascii="Times New Roman" w:hAnsi="Times New Roman"/>
                <w:kern w:val="0"/>
                <w:sz w:val="15"/>
                <w:szCs w:val="15"/>
                <w:lang w:bidi="ar"/>
              </w:rPr>
              <w:t>6265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C2C2EF">
            <w:pPr>
              <w:widowControl/>
              <w:jc w:val="center"/>
              <w:textAlignment w:val="center"/>
              <w:rPr>
                <w:rFonts w:ascii="Times New Roman" w:hAnsi="Times New Roman"/>
                <w:sz w:val="15"/>
                <w:szCs w:val="15"/>
              </w:rPr>
            </w:pPr>
            <w:r>
              <w:rPr>
                <w:rFonts w:ascii="Times New Roman" w:hAnsi="Times New Roman"/>
                <w:kern w:val="0"/>
                <w:sz w:val="15"/>
                <w:szCs w:val="15"/>
                <w:lang w:bidi="ar"/>
              </w:rPr>
              <w:t>6715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4B8184">
            <w:pPr>
              <w:widowControl/>
              <w:jc w:val="center"/>
              <w:textAlignment w:val="center"/>
              <w:rPr>
                <w:rFonts w:ascii="Times New Roman" w:hAnsi="Times New Roman"/>
                <w:sz w:val="15"/>
                <w:szCs w:val="15"/>
              </w:rPr>
            </w:pPr>
            <w:r>
              <w:rPr>
                <w:rFonts w:ascii="Times New Roman" w:hAnsi="Times New Roman"/>
                <w:kern w:val="0"/>
                <w:sz w:val="15"/>
                <w:szCs w:val="15"/>
                <w:lang w:bidi="ar"/>
              </w:rPr>
              <w:t>6%</w:t>
            </w:r>
          </w:p>
        </w:tc>
      </w:tr>
      <w:tr w14:paraId="5AEE7D8F">
        <w:tblPrEx>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0D3454">
            <w:pPr>
              <w:widowControl/>
              <w:jc w:val="center"/>
              <w:textAlignment w:val="center"/>
              <w:rPr>
                <w:rFonts w:ascii="Times New Roman" w:hAnsi="Times New Roman"/>
                <w:sz w:val="15"/>
                <w:szCs w:val="15"/>
              </w:rPr>
            </w:pPr>
            <w:r>
              <w:rPr>
                <w:rFonts w:ascii="Times New Roman" w:hAnsi="Times New Roman"/>
                <w:kern w:val="0"/>
                <w:sz w:val="15"/>
                <w:szCs w:val="15"/>
                <w:lang w:bidi="ar"/>
              </w:rPr>
              <w:t>630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05C76D">
            <w:pPr>
              <w:widowControl/>
              <w:jc w:val="center"/>
              <w:textAlignment w:val="center"/>
              <w:rPr>
                <w:rFonts w:ascii="Times New Roman" w:hAnsi="Times New Roman"/>
                <w:sz w:val="15"/>
                <w:szCs w:val="15"/>
              </w:rPr>
            </w:pPr>
            <w:r>
              <w:rPr>
                <w:rFonts w:ascii="Times New Roman" w:hAnsi="Times New Roman"/>
                <w:kern w:val="0"/>
                <w:sz w:val="15"/>
                <w:szCs w:val="15"/>
                <w:lang w:bidi="ar"/>
              </w:rPr>
              <w:t>885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D5BCEC">
            <w:pPr>
              <w:widowControl/>
              <w:jc w:val="center"/>
              <w:textAlignment w:val="center"/>
              <w:rPr>
                <w:rFonts w:ascii="Times New Roman" w:hAnsi="Times New Roman"/>
                <w:sz w:val="15"/>
                <w:szCs w:val="15"/>
              </w:rPr>
            </w:pPr>
            <w:r>
              <w:rPr>
                <w:rFonts w:ascii="Times New Roman" w:hAnsi="Times New Roman"/>
                <w:kern w:val="0"/>
                <w:sz w:val="15"/>
                <w:szCs w:val="15"/>
                <w:lang w:bidi="ar"/>
              </w:rPr>
              <w:t>5050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0450B4">
            <w:pPr>
              <w:widowControl/>
              <w:jc w:val="center"/>
              <w:textAlignment w:val="center"/>
              <w:rPr>
                <w:rFonts w:ascii="Times New Roman" w:hAnsi="Times New Roman"/>
                <w:sz w:val="15"/>
                <w:szCs w:val="15"/>
              </w:rPr>
            </w:pPr>
            <w:r>
              <w:rPr>
                <w:rFonts w:ascii="Times New Roman" w:hAnsi="Times New Roman"/>
                <w:kern w:val="0"/>
                <w:sz w:val="15"/>
                <w:szCs w:val="15"/>
                <w:lang w:bidi="ar"/>
              </w:rPr>
              <w:t>5365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DD4CEE">
            <w:pPr>
              <w:widowControl/>
              <w:jc w:val="center"/>
              <w:textAlignment w:val="center"/>
              <w:rPr>
                <w:rFonts w:ascii="Times New Roman" w:hAnsi="Times New Roman"/>
                <w:sz w:val="15"/>
                <w:szCs w:val="15"/>
              </w:rPr>
            </w:pPr>
            <w:r>
              <w:rPr>
                <w:rFonts w:ascii="Times New Roman" w:hAnsi="Times New Roman"/>
                <w:kern w:val="0"/>
                <w:sz w:val="15"/>
                <w:szCs w:val="15"/>
                <w:lang w:bidi="ar"/>
              </w:rPr>
              <w:t>5760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5AC4E4">
            <w:pPr>
              <w:widowControl/>
              <w:jc w:val="center"/>
              <w:textAlignment w:val="center"/>
              <w:rPr>
                <w:rFonts w:ascii="Times New Roman" w:hAnsi="Times New Roman"/>
                <w:sz w:val="15"/>
                <w:szCs w:val="15"/>
              </w:rPr>
            </w:pPr>
            <w:r>
              <w:rPr>
                <w:rFonts w:ascii="Times New Roman" w:hAnsi="Times New Roman"/>
                <w:kern w:val="0"/>
                <w:sz w:val="15"/>
                <w:szCs w:val="15"/>
                <w:lang w:bidi="ar"/>
              </w:rPr>
              <w:t>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16FADD">
            <w:pPr>
              <w:widowControl/>
              <w:jc w:val="center"/>
              <w:textAlignment w:val="center"/>
              <w:rPr>
                <w:rFonts w:ascii="Times New Roman" w:hAnsi="Times New Roman"/>
                <w:sz w:val="15"/>
                <w:szCs w:val="15"/>
              </w:rPr>
            </w:pPr>
            <w:r>
              <w:rPr>
                <w:rFonts w:ascii="Times New Roman" w:hAnsi="Times New Roman"/>
                <w:kern w:val="0"/>
                <w:sz w:val="15"/>
                <w:szCs w:val="15"/>
                <w:lang w:bidi="ar"/>
              </w:rPr>
              <w:t>5050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509BEA">
            <w:pPr>
              <w:widowControl/>
              <w:jc w:val="center"/>
              <w:textAlignment w:val="center"/>
              <w:rPr>
                <w:rFonts w:ascii="Times New Roman" w:hAnsi="Times New Roman"/>
                <w:sz w:val="15"/>
                <w:szCs w:val="15"/>
              </w:rPr>
            </w:pPr>
            <w:r>
              <w:rPr>
                <w:rFonts w:ascii="Times New Roman" w:hAnsi="Times New Roman"/>
                <w:kern w:val="0"/>
                <w:sz w:val="15"/>
                <w:szCs w:val="15"/>
                <w:lang w:bidi="ar"/>
              </w:rPr>
              <w:t>5365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88EA59">
            <w:pPr>
              <w:widowControl/>
              <w:jc w:val="center"/>
              <w:textAlignment w:val="center"/>
              <w:rPr>
                <w:rFonts w:ascii="Times New Roman" w:hAnsi="Times New Roman"/>
                <w:sz w:val="15"/>
                <w:szCs w:val="15"/>
              </w:rPr>
            </w:pPr>
            <w:r>
              <w:rPr>
                <w:rFonts w:ascii="Times New Roman" w:hAnsi="Times New Roman"/>
                <w:kern w:val="0"/>
                <w:sz w:val="15"/>
                <w:szCs w:val="15"/>
                <w:lang w:bidi="ar"/>
              </w:rPr>
              <w:t>5760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0DFC95">
            <w:pPr>
              <w:widowControl/>
              <w:jc w:val="center"/>
              <w:textAlignment w:val="center"/>
              <w:rPr>
                <w:rFonts w:ascii="Times New Roman" w:hAnsi="Times New Roman"/>
                <w:sz w:val="15"/>
                <w:szCs w:val="15"/>
              </w:rPr>
            </w:pPr>
            <w:r>
              <w:rPr>
                <w:rFonts w:ascii="Times New Roman" w:hAnsi="Times New Roman"/>
                <w:kern w:val="0"/>
                <w:sz w:val="15"/>
                <w:szCs w:val="15"/>
                <w:lang w:bidi="ar"/>
              </w:rPr>
              <w:t>6%</w:t>
            </w:r>
          </w:p>
        </w:tc>
      </w:tr>
      <w:tr w14:paraId="2961461C">
        <w:tblPrEx>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08CA05">
            <w:pPr>
              <w:widowControl/>
              <w:jc w:val="center"/>
              <w:textAlignment w:val="center"/>
              <w:rPr>
                <w:rFonts w:ascii="Times New Roman" w:hAnsi="Times New Roman"/>
                <w:sz w:val="15"/>
                <w:szCs w:val="15"/>
              </w:rPr>
            </w:pPr>
            <w:r>
              <w:rPr>
                <w:rFonts w:ascii="Times New Roman" w:hAnsi="Times New Roman"/>
                <w:kern w:val="0"/>
                <w:sz w:val="15"/>
                <w:szCs w:val="15"/>
                <w:lang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E2BFE2">
            <w:pPr>
              <w:widowControl/>
              <w:jc w:val="center"/>
              <w:textAlignment w:val="center"/>
              <w:rPr>
                <w:rFonts w:ascii="Times New Roman" w:hAnsi="Times New Roman"/>
                <w:sz w:val="15"/>
                <w:szCs w:val="15"/>
              </w:rPr>
            </w:pPr>
            <w:r>
              <w:rPr>
                <w:rFonts w:ascii="Times New Roman" w:hAnsi="Times New Roman"/>
                <w:kern w:val="0"/>
                <w:sz w:val="15"/>
                <w:szCs w:val="15"/>
                <w:lang w:bidi="ar"/>
              </w:rPr>
              <w:t>790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791698">
            <w:pPr>
              <w:widowControl/>
              <w:jc w:val="center"/>
              <w:textAlignment w:val="center"/>
              <w:rPr>
                <w:rFonts w:ascii="Times New Roman" w:hAnsi="Times New Roman"/>
                <w:sz w:val="15"/>
                <w:szCs w:val="15"/>
              </w:rPr>
            </w:pPr>
            <w:r>
              <w:rPr>
                <w:rFonts w:ascii="Times New Roman" w:hAnsi="Times New Roman"/>
                <w:kern w:val="0"/>
                <w:sz w:val="15"/>
                <w:szCs w:val="15"/>
                <w:lang w:bidi="ar"/>
              </w:rPr>
              <w:t>4130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6FBF01">
            <w:pPr>
              <w:widowControl/>
              <w:jc w:val="center"/>
              <w:textAlignment w:val="center"/>
              <w:rPr>
                <w:rFonts w:ascii="Times New Roman" w:hAnsi="Times New Roman"/>
                <w:sz w:val="15"/>
                <w:szCs w:val="15"/>
              </w:rPr>
            </w:pPr>
            <w:r>
              <w:rPr>
                <w:rFonts w:ascii="Times New Roman" w:hAnsi="Times New Roman"/>
                <w:kern w:val="0"/>
                <w:sz w:val="15"/>
                <w:szCs w:val="15"/>
                <w:lang w:bidi="ar"/>
              </w:rPr>
              <w:t>4390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2C4A7E">
            <w:pPr>
              <w:widowControl/>
              <w:jc w:val="center"/>
              <w:textAlignment w:val="center"/>
              <w:rPr>
                <w:rFonts w:ascii="Times New Roman" w:hAnsi="Times New Roman"/>
                <w:sz w:val="15"/>
                <w:szCs w:val="15"/>
              </w:rPr>
            </w:pPr>
            <w:r>
              <w:rPr>
                <w:rFonts w:ascii="Times New Roman" w:hAnsi="Times New Roman"/>
                <w:kern w:val="0"/>
                <w:sz w:val="15"/>
                <w:szCs w:val="15"/>
                <w:lang w:bidi="ar"/>
              </w:rPr>
              <w:t>4705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E400CA">
            <w:pPr>
              <w:widowControl/>
              <w:jc w:val="center"/>
              <w:textAlignment w:val="center"/>
              <w:rPr>
                <w:rFonts w:ascii="Times New Roman" w:hAnsi="Times New Roman"/>
                <w:sz w:val="15"/>
                <w:szCs w:val="15"/>
              </w:rPr>
            </w:pPr>
            <w:r>
              <w:rPr>
                <w:rFonts w:ascii="Times New Roman" w:hAnsi="Times New Roman"/>
                <w:kern w:val="0"/>
                <w:sz w:val="15"/>
                <w:szCs w:val="15"/>
                <w:lang w:bidi="ar"/>
              </w:rPr>
              <w:t>305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9E4EDA">
            <w:pPr>
              <w:widowControl/>
              <w:jc w:val="center"/>
              <w:textAlignment w:val="center"/>
              <w:rPr>
                <w:rFonts w:ascii="Times New Roman" w:hAnsi="Times New Roman"/>
                <w:sz w:val="15"/>
                <w:szCs w:val="15"/>
              </w:rPr>
            </w:pPr>
            <w:r>
              <w:rPr>
                <w:rFonts w:ascii="Times New Roman" w:hAnsi="Times New Roman"/>
                <w:kern w:val="0"/>
                <w:sz w:val="15"/>
                <w:szCs w:val="15"/>
                <w:lang w:bidi="ar"/>
              </w:rPr>
              <w:t>4130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63EBB7">
            <w:pPr>
              <w:widowControl/>
              <w:jc w:val="center"/>
              <w:textAlignment w:val="center"/>
              <w:rPr>
                <w:rFonts w:ascii="Times New Roman" w:hAnsi="Times New Roman"/>
                <w:sz w:val="15"/>
                <w:szCs w:val="15"/>
              </w:rPr>
            </w:pPr>
            <w:r>
              <w:rPr>
                <w:rFonts w:ascii="Times New Roman" w:hAnsi="Times New Roman"/>
                <w:kern w:val="0"/>
                <w:sz w:val="15"/>
                <w:szCs w:val="15"/>
                <w:lang w:bidi="ar"/>
              </w:rPr>
              <w:t>4390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55C316">
            <w:pPr>
              <w:widowControl/>
              <w:jc w:val="center"/>
              <w:textAlignment w:val="center"/>
              <w:rPr>
                <w:rFonts w:ascii="Times New Roman" w:hAnsi="Times New Roman"/>
                <w:sz w:val="15"/>
                <w:szCs w:val="15"/>
              </w:rPr>
            </w:pPr>
            <w:r>
              <w:rPr>
                <w:rFonts w:ascii="Times New Roman" w:hAnsi="Times New Roman"/>
                <w:kern w:val="0"/>
                <w:sz w:val="15"/>
                <w:szCs w:val="15"/>
                <w:lang w:bidi="ar"/>
              </w:rPr>
              <w:t>4705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D7E068">
            <w:pPr>
              <w:widowControl/>
              <w:jc w:val="center"/>
              <w:textAlignment w:val="center"/>
              <w:rPr>
                <w:rFonts w:ascii="Times New Roman" w:hAnsi="Times New Roman"/>
                <w:sz w:val="15"/>
                <w:szCs w:val="15"/>
              </w:rPr>
            </w:pPr>
            <w:r>
              <w:rPr>
                <w:rFonts w:ascii="Times New Roman" w:hAnsi="Times New Roman"/>
                <w:kern w:val="0"/>
                <w:sz w:val="15"/>
                <w:szCs w:val="15"/>
                <w:lang w:bidi="ar"/>
              </w:rPr>
              <w:t>4%</w:t>
            </w:r>
          </w:p>
        </w:tc>
      </w:tr>
      <w:tr w14:paraId="3E4962AE">
        <w:tblPrEx>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03E80B">
            <w:pPr>
              <w:widowControl/>
              <w:jc w:val="center"/>
              <w:textAlignment w:val="center"/>
              <w:rPr>
                <w:rFonts w:ascii="Times New Roman" w:hAnsi="Times New Roman"/>
                <w:sz w:val="15"/>
                <w:szCs w:val="15"/>
              </w:rPr>
            </w:pPr>
            <w:r>
              <w:rPr>
                <w:rFonts w:ascii="Times New Roman" w:hAnsi="Times New Roman"/>
                <w:kern w:val="0"/>
                <w:sz w:val="15"/>
                <w:szCs w:val="15"/>
                <w:lang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930C63">
            <w:pPr>
              <w:widowControl/>
              <w:jc w:val="center"/>
              <w:textAlignment w:val="center"/>
              <w:rPr>
                <w:rFonts w:ascii="Times New Roman" w:hAnsi="Times New Roman"/>
                <w:sz w:val="15"/>
                <w:szCs w:val="15"/>
              </w:rPr>
            </w:pPr>
            <w:r>
              <w:rPr>
                <w:rFonts w:ascii="Times New Roman" w:hAnsi="Times New Roman"/>
                <w:kern w:val="0"/>
                <w:sz w:val="15"/>
                <w:szCs w:val="15"/>
                <w:lang w:bidi="ar"/>
              </w:rPr>
              <w:t>665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294D24">
            <w:pPr>
              <w:widowControl/>
              <w:jc w:val="center"/>
              <w:textAlignment w:val="center"/>
              <w:rPr>
                <w:rFonts w:ascii="Times New Roman" w:hAnsi="Times New Roman"/>
                <w:sz w:val="15"/>
                <w:szCs w:val="15"/>
              </w:rPr>
            </w:pPr>
            <w:r>
              <w:rPr>
                <w:rFonts w:ascii="Times New Roman" w:hAnsi="Times New Roman"/>
                <w:kern w:val="0"/>
                <w:sz w:val="15"/>
                <w:szCs w:val="15"/>
                <w:lang w:bidi="ar"/>
              </w:rPr>
              <w:t>3375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B2E650">
            <w:pPr>
              <w:widowControl/>
              <w:jc w:val="center"/>
              <w:textAlignment w:val="center"/>
              <w:rPr>
                <w:rFonts w:ascii="Times New Roman" w:hAnsi="Times New Roman"/>
                <w:sz w:val="15"/>
                <w:szCs w:val="15"/>
              </w:rPr>
            </w:pPr>
            <w:r>
              <w:rPr>
                <w:rFonts w:ascii="Times New Roman" w:hAnsi="Times New Roman"/>
                <w:kern w:val="0"/>
                <w:sz w:val="15"/>
                <w:szCs w:val="15"/>
                <w:lang w:bidi="ar"/>
              </w:rPr>
              <w:t>3590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F7EF00">
            <w:pPr>
              <w:widowControl/>
              <w:jc w:val="center"/>
              <w:textAlignment w:val="center"/>
              <w:rPr>
                <w:rFonts w:ascii="Times New Roman" w:hAnsi="Times New Roman"/>
                <w:sz w:val="15"/>
                <w:szCs w:val="15"/>
              </w:rPr>
            </w:pPr>
            <w:r>
              <w:rPr>
                <w:rFonts w:ascii="Times New Roman" w:hAnsi="Times New Roman"/>
                <w:kern w:val="0"/>
                <w:sz w:val="15"/>
                <w:szCs w:val="15"/>
                <w:lang w:bidi="ar"/>
              </w:rPr>
              <w:t>3850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A95CBD">
            <w:pPr>
              <w:widowControl/>
              <w:jc w:val="center"/>
              <w:textAlignment w:val="center"/>
              <w:rPr>
                <w:rFonts w:ascii="Times New Roman" w:hAnsi="Times New Roman"/>
                <w:sz w:val="15"/>
                <w:szCs w:val="15"/>
              </w:rPr>
            </w:pPr>
            <w:r>
              <w:rPr>
                <w:rFonts w:ascii="Times New Roman" w:hAnsi="Times New Roman"/>
                <w:kern w:val="0"/>
                <w:sz w:val="15"/>
                <w:szCs w:val="15"/>
                <w:lang w:bidi="ar"/>
              </w:rPr>
              <w:t>265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27C2A2">
            <w:pPr>
              <w:widowControl/>
              <w:jc w:val="center"/>
              <w:textAlignment w:val="center"/>
              <w:rPr>
                <w:rFonts w:ascii="Times New Roman" w:hAnsi="Times New Roman"/>
                <w:sz w:val="15"/>
                <w:szCs w:val="15"/>
              </w:rPr>
            </w:pPr>
            <w:r>
              <w:rPr>
                <w:rFonts w:ascii="Times New Roman" w:hAnsi="Times New Roman"/>
                <w:kern w:val="0"/>
                <w:sz w:val="15"/>
                <w:szCs w:val="15"/>
                <w:lang w:bidi="ar"/>
              </w:rPr>
              <w:t>3375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1D79F9">
            <w:pPr>
              <w:widowControl/>
              <w:jc w:val="center"/>
              <w:textAlignment w:val="center"/>
              <w:rPr>
                <w:rFonts w:ascii="Times New Roman" w:hAnsi="Times New Roman"/>
                <w:sz w:val="15"/>
                <w:szCs w:val="15"/>
              </w:rPr>
            </w:pPr>
            <w:r>
              <w:rPr>
                <w:rFonts w:ascii="Times New Roman" w:hAnsi="Times New Roman"/>
                <w:kern w:val="0"/>
                <w:sz w:val="15"/>
                <w:szCs w:val="15"/>
                <w:lang w:bidi="ar"/>
              </w:rPr>
              <w:t>3590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5CDC86">
            <w:pPr>
              <w:widowControl/>
              <w:jc w:val="center"/>
              <w:textAlignment w:val="center"/>
              <w:rPr>
                <w:rFonts w:ascii="Times New Roman" w:hAnsi="Times New Roman"/>
                <w:sz w:val="15"/>
                <w:szCs w:val="15"/>
              </w:rPr>
            </w:pPr>
            <w:r>
              <w:rPr>
                <w:rFonts w:ascii="Times New Roman" w:hAnsi="Times New Roman"/>
                <w:kern w:val="0"/>
                <w:sz w:val="15"/>
                <w:szCs w:val="15"/>
                <w:lang w:bidi="ar"/>
              </w:rPr>
              <w:t>3850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F9FFE8">
            <w:pPr>
              <w:widowControl/>
              <w:jc w:val="center"/>
              <w:textAlignment w:val="center"/>
              <w:rPr>
                <w:rFonts w:ascii="Times New Roman" w:hAnsi="Times New Roman"/>
                <w:sz w:val="15"/>
                <w:szCs w:val="15"/>
              </w:rPr>
            </w:pPr>
            <w:r>
              <w:rPr>
                <w:rFonts w:ascii="Times New Roman" w:hAnsi="Times New Roman"/>
                <w:kern w:val="0"/>
                <w:sz w:val="15"/>
                <w:szCs w:val="15"/>
                <w:lang w:bidi="ar"/>
              </w:rPr>
              <w:t>4%</w:t>
            </w:r>
          </w:p>
        </w:tc>
      </w:tr>
    </w:tbl>
    <w:p w14:paraId="118058FB">
      <w:pPr>
        <w:spacing w:line="240" w:lineRule="exact"/>
        <w:rPr>
          <w:rFonts w:ascii="宋体" w:cs="宋体"/>
          <w:sz w:val="18"/>
          <w:szCs w:val="18"/>
        </w:rPr>
      </w:pPr>
      <w:r>
        <w:rPr>
          <w:rFonts w:hint="eastAsia" w:ascii="宋体" w:hAnsi="宋体" w:cs="宋体"/>
          <w:sz w:val="18"/>
          <w:szCs w:val="18"/>
        </w:rPr>
        <w:t>证明材料：√</w:t>
      </w:r>
      <w:r>
        <w:rPr>
          <w:rFonts w:hint="eastAsia" w:ascii="宋体" w:hAnsi="宋体"/>
          <w:sz w:val="18"/>
          <w:szCs w:val="18"/>
        </w:rPr>
        <w:t>照明功率密度</w:t>
      </w:r>
      <w:r>
        <w:rPr>
          <w:rFonts w:hint="eastAsia" w:ascii="宋体" w:hAnsi="宋体" w:cs="宋体"/>
          <w:sz w:val="18"/>
          <w:szCs w:val="18"/>
        </w:rPr>
        <w:t>计算书；√设计图纸（电气</w:t>
      </w:r>
      <w:r>
        <w:rPr>
          <w:rFonts w:ascii="宋体" w:hAnsi="宋体" w:cs="宋体"/>
          <w:sz w:val="18"/>
          <w:szCs w:val="18"/>
        </w:rPr>
        <w:t>、D-SM-01~06_电气施工图设计说明</w:t>
      </w:r>
      <w:r>
        <w:rPr>
          <w:rFonts w:hint="eastAsia" w:ascii="宋体" w:hAnsi="宋体" w:cs="宋体"/>
          <w:sz w:val="18"/>
          <w:szCs w:val="18"/>
        </w:rPr>
        <w:t>）√二次设计达标承诺函</w:t>
      </w:r>
    </w:p>
    <w:p w14:paraId="3A4C7689">
      <w:pPr>
        <w:spacing w:line="240" w:lineRule="exact"/>
        <w:rPr>
          <w:b/>
          <w:bCs/>
          <w:sz w:val="18"/>
          <w:szCs w:val="18"/>
        </w:rPr>
      </w:pPr>
    </w:p>
    <w:p w14:paraId="005F0E23">
      <w:pPr>
        <w:spacing w:line="240" w:lineRule="exact"/>
        <w:rPr>
          <w:b/>
          <w:bCs/>
          <w:sz w:val="18"/>
          <w:szCs w:val="18"/>
        </w:rPr>
      </w:pPr>
      <w:r>
        <w:rPr>
          <w:rFonts w:hint="eastAsia"/>
          <w:b/>
          <w:bCs/>
          <w:sz w:val="18"/>
          <w:szCs w:val="18"/>
        </w:rPr>
        <w:t>景观专业</w:t>
      </w:r>
    </w:p>
    <w:p w14:paraId="30739F03">
      <w:pPr>
        <w:spacing w:line="240" w:lineRule="exact"/>
        <w:rPr>
          <w:rFonts w:ascii="黑体" w:hAnsi="宋体" w:eastAsia="黑体"/>
          <w:sz w:val="18"/>
          <w:szCs w:val="18"/>
        </w:rPr>
      </w:pPr>
      <w:r>
        <w:rPr>
          <w:rFonts w:ascii="黑体" w:hAnsi="宋体" w:eastAsia="黑体" w:cs="黑体"/>
          <w:sz w:val="18"/>
          <w:szCs w:val="18"/>
        </w:rPr>
        <w:t>7.2.11-1</w:t>
      </w:r>
      <w:r>
        <w:rPr>
          <w:rFonts w:hint="eastAsia" w:ascii="黑体" w:hAnsi="宋体" w:eastAsia="黑体" w:cs="黑体"/>
          <w:sz w:val="18"/>
          <w:szCs w:val="18"/>
        </w:rPr>
        <w:t>绿化灌溉及空调冷却水系统采用节水设备或技术。</w:t>
      </w:r>
    </w:p>
    <w:p w14:paraId="4092C8C5">
      <w:pPr>
        <w:spacing w:line="240" w:lineRule="exact"/>
        <w:rPr>
          <w:rFonts w:ascii="宋体"/>
          <w:sz w:val="18"/>
          <w:szCs w:val="18"/>
        </w:rPr>
      </w:pPr>
      <w:r>
        <w:rPr>
          <w:rFonts w:hint="eastAsia" w:ascii="宋体" w:hAnsi="宋体" w:cs="宋体"/>
          <w:sz w:val="18"/>
          <w:szCs w:val="18"/>
        </w:rPr>
        <w:t>技术措施说明：</w:t>
      </w:r>
      <w:r>
        <w:rPr>
          <w:rFonts w:ascii="Times New Roman" w:hAnsi="Times New Roman"/>
          <w:sz w:val="18"/>
          <w:szCs w:val="18"/>
        </w:rPr>
        <w:t>本项目用地面积为</w:t>
      </w:r>
      <w:r>
        <w:rPr>
          <w:rFonts w:ascii="宋体" w:hAnsi="宋体" w:cs="宋体"/>
          <w:sz w:val="18"/>
          <w:szCs w:val="18"/>
        </w:rPr>
        <w:t>27852.0</w:t>
      </w:r>
      <w:r>
        <w:rPr>
          <w:rFonts w:ascii="Times New Roman" w:hAnsi="Times New Roman"/>
          <w:sz w:val="18"/>
          <w:szCs w:val="18"/>
        </w:rPr>
        <w:t>m</w:t>
      </w:r>
      <w:r>
        <w:rPr>
          <w:rFonts w:ascii="Times New Roman" w:hAnsi="Times New Roman"/>
          <w:sz w:val="18"/>
          <w:szCs w:val="18"/>
          <w:vertAlign w:val="superscript"/>
        </w:rPr>
        <w:t>2</w:t>
      </w:r>
      <w:r>
        <w:rPr>
          <w:rFonts w:ascii="Times New Roman" w:hAnsi="Times New Roman"/>
          <w:sz w:val="18"/>
          <w:szCs w:val="18"/>
        </w:rPr>
        <w:t>，场地内90%以上的绿化室外绿化浇洒采用高效喷灌节水技术</w:t>
      </w:r>
      <w:r>
        <w:rPr>
          <w:rFonts w:hint="eastAsia" w:ascii="Times New Roman" w:hAnsi="Times New Roman"/>
          <w:sz w:val="18"/>
          <w:szCs w:val="18"/>
          <w:lang w:val="en-US" w:eastAsia="zh-CN"/>
        </w:rPr>
        <w:t>并设置土壤湿度感应器及雨天自动关闭装置的节水措施</w:t>
      </w:r>
      <w:r>
        <w:rPr>
          <w:rFonts w:ascii="Times New Roman" w:hAnsi="Times New Roman"/>
          <w:sz w:val="18"/>
          <w:szCs w:val="18"/>
        </w:rPr>
        <w:t>。</w:t>
      </w:r>
    </w:p>
    <w:p w14:paraId="1BC38524">
      <w:pPr>
        <w:spacing w:line="240" w:lineRule="exact"/>
        <w:rPr>
          <w:rFonts w:ascii="宋体" w:cs="宋体"/>
          <w:sz w:val="18"/>
          <w:szCs w:val="18"/>
        </w:rPr>
      </w:pPr>
      <w:r>
        <w:rPr>
          <w:rFonts w:hint="eastAsia" w:ascii="宋体" w:hAnsi="宋体" w:cs="宋体"/>
          <w:sz w:val="18"/>
          <w:szCs w:val="18"/>
        </w:rPr>
        <w:t>证明材料：√设计图纸（给排水、S-01_给水排水设计总说明）；</w:t>
      </w:r>
      <w:r>
        <w:rPr>
          <w:rFonts w:ascii="宋体" w:hAnsi="宋体" w:cs="宋体"/>
          <w:sz w:val="18"/>
          <w:szCs w:val="18"/>
        </w:rPr>
        <w:t xml:space="preserve"> </w:t>
      </w:r>
      <w:r>
        <w:rPr>
          <w:rFonts w:hint="eastAsia" w:ascii="宋体" w:hAnsi="宋体" w:cs="宋体"/>
          <w:sz w:val="18"/>
          <w:szCs w:val="18"/>
        </w:rPr>
        <w:t>√二次设计达标承诺函</w:t>
      </w:r>
    </w:p>
    <w:p w14:paraId="4C1EFAA0">
      <w:pPr>
        <w:spacing w:line="240" w:lineRule="exact"/>
        <w:rPr>
          <w:rFonts w:ascii="黑体" w:hAnsi="宋体" w:eastAsia="黑体"/>
          <w:sz w:val="18"/>
          <w:szCs w:val="18"/>
        </w:rPr>
      </w:pPr>
      <w:r>
        <w:rPr>
          <w:rFonts w:ascii="黑体" w:hAnsi="宋体" w:eastAsia="黑体" w:cs="黑体"/>
          <w:sz w:val="18"/>
          <w:szCs w:val="18"/>
        </w:rPr>
        <w:t>7.2.12</w:t>
      </w:r>
      <w:r>
        <w:rPr>
          <w:rFonts w:hint="eastAsia" w:ascii="黑体" w:hAnsi="宋体" w:eastAsia="黑体" w:cs="黑体"/>
          <w:sz w:val="18"/>
          <w:szCs w:val="18"/>
        </w:rPr>
        <w:t>结合雨水综合利用设施营造室外景观水体，室外景观水体利用雨水的补水量大于水体蒸发量的</w:t>
      </w:r>
      <w:r>
        <w:rPr>
          <w:rFonts w:ascii="黑体" w:hAnsi="宋体" w:eastAsia="黑体" w:cs="黑体"/>
          <w:sz w:val="18"/>
          <w:szCs w:val="18"/>
        </w:rPr>
        <w:t>60%</w:t>
      </w:r>
      <w:r>
        <w:rPr>
          <w:rFonts w:hint="eastAsia" w:ascii="黑体" w:hAnsi="宋体" w:eastAsia="黑体" w:cs="黑体"/>
          <w:sz w:val="18"/>
          <w:szCs w:val="18"/>
        </w:rPr>
        <w:t>，且采用保障水体水质的生态水处理技术。</w:t>
      </w:r>
    </w:p>
    <w:p w14:paraId="07DB7E57">
      <w:pPr>
        <w:spacing w:line="240" w:lineRule="exact"/>
        <w:rPr>
          <w:rFonts w:ascii="宋体"/>
          <w:sz w:val="18"/>
          <w:szCs w:val="18"/>
        </w:rPr>
      </w:pPr>
      <w:r>
        <w:rPr>
          <w:rFonts w:hint="eastAsia" w:ascii="宋体" w:hAnsi="宋体" w:cs="宋体"/>
          <w:sz w:val="18"/>
          <w:szCs w:val="18"/>
        </w:rPr>
        <w:t>技术措施说明：根据规划设计，本</w:t>
      </w:r>
      <w:r>
        <w:rPr>
          <w:rFonts w:ascii="宋体" w:hAnsi="宋体" w:cs="宋体"/>
          <w:sz w:val="18"/>
          <w:szCs w:val="18"/>
        </w:rPr>
        <w:t>项目</w:t>
      </w:r>
      <w:r>
        <w:rPr>
          <w:rFonts w:hint="eastAsia" w:ascii="宋体" w:hAnsi="宋体" w:cs="宋体"/>
          <w:sz w:val="18"/>
          <w:szCs w:val="18"/>
        </w:rPr>
        <w:t>场地内</w:t>
      </w:r>
      <w:r>
        <w:rPr>
          <w:rFonts w:ascii="宋体" w:hAnsi="宋体" w:cs="宋体"/>
          <w:sz w:val="18"/>
          <w:szCs w:val="18"/>
        </w:rPr>
        <w:t>不设置</w:t>
      </w:r>
      <w:r>
        <w:rPr>
          <w:rFonts w:hint="eastAsia" w:ascii="宋体" w:hAnsi="宋体" w:cs="宋体"/>
          <w:sz w:val="18"/>
          <w:szCs w:val="18"/>
        </w:rPr>
        <w:t>景观水体。</w:t>
      </w:r>
    </w:p>
    <w:p w14:paraId="11D090D5">
      <w:pPr>
        <w:spacing w:line="240" w:lineRule="exact"/>
        <w:rPr>
          <w:rFonts w:ascii="宋体" w:hAnsi="宋体" w:cs="宋体"/>
          <w:sz w:val="18"/>
          <w:szCs w:val="18"/>
        </w:rPr>
      </w:pPr>
      <w:r>
        <w:rPr>
          <w:rFonts w:hint="eastAsia" w:ascii="宋体" w:hAnsi="宋体" w:cs="宋体"/>
          <w:sz w:val="18"/>
          <w:szCs w:val="18"/>
        </w:rPr>
        <w:t>证明材料：√设计图纸（建筑、Z</w:t>
      </w:r>
      <w:r>
        <w:rPr>
          <w:rFonts w:ascii="宋体" w:hAnsi="宋体" w:cs="宋体"/>
          <w:sz w:val="18"/>
          <w:szCs w:val="18"/>
        </w:rPr>
        <w:t>P</w:t>
      </w:r>
      <w:r>
        <w:rPr>
          <w:rFonts w:hint="eastAsia" w:ascii="宋体" w:hAnsi="宋体" w:cs="宋体"/>
          <w:sz w:val="18"/>
          <w:szCs w:val="18"/>
        </w:rPr>
        <w:t>-01_总平面图）；</w:t>
      </w:r>
      <w:r>
        <w:rPr>
          <w:rFonts w:ascii="宋体" w:hAnsi="宋体" w:cs="宋体"/>
          <w:sz w:val="18"/>
          <w:szCs w:val="18"/>
        </w:rPr>
        <w:t xml:space="preserve"> </w:t>
      </w:r>
      <w:r>
        <w:rPr>
          <w:rFonts w:hint="eastAsia" w:ascii="宋体" w:hAnsi="宋体" w:cs="宋体"/>
          <w:sz w:val="18"/>
          <w:szCs w:val="18"/>
        </w:rPr>
        <w:t>√二次设计达标承诺函</w:t>
      </w:r>
    </w:p>
    <w:p w14:paraId="72E62EC5">
      <w:pPr>
        <w:spacing w:line="240" w:lineRule="exact"/>
        <w:rPr>
          <w:b/>
          <w:bCs/>
          <w:sz w:val="18"/>
          <w:szCs w:val="18"/>
        </w:rPr>
      </w:pPr>
    </w:p>
    <w:p w14:paraId="4430F66E">
      <w:pPr>
        <w:outlineLvl w:val="1"/>
        <w:rPr>
          <w:rFonts w:hAnsi="黑体" w:eastAsia="黑体" w:cs="黑体"/>
          <w:b/>
          <w:bCs/>
          <w:kern w:val="0"/>
          <w:sz w:val="24"/>
          <w:szCs w:val="24"/>
        </w:rPr>
      </w:pPr>
      <w:r>
        <w:rPr>
          <w:rFonts w:ascii="黑体" w:hAnsi="黑体" w:eastAsia="黑体" w:cs="黑体"/>
          <w:b/>
          <w:bCs/>
          <w:kern w:val="0"/>
          <w:sz w:val="24"/>
          <w:szCs w:val="24"/>
        </w:rPr>
        <w:t>5</w:t>
      </w:r>
      <w:r>
        <w:rPr>
          <w:rFonts w:hint="eastAsia" w:ascii="黑体" w:hAnsi="黑体" w:eastAsia="黑体" w:cs="黑体"/>
          <w:b/>
          <w:bCs/>
          <w:kern w:val="0"/>
          <w:sz w:val="24"/>
          <w:szCs w:val="24"/>
        </w:rPr>
        <w:t>、环境宜居</w:t>
      </w:r>
      <w:r>
        <w:rPr>
          <w:rFonts w:hint="eastAsia" w:hAnsi="黑体" w:eastAsia="黑体" w:cs="黑体"/>
          <w:b/>
          <w:bCs/>
          <w:kern w:val="0"/>
          <w:szCs w:val="21"/>
        </w:rPr>
        <w:t>（</w:t>
      </w:r>
      <w:r>
        <w:rPr>
          <w:rFonts w:hint="eastAsia" w:ascii="宋体" w:hAnsi="宋体"/>
          <w:szCs w:val="21"/>
        </w:rPr>
        <w:t>实际得分</w:t>
      </w:r>
      <w:r>
        <w:rPr>
          <w:rFonts w:hint="eastAsia" w:ascii="宋体" w:hAnsi="宋体"/>
          <w:szCs w:val="21"/>
          <w:u w:val="single"/>
        </w:rPr>
        <w:t>　</w:t>
      </w:r>
      <w:r>
        <w:rPr>
          <w:rFonts w:ascii="宋体" w:hAnsi="宋体"/>
          <w:szCs w:val="21"/>
          <w:u w:val="single"/>
        </w:rPr>
        <w:t>38</w:t>
      </w:r>
      <w:r>
        <w:rPr>
          <w:rFonts w:hint="eastAsia" w:ascii="宋体" w:hAnsi="宋体"/>
          <w:szCs w:val="21"/>
          <w:u w:val="single"/>
        </w:rPr>
        <w:t>　</w:t>
      </w:r>
      <w:r>
        <w:rPr>
          <w:rFonts w:hint="eastAsia" w:ascii="宋体" w:hAnsi="宋体"/>
          <w:szCs w:val="21"/>
        </w:rPr>
        <w:t>分</w:t>
      </w:r>
      <w:r>
        <w:rPr>
          <w:rFonts w:hint="eastAsia" w:hAnsi="黑体" w:eastAsia="黑体" w:cs="黑体"/>
          <w:b/>
          <w:bCs/>
          <w:kern w:val="0"/>
          <w:szCs w:val="21"/>
        </w:rPr>
        <w:t>）</w:t>
      </w:r>
    </w:p>
    <w:p w14:paraId="573E718E">
      <w:pPr>
        <w:spacing w:line="240" w:lineRule="exact"/>
        <w:jc w:val="center"/>
        <w:rPr>
          <w:rFonts w:cs="宋体"/>
          <w:b/>
          <w:bCs/>
          <w:sz w:val="18"/>
          <w:szCs w:val="18"/>
        </w:rPr>
      </w:pPr>
    </w:p>
    <w:p w14:paraId="13F0516A">
      <w:pPr>
        <w:spacing w:line="240" w:lineRule="exact"/>
        <w:jc w:val="center"/>
        <w:outlineLvl w:val="2"/>
        <w:rPr>
          <w:b/>
          <w:bCs/>
          <w:sz w:val="18"/>
          <w:szCs w:val="18"/>
        </w:rPr>
      </w:pPr>
      <w:r>
        <w:rPr>
          <w:rFonts w:hint="eastAsia" w:cs="宋体"/>
          <w:b/>
          <w:bCs/>
          <w:sz w:val="18"/>
          <w:szCs w:val="18"/>
        </w:rPr>
        <w:t>必须说明内容（控制项）</w:t>
      </w:r>
    </w:p>
    <w:p w14:paraId="18FD180C">
      <w:pPr>
        <w:spacing w:line="240" w:lineRule="exact"/>
        <w:rPr>
          <w:b/>
          <w:bCs/>
          <w:sz w:val="18"/>
          <w:szCs w:val="18"/>
        </w:rPr>
      </w:pPr>
      <w:r>
        <w:rPr>
          <w:rFonts w:hint="eastAsia"/>
          <w:b/>
          <w:bCs/>
          <w:sz w:val="18"/>
          <w:szCs w:val="18"/>
        </w:rPr>
        <w:t>规划专业</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66873F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50EE0703">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00DE514C">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10ECE14D">
      <w:pPr>
        <w:spacing w:line="240" w:lineRule="exact"/>
        <w:rPr>
          <w:rFonts w:ascii="黑体" w:hAnsi="宋体" w:eastAsia="黑体"/>
          <w:sz w:val="18"/>
          <w:szCs w:val="18"/>
        </w:rPr>
      </w:pPr>
      <w:r>
        <w:rPr>
          <w:rFonts w:ascii="黑体" w:hAnsi="宋体" w:eastAsia="黑体" w:cs="黑体"/>
          <w:sz w:val="18"/>
          <w:szCs w:val="18"/>
        </w:rPr>
        <w:t>8.1.1</w:t>
      </w:r>
      <w:r>
        <w:rPr>
          <w:rFonts w:hint="eastAsia" w:ascii="黑体" w:hAnsi="宋体" w:eastAsia="黑体" w:cs="黑体"/>
          <w:sz w:val="18"/>
          <w:szCs w:val="18"/>
        </w:rPr>
        <w:t>建筑规划布局应满足日照标准，且不得降低周边建筑的日照标准。</w:t>
      </w:r>
    </w:p>
    <w:p w14:paraId="3AD3D523">
      <w:pPr>
        <w:spacing w:line="240" w:lineRule="exact"/>
        <w:rPr>
          <w:rFonts w:ascii="宋体"/>
          <w:sz w:val="18"/>
          <w:szCs w:val="18"/>
        </w:rPr>
      </w:pPr>
      <w:r>
        <w:rPr>
          <w:rFonts w:hint="eastAsia" w:ascii="宋体" w:hAnsi="宋体" w:cs="宋体"/>
          <w:sz w:val="18"/>
          <w:szCs w:val="18"/>
        </w:rPr>
        <w:t>技术措施说明：本项目</w:t>
      </w:r>
      <w:r>
        <w:rPr>
          <w:rFonts w:hint="eastAsia" w:ascii="宋体" w:hAnsi="宋体" w:cs="宋体"/>
          <w:sz w:val="18"/>
          <w:szCs w:val="18"/>
          <w:lang w:val="en-US" w:eastAsia="zh-CN"/>
        </w:rPr>
        <w:t>为医院建筑，满足日照标准要求</w:t>
      </w:r>
      <w:r>
        <w:rPr>
          <w:rFonts w:hint="eastAsia" w:ascii="宋体" w:hAnsi="宋体" w:cs="宋体"/>
          <w:sz w:val="18"/>
          <w:szCs w:val="18"/>
        </w:rPr>
        <w:t>，</w:t>
      </w:r>
      <w:r>
        <w:rPr>
          <w:rFonts w:hint="eastAsia" w:ascii="宋体" w:hAnsi="宋体" w:cs="宋体"/>
          <w:sz w:val="18"/>
          <w:szCs w:val="18"/>
          <w:lang w:val="en-US" w:eastAsia="zh-CN"/>
        </w:rPr>
        <w:t>同时</w:t>
      </w:r>
      <w:r>
        <w:rPr>
          <w:rFonts w:hint="eastAsia" w:ascii="宋体" w:hAnsi="宋体" w:cs="宋体"/>
          <w:sz w:val="18"/>
          <w:szCs w:val="18"/>
        </w:rPr>
        <w:t>项目建成后没有降低周边</w:t>
      </w:r>
      <w:r>
        <w:rPr>
          <w:rFonts w:ascii="宋体" w:hAnsi="宋体" w:cs="宋体"/>
          <w:sz w:val="18"/>
          <w:szCs w:val="18"/>
        </w:rPr>
        <w:t>建筑</w:t>
      </w:r>
      <w:r>
        <w:rPr>
          <w:rFonts w:hint="eastAsia" w:ascii="宋体" w:hAnsi="宋体" w:cs="宋体"/>
          <w:sz w:val="18"/>
          <w:szCs w:val="18"/>
        </w:rPr>
        <w:t>的日照标准，场地内建筑布局满足详细规划要求。</w:t>
      </w:r>
    </w:p>
    <w:p w14:paraId="1ED2D9BB">
      <w:pPr>
        <w:spacing w:line="240" w:lineRule="exact"/>
        <w:rPr>
          <w:rFonts w:ascii="宋体" w:cs="宋体"/>
          <w:sz w:val="18"/>
          <w:szCs w:val="18"/>
        </w:rPr>
      </w:pPr>
      <w:r>
        <w:rPr>
          <w:rFonts w:hint="eastAsia" w:ascii="宋体" w:hAnsi="宋体" w:cs="宋体"/>
          <w:sz w:val="18"/>
          <w:szCs w:val="18"/>
        </w:rPr>
        <w:t>证明材料：√日照计算分析报告；</w:t>
      </w:r>
      <w:r>
        <w:rPr>
          <w:rFonts w:ascii="宋体" w:hAnsi="宋体" w:cs="宋体"/>
          <w:sz w:val="18"/>
          <w:szCs w:val="18"/>
        </w:rPr>
        <w:t xml:space="preserve"> </w:t>
      </w:r>
      <w:r>
        <w:rPr>
          <w:rFonts w:hint="eastAsia" w:ascii="宋体" w:hAnsi="宋体" w:cs="宋体"/>
          <w:sz w:val="18"/>
          <w:szCs w:val="18"/>
        </w:rPr>
        <w:t>√设计图纸（建筑、Z</w:t>
      </w:r>
      <w:r>
        <w:rPr>
          <w:rFonts w:ascii="宋体" w:hAnsi="宋体" w:cs="宋体"/>
          <w:sz w:val="18"/>
          <w:szCs w:val="18"/>
        </w:rPr>
        <w:t>P</w:t>
      </w:r>
      <w:r>
        <w:rPr>
          <w:rFonts w:hint="eastAsia" w:ascii="宋体" w:hAnsi="宋体" w:cs="宋体"/>
          <w:sz w:val="18"/>
          <w:szCs w:val="18"/>
        </w:rPr>
        <w:t>-01_总平面图）；</w:t>
      </w:r>
      <w:r>
        <w:rPr>
          <w:rFonts w:ascii="宋体" w:hAnsi="宋体" w:cs="宋体"/>
          <w:sz w:val="18"/>
          <w:szCs w:val="18"/>
        </w:rPr>
        <w:t xml:space="preserve"> </w:t>
      </w:r>
      <w:r>
        <w:rPr>
          <w:rFonts w:hint="eastAsia" w:ascii="宋体" w:hAnsi="宋体" w:cs="宋体"/>
          <w:sz w:val="18"/>
          <w:szCs w:val="18"/>
        </w:rPr>
        <w:t>√主管部门批复文件</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4F61FE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0567CEB9">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27AA85E1">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51814804">
      <w:pPr>
        <w:spacing w:line="240" w:lineRule="exact"/>
        <w:rPr>
          <w:rFonts w:ascii="黑体" w:hAnsi="宋体" w:eastAsia="黑体"/>
          <w:sz w:val="18"/>
          <w:szCs w:val="18"/>
        </w:rPr>
      </w:pPr>
      <w:r>
        <w:rPr>
          <w:rFonts w:ascii="黑体" w:hAnsi="宋体" w:eastAsia="黑体" w:cs="黑体"/>
          <w:sz w:val="18"/>
          <w:szCs w:val="18"/>
        </w:rPr>
        <w:t>8.1.6</w:t>
      </w:r>
      <w:r>
        <w:rPr>
          <w:rFonts w:hint="eastAsia" w:ascii="黑体" w:hAnsi="宋体" w:eastAsia="黑体" w:cs="黑体"/>
          <w:sz w:val="18"/>
          <w:szCs w:val="18"/>
        </w:rPr>
        <w:t>场地内不应有排放超标的污染源。</w:t>
      </w:r>
    </w:p>
    <w:p w14:paraId="2860E98E">
      <w:pPr>
        <w:spacing w:line="240" w:lineRule="exact"/>
        <w:jc w:val="left"/>
        <w:rPr>
          <w:rFonts w:ascii="宋体"/>
          <w:sz w:val="18"/>
          <w:szCs w:val="18"/>
        </w:rPr>
      </w:pPr>
      <w:r>
        <w:rPr>
          <w:rFonts w:hint="eastAsia" w:ascii="宋体" w:hAnsi="宋体" w:cs="宋体"/>
          <w:sz w:val="18"/>
          <w:szCs w:val="18"/>
        </w:rPr>
        <w:t>技术措施说明：</w:t>
      </w:r>
      <w:r>
        <w:rPr>
          <w:rFonts w:hint="eastAsia" w:ascii="宋体"/>
          <w:b/>
          <w:bCs/>
          <w:sz w:val="18"/>
          <w:szCs w:val="18"/>
        </w:rPr>
        <w:t>废水</w:t>
      </w:r>
      <w:r>
        <w:rPr>
          <w:rFonts w:hint="eastAsia" w:ascii="宋体"/>
          <w:sz w:val="18"/>
          <w:szCs w:val="18"/>
        </w:rPr>
        <w:t>：本项目营运期污水的来源主要为生活污水和废水，均设置环保措施。生活污水经三级化粪池和隔油隔渣池处理后通过污水管道排放至市政污水管网，不会对项目周围的水体环境造成明显影响。</w:t>
      </w:r>
      <w:r>
        <w:rPr>
          <w:rFonts w:hint="eastAsia" w:ascii="宋体"/>
          <w:b/>
          <w:bCs/>
          <w:sz w:val="18"/>
          <w:szCs w:val="18"/>
        </w:rPr>
        <w:t>废气</w:t>
      </w:r>
      <w:r>
        <w:rPr>
          <w:rFonts w:hint="eastAsia" w:ascii="宋体"/>
          <w:sz w:val="18"/>
          <w:szCs w:val="18"/>
        </w:rPr>
        <w:t>：本项目营运期废气排放均设置环保措施。备用柴油发电机尾气采取水喷淋处理后经排气筒引至楼顶排放；地下停车库车辆尾气采取机械送排风系统捕集措施后通过通风竖井排放至地面；厨房油烟废气采取油烟净化器处理措施后通过排烟竖井管道排放至建筑物楼顶的油烟排放口，不会对大气环境造成明显不良影响。</w:t>
      </w:r>
      <w:r>
        <w:rPr>
          <w:rFonts w:hint="eastAsia" w:ascii="宋体"/>
          <w:b/>
          <w:bCs/>
          <w:sz w:val="18"/>
          <w:szCs w:val="18"/>
        </w:rPr>
        <w:t>噪声</w:t>
      </w:r>
      <w:r>
        <w:rPr>
          <w:rFonts w:hint="eastAsia" w:ascii="宋体"/>
          <w:sz w:val="18"/>
          <w:szCs w:val="18"/>
        </w:rPr>
        <w:t>：营运期噪声污染主要来源于机电设备和设施、交通噪声等。机电设备噪声源应选用低噪声设备，采取合理的安装，并对水泵风机进行减振等综合处理，同时设备房、水泵房等采用隔声设计；加强交通管理，车辆进出应低速慢行，禁止在区域内鸣笛。</w:t>
      </w:r>
    </w:p>
    <w:p w14:paraId="5B1709C1">
      <w:pPr>
        <w:spacing w:line="240" w:lineRule="exact"/>
        <w:rPr>
          <w:sz w:val="18"/>
          <w:szCs w:val="18"/>
        </w:rPr>
      </w:pPr>
      <w:r>
        <w:rPr>
          <w:rFonts w:hint="eastAsia" w:ascii="宋体" w:hAnsi="宋体" w:cs="宋体"/>
          <w:sz w:val="18"/>
          <w:szCs w:val="18"/>
        </w:rPr>
        <w:t>证明材料：</w:t>
      </w:r>
      <w:r>
        <w:rPr>
          <w:rFonts w:ascii="宋体" w:hAnsi="宋体" w:cs="宋体"/>
          <w:sz w:val="18"/>
          <w:szCs w:val="18"/>
        </w:rPr>
        <w:t xml:space="preserve"> </w:t>
      </w:r>
      <w:r>
        <w:rPr>
          <w:rFonts w:hint="eastAsia" w:ascii="宋体" w:hAnsi="宋体" w:cs="宋体"/>
          <w:sz w:val="18"/>
          <w:szCs w:val="18"/>
        </w:rPr>
        <w:t>√设计图纸（建筑、Z</w:t>
      </w:r>
      <w:r>
        <w:rPr>
          <w:rFonts w:ascii="宋体" w:hAnsi="宋体" w:cs="宋体"/>
          <w:sz w:val="18"/>
          <w:szCs w:val="18"/>
        </w:rPr>
        <w:t>P</w:t>
      </w:r>
      <w:r>
        <w:rPr>
          <w:rFonts w:hint="eastAsia" w:ascii="宋体" w:hAnsi="宋体" w:cs="宋体"/>
          <w:sz w:val="18"/>
          <w:szCs w:val="18"/>
        </w:rPr>
        <w:t>-01_总平面图；电气</w:t>
      </w:r>
      <w:r>
        <w:rPr>
          <w:rFonts w:ascii="宋体" w:hAnsi="宋体" w:cs="宋体"/>
          <w:sz w:val="18"/>
          <w:szCs w:val="18"/>
        </w:rPr>
        <w:t>，D-SM-01~06_电气施工图设计说明</w:t>
      </w:r>
      <w:r>
        <w:rPr>
          <w:rFonts w:hint="eastAsia" w:ascii="宋体" w:hAnsi="宋体" w:cs="宋体"/>
          <w:sz w:val="18"/>
          <w:szCs w:val="18"/>
        </w:rPr>
        <w:t>；给排水、S-01_给水排水设计总说明；</w:t>
      </w:r>
      <w:r>
        <w:rPr>
          <w:rFonts w:ascii="宋体" w:hAnsi="宋体" w:cs="宋体"/>
          <w:sz w:val="18"/>
          <w:szCs w:val="18"/>
        </w:rPr>
        <w:t>暖通、</w:t>
      </w:r>
      <w:r>
        <w:rPr>
          <w:rFonts w:hint="eastAsia" w:ascii="宋体" w:hAnsi="宋体" w:cs="宋体"/>
          <w:sz w:val="18"/>
          <w:szCs w:val="18"/>
        </w:rPr>
        <w:t>NT-01_空调通风及防排烟设计说明；）</w:t>
      </w:r>
    </w:p>
    <w:p w14:paraId="7CAE97CE">
      <w:pPr>
        <w:spacing w:line="240" w:lineRule="exact"/>
        <w:rPr>
          <w:sz w:val="18"/>
          <w:szCs w:val="18"/>
        </w:rPr>
      </w:pPr>
    </w:p>
    <w:p w14:paraId="6F289979">
      <w:pPr>
        <w:spacing w:line="240" w:lineRule="exact"/>
        <w:rPr>
          <w:b/>
          <w:bCs/>
          <w:sz w:val="18"/>
          <w:szCs w:val="18"/>
        </w:rPr>
      </w:pPr>
      <w:r>
        <w:rPr>
          <w:rFonts w:hint="eastAsia"/>
          <w:b/>
          <w:bCs/>
          <w:sz w:val="18"/>
          <w:szCs w:val="18"/>
        </w:rPr>
        <w:t>建筑专业</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6402C3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3F379C62">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5DCE3408">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172CDC28">
      <w:pPr>
        <w:spacing w:line="240" w:lineRule="exact"/>
        <w:rPr>
          <w:rFonts w:ascii="黑体" w:hAnsi="宋体" w:eastAsia="黑体"/>
          <w:sz w:val="18"/>
          <w:szCs w:val="18"/>
        </w:rPr>
      </w:pPr>
      <w:r>
        <w:rPr>
          <w:rFonts w:ascii="黑体" w:hAnsi="宋体" w:eastAsia="黑体" w:cs="黑体"/>
          <w:sz w:val="18"/>
          <w:szCs w:val="18"/>
        </w:rPr>
        <w:t>8.1.5</w:t>
      </w:r>
      <w:r>
        <w:rPr>
          <w:rFonts w:hint="eastAsia" w:ascii="黑体" w:hAnsi="宋体" w:eastAsia="黑体" w:cs="黑体"/>
          <w:sz w:val="18"/>
          <w:szCs w:val="18"/>
        </w:rPr>
        <w:t>建筑内外均应设置便于识别和使用的标识系统。</w:t>
      </w:r>
    </w:p>
    <w:p w14:paraId="7EB7BB8C">
      <w:pPr>
        <w:spacing w:line="240" w:lineRule="exact"/>
        <w:rPr>
          <w:rFonts w:ascii="宋体"/>
          <w:sz w:val="18"/>
          <w:szCs w:val="18"/>
        </w:rPr>
      </w:pPr>
      <w:r>
        <w:rPr>
          <w:rFonts w:hint="eastAsia" w:ascii="宋体" w:hAnsi="宋体" w:cs="宋体"/>
          <w:sz w:val="18"/>
          <w:szCs w:val="18"/>
        </w:rPr>
        <w:t>技术措施说明：本项目各场所设置显著、醒目的安全警示标志，比如禁止攀爬、禁止倚靠、禁止伸出窗外、禁止抛物、注意安全、当心碰头、当心夹手、当心车辆、当心坠落、当心滑倒、当心落水等。本</w:t>
      </w:r>
      <w:r>
        <w:rPr>
          <w:rFonts w:ascii="宋体" w:hAnsi="宋体" w:cs="宋体"/>
          <w:sz w:val="18"/>
          <w:szCs w:val="18"/>
        </w:rPr>
        <w:t>项目同时设置了</w:t>
      </w:r>
      <w:r>
        <w:rPr>
          <w:rFonts w:hint="eastAsia" w:ascii="宋体" w:hAnsi="宋体" w:cs="宋体"/>
          <w:sz w:val="18"/>
          <w:szCs w:val="18"/>
        </w:rPr>
        <w:t>人行导向标识，紧急出口标志、避险处标志、应急避难场所标志，对地下室、停车场等还包括车行导向标识。</w:t>
      </w:r>
    </w:p>
    <w:p w14:paraId="59F88E3D">
      <w:pPr>
        <w:spacing w:line="240" w:lineRule="exact"/>
        <w:rPr>
          <w:rFonts w:cs="宋体"/>
          <w:b/>
          <w:bCs/>
          <w:sz w:val="18"/>
          <w:szCs w:val="18"/>
        </w:rPr>
      </w:pPr>
      <w:r>
        <w:rPr>
          <w:rFonts w:hint="eastAsia" w:ascii="宋体" w:hAnsi="宋体" w:cs="宋体"/>
          <w:sz w:val="18"/>
          <w:szCs w:val="18"/>
        </w:rPr>
        <w:t>证明材料：√设计图纸（建筑、</w:t>
      </w:r>
      <w:r>
        <w:rPr>
          <w:rFonts w:ascii="宋体" w:hAnsi="宋体" w:cs="宋体"/>
          <w:sz w:val="18"/>
          <w:szCs w:val="18"/>
        </w:rPr>
        <w:t>SM-01_建筑设计总说明</w:t>
      </w:r>
      <w:r>
        <w:rPr>
          <w:rFonts w:hint="eastAsia" w:ascii="宋体" w:hAnsi="宋体" w:cs="宋体"/>
          <w:sz w:val="18"/>
          <w:szCs w:val="18"/>
        </w:rPr>
        <w:t>）；</w:t>
      </w:r>
      <w:r>
        <w:rPr>
          <w:rFonts w:ascii="宋体" w:hAnsi="宋体" w:cs="宋体"/>
          <w:sz w:val="18"/>
          <w:szCs w:val="18"/>
        </w:rPr>
        <w:t xml:space="preserve"> </w:t>
      </w:r>
      <w:r>
        <w:rPr>
          <w:rFonts w:hint="eastAsia" w:ascii="宋体" w:hAnsi="宋体" w:cs="宋体"/>
          <w:sz w:val="18"/>
          <w:szCs w:val="18"/>
        </w:rPr>
        <w:t>√二次设计达标承诺函</w:t>
      </w:r>
    </w:p>
    <w:p w14:paraId="289D92B5">
      <w:pPr>
        <w:spacing w:line="240" w:lineRule="exact"/>
        <w:rPr>
          <w:rFonts w:hAnsi="黑体" w:eastAsia="黑体"/>
          <w:b/>
          <w:bCs/>
          <w:kern w:val="0"/>
          <w:sz w:val="18"/>
          <w:szCs w:val="18"/>
        </w:rPr>
      </w:pPr>
    </w:p>
    <w:p w14:paraId="090CD3F1">
      <w:pPr>
        <w:spacing w:line="240" w:lineRule="exact"/>
        <w:rPr>
          <w:b/>
          <w:bCs/>
          <w:sz w:val="18"/>
          <w:szCs w:val="18"/>
        </w:rPr>
      </w:pPr>
      <w:r>
        <w:rPr>
          <w:rFonts w:hint="eastAsia"/>
          <w:b/>
          <w:bCs/>
          <w:sz w:val="18"/>
          <w:szCs w:val="18"/>
        </w:rPr>
        <w:t>景观专业</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14D613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2565EE72">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6E3B149A">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43AFC54E">
      <w:pPr>
        <w:spacing w:line="240" w:lineRule="exact"/>
        <w:rPr>
          <w:rFonts w:ascii="黑体" w:hAnsi="宋体" w:eastAsia="黑体"/>
          <w:sz w:val="18"/>
          <w:szCs w:val="18"/>
        </w:rPr>
      </w:pPr>
      <w:r>
        <w:rPr>
          <w:rFonts w:ascii="黑体" w:hAnsi="宋体" w:eastAsia="黑体" w:cs="黑体"/>
          <w:sz w:val="18"/>
          <w:szCs w:val="18"/>
        </w:rPr>
        <w:t>8.1.2</w:t>
      </w:r>
      <w:r>
        <w:rPr>
          <w:rFonts w:hint="eastAsia" w:ascii="黑体" w:hAnsi="宋体" w:eastAsia="黑体" w:cs="黑体"/>
          <w:sz w:val="18"/>
          <w:szCs w:val="18"/>
        </w:rPr>
        <w:t>室外热环境应满足国家现行有关标准的要求。</w:t>
      </w:r>
    </w:p>
    <w:p w14:paraId="0E1CCDB8">
      <w:pPr>
        <w:spacing w:line="240" w:lineRule="exact"/>
        <w:rPr>
          <w:rFonts w:ascii="宋体"/>
          <w:sz w:val="18"/>
          <w:szCs w:val="18"/>
        </w:rPr>
      </w:pPr>
      <w:r>
        <w:rPr>
          <w:rFonts w:hint="eastAsia" w:ascii="宋体" w:hAnsi="宋体" w:cs="宋体"/>
          <w:sz w:val="18"/>
          <w:szCs w:val="18"/>
        </w:rPr>
        <w:t>技术措施说明：本项目为</w:t>
      </w:r>
      <w:r>
        <w:rPr>
          <w:rFonts w:ascii="宋体" w:hAnsi="宋体" w:cs="宋体"/>
          <w:sz w:val="18"/>
          <w:szCs w:val="18"/>
        </w:rPr>
        <w:t>医院</w:t>
      </w:r>
      <w:r>
        <w:rPr>
          <w:rFonts w:hint="eastAsia" w:ascii="宋体" w:hAnsi="宋体" w:cs="宋体"/>
          <w:sz w:val="18"/>
          <w:szCs w:val="18"/>
        </w:rPr>
        <w:t>建筑，非居住建筑，本条直接通过。</w:t>
      </w:r>
    </w:p>
    <w:p w14:paraId="74BCE240">
      <w:pPr>
        <w:spacing w:line="240" w:lineRule="exact"/>
        <w:rPr>
          <w:rFonts w:ascii="宋体" w:cs="宋体"/>
          <w:sz w:val="18"/>
          <w:szCs w:val="18"/>
        </w:rPr>
      </w:pPr>
      <w:r>
        <w:rPr>
          <w:rFonts w:hint="eastAsia" w:ascii="宋体" w:hAnsi="宋体" w:cs="宋体"/>
          <w:sz w:val="18"/>
          <w:szCs w:val="18"/>
        </w:rPr>
        <w:t>证明材料：</w:t>
      </w:r>
      <w:r>
        <w:rPr>
          <w:rFonts w:ascii="宋体" w:hAnsi="宋体" w:cs="宋体"/>
          <w:sz w:val="18"/>
          <w:szCs w:val="18"/>
        </w:rPr>
        <w:t xml:space="preserve"> </w:t>
      </w:r>
      <w:r>
        <w:rPr>
          <w:rFonts w:hint="eastAsia" w:ascii="宋体" w:hAnsi="宋体" w:cs="宋体"/>
          <w:sz w:val="18"/>
          <w:szCs w:val="18"/>
        </w:rPr>
        <w:t>√设计图纸（建筑、ZP-01_总平面图）</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22D5C8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3AA0E52E">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2E5DB2F2">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76CA6A65">
      <w:pPr>
        <w:spacing w:line="240" w:lineRule="exact"/>
        <w:rPr>
          <w:rFonts w:ascii="黑体" w:hAnsi="宋体" w:eastAsia="黑体"/>
          <w:sz w:val="18"/>
          <w:szCs w:val="18"/>
        </w:rPr>
      </w:pPr>
      <w:r>
        <w:rPr>
          <w:rFonts w:ascii="黑体" w:hAnsi="宋体" w:eastAsia="黑体" w:cs="黑体"/>
          <w:sz w:val="18"/>
          <w:szCs w:val="18"/>
        </w:rPr>
        <w:t>8.1.3</w:t>
      </w:r>
      <w:r>
        <w:rPr>
          <w:rFonts w:hint="eastAsia" w:ascii="黑体" w:hAnsi="宋体" w:eastAsia="黑体" w:cs="黑体"/>
          <w:sz w:val="18"/>
          <w:szCs w:val="18"/>
        </w:rPr>
        <w:t>配建的绿地应符合所在地城乡规划的要求，应合理选择绿化方式，植物种植应适应当地气候和土壤，且应无毒害、易维护，种植区域覆土深度和排水能力应满足植物生长需求，并应采用复层绿化方式。</w:t>
      </w:r>
    </w:p>
    <w:p w14:paraId="5C4A5BB6">
      <w:pPr>
        <w:spacing w:line="240" w:lineRule="exact"/>
        <w:rPr>
          <w:rFonts w:ascii="宋体"/>
          <w:sz w:val="18"/>
          <w:szCs w:val="18"/>
        </w:rPr>
      </w:pPr>
      <w:r>
        <w:rPr>
          <w:rFonts w:hint="eastAsia" w:ascii="宋体" w:hAnsi="宋体" w:cs="宋体"/>
          <w:sz w:val="18"/>
          <w:szCs w:val="18"/>
        </w:rPr>
        <w:t>技术措施说明：本项目选用适应当地气候和土壤条件的植物，采用乔、灌、草结合的复层绿化，在空间上构建出立体的生态园区，场地种植区域覆土深度和排水能力满足植物生长需求。</w:t>
      </w:r>
    </w:p>
    <w:p w14:paraId="5838508F">
      <w:pPr>
        <w:spacing w:line="240" w:lineRule="exact"/>
        <w:rPr>
          <w:rFonts w:ascii="宋体" w:cs="宋体"/>
          <w:sz w:val="18"/>
          <w:szCs w:val="18"/>
        </w:rPr>
      </w:pPr>
      <w:r>
        <w:rPr>
          <w:rFonts w:hint="eastAsia" w:ascii="宋体" w:hAnsi="宋体" w:cs="宋体"/>
          <w:sz w:val="18"/>
          <w:szCs w:val="18"/>
        </w:rPr>
        <w:t>证明材料：√设计图纸（建筑、ZP-01_总平面图）；</w:t>
      </w:r>
      <w:r>
        <w:rPr>
          <w:rFonts w:ascii="宋体" w:hAnsi="宋体" w:cs="宋体"/>
          <w:sz w:val="18"/>
          <w:szCs w:val="18"/>
        </w:rPr>
        <w:t xml:space="preserve"> </w:t>
      </w:r>
      <w:r>
        <w:rPr>
          <w:rFonts w:hint="eastAsia" w:ascii="宋体" w:hAnsi="宋体" w:cs="宋体"/>
          <w:sz w:val="18"/>
          <w:szCs w:val="18"/>
        </w:rPr>
        <w:t>√二次设计达标承诺函</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25EFCC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5288665D">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09033FFC">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405116C8">
      <w:pPr>
        <w:spacing w:line="240" w:lineRule="exact"/>
        <w:rPr>
          <w:rFonts w:ascii="黑体" w:hAnsi="宋体" w:eastAsia="黑体"/>
          <w:sz w:val="18"/>
          <w:szCs w:val="18"/>
        </w:rPr>
      </w:pPr>
      <w:r>
        <w:rPr>
          <w:rFonts w:ascii="黑体" w:hAnsi="宋体" w:eastAsia="黑体" w:cs="黑体"/>
          <w:sz w:val="18"/>
          <w:szCs w:val="18"/>
        </w:rPr>
        <w:t>8.1.4</w:t>
      </w:r>
      <w:r>
        <w:rPr>
          <w:rFonts w:hint="eastAsia" w:ascii="黑体" w:hAnsi="宋体" w:eastAsia="黑体" w:cs="黑体"/>
          <w:sz w:val="18"/>
          <w:szCs w:val="18"/>
        </w:rPr>
        <w:t>场地的竖向设计应有利于雨水的收集或排放，应有效组织雨水的下渗、滞蓄或再利用；对大于</w:t>
      </w:r>
      <w:r>
        <w:rPr>
          <w:rFonts w:ascii="黑体" w:hAnsi="宋体" w:eastAsia="黑体" w:cs="黑体"/>
          <w:sz w:val="18"/>
          <w:szCs w:val="18"/>
        </w:rPr>
        <w:t>10hm</w:t>
      </w:r>
      <w:r>
        <w:rPr>
          <w:rFonts w:ascii="黑体" w:hAnsi="宋体" w:eastAsia="黑体" w:cs="黑体"/>
          <w:sz w:val="18"/>
          <w:szCs w:val="18"/>
          <w:vertAlign w:val="superscript"/>
        </w:rPr>
        <w:t>2</w:t>
      </w:r>
      <w:r>
        <w:rPr>
          <w:rFonts w:hint="eastAsia" w:ascii="黑体" w:hAnsi="宋体" w:eastAsia="黑体" w:cs="黑体"/>
          <w:sz w:val="18"/>
          <w:szCs w:val="18"/>
        </w:rPr>
        <w:t>的场地应进行雨水控制利用专项设计。</w:t>
      </w:r>
    </w:p>
    <w:p w14:paraId="5F2F478D">
      <w:pPr>
        <w:spacing w:line="240" w:lineRule="exact"/>
        <w:rPr>
          <w:rFonts w:ascii="宋体"/>
          <w:sz w:val="18"/>
          <w:szCs w:val="18"/>
        </w:rPr>
      </w:pPr>
      <w:r>
        <w:rPr>
          <w:rFonts w:hint="eastAsia" w:ascii="宋体" w:hAnsi="宋体" w:cs="宋体"/>
          <w:sz w:val="18"/>
          <w:szCs w:val="18"/>
        </w:rPr>
        <w:t>技术措施说明：</w:t>
      </w:r>
      <w:r>
        <w:rPr>
          <w:rFonts w:hint="eastAsia" w:ascii="宋体" w:hAnsi="宋体" w:cs="宋体"/>
          <w:sz w:val="18"/>
          <w:szCs w:val="18"/>
          <w:lang w:val="en-US" w:eastAsia="zh-CN"/>
        </w:rPr>
        <w:t>道路及</w:t>
      </w:r>
      <w:r>
        <w:rPr>
          <w:rFonts w:hint="eastAsia" w:ascii="宋体"/>
          <w:sz w:val="18"/>
          <w:szCs w:val="18"/>
        </w:rPr>
        <w:t>屋面雨水均采用重力流排水系统，经室内雨水管排至室外雨水管道或者</w:t>
      </w:r>
      <w:r>
        <w:rPr>
          <w:rFonts w:ascii="宋体"/>
          <w:sz w:val="18"/>
          <w:szCs w:val="18"/>
        </w:rPr>
        <w:t>下沉式绿地</w:t>
      </w:r>
      <w:r>
        <w:rPr>
          <w:rFonts w:hint="eastAsia" w:ascii="宋体"/>
          <w:sz w:val="18"/>
          <w:szCs w:val="18"/>
        </w:rPr>
        <w:t>、雨水花园等生态设施，场地年径流控制率不低于7</w:t>
      </w:r>
      <w:r>
        <w:rPr>
          <w:rFonts w:ascii="宋体"/>
          <w:sz w:val="18"/>
          <w:szCs w:val="18"/>
        </w:rPr>
        <w:t>0%</w:t>
      </w:r>
      <w:r>
        <w:rPr>
          <w:rFonts w:hint="eastAsia" w:ascii="宋体"/>
          <w:sz w:val="18"/>
          <w:szCs w:val="18"/>
        </w:rPr>
        <w:t>。</w:t>
      </w:r>
    </w:p>
    <w:p w14:paraId="1CAA798C">
      <w:pPr>
        <w:spacing w:line="240" w:lineRule="exact"/>
        <w:rPr>
          <w:rFonts w:ascii="宋体" w:cs="宋体"/>
          <w:sz w:val="18"/>
          <w:szCs w:val="18"/>
        </w:rPr>
      </w:pPr>
      <w:r>
        <w:rPr>
          <w:rFonts w:hint="eastAsia" w:ascii="宋体" w:hAnsi="宋体" w:cs="宋体"/>
          <w:sz w:val="18"/>
          <w:szCs w:val="18"/>
        </w:rPr>
        <w:t>证明材料：√设计图纸（建筑、Z</w:t>
      </w:r>
      <w:r>
        <w:rPr>
          <w:rFonts w:ascii="宋体" w:hAnsi="宋体" w:cs="宋体"/>
          <w:sz w:val="18"/>
          <w:szCs w:val="18"/>
        </w:rPr>
        <w:t>P</w:t>
      </w:r>
      <w:r>
        <w:rPr>
          <w:rFonts w:hint="eastAsia" w:ascii="宋体" w:hAnsi="宋体" w:cs="宋体"/>
          <w:sz w:val="18"/>
          <w:szCs w:val="18"/>
        </w:rPr>
        <w:t>-01_总平面图</w:t>
      </w:r>
      <w:r>
        <w:rPr>
          <w:rFonts w:ascii="宋体" w:hAnsi="宋体" w:cs="宋体"/>
          <w:sz w:val="18"/>
          <w:szCs w:val="18"/>
        </w:rPr>
        <w:t>；S-Z-01</w:t>
      </w:r>
      <w:r>
        <w:rPr>
          <w:rFonts w:hint="eastAsia" w:ascii="宋体" w:hAnsi="宋体" w:cs="宋体"/>
          <w:sz w:val="18"/>
          <w:szCs w:val="18"/>
        </w:rPr>
        <w:t>_室外给排水总平面图）；</w:t>
      </w:r>
      <w:r>
        <w:rPr>
          <w:rFonts w:ascii="宋体" w:hAnsi="宋体" w:cs="宋体"/>
          <w:sz w:val="18"/>
          <w:szCs w:val="18"/>
        </w:rPr>
        <w:t xml:space="preserve"> </w:t>
      </w:r>
      <w:r>
        <w:rPr>
          <w:rFonts w:hint="eastAsia" w:ascii="宋体" w:hAnsi="宋体" w:cs="宋体"/>
          <w:sz w:val="18"/>
          <w:szCs w:val="18"/>
        </w:rPr>
        <w:t>√</w:t>
      </w:r>
      <w:r>
        <w:rPr>
          <w:rFonts w:hint="eastAsia" w:ascii="宋体" w:hAnsi="宋体"/>
          <w:sz w:val="18"/>
          <w:szCs w:val="18"/>
        </w:rPr>
        <w:t>海绵城市专篇</w:t>
      </w:r>
    </w:p>
    <w:tbl>
      <w:tblPr>
        <w:tblStyle w:val="12"/>
        <w:tblpPr w:leftFromText="180" w:rightFromText="180" w:vertAnchor="text" w:tblpY="1"/>
        <w:tblOverlap w:val="never"/>
        <w:tblW w:w="7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7"/>
      </w:tblGrid>
      <w:tr w14:paraId="68BAB7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exact"/>
        </w:trPr>
        <w:tc>
          <w:tcPr>
            <w:tcW w:w="397" w:type="dxa"/>
            <w:tcMar>
              <w:left w:w="0" w:type="dxa"/>
              <w:right w:w="0" w:type="dxa"/>
            </w:tcMar>
          </w:tcPr>
          <w:p w14:paraId="33ED719B">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c>
          <w:tcPr>
            <w:tcW w:w="397" w:type="dxa"/>
            <w:tcMar>
              <w:left w:w="0" w:type="dxa"/>
              <w:right w:w="0" w:type="dxa"/>
            </w:tcMar>
          </w:tcPr>
          <w:p w14:paraId="0FBA8D24">
            <w:pPr>
              <w:spacing w:line="240" w:lineRule="exact"/>
              <w:jc w:val="center"/>
              <w:rPr>
                <w:rFonts w:ascii="黑体" w:hAnsi="宋体" w:eastAsia="黑体" w:cs="黑体"/>
                <w:kern w:val="0"/>
                <w:sz w:val="18"/>
                <w:szCs w:val="18"/>
              </w:rPr>
            </w:pPr>
            <w:r>
              <w:rPr>
                <w:rFonts w:hint="eastAsia" w:ascii="黑体" w:hAnsi="宋体" w:eastAsia="黑体" w:cs="黑体"/>
                <w:kern w:val="0"/>
                <w:sz w:val="18"/>
                <w:szCs w:val="18"/>
              </w:rPr>
              <w:t>√</w:t>
            </w:r>
          </w:p>
        </w:tc>
      </w:tr>
    </w:tbl>
    <w:p w14:paraId="5B33D27C">
      <w:pPr>
        <w:spacing w:line="240" w:lineRule="exact"/>
        <w:rPr>
          <w:rFonts w:ascii="黑体" w:hAnsi="宋体" w:eastAsia="黑体"/>
          <w:sz w:val="18"/>
          <w:szCs w:val="18"/>
        </w:rPr>
      </w:pPr>
      <w:r>
        <w:rPr>
          <w:rFonts w:ascii="黑体" w:hAnsi="宋体" w:eastAsia="黑体" w:cs="黑体"/>
          <w:sz w:val="18"/>
          <w:szCs w:val="18"/>
        </w:rPr>
        <w:t>8.1.7</w:t>
      </w:r>
      <w:r>
        <w:rPr>
          <w:rFonts w:hint="eastAsia" w:ascii="黑体" w:hAnsi="宋体" w:eastAsia="黑体" w:cs="黑体"/>
          <w:sz w:val="18"/>
          <w:szCs w:val="18"/>
        </w:rPr>
        <w:t>生活垃圾应分类收集，垃圾容器和收集点的设置应合理并应与周围景观协调。</w:t>
      </w:r>
    </w:p>
    <w:p w14:paraId="01DECC75">
      <w:pPr>
        <w:spacing w:line="240" w:lineRule="exact"/>
        <w:rPr>
          <w:rFonts w:ascii="宋体"/>
          <w:sz w:val="18"/>
          <w:szCs w:val="18"/>
        </w:rPr>
      </w:pPr>
      <w:r>
        <w:rPr>
          <w:rFonts w:hint="eastAsia" w:ascii="宋体" w:hAnsi="宋体" w:cs="宋体"/>
          <w:sz w:val="18"/>
          <w:szCs w:val="18"/>
        </w:rPr>
        <w:t>技术措施说明：根据广东省垃圾分类条例的要求，项目投入运营后实行垃圾分类管理，垃圾容器和收集点的位置设置在室内层间功能房及室外广场区域，垃圾桶设计与周围景观协调统一。</w:t>
      </w:r>
    </w:p>
    <w:p w14:paraId="364846DA">
      <w:pPr>
        <w:spacing w:line="240" w:lineRule="exact"/>
        <w:rPr>
          <w:rFonts w:ascii="黑体" w:hAnsi="宋体" w:eastAsia="黑体"/>
          <w:sz w:val="18"/>
          <w:szCs w:val="18"/>
        </w:rPr>
      </w:pPr>
      <w:r>
        <w:rPr>
          <w:rFonts w:hint="eastAsia" w:ascii="宋体" w:hAnsi="宋体" w:cs="宋体"/>
          <w:sz w:val="18"/>
          <w:szCs w:val="18"/>
        </w:rPr>
        <w:t>证明材料：√设计图纸（建筑、Z</w:t>
      </w:r>
      <w:r>
        <w:rPr>
          <w:rFonts w:ascii="宋体" w:hAnsi="宋体" w:cs="宋体"/>
          <w:sz w:val="18"/>
          <w:szCs w:val="18"/>
        </w:rPr>
        <w:t>P</w:t>
      </w:r>
      <w:r>
        <w:rPr>
          <w:rFonts w:hint="eastAsia" w:ascii="宋体" w:hAnsi="宋体" w:cs="宋体"/>
          <w:sz w:val="18"/>
          <w:szCs w:val="18"/>
        </w:rPr>
        <w:t>-01_总平面图）；</w:t>
      </w:r>
      <w:r>
        <w:rPr>
          <w:rFonts w:ascii="宋体" w:hAnsi="宋体" w:cs="宋体"/>
          <w:sz w:val="18"/>
          <w:szCs w:val="18"/>
        </w:rPr>
        <w:t xml:space="preserve"> </w:t>
      </w:r>
      <w:r>
        <w:rPr>
          <w:rFonts w:hint="eastAsia" w:ascii="宋体" w:hAnsi="宋体" w:cs="宋体"/>
          <w:sz w:val="18"/>
          <w:szCs w:val="18"/>
        </w:rPr>
        <w:t>√二次设计达标承诺函</w:t>
      </w:r>
    </w:p>
    <w:p w14:paraId="5F6B26D0">
      <w:pPr>
        <w:spacing w:line="240" w:lineRule="exact"/>
        <w:rPr>
          <w:b/>
          <w:bCs/>
          <w:sz w:val="18"/>
          <w:szCs w:val="18"/>
        </w:rPr>
      </w:pPr>
    </w:p>
    <w:p w14:paraId="5D5712E6">
      <w:pPr>
        <w:spacing w:line="240" w:lineRule="exact"/>
        <w:jc w:val="center"/>
        <w:outlineLvl w:val="2"/>
        <w:rPr>
          <w:rFonts w:cs="宋体"/>
          <w:b/>
          <w:bCs/>
          <w:sz w:val="18"/>
          <w:szCs w:val="18"/>
        </w:rPr>
      </w:pPr>
      <w:r>
        <w:rPr>
          <w:rFonts w:hint="eastAsia" w:cs="宋体"/>
          <w:b/>
          <w:bCs/>
          <w:sz w:val="18"/>
          <w:szCs w:val="18"/>
        </w:rPr>
        <w:t>自选说明内容（评分项）</w:t>
      </w:r>
    </w:p>
    <w:p w14:paraId="0FA7A195">
      <w:pPr>
        <w:spacing w:line="240" w:lineRule="exact"/>
        <w:rPr>
          <w:rFonts w:ascii="黑体" w:hAnsi="宋体" w:eastAsia="黑体"/>
          <w:sz w:val="18"/>
          <w:szCs w:val="18"/>
        </w:rPr>
      </w:pPr>
    </w:p>
    <w:tbl>
      <w:tblPr>
        <w:tblStyle w:val="12"/>
        <w:tblW w:w="864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4"/>
        <w:gridCol w:w="864"/>
        <w:gridCol w:w="864"/>
        <w:gridCol w:w="864"/>
        <w:gridCol w:w="864"/>
        <w:gridCol w:w="864"/>
        <w:gridCol w:w="864"/>
        <w:gridCol w:w="865"/>
        <w:gridCol w:w="865"/>
        <w:gridCol w:w="865"/>
      </w:tblGrid>
      <w:tr w14:paraId="7F07DD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864" w:type="dxa"/>
            <w:vAlign w:val="center"/>
          </w:tcPr>
          <w:p w14:paraId="764003A8">
            <w:pPr>
              <w:spacing w:line="240" w:lineRule="exact"/>
              <w:jc w:val="center"/>
              <w:rPr>
                <w:rFonts w:cs="Calibri"/>
                <w:sz w:val="18"/>
                <w:szCs w:val="18"/>
              </w:rPr>
            </w:pPr>
            <w:r>
              <w:rPr>
                <w:rFonts w:hint="eastAsia" w:cs="Calibri"/>
                <w:sz w:val="18"/>
                <w:szCs w:val="18"/>
              </w:rPr>
              <w:t>条文</w:t>
            </w:r>
          </w:p>
        </w:tc>
        <w:tc>
          <w:tcPr>
            <w:tcW w:w="864" w:type="dxa"/>
            <w:vAlign w:val="center"/>
          </w:tcPr>
          <w:p w14:paraId="48D349B3">
            <w:pPr>
              <w:spacing w:line="240" w:lineRule="exact"/>
              <w:jc w:val="center"/>
              <w:rPr>
                <w:rFonts w:cs="Calibri"/>
                <w:sz w:val="18"/>
                <w:szCs w:val="18"/>
              </w:rPr>
            </w:pPr>
            <w:r>
              <w:rPr>
                <w:rFonts w:cs="Calibri"/>
                <w:sz w:val="18"/>
                <w:szCs w:val="18"/>
              </w:rPr>
              <w:t>8.2.1</w:t>
            </w:r>
          </w:p>
        </w:tc>
        <w:tc>
          <w:tcPr>
            <w:tcW w:w="864" w:type="dxa"/>
            <w:vAlign w:val="center"/>
          </w:tcPr>
          <w:p w14:paraId="39C496CF">
            <w:pPr>
              <w:spacing w:line="240" w:lineRule="exact"/>
              <w:jc w:val="center"/>
              <w:rPr>
                <w:rFonts w:cs="Calibri"/>
                <w:sz w:val="18"/>
                <w:szCs w:val="18"/>
              </w:rPr>
            </w:pPr>
            <w:r>
              <w:rPr>
                <w:rFonts w:cs="Calibri"/>
                <w:sz w:val="18"/>
                <w:szCs w:val="18"/>
              </w:rPr>
              <w:t>8.2.2</w:t>
            </w:r>
          </w:p>
        </w:tc>
        <w:tc>
          <w:tcPr>
            <w:tcW w:w="864" w:type="dxa"/>
            <w:vAlign w:val="center"/>
          </w:tcPr>
          <w:p w14:paraId="31F67CD2">
            <w:pPr>
              <w:spacing w:line="240" w:lineRule="exact"/>
              <w:jc w:val="center"/>
              <w:rPr>
                <w:rFonts w:cs="Calibri"/>
                <w:sz w:val="18"/>
                <w:szCs w:val="18"/>
              </w:rPr>
            </w:pPr>
            <w:r>
              <w:rPr>
                <w:rFonts w:cs="Calibri"/>
                <w:sz w:val="18"/>
                <w:szCs w:val="18"/>
              </w:rPr>
              <w:t>8.2.3</w:t>
            </w:r>
          </w:p>
        </w:tc>
        <w:tc>
          <w:tcPr>
            <w:tcW w:w="864" w:type="dxa"/>
            <w:vAlign w:val="center"/>
          </w:tcPr>
          <w:p w14:paraId="4D4AFDAC">
            <w:pPr>
              <w:spacing w:line="240" w:lineRule="exact"/>
              <w:jc w:val="center"/>
              <w:rPr>
                <w:rFonts w:cs="Calibri"/>
                <w:sz w:val="18"/>
                <w:szCs w:val="18"/>
              </w:rPr>
            </w:pPr>
            <w:r>
              <w:rPr>
                <w:rFonts w:cs="Calibri"/>
                <w:sz w:val="18"/>
                <w:szCs w:val="18"/>
              </w:rPr>
              <w:t>8.2.4</w:t>
            </w:r>
          </w:p>
        </w:tc>
        <w:tc>
          <w:tcPr>
            <w:tcW w:w="864" w:type="dxa"/>
            <w:vAlign w:val="center"/>
          </w:tcPr>
          <w:p w14:paraId="72062575">
            <w:pPr>
              <w:spacing w:line="240" w:lineRule="exact"/>
              <w:jc w:val="center"/>
              <w:rPr>
                <w:rFonts w:cs="Calibri"/>
                <w:sz w:val="18"/>
                <w:szCs w:val="18"/>
              </w:rPr>
            </w:pPr>
            <w:r>
              <w:rPr>
                <w:rFonts w:cs="Calibri"/>
                <w:sz w:val="18"/>
                <w:szCs w:val="18"/>
              </w:rPr>
              <w:t>8.2.5</w:t>
            </w:r>
          </w:p>
        </w:tc>
        <w:tc>
          <w:tcPr>
            <w:tcW w:w="864" w:type="dxa"/>
            <w:vAlign w:val="center"/>
          </w:tcPr>
          <w:p w14:paraId="38BFC433">
            <w:pPr>
              <w:spacing w:line="240" w:lineRule="exact"/>
              <w:jc w:val="center"/>
              <w:rPr>
                <w:rFonts w:cs="Calibri"/>
                <w:sz w:val="18"/>
                <w:szCs w:val="18"/>
              </w:rPr>
            </w:pPr>
            <w:r>
              <w:rPr>
                <w:rFonts w:cs="Calibri"/>
                <w:sz w:val="18"/>
                <w:szCs w:val="18"/>
              </w:rPr>
              <w:t>8.2.6</w:t>
            </w:r>
          </w:p>
        </w:tc>
        <w:tc>
          <w:tcPr>
            <w:tcW w:w="865" w:type="dxa"/>
            <w:vAlign w:val="center"/>
          </w:tcPr>
          <w:p w14:paraId="7D373290">
            <w:pPr>
              <w:spacing w:line="240" w:lineRule="exact"/>
              <w:jc w:val="center"/>
              <w:rPr>
                <w:rFonts w:cs="Calibri"/>
                <w:sz w:val="18"/>
                <w:szCs w:val="18"/>
              </w:rPr>
            </w:pPr>
            <w:r>
              <w:rPr>
                <w:rFonts w:cs="Calibri"/>
                <w:sz w:val="18"/>
                <w:szCs w:val="18"/>
              </w:rPr>
              <w:t>8.2.7</w:t>
            </w:r>
          </w:p>
        </w:tc>
        <w:tc>
          <w:tcPr>
            <w:tcW w:w="865" w:type="dxa"/>
            <w:vAlign w:val="center"/>
          </w:tcPr>
          <w:p w14:paraId="51678CA1">
            <w:pPr>
              <w:spacing w:line="240" w:lineRule="exact"/>
              <w:jc w:val="center"/>
              <w:rPr>
                <w:rFonts w:cs="Calibri"/>
                <w:sz w:val="18"/>
                <w:szCs w:val="18"/>
              </w:rPr>
            </w:pPr>
            <w:r>
              <w:rPr>
                <w:rFonts w:cs="Calibri"/>
                <w:sz w:val="18"/>
                <w:szCs w:val="18"/>
              </w:rPr>
              <w:t>8.2.8</w:t>
            </w:r>
          </w:p>
        </w:tc>
        <w:tc>
          <w:tcPr>
            <w:tcW w:w="865" w:type="dxa"/>
            <w:vAlign w:val="center"/>
          </w:tcPr>
          <w:p w14:paraId="39C355E9">
            <w:pPr>
              <w:spacing w:line="240" w:lineRule="exact"/>
              <w:jc w:val="center"/>
              <w:rPr>
                <w:rFonts w:cs="Calibri"/>
                <w:sz w:val="18"/>
                <w:szCs w:val="18"/>
              </w:rPr>
            </w:pPr>
            <w:r>
              <w:rPr>
                <w:rFonts w:cs="Calibri"/>
                <w:sz w:val="18"/>
                <w:szCs w:val="18"/>
              </w:rPr>
              <w:t>8.2.9</w:t>
            </w:r>
          </w:p>
        </w:tc>
      </w:tr>
      <w:tr w14:paraId="760421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864" w:type="dxa"/>
            <w:vAlign w:val="center"/>
          </w:tcPr>
          <w:p w14:paraId="491E641F">
            <w:pPr>
              <w:spacing w:line="240" w:lineRule="exact"/>
              <w:jc w:val="center"/>
              <w:rPr>
                <w:rFonts w:cs="Calibri"/>
                <w:sz w:val="18"/>
                <w:szCs w:val="18"/>
              </w:rPr>
            </w:pPr>
            <w:r>
              <w:rPr>
                <w:rFonts w:hint="eastAsia" w:cs="Calibri"/>
                <w:sz w:val="18"/>
                <w:szCs w:val="18"/>
              </w:rPr>
              <w:t>总分</w:t>
            </w:r>
          </w:p>
        </w:tc>
        <w:tc>
          <w:tcPr>
            <w:tcW w:w="864" w:type="dxa"/>
            <w:vAlign w:val="center"/>
          </w:tcPr>
          <w:p w14:paraId="5559BCFC">
            <w:pPr>
              <w:spacing w:line="240" w:lineRule="exact"/>
              <w:jc w:val="center"/>
              <w:rPr>
                <w:rFonts w:cs="Calibri"/>
                <w:sz w:val="18"/>
                <w:szCs w:val="18"/>
              </w:rPr>
            </w:pPr>
            <w:r>
              <w:rPr>
                <w:rFonts w:cs="Calibri"/>
                <w:sz w:val="18"/>
                <w:szCs w:val="18"/>
              </w:rPr>
              <w:t>10</w:t>
            </w:r>
          </w:p>
        </w:tc>
        <w:tc>
          <w:tcPr>
            <w:tcW w:w="864" w:type="dxa"/>
            <w:vAlign w:val="center"/>
          </w:tcPr>
          <w:p w14:paraId="60AF9DE2">
            <w:pPr>
              <w:spacing w:line="240" w:lineRule="exact"/>
              <w:jc w:val="center"/>
              <w:rPr>
                <w:rFonts w:cs="Calibri"/>
                <w:sz w:val="18"/>
                <w:szCs w:val="18"/>
              </w:rPr>
            </w:pPr>
            <w:r>
              <w:rPr>
                <w:rFonts w:cs="Calibri"/>
                <w:sz w:val="18"/>
                <w:szCs w:val="18"/>
              </w:rPr>
              <w:t>10</w:t>
            </w:r>
          </w:p>
        </w:tc>
        <w:tc>
          <w:tcPr>
            <w:tcW w:w="864" w:type="dxa"/>
            <w:vAlign w:val="center"/>
          </w:tcPr>
          <w:p w14:paraId="11F8F130">
            <w:pPr>
              <w:spacing w:line="240" w:lineRule="exact"/>
              <w:jc w:val="center"/>
              <w:rPr>
                <w:rFonts w:cs="Calibri"/>
                <w:sz w:val="18"/>
                <w:szCs w:val="18"/>
              </w:rPr>
            </w:pPr>
            <w:r>
              <w:rPr>
                <w:rFonts w:cs="Calibri"/>
                <w:sz w:val="18"/>
                <w:szCs w:val="18"/>
              </w:rPr>
              <w:t>16</w:t>
            </w:r>
          </w:p>
        </w:tc>
        <w:tc>
          <w:tcPr>
            <w:tcW w:w="864" w:type="dxa"/>
            <w:vAlign w:val="center"/>
          </w:tcPr>
          <w:p w14:paraId="5700105D">
            <w:pPr>
              <w:spacing w:line="240" w:lineRule="exact"/>
              <w:jc w:val="center"/>
              <w:rPr>
                <w:rFonts w:cs="Calibri"/>
                <w:sz w:val="18"/>
                <w:szCs w:val="18"/>
              </w:rPr>
            </w:pPr>
            <w:r>
              <w:rPr>
                <w:rFonts w:cs="Calibri"/>
                <w:sz w:val="18"/>
                <w:szCs w:val="18"/>
              </w:rPr>
              <w:t>9</w:t>
            </w:r>
          </w:p>
        </w:tc>
        <w:tc>
          <w:tcPr>
            <w:tcW w:w="864" w:type="dxa"/>
            <w:vAlign w:val="center"/>
          </w:tcPr>
          <w:p w14:paraId="1193D835">
            <w:pPr>
              <w:spacing w:line="240" w:lineRule="exact"/>
              <w:jc w:val="center"/>
              <w:rPr>
                <w:rFonts w:cs="Calibri"/>
                <w:sz w:val="18"/>
                <w:szCs w:val="18"/>
              </w:rPr>
            </w:pPr>
            <w:r>
              <w:rPr>
                <w:rFonts w:cs="Calibri"/>
                <w:sz w:val="18"/>
                <w:szCs w:val="18"/>
              </w:rPr>
              <w:t>15</w:t>
            </w:r>
          </w:p>
        </w:tc>
        <w:tc>
          <w:tcPr>
            <w:tcW w:w="864" w:type="dxa"/>
            <w:vAlign w:val="center"/>
          </w:tcPr>
          <w:p w14:paraId="76F7562D">
            <w:pPr>
              <w:spacing w:line="240" w:lineRule="exact"/>
              <w:jc w:val="center"/>
              <w:rPr>
                <w:rFonts w:cs="Calibri"/>
                <w:sz w:val="18"/>
                <w:szCs w:val="18"/>
              </w:rPr>
            </w:pPr>
            <w:r>
              <w:rPr>
                <w:rFonts w:cs="Calibri"/>
                <w:sz w:val="18"/>
                <w:szCs w:val="18"/>
              </w:rPr>
              <w:t>10</w:t>
            </w:r>
          </w:p>
        </w:tc>
        <w:tc>
          <w:tcPr>
            <w:tcW w:w="865" w:type="dxa"/>
            <w:vAlign w:val="center"/>
          </w:tcPr>
          <w:p w14:paraId="15665FB3">
            <w:pPr>
              <w:spacing w:line="240" w:lineRule="exact"/>
              <w:jc w:val="center"/>
              <w:rPr>
                <w:rFonts w:cs="Calibri"/>
                <w:sz w:val="18"/>
                <w:szCs w:val="18"/>
              </w:rPr>
            </w:pPr>
            <w:r>
              <w:rPr>
                <w:rFonts w:cs="Calibri"/>
                <w:sz w:val="18"/>
                <w:szCs w:val="18"/>
              </w:rPr>
              <w:t>10</w:t>
            </w:r>
          </w:p>
        </w:tc>
        <w:tc>
          <w:tcPr>
            <w:tcW w:w="865" w:type="dxa"/>
            <w:vAlign w:val="center"/>
          </w:tcPr>
          <w:p w14:paraId="6498A05C">
            <w:pPr>
              <w:spacing w:line="240" w:lineRule="exact"/>
              <w:jc w:val="center"/>
              <w:rPr>
                <w:rFonts w:cs="Calibri"/>
                <w:sz w:val="18"/>
                <w:szCs w:val="18"/>
              </w:rPr>
            </w:pPr>
            <w:r>
              <w:rPr>
                <w:rFonts w:cs="Calibri"/>
                <w:sz w:val="18"/>
                <w:szCs w:val="18"/>
              </w:rPr>
              <w:t>10</w:t>
            </w:r>
          </w:p>
        </w:tc>
        <w:tc>
          <w:tcPr>
            <w:tcW w:w="865" w:type="dxa"/>
            <w:vAlign w:val="center"/>
          </w:tcPr>
          <w:p w14:paraId="52DC97E8">
            <w:pPr>
              <w:spacing w:line="240" w:lineRule="exact"/>
              <w:jc w:val="center"/>
              <w:rPr>
                <w:rFonts w:cs="Calibri"/>
                <w:sz w:val="18"/>
                <w:szCs w:val="18"/>
              </w:rPr>
            </w:pPr>
            <w:r>
              <w:rPr>
                <w:rFonts w:cs="Calibri"/>
                <w:sz w:val="18"/>
                <w:szCs w:val="18"/>
              </w:rPr>
              <w:t>10</w:t>
            </w:r>
          </w:p>
        </w:tc>
      </w:tr>
      <w:tr w14:paraId="6B72D7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864" w:type="dxa"/>
            <w:vAlign w:val="center"/>
          </w:tcPr>
          <w:p w14:paraId="0B3A9AC1">
            <w:pPr>
              <w:spacing w:line="240" w:lineRule="exact"/>
              <w:jc w:val="center"/>
              <w:rPr>
                <w:rFonts w:cs="Calibri"/>
                <w:sz w:val="18"/>
                <w:szCs w:val="18"/>
              </w:rPr>
            </w:pPr>
            <w:r>
              <w:rPr>
                <w:rFonts w:hint="eastAsia" w:cs="Calibri"/>
                <w:sz w:val="18"/>
                <w:szCs w:val="18"/>
              </w:rPr>
              <w:t>得分</w:t>
            </w:r>
          </w:p>
        </w:tc>
        <w:tc>
          <w:tcPr>
            <w:tcW w:w="864" w:type="dxa"/>
            <w:vAlign w:val="center"/>
          </w:tcPr>
          <w:p w14:paraId="0BABEAA1">
            <w:pPr>
              <w:spacing w:line="240" w:lineRule="exact"/>
              <w:jc w:val="center"/>
              <w:rPr>
                <w:rFonts w:cs="Calibri"/>
                <w:sz w:val="18"/>
                <w:szCs w:val="18"/>
              </w:rPr>
            </w:pPr>
            <w:r>
              <w:rPr>
                <w:rFonts w:cs="Calibri"/>
                <w:sz w:val="18"/>
                <w:szCs w:val="18"/>
              </w:rPr>
              <w:t>0</w:t>
            </w:r>
          </w:p>
        </w:tc>
        <w:tc>
          <w:tcPr>
            <w:tcW w:w="864" w:type="dxa"/>
            <w:vAlign w:val="center"/>
          </w:tcPr>
          <w:p w14:paraId="3620310C">
            <w:pPr>
              <w:spacing w:line="240" w:lineRule="exact"/>
              <w:jc w:val="center"/>
              <w:rPr>
                <w:rFonts w:cs="Calibri"/>
                <w:sz w:val="18"/>
                <w:szCs w:val="18"/>
              </w:rPr>
            </w:pPr>
            <w:r>
              <w:rPr>
                <w:rFonts w:cs="Calibri"/>
                <w:sz w:val="18"/>
                <w:szCs w:val="18"/>
              </w:rPr>
              <w:t>0</w:t>
            </w:r>
          </w:p>
        </w:tc>
        <w:tc>
          <w:tcPr>
            <w:tcW w:w="864" w:type="dxa"/>
            <w:vAlign w:val="center"/>
          </w:tcPr>
          <w:p w14:paraId="685E22B4">
            <w:pPr>
              <w:spacing w:line="240" w:lineRule="exact"/>
              <w:jc w:val="center"/>
              <w:rPr>
                <w:rFonts w:cs="Calibri"/>
                <w:sz w:val="18"/>
                <w:szCs w:val="18"/>
              </w:rPr>
            </w:pPr>
            <w:r>
              <w:rPr>
                <w:rFonts w:cs="Calibri"/>
                <w:sz w:val="18"/>
                <w:szCs w:val="18"/>
              </w:rPr>
              <w:t>6</w:t>
            </w:r>
          </w:p>
        </w:tc>
        <w:tc>
          <w:tcPr>
            <w:tcW w:w="864" w:type="dxa"/>
            <w:vAlign w:val="center"/>
          </w:tcPr>
          <w:p w14:paraId="449CBA3F">
            <w:pPr>
              <w:spacing w:line="240" w:lineRule="exact"/>
              <w:jc w:val="center"/>
              <w:rPr>
                <w:rFonts w:cs="Calibri"/>
                <w:sz w:val="18"/>
                <w:szCs w:val="18"/>
              </w:rPr>
            </w:pPr>
            <w:r>
              <w:rPr>
                <w:rFonts w:cs="Calibri"/>
                <w:sz w:val="18"/>
                <w:szCs w:val="18"/>
              </w:rPr>
              <w:t>9</w:t>
            </w:r>
          </w:p>
        </w:tc>
        <w:tc>
          <w:tcPr>
            <w:tcW w:w="864" w:type="dxa"/>
            <w:vAlign w:val="center"/>
          </w:tcPr>
          <w:p w14:paraId="13E448B4">
            <w:pPr>
              <w:spacing w:line="240" w:lineRule="exact"/>
              <w:jc w:val="center"/>
              <w:rPr>
                <w:rFonts w:cs="Calibri"/>
                <w:sz w:val="18"/>
                <w:szCs w:val="18"/>
              </w:rPr>
            </w:pPr>
            <w:r>
              <w:rPr>
                <w:rFonts w:cs="Calibri"/>
                <w:sz w:val="18"/>
                <w:szCs w:val="18"/>
              </w:rPr>
              <w:t>0</w:t>
            </w:r>
          </w:p>
        </w:tc>
        <w:tc>
          <w:tcPr>
            <w:tcW w:w="864" w:type="dxa"/>
            <w:vAlign w:val="center"/>
          </w:tcPr>
          <w:p w14:paraId="73964739">
            <w:pPr>
              <w:spacing w:line="240" w:lineRule="exact"/>
              <w:jc w:val="center"/>
              <w:rPr>
                <w:rFonts w:cs="Calibri"/>
                <w:sz w:val="18"/>
                <w:szCs w:val="18"/>
              </w:rPr>
            </w:pPr>
            <w:r>
              <w:rPr>
                <w:rFonts w:hint="eastAsia" w:cs="Calibri"/>
                <w:sz w:val="18"/>
                <w:szCs w:val="18"/>
              </w:rPr>
              <w:t>5</w:t>
            </w:r>
          </w:p>
        </w:tc>
        <w:tc>
          <w:tcPr>
            <w:tcW w:w="865" w:type="dxa"/>
            <w:vAlign w:val="center"/>
          </w:tcPr>
          <w:p w14:paraId="01662C68">
            <w:pPr>
              <w:spacing w:line="240" w:lineRule="exact"/>
              <w:jc w:val="center"/>
              <w:rPr>
                <w:rFonts w:cs="Calibri"/>
                <w:sz w:val="18"/>
                <w:szCs w:val="18"/>
              </w:rPr>
            </w:pPr>
            <w:r>
              <w:rPr>
                <w:rFonts w:cs="Calibri"/>
                <w:sz w:val="18"/>
                <w:szCs w:val="18"/>
              </w:rPr>
              <w:t>10</w:t>
            </w:r>
          </w:p>
        </w:tc>
        <w:tc>
          <w:tcPr>
            <w:tcW w:w="865" w:type="dxa"/>
            <w:vAlign w:val="center"/>
          </w:tcPr>
          <w:p w14:paraId="7146AA31">
            <w:pPr>
              <w:spacing w:line="240" w:lineRule="exact"/>
              <w:jc w:val="center"/>
              <w:rPr>
                <w:rFonts w:cs="Calibri"/>
                <w:sz w:val="18"/>
                <w:szCs w:val="18"/>
              </w:rPr>
            </w:pPr>
            <w:r>
              <w:rPr>
                <w:rFonts w:cs="Calibri"/>
                <w:sz w:val="18"/>
                <w:szCs w:val="18"/>
              </w:rPr>
              <w:t>8</w:t>
            </w:r>
          </w:p>
        </w:tc>
        <w:tc>
          <w:tcPr>
            <w:tcW w:w="865" w:type="dxa"/>
            <w:vAlign w:val="center"/>
          </w:tcPr>
          <w:p w14:paraId="4A2DB2D7">
            <w:pPr>
              <w:spacing w:line="240" w:lineRule="exact"/>
              <w:jc w:val="center"/>
              <w:rPr>
                <w:rFonts w:cs="Calibri"/>
                <w:sz w:val="18"/>
                <w:szCs w:val="18"/>
              </w:rPr>
            </w:pPr>
            <w:r>
              <w:rPr>
                <w:rFonts w:cs="Calibri"/>
                <w:sz w:val="18"/>
                <w:szCs w:val="18"/>
              </w:rPr>
              <w:t>0</w:t>
            </w:r>
          </w:p>
        </w:tc>
      </w:tr>
    </w:tbl>
    <w:p w14:paraId="3B3E2E37">
      <w:pPr>
        <w:spacing w:line="240" w:lineRule="exact"/>
        <w:rPr>
          <w:rFonts w:ascii="黑体" w:hAnsi="宋体" w:eastAsia="黑体"/>
          <w:sz w:val="18"/>
          <w:szCs w:val="18"/>
        </w:rPr>
      </w:pPr>
    </w:p>
    <w:p w14:paraId="5C198745">
      <w:pPr>
        <w:spacing w:line="240" w:lineRule="exact"/>
        <w:rPr>
          <w:rFonts w:ascii="黑体" w:hAnsi="宋体" w:eastAsia="黑体" w:cs="黑体"/>
          <w:sz w:val="18"/>
          <w:szCs w:val="18"/>
        </w:rPr>
      </w:pPr>
      <w:r>
        <w:rPr>
          <w:rFonts w:hint="eastAsia"/>
          <w:b/>
          <w:bCs/>
          <w:sz w:val="18"/>
          <w:szCs w:val="18"/>
        </w:rPr>
        <w:t>规划专业</w:t>
      </w:r>
    </w:p>
    <w:p w14:paraId="4B82E1E0">
      <w:pPr>
        <w:spacing w:line="240" w:lineRule="exact"/>
        <w:rPr>
          <w:rFonts w:eastAsia="黑体"/>
          <w:sz w:val="18"/>
          <w:szCs w:val="18"/>
        </w:rPr>
      </w:pPr>
      <w:r>
        <w:rPr>
          <w:rFonts w:ascii="黑体" w:hAnsi="宋体" w:eastAsia="黑体" w:cs="黑体"/>
          <w:sz w:val="18"/>
          <w:szCs w:val="18"/>
        </w:rPr>
        <w:t>8.2.8</w:t>
      </w:r>
      <w:r>
        <w:rPr>
          <w:rFonts w:hint="eastAsia" w:ascii="黑体" w:hAnsi="宋体" w:eastAsia="黑体" w:cs="黑体"/>
          <w:sz w:val="18"/>
          <w:szCs w:val="18"/>
        </w:rPr>
        <w:t>场地内风环境有利于室外行走、活动舒适和建筑的自然通风。</w:t>
      </w:r>
    </w:p>
    <w:p w14:paraId="5933CA9B">
      <w:pPr>
        <w:spacing w:line="240" w:lineRule="exact"/>
        <w:rPr>
          <w:rFonts w:ascii="宋体"/>
          <w:sz w:val="18"/>
          <w:szCs w:val="18"/>
        </w:rPr>
      </w:pPr>
      <w:r>
        <w:rPr>
          <w:rFonts w:hint="eastAsia" w:ascii="宋体" w:hAnsi="宋体" w:cs="宋体"/>
          <w:sz w:val="18"/>
          <w:szCs w:val="18"/>
        </w:rPr>
        <w:t>技术措施说明：本</w:t>
      </w:r>
      <w:r>
        <w:rPr>
          <w:rFonts w:ascii="宋体" w:hAnsi="宋体" w:cs="宋体"/>
          <w:sz w:val="18"/>
          <w:szCs w:val="18"/>
        </w:rPr>
        <w:t>项目</w:t>
      </w:r>
      <w:r>
        <w:rPr>
          <w:rFonts w:hint="eastAsia" w:ascii="宋体" w:hAnsi="宋体" w:cs="宋体"/>
          <w:sz w:val="18"/>
          <w:szCs w:val="18"/>
        </w:rPr>
        <w:t>位于广州市，采用C</w:t>
      </w:r>
      <w:r>
        <w:rPr>
          <w:rFonts w:ascii="宋体" w:hAnsi="宋体" w:cs="宋体"/>
          <w:sz w:val="18"/>
          <w:szCs w:val="18"/>
        </w:rPr>
        <w:t>FD</w:t>
      </w:r>
      <w:r>
        <w:rPr>
          <w:rFonts w:hint="eastAsia" w:ascii="宋体" w:hAnsi="宋体" w:cs="宋体"/>
          <w:sz w:val="18"/>
          <w:szCs w:val="18"/>
        </w:rPr>
        <w:t>技术对场地的风环境条件进行数值模拟。结果显示：在冬季典型风速和风向条件下，场地内人行</w:t>
      </w:r>
      <w:r>
        <w:rPr>
          <w:rFonts w:ascii="宋体" w:hAnsi="宋体" w:cs="宋体"/>
          <w:sz w:val="18"/>
          <w:szCs w:val="18"/>
        </w:rPr>
        <w:t>区域</w:t>
      </w:r>
      <w:r>
        <w:rPr>
          <w:rFonts w:hint="eastAsia" w:ascii="宋体" w:hAnsi="宋体" w:cs="宋体"/>
          <w:sz w:val="18"/>
          <w:szCs w:val="18"/>
        </w:rPr>
        <w:t>距地面高度1.5m处</w:t>
      </w:r>
      <w:r>
        <w:rPr>
          <w:rFonts w:ascii="宋体" w:hAnsi="宋体" w:cs="宋体"/>
          <w:sz w:val="18"/>
          <w:szCs w:val="18"/>
        </w:rPr>
        <w:t>最大风速达到</w:t>
      </w:r>
      <w:r>
        <w:rPr>
          <w:rFonts w:hint="eastAsia" w:ascii="宋体" w:hAnsi="宋体" w:cs="宋体"/>
          <w:sz w:val="18"/>
          <w:szCs w:val="18"/>
        </w:rPr>
        <w:t>4.</w:t>
      </w:r>
      <w:r>
        <w:rPr>
          <w:rFonts w:ascii="宋体" w:hAnsi="宋体" w:cs="宋体"/>
          <w:sz w:val="18"/>
          <w:szCs w:val="18"/>
        </w:rPr>
        <w:t>03m/s，</w:t>
      </w:r>
      <w:r>
        <w:rPr>
          <w:rFonts w:hint="eastAsia" w:ascii="宋体" w:hAnsi="宋体" w:cs="宋体"/>
          <w:sz w:val="18"/>
          <w:szCs w:val="18"/>
        </w:rPr>
        <w:t>放大系数仅为1.5，户外休息区/儿童娱乐区最大风速为1.5</w:t>
      </w:r>
      <w:r>
        <w:rPr>
          <w:rFonts w:ascii="宋体" w:hAnsi="宋体" w:cs="宋体"/>
          <w:sz w:val="18"/>
          <w:szCs w:val="18"/>
        </w:rPr>
        <w:t xml:space="preserve"> m/s</w:t>
      </w:r>
      <w:r>
        <w:rPr>
          <w:rFonts w:hint="eastAsia" w:ascii="宋体" w:hAnsi="宋体" w:cs="宋体"/>
          <w:sz w:val="18"/>
          <w:szCs w:val="18"/>
        </w:rPr>
        <w:t>，得分3分；通过合理的建筑间距及架空层，在夏季和过渡季典型风速和风向条件下，场地未出现明显的</w:t>
      </w:r>
      <w:r>
        <w:rPr>
          <w:rFonts w:ascii="宋体" w:hAnsi="宋体" w:cs="宋体"/>
          <w:sz w:val="18"/>
          <w:szCs w:val="18"/>
        </w:rPr>
        <w:t>无风区</w:t>
      </w:r>
      <w:r>
        <w:rPr>
          <w:rFonts w:hint="eastAsia" w:ascii="宋体" w:hAnsi="宋体" w:cs="宋体"/>
          <w:sz w:val="18"/>
          <w:szCs w:val="18"/>
        </w:rPr>
        <w:t>和</w:t>
      </w:r>
      <w:r>
        <w:rPr>
          <w:rFonts w:ascii="宋体" w:hAnsi="宋体" w:cs="宋体"/>
          <w:sz w:val="18"/>
          <w:szCs w:val="18"/>
        </w:rPr>
        <w:t>旋涡区</w:t>
      </w:r>
      <w:r>
        <w:rPr>
          <w:rFonts w:hint="eastAsia" w:ascii="宋体" w:hAnsi="宋体" w:cs="宋体"/>
          <w:sz w:val="18"/>
          <w:szCs w:val="18"/>
        </w:rPr>
        <w:t>，得分3分，且外窗表面</w:t>
      </w:r>
      <w:r>
        <w:rPr>
          <w:rFonts w:ascii="宋体" w:hAnsi="宋体" w:cs="宋体"/>
          <w:sz w:val="18"/>
          <w:szCs w:val="18"/>
        </w:rPr>
        <w:t>压力</w:t>
      </w:r>
      <w:r>
        <w:rPr>
          <w:rFonts w:hint="eastAsia" w:ascii="宋体" w:hAnsi="宋体" w:cs="宋体"/>
          <w:sz w:val="18"/>
          <w:szCs w:val="18"/>
        </w:rPr>
        <w:t>大于0.5P</w:t>
      </w:r>
      <w:r>
        <w:rPr>
          <w:rFonts w:ascii="宋体" w:hAnsi="宋体" w:cs="宋体"/>
          <w:sz w:val="18"/>
          <w:szCs w:val="18"/>
        </w:rPr>
        <w:t>a的</w:t>
      </w:r>
      <w:r>
        <w:rPr>
          <w:rFonts w:hint="eastAsia" w:ascii="宋体" w:hAnsi="宋体" w:cs="宋体"/>
          <w:sz w:val="18"/>
          <w:szCs w:val="18"/>
        </w:rPr>
        <w:t>外窗占总外窗数量</w:t>
      </w:r>
      <w:r>
        <w:rPr>
          <w:rFonts w:ascii="宋体" w:hAnsi="宋体" w:cs="宋体"/>
          <w:sz w:val="18"/>
          <w:szCs w:val="18"/>
        </w:rPr>
        <w:t>比例达到</w:t>
      </w:r>
      <w:r>
        <w:rPr>
          <w:rFonts w:hint="eastAsia" w:ascii="宋体" w:hAnsi="宋体" w:cs="宋体"/>
          <w:sz w:val="18"/>
          <w:szCs w:val="18"/>
        </w:rPr>
        <w:t>93.87%，得分2分。</w:t>
      </w:r>
    </w:p>
    <w:p w14:paraId="6F1D24A2">
      <w:pPr>
        <w:spacing w:line="240" w:lineRule="exact"/>
        <w:rPr>
          <w:b/>
          <w:bCs/>
          <w:sz w:val="18"/>
          <w:szCs w:val="18"/>
        </w:rPr>
      </w:pPr>
      <w:r>
        <w:rPr>
          <w:rFonts w:hint="eastAsia" w:ascii="宋体" w:hAnsi="宋体" w:cs="宋体"/>
          <w:sz w:val="18"/>
          <w:szCs w:val="18"/>
        </w:rPr>
        <w:t>证明材料：√室外风环境模拟计算分析报告；</w:t>
      </w:r>
      <w:r>
        <w:rPr>
          <w:rFonts w:ascii="宋体" w:hAnsi="宋体" w:cs="宋体"/>
          <w:sz w:val="18"/>
          <w:szCs w:val="18"/>
        </w:rPr>
        <w:t xml:space="preserve"> </w:t>
      </w:r>
      <w:r>
        <w:rPr>
          <w:rFonts w:hint="eastAsia" w:ascii="宋体" w:hAnsi="宋体" w:cs="宋体"/>
          <w:sz w:val="18"/>
          <w:szCs w:val="18"/>
        </w:rPr>
        <w:t>√设计图纸（建筑、Z</w:t>
      </w:r>
      <w:r>
        <w:rPr>
          <w:rFonts w:ascii="宋体" w:hAnsi="宋体" w:cs="宋体"/>
          <w:sz w:val="18"/>
          <w:szCs w:val="18"/>
        </w:rPr>
        <w:t>P</w:t>
      </w:r>
      <w:r>
        <w:rPr>
          <w:rFonts w:hint="eastAsia" w:ascii="宋体" w:hAnsi="宋体" w:cs="宋体"/>
          <w:sz w:val="18"/>
          <w:szCs w:val="18"/>
        </w:rPr>
        <w:t>-01_总平面图，首层平面图）</w:t>
      </w:r>
    </w:p>
    <w:p w14:paraId="73304323">
      <w:pPr>
        <w:spacing w:line="240" w:lineRule="exact"/>
        <w:rPr>
          <w:rFonts w:eastAsia="黑体"/>
          <w:sz w:val="18"/>
          <w:szCs w:val="18"/>
        </w:rPr>
      </w:pPr>
      <w:r>
        <w:rPr>
          <w:rFonts w:ascii="黑体" w:hAnsi="宋体" w:eastAsia="黑体" w:cs="黑体"/>
          <w:sz w:val="18"/>
          <w:szCs w:val="18"/>
        </w:rPr>
        <w:t>8.2.3</w:t>
      </w:r>
      <w:r>
        <w:rPr>
          <w:rFonts w:hint="eastAsia" w:ascii="黑体" w:hAnsi="宋体" w:eastAsia="黑体" w:cs="黑体"/>
          <w:sz w:val="18"/>
          <w:szCs w:val="18"/>
        </w:rPr>
        <w:t>充分利用场地空间设置绿化用地。</w:t>
      </w:r>
    </w:p>
    <w:p w14:paraId="3A598E3F">
      <w:pPr>
        <w:spacing w:line="240" w:lineRule="exact"/>
        <w:rPr>
          <w:rFonts w:ascii="宋体"/>
          <w:sz w:val="18"/>
          <w:szCs w:val="18"/>
        </w:rPr>
      </w:pPr>
      <w:r>
        <w:rPr>
          <w:rFonts w:hint="eastAsia" w:ascii="宋体" w:hAnsi="宋体" w:cs="宋体"/>
          <w:sz w:val="18"/>
          <w:szCs w:val="18"/>
        </w:rPr>
        <w:t>技术措施说明：本项目为</w:t>
      </w:r>
      <w:r>
        <w:rPr>
          <w:rFonts w:ascii="宋体" w:hAnsi="宋体" w:cs="宋体"/>
          <w:sz w:val="18"/>
          <w:szCs w:val="18"/>
        </w:rPr>
        <w:t>医院</w:t>
      </w:r>
      <w:r>
        <w:rPr>
          <w:rFonts w:hint="eastAsia" w:ascii="宋体" w:hAnsi="宋体" w:cs="宋体"/>
          <w:sz w:val="18"/>
          <w:szCs w:val="18"/>
        </w:rPr>
        <w:t>建筑，园区内的绿地可视为对公众开放。</w:t>
      </w:r>
    </w:p>
    <w:p w14:paraId="554291F4">
      <w:pPr>
        <w:spacing w:line="240" w:lineRule="exact"/>
        <w:rPr>
          <w:rFonts w:ascii="黑体" w:hAnsi="宋体" w:eastAsia="黑体"/>
          <w:sz w:val="18"/>
          <w:szCs w:val="18"/>
        </w:rPr>
      </w:pPr>
      <w:r>
        <w:rPr>
          <w:rFonts w:hint="eastAsia" w:ascii="宋体" w:hAnsi="宋体" w:cs="宋体"/>
          <w:sz w:val="18"/>
          <w:szCs w:val="18"/>
        </w:rPr>
        <w:t>证明材料：</w:t>
      </w:r>
      <w:r>
        <w:rPr>
          <w:rFonts w:ascii="宋体" w:hAnsi="宋体" w:cs="宋体"/>
          <w:sz w:val="18"/>
          <w:szCs w:val="18"/>
        </w:rPr>
        <w:t xml:space="preserve"> </w:t>
      </w:r>
      <w:r>
        <w:rPr>
          <w:rFonts w:hint="eastAsia" w:ascii="宋体" w:hAnsi="宋体" w:cs="宋体"/>
          <w:sz w:val="18"/>
          <w:szCs w:val="18"/>
        </w:rPr>
        <w:t>√设计图纸（建筑、Z</w:t>
      </w:r>
      <w:r>
        <w:rPr>
          <w:rFonts w:ascii="宋体" w:hAnsi="宋体" w:cs="宋体"/>
          <w:sz w:val="18"/>
          <w:szCs w:val="18"/>
        </w:rPr>
        <w:t>P</w:t>
      </w:r>
      <w:r>
        <w:rPr>
          <w:rFonts w:hint="eastAsia" w:ascii="宋体" w:hAnsi="宋体" w:cs="宋体"/>
          <w:sz w:val="18"/>
          <w:szCs w:val="18"/>
        </w:rPr>
        <w:t>-01_总平面图）</w:t>
      </w:r>
    </w:p>
    <w:p w14:paraId="3131BDC0">
      <w:pPr>
        <w:spacing w:line="240" w:lineRule="exact"/>
        <w:rPr>
          <w:b/>
          <w:bCs/>
          <w:sz w:val="18"/>
          <w:szCs w:val="18"/>
        </w:rPr>
      </w:pPr>
      <w:r>
        <w:rPr>
          <w:rFonts w:hint="eastAsia"/>
          <w:b/>
          <w:bCs/>
          <w:sz w:val="18"/>
          <w:szCs w:val="18"/>
        </w:rPr>
        <w:t>建筑专业</w:t>
      </w:r>
    </w:p>
    <w:p w14:paraId="6C03D0C2">
      <w:pPr>
        <w:spacing w:line="240" w:lineRule="exact"/>
        <w:rPr>
          <w:rFonts w:eastAsia="黑体"/>
          <w:sz w:val="18"/>
          <w:szCs w:val="18"/>
        </w:rPr>
      </w:pPr>
      <w:r>
        <w:rPr>
          <w:rFonts w:ascii="黑体" w:hAnsi="宋体" w:eastAsia="黑体" w:cs="黑体"/>
          <w:sz w:val="18"/>
          <w:szCs w:val="18"/>
        </w:rPr>
        <w:t>8.2.6</w:t>
      </w:r>
      <w:r>
        <w:rPr>
          <w:rFonts w:hint="eastAsia" w:ascii="黑体" w:hAnsi="宋体" w:eastAsia="黑体" w:cs="黑体"/>
          <w:sz w:val="18"/>
          <w:szCs w:val="18"/>
        </w:rPr>
        <w:t>场地内的环境噪声优于现行国家标准《声环境质量标准》</w:t>
      </w:r>
      <w:r>
        <w:rPr>
          <w:rFonts w:ascii="黑体" w:hAnsi="宋体" w:eastAsia="黑体" w:cs="黑体"/>
          <w:sz w:val="18"/>
          <w:szCs w:val="18"/>
        </w:rPr>
        <w:t>GB 3096</w:t>
      </w:r>
      <w:r>
        <w:rPr>
          <w:rFonts w:hint="eastAsia" w:ascii="黑体" w:hAnsi="宋体" w:eastAsia="黑体" w:cs="黑体"/>
          <w:sz w:val="18"/>
          <w:szCs w:val="18"/>
        </w:rPr>
        <w:t>的要求。</w:t>
      </w:r>
    </w:p>
    <w:p w14:paraId="3236995E">
      <w:pPr>
        <w:spacing w:line="240" w:lineRule="exact"/>
        <w:rPr>
          <w:rFonts w:ascii="宋体"/>
          <w:sz w:val="18"/>
          <w:szCs w:val="18"/>
        </w:rPr>
      </w:pPr>
      <w:r>
        <w:rPr>
          <w:rFonts w:hint="eastAsia" w:ascii="宋体" w:hAnsi="宋体" w:cs="宋体"/>
          <w:sz w:val="18"/>
          <w:szCs w:val="18"/>
        </w:rPr>
        <w:t>技术措施说明：根据现场踏勘和对地块周边现状的了解以及该地区的发展规划，可能对建设项目产生影响的外环境噪声源主要为交通噪声与生活噪声。根据《室外声环境模拟报告》，噪声影响值昼间不大于65dB，夜间不大于55dB，达到3类声环境功能区的环境噪声等效声级限值。</w:t>
      </w:r>
    </w:p>
    <w:p w14:paraId="367CA187">
      <w:pPr>
        <w:spacing w:line="240" w:lineRule="exact"/>
        <w:rPr>
          <w:rFonts w:ascii="宋体" w:cs="宋体"/>
          <w:sz w:val="18"/>
          <w:szCs w:val="18"/>
        </w:rPr>
      </w:pPr>
      <w:r>
        <w:rPr>
          <w:rFonts w:hint="eastAsia" w:ascii="宋体" w:hAnsi="宋体" w:cs="宋体"/>
          <w:sz w:val="18"/>
          <w:szCs w:val="18"/>
        </w:rPr>
        <w:t>证明材料：√</w:t>
      </w:r>
      <w:r>
        <w:rPr>
          <w:rFonts w:hint="eastAsia" w:ascii="宋体" w:hAnsi="宋体"/>
          <w:sz w:val="18"/>
          <w:szCs w:val="18"/>
        </w:rPr>
        <w:t>室外</w:t>
      </w:r>
      <w:r>
        <w:rPr>
          <w:rFonts w:ascii="宋体" w:hAnsi="宋体"/>
          <w:sz w:val="18"/>
          <w:szCs w:val="18"/>
        </w:rPr>
        <w:t>声环境模拟报告</w:t>
      </w:r>
      <w:r>
        <w:rPr>
          <w:rFonts w:hint="eastAsia" w:ascii="宋体" w:hAnsi="宋体" w:cs="宋体"/>
          <w:sz w:val="18"/>
          <w:szCs w:val="18"/>
        </w:rPr>
        <w:t>；</w:t>
      </w:r>
      <w:r>
        <w:rPr>
          <w:rFonts w:ascii="宋体" w:hAnsi="宋体" w:cs="宋体"/>
          <w:sz w:val="18"/>
          <w:szCs w:val="18"/>
        </w:rPr>
        <w:t xml:space="preserve"> </w:t>
      </w:r>
      <w:r>
        <w:rPr>
          <w:rFonts w:hint="eastAsia" w:ascii="宋体" w:hAnsi="宋体" w:cs="宋体"/>
          <w:sz w:val="18"/>
          <w:szCs w:val="18"/>
        </w:rPr>
        <w:t>√设计图纸（建筑、Z</w:t>
      </w:r>
      <w:r>
        <w:rPr>
          <w:rFonts w:ascii="宋体" w:hAnsi="宋体" w:cs="宋体"/>
          <w:sz w:val="18"/>
          <w:szCs w:val="18"/>
        </w:rPr>
        <w:t>P</w:t>
      </w:r>
      <w:r>
        <w:rPr>
          <w:rFonts w:hint="eastAsia" w:ascii="宋体" w:hAnsi="宋体" w:cs="宋体"/>
          <w:sz w:val="18"/>
          <w:szCs w:val="18"/>
        </w:rPr>
        <w:t>-01_总平面图）</w:t>
      </w:r>
    </w:p>
    <w:p w14:paraId="45E60310">
      <w:pPr>
        <w:spacing w:line="240" w:lineRule="exact"/>
        <w:rPr>
          <w:rFonts w:eastAsia="黑体"/>
          <w:sz w:val="18"/>
          <w:szCs w:val="18"/>
        </w:rPr>
      </w:pPr>
      <w:r>
        <w:rPr>
          <w:rFonts w:ascii="黑体" w:hAnsi="宋体" w:eastAsia="黑体" w:cs="黑体"/>
          <w:sz w:val="18"/>
          <w:szCs w:val="18"/>
        </w:rPr>
        <w:t>8.2.7-1</w:t>
      </w:r>
      <w:r>
        <w:rPr>
          <w:rFonts w:hint="eastAsia" w:ascii="黑体" w:hAnsi="宋体" w:eastAsia="黑体" w:cs="黑体"/>
          <w:sz w:val="18"/>
          <w:szCs w:val="18"/>
        </w:rPr>
        <w:t>建筑及照明设计避免产生光污染。</w:t>
      </w:r>
    </w:p>
    <w:p w14:paraId="59BF7C60">
      <w:pPr>
        <w:spacing w:line="240" w:lineRule="exact"/>
        <w:rPr>
          <w:rFonts w:ascii="宋体"/>
          <w:sz w:val="18"/>
          <w:szCs w:val="18"/>
        </w:rPr>
      </w:pPr>
      <w:r>
        <w:rPr>
          <w:rFonts w:hint="eastAsia" w:ascii="宋体" w:hAnsi="宋体" w:cs="宋体"/>
          <w:sz w:val="18"/>
          <w:szCs w:val="18"/>
        </w:rPr>
        <w:t>技术措施说明：本</w:t>
      </w:r>
      <w:r>
        <w:rPr>
          <w:rFonts w:ascii="宋体" w:hAnsi="宋体" w:cs="宋体"/>
          <w:sz w:val="18"/>
          <w:szCs w:val="18"/>
        </w:rPr>
        <w:t>项目为</w:t>
      </w:r>
      <w:r>
        <w:rPr>
          <w:rFonts w:hint="eastAsia" w:ascii="宋体" w:hAnsi="宋体" w:cs="宋体"/>
          <w:sz w:val="18"/>
          <w:szCs w:val="18"/>
        </w:rPr>
        <w:t>玻璃</w:t>
      </w:r>
      <w:r>
        <w:rPr>
          <w:rFonts w:ascii="宋体" w:hAnsi="宋体" w:cs="宋体"/>
          <w:sz w:val="18"/>
          <w:szCs w:val="18"/>
        </w:rPr>
        <w:t>幕墙</w:t>
      </w:r>
      <w:r>
        <w:rPr>
          <w:rFonts w:hint="eastAsia" w:ascii="宋体" w:hAnsi="宋体" w:cs="宋体"/>
          <w:sz w:val="18"/>
          <w:szCs w:val="18"/>
        </w:rPr>
        <w:t>体系</w:t>
      </w:r>
      <w:r>
        <w:rPr>
          <w:rFonts w:ascii="宋体" w:hAnsi="宋体" w:cs="宋体"/>
          <w:sz w:val="18"/>
          <w:szCs w:val="18"/>
        </w:rPr>
        <w:t>，</w:t>
      </w:r>
      <w:r>
        <w:rPr>
          <w:rFonts w:hint="eastAsia" w:ascii="宋体" w:hAnsi="宋体" w:cs="宋体"/>
          <w:sz w:val="18"/>
          <w:szCs w:val="18"/>
        </w:rPr>
        <w:t>玻璃幕墙采普通铝合金窗框+6LOW-E+12</w:t>
      </w:r>
      <w:r>
        <w:rPr>
          <w:rFonts w:hint="eastAsia" w:ascii="宋体" w:hAnsi="宋体" w:cs="宋体"/>
          <w:sz w:val="18"/>
          <w:szCs w:val="18"/>
          <w:lang w:eastAsia="zh-CN"/>
        </w:rPr>
        <w:t>A</w:t>
      </w:r>
      <w:r>
        <w:rPr>
          <w:rFonts w:hint="eastAsia" w:ascii="宋体" w:hAnsi="宋体" w:cs="宋体"/>
          <w:sz w:val="18"/>
          <w:szCs w:val="18"/>
        </w:rPr>
        <w:t>+6中透中空玻璃</w:t>
      </w:r>
      <w:r>
        <w:rPr>
          <w:rFonts w:hint="eastAsia"/>
          <w:sz w:val="18"/>
          <w:szCs w:val="18"/>
        </w:rPr>
        <w:t>，</w:t>
      </w:r>
      <w:r>
        <w:rPr>
          <w:rFonts w:hint="eastAsia" w:ascii="宋体" w:hAnsi="宋体" w:cs="宋体"/>
          <w:sz w:val="18"/>
          <w:szCs w:val="18"/>
        </w:rPr>
        <w:t>玻璃的可见光反射比为0.16；满足对在城市快速路、主干道、立交桥、高架桥两侧的建筑20m以下及一般路段10m以下的玻璃幕墙，其可见光反射比不大于0.16的要求。。</w:t>
      </w:r>
    </w:p>
    <w:p w14:paraId="7297AE59">
      <w:pPr>
        <w:spacing w:line="240" w:lineRule="exact"/>
        <w:rPr>
          <w:rFonts w:ascii="黑体" w:hAnsi="宋体" w:eastAsia="黑体"/>
          <w:sz w:val="18"/>
          <w:szCs w:val="18"/>
        </w:rPr>
      </w:pPr>
      <w:r>
        <w:rPr>
          <w:rFonts w:hint="eastAsia" w:ascii="宋体" w:hAnsi="宋体" w:cs="宋体"/>
          <w:sz w:val="18"/>
          <w:szCs w:val="18"/>
        </w:rPr>
        <w:t>证明材料：</w:t>
      </w:r>
      <w:r>
        <w:rPr>
          <w:rFonts w:ascii="宋体" w:hAnsi="宋体" w:cs="宋体"/>
          <w:sz w:val="18"/>
          <w:szCs w:val="18"/>
        </w:rPr>
        <w:t xml:space="preserve"> </w:t>
      </w:r>
      <w:r>
        <w:rPr>
          <w:rFonts w:hint="eastAsia" w:ascii="宋体" w:hAnsi="宋体" w:cs="宋体"/>
          <w:sz w:val="18"/>
          <w:szCs w:val="18"/>
        </w:rPr>
        <w:t>√设计图纸（建筑、</w:t>
      </w:r>
      <w:r>
        <w:rPr>
          <w:rFonts w:ascii="宋体" w:hAnsi="宋体" w:cs="宋体"/>
          <w:sz w:val="18"/>
          <w:szCs w:val="18"/>
        </w:rPr>
        <w:t>SM-01_建筑设计总说明</w:t>
      </w:r>
      <w:r>
        <w:rPr>
          <w:rFonts w:hint="eastAsia" w:ascii="宋体" w:hAnsi="宋体" w:cs="宋体"/>
          <w:sz w:val="18"/>
          <w:szCs w:val="18"/>
        </w:rPr>
        <w:t>，</w:t>
      </w:r>
      <w:r>
        <w:rPr>
          <w:rFonts w:ascii="宋体" w:hAnsi="宋体" w:cs="宋体"/>
          <w:sz w:val="18"/>
          <w:szCs w:val="18"/>
        </w:rPr>
        <w:t>门窗大样</w:t>
      </w:r>
      <w:r>
        <w:rPr>
          <w:rFonts w:hint="eastAsia" w:ascii="宋体" w:hAnsi="宋体" w:cs="宋体"/>
          <w:sz w:val="18"/>
          <w:szCs w:val="18"/>
        </w:rPr>
        <w:t>）</w:t>
      </w:r>
    </w:p>
    <w:p w14:paraId="4527E750">
      <w:pPr>
        <w:spacing w:line="240" w:lineRule="exact"/>
        <w:rPr>
          <w:b/>
          <w:bCs/>
          <w:sz w:val="18"/>
          <w:szCs w:val="18"/>
        </w:rPr>
      </w:pPr>
    </w:p>
    <w:p w14:paraId="22D83E10">
      <w:pPr>
        <w:spacing w:line="240" w:lineRule="exact"/>
        <w:rPr>
          <w:b/>
          <w:bCs/>
          <w:sz w:val="18"/>
          <w:szCs w:val="18"/>
        </w:rPr>
      </w:pPr>
      <w:r>
        <w:rPr>
          <w:rFonts w:hint="eastAsia"/>
          <w:b/>
          <w:bCs/>
          <w:sz w:val="18"/>
          <w:szCs w:val="18"/>
        </w:rPr>
        <w:t>电气专业</w:t>
      </w:r>
    </w:p>
    <w:p w14:paraId="3E2A3E4C">
      <w:pPr>
        <w:spacing w:line="240" w:lineRule="exact"/>
        <w:rPr>
          <w:rFonts w:eastAsia="黑体"/>
          <w:sz w:val="18"/>
          <w:szCs w:val="18"/>
        </w:rPr>
      </w:pPr>
      <w:r>
        <w:rPr>
          <w:rFonts w:ascii="黑体" w:hAnsi="宋体" w:eastAsia="黑体" w:cs="黑体"/>
          <w:sz w:val="18"/>
          <w:szCs w:val="18"/>
        </w:rPr>
        <w:t>8.2.7-2</w:t>
      </w:r>
      <w:r>
        <w:rPr>
          <w:rFonts w:hint="eastAsia" w:ascii="黑体" w:hAnsi="宋体" w:eastAsia="黑体" w:cs="黑体"/>
          <w:sz w:val="18"/>
          <w:szCs w:val="18"/>
        </w:rPr>
        <w:t>建筑及照明设计避免产生光污染。</w:t>
      </w:r>
    </w:p>
    <w:p w14:paraId="3A1C6166">
      <w:pPr>
        <w:spacing w:line="240" w:lineRule="exact"/>
        <w:rPr>
          <w:rFonts w:ascii="宋体" w:hAnsi="宋体" w:cs="宋体"/>
          <w:sz w:val="18"/>
          <w:szCs w:val="18"/>
        </w:rPr>
      </w:pPr>
      <w:r>
        <w:rPr>
          <w:rFonts w:hint="eastAsia" w:ascii="宋体" w:hAnsi="宋体" w:cs="宋体"/>
          <w:sz w:val="18"/>
          <w:szCs w:val="18"/>
        </w:rPr>
        <w:t>技术措施说明：本</w:t>
      </w:r>
      <w:r>
        <w:rPr>
          <w:rFonts w:ascii="宋体" w:hAnsi="宋体" w:cs="宋体"/>
          <w:sz w:val="18"/>
          <w:szCs w:val="18"/>
        </w:rPr>
        <w:t>项目</w:t>
      </w:r>
      <w:r>
        <w:rPr>
          <w:rFonts w:hint="eastAsia" w:ascii="宋体" w:hAnsi="宋体" w:cs="宋体"/>
          <w:sz w:val="18"/>
          <w:szCs w:val="18"/>
        </w:rPr>
        <w:t>在景观</w:t>
      </w:r>
      <w:r>
        <w:rPr>
          <w:rFonts w:ascii="宋体" w:hAnsi="宋体" w:cs="宋体"/>
          <w:sz w:val="18"/>
          <w:szCs w:val="18"/>
        </w:rPr>
        <w:t>照明和立面泛光照明设计阶段，</w:t>
      </w:r>
      <w:r>
        <w:rPr>
          <w:rFonts w:hint="eastAsia" w:ascii="宋体" w:hAnsi="宋体" w:cs="宋体"/>
          <w:sz w:val="18"/>
          <w:szCs w:val="18"/>
        </w:rPr>
        <w:t>室外夜景照明光污染的限制符合现行国家标准《室外照明干扰光限制规范》GB/T 35626 和现行行业标准《城市夜景照明设计规范》JGJ/T 163 的规定，室外夜景照明应满足以下要求：</w:t>
      </w:r>
      <w:r>
        <w:rPr>
          <w:rFonts w:ascii="宋体" w:hAnsi="宋体" w:cs="宋体"/>
          <w:sz w:val="18"/>
          <w:szCs w:val="18"/>
        </w:rPr>
        <w:t xml:space="preserve"> </w:t>
      </w:r>
    </w:p>
    <w:p w14:paraId="37A6CF86">
      <w:pPr>
        <w:spacing w:line="240" w:lineRule="exact"/>
        <w:rPr>
          <w:rFonts w:ascii="宋体" w:hAnsi="宋体" w:cs="宋体"/>
          <w:sz w:val="18"/>
          <w:szCs w:val="18"/>
        </w:rPr>
      </w:pPr>
      <w:r>
        <w:rPr>
          <w:rFonts w:ascii="宋体" w:hAnsi="宋体" w:cs="宋体"/>
          <w:sz w:val="18"/>
          <w:szCs w:val="18"/>
        </w:rPr>
        <w:t xml:space="preserve">    </w:t>
      </w:r>
      <w:r>
        <w:rPr>
          <w:rFonts w:hint="eastAsia" w:ascii="宋体" w:hAnsi="宋体" w:cs="宋体"/>
          <w:sz w:val="18"/>
          <w:szCs w:val="18"/>
        </w:rPr>
        <w:t>1）泛光照明和景观照明的光污染限制应符合《城市夜景周明设计规范》</w:t>
      </w:r>
      <w:r>
        <w:rPr>
          <w:rFonts w:ascii="宋体" w:hAnsi="宋体" w:cs="宋体"/>
          <w:sz w:val="18"/>
          <w:szCs w:val="18"/>
        </w:rPr>
        <w:t>JGJ/T163</w:t>
      </w:r>
      <w:r>
        <w:rPr>
          <w:rFonts w:hint="eastAsia" w:ascii="宋体" w:hAnsi="宋体" w:cs="宋体"/>
          <w:sz w:val="18"/>
          <w:szCs w:val="18"/>
        </w:rPr>
        <w:t>的规定；</w:t>
      </w:r>
    </w:p>
    <w:p w14:paraId="67E62EDF">
      <w:pPr>
        <w:spacing w:line="240" w:lineRule="exact"/>
        <w:ind w:firstLine="360" w:firstLineChars="200"/>
        <w:rPr>
          <w:rFonts w:ascii="宋体" w:hAnsi="宋体" w:cs="宋体"/>
          <w:sz w:val="18"/>
          <w:szCs w:val="18"/>
        </w:rPr>
      </w:pPr>
      <w:r>
        <w:rPr>
          <w:rFonts w:hint="eastAsia" w:ascii="宋体" w:hAnsi="宋体" w:cs="宋体"/>
          <w:sz w:val="18"/>
          <w:szCs w:val="18"/>
        </w:rPr>
        <w:t>2）景观照明的灯具灯光建议不要朝向居住区域，当有灯具不能避免时，则朝向居住区域的灯具发光强度，在每日</w:t>
      </w:r>
      <w:r>
        <w:rPr>
          <w:rFonts w:ascii="宋体" w:hAnsi="宋体" w:cs="宋体"/>
          <w:sz w:val="18"/>
          <w:szCs w:val="18"/>
        </w:rPr>
        <w:t>22</w:t>
      </w:r>
      <w:r>
        <w:rPr>
          <w:rFonts w:hint="eastAsia" w:ascii="宋体" w:hAnsi="宋体" w:cs="宋体"/>
          <w:sz w:val="18"/>
          <w:szCs w:val="18"/>
        </w:rPr>
        <w:t>：</w:t>
      </w:r>
      <w:r>
        <w:rPr>
          <w:rFonts w:ascii="宋体" w:hAnsi="宋体" w:cs="宋体"/>
          <w:sz w:val="18"/>
          <w:szCs w:val="18"/>
        </w:rPr>
        <w:t>30</w:t>
      </w:r>
      <w:r>
        <w:rPr>
          <w:rFonts w:hint="eastAsia" w:ascii="宋体" w:hAnsi="宋体" w:cs="宋体"/>
          <w:sz w:val="18"/>
          <w:szCs w:val="18"/>
        </w:rPr>
        <w:t>至次日</w:t>
      </w:r>
      <w:r>
        <w:rPr>
          <w:rFonts w:ascii="宋体" w:hAnsi="宋体" w:cs="宋体"/>
          <w:sz w:val="18"/>
          <w:szCs w:val="18"/>
        </w:rPr>
        <w:t>7</w:t>
      </w:r>
      <w:r>
        <w:rPr>
          <w:rFonts w:hint="eastAsia" w:ascii="宋体" w:hAnsi="宋体" w:cs="宋体"/>
          <w:sz w:val="18"/>
          <w:szCs w:val="18"/>
        </w:rPr>
        <w:t>：</w:t>
      </w:r>
      <w:r>
        <w:rPr>
          <w:rFonts w:ascii="宋体" w:hAnsi="宋体" w:cs="宋体"/>
          <w:sz w:val="18"/>
          <w:szCs w:val="18"/>
        </w:rPr>
        <w:t>30</w:t>
      </w:r>
      <w:r>
        <w:rPr>
          <w:rFonts w:hint="eastAsia" w:ascii="宋体" w:hAnsi="宋体" w:cs="宋体"/>
          <w:sz w:val="18"/>
          <w:szCs w:val="18"/>
        </w:rPr>
        <w:t>不能大于</w:t>
      </w:r>
      <w:r>
        <w:rPr>
          <w:rFonts w:ascii="宋体" w:hAnsi="宋体" w:cs="宋体"/>
          <w:sz w:val="18"/>
          <w:szCs w:val="18"/>
        </w:rPr>
        <w:t>2500cd</w:t>
      </w:r>
      <w:r>
        <w:rPr>
          <w:rFonts w:hint="eastAsia" w:ascii="宋体" w:hAnsi="宋体" w:cs="宋体"/>
          <w:sz w:val="18"/>
          <w:szCs w:val="18"/>
        </w:rPr>
        <w:t>，在每日</w:t>
      </w:r>
      <w:r>
        <w:rPr>
          <w:rFonts w:ascii="宋体" w:hAnsi="宋体" w:cs="宋体"/>
          <w:sz w:val="18"/>
          <w:szCs w:val="18"/>
        </w:rPr>
        <w:t>7</w:t>
      </w:r>
      <w:r>
        <w:rPr>
          <w:rFonts w:hint="eastAsia" w:ascii="宋体" w:hAnsi="宋体" w:cs="宋体"/>
          <w:sz w:val="18"/>
          <w:szCs w:val="18"/>
        </w:rPr>
        <w:t>：</w:t>
      </w:r>
      <w:r>
        <w:rPr>
          <w:rFonts w:ascii="宋体" w:hAnsi="宋体" w:cs="宋体"/>
          <w:sz w:val="18"/>
          <w:szCs w:val="18"/>
        </w:rPr>
        <w:t>30</w:t>
      </w:r>
      <w:r>
        <w:rPr>
          <w:rFonts w:hint="eastAsia" w:ascii="宋体" w:hAnsi="宋体" w:cs="宋体"/>
          <w:sz w:val="18"/>
          <w:szCs w:val="18"/>
        </w:rPr>
        <w:t>至</w:t>
      </w:r>
      <w:r>
        <w:rPr>
          <w:rFonts w:ascii="宋体" w:hAnsi="宋体" w:cs="宋体"/>
          <w:sz w:val="18"/>
          <w:szCs w:val="18"/>
        </w:rPr>
        <w:t>22</w:t>
      </w:r>
      <w:r>
        <w:rPr>
          <w:rFonts w:hint="eastAsia" w:ascii="宋体" w:hAnsi="宋体" w:cs="宋体"/>
          <w:sz w:val="18"/>
          <w:szCs w:val="18"/>
        </w:rPr>
        <w:t>：</w:t>
      </w:r>
      <w:r>
        <w:rPr>
          <w:rFonts w:ascii="宋体" w:hAnsi="宋体" w:cs="宋体"/>
          <w:sz w:val="18"/>
          <w:szCs w:val="18"/>
        </w:rPr>
        <w:t>30</w:t>
      </w:r>
      <w:r>
        <w:rPr>
          <w:rFonts w:hint="eastAsia" w:ascii="宋体" w:hAnsi="宋体" w:cs="宋体"/>
          <w:sz w:val="18"/>
          <w:szCs w:val="18"/>
        </w:rPr>
        <w:t>不能大于</w:t>
      </w:r>
      <w:r>
        <w:rPr>
          <w:rFonts w:ascii="宋体" w:hAnsi="宋体" w:cs="宋体"/>
          <w:sz w:val="18"/>
          <w:szCs w:val="18"/>
        </w:rPr>
        <w:t>25000cd</w:t>
      </w:r>
      <w:r>
        <w:rPr>
          <w:rFonts w:hint="eastAsia" w:ascii="宋体" w:hAnsi="宋体" w:cs="宋体"/>
          <w:sz w:val="18"/>
          <w:szCs w:val="18"/>
        </w:rPr>
        <w:t>；</w:t>
      </w:r>
      <w:r>
        <w:rPr>
          <w:rFonts w:ascii="宋体" w:hAnsi="宋体" w:cs="宋体"/>
          <w:sz w:val="18"/>
          <w:szCs w:val="18"/>
        </w:rPr>
        <w:t xml:space="preserve"> </w:t>
      </w:r>
    </w:p>
    <w:p w14:paraId="6CE72B06">
      <w:pPr>
        <w:spacing w:line="240" w:lineRule="exact"/>
        <w:ind w:firstLine="360" w:firstLineChars="200"/>
        <w:rPr>
          <w:rFonts w:ascii="宋体" w:hAnsi="宋体" w:cs="宋体"/>
          <w:sz w:val="18"/>
          <w:szCs w:val="18"/>
        </w:rPr>
      </w:pPr>
      <w:r>
        <w:rPr>
          <w:rFonts w:hint="eastAsia" w:ascii="宋体" w:hAnsi="宋体" w:cs="宋体"/>
          <w:sz w:val="18"/>
          <w:szCs w:val="18"/>
        </w:rPr>
        <w:t>3）夜景照明灯光最大光强方向禁止朝向来往车辆方向。如照明灯具设置道路旁边，应在道路侧设置截光灯具，降低灯光对驾驶员、行人产生眩光影响；</w:t>
      </w:r>
    </w:p>
    <w:p w14:paraId="64AF105B">
      <w:pPr>
        <w:spacing w:line="240" w:lineRule="exact"/>
        <w:ind w:firstLine="360" w:firstLineChars="200"/>
        <w:rPr>
          <w:rFonts w:ascii="宋体" w:hAnsi="宋体" w:cs="宋体"/>
          <w:sz w:val="18"/>
          <w:szCs w:val="18"/>
        </w:rPr>
      </w:pPr>
      <w:r>
        <w:rPr>
          <w:rFonts w:hint="eastAsia" w:ascii="宋体" w:hAnsi="宋体" w:cs="宋体"/>
          <w:sz w:val="18"/>
          <w:szCs w:val="18"/>
        </w:rPr>
        <w:t>4）建议不用上射的照明灯具，如不能避免时，灯具的上射光通比应小于等于</w:t>
      </w:r>
      <w:r>
        <w:rPr>
          <w:rFonts w:ascii="宋体" w:hAnsi="宋体" w:cs="宋体"/>
          <w:sz w:val="18"/>
          <w:szCs w:val="18"/>
        </w:rPr>
        <w:t>25</w:t>
      </w:r>
      <w:r>
        <w:rPr>
          <w:rFonts w:hint="eastAsia" w:ascii="宋体" w:hAnsi="宋体" w:cs="宋体"/>
          <w:sz w:val="18"/>
          <w:szCs w:val="18"/>
        </w:rPr>
        <w:t>﹪，上射灯具应设置截光装置来满足该要求。</w:t>
      </w:r>
    </w:p>
    <w:p w14:paraId="6C6DBC38">
      <w:pPr>
        <w:spacing w:line="240" w:lineRule="exact"/>
        <w:rPr>
          <w:rFonts w:ascii="宋体" w:hAnsi="宋体" w:cs="宋体"/>
          <w:sz w:val="18"/>
          <w:szCs w:val="18"/>
        </w:rPr>
      </w:pPr>
      <w:r>
        <w:rPr>
          <w:rFonts w:hint="eastAsia" w:ascii="宋体" w:hAnsi="宋体" w:cs="宋体"/>
          <w:sz w:val="18"/>
          <w:szCs w:val="18"/>
        </w:rPr>
        <w:t>证明材料：</w:t>
      </w:r>
      <w:r>
        <w:rPr>
          <w:rFonts w:ascii="宋体" w:hAnsi="宋体" w:cs="宋体"/>
          <w:sz w:val="18"/>
          <w:szCs w:val="18"/>
        </w:rPr>
        <w:t xml:space="preserve"> </w:t>
      </w:r>
      <w:r>
        <w:rPr>
          <w:rFonts w:hint="eastAsia" w:ascii="宋体" w:hAnsi="宋体" w:cs="宋体"/>
          <w:sz w:val="18"/>
          <w:szCs w:val="18"/>
        </w:rPr>
        <w:t>√设计图纸（电气</w:t>
      </w:r>
      <w:r>
        <w:rPr>
          <w:rFonts w:ascii="宋体" w:hAnsi="宋体" w:cs="宋体"/>
          <w:sz w:val="18"/>
          <w:szCs w:val="18"/>
        </w:rPr>
        <w:t>，D-SM-01~06_电气施工图设计说明</w:t>
      </w:r>
      <w:r>
        <w:rPr>
          <w:rFonts w:hint="eastAsia" w:ascii="宋体" w:hAnsi="宋体" w:cs="宋体"/>
          <w:sz w:val="18"/>
          <w:szCs w:val="18"/>
        </w:rPr>
        <w:t>）√二次设计达标承诺函</w:t>
      </w:r>
    </w:p>
    <w:p w14:paraId="21A4A8CF">
      <w:pPr>
        <w:spacing w:line="240" w:lineRule="exact"/>
        <w:rPr>
          <w:rFonts w:ascii="宋体" w:hAnsi="宋体" w:cs="宋体"/>
          <w:sz w:val="18"/>
          <w:szCs w:val="18"/>
        </w:rPr>
      </w:pPr>
    </w:p>
    <w:p w14:paraId="2C12598E">
      <w:pPr>
        <w:spacing w:line="240" w:lineRule="exact"/>
        <w:rPr>
          <w:b/>
          <w:bCs/>
          <w:sz w:val="18"/>
          <w:szCs w:val="18"/>
        </w:rPr>
      </w:pPr>
      <w:r>
        <w:rPr>
          <w:rFonts w:hint="eastAsia"/>
          <w:b/>
          <w:bCs/>
          <w:sz w:val="18"/>
          <w:szCs w:val="18"/>
        </w:rPr>
        <w:t>景观专业</w:t>
      </w:r>
    </w:p>
    <w:p w14:paraId="12B4F707">
      <w:pPr>
        <w:spacing w:line="240" w:lineRule="exact"/>
        <w:rPr>
          <w:rFonts w:eastAsia="黑体"/>
          <w:sz w:val="18"/>
          <w:szCs w:val="18"/>
        </w:rPr>
      </w:pPr>
      <w:r>
        <w:rPr>
          <w:rFonts w:ascii="黑体" w:hAnsi="宋体" w:eastAsia="黑体" w:cs="黑体"/>
          <w:sz w:val="18"/>
          <w:szCs w:val="18"/>
        </w:rPr>
        <w:t>8.2.4</w:t>
      </w:r>
      <w:r>
        <w:rPr>
          <w:rFonts w:hint="eastAsia" w:ascii="黑体" w:hAnsi="宋体" w:eastAsia="黑体" w:cs="黑体"/>
          <w:sz w:val="18"/>
          <w:szCs w:val="18"/>
        </w:rPr>
        <w:t>室外吸烟区位置布局合理。</w:t>
      </w:r>
    </w:p>
    <w:p w14:paraId="28F1B84A">
      <w:pPr>
        <w:spacing w:line="240" w:lineRule="exact"/>
        <w:rPr>
          <w:rFonts w:ascii="宋体"/>
          <w:sz w:val="18"/>
          <w:szCs w:val="18"/>
        </w:rPr>
      </w:pPr>
      <w:r>
        <w:rPr>
          <w:rFonts w:hint="eastAsia" w:ascii="宋体" w:hAnsi="宋体" w:cs="宋体"/>
          <w:sz w:val="18"/>
          <w:szCs w:val="18"/>
        </w:rPr>
        <w:t>技术措施说明：项目为医院建筑，室外吸烟区布置在建筑主出入口的主导风的下风向，与所有建筑出入口、新风进气口和可开启窗扇的距离不少于8m，且距离儿童和老人活动场地不少于8m。室外吸烟区与绿植结合布置，并合理配置坐椅和带烟头收集的垃圾筒，从建筑主出入口至室外吸烟区的导向标识完整、定位标识醒目，吸烟区设置吸烟有害健康的警示标识.</w:t>
      </w:r>
    </w:p>
    <w:p w14:paraId="723B3D0E">
      <w:pPr>
        <w:spacing w:line="240" w:lineRule="exact"/>
        <w:rPr>
          <w:b/>
          <w:bCs/>
          <w:sz w:val="18"/>
          <w:szCs w:val="18"/>
        </w:rPr>
      </w:pPr>
      <w:r>
        <w:rPr>
          <w:rFonts w:hint="eastAsia" w:ascii="宋体" w:hAnsi="宋体" w:cs="宋体"/>
          <w:sz w:val="18"/>
          <w:szCs w:val="18"/>
        </w:rPr>
        <w:t>证明材料：√设计图纸（建筑、Z</w:t>
      </w:r>
      <w:r>
        <w:rPr>
          <w:rFonts w:ascii="宋体" w:hAnsi="宋体" w:cs="宋体"/>
          <w:sz w:val="18"/>
          <w:szCs w:val="18"/>
        </w:rPr>
        <w:t>P</w:t>
      </w:r>
      <w:r>
        <w:rPr>
          <w:rFonts w:hint="eastAsia" w:ascii="宋体" w:hAnsi="宋体" w:cs="宋体"/>
          <w:sz w:val="18"/>
          <w:szCs w:val="18"/>
        </w:rPr>
        <w:t>-01_总平面图）；</w:t>
      </w:r>
      <w:r>
        <w:rPr>
          <w:rFonts w:ascii="宋体" w:hAnsi="宋体" w:cs="宋体"/>
          <w:sz w:val="18"/>
          <w:szCs w:val="18"/>
        </w:rPr>
        <w:t xml:space="preserve"> </w:t>
      </w:r>
      <w:r>
        <w:rPr>
          <w:rFonts w:hint="eastAsia" w:ascii="宋体" w:hAnsi="宋体" w:cs="宋体"/>
          <w:sz w:val="18"/>
          <w:szCs w:val="18"/>
        </w:rPr>
        <w:t>√二次设计达标承诺函</w:t>
      </w:r>
    </w:p>
    <w:p w14:paraId="63D9F588">
      <w:pPr>
        <w:spacing w:line="240" w:lineRule="exact"/>
        <w:rPr>
          <w:rFonts w:cs="宋体"/>
          <w:b/>
          <w:bCs/>
          <w:color w:val="FF0000"/>
          <w:sz w:val="18"/>
          <w:szCs w:val="18"/>
        </w:rPr>
      </w:pPr>
    </w:p>
    <w:p w14:paraId="40254F7D">
      <w:pPr>
        <w:spacing w:line="240" w:lineRule="exact"/>
        <w:rPr>
          <w:rFonts w:cs="宋体"/>
          <w:b/>
          <w:bCs/>
          <w:color w:val="FF0000"/>
          <w:sz w:val="18"/>
          <w:szCs w:val="18"/>
        </w:rPr>
      </w:pPr>
    </w:p>
    <w:p w14:paraId="71BE04C8">
      <w:pPr>
        <w:spacing w:line="300" w:lineRule="exact"/>
        <w:outlineLvl w:val="1"/>
        <w:rPr>
          <w:rFonts w:hAnsi="黑体" w:eastAsia="黑体"/>
          <w:b/>
          <w:bCs/>
          <w:kern w:val="0"/>
          <w:sz w:val="24"/>
        </w:rPr>
      </w:pPr>
      <w:r>
        <w:rPr>
          <w:rFonts w:ascii="黑体" w:hAnsi="黑体" w:eastAsia="黑体" w:cs="黑体"/>
          <w:b/>
          <w:bCs/>
          <w:kern w:val="0"/>
          <w:sz w:val="24"/>
        </w:rPr>
        <w:t>6</w:t>
      </w:r>
      <w:r>
        <w:rPr>
          <w:rFonts w:hint="eastAsia" w:ascii="黑体" w:hAnsi="黑体" w:eastAsia="黑体" w:cs="黑体"/>
          <w:b/>
          <w:bCs/>
          <w:kern w:val="0"/>
          <w:sz w:val="24"/>
        </w:rPr>
        <w:t>、提高</w:t>
      </w:r>
      <w:r>
        <w:rPr>
          <w:rFonts w:hint="eastAsia" w:hAnsi="黑体" w:eastAsia="黑体" w:cs="黑体"/>
          <w:b/>
          <w:bCs/>
          <w:kern w:val="0"/>
          <w:sz w:val="24"/>
        </w:rPr>
        <w:t>与创新（</w:t>
      </w:r>
      <w:r>
        <w:rPr>
          <w:rFonts w:hint="eastAsia" w:hAnsi="黑体" w:eastAsia="黑体" w:cs="黑体"/>
          <w:b/>
          <w:bCs/>
          <w:kern w:val="0"/>
          <w:szCs w:val="21"/>
        </w:rPr>
        <w:t>得分</w:t>
      </w:r>
      <w:r>
        <w:rPr>
          <w:rFonts w:hint="eastAsia" w:hAnsi="黑体" w:eastAsia="黑体" w:cs="黑体"/>
          <w:b/>
          <w:bCs/>
          <w:kern w:val="0"/>
          <w:szCs w:val="21"/>
          <w:u w:val="single"/>
        </w:rPr>
        <w:t>　17　</w:t>
      </w:r>
      <w:r>
        <w:rPr>
          <w:rFonts w:hint="eastAsia" w:hAnsi="黑体" w:eastAsia="黑体" w:cs="黑体"/>
          <w:b/>
          <w:bCs/>
          <w:kern w:val="0"/>
          <w:szCs w:val="21"/>
        </w:rPr>
        <w:t>分</w:t>
      </w:r>
      <w:r>
        <w:rPr>
          <w:rFonts w:hint="eastAsia" w:hAnsi="黑体" w:eastAsia="黑体" w:cs="黑体"/>
          <w:b/>
          <w:bCs/>
          <w:kern w:val="0"/>
          <w:sz w:val="24"/>
        </w:rPr>
        <w:t>）</w:t>
      </w:r>
    </w:p>
    <w:p w14:paraId="4D06897E">
      <w:pPr>
        <w:spacing w:line="240" w:lineRule="exact"/>
        <w:rPr>
          <w:rFonts w:hAnsi="黑体" w:eastAsia="黑体"/>
          <w:b/>
          <w:bCs/>
          <w:kern w:val="0"/>
          <w:sz w:val="18"/>
          <w:szCs w:val="18"/>
        </w:rPr>
      </w:pPr>
    </w:p>
    <w:p w14:paraId="2CAB2EC4">
      <w:pPr>
        <w:spacing w:line="240" w:lineRule="exact"/>
        <w:jc w:val="center"/>
        <w:outlineLvl w:val="2"/>
        <w:rPr>
          <w:rFonts w:cs="宋体"/>
          <w:b/>
          <w:bCs/>
          <w:sz w:val="18"/>
          <w:szCs w:val="18"/>
        </w:rPr>
      </w:pPr>
      <w:r>
        <w:rPr>
          <w:rFonts w:hint="eastAsia" w:cs="宋体"/>
          <w:b/>
          <w:bCs/>
          <w:sz w:val="18"/>
          <w:szCs w:val="18"/>
        </w:rPr>
        <w:t>自选说明内容（得分项）</w:t>
      </w:r>
    </w:p>
    <w:p w14:paraId="0F05A697">
      <w:pPr>
        <w:spacing w:line="240" w:lineRule="exact"/>
        <w:rPr>
          <w:rFonts w:hAnsi="黑体" w:eastAsia="黑体"/>
          <w:b/>
          <w:bCs/>
          <w:kern w:val="0"/>
          <w:sz w:val="18"/>
          <w:szCs w:val="18"/>
        </w:rPr>
      </w:pPr>
    </w:p>
    <w:tbl>
      <w:tblPr>
        <w:tblStyle w:val="12"/>
        <w:tblW w:w="864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4"/>
        <w:gridCol w:w="864"/>
        <w:gridCol w:w="864"/>
        <w:gridCol w:w="864"/>
        <w:gridCol w:w="864"/>
        <w:gridCol w:w="864"/>
        <w:gridCol w:w="864"/>
        <w:gridCol w:w="865"/>
        <w:gridCol w:w="865"/>
        <w:gridCol w:w="865"/>
      </w:tblGrid>
      <w:tr w14:paraId="35B8A9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864" w:type="dxa"/>
            <w:vAlign w:val="center"/>
          </w:tcPr>
          <w:p w14:paraId="3EAB1C41">
            <w:pPr>
              <w:spacing w:line="240" w:lineRule="exact"/>
              <w:jc w:val="center"/>
              <w:rPr>
                <w:rFonts w:cs="Calibri"/>
                <w:sz w:val="18"/>
                <w:szCs w:val="18"/>
              </w:rPr>
            </w:pPr>
            <w:r>
              <w:rPr>
                <w:rFonts w:hint="eastAsia" w:cs="Calibri"/>
                <w:sz w:val="18"/>
                <w:szCs w:val="18"/>
              </w:rPr>
              <w:t>条文</w:t>
            </w:r>
          </w:p>
        </w:tc>
        <w:tc>
          <w:tcPr>
            <w:tcW w:w="864" w:type="dxa"/>
            <w:vAlign w:val="center"/>
          </w:tcPr>
          <w:p w14:paraId="3BC7B6D8">
            <w:pPr>
              <w:spacing w:line="240" w:lineRule="exact"/>
              <w:jc w:val="center"/>
              <w:rPr>
                <w:rFonts w:cs="Calibri"/>
                <w:sz w:val="18"/>
                <w:szCs w:val="18"/>
              </w:rPr>
            </w:pPr>
            <w:r>
              <w:rPr>
                <w:rFonts w:cs="Calibri"/>
                <w:sz w:val="18"/>
                <w:szCs w:val="18"/>
              </w:rPr>
              <w:t>9.2.1</w:t>
            </w:r>
          </w:p>
        </w:tc>
        <w:tc>
          <w:tcPr>
            <w:tcW w:w="864" w:type="dxa"/>
            <w:vAlign w:val="center"/>
          </w:tcPr>
          <w:p w14:paraId="7A0A2272">
            <w:pPr>
              <w:spacing w:line="240" w:lineRule="exact"/>
              <w:jc w:val="center"/>
              <w:rPr>
                <w:rFonts w:cs="Calibri"/>
                <w:sz w:val="18"/>
                <w:szCs w:val="18"/>
              </w:rPr>
            </w:pPr>
            <w:r>
              <w:rPr>
                <w:rFonts w:cs="Calibri"/>
                <w:sz w:val="18"/>
                <w:szCs w:val="18"/>
              </w:rPr>
              <w:t>9.2.2</w:t>
            </w:r>
          </w:p>
        </w:tc>
        <w:tc>
          <w:tcPr>
            <w:tcW w:w="864" w:type="dxa"/>
            <w:vAlign w:val="center"/>
          </w:tcPr>
          <w:p w14:paraId="68EE5A58">
            <w:pPr>
              <w:spacing w:line="240" w:lineRule="exact"/>
              <w:jc w:val="center"/>
              <w:rPr>
                <w:rFonts w:cs="Calibri"/>
                <w:sz w:val="18"/>
                <w:szCs w:val="18"/>
              </w:rPr>
            </w:pPr>
            <w:r>
              <w:rPr>
                <w:rFonts w:cs="Calibri"/>
                <w:sz w:val="18"/>
                <w:szCs w:val="18"/>
              </w:rPr>
              <w:t>9.2.3</w:t>
            </w:r>
          </w:p>
        </w:tc>
        <w:tc>
          <w:tcPr>
            <w:tcW w:w="864" w:type="dxa"/>
            <w:vAlign w:val="center"/>
          </w:tcPr>
          <w:p w14:paraId="20DE54F1">
            <w:pPr>
              <w:spacing w:line="240" w:lineRule="exact"/>
              <w:jc w:val="center"/>
              <w:rPr>
                <w:rFonts w:cs="Calibri"/>
                <w:sz w:val="18"/>
                <w:szCs w:val="18"/>
              </w:rPr>
            </w:pPr>
            <w:r>
              <w:rPr>
                <w:rFonts w:cs="Calibri"/>
                <w:sz w:val="18"/>
                <w:szCs w:val="18"/>
              </w:rPr>
              <w:t>9.2.4</w:t>
            </w:r>
          </w:p>
        </w:tc>
        <w:tc>
          <w:tcPr>
            <w:tcW w:w="864" w:type="dxa"/>
            <w:vAlign w:val="center"/>
          </w:tcPr>
          <w:p w14:paraId="343F4994">
            <w:pPr>
              <w:spacing w:line="240" w:lineRule="exact"/>
              <w:jc w:val="center"/>
              <w:rPr>
                <w:rFonts w:cs="Calibri"/>
                <w:sz w:val="18"/>
                <w:szCs w:val="18"/>
              </w:rPr>
            </w:pPr>
            <w:r>
              <w:rPr>
                <w:rFonts w:cs="Calibri"/>
                <w:sz w:val="18"/>
                <w:szCs w:val="18"/>
              </w:rPr>
              <w:t>9.2.5</w:t>
            </w:r>
          </w:p>
        </w:tc>
        <w:tc>
          <w:tcPr>
            <w:tcW w:w="864" w:type="dxa"/>
            <w:vAlign w:val="center"/>
          </w:tcPr>
          <w:p w14:paraId="2D14CAF9">
            <w:pPr>
              <w:spacing w:line="240" w:lineRule="exact"/>
              <w:jc w:val="center"/>
              <w:rPr>
                <w:rFonts w:cs="Calibri"/>
                <w:sz w:val="18"/>
                <w:szCs w:val="18"/>
              </w:rPr>
            </w:pPr>
            <w:r>
              <w:rPr>
                <w:rFonts w:cs="Calibri"/>
                <w:sz w:val="18"/>
                <w:szCs w:val="18"/>
              </w:rPr>
              <w:t>9.2.6</w:t>
            </w:r>
          </w:p>
        </w:tc>
        <w:tc>
          <w:tcPr>
            <w:tcW w:w="865" w:type="dxa"/>
            <w:vAlign w:val="center"/>
          </w:tcPr>
          <w:p w14:paraId="653DCBAF">
            <w:pPr>
              <w:spacing w:line="240" w:lineRule="exact"/>
              <w:jc w:val="center"/>
              <w:rPr>
                <w:rFonts w:cs="Calibri"/>
                <w:sz w:val="18"/>
                <w:szCs w:val="18"/>
              </w:rPr>
            </w:pPr>
            <w:r>
              <w:rPr>
                <w:rFonts w:cs="Calibri"/>
                <w:sz w:val="18"/>
                <w:szCs w:val="18"/>
              </w:rPr>
              <w:t>9.2.7</w:t>
            </w:r>
          </w:p>
        </w:tc>
        <w:tc>
          <w:tcPr>
            <w:tcW w:w="865" w:type="dxa"/>
            <w:vAlign w:val="center"/>
          </w:tcPr>
          <w:p w14:paraId="4AED3CAD">
            <w:pPr>
              <w:spacing w:line="240" w:lineRule="exact"/>
              <w:jc w:val="center"/>
              <w:rPr>
                <w:rFonts w:cs="Calibri"/>
                <w:sz w:val="18"/>
                <w:szCs w:val="18"/>
              </w:rPr>
            </w:pPr>
            <w:r>
              <w:rPr>
                <w:rFonts w:cs="Calibri"/>
                <w:sz w:val="18"/>
                <w:szCs w:val="18"/>
              </w:rPr>
              <w:t>9.2.9</w:t>
            </w:r>
          </w:p>
        </w:tc>
        <w:tc>
          <w:tcPr>
            <w:tcW w:w="865" w:type="dxa"/>
            <w:vAlign w:val="center"/>
          </w:tcPr>
          <w:p w14:paraId="0C7250DB">
            <w:pPr>
              <w:spacing w:line="240" w:lineRule="exact"/>
              <w:jc w:val="center"/>
              <w:rPr>
                <w:rFonts w:cs="Calibri"/>
                <w:sz w:val="18"/>
                <w:szCs w:val="18"/>
              </w:rPr>
            </w:pPr>
            <w:r>
              <w:rPr>
                <w:rFonts w:cs="Calibri"/>
                <w:sz w:val="18"/>
                <w:szCs w:val="18"/>
              </w:rPr>
              <w:t>9.2.10</w:t>
            </w:r>
          </w:p>
        </w:tc>
      </w:tr>
      <w:tr w14:paraId="1932EA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864" w:type="dxa"/>
            <w:vAlign w:val="center"/>
          </w:tcPr>
          <w:p w14:paraId="2EEB748B">
            <w:pPr>
              <w:spacing w:line="240" w:lineRule="exact"/>
              <w:jc w:val="center"/>
              <w:rPr>
                <w:rFonts w:cs="Calibri"/>
                <w:sz w:val="18"/>
                <w:szCs w:val="18"/>
              </w:rPr>
            </w:pPr>
            <w:r>
              <w:rPr>
                <w:rFonts w:hint="eastAsia" w:cs="Calibri"/>
                <w:sz w:val="18"/>
                <w:szCs w:val="18"/>
              </w:rPr>
              <w:t>总分</w:t>
            </w:r>
          </w:p>
        </w:tc>
        <w:tc>
          <w:tcPr>
            <w:tcW w:w="864" w:type="dxa"/>
            <w:vAlign w:val="center"/>
          </w:tcPr>
          <w:p w14:paraId="38396C1E">
            <w:pPr>
              <w:spacing w:line="240" w:lineRule="exact"/>
              <w:jc w:val="center"/>
              <w:rPr>
                <w:rFonts w:cs="Calibri"/>
                <w:sz w:val="18"/>
                <w:szCs w:val="18"/>
              </w:rPr>
            </w:pPr>
            <w:r>
              <w:rPr>
                <w:rFonts w:cs="Calibri"/>
                <w:sz w:val="18"/>
                <w:szCs w:val="18"/>
              </w:rPr>
              <w:t>30</w:t>
            </w:r>
          </w:p>
        </w:tc>
        <w:tc>
          <w:tcPr>
            <w:tcW w:w="864" w:type="dxa"/>
            <w:vAlign w:val="center"/>
          </w:tcPr>
          <w:p w14:paraId="11194537">
            <w:pPr>
              <w:spacing w:line="240" w:lineRule="exact"/>
              <w:jc w:val="center"/>
              <w:rPr>
                <w:rFonts w:cs="Calibri"/>
                <w:sz w:val="18"/>
                <w:szCs w:val="18"/>
              </w:rPr>
            </w:pPr>
            <w:r>
              <w:rPr>
                <w:rFonts w:cs="Calibri"/>
                <w:sz w:val="18"/>
                <w:szCs w:val="18"/>
              </w:rPr>
              <w:t>20</w:t>
            </w:r>
          </w:p>
        </w:tc>
        <w:tc>
          <w:tcPr>
            <w:tcW w:w="864" w:type="dxa"/>
            <w:vAlign w:val="center"/>
          </w:tcPr>
          <w:p w14:paraId="68DA7F2D">
            <w:pPr>
              <w:spacing w:line="240" w:lineRule="exact"/>
              <w:jc w:val="center"/>
              <w:rPr>
                <w:rFonts w:cs="Calibri"/>
                <w:sz w:val="18"/>
                <w:szCs w:val="18"/>
              </w:rPr>
            </w:pPr>
            <w:r>
              <w:rPr>
                <w:rFonts w:cs="Calibri"/>
                <w:sz w:val="18"/>
                <w:szCs w:val="18"/>
              </w:rPr>
              <w:t>8</w:t>
            </w:r>
          </w:p>
        </w:tc>
        <w:tc>
          <w:tcPr>
            <w:tcW w:w="864" w:type="dxa"/>
            <w:vAlign w:val="center"/>
          </w:tcPr>
          <w:p w14:paraId="5A1F7999">
            <w:pPr>
              <w:spacing w:line="240" w:lineRule="exact"/>
              <w:jc w:val="center"/>
              <w:rPr>
                <w:rFonts w:cs="Calibri"/>
                <w:sz w:val="18"/>
                <w:szCs w:val="18"/>
              </w:rPr>
            </w:pPr>
            <w:r>
              <w:rPr>
                <w:rFonts w:cs="Calibri"/>
                <w:sz w:val="18"/>
                <w:szCs w:val="18"/>
              </w:rPr>
              <w:t>5</w:t>
            </w:r>
          </w:p>
        </w:tc>
        <w:tc>
          <w:tcPr>
            <w:tcW w:w="864" w:type="dxa"/>
            <w:vAlign w:val="center"/>
          </w:tcPr>
          <w:p w14:paraId="204730FE">
            <w:pPr>
              <w:spacing w:line="240" w:lineRule="exact"/>
              <w:jc w:val="center"/>
              <w:rPr>
                <w:rFonts w:cs="Calibri"/>
                <w:sz w:val="18"/>
                <w:szCs w:val="18"/>
              </w:rPr>
            </w:pPr>
            <w:r>
              <w:rPr>
                <w:rFonts w:cs="Calibri"/>
                <w:sz w:val="18"/>
                <w:szCs w:val="18"/>
              </w:rPr>
              <w:t>10</w:t>
            </w:r>
          </w:p>
        </w:tc>
        <w:tc>
          <w:tcPr>
            <w:tcW w:w="864" w:type="dxa"/>
            <w:vAlign w:val="center"/>
          </w:tcPr>
          <w:p w14:paraId="442A0A5E">
            <w:pPr>
              <w:spacing w:line="240" w:lineRule="exact"/>
              <w:jc w:val="center"/>
              <w:rPr>
                <w:rFonts w:cs="Calibri"/>
                <w:sz w:val="18"/>
                <w:szCs w:val="18"/>
              </w:rPr>
            </w:pPr>
            <w:r>
              <w:rPr>
                <w:rFonts w:cs="Calibri"/>
                <w:sz w:val="18"/>
                <w:szCs w:val="18"/>
              </w:rPr>
              <w:t>15</w:t>
            </w:r>
          </w:p>
        </w:tc>
        <w:tc>
          <w:tcPr>
            <w:tcW w:w="865" w:type="dxa"/>
            <w:vAlign w:val="center"/>
          </w:tcPr>
          <w:p w14:paraId="19BCB3C5">
            <w:pPr>
              <w:spacing w:line="240" w:lineRule="exact"/>
              <w:jc w:val="center"/>
              <w:rPr>
                <w:rFonts w:cs="Calibri"/>
                <w:sz w:val="18"/>
                <w:szCs w:val="18"/>
              </w:rPr>
            </w:pPr>
            <w:r>
              <w:rPr>
                <w:rFonts w:cs="Calibri"/>
                <w:sz w:val="18"/>
                <w:szCs w:val="18"/>
              </w:rPr>
              <w:t>12</w:t>
            </w:r>
          </w:p>
        </w:tc>
        <w:tc>
          <w:tcPr>
            <w:tcW w:w="865" w:type="dxa"/>
            <w:vAlign w:val="center"/>
          </w:tcPr>
          <w:p w14:paraId="48912702">
            <w:pPr>
              <w:spacing w:line="240" w:lineRule="exact"/>
              <w:jc w:val="center"/>
              <w:rPr>
                <w:rFonts w:cs="Calibri"/>
                <w:sz w:val="18"/>
                <w:szCs w:val="18"/>
              </w:rPr>
            </w:pPr>
            <w:r>
              <w:rPr>
                <w:rFonts w:cs="Calibri"/>
                <w:sz w:val="18"/>
                <w:szCs w:val="18"/>
              </w:rPr>
              <w:t>20</w:t>
            </w:r>
          </w:p>
        </w:tc>
        <w:tc>
          <w:tcPr>
            <w:tcW w:w="865" w:type="dxa"/>
            <w:vAlign w:val="center"/>
          </w:tcPr>
          <w:p w14:paraId="61771E68">
            <w:pPr>
              <w:spacing w:line="240" w:lineRule="exact"/>
              <w:jc w:val="center"/>
              <w:rPr>
                <w:rFonts w:cs="Calibri"/>
                <w:sz w:val="18"/>
                <w:szCs w:val="18"/>
              </w:rPr>
            </w:pPr>
            <w:r>
              <w:rPr>
                <w:rFonts w:cs="Calibri"/>
                <w:sz w:val="18"/>
                <w:szCs w:val="18"/>
              </w:rPr>
              <w:t>40</w:t>
            </w:r>
          </w:p>
        </w:tc>
      </w:tr>
      <w:tr w14:paraId="001AC8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864" w:type="dxa"/>
            <w:vAlign w:val="center"/>
          </w:tcPr>
          <w:p w14:paraId="31114DDC">
            <w:pPr>
              <w:spacing w:line="240" w:lineRule="exact"/>
              <w:jc w:val="center"/>
              <w:rPr>
                <w:rFonts w:cs="Calibri"/>
                <w:sz w:val="18"/>
                <w:szCs w:val="18"/>
              </w:rPr>
            </w:pPr>
            <w:r>
              <w:rPr>
                <w:rFonts w:hint="eastAsia" w:cs="Calibri"/>
                <w:sz w:val="18"/>
                <w:szCs w:val="18"/>
              </w:rPr>
              <w:t>得分</w:t>
            </w:r>
          </w:p>
        </w:tc>
        <w:tc>
          <w:tcPr>
            <w:tcW w:w="864" w:type="dxa"/>
            <w:vAlign w:val="center"/>
          </w:tcPr>
          <w:p w14:paraId="02634150">
            <w:pPr>
              <w:spacing w:line="240" w:lineRule="exact"/>
              <w:jc w:val="center"/>
              <w:rPr>
                <w:rFonts w:cs="Calibri"/>
                <w:sz w:val="18"/>
                <w:szCs w:val="18"/>
              </w:rPr>
            </w:pPr>
            <w:r>
              <w:rPr>
                <w:rFonts w:hint="eastAsia" w:cs="Calibri"/>
                <w:sz w:val="18"/>
                <w:szCs w:val="18"/>
              </w:rPr>
              <w:t>0</w:t>
            </w:r>
          </w:p>
        </w:tc>
        <w:tc>
          <w:tcPr>
            <w:tcW w:w="864" w:type="dxa"/>
            <w:vAlign w:val="center"/>
          </w:tcPr>
          <w:p w14:paraId="175F4C3D">
            <w:pPr>
              <w:spacing w:line="240" w:lineRule="exact"/>
              <w:jc w:val="center"/>
              <w:rPr>
                <w:rFonts w:cs="Calibri"/>
                <w:sz w:val="18"/>
                <w:szCs w:val="18"/>
              </w:rPr>
            </w:pPr>
            <w:r>
              <w:rPr>
                <w:rFonts w:hint="eastAsia" w:cs="Calibri"/>
                <w:sz w:val="18"/>
                <w:szCs w:val="18"/>
              </w:rPr>
              <w:t>0</w:t>
            </w:r>
          </w:p>
        </w:tc>
        <w:tc>
          <w:tcPr>
            <w:tcW w:w="864" w:type="dxa"/>
            <w:vAlign w:val="center"/>
          </w:tcPr>
          <w:p w14:paraId="7055184D">
            <w:pPr>
              <w:spacing w:line="240" w:lineRule="exact"/>
              <w:jc w:val="center"/>
              <w:rPr>
                <w:rFonts w:cs="Calibri"/>
                <w:sz w:val="18"/>
                <w:szCs w:val="18"/>
              </w:rPr>
            </w:pPr>
            <w:r>
              <w:rPr>
                <w:rFonts w:hint="eastAsia" w:cs="Calibri"/>
                <w:sz w:val="18"/>
                <w:szCs w:val="18"/>
              </w:rPr>
              <w:t>0</w:t>
            </w:r>
          </w:p>
        </w:tc>
        <w:tc>
          <w:tcPr>
            <w:tcW w:w="864" w:type="dxa"/>
            <w:vAlign w:val="center"/>
          </w:tcPr>
          <w:p w14:paraId="12173B3C">
            <w:pPr>
              <w:spacing w:line="240" w:lineRule="exact"/>
              <w:jc w:val="center"/>
              <w:rPr>
                <w:rFonts w:cs="Calibri"/>
                <w:sz w:val="18"/>
                <w:szCs w:val="18"/>
              </w:rPr>
            </w:pPr>
            <w:r>
              <w:rPr>
                <w:rFonts w:hint="eastAsia" w:cs="Calibri"/>
                <w:sz w:val="18"/>
                <w:szCs w:val="18"/>
              </w:rPr>
              <w:t>0</w:t>
            </w:r>
          </w:p>
        </w:tc>
        <w:tc>
          <w:tcPr>
            <w:tcW w:w="864" w:type="dxa"/>
            <w:vAlign w:val="center"/>
          </w:tcPr>
          <w:p w14:paraId="4DE7D47F">
            <w:pPr>
              <w:spacing w:line="240" w:lineRule="exact"/>
              <w:jc w:val="center"/>
              <w:rPr>
                <w:rFonts w:cs="Calibri"/>
                <w:sz w:val="18"/>
                <w:szCs w:val="18"/>
              </w:rPr>
            </w:pPr>
            <w:r>
              <w:rPr>
                <w:rFonts w:hint="eastAsia" w:cs="Calibri"/>
                <w:sz w:val="18"/>
                <w:szCs w:val="18"/>
              </w:rPr>
              <w:t>0</w:t>
            </w:r>
          </w:p>
        </w:tc>
        <w:tc>
          <w:tcPr>
            <w:tcW w:w="864" w:type="dxa"/>
            <w:vAlign w:val="center"/>
          </w:tcPr>
          <w:p w14:paraId="7B84F2B4">
            <w:pPr>
              <w:spacing w:line="240" w:lineRule="exact"/>
              <w:jc w:val="center"/>
              <w:rPr>
                <w:rFonts w:cs="Calibri"/>
                <w:sz w:val="18"/>
                <w:szCs w:val="18"/>
              </w:rPr>
            </w:pPr>
            <w:r>
              <w:rPr>
                <w:rFonts w:hint="eastAsia" w:cs="Calibri"/>
                <w:sz w:val="18"/>
                <w:szCs w:val="18"/>
              </w:rPr>
              <w:t>5</w:t>
            </w:r>
          </w:p>
        </w:tc>
        <w:tc>
          <w:tcPr>
            <w:tcW w:w="865" w:type="dxa"/>
            <w:vAlign w:val="center"/>
          </w:tcPr>
          <w:p w14:paraId="750374C3">
            <w:pPr>
              <w:spacing w:line="240" w:lineRule="exact"/>
              <w:jc w:val="center"/>
              <w:rPr>
                <w:rFonts w:cs="Calibri"/>
                <w:sz w:val="18"/>
                <w:szCs w:val="18"/>
              </w:rPr>
            </w:pPr>
            <w:r>
              <w:rPr>
                <w:rFonts w:hint="eastAsia" w:cs="Calibri"/>
                <w:sz w:val="18"/>
                <w:szCs w:val="18"/>
              </w:rPr>
              <w:t>12</w:t>
            </w:r>
          </w:p>
        </w:tc>
        <w:tc>
          <w:tcPr>
            <w:tcW w:w="865" w:type="dxa"/>
            <w:vAlign w:val="center"/>
          </w:tcPr>
          <w:p w14:paraId="6625DB55">
            <w:pPr>
              <w:spacing w:line="240" w:lineRule="exact"/>
              <w:jc w:val="center"/>
              <w:rPr>
                <w:rFonts w:cs="Calibri"/>
                <w:sz w:val="18"/>
                <w:szCs w:val="18"/>
              </w:rPr>
            </w:pPr>
            <w:r>
              <w:rPr>
                <w:rFonts w:cs="Calibri"/>
                <w:sz w:val="18"/>
                <w:szCs w:val="18"/>
              </w:rPr>
              <w:t>0</w:t>
            </w:r>
          </w:p>
        </w:tc>
        <w:tc>
          <w:tcPr>
            <w:tcW w:w="865" w:type="dxa"/>
            <w:vAlign w:val="center"/>
          </w:tcPr>
          <w:p w14:paraId="39119FE9">
            <w:pPr>
              <w:spacing w:line="240" w:lineRule="exact"/>
              <w:jc w:val="center"/>
              <w:rPr>
                <w:rFonts w:cs="Calibri"/>
                <w:sz w:val="18"/>
                <w:szCs w:val="18"/>
              </w:rPr>
            </w:pPr>
            <w:r>
              <w:rPr>
                <w:rFonts w:hint="eastAsia" w:cs="Calibri"/>
                <w:sz w:val="18"/>
                <w:szCs w:val="18"/>
              </w:rPr>
              <w:t>0</w:t>
            </w:r>
          </w:p>
        </w:tc>
      </w:tr>
    </w:tbl>
    <w:p w14:paraId="0F73A951">
      <w:pPr>
        <w:spacing w:line="240" w:lineRule="exact"/>
        <w:ind w:firstLine="3159" w:firstLineChars="1748"/>
        <w:rPr>
          <w:b/>
          <w:bCs/>
          <w:sz w:val="18"/>
          <w:szCs w:val="18"/>
        </w:rPr>
      </w:pPr>
    </w:p>
    <w:p w14:paraId="0B6CCBFD">
      <w:pPr>
        <w:spacing w:line="240" w:lineRule="exact"/>
        <w:rPr>
          <w:rFonts w:ascii="Times New Roman" w:hAnsi="Times New Roman"/>
          <w:b/>
          <w:bCs/>
          <w:sz w:val="18"/>
          <w:szCs w:val="18"/>
        </w:rPr>
      </w:pPr>
      <w:r>
        <w:rPr>
          <w:rFonts w:ascii="Times New Roman" w:hAnsi="Times New Roman"/>
          <w:b/>
          <w:bCs/>
          <w:sz w:val="18"/>
          <w:szCs w:val="18"/>
        </w:rPr>
        <w:t>全专业</w:t>
      </w:r>
    </w:p>
    <w:p w14:paraId="32CB9C2E">
      <w:pPr>
        <w:spacing w:line="240" w:lineRule="exact"/>
        <w:rPr>
          <w:rFonts w:ascii="Times New Roman" w:hAnsi="Times New Roman" w:eastAsia="黑体"/>
          <w:sz w:val="18"/>
          <w:szCs w:val="18"/>
        </w:rPr>
      </w:pPr>
      <w:r>
        <w:rPr>
          <w:rFonts w:ascii="Times New Roman" w:hAnsi="Times New Roman" w:eastAsia="黑体"/>
          <w:sz w:val="18"/>
          <w:szCs w:val="18"/>
        </w:rPr>
        <w:t>9.2.6应用建筑信息模拟（BIM）技术。</w:t>
      </w:r>
    </w:p>
    <w:p w14:paraId="160074E6">
      <w:pPr>
        <w:spacing w:line="240" w:lineRule="exact"/>
        <w:rPr>
          <w:rFonts w:ascii="Times New Roman" w:hAnsi="Times New Roman"/>
          <w:sz w:val="18"/>
          <w:szCs w:val="18"/>
        </w:rPr>
      </w:pPr>
      <w:r>
        <w:rPr>
          <w:rFonts w:ascii="Times New Roman" w:hAnsi="Times New Roman"/>
          <w:sz w:val="18"/>
          <w:szCs w:val="18"/>
        </w:rPr>
        <w:t>技术措施说明：本项目在设计阶段，采用BIM技术正向设计手段，各专业在同一平台上协同工作，即时沟通交流，避免了设计过程中的错漏碰缺问题，并最终通过BIM正向手段完成各专业施工图图纸导出，实现了图模一致的正向设计理念。</w:t>
      </w:r>
    </w:p>
    <w:p w14:paraId="150807CD">
      <w:pPr>
        <w:spacing w:line="240" w:lineRule="exact"/>
        <w:rPr>
          <w:rFonts w:ascii="Times New Roman" w:hAnsi="Times New Roman"/>
          <w:b/>
          <w:bCs/>
          <w:sz w:val="18"/>
          <w:szCs w:val="18"/>
        </w:rPr>
      </w:pPr>
      <w:r>
        <w:rPr>
          <w:rFonts w:ascii="Times New Roman" w:hAnsi="Times New Roman"/>
          <w:sz w:val="18"/>
          <w:szCs w:val="18"/>
        </w:rPr>
        <w:t>证明材料：</w:t>
      </w:r>
      <w:r>
        <w:rPr>
          <w:rFonts w:hint="eastAsia" w:ascii="Times New Roman" w:hAnsi="Times New Roman"/>
          <w:color w:val="000000" w:themeColor="text1"/>
          <w:sz w:val="18"/>
          <w:szCs w:val="18"/>
          <w14:textFill>
            <w14:solidFill>
              <w14:schemeClr w14:val="tx1"/>
            </w14:solidFill>
          </w14:textFill>
        </w:rPr>
        <w:t>√</w:t>
      </w:r>
      <w:r>
        <w:rPr>
          <w:rFonts w:ascii="Times New Roman" w:hAnsi="Times New Roman"/>
          <w:sz w:val="18"/>
          <w:szCs w:val="18"/>
        </w:rPr>
        <w:t xml:space="preserve">BIM技术应用报告； </w:t>
      </w:r>
      <w:r>
        <w:rPr>
          <w:rFonts w:hint="eastAsia" w:ascii="Times New Roman" w:hAnsi="Times New Roman"/>
          <w:color w:val="000000" w:themeColor="text1"/>
          <w:sz w:val="18"/>
          <w:szCs w:val="18"/>
          <w14:textFill>
            <w14:solidFill>
              <w14:schemeClr w14:val="tx1"/>
            </w14:solidFill>
          </w14:textFill>
        </w:rPr>
        <w:t>√</w:t>
      </w:r>
      <w:r>
        <w:rPr>
          <w:rFonts w:ascii="Times New Roman" w:hAnsi="Times New Roman"/>
          <w:sz w:val="18"/>
          <w:szCs w:val="18"/>
        </w:rPr>
        <w:t>二次设计达标承诺函</w:t>
      </w:r>
    </w:p>
    <w:p w14:paraId="25F477D0">
      <w:pPr>
        <w:spacing w:line="240" w:lineRule="exact"/>
        <w:rPr>
          <w:rFonts w:ascii="Times New Roman" w:hAnsi="Times New Roman" w:eastAsia="黑体"/>
          <w:color w:val="000000" w:themeColor="text1"/>
          <w:sz w:val="18"/>
          <w:szCs w:val="18"/>
          <w14:textFill>
            <w14:solidFill>
              <w14:schemeClr w14:val="tx1"/>
            </w14:solidFill>
          </w14:textFill>
        </w:rPr>
      </w:pPr>
      <w:r>
        <w:rPr>
          <w:rFonts w:ascii="Times New Roman" w:hAnsi="Times New Roman" w:eastAsia="黑体"/>
          <w:color w:val="000000" w:themeColor="text1"/>
          <w:sz w:val="18"/>
          <w:szCs w:val="18"/>
          <w14:textFill>
            <w14:solidFill>
              <w14:schemeClr w14:val="tx1"/>
            </w14:solidFill>
          </w14:textFill>
        </w:rPr>
        <w:t>9.2.7进行建筑碳排放计算分析，采取措施降低单位建筑面积碳排放强度。</w:t>
      </w:r>
    </w:p>
    <w:p w14:paraId="285B8DA4">
      <w:pPr>
        <w:spacing w:line="240" w:lineRule="exac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技术措施说明：</w:t>
      </w:r>
      <w:r>
        <w:rPr>
          <w:rFonts w:hint="eastAsia" w:ascii="Times New Roman" w:hAnsi="Times New Roman"/>
          <w:color w:val="000000" w:themeColor="text1"/>
          <w:sz w:val="18"/>
          <w:szCs w:val="18"/>
          <w14:textFill>
            <w14:solidFill>
              <w14:schemeClr w14:val="tx1"/>
            </w14:solidFill>
          </w14:textFill>
        </w:rPr>
        <w:t>本项目采用高效节能设备，设置太阳能光伏系统，减少碳排放量；增加项目绿地的数量，抵消项目的碳排放。</w:t>
      </w:r>
    </w:p>
    <w:p w14:paraId="38A6BE9D">
      <w:pPr>
        <w:spacing w:line="240" w:lineRule="exac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证明材料：</w:t>
      </w:r>
      <w:r>
        <w:rPr>
          <w:rFonts w:hint="eastAsia" w:ascii="Times New Roman" w:hAnsi="Times New Roman"/>
          <w:color w:val="000000" w:themeColor="text1"/>
          <w:sz w:val="18"/>
          <w:szCs w:val="18"/>
          <w14:textFill>
            <w14:solidFill>
              <w14:schemeClr w14:val="tx1"/>
            </w14:solidFill>
          </w14:textFill>
        </w:rPr>
        <w:t>√碳排放计算分析报告</w:t>
      </w:r>
    </w:p>
    <w:p w14:paraId="14CA722E">
      <w:pPr>
        <w:spacing w:line="240" w:lineRule="exact"/>
        <w:rPr>
          <w:rFonts w:ascii="Times New Roman" w:hAnsi="Times New Roman"/>
          <w:sz w:val="18"/>
          <w:szCs w:val="18"/>
        </w:rPr>
      </w:pPr>
    </w:p>
    <w:p w14:paraId="4691F8B4">
      <w:pPr>
        <w:spacing w:line="240" w:lineRule="exact"/>
        <w:rPr>
          <w:rFonts w:ascii="Times New Roman" w:hAnsi="Times New Roman"/>
          <w:b/>
          <w:bCs/>
          <w:sz w:val="18"/>
          <w:szCs w:val="18"/>
        </w:rPr>
      </w:pPr>
      <w:r>
        <w:rPr>
          <w:rFonts w:ascii="Times New Roman" w:hAnsi="Times New Roman"/>
          <w:b/>
          <w:bCs/>
          <w:sz w:val="18"/>
          <w:szCs w:val="18"/>
        </w:rPr>
        <w:t>其他</w:t>
      </w:r>
    </w:p>
    <w:p w14:paraId="6D51C282">
      <w:pPr>
        <w:spacing w:line="240" w:lineRule="exact"/>
        <w:rPr>
          <w:rFonts w:ascii="Times New Roman" w:hAnsi="Times New Roman"/>
          <w:sz w:val="18"/>
          <w:szCs w:val="18"/>
        </w:rPr>
      </w:pPr>
      <w:r>
        <w:rPr>
          <w:rFonts w:ascii="Times New Roman" w:hAnsi="Times New Roman"/>
          <w:sz w:val="18"/>
          <w:szCs w:val="18"/>
        </w:rPr>
        <w:t>备注：</w:t>
      </w:r>
    </w:p>
    <w:p w14:paraId="625B9F57">
      <w:pPr>
        <w:spacing w:line="240" w:lineRule="exact"/>
        <w:rPr>
          <w:rFonts w:ascii="Times New Roman" w:hAnsi="Times New Roman"/>
          <w:sz w:val="18"/>
          <w:szCs w:val="18"/>
        </w:rPr>
      </w:pPr>
      <w:r>
        <w:rPr>
          <w:rFonts w:ascii="Times New Roman" w:hAnsi="Times New Roman"/>
          <w:sz w:val="18"/>
          <w:szCs w:val="18"/>
        </w:rPr>
        <w:t>1.条文编号前的2个方框：控制项条文只需填写第2个方框，满足填“√”、不适用填“○”。</w:t>
      </w:r>
    </w:p>
    <w:p w14:paraId="654CD06F">
      <w:pPr>
        <w:spacing w:line="240" w:lineRule="exact"/>
        <w:rPr>
          <w:rFonts w:ascii="Times New Roman" w:hAnsi="Times New Roman"/>
          <w:sz w:val="18"/>
          <w:szCs w:val="18"/>
        </w:rPr>
      </w:pPr>
      <w:r>
        <w:rPr>
          <w:rFonts w:ascii="Times New Roman" w:hAnsi="Times New Roman"/>
          <w:sz w:val="18"/>
          <w:szCs w:val="18"/>
        </w:rPr>
        <w:t>2.每个章节评分项都有一个得分汇总表，根据项目实际得分计划填写，并在相应的条文内填写技术措施说明及证明材料。</w:t>
      </w:r>
    </w:p>
    <w:p w14:paraId="5ECA069B">
      <w:pPr>
        <w:spacing w:line="240" w:lineRule="exact"/>
        <w:rPr>
          <w:rFonts w:ascii="Times New Roman" w:hAnsi="Times New Roman"/>
          <w:sz w:val="18"/>
          <w:szCs w:val="18"/>
        </w:rPr>
      </w:pPr>
      <w:r>
        <w:rPr>
          <w:rFonts w:ascii="Times New Roman" w:hAnsi="Times New Roman"/>
          <w:sz w:val="18"/>
          <w:szCs w:val="18"/>
        </w:rPr>
        <w:t>3.“技术措施说明”中应简要叙述设计中的绿色建筑设计方案和技术措施，包括但不限于设计方案描述、关键参数说明和设计效果表达。</w:t>
      </w:r>
    </w:p>
    <w:p w14:paraId="7624DAA3">
      <w:pPr>
        <w:spacing w:line="240" w:lineRule="exact"/>
        <w:rPr>
          <w:rFonts w:ascii="Times New Roman" w:hAnsi="Times New Roman"/>
          <w:sz w:val="18"/>
          <w:szCs w:val="18"/>
        </w:rPr>
      </w:pPr>
      <w:r>
        <w:rPr>
          <w:rFonts w:ascii="Times New Roman" w:hAnsi="Times New Roman"/>
          <w:sz w:val="18"/>
          <w:szCs w:val="18"/>
        </w:rPr>
        <w:t>3.“证明材料”中应注明支撑绿色建筑设计得分的施工图图纸编号或其它专业资料（或分析报告、计算书等），并编制证明文件目录清单。</w:t>
      </w:r>
    </w:p>
    <w:p w14:paraId="1EC88F22">
      <w:pPr>
        <w:spacing w:line="240" w:lineRule="exact"/>
        <w:rPr>
          <w:rFonts w:ascii="Times New Roman" w:hAnsi="Times New Roman"/>
          <w:sz w:val="18"/>
          <w:szCs w:val="18"/>
        </w:rPr>
      </w:pPr>
      <w:r>
        <w:rPr>
          <w:rFonts w:ascii="Times New Roman" w:hAnsi="Times New Roman"/>
          <w:sz w:val="18"/>
          <w:szCs w:val="18"/>
        </w:rPr>
        <w:t>4.若设计图纸暂不能提供（如景观、装修、智能化、二次专业设计），应在“技术措施说明”中明确二次设计需要达到的设计指标，并在证明材料中注明证明材料为二次设计达标承诺函，后期专业设计应按照本专篇填写内容落实。</w:t>
      </w:r>
    </w:p>
    <w:p w14:paraId="7130F697">
      <w:pPr>
        <w:spacing w:line="240" w:lineRule="exact"/>
        <w:rPr>
          <w:rFonts w:ascii="Times New Roman" w:hAnsi="Times New Roman"/>
          <w:sz w:val="18"/>
          <w:szCs w:val="18"/>
        </w:rPr>
      </w:pPr>
      <w:r>
        <w:rPr>
          <w:rFonts w:ascii="Times New Roman" w:hAnsi="Times New Roman"/>
          <w:sz w:val="18"/>
          <w:szCs w:val="18"/>
        </w:rPr>
        <w:t>5.为便于查看，填写时根据项目实际情况保留参评并得分的条文，不得分条文请删除。</w:t>
      </w:r>
    </w:p>
    <w:p w14:paraId="781813CC">
      <w:pPr>
        <w:spacing w:line="240" w:lineRule="exact"/>
        <w:rPr>
          <w:rFonts w:ascii="Times New Roman" w:hAnsi="Times New Roman"/>
          <w:sz w:val="18"/>
          <w:szCs w:val="18"/>
        </w:rPr>
      </w:pPr>
      <w:r>
        <w:rPr>
          <w:rFonts w:ascii="Times New Roman" w:hAnsi="Times New Roman"/>
          <w:sz w:val="18"/>
          <w:szCs w:val="18"/>
        </w:rPr>
        <w:t>6.设计依据为当前最新相关设计规范。</w:t>
      </w:r>
    </w:p>
    <w:p w14:paraId="15BA354D">
      <w:pPr>
        <w:spacing w:line="240" w:lineRule="exact"/>
      </w:pPr>
    </w:p>
    <w:p w14:paraId="6CE595A2">
      <w:pPr>
        <w:spacing w:line="240" w:lineRule="exact"/>
      </w:pPr>
    </w:p>
    <w:p w14:paraId="0876155B">
      <w:pPr>
        <w:spacing w:line="240" w:lineRule="exact"/>
      </w:pPr>
    </w:p>
    <w:p w14:paraId="241668B7">
      <w:pPr>
        <w:spacing w:line="240" w:lineRule="exact"/>
      </w:pPr>
    </w:p>
    <w:p w14:paraId="321CEC41">
      <w:pPr>
        <w:spacing w:line="240" w:lineRule="exact"/>
      </w:pPr>
    </w:p>
    <w:p w14:paraId="4275AB10">
      <w:pPr>
        <w:spacing w:line="240" w:lineRule="exact"/>
      </w:pPr>
    </w:p>
    <w:sectPr>
      <w:headerReference r:id="rId3" w:type="default"/>
      <w:headerReference r:id="rId4" w:type="even"/>
      <w:pgSz w:w="31185" w:h="22113" w:orient="landscape"/>
      <w:pgMar w:top="2098" w:right="1474" w:bottom="1984" w:left="1587" w:header="851" w:footer="992" w:gutter="0"/>
      <w:cols w:space="1155" w:num="3"/>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altName w:val="微软雅黑"/>
    <w:panose1 w:val="00000000000000000000"/>
    <w:charset w:val="86"/>
    <w:family w:val="script"/>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Kingsoft UE">
    <w:panose1 w:val="02000100010000000000"/>
    <w:charset w:val="00"/>
    <w:family w:val="auto"/>
    <w:pitch w:val="default"/>
    <w:sig w:usb0="00000001" w:usb1="00004000" w:usb2="00000000" w:usb3="00000000" w:csb0="00000001" w:csb1="00000000"/>
  </w:font>
  <w:font w:name="TimesNewRomanPS-BoldMT">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7EDA4">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D3CFA">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C95C5F"/>
    <w:multiLevelType w:val="multilevel"/>
    <w:tmpl w:val="6AC95C5F"/>
    <w:lvl w:ilvl="0" w:tentative="0">
      <w:start w:val="1"/>
      <w:numFmt w:val="decimal"/>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7E140A0C"/>
    <w:multiLevelType w:val="multilevel"/>
    <w:tmpl w:val="7E140A0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RiODUwNDI0ZmY3YjAwNjZhZGEzYTU5ZDhmYjU1MmEifQ=="/>
  </w:docVars>
  <w:rsids>
    <w:rsidRoot w:val="004214E6"/>
    <w:rsid w:val="000028EF"/>
    <w:rsid w:val="00005591"/>
    <w:rsid w:val="00007391"/>
    <w:rsid w:val="0000797A"/>
    <w:rsid w:val="00007F9E"/>
    <w:rsid w:val="000102DE"/>
    <w:rsid w:val="00011514"/>
    <w:rsid w:val="00012AF6"/>
    <w:rsid w:val="00012BD3"/>
    <w:rsid w:val="00013E7D"/>
    <w:rsid w:val="00014571"/>
    <w:rsid w:val="000149A0"/>
    <w:rsid w:val="00014EDC"/>
    <w:rsid w:val="00015512"/>
    <w:rsid w:val="0001616B"/>
    <w:rsid w:val="000164A8"/>
    <w:rsid w:val="00017048"/>
    <w:rsid w:val="00017854"/>
    <w:rsid w:val="000200CB"/>
    <w:rsid w:val="00020FD6"/>
    <w:rsid w:val="0002101C"/>
    <w:rsid w:val="00021AAC"/>
    <w:rsid w:val="0002290C"/>
    <w:rsid w:val="00022D2B"/>
    <w:rsid w:val="00022F10"/>
    <w:rsid w:val="00023ADC"/>
    <w:rsid w:val="00026047"/>
    <w:rsid w:val="00027A00"/>
    <w:rsid w:val="00030425"/>
    <w:rsid w:val="00031D0E"/>
    <w:rsid w:val="000321D4"/>
    <w:rsid w:val="000330A4"/>
    <w:rsid w:val="0003325D"/>
    <w:rsid w:val="00033383"/>
    <w:rsid w:val="0003396B"/>
    <w:rsid w:val="000402C2"/>
    <w:rsid w:val="00041399"/>
    <w:rsid w:val="00041A22"/>
    <w:rsid w:val="0004372C"/>
    <w:rsid w:val="0004481F"/>
    <w:rsid w:val="000470D1"/>
    <w:rsid w:val="0005001E"/>
    <w:rsid w:val="00050C76"/>
    <w:rsid w:val="00051208"/>
    <w:rsid w:val="000545D3"/>
    <w:rsid w:val="00054CDD"/>
    <w:rsid w:val="00055517"/>
    <w:rsid w:val="000556A5"/>
    <w:rsid w:val="00055753"/>
    <w:rsid w:val="00061636"/>
    <w:rsid w:val="00061BCD"/>
    <w:rsid w:val="00065302"/>
    <w:rsid w:val="0006681E"/>
    <w:rsid w:val="00066E6C"/>
    <w:rsid w:val="000676BA"/>
    <w:rsid w:val="00067925"/>
    <w:rsid w:val="000702D2"/>
    <w:rsid w:val="000705B7"/>
    <w:rsid w:val="00071F58"/>
    <w:rsid w:val="0007344A"/>
    <w:rsid w:val="00074AC7"/>
    <w:rsid w:val="00075634"/>
    <w:rsid w:val="00081439"/>
    <w:rsid w:val="000833CE"/>
    <w:rsid w:val="0008429C"/>
    <w:rsid w:val="000847B1"/>
    <w:rsid w:val="00084AD2"/>
    <w:rsid w:val="00084C74"/>
    <w:rsid w:val="00084F45"/>
    <w:rsid w:val="000853AA"/>
    <w:rsid w:val="00086704"/>
    <w:rsid w:val="0008671B"/>
    <w:rsid w:val="000867B7"/>
    <w:rsid w:val="00087182"/>
    <w:rsid w:val="00087547"/>
    <w:rsid w:val="00087ABC"/>
    <w:rsid w:val="00087ADA"/>
    <w:rsid w:val="000907C7"/>
    <w:rsid w:val="000923E9"/>
    <w:rsid w:val="00092800"/>
    <w:rsid w:val="0009615C"/>
    <w:rsid w:val="00097206"/>
    <w:rsid w:val="0009747D"/>
    <w:rsid w:val="00097A0A"/>
    <w:rsid w:val="000A19FD"/>
    <w:rsid w:val="000A2230"/>
    <w:rsid w:val="000A2351"/>
    <w:rsid w:val="000A3036"/>
    <w:rsid w:val="000A589C"/>
    <w:rsid w:val="000A6209"/>
    <w:rsid w:val="000A6686"/>
    <w:rsid w:val="000A7433"/>
    <w:rsid w:val="000B1D20"/>
    <w:rsid w:val="000B1D5D"/>
    <w:rsid w:val="000B3E7C"/>
    <w:rsid w:val="000B5A39"/>
    <w:rsid w:val="000B69EC"/>
    <w:rsid w:val="000B6B7F"/>
    <w:rsid w:val="000C10D2"/>
    <w:rsid w:val="000C162E"/>
    <w:rsid w:val="000C1652"/>
    <w:rsid w:val="000C29CB"/>
    <w:rsid w:val="000C4071"/>
    <w:rsid w:val="000C676E"/>
    <w:rsid w:val="000C71D8"/>
    <w:rsid w:val="000C73E6"/>
    <w:rsid w:val="000C7C8D"/>
    <w:rsid w:val="000C7EA5"/>
    <w:rsid w:val="000D0F49"/>
    <w:rsid w:val="000D1F3F"/>
    <w:rsid w:val="000D239D"/>
    <w:rsid w:val="000D41D8"/>
    <w:rsid w:val="000D6DEC"/>
    <w:rsid w:val="000E3BAD"/>
    <w:rsid w:val="000E46A1"/>
    <w:rsid w:val="000E4898"/>
    <w:rsid w:val="000E5DAA"/>
    <w:rsid w:val="000E5F36"/>
    <w:rsid w:val="000E6536"/>
    <w:rsid w:val="000E7C29"/>
    <w:rsid w:val="000F0591"/>
    <w:rsid w:val="000F27FD"/>
    <w:rsid w:val="000F2824"/>
    <w:rsid w:val="000F36C8"/>
    <w:rsid w:val="000F3CB4"/>
    <w:rsid w:val="000F76FF"/>
    <w:rsid w:val="000F7D78"/>
    <w:rsid w:val="00100379"/>
    <w:rsid w:val="00100F9D"/>
    <w:rsid w:val="001021CA"/>
    <w:rsid w:val="001022BC"/>
    <w:rsid w:val="00102610"/>
    <w:rsid w:val="00102929"/>
    <w:rsid w:val="00102C51"/>
    <w:rsid w:val="00103212"/>
    <w:rsid w:val="00103E6C"/>
    <w:rsid w:val="00104469"/>
    <w:rsid w:val="00104D0A"/>
    <w:rsid w:val="00104FFC"/>
    <w:rsid w:val="001078D2"/>
    <w:rsid w:val="001107E5"/>
    <w:rsid w:val="00111595"/>
    <w:rsid w:val="00112A04"/>
    <w:rsid w:val="00115A6C"/>
    <w:rsid w:val="0011620E"/>
    <w:rsid w:val="00116EFA"/>
    <w:rsid w:val="0011786F"/>
    <w:rsid w:val="00117E5D"/>
    <w:rsid w:val="00120266"/>
    <w:rsid w:val="00120457"/>
    <w:rsid w:val="00121AE3"/>
    <w:rsid w:val="001229B5"/>
    <w:rsid w:val="00124CC1"/>
    <w:rsid w:val="0012692D"/>
    <w:rsid w:val="001278D9"/>
    <w:rsid w:val="00127A28"/>
    <w:rsid w:val="00130016"/>
    <w:rsid w:val="00131C27"/>
    <w:rsid w:val="001332E3"/>
    <w:rsid w:val="00135FBF"/>
    <w:rsid w:val="00137A0C"/>
    <w:rsid w:val="00137CC0"/>
    <w:rsid w:val="00143A42"/>
    <w:rsid w:val="00143A7A"/>
    <w:rsid w:val="00144E36"/>
    <w:rsid w:val="00147EA9"/>
    <w:rsid w:val="00151EC5"/>
    <w:rsid w:val="00152CDA"/>
    <w:rsid w:val="00153DB8"/>
    <w:rsid w:val="00154EBB"/>
    <w:rsid w:val="00156615"/>
    <w:rsid w:val="001612BA"/>
    <w:rsid w:val="0016184B"/>
    <w:rsid w:val="001624BB"/>
    <w:rsid w:val="00162958"/>
    <w:rsid w:val="00162AFC"/>
    <w:rsid w:val="0016340E"/>
    <w:rsid w:val="00163473"/>
    <w:rsid w:val="00163BF7"/>
    <w:rsid w:val="001644EE"/>
    <w:rsid w:val="001651D7"/>
    <w:rsid w:val="00166A5C"/>
    <w:rsid w:val="001675DE"/>
    <w:rsid w:val="00167936"/>
    <w:rsid w:val="00170EEC"/>
    <w:rsid w:val="001715A5"/>
    <w:rsid w:val="001717B9"/>
    <w:rsid w:val="00171CD1"/>
    <w:rsid w:val="00172A47"/>
    <w:rsid w:val="00173A59"/>
    <w:rsid w:val="001751FC"/>
    <w:rsid w:val="0017679B"/>
    <w:rsid w:val="00183D14"/>
    <w:rsid w:val="00184E0C"/>
    <w:rsid w:val="001850D1"/>
    <w:rsid w:val="001850D4"/>
    <w:rsid w:val="00186C7D"/>
    <w:rsid w:val="00187979"/>
    <w:rsid w:val="001901E8"/>
    <w:rsid w:val="001904A4"/>
    <w:rsid w:val="001904D1"/>
    <w:rsid w:val="00190CB8"/>
    <w:rsid w:val="00191FA9"/>
    <w:rsid w:val="0019246E"/>
    <w:rsid w:val="00194169"/>
    <w:rsid w:val="001943C3"/>
    <w:rsid w:val="00195F7A"/>
    <w:rsid w:val="001962F6"/>
    <w:rsid w:val="00196AEF"/>
    <w:rsid w:val="00196CA7"/>
    <w:rsid w:val="00196EEE"/>
    <w:rsid w:val="001A06C9"/>
    <w:rsid w:val="001A3C5C"/>
    <w:rsid w:val="001A50CE"/>
    <w:rsid w:val="001A72D1"/>
    <w:rsid w:val="001B1062"/>
    <w:rsid w:val="001B13C3"/>
    <w:rsid w:val="001B220B"/>
    <w:rsid w:val="001B60E3"/>
    <w:rsid w:val="001B645E"/>
    <w:rsid w:val="001C0B55"/>
    <w:rsid w:val="001C37E5"/>
    <w:rsid w:val="001C4133"/>
    <w:rsid w:val="001C482E"/>
    <w:rsid w:val="001C5022"/>
    <w:rsid w:val="001C550F"/>
    <w:rsid w:val="001C5898"/>
    <w:rsid w:val="001C5B7F"/>
    <w:rsid w:val="001C6F43"/>
    <w:rsid w:val="001C74D7"/>
    <w:rsid w:val="001D0131"/>
    <w:rsid w:val="001D037C"/>
    <w:rsid w:val="001D165C"/>
    <w:rsid w:val="001D243F"/>
    <w:rsid w:val="001D368E"/>
    <w:rsid w:val="001D3A54"/>
    <w:rsid w:val="001D474B"/>
    <w:rsid w:val="001D490D"/>
    <w:rsid w:val="001D505C"/>
    <w:rsid w:val="001D5C8C"/>
    <w:rsid w:val="001D5D72"/>
    <w:rsid w:val="001D66C1"/>
    <w:rsid w:val="001D7570"/>
    <w:rsid w:val="001D79C2"/>
    <w:rsid w:val="001E0848"/>
    <w:rsid w:val="001E0D21"/>
    <w:rsid w:val="001E554A"/>
    <w:rsid w:val="001E5F02"/>
    <w:rsid w:val="001F13A1"/>
    <w:rsid w:val="001F161E"/>
    <w:rsid w:val="001F1E86"/>
    <w:rsid w:val="001F22DF"/>
    <w:rsid w:val="001F7BAF"/>
    <w:rsid w:val="0020085E"/>
    <w:rsid w:val="00200EBD"/>
    <w:rsid w:val="0020275C"/>
    <w:rsid w:val="0020346E"/>
    <w:rsid w:val="00204E3A"/>
    <w:rsid w:val="00206FA3"/>
    <w:rsid w:val="002074B3"/>
    <w:rsid w:val="0021229D"/>
    <w:rsid w:val="0021412F"/>
    <w:rsid w:val="00215189"/>
    <w:rsid w:val="002161F7"/>
    <w:rsid w:val="00216DC0"/>
    <w:rsid w:val="002170F3"/>
    <w:rsid w:val="00217549"/>
    <w:rsid w:val="00222712"/>
    <w:rsid w:val="00222BEB"/>
    <w:rsid w:val="0022364E"/>
    <w:rsid w:val="00223CCE"/>
    <w:rsid w:val="00223D43"/>
    <w:rsid w:val="00224620"/>
    <w:rsid w:val="00224B3D"/>
    <w:rsid w:val="00224F0E"/>
    <w:rsid w:val="002258BD"/>
    <w:rsid w:val="00225EA2"/>
    <w:rsid w:val="002260C9"/>
    <w:rsid w:val="00227063"/>
    <w:rsid w:val="002271F5"/>
    <w:rsid w:val="00227267"/>
    <w:rsid w:val="00227E6C"/>
    <w:rsid w:val="00233616"/>
    <w:rsid w:val="00233680"/>
    <w:rsid w:val="00233CCA"/>
    <w:rsid w:val="002344D5"/>
    <w:rsid w:val="00234F35"/>
    <w:rsid w:val="0023653A"/>
    <w:rsid w:val="0023665F"/>
    <w:rsid w:val="00237ED9"/>
    <w:rsid w:val="00241AF0"/>
    <w:rsid w:val="002438E1"/>
    <w:rsid w:val="00250DEF"/>
    <w:rsid w:val="00252EF1"/>
    <w:rsid w:val="0025359E"/>
    <w:rsid w:val="00255270"/>
    <w:rsid w:val="0025555D"/>
    <w:rsid w:val="002556BF"/>
    <w:rsid w:val="00257AB1"/>
    <w:rsid w:val="002609A2"/>
    <w:rsid w:val="00261366"/>
    <w:rsid w:val="0026176A"/>
    <w:rsid w:val="00263D3C"/>
    <w:rsid w:val="00263DC6"/>
    <w:rsid w:val="00264DD9"/>
    <w:rsid w:val="00265407"/>
    <w:rsid w:val="00265FA6"/>
    <w:rsid w:val="0026668C"/>
    <w:rsid w:val="0026678A"/>
    <w:rsid w:val="00267160"/>
    <w:rsid w:val="00267A06"/>
    <w:rsid w:val="002703CC"/>
    <w:rsid w:val="002704CD"/>
    <w:rsid w:val="0027143B"/>
    <w:rsid w:val="0027385D"/>
    <w:rsid w:val="002748BC"/>
    <w:rsid w:val="00274BC5"/>
    <w:rsid w:val="00275248"/>
    <w:rsid w:val="0027529E"/>
    <w:rsid w:val="00276E98"/>
    <w:rsid w:val="0028088B"/>
    <w:rsid w:val="00280A37"/>
    <w:rsid w:val="00281542"/>
    <w:rsid w:val="00283F23"/>
    <w:rsid w:val="00285B89"/>
    <w:rsid w:val="002862A9"/>
    <w:rsid w:val="00286F39"/>
    <w:rsid w:val="00287436"/>
    <w:rsid w:val="002906DB"/>
    <w:rsid w:val="00290C95"/>
    <w:rsid w:val="002927BA"/>
    <w:rsid w:val="002938C6"/>
    <w:rsid w:val="00293AC3"/>
    <w:rsid w:val="00293D46"/>
    <w:rsid w:val="00293E2A"/>
    <w:rsid w:val="00294EA4"/>
    <w:rsid w:val="002951D5"/>
    <w:rsid w:val="0029536A"/>
    <w:rsid w:val="00297BA4"/>
    <w:rsid w:val="002A384B"/>
    <w:rsid w:val="002A3B84"/>
    <w:rsid w:val="002A4A6B"/>
    <w:rsid w:val="002A5278"/>
    <w:rsid w:val="002A592A"/>
    <w:rsid w:val="002A60DB"/>
    <w:rsid w:val="002A62EF"/>
    <w:rsid w:val="002A7638"/>
    <w:rsid w:val="002B1536"/>
    <w:rsid w:val="002B19E4"/>
    <w:rsid w:val="002B3D46"/>
    <w:rsid w:val="002B4099"/>
    <w:rsid w:val="002B4BE4"/>
    <w:rsid w:val="002B63DD"/>
    <w:rsid w:val="002B6592"/>
    <w:rsid w:val="002B6E25"/>
    <w:rsid w:val="002B777D"/>
    <w:rsid w:val="002C0591"/>
    <w:rsid w:val="002C1513"/>
    <w:rsid w:val="002C2D69"/>
    <w:rsid w:val="002C3D84"/>
    <w:rsid w:val="002C4BE2"/>
    <w:rsid w:val="002C4EFC"/>
    <w:rsid w:val="002C7195"/>
    <w:rsid w:val="002D0733"/>
    <w:rsid w:val="002D095E"/>
    <w:rsid w:val="002D0B0B"/>
    <w:rsid w:val="002D14DB"/>
    <w:rsid w:val="002D15DD"/>
    <w:rsid w:val="002D22D5"/>
    <w:rsid w:val="002D2842"/>
    <w:rsid w:val="002D4F9A"/>
    <w:rsid w:val="002E12DC"/>
    <w:rsid w:val="002E2CED"/>
    <w:rsid w:val="002E3DD6"/>
    <w:rsid w:val="002E6954"/>
    <w:rsid w:val="002E7ABA"/>
    <w:rsid w:val="002F18BA"/>
    <w:rsid w:val="002F224A"/>
    <w:rsid w:val="002F27CA"/>
    <w:rsid w:val="002F3DAC"/>
    <w:rsid w:val="002F6657"/>
    <w:rsid w:val="002F784E"/>
    <w:rsid w:val="00302E15"/>
    <w:rsid w:val="00304319"/>
    <w:rsid w:val="00304476"/>
    <w:rsid w:val="00304AF0"/>
    <w:rsid w:val="00304F2E"/>
    <w:rsid w:val="003063B1"/>
    <w:rsid w:val="0030660D"/>
    <w:rsid w:val="00307FD9"/>
    <w:rsid w:val="00310D46"/>
    <w:rsid w:val="00311F0E"/>
    <w:rsid w:val="00312525"/>
    <w:rsid w:val="00312BC9"/>
    <w:rsid w:val="00316569"/>
    <w:rsid w:val="00317BBA"/>
    <w:rsid w:val="00321B34"/>
    <w:rsid w:val="00322D51"/>
    <w:rsid w:val="003241B0"/>
    <w:rsid w:val="003241ED"/>
    <w:rsid w:val="0032426B"/>
    <w:rsid w:val="00326B72"/>
    <w:rsid w:val="00326CDA"/>
    <w:rsid w:val="00327134"/>
    <w:rsid w:val="00331684"/>
    <w:rsid w:val="003329E0"/>
    <w:rsid w:val="0033490E"/>
    <w:rsid w:val="003360CC"/>
    <w:rsid w:val="00337958"/>
    <w:rsid w:val="00337E3B"/>
    <w:rsid w:val="00340133"/>
    <w:rsid w:val="00340322"/>
    <w:rsid w:val="00341B44"/>
    <w:rsid w:val="003428D4"/>
    <w:rsid w:val="00344903"/>
    <w:rsid w:val="0034531B"/>
    <w:rsid w:val="003458D2"/>
    <w:rsid w:val="00345FB5"/>
    <w:rsid w:val="0034645D"/>
    <w:rsid w:val="0034761A"/>
    <w:rsid w:val="00350CA6"/>
    <w:rsid w:val="003517B4"/>
    <w:rsid w:val="00351EC5"/>
    <w:rsid w:val="00352073"/>
    <w:rsid w:val="0035291E"/>
    <w:rsid w:val="0035300F"/>
    <w:rsid w:val="0035534B"/>
    <w:rsid w:val="00361BDC"/>
    <w:rsid w:val="00363234"/>
    <w:rsid w:val="00363F37"/>
    <w:rsid w:val="003652CA"/>
    <w:rsid w:val="00365716"/>
    <w:rsid w:val="00366F54"/>
    <w:rsid w:val="00374E90"/>
    <w:rsid w:val="00374FEB"/>
    <w:rsid w:val="00377545"/>
    <w:rsid w:val="00380990"/>
    <w:rsid w:val="0038249E"/>
    <w:rsid w:val="00382ABC"/>
    <w:rsid w:val="00385C82"/>
    <w:rsid w:val="00386664"/>
    <w:rsid w:val="00386B04"/>
    <w:rsid w:val="003875E1"/>
    <w:rsid w:val="003908AD"/>
    <w:rsid w:val="00392B1C"/>
    <w:rsid w:val="003968A8"/>
    <w:rsid w:val="00396E97"/>
    <w:rsid w:val="003974F2"/>
    <w:rsid w:val="003A0CBD"/>
    <w:rsid w:val="003A1A3C"/>
    <w:rsid w:val="003A404B"/>
    <w:rsid w:val="003A4B27"/>
    <w:rsid w:val="003A4BA4"/>
    <w:rsid w:val="003A4C1C"/>
    <w:rsid w:val="003A6126"/>
    <w:rsid w:val="003A7303"/>
    <w:rsid w:val="003A7EE2"/>
    <w:rsid w:val="003B0B9B"/>
    <w:rsid w:val="003B0DD7"/>
    <w:rsid w:val="003B25DA"/>
    <w:rsid w:val="003B2D28"/>
    <w:rsid w:val="003B41C4"/>
    <w:rsid w:val="003B4A1C"/>
    <w:rsid w:val="003B4B8B"/>
    <w:rsid w:val="003B5D22"/>
    <w:rsid w:val="003B5D2C"/>
    <w:rsid w:val="003B66A0"/>
    <w:rsid w:val="003B70E8"/>
    <w:rsid w:val="003C1BC9"/>
    <w:rsid w:val="003C1C8B"/>
    <w:rsid w:val="003C2168"/>
    <w:rsid w:val="003C26DF"/>
    <w:rsid w:val="003C2889"/>
    <w:rsid w:val="003C2F23"/>
    <w:rsid w:val="003C36C0"/>
    <w:rsid w:val="003C3A15"/>
    <w:rsid w:val="003C3CFE"/>
    <w:rsid w:val="003C5F4C"/>
    <w:rsid w:val="003C64A0"/>
    <w:rsid w:val="003C7968"/>
    <w:rsid w:val="003D0405"/>
    <w:rsid w:val="003D2190"/>
    <w:rsid w:val="003D21BB"/>
    <w:rsid w:val="003D2ADE"/>
    <w:rsid w:val="003D2F75"/>
    <w:rsid w:val="003D3589"/>
    <w:rsid w:val="003D372A"/>
    <w:rsid w:val="003D40B4"/>
    <w:rsid w:val="003D4823"/>
    <w:rsid w:val="003D52AA"/>
    <w:rsid w:val="003D689F"/>
    <w:rsid w:val="003E0914"/>
    <w:rsid w:val="003E0A12"/>
    <w:rsid w:val="003E0EC2"/>
    <w:rsid w:val="003E18F6"/>
    <w:rsid w:val="003E3AB1"/>
    <w:rsid w:val="003E4484"/>
    <w:rsid w:val="003E54FB"/>
    <w:rsid w:val="003E570F"/>
    <w:rsid w:val="003E5C8E"/>
    <w:rsid w:val="003E72AE"/>
    <w:rsid w:val="003F1B87"/>
    <w:rsid w:val="003F2350"/>
    <w:rsid w:val="003F2ADC"/>
    <w:rsid w:val="003F5216"/>
    <w:rsid w:val="003F571F"/>
    <w:rsid w:val="003F6BCF"/>
    <w:rsid w:val="003F75FD"/>
    <w:rsid w:val="004001EA"/>
    <w:rsid w:val="004004E1"/>
    <w:rsid w:val="0040071E"/>
    <w:rsid w:val="004010AC"/>
    <w:rsid w:val="004010DA"/>
    <w:rsid w:val="00401E4F"/>
    <w:rsid w:val="004027DC"/>
    <w:rsid w:val="00402967"/>
    <w:rsid w:val="004031A4"/>
    <w:rsid w:val="00403426"/>
    <w:rsid w:val="00403A20"/>
    <w:rsid w:val="00410378"/>
    <w:rsid w:val="00411091"/>
    <w:rsid w:val="00411A39"/>
    <w:rsid w:val="00411E34"/>
    <w:rsid w:val="0041217F"/>
    <w:rsid w:val="004127C4"/>
    <w:rsid w:val="00414991"/>
    <w:rsid w:val="00416C50"/>
    <w:rsid w:val="00416C5B"/>
    <w:rsid w:val="00416E4E"/>
    <w:rsid w:val="004200AD"/>
    <w:rsid w:val="00420902"/>
    <w:rsid w:val="00420F9E"/>
    <w:rsid w:val="00421200"/>
    <w:rsid w:val="004214E6"/>
    <w:rsid w:val="0042186A"/>
    <w:rsid w:val="00421AA9"/>
    <w:rsid w:val="004249E0"/>
    <w:rsid w:val="00427D2D"/>
    <w:rsid w:val="00427F72"/>
    <w:rsid w:val="00430F80"/>
    <w:rsid w:val="00431F79"/>
    <w:rsid w:val="004324D3"/>
    <w:rsid w:val="004337C4"/>
    <w:rsid w:val="00435334"/>
    <w:rsid w:val="00435FC5"/>
    <w:rsid w:val="004366BB"/>
    <w:rsid w:val="004378C0"/>
    <w:rsid w:val="004408DA"/>
    <w:rsid w:val="00441A9C"/>
    <w:rsid w:val="004429EF"/>
    <w:rsid w:val="00442A07"/>
    <w:rsid w:val="004432F3"/>
    <w:rsid w:val="00444173"/>
    <w:rsid w:val="00445519"/>
    <w:rsid w:val="00446113"/>
    <w:rsid w:val="00446646"/>
    <w:rsid w:val="00447571"/>
    <w:rsid w:val="00450124"/>
    <w:rsid w:val="0045154C"/>
    <w:rsid w:val="004544A2"/>
    <w:rsid w:val="004552AB"/>
    <w:rsid w:val="004560CD"/>
    <w:rsid w:val="0046018D"/>
    <w:rsid w:val="00460EB4"/>
    <w:rsid w:val="00461895"/>
    <w:rsid w:val="004622DD"/>
    <w:rsid w:val="00463561"/>
    <w:rsid w:val="004637EA"/>
    <w:rsid w:val="004648BC"/>
    <w:rsid w:val="00465518"/>
    <w:rsid w:val="004702E3"/>
    <w:rsid w:val="00470C68"/>
    <w:rsid w:val="00470E52"/>
    <w:rsid w:val="004712D4"/>
    <w:rsid w:val="004724E8"/>
    <w:rsid w:val="0047263C"/>
    <w:rsid w:val="00472F50"/>
    <w:rsid w:val="0047338C"/>
    <w:rsid w:val="004734AD"/>
    <w:rsid w:val="004741EA"/>
    <w:rsid w:val="00474958"/>
    <w:rsid w:val="00475DC3"/>
    <w:rsid w:val="00475F13"/>
    <w:rsid w:val="00476AF2"/>
    <w:rsid w:val="00476E2C"/>
    <w:rsid w:val="004771AF"/>
    <w:rsid w:val="00477B33"/>
    <w:rsid w:val="00477EDC"/>
    <w:rsid w:val="00477F57"/>
    <w:rsid w:val="00480ED9"/>
    <w:rsid w:val="004820C3"/>
    <w:rsid w:val="004821A1"/>
    <w:rsid w:val="00482450"/>
    <w:rsid w:val="00482B7A"/>
    <w:rsid w:val="00484C25"/>
    <w:rsid w:val="004859A1"/>
    <w:rsid w:val="004859DC"/>
    <w:rsid w:val="00487507"/>
    <w:rsid w:val="004909DA"/>
    <w:rsid w:val="00491C45"/>
    <w:rsid w:val="004928ED"/>
    <w:rsid w:val="00495B61"/>
    <w:rsid w:val="004974E2"/>
    <w:rsid w:val="00497617"/>
    <w:rsid w:val="004A0C68"/>
    <w:rsid w:val="004A0E80"/>
    <w:rsid w:val="004A2C23"/>
    <w:rsid w:val="004A3D53"/>
    <w:rsid w:val="004A5E67"/>
    <w:rsid w:val="004A7448"/>
    <w:rsid w:val="004A7556"/>
    <w:rsid w:val="004B148B"/>
    <w:rsid w:val="004B181F"/>
    <w:rsid w:val="004B1BFC"/>
    <w:rsid w:val="004B2D7A"/>
    <w:rsid w:val="004B69CE"/>
    <w:rsid w:val="004B76DD"/>
    <w:rsid w:val="004B78B0"/>
    <w:rsid w:val="004C3535"/>
    <w:rsid w:val="004C46CC"/>
    <w:rsid w:val="004C5662"/>
    <w:rsid w:val="004C7B97"/>
    <w:rsid w:val="004D079B"/>
    <w:rsid w:val="004D1115"/>
    <w:rsid w:val="004D12CA"/>
    <w:rsid w:val="004D20EC"/>
    <w:rsid w:val="004D26CF"/>
    <w:rsid w:val="004D2C4D"/>
    <w:rsid w:val="004D367E"/>
    <w:rsid w:val="004D699A"/>
    <w:rsid w:val="004D6C32"/>
    <w:rsid w:val="004D73F8"/>
    <w:rsid w:val="004D7AAC"/>
    <w:rsid w:val="004D7E1E"/>
    <w:rsid w:val="004E3106"/>
    <w:rsid w:val="004E345C"/>
    <w:rsid w:val="004E43BF"/>
    <w:rsid w:val="004E4439"/>
    <w:rsid w:val="004F1C49"/>
    <w:rsid w:val="004F3408"/>
    <w:rsid w:val="004F3E7B"/>
    <w:rsid w:val="004F4535"/>
    <w:rsid w:val="004F589F"/>
    <w:rsid w:val="004F638B"/>
    <w:rsid w:val="004F7528"/>
    <w:rsid w:val="004F7E18"/>
    <w:rsid w:val="005009B4"/>
    <w:rsid w:val="00500E1C"/>
    <w:rsid w:val="005013FB"/>
    <w:rsid w:val="00502054"/>
    <w:rsid w:val="005020D3"/>
    <w:rsid w:val="0050285A"/>
    <w:rsid w:val="005030A7"/>
    <w:rsid w:val="00503E0A"/>
    <w:rsid w:val="00503F71"/>
    <w:rsid w:val="00503FD5"/>
    <w:rsid w:val="0050404B"/>
    <w:rsid w:val="005042B5"/>
    <w:rsid w:val="0050625D"/>
    <w:rsid w:val="00507931"/>
    <w:rsid w:val="005106D6"/>
    <w:rsid w:val="0051077D"/>
    <w:rsid w:val="00510F87"/>
    <w:rsid w:val="00512084"/>
    <w:rsid w:val="00512178"/>
    <w:rsid w:val="00512A8A"/>
    <w:rsid w:val="005147F2"/>
    <w:rsid w:val="00514B4E"/>
    <w:rsid w:val="005158D4"/>
    <w:rsid w:val="0051601F"/>
    <w:rsid w:val="00517417"/>
    <w:rsid w:val="005205BB"/>
    <w:rsid w:val="00521639"/>
    <w:rsid w:val="0052268F"/>
    <w:rsid w:val="00522837"/>
    <w:rsid w:val="00523190"/>
    <w:rsid w:val="00524082"/>
    <w:rsid w:val="00524961"/>
    <w:rsid w:val="00525390"/>
    <w:rsid w:val="005270D0"/>
    <w:rsid w:val="00530069"/>
    <w:rsid w:val="0053052B"/>
    <w:rsid w:val="00530686"/>
    <w:rsid w:val="00530BCC"/>
    <w:rsid w:val="00531350"/>
    <w:rsid w:val="00531852"/>
    <w:rsid w:val="00532A75"/>
    <w:rsid w:val="0053310B"/>
    <w:rsid w:val="00533AC9"/>
    <w:rsid w:val="00533EFF"/>
    <w:rsid w:val="00534C93"/>
    <w:rsid w:val="00535E4E"/>
    <w:rsid w:val="005424A0"/>
    <w:rsid w:val="0054278A"/>
    <w:rsid w:val="00542CE6"/>
    <w:rsid w:val="00545516"/>
    <w:rsid w:val="00550298"/>
    <w:rsid w:val="00551EAC"/>
    <w:rsid w:val="005532EE"/>
    <w:rsid w:val="00553F9E"/>
    <w:rsid w:val="00554790"/>
    <w:rsid w:val="00554AE1"/>
    <w:rsid w:val="0055540E"/>
    <w:rsid w:val="00555D9F"/>
    <w:rsid w:val="00556C56"/>
    <w:rsid w:val="0055730B"/>
    <w:rsid w:val="00557397"/>
    <w:rsid w:val="00557BBE"/>
    <w:rsid w:val="00561B18"/>
    <w:rsid w:val="00561C25"/>
    <w:rsid w:val="00561CB4"/>
    <w:rsid w:val="005629E6"/>
    <w:rsid w:val="00563096"/>
    <w:rsid w:val="005633E1"/>
    <w:rsid w:val="0056371B"/>
    <w:rsid w:val="0056543D"/>
    <w:rsid w:val="00565E76"/>
    <w:rsid w:val="0056670C"/>
    <w:rsid w:val="0056714A"/>
    <w:rsid w:val="005679DA"/>
    <w:rsid w:val="00570229"/>
    <w:rsid w:val="00573AF6"/>
    <w:rsid w:val="00574C71"/>
    <w:rsid w:val="00574F53"/>
    <w:rsid w:val="005751EB"/>
    <w:rsid w:val="005770E0"/>
    <w:rsid w:val="0058028F"/>
    <w:rsid w:val="005805EB"/>
    <w:rsid w:val="00580D9B"/>
    <w:rsid w:val="00583803"/>
    <w:rsid w:val="00585C45"/>
    <w:rsid w:val="005875F2"/>
    <w:rsid w:val="00590101"/>
    <w:rsid w:val="0059038A"/>
    <w:rsid w:val="00591EB2"/>
    <w:rsid w:val="00591EB7"/>
    <w:rsid w:val="00593073"/>
    <w:rsid w:val="00594857"/>
    <w:rsid w:val="005954B6"/>
    <w:rsid w:val="00595520"/>
    <w:rsid w:val="005960D9"/>
    <w:rsid w:val="00596B9F"/>
    <w:rsid w:val="00596D9B"/>
    <w:rsid w:val="00597D63"/>
    <w:rsid w:val="005A2418"/>
    <w:rsid w:val="005A29EE"/>
    <w:rsid w:val="005A2B04"/>
    <w:rsid w:val="005A5CCB"/>
    <w:rsid w:val="005A75FF"/>
    <w:rsid w:val="005B018C"/>
    <w:rsid w:val="005B0AD9"/>
    <w:rsid w:val="005B3A1F"/>
    <w:rsid w:val="005B434B"/>
    <w:rsid w:val="005B45D9"/>
    <w:rsid w:val="005B4B0F"/>
    <w:rsid w:val="005B4DDE"/>
    <w:rsid w:val="005B52F1"/>
    <w:rsid w:val="005B6457"/>
    <w:rsid w:val="005B7350"/>
    <w:rsid w:val="005C0DBB"/>
    <w:rsid w:val="005C3B68"/>
    <w:rsid w:val="005C7767"/>
    <w:rsid w:val="005D01CF"/>
    <w:rsid w:val="005D0EE5"/>
    <w:rsid w:val="005D131C"/>
    <w:rsid w:val="005D2239"/>
    <w:rsid w:val="005D2429"/>
    <w:rsid w:val="005D2BA7"/>
    <w:rsid w:val="005D4C19"/>
    <w:rsid w:val="005D4E03"/>
    <w:rsid w:val="005D5B34"/>
    <w:rsid w:val="005D7213"/>
    <w:rsid w:val="005E09EC"/>
    <w:rsid w:val="005E0B08"/>
    <w:rsid w:val="005E222F"/>
    <w:rsid w:val="005E29A4"/>
    <w:rsid w:val="005E3394"/>
    <w:rsid w:val="005E345A"/>
    <w:rsid w:val="005E519B"/>
    <w:rsid w:val="005E5A2A"/>
    <w:rsid w:val="005E5E22"/>
    <w:rsid w:val="005E6EF5"/>
    <w:rsid w:val="005E7A45"/>
    <w:rsid w:val="005F073F"/>
    <w:rsid w:val="005F14A6"/>
    <w:rsid w:val="005F227D"/>
    <w:rsid w:val="005F3AE0"/>
    <w:rsid w:val="005F42A4"/>
    <w:rsid w:val="005F5DB4"/>
    <w:rsid w:val="005F6B96"/>
    <w:rsid w:val="005F73A3"/>
    <w:rsid w:val="005F7F7A"/>
    <w:rsid w:val="006004FD"/>
    <w:rsid w:val="00600A9F"/>
    <w:rsid w:val="00601F5C"/>
    <w:rsid w:val="0060338B"/>
    <w:rsid w:val="006038D8"/>
    <w:rsid w:val="00604A2F"/>
    <w:rsid w:val="006054BE"/>
    <w:rsid w:val="00605FEE"/>
    <w:rsid w:val="00606639"/>
    <w:rsid w:val="006078E5"/>
    <w:rsid w:val="00607F75"/>
    <w:rsid w:val="00610EC1"/>
    <w:rsid w:val="006123FC"/>
    <w:rsid w:val="00612BAE"/>
    <w:rsid w:val="00615193"/>
    <w:rsid w:val="00616B92"/>
    <w:rsid w:val="00616FD6"/>
    <w:rsid w:val="00617690"/>
    <w:rsid w:val="00621665"/>
    <w:rsid w:val="006216D1"/>
    <w:rsid w:val="006217EC"/>
    <w:rsid w:val="006220C0"/>
    <w:rsid w:val="00623482"/>
    <w:rsid w:val="00623E09"/>
    <w:rsid w:val="0062438F"/>
    <w:rsid w:val="00624601"/>
    <w:rsid w:val="00624DA8"/>
    <w:rsid w:val="00625207"/>
    <w:rsid w:val="00625760"/>
    <w:rsid w:val="00626F5D"/>
    <w:rsid w:val="006274B4"/>
    <w:rsid w:val="006279C9"/>
    <w:rsid w:val="006300F5"/>
    <w:rsid w:val="00630817"/>
    <w:rsid w:val="00630D69"/>
    <w:rsid w:val="00632F3D"/>
    <w:rsid w:val="006348CB"/>
    <w:rsid w:val="00637606"/>
    <w:rsid w:val="00637D66"/>
    <w:rsid w:val="00640254"/>
    <w:rsid w:val="0064082E"/>
    <w:rsid w:val="00640F52"/>
    <w:rsid w:val="00643260"/>
    <w:rsid w:val="00643A4E"/>
    <w:rsid w:val="0064467E"/>
    <w:rsid w:val="00645C1B"/>
    <w:rsid w:val="00647335"/>
    <w:rsid w:val="00650A3A"/>
    <w:rsid w:val="00650BC6"/>
    <w:rsid w:val="006523B7"/>
    <w:rsid w:val="00653170"/>
    <w:rsid w:val="00653BA4"/>
    <w:rsid w:val="00654762"/>
    <w:rsid w:val="006551DF"/>
    <w:rsid w:val="00655347"/>
    <w:rsid w:val="00655702"/>
    <w:rsid w:val="0065622A"/>
    <w:rsid w:val="006566EE"/>
    <w:rsid w:val="00660627"/>
    <w:rsid w:val="0066263D"/>
    <w:rsid w:val="0066411D"/>
    <w:rsid w:val="0066446E"/>
    <w:rsid w:val="006650F0"/>
    <w:rsid w:val="00670167"/>
    <w:rsid w:val="00670AD0"/>
    <w:rsid w:val="00670F40"/>
    <w:rsid w:val="00671B35"/>
    <w:rsid w:val="00672BAD"/>
    <w:rsid w:val="00672E94"/>
    <w:rsid w:val="00673AE1"/>
    <w:rsid w:val="0067411F"/>
    <w:rsid w:val="00675DD1"/>
    <w:rsid w:val="00676430"/>
    <w:rsid w:val="0067775B"/>
    <w:rsid w:val="006836BB"/>
    <w:rsid w:val="00684D47"/>
    <w:rsid w:val="00685485"/>
    <w:rsid w:val="00686E8A"/>
    <w:rsid w:val="006879D5"/>
    <w:rsid w:val="00690B3B"/>
    <w:rsid w:val="0069263F"/>
    <w:rsid w:val="006936DF"/>
    <w:rsid w:val="0069498E"/>
    <w:rsid w:val="00694E74"/>
    <w:rsid w:val="00695887"/>
    <w:rsid w:val="00695B41"/>
    <w:rsid w:val="006972A5"/>
    <w:rsid w:val="00697FCA"/>
    <w:rsid w:val="006A2164"/>
    <w:rsid w:val="006A27D6"/>
    <w:rsid w:val="006A2D19"/>
    <w:rsid w:val="006A2EF6"/>
    <w:rsid w:val="006A456B"/>
    <w:rsid w:val="006A4A73"/>
    <w:rsid w:val="006A507A"/>
    <w:rsid w:val="006A5624"/>
    <w:rsid w:val="006A6F12"/>
    <w:rsid w:val="006B0D43"/>
    <w:rsid w:val="006B1DEA"/>
    <w:rsid w:val="006B2B93"/>
    <w:rsid w:val="006B2CAD"/>
    <w:rsid w:val="006B4162"/>
    <w:rsid w:val="006B60FC"/>
    <w:rsid w:val="006B6228"/>
    <w:rsid w:val="006B6254"/>
    <w:rsid w:val="006C137B"/>
    <w:rsid w:val="006C1490"/>
    <w:rsid w:val="006C39BB"/>
    <w:rsid w:val="006C3A79"/>
    <w:rsid w:val="006C4074"/>
    <w:rsid w:val="006C41BC"/>
    <w:rsid w:val="006C4405"/>
    <w:rsid w:val="006C7F1E"/>
    <w:rsid w:val="006D18BA"/>
    <w:rsid w:val="006D2053"/>
    <w:rsid w:val="006D4BD4"/>
    <w:rsid w:val="006D4C65"/>
    <w:rsid w:val="006D5EBE"/>
    <w:rsid w:val="006D5F0C"/>
    <w:rsid w:val="006D64A2"/>
    <w:rsid w:val="006D6F37"/>
    <w:rsid w:val="006E0FC4"/>
    <w:rsid w:val="006E1F50"/>
    <w:rsid w:val="006E20AD"/>
    <w:rsid w:val="006E39D8"/>
    <w:rsid w:val="006E3DA1"/>
    <w:rsid w:val="006E4112"/>
    <w:rsid w:val="006E4412"/>
    <w:rsid w:val="006E4AF0"/>
    <w:rsid w:val="006E5477"/>
    <w:rsid w:val="006E6E6B"/>
    <w:rsid w:val="006E7258"/>
    <w:rsid w:val="006E75F9"/>
    <w:rsid w:val="006F09B0"/>
    <w:rsid w:val="006F0CD8"/>
    <w:rsid w:val="006F2346"/>
    <w:rsid w:val="006F2FDC"/>
    <w:rsid w:val="006F4A25"/>
    <w:rsid w:val="006F5214"/>
    <w:rsid w:val="0070068D"/>
    <w:rsid w:val="00701534"/>
    <w:rsid w:val="0070245B"/>
    <w:rsid w:val="007037E9"/>
    <w:rsid w:val="00704717"/>
    <w:rsid w:val="00706ED4"/>
    <w:rsid w:val="007071E8"/>
    <w:rsid w:val="00707D91"/>
    <w:rsid w:val="0071032B"/>
    <w:rsid w:val="00711008"/>
    <w:rsid w:val="00711189"/>
    <w:rsid w:val="00713512"/>
    <w:rsid w:val="00713BF6"/>
    <w:rsid w:val="00714305"/>
    <w:rsid w:val="00715F2F"/>
    <w:rsid w:val="00721D16"/>
    <w:rsid w:val="007236DA"/>
    <w:rsid w:val="00723941"/>
    <w:rsid w:val="00726B3C"/>
    <w:rsid w:val="00727B54"/>
    <w:rsid w:val="00731C17"/>
    <w:rsid w:val="007321B1"/>
    <w:rsid w:val="007366C5"/>
    <w:rsid w:val="00737267"/>
    <w:rsid w:val="007374AC"/>
    <w:rsid w:val="00742CE7"/>
    <w:rsid w:val="0074313A"/>
    <w:rsid w:val="00744336"/>
    <w:rsid w:val="0074497F"/>
    <w:rsid w:val="00744DDB"/>
    <w:rsid w:val="00744E08"/>
    <w:rsid w:val="00745698"/>
    <w:rsid w:val="0074592E"/>
    <w:rsid w:val="00745E58"/>
    <w:rsid w:val="007462B5"/>
    <w:rsid w:val="00746A44"/>
    <w:rsid w:val="00746B25"/>
    <w:rsid w:val="00746D13"/>
    <w:rsid w:val="007504D7"/>
    <w:rsid w:val="00752ED4"/>
    <w:rsid w:val="00753A09"/>
    <w:rsid w:val="00755E95"/>
    <w:rsid w:val="00756466"/>
    <w:rsid w:val="0075648C"/>
    <w:rsid w:val="00756956"/>
    <w:rsid w:val="00756B10"/>
    <w:rsid w:val="00757738"/>
    <w:rsid w:val="007579CA"/>
    <w:rsid w:val="007604BD"/>
    <w:rsid w:val="00760B30"/>
    <w:rsid w:val="00764ECE"/>
    <w:rsid w:val="00765B9C"/>
    <w:rsid w:val="00765CC9"/>
    <w:rsid w:val="00765D6A"/>
    <w:rsid w:val="00767D19"/>
    <w:rsid w:val="007709C7"/>
    <w:rsid w:val="00770DBE"/>
    <w:rsid w:val="00771D15"/>
    <w:rsid w:val="00773690"/>
    <w:rsid w:val="00773F17"/>
    <w:rsid w:val="007752D3"/>
    <w:rsid w:val="0077645C"/>
    <w:rsid w:val="00776F8E"/>
    <w:rsid w:val="007776F2"/>
    <w:rsid w:val="007801E0"/>
    <w:rsid w:val="00780811"/>
    <w:rsid w:val="00781FB1"/>
    <w:rsid w:val="0078209B"/>
    <w:rsid w:val="00783108"/>
    <w:rsid w:val="007838FF"/>
    <w:rsid w:val="00783964"/>
    <w:rsid w:val="00784399"/>
    <w:rsid w:val="00784797"/>
    <w:rsid w:val="00785401"/>
    <w:rsid w:val="00785F75"/>
    <w:rsid w:val="007905BF"/>
    <w:rsid w:val="007907FA"/>
    <w:rsid w:val="0079099B"/>
    <w:rsid w:val="00790AC1"/>
    <w:rsid w:val="00791FBD"/>
    <w:rsid w:val="00795F05"/>
    <w:rsid w:val="0079686C"/>
    <w:rsid w:val="007977EE"/>
    <w:rsid w:val="007A0281"/>
    <w:rsid w:val="007A02E2"/>
    <w:rsid w:val="007A03C5"/>
    <w:rsid w:val="007A08A0"/>
    <w:rsid w:val="007A24CD"/>
    <w:rsid w:val="007A2BFD"/>
    <w:rsid w:val="007A2D4B"/>
    <w:rsid w:val="007A5038"/>
    <w:rsid w:val="007A6494"/>
    <w:rsid w:val="007B00AF"/>
    <w:rsid w:val="007B1652"/>
    <w:rsid w:val="007B2726"/>
    <w:rsid w:val="007B2EDB"/>
    <w:rsid w:val="007B39AF"/>
    <w:rsid w:val="007B4812"/>
    <w:rsid w:val="007C0031"/>
    <w:rsid w:val="007C03B8"/>
    <w:rsid w:val="007C082A"/>
    <w:rsid w:val="007C0DC3"/>
    <w:rsid w:val="007C186A"/>
    <w:rsid w:val="007C3A03"/>
    <w:rsid w:val="007C6A40"/>
    <w:rsid w:val="007C7037"/>
    <w:rsid w:val="007C7140"/>
    <w:rsid w:val="007D0255"/>
    <w:rsid w:val="007D27A7"/>
    <w:rsid w:val="007D5694"/>
    <w:rsid w:val="007E1D19"/>
    <w:rsid w:val="007E3A6B"/>
    <w:rsid w:val="007E61D3"/>
    <w:rsid w:val="007E67D9"/>
    <w:rsid w:val="007F00DA"/>
    <w:rsid w:val="007F100C"/>
    <w:rsid w:val="007F1513"/>
    <w:rsid w:val="007F1B0E"/>
    <w:rsid w:val="007F4F68"/>
    <w:rsid w:val="007F659E"/>
    <w:rsid w:val="007F74A8"/>
    <w:rsid w:val="008023BA"/>
    <w:rsid w:val="00804161"/>
    <w:rsid w:val="00804F45"/>
    <w:rsid w:val="008066E0"/>
    <w:rsid w:val="008076DA"/>
    <w:rsid w:val="00807B38"/>
    <w:rsid w:val="00810B02"/>
    <w:rsid w:val="00810B61"/>
    <w:rsid w:val="00811274"/>
    <w:rsid w:val="008121F0"/>
    <w:rsid w:val="00812B31"/>
    <w:rsid w:val="00812EA5"/>
    <w:rsid w:val="00812F7D"/>
    <w:rsid w:val="00813C5D"/>
    <w:rsid w:val="00814727"/>
    <w:rsid w:val="008157CE"/>
    <w:rsid w:val="00821F63"/>
    <w:rsid w:val="00823843"/>
    <w:rsid w:val="0082496A"/>
    <w:rsid w:val="00825907"/>
    <w:rsid w:val="008279DC"/>
    <w:rsid w:val="00830239"/>
    <w:rsid w:val="0083175C"/>
    <w:rsid w:val="00832C48"/>
    <w:rsid w:val="00832CF6"/>
    <w:rsid w:val="0083359F"/>
    <w:rsid w:val="00834D15"/>
    <w:rsid w:val="00836005"/>
    <w:rsid w:val="00836103"/>
    <w:rsid w:val="00836680"/>
    <w:rsid w:val="00836762"/>
    <w:rsid w:val="0083679D"/>
    <w:rsid w:val="00836F61"/>
    <w:rsid w:val="00840C85"/>
    <w:rsid w:val="00841E10"/>
    <w:rsid w:val="00842EBC"/>
    <w:rsid w:val="0084420B"/>
    <w:rsid w:val="008458EC"/>
    <w:rsid w:val="0084594E"/>
    <w:rsid w:val="00845E7F"/>
    <w:rsid w:val="00846BE0"/>
    <w:rsid w:val="008473EE"/>
    <w:rsid w:val="00847EEE"/>
    <w:rsid w:val="00850ED8"/>
    <w:rsid w:val="008531AD"/>
    <w:rsid w:val="00853C7C"/>
    <w:rsid w:val="00854015"/>
    <w:rsid w:val="008543D1"/>
    <w:rsid w:val="008555BC"/>
    <w:rsid w:val="00855E08"/>
    <w:rsid w:val="00856658"/>
    <w:rsid w:val="00856710"/>
    <w:rsid w:val="0086149A"/>
    <w:rsid w:val="00861992"/>
    <w:rsid w:val="00862384"/>
    <w:rsid w:val="00863577"/>
    <w:rsid w:val="00864B34"/>
    <w:rsid w:val="00864E23"/>
    <w:rsid w:val="008662EC"/>
    <w:rsid w:val="0086661D"/>
    <w:rsid w:val="0086661E"/>
    <w:rsid w:val="00866C0C"/>
    <w:rsid w:val="00866C76"/>
    <w:rsid w:val="008676BE"/>
    <w:rsid w:val="00871DA5"/>
    <w:rsid w:val="00871EF0"/>
    <w:rsid w:val="00873E02"/>
    <w:rsid w:val="008740C4"/>
    <w:rsid w:val="00874DE8"/>
    <w:rsid w:val="008768B5"/>
    <w:rsid w:val="008772A5"/>
    <w:rsid w:val="0087760F"/>
    <w:rsid w:val="00877C33"/>
    <w:rsid w:val="008803B5"/>
    <w:rsid w:val="008823E3"/>
    <w:rsid w:val="00885969"/>
    <w:rsid w:val="00886C72"/>
    <w:rsid w:val="008872AC"/>
    <w:rsid w:val="00887491"/>
    <w:rsid w:val="0088757C"/>
    <w:rsid w:val="008877FE"/>
    <w:rsid w:val="00887954"/>
    <w:rsid w:val="00887CB9"/>
    <w:rsid w:val="008903DD"/>
    <w:rsid w:val="00892A9D"/>
    <w:rsid w:val="00893BD2"/>
    <w:rsid w:val="00895B9E"/>
    <w:rsid w:val="00897886"/>
    <w:rsid w:val="008A344B"/>
    <w:rsid w:val="008A4C5B"/>
    <w:rsid w:val="008A53BA"/>
    <w:rsid w:val="008A555C"/>
    <w:rsid w:val="008A5ECB"/>
    <w:rsid w:val="008A5F3D"/>
    <w:rsid w:val="008A65E2"/>
    <w:rsid w:val="008A73AF"/>
    <w:rsid w:val="008B0B99"/>
    <w:rsid w:val="008B1B17"/>
    <w:rsid w:val="008B3362"/>
    <w:rsid w:val="008B3AA2"/>
    <w:rsid w:val="008B4061"/>
    <w:rsid w:val="008B7340"/>
    <w:rsid w:val="008B742D"/>
    <w:rsid w:val="008B7654"/>
    <w:rsid w:val="008C0474"/>
    <w:rsid w:val="008C0E3B"/>
    <w:rsid w:val="008C187D"/>
    <w:rsid w:val="008C207E"/>
    <w:rsid w:val="008C2728"/>
    <w:rsid w:val="008C3491"/>
    <w:rsid w:val="008C43D9"/>
    <w:rsid w:val="008C50D6"/>
    <w:rsid w:val="008C5F59"/>
    <w:rsid w:val="008D1E31"/>
    <w:rsid w:val="008D32A2"/>
    <w:rsid w:val="008D4339"/>
    <w:rsid w:val="008D63C0"/>
    <w:rsid w:val="008D6928"/>
    <w:rsid w:val="008D793D"/>
    <w:rsid w:val="008D7CE7"/>
    <w:rsid w:val="008E03DE"/>
    <w:rsid w:val="008E056F"/>
    <w:rsid w:val="008E0B52"/>
    <w:rsid w:val="008E20DA"/>
    <w:rsid w:val="008E25A9"/>
    <w:rsid w:val="008E306B"/>
    <w:rsid w:val="008E3D89"/>
    <w:rsid w:val="008E4F9C"/>
    <w:rsid w:val="008E528A"/>
    <w:rsid w:val="008E707A"/>
    <w:rsid w:val="008E79B9"/>
    <w:rsid w:val="008E79D5"/>
    <w:rsid w:val="008E7C1E"/>
    <w:rsid w:val="008F0124"/>
    <w:rsid w:val="008F110E"/>
    <w:rsid w:val="008F1ABB"/>
    <w:rsid w:val="008F540E"/>
    <w:rsid w:val="008F5582"/>
    <w:rsid w:val="009029FE"/>
    <w:rsid w:val="00902C8C"/>
    <w:rsid w:val="00904737"/>
    <w:rsid w:val="00906FCF"/>
    <w:rsid w:val="00912352"/>
    <w:rsid w:val="0091239D"/>
    <w:rsid w:val="00912877"/>
    <w:rsid w:val="0091346D"/>
    <w:rsid w:val="00913CB6"/>
    <w:rsid w:val="009146CF"/>
    <w:rsid w:val="0091536E"/>
    <w:rsid w:val="00915503"/>
    <w:rsid w:val="009161A5"/>
    <w:rsid w:val="00916D4C"/>
    <w:rsid w:val="0092008B"/>
    <w:rsid w:val="00920468"/>
    <w:rsid w:val="009205FF"/>
    <w:rsid w:val="0092220D"/>
    <w:rsid w:val="00922954"/>
    <w:rsid w:val="00922B21"/>
    <w:rsid w:val="00923322"/>
    <w:rsid w:val="009236D1"/>
    <w:rsid w:val="00924153"/>
    <w:rsid w:val="00924AB5"/>
    <w:rsid w:val="0092502B"/>
    <w:rsid w:val="00925515"/>
    <w:rsid w:val="009269D0"/>
    <w:rsid w:val="00926FF6"/>
    <w:rsid w:val="00927602"/>
    <w:rsid w:val="00933425"/>
    <w:rsid w:val="00935F5B"/>
    <w:rsid w:val="00937BA5"/>
    <w:rsid w:val="00937E0F"/>
    <w:rsid w:val="00940242"/>
    <w:rsid w:val="0094073E"/>
    <w:rsid w:val="009407FD"/>
    <w:rsid w:val="009429B3"/>
    <w:rsid w:val="009449BC"/>
    <w:rsid w:val="00944D18"/>
    <w:rsid w:val="0094508B"/>
    <w:rsid w:val="00946008"/>
    <w:rsid w:val="009470AB"/>
    <w:rsid w:val="0094764A"/>
    <w:rsid w:val="009506DC"/>
    <w:rsid w:val="00950885"/>
    <w:rsid w:val="00951856"/>
    <w:rsid w:val="009518C7"/>
    <w:rsid w:val="0095243A"/>
    <w:rsid w:val="00952F35"/>
    <w:rsid w:val="009547C9"/>
    <w:rsid w:val="00955253"/>
    <w:rsid w:val="009570F9"/>
    <w:rsid w:val="009571F8"/>
    <w:rsid w:val="00957DAB"/>
    <w:rsid w:val="00960A50"/>
    <w:rsid w:val="00961039"/>
    <w:rsid w:val="00961300"/>
    <w:rsid w:val="00962B14"/>
    <w:rsid w:val="00964513"/>
    <w:rsid w:val="0096535C"/>
    <w:rsid w:val="009653B4"/>
    <w:rsid w:val="009660E0"/>
    <w:rsid w:val="00970A76"/>
    <w:rsid w:val="0097455A"/>
    <w:rsid w:val="0097512C"/>
    <w:rsid w:val="0097524B"/>
    <w:rsid w:val="00975E49"/>
    <w:rsid w:val="00976AA9"/>
    <w:rsid w:val="00976AC1"/>
    <w:rsid w:val="0097763F"/>
    <w:rsid w:val="009807CC"/>
    <w:rsid w:val="00980CA2"/>
    <w:rsid w:val="009811CE"/>
    <w:rsid w:val="00982CEC"/>
    <w:rsid w:val="0098336A"/>
    <w:rsid w:val="00983452"/>
    <w:rsid w:val="009834EA"/>
    <w:rsid w:val="00983700"/>
    <w:rsid w:val="00983D1A"/>
    <w:rsid w:val="009841E5"/>
    <w:rsid w:val="0098552D"/>
    <w:rsid w:val="00985941"/>
    <w:rsid w:val="00985BAC"/>
    <w:rsid w:val="00987D6E"/>
    <w:rsid w:val="009912F5"/>
    <w:rsid w:val="00993973"/>
    <w:rsid w:val="00994CEF"/>
    <w:rsid w:val="00995781"/>
    <w:rsid w:val="00995AF4"/>
    <w:rsid w:val="0099798F"/>
    <w:rsid w:val="009A00C4"/>
    <w:rsid w:val="009A0490"/>
    <w:rsid w:val="009A1811"/>
    <w:rsid w:val="009A1C44"/>
    <w:rsid w:val="009A2121"/>
    <w:rsid w:val="009A4C5D"/>
    <w:rsid w:val="009A5289"/>
    <w:rsid w:val="009A5587"/>
    <w:rsid w:val="009A5647"/>
    <w:rsid w:val="009A5A79"/>
    <w:rsid w:val="009A600A"/>
    <w:rsid w:val="009A67FE"/>
    <w:rsid w:val="009B0FFB"/>
    <w:rsid w:val="009B1B74"/>
    <w:rsid w:val="009B26C9"/>
    <w:rsid w:val="009B3A57"/>
    <w:rsid w:val="009B4882"/>
    <w:rsid w:val="009B49B1"/>
    <w:rsid w:val="009B585D"/>
    <w:rsid w:val="009B638B"/>
    <w:rsid w:val="009C42BA"/>
    <w:rsid w:val="009C47A6"/>
    <w:rsid w:val="009C4A33"/>
    <w:rsid w:val="009C4D43"/>
    <w:rsid w:val="009D0EA3"/>
    <w:rsid w:val="009D1026"/>
    <w:rsid w:val="009D12C9"/>
    <w:rsid w:val="009D2D96"/>
    <w:rsid w:val="009D7C22"/>
    <w:rsid w:val="009E028E"/>
    <w:rsid w:val="009E06A5"/>
    <w:rsid w:val="009E306E"/>
    <w:rsid w:val="009E786D"/>
    <w:rsid w:val="009E7FA9"/>
    <w:rsid w:val="009F2204"/>
    <w:rsid w:val="009F4C51"/>
    <w:rsid w:val="009F4DCC"/>
    <w:rsid w:val="009F4EAF"/>
    <w:rsid w:val="009F50E7"/>
    <w:rsid w:val="009F59C5"/>
    <w:rsid w:val="009F663D"/>
    <w:rsid w:val="009F6A04"/>
    <w:rsid w:val="009F6BF8"/>
    <w:rsid w:val="009F748E"/>
    <w:rsid w:val="00A00136"/>
    <w:rsid w:val="00A007E3"/>
    <w:rsid w:val="00A0102D"/>
    <w:rsid w:val="00A01A4B"/>
    <w:rsid w:val="00A02048"/>
    <w:rsid w:val="00A05C23"/>
    <w:rsid w:val="00A064C5"/>
    <w:rsid w:val="00A104D9"/>
    <w:rsid w:val="00A1061A"/>
    <w:rsid w:val="00A10EAB"/>
    <w:rsid w:val="00A12AC3"/>
    <w:rsid w:val="00A1356F"/>
    <w:rsid w:val="00A139EB"/>
    <w:rsid w:val="00A14059"/>
    <w:rsid w:val="00A16B1B"/>
    <w:rsid w:val="00A16C3C"/>
    <w:rsid w:val="00A1745F"/>
    <w:rsid w:val="00A174FD"/>
    <w:rsid w:val="00A1783B"/>
    <w:rsid w:val="00A17942"/>
    <w:rsid w:val="00A17CC8"/>
    <w:rsid w:val="00A2312C"/>
    <w:rsid w:val="00A2476B"/>
    <w:rsid w:val="00A258F4"/>
    <w:rsid w:val="00A26373"/>
    <w:rsid w:val="00A2664C"/>
    <w:rsid w:val="00A27045"/>
    <w:rsid w:val="00A27C76"/>
    <w:rsid w:val="00A27F24"/>
    <w:rsid w:val="00A3068F"/>
    <w:rsid w:val="00A31D5B"/>
    <w:rsid w:val="00A31FDD"/>
    <w:rsid w:val="00A32073"/>
    <w:rsid w:val="00A32DFE"/>
    <w:rsid w:val="00A34A6E"/>
    <w:rsid w:val="00A3513D"/>
    <w:rsid w:val="00A37710"/>
    <w:rsid w:val="00A402D4"/>
    <w:rsid w:val="00A40312"/>
    <w:rsid w:val="00A40550"/>
    <w:rsid w:val="00A4061C"/>
    <w:rsid w:val="00A4534E"/>
    <w:rsid w:val="00A456AA"/>
    <w:rsid w:val="00A45D77"/>
    <w:rsid w:val="00A4601C"/>
    <w:rsid w:val="00A50AC3"/>
    <w:rsid w:val="00A51BA4"/>
    <w:rsid w:val="00A52DFF"/>
    <w:rsid w:val="00A577EA"/>
    <w:rsid w:val="00A60A23"/>
    <w:rsid w:val="00A62737"/>
    <w:rsid w:val="00A63113"/>
    <w:rsid w:val="00A63CB8"/>
    <w:rsid w:val="00A66405"/>
    <w:rsid w:val="00A66AF7"/>
    <w:rsid w:val="00A70516"/>
    <w:rsid w:val="00A7292C"/>
    <w:rsid w:val="00A73A33"/>
    <w:rsid w:val="00A73CD2"/>
    <w:rsid w:val="00A74467"/>
    <w:rsid w:val="00A7510C"/>
    <w:rsid w:val="00A75F8A"/>
    <w:rsid w:val="00A760F3"/>
    <w:rsid w:val="00A77472"/>
    <w:rsid w:val="00A808BA"/>
    <w:rsid w:val="00A817AE"/>
    <w:rsid w:val="00A82EF6"/>
    <w:rsid w:val="00A84CEF"/>
    <w:rsid w:val="00A84DA0"/>
    <w:rsid w:val="00A85DA0"/>
    <w:rsid w:val="00A860B9"/>
    <w:rsid w:val="00A900F4"/>
    <w:rsid w:val="00A90E56"/>
    <w:rsid w:val="00A925C7"/>
    <w:rsid w:val="00A92796"/>
    <w:rsid w:val="00A93DC9"/>
    <w:rsid w:val="00A96F21"/>
    <w:rsid w:val="00AA1C0D"/>
    <w:rsid w:val="00AA238A"/>
    <w:rsid w:val="00AA4EEC"/>
    <w:rsid w:val="00AA5AA1"/>
    <w:rsid w:val="00AA738F"/>
    <w:rsid w:val="00AA784B"/>
    <w:rsid w:val="00AB0CAF"/>
    <w:rsid w:val="00AB1B97"/>
    <w:rsid w:val="00AB2BAA"/>
    <w:rsid w:val="00AB3742"/>
    <w:rsid w:val="00AB47B9"/>
    <w:rsid w:val="00AB5181"/>
    <w:rsid w:val="00AB5932"/>
    <w:rsid w:val="00AB61ED"/>
    <w:rsid w:val="00AB62C7"/>
    <w:rsid w:val="00AB6412"/>
    <w:rsid w:val="00AB7B2D"/>
    <w:rsid w:val="00AC0612"/>
    <w:rsid w:val="00AC0B93"/>
    <w:rsid w:val="00AC1151"/>
    <w:rsid w:val="00AC1F34"/>
    <w:rsid w:val="00AC74C4"/>
    <w:rsid w:val="00AC78F6"/>
    <w:rsid w:val="00AC7DE1"/>
    <w:rsid w:val="00AD0605"/>
    <w:rsid w:val="00AD1E7E"/>
    <w:rsid w:val="00AD1F45"/>
    <w:rsid w:val="00AD25EF"/>
    <w:rsid w:val="00AD3D70"/>
    <w:rsid w:val="00AD45D1"/>
    <w:rsid w:val="00AD50B6"/>
    <w:rsid w:val="00AD5B75"/>
    <w:rsid w:val="00AD73BA"/>
    <w:rsid w:val="00AD7E25"/>
    <w:rsid w:val="00AE1A14"/>
    <w:rsid w:val="00AE3039"/>
    <w:rsid w:val="00AE54D3"/>
    <w:rsid w:val="00AE7292"/>
    <w:rsid w:val="00AE799A"/>
    <w:rsid w:val="00AE7A22"/>
    <w:rsid w:val="00AE7CF5"/>
    <w:rsid w:val="00AF1212"/>
    <w:rsid w:val="00AF1DE8"/>
    <w:rsid w:val="00AF283E"/>
    <w:rsid w:val="00AF2CA5"/>
    <w:rsid w:val="00AF3896"/>
    <w:rsid w:val="00AF4849"/>
    <w:rsid w:val="00AF541A"/>
    <w:rsid w:val="00AF58C5"/>
    <w:rsid w:val="00AF795E"/>
    <w:rsid w:val="00AF7B30"/>
    <w:rsid w:val="00B00431"/>
    <w:rsid w:val="00B0126A"/>
    <w:rsid w:val="00B01CF3"/>
    <w:rsid w:val="00B02841"/>
    <w:rsid w:val="00B02A3F"/>
    <w:rsid w:val="00B06C20"/>
    <w:rsid w:val="00B07655"/>
    <w:rsid w:val="00B076FD"/>
    <w:rsid w:val="00B07B86"/>
    <w:rsid w:val="00B07EAE"/>
    <w:rsid w:val="00B10B43"/>
    <w:rsid w:val="00B10EE3"/>
    <w:rsid w:val="00B12DBB"/>
    <w:rsid w:val="00B13C14"/>
    <w:rsid w:val="00B16359"/>
    <w:rsid w:val="00B1734B"/>
    <w:rsid w:val="00B202F7"/>
    <w:rsid w:val="00B20CA1"/>
    <w:rsid w:val="00B2152D"/>
    <w:rsid w:val="00B218AB"/>
    <w:rsid w:val="00B231C7"/>
    <w:rsid w:val="00B2351D"/>
    <w:rsid w:val="00B24D76"/>
    <w:rsid w:val="00B26C39"/>
    <w:rsid w:val="00B270A5"/>
    <w:rsid w:val="00B310C0"/>
    <w:rsid w:val="00B31EB4"/>
    <w:rsid w:val="00B32180"/>
    <w:rsid w:val="00B3340C"/>
    <w:rsid w:val="00B3483B"/>
    <w:rsid w:val="00B348FD"/>
    <w:rsid w:val="00B36CB1"/>
    <w:rsid w:val="00B36F6F"/>
    <w:rsid w:val="00B417DB"/>
    <w:rsid w:val="00B41F24"/>
    <w:rsid w:val="00B45A50"/>
    <w:rsid w:val="00B45BBF"/>
    <w:rsid w:val="00B4632D"/>
    <w:rsid w:val="00B468BC"/>
    <w:rsid w:val="00B47D60"/>
    <w:rsid w:val="00B51ABA"/>
    <w:rsid w:val="00B5255E"/>
    <w:rsid w:val="00B5406A"/>
    <w:rsid w:val="00B5674D"/>
    <w:rsid w:val="00B57211"/>
    <w:rsid w:val="00B57242"/>
    <w:rsid w:val="00B60438"/>
    <w:rsid w:val="00B63CEE"/>
    <w:rsid w:val="00B657EA"/>
    <w:rsid w:val="00B67E54"/>
    <w:rsid w:val="00B701ED"/>
    <w:rsid w:val="00B70EB2"/>
    <w:rsid w:val="00B72173"/>
    <w:rsid w:val="00B726B9"/>
    <w:rsid w:val="00B735EA"/>
    <w:rsid w:val="00B7434F"/>
    <w:rsid w:val="00B74BD7"/>
    <w:rsid w:val="00B77D20"/>
    <w:rsid w:val="00B81240"/>
    <w:rsid w:val="00B821C9"/>
    <w:rsid w:val="00B8258E"/>
    <w:rsid w:val="00B834A9"/>
    <w:rsid w:val="00B836C1"/>
    <w:rsid w:val="00B83BCC"/>
    <w:rsid w:val="00B84B9D"/>
    <w:rsid w:val="00B84D53"/>
    <w:rsid w:val="00B85447"/>
    <w:rsid w:val="00B86371"/>
    <w:rsid w:val="00B86587"/>
    <w:rsid w:val="00B867BB"/>
    <w:rsid w:val="00B86D00"/>
    <w:rsid w:val="00B870CB"/>
    <w:rsid w:val="00B87621"/>
    <w:rsid w:val="00B90913"/>
    <w:rsid w:val="00B91E29"/>
    <w:rsid w:val="00B931F0"/>
    <w:rsid w:val="00B94763"/>
    <w:rsid w:val="00B955FF"/>
    <w:rsid w:val="00B97950"/>
    <w:rsid w:val="00BA014D"/>
    <w:rsid w:val="00BA104C"/>
    <w:rsid w:val="00BA1B64"/>
    <w:rsid w:val="00BA7E03"/>
    <w:rsid w:val="00BB0003"/>
    <w:rsid w:val="00BB19DB"/>
    <w:rsid w:val="00BB369A"/>
    <w:rsid w:val="00BB4367"/>
    <w:rsid w:val="00BB437C"/>
    <w:rsid w:val="00BB57EB"/>
    <w:rsid w:val="00BB611A"/>
    <w:rsid w:val="00BB62DA"/>
    <w:rsid w:val="00BC2653"/>
    <w:rsid w:val="00BC7ABC"/>
    <w:rsid w:val="00BD191F"/>
    <w:rsid w:val="00BD19FC"/>
    <w:rsid w:val="00BD1ABE"/>
    <w:rsid w:val="00BD2ABD"/>
    <w:rsid w:val="00BD32D3"/>
    <w:rsid w:val="00BD34E0"/>
    <w:rsid w:val="00BD3964"/>
    <w:rsid w:val="00BD39A8"/>
    <w:rsid w:val="00BD404A"/>
    <w:rsid w:val="00BD4F14"/>
    <w:rsid w:val="00BD508D"/>
    <w:rsid w:val="00BD6657"/>
    <w:rsid w:val="00BD66BE"/>
    <w:rsid w:val="00BD7666"/>
    <w:rsid w:val="00BE0EBD"/>
    <w:rsid w:val="00BE3349"/>
    <w:rsid w:val="00BE35D4"/>
    <w:rsid w:val="00BE3A4E"/>
    <w:rsid w:val="00BE6DD8"/>
    <w:rsid w:val="00BE7CEE"/>
    <w:rsid w:val="00BF0227"/>
    <w:rsid w:val="00BF0EEB"/>
    <w:rsid w:val="00BF2239"/>
    <w:rsid w:val="00BF2A38"/>
    <w:rsid w:val="00BF3E6B"/>
    <w:rsid w:val="00BF5849"/>
    <w:rsid w:val="00BF6DFA"/>
    <w:rsid w:val="00C031EA"/>
    <w:rsid w:val="00C0457E"/>
    <w:rsid w:val="00C054D9"/>
    <w:rsid w:val="00C05807"/>
    <w:rsid w:val="00C063C3"/>
    <w:rsid w:val="00C064D0"/>
    <w:rsid w:val="00C073F3"/>
    <w:rsid w:val="00C07AE8"/>
    <w:rsid w:val="00C10E33"/>
    <w:rsid w:val="00C10ED5"/>
    <w:rsid w:val="00C11B81"/>
    <w:rsid w:val="00C12768"/>
    <w:rsid w:val="00C13F8D"/>
    <w:rsid w:val="00C1558C"/>
    <w:rsid w:val="00C15C86"/>
    <w:rsid w:val="00C15E7A"/>
    <w:rsid w:val="00C16567"/>
    <w:rsid w:val="00C165BB"/>
    <w:rsid w:val="00C1682A"/>
    <w:rsid w:val="00C16FA6"/>
    <w:rsid w:val="00C17B2D"/>
    <w:rsid w:val="00C208CB"/>
    <w:rsid w:val="00C2184D"/>
    <w:rsid w:val="00C228A7"/>
    <w:rsid w:val="00C23360"/>
    <w:rsid w:val="00C23971"/>
    <w:rsid w:val="00C2530D"/>
    <w:rsid w:val="00C255C7"/>
    <w:rsid w:val="00C25804"/>
    <w:rsid w:val="00C25D6F"/>
    <w:rsid w:val="00C263BA"/>
    <w:rsid w:val="00C26681"/>
    <w:rsid w:val="00C26E6E"/>
    <w:rsid w:val="00C27BD8"/>
    <w:rsid w:val="00C27EDE"/>
    <w:rsid w:val="00C30884"/>
    <w:rsid w:val="00C30AE6"/>
    <w:rsid w:val="00C33A08"/>
    <w:rsid w:val="00C3453E"/>
    <w:rsid w:val="00C35E3B"/>
    <w:rsid w:val="00C37E33"/>
    <w:rsid w:val="00C41142"/>
    <w:rsid w:val="00C4178C"/>
    <w:rsid w:val="00C43083"/>
    <w:rsid w:val="00C43DFB"/>
    <w:rsid w:val="00C458E4"/>
    <w:rsid w:val="00C46147"/>
    <w:rsid w:val="00C51B2B"/>
    <w:rsid w:val="00C53213"/>
    <w:rsid w:val="00C5345C"/>
    <w:rsid w:val="00C538EF"/>
    <w:rsid w:val="00C54E0C"/>
    <w:rsid w:val="00C55009"/>
    <w:rsid w:val="00C55A9C"/>
    <w:rsid w:val="00C55AB0"/>
    <w:rsid w:val="00C561FF"/>
    <w:rsid w:val="00C562D0"/>
    <w:rsid w:val="00C5773F"/>
    <w:rsid w:val="00C57F27"/>
    <w:rsid w:val="00C601A9"/>
    <w:rsid w:val="00C6108B"/>
    <w:rsid w:val="00C612BC"/>
    <w:rsid w:val="00C6152F"/>
    <w:rsid w:val="00C615A2"/>
    <w:rsid w:val="00C62311"/>
    <w:rsid w:val="00C630F3"/>
    <w:rsid w:val="00C6319A"/>
    <w:rsid w:val="00C63550"/>
    <w:rsid w:val="00C647D1"/>
    <w:rsid w:val="00C65042"/>
    <w:rsid w:val="00C6542D"/>
    <w:rsid w:val="00C65BB1"/>
    <w:rsid w:val="00C65E18"/>
    <w:rsid w:val="00C675AD"/>
    <w:rsid w:val="00C70A68"/>
    <w:rsid w:val="00C74CAE"/>
    <w:rsid w:val="00C74E5C"/>
    <w:rsid w:val="00C76204"/>
    <w:rsid w:val="00C76FCE"/>
    <w:rsid w:val="00C779A1"/>
    <w:rsid w:val="00C807F5"/>
    <w:rsid w:val="00C80CC0"/>
    <w:rsid w:val="00C811BF"/>
    <w:rsid w:val="00C814DA"/>
    <w:rsid w:val="00C818E8"/>
    <w:rsid w:val="00C81DFA"/>
    <w:rsid w:val="00C832A8"/>
    <w:rsid w:val="00C8393E"/>
    <w:rsid w:val="00C85130"/>
    <w:rsid w:val="00C8573B"/>
    <w:rsid w:val="00C91DDD"/>
    <w:rsid w:val="00C92A41"/>
    <w:rsid w:val="00C93AF4"/>
    <w:rsid w:val="00C949A5"/>
    <w:rsid w:val="00C95ABE"/>
    <w:rsid w:val="00CA0535"/>
    <w:rsid w:val="00CA086D"/>
    <w:rsid w:val="00CA0B03"/>
    <w:rsid w:val="00CA3727"/>
    <w:rsid w:val="00CA3869"/>
    <w:rsid w:val="00CA3D76"/>
    <w:rsid w:val="00CA49C5"/>
    <w:rsid w:val="00CA58D6"/>
    <w:rsid w:val="00CA6183"/>
    <w:rsid w:val="00CA7DC6"/>
    <w:rsid w:val="00CB001B"/>
    <w:rsid w:val="00CB01A7"/>
    <w:rsid w:val="00CB1133"/>
    <w:rsid w:val="00CB116A"/>
    <w:rsid w:val="00CB143B"/>
    <w:rsid w:val="00CB16F4"/>
    <w:rsid w:val="00CB18C4"/>
    <w:rsid w:val="00CB1BD1"/>
    <w:rsid w:val="00CB22AB"/>
    <w:rsid w:val="00CB2837"/>
    <w:rsid w:val="00CB3855"/>
    <w:rsid w:val="00CB4670"/>
    <w:rsid w:val="00CB4CA2"/>
    <w:rsid w:val="00CB5BE4"/>
    <w:rsid w:val="00CB5FB4"/>
    <w:rsid w:val="00CB64EB"/>
    <w:rsid w:val="00CB6694"/>
    <w:rsid w:val="00CB6C31"/>
    <w:rsid w:val="00CB7080"/>
    <w:rsid w:val="00CB758E"/>
    <w:rsid w:val="00CC04B6"/>
    <w:rsid w:val="00CC0F36"/>
    <w:rsid w:val="00CC1B43"/>
    <w:rsid w:val="00CC327F"/>
    <w:rsid w:val="00CC3DC4"/>
    <w:rsid w:val="00CC43D1"/>
    <w:rsid w:val="00CC4622"/>
    <w:rsid w:val="00CC474E"/>
    <w:rsid w:val="00CC476F"/>
    <w:rsid w:val="00CC592B"/>
    <w:rsid w:val="00CC6CCE"/>
    <w:rsid w:val="00CD0BB2"/>
    <w:rsid w:val="00CD17CF"/>
    <w:rsid w:val="00CD2D28"/>
    <w:rsid w:val="00CD33CC"/>
    <w:rsid w:val="00CD567F"/>
    <w:rsid w:val="00CD6007"/>
    <w:rsid w:val="00CD7C2E"/>
    <w:rsid w:val="00CD7C64"/>
    <w:rsid w:val="00CE0068"/>
    <w:rsid w:val="00CE0123"/>
    <w:rsid w:val="00CE2887"/>
    <w:rsid w:val="00CE2C99"/>
    <w:rsid w:val="00CE3DEF"/>
    <w:rsid w:val="00CE5E93"/>
    <w:rsid w:val="00CE69A8"/>
    <w:rsid w:val="00CE6C52"/>
    <w:rsid w:val="00CE7059"/>
    <w:rsid w:val="00CE7AFC"/>
    <w:rsid w:val="00CF1930"/>
    <w:rsid w:val="00CF1C63"/>
    <w:rsid w:val="00CF3979"/>
    <w:rsid w:val="00CF48C5"/>
    <w:rsid w:val="00CF5EF3"/>
    <w:rsid w:val="00CF70F4"/>
    <w:rsid w:val="00CF719B"/>
    <w:rsid w:val="00D02493"/>
    <w:rsid w:val="00D024B7"/>
    <w:rsid w:val="00D02CE7"/>
    <w:rsid w:val="00D030CB"/>
    <w:rsid w:val="00D03525"/>
    <w:rsid w:val="00D04C9F"/>
    <w:rsid w:val="00D06052"/>
    <w:rsid w:val="00D0618B"/>
    <w:rsid w:val="00D06B7E"/>
    <w:rsid w:val="00D06FF5"/>
    <w:rsid w:val="00D10AEE"/>
    <w:rsid w:val="00D1394D"/>
    <w:rsid w:val="00D13FC7"/>
    <w:rsid w:val="00D16D8C"/>
    <w:rsid w:val="00D210B8"/>
    <w:rsid w:val="00D221BA"/>
    <w:rsid w:val="00D2475C"/>
    <w:rsid w:val="00D24C21"/>
    <w:rsid w:val="00D25010"/>
    <w:rsid w:val="00D26B3D"/>
    <w:rsid w:val="00D2767D"/>
    <w:rsid w:val="00D3026D"/>
    <w:rsid w:val="00D30C4E"/>
    <w:rsid w:val="00D30E74"/>
    <w:rsid w:val="00D30E81"/>
    <w:rsid w:val="00D31769"/>
    <w:rsid w:val="00D325E4"/>
    <w:rsid w:val="00D32DEA"/>
    <w:rsid w:val="00D33DB8"/>
    <w:rsid w:val="00D343F1"/>
    <w:rsid w:val="00D35384"/>
    <w:rsid w:val="00D3575D"/>
    <w:rsid w:val="00D3581F"/>
    <w:rsid w:val="00D37608"/>
    <w:rsid w:val="00D4173D"/>
    <w:rsid w:val="00D41863"/>
    <w:rsid w:val="00D41F2D"/>
    <w:rsid w:val="00D423FA"/>
    <w:rsid w:val="00D450CD"/>
    <w:rsid w:val="00D47373"/>
    <w:rsid w:val="00D50594"/>
    <w:rsid w:val="00D50803"/>
    <w:rsid w:val="00D50FE4"/>
    <w:rsid w:val="00D51EF7"/>
    <w:rsid w:val="00D529AC"/>
    <w:rsid w:val="00D535E9"/>
    <w:rsid w:val="00D5402C"/>
    <w:rsid w:val="00D5423F"/>
    <w:rsid w:val="00D54EE9"/>
    <w:rsid w:val="00D56439"/>
    <w:rsid w:val="00D574F6"/>
    <w:rsid w:val="00D6428A"/>
    <w:rsid w:val="00D64B72"/>
    <w:rsid w:val="00D64C42"/>
    <w:rsid w:val="00D6553D"/>
    <w:rsid w:val="00D659F8"/>
    <w:rsid w:val="00D662E3"/>
    <w:rsid w:val="00D668C3"/>
    <w:rsid w:val="00D670E7"/>
    <w:rsid w:val="00D67E9D"/>
    <w:rsid w:val="00D70912"/>
    <w:rsid w:val="00D71B49"/>
    <w:rsid w:val="00D749B3"/>
    <w:rsid w:val="00D759B4"/>
    <w:rsid w:val="00D75ABE"/>
    <w:rsid w:val="00D760F3"/>
    <w:rsid w:val="00D765DD"/>
    <w:rsid w:val="00D76C14"/>
    <w:rsid w:val="00D77CD4"/>
    <w:rsid w:val="00D77F59"/>
    <w:rsid w:val="00D805D7"/>
    <w:rsid w:val="00D80AF8"/>
    <w:rsid w:val="00D81480"/>
    <w:rsid w:val="00D820E6"/>
    <w:rsid w:val="00D823A6"/>
    <w:rsid w:val="00D8288A"/>
    <w:rsid w:val="00D83BCF"/>
    <w:rsid w:val="00D84327"/>
    <w:rsid w:val="00D86A77"/>
    <w:rsid w:val="00D86B4C"/>
    <w:rsid w:val="00D87521"/>
    <w:rsid w:val="00D877A3"/>
    <w:rsid w:val="00D90239"/>
    <w:rsid w:val="00D91EC4"/>
    <w:rsid w:val="00D92BB2"/>
    <w:rsid w:val="00D93D89"/>
    <w:rsid w:val="00D94927"/>
    <w:rsid w:val="00D94D80"/>
    <w:rsid w:val="00D96468"/>
    <w:rsid w:val="00D975A1"/>
    <w:rsid w:val="00DA00C8"/>
    <w:rsid w:val="00DA140E"/>
    <w:rsid w:val="00DA3392"/>
    <w:rsid w:val="00DA48B5"/>
    <w:rsid w:val="00DA4F86"/>
    <w:rsid w:val="00DA52C8"/>
    <w:rsid w:val="00DA6D4F"/>
    <w:rsid w:val="00DA7D3D"/>
    <w:rsid w:val="00DB08F8"/>
    <w:rsid w:val="00DB201A"/>
    <w:rsid w:val="00DB2FD5"/>
    <w:rsid w:val="00DB32AE"/>
    <w:rsid w:val="00DB3985"/>
    <w:rsid w:val="00DB414C"/>
    <w:rsid w:val="00DB42A7"/>
    <w:rsid w:val="00DB4307"/>
    <w:rsid w:val="00DB454E"/>
    <w:rsid w:val="00DB63AF"/>
    <w:rsid w:val="00DB7800"/>
    <w:rsid w:val="00DB7CE3"/>
    <w:rsid w:val="00DC105C"/>
    <w:rsid w:val="00DC10CB"/>
    <w:rsid w:val="00DC1615"/>
    <w:rsid w:val="00DC1823"/>
    <w:rsid w:val="00DC290B"/>
    <w:rsid w:val="00DC3FD1"/>
    <w:rsid w:val="00DC4E82"/>
    <w:rsid w:val="00DC7AC8"/>
    <w:rsid w:val="00DD0E58"/>
    <w:rsid w:val="00DD1B61"/>
    <w:rsid w:val="00DD1E43"/>
    <w:rsid w:val="00DD2185"/>
    <w:rsid w:val="00DD288B"/>
    <w:rsid w:val="00DD2A65"/>
    <w:rsid w:val="00DD3F18"/>
    <w:rsid w:val="00DD42F9"/>
    <w:rsid w:val="00DD6EE1"/>
    <w:rsid w:val="00DE1961"/>
    <w:rsid w:val="00DE1D2C"/>
    <w:rsid w:val="00DE41CF"/>
    <w:rsid w:val="00DE52EC"/>
    <w:rsid w:val="00DE647E"/>
    <w:rsid w:val="00DE6B9C"/>
    <w:rsid w:val="00DF0A77"/>
    <w:rsid w:val="00DF0B11"/>
    <w:rsid w:val="00DF1930"/>
    <w:rsid w:val="00DF2D9C"/>
    <w:rsid w:val="00DF2F67"/>
    <w:rsid w:val="00DF338B"/>
    <w:rsid w:val="00DF4982"/>
    <w:rsid w:val="00DF5DA4"/>
    <w:rsid w:val="00DF7F6C"/>
    <w:rsid w:val="00DF7F79"/>
    <w:rsid w:val="00E02C49"/>
    <w:rsid w:val="00E03BCC"/>
    <w:rsid w:val="00E04981"/>
    <w:rsid w:val="00E064CE"/>
    <w:rsid w:val="00E065B4"/>
    <w:rsid w:val="00E0678F"/>
    <w:rsid w:val="00E06C7F"/>
    <w:rsid w:val="00E07992"/>
    <w:rsid w:val="00E10D56"/>
    <w:rsid w:val="00E11035"/>
    <w:rsid w:val="00E138AC"/>
    <w:rsid w:val="00E13995"/>
    <w:rsid w:val="00E15B09"/>
    <w:rsid w:val="00E161A4"/>
    <w:rsid w:val="00E16849"/>
    <w:rsid w:val="00E17052"/>
    <w:rsid w:val="00E21D6D"/>
    <w:rsid w:val="00E23562"/>
    <w:rsid w:val="00E23872"/>
    <w:rsid w:val="00E23900"/>
    <w:rsid w:val="00E24023"/>
    <w:rsid w:val="00E24678"/>
    <w:rsid w:val="00E2471F"/>
    <w:rsid w:val="00E25397"/>
    <w:rsid w:val="00E267ED"/>
    <w:rsid w:val="00E27F0B"/>
    <w:rsid w:val="00E34BAE"/>
    <w:rsid w:val="00E34FBA"/>
    <w:rsid w:val="00E35E9C"/>
    <w:rsid w:val="00E4081A"/>
    <w:rsid w:val="00E40EFA"/>
    <w:rsid w:val="00E4156C"/>
    <w:rsid w:val="00E41955"/>
    <w:rsid w:val="00E42B27"/>
    <w:rsid w:val="00E435E4"/>
    <w:rsid w:val="00E44334"/>
    <w:rsid w:val="00E4460F"/>
    <w:rsid w:val="00E45324"/>
    <w:rsid w:val="00E46BF8"/>
    <w:rsid w:val="00E47359"/>
    <w:rsid w:val="00E507D6"/>
    <w:rsid w:val="00E51395"/>
    <w:rsid w:val="00E53D15"/>
    <w:rsid w:val="00E54251"/>
    <w:rsid w:val="00E545C9"/>
    <w:rsid w:val="00E54AF2"/>
    <w:rsid w:val="00E54F65"/>
    <w:rsid w:val="00E5511F"/>
    <w:rsid w:val="00E56EA3"/>
    <w:rsid w:val="00E57FC7"/>
    <w:rsid w:val="00E609E0"/>
    <w:rsid w:val="00E60DC9"/>
    <w:rsid w:val="00E611ED"/>
    <w:rsid w:val="00E621C5"/>
    <w:rsid w:val="00E623C9"/>
    <w:rsid w:val="00E62756"/>
    <w:rsid w:val="00E65537"/>
    <w:rsid w:val="00E65C22"/>
    <w:rsid w:val="00E661AD"/>
    <w:rsid w:val="00E66435"/>
    <w:rsid w:val="00E67724"/>
    <w:rsid w:val="00E67DA3"/>
    <w:rsid w:val="00E67F2C"/>
    <w:rsid w:val="00E70A88"/>
    <w:rsid w:val="00E70DEC"/>
    <w:rsid w:val="00E74EF3"/>
    <w:rsid w:val="00E75772"/>
    <w:rsid w:val="00E75F72"/>
    <w:rsid w:val="00E76A70"/>
    <w:rsid w:val="00E80139"/>
    <w:rsid w:val="00E80583"/>
    <w:rsid w:val="00E80755"/>
    <w:rsid w:val="00E816FC"/>
    <w:rsid w:val="00E81849"/>
    <w:rsid w:val="00E82246"/>
    <w:rsid w:val="00E83548"/>
    <w:rsid w:val="00E84EB4"/>
    <w:rsid w:val="00E85E2F"/>
    <w:rsid w:val="00E8669F"/>
    <w:rsid w:val="00E86851"/>
    <w:rsid w:val="00E876C1"/>
    <w:rsid w:val="00E91E8D"/>
    <w:rsid w:val="00E92916"/>
    <w:rsid w:val="00E92A2F"/>
    <w:rsid w:val="00E94582"/>
    <w:rsid w:val="00E9551E"/>
    <w:rsid w:val="00E95A30"/>
    <w:rsid w:val="00E96CFD"/>
    <w:rsid w:val="00E970E6"/>
    <w:rsid w:val="00EA33C3"/>
    <w:rsid w:val="00EA4543"/>
    <w:rsid w:val="00EA6847"/>
    <w:rsid w:val="00EA6ECB"/>
    <w:rsid w:val="00EA73BD"/>
    <w:rsid w:val="00EB0967"/>
    <w:rsid w:val="00EB143F"/>
    <w:rsid w:val="00EB36DF"/>
    <w:rsid w:val="00EB53EB"/>
    <w:rsid w:val="00EC1A54"/>
    <w:rsid w:val="00EC27B2"/>
    <w:rsid w:val="00EC28CC"/>
    <w:rsid w:val="00EC2C66"/>
    <w:rsid w:val="00EC45B4"/>
    <w:rsid w:val="00EC460F"/>
    <w:rsid w:val="00EC5E0B"/>
    <w:rsid w:val="00EC7E90"/>
    <w:rsid w:val="00ED0B10"/>
    <w:rsid w:val="00ED0F98"/>
    <w:rsid w:val="00ED198F"/>
    <w:rsid w:val="00ED2BD7"/>
    <w:rsid w:val="00ED520A"/>
    <w:rsid w:val="00ED5D3C"/>
    <w:rsid w:val="00ED606E"/>
    <w:rsid w:val="00ED6554"/>
    <w:rsid w:val="00ED68CD"/>
    <w:rsid w:val="00ED6979"/>
    <w:rsid w:val="00ED75D6"/>
    <w:rsid w:val="00ED7718"/>
    <w:rsid w:val="00EE017F"/>
    <w:rsid w:val="00EE2950"/>
    <w:rsid w:val="00EE3769"/>
    <w:rsid w:val="00EE3D9F"/>
    <w:rsid w:val="00EE4B89"/>
    <w:rsid w:val="00EF087B"/>
    <w:rsid w:val="00EF08D6"/>
    <w:rsid w:val="00EF0B5F"/>
    <w:rsid w:val="00EF1889"/>
    <w:rsid w:val="00EF1920"/>
    <w:rsid w:val="00EF1A51"/>
    <w:rsid w:val="00EF353C"/>
    <w:rsid w:val="00EF3D95"/>
    <w:rsid w:val="00EF3FE3"/>
    <w:rsid w:val="00EF4B40"/>
    <w:rsid w:val="00EF5203"/>
    <w:rsid w:val="00EF5E80"/>
    <w:rsid w:val="00EF697C"/>
    <w:rsid w:val="00EF6B79"/>
    <w:rsid w:val="00EF6FD6"/>
    <w:rsid w:val="00EF7C7B"/>
    <w:rsid w:val="00EF7C80"/>
    <w:rsid w:val="00F0040A"/>
    <w:rsid w:val="00F00C5E"/>
    <w:rsid w:val="00F00FF6"/>
    <w:rsid w:val="00F02065"/>
    <w:rsid w:val="00F02496"/>
    <w:rsid w:val="00F045D1"/>
    <w:rsid w:val="00F05C67"/>
    <w:rsid w:val="00F06330"/>
    <w:rsid w:val="00F0796C"/>
    <w:rsid w:val="00F10137"/>
    <w:rsid w:val="00F130F8"/>
    <w:rsid w:val="00F1347E"/>
    <w:rsid w:val="00F20763"/>
    <w:rsid w:val="00F22004"/>
    <w:rsid w:val="00F237F9"/>
    <w:rsid w:val="00F253FA"/>
    <w:rsid w:val="00F26E13"/>
    <w:rsid w:val="00F27D82"/>
    <w:rsid w:val="00F3116F"/>
    <w:rsid w:val="00F33754"/>
    <w:rsid w:val="00F3375E"/>
    <w:rsid w:val="00F35A98"/>
    <w:rsid w:val="00F35DCD"/>
    <w:rsid w:val="00F36C6E"/>
    <w:rsid w:val="00F37A2D"/>
    <w:rsid w:val="00F37ADC"/>
    <w:rsid w:val="00F40447"/>
    <w:rsid w:val="00F40DA7"/>
    <w:rsid w:val="00F41309"/>
    <w:rsid w:val="00F4283C"/>
    <w:rsid w:val="00F44473"/>
    <w:rsid w:val="00F462BF"/>
    <w:rsid w:val="00F46735"/>
    <w:rsid w:val="00F503CE"/>
    <w:rsid w:val="00F50D0D"/>
    <w:rsid w:val="00F5230A"/>
    <w:rsid w:val="00F54E37"/>
    <w:rsid w:val="00F5512C"/>
    <w:rsid w:val="00F6103D"/>
    <w:rsid w:val="00F61389"/>
    <w:rsid w:val="00F62199"/>
    <w:rsid w:val="00F62475"/>
    <w:rsid w:val="00F638E4"/>
    <w:rsid w:val="00F63E87"/>
    <w:rsid w:val="00F653AB"/>
    <w:rsid w:val="00F65891"/>
    <w:rsid w:val="00F65B0B"/>
    <w:rsid w:val="00F6630E"/>
    <w:rsid w:val="00F66A49"/>
    <w:rsid w:val="00F673E6"/>
    <w:rsid w:val="00F70991"/>
    <w:rsid w:val="00F713FD"/>
    <w:rsid w:val="00F7190E"/>
    <w:rsid w:val="00F72606"/>
    <w:rsid w:val="00F7295B"/>
    <w:rsid w:val="00F72AF5"/>
    <w:rsid w:val="00F72B0C"/>
    <w:rsid w:val="00F747A2"/>
    <w:rsid w:val="00F7505C"/>
    <w:rsid w:val="00F75088"/>
    <w:rsid w:val="00F76F91"/>
    <w:rsid w:val="00F77A81"/>
    <w:rsid w:val="00F82B61"/>
    <w:rsid w:val="00F83371"/>
    <w:rsid w:val="00F84988"/>
    <w:rsid w:val="00F84E88"/>
    <w:rsid w:val="00F85418"/>
    <w:rsid w:val="00F86A9B"/>
    <w:rsid w:val="00F86B95"/>
    <w:rsid w:val="00F87B34"/>
    <w:rsid w:val="00F87D5D"/>
    <w:rsid w:val="00F90047"/>
    <w:rsid w:val="00F90608"/>
    <w:rsid w:val="00F90F98"/>
    <w:rsid w:val="00F92447"/>
    <w:rsid w:val="00F92D61"/>
    <w:rsid w:val="00F93F65"/>
    <w:rsid w:val="00F949CE"/>
    <w:rsid w:val="00F95172"/>
    <w:rsid w:val="00FA1154"/>
    <w:rsid w:val="00FA119D"/>
    <w:rsid w:val="00FA12C3"/>
    <w:rsid w:val="00FA35DF"/>
    <w:rsid w:val="00FA40E9"/>
    <w:rsid w:val="00FA4730"/>
    <w:rsid w:val="00FA4E37"/>
    <w:rsid w:val="00FA613D"/>
    <w:rsid w:val="00FA64BD"/>
    <w:rsid w:val="00FA7379"/>
    <w:rsid w:val="00FA7BC4"/>
    <w:rsid w:val="00FB160A"/>
    <w:rsid w:val="00FB1D06"/>
    <w:rsid w:val="00FB206C"/>
    <w:rsid w:val="00FB2275"/>
    <w:rsid w:val="00FB25F2"/>
    <w:rsid w:val="00FB269C"/>
    <w:rsid w:val="00FB27C6"/>
    <w:rsid w:val="00FB3022"/>
    <w:rsid w:val="00FB350E"/>
    <w:rsid w:val="00FB36FD"/>
    <w:rsid w:val="00FB5D3C"/>
    <w:rsid w:val="00FB5E42"/>
    <w:rsid w:val="00FB626D"/>
    <w:rsid w:val="00FB6339"/>
    <w:rsid w:val="00FB7B71"/>
    <w:rsid w:val="00FB7EB7"/>
    <w:rsid w:val="00FC07A5"/>
    <w:rsid w:val="00FC6288"/>
    <w:rsid w:val="00FC639F"/>
    <w:rsid w:val="00FC6EF3"/>
    <w:rsid w:val="00FD047C"/>
    <w:rsid w:val="00FD13CA"/>
    <w:rsid w:val="00FD1762"/>
    <w:rsid w:val="00FD396C"/>
    <w:rsid w:val="00FD404B"/>
    <w:rsid w:val="00FD4256"/>
    <w:rsid w:val="00FD4DAE"/>
    <w:rsid w:val="00FD5467"/>
    <w:rsid w:val="00FD552F"/>
    <w:rsid w:val="00FD557E"/>
    <w:rsid w:val="00FD5659"/>
    <w:rsid w:val="00FD57CA"/>
    <w:rsid w:val="00FD5D47"/>
    <w:rsid w:val="00FD7401"/>
    <w:rsid w:val="00FE1FEA"/>
    <w:rsid w:val="00FE2815"/>
    <w:rsid w:val="00FE2FA1"/>
    <w:rsid w:val="00FE3D94"/>
    <w:rsid w:val="00FE7A0B"/>
    <w:rsid w:val="00FE7A60"/>
    <w:rsid w:val="00FE7C41"/>
    <w:rsid w:val="00FF0CCC"/>
    <w:rsid w:val="00FF17B4"/>
    <w:rsid w:val="00FF284A"/>
    <w:rsid w:val="00FF3098"/>
    <w:rsid w:val="00FF4A78"/>
    <w:rsid w:val="00FF5417"/>
    <w:rsid w:val="00FF5A89"/>
    <w:rsid w:val="00FF726E"/>
    <w:rsid w:val="014557C2"/>
    <w:rsid w:val="016D6AC7"/>
    <w:rsid w:val="025F28B4"/>
    <w:rsid w:val="02ED4364"/>
    <w:rsid w:val="03165668"/>
    <w:rsid w:val="03174F3D"/>
    <w:rsid w:val="03213F33"/>
    <w:rsid w:val="03A10CAA"/>
    <w:rsid w:val="03D60954"/>
    <w:rsid w:val="03EA43FF"/>
    <w:rsid w:val="04091CF5"/>
    <w:rsid w:val="043B4C5B"/>
    <w:rsid w:val="043D4E77"/>
    <w:rsid w:val="05143E2A"/>
    <w:rsid w:val="05376DE3"/>
    <w:rsid w:val="057F140E"/>
    <w:rsid w:val="05A6067C"/>
    <w:rsid w:val="0667442D"/>
    <w:rsid w:val="071D10D6"/>
    <w:rsid w:val="0730481F"/>
    <w:rsid w:val="07A81F4F"/>
    <w:rsid w:val="0895702F"/>
    <w:rsid w:val="08A4385E"/>
    <w:rsid w:val="08AD726E"/>
    <w:rsid w:val="09612F3C"/>
    <w:rsid w:val="09FD2B48"/>
    <w:rsid w:val="0A59408D"/>
    <w:rsid w:val="0B6F69F0"/>
    <w:rsid w:val="0C201306"/>
    <w:rsid w:val="0C253A2A"/>
    <w:rsid w:val="0D420FAB"/>
    <w:rsid w:val="0DDE4FD5"/>
    <w:rsid w:val="0E214EC1"/>
    <w:rsid w:val="0EA224A6"/>
    <w:rsid w:val="0EF97BEC"/>
    <w:rsid w:val="0F1D38DB"/>
    <w:rsid w:val="0FE60171"/>
    <w:rsid w:val="10E741A0"/>
    <w:rsid w:val="113373E5"/>
    <w:rsid w:val="126956FA"/>
    <w:rsid w:val="126C03E3"/>
    <w:rsid w:val="12A52565"/>
    <w:rsid w:val="13651CF4"/>
    <w:rsid w:val="1424395D"/>
    <w:rsid w:val="14EC137B"/>
    <w:rsid w:val="150A3FB6"/>
    <w:rsid w:val="15EF58A5"/>
    <w:rsid w:val="1692630C"/>
    <w:rsid w:val="16B066C9"/>
    <w:rsid w:val="17602EFE"/>
    <w:rsid w:val="17AC6144"/>
    <w:rsid w:val="1853036D"/>
    <w:rsid w:val="18F67021"/>
    <w:rsid w:val="191C2E55"/>
    <w:rsid w:val="19263CD4"/>
    <w:rsid w:val="19B72BBB"/>
    <w:rsid w:val="1A20226D"/>
    <w:rsid w:val="1B1464DA"/>
    <w:rsid w:val="1B2A584C"/>
    <w:rsid w:val="1B4D19EC"/>
    <w:rsid w:val="1B974A15"/>
    <w:rsid w:val="1C5A395E"/>
    <w:rsid w:val="1C640D9B"/>
    <w:rsid w:val="1C961170"/>
    <w:rsid w:val="1D4604A0"/>
    <w:rsid w:val="1D5232E9"/>
    <w:rsid w:val="1D582DA4"/>
    <w:rsid w:val="1E0D0FBE"/>
    <w:rsid w:val="1E2307E2"/>
    <w:rsid w:val="1EE46A6E"/>
    <w:rsid w:val="1F283A9B"/>
    <w:rsid w:val="1F4C68DB"/>
    <w:rsid w:val="1FA63478"/>
    <w:rsid w:val="1FD55B3F"/>
    <w:rsid w:val="202A5E57"/>
    <w:rsid w:val="20436F19"/>
    <w:rsid w:val="205078D4"/>
    <w:rsid w:val="206C021E"/>
    <w:rsid w:val="20B254FF"/>
    <w:rsid w:val="20C95670"/>
    <w:rsid w:val="21A340A7"/>
    <w:rsid w:val="234A05BF"/>
    <w:rsid w:val="240370EB"/>
    <w:rsid w:val="24197F65"/>
    <w:rsid w:val="2492046F"/>
    <w:rsid w:val="24B37C49"/>
    <w:rsid w:val="251610A0"/>
    <w:rsid w:val="25CC492C"/>
    <w:rsid w:val="25D30D3F"/>
    <w:rsid w:val="260D7D58"/>
    <w:rsid w:val="265A320F"/>
    <w:rsid w:val="27383550"/>
    <w:rsid w:val="27541A0C"/>
    <w:rsid w:val="27A646A0"/>
    <w:rsid w:val="27BD1CA7"/>
    <w:rsid w:val="27D41C77"/>
    <w:rsid w:val="27FD7C91"/>
    <w:rsid w:val="28125B4F"/>
    <w:rsid w:val="28456811"/>
    <w:rsid w:val="284B0782"/>
    <w:rsid w:val="289F315B"/>
    <w:rsid w:val="29086F52"/>
    <w:rsid w:val="29944F9F"/>
    <w:rsid w:val="2A3A75DF"/>
    <w:rsid w:val="2A906458"/>
    <w:rsid w:val="2AF56F1C"/>
    <w:rsid w:val="2B3D7387"/>
    <w:rsid w:val="2C9514FB"/>
    <w:rsid w:val="2D130244"/>
    <w:rsid w:val="2D8F6B36"/>
    <w:rsid w:val="2DA029D4"/>
    <w:rsid w:val="2DC3340F"/>
    <w:rsid w:val="2ED7364E"/>
    <w:rsid w:val="2EF04710"/>
    <w:rsid w:val="2F500A71"/>
    <w:rsid w:val="2F9F3C9D"/>
    <w:rsid w:val="304C4AAF"/>
    <w:rsid w:val="30CB3AC3"/>
    <w:rsid w:val="319B6BB5"/>
    <w:rsid w:val="32195D2C"/>
    <w:rsid w:val="323302B9"/>
    <w:rsid w:val="32AC5AD6"/>
    <w:rsid w:val="33171B50"/>
    <w:rsid w:val="34135293"/>
    <w:rsid w:val="347170C3"/>
    <w:rsid w:val="348C6C89"/>
    <w:rsid w:val="349B6ECC"/>
    <w:rsid w:val="35326A11"/>
    <w:rsid w:val="362C2129"/>
    <w:rsid w:val="37063F55"/>
    <w:rsid w:val="37A23C7A"/>
    <w:rsid w:val="385C6972"/>
    <w:rsid w:val="38C56C0D"/>
    <w:rsid w:val="38EE21E0"/>
    <w:rsid w:val="397E1239"/>
    <w:rsid w:val="3A074ADE"/>
    <w:rsid w:val="3A414072"/>
    <w:rsid w:val="3ABC7B9C"/>
    <w:rsid w:val="3AF15A98"/>
    <w:rsid w:val="3B8701AA"/>
    <w:rsid w:val="3DF24001"/>
    <w:rsid w:val="3E5D51F2"/>
    <w:rsid w:val="3F84512C"/>
    <w:rsid w:val="3F980BD8"/>
    <w:rsid w:val="40271F5C"/>
    <w:rsid w:val="406805AA"/>
    <w:rsid w:val="416A65A4"/>
    <w:rsid w:val="41962EF5"/>
    <w:rsid w:val="427F607F"/>
    <w:rsid w:val="42982C9D"/>
    <w:rsid w:val="43904EF7"/>
    <w:rsid w:val="442E5EE4"/>
    <w:rsid w:val="44F073DC"/>
    <w:rsid w:val="44FF7003"/>
    <w:rsid w:val="46175835"/>
    <w:rsid w:val="46BE3535"/>
    <w:rsid w:val="470144B2"/>
    <w:rsid w:val="476D64A6"/>
    <w:rsid w:val="477535AD"/>
    <w:rsid w:val="47C02A7A"/>
    <w:rsid w:val="48A42D10"/>
    <w:rsid w:val="48AB372A"/>
    <w:rsid w:val="492E435B"/>
    <w:rsid w:val="49461447"/>
    <w:rsid w:val="4A1D0657"/>
    <w:rsid w:val="4A4E1842"/>
    <w:rsid w:val="4AC10157"/>
    <w:rsid w:val="4AD52CE0"/>
    <w:rsid w:val="4B3075D1"/>
    <w:rsid w:val="4B3A0D95"/>
    <w:rsid w:val="4B685902"/>
    <w:rsid w:val="4BB82962"/>
    <w:rsid w:val="4C7A28F4"/>
    <w:rsid w:val="4CE70AA9"/>
    <w:rsid w:val="4CFD7FB8"/>
    <w:rsid w:val="4D0617FD"/>
    <w:rsid w:val="4D666E75"/>
    <w:rsid w:val="4DD80905"/>
    <w:rsid w:val="4E5754CD"/>
    <w:rsid w:val="4ED162B3"/>
    <w:rsid w:val="4EE367B6"/>
    <w:rsid w:val="4EF70D4B"/>
    <w:rsid w:val="500D4CCA"/>
    <w:rsid w:val="50811214"/>
    <w:rsid w:val="50C817D5"/>
    <w:rsid w:val="50EA13B1"/>
    <w:rsid w:val="50FD6730"/>
    <w:rsid w:val="510C61C9"/>
    <w:rsid w:val="51C63383"/>
    <w:rsid w:val="522417C5"/>
    <w:rsid w:val="52FE6B4C"/>
    <w:rsid w:val="531D5224"/>
    <w:rsid w:val="53AE0572"/>
    <w:rsid w:val="53BA0BD7"/>
    <w:rsid w:val="53C02053"/>
    <w:rsid w:val="53D476A7"/>
    <w:rsid w:val="53D77AC9"/>
    <w:rsid w:val="540463E4"/>
    <w:rsid w:val="54444A33"/>
    <w:rsid w:val="54E57FC4"/>
    <w:rsid w:val="54EB4EAE"/>
    <w:rsid w:val="55642E8C"/>
    <w:rsid w:val="56EF1058"/>
    <w:rsid w:val="57E31205"/>
    <w:rsid w:val="57E562DB"/>
    <w:rsid w:val="58592A22"/>
    <w:rsid w:val="586B6F75"/>
    <w:rsid w:val="5895585D"/>
    <w:rsid w:val="58BE0992"/>
    <w:rsid w:val="595E0345"/>
    <w:rsid w:val="5A494B51"/>
    <w:rsid w:val="5A663955"/>
    <w:rsid w:val="5AB32A9D"/>
    <w:rsid w:val="5ADA7E9F"/>
    <w:rsid w:val="5BF8682E"/>
    <w:rsid w:val="5CA83335"/>
    <w:rsid w:val="5D011713"/>
    <w:rsid w:val="5D0E61F4"/>
    <w:rsid w:val="5E406F4F"/>
    <w:rsid w:val="5F9A5E4E"/>
    <w:rsid w:val="607E04DB"/>
    <w:rsid w:val="60AF7325"/>
    <w:rsid w:val="60F65306"/>
    <w:rsid w:val="612B1454"/>
    <w:rsid w:val="625978FB"/>
    <w:rsid w:val="62EC2E5B"/>
    <w:rsid w:val="62FA7924"/>
    <w:rsid w:val="62FD0BCE"/>
    <w:rsid w:val="63A728E8"/>
    <w:rsid w:val="63ED0C43"/>
    <w:rsid w:val="64504E16"/>
    <w:rsid w:val="64801AB7"/>
    <w:rsid w:val="649E3AB0"/>
    <w:rsid w:val="667F18FA"/>
    <w:rsid w:val="66AD27EC"/>
    <w:rsid w:val="678371C8"/>
    <w:rsid w:val="68294213"/>
    <w:rsid w:val="69392234"/>
    <w:rsid w:val="693E5A9D"/>
    <w:rsid w:val="69EB7D9B"/>
    <w:rsid w:val="6A372C18"/>
    <w:rsid w:val="6A670A9A"/>
    <w:rsid w:val="6AA638F9"/>
    <w:rsid w:val="6BBB49D8"/>
    <w:rsid w:val="6BF40694"/>
    <w:rsid w:val="6CE33C55"/>
    <w:rsid w:val="6CFC5A53"/>
    <w:rsid w:val="6D673814"/>
    <w:rsid w:val="6EA463A2"/>
    <w:rsid w:val="6F8A5598"/>
    <w:rsid w:val="702D7DCB"/>
    <w:rsid w:val="705861FF"/>
    <w:rsid w:val="716B0D84"/>
    <w:rsid w:val="717E5AA2"/>
    <w:rsid w:val="71F633B8"/>
    <w:rsid w:val="724D25BF"/>
    <w:rsid w:val="727F6214"/>
    <w:rsid w:val="729573C0"/>
    <w:rsid w:val="72E27499"/>
    <w:rsid w:val="73305461"/>
    <w:rsid w:val="73A35261"/>
    <w:rsid w:val="73B61051"/>
    <w:rsid w:val="746B78B3"/>
    <w:rsid w:val="74F17E67"/>
    <w:rsid w:val="7516167C"/>
    <w:rsid w:val="7524023C"/>
    <w:rsid w:val="76263B40"/>
    <w:rsid w:val="77D5456F"/>
    <w:rsid w:val="78E616F5"/>
    <w:rsid w:val="78FF6FF6"/>
    <w:rsid w:val="7A97500D"/>
    <w:rsid w:val="7B872369"/>
    <w:rsid w:val="7B8C6B3B"/>
    <w:rsid w:val="7BC2255D"/>
    <w:rsid w:val="7C431DAC"/>
    <w:rsid w:val="7C556C4A"/>
    <w:rsid w:val="7D711B45"/>
    <w:rsid w:val="7E143279"/>
    <w:rsid w:val="7E236951"/>
    <w:rsid w:val="7EAB3F89"/>
    <w:rsid w:val="7F50567C"/>
    <w:rsid w:val="7FC164F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20" w:semiHidden="0" w:name="Emphasis" w:locked="1"/>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8"/>
    <w:semiHidden/>
    <w:qFormat/>
    <w:uiPriority w:val="99"/>
    <w:pPr>
      <w:jc w:val="left"/>
    </w:pPr>
  </w:style>
  <w:style w:type="paragraph" w:styleId="3">
    <w:name w:val="Body Text Indent"/>
    <w:basedOn w:val="1"/>
    <w:link w:val="25"/>
    <w:unhideWhenUsed/>
    <w:qFormat/>
    <w:uiPriority w:val="0"/>
    <w:pPr>
      <w:spacing w:line="400" w:lineRule="exact"/>
      <w:ind w:firstLine="480" w:firstLineChars="200"/>
    </w:pPr>
    <w:rPr>
      <w:rFonts w:ascii="微软雅黑" w:hAnsi="微软雅黑" w:eastAsia="微软雅黑"/>
      <w:kern w:val="0"/>
      <w:sz w:val="24"/>
      <w:szCs w:val="24"/>
    </w:rPr>
  </w:style>
  <w:style w:type="paragraph" w:styleId="4">
    <w:name w:val="Plain Text"/>
    <w:basedOn w:val="1"/>
    <w:link w:val="28"/>
    <w:qFormat/>
    <w:uiPriority w:val="0"/>
    <w:rPr>
      <w:rFonts w:hAnsi="Courier New" w:cs="Courier New"/>
      <w:szCs w:val="21"/>
    </w:rPr>
  </w:style>
  <w:style w:type="paragraph" w:styleId="5">
    <w:name w:val="endnote text"/>
    <w:basedOn w:val="1"/>
    <w:link w:val="24"/>
    <w:semiHidden/>
    <w:unhideWhenUsed/>
    <w:qFormat/>
    <w:uiPriority w:val="99"/>
    <w:pPr>
      <w:snapToGrid w:val="0"/>
      <w:jc w:val="left"/>
    </w:pPr>
  </w:style>
  <w:style w:type="paragraph" w:styleId="6">
    <w:name w:val="Balloon Text"/>
    <w:basedOn w:val="1"/>
    <w:link w:val="19"/>
    <w:semiHidden/>
    <w:qFormat/>
    <w:uiPriority w:val="99"/>
    <w:rPr>
      <w:sz w:val="18"/>
      <w:szCs w:val="18"/>
    </w:rPr>
  </w:style>
  <w:style w:type="paragraph" w:styleId="7">
    <w:name w:val="footer"/>
    <w:basedOn w:val="1"/>
    <w:link w:val="20"/>
    <w:qFormat/>
    <w:uiPriority w:val="99"/>
    <w:pPr>
      <w:tabs>
        <w:tab w:val="center" w:pos="4153"/>
        <w:tab w:val="right" w:pos="8306"/>
      </w:tabs>
      <w:snapToGrid w:val="0"/>
      <w:jc w:val="left"/>
    </w:pPr>
    <w:rPr>
      <w:sz w:val="18"/>
      <w:szCs w:val="18"/>
    </w:rPr>
  </w:style>
  <w:style w:type="paragraph" w:styleId="8">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spacing w:beforeAutospacing="1" w:afterAutospacing="1"/>
      <w:jc w:val="left"/>
    </w:pPr>
    <w:rPr>
      <w:kern w:val="0"/>
      <w:sz w:val="24"/>
    </w:rPr>
  </w:style>
  <w:style w:type="paragraph" w:styleId="10">
    <w:name w:val="annotation subject"/>
    <w:basedOn w:val="2"/>
    <w:next w:val="2"/>
    <w:link w:val="22"/>
    <w:semiHidden/>
    <w:qFormat/>
    <w:uiPriority w:val="99"/>
    <w:rPr>
      <w:b/>
      <w:bCs/>
    </w:rPr>
  </w:style>
  <w:style w:type="paragraph" w:styleId="11">
    <w:name w:val="Body Text First Indent 2"/>
    <w:basedOn w:val="3"/>
    <w:link w:val="26"/>
    <w:semiHidden/>
    <w:unhideWhenUsed/>
    <w:qFormat/>
    <w:uiPriority w:val="99"/>
    <w:pPr>
      <w:spacing w:after="120" w:line="240" w:lineRule="auto"/>
      <w:ind w:left="420" w:leftChars="200" w:firstLine="420"/>
    </w:pPr>
    <w:rPr>
      <w:rFonts w:ascii="Calibri" w:hAnsi="Calibri" w:eastAsia="宋体"/>
      <w:kern w:val="2"/>
      <w:sz w:val="21"/>
      <w:szCs w:val="22"/>
    </w:rPr>
  </w:style>
  <w:style w:type="table" w:styleId="13">
    <w:name w:val="Table Grid"/>
    <w:basedOn w:val="12"/>
    <w:qFormat/>
    <w:uiPriority w:val="59"/>
    <w:rPr>
      <w:rFonts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5">
    <w:name w:val="endnote reference"/>
    <w:semiHidden/>
    <w:unhideWhenUsed/>
    <w:qFormat/>
    <w:uiPriority w:val="99"/>
    <w:rPr>
      <w:vertAlign w:val="superscript"/>
    </w:rPr>
  </w:style>
  <w:style w:type="character" w:styleId="16">
    <w:name w:val="Emphasis"/>
    <w:qFormat/>
    <w:locked/>
    <w:uiPriority w:val="20"/>
    <w:rPr>
      <w:i/>
      <w:iCs/>
    </w:rPr>
  </w:style>
  <w:style w:type="character" w:styleId="17">
    <w:name w:val="annotation reference"/>
    <w:semiHidden/>
    <w:qFormat/>
    <w:uiPriority w:val="99"/>
    <w:rPr>
      <w:rFonts w:cs="Times New Roman"/>
      <w:sz w:val="21"/>
      <w:szCs w:val="21"/>
    </w:rPr>
  </w:style>
  <w:style w:type="character" w:customStyle="1" w:styleId="18">
    <w:name w:val="批注文字 Char"/>
    <w:link w:val="2"/>
    <w:semiHidden/>
    <w:qFormat/>
    <w:locked/>
    <w:uiPriority w:val="99"/>
    <w:rPr>
      <w:rFonts w:cs="Times New Roman"/>
      <w:kern w:val="2"/>
      <w:sz w:val="22"/>
      <w:szCs w:val="22"/>
    </w:rPr>
  </w:style>
  <w:style w:type="character" w:customStyle="1" w:styleId="19">
    <w:name w:val="批注框文本 Char"/>
    <w:link w:val="6"/>
    <w:semiHidden/>
    <w:qFormat/>
    <w:locked/>
    <w:uiPriority w:val="99"/>
    <w:rPr>
      <w:rFonts w:cs="Times New Roman"/>
      <w:sz w:val="18"/>
      <w:szCs w:val="18"/>
    </w:rPr>
  </w:style>
  <w:style w:type="character" w:customStyle="1" w:styleId="20">
    <w:name w:val="页脚 Char"/>
    <w:link w:val="7"/>
    <w:qFormat/>
    <w:locked/>
    <w:uiPriority w:val="99"/>
    <w:rPr>
      <w:rFonts w:cs="Times New Roman"/>
      <w:sz w:val="18"/>
      <w:szCs w:val="18"/>
    </w:rPr>
  </w:style>
  <w:style w:type="character" w:customStyle="1" w:styleId="21">
    <w:name w:val="页眉 Char"/>
    <w:link w:val="8"/>
    <w:qFormat/>
    <w:locked/>
    <w:uiPriority w:val="99"/>
    <w:rPr>
      <w:rFonts w:cs="Times New Roman"/>
      <w:sz w:val="18"/>
      <w:szCs w:val="18"/>
    </w:rPr>
  </w:style>
  <w:style w:type="character" w:customStyle="1" w:styleId="22">
    <w:name w:val="批注主题 Char"/>
    <w:link w:val="10"/>
    <w:semiHidden/>
    <w:qFormat/>
    <w:locked/>
    <w:uiPriority w:val="99"/>
    <w:rPr>
      <w:rFonts w:cs="Times New Roman"/>
      <w:b/>
      <w:bCs/>
      <w:kern w:val="2"/>
      <w:sz w:val="22"/>
      <w:szCs w:val="22"/>
    </w:rPr>
  </w:style>
  <w:style w:type="paragraph" w:styleId="23">
    <w:name w:val="List Paragraph"/>
    <w:basedOn w:val="1"/>
    <w:qFormat/>
    <w:uiPriority w:val="99"/>
    <w:pPr>
      <w:ind w:firstLine="420" w:firstLineChars="200"/>
    </w:pPr>
  </w:style>
  <w:style w:type="character" w:customStyle="1" w:styleId="24">
    <w:name w:val="尾注文本 Char"/>
    <w:link w:val="5"/>
    <w:semiHidden/>
    <w:qFormat/>
    <w:uiPriority w:val="99"/>
    <w:rPr>
      <w:kern w:val="2"/>
      <w:sz w:val="21"/>
      <w:szCs w:val="22"/>
    </w:rPr>
  </w:style>
  <w:style w:type="character" w:customStyle="1" w:styleId="25">
    <w:name w:val="正文文本缩进 Char"/>
    <w:link w:val="3"/>
    <w:qFormat/>
    <w:uiPriority w:val="0"/>
    <w:rPr>
      <w:rFonts w:ascii="微软雅黑" w:hAnsi="微软雅黑" w:eastAsia="微软雅黑"/>
      <w:sz w:val="24"/>
      <w:szCs w:val="24"/>
    </w:rPr>
  </w:style>
  <w:style w:type="character" w:customStyle="1" w:styleId="26">
    <w:name w:val="正文首行缩进 2 Char"/>
    <w:basedOn w:val="25"/>
    <w:link w:val="11"/>
    <w:semiHidden/>
    <w:qFormat/>
    <w:uiPriority w:val="99"/>
    <w:rPr>
      <w:rFonts w:ascii="微软雅黑" w:hAnsi="微软雅黑" w:eastAsia="微软雅黑"/>
      <w:kern w:val="2"/>
      <w:sz w:val="21"/>
      <w:szCs w:val="22"/>
    </w:rPr>
  </w:style>
  <w:style w:type="paragraph" w:customStyle="1" w:styleId="27">
    <w:name w:val="Default"/>
    <w:unhideWhenUsed/>
    <w:qFormat/>
    <w:uiPriority w:val="0"/>
    <w:pPr>
      <w:widowControl w:val="0"/>
      <w:autoSpaceDE w:val="0"/>
      <w:autoSpaceDN w:val="0"/>
    </w:pPr>
    <w:rPr>
      <w:rFonts w:ascii="宋体" w:hAnsi="宋体" w:eastAsia="宋体" w:cs="Times New Roman"/>
      <w:color w:val="000000"/>
      <w:sz w:val="24"/>
      <w:lang w:val="en-US" w:eastAsia="zh-CN" w:bidi="ar-SA"/>
    </w:rPr>
  </w:style>
  <w:style w:type="character" w:customStyle="1" w:styleId="28">
    <w:name w:val="纯文本 Char"/>
    <w:basedOn w:val="14"/>
    <w:link w:val="4"/>
    <w:qFormat/>
    <w:uiPriority w:val="0"/>
    <w:rPr>
      <w:rFonts w:hAnsi="Courier New" w:cs="Courier New"/>
      <w:kern w:val="2"/>
      <w:sz w:val="21"/>
      <w:szCs w:val="21"/>
    </w:rPr>
  </w:style>
  <w:style w:type="paragraph" w:customStyle="1" w:styleId="29">
    <w:name w:val="Table Paragraph"/>
    <w:basedOn w:val="1"/>
    <w:qFormat/>
    <w:uiPriority w:val="1"/>
    <w:rPr>
      <w:rFonts w:ascii="宋体" w:hAnsi="宋体" w:cs="宋体"/>
      <w:lang w:val="zh-CN" w:bidi="zh-CN"/>
    </w:rPr>
  </w:style>
  <w:style w:type="table" w:customStyle="1" w:styleId="3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E36B63-C9D0-452D-B2AB-944B467A8282}">
  <ds:schemaRefs/>
</ds:datastoreItem>
</file>

<file path=docProps/app.xml><?xml version="1.0" encoding="utf-8"?>
<Properties xmlns="http://schemas.openxmlformats.org/officeDocument/2006/extended-properties" xmlns:vt="http://schemas.openxmlformats.org/officeDocument/2006/docPropsVTypes">
  <Template>Normal</Template>
  <Pages>5</Pages>
  <Words>16376</Words>
  <Characters>18889</Characters>
  <Lines>195</Lines>
  <Paragraphs>55</Paragraphs>
  <TotalTime>84</TotalTime>
  <ScaleCrop>false</ScaleCrop>
  <LinksUpToDate>false</LinksUpToDate>
  <CharactersWithSpaces>19090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2022-09-17T12:01:00Z</dcterms:created>
  <dc:creator>苏敏</dc:creator>
  <cp:lastModifiedBy>Milo </cp:lastModifiedBy>
  <cp:lastPrinted>2022-10-25T05:52:00Z</cp:lastPrinted>
  <dcterms:modified xsi:type="dcterms:W3CDTF">2025-09-11T08:31:54Z</dcterms:modified>
  <cp:revision>320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D04B69AA2D6941669136F5E8E946DBA7</vt:lpwstr>
  </property>
  <property fmtid="{D5CDD505-2E9C-101B-9397-08002B2CF9AE}" pid="4" name="KSOTemplateDocerSaveRecord">
    <vt:lpwstr>eyJoZGlkIjoiNjZhMjFjMzlhYmZkMDAxNjZlOTQ1YTdjZmFmZDFmZTUiLCJ1c2VySWQiOiIyNjY4MjUxOTgifQ==</vt:lpwstr>
  </property>
</Properties>
</file>