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line="400" w:lineRule="exact"/>
        <w:textAlignment w:val="auto"/>
        <w:rPr>
          <w:rFonts w:hint="eastAsia" w:asciiTheme="minorEastAsia" w:hAnsiTheme="minorEastAsia"/>
          <w:sz w:val="28"/>
          <w:szCs w:val="28"/>
          <w:lang w:eastAsia="zh-CN"/>
        </w:rPr>
      </w:pP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  <w:lang w:val="en-US" w:eastAsia="zh-CN"/>
        </w:rPr>
        <w:t>桌面板符合:GB 28481-2012《塑料家具中有害物质限量》，参照：GB/T 32487-2016《塑料家具通用技术条件》、GB 17927.1-2011《软体家具 床垫和沙发 抗引燃特性的评定 第1部分：阴燃的香烟》:产品理化性能塑料件耐冷热循环：应无裂纹、鼓泡、变色、起皱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重金属：可溶性铅、可溶性镉、可溶性铬、可溶性汞检测结果均为未检测出</w:t>
      </w:r>
      <w:r>
        <w:rPr>
          <w:rFonts w:hint="default" w:asciiTheme="minorEastAsia" w:hAnsiTheme="minorEastAsia"/>
          <w:sz w:val="28"/>
          <w:szCs w:val="28"/>
          <w:lang w:eastAsia="zh-CN"/>
        </w:rPr>
        <w:t>。</w:t>
      </w:r>
      <w:r>
        <w:rPr>
          <w:rFonts w:hint="eastAsia" w:asciiTheme="minorEastAsia" w:hAnsiTheme="minorEastAsia"/>
          <w:sz w:val="28"/>
          <w:szCs w:val="28"/>
          <w:lang w:val="en-US" w:eastAsia="zh-CN"/>
        </w:rPr>
        <w:t>香烟抗引燃特性实验：检测结果为未观察到试样表面或内部出现任何续燃、阴燃现象，评定为阻燃I级，通过香烟抗引燃特性试验。桌面板符合：GB 8624-2012《建筑材料及制品燃烧性能分级》:垂直燃烧检测结果为:V-1级。</w:t>
      </w:r>
      <w:r>
        <w:rPr>
          <w:rFonts w:hint="eastAsia" w:asciiTheme="minorEastAsia" w:hAnsiTheme="minorEastAsia"/>
          <w:sz w:val="28"/>
          <w:szCs w:val="28"/>
        </w:rPr>
        <w:t>以上要求</w:t>
      </w:r>
      <w:r>
        <w:rPr>
          <w:rFonts w:hint="eastAsia" w:asciiTheme="minorEastAsia" w:hAnsiTheme="minorEastAsia"/>
          <w:sz w:val="28"/>
          <w:szCs w:val="28"/>
          <w:lang w:eastAsia="zh-CN"/>
        </w:rPr>
        <w:t>签订合同时</w:t>
      </w:r>
      <w:r>
        <w:rPr>
          <w:rFonts w:hint="eastAsia" w:asciiTheme="minorEastAsia" w:hAnsiTheme="minorEastAsia"/>
          <w:sz w:val="28"/>
          <w:szCs w:val="28"/>
        </w:rPr>
        <w:t>需提供省级或省级以上带CMA、CNAS标识的家具产品质量监督检验（测）机构具有二维码的抽样检验报告</w:t>
      </w:r>
      <w:r>
        <w:rPr>
          <w:rFonts w:hint="eastAsia" w:asciiTheme="minorEastAsia" w:hAnsiTheme="minorEastAsia"/>
          <w:sz w:val="28"/>
          <w:szCs w:val="28"/>
          <w:lang w:eastAsia="zh-CN"/>
        </w:rPr>
        <w:t>原件</w:t>
      </w:r>
      <w:r>
        <w:rPr>
          <w:rFonts w:hint="eastAsia" w:asciiTheme="minorEastAsia" w:hAnsiTheme="minorEastAsia"/>
          <w:sz w:val="28"/>
          <w:szCs w:val="28"/>
        </w:rPr>
        <w:t>、本报告检测费用发票</w:t>
      </w:r>
      <w:r>
        <w:rPr>
          <w:rFonts w:hint="eastAsia" w:asciiTheme="minorEastAsia" w:hAnsiTheme="minorEastAsia"/>
          <w:sz w:val="28"/>
          <w:szCs w:val="28"/>
          <w:lang w:eastAsia="zh-CN"/>
        </w:rPr>
        <w:t>原件</w:t>
      </w:r>
      <w:r>
        <w:rPr>
          <w:rFonts w:hint="eastAsia" w:asciiTheme="minorEastAsia" w:hAnsiTheme="minorEastAsia"/>
          <w:sz w:val="28"/>
          <w:szCs w:val="28"/>
        </w:rPr>
        <w:t>查验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jc w:val="left"/>
        <w:rPr>
          <w:rFonts w:hint="eastAsia" w:asciiTheme="minorEastAsia" w:hAnsiTheme="minorEastAsia"/>
          <w:sz w:val="28"/>
          <w:szCs w:val="28"/>
        </w:rPr>
      </w:pPr>
      <w:r>
        <w:rPr>
          <w:rFonts w:hint="eastAsia" w:asciiTheme="minorEastAsia" w:hAnsiTheme="minorEastAsia"/>
          <w:sz w:val="28"/>
          <w:szCs w:val="28"/>
        </w:rPr>
        <w:t>课桌符合:QB/T4071-2010《课桌椅》、GB/T3325-2017《金属家具通用技术条件》①有害物质限量：可溶性铅≦5mg/kg、可溶性镉≦5mg/kg、可溶性汞≦5mg/kg、可溶性铬≦5mg/kg，甲醛释放量：≤0.1mg/L。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jc w:val="left"/>
        <w:rPr>
          <w:rFonts w:hint="eastAsia" w:asciiTheme="minorEastAsia" w:hAnsiTheme="minorEastAsia"/>
          <w:sz w:val="28"/>
          <w:szCs w:val="28"/>
          <w:lang w:eastAsia="zh-CN"/>
        </w:rPr>
      </w:pPr>
      <w:r>
        <w:rPr>
          <w:rFonts w:hint="eastAsia" w:asciiTheme="minorEastAsia" w:hAnsiTheme="minorEastAsia"/>
          <w:sz w:val="28"/>
          <w:szCs w:val="28"/>
        </w:rPr>
        <w:t>②.金属喷漆（塑）涂层理化性能耐腐蚀：（800h内，观察在溶液中样板上划道两侧3mm以外，应无气泡产生。800h后，检查划道两侧3mm以外，应无锈迹、剥落、起皱、变色和失光等现象）。以上要求</w:t>
      </w:r>
      <w:r>
        <w:rPr>
          <w:rFonts w:hint="eastAsia" w:asciiTheme="minorEastAsia" w:hAnsiTheme="minorEastAsia"/>
          <w:sz w:val="28"/>
          <w:szCs w:val="28"/>
          <w:lang w:eastAsia="zh-CN"/>
        </w:rPr>
        <w:t>签订合同时</w:t>
      </w:r>
      <w:r>
        <w:rPr>
          <w:rFonts w:hint="eastAsia" w:asciiTheme="minorEastAsia" w:hAnsiTheme="minorEastAsia"/>
          <w:sz w:val="28"/>
          <w:szCs w:val="28"/>
        </w:rPr>
        <w:t>需提供省级或省级以上带CMA、CNAS标识的家具产品质量监督检验（测）机构具有二维码的抽样检验报告</w:t>
      </w:r>
      <w:r>
        <w:rPr>
          <w:rFonts w:hint="eastAsia" w:asciiTheme="minorEastAsia" w:hAnsiTheme="minorEastAsia"/>
          <w:sz w:val="28"/>
          <w:szCs w:val="28"/>
          <w:lang w:eastAsia="zh-CN"/>
        </w:rPr>
        <w:t>原件</w:t>
      </w:r>
      <w:r>
        <w:rPr>
          <w:rFonts w:hint="eastAsia" w:asciiTheme="minorEastAsia" w:hAnsiTheme="minorEastAsia"/>
          <w:sz w:val="28"/>
          <w:szCs w:val="28"/>
        </w:rPr>
        <w:t>、本报告检测费用发票</w:t>
      </w:r>
      <w:r>
        <w:rPr>
          <w:rFonts w:hint="eastAsia" w:asciiTheme="minorEastAsia" w:hAnsiTheme="minorEastAsia"/>
          <w:sz w:val="28"/>
          <w:szCs w:val="28"/>
          <w:lang w:eastAsia="zh-CN"/>
        </w:rPr>
        <w:t>原件</w:t>
      </w:r>
      <w:r>
        <w:rPr>
          <w:rFonts w:hint="eastAsia" w:asciiTheme="minorEastAsia" w:hAnsiTheme="minorEastAsia"/>
          <w:sz w:val="28"/>
          <w:szCs w:val="28"/>
        </w:rPr>
        <w:t>查验</w:t>
      </w:r>
      <w:r>
        <w:rPr>
          <w:rFonts w:hint="eastAsia" w:asciiTheme="minorEastAsia" w:hAnsiTheme="minorEastAsia"/>
          <w:sz w:val="28"/>
          <w:szCs w:val="28"/>
          <w:lang w:eastAsia="zh-CN"/>
        </w:rPr>
        <w:t>。</w:t>
      </w:r>
    </w:p>
    <w:p>
      <w:pPr>
        <w:pStyle w:val="2"/>
        <w:rPr>
          <w:rFonts w:hint="eastAsia"/>
          <w:lang w:eastAsia="zh-CN"/>
        </w:rPr>
      </w:pPr>
    </w:p>
    <w:p>
      <w:pPr>
        <w:pStyle w:val="2"/>
        <w:jc w:val="both"/>
        <w:rPr>
          <w:rFonts w:hint="default"/>
          <w:lang w:val="en-US"/>
        </w:rPr>
      </w:pPr>
      <w:r>
        <w:rPr>
          <w:rFonts w:hint="eastAsia" w:asciiTheme="minorEastAsia" w:hAnsiTheme="minorEastAsia"/>
          <w:sz w:val="28"/>
          <w:szCs w:val="28"/>
          <w:lang w:val="en-US" w:eastAsia="zh-CN"/>
        </w:rPr>
        <w:t>签订合同时需提供符合以上要求样品一套，检测报告原件，否则视为虚假相应，甲方有权拒绝签订合同。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mMDc4OTBhZjVlZmQ0ZTYxMmYxMjRiZTMzOGZlYmYifQ=="/>
  </w:docVars>
  <w:rsids>
    <w:rsidRoot w:val="69B75CD2"/>
    <w:rsid w:val="2DC13BE2"/>
    <w:rsid w:val="69B75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autoSpaceDE w:val="0"/>
      <w:autoSpaceDN w:val="0"/>
      <w:adjustRightInd w:val="0"/>
      <w:jc w:val="center"/>
      <w:textAlignment w:val="baseline"/>
    </w:pPr>
    <w:rPr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2022-08-24T08:44:00Z</dcterms:created>
  <dc:creator>、、、、</dc:creator>
  <cp:lastModifiedBy>龚远祥15970693783</cp:lastModifiedBy>
  <dcterms:modified xsi:type="dcterms:W3CDTF">2022-08-24T08:50:47Z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  <property fmtid="{D5CDD505-2E9C-101B-9397-08002B2CF9AE}" pid="3" name="ICV">
    <vt:lpwstr>A57FA305628041A1A7D1B0CE197BCC49</vt:lpwstr>
  </property>
</Properties>
</file>