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74536F">
      <w:pPr>
        <w:pStyle w:val="4"/>
        <w:jc w:val="center"/>
        <w:outlineLvl w:val="1"/>
      </w:pPr>
      <w:r>
        <w:rPr>
          <w:rFonts w:ascii="仿宋_GB2312" w:hAnsi="仿宋_GB2312" w:eastAsia="仿宋_GB2312" w:cs="仿宋_GB2312"/>
          <w:b/>
          <w:sz w:val="36"/>
        </w:rPr>
        <w:t>第三章 技术、服务及其他要求</w:t>
      </w:r>
    </w:p>
    <w:p w14:paraId="72E5A8A7">
      <w:pPr>
        <w:pStyle w:val="4"/>
        <w:ind w:firstLine="480"/>
        <w:jc w:val="left"/>
      </w:pPr>
      <w:r>
        <w:rPr>
          <w:rFonts w:ascii="仿宋_GB2312" w:hAnsi="仿宋_GB2312" w:eastAsia="仿宋_GB2312" w:cs="仿宋_GB2312"/>
        </w:rPr>
        <w:t>（注：本章的技术、服务及其他要求中，带“★”的要求为实质性要求。采购人、代理机构应当根据项目实际要求合理设定，并在第五章符合性审查中明确响应要求。）</w:t>
      </w:r>
    </w:p>
    <w:p w14:paraId="3556B633">
      <w:pPr>
        <w:pStyle w:val="4"/>
        <w:jc w:val="left"/>
        <w:outlineLvl w:val="2"/>
      </w:pPr>
      <w:r>
        <w:rPr>
          <w:rFonts w:ascii="仿宋_GB2312" w:hAnsi="仿宋_GB2312" w:eastAsia="仿宋_GB2312" w:cs="仿宋_GB2312"/>
          <w:b/>
          <w:sz w:val="28"/>
        </w:rPr>
        <w:t>3.1.采购内容</w:t>
      </w:r>
    </w:p>
    <w:p w14:paraId="6D83898A">
      <w:pPr>
        <w:pStyle w:val="4"/>
        <w:jc w:val="left"/>
      </w:pPr>
      <w:r>
        <w:rPr>
          <w:rFonts w:ascii="仿宋_GB2312" w:hAnsi="仿宋_GB2312" w:eastAsia="仿宋_GB2312" w:cs="仿宋_GB2312"/>
        </w:rPr>
        <w:t>采购包1：</w:t>
      </w:r>
    </w:p>
    <w:p w14:paraId="103650E9">
      <w:pPr>
        <w:pStyle w:val="4"/>
        <w:jc w:val="left"/>
      </w:pPr>
      <w:r>
        <w:rPr>
          <w:rFonts w:ascii="仿宋_GB2312" w:hAnsi="仿宋_GB2312" w:eastAsia="仿宋_GB2312" w:cs="仿宋_GB2312"/>
        </w:rPr>
        <w:t>采购包预算金额（元）: 900,000.00</w:t>
      </w:r>
    </w:p>
    <w:p w14:paraId="68695832">
      <w:pPr>
        <w:pStyle w:val="4"/>
        <w:jc w:val="left"/>
      </w:pPr>
      <w:r>
        <w:rPr>
          <w:rFonts w:ascii="仿宋_GB2312" w:hAnsi="仿宋_GB2312" w:eastAsia="仿宋_GB2312" w:cs="仿宋_GB2312"/>
        </w:rPr>
        <w:t>采购包最高限价（元）: 900,000.00</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47"/>
        <w:gridCol w:w="1116"/>
        <w:gridCol w:w="779"/>
        <w:gridCol w:w="820"/>
        <w:gridCol w:w="1216"/>
        <w:gridCol w:w="739"/>
        <w:gridCol w:w="739"/>
        <w:gridCol w:w="739"/>
        <w:gridCol w:w="739"/>
        <w:gridCol w:w="594"/>
        <w:gridCol w:w="594"/>
      </w:tblGrid>
      <w:tr w14:paraId="739786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56" w:type="dxa"/>
          </w:tcPr>
          <w:p w14:paraId="472567A6">
            <w:pPr>
              <w:pStyle w:val="4"/>
              <w:jc w:val="center"/>
            </w:pPr>
            <w:r>
              <w:rPr>
                <w:rFonts w:ascii="仿宋_GB2312" w:hAnsi="仿宋_GB2312" w:eastAsia="仿宋_GB2312" w:cs="仿宋_GB2312"/>
              </w:rPr>
              <w:t>序号</w:t>
            </w:r>
          </w:p>
        </w:tc>
        <w:tc>
          <w:tcPr>
            <w:tcW w:w="821" w:type="dxa"/>
          </w:tcPr>
          <w:p w14:paraId="2DC545A3">
            <w:pPr>
              <w:pStyle w:val="4"/>
              <w:jc w:val="center"/>
            </w:pPr>
            <w:r>
              <w:rPr>
                <w:rFonts w:ascii="仿宋_GB2312" w:hAnsi="仿宋_GB2312" w:eastAsia="仿宋_GB2312" w:cs="仿宋_GB2312"/>
              </w:rPr>
              <w:t>采购品目名称</w:t>
            </w:r>
          </w:p>
        </w:tc>
        <w:tc>
          <w:tcPr>
            <w:tcW w:w="821" w:type="dxa"/>
          </w:tcPr>
          <w:p w14:paraId="751BF9E7">
            <w:pPr>
              <w:pStyle w:val="4"/>
              <w:jc w:val="center"/>
            </w:pPr>
            <w:r>
              <w:rPr>
                <w:rFonts w:ascii="仿宋_GB2312" w:hAnsi="仿宋_GB2312" w:eastAsia="仿宋_GB2312" w:cs="仿宋_GB2312"/>
              </w:rPr>
              <w:t>标的名称</w:t>
            </w:r>
          </w:p>
        </w:tc>
        <w:tc>
          <w:tcPr>
            <w:tcW w:w="821" w:type="dxa"/>
          </w:tcPr>
          <w:p w14:paraId="0F00C720">
            <w:pPr>
              <w:pStyle w:val="4"/>
              <w:jc w:val="center"/>
            </w:pPr>
            <w:r>
              <w:rPr>
                <w:rFonts w:ascii="仿宋_GB2312" w:hAnsi="仿宋_GB2312" w:eastAsia="仿宋_GB2312" w:cs="仿宋_GB2312"/>
              </w:rPr>
              <w:t>数量</w:t>
            </w:r>
            <w:r>
              <w:br w:type="textWrapping"/>
            </w:r>
            <w:r>
              <w:rPr>
                <w:rFonts w:ascii="仿宋_GB2312" w:hAnsi="仿宋_GB2312" w:eastAsia="仿宋_GB2312" w:cs="仿宋_GB2312"/>
              </w:rPr>
              <w:t>(计量单位)</w:t>
            </w:r>
          </w:p>
        </w:tc>
        <w:tc>
          <w:tcPr>
            <w:tcW w:w="821" w:type="dxa"/>
          </w:tcPr>
          <w:p w14:paraId="7C3D352E">
            <w:pPr>
              <w:pStyle w:val="4"/>
              <w:jc w:val="center"/>
            </w:pPr>
            <w:r>
              <w:rPr>
                <w:rFonts w:ascii="仿宋_GB2312" w:hAnsi="仿宋_GB2312" w:eastAsia="仿宋_GB2312" w:cs="仿宋_GB2312"/>
              </w:rPr>
              <w:t>标的金额 （元）</w:t>
            </w:r>
          </w:p>
        </w:tc>
        <w:tc>
          <w:tcPr>
            <w:tcW w:w="821" w:type="dxa"/>
          </w:tcPr>
          <w:p w14:paraId="6D0BECFC">
            <w:pPr>
              <w:pStyle w:val="4"/>
              <w:jc w:val="center"/>
            </w:pPr>
            <w:r>
              <w:rPr>
                <w:rFonts w:ascii="仿宋_GB2312" w:hAnsi="仿宋_GB2312" w:eastAsia="仿宋_GB2312" w:cs="仿宋_GB2312"/>
              </w:rPr>
              <w:t>所属行业</w:t>
            </w:r>
          </w:p>
        </w:tc>
        <w:tc>
          <w:tcPr>
            <w:tcW w:w="821" w:type="dxa"/>
          </w:tcPr>
          <w:p w14:paraId="1C7FBD73">
            <w:pPr>
              <w:pStyle w:val="4"/>
              <w:jc w:val="center"/>
            </w:pPr>
            <w:r>
              <w:rPr>
                <w:rFonts w:ascii="仿宋_GB2312" w:hAnsi="仿宋_GB2312" w:eastAsia="仿宋_GB2312" w:cs="仿宋_GB2312"/>
              </w:rPr>
              <w:t>是否涉及核心产品</w:t>
            </w:r>
          </w:p>
        </w:tc>
        <w:tc>
          <w:tcPr>
            <w:tcW w:w="821" w:type="dxa"/>
          </w:tcPr>
          <w:p w14:paraId="449F7102">
            <w:pPr>
              <w:pStyle w:val="4"/>
              <w:jc w:val="center"/>
            </w:pPr>
            <w:r>
              <w:rPr>
                <w:rFonts w:ascii="仿宋_GB2312" w:hAnsi="仿宋_GB2312" w:eastAsia="仿宋_GB2312" w:cs="仿宋_GB2312"/>
              </w:rPr>
              <w:t>是否涉及采购进口产品</w:t>
            </w:r>
          </w:p>
        </w:tc>
        <w:tc>
          <w:tcPr>
            <w:tcW w:w="821" w:type="dxa"/>
          </w:tcPr>
          <w:p w14:paraId="7CFAFB6E">
            <w:pPr>
              <w:pStyle w:val="4"/>
              <w:jc w:val="center"/>
            </w:pPr>
            <w:r>
              <w:rPr>
                <w:rFonts w:ascii="仿宋_GB2312" w:hAnsi="仿宋_GB2312" w:eastAsia="仿宋_GB2312" w:cs="仿宋_GB2312"/>
              </w:rPr>
              <w:t>是否涉及强制采购节能产品</w:t>
            </w:r>
          </w:p>
        </w:tc>
        <w:tc>
          <w:tcPr>
            <w:tcW w:w="639" w:type="dxa"/>
          </w:tcPr>
          <w:p w14:paraId="52D9E62A">
            <w:pPr>
              <w:pStyle w:val="4"/>
              <w:jc w:val="center"/>
            </w:pPr>
            <w:r>
              <w:rPr>
                <w:rFonts w:ascii="仿宋_GB2312" w:hAnsi="仿宋_GB2312" w:eastAsia="仿宋_GB2312" w:cs="仿宋_GB2312"/>
              </w:rPr>
              <w:t>是否涉及优先采购节能产品</w:t>
            </w:r>
          </w:p>
        </w:tc>
        <w:tc>
          <w:tcPr>
            <w:tcW w:w="639" w:type="dxa"/>
          </w:tcPr>
          <w:p w14:paraId="23898E35">
            <w:pPr>
              <w:pStyle w:val="4"/>
              <w:jc w:val="center"/>
            </w:pPr>
            <w:r>
              <w:rPr>
                <w:rFonts w:ascii="仿宋_GB2312" w:hAnsi="仿宋_GB2312" w:eastAsia="仿宋_GB2312" w:cs="仿宋_GB2312"/>
              </w:rPr>
              <w:t>是否涉及优先采购环境标志产品</w:t>
            </w:r>
          </w:p>
        </w:tc>
      </w:tr>
      <w:tr w14:paraId="1CC744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56" w:type="dxa"/>
          </w:tcPr>
          <w:p w14:paraId="2EB82DAB">
            <w:pPr>
              <w:pStyle w:val="4"/>
              <w:jc w:val="left"/>
            </w:pPr>
            <w:r>
              <w:rPr>
                <w:rFonts w:ascii="仿宋_GB2312" w:hAnsi="仿宋_GB2312" w:eastAsia="仿宋_GB2312" w:cs="仿宋_GB2312"/>
              </w:rPr>
              <w:t>1</w:t>
            </w:r>
          </w:p>
        </w:tc>
        <w:tc>
          <w:tcPr>
            <w:tcW w:w="821" w:type="dxa"/>
          </w:tcPr>
          <w:p w14:paraId="33BD0079">
            <w:pPr>
              <w:pStyle w:val="4"/>
              <w:jc w:val="left"/>
            </w:pPr>
            <w:r>
              <w:rPr>
                <w:rFonts w:ascii="仿宋_GB2312" w:hAnsi="仿宋_GB2312" w:eastAsia="仿宋_GB2312" w:cs="仿宋_GB2312"/>
              </w:rPr>
              <w:t>C20030800 预算绩效评价咨询服务</w:t>
            </w:r>
          </w:p>
        </w:tc>
        <w:tc>
          <w:tcPr>
            <w:tcW w:w="821" w:type="dxa"/>
          </w:tcPr>
          <w:p w14:paraId="7D909733">
            <w:pPr>
              <w:pStyle w:val="4"/>
              <w:jc w:val="left"/>
            </w:pPr>
            <w:r>
              <w:rPr>
                <w:rFonts w:ascii="仿宋_GB2312" w:hAnsi="仿宋_GB2312" w:eastAsia="仿宋_GB2312" w:cs="仿宋_GB2312"/>
              </w:rPr>
              <w:t>成都市金牛区2025年财政绩效管理服务采购项目</w:t>
            </w:r>
          </w:p>
        </w:tc>
        <w:tc>
          <w:tcPr>
            <w:tcW w:w="821" w:type="dxa"/>
          </w:tcPr>
          <w:p w14:paraId="44CE4CBA">
            <w:pPr>
              <w:pStyle w:val="4"/>
              <w:jc w:val="right"/>
            </w:pPr>
            <w:r>
              <w:rPr>
                <w:rFonts w:ascii="仿宋_GB2312" w:hAnsi="仿宋_GB2312" w:eastAsia="仿宋_GB2312" w:cs="仿宋_GB2312"/>
              </w:rPr>
              <w:t>1.00（项）</w:t>
            </w:r>
          </w:p>
        </w:tc>
        <w:tc>
          <w:tcPr>
            <w:tcW w:w="821" w:type="dxa"/>
          </w:tcPr>
          <w:p w14:paraId="78E58CFB">
            <w:pPr>
              <w:pStyle w:val="4"/>
              <w:jc w:val="right"/>
            </w:pPr>
            <w:r>
              <w:rPr>
                <w:rFonts w:ascii="仿宋_GB2312" w:hAnsi="仿宋_GB2312" w:eastAsia="仿宋_GB2312" w:cs="仿宋_GB2312"/>
              </w:rPr>
              <w:t>900,000.00</w:t>
            </w:r>
          </w:p>
        </w:tc>
        <w:tc>
          <w:tcPr>
            <w:tcW w:w="821" w:type="dxa"/>
          </w:tcPr>
          <w:p w14:paraId="031370EF">
            <w:pPr>
              <w:pStyle w:val="4"/>
              <w:jc w:val="left"/>
            </w:pPr>
            <w:r>
              <w:rPr>
                <w:rFonts w:ascii="仿宋_GB2312" w:hAnsi="仿宋_GB2312" w:eastAsia="仿宋_GB2312" w:cs="仿宋_GB2312"/>
              </w:rPr>
              <w:t>租赁和商务服务业</w:t>
            </w:r>
          </w:p>
        </w:tc>
        <w:tc>
          <w:tcPr>
            <w:tcW w:w="821" w:type="dxa"/>
          </w:tcPr>
          <w:p w14:paraId="18E8CB3D">
            <w:pPr>
              <w:pStyle w:val="4"/>
              <w:jc w:val="left"/>
            </w:pPr>
            <w:r>
              <w:rPr>
                <w:rFonts w:ascii="仿宋_GB2312" w:hAnsi="仿宋_GB2312" w:eastAsia="仿宋_GB2312" w:cs="仿宋_GB2312"/>
              </w:rPr>
              <w:t>否</w:t>
            </w:r>
          </w:p>
        </w:tc>
        <w:tc>
          <w:tcPr>
            <w:tcW w:w="821" w:type="dxa"/>
          </w:tcPr>
          <w:p w14:paraId="12FDCB06">
            <w:pPr>
              <w:pStyle w:val="4"/>
              <w:jc w:val="left"/>
            </w:pPr>
            <w:r>
              <w:rPr>
                <w:rFonts w:ascii="仿宋_GB2312" w:hAnsi="仿宋_GB2312" w:eastAsia="仿宋_GB2312" w:cs="仿宋_GB2312"/>
              </w:rPr>
              <w:t>否</w:t>
            </w:r>
          </w:p>
        </w:tc>
        <w:tc>
          <w:tcPr>
            <w:tcW w:w="821" w:type="dxa"/>
          </w:tcPr>
          <w:p w14:paraId="0FB9A992">
            <w:pPr>
              <w:pStyle w:val="4"/>
              <w:jc w:val="left"/>
            </w:pPr>
            <w:r>
              <w:rPr>
                <w:rFonts w:ascii="仿宋_GB2312" w:hAnsi="仿宋_GB2312" w:eastAsia="仿宋_GB2312" w:cs="仿宋_GB2312"/>
              </w:rPr>
              <w:t>否</w:t>
            </w:r>
          </w:p>
        </w:tc>
        <w:tc>
          <w:tcPr>
            <w:tcW w:w="639" w:type="dxa"/>
          </w:tcPr>
          <w:p w14:paraId="36951F4A">
            <w:pPr>
              <w:pStyle w:val="4"/>
              <w:jc w:val="left"/>
            </w:pPr>
            <w:r>
              <w:rPr>
                <w:rFonts w:ascii="仿宋_GB2312" w:hAnsi="仿宋_GB2312" w:eastAsia="仿宋_GB2312" w:cs="仿宋_GB2312"/>
              </w:rPr>
              <w:t>否</w:t>
            </w:r>
          </w:p>
        </w:tc>
        <w:tc>
          <w:tcPr>
            <w:tcW w:w="639" w:type="dxa"/>
          </w:tcPr>
          <w:p w14:paraId="0ADAA00F">
            <w:pPr>
              <w:pStyle w:val="4"/>
              <w:jc w:val="left"/>
            </w:pPr>
            <w:r>
              <w:rPr>
                <w:rFonts w:ascii="仿宋_GB2312" w:hAnsi="仿宋_GB2312" w:eastAsia="仿宋_GB2312" w:cs="仿宋_GB2312"/>
              </w:rPr>
              <w:t>否</w:t>
            </w:r>
          </w:p>
        </w:tc>
      </w:tr>
    </w:tbl>
    <w:p w14:paraId="343C3656">
      <w:pPr>
        <w:pStyle w:val="4"/>
        <w:jc w:val="left"/>
        <w:outlineLvl w:val="3"/>
      </w:pPr>
      <w:r>
        <w:rPr>
          <w:rFonts w:ascii="仿宋_GB2312" w:hAnsi="仿宋_GB2312" w:eastAsia="仿宋_GB2312" w:cs="仿宋_GB2312"/>
          <w:b/>
          <w:sz w:val="24"/>
        </w:rPr>
        <w:t>报价要求</w:t>
      </w:r>
    </w:p>
    <w:p w14:paraId="239FC493">
      <w:pPr>
        <w:pStyle w:val="4"/>
        <w:jc w:val="left"/>
      </w:pPr>
      <w:r>
        <w:rPr>
          <w:rFonts w:ascii="仿宋_GB2312" w:hAnsi="仿宋_GB2312" w:eastAsia="仿宋_GB2312" w:cs="仿宋_GB2312"/>
        </w:rPr>
        <w:t>采购包1：</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24"/>
        <w:gridCol w:w="1707"/>
        <w:gridCol w:w="1138"/>
        <w:gridCol w:w="1365"/>
        <w:gridCol w:w="1138"/>
        <w:gridCol w:w="1934"/>
      </w:tblGrid>
      <w:tr w14:paraId="1148FC1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24" w:type="dxa"/>
          </w:tcPr>
          <w:p w14:paraId="5A58C879">
            <w:pPr>
              <w:pStyle w:val="4"/>
              <w:jc w:val="center"/>
            </w:pPr>
            <w:r>
              <w:rPr>
                <w:rFonts w:ascii="仿宋_GB2312" w:hAnsi="仿宋_GB2312" w:eastAsia="仿宋_GB2312" w:cs="仿宋_GB2312"/>
              </w:rPr>
              <w:t>序号</w:t>
            </w:r>
          </w:p>
        </w:tc>
        <w:tc>
          <w:tcPr>
            <w:tcW w:w="1707" w:type="dxa"/>
          </w:tcPr>
          <w:p w14:paraId="7C61FF60">
            <w:pPr>
              <w:pStyle w:val="4"/>
              <w:jc w:val="center"/>
            </w:pPr>
            <w:r>
              <w:rPr>
                <w:rFonts w:ascii="仿宋_GB2312" w:hAnsi="仿宋_GB2312" w:eastAsia="仿宋_GB2312" w:cs="仿宋_GB2312"/>
              </w:rPr>
              <w:t>报价内容</w:t>
            </w:r>
          </w:p>
        </w:tc>
        <w:tc>
          <w:tcPr>
            <w:tcW w:w="1138" w:type="dxa"/>
          </w:tcPr>
          <w:p w14:paraId="348D9E19">
            <w:pPr>
              <w:pStyle w:val="4"/>
              <w:jc w:val="center"/>
            </w:pPr>
            <w:r>
              <w:rPr>
                <w:rFonts w:ascii="仿宋_GB2312" w:hAnsi="仿宋_GB2312" w:eastAsia="仿宋_GB2312" w:cs="仿宋_GB2312"/>
              </w:rPr>
              <w:t>数量（计量单位）</w:t>
            </w:r>
          </w:p>
        </w:tc>
        <w:tc>
          <w:tcPr>
            <w:tcW w:w="1365" w:type="dxa"/>
          </w:tcPr>
          <w:p w14:paraId="562CB8C6">
            <w:pPr>
              <w:pStyle w:val="4"/>
              <w:jc w:val="center"/>
            </w:pPr>
            <w:r>
              <w:rPr>
                <w:rFonts w:ascii="仿宋_GB2312" w:hAnsi="仿宋_GB2312" w:eastAsia="仿宋_GB2312" w:cs="仿宋_GB2312"/>
              </w:rPr>
              <w:t>最高限价</w:t>
            </w:r>
          </w:p>
        </w:tc>
        <w:tc>
          <w:tcPr>
            <w:tcW w:w="1138" w:type="dxa"/>
          </w:tcPr>
          <w:p w14:paraId="73AE9318">
            <w:pPr>
              <w:pStyle w:val="4"/>
              <w:jc w:val="center"/>
            </w:pPr>
            <w:r>
              <w:rPr>
                <w:rFonts w:ascii="仿宋_GB2312" w:hAnsi="仿宋_GB2312" w:eastAsia="仿宋_GB2312" w:cs="仿宋_GB2312"/>
              </w:rPr>
              <w:t>价款形式</w:t>
            </w:r>
          </w:p>
        </w:tc>
        <w:tc>
          <w:tcPr>
            <w:tcW w:w="1934" w:type="dxa"/>
          </w:tcPr>
          <w:p w14:paraId="6AF1278A">
            <w:pPr>
              <w:pStyle w:val="4"/>
              <w:jc w:val="center"/>
            </w:pPr>
            <w:r>
              <w:rPr>
                <w:rFonts w:ascii="仿宋_GB2312" w:hAnsi="仿宋_GB2312" w:eastAsia="仿宋_GB2312" w:cs="仿宋_GB2312"/>
              </w:rPr>
              <w:t>报价说明</w:t>
            </w:r>
          </w:p>
        </w:tc>
      </w:tr>
      <w:tr w14:paraId="3C34AA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24" w:type="dxa"/>
          </w:tcPr>
          <w:p w14:paraId="03B7A6D0">
            <w:pPr>
              <w:pStyle w:val="4"/>
              <w:jc w:val="center"/>
            </w:pPr>
            <w:r>
              <w:rPr>
                <w:rFonts w:ascii="仿宋_GB2312" w:hAnsi="仿宋_GB2312" w:eastAsia="仿宋_GB2312" w:cs="仿宋_GB2312"/>
              </w:rPr>
              <w:t>1</w:t>
            </w:r>
          </w:p>
        </w:tc>
        <w:tc>
          <w:tcPr>
            <w:tcW w:w="1707" w:type="dxa"/>
          </w:tcPr>
          <w:p w14:paraId="2286C23C">
            <w:pPr>
              <w:pStyle w:val="4"/>
              <w:jc w:val="center"/>
            </w:pPr>
            <w:r>
              <w:rPr>
                <w:rFonts w:ascii="仿宋_GB2312" w:hAnsi="仿宋_GB2312" w:eastAsia="仿宋_GB2312" w:cs="仿宋_GB2312"/>
              </w:rPr>
              <w:t>成都市金牛区2025年财政绩效管理服务采购项目</w:t>
            </w:r>
          </w:p>
        </w:tc>
        <w:tc>
          <w:tcPr>
            <w:tcW w:w="1138" w:type="dxa"/>
          </w:tcPr>
          <w:p w14:paraId="1D8A8FF5">
            <w:pPr>
              <w:pStyle w:val="4"/>
              <w:jc w:val="center"/>
            </w:pPr>
            <w:r>
              <w:rPr>
                <w:rFonts w:ascii="仿宋_GB2312" w:hAnsi="仿宋_GB2312" w:eastAsia="仿宋_GB2312" w:cs="仿宋_GB2312"/>
              </w:rPr>
              <w:t>1.00（项）</w:t>
            </w:r>
          </w:p>
        </w:tc>
        <w:tc>
          <w:tcPr>
            <w:tcW w:w="1365" w:type="dxa"/>
          </w:tcPr>
          <w:p w14:paraId="48A3EE28">
            <w:pPr>
              <w:pStyle w:val="4"/>
              <w:jc w:val="center"/>
            </w:pPr>
            <w:r>
              <w:rPr>
                <w:rFonts w:ascii="仿宋_GB2312" w:hAnsi="仿宋_GB2312" w:eastAsia="仿宋_GB2312" w:cs="仿宋_GB2312"/>
              </w:rPr>
              <w:t>900,000.00</w:t>
            </w:r>
          </w:p>
        </w:tc>
        <w:tc>
          <w:tcPr>
            <w:tcW w:w="1138" w:type="dxa"/>
          </w:tcPr>
          <w:p w14:paraId="4469B976">
            <w:pPr>
              <w:pStyle w:val="4"/>
              <w:jc w:val="center"/>
            </w:pPr>
            <w:r>
              <w:rPr>
                <w:rFonts w:ascii="仿宋_GB2312" w:hAnsi="仿宋_GB2312" w:eastAsia="仿宋_GB2312" w:cs="仿宋_GB2312"/>
              </w:rPr>
              <w:t>总价</w:t>
            </w:r>
          </w:p>
        </w:tc>
        <w:tc>
          <w:tcPr>
            <w:tcW w:w="1934" w:type="dxa"/>
          </w:tcPr>
          <w:p w14:paraId="74553238">
            <w:pPr>
              <w:pStyle w:val="4"/>
              <w:jc w:val="left"/>
            </w:pPr>
            <w:r>
              <w:rPr>
                <w:rFonts w:ascii="仿宋_GB2312" w:hAnsi="仿宋_GB2312" w:eastAsia="仿宋_GB2312" w:cs="仿宋_GB2312"/>
              </w:rPr>
              <w:t>无</w:t>
            </w:r>
          </w:p>
        </w:tc>
      </w:tr>
    </w:tbl>
    <w:p w14:paraId="5493ACC9">
      <w:pPr>
        <w:pStyle w:val="4"/>
        <w:ind w:firstLine="480"/>
        <w:jc w:val="left"/>
      </w:pPr>
      <w:r>
        <w:rPr>
          <w:rFonts w:ascii="仿宋_GB2312" w:hAnsi="仿宋_GB2312" w:eastAsia="仿宋_GB2312" w:cs="仿宋_GB2312"/>
        </w:rPr>
        <w:t>★注：本采购包涉及采购货物的，供应商响应产品应当明确品牌和规格型号并指向唯一产品，不能指向唯一产品的，应通过报价表唯一产品说明栏补充说明。</w:t>
      </w:r>
    </w:p>
    <w:p w14:paraId="46DD86AF">
      <w:pPr>
        <w:pStyle w:val="4"/>
        <w:jc w:val="left"/>
        <w:outlineLvl w:val="3"/>
      </w:pPr>
      <w:r>
        <w:rPr>
          <w:rFonts w:ascii="仿宋_GB2312" w:hAnsi="仿宋_GB2312" w:eastAsia="仿宋_GB2312" w:cs="仿宋_GB2312"/>
          <w:b/>
          <w:sz w:val="24"/>
        </w:rPr>
        <w:t>本项目涉及核心产品：</w:t>
      </w:r>
    </w:p>
    <w:p w14:paraId="3BC72A28">
      <w:pPr>
        <w:pStyle w:val="4"/>
        <w:jc w:val="left"/>
      </w:pPr>
      <w:r>
        <w:rPr>
          <w:rFonts w:ascii="仿宋_GB2312" w:hAnsi="仿宋_GB2312" w:eastAsia="仿宋_GB2312" w:cs="仿宋_GB2312"/>
        </w:rPr>
        <w:t>采购包1：</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1"/>
        <w:gridCol w:w="2492"/>
        <w:gridCol w:w="2492"/>
        <w:gridCol w:w="2492"/>
      </w:tblGrid>
      <w:tr w14:paraId="1A7A52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4CC26570">
            <w:pPr>
              <w:pStyle w:val="4"/>
              <w:jc w:val="center"/>
            </w:pPr>
            <w:r>
              <w:rPr>
                <w:rFonts w:ascii="仿宋_GB2312" w:hAnsi="仿宋_GB2312" w:eastAsia="仿宋_GB2312" w:cs="仿宋_GB2312"/>
              </w:rPr>
              <w:t>序号</w:t>
            </w:r>
          </w:p>
        </w:tc>
        <w:tc>
          <w:tcPr>
            <w:tcW w:w="2492" w:type="dxa"/>
          </w:tcPr>
          <w:p w14:paraId="1691E345">
            <w:pPr>
              <w:pStyle w:val="4"/>
              <w:jc w:val="center"/>
            </w:pPr>
            <w:r>
              <w:rPr>
                <w:rFonts w:ascii="仿宋_GB2312" w:hAnsi="仿宋_GB2312" w:eastAsia="仿宋_GB2312" w:cs="仿宋_GB2312"/>
              </w:rPr>
              <w:t>采购品目名称</w:t>
            </w:r>
          </w:p>
        </w:tc>
        <w:tc>
          <w:tcPr>
            <w:tcW w:w="2492" w:type="dxa"/>
          </w:tcPr>
          <w:p w14:paraId="54B958D3">
            <w:pPr>
              <w:pStyle w:val="4"/>
              <w:jc w:val="center"/>
            </w:pPr>
            <w:r>
              <w:rPr>
                <w:rFonts w:ascii="仿宋_GB2312" w:hAnsi="仿宋_GB2312" w:eastAsia="仿宋_GB2312" w:cs="仿宋_GB2312"/>
              </w:rPr>
              <w:t>标的名称</w:t>
            </w:r>
          </w:p>
        </w:tc>
        <w:tc>
          <w:tcPr>
            <w:tcW w:w="2492" w:type="dxa"/>
          </w:tcPr>
          <w:p w14:paraId="12F2AFAF">
            <w:pPr>
              <w:pStyle w:val="4"/>
              <w:jc w:val="center"/>
            </w:pPr>
            <w:r>
              <w:rPr>
                <w:rFonts w:ascii="仿宋_GB2312" w:hAnsi="仿宋_GB2312" w:eastAsia="仿宋_GB2312" w:cs="仿宋_GB2312"/>
              </w:rPr>
              <w:t>产品名称</w:t>
            </w:r>
          </w:p>
        </w:tc>
      </w:tr>
      <w:tr w14:paraId="7978EB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7" w:type="dxa"/>
            <w:gridSpan w:val="4"/>
          </w:tcPr>
          <w:p w14:paraId="0573BF00">
            <w:pPr>
              <w:pStyle w:val="4"/>
              <w:jc w:val="center"/>
            </w:pPr>
            <w:r>
              <w:rPr>
                <w:rFonts w:ascii="仿宋_GB2312" w:hAnsi="仿宋_GB2312" w:eastAsia="仿宋_GB2312" w:cs="仿宋_GB2312"/>
              </w:rPr>
              <w:t>不涉及</w:t>
            </w:r>
          </w:p>
        </w:tc>
      </w:tr>
    </w:tbl>
    <w:p w14:paraId="40FD3A14">
      <w:pPr>
        <w:pStyle w:val="4"/>
        <w:ind w:firstLine="480"/>
        <w:jc w:val="left"/>
      </w:pPr>
      <w:r>
        <w:rPr>
          <w:rFonts w:ascii="仿宋_GB2312" w:hAnsi="仿宋_GB2312" w:eastAsia="仿宋_GB2312" w:cs="仿宋_GB2312"/>
        </w:rPr>
        <w:t>注：涉及核心产品的，具体评审规定见第五章。</w:t>
      </w:r>
    </w:p>
    <w:p w14:paraId="20C2C9EE">
      <w:pPr>
        <w:pStyle w:val="4"/>
        <w:jc w:val="left"/>
        <w:outlineLvl w:val="3"/>
      </w:pPr>
      <w:r>
        <w:rPr>
          <w:rFonts w:ascii="仿宋_GB2312" w:hAnsi="仿宋_GB2312" w:eastAsia="仿宋_GB2312" w:cs="仿宋_GB2312"/>
          <w:b/>
          <w:sz w:val="24"/>
        </w:rPr>
        <w:t>本项目涉及采购进口产品：</w:t>
      </w:r>
    </w:p>
    <w:p w14:paraId="13CF2BBF">
      <w:pPr>
        <w:pStyle w:val="4"/>
        <w:jc w:val="left"/>
      </w:pPr>
      <w:r>
        <w:rPr>
          <w:rFonts w:ascii="仿宋_GB2312" w:hAnsi="仿宋_GB2312" w:eastAsia="仿宋_GB2312" w:cs="仿宋_GB2312"/>
        </w:rPr>
        <w:t>采购包1：</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1"/>
        <w:gridCol w:w="2492"/>
        <w:gridCol w:w="2492"/>
        <w:gridCol w:w="2492"/>
      </w:tblGrid>
      <w:tr w14:paraId="45E284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76DBBFB3">
            <w:pPr>
              <w:pStyle w:val="4"/>
              <w:jc w:val="center"/>
            </w:pPr>
            <w:r>
              <w:rPr>
                <w:rFonts w:ascii="仿宋_GB2312" w:hAnsi="仿宋_GB2312" w:eastAsia="仿宋_GB2312" w:cs="仿宋_GB2312"/>
              </w:rPr>
              <w:t>序号</w:t>
            </w:r>
          </w:p>
        </w:tc>
        <w:tc>
          <w:tcPr>
            <w:tcW w:w="2492" w:type="dxa"/>
          </w:tcPr>
          <w:p w14:paraId="289E1D16">
            <w:pPr>
              <w:pStyle w:val="4"/>
              <w:jc w:val="center"/>
            </w:pPr>
            <w:r>
              <w:rPr>
                <w:rFonts w:ascii="仿宋_GB2312" w:hAnsi="仿宋_GB2312" w:eastAsia="仿宋_GB2312" w:cs="仿宋_GB2312"/>
              </w:rPr>
              <w:t>采购品目名称</w:t>
            </w:r>
          </w:p>
        </w:tc>
        <w:tc>
          <w:tcPr>
            <w:tcW w:w="2492" w:type="dxa"/>
          </w:tcPr>
          <w:p w14:paraId="52CC0432">
            <w:pPr>
              <w:pStyle w:val="4"/>
              <w:jc w:val="center"/>
            </w:pPr>
            <w:r>
              <w:rPr>
                <w:rFonts w:ascii="仿宋_GB2312" w:hAnsi="仿宋_GB2312" w:eastAsia="仿宋_GB2312" w:cs="仿宋_GB2312"/>
              </w:rPr>
              <w:t>标的名称</w:t>
            </w:r>
          </w:p>
        </w:tc>
        <w:tc>
          <w:tcPr>
            <w:tcW w:w="2492" w:type="dxa"/>
          </w:tcPr>
          <w:p w14:paraId="7E7D0F27">
            <w:pPr>
              <w:pStyle w:val="4"/>
              <w:jc w:val="center"/>
            </w:pPr>
            <w:r>
              <w:rPr>
                <w:rFonts w:ascii="仿宋_GB2312" w:hAnsi="仿宋_GB2312" w:eastAsia="仿宋_GB2312" w:cs="仿宋_GB2312"/>
              </w:rPr>
              <w:t>产品名称</w:t>
            </w:r>
          </w:p>
        </w:tc>
      </w:tr>
      <w:tr w14:paraId="20A4B6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7" w:type="dxa"/>
            <w:gridSpan w:val="4"/>
          </w:tcPr>
          <w:p w14:paraId="1C28431A">
            <w:pPr>
              <w:pStyle w:val="4"/>
              <w:jc w:val="center"/>
            </w:pPr>
            <w:r>
              <w:rPr>
                <w:rFonts w:ascii="仿宋_GB2312" w:hAnsi="仿宋_GB2312" w:eastAsia="仿宋_GB2312" w:cs="仿宋_GB2312"/>
              </w:rPr>
              <w:t>不涉及</w:t>
            </w:r>
          </w:p>
        </w:tc>
      </w:tr>
    </w:tbl>
    <w:p w14:paraId="1AC04431">
      <w:pPr>
        <w:pStyle w:val="4"/>
        <w:ind w:firstLine="480"/>
        <w:jc w:val="left"/>
      </w:pPr>
      <w:r>
        <w:rPr>
          <w:rFonts w:ascii="仿宋_GB2312" w:hAnsi="仿宋_GB2312" w:eastAsia="仿宋_GB2312" w:cs="仿宋_GB2312"/>
        </w:rPr>
        <w:t>★注：不涉及采购进口产品时，供应商不得提供进口产品进行响应；涉及采购进口产品时，如国产产品满足采购需求，也可提供国产产品进行响应。</w:t>
      </w:r>
    </w:p>
    <w:p w14:paraId="15C97BA9">
      <w:pPr>
        <w:pStyle w:val="4"/>
        <w:jc w:val="left"/>
        <w:outlineLvl w:val="3"/>
      </w:pPr>
      <w:r>
        <w:rPr>
          <w:rFonts w:ascii="仿宋_GB2312" w:hAnsi="仿宋_GB2312" w:eastAsia="仿宋_GB2312" w:cs="仿宋_GB2312"/>
          <w:b/>
          <w:sz w:val="24"/>
        </w:rPr>
        <w:t>本项目涉及强制采购节能产品：</w:t>
      </w:r>
    </w:p>
    <w:p w14:paraId="48C74EEE">
      <w:pPr>
        <w:pStyle w:val="4"/>
        <w:jc w:val="left"/>
      </w:pPr>
      <w:r>
        <w:rPr>
          <w:rFonts w:ascii="仿宋_GB2312" w:hAnsi="仿宋_GB2312" w:eastAsia="仿宋_GB2312" w:cs="仿宋_GB2312"/>
        </w:rPr>
        <w:t>采购包1：</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1"/>
        <w:gridCol w:w="2492"/>
        <w:gridCol w:w="2492"/>
        <w:gridCol w:w="2492"/>
      </w:tblGrid>
      <w:tr w14:paraId="691B09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4C54BB52">
            <w:pPr>
              <w:pStyle w:val="4"/>
              <w:jc w:val="center"/>
            </w:pPr>
            <w:r>
              <w:rPr>
                <w:rFonts w:ascii="仿宋_GB2312" w:hAnsi="仿宋_GB2312" w:eastAsia="仿宋_GB2312" w:cs="仿宋_GB2312"/>
              </w:rPr>
              <w:t>序号</w:t>
            </w:r>
          </w:p>
        </w:tc>
        <w:tc>
          <w:tcPr>
            <w:tcW w:w="2492" w:type="dxa"/>
          </w:tcPr>
          <w:p w14:paraId="1E9B79CE">
            <w:pPr>
              <w:pStyle w:val="4"/>
              <w:jc w:val="center"/>
            </w:pPr>
            <w:r>
              <w:rPr>
                <w:rFonts w:ascii="仿宋_GB2312" w:hAnsi="仿宋_GB2312" w:eastAsia="仿宋_GB2312" w:cs="仿宋_GB2312"/>
              </w:rPr>
              <w:t>采购品目名称</w:t>
            </w:r>
          </w:p>
        </w:tc>
        <w:tc>
          <w:tcPr>
            <w:tcW w:w="2492" w:type="dxa"/>
          </w:tcPr>
          <w:p w14:paraId="26C98DD8">
            <w:pPr>
              <w:pStyle w:val="4"/>
              <w:jc w:val="center"/>
            </w:pPr>
            <w:r>
              <w:rPr>
                <w:rFonts w:ascii="仿宋_GB2312" w:hAnsi="仿宋_GB2312" w:eastAsia="仿宋_GB2312" w:cs="仿宋_GB2312"/>
              </w:rPr>
              <w:t>标的名称</w:t>
            </w:r>
          </w:p>
        </w:tc>
        <w:tc>
          <w:tcPr>
            <w:tcW w:w="2492" w:type="dxa"/>
          </w:tcPr>
          <w:p w14:paraId="38D4DBD2">
            <w:pPr>
              <w:pStyle w:val="4"/>
              <w:jc w:val="center"/>
            </w:pPr>
            <w:r>
              <w:rPr>
                <w:rFonts w:ascii="仿宋_GB2312" w:hAnsi="仿宋_GB2312" w:eastAsia="仿宋_GB2312" w:cs="仿宋_GB2312"/>
              </w:rPr>
              <w:t>产品名称</w:t>
            </w:r>
          </w:p>
        </w:tc>
      </w:tr>
      <w:tr w14:paraId="0A9719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7" w:type="dxa"/>
            <w:gridSpan w:val="4"/>
          </w:tcPr>
          <w:p w14:paraId="2F0E0C76">
            <w:pPr>
              <w:pStyle w:val="4"/>
              <w:jc w:val="center"/>
            </w:pPr>
            <w:r>
              <w:rPr>
                <w:rFonts w:ascii="仿宋_GB2312" w:hAnsi="仿宋_GB2312" w:eastAsia="仿宋_GB2312" w:cs="仿宋_GB2312"/>
              </w:rPr>
              <w:t>不涉及</w:t>
            </w:r>
          </w:p>
        </w:tc>
      </w:tr>
    </w:tbl>
    <w:p w14:paraId="4C7AF94C">
      <w:pPr>
        <w:pStyle w:val="4"/>
        <w:ind w:firstLine="480"/>
        <w:jc w:val="left"/>
      </w:pPr>
      <w:r>
        <w:rPr>
          <w:rFonts w:ascii="仿宋_GB2312" w:hAnsi="仿宋_GB2312" w:eastAsia="仿宋_GB2312" w:cs="仿宋_GB2312"/>
        </w:rPr>
        <w:t>★注：响应产品属于《节能产品政府采购品目清单》中政府强制采购的产品，供应商应当提供由国家确定的认证机构出具的、处于有效期之内的节能产品认证证书的原件扫描件或“全国认证认可信息公共服务平台”（http://cx.cnca.cn）的认证信息截图，否则作无效响应处理。具体要求详见第五章符合性审查表。</w:t>
      </w:r>
    </w:p>
    <w:p w14:paraId="7C04B44D">
      <w:pPr>
        <w:pStyle w:val="4"/>
        <w:jc w:val="left"/>
      </w:pPr>
      <w:r>
        <w:rPr>
          <w:rFonts w:ascii="仿宋_GB2312" w:hAnsi="仿宋_GB2312" w:eastAsia="仿宋_GB2312" w:cs="仿宋_GB2312"/>
          <w:b/>
        </w:rPr>
        <w:t>本项目涉及优先采购节能产品：</w:t>
      </w:r>
    </w:p>
    <w:p w14:paraId="0EBDAF87">
      <w:pPr>
        <w:pStyle w:val="4"/>
        <w:jc w:val="left"/>
      </w:pPr>
      <w:r>
        <w:rPr>
          <w:rFonts w:ascii="仿宋_GB2312" w:hAnsi="仿宋_GB2312" w:eastAsia="仿宋_GB2312" w:cs="仿宋_GB2312"/>
        </w:rPr>
        <w:t>采购包1：</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1"/>
        <w:gridCol w:w="2492"/>
        <w:gridCol w:w="2492"/>
        <w:gridCol w:w="2492"/>
      </w:tblGrid>
      <w:tr w14:paraId="0B8E96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7B89FB13">
            <w:pPr>
              <w:pStyle w:val="4"/>
              <w:jc w:val="center"/>
            </w:pPr>
            <w:r>
              <w:rPr>
                <w:rFonts w:ascii="仿宋_GB2312" w:hAnsi="仿宋_GB2312" w:eastAsia="仿宋_GB2312" w:cs="仿宋_GB2312"/>
              </w:rPr>
              <w:t>序号</w:t>
            </w:r>
          </w:p>
        </w:tc>
        <w:tc>
          <w:tcPr>
            <w:tcW w:w="2492" w:type="dxa"/>
          </w:tcPr>
          <w:p w14:paraId="481B7F6D">
            <w:pPr>
              <w:pStyle w:val="4"/>
              <w:jc w:val="center"/>
            </w:pPr>
            <w:r>
              <w:rPr>
                <w:rFonts w:ascii="仿宋_GB2312" w:hAnsi="仿宋_GB2312" w:eastAsia="仿宋_GB2312" w:cs="仿宋_GB2312"/>
              </w:rPr>
              <w:t>采购品目名称</w:t>
            </w:r>
          </w:p>
        </w:tc>
        <w:tc>
          <w:tcPr>
            <w:tcW w:w="2492" w:type="dxa"/>
          </w:tcPr>
          <w:p w14:paraId="3578ED41">
            <w:pPr>
              <w:pStyle w:val="4"/>
              <w:jc w:val="center"/>
            </w:pPr>
            <w:r>
              <w:rPr>
                <w:rFonts w:ascii="仿宋_GB2312" w:hAnsi="仿宋_GB2312" w:eastAsia="仿宋_GB2312" w:cs="仿宋_GB2312"/>
              </w:rPr>
              <w:t>标的名称</w:t>
            </w:r>
          </w:p>
        </w:tc>
        <w:tc>
          <w:tcPr>
            <w:tcW w:w="2492" w:type="dxa"/>
          </w:tcPr>
          <w:p w14:paraId="16F0BA5D">
            <w:pPr>
              <w:pStyle w:val="4"/>
              <w:jc w:val="center"/>
            </w:pPr>
            <w:r>
              <w:rPr>
                <w:rFonts w:ascii="仿宋_GB2312" w:hAnsi="仿宋_GB2312" w:eastAsia="仿宋_GB2312" w:cs="仿宋_GB2312"/>
              </w:rPr>
              <w:t>产品名称</w:t>
            </w:r>
          </w:p>
        </w:tc>
      </w:tr>
      <w:tr w14:paraId="0EBF31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7" w:type="dxa"/>
            <w:gridSpan w:val="4"/>
          </w:tcPr>
          <w:p w14:paraId="37892859">
            <w:pPr>
              <w:pStyle w:val="4"/>
              <w:jc w:val="center"/>
            </w:pPr>
            <w:r>
              <w:rPr>
                <w:rFonts w:ascii="仿宋_GB2312" w:hAnsi="仿宋_GB2312" w:eastAsia="仿宋_GB2312" w:cs="仿宋_GB2312"/>
              </w:rPr>
              <w:t>不涉及</w:t>
            </w:r>
          </w:p>
        </w:tc>
      </w:tr>
    </w:tbl>
    <w:p w14:paraId="4BDEF74B">
      <w:pPr>
        <w:pStyle w:val="4"/>
        <w:ind w:firstLine="480"/>
        <w:jc w:val="left"/>
      </w:pPr>
      <w:r>
        <w:rPr>
          <w:rFonts w:ascii="仿宋_GB2312" w:hAnsi="仿宋_GB2312" w:eastAsia="仿宋_GB2312" w:cs="仿宋_GB2312"/>
        </w:rPr>
        <w:t>注：响应产品属于《节能产品政府采购品目清单》中优先采购的产品，供应商提供由国家确定的认证机构出具的、处于有效期之内的节能产品认证证书的原件扫描件或“全国认证认可信息公共服务平台”（http://cx.cnca.cn）的认证信息截图，可以享受优先采购政策。具体要求详见第五章规定。</w:t>
      </w:r>
    </w:p>
    <w:p w14:paraId="020C63DE">
      <w:pPr>
        <w:pStyle w:val="4"/>
        <w:jc w:val="left"/>
        <w:outlineLvl w:val="3"/>
      </w:pPr>
      <w:r>
        <w:rPr>
          <w:rFonts w:ascii="仿宋_GB2312" w:hAnsi="仿宋_GB2312" w:eastAsia="仿宋_GB2312" w:cs="仿宋_GB2312"/>
          <w:b/>
          <w:sz w:val="24"/>
        </w:rPr>
        <w:t>本项目涉及优先采购环境标志产品：</w:t>
      </w:r>
    </w:p>
    <w:p w14:paraId="74BD8E5D">
      <w:pPr>
        <w:pStyle w:val="4"/>
        <w:jc w:val="left"/>
      </w:pPr>
      <w:r>
        <w:rPr>
          <w:rFonts w:ascii="仿宋_GB2312" w:hAnsi="仿宋_GB2312" w:eastAsia="仿宋_GB2312" w:cs="仿宋_GB2312"/>
        </w:rPr>
        <w:t>采购包1：</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1"/>
        <w:gridCol w:w="2492"/>
        <w:gridCol w:w="2492"/>
        <w:gridCol w:w="2492"/>
      </w:tblGrid>
      <w:tr w14:paraId="0F0B2C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039B060F">
            <w:pPr>
              <w:pStyle w:val="4"/>
              <w:jc w:val="center"/>
            </w:pPr>
            <w:r>
              <w:rPr>
                <w:rFonts w:ascii="仿宋_GB2312" w:hAnsi="仿宋_GB2312" w:eastAsia="仿宋_GB2312" w:cs="仿宋_GB2312"/>
              </w:rPr>
              <w:t>序号</w:t>
            </w:r>
          </w:p>
        </w:tc>
        <w:tc>
          <w:tcPr>
            <w:tcW w:w="2492" w:type="dxa"/>
          </w:tcPr>
          <w:p w14:paraId="43CAB186">
            <w:pPr>
              <w:pStyle w:val="4"/>
              <w:jc w:val="center"/>
            </w:pPr>
            <w:r>
              <w:rPr>
                <w:rFonts w:ascii="仿宋_GB2312" w:hAnsi="仿宋_GB2312" w:eastAsia="仿宋_GB2312" w:cs="仿宋_GB2312"/>
              </w:rPr>
              <w:t>采购品目名称</w:t>
            </w:r>
          </w:p>
        </w:tc>
        <w:tc>
          <w:tcPr>
            <w:tcW w:w="2492" w:type="dxa"/>
          </w:tcPr>
          <w:p w14:paraId="4926ABA0">
            <w:pPr>
              <w:pStyle w:val="4"/>
              <w:jc w:val="center"/>
            </w:pPr>
            <w:r>
              <w:rPr>
                <w:rFonts w:ascii="仿宋_GB2312" w:hAnsi="仿宋_GB2312" w:eastAsia="仿宋_GB2312" w:cs="仿宋_GB2312"/>
              </w:rPr>
              <w:t>标的名称</w:t>
            </w:r>
          </w:p>
        </w:tc>
        <w:tc>
          <w:tcPr>
            <w:tcW w:w="2492" w:type="dxa"/>
          </w:tcPr>
          <w:p w14:paraId="3D56B9A5">
            <w:pPr>
              <w:pStyle w:val="4"/>
              <w:jc w:val="center"/>
            </w:pPr>
            <w:r>
              <w:rPr>
                <w:rFonts w:ascii="仿宋_GB2312" w:hAnsi="仿宋_GB2312" w:eastAsia="仿宋_GB2312" w:cs="仿宋_GB2312"/>
              </w:rPr>
              <w:t>产品名称</w:t>
            </w:r>
          </w:p>
        </w:tc>
      </w:tr>
      <w:tr w14:paraId="3793F3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7" w:type="dxa"/>
            <w:gridSpan w:val="4"/>
          </w:tcPr>
          <w:p w14:paraId="62AC0233">
            <w:pPr>
              <w:pStyle w:val="4"/>
              <w:jc w:val="center"/>
            </w:pPr>
            <w:r>
              <w:rPr>
                <w:rFonts w:ascii="仿宋_GB2312" w:hAnsi="仿宋_GB2312" w:eastAsia="仿宋_GB2312" w:cs="仿宋_GB2312"/>
              </w:rPr>
              <w:t>不涉及</w:t>
            </w:r>
          </w:p>
        </w:tc>
      </w:tr>
    </w:tbl>
    <w:p w14:paraId="3837C049">
      <w:pPr>
        <w:pStyle w:val="4"/>
        <w:ind w:firstLine="480"/>
        <w:jc w:val="left"/>
      </w:pPr>
      <w:r>
        <w:rPr>
          <w:rFonts w:ascii="仿宋_GB2312" w:hAnsi="仿宋_GB2312" w:eastAsia="仿宋_GB2312" w:cs="仿宋_GB2312"/>
        </w:rPr>
        <w:t>注：响应产品属于《环境标志产品政府采购品目清单》中的产品，供应商提供由国家确定的认证机构出具的、处于有效期之内的环境标志产品认证证书的原件扫描件或“全国认证认可信息公共服务平台”（http://cx.cnca.cn）的认证信息截图，可以享受优先采购政策。具体要求详见第五章规定。</w:t>
      </w:r>
    </w:p>
    <w:p w14:paraId="6CBF5305">
      <w:pPr>
        <w:pStyle w:val="4"/>
        <w:jc w:val="left"/>
        <w:outlineLvl w:val="2"/>
      </w:pPr>
      <w:r>
        <w:rPr>
          <w:rFonts w:ascii="仿宋_GB2312" w:hAnsi="仿宋_GB2312" w:eastAsia="仿宋_GB2312" w:cs="仿宋_GB2312"/>
          <w:b/>
          <w:sz w:val="28"/>
        </w:rPr>
        <w:t>3.2.技术要求</w:t>
      </w:r>
    </w:p>
    <w:p w14:paraId="1FDCDD6C">
      <w:pPr>
        <w:pStyle w:val="4"/>
        <w:jc w:val="left"/>
      </w:pPr>
      <w:r>
        <w:rPr>
          <w:rFonts w:ascii="仿宋_GB2312" w:hAnsi="仿宋_GB2312" w:eastAsia="仿宋_GB2312" w:cs="仿宋_GB2312"/>
        </w:rPr>
        <w:t>采购包1：</w:t>
      </w:r>
    </w:p>
    <w:p w14:paraId="07C6CA5E">
      <w:pPr>
        <w:pStyle w:val="4"/>
        <w:jc w:val="left"/>
      </w:pPr>
      <w:r>
        <w:rPr>
          <w:rFonts w:ascii="仿宋_GB2312" w:hAnsi="仿宋_GB2312" w:eastAsia="仿宋_GB2312" w:cs="仿宋_GB2312"/>
        </w:rPr>
        <w:t>标的名称：成都市金牛区2025年财政绩效管理服务采购项目</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581"/>
        <w:gridCol w:w="1495"/>
        <w:gridCol w:w="5814"/>
      </w:tblGrid>
      <w:tr w14:paraId="4FED8AE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6D123631">
            <w:pPr>
              <w:pStyle w:val="4"/>
              <w:jc w:val="center"/>
            </w:pPr>
            <w:r>
              <w:rPr>
                <w:rFonts w:ascii="仿宋_GB2312" w:hAnsi="仿宋_GB2312" w:eastAsia="仿宋_GB2312" w:cs="仿宋_GB2312"/>
              </w:rPr>
              <w:t>序号</w:t>
            </w:r>
          </w:p>
        </w:tc>
        <w:tc>
          <w:tcPr>
            <w:tcW w:w="581" w:type="dxa"/>
          </w:tcPr>
          <w:p w14:paraId="13393EF2">
            <w:pPr>
              <w:pStyle w:val="4"/>
              <w:jc w:val="center"/>
            </w:pPr>
            <w:r>
              <w:rPr>
                <w:rFonts w:ascii="仿宋_GB2312" w:hAnsi="仿宋_GB2312" w:eastAsia="仿宋_GB2312" w:cs="仿宋_GB2312"/>
              </w:rPr>
              <w:t>符号标识</w:t>
            </w:r>
          </w:p>
        </w:tc>
        <w:tc>
          <w:tcPr>
            <w:tcW w:w="1495" w:type="dxa"/>
          </w:tcPr>
          <w:p w14:paraId="0DA015C4">
            <w:pPr>
              <w:pStyle w:val="4"/>
              <w:jc w:val="center"/>
            </w:pPr>
            <w:r>
              <w:rPr>
                <w:rFonts w:ascii="仿宋_GB2312" w:hAnsi="仿宋_GB2312" w:eastAsia="仿宋_GB2312" w:cs="仿宋_GB2312"/>
              </w:rPr>
              <w:t>技术要求名称</w:t>
            </w:r>
          </w:p>
        </w:tc>
        <w:tc>
          <w:tcPr>
            <w:tcW w:w="5814" w:type="dxa"/>
          </w:tcPr>
          <w:p w14:paraId="0DB8D83E">
            <w:pPr>
              <w:pStyle w:val="4"/>
              <w:jc w:val="center"/>
            </w:pPr>
            <w:r>
              <w:rPr>
                <w:rFonts w:ascii="仿宋_GB2312" w:hAnsi="仿宋_GB2312" w:eastAsia="仿宋_GB2312" w:cs="仿宋_GB2312"/>
              </w:rPr>
              <w:t>技术参数与性能指标</w:t>
            </w:r>
          </w:p>
        </w:tc>
      </w:tr>
      <w:tr w14:paraId="43AC8E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3E3085BF">
            <w:pPr>
              <w:pStyle w:val="4"/>
              <w:jc w:val="center"/>
            </w:pPr>
            <w:r>
              <w:rPr>
                <w:rFonts w:ascii="仿宋_GB2312" w:hAnsi="仿宋_GB2312" w:eastAsia="仿宋_GB2312" w:cs="仿宋_GB2312"/>
              </w:rPr>
              <w:t>1</w:t>
            </w:r>
          </w:p>
        </w:tc>
        <w:tc>
          <w:tcPr>
            <w:tcW w:w="581" w:type="dxa"/>
          </w:tcPr>
          <w:p w14:paraId="4C390C43"/>
        </w:tc>
        <w:tc>
          <w:tcPr>
            <w:tcW w:w="1495" w:type="dxa"/>
          </w:tcPr>
          <w:p w14:paraId="4F7EF183">
            <w:pPr>
              <w:pStyle w:val="4"/>
              <w:jc w:val="left"/>
            </w:pPr>
            <w:r>
              <w:rPr>
                <w:rFonts w:ascii="仿宋_GB2312" w:hAnsi="仿宋_GB2312" w:eastAsia="仿宋_GB2312" w:cs="仿宋_GB2312"/>
              </w:rPr>
              <w:t>具体服务内容及案例要求</w:t>
            </w:r>
          </w:p>
        </w:tc>
        <w:tc>
          <w:tcPr>
            <w:tcW w:w="5814" w:type="dxa"/>
          </w:tcPr>
          <w:p w14:paraId="406C83DB">
            <w:pPr>
              <w:pStyle w:val="4"/>
              <w:jc w:val="left"/>
              <w:outlineLvl w:val="1"/>
            </w:pPr>
            <w:r>
              <w:rPr>
                <w:rFonts w:ascii="仿宋_GB2312" w:hAnsi="仿宋_GB2312" w:eastAsia="仿宋_GB2312" w:cs="仿宋_GB2312"/>
                <w:b/>
                <w:color w:val="000000"/>
                <w:sz w:val="28"/>
              </w:rPr>
              <w:t>一、项目背景</w:t>
            </w:r>
          </w:p>
          <w:p w14:paraId="764E59E4">
            <w:pPr>
              <w:pStyle w:val="4"/>
              <w:ind w:firstLine="472"/>
              <w:jc w:val="left"/>
            </w:pPr>
            <w:r>
              <w:rPr>
                <w:rFonts w:ascii="仿宋_GB2312" w:hAnsi="仿宋_GB2312" w:eastAsia="仿宋_GB2312" w:cs="仿宋_GB2312"/>
                <w:color w:val="000000"/>
                <w:sz w:val="24"/>
              </w:rPr>
              <w:t>本项目共1个包：成都市金牛区2025年财政绩效管理服务采购项目</w:t>
            </w:r>
            <w:r>
              <w:rPr>
                <w:rFonts w:ascii="仿宋_GB2312" w:hAnsi="仿宋_GB2312" w:eastAsia="仿宋_GB2312" w:cs="仿宋_GB2312"/>
                <w:color w:val="000000"/>
                <w:sz w:val="32"/>
              </w:rPr>
              <w:t>。</w:t>
            </w:r>
          </w:p>
          <w:p w14:paraId="1B441C37">
            <w:pPr>
              <w:pStyle w:val="4"/>
              <w:jc w:val="left"/>
              <w:outlineLvl w:val="1"/>
            </w:pPr>
            <w:r>
              <w:rPr>
                <w:rFonts w:ascii="仿宋_GB2312" w:hAnsi="仿宋_GB2312" w:eastAsia="仿宋_GB2312" w:cs="仿宋_GB2312"/>
                <w:b/>
                <w:color w:val="000000"/>
                <w:sz w:val="28"/>
              </w:rPr>
              <w:t>二、具体服务内容</w:t>
            </w:r>
          </w:p>
          <w:p w14:paraId="483E67E2">
            <w:pPr>
              <w:pStyle w:val="4"/>
              <w:jc w:val="center"/>
            </w:pPr>
            <w:r>
              <w:rPr>
                <w:rFonts w:ascii="仿宋_GB2312" w:hAnsi="仿宋_GB2312" w:eastAsia="仿宋_GB2312" w:cs="仿宋_GB2312"/>
                <w:b/>
                <w:color w:val="000000"/>
                <w:sz w:val="24"/>
              </w:rPr>
              <w:t>成都市金牛区2025年财政绩效管理服务采购项目表</w:t>
            </w:r>
          </w:p>
          <w:p w14:paraId="1F2E02C8">
            <w:pPr>
              <w:pStyle w:val="4"/>
              <w:ind w:right="960"/>
              <w:jc w:val="center"/>
            </w:pPr>
            <w:r>
              <w:rPr>
                <w:rFonts w:ascii="仿宋_GB2312" w:hAnsi="仿宋_GB2312" w:eastAsia="仿宋_GB2312" w:cs="仿宋_GB2312"/>
                <w:color w:val="000000"/>
                <w:sz w:val="24"/>
              </w:rPr>
              <w:t>单位：万元</w:t>
            </w:r>
          </w:p>
          <w:tbl>
            <w:tblPr>
              <w:tblStyle w:val="2"/>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421"/>
              <w:gridCol w:w="1575"/>
              <w:gridCol w:w="815"/>
              <w:gridCol w:w="1010"/>
              <w:gridCol w:w="1772"/>
            </w:tblGrid>
            <w:tr w14:paraId="016E4D8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21"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68627B23">
                  <w:pPr>
                    <w:pStyle w:val="4"/>
                    <w:jc w:val="left"/>
                  </w:pPr>
                  <w:r>
                    <w:rPr>
                      <w:rFonts w:ascii="仿宋_GB2312" w:hAnsi="仿宋_GB2312" w:eastAsia="仿宋_GB2312" w:cs="仿宋_GB2312"/>
                      <w:color w:val="000000"/>
                      <w:sz w:val="21"/>
                    </w:rPr>
                    <w:t>序号</w:t>
                  </w:r>
                </w:p>
              </w:tc>
              <w:tc>
                <w:tcPr>
                  <w:tcW w:w="1496" w:type="dxa"/>
                  <w:tcBorders>
                    <w:top w:val="single" w:color="000000" w:sz="4" w:space="0"/>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7AAA536F">
                  <w:pPr>
                    <w:pStyle w:val="4"/>
                    <w:jc w:val="left"/>
                  </w:pPr>
                  <w:r>
                    <w:rPr>
                      <w:rFonts w:ascii="仿宋_GB2312" w:hAnsi="仿宋_GB2312" w:eastAsia="仿宋_GB2312" w:cs="仿宋_GB2312"/>
                      <w:color w:val="000000"/>
                      <w:sz w:val="21"/>
                    </w:rPr>
                    <w:t>项目名称</w:t>
                  </w:r>
                </w:p>
              </w:tc>
              <w:tc>
                <w:tcPr>
                  <w:tcW w:w="825" w:type="dxa"/>
                  <w:tcBorders>
                    <w:top w:val="single" w:color="000000" w:sz="4" w:space="0"/>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03C08EA2">
                  <w:pPr>
                    <w:pStyle w:val="4"/>
                    <w:jc w:val="left"/>
                  </w:pPr>
                  <w:r>
                    <w:rPr>
                      <w:rFonts w:ascii="仿宋_GB2312" w:hAnsi="仿宋_GB2312" w:eastAsia="仿宋_GB2312" w:cs="仿宋_GB2312"/>
                      <w:color w:val="000000"/>
                      <w:sz w:val="21"/>
                    </w:rPr>
                    <w:t>部门（单位）</w:t>
                  </w:r>
                </w:p>
              </w:tc>
              <w:tc>
                <w:tcPr>
                  <w:tcW w:w="1031" w:type="dxa"/>
                  <w:tcBorders>
                    <w:top w:val="single" w:color="000000" w:sz="4" w:space="0"/>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02FEFD5D">
                  <w:pPr>
                    <w:pStyle w:val="4"/>
                    <w:jc w:val="left"/>
                  </w:pPr>
                  <w:r>
                    <w:rPr>
                      <w:rFonts w:ascii="仿宋_GB2312" w:hAnsi="仿宋_GB2312" w:eastAsia="仿宋_GB2312" w:cs="仿宋_GB2312"/>
                      <w:color w:val="000000"/>
                      <w:sz w:val="21"/>
                    </w:rPr>
                    <w:t>评价类型</w:t>
                  </w:r>
                </w:p>
              </w:tc>
              <w:tc>
                <w:tcPr>
                  <w:tcW w:w="1805" w:type="dxa"/>
                  <w:tcBorders>
                    <w:top w:val="single" w:color="000000" w:sz="4" w:space="0"/>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2D96060A">
                  <w:pPr>
                    <w:pStyle w:val="4"/>
                    <w:jc w:val="left"/>
                  </w:pPr>
                  <w:r>
                    <w:rPr>
                      <w:rFonts w:ascii="仿宋_GB2312" w:hAnsi="仿宋_GB2312" w:eastAsia="仿宋_GB2312" w:cs="仿宋_GB2312"/>
                      <w:color w:val="000000"/>
                      <w:sz w:val="21"/>
                    </w:rPr>
                    <w:t>项目金额规模</w:t>
                  </w:r>
                </w:p>
              </w:tc>
            </w:tr>
            <w:tr w14:paraId="7125E1A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917" w:type="dxa"/>
                  <w:gridSpan w:val="2"/>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14EC632A">
                  <w:pPr>
                    <w:pStyle w:val="4"/>
                    <w:jc w:val="left"/>
                  </w:pPr>
                  <w:r>
                    <w:rPr>
                      <w:rFonts w:ascii="仿宋_GB2312" w:hAnsi="仿宋_GB2312" w:eastAsia="仿宋_GB2312" w:cs="仿宋_GB2312"/>
                      <w:color w:val="000000"/>
                      <w:sz w:val="21"/>
                    </w:rPr>
                    <w:t>合计</w:t>
                  </w:r>
                </w:p>
              </w:tc>
              <w:tc>
                <w:tcPr>
                  <w:tcW w:w="825"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30C5B5C1">
                  <w:pPr>
                    <w:pStyle w:val="4"/>
                    <w:jc w:val="left"/>
                  </w:pPr>
                </w:p>
              </w:tc>
              <w:tc>
                <w:tcPr>
                  <w:tcW w:w="103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3906F7AA"/>
              </w:tc>
              <w:tc>
                <w:tcPr>
                  <w:tcW w:w="1805"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5A660CB3">
                  <w:pPr>
                    <w:pStyle w:val="4"/>
                    <w:jc w:val="left"/>
                  </w:pPr>
                  <w:r>
                    <w:rPr>
                      <w:rFonts w:ascii="仿宋_GB2312" w:hAnsi="仿宋_GB2312" w:eastAsia="仿宋_GB2312" w:cs="仿宋_GB2312"/>
                      <w:color w:val="000000"/>
                      <w:sz w:val="21"/>
                    </w:rPr>
                    <w:t>76,795.26</w:t>
                  </w:r>
                </w:p>
              </w:tc>
            </w:tr>
            <w:tr w14:paraId="41C3D5C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2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4F2D34F0">
                  <w:pPr>
                    <w:pStyle w:val="4"/>
                    <w:jc w:val="left"/>
                  </w:pPr>
                  <w:r>
                    <w:rPr>
                      <w:rFonts w:ascii="仿宋_GB2312" w:hAnsi="仿宋_GB2312" w:eastAsia="仿宋_GB2312" w:cs="仿宋_GB2312"/>
                      <w:color w:val="000000"/>
                      <w:sz w:val="21"/>
                    </w:rPr>
                    <w:t>1</w:t>
                  </w:r>
                </w:p>
              </w:tc>
              <w:tc>
                <w:tcPr>
                  <w:tcW w:w="1496"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7160CF62">
                  <w:pPr>
                    <w:pStyle w:val="4"/>
                    <w:jc w:val="left"/>
                  </w:pPr>
                  <w:r>
                    <w:rPr>
                      <w:rFonts w:ascii="仿宋_GB2312" w:hAnsi="仿宋_GB2312" w:eastAsia="仿宋_GB2312" w:cs="仿宋_GB2312"/>
                      <w:color w:val="000000"/>
                      <w:sz w:val="21"/>
                    </w:rPr>
                    <w:t>2024年家电以旧换新补贴项目资金（超长期国债）</w:t>
                  </w:r>
                </w:p>
              </w:tc>
              <w:tc>
                <w:tcPr>
                  <w:tcW w:w="825"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7F65CDDC">
                  <w:pPr>
                    <w:pStyle w:val="4"/>
                    <w:jc w:val="left"/>
                  </w:pPr>
                  <w:r>
                    <w:rPr>
                      <w:rFonts w:ascii="仿宋_GB2312" w:hAnsi="仿宋_GB2312" w:eastAsia="仿宋_GB2312" w:cs="仿宋_GB2312"/>
                      <w:color w:val="000000"/>
                      <w:sz w:val="21"/>
                    </w:rPr>
                    <w:t>区商务局</w:t>
                  </w:r>
                </w:p>
              </w:tc>
              <w:tc>
                <w:tcPr>
                  <w:tcW w:w="103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56E0E0AB">
                  <w:pPr>
                    <w:pStyle w:val="4"/>
                    <w:jc w:val="left"/>
                  </w:pPr>
                  <w:r>
                    <w:rPr>
                      <w:rFonts w:ascii="仿宋_GB2312" w:hAnsi="仿宋_GB2312" w:eastAsia="仿宋_GB2312" w:cs="仿宋_GB2312"/>
                      <w:color w:val="000000"/>
                      <w:sz w:val="21"/>
                    </w:rPr>
                    <w:t>项目评价</w:t>
                  </w:r>
                </w:p>
              </w:tc>
              <w:tc>
                <w:tcPr>
                  <w:tcW w:w="1805" w:type="dxa"/>
                  <w:tcBorders>
                    <w:top w:val="single" w:color="000000" w:sz="4" w:space="0"/>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45E39FC4">
                  <w:pPr>
                    <w:pStyle w:val="4"/>
                    <w:jc w:val="left"/>
                  </w:pPr>
                  <w:r>
                    <w:rPr>
                      <w:rFonts w:ascii="仿宋_GB2312" w:hAnsi="仿宋_GB2312" w:eastAsia="仿宋_GB2312" w:cs="仿宋_GB2312"/>
                      <w:color w:val="000000"/>
                      <w:sz w:val="21"/>
                    </w:rPr>
                    <w:t>12,746.22</w:t>
                  </w:r>
                </w:p>
              </w:tc>
            </w:tr>
            <w:tr w14:paraId="3045F66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2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7CBABBA6">
                  <w:pPr>
                    <w:pStyle w:val="4"/>
                    <w:jc w:val="left"/>
                  </w:pPr>
                  <w:r>
                    <w:rPr>
                      <w:rFonts w:ascii="仿宋_GB2312" w:hAnsi="仿宋_GB2312" w:eastAsia="仿宋_GB2312" w:cs="仿宋_GB2312"/>
                      <w:color w:val="000000"/>
                      <w:sz w:val="21"/>
                    </w:rPr>
                    <w:t>2</w:t>
                  </w:r>
                </w:p>
              </w:tc>
              <w:tc>
                <w:tcPr>
                  <w:tcW w:w="1496"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6556A748">
                  <w:pPr>
                    <w:pStyle w:val="4"/>
                    <w:jc w:val="left"/>
                  </w:pPr>
                  <w:r>
                    <w:rPr>
                      <w:rFonts w:ascii="仿宋_GB2312" w:hAnsi="仿宋_GB2312" w:eastAsia="仿宋_GB2312" w:cs="仿宋_GB2312"/>
                      <w:color w:val="000000"/>
                      <w:sz w:val="21"/>
                    </w:rPr>
                    <w:t>党建引领“微网实格”关爱帮扶特殊困难群众资金</w:t>
                  </w:r>
                </w:p>
              </w:tc>
              <w:tc>
                <w:tcPr>
                  <w:tcW w:w="825"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6174CA7C">
                  <w:pPr>
                    <w:pStyle w:val="4"/>
                    <w:jc w:val="left"/>
                  </w:pPr>
                  <w:r>
                    <w:rPr>
                      <w:rFonts w:ascii="仿宋_GB2312" w:hAnsi="仿宋_GB2312" w:eastAsia="仿宋_GB2312" w:cs="仿宋_GB2312"/>
                      <w:color w:val="000000"/>
                      <w:sz w:val="21"/>
                    </w:rPr>
                    <w:t>区民政局</w:t>
                  </w:r>
                </w:p>
              </w:tc>
              <w:tc>
                <w:tcPr>
                  <w:tcW w:w="103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64AA58F6">
                  <w:pPr>
                    <w:pStyle w:val="4"/>
                    <w:jc w:val="left"/>
                  </w:pPr>
                  <w:r>
                    <w:rPr>
                      <w:rFonts w:ascii="仿宋_GB2312" w:hAnsi="仿宋_GB2312" w:eastAsia="仿宋_GB2312" w:cs="仿宋_GB2312"/>
                      <w:color w:val="000000"/>
                      <w:sz w:val="21"/>
                    </w:rPr>
                    <w:t>项目评价</w:t>
                  </w:r>
                </w:p>
              </w:tc>
              <w:tc>
                <w:tcPr>
                  <w:tcW w:w="1805"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19DB7581">
                  <w:pPr>
                    <w:pStyle w:val="4"/>
                    <w:jc w:val="left"/>
                  </w:pPr>
                  <w:r>
                    <w:rPr>
                      <w:rFonts w:ascii="仿宋_GB2312" w:hAnsi="仿宋_GB2312" w:eastAsia="仿宋_GB2312" w:cs="仿宋_GB2312"/>
                      <w:color w:val="000000"/>
                      <w:sz w:val="21"/>
                    </w:rPr>
                    <w:t>2,186.49</w:t>
                  </w:r>
                </w:p>
              </w:tc>
            </w:tr>
            <w:tr w14:paraId="119F6A3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2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6C07BEC9">
                  <w:pPr>
                    <w:pStyle w:val="4"/>
                    <w:jc w:val="left"/>
                  </w:pPr>
                  <w:r>
                    <w:rPr>
                      <w:rFonts w:ascii="仿宋_GB2312" w:hAnsi="仿宋_GB2312" w:eastAsia="仿宋_GB2312" w:cs="仿宋_GB2312"/>
                      <w:color w:val="000000"/>
                      <w:sz w:val="21"/>
                    </w:rPr>
                    <w:t>3</w:t>
                  </w:r>
                </w:p>
              </w:tc>
              <w:tc>
                <w:tcPr>
                  <w:tcW w:w="1496"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79B5E467">
                  <w:pPr>
                    <w:pStyle w:val="4"/>
                    <w:jc w:val="left"/>
                  </w:pPr>
                  <w:r>
                    <w:rPr>
                      <w:rFonts w:ascii="仿宋_GB2312" w:hAnsi="仿宋_GB2312" w:eastAsia="仿宋_GB2312" w:cs="仿宋_GB2312"/>
                      <w:color w:val="000000"/>
                      <w:sz w:val="21"/>
                    </w:rPr>
                    <w:t>第五次经济普查（2023-2024）</w:t>
                  </w:r>
                </w:p>
              </w:tc>
              <w:tc>
                <w:tcPr>
                  <w:tcW w:w="825"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3D80782D">
                  <w:pPr>
                    <w:pStyle w:val="4"/>
                    <w:jc w:val="left"/>
                  </w:pPr>
                  <w:r>
                    <w:rPr>
                      <w:rFonts w:ascii="仿宋_GB2312" w:hAnsi="仿宋_GB2312" w:eastAsia="仿宋_GB2312" w:cs="仿宋_GB2312"/>
                      <w:color w:val="000000"/>
                      <w:sz w:val="21"/>
                    </w:rPr>
                    <w:t>区统计局</w:t>
                  </w:r>
                </w:p>
              </w:tc>
              <w:tc>
                <w:tcPr>
                  <w:tcW w:w="103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101DA3B5">
                  <w:pPr>
                    <w:pStyle w:val="4"/>
                    <w:jc w:val="left"/>
                  </w:pPr>
                  <w:r>
                    <w:rPr>
                      <w:rFonts w:ascii="仿宋_GB2312" w:hAnsi="仿宋_GB2312" w:eastAsia="仿宋_GB2312" w:cs="仿宋_GB2312"/>
                      <w:color w:val="000000"/>
                      <w:sz w:val="21"/>
                    </w:rPr>
                    <w:t>项目评价</w:t>
                  </w:r>
                </w:p>
              </w:tc>
              <w:tc>
                <w:tcPr>
                  <w:tcW w:w="1805"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42D74B59">
                  <w:pPr>
                    <w:pStyle w:val="4"/>
                    <w:jc w:val="left"/>
                  </w:pPr>
                  <w:r>
                    <w:rPr>
                      <w:rFonts w:ascii="仿宋_GB2312" w:hAnsi="仿宋_GB2312" w:eastAsia="仿宋_GB2312" w:cs="仿宋_GB2312"/>
                      <w:color w:val="000000"/>
                      <w:sz w:val="21"/>
                    </w:rPr>
                    <w:t>1,427.57</w:t>
                  </w:r>
                </w:p>
              </w:tc>
            </w:tr>
            <w:tr w14:paraId="0E467C7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2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336032D5">
                  <w:pPr>
                    <w:pStyle w:val="4"/>
                    <w:jc w:val="left"/>
                  </w:pPr>
                  <w:r>
                    <w:rPr>
                      <w:rFonts w:ascii="仿宋_GB2312" w:hAnsi="仿宋_GB2312" w:eastAsia="仿宋_GB2312" w:cs="仿宋_GB2312"/>
                      <w:color w:val="000000"/>
                      <w:sz w:val="21"/>
                    </w:rPr>
                    <w:t>4</w:t>
                  </w:r>
                </w:p>
              </w:tc>
              <w:tc>
                <w:tcPr>
                  <w:tcW w:w="1496"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4F039D65">
                  <w:pPr>
                    <w:pStyle w:val="4"/>
                    <w:jc w:val="left"/>
                  </w:pPr>
                  <w:r>
                    <w:rPr>
                      <w:rFonts w:ascii="仿宋_GB2312" w:hAnsi="仿宋_GB2312" w:eastAsia="仿宋_GB2312" w:cs="仿宋_GB2312"/>
                      <w:color w:val="000000"/>
                      <w:sz w:val="21"/>
                    </w:rPr>
                    <w:t>2024年部门整体支出绩效评价</w:t>
                  </w:r>
                </w:p>
              </w:tc>
              <w:tc>
                <w:tcPr>
                  <w:tcW w:w="825"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03C276FF">
                  <w:pPr>
                    <w:pStyle w:val="4"/>
                    <w:jc w:val="left"/>
                  </w:pPr>
                  <w:r>
                    <w:rPr>
                      <w:rFonts w:ascii="仿宋_GB2312" w:hAnsi="仿宋_GB2312" w:eastAsia="仿宋_GB2312" w:cs="仿宋_GB2312"/>
                      <w:color w:val="000000"/>
                      <w:sz w:val="21"/>
                    </w:rPr>
                    <w:t>区经信局</w:t>
                  </w:r>
                </w:p>
              </w:tc>
              <w:tc>
                <w:tcPr>
                  <w:tcW w:w="103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224EC5F4">
                  <w:pPr>
                    <w:pStyle w:val="4"/>
                    <w:jc w:val="left"/>
                  </w:pPr>
                  <w:r>
                    <w:rPr>
                      <w:rFonts w:ascii="仿宋_GB2312" w:hAnsi="仿宋_GB2312" w:eastAsia="仿宋_GB2312" w:cs="仿宋_GB2312"/>
                      <w:color w:val="000000"/>
                      <w:sz w:val="21"/>
                    </w:rPr>
                    <w:t>部门整体支出绩效评价</w:t>
                  </w:r>
                </w:p>
              </w:tc>
              <w:tc>
                <w:tcPr>
                  <w:tcW w:w="1805"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64613F8A">
                  <w:pPr>
                    <w:pStyle w:val="4"/>
                    <w:jc w:val="left"/>
                  </w:pPr>
                  <w:r>
                    <w:rPr>
                      <w:rFonts w:ascii="仿宋_GB2312" w:hAnsi="仿宋_GB2312" w:eastAsia="仿宋_GB2312" w:cs="仿宋_GB2312"/>
                      <w:color w:val="000000"/>
                      <w:sz w:val="21"/>
                    </w:rPr>
                    <w:t>11,486.39</w:t>
                  </w:r>
                </w:p>
              </w:tc>
            </w:tr>
            <w:tr w14:paraId="2F21FA4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2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44421879">
                  <w:pPr>
                    <w:pStyle w:val="4"/>
                    <w:jc w:val="left"/>
                  </w:pPr>
                  <w:r>
                    <w:rPr>
                      <w:rFonts w:ascii="仿宋_GB2312" w:hAnsi="仿宋_GB2312" w:eastAsia="仿宋_GB2312" w:cs="仿宋_GB2312"/>
                      <w:color w:val="000000"/>
                      <w:sz w:val="21"/>
                    </w:rPr>
                    <w:t>5</w:t>
                  </w:r>
                </w:p>
              </w:tc>
              <w:tc>
                <w:tcPr>
                  <w:tcW w:w="1496"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5F86D012">
                  <w:pPr>
                    <w:pStyle w:val="4"/>
                    <w:jc w:val="left"/>
                  </w:pPr>
                  <w:r>
                    <w:rPr>
                      <w:rFonts w:ascii="仿宋_GB2312" w:hAnsi="仿宋_GB2312" w:eastAsia="仿宋_GB2312" w:cs="仿宋_GB2312"/>
                      <w:color w:val="000000"/>
                      <w:sz w:val="21"/>
                    </w:rPr>
                    <w:t>计划生育家庭奖特扶专项</w:t>
                  </w:r>
                </w:p>
              </w:tc>
              <w:tc>
                <w:tcPr>
                  <w:tcW w:w="825"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70338872">
                  <w:pPr>
                    <w:pStyle w:val="4"/>
                    <w:jc w:val="left"/>
                  </w:pPr>
                  <w:r>
                    <w:rPr>
                      <w:rFonts w:ascii="仿宋_GB2312" w:hAnsi="仿宋_GB2312" w:eastAsia="仿宋_GB2312" w:cs="仿宋_GB2312"/>
                      <w:color w:val="000000"/>
                      <w:sz w:val="21"/>
                    </w:rPr>
                    <w:t>区卫健局</w:t>
                  </w:r>
                </w:p>
              </w:tc>
              <w:tc>
                <w:tcPr>
                  <w:tcW w:w="103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1D0C7D3E">
                  <w:pPr>
                    <w:pStyle w:val="4"/>
                    <w:jc w:val="left"/>
                  </w:pPr>
                  <w:r>
                    <w:rPr>
                      <w:rFonts w:ascii="仿宋_GB2312" w:hAnsi="仿宋_GB2312" w:eastAsia="仿宋_GB2312" w:cs="仿宋_GB2312"/>
                      <w:color w:val="000000"/>
                      <w:sz w:val="21"/>
                    </w:rPr>
                    <w:t>项目评价</w:t>
                  </w:r>
                </w:p>
              </w:tc>
              <w:tc>
                <w:tcPr>
                  <w:tcW w:w="1805"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5618641F">
                  <w:pPr>
                    <w:pStyle w:val="4"/>
                    <w:jc w:val="left"/>
                  </w:pPr>
                  <w:r>
                    <w:rPr>
                      <w:rFonts w:ascii="仿宋_GB2312" w:hAnsi="仿宋_GB2312" w:eastAsia="仿宋_GB2312" w:cs="仿宋_GB2312"/>
                      <w:color w:val="000000"/>
                      <w:sz w:val="21"/>
                    </w:rPr>
                    <w:t>1,478.37</w:t>
                  </w:r>
                </w:p>
              </w:tc>
            </w:tr>
            <w:tr w14:paraId="689B040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2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737C6C22">
                  <w:pPr>
                    <w:pStyle w:val="4"/>
                    <w:jc w:val="left"/>
                  </w:pPr>
                  <w:r>
                    <w:rPr>
                      <w:rFonts w:ascii="仿宋_GB2312" w:hAnsi="仿宋_GB2312" w:eastAsia="仿宋_GB2312" w:cs="仿宋_GB2312"/>
                      <w:color w:val="000000"/>
                      <w:sz w:val="21"/>
                    </w:rPr>
                    <w:t>6</w:t>
                  </w:r>
                </w:p>
              </w:tc>
              <w:tc>
                <w:tcPr>
                  <w:tcW w:w="1496"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429BC9C2">
                  <w:pPr>
                    <w:pStyle w:val="4"/>
                    <w:jc w:val="left"/>
                  </w:pPr>
                  <w:r>
                    <w:rPr>
                      <w:rFonts w:ascii="仿宋_GB2312" w:hAnsi="仿宋_GB2312" w:eastAsia="仿宋_GB2312" w:cs="仿宋_GB2312"/>
                      <w:color w:val="000000"/>
                      <w:sz w:val="21"/>
                    </w:rPr>
                    <w:t>交子云筑保障性租赁住房项目</w:t>
                  </w:r>
                </w:p>
              </w:tc>
              <w:tc>
                <w:tcPr>
                  <w:tcW w:w="825"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5708DD20">
                  <w:pPr>
                    <w:pStyle w:val="4"/>
                    <w:jc w:val="left"/>
                  </w:pPr>
                  <w:r>
                    <w:rPr>
                      <w:rFonts w:ascii="仿宋_GB2312" w:hAnsi="仿宋_GB2312" w:eastAsia="仿宋_GB2312" w:cs="仿宋_GB2312"/>
                      <w:color w:val="000000"/>
                      <w:sz w:val="21"/>
                    </w:rPr>
                    <w:t>区城投集团</w:t>
                  </w:r>
                </w:p>
              </w:tc>
              <w:tc>
                <w:tcPr>
                  <w:tcW w:w="103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2D29EE82">
                  <w:pPr>
                    <w:pStyle w:val="4"/>
                    <w:jc w:val="left"/>
                  </w:pPr>
                  <w:r>
                    <w:rPr>
                      <w:rFonts w:ascii="仿宋_GB2312" w:hAnsi="仿宋_GB2312" w:eastAsia="仿宋_GB2312" w:cs="仿宋_GB2312"/>
                      <w:color w:val="000000"/>
                      <w:sz w:val="21"/>
                    </w:rPr>
                    <w:t>项目评价</w:t>
                  </w:r>
                </w:p>
              </w:tc>
              <w:tc>
                <w:tcPr>
                  <w:tcW w:w="1805"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5F88E86E">
                  <w:pPr>
                    <w:pStyle w:val="4"/>
                    <w:jc w:val="left"/>
                  </w:pPr>
                  <w:r>
                    <w:rPr>
                      <w:rFonts w:ascii="仿宋_GB2312" w:hAnsi="仿宋_GB2312" w:eastAsia="仿宋_GB2312" w:cs="仿宋_GB2312"/>
                      <w:color w:val="000000"/>
                      <w:sz w:val="21"/>
                    </w:rPr>
                    <w:t>9,602.00</w:t>
                  </w:r>
                </w:p>
              </w:tc>
            </w:tr>
            <w:tr w14:paraId="09558F6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2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485025B2">
                  <w:pPr>
                    <w:pStyle w:val="4"/>
                    <w:jc w:val="left"/>
                  </w:pPr>
                  <w:r>
                    <w:rPr>
                      <w:rFonts w:ascii="仿宋_GB2312" w:hAnsi="仿宋_GB2312" w:eastAsia="仿宋_GB2312" w:cs="仿宋_GB2312"/>
                      <w:color w:val="000000"/>
                      <w:sz w:val="21"/>
                    </w:rPr>
                    <w:t>7</w:t>
                  </w:r>
                </w:p>
              </w:tc>
              <w:tc>
                <w:tcPr>
                  <w:tcW w:w="1496"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58230FC6">
                  <w:pPr>
                    <w:pStyle w:val="4"/>
                    <w:jc w:val="left"/>
                  </w:pPr>
                  <w:r>
                    <w:rPr>
                      <w:rFonts w:ascii="仿宋_GB2312" w:hAnsi="仿宋_GB2312" w:eastAsia="仿宋_GB2312" w:cs="仿宋_GB2312"/>
                      <w:color w:val="000000"/>
                      <w:sz w:val="21"/>
                    </w:rPr>
                    <w:t>社区激励资金</w:t>
                  </w:r>
                </w:p>
              </w:tc>
              <w:tc>
                <w:tcPr>
                  <w:tcW w:w="825"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49DEBF48">
                  <w:pPr>
                    <w:pStyle w:val="4"/>
                    <w:jc w:val="left"/>
                  </w:pPr>
                  <w:r>
                    <w:rPr>
                      <w:rFonts w:ascii="仿宋_GB2312" w:hAnsi="仿宋_GB2312" w:eastAsia="仿宋_GB2312" w:cs="仿宋_GB2312"/>
                      <w:color w:val="000000"/>
                      <w:sz w:val="21"/>
                    </w:rPr>
                    <w:t>区委社工部</w:t>
                  </w:r>
                </w:p>
              </w:tc>
              <w:tc>
                <w:tcPr>
                  <w:tcW w:w="103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5680BB29">
                  <w:pPr>
                    <w:pStyle w:val="4"/>
                    <w:jc w:val="left"/>
                  </w:pPr>
                  <w:r>
                    <w:rPr>
                      <w:rFonts w:ascii="仿宋_GB2312" w:hAnsi="仿宋_GB2312" w:eastAsia="仿宋_GB2312" w:cs="仿宋_GB2312"/>
                      <w:color w:val="000000"/>
                      <w:sz w:val="21"/>
                    </w:rPr>
                    <w:t>项目监控评价</w:t>
                  </w:r>
                </w:p>
              </w:tc>
              <w:tc>
                <w:tcPr>
                  <w:tcW w:w="1805"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5D0F1293">
                  <w:pPr>
                    <w:pStyle w:val="4"/>
                    <w:jc w:val="left"/>
                  </w:pPr>
                  <w:r>
                    <w:rPr>
                      <w:rFonts w:ascii="仿宋_GB2312" w:hAnsi="仿宋_GB2312" w:eastAsia="仿宋_GB2312" w:cs="仿宋_GB2312"/>
                      <w:color w:val="000000"/>
                      <w:sz w:val="21"/>
                    </w:rPr>
                    <w:t>440.00</w:t>
                  </w:r>
                </w:p>
              </w:tc>
            </w:tr>
            <w:tr w14:paraId="30527A1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2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4A2490E8">
                  <w:pPr>
                    <w:pStyle w:val="4"/>
                    <w:jc w:val="left"/>
                  </w:pPr>
                  <w:r>
                    <w:rPr>
                      <w:rFonts w:ascii="仿宋_GB2312" w:hAnsi="仿宋_GB2312" w:eastAsia="仿宋_GB2312" w:cs="仿宋_GB2312"/>
                      <w:color w:val="000000"/>
                      <w:sz w:val="21"/>
                    </w:rPr>
                    <w:t>8</w:t>
                  </w:r>
                </w:p>
              </w:tc>
              <w:tc>
                <w:tcPr>
                  <w:tcW w:w="1496"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6823949B">
                  <w:pPr>
                    <w:pStyle w:val="4"/>
                    <w:jc w:val="left"/>
                  </w:pPr>
                  <w:r>
                    <w:rPr>
                      <w:rFonts w:ascii="仿宋_GB2312" w:hAnsi="仿宋_GB2312" w:eastAsia="仿宋_GB2312" w:cs="仿宋_GB2312"/>
                      <w:color w:val="000000"/>
                      <w:sz w:val="21"/>
                    </w:rPr>
                    <w:t>政府投资项目</w:t>
                  </w:r>
                </w:p>
              </w:tc>
              <w:tc>
                <w:tcPr>
                  <w:tcW w:w="825"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266E1BFE">
                  <w:pPr>
                    <w:pStyle w:val="4"/>
                    <w:jc w:val="left"/>
                  </w:pPr>
                  <w:r>
                    <w:rPr>
                      <w:rFonts w:ascii="仿宋_GB2312" w:hAnsi="仿宋_GB2312" w:eastAsia="仿宋_GB2312" w:cs="仿宋_GB2312"/>
                      <w:color w:val="000000"/>
                      <w:sz w:val="21"/>
                    </w:rPr>
                    <w:t>相关单位</w:t>
                  </w:r>
                </w:p>
              </w:tc>
              <w:tc>
                <w:tcPr>
                  <w:tcW w:w="103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3A73D0C0">
                  <w:pPr>
                    <w:pStyle w:val="4"/>
                    <w:jc w:val="left"/>
                  </w:pPr>
                  <w:r>
                    <w:rPr>
                      <w:rFonts w:ascii="仿宋_GB2312" w:hAnsi="仿宋_GB2312" w:eastAsia="仿宋_GB2312" w:cs="仿宋_GB2312"/>
                      <w:color w:val="000000"/>
                      <w:sz w:val="21"/>
                    </w:rPr>
                    <w:t>项目监控评价</w:t>
                  </w:r>
                </w:p>
              </w:tc>
              <w:tc>
                <w:tcPr>
                  <w:tcW w:w="1805"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664504B2">
                  <w:pPr>
                    <w:pStyle w:val="4"/>
                    <w:jc w:val="left"/>
                  </w:pPr>
                  <w:r>
                    <w:rPr>
                      <w:rFonts w:ascii="仿宋_GB2312" w:hAnsi="仿宋_GB2312" w:eastAsia="仿宋_GB2312" w:cs="仿宋_GB2312"/>
                      <w:color w:val="000000"/>
                      <w:sz w:val="21"/>
                    </w:rPr>
                    <w:t>下半年根据发改提供数据确定项目，预计1-2个，项目年度投资预计在500万-20000万元。</w:t>
                  </w:r>
                </w:p>
              </w:tc>
            </w:tr>
            <w:tr w14:paraId="6C1D050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2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655DD251">
                  <w:pPr>
                    <w:pStyle w:val="4"/>
                    <w:jc w:val="left"/>
                  </w:pPr>
                  <w:r>
                    <w:rPr>
                      <w:rFonts w:ascii="仿宋_GB2312" w:hAnsi="仿宋_GB2312" w:eastAsia="仿宋_GB2312" w:cs="仿宋_GB2312"/>
                      <w:color w:val="000000"/>
                      <w:sz w:val="21"/>
                    </w:rPr>
                    <w:t>9</w:t>
                  </w:r>
                </w:p>
              </w:tc>
              <w:tc>
                <w:tcPr>
                  <w:tcW w:w="1496"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2AED122E">
                  <w:pPr>
                    <w:pStyle w:val="4"/>
                    <w:jc w:val="left"/>
                  </w:pPr>
                  <w:r>
                    <w:rPr>
                      <w:rFonts w:ascii="仿宋_GB2312" w:hAnsi="仿宋_GB2312" w:eastAsia="仿宋_GB2312" w:cs="仿宋_GB2312"/>
                      <w:color w:val="000000"/>
                      <w:sz w:val="21"/>
                    </w:rPr>
                    <w:t>绩效辅助服务</w:t>
                  </w:r>
                </w:p>
              </w:tc>
              <w:tc>
                <w:tcPr>
                  <w:tcW w:w="825"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74C793AB">
                  <w:pPr>
                    <w:pStyle w:val="4"/>
                    <w:jc w:val="left"/>
                  </w:pPr>
                  <w:r>
                    <w:rPr>
                      <w:rFonts w:ascii="仿宋_GB2312" w:hAnsi="仿宋_GB2312" w:eastAsia="仿宋_GB2312" w:cs="仿宋_GB2312"/>
                      <w:color w:val="000000"/>
                      <w:sz w:val="21"/>
                    </w:rPr>
                    <w:t>相关单位</w:t>
                  </w:r>
                </w:p>
              </w:tc>
              <w:tc>
                <w:tcPr>
                  <w:tcW w:w="103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740D1D68">
                  <w:pPr>
                    <w:pStyle w:val="4"/>
                    <w:jc w:val="left"/>
                  </w:pPr>
                  <w:r>
                    <w:rPr>
                      <w:rFonts w:ascii="仿宋_GB2312" w:hAnsi="仿宋_GB2312" w:eastAsia="仿宋_GB2312" w:cs="仿宋_GB2312"/>
                      <w:color w:val="000000"/>
                      <w:sz w:val="21"/>
                    </w:rPr>
                    <w:t>整体、项目自评报告进行抽查复核</w:t>
                  </w:r>
                </w:p>
              </w:tc>
              <w:tc>
                <w:tcPr>
                  <w:tcW w:w="1805"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4FC2E777">
                  <w:pPr>
                    <w:pStyle w:val="4"/>
                    <w:jc w:val="left"/>
                  </w:pPr>
                  <w:r>
                    <w:rPr>
                      <w:rFonts w:ascii="仿宋_GB2312" w:hAnsi="仿宋_GB2312" w:eastAsia="仿宋_GB2312" w:cs="仿宋_GB2312"/>
                      <w:color w:val="000000"/>
                      <w:sz w:val="21"/>
                    </w:rPr>
                    <w:t>对2024年事后整体、项目自评报告进行抽查复核，部门整体绩效全覆盖，每个单位抽查项目数不少于5个（少于5个全覆盖），并形成抽查问题台账。</w:t>
                  </w:r>
                </w:p>
              </w:tc>
            </w:tr>
            <w:tr w14:paraId="31B6768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2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338836CE">
                  <w:pPr>
                    <w:pStyle w:val="4"/>
                    <w:jc w:val="left"/>
                  </w:pPr>
                  <w:r>
                    <w:rPr>
                      <w:rFonts w:ascii="仿宋_GB2312" w:hAnsi="仿宋_GB2312" w:eastAsia="仿宋_GB2312" w:cs="仿宋_GB2312"/>
                      <w:color w:val="000000"/>
                      <w:sz w:val="21"/>
                    </w:rPr>
                    <w:t>10</w:t>
                  </w:r>
                </w:p>
              </w:tc>
              <w:tc>
                <w:tcPr>
                  <w:tcW w:w="1496"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3191789D">
                  <w:pPr>
                    <w:pStyle w:val="4"/>
                    <w:jc w:val="left"/>
                  </w:pPr>
                  <w:r>
                    <w:rPr>
                      <w:rFonts w:ascii="仿宋_GB2312" w:hAnsi="仿宋_GB2312" w:eastAsia="仿宋_GB2312" w:cs="仿宋_GB2312"/>
                      <w:color w:val="000000"/>
                      <w:sz w:val="21"/>
                    </w:rPr>
                    <w:t>绩效事前评估</w:t>
                  </w:r>
                </w:p>
              </w:tc>
              <w:tc>
                <w:tcPr>
                  <w:tcW w:w="825"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27C3EA90">
                  <w:pPr>
                    <w:pStyle w:val="4"/>
                    <w:jc w:val="left"/>
                  </w:pPr>
                  <w:r>
                    <w:rPr>
                      <w:rFonts w:ascii="仿宋_GB2312" w:hAnsi="仿宋_GB2312" w:eastAsia="仿宋_GB2312" w:cs="仿宋_GB2312"/>
                      <w:color w:val="000000"/>
                      <w:sz w:val="21"/>
                    </w:rPr>
                    <w:t>相关单位</w:t>
                  </w:r>
                </w:p>
              </w:tc>
              <w:tc>
                <w:tcPr>
                  <w:tcW w:w="103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00673D3C">
                  <w:pPr>
                    <w:pStyle w:val="4"/>
                    <w:jc w:val="left"/>
                  </w:pPr>
                  <w:r>
                    <w:rPr>
                      <w:rFonts w:ascii="仿宋_GB2312" w:hAnsi="仿宋_GB2312" w:eastAsia="仿宋_GB2312" w:cs="仿宋_GB2312"/>
                      <w:color w:val="000000"/>
                      <w:sz w:val="21"/>
                    </w:rPr>
                    <w:t>重点项目绩效评估</w:t>
                  </w:r>
                </w:p>
              </w:tc>
              <w:tc>
                <w:tcPr>
                  <w:tcW w:w="1805"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564A6815">
                  <w:pPr>
                    <w:pStyle w:val="4"/>
                    <w:jc w:val="left"/>
                  </w:pPr>
                  <w:r>
                    <w:rPr>
                      <w:rFonts w:ascii="仿宋_GB2312" w:hAnsi="仿宋_GB2312" w:eastAsia="仿宋_GB2312" w:cs="仿宋_GB2312"/>
                      <w:color w:val="000000"/>
                      <w:sz w:val="21"/>
                    </w:rPr>
                    <w:t>1.评估项目数不低于5个，总评估金额不低于5000万元。</w:t>
                  </w:r>
                </w:p>
                <w:p w14:paraId="20D6D9F9">
                  <w:pPr>
                    <w:pStyle w:val="4"/>
                    <w:jc w:val="left"/>
                  </w:pPr>
                  <w:r>
                    <w:rPr>
                      <w:rFonts w:ascii="仿宋_GB2312" w:hAnsi="仿宋_GB2312" w:eastAsia="仿宋_GB2312" w:cs="仿宋_GB2312"/>
                      <w:color w:val="000000"/>
                      <w:sz w:val="21"/>
                    </w:rPr>
                    <w:t>2.事中预算及采购追加进行投入经济性的评审，出具评审意见书，预计全年在30个（据实结算）。</w:t>
                  </w:r>
                </w:p>
              </w:tc>
            </w:tr>
            <w:tr w14:paraId="7C32F42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2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5D722115">
                  <w:pPr>
                    <w:pStyle w:val="4"/>
                    <w:jc w:val="left"/>
                  </w:pPr>
                  <w:r>
                    <w:rPr>
                      <w:rFonts w:ascii="仿宋_GB2312" w:hAnsi="仿宋_GB2312" w:eastAsia="仿宋_GB2312" w:cs="仿宋_GB2312"/>
                      <w:color w:val="000000"/>
                      <w:sz w:val="21"/>
                    </w:rPr>
                    <w:t>11</w:t>
                  </w:r>
                </w:p>
              </w:tc>
              <w:tc>
                <w:tcPr>
                  <w:tcW w:w="1496"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062E6D67">
                  <w:pPr>
                    <w:pStyle w:val="4"/>
                    <w:jc w:val="left"/>
                  </w:pPr>
                  <w:r>
                    <w:rPr>
                      <w:rFonts w:ascii="仿宋_GB2312" w:hAnsi="仿宋_GB2312" w:eastAsia="仿宋_GB2312" w:cs="仿宋_GB2312"/>
                      <w:color w:val="000000"/>
                      <w:sz w:val="21"/>
                    </w:rPr>
                    <w:t>中心运行费</w:t>
                  </w:r>
                </w:p>
              </w:tc>
              <w:tc>
                <w:tcPr>
                  <w:tcW w:w="825"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1897A2B4">
                  <w:pPr>
                    <w:pStyle w:val="4"/>
                    <w:jc w:val="left"/>
                  </w:pPr>
                  <w:r>
                    <w:rPr>
                      <w:rFonts w:ascii="仿宋_GB2312" w:hAnsi="仿宋_GB2312" w:eastAsia="仿宋_GB2312" w:cs="仿宋_GB2312"/>
                      <w:color w:val="000000"/>
                      <w:sz w:val="21"/>
                    </w:rPr>
                    <w:t>区行政审批局</w:t>
                  </w:r>
                </w:p>
              </w:tc>
              <w:tc>
                <w:tcPr>
                  <w:tcW w:w="103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2F4A77F9">
                  <w:pPr>
                    <w:pStyle w:val="4"/>
                    <w:jc w:val="left"/>
                  </w:pPr>
                  <w:r>
                    <w:rPr>
                      <w:rFonts w:ascii="仿宋_GB2312" w:hAnsi="仿宋_GB2312" w:eastAsia="仿宋_GB2312" w:cs="仿宋_GB2312"/>
                      <w:color w:val="000000"/>
                      <w:sz w:val="21"/>
                    </w:rPr>
                    <w:t>项目评价</w:t>
                  </w:r>
                </w:p>
              </w:tc>
              <w:tc>
                <w:tcPr>
                  <w:tcW w:w="1805"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74A6AF18">
                  <w:pPr>
                    <w:pStyle w:val="4"/>
                    <w:jc w:val="left"/>
                  </w:pPr>
                  <w:r>
                    <w:rPr>
                      <w:rFonts w:ascii="仿宋_GB2312" w:hAnsi="仿宋_GB2312" w:eastAsia="仿宋_GB2312" w:cs="仿宋_GB2312"/>
                      <w:color w:val="000000"/>
                      <w:sz w:val="21"/>
                    </w:rPr>
                    <w:t>174.96</w:t>
                  </w:r>
                </w:p>
              </w:tc>
            </w:tr>
            <w:tr w14:paraId="0F79436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2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7FD4977B">
                  <w:pPr>
                    <w:pStyle w:val="4"/>
                    <w:jc w:val="left"/>
                  </w:pPr>
                  <w:r>
                    <w:rPr>
                      <w:rFonts w:ascii="仿宋_GB2312" w:hAnsi="仿宋_GB2312" w:eastAsia="仿宋_GB2312" w:cs="仿宋_GB2312"/>
                      <w:color w:val="000000"/>
                      <w:sz w:val="21"/>
                    </w:rPr>
                    <w:t>12</w:t>
                  </w:r>
                </w:p>
              </w:tc>
              <w:tc>
                <w:tcPr>
                  <w:tcW w:w="1496"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791EAB10">
                  <w:pPr>
                    <w:pStyle w:val="4"/>
                    <w:jc w:val="left"/>
                  </w:pPr>
                  <w:r>
                    <w:rPr>
                      <w:rFonts w:ascii="仿宋_GB2312" w:hAnsi="仿宋_GB2312" w:eastAsia="仿宋_GB2312" w:cs="仿宋_GB2312"/>
                      <w:color w:val="000000"/>
                      <w:sz w:val="21"/>
                    </w:rPr>
                    <w:t>“城市管家”一体化综合管理政府采购服务项目经费</w:t>
                  </w:r>
                </w:p>
              </w:tc>
              <w:tc>
                <w:tcPr>
                  <w:tcW w:w="825"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0008353B">
                  <w:pPr>
                    <w:pStyle w:val="4"/>
                    <w:jc w:val="left"/>
                  </w:pPr>
                  <w:r>
                    <w:rPr>
                      <w:rFonts w:ascii="仿宋_GB2312" w:hAnsi="仿宋_GB2312" w:eastAsia="仿宋_GB2312" w:cs="仿宋_GB2312"/>
                      <w:color w:val="000000"/>
                      <w:sz w:val="21"/>
                    </w:rPr>
                    <w:t>区执法局</w:t>
                  </w:r>
                </w:p>
              </w:tc>
              <w:tc>
                <w:tcPr>
                  <w:tcW w:w="103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645E2579">
                  <w:pPr>
                    <w:pStyle w:val="4"/>
                    <w:jc w:val="left"/>
                  </w:pPr>
                  <w:r>
                    <w:rPr>
                      <w:rFonts w:ascii="仿宋_GB2312" w:hAnsi="仿宋_GB2312" w:eastAsia="仿宋_GB2312" w:cs="仿宋_GB2312"/>
                      <w:color w:val="000000"/>
                      <w:sz w:val="21"/>
                    </w:rPr>
                    <w:t>项目评价</w:t>
                  </w:r>
                </w:p>
              </w:tc>
              <w:tc>
                <w:tcPr>
                  <w:tcW w:w="1805"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3AB5EB56">
                  <w:pPr>
                    <w:pStyle w:val="4"/>
                    <w:jc w:val="left"/>
                  </w:pPr>
                  <w:r>
                    <w:rPr>
                      <w:rFonts w:ascii="仿宋_GB2312" w:hAnsi="仿宋_GB2312" w:eastAsia="仿宋_GB2312" w:cs="仿宋_GB2312"/>
                      <w:color w:val="000000"/>
                      <w:sz w:val="21"/>
                    </w:rPr>
                    <w:t>23,879.91</w:t>
                  </w:r>
                </w:p>
              </w:tc>
            </w:tr>
            <w:tr w14:paraId="6064BC8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2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4FDB8F4B">
                  <w:pPr>
                    <w:pStyle w:val="4"/>
                    <w:jc w:val="left"/>
                  </w:pPr>
                  <w:r>
                    <w:rPr>
                      <w:rFonts w:ascii="仿宋_GB2312" w:hAnsi="仿宋_GB2312" w:eastAsia="仿宋_GB2312" w:cs="仿宋_GB2312"/>
                      <w:color w:val="000000"/>
                      <w:sz w:val="21"/>
                    </w:rPr>
                    <w:t>13</w:t>
                  </w:r>
                </w:p>
              </w:tc>
              <w:tc>
                <w:tcPr>
                  <w:tcW w:w="1496"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140F3F3B">
                  <w:pPr>
                    <w:pStyle w:val="4"/>
                    <w:jc w:val="left"/>
                  </w:pPr>
                  <w:r>
                    <w:rPr>
                      <w:rFonts w:ascii="仿宋_GB2312" w:hAnsi="仿宋_GB2312" w:eastAsia="仿宋_GB2312" w:cs="仿宋_GB2312"/>
                      <w:color w:val="000000"/>
                      <w:sz w:val="21"/>
                    </w:rPr>
                    <w:t>五分钟消防救援圈专项经费</w:t>
                  </w:r>
                </w:p>
              </w:tc>
              <w:tc>
                <w:tcPr>
                  <w:tcW w:w="825"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66293A3C">
                  <w:pPr>
                    <w:pStyle w:val="4"/>
                    <w:jc w:val="left"/>
                  </w:pPr>
                  <w:r>
                    <w:rPr>
                      <w:rFonts w:ascii="仿宋_GB2312" w:hAnsi="仿宋_GB2312" w:eastAsia="仿宋_GB2312" w:cs="仿宋_GB2312"/>
                      <w:color w:val="000000"/>
                      <w:sz w:val="21"/>
                    </w:rPr>
                    <w:t>区消防救援大队</w:t>
                  </w:r>
                </w:p>
              </w:tc>
              <w:tc>
                <w:tcPr>
                  <w:tcW w:w="103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0499BAE3">
                  <w:pPr>
                    <w:pStyle w:val="4"/>
                    <w:jc w:val="left"/>
                  </w:pPr>
                  <w:r>
                    <w:rPr>
                      <w:rFonts w:ascii="仿宋_GB2312" w:hAnsi="仿宋_GB2312" w:eastAsia="仿宋_GB2312" w:cs="仿宋_GB2312"/>
                      <w:color w:val="000000"/>
                      <w:sz w:val="21"/>
                    </w:rPr>
                    <w:t>项目评价</w:t>
                  </w:r>
                </w:p>
              </w:tc>
              <w:tc>
                <w:tcPr>
                  <w:tcW w:w="1805"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64BE174B">
                  <w:pPr>
                    <w:pStyle w:val="4"/>
                    <w:jc w:val="left"/>
                  </w:pPr>
                  <w:r>
                    <w:rPr>
                      <w:rFonts w:ascii="仿宋_GB2312" w:hAnsi="仿宋_GB2312" w:eastAsia="仿宋_GB2312" w:cs="仿宋_GB2312"/>
                      <w:color w:val="000000"/>
                      <w:sz w:val="21"/>
                    </w:rPr>
                    <w:t>1,510.78</w:t>
                  </w:r>
                </w:p>
              </w:tc>
            </w:tr>
            <w:tr w14:paraId="2F743E9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2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7B13CBA6">
                  <w:pPr>
                    <w:pStyle w:val="4"/>
                    <w:jc w:val="left"/>
                  </w:pPr>
                  <w:r>
                    <w:rPr>
                      <w:rFonts w:ascii="仿宋_GB2312" w:hAnsi="仿宋_GB2312" w:eastAsia="仿宋_GB2312" w:cs="仿宋_GB2312"/>
                      <w:color w:val="000000"/>
                      <w:sz w:val="21"/>
                    </w:rPr>
                    <w:t>14</w:t>
                  </w:r>
                </w:p>
              </w:tc>
              <w:tc>
                <w:tcPr>
                  <w:tcW w:w="1496"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3B77B4CE">
                  <w:pPr>
                    <w:pStyle w:val="4"/>
                    <w:jc w:val="left"/>
                  </w:pPr>
                  <w:r>
                    <w:rPr>
                      <w:rFonts w:ascii="仿宋_GB2312" w:hAnsi="仿宋_GB2312" w:eastAsia="仿宋_GB2312" w:cs="仿宋_GB2312"/>
                      <w:color w:val="000000"/>
                      <w:sz w:val="21"/>
                    </w:rPr>
                    <w:t>区城运中心（区智慧治理中心）建管专项经费（2023-2024）</w:t>
                  </w:r>
                </w:p>
              </w:tc>
              <w:tc>
                <w:tcPr>
                  <w:tcW w:w="825"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393EFE13">
                  <w:pPr>
                    <w:pStyle w:val="4"/>
                    <w:jc w:val="left"/>
                  </w:pPr>
                  <w:r>
                    <w:rPr>
                      <w:rFonts w:ascii="仿宋_GB2312" w:hAnsi="仿宋_GB2312" w:eastAsia="仿宋_GB2312" w:cs="仿宋_GB2312"/>
                      <w:color w:val="000000"/>
                      <w:sz w:val="21"/>
                    </w:rPr>
                    <w:t>区行政审批局</w:t>
                  </w:r>
                </w:p>
              </w:tc>
              <w:tc>
                <w:tcPr>
                  <w:tcW w:w="103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49D7FA13">
                  <w:pPr>
                    <w:pStyle w:val="4"/>
                    <w:jc w:val="left"/>
                  </w:pPr>
                  <w:r>
                    <w:rPr>
                      <w:rFonts w:ascii="仿宋_GB2312" w:hAnsi="仿宋_GB2312" w:eastAsia="仿宋_GB2312" w:cs="仿宋_GB2312"/>
                      <w:color w:val="000000"/>
                      <w:sz w:val="21"/>
                    </w:rPr>
                    <w:t>项目评价</w:t>
                  </w:r>
                </w:p>
              </w:tc>
              <w:tc>
                <w:tcPr>
                  <w:tcW w:w="1805"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748CEDD9">
                  <w:pPr>
                    <w:pStyle w:val="4"/>
                    <w:jc w:val="left"/>
                  </w:pPr>
                  <w:r>
                    <w:rPr>
                      <w:rFonts w:ascii="仿宋_GB2312" w:hAnsi="仿宋_GB2312" w:eastAsia="仿宋_GB2312" w:cs="仿宋_GB2312"/>
                      <w:color w:val="000000"/>
                      <w:sz w:val="21"/>
                    </w:rPr>
                    <w:t>2,662.77</w:t>
                  </w:r>
                </w:p>
              </w:tc>
            </w:tr>
            <w:tr w14:paraId="41A9FE7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2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2CF5CB77">
                  <w:pPr>
                    <w:pStyle w:val="4"/>
                    <w:jc w:val="left"/>
                  </w:pPr>
                  <w:r>
                    <w:rPr>
                      <w:rFonts w:ascii="仿宋_GB2312" w:hAnsi="仿宋_GB2312" w:eastAsia="仿宋_GB2312" w:cs="仿宋_GB2312"/>
                      <w:color w:val="000000"/>
                      <w:sz w:val="21"/>
                    </w:rPr>
                    <w:t>15</w:t>
                  </w:r>
                </w:p>
              </w:tc>
              <w:tc>
                <w:tcPr>
                  <w:tcW w:w="1496"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2FF2E9DC">
                  <w:pPr>
                    <w:pStyle w:val="4"/>
                    <w:jc w:val="left"/>
                  </w:pPr>
                  <w:r>
                    <w:rPr>
                      <w:rFonts w:ascii="仿宋_GB2312" w:hAnsi="仿宋_GB2312" w:eastAsia="仿宋_GB2312" w:cs="仿宋_GB2312"/>
                      <w:color w:val="000000"/>
                      <w:sz w:val="21"/>
                    </w:rPr>
                    <w:t>市民中心信息化系统及互联网+政务服务（2023-2024）</w:t>
                  </w:r>
                </w:p>
              </w:tc>
              <w:tc>
                <w:tcPr>
                  <w:tcW w:w="825"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35A14204">
                  <w:pPr>
                    <w:pStyle w:val="4"/>
                    <w:jc w:val="left"/>
                  </w:pPr>
                  <w:r>
                    <w:rPr>
                      <w:rFonts w:ascii="仿宋_GB2312" w:hAnsi="仿宋_GB2312" w:eastAsia="仿宋_GB2312" w:cs="仿宋_GB2312"/>
                      <w:color w:val="000000"/>
                      <w:sz w:val="21"/>
                    </w:rPr>
                    <w:t>区行政审批局</w:t>
                  </w:r>
                </w:p>
              </w:tc>
              <w:tc>
                <w:tcPr>
                  <w:tcW w:w="103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194307A8">
                  <w:pPr>
                    <w:pStyle w:val="4"/>
                    <w:jc w:val="left"/>
                  </w:pPr>
                  <w:r>
                    <w:rPr>
                      <w:rFonts w:ascii="仿宋_GB2312" w:hAnsi="仿宋_GB2312" w:eastAsia="仿宋_GB2312" w:cs="仿宋_GB2312"/>
                      <w:color w:val="000000"/>
                      <w:sz w:val="21"/>
                    </w:rPr>
                    <w:t>项目评价</w:t>
                  </w:r>
                </w:p>
              </w:tc>
              <w:tc>
                <w:tcPr>
                  <w:tcW w:w="1805"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5E414311">
                  <w:pPr>
                    <w:pStyle w:val="4"/>
                    <w:jc w:val="left"/>
                  </w:pPr>
                  <w:r>
                    <w:rPr>
                      <w:rFonts w:ascii="仿宋_GB2312" w:hAnsi="仿宋_GB2312" w:eastAsia="仿宋_GB2312" w:cs="仿宋_GB2312"/>
                      <w:color w:val="000000"/>
                      <w:sz w:val="21"/>
                    </w:rPr>
                    <w:t>546.20</w:t>
                  </w:r>
                </w:p>
              </w:tc>
            </w:tr>
            <w:tr w14:paraId="500F198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2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10B7B679">
                  <w:pPr>
                    <w:pStyle w:val="4"/>
                    <w:jc w:val="left"/>
                  </w:pPr>
                  <w:r>
                    <w:rPr>
                      <w:rFonts w:ascii="仿宋_GB2312" w:hAnsi="仿宋_GB2312" w:eastAsia="仿宋_GB2312" w:cs="仿宋_GB2312"/>
                      <w:color w:val="000000"/>
                      <w:sz w:val="21"/>
                    </w:rPr>
                    <w:t>16</w:t>
                  </w:r>
                </w:p>
              </w:tc>
              <w:tc>
                <w:tcPr>
                  <w:tcW w:w="1496"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2928CFDD">
                  <w:pPr>
                    <w:pStyle w:val="4"/>
                    <w:jc w:val="left"/>
                  </w:pPr>
                  <w:r>
                    <w:rPr>
                      <w:rFonts w:ascii="仿宋_GB2312" w:hAnsi="仿宋_GB2312" w:eastAsia="仿宋_GB2312" w:cs="仿宋_GB2312"/>
                      <w:color w:val="000000"/>
                      <w:sz w:val="21"/>
                    </w:rPr>
                    <w:t>金牛智慧蓉城建设项目服务采购专项经费（2023-2024）</w:t>
                  </w:r>
                </w:p>
              </w:tc>
              <w:tc>
                <w:tcPr>
                  <w:tcW w:w="825"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6796CEB5">
                  <w:pPr>
                    <w:pStyle w:val="4"/>
                    <w:jc w:val="left"/>
                  </w:pPr>
                  <w:r>
                    <w:rPr>
                      <w:rFonts w:ascii="仿宋_GB2312" w:hAnsi="仿宋_GB2312" w:eastAsia="仿宋_GB2312" w:cs="仿宋_GB2312"/>
                      <w:color w:val="000000"/>
                      <w:sz w:val="21"/>
                    </w:rPr>
                    <w:t>区行政审批局</w:t>
                  </w:r>
                </w:p>
              </w:tc>
              <w:tc>
                <w:tcPr>
                  <w:tcW w:w="103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5A5313F9">
                  <w:pPr>
                    <w:pStyle w:val="4"/>
                    <w:jc w:val="left"/>
                  </w:pPr>
                  <w:r>
                    <w:rPr>
                      <w:rFonts w:ascii="仿宋_GB2312" w:hAnsi="仿宋_GB2312" w:eastAsia="仿宋_GB2312" w:cs="仿宋_GB2312"/>
                      <w:color w:val="000000"/>
                      <w:sz w:val="21"/>
                    </w:rPr>
                    <w:t>项目评价</w:t>
                  </w:r>
                </w:p>
              </w:tc>
              <w:tc>
                <w:tcPr>
                  <w:tcW w:w="1805"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73E1B533">
                  <w:pPr>
                    <w:pStyle w:val="4"/>
                    <w:jc w:val="left"/>
                  </w:pPr>
                  <w:r>
                    <w:rPr>
                      <w:rFonts w:ascii="仿宋_GB2312" w:hAnsi="仿宋_GB2312" w:eastAsia="仿宋_GB2312" w:cs="仿宋_GB2312"/>
                      <w:color w:val="000000"/>
                      <w:sz w:val="21"/>
                    </w:rPr>
                    <w:t>1,336.01</w:t>
                  </w:r>
                </w:p>
              </w:tc>
            </w:tr>
            <w:tr w14:paraId="0DCE796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2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6863623D">
                  <w:pPr>
                    <w:pStyle w:val="4"/>
                    <w:jc w:val="left"/>
                  </w:pPr>
                  <w:r>
                    <w:rPr>
                      <w:rFonts w:ascii="仿宋_GB2312" w:hAnsi="仿宋_GB2312" w:eastAsia="仿宋_GB2312" w:cs="仿宋_GB2312"/>
                      <w:color w:val="000000"/>
                      <w:sz w:val="21"/>
                    </w:rPr>
                    <w:t>17</w:t>
                  </w:r>
                </w:p>
              </w:tc>
              <w:tc>
                <w:tcPr>
                  <w:tcW w:w="1496"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277DAB3D">
                  <w:pPr>
                    <w:pStyle w:val="4"/>
                    <w:jc w:val="left"/>
                  </w:pPr>
                  <w:r>
                    <w:rPr>
                      <w:rFonts w:ascii="仿宋_GB2312" w:hAnsi="仿宋_GB2312" w:eastAsia="仿宋_GB2312" w:cs="仿宋_GB2312"/>
                      <w:color w:val="000000"/>
                      <w:sz w:val="21"/>
                    </w:rPr>
                    <w:t>文化视觉展示设计及服务项目</w:t>
                  </w:r>
                </w:p>
              </w:tc>
              <w:tc>
                <w:tcPr>
                  <w:tcW w:w="825"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066C8383">
                  <w:pPr>
                    <w:pStyle w:val="4"/>
                    <w:jc w:val="left"/>
                  </w:pPr>
                  <w:r>
                    <w:rPr>
                      <w:rFonts w:ascii="仿宋_GB2312" w:hAnsi="仿宋_GB2312" w:eastAsia="仿宋_GB2312" w:cs="仿宋_GB2312"/>
                      <w:color w:val="000000"/>
                      <w:sz w:val="21"/>
                    </w:rPr>
                    <w:t>成都市金牛区中医医院</w:t>
                  </w:r>
                </w:p>
              </w:tc>
              <w:tc>
                <w:tcPr>
                  <w:tcW w:w="103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5058733A">
                  <w:pPr>
                    <w:pStyle w:val="4"/>
                    <w:jc w:val="left"/>
                  </w:pPr>
                  <w:r>
                    <w:rPr>
                      <w:rFonts w:ascii="仿宋_GB2312" w:hAnsi="仿宋_GB2312" w:eastAsia="仿宋_GB2312" w:cs="仿宋_GB2312"/>
                      <w:color w:val="000000"/>
                      <w:sz w:val="21"/>
                    </w:rPr>
                    <w:t>政府采购项目支出绩效</w:t>
                  </w:r>
                </w:p>
              </w:tc>
              <w:tc>
                <w:tcPr>
                  <w:tcW w:w="1805"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7ADE791F">
                  <w:pPr>
                    <w:pStyle w:val="4"/>
                    <w:jc w:val="left"/>
                  </w:pPr>
                  <w:r>
                    <w:rPr>
                      <w:rFonts w:ascii="仿宋_GB2312" w:hAnsi="仿宋_GB2312" w:eastAsia="仿宋_GB2312" w:cs="仿宋_GB2312"/>
                      <w:color w:val="000000"/>
                      <w:sz w:val="21"/>
                    </w:rPr>
                    <w:t>943.70</w:t>
                  </w:r>
                </w:p>
              </w:tc>
            </w:tr>
            <w:tr w14:paraId="58CE174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2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20483AC4">
                  <w:pPr>
                    <w:pStyle w:val="4"/>
                    <w:jc w:val="left"/>
                  </w:pPr>
                  <w:r>
                    <w:rPr>
                      <w:rFonts w:ascii="仿宋_GB2312" w:hAnsi="仿宋_GB2312" w:eastAsia="仿宋_GB2312" w:cs="仿宋_GB2312"/>
                      <w:color w:val="000000"/>
                      <w:sz w:val="21"/>
                    </w:rPr>
                    <w:t>18</w:t>
                  </w:r>
                </w:p>
              </w:tc>
              <w:tc>
                <w:tcPr>
                  <w:tcW w:w="1496"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3D9AA20D">
                  <w:pPr>
                    <w:pStyle w:val="4"/>
                    <w:jc w:val="left"/>
                  </w:pPr>
                  <w:r>
                    <w:rPr>
                      <w:rFonts w:ascii="仿宋_GB2312" w:hAnsi="仿宋_GB2312" w:eastAsia="仿宋_GB2312" w:cs="仿宋_GB2312"/>
                      <w:color w:val="000000"/>
                      <w:sz w:val="21"/>
                    </w:rPr>
                    <w:t>《金牛区学校维修改造项目支出预算参考标准（ 试行）》金牛财发〔 2023〕 56 号执行情况进行评价</w:t>
                  </w:r>
                </w:p>
              </w:tc>
              <w:tc>
                <w:tcPr>
                  <w:tcW w:w="825"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7F9E817B">
                  <w:pPr>
                    <w:pStyle w:val="4"/>
                    <w:jc w:val="left"/>
                  </w:pPr>
                  <w:r>
                    <w:rPr>
                      <w:rFonts w:ascii="仿宋_GB2312" w:hAnsi="仿宋_GB2312" w:eastAsia="仿宋_GB2312" w:cs="仿宋_GB2312"/>
                      <w:color w:val="000000"/>
                      <w:sz w:val="21"/>
                    </w:rPr>
                    <w:t>区教育局</w:t>
                  </w:r>
                </w:p>
              </w:tc>
              <w:tc>
                <w:tcPr>
                  <w:tcW w:w="103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6F77D102">
                  <w:pPr>
                    <w:pStyle w:val="4"/>
                    <w:jc w:val="left"/>
                  </w:pPr>
                  <w:r>
                    <w:rPr>
                      <w:rFonts w:ascii="仿宋_GB2312" w:hAnsi="仿宋_GB2312" w:eastAsia="仿宋_GB2312" w:cs="仿宋_GB2312"/>
                      <w:color w:val="000000"/>
                      <w:sz w:val="21"/>
                    </w:rPr>
                    <w:t>政策执行评价</w:t>
                  </w:r>
                </w:p>
              </w:tc>
              <w:tc>
                <w:tcPr>
                  <w:tcW w:w="1805"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790A79E8">
                  <w:pPr>
                    <w:pStyle w:val="4"/>
                    <w:jc w:val="left"/>
                  </w:pPr>
                  <w:r>
                    <w:rPr>
                      <w:rFonts w:ascii="仿宋_GB2312" w:hAnsi="仿宋_GB2312" w:eastAsia="仿宋_GB2312" w:cs="仿宋_GB2312"/>
                      <w:color w:val="000000"/>
                      <w:sz w:val="21"/>
                    </w:rPr>
                    <w:t>6,373.89</w:t>
                  </w:r>
                </w:p>
              </w:tc>
            </w:tr>
            <w:tr w14:paraId="4C3FC3E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2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0D12EC16">
                  <w:pPr>
                    <w:pStyle w:val="4"/>
                    <w:jc w:val="left"/>
                  </w:pPr>
                  <w:r>
                    <w:rPr>
                      <w:rFonts w:ascii="仿宋_GB2312" w:hAnsi="仿宋_GB2312" w:eastAsia="仿宋_GB2312" w:cs="仿宋_GB2312"/>
                      <w:color w:val="000000"/>
                      <w:sz w:val="21"/>
                    </w:rPr>
                    <w:t>19</w:t>
                  </w:r>
                </w:p>
              </w:tc>
              <w:tc>
                <w:tcPr>
                  <w:tcW w:w="1496"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49718A28">
                  <w:pPr>
                    <w:pStyle w:val="4"/>
                    <w:jc w:val="left"/>
                  </w:pPr>
                  <w:r>
                    <w:rPr>
                      <w:rFonts w:ascii="仿宋_GB2312" w:hAnsi="仿宋_GB2312" w:eastAsia="仿宋_GB2312" w:cs="仿宋_GB2312"/>
                      <w:color w:val="000000"/>
                      <w:sz w:val="21"/>
                    </w:rPr>
                    <w:t>绩效辅助服务</w:t>
                  </w:r>
                </w:p>
              </w:tc>
              <w:tc>
                <w:tcPr>
                  <w:tcW w:w="825"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2ED005CF">
                  <w:pPr>
                    <w:pStyle w:val="4"/>
                    <w:jc w:val="left"/>
                  </w:pPr>
                  <w:r>
                    <w:rPr>
                      <w:rFonts w:ascii="仿宋_GB2312" w:hAnsi="仿宋_GB2312" w:eastAsia="仿宋_GB2312" w:cs="仿宋_GB2312"/>
                      <w:color w:val="000000"/>
                      <w:sz w:val="21"/>
                    </w:rPr>
                    <w:t>拟选择区卫健局或区教育局其中之一，开展项目绩效指标标准化体系建设。</w:t>
                  </w:r>
                </w:p>
              </w:tc>
              <w:tc>
                <w:tcPr>
                  <w:tcW w:w="103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1152E275">
                  <w:pPr>
                    <w:pStyle w:val="4"/>
                    <w:jc w:val="left"/>
                  </w:pPr>
                  <w:r>
                    <w:rPr>
                      <w:rFonts w:ascii="仿宋_GB2312" w:hAnsi="仿宋_GB2312" w:eastAsia="仿宋_GB2312" w:cs="仿宋_GB2312"/>
                      <w:color w:val="000000"/>
                      <w:sz w:val="21"/>
                    </w:rPr>
                    <w:t>绩效指标标准化体系建设</w:t>
                  </w:r>
                </w:p>
              </w:tc>
              <w:tc>
                <w:tcPr>
                  <w:tcW w:w="1805"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0C83AA70">
                  <w:pPr>
                    <w:pStyle w:val="4"/>
                    <w:jc w:val="left"/>
                  </w:pPr>
                </w:p>
              </w:tc>
            </w:tr>
            <w:tr w14:paraId="78A0B28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2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7103AE00">
                  <w:pPr>
                    <w:pStyle w:val="4"/>
                    <w:jc w:val="left"/>
                  </w:pPr>
                  <w:r>
                    <w:rPr>
                      <w:rFonts w:ascii="仿宋_GB2312" w:hAnsi="仿宋_GB2312" w:eastAsia="仿宋_GB2312" w:cs="仿宋_GB2312"/>
                      <w:color w:val="000000"/>
                      <w:sz w:val="21"/>
                    </w:rPr>
                    <w:t>20</w:t>
                  </w:r>
                </w:p>
              </w:tc>
              <w:tc>
                <w:tcPr>
                  <w:tcW w:w="1496"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448D9D18">
                  <w:pPr>
                    <w:pStyle w:val="4"/>
                    <w:jc w:val="left"/>
                  </w:pPr>
                  <w:r>
                    <w:rPr>
                      <w:rFonts w:ascii="仿宋_GB2312" w:hAnsi="仿宋_GB2312" w:eastAsia="仿宋_GB2312" w:cs="仿宋_GB2312"/>
                      <w:color w:val="000000"/>
                      <w:sz w:val="21"/>
                    </w:rPr>
                    <w:t>绩效辅助服务</w:t>
                  </w:r>
                </w:p>
              </w:tc>
              <w:tc>
                <w:tcPr>
                  <w:tcW w:w="825"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473A67E3">
                  <w:pPr>
                    <w:pStyle w:val="4"/>
                    <w:jc w:val="left"/>
                  </w:pPr>
                  <w:r>
                    <w:rPr>
                      <w:rFonts w:ascii="仿宋_GB2312" w:hAnsi="仿宋_GB2312" w:eastAsia="仿宋_GB2312" w:cs="仿宋_GB2312"/>
                      <w:color w:val="000000"/>
                      <w:sz w:val="21"/>
                    </w:rPr>
                    <w:t>相关单位</w:t>
                  </w:r>
                </w:p>
              </w:tc>
              <w:tc>
                <w:tcPr>
                  <w:tcW w:w="103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5341FC8E">
                  <w:pPr>
                    <w:pStyle w:val="4"/>
                    <w:jc w:val="left"/>
                  </w:pPr>
                  <w:r>
                    <w:rPr>
                      <w:rFonts w:ascii="仿宋_GB2312" w:hAnsi="仿宋_GB2312" w:eastAsia="仿宋_GB2312" w:cs="仿宋_GB2312"/>
                      <w:color w:val="000000"/>
                      <w:sz w:val="21"/>
                    </w:rPr>
                    <w:t>年初预算及绩效目标会审</w:t>
                  </w:r>
                </w:p>
              </w:tc>
              <w:tc>
                <w:tcPr>
                  <w:tcW w:w="1805"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540E1A6C">
                  <w:pPr>
                    <w:pStyle w:val="4"/>
                    <w:jc w:val="left"/>
                  </w:pPr>
                  <w:r>
                    <w:rPr>
                      <w:rFonts w:ascii="仿宋_GB2312" w:hAnsi="仿宋_GB2312" w:eastAsia="仿宋_GB2312" w:cs="仿宋_GB2312"/>
                      <w:color w:val="000000"/>
                      <w:sz w:val="21"/>
                    </w:rPr>
                    <w:t>重点参与区财政局2026年初预算，按照“零基”预算要求，对各预算单位项目预算进行必要性、合理性、可行性、投入经济性进行评审，同时规范绩效目标。对延续性、经常性项目形成具可操作性的审核测算明细标准。</w:t>
                  </w:r>
                </w:p>
              </w:tc>
            </w:tr>
          </w:tbl>
          <w:p w14:paraId="61FDC9D7">
            <w:pPr>
              <w:pStyle w:val="4"/>
              <w:ind w:left="630"/>
              <w:jc w:val="both"/>
            </w:pPr>
            <w:r>
              <w:rPr>
                <w:rFonts w:ascii="仿宋_GB2312" w:hAnsi="仿宋_GB2312" w:eastAsia="仿宋_GB2312" w:cs="仿宋_GB2312"/>
                <w:b/>
                <w:color w:val="000000"/>
                <w:sz w:val="24"/>
              </w:rPr>
              <w:t>★2、人员要求</w:t>
            </w:r>
          </w:p>
          <w:p w14:paraId="5A712DE8">
            <w:pPr>
              <w:pStyle w:val="4"/>
              <w:ind w:firstLine="472"/>
              <w:jc w:val="left"/>
            </w:pPr>
            <w:r>
              <w:rPr>
                <w:rFonts w:ascii="仿宋_GB2312" w:hAnsi="仿宋_GB2312" w:eastAsia="仿宋_GB2312" w:cs="仿宋_GB2312"/>
                <w:color w:val="000000"/>
                <w:sz w:val="24"/>
              </w:rPr>
              <w:t>2.1供应商需要提供至少6组绩效评价工作组，每组绩效评价工作组的成员应当至少包括 1 名组长及 2名组员。（说明：供应商须提供承诺函原件并加盖供应商公章）。</w:t>
            </w:r>
          </w:p>
          <w:p w14:paraId="5CDC60E8">
            <w:pPr>
              <w:pStyle w:val="4"/>
              <w:ind w:firstLine="472"/>
              <w:jc w:val="left"/>
            </w:pPr>
            <w:r>
              <w:rPr>
                <w:rFonts w:ascii="仿宋_GB2312" w:hAnsi="仿宋_GB2312" w:eastAsia="仿宋_GB2312" w:cs="仿宋_GB2312"/>
                <w:color w:val="000000"/>
                <w:sz w:val="24"/>
              </w:rPr>
              <w:t>2.2供应商需承诺成交后评价工作组组长不得变更，绩效管理报告由组长牵头撰写，其他评价工作组成员如有变更，须报采购人书面同意（说明：提供承诺函原件加盖供应商公章）。</w:t>
            </w:r>
          </w:p>
          <w:p w14:paraId="26B61290">
            <w:pPr>
              <w:pStyle w:val="4"/>
              <w:jc w:val="left"/>
            </w:pPr>
            <w:r>
              <w:rPr>
                <w:rFonts w:ascii="仿宋_GB2312" w:hAnsi="仿宋_GB2312" w:eastAsia="仿宋_GB2312" w:cs="仿宋_GB2312"/>
                <w:b/>
                <w:color w:val="000000"/>
                <w:sz w:val="24"/>
              </w:rPr>
              <w:t>★</w:t>
            </w:r>
            <w:r>
              <w:rPr>
                <w:rFonts w:ascii="仿宋_GB2312" w:hAnsi="仿宋_GB2312" w:eastAsia="仿宋_GB2312" w:cs="仿宋_GB2312"/>
                <w:color w:val="000000"/>
                <w:sz w:val="24"/>
              </w:rPr>
              <w:t>2.3本项目响应文件中供应商拟投入参与绩效评价工作组的成员不得重复，人员重复的全部响应文件作无效投标处理。（说明：提供承诺函原件加盖供应商公章）</w:t>
            </w:r>
          </w:p>
          <w:p w14:paraId="7C2AF092">
            <w:pPr>
              <w:pStyle w:val="4"/>
              <w:jc w:val="left"/>
            </w:pPr>
            <w:r>
              <w:rPr>
                <w:rFonts w:ascii="仿宋_GB2312" w:hAnsi="仿宋_GB2312" w:eastAsia="仿宋_GB2312" w:cs="仿宋_GB2312"/>
                <w:b/>
                <w:color w:val="000000"/>
                <w:sz w:val="24"/>
              </w:rPr>
              <w:t>3、服务内容</w:t>
            </w:r>
          </w:p>
          <w:p w14:paraId="5F371656">
            <w:pPr>
              <w:pStyle w:val="4"/>
              <w:ind w:firstLine="472"/>
              <w:jc w:val="left"/>
            </w:pPr>
            <w:r>
              <w:rPr>
                <w:rFonts w:ascii="仿宋_GB2312" w:hAnsi="仿宋_GB2312" w:eastAsia="仿宋_GB2312" w:cs="仿宋_GB2312"/>
                <w:color w:val="000000"/>
                <w:sz w:val="24"/>
              </w:rPr>
              <w:t>3.1项目绩效事后评价</w:t>
            </w:r>
          </w:p>
          <w:p w14:paraId="2B85F2B6">
            <w:pPr>
              <w:pStyle w:val="4"/>
              <w:ind w:firstLine="472"/>
              <w:jc w:val="left"/>
            </w:pPr>
            <w:r>
              <w:rPr>
                <w:rFonts w:ascii="仿宋_GB2312" w:hAnsi="仿宋_GB2312" w:eastAsia="仿宋_GB2312" w:cs="仿宋_GB2312"/>
                <w:color w:val="000000"/>
                <w:sz w:val="24"/>
              </w:rPr>
              <w:t>3.1.1前期准备</w:t>
            </w:r>
          </w:p>
          <w:p w14:paraId="7FBF273A">
            <w:pPr>
              <w:pStyle w:val="4"/>
              <w:ind w:firstLine="472"/>
              <w:jc w:val="left"/>
            </w:pPr>
            <w:r>
              <w:rPr>
                <w:rFonts w:ascii="仿宋_GB2312" w:hAnsi="仿宋_GB2312" w:eastAsia="仿宋_GB2312" w:cs="仿宋_GB2312"/>
                <w:color w:val="000000"/>
                <w:sz w:val="24"/>
              </w:rPr>
              <w:t>为了顺利开展绩效评价工作，供应商应根据评价工作安排，搭建评价工作组，做好以下准备工作：</w:t>
            </w:r>
          </w:p>
          <w:p w14:paraId="01E8CB32">
            <w:pPr>
              <w:pStyle w:val="4"/>
              <w:ind w:firstLine="472"/>
              <w:jc w:val="left"/>
            </w:pPr>
            <w:r>
              <w:rPr>
                <w:rFonts w:ascii="仿宋_GB2312" w:hAnsi="仿宋_GB2312" w:eastAsia="仿宋_GB2312" w:cs="仿宋_GB2312"/>
                <w:color w:val="000000"/>
                <w:sz w:val="24"/>
              </w:rPr>
              <w:t>绩效评价工作组应与被评价对象的主管部门和实施单位充分沟通，准确了解绩效评价对象概况，多渠道补充收集相关背景文件资料，重点是收集与绩效评价对象相关的政策文件、资金分配文件、资金管理办法、项目实施方案、国家、行业标准数据，与评价指标相关的对比数据、支撑材料。</w:t>
            </w:r>
          </w:p>
          <w:p w14:paraId="5C92DB87">
            <w:pPr>
              <w:pStyle w:val="4"/>
              <w:ind w:firstLine="472"/>
              <w:jc w:val="left"/>
            </w:pPr>
            <w:r>
              <w:rPr>
                <w:rFonts w:ascii="仿宋_GB2312" w:hAnsi="仿宋_GB2312" w:eastAsia="仿宋_GB2312" w:cs="仿宋_GB2312"/>
                <w:color w:val="000000"/>
                <w:sz w:val="24"/>
              </w:rPr>
              <w:t>绩效评价工作组应结合绩效评价对象特点及实际执行情况，在与绩效评价对象主管部门充分沟通的基础上，绩效评价工作组方可按照相关指标体系开展评价工作。</w:t>
            </w:r>
          </w:p>
          <w:p w14:paraId="5729970F">
            <w:pPr>
              <w:pStyle w:val="4"/>
              <w:ind w:firstLine="472"/>
              <w:jc w:val="left"/>
            </w:pPr>
            <w:r>
              <w:rPr>
                <w:rFonts w:ascii="仿宋_GB2312" w:hAnsi="仿宋_GB2312" w:eastAsia="仿宋_GB2312" w:cs="仿宋_GB2312"/>
                <w:color w:val="000000"/>
                <w:sz w:val="24"/>
              </w:rPr>
              <w:t>绩效评价工作组根据项目实际情况，制定绩效评价对象具体评价工作方案，方案应包含以下内容：项目概况、绩效目标、项目预算及资金使用情况、评价重点、评价指标体系及评价点位、评价工作实施、质量控制措施等内容。其中：①项目概况应说明项目实施背景、项目实施内容；②绩效目标应包含项目总体目标、指标分解；③项目预算及资金使用情况分别说明项目预算情况和资金使用情况；④评价重点需围绕项目决策方面、项目管理方面、项目实施方面、项目结果方面、项目效益方面等；⑤评价指标体系及评价点位中评价指标体系和评价结果等级相关内容需符合四川省有关规定，评价点位满足采购需求；⑥评价工作实施应涵盖评价目的、评价依据、评价方法、评价团队配置、评价流程等；⑦质量控制措施包含绩效评价工作纪律、绩效评价工作质控措施（涵盖评价前期阶段的源头控制、评价实施期质量控制措施、评价报告质量的控制措施）。</w:t>
            </w:r>
          </w:p>
          <w:p w14:paraId="7ED7FD41">
            <w:pPr>
              <w:pStyle w:val="4"/>
              <w:ind w:firstLine="472"/>
              <w:jc w:val="left"/>
            </w:pPr>
            <w:r>
              <w:rPr>
                <w:rFonts w:ascii="仿宋_GB2312" w:hAnsi="仿宋_GB2312" w:eastAsia="仿宋_GB2312" w:cs="仿宋_GB2312"/>
                <w:color w:val="000000"/>
                <w:sz w:val="24"/>
              </w:rPr>
              <w:t>在确定方案的基础上，绩效评价工作组根据项目实际情况，制定数据收集表、访谈提纲和调查问卷。数据收集表应围绕评价重点和指标体系，一般一个指标或问题应制定一张数据收集表。设计访谈设计的问题主线要紧扣评价目标和评价指标，并向合适的访谈对象提问，描述要简明扼要、直接且专业。调查问卷应贴合评价对象和指标体系，避免重复、低效和走过场。</w:t>
            </w:r>
          </w:p>
          <w:p w14:paraId="4BB82332">
            <w:pPr>
              <w:pStyle w:val="4"/>
              <w:ind w:firstLine="472"/>
              <w:jc w:val="left"/>
            </w:pPr>
            <w:r>
              <w:rPr>
                <w:rFonts w:ascii="仿宋_GB2312" w:hAnsi="仿宋_GB2312" w:eastAsia="仿宋_GB2312" w:cs="仿宋_GB2312"/>
                <w:color w:val="000000"/>
                <w:sz w:val="24"/>
              </w:rPr>
              <w:t>3.1.2现场评价</w:t>
            </w:r>
          </w:p>
          <w:p w14:paraId="14A8E046">
            <w:pPr>
              <w:pStyle w:val="4"/>
              <w:ind w:firstLine="472"/>
              <w:jc w:val="left"/>
            </w:pPr>
            <w:r>
              <w:rPr>
                <w:rFonts w:ascii="仿宋_GB2312" w:hAnsi="仿宋_GB2312" w:eastAsia="仿宋_GB2312" w:cs="仿宋_GB2312"/>
                <w:color w:val="000000"/>
                <w:sz w:val="24"/>
              </w:rPr>
              <w:t>绩效评价工作组应根据现场评价工作方案实施绩效评价。</w:t>
            </w:r>
          </w:p>
          <w:p w14:paraId="42A952FA">
            <w:pPr>
              <w:pStyle w:val="4"/>
              <w:ind w:firstLine="472"/>
              <w:jc w:val="left"/>
            </w:pPr>
            <w:r>
              <w:rPr>
                <w:rFonts w:ascii="仿宋_GB2312" w:hAnsi="仿宋_GB2312" w:eastAsia="仿宋_GB2312" w:cs="仿宋_GB2312"/>
                <w:color w:val="000000"/>
                <w:sz w:val="24"/>
              </w:rPr>
              <w:t>绩效评价工作组现场评价时应制作、填列《绩效评价指标现场情况记录表》、《绩效评价工作记录》、《满意度问卷调查》等相关工作底稿。绩效评价工作组应保证数据来源可靠和取数过程合理合规，各现场评价点工作底稿应由被评价单位签字盖章，并由绩效评价工作组负责人审核、签章。</w:t>
            </w:r>
          </w:p>
          <w:p w14:paraId="5D116522">
            <w:pPr>
              <w:pStyle w:val="4"/>
              <w:ind w:firstLine="472"/>
              <w:jc w:val="left"/>
            </w:pPr>
            <w:r>
              <w:rPr>
                <w:rFonts w:ascii="仿宋_GB2312" w:hAnsi="仿宋_GB2312" w:eastAsia="仿宋_GB2312" w:cs="仿宋_GB2312"/>
                <w:color w:val="000000"/>
                <w:sz w:val="24"/>
              </w:rPr>
              <w:t>绩效评价工作组应按照采购人要求不定期向采购人汇报工作开展情况，对现场评价中发现的重大问题应及时向采购人反映。</w:t>
            </w:r>
          </w:p>
          <w:p w14:paraId="25001CE6">
            <w:pPr>
              <w:pStyle w:val="4"/>
              <w:ind w:firstLine="472"/>
              <w:jc w:val="left"/>
            </w:pPr>
            <w:r>
              <w:rPr>
                <w:rFonts w:ascii="仿宋_GB2312" w:hAnsi="仿宋_GB2312" w:eastAsia="仿宋_GB2312" w:cs="仿宋_GB2312"/>
                <w:color w:val="000000"/>
                <w:sz w:val="24"/>
              </w:rPr>
              <w:t>3.1.3撰写报告</w:t>
            </w:r>
          </w:p>
          <w:p w14:paraId="2D522983">
            <w:pPr>
              <w:pStyle w:val="4"/>
              <w:ind w:firstLine="472"/>
              <w:jc w:val="left"/>
            </w:pPr>
            <w:r>
              <w:rPr>
                <w:rFonts w:ascii="仿宋_GB2312" w:hAnsi="仿宋_GB2312" w:eastAsia="仿宋_GB2312" w:cs="仿宋_GB2312"/>
                <w:color w:val="000000"/>
                <w:sz w:val="24"/>
              </w:rPr>
              <w:t>现场评价完成后，绩效评价工作组应汇总相关数据，分析整理绩效评价情况，结合绩效评价对象实际，按照相应绩效评价报告范本格式（范本格式由采购人与成交供应商签订合同后共同研究决定）撰写绩效评价报告。</w:t>
            </w:r>
          </w:p>
          <w:p w14:paraId="019D5D5B">
            <w:pPr>
              <w:pStyle w:val="4"/>
              <w:ind w:firstLine="472"/>
              <w:jc w:val="left"/>
            </w:pPr>
            <w:r>
              <w:rPr>
                <w:rFonts w:ascii="仿宋_GB2312" w:hAnsi="仿宋_GB2312" w:eastAsia="仿宋_GB2312" w:cs="仿宋_GB2312"/>
                <w:color w:val="000000"/>
                <w:sz w:val="24"/>
              </w:rPr>
              <w:t>绩效评价工作组应建立质量复核体系，项目负责人必须全面复核项目组成员基础工作资料，项目负责人应对复核记录签字，并作为工作底稿组成部分予以归档。</w:t>
            </w:r>
          </w:p>
          <w:p w14:paraId="47B6CCEB">
            <w:pPr>
              <w:pStyle w:val="4"/>
              <w:ind w:firstLine="472"/>
              <w:jc w:val="left"/>
            </w:pPr>
            <w:r>
              <w:rPr>
                <w:rFonts w:ascii="仿宋_GB2312" w:hAnsi="仿宋_GB2312" w:eastAsia="仿宋_GB2312" w:cs="仿宋_GB2312"/>
                <w:color w:val="000000"/>
                <w:sz w:val="24"/>
              </w:rPr>
              <w:t>评价报告应做到内容翔实，数据真实，论证充分，建议明确，底稿及相关佐证材料齐全；评价指标体系、项目（财政政策）绩效、问题分析以及对策建议应层次清晰、逻辑清楚；对策建议应具有针对性、科学性、合理性和可行性。</w:t>
            </w:r>
          </w:p>
          <w:p w14:paraId="64D70773">
            <w:pPr>
              <w:pStyle w:val="4"/>
              <w:ind w:firstLine="472"/>
              <w:jc w:val="left"/>
            </w:pPr>
            <w:r>
              <w:rPr>
                <w:rFonts w:ascii="仿宋_GB2312" w:hAnsi="仿宋_GB2312" w:eastAsia="仿宋_GB2312" w:cs="仿宋_GB2312"/>
                <w:color w:val="000000"/>
                <w:sz w:val="24"/>
              </w:rPr>
              <w:t>3.1.4质量审核</w:t>
            </w:r>
          </w:p>
          <w:p w14:paraId="05E5AFFB">
            <w:pPr>
              <w:pStyle w:val="4"/>
              <w:ind w:firstLine="472"/>
              <w:jc w:val="left"/>
            </w:pPr>
            <w:r>
              <w:rPr>
                <w:rFonts w:ascii="仿宋_GB2312" w:hAnsi="仿宋_GB2312" w:eastAsia="仿宋_GB2312" w:cs="仿宋_GB2312"/>
                <w:color w:val="000000"/>
                <w:sz w:val="24"/>
              </w:rPr>
              <w:t>采购人按要求对供应商绩效评价工作质量和绩效评价报告进行审核。对绩效评价工作和报告存在的问题，采购人有权提出意见，采购人认为绩效评价报告中存在结论模糊、事实不清、数据不实的情况，可责成绩效评价工作组重新核实、修正。</w:t>
            </w:r>
          </w:p>
          <w:p w14:paraId="1EBF6C29">
            <w:pPr>
              <w:pStyle w:val="4"/>
              <w:ind w:firstLine="472"/>
              <w:jc w:val="left"/>
            </w:pPr>
            <w:r>
              <w:rPr>
                <w:rFonts w:ascii="仿宋_GB2312" w:hAnsi="仿宋_GB2312" w:eastAsia="仿宋_GB2312" w:cs="仿宋_GB2312"/>
                <w:color w:val="000000"/>
                <w:sz w:val="24"/>
              </w:rPr>
              <w:t>3.1.5征求意见</w:t>
            </w:r>
          </w:p>
          <w:p w14:paraId="1C8C09A6">
            <w:pPr>
              <w:pStyle w:val="4"/>
              <w:ind w:firstLine="472"/>
              <w:jc w:val="left"/>
            </w:pPr>
            <w:r>
              <w:rPr>
                <w:rFonts w:ascii="仿宋_GB2312" w:hAnsi="仿宋_GB2312" w:eastAsia="仿宋_GB2312" w:cs="仿宋_GB2312"/>
                <w:color w:val="000000"/>
                <w:sz w:val="24"/>
              </w:rPr>
              <w:t>绩效评价工作组根据采购人意见修改并经采购人认可后形成绩效评价报告征求意见稿，采购人将绩效评价报告征求意见稿书面征求项目（财政政策）实施单位及主管部门意见。采购人会同绩效评价工作组对项目（财政政策）实施单位及主管部门意见建议进行分析研究，对合理意见建议进行吸纳修改，形成绩效评价报告终稿。</w:t>
            </w:r>
          </w:p>
          <w:p w14:paraId="6497F91F">
            <w:pPr>
              <w:pStyle w:val="4"/>
              <w:ind w:firstLine="472"/>
              <w:jc w:val="left"/>
            </w:pPr>
            <w:r>
              <w:rPr>
                <w:rFonts w:ascii="仿宋_GB2312" w:hAnsi="仿宋_GB2312" w:eastAsia="仿宋_GB2312" w:cs="仿宋_GB2312"/>
                <w:color w:val="000000"/>
                <w:sz w:val="24"/>
              </w:rPr>
              <w:t>3.2事前绩效评估</w:t>
            </w:r>
          </w:p>
          <w:p w14:paraId="1467B8CF">
            <w:pPr>
              <w:pStyle w:val="4"/>
              <w:ind w:firstLine="472"/>
              <w:jc w:val="left"/>
            </w:pPr>
            <w:r>
              <w:rPr>
                <w:rFonts w:ascii="仿宋_GB2312" w:hAnsi="仿宋_GB2312" w:eastAsia="仿宋_GB2312" w:cs="仿宋_GB2312"/>
                <w:color w:val="000000"/>
                <w:sz w:val="24"/>
              </w:rPr>
              <w:t>事前绩效评估服务内容与绩效评价基本一致，具体内容待评估项目选定后另行确定。</w:t>
            </w:r>
          </w:p>
          <w:p w14:paraId="0A98D7B7">
            <w:pPr>
              <w:pStyle w:val="4"/>
              <w:jc w:val="left"/>
            </w:pPr>
            <w:r>
              <w:rPr>
                <w:rFonts w:ascii="仿宋_GB2312" w:hAnsi="仿宋_GB2312" w:eastAsia="仿宋_GB2312" w:cs="仿宋_GB2312"/>
                <w:b/>
                <w:color w:val="000000"/>
                <w:sz w:val="24"/>
              </w:rPr>
              <w:t>4、项目监控评价。</w:t>
            </w:r>
            <w:r>
              <w:rPr>
                <w:rFonts w:ascii="仿宋_GB2312" w:hAnsi="仿宋_GB2312" w:eastAsia="仿宋_GB2312" w:cs="仿宋_GB2312"/>
                <w:color w:val="000000"/>
                <w:sz w:val="24"/>
              </w:rPr>
              <w:t>重点针对2025年预算执行情况，对资金使用情况、项目推进情况、已有效果情况实施监控评价，并形成绩效监控报告，监控报告格式模版由采购人与成交供应商共同研究决定。</w:t>
            </w:r>
          </w:p>
          <w:p w14:paraId="1BEB5A35">
            <w:pPr>
              <w:pStyle w:val="4"/>
              <w:jc w:val="left"/>
            </w:pPr>
            <w:r>
              <w:rPr>
                <w:rFonts w:ascii="仿宋_GB2312" w:hAnsi="仿宋_GB2312" w:eastAsia="仿宋_GB2312" w:cs="仿宋_GB2312"/>
                <w:b/>
                <w:color w:val="000000"/>
                <w:sz w:val="24"/>
              </w:rPr>
              <w:t>5、绩效辅助服务</w:t>
            </w:r>
          </w:p>
          <w:p w14:paraId="6A65C137">
            <w:pPr>
              <w:pStyle w:val="4"/>
              <w:ind w:firstLine="472"/>
              <w:jc w:val="left"/>
            </w:pPr>
            <w:r>
              <w:rPr>
                <w:rFonts w:ascii="仿宋_GB2312" w:hAnsi="仿宋_GB2312" w:eastAsia="仿宋_GB2312" w:cs="仿宋_GB2312"/>
                <w:color w:val="000000"/>
                <w:sz w:val="24"/>
              </w:rPr>
              <w:t>5.1整体、项目自评报告进行抽查复核</w:t>
            </w:r>
          </w:p>
          <w:p w14:paraId="7FC4C9EF">
            <w:pPr>
              <w:pStyle w:val="4"/>
              <w:ind w:firstLine="472"/>
              <w:jc w:val="left"/>
            </w:pPr>
            <w:r>
              <w:rPr>
                <w:rFonts w:ascii="仿宋_GB2312" w:hAnsi="仿宋_GB2312" w:eastAsia="仿宋_GB2312" w:cs="仿宋_GB2312"/>
                <w:color w:val="000000"/>
                <w:sz w:val="24"/>
              </w:rPr>
              <w:t>一级预算单位整体绩效自评全覆盖，项目自评一二级预算单位，每个单位抽查项目数不少于5个（低于5个全部抽查），形成抽查复核问题台账，台账格式与成交供应商共同研究制定。</w:t>
            </w:r>
          </w:p>
          <w:p w14:paraId="4A1AAB3A">
            <w:pPr>
              <w:pStyle w:val="4"/>
              <w:ind w:firstLine="472"/>
              <w:jc w:val="left"/>
            </w:pPr>
            <w:r>
              <w:rPr>
                <w:rFonts w:ascii="仿宋_GB2312" w:hAnsi="仿宋_GB2312" w:eastAsia="仿宋_GB2312" w:cs="仿宋_GB2312"/>
                <w:color w:val="000000"/>
                <w:sz w:val="24"/>
              </w:rPr>
              <w:t>5.2 绩效指标标准化体系建设。选择区卫健局或区教育局其中之一，开展项目绩效指标标准化体系建设。</w:t>
            </w:r>
          </w:p>
          <w:p w14:paraId="75D86734">
            <w:pPr>
              <w:pStyle w:val="4"/>
              <w:ind w:firstLine="472"/>
              <w:jc w:val="left"/>
            </w:pPr>
            <w:r>
              <w:rPr>
                <w:rFonts w:ascii="仿宋_GB2312" w:hAnsi="仿宋_GB2312" w:eastAsia="仿宋_GB2312" w:cs="仿宋_GB2312"/>
                <w:color w:val="000000"/>
                <w:sz w:val="24"/>
              </w:rPr>
              <w:t>5.3年初预算及绩效目标会审。</w:t>
            </w:r>
          </w:p>
          <w:p w14:paraId="67CC5788">
            <w:pPr>
              <w:pStyle w:val="4"/>
              <w:ind w:firstLine="472"/>
              <w:jc w:val="left"/>
            </w:pPr>
            <w:r>
              <w:rPr>
                <w:rFonts w:ascii="仿宋_GB2312" w:hAnsi="仿宋_GB2312" w:eastAsia="仿宋_GB2312" w:cs="仿宋_GB2312"/>
                <w:color w:val="000000"/>
                <w:sz w:val="24"/>
              </w:rPr>
              <w:t>5.3.1前期准备</w:t>
            </w:r>
          </w:p>
          <w:p w14:paraId="37580420">
            <w:pPr>
              <w:pStyle w:val="4"/>
              <w:ind w:firstLine="472"/>
              <w:jc w:val="left"/>
            </w:pPr>
            <w:r>
              <w:rPr>
                <w:rFonts w:ascii="仿宋_GB2312" w:hAnsi="仿宋_GB2312" w:eastAsia="仿宋_GB2312" w:cs="仿宋_GB2312"/>
                <w:color w:val="000000"/>
                <w:sz w:val="24"/>
              </w:rPr>
              <w:t>供应商应根据采购人预算及绩效目标集中会审工作，搭建审核工作组，做好以下准备工作：审核工作组根据项目实际情况，制定具体工作方案，方案应包含以下内容：方案背景、总体问题、实施路径、预期成效、重点审核内容、工作流程。工作方案需报采购人审定，并根据采购人的意见进行修改和完善。此外，在开展集中会审工作前制定附表及资料清单，其内容需包括项目支出预算申报表、预算申报项目申报资料清单、预算绩效集中会审时间安排表、预算绩效集中会审工作底稿、预算绩效集中会审结果汇总表。</w:t>
            </w:r>
          </w:p>
          <w:p w14:paraId="1B84377A">
            <w:pPr>
              <w:pStyle w:val="4"/>
              <w:ind w:firstLine="472"/>
              <w:jc w:val="left"/>
            </w:pPr>
            <w:r>
              <w:rPr>
                <w:rFonts w:ascii="仿宋_GB2312" w:hAnsi="仿宋_GB2312" w:eastAsia="仿宋_GB2312" w:cs="仿宋_GB2312"/>
                <w:color w:val="000000"/>
                <w:sz w:val="24"/>
              </w:rPr>
              <w:t>5.3.2现场评审</w:t>
            </w:r>
          </w:p>
          <w:p w14:paraId="0254C9BD">
            <w:pPr>
              <w:pStyle w:val="4"/>
              <w:ind w:firstLine="472"/>
              <w:jc w:val="left"/>
            </w:pPr>
            <w:r>
              <w:rPr>
                <w:rFonts w:ascii="仿宋_GB2312" w:hAnsi="仿宋_GB2312" w:eastAsia="仿宋_GB2312" w:cs="仿宋_GB2312"/>
                <w:color w:val="000000"/>
                <w:sz w:val="24"/>
              </w:rPr>
              <w:t>评审工作组应根据工作方案，通过查阅预算单位提供的立项依据、资金测算明细、资金测算标准、现场问询等方式按照“零基”预算要求，对各预算单位年初项目预算进行必要性、合理性、可行性、投入经济性进行评审，同时对绩效目标的规范性、科学性、合理性评审并提出修改建议。</w:t>
            </w:r>
          </w:p>
          <w:p w14:paraId="7C5C7BA4">
            <w:pPr>
              <w:pStyle w:val="4"/>
              <w:ind w:firstLine="472"/>
              <w:jc w:val="left"/>
            </w:pPr>
            <w:r>
              <w:rPr>
                <w:rFonts w:ascii="仿宋_GB2312" w:hAnsi="仿宋_GB2312" w:eastAsia="仿宋_GB2312" w:cs="仿宋_GB2312"/>
                <w:color w:val="000000"/>
                <w:sz w:val="24"/>
              </w:rPr>
              <w:t>评审工作组现场评价时应制作《预算绩效评审现场情况记录表》、《预算绩效评审工作记录》等相关工作底稿。各现场评审工作底稿应由现场被评价单位代表签字，并由绩效评价工作组负责人审核、签章。</w:t>
            </w:r>
          </w:p>
          <w:p w14:paraId="1215EE9D">
            <w:pPr>
              <w:pStyle w:val="4"/>
              <w:ind w:firstLine="472"/>
              <w:jc w:val="left"/>
            </w:pPr>
            <w:r>
              <w:rPr>
                <w:rFonts w:ascii="仿宋_GB2312" w:hAnsi="仿宋_GB2312" w:eastAsia="仿宋_GB2312" w:cs="仿宋_GB2312"/>
                <w:color w:val="000000"/>
                <w:sz w:val="24"/>
              </w:rPr>
              <w:t>评审工作组应按照采购人要求及时向采购人汇报工作开展情况，对现场评审中发现的重大问题应及时向采购人反映。</w:t>
            </w:r>
          </w:p>
          <w:p w14:paraId="60D4F7AE">
            <w:pPr>
              <w:pStyle w:val="4"/>
              <w:ind w:firstLine="472"/>
              <w:jc w:val="left"/>
            </w:pPr>
            <w:r>
              <w:rPr>
                <w:rFonts w:ascii="仿宋_GB2312" w:hAnsi="仿宋_GB2312" w:eastAsia="仿宋_GB2312" w:cs="仿宋_GB2312"/>
                <w:color w:val="000000"/>
                <w:sz w:val="24"/>
              </w:rPr>
              <w:t>5.3.3评审成果</w:t>
            </w:r>
          </w:p>
          <w:p w14:paraId="5424114A">
            <w:pPr>
              <w:pStyle w:val="4"/>
              <w:ind w:firstLine="472"/>
              <w:jc w:val="left"/>
            </w:pPr>
            <w:r>
              <w:rPr>
                <w:rFonts w:ascii="仿宋_GB2312" w:hAnsi="仿宋_GB2312" w:eastAsia="仿宋_GB2312" w:cs="仿宋_GB2312"/>
                <w:color w:val="000000"/>
                <w:sz w:val="24"/>
              </w:rPr>
              <w:t>现场评审完成后，评审工作组应汇总相关数据，形成各预算单位项目预算安排以及项目排序的意见和建议；对延续性、经常性项目形成具可操作性的审核测算明细及测算标准，便于后期应用。评审成果体现的形式和格式模版由采购人与成交供应商共同研究决定。</w:t>
            </w:r>
          </w:p>
          <w:p w14:paraId="314F34C1">
            <w:pPr>
              <w:pStyle w:val="4"/>
              <w:jc w:val="left"/>
            </w:pPr>
            <w:r>
              <w:rPr>
                <w:rFonts w:ascii="仿宋_GB2312" w:hAnsi="仿宋_GB2312" w:eastAsia="仿宋_GB2312" w:cs="仿宋_GB2312"/>
                <w:b/>
                <w:color w:val="000000"/>
                <w:sz w:val="24"/>
              </w:rPr>
              <w:t>6、选点要求</w:t>
            </w:r>
          </w:p>
          <w:p w14:paraId="3112A4A7">
            <w:pPr>
              <w:pStyle w:val="4"/>
              <w:ind w:firstLine="472"/>
              <w:jc w:val="left"/>
            </w:pPr>
            <w:r>
              <w:rPr>
                <w:rFonts w:ascii="仿宋_GB2312" w:hAnsi="仿宋_GB2312" w:eastAsia="仿宋_GB2312" w:cs="仿宋_GB2312"/>
                <w:color w:val="000000"/>
                <w:sz w:val="24"/>
              </w:rPr>
              <w:t>6.1项目、政策评价，项目监控评价：以实际项目实施或预算执行单位为选点单位，点位数在10个及以下的全选，超过10个的，超过部分按30%选点，且选点资金额应不低于项目预算总额的30%。每个点位现场踏勘点位数不得少于5个（资金使用点位少于5个的，全选）。</w:t>
            </w:r>
          </w:p>
          <w:p w14:paraId="1F4E6B18">
            <w:pPr>
              <w:pStyle w:val="4"/>
              <w:ind w:firstLine="472"/>
              <w:jc w:val="left"/>
            </w:pPr>
            <w:r>
              <w:rPr>
                <w:rFonts w:ascii="仿宋_GB2312" w:hAnsi="仿宋_GB2312" w:eastAsia="仿宋_GB2312" w:cs="仿宋_GB2312"/>
                <w:color w:val="000000"/>
                <w:sz w:val="24"/>
              </w:rPr>
              <w:t>6.2部门整体支出绩效评价：评价工作需对区级部门及评价年度使用区级财政资金的下属单位全覆盖。</w:t>
            </w:r>
          </w:p>
          <w:p w14:paraId="6BC3D396">
            <w:pPr>
              <w:pStyle w:val="4"/>
              <w:ind w:firstLine="472"/>
              <w:jc w:val="left"/>
            </w:pPr>
            <w:r>
              <w:rPr>
                <w:rFonts w:ascii="仿宋_GB2312" w:hAnsi="仿宋_GB2312" w:eastAsia="仿宋_GB2312" w:cs="仿宋_GB2312"/>
                <w:color w:val="000000"/>
                <w:sz w:val="24"/>
              </w:rPr>
              <w:t>6.3政府投资监控项目，具体评价项目，根据区发改局提供名单再行选定。</w:t>
            </w:r>
          </w:p>
          <w:p w14:paraId="207E42A7">
            <w:pPr>
              <w:pStyle w:val="4"/>
              <w:ind w:firstLine="472"/>
              <w:jc w:val="left"/>
            </w:pPr>
            <w:r>
              <w:rPr>
                <w:rFonts w:ascii="仿宋_GB2312" w:hAnsi="仿宋_GB2312" w:eastAsia="仿宋_GB2312" w:cs="仿宋_GB2312"/>
                <w:color w:val="000000"/>
                <w:sz w:val="24"/>
              </w:rPr>
              <w:t>6.4事前绩效评估：待评估内容确定后另行通知。</w:t>
            </w:r>
          </w:p>
          <w:p w14:paraId="62946020">
            <w:pPr>
              <w:pStyle w:val="4"/>
              <w:jc w:val="left"/>
            </w:pPr>
            <w:r>
              <w:rPr>
                <w:rFonts w:ascii="仿宋_GB2312" w:hAnsi="仿宋_GB2312" w:eastAsia="仿宋_GB2312" w:cs="仿宋_GB2312"/>
                <w:b/>
                <w:color w:val="000000"/>
                <w:sz w:val="24"/>
              </w:rPr>
              <w:t>7、资料归档</w:t>
            </w:r>
          </w:p>
          <w:p w14:paraId="0BEDB234">
            <w:pPr>
              <w:pStyle w:val="4"/>
              <w:ind w:firstLine="472"/>
              <w:jc w:val="left"/>
            </w:pPr>
            <w:r>
              <w:rPr>
                <w:rFonts w:ascii="仿宋_GB2312" w:hAnsi="仿宋_GB2312" w:eastAsia="仿宋_GB2312" w:cs="仿宋_GB2312"/>
                <w:color w:val="000000"/>
                <w:sz w:val="24"/>
              </w:rPr>
              <w:t>中标供应商各工作组应做好资料整理归档工作，资料需保存电子档（扫描件）和纸质档（含复印件），各财政绩效管理服务工作结束后应按采购人资料归集要求归档，并移交采购人。各工作组应做好资料保密工作，如因资料遗失、保管不慎等原因发生泄密问题，由绩效评价工作组承担相关法律责任。</w:t>
            </w:r>
          </w:p>
          <w:p w14:paraId="2387D25F">
            <w:pPr>
              <w:pStyle w:val="4"/>
              <w:jc w:val="left"/>
            </w:pPr>
            <w:r>
              <w:rPr>
                <w:rFonts w:ascii="仿宋_GB2312" w:hAnsi="仿宋_GB2312" w:eastAsia="仿宋_GB2312" w:cs="仿宋_GB2312"/>
                <w:b/>
                <w:color w:val="000000"/>
                <w:sz w:val="28"/>
              </w:rPr>
              <w:t>三、模拟案例及要求</w:t>
            </w:r>
          </w:p>
          <w:p w14:paraId="2709FC96">
            <w:pPr>
              <w:pStyle w:val="4"/>
              <w:ind w:firstLine="472"/>
              <w:jc w:val="left"/>
            </w:pPr>
            <w:r>
              <w:rPr>
                <w:rFonts w:ascii="仿宋_GB2312" w:hAnsi="仿宋_GB2312" w:eastAsia="仿宋_GB2312" w:cs="仿宋_GB2312"/>
                <w:color w:val="000000"/>
                <w:sz w:val="24"/>
              </w:rPr>
              <w:t>供应商应就采购人提供的“中介机构绩效评价模拟案例及要求”中的项目背景材料，完成模拟方案设计要求，作为本次磋商的响应文件组成部分。</w:t>
            </w:r>
          </w:p>
          <w:p w14:paraId="7A5A8B8E">
            <w:pPr>
              <w:pStyle w:val="4"/>
              <w:ind w:firstLine="472"/>
              <w:jc w:val="left"/>
            </w:pPr>
            <w:r>
              <w:rPr>
                <w:rFonts w:ascii="仿宋_GB2312" w:hAnsi="仿宋_GB2312" w:eastAsia="仿宋_GB2312" w:cs="仿宋_GB2312"/>
                <w:color w:val="000000"/>
                <w:sz w:val="24"/>
              </w:rPr>
              <w:t>中介机构绩效评价模拟案例及要求</w:t>
            </w:r>
          </w:p>
          <w:p w14:paraId="140520ED">
            <w:pPr>
              <w:pStyle w:val="4"/>
              <w:ind w:firstLine="472"/>
              <w:jc w:val="left"/>
            </w:pPr>
            <w:r>
              <w:rPr>
                <w:rFonts w:ascii="仿宋_GB2312" w:hAnsi="仿宋_GB2312" w:eastAsia="仿宋_GB2312" w:cs="仿宋_GB2312"/>
                <w:color w:val="000000"/>
                <w:sz w:val="24"/>
              </w:rPr>
              <w:t>1.项目名称</w:t>
            </w:r>
          </w:p>
          <w:p w14:paraId="3B3583EB">
            <w:pPr>
              <w:pStyle w:val="4"/>
              <w:ind w:firstLine="472"/>
              <w:jc w:val="left"/>
            </w:pPr>
            <w:r>
              <w:rPr>
                <w:rFonts w:ascii="仿宋_GB2312" w:hAnsi="仿宋_GB2312" w:eastAsia="仿宋_GB2312" w:cs="仿宋_GB2312"/>
                <w:color w:val="000000"/>
                <w:sz w:val="24"/>
              </w:rPr>
              <w:t>“卫生健康领域发展资金”项目。</w:t>
            </w:r>
          </w:p>
          <w:p w14:paraId="5A2D6DE4">
            <w:pPr>
              <w:pStyle w:val="4"/>
              <w:ind w:firstLine="472"/>
              <w:jc w:val="left"/>
            </w:pPr>
            <w:r>
              <w:rPr>
                <w:rFonts w:ascii="仿宋_GB2312" w:hAnsi="仿宋_GB2312" w:eastAsia="仿宋_GB2312" w:cs="仿宋_GB2312"/>
                <w:color w:val="000000"/>
                <w:sz w:val="24"/>
              </w:rPr>
              <w:t>2.项目实施背景</w:t>
            </w:r>
          </w:p>
          <w:p w14:paraId="43EE3D88">
            <w:pPr>
              <w:pStyle w:val="4"/>
              <w:ind w:firstLine="472"/>
              <w:jc w:val="left"/>
            </w:pPr>
            <w:r>
              <w:rPr>
                <w:rFonts w:ascii="仿宋_GB2312" w:hAnsi="仿宋_GB2312" w:eastAsia="仿宋_GB2312" w:cs="仿宋_GB2312"/>
                <w:color w:val="000000"/>
                <w:sz w:val="24"/>
              </w:rPr>
              <w:t>在健康中国战略的有力推动下，医疗卫生事业的高质量发展已成为增进民生福祉的核心任务。近年来，X区人口持续增长，从2018年的141.3万增长至2023年的159.3万，目前常住人口已突破170万。人口的快速增长带动了医疗服务需求的爆发式增长，群众对优质、高效、便捷的医疗卫生服务的需求日益强烈。然而，X区的医疗资源配置在数量和质量上仍存在一定的不足，难以满足群众的需求。</w:t>
            </w:r>
          </w:p>
          <w:p w14:paraId="514D4045">
            <w:pPr>
              <w:pStyle w:val="4"/>
              <w:ind w:firstLine="472"/>
              <w:jc w:val="left"/>
            </w:pPr>
            <w:r>
              <w:rPr>
                <w:rFonts w:ascii="仿宋_GB2312" w:hAnsi="仿宋_GB2312" w:eastAsia="仿宋_GB2312" w:cs="仿宋_GB2312"/>
                <w:color w:val="000000"/>
                <w:sz w:val="24"/>
              </w:rPr>
              <w:t>为深入贯彻国家医疗卫生体制改革精神，全面提升区域医疗服务能力，X区卫生健康局积极响应政策号召，致力于优化医疗资源配置，强化公立医院的公益属性和主体作用。鉴于公立医院在基本医疗服务、公共卫生应急和重点学科发展等方面承担的重要责任，X区政府高度重视公立医院的可持续发展，决定加大政府投入，支持公立医院在基本建设、大型设备购置、重点学科发展和公共卫生服务等方面的全面提升。同时，X区人民政府出台了专项行动方案，计划通过三年时间构建与公园城市示范区相适应、与市民健康需求相匹配的医疗服务体系。在此背景下，X区卫生健康局决定启动实施 2024年“卫生健康领域发展资金”项目（民生保障类项目）。通过专项资金的投入，进一步激发区级公立医院的活力，建立健全维护公益性、调动积极性、保障可持续的区级公立医院运行新机制，有效提升医疗服务质量和效率，满足人民群众日益增长的基本医疗服务需求，切实解决群众看病就医难题，为构建健康X区、推动医疗卫生事业高质量发展贡献力量。</w:t>
            </w:r>
          </w:p>
          <w:p w14:paraId="323F2B9A">
            <w:pPr>
              <w:pStyle w:val="4"/>
              <w:ind w:firstLine="472"/>
              <w:jc w:val="left"/>
            </w:pPr>
            <w:r>
              <w:rPr>
                <w:rFonts w:ascii="仿宋_GB2312" w:hAnsi="仿宋_GB2312" w:eastAsia="仿宋_GB2312" w:cs="仿宋_GB2312"/>
                <w:color w:val="000000"/>
                <w:sz w:val="24"/>
              </w:rPr>
              <w:t>3.项目实施内容</w:t>
            </w:r>
          </w:p>
          <w:p w14:paraId="510CAC14">
            <w:pPr>
              <w:pStyle w:val="4"/>
              <w:ind w:firstLine="472"/>
              <w:jc w:val="left"/>
            </w:pPr>
            <w:r>
              <w:rPr>
                <w:rFonts w:ascii="仿宋_GB2312" w:hAnsi="仿宋_GB2312" w:eastAsia="仿宋_GB2312" w:cs="仿宋_GB2312"/>
                <w:color w:val="000000"/>
                <w:sz w:val="24"/>
              </w:rPr>
              <w:t>依据《关于印发〈X区级公立医院综合改革政府投入政策实施方案（试行）〉的通知》《关于批复2024年部门预算的通知》《2024年卫生健康领域发展资金分配表》等文件要求，“卫生健康领域发展资金”项目投入1000.00万元，主要用于推进医疗卫生机构综合改革，重点支持医疗卫生机构能力建设、卫生健康人才培养、公共卫生服务及医共体建设等符合政府卫生投入政策规定的支出。</w:t>
            </w:r>
          </w:p>
          <w:p w14:paraId="7C57C00B">
            <w:pPr>
              <w:pStyle w:val="4"/>
              <w:ind w:firstLine="472"/>
              <w:jc w:val="left"/>
            </w:pPr>
            <w:r>
              <w:rPr>
                <w:rFonts w:ascii="仿宋_GB2312" w:hAnsi="仿宋_GB2312" w:eastAsia="仿宋_GB2312" w:cs="仿宋_GB2312"/>
                <w:color w:val="000000"/>
                <w:sz w:val="24"/>
              </w:rPr>
              <w:t>4.预算安排及资金使用情况</w:t>
            </w:r>
          </w:p>
          <w:p w14:paraId="3E46D43D">
            <w:pPr>
              <w:pStyle w:val="4"/>
              <w:ind w:firstLine="472"/>
              <w:jc w:val="left"/>
            </w:pPr>
            <w:r>
              <w:rPr>
                <w:rFonts w:ascii="仿宋_GB2312" w:hAnsi="仿宋_GB2312" w:eastAsia="仿宋_GB2312" w:cs="仿宋_GB2312"/>
                <w:color w:val="000000"/>
                <w:sz w:val="24"/>
              </w:rPr>
              <w:t>该项目年初安排预算1000.00至主管部门，由主管部门具体分配至项目实施单位。执行中，财政收回预算指标200.00万元（其中：X区卫生健康局未分配资金100.00万元、X区疾病预防控制中心因政府采购设备未达付款条件收回100.00万元），全年实际预算数800.00万元。具体情况详见下表：</w:t>
            </w:r>
          </w:p>
          <w:tbl>
            <w:tblPr>
              <w:tblStyle w:val="2"/>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517"/>
              <w:gridCol w:w="1818"/>
              <w:gridCol w:w="1170"/>
              <w:gridCol w:w="1041"/>
              <w:gridCol w:w="1047"/>
            </w:tblGrid>
            <w:tr w14:paraId="1AF9B2B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PrEx>
              <w:tc>
                <w:tcPr>
                  <w:tcW w:w="521"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B918187">
                  <w:pPr>
                    <w:pStyle w:val="4"/>
                    <w:jc w:val="center"/>
                  </w:pPr>
                  <w:r>
                    <w:rPr>
                      <w:rFonts w:ascii="仿宋_GB2312" w:hAnsi="仿宋_GB2312" w:eastAsia="仿宋_GB2312" w:cs="仿宋_GB2312"/>
                      <w:b/>
                      <w:color w:val="000000"/>
                      <w:sz w:val="24"/>
                    </w:rPr>
                    <w:t>序号</w:t>
                  </w:r>
                </w:p>
              </w:tc>
              <w:tc>
                <w:tcPr>
                  <w:tcW w:w="1892"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23855A6F">
                  <w:pPr>
                    <w:pStyle w:val="4"/>
                    <w:jc w:val="center"/>
                  </w:pPr>
                  <w:r>
                    <w:rPr>
                      <w:rFonts w:ascii="仿宋_GB2312" w:hAnsi="仿宋_GB2312" w:eastAsia="仿宋_GB2312" w:cs="仿宋_GB2312"/>
                      <w:b/>
                      <w:color w:val="000000"/>
                      <w:sz w:val="24"/>
                    </w:rPr>
                    <w:t>单位名称</w:t>
                  </w:r>
                </w:p>
              </w:tc>
              <w:tc>
                <w:tcPr>
                  <w:tcW w:w="1053"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5D8CD312">
                  <w:pPr>
                    <w:pStyle w:val="4"/>
                    <w:jc w:val="left"/>
                  </w:pPr>
                  <w:r>
                    <w:rPr>
                      <w:rFonts w:ascii="仿宋_GB2312" w:hAnsi="仿宋_GB2312" w:eastAsia="仿宋_GB2312" w:cs="仿宋_GB2312"/>
                      <w:b/>
                      <w:color w:val="000000"/>
                      <w:sz w:val="24"/>
                    </w:rPr>
                    <w:t>年初预算数</w:t>
                  </w:r>
                </w:p>
              </w:tc>
              <w:tc>
                <w:tcPr>
                  <w:tcW w:w="1053"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1CB3F383">
                  <w:pPr>
                    <w:pStyle w:val="4"/>
                    <w:jc w:val="center"/>
                  </w:pPr>
                  <w:r>
                    <w:rPr>
                      <w:rFonts w:ascii="仿宋_GB2312" w:hAnsi="仿宋_GB2312" w:eastAsia="仿宋_GB2312" w:cs="仿宋_GB2312"/>
                      <w:b/>
                      <w:color w:val="000000"/>
                      <w:sz w:val="24"/>
                    </w:rPr>
                    <w:t>全年预算数</w:t>
                  </w:r>
                </w:p>
              </w:tc>
              <w:tc>
                <w:tcPr>
                  <w:tcW w:w="1053"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7E60AB26">
                  <w:pPr>
                    <w:pStyle w:val="4"/>
                    <w:jc w:val="center"/>
                  </w:pPr>
                  <w:r>
                    <w:rPr>
                      <w:rFonts w:ascii="仿宋_GB2312" w:hAnsi="仿宋_GB2312" w:eastAsia="仿宋_GB2312" w:cs="仿宋_GB2312"/>
                      <w:b/>
                      <w:color w:val="000000"/>
                      <w:sz w:val="24"/>
                    </w:rPr>
                    <w:t>预算执行数</w:t>
                  </w:r>
                </w:p>
              </w:tc>
            </w:tr>
            <w:tr w14:paraId="46ACF35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2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601BCC1">
                  <w:pPr>
                    <w:pStyle w:val="4"/>
                    <w:jc w:val="center"/>
                  </w:pPr>
                  <w:r>
                    <w:rPr>
                      <w:rFonts w:ascii="仿宋_GB2312" w:hAnsi="仿宋_GB2312" w:eastAsia="仿宋_GB2312" w:cs="仿宋_GB2312"/>
                      <w:color w:val="000000"/>
                      <w:sz w:val="24"/>
                    </w:rPr>
                    <w:t>1</w:t>
                  </w:r>
                </w:p>
              </w:tc>
              <w:tc>
                <w:tcPr>
                  <w:tcW w:w="1892" w:type="dxa"/>
                  <w:tcBorders>
                    <w:top w:val="nil"/>
                    <w:left w:val="nil"/>
                    <w:bottom w:val="single" w:color="000000" w:sz="4" w:space="0"/>
                    <w:right w:val="single" w:color="000000" w:sz="4" w:space="0"/>
                  </w:tcBorders>
                  <w:tcMar>
                    <w:top w:w="0" w:type="dxa"/>
                    <w:left w:w="105" w:type="dxa"/>
                    <w:bottom w:w="0" w:type="dxa"/>
                    <w:right w:w="105" w:type="dxa"/>
                  </w:tcMar>
                  <w:vAlign w:val="top"/>
                </w:tcPr>
                <w:p w14:paraId="2BBB76EB">
                  <w:pPr>
                    <w:pStyle w:val="4"/>
                    <w:jc w:val="center"/>
                  </w:pPr>
                  <w:r>
                    <w:rPr>
                      <w:rFonts w:ascii="仿宋_GB2312" w:hAnsi="仿宋_GB2312" w:eastAsia="仿宋_GB2312" w:cs="仿宋_GB2312"/>
                      <w:color w:val="000000"/>
                      <w:sz w:val="24"/>
                    </w:rPr>
                    <w:t>X区卫生健康局</w:t>
                  </w:r>
                </w:p>
              </w:tc>
              <w:tc>
                <w:tcPr>
                  <w:tcW w:w="1053" w:type="dxa"/>
                  <w:tcBorders>
                    <w:top w:val="nil"/>
                    <w:left w:val="nil"/>
                    <w:bottom w:val="single" w:color="000000" w:sz="4" w:space="0"/>
                    <w:right w:val="single" w:color="000000" w:sz="4" w:space="0"/>
                  </w:tcBorders>
                  <w:tcMar>
                    <w:top w:w="0" w:type="dxa"/>
                    <w:left w:w="105" w:type="dxa"/>
                    <w:bottom w:w="0" w:type="dxa"/>
                    <w:right w:w="105" w:type="dxa"/>
                  </w:tcMar>
                  <w:vAlign w:val="top"/>
                </w:tcPr>
                <w:p w14:paraId="2671E84E">
                  <w:pPr>
                    <w:pStyle w:val="4"/>
                    <w:jc w:val="center"/>
                  </w:pPr>
                  <w:r>
                    <w:rPr>
                      <w:rFonts w:ascii="仿宋_GB2312" w:hAnsi="仿宋_GB2312" w:eastAsia="仿宋_GB2312" w:cs="仿宋_GB2312"/>
                      <w:color w:val="000000"/>
                      <w:sz w:val="24"/>
                    </w:rPr>
                    <w:t xml:space="preserve"> 1,000.00</w:t>
                  </w:r>
                </w:p>
              </w:tc>
              <w:tc>
                <w:tcPr>
                  <w:tcW w:w="1053" w:type="dxa"/>
                  <w:tcBorders>
                    <w:top w:val="nil"/>
                    <w:left w:val="nil"/>
                    <w:bottom w:val="single" w:color="000000" w:sz="4" w:space="0"/>
                    <w:right w:val="single" w:color="000000" w:sz="4" w:space="0"/>
                  </w:tcBorders>
                  <w:tcMar>
                    <w:top w:w="0" w:type="dxa"/>
                    <w:left w:w="105" w:type="dxa"/>
                    <w:bottom w:w="0" w:type="dxa"/>
                    <w:right w:w="105" w:type="dxa"/>
                  </w:tcMar>
                  <w:vAlign w:val="top"/>
                </w:tcPr>
                <w:p w14:paraId="25EB84D9">
                  <w:pPr>
                    <w:pStyle w:val="4"/>
                    <w:jc w:val="center"/>
                  </w:pPr>
                  <w:r>
                    <w:rPr>
                      <w:rFonts w:ascii="仿宋_GB2312" w:hAnsi="仿宋_GB2312" w:eastAsia="仿宋_GB2312" w:cs="仿宋_GB2312"/>
                      <w:color w:val="000000"/>
                      <w:sz w:val="24"/>
                    </w:rPr>
                    <w:t>0</w:t>
                  </w:r>
                </w:p>
              </w:tc>
              <w:tc>
                <w:tcPr>
                  <w:tcW w:w="1053" w:type="dxa"/>
                  <w:tcBorders>
                    <w:top w:val="nil"/>
                    <w:left w:val="nil"/>
                    <w:bottom w:val="single" w:color="000000" w:sz="4" w:space="0"/>
                    <w:right w:val="single" w:color="000000" w:sz="4" w:space="0"/>
                  </w:tcBorders>
                  <w:tcMar>
                    <w:top w:w="0" w:type="dxa"/>
                    <w:left w:w="105" w:type="dxa"/>
                    <w:bottom w:w="0" w:type="dxa"/>
                    <w:right w:w="105" w:type="dxa"/>
                  </w:tcMar>
                  <w:vAlign w:val="top"/>
                </w:tcPr>
                <w:p w14:paraId="0D1D6AEC">
                  <w:pPr>
                    <w:pStyle w:val="4"/>
                    <w:jc w:val="center"/>
                  </w:pPr>
                  <w:r>
                    <w:rPr>
                      <w:rFonts w:ascii="仿宋_GB2312" w:hAnsi="仿宋_GB2312" w:eastAsia="仿宋_GB2312" w:cs="仿宋_GB2312"/>
                      <w:color w:val="000000"/>
                      <w:sz w:val="24"/>
                    </w:rPr>
                    <w:t>0</w:t>
                  </w:r>
                </w:p>
              </w:tc>
            </w:tr>
            <w:tr w14:paraId="5556A39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2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A225E6C">
                  <w:pPr>
                    <w:pStyle w:val="4"/>
                    <w:jc w:val="center"/>
                  </w:pPr>
                  <w:r>
                    <w:rPr>
                      <w:rFonts w:ascii="仿宋_GB2312" w:hAnsi="仿宋_GB2312" w:eastAsia="仿宋_GB2312" w:cs="仿宋_GB2312"/>
                      <w:color w:val="000000"/>
                      <w:sz w:val="24"/>
                    </w:rPr>
                    <w:t>2</w:t>
                  </w:r>
                </w:p>
              </w:tc>
              <w:tc>
                <w:tcPr>
                  <w:tcW w:w="1892" w:type="dxa"/>
                  <w:tcBorders>
                    <w:top w:val="nil"/>
                    <w:left w:val="nil"/>
                    <w:bottom w:val="single" w:color="000000" w:sz="4" w:space="0"/>
                    <w:right w:val="single" w:color="000000" w:sz="4" w:space="0"/>
                  </w:tcBorders>
                  <w:tcMar>
                    <w:top w:w="0" w:type="dxa"/>
                    <w:left w:w="105" w:type="dxa"/>
                    <w:bottom w:w="0" w:type="dxa"/>
                    <w:right w:w="105" w:type="dxa"/>
                  </w:tcMar>
                  <w:vAlign w:val="top"/>
                </w:tcPr>
                <w:p w14:paraId="18FFD3F1">
                  <w:pPr>
                    <w:pStyle w:val="4"/>
                    <w:jc w:val="center"/>
                  </w:pPr>
                  <w:r>
                    <w:rPr>
                      <w:rFonts w:ascii="仿宋_GB2312" w:hAnsi="仿宋_GB2312" w:eastAsia="仿宋_GB2312" w:cs="仿宋_GB2312"/>
                      <w:color w:val="000000"/>
                      <w:sz w:val="24"/>
                    </w:rPr>
                    <w:t>X区疾病预防控制中心</w:t>
                  </w:r>
                </w:p>
              </w:tc>
              <w:tc>
                <w:tcPr>
                  <w:tcW w:w="1053" w:type="dxa"/>
                  <w:tcBorders>
                    <w:top w:val="nil"/>
                    <w:left w:val="nil"/>
                    <w:bottom w:val="single" w:color="000000" w:sz="4" w:space="0"/>
                    <w:right w:val="single" w:color="000000" w:sz="4" w:space="0"/>
                  </w:tcBorders>
                  <w:tcMar>
                    <w:top w:w="0" w:type="dxa"/>
                    <w:left w:w="105" w:type="dxa"/>
                    <w:bottom w:w="0" w:type="dxa"/>
                    <w:right w:w="105" w:type="dxa"/>
                  </w:tcMar>
                  <w:vAlign w:val="top"/>
                </w:tcPr>
                <w:p w14:paraId="2E57A651">
                  <w:pPr>
                    <w:pStyle w:val="4"/>
                    <w:jc w:val="center"/>
                  </w:pPr>
                  <w:r>
                    <w:rPr>
                      <w:rFonts w:ascii="仿宋_GB2312" w:hAnsi="仿宋_GB2312" w:eastAsia="仿宋_GB2312" w:cs="仿宋_GB2312"/>
                      <w:color w:val="000000"/>
                      <w:sz w:val="24"/>
                    </w:rPr>
                    <w:t>0</w:t>
                  </w:r>
                </w:p>
              </w:tc>
              <w:tc>
                <w:tcPr>
                  <w:tcW w:w="1053" w:type="dxa"/>
                  <w:tcBorders>
                    <w:top w:val="nil"/>
                    <w:left w:val="nil"/>
                    <w:bottom w:val="single" w:color="000000" w:sz="4" w:space="0"/>
                    <w:right w:val="single" w:color="000000" w:sz="4" w:space="0"/>
                  </w:tcBorders>
                  <w:tcMar>
                    <w:top w:w="0" w:type="dxa"/>
                    <w:left w:w="105" w:type="dxa"/>
                    <w:bottom w:w="0" w:type="dxa"/>
                    <w:right w:w="105" w:type="dxa"/>
                  </w:tcMar>
                  <w:vAlign w:val="top"/>
                </w:tcPr>
                <w:p w14:paraId="0A3D6721">
                  <w:pPr>
                    <w:pStyle w:val="4"/>
                    <w:jc w:val="center"/>
                  </w:pPr>
                  <w:r>
                    <w:rPr>
                      <w:rFonts w:ascii="仿宋_GB2312" w:hAnsi="仿宋_GB2312" w:eastAsia="仿宋_GB2312" w:cs="仿宋_GB2312"/>
                      <w:color w:val="000000"/>
                      <w:sz w:val="24"/>
                    </w:rPr>
                    <w:t>0</w:t>
                  </w:r>
                </w:p>
              </w:tc>
              <w:tc>
                <w:tcPr>
                  <w:tcW w:w="1053" w:type="dxa"/>
                  <w:tcBorders>
                    <w:top w:val="nil"/>
                    <w:left w:val="nil"/>
                    <w:bottom w:val="single" w:color="000000" w:sz="4" w:space="0"/>
                    <w:right w:val="single" w:color="000000" w:sz="4" w:space="0"/>
                  </w:tcBorders>
                  <w:tcMar>
                    <w:top w:w="0" w:type="dxa"/>
                    <w:left w:w="105" w:type="dxa"/>
                    <w:bottom w:w="0" w:type="dxa"/>
                    <w:right w:w="105" w:type="dxa"/>
                  </w:tcMar>
                  <w:vAlign w:val="top"/>
                </w:tcPr>
                <w:p w14:paraId="3B267490">
                  <w:pPr>
                    <w:pStyle w:val="4"/>
                    <w:jc w:val="center"/>
                  </w:pPr>
                  <w:r>
                    <w:rPr>
                      <w:rFonts w:ascii="仿宋_GB2312" w:hAnsi="仿宋_GB2312" w:eastAsia="仿宋_GB2312" w:cs="仿宋_GB2312"/>
                      <w:color w:val="000000"/>
                      <w:sz w:val="24"/>
                    </w:rPr>
                    <w:t>0</w:t>
                  </w:r>
                </w:p>
              </w:tc>
            </w:tr>
            <w:tr w14:paraId="0E1C1E7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2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4B691B1">
                  <w:pPr>
                    <w:pStyle w:val="4"/>
                    <w:jc w:val="center"/>
                  </w:pPr>
                  <w:r>
                    <w:rPr>
                      <w:rFonts w:ascii="仿宋_GB2312" w:hAnsi="仿宋_GB2312" w:eastAsia="仿宋_GB2312" w:cs="仿宋_GB2312"/>
                      <w:color w:val="000000"/>
                      <w:sz w:val="24"/>
                    </w:rPr>
                    <w:t>3</w:t>
                  </w:r>
                </w:p>
              </w:tc>
              <w:tc>
                <w:tcPr>
                  <w:tcW w:w="1892" w:type="dxa"/>
                  <w:tcBorders>
                    <w:top w:val="nil"/>
                    <w:left w:val="nil"/>
                    <w:bottom w:val="single" w:color="000000" w:sz="4" w:space="0"/>
                    <w:right w:val="single" w:color="000000" w:sz="4" w:space="0"/>
                  </w:tcBorders>
                  <w:tcMar>
                    <w:top w:w="0" w:type="dxa"/>
                    <w:left w:w="105" w:type="dxa"/>
                    <w:bottom w:w="0" w:type="dxa"/>
                    <w:right w:w="105" w:type="dxa"/>
                  </w:tcMar>
                  <w:vAlign w:val="top"/>
                </w:tcPr>
                <w:p w14:paraId="1277CBD5">
                  <w:pPr>
                    <w:pStyle w:val="4"/>
                    <w:jc w:val="center"/>
                  </w:pPr>
                  <w:r>
                    <w:rPr>
                      <w:rFonts w:ascii="仿宋_GB2312" w:hAnsi="仿宋_GB2312" w:eastAsia="仿宋_GB2312" w:cs="仿宋_GB2312"/>
                      <w:color w:val="000000"/>
                      <w:sz w:val="24"/>
                    </w:rPr>
                    <w:t>A1社区卫生服务中心</w:t>
                  </w:r>
                </w:p>
              </w:tc>
              <w:tc>
                <w:tcPr>
                  <w:tcW w:w="1053" w:type="dxa"/>
                  <w:tcBorders>
                    <w:top w:val="nil"/>
                    <w:left w:val="nil"/>
                    <w:bottom w:val="single" w:color="000000" w:sz="4" w:space="0"/>
                    <w:right w:val="single" w:color="000000" w:sz="4" w:space="0"/>
                  </w:tcBorders>
                  <w:tcMar>
                    <w:top w:w="0" w:type="dxa"/>
                    <w:left w:w="105" w:type="dxa"/>
                    <w:bottom w:w="0" w:type="dxa"/>
                    <w:right w:w="105" w:type="dxa"/>
                  </w:tcMar>
                  <w:vAlign w:val="top"/>
                </w:tcPr>
                <w:p w14:paraId="19567D90">
                  <w:pPr>
                    <w:pStyle w:val="4"/>
                    <w:jc w:val="center"/>
                  </w:pPr>
                  <w:r>
                    <w:rPr>
                      <w:rFonts w:ascii="仿宋_GB2312" w:hAnsi="仿宋_GB2312" w:eastAsia="仿宋_GB2312" w:cs="仿宋_GB2312"/>
                      <w:color w:val="000000"/>
                      <w:sz w:val="24"/>
                    </w:rPr>
                    <w:t>0</w:t>
                  </w:r>
                </w:p>
              </w:tc>
              <w:tc>
                <w:tcPr>
                  <w:tcW w:w="1053" w:type="dxa"/>
                  <w:tcBorders>
                    <w:top w:val="nil"/>
                    <w:left w:val="nil"/>
                    <w:bottom w:val="single" w:color="000000" w:sz="4" w:space="0"/>
                    <w:right w:val="single" w:color="000000" w:sz="4" w:space="0"/>
                  </w:tcBorders>
                  <w:tcMar>
                    <w:top w:w="0" w:type="dxa"/>
                    <w:left w:w="105" w:type="dxa"/>
                    <w:bottom w:w="0" w:type="dxa"/>
                    <w:right w:w="105" w:type="dxa"/>
                  </w:tcMar>
                  <w:vAlign w:val="top"/>
                </w:tcPr>
                <w:p w14:paraId="736CFB68">
                  <w:pPr>
                    <w:pStyle w:val="4"/>
                    <w:jc w:val="center"/>
                  </w:pPr>
                  <w:r>
                    <w:rPr>
                      <w:rFonts w:ascii="仿宋_GB2312" w:hAnsi="仿宋_GB2312" w:eastAsia="仿宋_GB2312" w:cs="仿宋_GB2312"/>
                      <w:color w:val="000000"/>
                      <w:sz w:val="24"/>
                    </w:rPr>
                    <w:t>69.27</w:t>
                  </w:r>
                </w:p>
              </w:tc>
              <w:tc>
                <w:tcPr>
                  <w:tcW w:w="1053" w:type="dxa"/>
                  <w:tcBorders>
                    <w:top w:val="nil"/>
                    <w:left w:val="nil"/>
                    <w:bottom w:val="single" w:color="000000" w:sz="4" w:space="0"/>
                    <w:right w:val="single" w:color="000000" w:sz="4" w:space="0"/>
                  </w:tcBorders>
                  <w:tcMar>
                    <w:top w:w="0" w:type="dxa"/>
                    <w:left w:w="105" w:type="dxa"/>
                    <w:bottom w:w="0" w:type="dxa"/>
                    <w:right w:w="105" w:type="dxa"/>
                  </w:tcMar>
                  <w:vAlign w:val="top"/>
                </w:tcPr>
                <w:p w14:paraId="41C60759">
                  <w:pPr>
                    <w:pStyle w:val="4"/>
                    <w:jc w:val="center"/>
                  </w:pPr>
                  <w:r>
                    <w:rPr>
                      <w:rFonts w:ascii="仿宋_GB2312" w:hAnsi="仿宋_GB2312" w:eastAsia="仿宋_GB2312" w:cs="仿宋_GB2312"/>
                      <w:color w:val="000000"/>
                      <w:sz w:val="24"/>
                    </w:rPr>
                    <w:t>69.27</w:t>
                  </w:r>
                </w:p>
              </w:tc>
            </w:tr>
            <w:tr w14:paraId="44F5306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2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0D02733">
                  <w:pPr>
                    <w:pStyle w:val="4"/>
                    <w:jc w:val="center"/>
                  </w:pPr>
                  <w:r>
                    <w:rPr>
                      <w:rFonts w:ascii="仿宋_GB2312" w:hAnsi="仿宋_GB2312" w:eastAsia="仿宋_GB2312" w:cs="仿宋_GB2312"/>
                      <w:color w:val="000000"/>
                      <w:sz w:val="24"/>
                    </w:rPr>
                    <w:t>4</w:t>
                  </w:r>
                </w:p>
              </w:tc>
              <w:tc>
                <w:tcPr>
                  <w:tcW w:w="1892" w:type="dxa"/>
                  <w:tcBorders>
                    <w:top w:val="nil"/>
                    <w:left w:val="nil"/>
                    <w:bottom w:val="single" w:color="000000" w:sz="4" w:space="0"/>
                    <w:right w:val="single" w:color="000000" w:sz="4" w:space="0"/>
                  </w:tcBorders>
                  <w:tcMar>
                    <w:top w:w="0" w:type="dxa"/>
                    <w:left w:w="105" w:type="dxa"/>
                    <w:bottom w:w="0" w:type="dxa"/>
                    <w:right w:w="105" w:type="dxa"/>
                  </w:tcMar>
                  <w:vAlign w:val="top"/>
                </w:tcPr>
                <w:p w14:paraId="7B5048E5">
                  <w:pPr>
                    <w:pStyle w:val="4"/>
                    <w:jc w:val="center"/>
                  </w:pPr>
                  <w:r>
                    <w:rPr>
                      <w:rFonts w:ascii="仿宋_GB2312" w:hAnsi="仿宋_GB2312" w:eastAsia="仿宋_GB2312" w:cs="仿宋_GB2312"/>
                      <w:color w:val="000000"/>
                      <w:sz w:val="24"/>
                    </w:rPr>
                    <w:t>A2社区卫生服务中心</w:t>
                  </w:r>
                </w:p>
              </w:tc>
              <w:tc>
                <w:tcPr>
                  <w:tcW w:w="1053" w:type="dxa"/>
                  <w:tcBorders>
                    <w:top w:val="nil"/>
                    <w:left w:val="nil"/>
                    <w:bottom w:val="single" w:color="000000" w:sz="4" w:space="0"/>
                    <w:right w:val="single" w:color="000000" w:sz="4" w:space="0"/>
                  </w:tcBorders>
                  <w:tcMar>
                    <w:top w:w="0" w:type="dxa"/>
                    <w:left w:w="105" w:type="dxa"/>
                    <w:bottom w:w="0" w:type="dxa"/>
                    <w:right w:w="105" w:type="dxa"/>
                  </w:tcMar>
                  <w:vAlign w:val="top"/>
                </w:tcPr>
                <w:p w14:paraId="1093B008">
                  <w:pPr>
                    <w:pStyle w:val="4"/>
                    <w:jc w:val="center"/>
                  </w:pPr>
                  <w:r>
                    <w:rPr>
                      <w:rFonts w:ascii="仿宋_GB2312" w:hAnsi="仿宋_GB2312" w:eastAsia="仿宋_GB2312" w:cs="仿宋_GB2312"/>
                      <w:color w:val="000000"/>
                      <w:sz w:val="24"/>
                    </w:rPr>
                    <w:t>0</w:t>
                  </w:r>
                </w:p>
              </w:tc>
              <w:tc>
                <w:tcPr>
                  <w:tcW w:w="1053" w:type="dxa"/>
                  <w:tcBorders>
                    <w:top w:val="nil"/>
                    <w:left w:val="nil"/>
                    <w:bottom w:val="single" w:color="000000" w:sz="4" w:space="0"/>
                    <w:right w:val="single" w:color="000000" w:sz="4" w:space="0"/>
                  </w:tcBorders>
                  <w:tcMar>
                    <w:top w:w="0" w:type="dxa"/>
                    <w:left w:w="105" w:type="dxa"/>
                    <w:bottom w:w="0" w:type="dxa"/>
                    <w:right w:w="105" w:type="dxa"/>
                  </w:tcMar>
                  <w:vAlign w:val="top"/>
                </w:tcPr>
                <w:p w14:paraId="0076E2AC">
                  <w:pPr>
                    <w:pStyle w:val="4"/>
                    <w:jc w:val="center"/>
                  </w:pPr>
                  <w:r>
                    <w:rPr>
                      <w:rFonts w:ascii="仿宋_GB2312" w:hAnsi="仿宋_GB2312" w:eastAsia="仿宋_GB2312" w:cs="仿宋_GB2312"/>
                      <w:color w:val="000000"/>
                      <w:sz w:val="24"/>
                    </w:rPr>
                    <w:t>49.27</w:t>
                  </w:r>
                </w:p>
              </w:tc>
              <w:tc>
                <w:tcPr>
                  <w:tcW w:w="1053" w:type="dxa"/>
                  <w:tcBorders>
                    <w:top w:val="nil"/>
                    <w:left w:val="nil"/>
                    <w:bottom w:val="single" w:color="000000" w:sz="4" w:space="0"/>
                    <w:right w:val="single" w:color="000000" w:sz="4" w:space="0"/>
                  </w:tcBorders>
                  <w:tcMar>
                    <w:top w:w="0" w:type="dxa"/>
                    <w:left w:w="105" w:type="dxa"/>
                    <w:bottom w:w="0" w:type="dxa"/>
                    <w:right w:w="105" w:type="dxa"/>
                  </w:tcMar>
                  <w:vAlign w:val="top"/>
                </w:tcPr>
                <w:p w14:paraId="56A77587">
                  <w:pPr>
                    <w:pStyle w:val="4"/>
                    <w:jc w:val="center"/>
                  </w:pPr>
                  <w:r>
                    <w:rPr>
                      <w:rFonts w:ascii="仿宋_GB2312" w:hAnsi="仿宋_GB2312" w:eastAsia="仿宋_GB2312" w:cs="仿宋_GB2312"/>
                      <w:color w:val="000000"/>
                      <w:sz w:val="24"/>
                    </w:rPr>
                    <w:t>49.27</w:t>
                  </w:r>
                </w:p>
              </w:tc>
            </w:tr>
            <w:tr w14:paraId="4F1182D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2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E338C77">
                  <w:pPr>
                    <w:pStyle w:val="4"/>
                    <w:jc w:val="center"/>
                  </w:pPr>
                  <w:r>
                    <w:rPr>
                      <w:rFonts w:ascii="仿宋_GB2312" w:hAnsi="仿宋_GB2312" w:eastAsia="仿宋_GB2312" w:cs="仿宋_GB2312"/>
                      <w:color w:val="000000"/>
                      <w:sz w:val="24"/>
                    </w:rPr>
                    <w:t>5</w:t>
                  </w:r>
                </w:p>
              </w:tc>
              <w:tc>
                <w:tcPr>
                  <w:tcW w:w="1892" w:type="dxa"/>
                  <w:tcBorders>
                    <w:top w:val="nil"/>
                    <w:left w:val="nil"/>
                    <w:bottom w:val="single" w:color="000000" w:sz="4" w:space="0"/>
                    <w:right w:val="single" w:color="000000" w:sz="4" w:space="0"/>
                  </w:tcBorders>
                  <w:tcMar>
                    <w:top w:w="0" w:type="dxa"/>
                    <w:left w:w="105" w:type="dxa"/>
                    <w:bottom w:w="0" w:type="dxa"/>
                    <w:right w:w="105" w:type="dxa"/>
                  </w:tcMar>
                  <w:vAlign w:val="top"/>
                </w:tcPr>
                <w:p w14:paraId="324920B5">
                  <w:pPr>
                    <w:pStyle w:val="4"/>
                    <w:jc w:val="center"/>
                  </w:pPr>
                  <w:r>
                    <w:rPr>
                      <w:rFonts w:ascii="仿宋_GB2312" w:hAnsi="仿宋_GB2312" w:eastAsia="仿宋_GB2312" w:cs="仿宋_GB2312"/>
                      <w:color w:val="000000"/>
                      <w:sz w:val="24"/>
                    </w:rPr>
                    <w:t>B1社区卫生服务中心</w:t>
                  </w:r>
                </w:p>
              </w:tc>
              <w:tc>
                <w:tcPr>
                  <w:tcW w:w="1053" w:type="dxa"/>
                  <w:tcBorders>
                    <w:top w:val="nil"/>
                    <w:left w:val="nil"/>
                    <w:bottom w:val="single" w:color="000000" w:sz="4" w:space="0"/>
                    <w:right w:val="single" w:color="000000" w:sz="4" w:space="0"/>
                  </w:tcBorders>
                  <w:tcMar>
                    <w:top w:w="0" w:type="dxa"/>
                    <w:left w:w="105" w:type="dxa"/>
                    <w:bottom w:w="0" w:type="dxa"/>
                    <w:right w:w="105" w:type="dxa"/>
                  </w:tcMar>
                  <w:vAlign w:val="top"/>
                </w:tcPr>
                <w:p w14:paraId="7D537A71">
                  <w:pPr>
                    <w:pStyle w:val="4"/>
                    <w:jc w:val="center"/>
                  </w:pPr>
                  <w:r>
                    <w:rPr>
                      <w:rFonts w:ascii="仿宋_GB2312" w:hAnsi="仿宋_GB2312" w:eastAsia="仿宋_GB2312" w:cs="仿宋_GB2312"/>
                      <w:color w:val="000000"/>
                      <w:sz w:val="24"/>
                    </w:rPr>
                    <w:t>0</w:t>
                  </w:r>
                </w:p>
              </w:tc>
              <w:tc>
                <w:tcPr>
                  <w:tcW w:w="1053" w:type="dxa"/>
                  <w:tcBorders>
                    <w:top w:val="nil"/>
                    <w:left w:val="nil"/>
                    <w:bottom w:val="single" w:color="000000" w:sz="4" w:space="0"/>
                    <w:right w:val="single" w:color="000000" w:sz="4" w:space="0"/>
                  </w:tcBorders>
                  <w:tcMar>
                    <w:top w:w="0" w:type="dxa"/>
                    <w:left w:w="105" w:type="dxa"/>
                    <w:bottom w:w="0" w:type="dxa"/>
                    <w:right w:w="105" w:type="dxa"/>
                  </w:tcMar>
                  <w:vAlign w:val="top"/>
                </w:tcPr>
                <w:p w14:paraId="324E5F23">
                  <w:pPr>
                    <w:pStyle w:val="4"/>
                    <w:jc w:val="center"/>
                  </w:pPr>
                  <w:r>
                    <w:rPr>
                      <w:rFonts w:ascii="仿宋_GB2312" w:hAnsi="仿宋_GB2312" w:eastAsia="仿宋_GB2312" w:cs="仿宋_GB2312"/>
                      <w:color w:val="000000"/>
                      <w:sz w:val="24"/>
                    </w:rPr>
                    <w:t>56.01</w:t>
                  </w:r>
                </w:p>
              </w:tc>
              <w:tc>
                <w:tcPr>
                  <w:tcW w:w="1053" w:type="dxa"/>
                  <w:tcBorders>
                    <w:top w:val="nil"/>
                    <w:left w:val="nil"/>
                    <w:bottom w:val="single" w:color="000000" w:sz="4" w:space="0"/>
                    <w:right w:val="single" w:color="000000" w:sz="4" w:space="0"/>
                  </w:tcBorders>
                  <w:tcMar>
                    <w:top w:w="0" w:type="dxa"/>
                    <w:left w:w="105" w:type="dxa"/>
                    <w:bottom w:w="0" w:type="dxa"/>
                    <w:right w:w="105" w:type="dxa"/>
                  </w:tcMar>
                  <w:vAlign w:val="top"/>
                </w:tcPr>
                <w:p w14:paraId="58D5FD4F">
                  <w:pPr>
                    <w:pStyle w:val="4"/>
                    <w:jc w:val="center"/>
                  </w:pPr>
                  <w:r>
                    <w:rPr>
                      <w:rFonts w:ascii="仿宋_GB2312" w:hAnsi="仿宋_GB2312" w:eastAsia="仿宋_GB2312" w:cs="仿宋_GB2312"/>
                      <w:color w:val="000000"/>
                      <w:sz w:val="24"/>
                    </w:rPr>
                    <w:t>56.01</w:t>
                  </w:r>
                </w:p>
              </w:tc>
            </w:tr>
            <w:tr w14:paraId="0E9078B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2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3EE2085">
                  <w:pPr>
                    <w:pStyle w:val="4"/>
                    <w:jc w:val="center"/>
                  </w:pPr>
                  <w:r>
                    <w:rPr>
                      <w:rFonts w:ascii="仿宋_GB2312" w:hAnsi="仿宋_GB2312" w:eastAsia="仿宋_GB2312" w:cs="仿宋_GB2312"/>
                      <w:color w:val="000000"/>
                      <w:sz w:val="24"/>
                    </w:rPr>
                    <w:t>6</w:t>
                  </w:r>
                </w:p>
              </w:tc>
              <w:tc>
                <w:tcPr>
                  <w:tcW w:w="1892" w:type="dxa"/>
                  <w:tcBorders>
                    <w:top w:val="nil"/>
                    <w:left w:val="nil"/>
                    <w:bottom w:val="single" w:color="000000" w:sz="4" w:space="0"/>
                    <w:right w:val="single" w:color="000000" w:sz="4" w:space="0"/>
                  </w:tcBorders>
                  <w:tcMar>
                    <w:top w:w="0" w:type="dxa"/>
                    <w:left w:w="105" w:type="dxa"/>
                    <w:bottom w:w="0" w:type="dxa"/>
                    <w:right w:w="105" w:type="dxa"/>
                  </w:tcMar>
                  <w:vAlign w:val="top"/>
                </w:tcPr>
                <w:p w14:paraId="712101E7">
                  <w:pPr>
                    <w:pStyle w:val="4"/>
                    <w:jc w:val="center"/>
                  </w:pPr>
                  <w:r>
                    <w:rPr>
                      <w:rFonts w:ascii="仿宋_GB2312" w:hAnsi="仿宋_GB2312" w:eastAsia="仿宋_GB2312" w:cs="仿宋_GB2312"/>
                      <w:color w:val="000000"/>
                      <w:sz w:val="24"/>
                    </w:rPr>
                    <w:t>B2社区卫生服务中心</w:t>
                  </w:r>
                </w:p>
              </w:tc>
              <w:tc>
                <w:tcPr>
                  <w:tcW w:w="1053" w:type="dxa"/>
                  <w:tcBorders>
                    <w:top w:val="nil"/>
                    <w:left w:val="nil"/>
                    <w:bottom w:val="single" w:color="000000" w:sz="4" w:space="0"/>
                    <w:right w:val="single" w:color="000000" w:sz="4" w:space="0"/>
                  </w:tcBorders>
                  <w:tcMar>
                    <w:top w:w="0" w:type="dxa"/>
                    <w:left w:w="105" w:type="dxa"/>
                    <w:bottom w:w="0" w:type="dxa"/>
                    <w:right w:w="105" w:type="dxa"/>
                  </w:tcMar>
                  <w:vAlign w:val="top"/>
                </w:tcPr>
                <w:p w14:paraId="04464AE9">
                  <w:pPr>
                    <w:pStyle w:val="4"/>
                    <w:jc w:val="center"/>
                  </w:pPr>
                  <w:r>
                    <w:rPr>
                      <w:rFonts w:ascii="仿宋_GB2312" w:hAnsi="仿宋_GB2312" w:eastAsia="仿宋_GB2312" w:cs="仿宋_GB2312"/>
                      <w:color w:val="000000"/>
                      <w:sz w:val="24"/>
                    </w:rPr>
                    <w:t>0</w:t>
                  </w:r>
                </w:p>
              </w:tc>
              <w:tc>
                <w:tcPr>
                  <w:tcW w:w="1053" w:type="dxa"/>
                  <w:tcBorders>
                    <w:top w:val="nil"/>
                    <w:left w:val="nil"/>
                    <w:bottom w:val="single" w:color="000000" w:sz="4" w:space="0"/>
                    <w:right w:val="single" w:color="000000" w:sz="4" w:space="0"/>
                  </w:tcBorders>
                  <w:tcMar>
                    <w:top w:w="0" w:type="dxa"/>
                    <w:left w:w="105" w:type="dxa"/>
                    <w:bottom w:w="0" w:type="dxa"/>
                    <w:right w:w="105" w:type="dxa"/>
                  </w:tcMar>
                  <w:vAlign w:val="top"/>
                </w:tcPr>
                <w:p w14:paraId="33847A58">
                  <w:pPr>
                    <w:pStyle w:val="4"/>
                    <w:jc w:val="center"/>
                  </w:pPr>
                  <w:r>
                    <w:rPr>
                      <w:rFonts w:ascii="仿宋_GB2312" w:hAnsi="仿宋_GB2312" w:eastAsia="仿宋_GB2312" w:cs="仿宋_GB2312"/>
                      <w:color w:val="000000"/>
                      <w:sz w:val="24"/>
                    </w:rPr>
                    <w:t>44.06</w:t>
                  </w:r>
                </w:p>
              </w:tc>
              <w:tc>
                <w:tcPr>
                  <w:tcW w:w="1053" w:type="dxa"/>
                  <w:tcBorders>
                    <w:top w:val="nil"/>
                    <w:left w:val="nil"/>
                    <w:bottom w:val="single" w:color="000000" w:sz="4" w:space="0"/>
                    <w:right w:val="single" w:color="000000" w:sz="4" w:space="0"/>
                  </w:tcBorders>
                  <w:tcMar>
                    <w:top w:w="0" w:type="dxa"/>
                    <w:left w:w="105" w:type="dxa"/>
                    <w:bottom w:w="0" w:type="dxa"/>
                    <w:right w:w="105" w:type="dxa"/>
                  </w:tcMar>
                  <w:vAlign w:val="top"/>
                </w:tcPr>
                <w:p w14:paraId="12DBAAD4">
                  <w:pPr>
                    <w:pStyle w:val="4"/>
                    <w:jc w:val="center"/>
                  </w:pPr>
                  <w:r>
                    <w:rPr>
                      <w:rFonts w:ascii="仿宋_GB2312" w:hAnsi="仿宋_GB2312" w:eastAsia="仿宋_GB2312" w:cs="仿宋_GB2312"/>
                      <w:color w:val="000000"/>
                      <w:sz w:val="24"/>
                    </w:rPr>
                    <w:t>44.06</w:t>
                  </w:r>
                </w:p>
              </w:tc>
            </w:tr>
            <w:tr w14:paraId="48B87C9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2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C17EB4A">
                  <w:pPr>
                    <w:pStyle w:val="4"/>
                    <w:jc w:val="center"/>
                  </w:pPr>
                  <w:r>
                    <w:rPr>
                      <w:rFonts w:ascii="仿宋_GB2312" w:hAnsi="仿宋_GB2312" w:eastAsia="仿宋_GB2312" w:cs="仿宋_GB2312"/>
                      <w:color w:val="000000"/>
                      <w:sz w:val="24"/>
                    </w:rPr>
                    <w:t>7</w:t>
                  </w:r>
                </w:p>
              </w:tc>
              <w:tc>
                <w:tcPr>
                  <w:tcW w:w="1892" w:type="dxa"/>
                  <w:tcBorders>
                    <w:top w:val="nil"/>
                    <w:left w:val="nil"/>
                    <w:bottom w:val="single" w:color="000000" w:sz="4" w:space="0"/>
                    <w:right w:val="single" w:color="000000" w:sz="4" w:space="0"/>
                  </w:tcBorders>
                  <w:tcMar>
                    <w:top w:w="0" w:type="dxa"/>
                    <w:left w:w="105" w:type="dxa"/>
                    <w:bottom w:w="0" w:type="dxa"/>
                    <w:right w:w="105" w:type="dxa"/>
                  </w:tcMar>
                  <w:vAlign w:val="top"/>
                </w:tcPr>
                <w:p w14:paraId="2720F5F2">
                  <w:pPr>
                    <w:pStyle w:val="4"/>
                    <w:jc w:val="center"/>
                  </w:pPr>
                  <w:r>
                    <w:rPr>
                      <w:rFonts w:ascii="仿宋_GB2312" w:hAnsi="仿宋_GB2312" w:eastAsia="仿宋_GB2312" w:cs="仿宋_GB2312"/>
                      <w:color w:val="000000"/>
                      <w:sz w:val="24"/>
                    </w:rPr>
                    <w:t>C镇中心卫生院</w:t>
                  </w:r>
                </w:p>
              </w:tc>
              <w:tc>
                <w:tcPr>
                  <w:tcW w:w="1053" w:type="dxa"/>
                  <w:tcBorders>
                    <w:top w:val="nil"/>
                    <w:left w:val="nil"/>
                    <w:bottom w:val="single" w:color="000000" w:sz="4" w:space="0"/>
                    <w:right w:val="single" w:color="000000" w:sz="4" w:space="0"/>
                  </w:tcBorders>
                  <w:tcMar>
                    <w:top w:w="0" w:type="dxa"/>
                    <w:left w:w="105" w:type="dxa"/>
                    <w:bottom w:w="0" w:type="dxa"/>
                    <w:right w:w="105" w:type="dxa"/>
                  </w:tcMar>
                  <w:vAlign w:val="top"/>
                </w:tcPr>
                <w:p w14:paraId="60772F86">
                  <w:pPr>
                    <w:pStyle w:val="4"/>
                    <w:jc w:val="center"/>
                  </w:pPr>
                  <w:r>
                    <w:rPr>
                      <w:rFonts w:ascii="仿宋_GB2312" w:hAnsi="仿宋_GB2312" w:eastAsia="仿宋_GB2312" w:cs="仿宋_GB2312"/>
                      <w:color w:val="000000"/>
                      <w:sz w:val="24"/>
                    </w:rPr>
                    <w:t>0</w:t>
                  </w:r>
                </w:p>
              </w:tc>
              <w:tc>
                <w:tcPr>
                  <w:tcW w:w="1053" w:type="dxa"/>
                  <w:tcBorders>
                    <w:top w:val="nil"/>
                    <w:left w:val="nil"/>
                    <w:bottom w:val="single" w:color="000000" w:sz="4" w:space="0"/>
                    <w:right w:val="single" w:color="000000" w:sz="4" w:space="0"/>
                  </w:tcBorders>
                  <w:tcMar>
                    <w:top w:w="0" w:type="dxa"/>
                    <w:left w:w="105" w:type="dxa"/>
                    <w:bottom w:w="0" w:type="dxa"/>
                    <w:right w:w="105" w:type="dxa"/>
                  </w:tcMar>
                  <w:vAlign w:val="top"/>
                </w:tcPr>
                <w:p w14:paraId="4D2086BF">
                  <w:pPr>
                    <w:pStyle w:val="4"/>
                    <w:jc w:val="center"/>
                  </w:pPr>
                  <w:r>
                    <w:rPr>
                      <w:rFonts w:ascii="仿宋_GB2312" w:hAnsi="仿宋_GB2312" w:eastAsia="仿宋_GB2312" w:cs="仿宋_GB2312"/>
                      <w:color w:val="000000"/>
                      <w:sz w:val="24"/>
                    </w:rPr>
                    <w:t>36.94</w:t>
                  </w:r>
                </w:p>
              </w:tc>
              <w:tc>
                <w:tcPr>
                  <w:tcW w:w="1053" w:type="dxa"/>
                  <w:tcBorders>
                    <w:top w:val="nil"/>
                    <w:left w:val="nil"/>
                    <w:bottom w:val="single" w:color="000000" w:sz="4" w:space="0"/>
                    <w:right w:val="single" w:color="000000" w:sz="4" w:space="0"/>
                  </w:tcBorders>
                  <w:tcMar>
                    <w:top w:w="0" w:type="dxa"/>
                    <w:left w:w="105" w:type="dxa"/>
                    <w:bottom w:w="0" w:type="dxa"/>
                    <w:right w:w="105" w:type="dxa"/>
                  </w:tcMar>
                  <w:vAlign w:val="top"/>
                </w:tcPr>
                <w:p w14:paraId="72F83145">
                  <w:pPr>
                    <w:pStyle w:val="4"/>
                    <w:jc w:val="center"/>
                  </w:pPr>
                  <w:r>
                    <w:rPr>
                      <w:rFonts w:ascii="仿宋_GB2312" w:hAnsi="仿宋_GB2312" w:eastAsia="仿宋_GB2312" w:cs="仿宋_GB2312"/>
                      <w:color w:val="000000"/>
                      <w:sz w:val="24"/>
                    </w:rPr>
                    <w:t>36.94</w:t>
                  </w:r>
                </w:p>
              </w:tc>
            </w:tr>
            <w:tr w14:paraId="0E0AA0B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2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5D81716">
                  <w:pPr>
                    <w:pStyle w:val="4"/>
                    <w:jc w:val="center"/>
                  </w:pPr>
                  <w:r>
                    <w:rPr>
                      <w:rFonts w:ascii="仿宋_GB2312" w:hAnsi="仿宋_GB2312" w:eastAsia="仿宋_GB2312" w:cs="仿宋_GB2312"/>
                      <w:color w:val="000000"/>
                      <w:sz w:val="24"/>
                    </w:rPr>
                    <w:t>8</w:t>
                  </w:r>
                </w:p>
              </w:tc>
              <w:tc>
                <w:tcPr>
                  <w:tcW w:w="1892" w:type="dxa"/>
                  <w:tcBorders>
                    <w:top w:val="nil"/>
                    <w:left w:val="nil"/>
                    <w:bottom w:val="single" w:color="000000" w:sz="4" w:space="0"/>
                    <w:right w:val="single" w:color="000000" w:sz="4" w:space="0"/>
                  </w:tcBorders>
                  <w:tcMar>
                    <w:top w:w="0" w:type="dxa"/>
                    <w:left w:w="105" w:type="dxa"/>
                    <w:bottom w:w="0" w:type="dxa"/>
                    <w:right w:w="105" w:type="dxa"/>
                  </w:tcMar>
                  <w:vAlign w:val="top"/>
                </w:tcPr>
                <w:p w14:paraId="2EFBB04E">
                  <w:pPr>
                    <w:pStyle w:val="4"/>
                    <w:jc w:val="center"/>
                  </w:pPr>
                  <w:r>
                    <w:rPr>
                      <w:rFonts w:ascii="仿宋_GB2312" w:hAnsi="仿宋_GB2312" w:eastAsia="仿宋_GB2312" w:cs="仿宋_GB2312"/>
                      <w:color w:val="000000"/>
                      <w:sz w:val="24"/>
                    </w:rPr>
                    <w:t>D社区卫生服务中心</w:t>
                  </w:r>
                </w:p>
              </w:tc>
              <w:tc>
                <w:tcPr>
                  <w:tcW w:w="1053" w:type="dxa"/>
                  <w:tcBorders>
                    <w:top w:val="nil"/>
                    <w:left w:val="nil"/>
                    <w:bottom w:val="single" w:color="000000" w:sz="4" w:space="0"/>
                    <w:right w:val="single" w:color="000000" w:sz="4" w:space="0"/>
                  </w:tcBorders>
                  <w:tcMar>
                    <w:top w:w="0" w:type="dxa"/>
                    <w:left w:w="105" w:type="dxa"/>
                    <w:bottom w:w="0" w:type="dxa"/>
                    <w:right w:w="105" w:type="dxa"/>
                  </w:tcMar>
                  <w:vAlign w:val="top"/>
                </w:tcPr>
                <w:p w14:paraId="4351C9F1">
                  <w:pPr>
                    <w:pStyle w:val="4"/>
                    <w:jc w:val="center"/>
                  </w:pPr>
                  <w:r>
                    <w:rPr>
                      <w:rFonts w:ascii="仿宋_GB2312" w:hAnsi="仿宋_GB2312" w:eastAsia="仿宋_GB2312" w:cs="仿宋_GB2312"/>
                      <w:color w:val="000000"/>
                      <w:sz w:val="24"/>
                    </w:rPr>
                    <w:t>0</w:t>
                  </w:r>
                </w:p>
              </w:tc>
              <w:tc>
                <w:tcPr>
                  <w:tcW w:w="1053" w:type="dxa"/>
                  <w:tcBorders>
                    <w:top w:val="nil"/>
                    <w:left w:val="nil"/>
                    <w:bottom w:val="single" w:color="000000" w:sz="4" w:space="0"/>
                    <w:right w:val="single" w:color="000000" w:sz="4" w:space="0"/>
                  </w:tcBorders>
                  <w:tcMar>
                    <w:top w:w="0" w:type="dxa"/>
                    <w:left w:w="105" w:type="dxa"/>
                    <w:bottom w:w="0" w:type="dxa"/>
                    <w:right w:w="105" w:type="dxa"/>
                  </w:tcMar>
                  <w:vAlign w:val="top"/>
                </w:tcPr>
                <w:p w14:paraId="2A74A4BE">
                  <w:pPr>
                    <w:pStyle w:val="4"/>
                    <w:jc w:val="center"/>
                  </w:pPr>
                  <w:r>
                    <w:rPr>
                      <w:rFonts w:ascii="仿宋_GB2312" w:hAnsi="仿宋_GB2312" w:eastAsia="仿宋_GB2312" w:cs="仿宋_GB2312"/>
                      <w:color w:val="000000"/>
                      <w:sz w:val="24"/>
                    </w:rPr>
                    <w:t>69.79</w:t>
                  </w:r>
                </w:p>
              </w:tc>
              <w:tc>
                <w:tcPr>
                  <w:tcW w:w="1053" w:type="dxa"/>
                  <w:tcBorders>
                    <w:top w:val="nil"/>
                    <w:left w:val="nil"/>
                    <w:bottom w:val="single" w:color="000000" w:sz="4" w:space="0"/>
                    <w:right w:val="single" w:color="000000" w:sz="4" w:space="0"/>
                  </w:tcBorders>
                  <w:tcMar>
                    <w:top w:w="0" w:type="dxa"/>
                    <w:left w:w="105" w:type="dxa"/>
                    <w:bottom w:w="0" w:type="dxa"/>
                    <w:right w:w="105" w:type="dxa"/>
                  </w:tcMar>
                  <w:vAlign w:val="top"/>
                </w:tcPr>
                <w:p w14:paraId="6D58A60C">
                  <w:pPr>
                    <w:pStyle w:val="4"/>
                    <w:jc w:val="center"/>
                  </w:pPr>
                  <w:r>
                    <w:rPr>
                      <w:rFonts w:ascii="仿宋_GB2312" w:hAnsi="仿宋_GB2312" w:eastAsia="仿宋_GB2312" w:cs="仿宋_GB2312"/>
                      <w:color w:val="000000"/>
                      <w:sz w:val="24"/>
                    </w:rPr>
                    <w:t>68.63</w:t>
                  </w:r>
                </w:p>
              </w:tc>
            </w:tr>
            <w:tr w14:paraId="390BF1E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2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6AABCA4">
                  <w:pPr>
                    <w:pStyle w:val="4"/>
                    <w:jc w:val="center"/>
                  </w:pPr>
                  <w:r>
                    <w:rPr>
                      <w:rFonts w:ascii="仿宋_GB2312" w:hAnsi="仿宋_GB2312" w:eastAsia="仿宋_GB2312" w:cs="仿宋_GB2312"/>
                      <w:color w:val="000000"/>
                      <w:sz w:val="24"/>
                    </w:rPr>
                    <w:t>9</w:t>
                  </w:r>
                </w:p>
              </w:tc>
              <w:tc>
                <w:tcPr>
                  <w:tcW w:w="1892" w:type="dxa"/>
                  <w:tcBorders>
                    <w:top w:val="nil"/>
                    <w:left w:val="nil"/>
                    <w:bottom w:val="single" w:color="000000" w:sz="4" w:space="0"/>
                    <w:right w:val="single" w:color="000000" w:sz="4" w:space="0"/>
                  </w:tcBorders>
                  <w:tcMar>
                    <w:top w:w="0" w:type="dxa"/>
                    <w:left w:w="105" w:type="dxa"/>
                    <w:bottom w:w="0" w:type="dxa"/>
                    <w:right w:w="105" w:type="dxa"/>
                  </w:tcMar>
                  <w:vAlign w:val="top"/>
                </w:tcPr>
                <w:p w14:paraId="199EDEBC">
                  <w:pPr>
                    <w:pStyle w:val="4"/>
                    <w:jc w:val="center"/>
                  </w:pPr>
                  <w:r>
                    <w:rPr>
                      <w:rFonts w:ascii="仿宋_GB2312" w:hAnsi="仿宋_GB2312" w:eastAsia="仿宋_GB2312" w:cs="仿宋_GB2312"/>
                      <w:color w:val="000000"/>
                      <w:sz w:val="24"/>
                    </w:rPr>
                    <w:t>E镇卫生院</w:t>
                  </w:r>
                </w:p>
              </w:tc>
              <w:tc>
                <w:tcPr>
                  <w:tcW w:w="1053" w:type="dxa"/>
                  <w:tcBorders>
                    <w:top w:val="nil"/>
                    <w:left w:val="nil"/>
                    <w:bottom w:val="single" w:color="000000" w:sz="4" w:space="0"/>
                    <w:right w:val="single" w:color="000000" w:sz="4" w:space="0"/>
                  </w:tcBorders>
                  <w:tcMar>
                    <w:top w:w="0" w:type="dxa"/>
                    <w:left w:w="105" w:type="dxa"/>
                    <w:bottom w:w="0" w:type="dxa"/>
                    <w:right w:w="105" w:type="dxa"/>
                  </w:tcMar>
                  <w:vAlign w:val="top"/>
                </w:tcPr>
                <w:p w14:paraId="68380001">
                  <w:pPr>
                    <w:pStyle w:val="4"/>
                    <w:jc w:val="center"/>
                  </w:pPr>
                  <w:r>
                    <w:rPr>
                      <w:rFonts w:ascii="仿宋_GB2312" w:hAnsi="仿宋_GB2312" w:eastAsia="仿宋_GB2312" w:cs="仿宋_GB2312"/>
                      <w:color w:val="000000"/>
                      <w:sz w:val="24"/>
                    </w:rPr>
                    <w:t>0</w:t>
                  </w:r>
                </w:p>
              </w:tc>
              <w:tc>
                <w:tcPr>
                  <w:tcW w:w="1053" w:type="dxa"/>
                  <w:tcBorders>
                    <w:top w:val="nil"/>
                    <w:left w:val="nil"/>
                    <w:bottom w:val="single" w:color="000000" w:sz="4" w:space="0"/>
                    <w:right w:val="single" w:color="000000" w:sz="4" w:space="0"/>
                  </w:tcBorders>
                  <w:tcMar>
                    <w:top w:w="0" w:type="dxa"/>
                    <w:left w:w="105" w:type="dxa"/>
                    <w:bottom w:w="0" w:type="dxa"/>
                    <w:right w:w="105" w:type="dxa"/>
                  </w:tcMar>
                  <w:vAlign w:val="top"/>
                </w:tcPr>
                <w:p w14:paraId="0B79E4F6">
                  <w:pPr>
                    <w:pStyle w:val="4"/>
                    <w:jc w:val="center"/>
                  </w:pPr>
                  <w:r>
                    <w:rPr>
                      <w:rFonts w:ascii="仿宋_GB2312" w:hAnsi="仿宋_GB2312" w:eastAsia="仿宋_GB2312" w:cs="仿宋_GB2312"/>
                      <w:color w:val="000000"/>
                      <w:sz w:val="24"/>
                    </w:rPr>
                    <w:t>75.76</w:t>
                  </w:r>
                </w:p>
              </w:tc>
              <w:tc>
                <w:tcPr>
                  <w:tcW w:w="1053" w:type="dxa"/>
                  <w:tcBorders>
                    <w:top w:val="nil"/>
                    <w:left w:val="nil"/>
                    <w:bottom w:val="single" w:color="000000" w:sz="4" w:space="0"/>
                    <w:right w:val="single" w:color="000000" w:sz="4" w:space="0"/>
                  </w:tcBorders>
                  <w:tcMar>
                    <w:top w:w="0" w:type="dxa"/>
                    <w:left w:w="105" w:type="dxa"/>
                    <w:bottom w:w="0" w:type="dxa"/>
                    <w:right w:w="105" w:type="dxa"/>
                  </w:tcMar>
                  <w:vAlign w:val="top"/>
                </w:tcPr>
                <w:p w14:paraId="54283B09">
                  <w:pPr>
                    <w:pStyle w:val="4"/>
                    <w:jc w:val="center"/>
                  </w:pPr>
                  <w:r>
                    <w:rPr>
                      <w:rFonts w:ascii="仿宋_GB2312" w:hAnsi="仿宋_GB2312" w:eastAsia="仿宋_GB2312" w:cs="仿宋_GB2312"/>
                      <w:color w:val="000000"/>
                      <w:sz w:val="24"/>
                    </w:rPr>
                    <w:t>75.76</w:t>
                  </w:r>
                </w:p>
              </w:tc>
            </w:tr>
            <w:tr w14:paraId="0D68BE1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2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4275843">
                  <w:pPr>
                    <w:pStyle w:val="4"/>
                    <w:jc w:val="center"/>
                  </w:pPr>
                  <w:r>
                    <w:rPr>
                      <w:rFonts w:ascii="仿宋_GB2312" w:hAnsi="仿宋_GB2312" w:eastAsia="仿宋_GB2312" w:cs="仿宋_GB2312"/>
                      <w:color w:val="000000"/>
                      <w:sz w:val="24"/>
                    </w:rPr>
                    <w:t>10</w:t>
                  </w:r>
                </w:p>
              </w:tc>
              <w:tc>
                <w:tcPr>
                  <w:tcW w:w="1892" w:type="dxa"/>
                  <w:tcBorders>
                    <w:top w:val="nil"/>
                    <w:left w:val="nil"/>
                    <w:bottom w:val="single" w:color="000000" w:sz="4" w:space="0"/>
                    <w:right w:val="single" w:color="000000" w:sz="4" w:space="0"/>
                  </w:tcBorders>
                  <w:tcMar>
                    <w:top w:w="0" w:type="dxa"/>
                    <w:left w:w="105" w:type="dxa"/>
                    <w:bottom w:w="0" w:type="dxa"/>
                    <w:right w:w="105" w:type="dxa"/>
                  </w:tcMar>
                  <w:vAlign w:val="top"/>
                </w:tcPr>
                <w:p w14:paraId="7A7B6CFE">
                  <w:pPr>
                    <w:pStyle w:val="4"/>
                    <w:jc w:val="center"/>
                  </w:pPr>
                  <w:r>
                    <w:rPr>
                      <w:rFonts w:ascii="仿宋_GB2312" w:hAnsi="仿宋_GB2312" w:eastAsia="仿宋_GB2312" w:cs="仿宋_GB2312"/>
                      <w:color w:val="000000"/>
                      <w:sz w:val="24"/>
                    </w:rPr>
                    <w:t>F社区卫生服务中心</w:t>
                  </w:r>
                </w:p>
              </w:tc>
              <w:tc>
                <w:tcPr>
                  <w:tcW w:w="1053" w:type="dxa"/>
                  <w:tcBorders>
                    <w:top w:val="nil"/>
                    <w:left w:val="nil"/>
                    <w:bottom w:val="single" w:color="000000" w:sz="4" w:space="0"/>
                    <w:right w:val="single" w:color="000000" w:sz="4" w:space="0"/>
                  </w:tcBorders>
                  <w:tcMar>
                    <w:top w:w="0" w:type="dxa"/>
                    <w:left w:w="105" w:type="dxa"/>
                    <w:bottom w:w="0" w:type="dxa"/>
                    <w:right w:w="105" w:type="dxa"/>
                  </w:tcMar>
                  <w:vAlign w:val="top"/>
                </w:tcPr>
                <w:p w14:paraId="094D90BB">
                  <w:pPr>
                    <w:pStyle w:val="4"/>
                    <w:jc w:val="center"/>
                  </w:pPr>
                  <w:r>
                    <w:rPr>
                      <w:rFonts w:ascii="仿宋_GB2312" w:hAnsi="仿宋_GB2312" w:eastAsia="仿宋_GB2312" w:cs="仿宋_GB2312"/>
                      <w:color w:val="000000"/>
                      <w:sz w:val="24"/>
                    </w:rPr>
                    <w:t>0</w:t>
                  </w:r>
                </w:p>
              </w:tc>
              <w:tc>
                <w:tcPr>
                  <w:tcW w:w="1053" w:type="dxa"/>
                  <w:tcBorders>
                    <w:top w:val="nil"/>
                    <w:left w:val="nil"/>
                    <w:bottom w:val="single" w:color="000000" w:sz="4" w:space="0"/>
                    <w:right w:val="single" w:color="000000" w:sz="4" w:space="0"/>
                  </w:tcBorders>
                  <w:tcMar>
                    <w:top w:w="0" w:type="dxa"/>
                    <w:left w:w="105" w:type="dxa"/>
                    <w:bottom w:w="0" w:type="dxa"/>
                    <w:right w:w="105" w:type="dxa"/>
                  </w:tcMar>
                  <w:vAlign w:val="top"/>
                </w:tcPr>
                <w:p w14:paraId="7F82A7FB">
                  <w:pPr>
                    <w:pStyle w:val="4"/>
                    <w:jc w:val="center"/>
                  </w:pPr>
                  <w:r>
                    <w:rPr>
                      <w:rFonts w:ascii="仿宋_GB2312" w:hAnsi="仿宋_GB2312" w:eastAsia="仿宋_GB2312" w:cs="仿宋_GB2312"/>
                      <w:color w:val="000000"/>
                      <w:sz w:val="24"/>
                    </w:rPr>
                    <w:t>50.18</w:t>
                  </w:r>
                </w:p>
              </w:tc>
              <w:tc>
                <w:tcPr>
                  <w:tcW w:w="1053" w:type="dxa"/>
                  <w:tcBorders>
                    <w:top w:val="nil"/>
                    <w:left w:val="nil"/>
                    <w:bottom w:val="single" w:color="000000" w:sz="4" w:space="0"/>
                    <w:right w:val="single" w:color="000000" w:sz="4" w:space="0"/>
                  </w:tcBorders>
                  <w:tcMar>
                    <w:top w:w="0" w:type="dxa"/>
                    <w:left w:w="105" w:type="dxa"/>
                    <w:bottom w:w="0" w:type="dxa"/>
                    <w:right w:w="105" w:type="dxa"/>
                  </w:tcMar>
                  <w:vAlign w:val="top"/>
                </w:tcPr>
                <w:p w14:paraId="26C0C6EE">
                  <w:pPr>
                    <w:pStyle w:val="4"/>
                    <w:jc w:val="center"/>
                  </w:pPr>
                  <w:r>
                    <w:rPr>
                      <w:rFonts w:ascii="仿宋_GB2312" w:hAnsi="仿宋_GB2312" w:eastAsia="仿宋_GB2312" w:cs="仿宋_GB2312"/>
                      <w:color w:val="000000"/>
                      <w:sz w:val="24"/>
                    </w:rPr>
                    <w:t>50.18</w:t>
                  </w:r>
                </w:p>
              </w:tc>
            </w:tr>
            <w:tr w14:paraId="41F0C1E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2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E64AA0A">
                  <w:pPr>
                    <w:pStyle w:val="4"/>
                    <w:jc w:val="center"/>
                  </w:pPr>
                  <w:r>
                    <w:rPr>
                      <w:rFonts w:ascii="仿宋_GB2312" w:hAnsi="仿宋_GB2312" w:eastAsia="仿宋_GB2312" w:cs="仿宋_GB2312"/>
                      <w:color w:val="000000"/>
                      <w:sz w:val="24"/>
                    </w:rPr>
                    <w:t>11</w:t>
                  </w:r>
                </w:p>
              </w:tc>
              <w:tc>
                <w:tcPr>
                  <w:tcW w:w="1892" w:type="dxa"/>
                  <w:tcBorders>
                    <w:top w:val="nil"/>
                    <w:left w:val="nil"/>
                    <w:bottom w:val="single" w:color="000000" w:sz="4" w:space="0"/>
                    <w:right w:val="single" w:color="000000" w:sz="4" w:space="0"/>
                  </w:tcBorders>
                  <w:tcMar>
                    <w:top w:w="0" w:type="dxa"/>
                    <w:left w:w="105" w:type="dxa"/>
                    <w:bottom w:w="0" w:type="dxa"/>
                    <w:right w:w="105" w:type="dxa"/>
                  </w:tcMar>
                  <w:vAlign w:val="top"/>
                </w:tcPr>
                <w:p w14:paraId="2BF52112">
                  <w:pPr>
                    <w:pStyle w:val="4"/>
                    <w:jc w:val="center"/>
                  </w:pPr>
                  <w:r>
                    <w:rPr>
                      <w:rFonts w:ascii="仿宋_GB2312" w:hAnsi="仿宋_GB2312" w:eastAsia="仿宋_GB2312" w:cs="仿宋_GB2312"/>
                      <w:color w:val="000000"/>
                      <w:sz w:val="24"/>
                    </w:rPr>
                    <w:t>G1社区卫生服务中心</w:t>
                  </w:r>
                </w:p>
              </w:tc>
              <w:tc>
                <w:tcPr>
                  <w:tcW w:w="1053" w:type="dxa"/>
                  <w:tcBorders>
                    <w:top w:val="nil"/>
                    <w:left w:val="nil"/>
                    <w:bottom w:val="single" w:color="000000" w:sz="4" w:space="0"/>
                    <w:right w:val="single" w:color="000000" w:sz="4" w:space="0"/>
                  </w:tcBorders>
                  <w:tcMar>
                    <w:top w:w="0" w:type="dxa"/>
                    <w:left w:w="105" w:type="dxa"/>
                    <w:bottom w:w="0" w:type="dxa"/>
                    <w:right w:w="105" w:type="dxa"/>
                  </w:tcMar>
                  <w:vAlign w:val="top"/>
                </w:tcPr>
                <w:p w14:paraId="74C6B1F6">
                  <w:pPr>
                    <w:pStyle w:val="4"/>
                    <w:jc w:val="center"/>
                  </w:pPr>
                  <w:r>
                    <w:rPr>
                      <w:rFonts w:ascii="仿宋_GB2312" w:hAnsi="仿宋_GB2312" w:eastAsia="仿宋_GB2312" w:cs="仿宋_GB2312"/>
                      <w:color w:val="000000"/>
                      <w:sz w:val="24"/>
                    </w:rPr>
                    <w:t>0</w:t>
                  </w:r>
                </w:p>
              </w:tc>
              <w:tc>
                <w:tcPr>
                  <w:tcW w:w="1053" w:type="dxa"/>
                  <w:tcBorders>
                    <w:top w:val="nil"/>
                    <w:left w:val="nil"/>
                    <w:bottom w:val="single" w:color="000000" w:sz="4" w:space="0"/>
                    <w:right w:val="single" w:color="000000" w:sz="4" w:space="0"/>
                  </w:tcBorders>
                  <w:tcMar>
                    <w:top w:w="0" w:type="dxa"/>
                    <w:left w:w="105" w:type="dxa"/>
                    <w:bottom w:w="0" w:type="dxa"/>
                    <w:right w:w="105" w:type="dxa"/>
                  </w:tcMar>
                  <w:vAlign w:val="top"/>
                </w:tcPr>
                <w:p w14:paraId="0D58DFC4">
                  <w:pPr>
                    <w:pStyle w:val="4"/>
                    <w:jc w:val="center"/>
                  </w:pPr>
                  <w:r>
                    <w:rPr>
                      <w:rFonts w:ascii="仿宋_GB2312" w:hAnsi="仿宋_GB2312" w:eastAsia="仿宋_GB2312" w:cs="仿宋_GB2312"/>
                      <w:color w:val="000000"/>
                      <w:sz w:val="24"/>
                    </w:rPr>
                    <w:t>48.06</w:t>
                  </w:r>
                </w:p>
              </w:tc>
              <w:tc>
                <w:tcPr>
                  <w:tcW w:w="1053" w:type="dxa"/>
                  <w:tcBorders>
                    <w:top w:val="nil"/>
                    <w:left w:val="nil"/>
                    <w:bottom w:val="single" w:color="000000" w:sz="4" w:space="0"/>
                    <w:right w:val="single" w:color="000000" w:sz="4" w:space="0"/>
                  </w:tcBorders>
                  <w:tcMar>
                    <w:top w:w="0" w:type="dxa"/>
                    <w:left w:w="105" w:type="dxa"/>
                    <w:bottom w:w="0" w:type="dxa"/>
                    <w:right w:w="105" w:type="dxa"/>
                  </w:tcMar>
                  <w:vAlign w:val="top"/>
                </w:tcPr>
                <w:p w14:paraId="5FBAD08D">
                  <w:pPr>
                    <w:pStyle w:val="4"/>
                    <w:jc w:val="center"/>
                  </w:pPr>
                  <w:r>
                    <w:rPr>
                      <w:rFonts w:ascii="仿宋_GB2312" w:hAnsi="仿宋_GB2312" w:eastAsia="仿宋_GB2312" w:cs="仿宋_GB2312"/>
                      <w:color w:val="000000"/>
                      <w:sz w:val="24"/>
                    </w:rPr>
                    <w:t>48.06</w:t>
                  </w:r>
                </w:p>
              </w:tc>
            </w:tr>
            <w:tr w14:paraId="5C583A0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2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EAAA058">
                  <w:pPr>
                    <w:pStyle w:val="4"/>
                    <w:jc w:val="center"/>
                  </w:pPr>
                  <w:r>
                    <w:rPr>
                      <w:rFonts w:ascii="仿宋_GB2312" w:hAnsi="仿宋_GB2312" w:eastAsia="仿宋_GB2312" w:cs="仿宋_GB2312"/>
                      <w:color w:val="000000"/>
                      <w:sz w:val="24"/>
                    </w:rPr>
                    <w:t>12</w:t>
                  </w:r>
                </w:p>
              </w:tc>
              <w:tc>
                <w:tcPr>
                  <w:tcW w:w="1892" w:type="dxa"/>
                  <w:tcBorders>
                    <w:top w:val="nil"/>
                    <w:left w:val="nil"/>
                    <w:bottom w:val="single" w:color="000000" w:sz="4" w:space="0"/>
                    <w:right w:val="single" w:color="000000" w:sz="4" w:space="0"/>
                  </w:tcBorders>
                  <w:tcMar>
                    <w:top w:w="0" w:type="dxa"/>
                    <w:left w:w="105" w:type="dxa"/>
                    <w:bottom w:w="0" w:type="dxa"/>
                    <w:right w:w="105" w:type="dxa"/>
                  </w:tcMar>
                  <w:vAlign w:val="top"/>
                </w:tcPr>
                <w:p w14:paraId="7ED1979C">
                  <w:pPr>
                    <w:pStyle w:val="4"/>
                    <w:jc w:val="center"/>
                  </w:pPr>
                  <w:r>
                    <w:rPr>
                      <w:rFonts w:ascii="仿宋_GB2312" w:hAnsi="仿宋_GB2312" w:eastAsia="仿宋_GB2312" w:cs="仿宋_GB2312"/>
                      <w:color w:val="000000"/>
                      <w:sz w:val="24"/>
                    </w:rPr>
                    <w:t>G2社区卫生服务中心</w:t>
                  </w:r>
                </w:p>
              </w:tc>
              <w:tc>
                <w:tcPr>
                  <w:tcW w:w="1053" w:type="dxa"/>
                  <w:tcBorders>
                    <w:top w:val="nil"/>
                    <w:left w:val="nil"/>
                    <w:bottom w:val="single" w:color="000000" w:sz="4" w:space="0"/>
                    <w:right w:val="single" w:color="000000" w:sz="4" w:space="0"/>
                  </w:tcBorders>
                  <w:tcMar>
                    <w:top w:w="0" w:type="dxa"/>
                    <w:left w:w="105" w:type="dxa"/>
                    <w:bottom w:w="0" w:type="dxa"/>
                    <w:right w:w="105" w:type="dxa"/>
                  </w:tcMar>
                  <w:vAlign w:val="top"/>
                </w:tcPr>
                <w:p w14:paraId="6EB1991A">
                  <w:pPr>
                    <w:pStyle w:val="4"/>
                    <w:jc w:val="center"/>
                  </w:pPr>
                  <w:r>
                    <w:rPr>
                      <w:rFonts w:ascii="仿宋_GB2312" w:hAnsi="仿宋_GB2312" w:eastAsia="仿宋_GB2312" w:cs="仿宋_GB2312"/>
                      <w:color w:val="000000"/>
                      <w:sz w:val="24"/>
                    </w:rPr>
                    <w:t>0</w:t>
                  </w:r>
                </w:p>
              </w:tc>
              <w:tc>
                <w:tcPr>
                  <w:tcW w:w="1053" w:type="dxa"/>
                  <w:tcBorders>
                    <w:top w:val="nil"/>
                    <w:left w:val="nil"/>
                    <w:bottom w:val="single" w:color="000000" w:sz="4" w:space="0"/>
                    <w:right w:val="single" w:color="000000" w:sz="4" w:space="0"/>
                  </w:tcBorders>
                  <w:tcMar>
                    <w:top w:w="0" w:type="dxa"/>
                    <w:left w:w="105" w:type="dxa"/>
                    <w:bottom w:w="0" w:type="dxa"/>
                    <w:right w:w="105" w:type="dxa"/>
                  </w:tcMar>
                  <w:vAlign w:val="top"/>
                </w:tcPr>
                <w:p w14:paraId="2510E633">
                  <w:pPr>
                    <w:pStyle w:val="4"/>
                    <w:jc w:val="center"/>
                  </w:pPr>
                  <w:r>
                    <w:rPr>
                      <w:rFonts w:ascii="仿宋_GB2312" w:hAnsi="仿宋_GB2312" w:eastAsia="仿宋_GB2312" w:cs="仿宋_GB2312"/>
                      <w:color w:val="000000"/>
                      <w:sz w:val="24"/>
                    </w:rPr>
                    <w:t>47.93</w:t>
                  </w:r>
                </w:p>
              </w:tc>
              <w:tc>
                <w:tcPr>
                  <w:tcW w:w="1053" w:type="dxa"/>
                  <w:tcBorders>
                    <w:top w:val="nil"/>
                    <w:left w:val="nil"/>
                    <w:bottom w:val="single" w:color="000000" w:sz="4" w:space="0"/>
                    <w:right w:val="single" w:color="000000" w:sz="4" w:space="0"/>
                  </w:tcBorders>
                  <w:tcMar>
                    <w:top w:w="0" w:type="dxa"/>
                    <w:left w:w="105" w:type="dxa"/>
                    <w:bottom w:w="0" w:type="dxa"/>
                    <w:right w:w="105" w:type="dxa"/>
                  </w:tcMar>
                  <w:vAlign w:val="top"/>
                </w:tcPr>
                <w:p w14:paraId="15D36EAC">
                  <w:pPr>
                    <w:pStyle w:val="4"/>
                    <w:jc w:val="center"/>
                  </w:pPr>
                  <w:r>
                    <w:rPr>
                      <w:rFonts w:ascii="仿宋_GB2312" w:hAnsi="仿宋_GB2312" w:eastAsia="仿宋_GB2312" w:cs="仿宋_GB2312"/>
                      <w:color w:val="000000"/>
                      <w:sz w:val="24"/>
                    </w:rPr>
                    <w:t>47.93</w:t>
                  </w:r>
                </w:p>
              </w:tc>
            </w:tr>
            <w:tr w14:paraId="210C86E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2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7D2692F">
                  <w:pPr>
                    <w:pStyle w:val="4"/>
                    <w:jc w:val="center"/>
                  </w:pPr>
                  <w:r>
                    <w:rPr>
                      <w:rFonts w:ascii="仿宋_GB2312" w:hAnsi="仿宋_GB2312" w:eastAsia="仿宋_GB2312" w:cs="仿宋_GB2312"/>
                      <w:color w:val="000000"/>
                      <w:sz w:val="24"/>
                    </w:rPr>
                    <w:t>13</w:t>
                  </w:r>
                </w:p>
              </w:tc>
              <w:tc>
                <w:tcPr>
                  <w:tcW w:w="1892" w:type="dxa"/>
                  <w:tcBorders>
                    <w:top w:val="nil"/>
                    <w:left w:val="nil"/>
                    <w:bottom w:val="single" w:color="000000" w:sz="4" w:space="0"/>
                    <w:right w:val="single" w:color="000000" w:sz="4" w:space="0"/>
                  </w:tcBorders>
                  <w:tcMar>
                    <w:top w:w="0" w:type="dxa"/>
                    <w:left w:w="105" w:type="dxa"/>
                    <w:bottom w:w="0" w:type="dxa"/>
                    <w:right w:w="105" w:type="dxa"/>
                  </w:tcMar>
                  <w:vAlign w:val="top"/>
                </w:tcPr>
                <w:p w14:paraId="3AB4A532">
                  <w:pPr>
                    <w:pStyle w:val="4"/>
                    <w:jc w:val="center"/>
                  </w:pPr>
                  <w:r>
                    <w:rPr>
                      <w:rFonts w:ascii="仿宋_GB2312" w:hAnsi="仿宋_GB2312" w:eastAsia="仿宋_GB2312" w:cs="仿宋_GB2312"/>
                      <w:color w:val="000000"/>
                      <w:sz w:val="24"/>
                    </w:rPr>
                    <w:t>G3社区卫生服务中心</w:t>
                  </w:r>
                </w:p>
              </w:tc>
              <w:tc>
                <w:tcPr>
                  <w:tcW w:w="1053" w:type="dxa"/>
                  <w:tcBorders>
                    <w:top w:val="nil"/>
                    <w:left w:val="nil"/>
                    <w:bottom w:val="single" w:color="000000" w:sz="4" w:space="0"/>
                    <w:right w:val="single" w:color="000000" w:sz="4" w:space="0"/>
                  </w:tcBorders>
                  <w:tcMar>
                    <w:top w:w="0" w:type="dxa"/>
                    <w:left w:w="105" w:type="dxa"/>
                    <w:bottom w:w="0" w:type="dxa"/>
                    <w:right w:w="105" w:type="dxa"/>
                  </w:tcMar>
                  <w:vAlign w:val="top"/>
                </w:tcPr>
                <w:p w14:paraId="231BD545">
                  <w:pPr>
                    <w:pStyle w:val="4"/>
                    <w:jc w:val="center"/>
                  </w:pPr>
                  <w:r>
                    <w:rPr>
                      <w:rFonts w:ascii="仿宋_GB2312" w:hAnsi="仿宋_GB2312" w:eastAsia="仿宋_GB2312" w:cs="仿宋_GB2312"/>
                      <w:color w:val="000000"/>
                      <w:sz w:val="24"/>
                    </w:rPr>
                    <w:t>0</w:t>
                  </w:r>
                </w:p>
              </w:tc>
              <w:tc>
                <w:tcPr>
                  <w:tcW w:w="1053" w:type="dxa"/>
                  <w:tcBorders>
                    <w:top w:val="nil"/>
                    <w:left w:val="nil"/>
                    <w:bottom w:val="single" w:color="000000" w:sz="4" w:space="0"/>
                    <w:right w:val="single" w:color="000000" w:sz="4" w:space="0"/>
                  </w:tcBorders>
                  <w:tcMar>
                    <w:top w:w="0" w:type="dxa"/>
                    <w:left w:w="105" w:type="dxa"/>
                    <w:bottom w:w="0" w:type="dxa"/>
                    <w:right w:w="105" w:type="dxa"/>
                  </w:tcMar>
                  <w:vAlign w:val="top"/>
                </w:tcPr>
                <w:p w14:paraId="579D7808">
                  <w:pPr>
                    <w:pStyle w:val="4"/>
                    <w:jc w:val="center"/>
                  </w:pPr>
                  <w:r>
                    <w:rPr>
                      <w:rFonts w:ascii="仿宋_GB2312" w:hAnsi="仿宋_GB2312" w:eastAsia="仿宋_GB2312" w:cs="仿宋_GB2312"/>
                      <w:color w:val="000000"/>
                      <w:sz w:val="24"/>
                    </w:rPr>
                    <w:t>37.99</w:t>
                  </w:r>
                </w:p>
              </w:tc>
              <w:tc>
                <w:tcPr>
                  <w:tcW w:w="1053" w:type="dxa"/>
                  <w:tcBorders>
                    <w:top w:val="nil"/>
                    <w:left w:val="nil"/>
                    <w:bottom w:val="single" w:color="000000" w:sz="4" w:space="0"/>
                    <w:right w:val="single" w:color="000000" w:sz="4" w:space="0"/>
                  </w:tcBorders>
                  <w:tcMar>
                    <w:top w:w="0" w:type="dxa"/>
                    <w:left w:w="105" w:type="dxa"/>
                    <w:bottom w:w="0" w:type="dxa"/>
                    <w:right w:w="105" w:type="dxa"/>
                  </w:tcMar>
                  <w:vAlign w:val="top"/>
                </w:tcPr>
                <w:p w14:paraId="7C427026">
                  <w:pPr>
                    <w:pStyle w:val="4"/>
                    <w:jc w:val="center"/>
                  </w:pPr>
                  <w:r>
                    <w:rPr>
                      <w:rFonts w:ascii="仿宋_GB2312" w:hAnsi="仿宋_GB2312" w:eastAsia="仿宋_GB2312" w:cs="仿宋_GB2312"/>
                      <w:color w:val="000000"/>
                      <w:sz w:val="24"/>
                    </w:rPr>
                    <w:t>37.99</w:t>
                  </w:r>
                </w:p>
              </w:tc>
            </w:tr>
            <w:tr w14:paraId="10F9E40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2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0E723AD">
                  <w:pPr>
                    <w:pStyle w:val="4"/>
                    <w:jc w:val="center"/>
                  </w:pPr>
                  <w:r>
                    <w:rPr>
                      <w:rFonts w:ascii="仿宋_GB2312" w:hAnsi="仿宋_GB2312" w:eastAsia="仿宋_GB2312" w:cs="仿宋_GB2312"/>
                      <w:color w:val="000000"/>
                      <w:sz w:val="24"/>
                    </w:rPr>
                    <w:t>14</w:t>
                  </w:r>
                </w:p>
              </w:tc>
              <w:tc>
                <w:tcPr>
                  <w:tcW w:w="1892" w:type="dxa"/>
                  <w:tcBorders>
                    <w:top w:val="nil"/>
                    <w:left w:val="nil"/>
                    <w:bottom w:val="single" w:color="000000" w:sz="4" w:space="0"/>
                    <w:right w:val="single" w:color="000000" w:sz="4" w:space="0"/>
                  </w:tcBorders>
                  <w:tcMar>
                    <w:top w:w="0" w:type="dxa"/>
                    <w:left w:w="105" w:type="dxa"/>
                    <w:bottom w:w="0" w:type="dxa"/>
                    <w:right w:w="105" w:type="dxa"/>
                  </w:tcMar>
                  <w:vAlign w:val="top"/>
                </w:tcPr>
                <w:p w14:paraId="17CFB961">
                  <w:pPr>
                    <w:pStyle w:val="4"/>
                    <w:jc w:val="center"/>
                  </w:pPr>
                  <w:r>
                    <w:rPr>
                      <w:rFonts w:ascii="仿宋_GB2312" w:hAnsi="仿宋_GB2312" w:eastAsia="仿宋_GB2312" w:cs="仿宋_GB2312"/>
                      <w:color w:val="000000"/>
                      <w:sz w:val="24"/>
                    </w:rPr>
                    <w:t>H1社区卫生服务中心</w:t>
                  </w:r>
                </w:p>
              </w:tc>
              <w:tc>
                <w:tcPr>
                  <w:tcW w:w="1053" w:type="dxa"/>
                  <w:tcBorders>
                    <w:top w:val="nil"/>
                    <w:left w:val="nil"/>
                    <w:bottom w:val="single" w:color="000000" w:sz="4" w:space="0"/>
                    <w:right w:val="single" w:color="000000" w:sz="4" w:space="0"/>
                  </w:tcBorders>
                  <w:tcMar>
                    <w:top w:w="0" w:type="dxa"/>
                    <w:left w:w="105" w:type="dxa"/>
                    <w:bottom w:w="0" w:type="dxa"/>
                    <w:right w:w="105" w:type="dxa"/>
                  </w:tcMar>
                  <w:vAlign w:val="top"/>
                </w:tcPr>
                <w:p w14:paraId="27A2F5CE">
                  <w:pPr>
                    <w:pStyle w:val="4"/>
                    <w:jc w:val="center"/>
                  </w:pPr>
                  <w:r>
                    <w:rPr>
                      <w:rFonts w:ascii="仿宋_GB2312" w:hAnsi="仿宋_GB2312" w:eastAsia="仿宋_GB2312" w:cs="仿宋_GB2312"/>
                      <w:color w:val="000000"/>
                      <w:sz w:val="24"/>
                    </w:rPr>
                    <w:t>0</w:t>
                  </w:r>
                </w:p>
              </w:tc>
              <w:tc>
                <w:tcPr>
                  <w:tcW w:w="1053" w:type="dxa"/>
                  <w:tcBorders>
                    <w:top w:val="nil"/>
                    <w:left w:val="nil"/>
                    <w:bottom w:val="single" w:color="000000" w:sz="4" w:space="0"/>
                    <w:right w:val="single" w:color="000000" w:sz="4" w:space="0"/>
                  </w:tcBorders>
                  <w:tcMar>
                    <w:top w:w="0" w:type="dxa"/>
                    <w:left w:w="105" w:type="dxa"/>
                    <w:bottom w:w="0" w:type="dxa"/>
                    <w:right w:w="105" w:type="dxa"/>
                  </w:tcMar>
                  <w:vAlign w:val="top"/>
                </w:tcPr>
                <w:p w14:paraId="71F6EE50">
                  <w:pPr>
                    <w:pStyle w:val="4"/>
                    <w:jc w:val="center"/>
                  </w:pPr>
                  <w:r>
                    <w:rPr>
                      <w:rFonts w:ascii="仿宋_GB2312" w:hAnsi="仿宋_GB2312" w:eastAsia="仿宋_GB2312" w:cs="仿宋_GB2312"/>
                      <w:color w:val="000000"/>
                      <w:sz w:val="24"/>
                    </w:rPr>
                    <w:t>61.29</w:t>
                  </w:r>
                </w:p>
              </w:tc>
              <w:tc>
                <w:tcPr>
                  <w:tcW w:w="1053" w:type="dxa"/>
                  <w:tcBorders>
                    <w:top w:val="nil"/>
                    <w:left w:val="nil"/>
                    <w:bottom w:val="single" w:color="000000" w:sz="4" w:space="0"/>
                    <w:right w:val="single" w:color="000000" w:sz="4" w:space="0"/>
                  </w:tcBorders>
                  <w:tcMar>
                    <w:top w:w="0" w:type="dxa"/>
                    <w:left w:w="105" w:type="dxa"/>
                    <w:bottom w:w="0" w:type="dxa"/>
                    <w:right w:w="105" w:type="dxa"/>
                  </w:tcMar>
                  <w:vAlign w:val="top"/>
                </w:tcPr>
                <w:p w14:paraId="5D8636DB">
                  <w:pPr>
                    <w:pStyle w:val="4"/>
                    <w:jc w:val="center"/>
                  </w:pPr>
                  <w:r>
                    <w:rPr>
                      <w:rFonts w:ascii="仿宋_GB2312" w:hAnsi="仿宋_GB2312" w:eastAsia="仿宋_GB2312" w:cs="仿宋_GB2312"/>
                      <w:color w:val="000000"/>
                      <w:sz w:val="24"/>
                    </w:rPr>
                    <w:t>61.29</w:t>
                  </w:r>
                </w:p>
              </w:tc>
            </w:tr>
            <w:tr w14:paraId="0C09C7A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2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7E25991">
                  <w:pPr>
                    <w:pStyle w:val="4"/>
                    <w:jc w:val="center"/>
                  </w:pPr>
                  <w:r>
                    <w:rPr>
                      <w:rFonts w:ascii="仿宋_GB2312" w:hAnsi="仿宋_GB2312" w:eastAsia="仿宋_GB2312" w:cs="仿宋_GB2312"/>
                      <w:color w:val="000000"/>
                      <w:sz w:val="24"/>
                    </w:rPr>
                    <w:t>15</w:t>
                  </w:r>
                </w:p>
              </w:tc>
              <w:tc>
                <w:tcPr>
                  <w:tcW w:w="1892" w:type="dxa"/>
                  <w:tcBorders>
                    <w:top w:val="nil"/>
                    <w:left w:val="nil"/>
                    <w:bottom w:val="single" w:color="000000" w:sz="4" w:space="0"/>
                    <w:right w:val="single" w:color="000000" w:sz="4" w:space="0"/>
                  </w:tcBorders>
                  <w:tcMar>
                    <w:top w:w="0" w:type="dxa"/>
                    <w:left w:w="105" w:type="dxa"/>
                    <w:bottom w:w="0" w:type="dxa"/>
                    <w:right w:w="105" w:type="dxa"/>
                  </w:tcMar>
                  <w:vAlign w:val="top"/>
                </w:tcPr>
                <w:p w14:paraId="51E6AAEE">
                  <w:pPr>
                    <w:pStyle w:val="4"/>
                    <w:jc w:val="center"/>
                  </w:pPr>
                  <w:r>
                    <w:rPr>
                      <w:rFonts w:ascii="仿宋_GB2312" w:hAnsi="仿宋_GB2312" w:eastAsia="仿宋_GB2312" w:cs="仿宋_GB2312"/>
                      <w:color w:val="000000"/>
                      <w:sz w:val="24"/>
                    </w:rPr>
                    <w:t>H2社区卫生服务中心</w:t>
                  </w:r>
                </w:p>
              </w:tc>
              <w:tc>
                <w:tcPr>
                  <w:tcW w:w="1053" w:type="dxa"/>
                  <w:tcBorders>
                    <w:top w:val="nil"/>
                    <w:left w:val="nil"/>
                    <w:bottom w:val="single" w:color="000000" w:sz="4" w:space="0"/>
                    <w:right w:val="single" w:color="000000" w:sz="4" w:space="0"/>
                  </w:tcBorders>
                  <w:tcMar>
                    <w:top w:w="0" w:type="dxa"/>
                    <w:left w:w="105" w:type="dxa"/>
                    <w:bottom w:w="0" w:type="dxa"/>
                    <w:right w:w="105" w:type="dxa"/>
                  </w:tcMar>
                  <w:vAlign w:val="top"/>
                </w:tcPr>
                <w:p w14:paraId="76A4B30F">
                  <w:pPr>
                    <w:pStyle w:val="4"/>
                    <w:jc w:val="center"/>
                  </w:pPr>
                  <w:r>
                    <w:rPr>
                      <w:rFonts w:ascii="仿宋_GB2312" w:hAnsi="仿宋_GB2312" w:eastAsia="仿宋_GB2312" w:cs="仿宋_GB2312"/>
                      <w:color w:val="000000"/>
                      <w:sz w:val="24"/>
                    </w:rPr>
                    <w:t>0</w:t>
                  </w:r>
                </w:p>
              </w:tc>
              <w:tc>
                <w:tcPr>
                  <w:tcW w:w="1053" w:type="dxa"/>
                  <w:tcBorders>
                    <w:top w:val="nil"/>
                    <w:left w:val="nil"/>
                    <w:bottom w:val="single" w:color="000000" w:sz="4" w:space="0"/>
                    <w:right w:val="single" w:color="000000" w:sz="4" w:space="0"/>
                  </w:tcBorders>
                  <w:tcMar>
                    <w:top w:w="0" w:type="dxa"/>
                    <w:left w:w="105" w:type="dxa"/>
                    <w:bottom w:w="0" w:type="dxa"/>
                    <w:right w:w="105" w:type="dxa"/>
                  </w:tcMar>
                  <w:vAlign w:val="top"/>
                </w:tcPr>
                <w:p w14:paraId="3BD365A2">
                  <w:pPr>
                    <w:pStyle w:val="4"/>
                    <w:jc w:val="center"/>
                  </w:pPr>
                  <w:r>
                    <w:rPr>
                      <w:rFonts w:ascii="仿宋_GB2312" w:hAnsi="仿宋_GB2312" w:eastAsia="仿宋_GB2312" w:cs="仿宋_GB2312"/>
                      <w:color w:val="000000"/>
                      <w:sz w:val="24"/>
                    </w:rPr>
                    <w:t>58.51</w:t>
                  </w:r>
                </w:p>
              </w:tc>
              <w:tc>
                <w:tcPr>
                  <w:tcW w:w="1053" w:type="dxa"/>
                  <w:tcBorders>
                    <w:top w:val="nil"/>
                    <w:left w:val="nil"/>
                    <w:bottom w:val="single" w:color="000000" w:sz="4" w:space="0"/>
                    <w:right w:val="single" w:color="000000" w:sz="4" w:space="0"/>
                  </w:tcBorders>
                  <w:tcMar>
                    <w:top w:w="0" w:type="dxa"/>
                    <w:left w:w="105" w:type="dxa"/>
                    <w:bottom w:w="0" w:type="dxa"/>
                    <w:right w:w="105" w:type="dxa"/>
                  </w:tcMar>
                  <w:vAlign w:val="top"/>
                </w:tcPr>
                <w:p w14:paraId="34D7F211">
                  <w:pPr>
                    <w:pStyle w:val="4"/>
                    <w:jc w:val="center"/>
                  </w:pPr>
                  <w:r>
                    <w:rPr>
                      <w:rFonts w:ascii="仿宋_GB2312" w:hAnsi="仿宋_GB2312" w:eastAsia="仿宋_GB2312" w:cs="仿宋_GB2312"/>
                      <w:color w:val="000000"/>
                      <w:sz w:val="24"/>
                    </w:rPr>
                    <w:t>58.51</w:t>
                  </w:r>
                </w:p>
              </w:tc>
            </w:tr>
            <w:tr w14:paraId="74E2EE1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2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36BA4DB">
                  <w:pPr>
                    <w:pStyle w:val="4"/>
                    <w:jc w:val="center"/>
                  </w:pPr>
                  <w:r>
                    <w:rPr>
                      <w:rFonts w:ascii="仿宋_GB2312" w:hAnsi="仿宋_GB2312" w:eastAsia="仿宋_GB2312" w:cs="仿宋_GB2312"/>
                      <w:color w:val="000000"/>
                      <w:sz w:val="24"/>
                    </w:rPr>
                    <w:t>16</w:t>
                  </w:r>
                </w:p>
              </w:tc>
              <w:tc>
                <w:tcPr>
                  <w:tcW w:w="1892" w:type="dxa"/>
                  <w:tcBorders>
                    <w:top w:val="nil"/>
                    <w:left w:val="nil"/>
                    <w:bottom w:val="single" w:color="000000" w:sz="4" w:space="0"/>
                    <w:right w:val="single" w:color="000000" w:sz="4" w:space="0"/>
                  </w:tcBorders>
                  <w:tcMar>
                    <w:top w:w="0" w:type="dxa"/>
                    <w:left w:w="105" w:type="dxa"/>
                    <w:bottom w:w="0" w:type="dxa"/>
                    <w:right w:w="105" w:type="dxa"/>
                  </w:tcMar>
                  <w:vAlign w:val="top"/>
                </w:tcPr>
                <w:p w14:paraId="74C85EA2">
                  <w:pPr>
                    <w:pStyle w:val="4"/>
                    <w:jc w:val="center"/>
                  </w:pPr>
                  <w:r>
                    <w:rPr>
                      <w:rFonts w:ascii="仿宋_GB2312" w:hAnsi="仿宋_GB2312" w:eastAsia="仿宋_GB2312" w:cs="仿宋_GB2312"/>
                      <w:color w:val="000000"/>
                      <w:sz w:val="24"/>
                    </w:rPr>
                    <w:t>I1社区卫生服务中心</w:t>
                  </w:r>
                </w:p>
              </w:tc>
              <w:tc>
                <w:tcPr>
                  <w:tcW w:w="1053" w:type="dxa"/>
                  <w:tcBorders>
                    <w:top w:val="nil"/>
                    <w:left w:val="nil"/>
                    <w:bottom w:val="single" w:color="000000" w:sz="4" w:space="0"/>
                    <w:right w:val="single" w:color="000000" w:sz="4" w:space="0"/>
                  </w:tcBorders>
                  <w:tcMar>
                    <w:top w:w="0" w:type="dxa"/>
                    <w:left w:w="105" w:type="dxa"/>
                    <w:bottom w:w="0" w:type="dxa"/>
                    <w:right w:w="105" w:type="dxa"/>
                  </w:tcMar>
                  <w:vAlign w:val="top"/>
                </w:tcPr>
                <w:p w14:paraId="00696DA2">
                  <w:pPr>
                    <w:pStyle w:val="4"/>
                    <w:jc w:val="center"/>
                  </w:pPr>
                  <w:r>
                    <w:rPr>
                      <w:rFonts w:ascii="仿宋_GB2312" w:hAnsi="仿宋_GB2312" w:eastAsia="仿宋_GB2312" w:cs="仿宋_GB2312"/>
                      <w:color w:val="000000"/>
                      <w:sz w:val="24"/>
                    </w:rPr>
                    <w:t>0</w:t>
                  </w:r>
                </w:p>
              </w:tc>
              <w:tc>
                <w:tcPr>
                  <w:tcW w:w="1053" w:type="dxa"/>
                  <w:tcBorders>
                    <w:top w:val="nil"/>
                    <w:left w:val="nil"/>
                    <w:bottom w:val="single" w:color="000000" w:sz="4" w:space="0"/>
                    <w:right w:val="single" w:color="000000" w:sz="4" w:space="0"/>
                  </w:tcBorders>
                  <w:tcMar>
                    <w:top w:w="0" w:type="dxa"/>
                    <w:left w:w="105" w:type="dxa"/>
                    <w:bottom w:w="0" w:type="dxa"/>
                    <w:right w:w="105" w:type="dxa"/>
                  </w:tcMar>
                  <w:vAlign w:val="top"/>
                </w:tcPr>
                <w:p w14:paraId="732A2160">
                  <w:pPr>
                    <w:pStyle w:val="4"/>
                    <w:jc w:val="center"/>
                  </w:pPr>
                  <w:r>
                    <w:rPr>
                      <w:rFonts w:ascii="仿宋_GB2312" w:hAnsi="仿宋_GB2312" w:eastAsia="仿宋_GB2312" w:cs="仿宋_GB2312"/>
                      <w:color w:val="000000"/>
                      <w:sz w:val="24"/>
                    </w:rPr>
                    <w:t>50.19</w:t>
                  </w:r>
                </w:p>
              </w:tc>
              <w:tc>
                <w:tcPr>
                  <w:tcW w:w="1053" w:type="dxa"/>
                  <w:tcBorders>
                    <w:top w:val="nil"/>
                    <w:left w:val="nil"/>
                    <w:bottom w:val="single" w:color="000000" w:sz="4" w:space="0"/>
                    <w:right w:val="single" w:color="000000" w:sz="4" w:space="0"/>
                  </w:tcBorders>
                  <w:tcMar>
                    <w:top w:w="0" w:type="dxa"/>
                    <w:left w:w="105" w:type="dxa"/>
                    <w:bottom w:w="0" w:type="dxa"/>
                    <w:right w:w="105" w:type="dxa"/>
                  </w:tcMar>
                  <w:vAlign w:val="top"/>
                </w:tcPr>
                <w:p w14:paraId="6764D454">
                  <w:pPr>
                    <w:pStyle w:val="4"/>
                    <w:jc w:val="center"/>
                  </w:pPr>
                  <w:r>
                    <w:rPr>
                      <w:rFonts w:ascii="仿宋_GB2312" w:hAnsi="仿宋_GB2312" w:eastAsia="仿宋_GB2312" w:cs="仿宋_GB2312"/>
                      <w:color w:val="000000"/>
                      <w:sz w:val="24"/>
                    </w:rPr>
                    <w:t>50.19</w:t>
                  </w:r>
                </w:p>
              </w:tc>
            </w:tr>
            <w:tr w14:paraId="756B027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2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E564FE8">
                  <w:pPr>
                    <w:pStyle w:val="4"/>
                    <w:jc w:val="center"/>
                  </w:pPr>
                  <w:r>
                    <w:rPr>
                      <w:rFonts w:ascii="仿宋_GB2312" w:hAnsi="仿宋_GB2312" w:eastAsia="仿宋_GB2312" w:cs="仿宋_GB2312"/>
                      <w:color w:val="000000"/>
                      <w:sz w:val="24"/>
                    </w:rPr>
                    <w:t>17</w:t>
                  </w:r>
                </w:p>
              </w:tc>
              <w:tc>
                <w:tcPr>
                  <w:tcW w:w="1892" w:type="dxa"/>
                  <w:tcBorders>
                    <w:top w:val="nil"/>
                    <w:left w:val="nil"/>
                    <w:bottom w:val="single" w:color="000000" w:sz="4" w:space="0"/>
                    <w:right w:val="single" w:color="000000" w:sz="4" w:space="0"/>
                  </w:tcBorders>
                  <w:tcMar>
                    <w:top w:w="0" w:type="dxa"/>
                    <w:left w:w="105" w:type="dxa"/>
                    <w:bottom w:w="0" w:type="dxa"/>
                    <w:right w:w="105" w:type="dxa"/>
                  </w:tcMar>
                  <w:vAlign w:val="top"/>
                </w:tcPr>
                <w:p w14:paraId="0187FD84">
                  <w:pPr>
                    <w:pStyle w:val="4"/>
                    <w:jc w:val="center"/>
                  </w:pPr>
                  <w:r>
                    <w:rPr>
                      <w:rFonts w:ascii="仿宋_GB2312" w:hAnsi="仿宋_GB2312" w:eastAsia="仿宋_GB2312" w:cs="仿宋_GB2312"/>
                      <w:color w:val="000000"/>
                      <w:sz w:val="24"/>
                    </w:rPr>
                    <w:t>I2社区卫生服务中心</w:t>
                  </w:r>
                </w:p>
              </w:tc>
              <w:tc>
                <w:tcPr>
                  <w:tcW w:w="1053" w:type="dxa"/>
                  <w:tcBorders>
                    <w:top w:val="nil"/>
                    <w:left w:val="nil"/>
                    <w:bottom w:val="single" w:color="000000" w:sz="4" w:space="0"/>
                    <w:right w:val="single" w:color="000000" w:sz="4" w:space="0"/>
                  </w:tcBorders>
                  <w:tcMar>
                    <w:top w:w="0" w:type="dxa"/>
                    <w:left w:w="105" w:type="dxa"/>
                    <w:bottom w:w="0" w:type="dxa"/>
                    <w:right w:w="105" w:type="dxa"/>
                  </w:tcMar>
                  <w:vAlign w:val="top"/>
                </w:tcPr>
                <w:p w14:paraId="46DFA7A9">
                  <w:pPr>
                    <w:pStyle w:val="4"/>
                    <w:jc w:val="center"/>
                  </w:pPr>
                  <w:r>
                    <w:rPr>
                      <w:rFonts w:ascii="仿宋_GB2312" w:hAnsi="仿宋_GB2312" w:eastAsia="仿宋_GB2312" w:cs="仿宋_GB2312"/>
                      <w:color w:val="000000"/>
                      <w:sz w:val="24"/>
                    </w:rPr>
                    <w:t>0</w:t>
                  </w:r>
                </w:p>
              </w:tc>
              <w:tc>
                <w:tcPr>
                  <w:tcW w:w="1053" w:type="dxa"/>
                  <w:tcBorders>
                    <w:top w:val="nil"/>
                    <w:left w:val="nil"/>
                    <w:bottom w:val="single" w:color="000000" w:sz="4" w:space="0"/>
                    <w:right w:val="single" w:color="000000" w:sz="4" w:space="0"/>
                  </w:tcBorders>
                  <w:tcMar>
                    <w:top w:w="0" w:type="dxa"/>
                    <w:left w:w="105" w:type="dxa"/>
                    <w:bottom w:w="0" w:type="dxa"/>
                    <w:right w:w="105" w:type="dxa"/>
                  </w:tcMar>
                  <w:vAlign w:val="top"/>
                </w:tcPr>
                <w:p w14:paraId="38D324E8">
                  <w:pPr>
                    <w:pStyle w:val="4"/>
                    <w:jc w:val="center"/>
                  </w:pPr>
                  <w:r>
                    <w:rPr>
                      <w:rFonts w:ascii="仿宋_GB2312" w:hAnsi="仿宋_GB2312" w:eastAsia="仿宋_GB2312" w:cs="仿宋_GB2312"/>
                      <w:color w:val="000000"/>
                      <w:sz w:val="24"/>
                    </w:rPr>
                    <w:t>44.75</w:t>
                  </w:r>
                </w:p>
              </w:tc>
              <w:tc>
                <w:tcPr>
                  <w:tcW w:w="1053" w:type="dxa"/>
                  <w:tcBorders>
                    <w:top w:val="nil"/>
                    <w:left w:val="nil"/>
                    <w:bottom w:val="single" w:color="000000" w:sz="4" w:space="0"/>
                    <w:right w:val="single" w:color="000000" w:sz="4" w:space="0"/>
                  </w:tcBorders>
                  <w:tcMar>
                    <w:top w:w="0" w:type="dxa"/>
                    <w:left w:w="105" w:type="dxa"/>
                    <w:bottom w:w="0" w:type="dxa"/>
                    <w:right w:w="105" w:type="dxa"/>
                  </w:tcMar>
                  <w:vAlign w:val="top"/>
                </w:tcPr>
                <w:p w14:paraId="261546F9">
                  <w:pPr>
                    <w:pStyle w:val="4"/>
                    <w:jc w:val="center"/>
                  </w:pPr>
                  <w:r>
                    <w:rPr>
                      <w:rFonts w:ascii="仿宋_GB2312" w:hAnsi="仿宋_GB2312" w:eastAsia="仿宋_GB2312" w:cs="仿宋_GB2312"/>
                      <w:color w:val="000000"/>
                      <w:sz w:val="24"/>
                    </w:rPr>
                    <w:t>44.75</w:t>
                  </w:r>
                </w:p>
              </w:tc>
            </w:tr>
            <w:tr w14:paraId="2E007F8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413" w:type="dxa"/>
                  <w:gridSpan w:val="2"/>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75248C2">
                  <w:pPr>
                    <w:pStyle w:val="4"/>
                    <w:jc w:val="center"/>
                  </w:pPr>
                  <w:r>
                    <w:rPr>
                      <w:rFonts w:ascii="仿宋_GB2312" w:hAnsi="仿宋_GB2312" w:eastAsia="仿宋_GB2312" w:cs="仿宋_GB2312"/>
                      <w:color w:val="000000"/>
                      <w:sz w:val="24"/>
                    </w:rPr>
                    <w:t>合计</w:t>
                  </w:r>
                </w:p>
              </w:tc>
              <w:tc>
                <w:tcPr>
                  <w:tcW w:w="1053" w:type="dxa"/>
                  <w:tcBorders>
                    <w:top w:val="nil"/>
                    <w:left w:val="nil"/>
                    <w:bottom w:val="single" w:color="000000" w:sz="4" w:space="0"/>
                    <w:right w:val="single" w:color="000000" w:sz="4" w:space="0"/>
                  </w:tcBorders>
                  <w:tcMar>
                    <w:top w:w="0" w:type="dxa"/>
                    <w:left w:w="105" w:type="dxa"/>
                    <w:bottom w:w="0" w:type="dxa"/>
                    <w:right w:w="105" w:type="dxa"/>
                  </w:tcMar>
                  <w:vAlign w:val="top"/>
                </w:tcPr>
                <w:p w14:paraId="1E18CFFD">
                  <w:pPr>
                    <w:pStyle w:val="4"/>
                    <w:jc w:val="center"/>
                  </w:pPr>
                  <w:r>
                    <w:rPr>
                      <w:rFonts w:ascii="仿宋_GB2312" w:hAnsi="仿宋_GB2312" w:eastAsia="仿宋_GB2312" w:cs="仿宋_GB2312"/>
                      <w:color w:val="000000"/>
                      <w:sz w:val="24"/>
                    </w:rPr>
                    <w:t xml:space="preserve"> 1,000.00</w:t>
                  </w:r>
                </w:p>
              </w:tc>
              <w:tc>
                <w:tcPr>
                  <w:tcW w:w="1053" w:type="dxa"/>
                  <w:tcBorders>
                    <w:top w:val="nil"/>
                    <w:left w:val="nil"/>
                    <w:bottom w:val="single" w:color="000000" w:sz="4" w:space="0"/>
                    <w:right w:val="single" w:color="000000" w:sz="4" w:space="0"/>
                  </w:tcBorders>
                  <w:tcMar>
                    <w:top w:w="0" w:type="dxa"/>
                    <w:left w:w="105" w:type="dxa"/>
                    <w:bottom w:w="0" w:type="dxa"/>
                    <w:right w:w="105" w:type="dxa"/>
                  </w:tcMar>
                  <w:vAlign w:val="top"/>
                </w:tcPr>
                <w:p w14:paraId="74CEB186">
                  <w:pPr>
                    <w:pStyle w:val="4"/>
                    <w:jc w:val="center"/>
                  </w:pPr>
                  <w:r>
                    <w:rPr>
                      <w:rFonts w:ascii="仿宋_GB2312" w:hAnsi="仿宋_GB2312" w:eastAsia="仿宋_GB2312" w:cs="仿宋_GB2312"/>
                      <w:color w:val="000000"/>
                      <w:sz w:val="24"/>
                    </w:rPr>
                    <w:t>800</w:t>
                  </w:r>
                </w:p>
              </w:tc>
              <w:tc>
                <w:tcPr>
                  <w:tcW w:w="1053" w:type="dxa"/>
                  <w:tcBorders>
                    <w:top w:val="nil"/>
                    <w:left w:val="nil"/>
                    <w:bottom w:val="single" w:color="000000" w:sz="4" w:space="0"/>
                    <w:right w:val="single" w:color="000000" w:sz="4" w:space="0"/>
                  </w:tcBorders>
                  <w:tcMar>
                    <w:top w:w="0" w:type="dxa"/>
                    <w:left w:w="105" w:type="dxa"/>
                    <w:bottom w:w="0" w:type="dxa"/>
                    <w:right w:w="105" w:type="dxa"/>
                  </w:tcMar>
                  <w:vAlign w:val="top"/>
                </w:tcPr>
                <w:p w14:paraId="32B57D05">
                  <w:pPr>
                    <w:pStyle w:val="4"/>
                    <w:jc w:val="center"/>
                  </w:pPr>
                  <w:r>
                    <w:rPr>
                      <w:rFonts w:ascii="仿宋_GB2312" w:hAnsi="仿宋_GB2312" w:eastAsia="仿宋_GB2312" w:cs="仿宋_GB2312"/>
                      <w:color w:val="000000"/>
                      <w:sz w:val="24"/>
                    </w:rPr>
                    <w:t>798.84</w:t>
                  </w:r>
                </w:p>
              </w:tc>
            </w:tr>
          </w:tbl>
          <w:p w14:paraId="0F6AD018">
            <w:pPr>
              <w:pStyle w:val="4"/>
              <w:ind w:firstLine="472"/>
              <w:jc w:val="left"/>
            </w:pPr>
            <w:r>
              <w:rPr>
                <w:rFonts w:ascii="仿宋_GB2312" w:hAnsi="仿宋_GB2312" w:eastAsia="仿宋_GB2312" w:cs="仿宋_GB2312"/>
                <w:color w:val="000000"/>
                <w:sz w:val="24"/>
              </w:rPr>
              <w:t>5.项目总体目标</w:t>
            </w:r>
          </w:p>
          <w:p w14:paraId="13BE3993">
            <w:pPr>
              <w:pStyle w:val="4"/>
              <w:ind w:firstLine="472"/>
              <w:jc w:val="left"/>
            </w:pPr>
            <w:r>
              <w:rPr>
                <w:rFonts w:ascii="仿宋_GB2312" w:hAnsi="仿宋_GB2312" w:eastAsia="仿宋_GB2312" w:cs="仿宋_GB2312"/>
                <w:color w:val="000000"/>
                <w:sz w:val="24"/>
              </w:rPr>
              <w:t>该卫生健康领域发展资金财政支出项目，旨在培育不少于15个基层医疗卫生机构特色科室，完成专用设备采购、病区改造维修及公共卫生楼室内装修等建设任务，确保项目启动、设备采购等工作100%及时开展，各类项目验收合格率、工程质量达标率等均达100%，以提升样本检测效率超30%、基本药物库存结余率超5%，健全设备后续管理维护等机制，保障基层特色科室长期运营及基层医疗卫生机构长效激励，最终实现患者及基层医疗卫生机构对考核分配满意度均超85%。</w:t>
            </w:r>
          </w:p>
          <w:p w14:paraId="568FE67E">
            <w:pPr>
              <w:pStyle w:val="4"/>
              <w:ind w:firstLine="472"/>
              <w:jc w:val="left"/>
            </w:pPr>
            <w:r>
              <w:rPr>
                <w:rFonts w:ascii="仿宋_GB2312" w:hAnsi="仿宋_GB2312" w:eastAsia="仿宋_GB2312" w:cs="仿宋_GB2312"/>
                <w:color w:val="000000"/>
                <w:sz w:val="24"/>
              </w:rPr>
              <w:t>模拟方案设计要求：</w:t>
            </w:r>
          </w:p>
          <w:p w14:paraId="27DF3282">
            <w:pPr>
              <w:pStyle w:val="4"/>
              <w:ind w:firstLine="472"/>
              <w:jc w:val="left"/>
            </w:pPr>
            <w:r>
              <w:rPr>
                <w:rFonts w:ascii="仿宋_GB2312" w:hAnsi="仿宋_GB2312" w:eastAsia="仿宋_GB2312" w:cs="仿宋_GB2312"/>
                <w:color w:val="000000"/>
                <w:sz w:val="24"/>
              </w:rPr>
              <w:t>（1）根据上述材料，由供应商以表格形式从项目产出和效果两个维度设定被评价项目个性指标。个性指标应包括指标名称、指标解释、评分方法、评分说明、评价方式、评价属性、评价标准等。</w:t>
            </w:r>
          </w:p>
          <w:p w14:paraId="0FE9E93F">
            <w:pPr>
              <w:pStyle w:val="4"/>
              <w:jc w:val="both"/>
            </w:pPr>
            <w:r>
              <w:rPr>
                <w:rFonts w:ascii="仿宋_GB2312" w:hAnsi="仿宋_GB2312" w:eastAsia="仿宋_GB2312" w:cs="仿宋_GB2312"/>
                <w:color w:val="000000"/>
                <w:sz w:val="24"/>
              </w:rPr>
              <w:t>（2）根据上述材料，由供应商撰写“卫生健康领域发展资金项目”支出绩效评价工作实施方案，方案应包含项目概况、绩效目标、项目预算及资金使用情况、评价重点、评价指标体系及评价点位、评价工作实施、质量控制措施等内容。</w:t>
            </w:r>
          </w:p>
          <w:p w14:paraId="61512A1C">
            <w:pPr>
              <w:pStyle w:val="4"/>
              <w:spacing w:after="120"/>
              <w:ind w:firstLine="422"/>
              <w:jc w:val="both"/>
            </w:pPr>
            <w:r>
              <w:rPr>
                <w:rFonts w:ascii="仿宋_GB2312" w:hAnsi="仿宋_GB2312" w:eastAsia="仿宋_GB2312" w:cs="仿宋_GB2312"/>
              </w:rPr>
              <w:t xml:space="preserve"> </w:t>
            </w:r>
          </w:p>
          <w:p w14:paraId="4C30A536">
            <w:pPr>
              <w:pStyle w:val="4"/>
              <w:jc w:val="left"/>
            </w:pPr>
            <w:r>
              <w:rPr>
                <w:rFonts w:ascii="仿宋_GB2312" w:hAnsi="仿宋_GB2312" w:eastAsia="仿宋_GB2312" w:cs="仿宋_GB2312"/>
              </w:rPr>
              <w:t xml:space="preserve"> </w:t>
            </w:r>
          </w:p>
        </w:tc>
      </w:tr>
    </w:tbl>
    <w:p w14:paraId="0BB73B82">
      <w:pPr>
        <w:pStyle w:val="4"/>
        <w:jc w:val="left"/>
        <w:outlineLvl w:val="2"/>
      </w:pPr>
      <w:r>
        <w:rPr>
          <w:rFonts w:ascii="仿宋_GB2312" w:hAnsi="仿宋_GB2312" w:eastAsia="仿宋_GB2312" w:cs="仿宋_GB2312"/>
          <w:b/>
          <w:sz w:val="28"/>
        </w:rPr>
        <w:t>3.3.服务要求</w:t>
      </w:r>
    </w:p>
    <w:p w14:paraId="7BEBCFDD">
      <w:pPr>
        <w:pStyle w:val="4"/>
        <w:jc w:val="left"/>
        <w:outlineLvl w:val="3"/>
      </w:pPr>
      <w:r>
        <w:rPr>
          <w:rFonts w:ascii="仿宋_GB2312" w:hAnsi="仿宋_GB2312" w:eastAsia="仿宋_GB2312" w:cs="仿宋_GB2312"/>
          <w:b/>
          <w:sz w:val="24"/>
        </w:rPr>
        <w:t>3.3.1服务内容要求</w:t>
      </w:r>
    </w:p>
    <w:p w14:paraId="0680F8CD">
      <w:pPr>
        <w:pStyle w:val="4"/>
        <w:jc w:val="left"/>
      </w:pPr>
      <w:r>
        <w:rPr>
          <w:rFonts w:ascii="仿宋_GB2312" w:hAnsi="仿宋_GB2312" w:eastAsia="仿宋_GB2312" w:cs="仿宋_GB2312"/>
        </w:rPr>
        <w:t>采购包1：</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581"/>
        <w:gridCol w:w="1495"/>
        <w:gridCol w:w="5814"/>
      </w:tblGrid>
      <w:tr w14:paraId="516AF2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6419D298">
            <w:pPr>
              <w:pStyle w:val="4"/>
              <w:jc w:val="center"/>
            </w:pPr>
            <w:r>
              <w:rPr>
                <w:rFonts w:ascii="仿宋_GB2312" w:hAnsi="仿宋_GB2312" w:eastAsia="仿宋_GB2312" w:cs="仿宋_GB2312"/>
              </w:rPr>
              <w:t xml:space="preserve"> 序号</w:t>
            </w:r>
          </w:p>
        </w:tc>
        <w:tc>
          <w:tcPr>
            <w:tcW w:w="581" w:type="dxa"/>
          </w:tcPr>
          <w:p w14:paraId="4D3C2DE0">
            <w:pPr>
              <w:pStyle w:val="4"/>
              <w:jc w:val="center"/>
            </w:pPr>
            <w:r>
              <w:rPr>
                <w:rFonts w:ascii="仿宋_GB2312" w:hAnsi="仿宋_GB2312" w:eastAsia="仿宋_GB2312" w:cs="仿宋_GB2312"/>
              </w:rPr>
              <w:t xml:space="preserve"> 符号标识</w:t>
            </w:r>
          </w:p>
        </w:tc>
        <w:tc>
          <w:tcPr>
            <w:tcW w:w="1495" w:type="dxa"/>
          </w:tcPr>
          <w:p w14:paraId="23FFBFE2">
            <w:pPr>
              <w:pStyle w:val="4"/>
              <w:jc w:val="center"/>
            </w:pPr>
            <w:r>
              <w:rPr>
                <w:rFonts w:ascii="仿宋_GB2312" w:hAnsi="仿宋_GB2312" w:eastAsia="仿宋_GB2312" w:cs="仿宋_GB2312"/>
              </w:rPr>
              <w:t xml:space="preserve"> 服务要求名称</w:t>
            </w:r>
          </w:p>
        </w:tc>
        <w:tc>
          <w:tcPr>
            <w:tcW w:w="5814" w:type="dxa"/>
          </w:tcPr>
          <w:p w14:paraId="6A22C00E">
            <w:pPr>
              <w:pStyle w:val="4"/>
              <w:jc w:val="center"/>
            </w:pPr>
            <w:r>
              <w:rPr>
                <w:rFonts w:ascii="仿宋_GB2312" w:hAnsi="仿宋_GB2312" w:eastAsia="仿宋_GB2312" w:cs="仿宋_GB2312"/>
              </w:rPr>
              <w:t xml:space="preserve"> 服务要求内容</w:t>
            </w:r>
          </w:p>
        </w:tc>
      </w:tr>
      <w:tr w14:paraId="289471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42EE562A">
            <w:pPr>
              <w:pStyle w:val="4"/>
              <w:jc w:val="center"/>
            </w:pPr>
            <w:r>
              <w:rPr>
                <w:rFonts w:ascii="仿宋_GB2312" w:hAnsi="仿宋_GB2312" w:eastAsia="仿宋_GB2312" w:cs="仿宋_GB2312"/>
              </w:rPr>
              <w:t>1</w:t>
            </w:r>
          </w:p>
        </w:tc>
        <w:tc>
          <w:tcPr>
            <w:tcW w:w="581" w:type="dxa"/>
          </w:tcPr>
          <w:p w14:paraId="50A94D7F"/>
        </w:tc>
        <w:tc>
          <w:tcPr>
            <w:tcW w:w="1495" w:type="dxa"/>
          </w:tcPr>
          <w:p w14:paraId="1E4AA361">
            <w:pPr>
              <w:pStyle w:val="4"/>
              <w:jc w:val="left"/>
            </w:pPr>
            <w:r>
              <w:rPr>
                <w:rFonts w:ascii="仿宋_GB2312" w:hAnsi="仿宋_GB2312" w:eastAsia="仿宋_GB2312" w:cs="仿宋_GB2312"/>
              </w:rPr>
              <w:t>服务要求</w:t>
            </w:r>
          </w:p>
        </w:tc>
        <w:tc>
          <w:tcPr>
            <w:tcW w:w="5814" w:type="dxa"/>
          </w:tcPr>
          <w:p w14:paraId="614596D2">
            <w:pPr>
              <w:pStyle w:val="4"/>
              <w:jc w:val="left"/>
              <w:outlineLvl w:val="2"/>
            </w:pPr>
            <w:r>
              <w:rPr>
                <w:rFonts w:ascii="仿宋_GB2312" w:hAnsi="仿宋_GB2312" w:eastAsia="仿宋_GB2312" w:cs="仿宋_GB2312"/>
                <w:b/>
                <w:sz w:val="28"/>
              </w:rPr>
              <w:t>详见3.2.技术要求</w:t>
            </w:r>
          </w:p>
        </w:tc>
      </w:tr>
    </w:tbl>
    <w:p w14:paraId="3278A68E">
      <w:pPr>
        <w:pStyle w:val="4"/>
        <w:jc w:val="left"/>
        <w:outlineLvl w:val="3"/>
      </w:pPr>
      <w:r>
        <w:rPr>
          <w:rFonts w:ascii="仿宋_GB2312" w:hAnsi="仿宋_GB2312" w:eastAsia="仿宋_GB2312" w:cs="仿宋_GB2312"/>
          <w:b/>
          <w:sz w:val="24"/>
        </w:rPr>
        <w:t>3.3.2.商务要求</w:t>
      </w:r>
    </w:p>
    <w:p w14:paraId="02899098">
      <w:pPr>
        <w:pStyle w:val="4"/>
        <w:jc w:val="left"/>
      </w:pPr>
      <w:r>
        <w:rPr>
          <w:rFonts w:ascii="仿宋_GB2312" w:hAnsi="仿宋_GB2312" w:eastAsia="仿宋_GB2312" w:cs="仿宋_GB2312"/>
        </w:rPr>
        <w:t>采购包1：</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581"/>
        <w:gridCol w:w="1495"/>
        <w:gridCol w:w="5814"/>
      </w:tblGrid>
      <w:tr w14:paraId="6243A5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4C5D368D">
            <w:pPr>
              <w:pStyle w:val="4"/>
              <w:jc w:val="center"/>
            </w:pPr>
            <w:r>
              <w:rPr>
                <w:rFonts w:ascii="仿宋_GB2312" w:hAnsi="仿宋_GB2312" w:eastAsia="仿宋_GB2312" w:cs="仿宋_GB2312"/>
              </w:rPr>
              <w:t>序号</w:t>
            </w:r>
          </w:p>
        </w:tc>
        <w:tc>
          <w:tcPr>
            <w:tcW w:w="581" w:type="dxa"/>
          </w:tcPr>
          <w:p w14:paraId="7A0A69BA">
            <w:pPr>
              <w:pStyle w:val="4"/>
              <w:jc w:val="center"/>
            </w:pPr>
            <w:r>
              <w:rPr>
                <w:rFonts w:ascii="仿宋_GB2312" w:hAnsi="仿宋_GB2312" w:eastAsia="仿宋_GB2312" w:cs="仿宋_GB2312"/>
              </w:rPr>
              <w:t>符号标识</w:t>
            </w:r>
          </w:p>
        </w:tc>
        <w:tc>
          <w:tcPr>
            <w:tcW w:w="1495" w:type="dxa"/>
          </w:tcPr>
          <w:p w14:paraId="4E56E189">
            <w:pPr>
              <w:pStyle w:val="4"/>
              <w:jc w:val="center"/>
            </w:pPr>
            <w:r>
              <w:rPr>
                <w:rFonts w:ascii="仿宋_GB2312" w:hAnsi="仿宋_GB2312" w:eastAsia="仿宋_GB2312" w:cs="仿宋_GB2312"/>
              </w:rPr>
              <w:t>商务要求名称</w:t>
            </w:r>
          </w:p>
        </w:tc>
        <w:tc>
          <w:tcPr>
            <w:tcW w:w="5814" w:type="dxa"/>
          </w:tcPr>
          <w:p w14:paraId="436E308D">
            <w:pPr>
              <w:pStyle w:val="4"/>
              <w:jc w:val="center"/>
            </w:pPr>
            <w:r>
              <w:rPr>
                <w:rFonts w:ascii="仿宋_GB2312" w:hAnsi="仿宋_GB2312" w:eastAsia="仿宋_GB2312" w:cs="仿宋_GB2312"/>
              </w:rPr>
              <w:t>商务要求内容</w:t>
            </w:r>
          </w:p>
        </w:tc>
      </w:tr>
      <w:tr w14:paraId="6912239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7DAF4F1A">
            <w:pPr>
              <w:pStyle w:val="4"/>
              <w:jc w:val="center"/>
            </w:pPr>
            <w:r>
              <w:rPr>
                <w:rFonts w:ascii="仿宋_GB2312" w:hAnsi="仿宋_GB2312" w:eastAsia="仿宋_GB2312" w:cs="仿宋_GB2312"/>
              </w:rPr>
              <w:t>1</w:t>
            </w:r>
          </w:p>
        </w:tc>
        <w:tc>
          <w:tcPr>
            <w:tcW w:w="581" w:type="dxa"/>
          </w:tcPr>
          <w:p w14:paraId="0923D4A5">
            <w:pPr>
              <w:pStyle w:val="4"/>
              <w:jc w:val="center"/>
            </w:pPr>
            <w:r>
              <w:rPr>
                <w:rFonts w:ascii="仿宋_GB2312" w:hAnsi="仿宋_GB2312" w:eastAsia="仿宋_GB2312" w:cs="仿宋_GB2312"/>
              </w:rPr>
              <w:t>★</w:t>
            </w:r>
          </w:p>
        </w:tc>
        <w:tc>
          <w:tcPr>
            <w:tcW w:w="1495" w:type="dxa"/>
          </w:tcPr>
          <w:p w14:paraId="31C7E30E">
            <w:pPr>
              <w:pStyle w:val="4"/>
              <w:jc w:val="left"/>
            </w:pPr>
            <w:r>
              <w:rPr>
                <w:rFonts w:ascii="仿宋_GB2312" w:hAnsi="仿宋_GB2312" w:eastAsia="仿宋_GB2312" w:cs="仿宋_GB2312"/>
              </w:rPr>
              <w:t>服务期限</w:t>
            </w:r>
          </w:p>
        </w:tc>
        <w:tc>
          <w:tcPr>
            <w:tcW w:w="5814" w:type="dxa"/>
          </w:tcPr>
          <w:p w14:paraId="3A8D3A56">
            <w:pPr>
              <w:pStyle w:val="4"/>
              <w:jc w:val="left"/>
            </w:pPr>
            <w:r>
              <w:rPr>
                <w:rFonts w:ascii="仿宋_GB2312" w:hAnsi="仿宋_GB2312" w:eastAsia="仿宋_GB2312" w:cs="仿宋_GB2312"/>
              </w:rPr>
              <w:t>自合同签订之日起365日</w:t>
            </w:r>
          </w:p>
        </w:tc>
      </w:tr>
      <w:tr w14:paraId="7891BD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516FAD40">
            <w:pPr>
              <w:pStyle w:val="4"/>
              <w:jc w:val="center"/>
            </w:pPr>
            <w:r>
              <w:rPr>
                <w:rFonts w:ascii="仿宋_GB2312" w:hAnsi="仿宋_GB2312" w:eastAsia="仿宋_GB2312" w:cs="仿宋_GB2312"/>
              </w:rPr>
              <w:t>2</w:t>
            </w:r>
          </w:p>
        </w:tc>
        <w:tc>
          <w:tcPr>
            <w:tcW w:w="581" w:type="dxa"/>
          </w:tcPr>
          <w:p w14:paraId="4BC64673">
            <w:pPr>
              <w:pStyle w:val="4"/>
              <w:jc w:val="center"/>
            </w:pPr>
            <w:r>
              <w:rPr>
                <w:rFonts w:ascii="仿宋_GB2312" w:hAnsi="仿宋_GB2312" w:eastAsia="仿宋_GB2312" w:cs="仿宋_GB2312"/>
              </w:rPr>
              <w:t>★</w:t>
            </w:r>
          </w:p>
        </w:tc>
        <w:tc>
          <w:tcPr>
            <w:tcW w:w="1495" w:type="dxa"/>
          </w:tcPr>
          <w:p w14:paraId="2A5C24A9">
            <w:pPr>
              <w:pStyle w:val="4"/>
              <w:jc w:val="left"/>
            </w:pPr>
            <w:r>
              <w:rPr>
                <w:rFonts w:ascii="仿宋_GB2312" w:hAnsi="仿宋_GB2312" w:eastAsia="仿宋_GB2312" w:cs="仿宋_GB2312"/>
              </w:rPr>
              <w:t>服务地点</w:t>
            </w:r>
          </w:p>
        </w:tc>
        <w:tc>
          <w:tcPr>
            <w:tcW w:w="5814" w:type="dxa"/>
          </w:tcPr>
          <w:p w14:paraId="3D7B29F2">
            <w:pPr>
              <w:pStyle w:val="4"/>
              <w:jc w:val="left"/>
            </w:pPr>
            <w:r>
              <w:rPr>
                <w:rFonts w:ascii="仿宋_GB2312" w:hAnsi="仿宋_GB2312" w:eastAsia="仿宋_GB2312" w:cs="仿宋_GB2312"/>
              </w:rPr>
              <w:t>成都市金牛区</w:t>
            </w:r>
          </w:p>
        </w:tc>
      </w:tr>
      <w:tr w14:paraId="73542C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3481EE49">
            <w:pPr>
              <w:pStyle w:val="4"/>
              <w:jc w:val="center"/>
            </w:pPr>
            <w:r>
              <w:rPr>
                <w:rFonts w:ascii="仿宋_GB2312" w:hAnsi="仿宋_GB2312" w:eastAsia="仿宋_GB2312" w:cs="仿宋_GB2312"/>
              </w:rPr>
              <w:t>3</w:t>
            </w:r>
          </w:p>
        </w:tc>
        <w:tc>
          <w:tcPr>
            <w:tcW w:w="581" w:type="dxa"/>
          </w:tcPr>
          <w:p w14:paraId="4255A7D3">
            <w:pPr>
              <w:pStyle w:val="4"/>
              <w:jc w:val="center"/>
            </w:pPr>
            <w:r>
              <w:rPr>
                <w:rFonts w:ascii="仿宋_GB2312" w:hAnsi="仿宋_GB2312" w:eastAsia="仿宋_GB2312" w:cs="仿宋_GB2312"/>
              </w:rPr>
              <w:t>★</w:t>
            </w:r>
          </w:p>
        </w:tc>
        <w:tc>
          <w:tcPr>
            <w:tcW w:w="1495" w:type="dxa"/>
          </w:tcPr>
          <w:p w14:paraId="3E4143E8">
            <w:pPr>
              <w:pStyle w:val="4"/>
              <w:jc w:val="left"/>
            </w:pPr>
            <w:r>
              <w:rPr>
                <w:rFonts w:ascii="仿宋_GB2312" w:hAnsi="仿宋_GB2312" w:eastAsia="仿宋_GB2312" w:cs="仿宋_GB2312"/>
              </w:rPr>
              <w:t>验收、交付标准和方法</w:t>
            </w:r>
          </w:p>
        </w:tc>
        <w:tc>
          <w:tcPr>
            <w:tcW w:w="5814" w:type="dxa"/>
          </w:tcPr>
          <w:p w14:paraId="1EBC1739">
            <w:pPr>
              <w:pStyle w:val="4"/>
              <w:jc w:val="left"/>
            </w:pPr>
            <w:r>
              <w:rPr>
                <w:rFonts w:ascii="仿宋_GB2312" w:hAnsi="仿宋_GB2312" w:eastAsia="仿宋_GB2312" w:cs="仿宋_GB2312"/>
              </w:rPr>
              <w:t>严格按照《财政部关于进一步加强政府采购需求和履约验收管理的指导意见》（财库〔2016〕205号）等政府采购相关法律法规的要求进行验收。</w:t>
            </w:r>
          </w:p>
        </w:tc>
      </w:tr>
      <w:tr w14:paraId="280FD4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7A2D5757">
            <w:pPr>
              <w:pStyle w:val="4"/>
              <w:jc w:val="center"/>
            </w:pPr>
            <w:r>
              <w:rPr>
                <w:rFonts w:ascii="仿宋_GB2312" w:hAnsi="仿宋_GB2312" w:eastAsia="仿宋_GB2312" w:cs="仿宋_GB2312"/>
              </w:rPr>
              <w:t>4</w:t>
            </w:r>
          </w:p>
        </w:tc>
        <w:tc>
          <w:tcPr>
            <w:tcW w:w="581" w:type="dxa"/>
          </w:tcPr>
          <w:p w14:paraId="1BC7C642">
            <w:pPr>
              <w:pStyle w:val="4"/>
              <w:jc w:val="center"/>
            </w:pPr>
            <w:r>
              <w:rPr>
                <w:rFonts w:ascii="仿宋_GB2312" w:hAnsi="仿宋_GB2312" w:eastAsia="仿宋_GB2312" w:cs="仿宋_GB2312"/>
              </w:rPr>
              <w:t>★</w:t>
            </w:r>
          </w:p>
        </w:tc>
        <w:tc>
          <w:tcPr>
            <w:tcW w:w="1495" w:type="dxa"/>
          </w:tcPr>
          <w:p w14:paraId="5A5AE4ED">
            <w:pPr>
              <w:pStyle w:val="4"/>
              <w:jc w:val="left"/>
            </w:pPr>
            <w:r>
              <w:rPr>
                <w:rFonts w:ascii="仿宋_GB2312" w:hAnsi="仿宋_GB2312" w:eastAsia="仿宋_GB2312" w:cs="仿宋_GB2312"/>
              </w:rPr>
              <w:t>支付方式</w:t>
            </w:r>
          </w:p>
        </w:tc>
        <w:tc>
          <w:tcPr>
            <w:tcW w:w="5814" w:type="dxa"/>
          </w:tcPr>
          <w:p w14:paraId="304919F1">
            <w:pPr>
              <w:pStyle w:val="4"/>
              <w:jc w:val="left"/>
            </w:pPr>
            <w:r>
              <w:rPr>
                <w:rFonts w:ascii="仿宋_GB2312" w:hAnsi="仿宋_GB2312" w:eastAsia="仿宋_GB2312" w:cs="仿宋_GB2312"/>
              </w:rPr>
              <w:t>分期付款</w:t>
            </w:r>
          </w:p>
        </w:tc>
      </w:tr>
      <w:tr w14:paraId="68A667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1897EFAE">
            <w:pPr>
              <w:pStyle w:val="4"/>
              <w:jc w:val="center"/>
            </w:pPr>
            <w:r>
              <w:rPr>
                <w:rFonts w:ascii="仿宋_GB2312" w:hAnsi="仿宋_GB2312" w:eastAsia="仿宋_GB2312" w:cs="仿宋_GB2312"/>
              </w:rPr>
              <w:t>5</w:t>
            </w:r>
          </w:p>
        </w:tc>
        <w:tc>
          <w:tcPr>
            <w:tcW w:w="581" w:type="dxa"/>
          </w:tcPr>
          <w:p w14:paraId="261D495D">
            <w:pPr>
              <w:pStyle w:val="4"/>
              <w:jc w:val="center"/>
            </w:pPr>
            <w:r>
              <w:rPr>
                <w:rFonts w:ascii="仿宋_GB2312" w:hAnsi="仿宋_GB2312" w:eastAsia="仿宋_GB2312" w:cs="仿宋_GB2312"/>
              </w:rPr>
              <w:t>★</w:t>
            </w:r>
          </w:p>
        </w:tc>
        <w:tc>
          <w:tcPr>
            <w:tcW w:w="1495" w:type="dxa"/>
          </w:tcPr>
          <w:p w14:paraId="74B9C792">
            <w:pPr>
              <w:pStyle w:val="4"/>
              <w:jc w:val="left"/>
            </w:pPr>
            <w:r>
              <w:rPr>
                <w:rFonts w:ascii="仿宋_GB2312" w:hAnsi="仿宋_GB2312" w:eastAsia="仿宋_GB2312" w:cs="仿宋_GB2312"/>
              </w:rPr>
              <w:t>付款进度安排</w:t>
            </w:r>
          </w:p>
        </w:tc>
        <w:tc>
          <w:tcPr>
            <w:tcW w:w="5814" w:type="dxa"/>
          </w:tcPr>
          <w:p w14:paraId="4C13323E">
            <w:pPr>
              <w:pStyle w:val="4"/>
              <w:jc w:val="left"/>
            </w:pPr>
            <w:r>
              <w:rPr>
                <w:rFonts w:ascii="仿宋_GB2312" w:hAnsi="仿宋_GB2312" w:eastAsia="仿宋_GB2312" w:cs="仿宋_GB2312"/>
              </w:rPr>
              <w:t>1、进度款，合同签订后，采购人收到成交人开具的发票后10个工作日内支付合同金额的30%，达到付款条件起10日内，据实情况说明为合同签订后，采购人收到成交人开具的发票后10个工作日内支付合同金额的30%</w:t>
            </w:r>
          </w:p>
          <w:p w14:paraId="7137222E">
            <w:pPr>
              <w:pStyle w:val="4"/>
              <w:jc w:val="left"/>
            </w:pPr>
            <w:r>
              <w:rPr>
                <w:rFonts w:ascii="仿宋_GB2312" w:hAnsi="仿宋_GB2312" w:eastAsia="仿宋_GB2312" w:cs="仿宋_GB2312"/>
              </w:rPr>
              <w:t>2、进度款，绩效管理服务工作结束并出具正式报告后，采购人收到成交人开具的发票后10个工作日内支付合同金额的30%，达到付款条件起10日内，据实情况说明为绩效管理服务工作结束并出具正式报告后，采购人收到成交人开具的发票后10个工作日内支付合同金额的30%</w:t>
            </w:r>
          </w:p>
          <w:p w14:paraId="03F76E94">
            <w:pPr>
              <w:pStyle w:val="4"/>
              <w:jc w:val="left"/>
            </w:pPr>
            <w:r>
              <w:rPr>
                <w:rFonts w:ascii="仿宋_GB2312" w:hAnsi="仿宋_GB2312" w:eastAsia="仿宋_GB2312" w:cs="仿宋_GB2312"/>
              </w:rPr>
              <w:t>3、尾款，剩余合同金额在验收通过后根据考评结果支付，达到付款条件起10日内，据实情况说明为服务项目完成后，在当年财政支出绩效管理项目经费预算内，根据《区级财政第三方机构绩效管理服务工作质量跟踪评分表》对供应商服务情况进行考评，考评满分分值100分。其中，考评得分≥90分的，按合同金额40%全额拨付剩余服务费；85分≤得分＜90分的，按合同金额40%的95%拨付剩余服务费；80分≤得分＜85分的，按合同金额40%的90%拨付剩余服务费；得分＜80分的，合同金额40%剩余服务费不予拨付</w:t>
            </w:r>
          </w:p>
        </w:tc>
      </w:tr>
      <w:tr w14:paraId="5E3BDC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7C251D07">
            <w:pPr>
              <w:pStyle w:val="4"/>
              <w:jc w:val="center"/>
            </w:pPr>
            <w:r>
              <w:rPr>
                <w:rFonts w:ascii="仿宋_GB2312" w:hAnsi="仿宋_GB2312" w:eastAsia="仿宋_GB2312" w:cs="仿宋_GB2312"/>
              </w:rPr>
              <w:t>6</w:t>
            </w:r>
          </w:p>
        </w:tc>
        <w:tc>
          <w:tcPr>
            <w:tcW w:w="581" w:type="dxa"/>
          </w:tcPr>
          <w:p w14:paraId="3BED7352">
            <w:pPr>
              <w:pStyle w:val="4"/>
              <w:jc w:val="center"/>
            </w:pPr>
            <w:r>
              <w:rPr>
                <w:rFonts w:ascii="仿宋_GB2312" w:hAnsi="仿宋_GB2312" w:eastAsia="仿宋_GB2312" w:cs="仿宋_GB2312"/>
              </w:rPr>
              <w:t>★</w:t>
            </w:r>
          </w:p>
        </w:tc>
        <w:tc>
          <w:tcPr>
            <w:tcW w:w="1495" w:type="dxa"/>
          </w:tcPr>
          <w:p w14:paraId="53D0D082">
            <w:pPr>
              <w:pStyle w:val="4"/>
              <w:jc w:val="left"/>
            </w:pPr>
            <w:r>
              <w:rPr>
                <w:rFonts w:ascii="仿宋_GB2312" w:hAnsi="仿宋_GB2312" w:eastAsia="仿宋_GB2312" w:cs="仿宋_GB2312"/>
              </w:rPr>
              <w:t>违约责任与解决争议的方法</w:t>
            </w:r>
          </w:p>
        </w:tc>
        <w:tc>
          <w:tcPr>
            <w:tcW w:w="5814" w:type="dxa"/>
          </w:tcPr>
          <w:p w14:paraId="5F98CD9A">
            <w:pPr>
              <w:pStyle w:val="4"/>
              <w:jc w:val="left"/>
            </w:pPr>
            <w:r>
              <w:rPr>
                <w:rFonts w:ascii="仿宋_GB2312" w:hAnsi="仿宋_GB2312" w:eastAsia="仿宋_GB2312" w:cs="仿宋_GB2312"/>
              </w:rPr>
              <w:t>1.违约责任 1.1甲乙双方必须遵守本合同并执行合同中的各项规定，保证本合同的合法正常履行。 1.2如因乙方工作人员在履行职务过程中的疏忽、失职、过错等故意或者过失原因给甲方造成损失或侵害，包括但不限于甲方本身的财产损失、由此而导致的甲方对任何第三方的法律责任等，乙方对此均应承担全部的赔偿责任。 2.解决争议的方法 在执行本合同中发生的或与本合同有关的争端，双方应通过友好协商解决，经协商在不能达成协议时，应选择以下第 2 种解决方式： 2.1向成都仲裁委员会提起仲裁； 2.2向甲方所在地有管辖权的法院提起诉讼。 在法院审理和仲裁期间，除有争议部分外，本合同其他部分可以履行的仍应按合同条款继续履行。</w:t>
            </w:r>
          </w:p>
        </w:tc>
      </w:tr>
    </w:tbl>
    <w:p w14:paraId="0AAD52C8">
      <w:pPr>
        <w:pStyle w:val="4"/>
        <w:jc w:val="left"/>
        <w:outlineLvl w:val="2"/>
      </w:pPr>
      <w:r>
        <w:rPr>
          <w:rFonts w:ascii="仿宋_GB2312" w:hAnsi="仿宋_GB2312" w:eastAsia="仿宋_GB2312" w:cs="仿宋_GB2312"/>
          <w:b/>
          <w:sz w:val="28"/>
        </w:rPr>
        <w:t>3.4.其他要求</w:t>
      </w:r>
    </w:p>
    <w:p w14:paraId="0E377206">
      <w:pPr>
        <w:pStyle w:val="4"/>
        <w:ind w:firstLine="480"/>
        <w:jc w:val="left"/>
      </w:pPr>
      <w:r>
        <w:rPr>
          <w:rFonts w:ascii="仿宋_GB2312" w:hAnsi="仿宋_GB2312" w:eastAsia="仿宋_GB2312" w:cs="仿宋_GB2312"/>
        </w:rPr>
        <w:t>采购包1：</w:t>
      </w:r>
    </w:p>
    <w:p w14:paraId="0BE3011F">
      <w:pPr>
        <w:pStyle w:val="4"/>
        <w:jc w:val="left"/>
      </w:pPr>
      <w:r>
        <w:rPr>
          <w:rFonts w:ascii="仿宋_GB2312" w:hAnsi="仿宋_GB2312" w:eastAsia="仿宋_GB2312" w:cs="仿宋_GB2312"/>
        </w:rPr>
        <w:t>1、为扶持不发达地区和少数民族地区，同等条件下，磋商小组优先推荐企业注册地在不发达地区和少数民族地区的供应商。★2、磋商报价包含可能发生的交通、食宿、邮寄等一切费用，采购人不再承担其他任何费用。★3、成交后，成交人须与采购人签订保密协议。 ★4、供应商需自行准备手提电脑等办公所需设备。</w:t>
      </w:r>
    </w:p>
    <w:p w14:paraId="6C79ADA3">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E75049"/>
    <w:rsid w:val="24E750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0</Words>
  <Characters>0</Characters>
  <Lines>0</Lines>
  <Paragraphs>0</Paragraphs>
  <TotalTime>0</TotalTime>
  <ScaleCrop>false</ScaleCrop>
  <LinksUpToDate>false</LinksUpToDate>
  <CharactersWithSpaces>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2025-06-27T07:36:00Z</dcterms:created>
  <dc:creator>桃桃</dc:creator>
  <cp:lastModifiedBy>桃桃</cp:lastModifiedBy>
  <dcterms:modified xsi:type="dcterms:W3CDTF">2025-06-27T07:36:52Z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5F6B9FBCAFB64744961C6AE5F7E67B72_11</vt:lpwstr>
  </property>
  <property fmtid="{D5CDD505-2E9C-101B-9397-08002B2CF9AE}" pid="4" name="KSOTemplateDocerSaveRecord">
    <vt:lpwstr>eyJoZGlkIjoiMmVhNTZiNDMzZjIwZmVhNTAyOWFlNWI4ZWRiYTU2NzAiLCJ1c2VySWQiOiIzODU4OTY2NDgifQ==</vt:lpwstr>
  </property>
</Properties>
</file>