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K" w:hAnsi="方正仿宋_GBK" w:eastAsia="方正仿宋_GBK" w:cs="方正仿宋_GBK"/>
          <w:b/>
          <w:bCs/>
          <w:color w:val="000000" w:themeColor="text1"/>
          <w:sz w:val="32"/>
          <w:szCs w:val="32"/>
          <w:highlight w:val="none"/>
          <w:lang w:eastAsia="zh-CN"/>
          <w14:textFill>
            <w14:solidFill>
              <w14:schemeClr w14:val="tx1"/>
            </w14:solidFill>
          </w14:textFill>
        </w:rPr>
      </w:pPr>
      <w:bookmarkStart w:id="0" w:name="_GoBack"/>
      <w:r>
        <w:rPr>
          <w:rFonts w:hint="eastAsia" w:ascii="方正仿宋_GBK" w:hAnsi="方正仿宋_GBK" w:eastAsia="方正仿宋_GBK" w:cs="方正仿宋_GBK"/>
          <w:b/>
          <w:bCs/>
          <w:color w:val="000000" w:themeColor="text1"/>
          <w:sz w:val="32"/>
          <w:szCs w:val="32"/>
          <w:highlight w:val="none"/>
          <w:lang w:eastAsia="zh-CN"/>
          <w14:textFill>
            <w14:solidFill>
              <w14:schemeClr w14:val="tx1"/>
            </w14:solidFill>
          </w14:textFill>
        </w:rPr>
        <w:t>国网福建省电力有限公司</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K" w:hAnsi="方正仿宋_GBK" w:eastAsia="方正仿宋_GBK" w:cs="方正仿宋_GBK"/>
          <w:b/>
          <w:bCs/>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b/>
          <w:bCs/>
          <w:color w:val="000000" w:themeColor="text1"/>
          <w:sz w:val="32"/>
          <w:szCs w:val="32"/>
          <w:highlight w:val="none"/>
          <w:lang w:eastAsia="zh-CN"/>
          <w14:textFill>
            <w14:solidFill>
              <w14:schemeClr w14:val="tx1"/>
            </w14:solidFill>
          </w14:textFill>
        </w:rPr>
        <w:t>2025年原集体企业第三次服务类区域联合授权框架协议公开竞争性谈判采购项目</w:t>
      </w:r>
      <w:r>
        <w:rPr>
          <w:rFonts w:hint="eastAsia" w:ascii="方正仿宋_GBK" w:hAnsi="方正仿宋_GBK" w:eastAsia="方正仿宋_GBK" w:cs="方正仿宋_GBK"/>
          <w:b/>
          <w:bCs/>
          <w:color w:val="000000" w:themeColor="text1"/>
          <w:sz w:val="32"/>
          <w:szCs w:val="32"/>
          <w:highlight w:val="none"/>
          <w14:textFill>
            <w14:solidFill>
              <w14:schemeClr w14:val="tx1"/>
            </w14:solidFill>
          </w14:textFill>
        </w:rPr>
        <w:t>推荐的成交候选人公示</w:t>
      </w:r>
      <w:r>
        <w:rPr>
          <w:rFonts w:hint="eastAsia" w:ascii="方正仿宋_GBK" w:hAnsi="方正仿宋_GBK" w:eastAsia="方正仿宋_GBK" w:cs="方正仿宋_GBK"/>
          <w:b/>
          <w:bCs/>
          <w:color w:val="000000" w:themeColor="text1"/>
          <w:sz w:val="32"/>
          <w:szCs w:val="32"/>
          <w:highlight w:val="none"/>
          <w:lang w:eastAsia="zh-CN"/>
          <w14:textFill>
            <w14:solidFill>
              <w14:schemeClr w14:val="tx1"/>
            </w14:solidFill>
          </w14:textFill>
        </w:rPr>
        <w:t>（二）</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方正仿宋_GBK" w:hAnsi="方正仿宋_GBK" w:eastAsia="方正仿宋_GBK" w:cs="方正仿宋_GBK"/>
          <w:b/>
          <w:bCs/>
          <w:color w:val="000000" w:themeColor="text1"/>
          <w:sz w:val="30"/>
          <w:szCs w:val="30"/>
          <w:highlight w:val="none"/>
          <w14:textFill>
            <w14:solidFill>
              <w14:schemeClr w14:val="tx1"/>
            </w14:solidFill>
          </w14:textFill>
        </w:rPr>
      </w:pPr>
      <w:r>
        <w:rPr>
          <w:rFonts w:hint="eastAsia" w:ascii="方正仿宋_GBK" w:hAnsi="方正仿宋_GBK" w:eastAsia="方正仿宋_GBK" w:cs="方正仿宋_GBK"/>
          <w:b/>
          <w:bCs/>
          <w:color w:val="000000" w:themeColor="text1"/>
          <w:sz w:val="30"/>
          <w:szCs w:val="30"/>
          <w:highlight w:val="none"/>
          <w14:textFill>
            <w14:solidFill>
              <w14:schemeClr w14:val="tx1"/>
            </w14:solidFill>
          </w14:textFill>
        </w:rPr>
        <w:t>（采购项目编号：</w:t>
      </w:r>
      <w:r>
        <w:rPr>
          <w:rFonts w:hint="eastAsia" w:ascii="方正仿宋_GBK" w:hAnsi="方正仿宋_GBK" w:eastAsia="方正仿宋_GBK" w:cs="方正仿宋_GBK"/>
          <w:color w:val="000000" w:themeColor="text1"/>
          <w:kern w:val="0"/>
          <w:sz w:val="30"/>
          <w:szCs w:val="30"/>
          <w:highlight w:val="none"/>
          <w:lang w:eastAsia="zh-CN"/>
          <w14:textFill>
            <w14:solidFill>
              <w14:schemeClr w14:val="tx1"/>
            </w14:solidFill>
          </w14:textFill>
        </w:rPr>
        <w:t>CY1325SG03</w:t>
      </w:r>
      <w:r>
        <w:rPr>
          <w:rFonts w:hint="eastAsia" w:ascii="方正仿宋_GBK" w:hAnsi="方正仿宋_GBK" w:eastAsia="方正仿宋_GBK" w:cs="方正仿宋_GBK"/>
          <w:b/>
          <w:bCs/>
          <w:color w:val="000000" w:themeColor="text1"/>
          <w:sz w:val="30"/>
          <w:szCs w:val="30"/>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方正仿宋_GBK" w:hAnsi="方正仿宋_GBK" w:eastAsia="方正仿宋_GBK" w:cs="方正仿宋_GBK"/>
          <w:color w:val="000000" w:themeColor="text1"/>
          <w:sz w:val="28"/>
          <w:szCs w:val="28"/>
          <w:highlight w:val="none"/>
          <w14:textFill>
            <w14:solidFill>
              <w14:schemeClr w14:val="tx1"/>
            </w14:solidFill>
          </w14:textFill>
        </w:rPr>
      </w:pP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各相关应答人：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8"/>
          <w:szCs w:val="28"/>
          <w:highlight w:val="none"/>
          <w:lang w:eastAsia="zh-CN"/>
          <w14:textFill>
            <w14:solidFill>
              <w14:schemeClr w14:val="tx1"/>
            </w14:solidFill>
          </w14:textFill>
        </w:rPr>
        <w:t>国网福建省电力有限公司2025年原集体企业第三次服务类区域联合授权框架协议公开竞争性谈判采购项目评审工作已经结束，</w:t>
      </w: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依据《中华人民共和国招标投标法实施条例》、《招标公告和公示信息发布管理办法》</w:t>
      </w:r>
      <w:r>
        <w:rPr>
          <w:rFonts w:hint="eastAsia" w:ascii="方正仿宋_GBK" w:hAnsi="方正仿宋_GBK" w:eastAsia="方正仿宋_GBK" w:cs="方正仿宋_GBK"/>
          <w:color w:val="000000" w:themeColor="text1"/>
          <w:kern w:val="0"/>
          <w:sz w:val="28"/>
          <w:szCs w:val="28"/>
          <w:highlight w:val="none"/>
          <w14:textFill>
            <w14:solidFill>
              <w14:schemeClr w14:val="tx1"/>
            </w14:solidFill>
          </w14:textFill>
        </w:rPr>
        <w:t>对成交候选人公示的规定，现将评审委员会推荐的成交候选人予以公示</w:t>
      </w: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，公示期3日</w:t>
      </w:r>
      <w:r>
        <w:rPr>
          <w:rFonts w:hint="eastAsia" w:ascii="方正仿宋_GBK" w:hAnsi="方正仿宋_GBK" w:eastAsia="方正仿宋_GBK" w:cs="方正仿宋_GBK"/>
          <w:color w:val="auto"/>
          <w:sz w:val="28"/>
          <w:szCs w:val="28"/>
          <w:highlight w:val="none"/>
        </w:rPr>
        <w:t>（</w:t>
      </w:r>
      <w:r>
        <w:rPr>
          <w:rFonts w:hint="eastAsia" w:ascii="方正仿宋_GBK" w:hAnsi="方正仿宋_GBK" w:eastAsia="方正仿宋_GBK" w:cs="方正仿宋_GBK"/>
          <w:color w:val="auto"/>
          <w:sz w:val="28"/>
          <w:szCs w:val="28"/>
          <w:highlight w:val="none"/>
        </w:rPr>
        <w:t>202</w:t>
      </w:r>
      <w:r>
        <w:rPr>
          <w:rFonts w:hint="eastAsia" w:ascii="方正仿宋_GBK" w:hAnsi="方正仿宋_GBK" w:eastAsia="方正仿宋_GBK" w:cs="方正仿宋_GBK"/>
          <w:color w:val="auto"/>
          <w:sz w:val="28"/>
          <w:szCs w:val="28"/>
          <w:highlight w:val="none"/>
          <w:lang w:val="en-US" w:eastAsia="zh-CN"/>
        </w:rPr>
        <w:t>5</w:t>
      </w:r>
      <w:r>
        <w:rPr>
          <w:rFonts w:hint="eastAsia" w:ascii="方正仿宋_GBK" w:hAnsi="方正仿宋_GBK" w:eastAsia="方正仿宋_GBK" w:cs="方正仿宋_GBK"/>
          <w:color w:val="auto"/>
          <w:sz w:val="28"/>
          <w:szCs w:val="28"/>
          <w:highlight w:val="none"/>
        </w:rPr>
        <w:t>年</w:t>
      </w:r>
      <w:r>
        <w:rPr>
          <w:rFonts w:hint="eastAsia" w:ascii="方正仿宋_GBK" w:hAnsi="方正仿宋_GBK" w:eastAsia="方正仿宋_GBK" w:cs="方正仿宋_GBK"/>
          <w:color w:val="auto"/>
          <w:sz w:val="28"/>
          <w:szCs w:val="28"/>
          <w:highlight w:val="none"/>
          <w:lang w:val="en-US" w:eastAsia="zh-CN"/>
        </w:rPr>
        <w:t>7</w:t>
      </w:r>
      <w:r>
        <w:rPr>
          <w:rFonts w:hint="eastAsia" w:ascii="方正仿宋_GBK" w:hAnsi="方正仿宋_GBK" w:eastAsia="方正仿宋_GBK" w:cs="方正仿宋_GBK"/>
          <w:color w:val="auto"/>
          <w:sz w:val="28"/>
          <w:szCs w:val="28"/>
          <w:highlight w:val="none"/>
        </w:rPr>
        <w:t>月</w:t>
      </w:r>
      <w:r>
        <w:rPr>
          <w:rFonts w:hint="eastAsia" w:ascii="方正仿宋_GBK" w:hAnsi="方正仿宋_GBK" w:eastAsia="方正仿宋_GBK" w:cs="方正仿宋_GBK"/>
          <w:color w:val="auto"/>
          <w:sz w:val="28"/>
          <w:szCs w:val="28"/>
          <w:highlight w:val="none"/>
          <w:lang w:val="en-US" w:eastAsia="zh-CN"/>
        </w:rPr>
        <w:t>3</w:t>
      </w:r>
      <w:r>
        <w:rPr>
          <w:rFonts w:hint="eastAsia" w:ascii="方正仿宋_GBK" w:hAnsi="方正仿宋_GBK" w:eastAsia="方正仿宋_GBK" w:cs="方正仿宋_GBK"/>
          <w:color w:val="auto"/>
          <w:sz w:val="28"/>
          <w:szCs w:val="28"/>
          <w:highlight w:val="none"/>
        </w:rPr>
        <w:t>日至202</w:t>
      </w:r>
      <w:r>
        <w:rPr>
          <w:rFonts w:hint="eastAsia" w:ascii="方正仿宋_GBK" w:hAnsi="方正仿宋_GBK" w:eastAsia="方正仿宋_GBK" w:cs="方正仿宋_GBK"/>
          <w:color w:val="auto"/>
          <w:sz w:val="28"/>
          <w:szCs w:val="28"/>
          <w:highlight w:val="none"/>
          <w:lang w:val="en-US" w:eastAsia="zh-CN"/>
        </w:rPr>
        <w:t>5</w:t>
      </w:r>
      <w:r>
        <w:rPr>
          <w:rFonts w:hint="eastAsia" w:ascii="方正仿宋_GBK" w:hAnsi="方正仿宋_GBK" w:eastAsia="方正仿宋_GBK" w:cs="方正仿宋_GBK"/>
          <w:color w:val="auto"/>
          <w:sz w:val="28"/>
          <w:szCs w:val="28"/>
          <w:highlight w:val="none"/>
        </w:rPr>
        <w:t>年</w:t>
      </w:r>
      <w:r>
        <w:rPr>
          <w:rFonts w:hint="eastAsia" w:ascii="方正仿宋_GBK" w:hAnsi="方正仿宋_GBK" w:eastAsia="方正仿宋_GBK" w:cs="方正仿宋_GBK"/>
          <w:color w:val="auto"/>
          <w:sz w:val="28"/>
          <w:szCs w:val="28"/>
          <w:highlight w:val="none"/>
          <w:lang w:val="en-US" w:eastAsia="zh-CN"/>
        </w:rPr>
        <w:t>7</w:t>
      </w:r>
      <w:r>
        <w:rPr>
          <w:rFonts w:hint="eastAsia" w:ascii="方正仿宋_GBK" w:hAnsi="方正仿宋_GBK" w:eastAsia="方正仿宋_GBK" w:cs="方正仿宋_GBK"/>
          <w:color w:val="auto"/>
          <w:sz w:val="28"/>
          <w:szCs w:val="28"/>
          <w:highlight w:val="none"/>
        </w:rPr>
        <w:t>月</w:t>
      </w:r>
      <w:r>
        <w:rPr>
          <w:rFonts w:hint="eastAsia" w:ascii="方正仿宋_GBK" w:hAnsi="方正仿宋_GBK" w:eastAsia="方正仿宋_GBK" w:cs="方正仿宋_GBK"/>
          <w:color w:val="auto"/>
          <w:sz w:val="28"/>
          <w:szCs w:val="28"/>
          <w:highlight w:val="none"/>
          <w:lang w:val="en-US" w:eastAsia="zh-CN"/>
        </w:rPr>
        <w:t>6</w:t>
      </w:r>
      <w:r>
        <w:rPr>
          <w:rFonts w:hint="eastAsia" w:ascii="方正仿宋_GBK" w:hAnsi="方正仿宋_GBK" w:eastAsia="方正仿宋_GBK" w:cs="方正仿宋_GBK"/>
          <w:color w:val="auto"/>
          <w:sz w:val="28"/>
          <w:szCs w:val="28"/>
          <w:highlight w:val="none"/>
        </w:rPr>
        <w:t>日</w:t>
      </w:r>
      <w:r>
        <w:rPr>
          <w:rFonts w:hint="eastAsia" w:ascii="方正仿宋_GBK" w:hAnsi="方正仿宋_GBK" w:eastAsia="方正仿宋_GBK" w:cs="方正仿宋_GBK"/>
          <w:color w:val="auto"/>
          <w:sz w:val="28"/>
          <w:szCs w:val="28"/>
          <w:highlight w:val="none"/>
        </w:rPr>
        <w:t>）。</w:t>
      </w: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应答人或者其他利害关系人若对评审结果有异议的，请在成交候选人公示期间以书面形式（传真）提出。</w:t>
      </w:r>
    </w:p>
    <w:tbl>
      <w:tblPr>
        <w:tblStyle w:val="6"/>
        <w:tblW w:w="9165" w:type="dxa"/>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35"/>
        <w:gridCol w:w="780"/>
        <w:gridCol w:w="735"/>
        <w:gridCol w:w="555"/>
        <w:gridCol w:w="1305"/>
        <w:gridCol w:w="1335"/>
        <w:gridCol w:w="1470"/>
        <w:gridCol w:w="585"/>
        <w:gridCol w:w="630"/>
        <w:gridCol w:w="690"/>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4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序号</w:t>
            </w:r>
          </w:p>
        </w:tc>
        <w:tc>
          <w:tcPr>
            <w:tcW w:w="78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分标编号</w:t>
            </w:r>
          </w:p>
        </w:tc>
        <w:tc>
          <w:tcPr>
            <w:tcW w:w="7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分标名称</w:t>
            </w:r>
          </w:p>
        </w:tc>
        <w:tc>
          <w:tcPr>
            <w:tcW w:w="55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包号</w:t>
            </w:r>
          </w:p>
        </w:tc>
        <w:tc>
          <w:tcPr>
            <w:tcW w:w="130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项目名称</w:t>
            </w:r>
          </w:p>
        </w:tc>
        <w:tc>
          <w:tcPr>
            <w:tcW w:w="13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推荐的成交</w:t>
            </w:r>
            <w:r>
              <w:rPr>
                <w:rFonts w:hint="eastAsia" w:ascii="宋体" w:hAnsi="宋体" w:eastAsia="宋体" w:cs="宋体"/>
                <w:b/>
                <w:bCs/>
                <w:i w:val="0"/>
                <w:iCs w:val="0"/>
                <w:color w:val="000000"/>
                <w:kern w:val="0"/>
                <w:sz w:val="20"/>
                <w:szCs w:val="20"/>
                <w:highlight w:val="none"/>
                <w:u w:val="none"/>
                <w:lang w:val="en-US" w:eastAsia="zh-CN" w:bidi="ar"/>
              </w:rPr>
              <w:br w:type="textWrapping"/>
            </w:r>
            <w:r>
              <w:rPr>
                <w:rFonts w:hint="eastAsia" w:ascii="宋体" w:hAnsi="宋体" w:eastAsia="宋体" w:cs="宋体"/>
                <w:b/>
                <w:bCs/>
                <w:i w:val="0"/>
                <w:iCs w:val="0"/>
                <w:color w:val="000000"/>
                <w:kern w:val="0"/>
                <w:sz w:val="20"/>
                <w:szCs w:val="20"/>
                <w:highlight w:val="none"/>
                <w:u w:val="none"/>
                <w:lang w:val="en-US" w:eastAsia="zh-CN" w:bidi="ar"/>
              </w:rPr>
              <w:t>候选人</w:t>
            </w:r>
          </w:p>
        </w:tc>
        <w:tc>
          <w:tcPr>
            <w:tcW w:w="147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含税预成交金额（万元/折扣比例）</w:t>
            </w:r>
          </w:p>
        </w:tc>
        <w:tc>
          <w:tcPr>
            <w:tcW w:w="58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质量</w:t>
            </w:r>
          </w:p>
        </w:tc>
        <w:tc>
          <w:tcPr>
            <w:tcW w:w="63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工期</w:t>
            </w:r>
          </w:p>
        </w:tc>
        <w:tc>
          <w:tcPr>
            <w:tcW w:w="69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资格能力条件</w:t>
            </w:r>
          </w:p>
        </w:tc>
        <w:tc>
          <w:tcPr>
            <w:tcW w:w="64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评审情况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trPr>
        <w:tc>
          <w:tcPr>
            <w:tcW w:w="4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78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7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5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包1</w:t>
            </w:r>
          </w:p>
        </w:tc>
        <w:tc>
          <w:tcPr>
            <w:tcW w:w="130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国网福安市供电公司2025年各办公场所及各供电所房屋日常修缮(一)</w:t>
            </w:r>
          </w:p>
        </w:tc>
        <w:tc>
          <w:tcPr>
            <w:tcW w:w="13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福建天固建设工程有限公司</w:t>
            </w:r>
          </w:p>
        </w:tc>
        <w:tc>
          <w:tcPr>
            <w:tcW w:w="147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折扣比例89.5%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（147.031943）</w:t>
            </w:r>
          </w:p>
        </w:tc>
        <w:tc>
          <w:tcPr>
            <w:tcW w:w="58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3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9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4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综合排序第一名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4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78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7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5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包2</w:t>
            </w:r>
          </w:p>
        </w:tc>
        <w:tc>
          <w:tcPr>
            <w:tcW w:w="130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国网福安市供电公司2025年各办公场所及各供电所房屋日常修缮(二)</w:t>
            </w:r>
          </w:p>
        </w:tc>
        <w:tc>
          <w:tcPr>
            <w:tcW w:w="13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福建联和建设工程有限公司</w:t>
            </w:r>
          </w:p>
        </w:tc>
        <w:tc>
          <w:tcPr>
            <w:tcW w:w="147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折扣比例94%</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（102.090298）</w:t>
            </w:r>
          </w:p>
        </w:tc>
        <w:tc>
          <w:tcPr>
            <w:tcW w:w="58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3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9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4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综合排序第一名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trPr>
        <w:tc>
          <w:tcPr>
            <w:tcW w:w="4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78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7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5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包3</w:t>
            </w:r>
          </w:p>
        </w:tc>
        <w:tc>
          <w:tcPr>
            <w:tcW w:w="130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国网福安市供电公司2025年各办公场所及各供电所房屋日常修缮(三)</w:t>
            </w:r>
          </w:p>
        </w:tc>
        <w:tc>
          <w:tcPr>
            <w:tcW w:w="13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福建新禹丰建设工程有限公司</w:t>
            </w:r>
          </w:p>
        </w:tc>
        <w:tc>
          <w:tcPr>
            <w:tcW w:w="147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折扣比例89.22%</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（93.798681）</w:t>
            </w:r>
          </w:p>
        </w:tc>
        <w:tc>
          <w:tcPr>
            <w:tcW w:w="58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3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9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4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综合排序第一名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trPr>
        <w:tc>
          <w:tcPr>
            <w:tcW w:w="4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78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7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5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包4</w:t>
            </w:r>
          </w:p>
        </w:tc>
        <w:tc>
          <w:tcPr>
            <w:tcW w:w="130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2025年下半年-2027年下半年生产区域零星修缮一（桐城变等16个变电站）</w:t>
            </w:r>
          </w:p>
        </w:tc>
        <w:tc>
          <w:tcPr>
            <w:tcW w:w="13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福建省交建集团工程有限公司</w:t>
            </w:r>
          </w:p>
        </w:tc>
        <w:tc>
          <w:tcPr>
            <w:tcW w:w="147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折扣比例96.7%</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（256.448400）</w:t>
            </w:r>
          </w:p>
        </w:tc>
        <w:tc>
          <w:tcPr>
            <w:tcW w:w="58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3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9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4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综合排序第一名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trPr>
        <w:tc>
          <w:tcPr>
            <w:tcW w:w="4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78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7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5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包5</w:t>
            </w:r>
          </w:p>
        </w:tc>
        <w:tc>
          <w:tcPr>
            <w:tcW w:w="130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2025年下半年-2027年下半年生产区域零星修缮二（甘棠变等11个变电站）</w:t>
            </w:r>
          </w:p>
        </w:tc>
        <w:tc>
          <w:tcPr>
            <w:tcW w:w="13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福建省建鸿安装工程有限公司</w:t>
            </w:r>
          </w:p>
        </w:tc>
        <w:tc>
          <w:tcPr>
            <w:tcW w:w="147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折扣比例87.5%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（223.230000）</w:t>
            </w:r>
          </w:p>
        </w:tc>
        <w:tc>
          <w:tcPr>
            <w:tcW w:w="58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3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9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4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综合排序第一名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trPr>
        <w:tc>
          <w:tcPr>
            <w:tcW w:w="4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78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7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5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包6</w:t>
            </w:r>
          </w:p>
        </w:tc>
        <w:tc>
          <w:tcPr>
            <w:tcW w:w="130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2025年下半年-2027年下半年生产区域零星修缮三（兰田变等15个变电站）</w:t>
            </w:r>
          </w:p>
        </w:tc>
        <w:tc>
          <w:tcPr>
            <w:tcW w:w="13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东能（福建）工程有限公司</w:t>
            </w:r>
          </w:p>
        </w:tc>
        <w:tc>
          <w:tcPr>
            <w:tcW w:w="147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折扣比例86.5%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（214.866000）</w:t>
            </w:r>
          </w:p>
        </w:tc>
        <w:tc>
          <w:tcPr>
            <w:tcW w:w="58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3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9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4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综合排序第一名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4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78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7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5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包7</w:t>
            </w:r>
          </w:p>
        </w:tc>
        <w:tc>
          <w:tcPr>
            <w:tcW w:w="130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2025年下半年-2027年下半年生产区域零星修缮四（槐门变等17个变电站）</w:t>
            </w:r>
          </w:p>
        </w:tc>
        <w:tc>
          <w:tcPr>
            <w:tcW w:w="13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福建凯能电力工程有限公司</w:t>
            </w:r>
          </w:p>
        </w:tc>
        <w:tc>
          <w:tcPr>
            <w:tcW w:w="147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折扣比例89.2%（214.936320）</w:t>
            </w:r>
          </w:p>
        </w:tc>
        <w:tc>
          <w:tcPr>
            <w:tcW w:w="58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3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9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4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综合排序第一名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4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w:t>
            </w:r>
          </w:p>
        </w:tc>
        <w:tc>
          <w:tcPr>
            <w:tcW w:w="78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7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5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包8</w:t>
            </w:r>
          </w:p>
        </w:tc>
        <w:tc>
          <w:tcPr>
            <w:tcW w:w="130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2025-2027年各变电站房屋维护维修（框架标一）</w:t>
            </w:r>
          </w:p>
        </w:tc>
        <w:tc>
          <w:tcPr>
            <w:tcW w:w="13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福建天固建设工程有限公司</w:t>
            </w:r>
          </w:p>
        </w:tc>
        <w:tc>
          <w:tcPr>
            <w:tcW w:w="147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折扣比例88.3%（280.942344）</w:t>
            </w:r>
          </w:p>
        </w:tc>
        <w:tc>
          <w:tcPr>
            <w:tcW w:w="58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3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9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4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综合排序第一名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4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78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7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5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包9</w:t>
            </w:r>
          </w:p>
        </w:tc>
        <w:tc>
          <w:tcPr>
            <w:tcW w:w="130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2025-2027年各变电站房屋维护维修（框架标二）</w:t>
            </w:r>
          </w:p>
        </w:tc>
        <w:tc>
          <w:tcPr>
            <w:tcW w:w="13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福建新禹丰建设工程有限公司</w:t>
            </w:r>
          </w:p>
        </w:tc>
        <w:tc>
          <w:tcPr>
            <w:tcW w:w="147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折扣比例89.12%（282.074960）</w:t>
            </w:r>
          </w:p>
        </w:tc>
        <w:tc>
          <w:tcPr>
            <w:tcW w:w="58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3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9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4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综合排序第一名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trPr>
        <w:tc>
          <w:tcPr>
            <w:tcW w:w="4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w:t>
            </w:r>
          </w:p>
        </w:tc>
        <w:tc>
          <w:tcPr>
            <w:tcW w:w="78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CY1325SG03-9012015-3145</w:t>
            </w:r>
          </w:p>
        </w:tc>
        <w:tc>
          <w:tcPr>
            <w:tcW w:w="7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设备检测试验-设备检测试验框架</w:t>
            </w:r>
          </w:p>
        </w:tc>
        <w:tc>
          <w:tcPr>
            <w:tcW w:w="55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包1</w:t>
            </w:r>
          </w:p>
        </w:tc>
        <w:tc>
          <w:tcPr>
            <w:tcW w:w="130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工程公司2025-2026年用户侧电能质量评估技术服务</w:t>
            </w:r>
          </w:p>
        </w:tc>
        <w:tc>
          <w:tcPr>
            <w:tcW w:w="13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厦门奕昕科技有限公司</w:t>
            </w:r>
          </w:p>
        </w:tc>
        <w:tc>
          <w:tcPr>
            <w:tcW w:w="147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折扣比例82%（46.531710）</w:t>
            </w:r>
          </w:p>
        </w:tc>
        <w:tc>
          <w:tcPr>
            <w:tcW w:w="58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3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9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满足采购文件要求</w:t>
            </w:r>
          </w:p>
        </w:tc>
        <w:tc>
          <w:tcPr>
            <w:tcW w:w="64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综合排序第一名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4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w:t>
            </w:r>
          </w:p>
        </w:tc>
        <w:tc>
          <w:tcPr>
            <w:tcW w:w="780"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CY1325SG03-9014001-3101</w:t>
            </w:r>
          </w:p>
        </w:tc>
        <w:tc>
          <w:tcPr>
            <w:tcW w:w="73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Style w:val="41"/>
                <w:rFonts w:hint="eastAsia" w:ascii="宋体" w:hAnsi="宋体" w:eastAsia="宋体" w:cs="宋体"/>
                <w:sz w:val="20"/>
                <w:szCs w:val="20"/>
                <w:highlight w:val="none"/>
                <w:lang w:val="en-US" w:eastAsia="zh-CN" w:bidi="ar"/>
              </w:rPr>
              <w:t>劳务分包</w:t>
            </w:r>
            <w:r>
              <w:rPr>
                <w:rFonts w:hint="eastAsia" w:ascii="宋体" w:hAnsi="宋体" w:eastAsia="宋体" w:cs="宋体"/>
                <w:i w:val="0"/>
                <w:iCs w:val="0"/>
                <w:color w:val="000000"/>
                <w:kern w:val="0"/>
                <w:sz w:val="20"/>
                <w:szCs w:val="20"/>
                <w:highlight w:val="none"/>
                <w:u w:val="none"/>
                <w:lang w:val="en-US" w:eastAsia="zh-CN" w:bidi="ar"/>
              </w:rPr>
              <w:t>-</w:t>
            </w:r>
            <w:r>
              <w:rPr>
                <w:rStyle w:val="41"/>
                <w:rFonts w:hint="eastAsia" w:ascii="宋体" w:hAnsi="宋体" w:eastAsia="宋体" w:cs="宋体"/>
                <w:sz w:val="20"/>
                <w:szCs w:val="20"/>
                <w:highlight w:val="none"/>
                <w:lang w:val="en-US" w:eastAsia="zh-CN" w:bidi="ar"/>
              </w:rPr>
              <w:t>劳务分包框架</w:t>
            </w:r>
          </w:p>
        </w:tc>
        <w:tc>
          <w:tcPr>
            <w:tcW w:w="55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包8</w:t>
            </w:r>
          </w:p>
        </w:tc>
        <w:tc>
          <w:tcPr>
            <w:tcW w:w="1305" w:type="dxa"/>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昌达福安分公司2025年35kV及以上输电技改及大修项目劳务分包</w:t>
            </w:r>
          </w:p>
        </w:tc>
        <w:tc>
          <w:tcPr>
            <w:tcW w:w="5355" w:type="dxa"/>
            <w:gridSpan w:val="6"/>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流标</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K" w:hAnsi="方正仿宋_GBK" w:eastAsia="方正仿宋_GBK" w:cs="方正仿宋_GBK"/>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K" w:hAnsi="方正仿宋_GBK" w:eastAsia="方正仿宋_GBK" w:cs="方正仿宋_GBK"/>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应答人对以上结果如有异议，可以自公示之日起3日内，向采购人提出。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根据招标投标法及相关法规规定，应答人和直接参与并且与招投标活动有着直接利害关系的当事人有异议的，有权依法进行异议，提出异议时应注意以下事项：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 xml:space="preserve">1. 异议必须在成交结果公示结束前以书面形式提出。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 xml:space="preserve">2．应当提交异议书，并包括下列内容：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（1）异议人的名称、地址、联系人及有效联系方式；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 xml:space="preserve">（2）被异议人的名称；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 xml:space="preserve">（3）异议事项的基本事实；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（4）有效线索和相关证明材料。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 xml:space="preserve">3．异议人为法人的，异议书必须由其法定代表人或者授权代表签字并加盖公章，同时还需提交授权委托书；异议人为个人的，异议书必须由异议人本人签字，并附有效身份证明，由本人提交。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 xml:space="preserve">4．下列异议将不予接收：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（1）在成交结果公示结束后提出的；</w:t>
      </w:r>
    </w:p>
    <w:p>
      <w:pPr>
        <w:keepNext w:val="0"/>
        <w:keepLines w:val="0"/>
        <w:pageBreakBefore w:val="0"/>
        <w:widowControl w:val="0"/>
        <w:tabs>
          <w:tab w:val="left" w:pos="7350"/>
        </w:tabs>
        <w:kinsoku/>
        <w:wordWrap/>
        <w:overflowPunct/>
        <w:topLinePunct w:val="0"/>
        <w:autoSpaceDE/>
        <w:autoSpaceDN/>
        <w:bidi w:val="0"/>
        <w:adjustRightInd/>
        <w:snapToGrid/>
        <w:spacing w:line="360" w:lineRule="auto"/>
        <w:ind w:firstLine="480" w:firstLineChars="20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（2）异议人不能证明是所异议招标投标活动的应答人和直接参与并且与招投标活动有着直接利害关系的当事人；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（3）异议事项不具体，且未提供有效线索，难以查证的；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（4）对异议事项已经答复，且异议人没有提出新的证据的。</w:t>
      </w:r>
    </w:p>
    <w:p>
      <w:pPr>
        <w:pStyle w:val="20"/>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5. 异议人不得以异议为名排挤竞争对手，进行虚假、恶意异议，阻碍招标投标活动的正常进行。</w:t>
      </w:r>
    </w:p>
    <w:p>
      <w:pPr>
        <w:pStyle w:val="20"/>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方正仿宋_GBK" w:hAnsi="方正仿宋_GBK" w:eastAsia="方正仿宋_GBK" w:cs="方正仿宋_GBK"/>
          <w:color w:val="000000" w:themeColor="text1"/>
          <w:sz w:val="24"/>
          <w:szCs w:val="24"/>
          <w:highlight w:val="none"/>
          <w14:textFill>
            <w14:solidFill>
              <w14:schemeClr w14:val="tx1"/>
            </w14:solidFill>
          </w14:textFill>
        </w:rPr>
      </w:pP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国网福建省电力有限公司厦门供电公司物资部督察处：059</w:t>
      </w:r>
      <w:r>
        <w:rPr>
          <w:rFonts w:hint="eastAsia" w:ascii="方正仿宋_GBK" w:hAnsi="方正仿宋_GBK" w:eastAsia="方正仿宋_GBK" w:cs="方正仿宋_GBK"/>
          <w:color w:val="000000" w:themeColor="text1"/>
          <w:sz w:val="24"/>
          <w:szCs w:val="24"/>
          <w:highlight w:val="none"/>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w:t>
      </w:r>
      <w:r>
        <w:rPr>
          <w:rFonts w:hint="eastAsia" w:ascii="方正仿宋_GBK" w:hAnsi="方正仿宋_GBK" w:eastAsia="方正仿宋_GBK" w:cs="方正仿宋_GBK"/>
          <w:color w:val="000000" w:themeColor="text1"/>
          <w:sz w:val="24"/>
          <w:szCs w:val="24"/>
          <w:highlight w:val="none"/>
          <w:lang w:val="en-US" w:eastAsia="zh-CN"/>
          <w14:textFill>
            <w14:solidFill>
              <w14:schemeClr w14:val="tx1"/>
            </w14:solidFill>
          </w14:textFill>
        </w:rPr>
        <w:t>2265119</w:t>
      </w:r>
      <w:r>
        <w:rPr>
          <w:rFonts w:hint="eastAsia" w:ascii="方正仿宋_GBK" w:hAnsi="方正仿宋_GBK" w:eastAsia="方正仿宋_GBK" w:cs="方正仿宋_GBK"/>
          <w:color w:val="000000" w:themeColor="text1"/>
          <w:sz w:val="24"/>
          <w:szCs w:val="24"/>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方正仿宋_GBK" w:hAnsi="方正仿宋_GBK" w:eastAsia="方正仿宋_GBK" w:cs="方正仿宋_GBK"/>
          <w:b/>
          <w:bCs/>
          <w:color w:val="000000" w:themeColor="text1"/>
          <w:sz w:val="32"/>
          <w:szCs w:val="32"/>
          <w:highlight w:val="none"/>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24"/>
          <w:szCs w:val="24"/>
          <w:highlight w:val="none"/>
          <w:lang w:val="en-US" w:eastAsia="zh-CN" w:bidi="ar-SA"/>
          <w14:textFill>
            <w14:solidFill>
              <w14:schemeClr w14:val="tx1"/>
            </w14:solidFill>
          </w14:textFill>
        </w:rPr>
        <w:t xml:space="preserve">福建省电力建设工程咨询有限公司：   0591-86125161  </w:t>
      </w:r>
      <w:r>
        <w:rPr>
          <w:rFonts w:hint="eastAsia" w:ascii="方正仿宋_GBK" w:hAnsi="方正仿宋_GBK" w:eastAsia="方正仿宋_GBK" w:cs="方正仿宋_GBK"/>
          <w:color w:val="000000" w:themeColor="text1"/>
          <w:kern w:val="2"/>
          <w:sz w:val="24"/>
          <w:szCs w:val="24"/>
          <w:highlight w:val="none"/>
          <w:lang w:val="en-US" w:eastAsia="zh-CN" w:bidi="ar-SA"/>
          <w14:textFill>
            <w14:solidFill>
              <w14:schemeClr w14:val="tx1"/>
            </w14:solidFill>
          </w14:textFill>
        </w:rPr>
        <w:br w:type="page"/>
      </w:r>
      <w:r>
        <w:rPr>
          <w:rFonts w:hint="eastAsia" w:ascii="方正仿宋_GBK" w:hAnsi="方正仿宋_GBK" w:eastAsia="方正仿宋_GBK" w:cs="方正仿宋_GBK"/>
          <w:color w:val="000000" w:themeColor="text1"/>
          <w:kern w:val="2"/>
          <w:sz w:val="24"/>
          <w:szCs w:val="24"/>
          <w:highlight w:val="none"/>
          <w:lang w:val="en-US" w:eastAsia="zh-CN" w:bidi="ar-SA"/>
          <w14:textFill>
            <w14:solidFill>
              <w14:schemeClr w14:val="tx1"/>
            </w14:solidFill>
          </w14:textFill>
        </w:rPr>
        <w:t xml:space="preserve">                    </w:t>
      </w:r>
      <w:r>
        <w:rPr>
          <w:rFonts w:hint="eastAsia" w:ascii="方正仿宋_GBK" w:hAnsi="方正仿宋_GBK" w:eastAsia="方正仿宋_GBK" w:cs="方正仿宋_GBK"/>
          <w:b/>
          <w:bCs/>
          <w:color w:val="000000" w:themeColor="text1"/>
          <w:sz w:val="32"/>
          <w:szCs w:val="32"/>
          <w:highlight w:val="none"/>
          <w:lang w:eastAsia="zh-CN"/>
          <w14:textFill>
            <w14:solidFill>
              <w14:schemeClr w14:val="tx1"/>
            </w14:solidFill>
          </w14:textFill>
        </w:rPr>
        <w:t>国网福建省电力有限公司</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K" w:hAnsi="方正仿宋_GBK" w:eastAsia="方正仿宋_GBK" w:cs="方正仿宋_GBK"/>
          <w:color w:val="000000" w:themeColor="text1"/>
          <w:sz w:val="28"/>
          <w:szCs w:val="28"/>
          <w:highlight w:val="none"/>
          <w:lang w:eastAsia="zh-CN"/>
          <w14:textFill>
            <w14:solidFill>
              <w14:schemeClr w14:val="tx1"/>
            </w14:solidFill>
          </w14:textFill>
        </w:rPr>
      </w:pPr>
      <w:r>
        <w:rPr>
          <w:rFonts w:hint="eastAsia" w:ascii="方正仿宋_GBK" w:hAnsi="方正仿宋_GBK" w:eastAsia="方正仿宋_GBK" w:cs="方正仿宋_GBK"/>
          <w:b/>
          <w:bCs/>
          <w:color w:val="000000" w:themeColor="text1"/>
          <w:sz w:val="32"/>
          <w:szCs w:val="32"/>
          <w:highlight w:val="none"/>
          <w:lang w:eastAsia="zh-CN"/>
          <w14:textFill>
            <w14:solidFill>
              <w14:schemeClr w14:val="tx1"/>
            </w14:solidFill>
          </w14:textFill>
        </w:rPr>
        <w:t>2025年原集体企业第三次服务类区域联合授权框架协议公开竞争性谈判采购项目</w:t>
      </w:r>
      <w:r>
        <w:rPr>
          <w:rFonts w:hint="eastAsia" w:ascii="方正仿宋_GBK" w:hAnsi="方正仿宋_GBK" w:eastAsia="方正仿宋_GBK" w:cs="方正仿宋_GBK"/>
          <w:b/>
          <w:bCs/>
          <w:color w:val="000000" w:themeColor="text1"/>
          <w:sz w:val="30"/>
          <w:szCs w:val="30"/>
          <w:highlight w:val="none"/>
          <w14:textFill>
            <w14:solidFill>
              <w14:schemeClr w14:val="tx1"/>
            </w14:solidFill>
          </w14:textFill>
        </w:rPr>
        <w:t>否决原因公示</w:t>
      </w:r>
      <w:r>
        <w:rPr>
          <w:rFonts w:hint="eastAsia" w:ascii="方正仿宋_GBK" w:hAnsi="方正仿宋_GBK" w:eastAsia="方正仿宋_GBK" w:cs="方正仿宋_GBK"/>
          <w:b/>
          <w:bCs/>
          <w:color w:val="000000" w:themeColor="text1"/>
          <w:sz w:val="30"/>
          <w:szCs w:val="30"/>
          <w:highlight w:val="none"/>
          <w:lang w:eastAsia="zh-CN"/>
          <w14:textFill>
            <w14:solidFill>
              <w14:schemeClr w14:val="tx1"/>
            </w14:solidFill>
          </w14:textFill>
        </w:rPr>
        <w:t>（二）</w:t>
      </w:r>
    </w:p>
    <w:p>
      <w:pPr>
        <w:adjustRightInd w:val="0"/>
        <w:snapToGrid w:val="0"/>
        <w:spacing w:line="580" w:lineRule="exact"/>
        <w:jc w:val="left"/>
        <w:rPr>
          <w:rFonts w:ascii="方正仿宋_GBK" w:hAnsi="方正仿宋_GBK" w:eastAsia="方正仿宋_GBK" w:cs="方正仿宋_GBK"/>
          <w:color w:val="000000" w:themeColor="text1"/>
          <w:sz w:val="28"/>
          <w:szCs w:val="28"/>
          <w:highlight w:val="none"/>
          <w14:textFill>
            <w14:solidFill>
              <w14:schemeClr w14:val="tx1"/>
            </w14:solidFill>
          </w14:textFill>
        </w:rPr>
      </w:pP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各相关应答人：</w:t>
      </w:r>
    </w:p>
    <w:p>
      <w:pPr>
        <w:spacing w:line="360" w:lineRule="auto"/>
        <w:ind w:firstLine="560" w:firstLineChars="200"/>
        <w:jc w:val="left"/>
        <w:rPr>
          <w:rFonts w:hint="eastAsia" w:ascii="方正仿宋_GBK" w:hAnsi="方正仿宋_GBK" w:eastAsia="方正仿宋_GBK" w:cs="方正仿宋_GBK"/>
          <w:color w:val="000000" w:themeColor="text1"/>
          <w:sz w:val="28"/>
          <w:szCs w:val="28"/>
          <w:highlight w:val="none"/>
          <w14:textFill>
            <w14:solidFill>
              <w14:schemeClr w14:val="tx1"/>
            </w14:solidFill>
          </w14:textFill>
        </w:rPr>
      </w:pPr>
      <w:r>
        <w:rPr>
          <w:rFonts w:hint="eastAsia" w:ascii="方正仿宋_GBK" w:hAnsi="方正仿宋_GBK" w:eastAsia="方正仿宋_GBK" w:cs="方正仿宋_GBK"/>
          <w:color w:val="000000" w:themeColor="text1"/>
          <w:sz w:val="28"/>
          <w:szCs w:val="28"/>
          <w:highlight w:val="none"/>
          <w:lang w:eastAsia="zh-CN"/>
          <w14:textFill>
            <w14:solidFill>
              <w14:schemeClr w14:val="tx1"/>
            </w14:solidFill>
          </w14:textFill>
        </w:rPr>
        <w:t>国网福建省电力有限公司2025年原集体企业第三次服务类区域联合授权框架协议公开竞争性谈判采购评审</w:t>
      </w: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工作已完成，现将评审有关主要否决原因公示如下。</w:t>
      </w: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16"/>
        <w:gridCol w:w="2698"/>
        <w:gridCol w:w="858"/>
        <w:gridCol w:w="1288"/>
        <w:gridCol w:w="1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1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分标编号</w:t>
            </w:r>
          </w:p>
        </w:tc>
        <w:tc>
          <w:tcPr>
            <w:tcW w:w="15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分标名称</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包号</w:t>
            </w:r>
          </w:p>
        </w:tc>
        <w:tc>
          <w:tcPr>
            <w:tcW w:w="7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未进入详评原因</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未实质响应的应答人数量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1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15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包4</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应答担保</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1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15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包5</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应答担保</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1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15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包6</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应答担保</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1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15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包7</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应答担保</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15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包8</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应答担保</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CY1325SG03-9013001-3103</w:t>
            </w:r>
          </w:p>
        </w:tc>
        <w:tc>
          <w:tcPr>
            <w:tcW w:w="15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房屋维修-施工框架</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包9</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应答担保</w:t>
            </w:r>
          </w:p>
        </w:tc>
        <w:tc>
          <w:tcPr>
            <w:tcW w:w="9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r>
    </w:tbl>
    <w:p>
      <w:pPr>
        <w:spacing w:line="360" w:lineRule="auto"/>
        <w:ind w:right="640" w:firstLine="840" w:firstLineChars="300"/>
        <w:jc w:val="left"/>
        <w:rPr>
          <w:rFonts w:hint="eastAsia" w:ascii="方正仿宋_GBK" w:hAnsi="方正仿宋_GBK" w:eastAsia="方正仿宋_GBK" w:cs="方正仿宋_GBK"/>
          <w:color w:val="000000" w:themeColor="text1"/>
          <w:sz w:val="28"/>
          <w:szCs w:val="28"/>
          <w:highlight w:val="none"/>
          <w14:textFill>
            <w14:solidFill>
              <w14:schemeClr w14:val="tx1"/>
            </w14:solidFill>
          </w14:textFill>
        </w:rPr>
      </w:pPr>
    </w:p>
    <w:p>
      <w:pPr>
        <w:spacing w:line="360" w:lineRule="auto"/>
        <w:ind w:right="640" w:firstLine="840" w:firstLineChars="300"/>
        <w:jc w:val="left"/>
        <w:rPr>
          <w:rFonts w:hint="eastAsia" w:ascii="方正仿宋_GBK" w:hAnsi="方正仿宋_GBK" w:eastAsia="方正仿宋_GBK" w:cs="方正仿宋_GBK"/>
          <w:color w:val="000000" w:themeColor="text1"/>
          <w:sz w:val="28"/>
          <w:szCs w:val="28"/>
          <w:highlight w:val="none"/>
          <w14:textFill>
            <w14:solidFill>
              <w14:schemeClr w14:val="tx1"/>
            </w14:solidFill>
          </w14:textFill>
        </w:rPr>
      </w:pP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 xml:space="preserve">特此公示。     </w:t>
      </w:r>
    </w:p>
    <w:p>
      <w:pPr>
        <w:spacing w:line="360" w:lineRule="auto"/>
        <w:ind w:right="640" w:firstLine="840" w:firstLineChars="300"/>
        <w:jc w:val="left"/>
        <w:rPr>
          <w:rFonts w:hint="eastAsia" w:ascii="方正仿宋_GBK" w:hAnsi="方正仿宋_GBK" w:eastAsia="方正仿宋_GBK" w:cs="方正仿宋_GBK"/>
          <w:color w:val="000000" w:themeColor="text1"/>
          <w:sz w:val="28"/>
          <w:szCs w:val="28"/>
          <w:highlight w:val="none"/>
          <w14:textFill>
            <w14:solidFill>
              <w14:schemeClr w14:val="tx1"/>
            </w14:solidFill>
          </w14:textFill>
        </w:rPr>
      </w:pP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 xml:space="preserve"> </w:t>
      </w:r>
    </w:p>
    <w:p>
      <w:pPr>
        <w:pStyle w:val="20"/>
        <w:ind w:firstLine="0" w:firstLineChars="0"/>
        <w:jc w:val="right"/>
        <w:rPr>
          <w:rFonts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lang w:val="en-US" w:eastAsia="zh-CN"/>
        </w:rPr>
        <w:t>福建省电力建设工程咨询有限公司</w:t>
      </w:r>
    </w:p>
    <w:p>
      <w:pPr>
        <w:pStyle w:val="20"/>
        <w:ind w:firstLine="0" w:firstLineChars="0"/>
        <w:jc w:val="right"/>
        <w:rPr>
          <w:rFonts w:hint="eastAsia" w:ascii="方正仿宋_GBK" w:hAnsi="方正仿宋_GBK" w:eastAsia="方正仿宋_GBK" w:cs="方正仿宋_GBK"/>
          <w:color w:val="auto"/>
          <w:sz w:val="28"/>
          <w:szCs w:val="28"/>
          <w:highlight w:val="none"/>
          <w:lang w:eastAsia="zh-CN"/>
        </w:rPr>
      </w:pPr>
      <w:r>
        <w:rPr>
          <w:rFonts w:hint="eastAsia" w:ascii="方正仿宋_GBK" w:hAnsi="方正仿宋_GBK" w:eastAsia="方正仿宋_GBK" w:cs="方正仿宋_GBK"/>
          <w:color w:val="auto"/>
          <w:sz w:val="28"/>
          <w:szCs w:val="28"/>
          <w:highlight w:val="none"/>
          <w:lang w:eastAsia="zh-CN"/>
        </w:rPr>
        <w:t>二〇二五年七月三日</w:t>
      </w:r>
    </w:p>
    <w:bookmarkEnd w:id="0"/>
    <w:sectPr>
      <w:footerReference r:id="rId3" w:type="default"/>
      <w:pgSz w:w="11906" w:h="16838"/>
      <w:pgMar w:top="1417" w:right="1474" w:bottom="1701" w:left="1588"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_GBK">
    <w:altName w:val="Arial Unicode MS"/>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8"/>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2F8"/>
    <w:rsid w:val="000254AE"/>
    <w:rsid w:val="00027DED"/>
    <w:rsid w:val="00036ACA"/>
    <w:rsid w:val="00054404"/>
    <w:rsid w:val="00093501"/>
    <w:rsid w:val="000F4026"/>
    <w:rsid w:val="001015A9"/>
    <w:rsid w:val="00117D99"/>
    <w:rsid w:val="001210E9"/>
    <w:rsid w:val="00134704"/>
    <w:rsid w:val="00172A27"/>
    <w:rsid w:val="0018477E"/>
    <w:rsid w:val="001B03F1"/>
    <w:rsid w:val="00210CBC"/>
    <w:rsid w:val="00215F4D"/>
    <w:rsid w:val="0022378B"/>
    <w:rsid w:val="002950CE"/>
    <w:rsid w:val="002B5519"/>
    <w:rsid w:val="002E53B5"/>
    <w:rsid w:val="00301DEC"/>
    <w:rsid w:val="00302E21"/>
    <w:rsid w:val="00320DC0"/>
    <w:rsid w:val="00322D9D"/>
    <w:rsid w:val="00331D47"/>
    <w:rsid w:val="00333F7C"/>
    <w:rsid w:val="00364A6B"/>
    <w:rsid w:val="003659DE"/>
    <w:rsid w:val="00375C14"/>
    <w:rsid w:val="00377341"/>
    <w:rsid w:val="003C3A38"/>
    <w:rsid w:val="003F5A92"/>
    <w:rsid w:val="003F714D"/>
    <w:rsid w:val="00415ACD"/>
    <w:rsid w:val="00420C1A"/>
    <w:rsid w:val="004219EA"/>
    <w:rsid w:val="00435127"/>
    <w:rsid w:val="0049052C"/>
    <w:rsid w:val="004B00E6"/>
    <w:rsid w:val="004F5A03"/>
    <w:rsid w:val="00510DF0"/>
    <w:rsid w:val="00523949"/>
    <w:rsid w:val="005446D3"/>
    <w:rsid w:val="0056336B"/>
    <w:rsid w:val="00567404"/>
    <w:rsid w:val="00574017"/>
    <w:rsid w:val="00596719"/>
    <w:rsid w:val="005A1775"/>
    <w:rsid w:val="005B585A"/>
    <w:rsid w:val="005E1F4B"/>
    <w:rsid w:val="00613E84"/>
    <w:rsid w:val="006634F2"/>
    <w:rsid w:val="006701EE"/>
    <w:rsid w:val="00676C4C"/>
    <w:rsid w:val="00690299"/>
    <w:rsid w:val="006D1766"/>
    <w:rsid w:val="006D7F73"/>
    <w:rsid w:val="006E7AD0"/>
    <w:rsid w:val="00722D46"/>
    <w:rsid w:val="00761433"/>
    <w:rsid w:val="00795572"/>
    <w:rsid w:val="007B2485"/>
    <w:rsid w:val="007B4ABD"/>
    <w:rsid w:val="007B6AA5"/>
    <w:rsid w:val="007D04E0"/>
    <w:rsid w:val="007D1928"/>
    <w:rsid w:val="008113D6"/>
    <w:rsid w:val="00814825"/>
    <w:rsid w:val="00823618"/>
    <w:rsid w:val="00856510"/>
    <w:rsid w:val="008713B4"/>
    <w:rsid w:val="00883E73"/>
    <w:rsid w:val="008931D8"/>
    <w:rsid w:val="008C4A1E"/>
    <w:rsid w:val="008E0E95"/>
    <w:rsid w:val="008F5026"/>
    <w:rsid w:val="0090314E"/>
    <w:rsid w:val="00912036"/>
    <w:rsid w:val="00912D9C"/>
    <w:rsid w:val="00934003"/>
    <w:rsid w:val="00936C6B"/>
    <w:rsid w:val="00956E39"/>
    <w:rsid w:val="009710B3"/>
    <w:rsid w:val="009808BD"/>
    <w:rsid w:val="00982ABB"/>
    <w:rsid w:val="009A6FD1"/>
    <w:rsid w:val="009B15C1"/>
    <w:rsid w:val="009C1C25"/>
    <w:rsid w:val="009C6B72"/>
    <w:rsid w:val="009D6C09"/>
    <w:rsid w:val="00A03718"/>
    <w:rsid w:val="00A11155"/>
    <w:rsid w:val="00A2285A"/>
    <w:rsid w:val="00A344C6"/>
    <w:rsid w:val="00A352BB"/>
    <w:rsid w:val="00A47344"/>
    <w:rsid w:val="00A743D0"/>
    <w:rsid w:val="00AA5813"/>
    <w:rsid w:val="00AB4FF1"/>
    <w:rsid w:val="00AC431E"/>
    <w:rsid w:val="00AC545C"/>
    <w:rsid w:val="00AC7203"/>
    <w:rsid w:val="00AD1291"/>
    <w:rsid w:val="00AE09EB"/>
    <w:rsid w:val="00AE0C7C"/>
    <w:rsid w:val="00AE19DC"/>
    <w:rsid w:val="00B0435A"/>
    <w:rsid w:val="00B07195"/>
    <w:rsid w:val="00B144AE"/>
    <w:rsid w:val="00B144D8"/>
    <w:rsid w:val="00B17C07"/>
    <w:rsid w:val="00B34AFA"/>
    <w:rsid w:val="00B36783"/>
    <w:rsid w:val="00B81B5E"/>
    <w:rsid w:val="00B91C50"/>
    <w:rsid w:val="00B94497"/>
    <w:rsid w:val="00BE22FA"/>
    <w:rsid w:val="00BE2425"/>
    <w:rsid w:val="00BE7F4C"/>
    <w:rsid w:val="00C360B8"/>
    <w:rsid w:val="00C45DCA"/>
    <w:rsid w:val="00C47B97"/>
    <w:rsid w:val="00CA1FDE"/>
    <w:rsid w:val="00CA6331"/>
    <w:rsid w:val="00CA7C31"/>
    <w:rsid w:val="00CB3AA8"/>
    <w:rsid w:val="00CB6D45"/>
    <w:rsid w:val="00CF64A7"/>
    <w:rsid w:val="00D05956"/>
    <w:rsid w:val="00D06723"/>
    <w:rsid w:val="00D553A4"/>
    <w:rsid w:val="00D6394C"/>
    <w:rsid w:val="00D71AE5"/>
    <w:rsid w:val="00D7595A"/>
    <w:rsid w:val="00D77B53"/>
    <w:rsid w:val="00D92C38"/>
    <w:rsid w:val="00DE59DF"/>
    <w:rsid w:val="00DF1AF6"/>
    <w:rsid w:val="00DF5E97"/>
    <w:rsid w:val="00E36E87"/>
    <w:rsid w:val="00E52567"/>
    <w:rsid w:val="00E85AE7"/>
    <w:rsid w:val="00E96615"/>
    <w:rsid w:val="00EA0A0B"/>
    <w:rsid w:val="00EC14A3"/>
    <w:rsid w:val="00EC307C"/>
    <w:rsid w:val="00EC761A"/>
    <w:rsid w:val="00ED2CF4"/>
    <w:rsid w:val="00EF7A33"/>
    <w:rsid w:val="00F15D5C"/>
    <w:rsid w:val="00F20DDC"/>
    <w:rsid w:val="00F344B6"/>
    <w:rsid w:val="00F82789"/>
    <w:rsid w:val="00FB2B81"/>
    <w:rsid w:val="00FB3E97"/>
    <w:rsid w:val="00FC0C3B"/>
    <w:rsid w:val="00FF49AD"/>
    <w:rsid w:val="016D154C"/>
    <w:rsid w:val="01CC36E8"/>
    <w:rsid w:val="01E26BE6"/>
    <w:rsid w:val="04847846"/>
    <w:rsid w:val="04926EEA"/>
    <w:rsid w:val="04A93261"/>
    <w:rsid w:val="04B05DA0"/>
    <w:rsid w:val="05472DE1"/>
    <w:rsid w:val="063B17EE"/>
    <w:rsid w:val="06F93AD0"/>
    <w:rsid w:val="07BE5943"/>
    <w:rsid w:val="07CE68AF"/>
    <w:rsid w:val="07F05C45"/>
    <w:rsid w:val="09345EF4"/>
    <w:rsid w:val="0B255C67"/>
    <w:rsid w:val="0F517D3D"/>
    <w:rsid w:val="0FA100CC"/>
    <w:rsid w:val="10B00D84"/>
    <w:rsid w:val="10C51BE9"/>
    <w:rsid w:val="10FA052A"/>
    <w:rsid w:val="129D6F45"/>
    <w:rsid w:val="134B2CBB"/>
    <w:rsid w:val="15D674C3"/>
    <w:rsid w:val="1710464B"/>
    <w:rsid w:val="17204851"/>
    <w:rsid w:val="17D73751"/>
    <w:rsid w:val="183D6952"/>
    <w:rsid w:val="1C400A8A"/>
    <w:rsid w:val="1DE97410"/>
    <w:rsid w:val="1E4D311C"/>
    <w:rsid w:val="1E9935CB"/>
    <w:rsid w:val="1ED16BFD"/>
    <w:rsid w:val="2286505E"/>
    <w:rsid w:val="275638B1"/>
    <w:rsid w:val="29B81E94"/>
    <w:rsid w:val="2AB82B50"/>
    <w:rsid w:val="2B8706D4"/>
    <w:rsid w:val="2B9E5278"/>
    <w:rsid w:val="2CAB40B0"/>
    <w:rsid w:val="2D063C1F"/>
    <w:rsid w:val="2E0269D2"/>
    <w:rsid w:val="2E262354"/>
    <w:rsid w:val="2E400E52"/>
    <w:rsid w:val="2E7B5830"/>
    <w:rsid w:val="2F4844E1"/>
    <w:rsid w:val="31146918"/>
    <w:rsid w:val="316745E4"/>
    <w:rsid w:val="322700D8"/>
    <w:rsid w:val="32327FB7"/>
    <w:rsid w:val="327846E1"/>
    <w:rsid w:val="331F1D83"/>
    <w:rsid w:val="345F76BB"/>
    <w:rsid w:val="34617498"/>
    <w:rsid w:val="34844816"/>
    <w:rsid w:val="348B1501"/>
    <w:rsid w:val="38AA1338"/>
    <w:rsid w:val="38BE78B6"/>
    <w:rsid w:val="3AD10855"/>
    <w:rsid w:val="3B844FC3"/>
    <w:rsid w:val="3C7D501E"/>
    <w:rsid w:val="3C8A4A33"/>
    <w:rsid w:val="3D15159A"/>
    <w:rsid w:val="3E8D761E"/>
    <w:rsid w:val="40137CD8"/>
    <w:rsid w:val="41DB6CDC"/>
    <w:rsid w:val="4305072E"/>
    <w:rsid w:val="43961220"/>
    <w:rsid w:val="43D726ED"/>
    <w:rsid w:val="44AC638D"/>
    <w:rsid w:val="44BF7B3E"/>
    <w:rsid w:val="48180EC3"/>
    <w:rsid w:val="488B5053"/>
    <w:rsid w:val="48900DFE"/>
    <w:rsid w:val="48A87DFD"/>
    <w:rsid w:val="48C85B69"/>
    <w:rsid w:val="49524730"/>
    <w:rsid w:val="49E94EA5"/>
    <w:rsid w:val="4A1600AB"/>
    <w:rsid w:val="4D214359"/>
    <w:rsid w:val="4EC3110F"/>
    <w:rsid w:val="4FCC7018"/>
    <w:rsid w:val="51CA674F"/>
    <w:rsid w:val="551556A5"/>
    <w:rsid w:val="57373461"/>
    <w:rsid w:val="57387A07"/>
    <w:rsid w:val="591C1F0F"/>
    <w:rsid w:val="5955103B"/>
    <w:rsid w:val="5A8A4CBE"/>
    <w:rsid w:val="5ABE11E5"/>
    <w:rsid w:val="5C221994"/>
    <w:rsid w:val="5D616087"/>
    <w:rsid w:val="5DAB7495"/>
    <w:rsid w:val="5DD03E9A"/>
    <w:rsid w:val="5DDA08C0"/>
    <w:rsid w:val="5E6A505B"/>
    <w:rsid w:val="5EA6433E"/>
    <w:rsid w:val="5FD8752A"/>
    <w:rsid w:val="605D0B07"/>
    <w:rsid w:val="619069E4"/>
    <w:rsid w:val="61A43E47"/>
    <w:rsid w:val="61D32AA7"/>
    <w:rsid w:val="62590EEE"/>
    <w:rsid w:val="63D246D5"/>
    <w:rsid w:val="657B1ECE"/>
    <w:rsid w:val="65BE5F0E"/>
    <w:rsid w:val="65C54315"/>
    <w:rsid w:val="668132AE"/>
    <w:rsid w:val="67984D1F"/>
    <w:rsid w:val="69FC0912"/>
    <w:rsid w:val="6B4F740A"/>
    <w:rsid w:val="6CDC3F99"/>
    <w:rsid w:val="6E0B3D90"/>
    <w:rsid w:val="6E174ABE"/>
    <w:rsid w:val="6E4421C8"/>
    <w:rsid w:val="6F3C360D"/>
    <w:rsid w:val="6FCB6B6F"/>
    <w:rsid w:val="70E87B45"/>
    <w:rsid w:val="728A7A7F"/>
    <w:rsid w:val="72DC2C95"/>
    <w:rsid w:val="73371EB5"/>
    <w:rsid w:val="738D11D5"/>
    <w:rsid w:val="73EB05B6"/>
    <w:rsid w:val="75547C11"/>
    <w:rsid w:val="76F96261"/>
    <w:rsid w:val="77241A7F"/>
    <w:rsid w:val="7775511A"/>
    <w:rsid w:val="77B27FD8"/>
    <w:rsid w:val="7900137C"/>
    <w:rsid w:val="795F54B7"/>
    <w:rsid w:val="79694FB7"/>
    <w:rsid w:val="79DD245A"/>
    <w:rsid w:val="7A8B1291"/>
    <w:rsid w:val="7D413E44"/>
    <w:rsid w:val="7D5B08FD"/>
    <w:rsid w:val="7D7B6AB0"/>
    <w:rsid w:val="7DD00DBF"/>
    <w:rsid w:val="7E623ABB"/>
    <w:rsid w:val="7F634127"/>
    <w:rsid w:val="7FA139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unhideWhenUsed/>
    <w:qFormat/>
    <w:uiPriority w:val="99"/>
    <w:pPr>
      <w:ind w:left="100" w:leftChars="2500"/>
    </w:pPr>
  </w:style>
  <w:style w:type="paragraph" w:styleId="3">
    <w:name w:val="footer"/>
    <w:basedOn w:val="1"/>
    <w:link w:val="12"/>
    <w:unhideWhenUsed/>
    <w:qFormat/>
    <w:uiPriority w:val="99"/>
    <w:pPr>
      <w:tabs>
        <w:tab w:val="center" w:pos="4153"/>
        <w:tab w:val="right" w:pos="8306"/>
      </w:tabs>
      <w:snapToGrid w:val="0"/>
      <w:jc w:val="left"/>
    </w:pPr>
    <w:rPr>
      <w:kern w:val="0"/>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FollowedHyperlink"/>
    <w:basedOn w:val="8"/>
    <w:semiHidden/>
    <w:unhideWhenUsed/>
    <w:qFormat/>
    <w:uiPriority w:val="99"/>
    <w:rPr>
      <w:color w:val="800080"/>
      <w:u w:val="single"/>
    </w:rPr>
  </w:style>
  <w:style w:type="character" w:styleId="10">
    <w:name w:val="Hyperlink"/>
    <w:basedOn w:val="8"/>
    <w:unhideWhenUsed/>
    <w:qFormat/>
    <w:uiPriority w:val="99"/>
    <w:rPr>
      <w:color w:val="0000FF"/>
      <w:u w:val="single"/>
    </w:rPr>
  </w:style>
  <w:style w:type="character" w:customStyle="1" w:styleId="11">
    <w:name w:val="日期 Char"/>
    <w:link w:val="2"/>
    <w:semiHidden/>
    <w:qFormat/>
    <w:uiPriority w:val="99"/>
    <w:rPr>
      <w:rFonts w:ascii="Times New Roman" w:hAnsi="Times New Roman"/>
      <w:kern w:val="2"/>
      <w:sz w:val="21"/>
    </w:rPr>
  </w:style>
  <w:style w:type="character" w:customStyle="1" w:styleId="12">
    <w:name w:val="页脚 Char"/>
    <w:link w:val="3"/>
    <w:qFormat/>
    <w:uiPriority w:val="99"/>
    <w:rPr>
      <w:rFonts w:ascii="Times New Roman" w:hAnsi="Times New Roman" w:eastAsia="宋体" w:cs="Times New Roman"/>
      <w:sz w:val="18"/>
      <w:szCs w:val="18"/>
    </w:rPr>
  </w:style>
  <w:style w:type="character" w:customStyle="1" w:styleId="13">
    <w:name w:val="页眉 Char"/>
    <w:link w:val="4"/>
    <w:semiHidden/>
    <w:qFormat/>
    <w:uiPriority w:val="99"/>
    <w:rPr>
      <w:rFonts w:ascii="Times New Roman" w:hAnsi="Times New Roman" w:eastAsia="宋体" w:cs="Times New Roman"/>
      <w:sz w:val="18"/>
      <w:szCs w:val="18"/>
    </w:rPr>
  </w:style>
  <w:style w:type="paragraph" w:customStyle="1" w:styleId="1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5">
    <w:name w:val="xl10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b/>
      <w:bCs/>
      <w:kern w:val="0"/>
      <w:szCs w:val="21"/>
    </w:rPr>
  </w:style>
  <w:style w:type="paragraph" w:customStyle="1" w:styleId="16">
    <w:name w:val="样式13"/>
    <w:qFormat/>
    <w:uiPriority w:val="0"/>
    <w:pPr>
      <w:spacing w:line="360" w:lineRule="auto"/>
      <w:ind w:right="-58"/>
      <w:jc w:val="center"/>
    </w:pPr>
    <w:rPr>
      <w:rFonts w:ascii="仿宋_GB2312" w:hAnsi="宋体" w:eastAsia="仿宋_GB2312" w:cs="Times New Roman"/>
      <w:b/>
      <w:kern w:val="2"/>
      <w:sz w:val="36"/>
      <w:szCs w:val="36"/>
      <w:lang w:val="en-US" w:eastAsia="zh-CN" w:bidi="ar-SA"/>
    </w:rPr>
  </w:style>
  <w:style w:type="paragraph" w:customStyle="1" w:styleId="17">
    <w:name w:val="xl104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8">
    <w:name w:val="xl10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9">
    <w:name w:val="xl10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0">
    <w:name w:val="样式15"/>
    <w:basedOn w:val="1"/>
    <w:qFormat/>
    <w:uiPriority w:val="0"/>
    <w:pPr>
      <w:spacing w:line="360" w:lineRule="auto"/>
      <w:ind w:right="-58" w:firstLine="640" w:firstLineChars="200"/>
    </w:pPr>
    <w:rPr>
      <w:rFonts w:ascii="仿宋_GB2312" w:hAnsi="宋体" w:eastAsia="仿宋_GB2312"/>
      <w:sz w:val="32"/>
      <w:szCs w:val="32"/>
    </w:rPr>
  </w:style>
  <w:style w:type="paragraph" w:customStyle="1" w:styleId="21">
    <w:name w:val="xl1049"/>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0"/>
    </w:rPr>
  </w:style>
  <w:style w:type="paragraph" w:customStyle="1" w:styleId="22">
    <w:name w:val="xl10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3">
    <w:name w:val="xl105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rPr>
  </w:style>
  <w:style w:type="paragraph" w:customStyle="1" w:styleId="24">
    <w:name w:val="xl10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character" w:customStyle="1" w:styleId="25">
    <w:name w:val="font11"/>
    <w:basedOn w:val="8"/>
    <w:qFormat/>
    <w:uiPriority w:val="0"/>
    <w:rPr>
      <w:rFonts w:hint="eastAsia" w:ascii="宋体" w:hAnsi="宋体" w:eastAsia="宋体"/>
      <w:color w:val="000000"/>
      <w:sz w:val="20"/>
      <w:szCs w:val="20"/>
      <w:u w:val="none"/>
    </w:rPr>
  </w:style>
  <w:style w:type="paragraph" w:customStyle="1" w:styleId="26">
    <w:name w:val="xl65"/>
    <w:basedOn w:val="1"/>
    <w:qFormat/>
    <w:uiPriority w:val="0"/>
    <w:pPr>
      <w:widowControl/>
      <w:spacing w:before="100" w:beforeAutospacing="1" w:after="100" w:afterAutospacing="1"/>
      <w:jc w:val="left"/>
    </w:pPr>
    <w:rPr>
      <w:rFonts w:ascii="宋体" w:hAnsi="宋体" w:cs="宋体"/>
      <w:b/>
      <w:bCs/>
      <w:kern w:val="0"/>
      <w:sz w:val="24"/>
      <w:szCs w:val="24"/>
    </w:rPr>
  </w:style>
  <w:style w:type="paragraph" w:customStyle="1" w:styleId="27">
    <w:name w:val="xl66"/>
    <w:basedOn w:val="1"/>
    <w:qFormat/>
    <w:uiPriority w:val="0"/>
    <w:pPr>
      <w:widowControl/>
      <w:pBdr>
        <w:bottom w:val="single" w:color="95B3D7" w:sz="4" w:space="0"/>
      </w:pBdr>
      <w:spacing w:before="100" w:beforeAutospacing="1" w:after="100" w:afterAutospacing="1"/>
      <w:jc w:val="left"/>
    </w:pPr>
    <w:rPr>
      <w:rFonts w:ascii="宋体" w:hAnsi="宋体" w:cs="宋体"/>
      <w:b/>
      <w:bCs/>
      <w:kern w:val="0"/>
      <w:sz w:val="24"/>
      <w:szCs w:val="24"/>
    </w:rPr>
  </w:style>
  <w:style w:type="paragraph" w:customStyle="1" w:styleId="28">
    <w:name w:val="xl4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方正黑体_GBK" w:hAnsi="宋体" w:eastAsia="方正黑体_GBK" w:cs="宋体"/>
      <w:b/>
      <w:bCs/>
      <w:kern w:val="0"/>
      <w:sz w:val="20"/>
    </w:rPr>
  </w:style>
  <w:style w:type="paragraph" w:customStyle="1" w:styleId="29">
    <w:name w:val="xl4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方正黑体_GBK" w:hAnsi="宋体" w:eastAsia="方正黑体_GBK" w:cs="宋体"/>
      <w:b/>
      <w:bCs/>
      <w:kern w:val="0"/>
      <w:sz w:val="20"/>
    </w:rPr>
  </w:style>
  <w:style w:type="paragraph" w:customStyle="1" w:styleId="30">
    <w:name w:val="xl4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方正仿宋_GBK" w:hAnsi="宋体" w:eastAsia="方正仿宋_GBK" w:cs="宋体"/>
      <w:color w:val="000000"/>
      <w:kern w:val="0"/>
      <w:sz w:val="20"/>
    </w:rPr>
  </w:style>
  <w:style w:type="paragraph" w:customStyle="1" w:styleId="31">
    <w:name w:val="xl4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方正仿宋_GBK" w:hAnsi="宋体" w:eastAsia="方正仿宋_GBK" w:cs="宋体"/>
      <w:kern w:val="0"/>
      <w:sz w:val="20"/>
    </w:rPr>
  </w:style>
  <w:style w:type="paragraph" w:customStyle="1" w:styleId="32">
    <w:name w:val="xl4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方正仿宋_GBK" w:hAnsi="宋体" w:eastAsia="方正仿宋_GBK" w:cs="宋体"/>
      <w:kern w:val="0"/>
      <w:sz w:val="20"/>
    </w:rPr>
  </w:style>
  <w:style w:type="paragraph" w:customStyle="1" w:styleId="33">
    <w:name w:val="xl4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方正黑体_GBK" w:hAnsi="宋体" w:eastAsia="方正黑体_GBK" w:cs="宋体"/>
      <w:b/>
      <w:bCs/>
      <w:color w:val="000000"/>
      <w:kern w:val="0"/>
      <w:sz w:val="20"/>
    </w:rPr>
  </w:style>
  <w:style w:type="paragraph" w:customStyle="1" w:styleId="34">
    <w:name w:val="xl48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方正仿宋_GBK" w:hAnsi="宋体" w:eastAsia="方正仿宋_GBK" w:cs="宋体"/>
      <w:color w:val="000000"/>
      <w:kern w:val="0"/>
      <w:sz w:val="20"/>
    </w:rPr>
  </w:style>
  <w:style w:type="paragraph" w:customStyle="1" w:styleId="35">
    <w:name w:val="xl490"/>
    <w:basedOn w:val="1"/>
    <w:qFormat/>
    <w:uiPriority w:val="0"/>
    <w:pPr>
      <w:widowControl/>
      <w:pBdr>
        <w:top w:val="single" w:color="auto" w:sz="4" w:space="0"/>
        <w:bottom w:val="single" w:color="auto" w:sz="4" w:space="0"/>
      </w:pBdr>
      <w:spacing w:before="100" w:beforeAutospacing="1" w:after="100" w:afterAutospacing="1"/>
      <w:jc w:val="center"/>
    </w:pPr>
    <w:rPr>
      <w:rFonts w:ascii="方正仿宋_GBK" w:hAnsi="宋体" w:eastAsia="方正仿宋_GBK" w:cs="宋体"/>
      <w:color w:val="000000"/>
      <w:kern w:val="0"/>
      <w:sz w:val="20"/>
    </w:rPr>
  </w:style>
  <w:style w:type="paragraph" w:customStyle="1" w:styleId="36">
    <w:name w:val="xl49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方正仿宋_GBK" w:hAnsi="宋体" w:eastAsia="方正仿宋_GBK" w:cs="宋体"/>
      <w:color w:val="000000"/>
      <w:kern w:val="0"/>
      <w:sz w:val="20"/>
    </w:rPr>
  </w:style>
  <w:style w:type="paragraph" w:customStyle="1" w:styleId="37">
    <w:name w:val="xl4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方正仿宋_GBK" w:hAnsi="宋体" w:eastAsia="方正仿宋_GBK" w:cs="宋体"/>
      <w:color w:val="000000"/>
      <w:kern w:val="0"/>
      <w:sz w:val="20"/>
    </w:rPr>
  </w:style>
  <w:style w:type="character" w:customStyle="1" w:styleId="38">
    <w:name w:val="font21"/>
    <w:basedOn w:val="8"/>
    <w:qFormat/>
    <w:uiPriority w:val="0"/>
    <w:rPr>
      <w:rFonts w:hint="default" w:ascii="方正仿宋_GBK" w:hAnsi="方正仿宋_GBK" w:eastAsia="方正仿宋_GBK" w:cs="方正仿宋_GBK"/>
      <w:color w:val="000000"/>
      <w:sz w:val="20"/>
      <w:szCs w:val="20"/>
      <w:u w:val="none"/>
    </w:rPr>
  </w:style>
  <w:style w:type="character" w:customStyle="1" w:styleId="39">
    <w:name w:val="font51"/>
    <w:basedOn w:val="8"/>
    <w:qFormat/>
    <w:uiPriority w:val="0"/>
    <w:rPr>
      <w:rFonts w:hint="eastAsia" w:ascii="宋体" w:hAnsi="宋体" w:eastAsia="宋体" w:cs="宋体"/>
      <w:color w:val="000000"/>
      <w:sz w:val="20"/>
      <w:szCs w:val="20"/>
      <w:u w:val="none"/>
    </w:rPr>
  </w:style>
  <w:style w:type="character" w:customStyle="1" w:styleId="40">
    <w:name w:val="font71"/>
    <w:basedOn w:val="8"/>
    <w:qFormat/>
    <w:uiPriority w:val="0"/>
    <w:rPr>
      <w:rFonts w:hint="eastAsia" w:ascii="宋体" w:hAnsi="宋体" w:eastAsia="宋体" w:cs="宋体"/>
      <w:color w:val="000000"/>
      <w:sz w:val="20"/>
      <w:szCs w:val="20"/>
      <w:u w:val="none"/>
    </w:rPr>
  </w:style>
  <w:style w:type="character" w:customStyle="1" w:styleId="41">
    <w:name w:val="font91"/>
    <w:basedOn w:val="8"/>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156CB-812B-4CD1-A4D7-A284AA713CF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5705</Words>
  <Characters>6857</Characters>
  <Lines>85</Lines>
  <Paragraphs>24</Paragraphs>
  <TotalTime>3</TotalTime>
  <ScaleCrop>false</ScaleCrop>
  <LinksUpToDate>false</LinksUpToDate>
  <CharactersWithSpaces>6880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2021-09-03T00:42:00Z</dcterms:created>
  <dc:creator>dongyanyan</dc:creator>
  <cp:lastModifiedBy>yyj</cp:lastModifiedBy>
  <cp:lastPrinted>2020-12-08T02:58:00Z</cp:lastPrinted>
  <dcterms:modified xsi:type="dcterms:W3CDTF">2025-07-03T02:54:11Z</dcterms:modified>
  <dc:title>国网山东省电力公司2018年第一批物资招标采购推荐的中标候选人公示</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32ED3212128D466FA2047FF3935021FA</vt:lpwstr>
  </property>
</Properties>
</file>