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sz w:val="32"/>
          <w:szCs w:val="32"/>
        </w:rPr>
        <w:t>昌吉职业技术</w:t>
      </w:r>
      <w:r>
        <w:rPr>
          <w:rFonts w:hint="eastAsia" w:ascii="方正小标宋简体" w:hAnsi="方正小标宋简体" w:eastAsia="方正小标宋简体" w:cs="方正小标宋简体"/>
          <w:color w:val="auto"/>
          <w:sz w:val="32"/>
          <w:szCs w:val="32"/>
        </w:rPr>
        <w:t>学院</w:t>
      </w:r>
      <w:r>
        <w:rPr>
          <w:rFonts w:hint="eastAsia" w:ascii="方正小标宋简体" w:hAnsi="方正小标宋简体" w:eastAsia="方正小标宋简体" w:cs="方正小标宋简体"/>
          <w:color w:val="auto"/>
          <w:sz w:val="32"/>
          <w:szCs w:val="32"/>
          <w:lang w:val="en-US" w:eastAsia="zh-CN"/>
        </w:rPr>
        <w:t>红色情景剧各类演出服</w:t>
      </w:r>
      <w:r>
        <w:rPr>
          <w:rFonts w:hint="eastAsia" w:ascii="方正小标宋_GBK" w:hAnsi="方正小标宋_GBK" w:eastAsia="方正小标宋_GBK" w:cs="方正小标宋_GBK"/>
          <w:color w:val="auto"/>
          <w:sz w:val="32"/>
          <w:szCs w:val="32"/>
          <w:lang w:val="en-US" w:eastAsia="zh-CN"/>
        </w:rPr>
        <w:t>项目采购需求</w:t>
      </w: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default" w:ascii="方正小标宋_GBK" w:hAnsi="方正小标宋_GBK" w:eastAsia="方正小标宋_GBK" w:cs="方正小标宋_GBK"/>
          <w:b/>
          <w:bCs/>
          <w:color w:val="auto"/>
          <w:sz w:val="32"/>
          <w:szCs w:val="32"/>
          <w:lang w:val="en-US" w:eastAsia="zh-CN"/>
        </w:rPr>
      </w:pPr>
      <w:r>
        <w:rPr>
          <w:rFonts w:hint="eastAsia" w:ascii="仿宋" w:hAnsi="仿宋" w:eastAsia="仿宋" w:cs="仿宋"/>
          <w:b/>
          <w:bCs/>
          <w:color w:val="auto"/>
          <w:sz w:val="24"/>
          <w:szCs w:val="24"/>
        </w:rPr>
        <w:t>一、项目信息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jc w:val="left"/>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项目名称</w:t>
      </w:r>
      <w:r>
        <w:rPr>
          <w:rFonts w:hint="eastAsia" w:ascii="仿宋" w:hAnsi="仿宋" w:eastAsia="仿宋" w:cs="仿宋"/>
          <w:color w:val="auto"/>
          <w:spacing w:val="-6"/>
          <w:sz w:val="24"/>
          <w:szCs w:val="24"/>
          <w:lang w:eastAsia="zh-CN"/>
        </w:rPr>
        <w:t>：</w:t>
      </w:r>
      <w:r>
        <w:rPr>
          <w:rFonts w:hint="eastAsia" w:ascii="仿宋" w:hAnsi="仿宋" w:eastAsia="仿宋" w:cs="仿宋"/>
          <w:color w:val="auto"/>
          <w:spacing w:val="-6"/>
          <w:sz w:val="24"/>
          <w:szCs w:val="24"/>
        </w:rPr>
        <w:t>昌吉职业技术学院</w:t>
      </w:r>
      <w:r>
        <w:rPr>
          <w:rFonts w:hint="eastAsia" w:ascii="仿宋" w:hAnsi="仿宋" w:eastAsia="仿宋" w:cs="仿宋"/>
          <w:color w:val="auto"/>
          <w:spacing w:val="-6"/>
          <w:sz w:val="24"/>
          <w:szCs w:val="24"/>
          <w:lang w:val="en-US" w:eastAsia="zh-CN"/>
        </w:rPr>
        <w:t>红色情景剧各类演出服采购</w:t>
      </w:r>
      <w:r>
        <w:rPr>
          <w:rFonts w:hint="eastAsia" w:ascii="仿宋" w:hAnsi="仿宋" w:eastAsia="仿宋" w:cs="仿宋"/>
          <w:color w:val="auto"/>
          <w:spacing w:val="-6"/>
          <w:sz w:val="24"/>
          <w:szCs w:val="24"/>
        </w:rPr>
        <w:t>项目</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w:t>
      </w:r>
      <w:r>
        <w:rPr>
          <w:rFonts w:hint="eastAsia" w:ascii="仿宋" w:hAnsi="仿宋" w:eastAsia="仿宋" w:cs="仿宋"/>
          <w:color w:val="auto"/>
          <w:sz w:val="24"/>
          <w:szCs w:val="24"/>
          <w:lang w:val="en-US" w:eastAsia="zh-CN"/>
        </w:rPr>
        <w:t>金额</w:t>
      </w: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6630</w:t>
      </w:r>
      <w:r>
        <w:rPr>
          <w:rFonts w:hint="eastAsia" w:ascii="仿宋" w:hAnsi="仿宋" w:eastAsia="仿宋" w:cs="仿宋"/>
          <w:color w:val="auto"/>
          <w:sz w:val="24"/>
          <w:szCs w:val="24"/>
        </w:rPr>
        <w:t>元</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Style w:val="14"/>
          <w:rFonts w:hint="eastAsia" w:ascii="仿宋" w:hAnsi="仿宋" w:eastAsia="仿宋" w:cs="仿宋"/>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需求部门及</w:t>
      </w:r>
      <w:r>
        <w:rPr>
          <w:rStyle w:val="15"/>
          <w:rFonts w:hint="eastAsia" w:ascii="仿宋" w:hAnsi="仿宋" w:eastAsia="仿宋" w:cs="仿宋"/>
          <w:color w:val="auto"/>
          <w:sz w:val="24"/>
          <w:szCs w:val="24"/>
          <w:lang w:val="en-US" w:eastAsia="zh-CN" w:bidi="ar"/>
        </w:rPr>
        <w:t>经办人</w:t>
      </w:r>
      <w:r>
        <w:rPr>
          <w:rFonts w:hint="eastAsia" w:ascii="仿宋" w:hAnsi="仿宋" w:eastAsia="仿宋" w:cs="仿宋"/>
          <w:color w:val="auto"/>
          <w:sz w:val="24"/>
          <w:szCs w:val="24"/>
        </w:rPr>
        <w:t>联系方式：</w:t>
      </w:r>
      <w:r>
        <w:rPr>
          <w:rStyle w:val="14"/>
          <w:rFonts w:hint="eastAsia" w:ascii="仿宋" w:hAnsi="仿宋" w:eastAsia="仿宋" w:cs="仿宋"/>
          <w:color w:val="auto"/>
          <w:sz w:val="24"/>
          <w:szCs w:val="24"/>
          <w:lang w:val="en-US" w:eastAsia="zh-CN" w:bidi="ar"/>
        </w:rPr>
        <w:t>团委  姜圣咚17767638667</w:t>
      </w:r>
      <w:r>
        <w:rPr>
          <w:rStyle w:val="14"/>
          <w:rFonts w:hint="eastAsia" w:ascii="仿宋" w:hAnsi="仿宋" w:eastAsia="仿宋" w:cs="仿宋"/>
          <w:sz w:val="24"/>
          <w:szCs w:val="24"/>
          <w:lang w:val="en-US" w:eastAsia="zh-CN" w:bidi="ar"/>
        </w:rPr>
        <w:t xml:space="preserve">    </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w:t>
      </w:r>
      <w:r>
        <w:rPr>
          <w:rFonts w:hint="eastAsia" w:ascii="仿宋" w:hAnsi="仿宋" w:eastAsia="仿宋" w:cs="仿宋"/>
          <w:color w:val="auto"/>
          <w:sz w:val="24"/>
          <w:szCs w:val="24"/>
        </w:rPr>
        <w:t>联系人及联系方式：虞老师 0994-2331451 </w:t>
      </w:r>
      <w:r>
        <w:rPr>
          <w:rFonts w:hint="eastAsia" w:ascii="仿宋" w:hAnsi="仿宋" w:eastAsia="仿宋" w:cs="仿宋"/>
          <w:color w:val="auto"/>
          <w:sz w:val="24"/>
          <w:szCs w:val="24"/>
          <w:lang w:val="en-US" w:eastAsia="zh-CN"/>
        </w:rPr>
        <w:t>\13899634567</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供应商资质要求：符合《中华人民共和国政府采购法》第二十二条的规定</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供应商基本要求：</w:t>
      </w:r>
      <w:bookmarkStart w:id="0" w:name="OLE_LINK1"/>
      <w:r>
        <w:rPr>
          <w:rFonts w:hint="eastAsia" w:ascii="仿宋" w:hAnsi="仿宋" w:eastAsia="仿宋" w:cs="仿宋"/>
          <w:color w:val="auto"/>
          <w:sz w:val="24"/>
          <w:szCs w:val="24"/>
        </w:rPr>
        <w:t>必须上传营业执照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32"/>
        </w:rPr>
        <w:t>法定代</w:t>
      </w:r>
      <w:r>
        <w:rPr>
          <w:rFonts w:hint="eastAsia" w:ascii="仿宋" w:hAnsi="仿宋" w:eastAsia="仿宋" w:cs="仿宋"/>
          <w:sz w:val="24"/>
          <w:szCs w:val="32"/>
        </w:rPr>
        <w:t>表人授权委托书原件(法定代表人本人投标时除外)及被授权人（或法定代表人）《居民身份证》原件或具有同等法律效力的证明文件（发证机关或公证机关出具的证明材料原件）</w:t>
      </w:r>
      <w:r>
        <w:rPr>
          <w:rFonts w:hint="eastAsia" w:ascii="仿宋" w:hAnsi="仿宋" w:eastAsia="仿宋" w:cs="仿宋"/>
          <w:sz w:val="24"/>
          <w:szCs w:val="32"/>
          <w:lang w:eastAsia="zh-CN"/>
        </w:rPr>
        <w:t>、</w:t>
      </w:r>
      <w:r>
        <w:rPr>
          <w:rFonts w:hint="eastAsia" w:ascii="仿宋" w:hAnsi="仿宋" w:eastAsia="仿宋" w:cs="仿宋"/>
          <w:sz w:val="24"/>
          <w:szCs w:val="24"/>
        </w:rPr>
        <w:t>报价单、技术参数、售后服务承诺函及要求上传的其他</w:t>
      </w:r>
      <w:r>
        <w:rPr>
          <w:rFonts w:hint="eastAsia" w:ascii="仿宋" w:hAnsi="仿宋" w:eastAsia="仿宋" w:cs="仿宋"/>
          <w:sz w:val="24"/>
          <w:szCs w:val="24"/>
          <w:lang w:bidi="ar"/>
        </w:rPr>
        <w:t>证明资料并</w:t>
      </w:r>
      <w:r>
        <w:rPr>
          <w:rFonts w:hint="eastAsia" w:ascii="仿宋" w:hAnsi="仿宋" w:eastAsia="仿宋" w:cs="仿宋"/>
          <w:sz w:val="24"/>
          <w:szCs w:val="24"/>
        </w:rPr>
        <w:t>加盖投标人公章</w:t>
      </w:r>
      <w:r>
        <w:rPr>
          <w:rFonts w:hint="eastAsia" w:ascii="仿宋" w:hAnsi="仿宋" w:eastAsia="仿宋" w:cs="仿宋"/>
          <w:sz w:val="24"/>
          <w:szCs w:val="24"/>
          <w:lang w:bidi="ar"/>
        </w:rPr>
        <w:t>；</w:t>
      </w:r>
      <w:r>
        <w:rPr>
          <w:rFonts w:hint="eastAsia" w:ascii="仿宋" w:hAnsi="仿宋" w:eastAsia="仿宋" w:cs="仿宋"/>
          <w:sz w:val="24"/>
          <w:szCs w:val="24"/>
        </w:rPr>
        <w:t>以上资料必须以PDF格式做在一个文档里上传（不要分别上传），否则以“未按要求上传资料”审核为“不符合”。</w:t>
      </w:r>
    </w:p>
    <w:bookmarkEnd w:id="0"/>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w:t>
      </w:r>
      <w:bookmarkStart w:id="1" w:name="OLE_LINK2"/>
      <w:r>
        <w:rPr>
          <w:rFonts w:hint="eastAsia" w:ascii="仿宋" w:hAnsi="仿宋" w:eastAsia="仿宋" w:cs="仿宋"/>
          <w:b/>
          <w:bCs/>
          <w:color w:val="auto"/>
          <w:sz w:val="24"/>
          <w:szCs w:val="24"/>
          <w:lang w:val="en-US" w:eastAsia="zh-CN"/>
        </w:rPr>
        <w:t>商务要求及说明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1.供应商所投产品设备</w:t>
      </w:r>
      <w:r>
        <w:rPr>
          <w:rFonts w:hint="eastAsia" w:ascii="仿宋" w:hAnsi="仿宋" w:eastAsia="仿宋" w:cs="仿宋"/>
          <w:color w:val="auto"/>
          <w:sz w:val="24"/>
          <w:szCs w:val="24"/>
          <w:lang w:val="en-US" w:eastAsia="zh-CN"/>
        </w:rPr>
        <w:t>带★符号技术参数为重要指标，如不满足将视其为无效投标。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2.供货单位须采取足以保护标的物且有利于节约资源、保</w:t>
      </w:r>
      <w:r>
        <w:rPr>
          <w:rFonts w:hint="eastAsia" w:ascii="仿宋" w:hAnsi="仿宋" w:eastAsia="仿宋" w:cs="仿宋"/>
          <w:color w:val="auto"/>
          <w:kern w:val="2"/>
          <w:sz w:val="24"/>
          <w:szCs w:val="24"/>
          <w:lang w:val="en-US" w:eastAsia="zh-CN" w:bidi="ar-SA"/>
        </w:rPr>
        <w:t>护生态环境的包装方式，在包装和运输过程中确保设备安全可靠、性能稳定。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产品的质量保证期需为产品交付甲方之日起，提供所供设备的服务。在质量保证期内，如由于乙方提供的产品硬件有缺陷而使产品不能达到规定的质量标准和技术性能，乙方应负责免费修理或更换有缺陷的硬件，经修理或更换的硬件或软件的质保期从更换之日起重新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4.履行本合同的过程中，确因在现有水平和条件下难以克服的技术困难，导致部分或全部失败所造成的损失，风险责任由卖方全部承担。达不到项目规定的技术指标，卖方应当承担违约责任。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5.完成时间：政采云成交后3个日历日内完成安装、调试。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6.付款方式：所有仪器设备安装调试完毕，经甲乙双方验收合格后45个工作日内付清合同款项。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7.质保期：壹年。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r>
        <w:rPr>
          <w:rFonts w:hint="eastAsia" w:ascii="仿宋" w:hAnsi="仿宋" w:eastAsia="仿宋" w:cs="仿宋"/>
          <w:b w:val="0"/>
          <w:bCs w:val="0"/>
          <w:color w:val="auto"/>
          <w:kern w:val="2"/>
          <w:sz w:val="24"/>
          <w:szCs w:val="24"/>
          <w:lang w:val="en-US" w:eastAsia="zh-CN" w:bidi="ar-SA"/>
        </w:rPr>
        <w:t>项目地址：</w:t>
      </w:r>
      <w:r>
        <w:rPr>
          <w:rFonts w:hint="eastAsia" w:ascii="仿宋" w:hAnsi="仿宋" w:eastAsia="仿宋" w:cs="仿宋"/>
          <w:color w:val="auto"/>
          <w:kern w:val="2"/>
          <w:sz w:val="24"/>
          <w:szCs w:val="24"/>
          <w:lang w:val="en-US" w:eastAsia="zh-CN" w:bidi="ar-SA"/>
        </w:rPr>
        <w:t xml:space="preserve">昌吉职业技术学院新校区（昌吉高新技术产业开发区兴业大道8号）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9.其他说明：</w:t>
      </w:r>
      <w:r>
        <w:rPr>
          <w:rFonts w:hint="eastAsia" w:ascii="仿宋" w:hAnsi="仿宋" w:eastAsia="仿宋" w:cs="仿宋"/>
          <w:color w:val="auto"/>
          <w:kern w:val="2"/>
          <w:sz w:val="24"/>
          <w:szCs w:val="24"/>
          <w:lang w:val="en-US" w:eastAsia="zh-CN" w:bidi="ar-SA"/>
        </w:rPr>
        <w:t>此采购项目为交钥匙项目，报价含发票税费、运输、安装、调试、培训指导及其它所有费用。</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三、</w:t>
      </w:r>
      <w:bookmarkStart w:id="2" w:name="OLE_LINK3"/>
      <w:r>
        <w:rPr>
          <w:rFonts w:hint="eastAsia" w:ascii="仿宋" w:hAnsi="仿宋" w:eastAsia="仿宋" w:cs="仿宋"/>
          <w:b/>
          <w:bCs/>
          <w:color w:val="auto"/>
          <w:kern w:val="2"/>
          <w:sz w:val="24"/>
          <w:szCs w:val="24"/>
          <w:lang w:val="en-US" w:eastAsia="zh-CN" w:bidi="ar-SA"/>
        </w:rPr>
        <w:t>履约验收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本合同项下的货物及追加、更换、补充的货物 （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（一)验收的内容：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1.装箱单、质量合格证书、保修证书、产品使用说明书及其它应当随箱的技术资料；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2.该批次货物的招、投标文件中涉及质量、技术、服务、鉴定、检验及验收的全部相关内容或其所指引的内容；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3.一次开箱合格率大于或等于98%；</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4.安装、调试完成后，确认可以正常运行。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（二）履约验收标准：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Hans"/>
        </w:rPr>
        <w:t>甲方所购买的货物运抵</w:t>
      </w:r>
      <w:r>
        <w:rPr>
          <w:rFonts w:hint="eastAsia" w:ascii="仿宋" w:hAnsi="仿宋" w:eastAsia="仿宋" w:cs="仿宋"/>
          <w:color w:val="auto"/>
          <w:sz w:val="24"/>
          <w:szCs w:val="24"/>
          <w:lang w:val="en-US" w:eastAsia="zh-CN"/>
        </w:rPr>
        <w:t>指</w:t>
      </w:r>
      <w:r>
        <w:rPr>
          <w:rFonts w:hint="eastAsia" w:ascii="仿宋" w:hAnsi="仿宋" w:eastAsia="仿宋" w:cs="仿宋"/>
          <w:color w:val="auto"/>
          <w:sz w:val="24"/>
          <w:szCs w:val="24"/>
          <w:lang w:val="en-US" w:eastAsia="zh-Hans"/>
        </w:rPr>
        <w:t>定地点时甲乙双方应共同进行外观和数量验收，如存在货物短缺、外包装破损的甲乙双方应共同应在验收单据上注明同时注明换货时间，并由乙方签章。数量和外观验收之后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Hans"/>
        </w:rPr>
        <w:t>日内，甲方</w:t>
      </w:r>
      <w:r>
        <w:rPr>
          <w:rFonts w:hint="eastAsia" w:ascii="仿宋" w:hAnsi="仿宋" w:eastAsia="仿宋" w:cs="仿宋"/>
          <w:color w:val="auto"/>
          <w:sz w:val="24"/>
          <w:szCs w:val="24"/>
        </w:rPr>
        <w:t>依据</w:t>
      </w:r>
      <w:r>
        <w:rPr>
          <w:rFonts w:hint="eastAsia" w:ascii="仿宋" w:hAnsi="仿宋" w:eastAsia="仿宋" w:cs="仿宋"/>
          <w:color w:val="auto"/>
          <w:sz w:val="24"/>
          <w:szCs w:val="24"/>
          <w:lang w:val="en-US" w:eastAsia="zh-CN"/>
        </w:rPr>
        <w:t>采购需求</w:t>
      </w:r>
      <w:r>
        <w:rPr>
          <w:rFonts w:hint="eastAsia" w:ascii="仿宋" w:hAnsi="仿宋" w:eastAsia="仿宋" w:cs="仿宋"/>
          <w:color w:val="auto"/>
          <w:sz w:val="24"/>
          <w:szCs w:val="24"/>
        </w:rPr>
        <w:t>文件上的设计要求和相关标准进行验收</w:t>
      </w: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rPr>
        <w:t>内容符合技术要求的，给予签收，验收不合格的不予签收</w:t>
      </w: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双方应在验收单据中说明验收情况并注明换货时间且应由乙方签章。</w:t>
      </w:r>
      <w:r>
        <w:rPr>
          <w:rFonts w:hint="eastAsia" w:ascii="仿宋" w:hAnsi="仿宋" w:eastAsia="仿宋" w:cs="仿宋"/>
          <w:color w:val="auto"/>
          <w:sz w:val="24"/>
          <w:szCs w:val="24"/>
        </w:rPr>
        <w:t>乙方须严格按合同技术规范要求，更换不达标的设备，待全部整改完成后，双方另行约定再次验收时间。</w:t>
      </w:r>
    </w:p>
    <w:bookmarkEnd w:id="2"/>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四、</w:t>
      </w:r>
      <w:bookmarkStart w:id="3" w:name="OLE_LINK4"/>
      <w:r>
        <w:rPr>
          <w:rFonts w:hint="eastAsia" w:ascii="仿宋" w:hAnsi="仿宋" w:eastAsia="仿宋" w:cs="仿宋"/>
          <w:b/>
          <w:bCs/>
          <w:color w:val="auto"/>
          <w:kern w:val="2"/>
          <w:sz w:val="24"/>
          <w:szCs w:val="24"/>
          <w:lang w:val="en-US" w:eastAsia="zh-CN" w:bidi="ar-SA"/>
        </w:rPr>
        <w:t>售后服务</w:t>
      </w:r>
    </w:p>
    <w:p>
      <w:pPr>
        <w:pStyle w:val="13"/>
        <w:keepNext w:val="0"/>
        <w:keepLines w:val="0"/>
        <w:pageBreakBefore w:val="0"/>
        <w:widowControl w:val="0"/>
        <w:tabs>
          <w:tab w:val="left" w:pos="1301"/>
        </w:tabs>
        <w:kinsoku/>
        <w:wordWrap/>
        <w:overflowPunct/>
        <w:topLinePunct w:val="0"/>
        <w:autoSpaceDE w:val="0"/>
        <w:autoSpaceDN w:val="0"/>
        <w:bidi w:val="0"/>
        <w:adjustRightInd/>
        <w:snapToGrid/>
        <w:spacing w:line="440" w:lineRule="exact"/>
        <w:ind w:lef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设备到达甲方指定安装地点，甲乙双方验收合格，从验收合格之日起，实验、实训设备及其器材两年免费质保，</w:t>
      </w:r>
      <w:r>
        <w:rPr>
          <w:rFonts w:hint="eastAsia" w:cs="仿宋"/>
          <w:color w:val="auto"/>
          <w:kern w:val="2"/>
          <w:sz w:val="24"/>
          <w:szCs w:val="24"/>
          <w:lang w:val="en-US" w:eastAsia="zh-CN" w:bidi="ar-SA"/>
        </w:rPr>
        <w:t>电子产品如</w:t>
      </w:r>
      <w:r>
        <w:rPr>
          <w:rFonts w:hint="eastAsia" w:ascii="仿宋" w:hAnsi="仿宋" w:eastAsia="仿宋" w:cs="仿宋"/>
          <w:color w:val="auto"/>
          <w:kern w:val="2"/>
          <w:sz w:val="24"/>
          <w:szCs w:val="24"/>
          <w:lang w:val="en-US" w:eastAsia="zh-CN" w:bidi="ar-SA"/>
        </w:rPr>
        <w:t>投影仪、台式计算机、话筒、储物柜</w:t>
      </w:r>
      <w:r>
        <w:rPr>
          <w:rFonts w:hint="eastAsia" w:cs="仿宋"/>
          <w:color w:val="auto"/>
          <w:kern w:val="2"/>
          <w:sz w:val="24"/>
          <w:szCs w:val="24"/>
          <w:lang w:val="en-US" w:eastAsia="zh-CN" w:bidi="ar-SA"/>
        </w:rPr>
        <w:t>等</w:t>
      </w:r>
      <w:r>
        <w:rPr>
          <w:rFonts w:hint="eastAsia" w:ascii="仿宋" w:hAnsi="仿宋" w:eastAsia="仿宋" w:cs="仿宋"/>
          <w:color w:val="auto"/>
          <w:kern w:val="2"/>
          <w:sz w:val="24"/>
          <w:szCs w:val="24"/>
          <w:lang w:val="en-US" w:eastAsia="zh-CN" w:bidi="ar-SA"/>
        </w:rPr>
        <w:t>三年免费质保，</w:t>
      </w:r>
      <w:r>
        <w:rPr>
          <w:rFonts w:hint="eastAsia" w:cs="仿宋"/>
          <w:color w:val="auto"/>
          <w:kern w:val="2"/>
          <w:sz w:val="24"/>
          <w:szCs w:val="24"/>
          <w:lang w:val="en-US" w:eastAsia="zh-CN" w:bidi="ar-SA"/>
        </w:rPr>
        <w:t>广告制作</w:t>
      </w:r>
      <w:r>
        <w:rPr>
          <w:rFonts w:hint="eastAsia" w:ascii="仿宋" w:hAnsi="仿宋" w:eastAsia="仿宋" w:cs="仿宋"/>
          <w:color w:val="auto"/>
          <w:kern w:val="2"/>
          <w:sz w:val="24"/>
          <w:szCs w:val="24"/>
          <w:lang w:val="en-US" w:eastAsia="zh-CN" w:bidi="ar-SA"/>
        </w:rPr>
        <w:t>文化墙等一年免费保修。质量保证期自项目安装调试验收合格之日起计算。质保期内:a.乙方提供24小时技术服务响应。b.设备发生故障时，乙方技术人员4小时到达甲方现场，6小时内进行修复，以保证设备稳定运行。设备故障临时无法修复，24小时内提供完好无损的原厂正品进行更换。故障修复完成，须确保系统正常运转。c.设备装调完成后，技术人员对我校专任教师（4-5人）进行为期3-5天的免费培训，培训内容应当包括采购设备的基本原理、操作使用和保养、设备简易故障的判别及排除（维修)方法。依据设备情况，乙方提供一定数量的易损配件及易损配件清单，方便后期质保期满后购买配件使用。乙方提供2套该实验设备平及实验台的系统及设备使用操作规程、设备维修保养手册等技术资料。质保期内由于设备本身问题无法使用，以旧换新。质保期后维修，按成本价收取维修，维护费用。</w:t>
      </w:r>
    </w:p>
    <w:bookmarkEnd w:id="3"/>
    <w:p>
      <w:pPr>
        <w:pStyle w:val="13"/>
        <w:keepNext w:val="0"/>
        <w:keepLines w:val="0"/>
        <w:pageBreakBefore w:val="0"/>
        <w:widowControl w:val="0"/>
        <w:tabs>
          <w:tab w:val="left" w:pos="1301"/>
        </w:tabs>
        <w:kinsoku/>
        <w:wordWrap/>
        <w:overflowPunct/>
        <w:topLinePunct w:val="0"/>
        <w:autoSpaceDE w:val="0"/>
        <w:autoSpaceDN w:val="0"/>
        <w:bidi w:val="0"/>
        <w:adjustRightInd/>
        <w:snapToGrid/>
        <w:spacing w:line="440" w:lineRule="exact"/>
        <w:ind w:left="0" w:firstLine="482" w:firstLineChars="200"/>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附件1：</w:t>
      </w:r>
      <w:r>
        <w:rPr>
          <w:rFonts w:hint="eastAsia" w:ascii="仿宋" w:hAnsi="仿宋" w:eastAsia="仿宋" w:cs="仿宋"/>
          <w:b/>
          <w:bCs/>
          <w:i w:val="0"/>
          <w:iCs w:val="0"/>
          <w:color w:val="auto"/>
          <w:kern w:val="0"/>
          <w:sz w:val="24"/>
          <w:szCs w:val="24"/>
          <w:u w:val="none"/>
          <w:lang w:val="en-US" w:eastAsia="zh-CN" w:bidi="ar"/>
        </w:rPr>
        <w:t>昌吉职业技术学院</w:t>
      </w:r>
      <w:r>
        <w:rPr>
          <w:rFonts w:hint="eastAsia" w:ascii="仿宋" w:hAnsi="仿宋" w:eastAsia="仿宋" w:cs="仿宋"/>
          <w:b/>
          <w:bCs w:val="0"/>
          <w:color w:val="auto"/>
          <w:sz w:val="24"/>
          <w:szCs w:val="24"/>
          <w:lang w:val="en-US" w:eastAsia="zh-CN"/>
        </w:rPr>
        <w:t>采购</w:t>
      </w:r>
      <w:r>
        <w:rPr>
          <w:rFonts w:hint="eastAsia" w:cs="仿宋"/>
          <w:b/>
          <w:bCs w:val="0"/>
          <w:color w:val="auto"/>
          <w:sz w:val="24"/>
          <w:szCs w:val="24"/>
          <w:lang w:val="en-US" w:eastAsia="zh-CN"/>
        </w:rPr>
        <w:t>报价单</w:t>
      </w:r>
    </w:p>
    <w:p>
      <w:pPr>
        <w:rPr>
          <w:rFonts w:hint="eastAsia" w:ascii="仿宋" w:hAnsi="仿宋" w:eastAsia="仿宋" w:cs="仿宋"/>
          <w:i w:val="0"/>
          <w:iCs w:val="0"/>
          <w:color w:val="000000"/>
          <w:kern w:val="0"/>
          <w:sz w:val="24"/>
          <w:szCs w:val="24"/>
          <w:u w:val="none"/>
          <w:lang w:val="en-US" w:eastAsia="zh-CN" w:bidi="ar"/>
        </w:rPr>
      </w:pPr>
    </w:p>
    <w:p>
      <w:pPr>
        <w:pStyle w:val="2"/>
        <w:rPr>
          <w:rFonts w:hint="eastAsia"/>
          <w:lang w:val="en-US" w:eastAsia="zh-CN"/>
        </w:rPr>
      </w:pPr>
      <w:bookmarkStart w:id="4" w:name="_GoBack"/>
      <w:bookmarkEnd w:id="4"/>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附件1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bCs/>
          <w:sz w:val="24"/>
          <w:szCs w:val="24"/>
          <w:lang w:val="en-US"/>
        </w:rPr>
      </w:pPr>
      <w:r>
        <w:rPr>
          <w:rFonts w:hint="eastAsia" w:ascii="仿宋" w:hAnsi="仿宋" w:eastAsia="仿宋" w:cs="仿宋"/>
          <w:b/>
          <w:bCs/>
          <w:i w:val="0"/>
          <w:iCs w:val="0"/>
          <w:color w:val="000000"/>
          <w:kern w:val="0"/>
          <w:sz w:val="24"/>
          <w:szCs w:val="24"/>
          <w:u w:val="none"/>
          <w:lang w:val="en-US" w:eastAsia="zh-CN" w:bidi="ar"/>
        </w:rPr>
        <w:t>昌吉职业技术学院采购报价单</w:t>
      </w:r>
    </w:p>
    <w:tbl>
      <w:tblPr>
        <w:tblStyle w:val="8"/>
        <w:tblW w:w="10153" w:type="dxa"/>
        <w:tblInd w:w="0" w:type="dxa"/>
        <w:tblLayout w:type="fixed"/>
        <w:tblCellMar>
          <w:top w:w="0" w:type="dxa"/>
          <w:left w:w="0" w:type="dxa"/>
          <w:bottom w:w="0" w:type="dxa"/>
          <w:right w:w="0" w:type="dxa"/>
        </w:tblCellMar>
      </w:tblPr>
      <w:tblGrid>
        <w:gridCol w:w="654"/>
        <w:gridCol w:w="1282"/>
        <w:gridCol w:w="3450"/>
        <w:gridCol w:w="930"/>
        <w:gridCol w:w="504"/>
        <w:gridCol w:w="783"/>
        <w:gridCol w:w="733"/>
        <w:gridCol w:w="1817"/>
      </w:tblGrid>
      <w:tr>
        <w:tblPrEx>
          <w:tblCellMar>
            <w:top w:w="0" w:type="dxa"/>
            <w:left w:w="0" w:type="dxa"/>
            <w:bottom w:w="0" w:type="dxa"/>
            <w:right w:w="0" w:type="dxa"/>
          </w:tblCellMar>
        </w:tblPrEx>
        <w:trPr>
          <w:trHeight w:val="558"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bidi="ar"/>
              </w:rPr>
              <w:t>序号</w:t>
            </w:r>
          </w:p>
        </w:tc>
        <w:tc>
          <w:tcPr>
            <w:tcW w:w="12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品名</w:t>
            </w:r>
          </w:p>
        </w:tc>
        <w:tc>
          <w:tcPr>
            <w:tcW w:w="3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kern w:val="0"/>
                <w:sz w:val="22"/>
                <w:szCs w:val="22"/>
                <w:lang w:val="en-US" w:eastAsia="zh-CN" w:bidi="ar"/>
              </w:rPr>
            </w:pPr>
            <w:r>
              <w:rPr>
                <w:rFonts w:hint="eastAsia" w:ascii="仿宋" w:hAnsi="仿宋" w:eastAsia="仿宋" w:cs="仿宋"/>
                <w:b w:val="0"/>
                <w:bCs w:val="0"/>
                <w:color w:val="auto"/>
                <w:kern w:val="0"/>
                <w:sz w:val="22"/>
                <w:szCs w:val="22"/>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bidi="ar"/>
              </w:rPr>
              <w:t>单位</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bidi="ar"/>
              </w:rPr>
              <w:t>数量</w:t>
            </w:r>
          </w:p>
        </w:tc>
        <w:tc>
          <w:tcPr>
            <w:tcW w:w="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bidi="ar"/>
              </w:rPr>
              <w:t>单价（元）</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val="en-US" w:eastAsia="zh-CN" w:bidi="ar"/>
              </w:rPr>
              <w:t>金额</w:t>
            </w:r>
            <w:r>
              <w:rPr>
                <w:rFonts w:hint="eastAsia" w:ascii="仿宋" w:hAnsi="仿宋" w:eastAsia="仿宋" w:cs="仿宋"/>
                <w:b w:val="0"/>
                <w:bCs w:val="0"/>
                <w:color w:val="auto"/>
                <w:kern w:val="0"/>
                <w:sz w:val="22"/>
                <w:szCs w:val="22"/>
                <w:lang w:bidi="ar"/>
              </w:rPr>
              <w:t>（元）</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备注</w:t>
            </w:r>
          </w:p>
        </w:tc>
      </w:tr>
      <w:tr>
        <w:tblPrEx>
          <w:tblCellMar>
            <w:top w:w="0" w:type="dxa"/>
            <w:left w:w="0" w:type="dxa"/>
            <w:bottom w:w="0" w:type="dxa"/>
            <w:right w:w="0" w:type="dxa"/>
          </w:tblCellMar>
        </w:tblPrEx>
        <w:trPr>
          <w:trHeight w:val="2224"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12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auto"/>
                <w:sz w:val="22"/>
                <w:szCs w:val="22"/>
                <w:lang w:eastAsia="zh-CN"/>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百姓演出服女装，上衣+黑裤子搭配，棉混纺材质，成人款</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auto"/>
                <w:sz w:val="22"/>
                <w:szCs w:val="22"/>
                <w:lang w:eastAsia="zh-CN"/>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60</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240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color w:val="FF0000"/>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823595" cy="1099185"/>
                  <wp:effectExtent l="0" t="0" r="14605" b="5715"/>
                  <wp:docPr id="1" name="图片 1" descr="lQDPJwCxMzNf4anNA-jNAu6w7lwsIuEfGsgIlkqiG0C7AA_750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DPJwCxMzNf4anNA-jNAu6w7lwsIuEfGsgIlkqiG0C7AA_750_1000"/>
                          <pic:cNvPicPr>
                            <a:picLocks noChangeAspect="1"/>
                          </pic:cNvPicPr>
                        </pic:nvPicPr>
                        <pic:blipFill>
                          <a:blip r:embed="rId4"/>
                          <a:stretch>
                            <a:fillRect/>
                          </a:stretch>
                        </pic:blipFill>
                        <pic:spPr>
                          <a:xfrm>
                            <a:off x="0" y="0"/>
                            <a:ext cx="823595" cy="1099185"/>
                          </a:xfrm>
                          <a:prstGeom prst="rect">
                            <a:avLst/>
                          </a:prstGeom>
                        </pic:spPr>
                      </pic:pic>
                    </a:graphicData>
                  </a:graphic>
                </wp:inline>
              </w:drawing>
            </w:r>
          </w:p>
        </w:tc>
      </w:tr>
      <w:tr>
        <w:tblPrEx>
          <w:tblCellMar>
            <w:top w:w="0" w:type="dxa"/>
            <w:left w:w="0" w:type="dxa"/>
            <w:bottom w:w="0" w:type="dxa"/>
            <w:right w:w="0" w:type="dxa"/>
          </w:tblCellMar>
        </w:tblPrEx>
        <w:trPr>
          <w:trHeight w:val="1751"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eastAsia" w:ascii="仿宋_GB2312" w:hAnsi="Arial" w:eastAsia="仿宋_GB2312" w:cs="仿宋_GB2312"/>
                <w:i w:val="0"/>
                <w:iCs w:val="0"/>
                <w:color w:val="000000"/>
                <w:kern w:val="0"/>
                <w:sz w:val="22"/>
                <w:szCs w:val="22"/>
                <w:u w:val="none"/>
                <w:lang w:val="en-US" w:eastAsia="zh-CN" w:bidi="ar"/>
              </w:rPr>
              <w:t>道具长枪</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木质道具长枪，不可发射，可拉栓，带塑料刺刀，长度（不含刺刀）≥100CM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把</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45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720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FF0000"/>
                <w:sz w:val="22"/>
                <w:szCs w:val="22"/>
                <w:lang w:eastAsia="zh-CN"/>
              </w:rPr>
            </w:pPr>
            <w:r>
              <w:rPr>
                <w:rFonts w:hint="eastAsia" w:ascii="仿宋" w:hAnsi="仿宋" w:eastAsia="仿宋" w:cs="仿宋"/>
                <w:color w:val="FF0000"/>
                <w:sz w:val="22"/>
                <w:szCs w:val="22"/>
                <w:lang w:eastAsia="zh-CN"/>
              </w:rPr>
              <w:drawing>
                <wp:inline distT="0" distB="0" distL="114300" distR="114300">
                  <wp:extent cx="895350" cy="895350"/>
                  <wp:effectExtent l="0" t="0" r="0" b="0"/>
                  <wp:docPr id="2" name="图片 2" descr="IMG_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146"/>
                          <pic:cNvPicPr>
                            <a:picLocks noChangeAspect="1"/>
                          </pic:cNvPicPr>
                        </pic:nvPicPr>
                        <pic:blipFill>
                          <a:blip r:embed="rId5"/>
                          <a:stretch>
                            <a:fillRect/>
                          </a:stretch>
                        </pic:blipFill>
                        <pic:spPr>
                          <a:xfrm>
                            <a:off x="0" y="0"/>
                            <a:ext cx="895350" cy="895350"/>
                          </a:xfrm>
                          <a:prstGeom prst="rect">
                            <a:avLst/>
                          </a:prstGeom>
                        </pic:spPr>
                      </pic:pic>
                    </a:graphicData>
                  </a:graphic>
                </wp:inline>
              </w:drawing>
            </w:r>
          </w:p>
        </w:tc>
      </w:tr>
      <w:tr>
        <w:tblPrEx>
          <w:tblCellMar>
            <w:top w:w="0" w:type="dxa"/>
            <w:left w:w="0" w:type="dxa"/>
            <w:bottom w:w="0" w:type="dxa"/>
            <w:right w:w="0" w:type="dxa"/>
          </w:tblCellMar>
        </w:tblPrEx>
        <w:trPr>
          <w:trHeight w:val="1769"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FF0000"/>
                <w:sz w:val="22"/>
                <w:szCs w:val="22"/>
                <w:lang w:eastAsia="zh-CN"/>
              </w:rPr>
            </w:pPr>
            <w:r>
              <w:rPr>
                <w:rFonts w:hint="eastAsia" w:ascii="仿宋_GB2312" w:hAnsi="Arial" w:eastAsia="仿宋_GB2312" w:cs="仿宋_GB2312"/>
                <w:i w:val="0"/>
                <w:iCs w:val="0"/>
                <w:color w:val="000000"/>
                <w:kern w:val="0"/>
                <w:sz w:val="22"/>
                <w:szCs w:val="22"/>
                <w:u w:val="none"/>
                <w:lang w:val="en-US" w:eastAsia="zh-CN" w:bidi="ar"/>
              </w:rPr>
              <w:t>道具手枪</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lang w:val="en-US" w:eastAsia="zh-CN"/>
              </w:rPr>
            </w:pPr>
            <w:r>
              <w:rPr>
                <w:rFonts w:hint="eastAsia" w:ascii="仿宋_GB2312" w:hAnsi="Arial" w:eastAsia="仿宋_GB2312" w:cs="仿宋_GB2312"/>
                <w:i w:val="0"/>
                <w:iCs w:val="0"/>
                <w:color w:val="000000"/>
                <w:kern w:val="0"/>
                <w:sz w:val="22"/>
                <w:szCs w:val="22"/>
                <w:u w:val="none"/>
                <w:lang w:val="en-US" w:eastAsia="zh-CN" w:bidi="ar"/>
              </w:rPr>
              <w:t>塑料道具驳壳枪，带红绸，不可发射，带枪套，长度30CM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FF0000"/>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支</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FF0000"/>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300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FF0000"/>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890270" cy="890270"/>
                  <wp:effectExtent l="0" t="0" r="5080" b="5080"/>
                  <wp:docPr id="3" name="图片 3" descr="lQDPKHv62qqpOWnNAyDNAyCwjScoGjN2b1sIlkuybaFgAA_80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DPKHv62qqpOWnNAyDNAyCwjScoGjN2b1sIlkuybaFgAA_800_800"/>
                          <pic:cNvPicPr>
                            <a:picLocks noChangeAspect="1"/>
                          </pic:cNvPicPr>
                        </pic:nvPicPr>
                        <pic:blipFill>
                          <a:blip r:embed="rId6"/>
                          <a:stretch>
                            <a:fillRect/>
                          </a:stretch>
                        </pic:blipFill>
                        <pic:spPr>
                          <a:xfrm>
                            <a:off x="0" y="0"/>
                            <a:ext cx="890270" cy="890270"/>
                          </a:xfrm>
                          <a:prstGeom prst="rect">
                            <a:avLst/>
                          </a:prstGeom>
                        </pic:spPr>
                      </pic:pic>
                    </a:graphicData>
                  </a:graphic>
                </wp:inline>
              </w:drawing>
            </w:r>
          </w:p>
        </w:tc>
      </w:tr>
      <w:tr>
        <w:tblPrEx>
          <w:tblCellMar>
            <w:top w:w="0" w:type="dxa"/>
            <w:left w:w="0" w:type="dxa"/>
            <w:bottom w:w="0" w:type="dxa"/>
            <w:right w:w="0" w:type="dxa"/>
          </w:tblCellMar>
        </w:tblPrEx>
        <w:trPr>
          <w:trHeight w:val="1822"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FF0000"/>
                <w:sz w:val="22"/>
                <w:szCs w:val="22"/>
                <w:lang w:val="en-US" w:eastAsia="zh-CN"/>
              </w:rPr>
            </w:pPr>
            <w:r>
              <w:rPr>
                <w:rFonts w:hint="eastAsia" w:ascii="仿宋_GB2312" w:hAnsi="Arial" w:eastAsia="仿宋_GB2312" w:cs="仿宋_GB2312"/>
                <w:i w:val="0"/>
                <w:iCs w:val="0"/>
                <w:color w:val="000000"/>
                <w:kern w:val="0"/>
                <w:sz w:val="22"/>
                <w:szCs w:val="22"/>
                <w:u w:val="none"/>
                <w:lang w:val="en-US" w:eastAsia="zh-CN" w:bidi="ar"/>
              </w:rPr>
              <w:t>道具刀</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FF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演出用道具大刀，实木材质，带红布条，长度≥80CM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FF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FF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400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FF0000"/>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088390" cy="1088390"/>
                  <wp:effectExtent l="0" t="0" r="16510" b="16510"/>
                  <wp:docPr id="4" name="图片 4" descr="lQDPKIINLjrLRenNAu7NAu6wkkGT7Xxv85UIlkv1LxfvAA_750_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KIINLjrLRenNAu7NAu6wkkGT7Xxv85UIlkv1LxfvAA_750_750"/>
                          <pic:cNvPicPr>
                            <a:picLocks noChangeAspect="1"/>
                          </pic:cNvPicPr>
                        </pic:nvPicPr>
                        <pic:blipFill>
                          <a:blip r:embed="rId7"/>
                          <a:stretch>
                            <a:fillRect/>
                          </a:stretch>
                        </pic:blipFill>
                        <pic:spPr>
                          <a:xfrm>
                            <a:off x="0" y="0"/>
                            <a:ext cx="1088390" cy="1088390"/>
                          </a:xfrm>
                          <a:prstGeom prst="rect">
                            <a:avLst/>
                          </a:prstGeom>
                        </pic:spPr>
                      </pic:pic>
                    </a:graphicData>
                  </a:graphic>
                </wp:inline>
              </w:drawing>
            </w:r>
          </w:p>
        </w:tc>
      </w:tr>
      <w:tr>
        <w:tblPrEx>
          <w:tblCellMar>
            <w:top w:w="0" w:type="dxa"/>
            <w:left w:w="0" w:type="dxa"/>
            <w:bottom w:w="0" w:type="dxa"/>
            <w:right w:w="0" w:type="dxa"/>
          </w:tblCellMar>
        </w:tblPrEx>
        <w:trPr>
          <w:trHeight w:val="1912"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女款民国时期全棉蓝色校服+黑裙子，成人款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840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060450" cy="1414145"/>
                  <wp:effectExtent l="0" t="0" r="6350" b="14605"/>
                  <wp:docPr id="7" name="图片 7" descr="lQDPKdEKWHVHACnNA-jNAu6w5jX7mEB0XA4IlkzXCqNhAA_750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QDPKdEKWHVHACnNA-jNAu6w5jX7mEB0XA4IlkzXCqNhAA_750_1000"/>
                          <pic:cNvPicPr>
                            <a:picLocks noChangeAspect="1"/>
                          </pic:cNvPicPr>
                        </pic:nvPicPr>
                        <pic:blipFill>
                          <a:blip r:embed="rId8"/>
                          <a:stretch>
                            <a:fillRect/>
                          </a:stretch>
                        </pic:blipFill>
                        <pic:spPr>
                          <a:xfrm>
                            <a:off x="0" y="0"/>
                            <a:ext cx="1060450" cy="1414145"/>
                          </a:xfrm>
                          <a:prstGeom prst="rect">
                            <a:avLst/>
                          </a:prstGeom>
                        </pic:spPr>
                      </pic:pic>
                    </a:graphicData>
                  </a:graphic>
                </wp:inline>
              </w:drawing>
            </w:r>
          </w:p>
        </w:tc>
      </w:tr>
      <w:tr>
        <w:tblPrEx>
          <w:tblCellMar>
            <w:top w:w="0" w:type="dxa"/>
            <w:left w:w="0" w:type="dxa"/>
            <w:bottom w:w="0" w:type="dxa"/>
            <w:right w:w="0" w:type="dxa"/>
          </w:tblCellMar>
        </w:tblPrEx>
        <w:trPr>
          <w:trHeight w:val="2080"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宋体" w:hAnsi="宋体" w:eastAsia="宋体" w:cs="宋体"/>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宋体" w:hAnsi="宋体" w:cs="宋体"/>
                <w:i w:val="0"/>
                <w:iCs w:val="0"/>
                <w:color w:val="000000"/>
                <w:kern w:val="0"/>
                <w:sz w:val="22"/>
                <w:szCs w:val="22"/>
                <w:u w:val="none"/>
                <w:lang w:val="en-US" w:eastAsia="zh-CN" w:bidi="ar"/>
              </w:rPr>
              <w:t>男款</w:t>
            </w:r>
            <w:r>
              <w:rPr>
                <w:rFonts w:hint="eastAsia" w:ascii="宋体" w:hAnsi="宋体" w:eastAsia="宋体" w:cs="宋体"/>
                <w:i w:val="0"/>
                <w:iCs w:val="0"/>
                <w:color w:val="000000"/>
                <w:kern w:val="0"/>
                <w:sz w:val="22"/>
                <w:szCs w:val="22"/>
                <w:u w:val="none"/>
                <w:lang w:val="en-US" w:eastAsia="zh-CN" w:bidi="ar"/>
              </w:rPr>
              <w:t>民国中山学生装+裤子</w:t>
            </w:r>
            <w:r>
              <w:rPr>
                <w:rFonts w:hint="eastAsia" w:ascii="宋体" w:hAnsi="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棉≥10%，成人款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360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909955" cy="1335405"/>
                  <wp:effectExtent l="0" t="0" r="4445" b="17145"/>
                  <wp:docPr id="8" name="图片 8" descr="lQDPJwpaHbHIk2nNB-bNBLaw_j4J33i9xRwIlk06EwqdAA_1206_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QDPJwpaHbHIk2nNB-bNBLaw_j4J33i9xRwIlk06EwqdAA_1206_2022"/>
                          <pic:cNvPicPr>
                            <a:picLocks noChangeAspect="1"/>
                          </pic:cNvPicPr>
                        </pic:nvPicPr>
                        <pic:blipFill>
                          <a:blip r:embed="rId9"/>
                          <a:srcRect l="20572" t="12797" r="21739" b="36711"/>
                          <a:stretch>
                            <a:fillRect/>
                          </a:stretch>
                        </pic:blipFill>
                        <pic:spPr>
                          <a:xfrm>
                            <a:off x="0" y="0"/>
                            <a:ext cx="909955" cy="1335405"/>
                          </a:xfrm>
                          <a:prstGeom prst="rect">
                            <a:avLst/>
                          </a:prstGeom>
                        </pic:spPr>
                      </pic:pic>
                    </a:graphicData>
                  </a:graphic>
                </wp:inline>
              </w:drawing>
            </w:r>
          </w:p>
        </w:tc>
      </w:tr>
      <w:tr>
        <w:tblPrEx>
          <w:tblCellMar>
            <w:top w:w="0" w:type="dxa"/>
            <w:left w:w="0" w:type="dxa"/>
            <w:bottom w:w="0" w:type="dxa"/>
            <w:right w:w="0" w:type="dxa"/>
          </w:tblCellMar>
        </w:tblPrEx>
        <w:trPr>
          <w:trHeight w:val="1717"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2"/>
                <w:szCs w:val="22"/>
                <w:lang w:val="en-US"/>
              </w:rPr>
            </w:pPr>
            <w:r>
              <w:rPr>
                <w:rFonts w:hint="eastAsia" w:ascii="仿宋_GB2312" w:hAnsi="Arial" w:eastAsia="仿宋_GB2312" w:cs="仿宋_GB2312"/>
                <w:i w:val="0"/>
                <w:iCs w:val="0"/>
                <w:color w:val="000000"/>
                <w:kern w:val="0"/>
                <w:sz w:val="22"/>
                <w:szCs w:val="22"/>
                <w:u w:val="none"/>
                <w:lang w:val="en-US" w:eastAsia="zh-CN" w:bidi="ar"/>
              </w:rPr>
              <w:t>演出用国民党军官服全套：帽子（含帽徽）+上衣（真口袋含军衔，胸牌体）+斜挎腰带+裤子，成人款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70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280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122045" cy="1064260"/>
                  <wp:effectExtent l="0" t="0" r="1905" b="2540"/>
                  <wp:docPr id="10" name="图片 10" descr="lQDPJxh1uAzfoEnNBQDNAvyw63qVC1MYDwwIlk3G3z4qAA_764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QDPJxh1uAzfoEnNBQDNAvyw63qVC1MYDwwIlk3G3z4qAA_764_1280"/>
                          <pic:cNvPicPr>
                            <a:picLocks noChangeAspect="1"/>
                          </pic:cNvPicPr>
                        </pic:nvPicPr>
                        <pic:blipFill>
                          <a:blip r:embed="rId10"/>
                          <a:srcRect l="3093" t="12682" r="7302" b="36592"/>
                          <a:stretch>
                            <a:fillRect/>
                          </a:stretch>
                        </pic:blipFill>
                        <pic:spPr>
                          <a:xfrm>
                            <a:off x="0" y="0"/>
                            <a:ext cx="1122045" cy="1064260"/>
                          </a:xfrm>
                          <a:prstGeom prst="rect">
                            <a:avLst/>
                          </a:prstGeom>
                        </pic:spPr>
                      </pic:pic>
                    </a:graphicData>
                  </a:graphic>
                </wp:inline>
              </w:drawing>
            </w:r>
          </w:p>
        </w:tc>
      </w:tr>
      <w:tr>
        <w:tblPrEx>
          <w:tblCellMar>
            <w:top w:w="0" w:type="dxa"/>
            <w:left w:w="0" w:type="dxa"/>
            <w:bottom w:w="0" w:type="dxa"/>
            <w:right w:w="0" w:type="dxa"/>
          </w:tblCellMar>
        </w:tblPrEx>
        <w:trPr>
          <w:trHeight w:val="1766"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2"/>
                <w:szCs w:val="22"/>
                <w:u w:val="none"/>
                <w:lang w:val="en-US" w:eastAsia="zh-CN" w:bidi="ar"/>
              </w:rPr>
              <w:t>演出用国民党士兵服全套：帽子（含帽徽）+上衣（含军衔，胸牌体）+普通腰带+裤子+绑腿，成人款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2"/>
                <w:szCs w:val="22"/>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70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420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934720" cy="1043305"/>
                  <wp:effectExtent l="0" t="0" r="17780" b="4445"/>
                  <wp:docPr id="11" name="图片 11" descr="lQDPKGy0BsUNX0nNBQDNAvywqUGKAEWQMmMIlk3FhIUMAA_764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QDPKGy0BsUNX0nNBQDNAvywqUGKAEWQMmMIlk3FhIUMAA_764_1280"/>
                          <pic:cNvPicPr>
                            <a:picLocks noChangeAspect="1"/>
                          </pic:cNvPicPr>
                        </pic:nvPicPr>
                        <pic:blipFill>
                          <a:blip r:embed="rId11"/>
                          <a:srcRect r="5277" b="36905"/>
                          <a:stretch>
                            <a:fillRect/>
                          </a:stretch>
                        </pic:blipFill>
                        <pic:spPr>
                          <a:xfrm>
                            <a:off x="0" y="0"/>
                            <a:ext cx="934720" cy="1043305"/>
                          </a:xfrm>
                          <a:prstGeom prst="rect">
                            <a:avLst/>
                          </a:prstGeom>
                        </pic:spPr>
                      </pic:pic>
                    </a:graphicData>
                  </a:graphic>
                </wp:inline>
              </w:drawing>
            </w:r>
          </w:p>
          <w:p>
            <w:pPr>
              <w:keepNext w:val="0"/>
              <w:keepLines w:val="0"/>
              <w:widowControl/>
              <w:suppressLineNumbers w:val="0"/>
              <w:jc w:val="center"/>
              <w:textAlignment w:val="center"/>
              <w:rPr>
                <w:rFonts w:hint="eastAsia" w:ascii="仿宋" w:hAnsi="仿宋" w:eastAsia="仿宋" w:cs="仿宋"/>
                <w:color w:val="auto"/>
                <w:sz w:val="22"/>
                <w:szCs w:val="22"/>
                <w:lang w:eastAsia="zh-CN"/>
              </w:rPr>
            </w:pPr>
          </w:p>
        </w:tc>
      </w:tr>
      <w:tr>
        <w:tblPrEx>
          <w:tblCellMar>
            <w:top w:w="0" w:type="dxa"/>
            <w:left w:w="0" w:type="dxa"/>
            <w:bottom w:w="0" w:type="dxa"/>
            <w:right w:w="0" w:type="dxa"/>
          </w:tblCellMar>
        </w:tblPrEx>
        <w:trPr>
          <w:trHeight w:val="1782"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长褂，民国男装中式长袍马褂，李大钊演出服，成人款，材质：粘纤(粘胶纤维)100%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90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360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226820" cy="1226820"/>
                  <wp:effectExtent l="0" t="0" r="11430" b="11430"/>
                  <wp:docPr id="12" name="图片 12" descr="lQDPKdyne8KwmynNAyDNAyCw5dSwDe87U48IlknHCdxIAA_80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QDPKdyne8KwmynNAyDNAyCw5dSwDe87U48IlknHCdxIAA_800_800"/>
                          <pic:cNvPicPr>
                            <a:picLocks noChangeAspect="1"/>
                          </pic:cNvPicPr>
                        </pic:nvPicPr>
                        <pic:blipFill>
                          <a:blip r:embed="rId12"/>
                          <a:stretch>
                            <a:fillRect/>
                          </a:stretch>
                        </pic:blipFill>
                        <pic:spPr>
                          <a:xfrm>
                            <a:off x="0" y="0"/>
                            <a:ext cx="1226820" cy="1226820"/>
                          </a:xfrm>
                          <a:prstGeom prst="rect">
                            <a:avLst/>
                          </a:prstGeom>
                        </pic:spPr>
                      </pic:pic>
                    </a:graphicData>
                  </a:graphic>
                </wp:inline>
              </w:drawing>
            </w:r>
          </w:p>
        </w:tc>
      </w:tr>
      <w:tr>
        <w:tblPrEx>
          <w:tblCellMar>
            <w:top w:w="0" w:type="dxa"/>
            <w:left w:w="0" w:type="dxa"/>
            <w:bottom w:w="0" w:type="dxa"/>
            <w:right w:w="0" w:type="dxa"/>
          </w:tblCellMar>
        </w:tblPrEx>
        <w:trPr>
          <w:trHeight w:val="1966"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宋体" w:hAnsi="宋体" w:eastAsia="宋体" w:cs="宋体"/>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女款民国时期全棉蓝色校服+黑裙子，成人款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360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975995" cy="1301750"/>
                  <wp:effectExtent l="0" t="0" r="14605" b="12700"/>
                  <wp:docPr id="13" name="图片 13" descr="lQDPKdEKWHVHACnNA-jNAu6w5jX7mEB0XA4IlkzXCqNhAA_750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QDPKdEKWHVHACnNA-jNAu6w5jX7mEB0XA4IlkzXCqNhAA_750_1000"/>
                          <pic:cNvPicPr>
                            <a:picLocks noChangeAspect="1"/>
                          </pic:cNvPicPr>
                        </pic:nvPicPr>
                        <pic:blipFill>
                          <a:blip r:embed="rId8"/>
                          <a:stretch>
                            <a:fillRect/>
                          </a:stretch>
                        </pic:blipFill>
                        <pic:spPr>
                          <a:xfrm>
                            <a:off x="0" y="0"/>
                            <a:ext cx="975995" cy="1301750"/>
                          </a:xfrm>
                          <a:prstGeom prst="rect">
                            <a:avLst/>
                          </a:prstGeom>
                        </pic:spPr>
                      </pic:pic>
                    </a:graphicData>
                  </a:graphic>
                </wp:inline>
              </w:drawing>
            </w:r>
          </w:p>
        </w:tc>
      </w:tr>
      <w:tr>
        <w:tblPrEx>
          <w:tblCellMar>
            <w:top w:w="0" w:type="dxa"/>
            <w:left w:w="0" w:type="dxa"/>
            <w:bottom w:w="0" w:type="dxa"/>
            <w:right w:w="0" w:type="dxa"/>
          </w:tblCellMar>
        </w:tblPrEx>
        <w:trPr>
          <w:trHeight w:val="1549"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宋体" w:hAnsi="宋体" w:eastAsia="宋体" w:cs="宋体"/>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演出用特务服装，黑色上衣+裤子，棉≥10%，成人款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60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120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012825" cy="1012825"/>
                  <wp:effectExtent l="0" t="0" r="15875" b="15875"/>
                  <wp:docPr id="17" name="图片 17" descr="IMG_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6410"/>
                          <pic:cNvPicPr>
                            <a:picLocks noChangeAspect="1"/>
                          </pic:cNvPicPr>
                        </pic:nvPicPr>
                        <pic:blipFill>
                          <a:blip r:embed="rId13"/>
                          <a:stretch>
                            <a:fillRect/>
                          </a:stretch>
                        </pic:blipFill>
                        <pic:spPr>
                          <a:xfrm>
                            <a:off x="0" y="0"/>
                            <a:ext cx="1012825" cy="1012825"/>
                          </a:xfrm>
                          <a:prstGeom prst="rect">
                            <a:avLst/>
                          </a:prstGeom>
                        </pic:spPr>
                      </pic:pic>
                    </a:graphicData>
                  </a:graphic>
                </wp:inline>
              </w:drawing>
            </w:r>
          </w:p>
        </w:tc>
      </w:tr>
      <w:tr>
        <w:tblPrEx>
          <w:tblCellMar>
            <w:top w:w="0" w:type="dxa"/>
            <w:left w:w="0" w:type="dxa"/>
            <w:bottom w:w="0" w:type="dxa"/>
            <w:right w:w="0" w:type="dxa"/>
          </w:tblCellMar>
        </w:tblPrEx>
        <w:trPr>
          <w:trHeight w:val="1733"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宋体" w:hAnsi="宋体" w:eastAsia="宋体" w:cs="宋体"/>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2"/>
                <w:szCs w:val="22"/>
                <w:lang w:val="en-US"/>
              </w:rPr>
            </w:pPr>
            <w:r>
              <w:rPr>
                <w:rFonts w:hint="eastAsia" w:ascii="仿宋_GB2312" w:hAnsi="Arial" w:eastAsia="仿宋_GB2312" w:cs="仿宋_GB2312"/>
                <w:i w:val="0"/>
                <w:iCs w:val="0"/>
                <w:color w:val="000000"/>
                <w:kern w:val="0"/>
                <w:sz w:val="22"/>
                <w:szCs w:val="22"/>
                <w:u w:val="none"/>
                <w:lang w:val="en-US" w:eastAsia="zh-CN" w:bidi="ar"/>
              </w:rPr>
              <w:t>演出用怀旧女童装，上衣+裤子+斜跨背包，粗布，成人款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80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80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860425" cy="1147445"/>
                  <wp:effectExtent l="0" t="0" r="15875" b="14605"/>
                  <wp:docPr id="16" name="图片 16" descr="IMG_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6409"/>
                          <pic:cNvPicPr>
                            <a:picLocks noChangeAspect="1"/>
                          </pic:cNvPicPr>
                        </pic:nvPicPr>
                        <pic:blipFill>
                          <a:blip r:embed="rId14"/>
                          <a:stretch>
                            <a:fillRect/>
                          </a:stretch>
                        </pic:blipFill>
                        <pic:spPr>
                          <a:xfrm>
                            <a:off x="0" y="0"/>
                            <a:ext cx="860425" cy="1147445"/>
                          </a:xfrm>
                          <a:prstGeom prst="rect">
                            <a:avLst/>
                          </a:prstGeom>
                        </pic:spPr>
                      </pic:pic>
                    </a:graphicData>
                  </a:graphic>
                </wp:inline>
              </w:drawing>
            </w:r>
          </w:p>
        </w:tc>
      </w:tr>
      <w:tr>
        <w:tblPrEx>
          <w:tblCellMar>
            <w:top w:w="0" w:type="dxa"/>
            <w:left w:w="0" w:type="dxa"/>
            <w:bottom w:w="0" w:type="dxa"/>
            <w:right w:w="0" w:type="dxa"/>
          </w:tblCellMar>
        </w:tblPrEx>
        <w:trPr>
          <w:trHeight w:val="2215"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宋体" w:hAnsi="宋体" w:eastAsia="宋体" w:cs="宋体"/>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复古演出用立领针织提花旗袍，涤纶(聚酯纤维)50%，成人款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300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100455" cy="1468120"/>
                  <wp:effectExtent l="0" t="0" r="4445" b="17780"/>
                  <wp:docPr id="18" name="图片 18" descr="IMG_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6417"/>
                          <pic:cNvPicPr>
                            <a:picLocks noChangeAspect="1"/>
                          </pic:cNvPicPr>
                        </pic:nvPicPr>
                        <pic:blipFill>
                          <a:blip r:embed="rId15"/>
                          <a:stretch>
                            <a:fillRect/>
                          </a:stretch>
                        </pic:blipFill>
                        <pic:spPr>
                          <a:xfrm>
                            <a:off x="0" y="0"/>
                            <a:ext cx="1100455" cy="1468120"/>
                          </a:xfrm>
                          <a:prstGeom prst="rect">
                            <a:avLst/>
                          </a:prstGeom>
                        </pic:spPr>
                      </pic:pic>
                    </a:graphicData>
                  </a:graphic>
                </wp:inline>
              </w:drawing>
            </w:r>
          </w:p>
        </w:tc>
      </w:tr>
      <w:tr>
        <w:tblPrEx>
          <w:tblCellMar>
            <w:top w:w="0" w:type="dxa"/>
            <w:left w:w="0" w:type="dxa"/>
            <w:bottom w:w="0" w:type="dxa"/>
            <w:right w:w="0" w:type="dxa"/>
          </w:tblCellMar>
        </w:tblPrEx>
        <w:trPr>
          <w:trHeight w:val="2501"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演出道具</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塑料道具演出用脚镣手镣一体，长约120厘米，重约0.3KG，成人款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80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1376045" cy="1679575"/>
                  <wp:effectExtent l="0" t="0" r="14605" b="15875"/>
                  <wp:docPr id="14" name="图片 14" descr="lQDPJwuZWSwUFgnNBQDNAvywi4IS2DYjck0Ilk8Bbh-VAA_764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lQDPJwuZWSwUFgnNBQDNAvywi4IS2DYjck0Ilk8Bbh-VAA_764_1280"/>
                          <pic:cNvPicPr>
                            <a:picLocks noChangeAspect="1"/>
                          </pic:cNvPicPr>
                        </pic:nvPicPr>
                        <pic:blipFill>
                          <a:blip r:embed="rId16"/>
                          <a:srcRect l="11064" t="13758" r="11846" b="30085"/>
                          <a:stretch>
                            <a:fillRect/>
                          </a:stretch>
                        </pic:blipFill>
                        <pic:spPr>
                          <a:xfrm>
                            <a:off x="0" y="0"/>
                            <a:ext cx="1376045" cy="1679575"/>
                          </a:xfrm>
                          <a:prstGeom prst="rect">
                            <a:avLst/>
                          </a:prstGeom>
                        </pic:spPr>
                      </pic:pic>
                    </a:graphicData>
                  </a:graphic>
                </wp:inline>
              </w:drawing>
            </w:r>
          </w:p>
        </w:tc>
      </w:tr>
      <w:tr>
        <w:tblPrEx>
          <w:tblCellMar>
            <w:top w:w="0" w:type="dxa"/>
            <w:left w:w="0" w:type="dxa"/>
            <w:bottom w:w="0" w:type="dxa"/>
            <w:right w:w="0" w:type="dxa"/>
          </w:tblCellMar>
        </w:tblPrEx>
        <w:trPr>
          <w:trHeight w:val="2046"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布鞋</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圆头、透气内里、防滑鞋底，棉布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双</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150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default" w:ascii="仿宋_GB2312" w:hAnsi="仿宋_GB2312" w:eastAsia="仿宋_GB2312" w:cs="仿宋_GB2312"/>
                <w:sz w:val="32"/>
                <w:szCs w:val="32"/>
                <w:lang w:val="en-US" w:eastAsia="zh-CN"/>
              </w:rPr>
              <w:drawing>
                <wp:inline distT="0" distB="0" distL="114300" distR="114300">
                  <wp:extent cx="971550" cy="1296035"/>
                  <wp:effectExtent l="0" t="0" r="0" b="18415"/>
                  <wp:docPr id="9" name="图片 9" descr="lQDPJxnOawiCqynNA-jNAu6wn4RToSeSBUwIlkxaRH1EAA_750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QDPJxnOawiCqynNA-jNAu6wn4RToSeSBUwIlkxaRH1EAA_750_1000"/>
                          <pic:cNvPicPr>
                            <a:picLocks noChangeAspect="1"/>
                          </pic:cNvPicPr>
                        </pic:nvPicPr>
                        <pic:blipFill>
                          <a:blip r:embed="rId17"/>
                          <a:stretch>
                            <a:fillRect/>
                          </a:stretch>
                        </pic:blipFill>
                        <pic:spPr>
                          <a:xfrm>
                            <a:off x="0" y="0"/>
                            <a:ext cx="971550" cy="1296035"/>
                          </a:xfrm>
                          <a:prstGeom prst="rect">
                            <a:avLst/>
                          </a:prstGeom>
                        </pic:spPr>
                      </pic:pic>
                    </a:graphicData>
                  </a:graphic>
                </wp:inline>
              </w:drawing>
            </w:r>
          </w:p>
        </w:tc>
      </w:tr>
      <w:tr>
        <w:tblPrEx>
          <w:tblCellMar>
            <w:top w:w="0" w:type="dxa"/>
            <w:left w:w="0" w:type="dxa"/>
            <w:bottom w:w="0" w:type="dxa"/>
            <w:right w:w="0" w:type="dxa"/>
          </w:tblCellMar>
        </w:tblPrEx>
        <w:trPr>
          <w:trHeight w:val="2208"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演出服装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蓝灰色红军演出服，高级弹力布料，包含上衣、裤子、帽子、腰带、绑腿、红袖套，成人款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1200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drawing>
                <wp:inline distT="0" distB="0" distL="114300" distR="114300">
                  <wp:extent cx="1117600" cy="1085215"/>
                  <wp:effectExtent l="0" t="0" r="0" b="0"/>
                  <wp:docPr id="5" name="图片 5" descr="IMG_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147"/>
                          <pic:cNvPicPr>
                            <a:picLocks noChangeAspect="1"/>
                          </pic:cNvPicPr>
                        </pic:nvPicPr>
                        <pic:blipFill>
                          <a:blip r:embed="rId18"/>
                          <a:srcRect t="14233" r="733" b="28264"/>
                          <a:stretch>
                            <a:fillRect/>
                          </a:stretch>
                        </pic:blipFill>
                        <pic:spPr>
                          <a:xfrm>
                            <a:off x="0" y="0"/>
                            <a:ext cx="1117600" cy="1085215"/>
                          </a:xfrm>
                          <a:prstGeom prst="rect">
                            <a:avLst/>
                          </a:prstGeom>
                        </pic:spPr>
                      </pic:pic>
                    </a:graphicData>
                  </a:graphic>
                </wp:inline>
              </w:drawing>
            </w:r>
          </w:p>
        </w:tc>
      </w:tr>
      <w:tr>
        <w:tblPrEx>
          <w:tblCellMar>
            <w:top w:w="0" w:type="dxa"/>
            <w:left w:w="0" w:type="dxa"/>
            <w:bottom w:w="0" w:type="dxa"/>
            <w:right w:w="0" w:type="dxa"/>
          </w:tblCellMar>
        </w:tblPrEx>
        <w:trPr>
          <w:trHeight w:val="469" w:hRule="exact"/>
        </w:trPr>
        <w:tc>
          <w:tcPr>
            <w:tcW w:w="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top"/>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衬衫</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_GB2312" w:hAnsi="Arial" w:eastAsia="仿宋_GB2312" w:cs="仿宋_GB2312"/>
                <w:i w:val="0"/>
                <w:iCs w:val="0"/>
                <w:color w:val="000000"/>
                <w:kern w:val="0"/>
                <w:sz w:val="22"/>
                <w:szCs w:val="22"/>
                <w:u w:val="none"/>
                <w:lang w:val="en-US" w:eastAsia="zh-CN" w:bidi="ar"/>
              </w:rPr>
              <w:t>长袖白色衬衫，棉≥40%，成人款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件</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60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color w:val="auto"/>
                <w:kern w:val="2"/>
                <w:sz w:val="22"/>
                <w:szCs w:val="22"/>
                <w:lang w:val="en-US" w:eastAsia="zh-CN" w:bidi="ar-SA"/>
              </w:rPr>
            </w:pPr>
            <w:r>
              <w:rPr>
                <w:rFonts w:hint="eastAsia" w:ascii="仿宋_GB2312" w:hAnsi="Arial" w:eastAsia="仿宋_GB2312" w:cs="仿宋_GB2312"/>
                <w:i w:val="0"/>
                <w:iCs w:val="0"/>
                <w:color w:val="000000"/>
                <w:kern w:val="0"/>
                <w:sz w:val="22"/>
                <w:szCs w:val="22"/>
                <w:u w:val="none"/>
                <w:lang w:val="en-US" w:eastAsia="zh-CN" w:bidi="ar"/>
              </w:rPr>
              <w:t>420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2"/>
                <w:szCs w:val="22"/>
                <w:lang w:eastAsia="zh-CN"/>
              </w:rPr>
            </w:pPr>
          </w:p>
        </w:tc>
      </w:tr>
      <w:tr>
        <w:tblPrEx>
          <w:tblCellMar>
            <w:top w:w="0" w:type="dxa"/>
            <w:left w:w="0" w:type="dxa"/>
            <w:bottom w:w="0" w:type="dxa"/>
            <w:right w:w="0" w:type="dxa"/>
          </w:tblCellMar>
        </w:tblPrEx>
        <w:trPr>
          <w:trHeight w:val="593" w:hRule="exact"/>
        </w:trPr>
        <w:tc>
          <w:tcPr>
            <w:tcW w:w="760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FF0000"/>
                <w:kern w:val="0"/>
                <w:sz w:val="24"/>
                <w:szCs w:val="24"/>
                <w:lang w:val="en-US" w:eastAsia="zh-CN" w:bidi="ar"/>
              </w:rPr>
            </w:pPr>
            <w:r>
              <w:rPr>
                <w:rFonts w:hint="eastAsia" w:ascii="仿宋" w:hAnsi="仿宋" w:eastAsia="仿宋" w:cs="仿宋"/>
                <w:color w:val="auto"/>
                <w:kern w:val="0"/>
                <w:sz w:val="24"/>
                <w:szCs w:val="24"/>
                <w:lang w:val="en-US" w:eastAsia="zh-CN" w:bidi="ar"/>
              </w:rPr>
              <w:t>6630</w:t>
            </w:r>
          </w:p>
        </w:tc>
        <w:tc>
          <w:tcPr>
            <w:tcW w:w="1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FF0000"/>
                <w:sz w:val="24"/>
                <w:szCs w:val="24"/>
                <w:lang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仿宋" w:hAnsi="仿宋" w:eastAsia="仿宋" w:cs="仿宋"/>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p>
    <w:sectPr>
      <w:pgSz w:w="11905" w:h="16838"/>
      <w:pgMar w:top="1610" w:right="1123" w:bottom="1100" w:left="1123"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AFB8DE-7D05-4C20-82EC-9E5D830D78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D81070C-A902-40FB-A557-F7F2C9BA3AEC}"/>
  </w:font>
  <w:font w:name="方正小标宋_GBK">
    <w:panose1 w:val="02000000000000000000"/>
    <w:charset w:val="86"/>
    <w:family w:val="auto"/>
    <w:pitch w:val="default"/>
    <w:sig w:usb0="A00002BF" w:usb1="38CF7CFA" w:usb2="00082016" w:usb3="00000000" w:csb0="00040001" w:csb1="00000000"/>
    <w:embedRegular r:id="rId3" w:fontKey="{57953FBE-B795-4C64-A519-EC2EAEF436A4}"/>
  </w:font>
  <w:font w:name="方正小标宋简体">
    <w:panose1 w:val="02000000000000000000"/>
    <w:charset w:val="86"/>
    <w:family w:val="auto"/>
    <w:pitch w:val="default"/>
    <w:sig w:usb0="A00002BF" w:usb1="184F6CFA" w:usb2="00000012" w:usb3="00000000" w:csb0="00040001" w:csb1="00000000"/>
    <w:embedRegular r:id="rId4" w:fontKey="{2E1ABD57-8402-44B8-B906-31121C5E13B1}"/>
  </w:font>
  <w:font w:name="仿宋_GB2312">
    <w:panose1 w:val="02010609030101010101"/>
    <w:charset w:val="86"/>
    <w:family w:val="auto"/>
    <w:pitch w:val="default"/>
    <w:sig w:usb0="00000001" w:usb1="080E0000" w:usb2="00000000" w:usb3="00000000" w:csb0="00040000" w:csb1="00000000"/>
    <w:embedRegular r:id="rId5" w:fontKey="{9D9E82FF-84E9-4180-90DF-DEA9092036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zFhYWU5MzhhNDFiMjQ3MDE1ZWMwZmIwNzNkM2EifQ=="/>
  </w:docVars>
  <w:rsids>
    <w:rsidRoot w:val="00000000"/>
    <w:rsid w:val="044F04A6"/>
    <w:rsid w:val="057C118F"/>
    <w:rsid w:val="09107425"/>
    <w:rsid w:val="09C81D94"/>
    <w:rsid w:val="11CA4EA0"/>
    <w:rsid w:val="12D91E97"/>
    <w:rsid w:val="13F65598"/>
    <w:rsid w:val="192E4957"/>
    <w:rsid w:val="1DBE7690"/>
    <w:rsid w:val="1E396C0D"/>
    <w:rsid w:val="203F3DE0"/>
    <w:rsid w:val="20C215DD"/>
    <w:rsid w:val="20C46FCA"/>
    <w:rsid w:val="21374CD0"/>
    <w:rsid w:val="22521B69"/>
    <w:rsid w:val="22CD3A86"/>
    <w:rsid w:val="2593624D"/>
    <w:rsid w:val="27214731"/>
    <w:rsid w:val="2B09004E"/>
    <w:rsid w:val="2B1738F6"/>
    <w:rsid w:val="2DE51756"/>
    <w:rsid w:val="32B73F57"/>
    <w:rsid w:val="347926F3"/>
    <w:rsid w:val="349537A1"/>
    <w:rsid w:val="35421FFD"/>
    <w:rsid w:val="36FE2A72"/>
    <w:rsid w:val="3B1F41BE"/>
    <w:rsid w:val="3B797DCB"/>
    <w:rsid w:val="3B942570"/>
    <w:rsid w:val="3C161465"/>
    <w:rsid w:val="3FD40415"/>
    <w:rsid w:val="41957886"/>
    <w:rsid w:val="455333ED"/>
    <w:rsid w:val="461E1F43"/>
    <w:rsid w:val="4E7B4633"/>
    <w:rsid w:val="51663DDC"/>
    <w:rsid w:val="534F368B"/>
    <w:rsid w:val="543D781D"/>
    <w:rsid w:val="5AF06A16"/>
    <w:rsid w:val="5CEC1CBC"/>
    <w:rsid w:val="5EA02A19"/>
    <w:rsid w:val="621122AA"/>
    <w:rsid w:val="642A01CC"/>
    <w:rsid w:val="698B2A9D"/>
    <w:rsid w:val="69BC1001"/>
    <w:rsid w:val="6CB0546C"/>
    <w:rsid w:val="6CBB42CD"/>
    <w:rsid w:val="6CDD63B6"/>
    <w:rsid w:val="6DCF6F37"/>
    <w:rsid w:val="707C7D2F"/>
    <w:rsid w:val="7A8B7AAF"/>
    <w:rsid w:val="7A9261EE"/>
    <w:rsid w:val="7BCD4B92"/>
    <w:rsid w:val="7C6F7956"/>
    <w:rsid w:val="7E1E6BB8"/>
    <w:rsid w:val="CEF7F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z w:val="21"/>
      <w:szCs w:val="22"/>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kern w:val="2"/>
      <w:sz w:val="21"/>
      <w:szCs w:val="24"/>
    </w:rPr>
  </w:style>
  <w:style w:type="paragraph" w:styleId="3">
    <w:name w:val="Body Text"/>
    <w:basedOn w:val="1"/>
    <w:next w:val="1"/>
    <w:unhideWhenUsed/>
    <w:qFormat/>
    <w:uiPriority w:val="99"/>
    <w:pPr>
      <w:spacing w:after="120"/>
    </w:pPr>
  </w:style>
  <w:style w:type="paragraph" w:styleId="4">
    <w:name w:val="Body Text Indent"/>
    <w:basedOn w:val="1"/>
    <w:next w:val="1"/>
    <w:qFormat/>
    <w:uiPriority w:val="0"/>
    <w:pPr>
      <w:spacing w:after="12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paragraph" w:customStyle="1" w:styleId="10">
    <w:name w:val="Heading2"/>
    <w:basedOn w:val="1"/>
    <w:next w:val="11"/>
    <w:qFormat/>
    <w:uiPriority w:val="0"/>
    <w:pPr>
      <w:spacing w:line="240" w:lineRule="atLeast"/>
      <w:ind w:left="1" w:firstLineChars="0"/>
      <w:jc w:val="center"/>
      <w:textAlignment w:val="bottom"/>
    </w:pPr>
    <w:rPr>
      <w:rFonts w:ascii="Times New Roman" w:hAnsi="Times New Roman" w:eastAsia="宋体"/>
      <w:sz w:val="28"/>
      <w:lang w:val="en-US" w:eastAsia="zh-CN" w:bidi="ar-SA"/>
    </w:rPr>
  </w:style>
  <w:style w:type="paragraph" w:customStyle="1" w:styleId="11">
    <w:name w:val="NormalIndent"/>
    <w:basedOn w:val="1"/>
    <w:qFormat/>
    <w:uiPriority w:val="0"/>
    <w:pPr>
      <w:spacing w:line="240" w:lineRule="auto"/>
      <w:ind w:left="0" w:firstLine="420" w:firstLineChars="200"/>
      <w:jc w:val="both"/>
      <w:textAlignment w:val="auto"/>
    </w:pPr>
    <w:rPr>
      <w:rFonts w:ascii="Calibri" w:hAnsi="Calibri" w:eastAsia="宋体"/>
      <w:kern w:val="2"/>
      <w:sz w:val="21"/>
      <w:szCs w:val="22"/>
      <w:lang w:val="en-US" w:eastAsia="zh-CN" w:bidi="ar-SA"/>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3">
    <w:name w:val="List Paragraph"/>
    <w:basedOn w:val="1"/>
    <w:qFormat/>
    <w:uiPriority w:val="1"/>
    <w:pPr>
      <w:ind w:left="215" w:firstLine="641"/>
    </w:pPr>
    <w:rPr>
      <w:rFonts w:ascii="仿宋" w:hAnsi="仿宋" w:eastAsia="仿宋" w:cs="仿宋"/>
    </w:rPr>
  </w:style>
  <w:style w:type="character" w:customStyle="1" w:styleId="14">
    <w:name w:val="font51"/>
    <w:basedOn w:val="9"/>
    <w:qFormat/>
    <w:uiPriority w:val="0"/>
    <w:rPr>
      <w:rFonts w:hint="eastAsia" w:ascii="宋体" w:hAnsi="宋体" w:eastAsia="宋体" w:cs="宋体"/>
      <w:color w:val="FF0000"/>
      <w:sz w:val="22"/>
      <w:szCs w:val="22"/>
      <w:u w:val="none"/>
    </w:rPr>
  </w:style>
  <w:style w:type="character" w:customStyle="1" w:styleId="15">
    <w:name w:val="font61"/>
    <w:basedOn w:val="9"/>
    <w:qFormat/>
    <w:uiPriority w:val="0"/>
    <w:rPr>
      <w:rFonts w:hint="eastAsia" w:ascii="宋体" w:hAnsi="宋体" w:eastAsia="宋体" w:cs="宋体"/>
      <w:color w:val="000000"/>
      <w:sz w:val="22"/>
      <w:szCs w:val="22"/>
      <w:u w:val="none"/>
    </w:rPr>
  </w:style>
  <w:style w:type="character" w:customStyle="1" w:styleId="16">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2356</Words>
  <Characters>2494</Characters>
  <Paragraphs>738</Paragraphs>
  <TotalTime>9</TotalTime>
  <ScaleCrop>false</ScaleCrop>
  <LinksUpToDate>false</LinksUpToDate>
  <CharactersWithSpaces>2550</CharactersWithSpaces>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2022-08-23T05:20:00Z</dcterms:created>
  <dc:creator>Apache POI</dc:creator>
  <cp:lastModifiedBy>yxx</cp:lastModifiedBy>
  <cp:lastPrinted>2025-05-21T10:02:00Z</cp:lastPrinted>
  <dcterms:modified xsi:type="dcterms:W3CDTF">2025-09-23T08:21:23Z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172BD6E79709E2F30F0C1763E07A3D42</vt:lpwstr>
  </property>
  <property fmtid="{D5CDD505-2E9C-101B-9397-08002B2CF9AE}" pid="4" name="KSOTemplateDocerSaveRecord">
    <vt:lpwstr>eyJoZGlkIjoiMTlhYmI2MDg4Zjk0NjVhZWU0YzczMTkyZDc0YTcyYTYiLCJ1c2VySWQiOiIyMzcxNTE1ODEifQ==</vt:lpwstr>
  </property>
</Properties>
</file>