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8FB55BF">
      <w:pPr>
        <w:pStyle w:val="20"/>
        <w:rPr>
          <w:rFonts w:hint="eastAsia" w:ascii="宋体" w:hAnsi="宋体" w:eastAsia="宋体" w:cs="宋体"/>
          <w:color w:val="auto"/>
          <w:highlight w:val="none"/>
        </w:rPr>
      </w:pPr>
    </w:p>
    <w:p w14:paraId="6EC2E807">
      <w:pPr>
        <w:pStyle w:val="20"/>
        <w:rPr>
          <w:rFonts w:hint="eastAsia" w:ascii="宋体" w:hAnsi="宋体" w:eastAsia="宋体" w:cs="宋体"/>
          <w:color w:val="auto"/>
          <w:highlight w:val="none"/>
        </w:rPr>
      </w:pPr>
    </w:p>
    <w:p w14:paraId="634AF821">
      <w:pPr>
        <w:pStyle w:val="20"/>
        <w:rPr>
          <w:rFonts w:hint="eastAsia" w:ascii="宋体" w:hAnsi="宋体" w:eastAsia="宋体" w:cs="宋体"/>
          <w:color w:val="auto"/>
          <w:highlight w:val="none"/>
        </w:rPr>
      </w:pPr>
    </w:p>
    <w:p w14:paraId="348BF494">
      <w:pPr>
        <w:pStyle w:val="20"/>
        <w:rPr>
          <w:rFonts w:hint="eastAsia" w:ascii="宋体" w:hAnsi="宋体" w:eastAsia="宋体" w:cs="宋体"/>
          <w:color w:val="auto"/>
          <w:highlight w:val="none"/>
        </w:rPr>
      </w:pPr>
    </w:p>
    <w:p w14:paraId="2CA14FAE">
      <w:pPr>
        <w:spacing w:line="360" w:lineRule="auto"/>
        <w:ind w:right="-142" w:rightChars="-68"/>
        <w:jc w:val="center"/>
        <w:rPr>
          <w:rFonts w:hint="eastAsia" w:ascii="宋体" w:hAnsi="宋体" w:eastAsia="宋体" w:cs="宋体"/>
          <w:b/>
          <w:bCs/>
          <w:color w:val="auto"/>
          <w:spacing w:val="26"/>
          <w:sz w:val="56"/>
          <w:szCs w:val="56"/>
          <w:highlight w:val="none"/>
        </w:rPr>
      </w:pPr>
      <w:r>
        <w:rPr>
          <w:rFonts w:hint="eastAsia" w:ascii="宋体" w:hAnsi="宋体" w:eastAsia="宋体" w:cs="宋体"/>
          <w:b/>
          <w:bCs/>
          <w:color w:val="auto"/>
          <w:spacing w:val="26"/>
          <w:sz w:val="56"/>
          <w:szCs w:val="56"/>
          <w:highlight w:val="none"/>
        </w:rPr>
        <w:t>广州市白云区萧岗村项目首期地块清表平整、围蔽、拆卸工程施工总承包</w:t>
      </w:r>
    </w:p>
    <w:p w14:paraId="12A76108">
      <w:pPr>
        <w:spacing w:line="360" w:lineRule="auto"/>
        <w:jc w:val="center"/>
        <w:rPr>
          <w:rFonts w:hint="eastAsia" w:ascii="宋体" w:hAnsi="宋体" w:eastAsia="宋体" w:cs="宋体"/>
          <w:b/>
          <w:bCs/>
          <w:color w:val="auto"/>
          <w:spacing w:val="26"/>
          <w:sz w:val="96"/>
          <w:szCs w:val="110"/>
          <w:highlight w:val="none"/>
        </w:rPr>
      </w:pPr>
    </w:p>
    <w:p w14:paraId="4241963C">
      <w:pPr>
        <w:spacing w:line="360" w:lineRule="auto"/>
        <w:jc w:val="center"/>
        <w:rPr>
          <w:rFonts w:hint="eastAsia" w:ascii="宋体" w:hAnsi="宋体" w:eastAsia="宋体" w:cs="宋体"/>
          <w:b/>
          <w:bCs/>
          <w:color w:val="auto"/>
          <w:spacing w:val="26"/>
          <w:sz w:val="108"/>
          <w:szCs w:val="110"/>
          <w:highlight w:val="none"/>
        </w:rPr>
      </w:pPr>
      <w:r>
        <w:rPr>
          <w:rFonts w:hint="eastAsia" w:ascii="宋体" w:hAnsi="宋体" w:eastAsia="宋体" w:cs="宋体"/>
          <w:b/>
          <w:bCs/>
          <w:color w:val="auto"/>
          <w:spacing w:val="26"/>
          <w:sz w:val="96"/>
          <w:szCs w:val="110"/>
          <w:highlight w:val="none"/>
        </w:rPr>
        <w:t>招 标 文 件</w:t>
      </w:r>
    </w:p>
    <w:p w14:paraId="0F6821AB">
      <w:pPr>
        <w:spacing w:line="360" w:lineRule="auto"/>
        <w:ind w:firstLine="2560" w:firstLineChars="800"/>
        <w:rPr>
          <w:rFonts w:hint="eastAsia" w:ascii="宋体" w:hAnsi="宋体" w:eastAsia="宋体" w:cs="宋体"/>
          <w:color w:val="auto"/>
          <w:sz w:val="32"/>
          <w:highlight w:val="none"/>
        </w:rPr>
      </w:pPr>
    </w:p>
    <w:p w14:paraId="4B9B9A1F">
      <w:pPr>
        <w:spacing w:line="360" w:lineRule="auto"/>
        <w:ind w:firstLine="2560" w:firstLineChars="800"/>
        <w:rPr>
          <w:rFonts w:hint="eastAsia" w:ascii="宋体" w:hAnsi="宋体" w:eastAsia="宋体" w:cs="宋体"/>
          <w:color w:val="auto"/>
          <w:sz w:val="32"/>
          <w:highlight w:val="none"/>
        </w:rPr>
      </w:pPr>
    </w:p>
    <w:p w14:paraId="53635DBF">
      <w:pPr>
        <w:spacing w:line="360" w:lineRule="auto"/>
        <w:ind w:firstLine="2560" w:firstLineChars="800"/>
        <w:rPr>
          <w:rFonts w:hint="eastAsia" w:ascii="宋体" w:hAnsi="宋体" w:eastAsia="宋体" w:cs="宋体"/>
          <w:color w:val="auto"/>
          <w:sz w:val="32"/>
          <w:highlight w:val="none"/>
        </w:rPr>
      </w:pPr>
    </w:p>
    <w:p w14:paraId="0E1F72EB">
      <w:pPr>
        <w:spacing w:line="360" w:lineRule="auto"/>
        <w:ind w:firstLine="2560" w:firstLineChars="800"/>
        <w:rPr>
          <w:rFonts w:hint="eastAsia" w:ascii="宋体" w:hAnsi="宋体" w:eastAsia="宋体" w:cs="宋体"/>
          <w:color w:val="auto"/>
          <w:sz w:val="32"/>
          <w:highlight w:val="none"/>
        </w:rPr>
      </w:pPr>
    </w:p>
    <w:p w14:paraId="656115D2">
      <w:pPr>
        <w:spacing w:line="360" w:lineRule="auto"/>
        <w:ind w:firstLine="2560" w:firstLineChars="800"/>
        <w:rPr>
          <w:rFonts w:hint="eastAsia" w:ascii="宋体" w:hAnsi="宋体" w:eastAsia="宋体" w:cs="宋体"/>
          <w:color w:val="auto"/>
          <w:sz w:val="32"/>
          <w:highlight w:val="none"/>
        </w:rPr>
      </w:pPr>
    </w:p>
    <w:p w14:paraId="288EABE2">
      <w:pPr>
        <w:spacing w:line="360" w:lineRule="auto"/>
        <w:ind w:firstLine="849" w:firstLineChars="283"/>
        <w:rPr>
          <w:rFonts w:hint="eastAsia" w:ascii="宋体" w:hAnsi="宋体" w:eastAsia="宋体" w:cs="宋体"/>
          <w:color w:val="auto"/>
          <w:sz w:val="30"/>
          <w:szCs w:val="30"/>
          <w:highlight w:val="none"/>
          <w:u w:val="single"/>
        </w:rPr>
      </w:pPr>
      <w:r>
        <w:rPr>
          <w:rFonts w:hint="eastAsia" w:ascii="宋体" w:hAnsi="宋体" w:eastAsia="宋体" w:cs="宋体"/>
          <w:color w:val="auto"/>
          <w:sz w:val="30"/>
          <w:szCs w:val="30"/>
          <w:highlight w:val="none"/>
        </w:rPr>
        <w:t>招  标 单 位：</w:t>
      </w:r>
      <w:r>
        <w:rPr>
          <w:rFonts w:hint="eastAsia" w:ascii="宋体" w:hAnsi="宋体" w:eastAsia="宋体" w:cs="宋体"/>
          <w:bCs/>
          <w:color w:val="auto"/>
          <w:sz w:val="30"/>
          <w:szCs w:val="30"/>
          <w:highlight w:val="none"/>
          <w:u w:val="single"/>
        </w:rPr>
        <w:t>广州市白云城市建设投资有限公司</w:t>
      </w:r>
    </w:p>
    <w:p w14:paraId="421A59C0">
      <w:pPr>
        <w:spacing w:line="360" w:lineRule="auto"/>
        <w:ind w:firstLine="849" w:firstLineChars="283"/>
        <w:rPr>
          <w:rFonts w:hint="eastAsia" w:ascii="宋体" w:hAnsi="宋体" w:eastAsia="宋体" w:cs="宋体"/>
          <w:color w:val="auto"/>
          <w:sz w:val="30"/>
          <w:szCs w:val="30"/>
          <w:highlight w:val="none"/>
          <w:u w:val="single"/>
        </w:rPr>
      </w:pPr>
      <w:r>
        <w:rPr>
          <w:rFonts w:hint="eastAsia" w:ascii="宋体" w:hAnsi="宋体" w:eastAsia="宋体" w:cs="宋体"/>
          <w:color w:val="auto"/>
          <w:sz w:val="30"/>
          <w:szCs w:val="30"/>
          <w:highlight w:val="none"/>
        </w:rPr>
        <w:t>招标代理单位：</w:t>
      </w:r>
      <w:r>
        <w:rPr>
          <w:rFonts w:hint="eastAsia" w:ascii="宋体" w:hAnsi="宋体" w:eastAsia="宋体" w:cs="宋体"/>
          <w:color w:val="auto"/>
          <w:sz w:val="30"/>
          <w:szCs w:val="30"/>
          <w:highlight w:val="none"/>
          <w:u w:val="single"/>
        </w:rPr>
        <w:t>广州白云产权经纪有限公司</w:t>
      </w:r>
    </w:p>
    <w:p w14:paraId="50A39E48">
      <w:pPr>
        <w:ind w:firstLine="849" w:firstLineChars="283"/>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日        期：</w:t>
      </w:r>
      <w:r>
        <w:rPr>
          <w:rFonts w:hint="eastAsia" w:ascii="宋体" w:hAnsi="宋体" w:eastAsia="宋体" w:cs="宋体"/>
          <w:color w:val="auto"/>
          <w:sz w:val="30"/>
          <w:szCs w:val="30"/>
          <w:highlight w:val="none"/>
          <w:u w:val="single"/>
          <w:lang w:val="en-US" w:eastAsia="zh-CN"/>
        </w:rPr>
        <w:t xml:space="preserve">     </w:t>
      </w:r>
      <w:r>
        <w:rPr>
          <w:rFonts w:hint="eastAsia" w:ascii="宋体" w:hAnsi="宋体" w:eastAsia="宋体" w:cs="宋体"/>
          <w:color w:val="auto"/>
          <w:sz w:val="30"/>
          <w:szCs w:val="30"/>
          <w:highlight w:val="none"/>
          <w:u w:val="single"/>
        </w:rPr>
        <w:t>年</w:t>
      </w:r>
      <w:r>
        <w:rPr>
          <w:rFonts w:hint="eastAsia" w:ascii="宋体" w:hAnsi="宋体" w:eastAsia="宋体" w:cs="宋体"/>
          <w:color w:val="auto"/>
          <w:sz w:val="30"/>
          <w:szCs w:val="30"/>
          <w:highlight w:val="none"/>
          <w:u w:val="single"/>
          <w:lang w:val="en-US" w:eastAsia="zh-CN"/>
        </w:rPr>
        <w:t xml:space="preserve">  </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 xml:space="preserve">月    </w:t>
      </w:r>
    </w:p>
    <w:p w14:paraId="30FC454D">
      <w:pPr>
        <w:rPr>
          <w:rFonts w:hint="eastAsia" w:ascii="宋体" w:hAnsi="宋体" w:eastAsia="宋体" w:cs="宋体"/>
          <w:color w:val="auto"/>
          <w:sz w:val="30"/>
          <w:szCs w:val="30"/>
          <w:highlight w:val="none"/>
        </w:rPr>
      </w:pPr>
    </w:p>
    <w:p w14:paraId="710549BD">
      <w:pPr>
        <w:jc w:val="center"/>
        <w:rPr>
          <w:rFonts w:hint="eastAsia" w:ascii="宋体" w:hAnsi="宋体" w:eastAsia="宋体" w:cs="宋体"/>
          <w:color w:val="auto"/>
          <w:sz w:val="30"/>
          <w:szCs w:val="30"/>
          <w:highlight w:val="none"/>
        </w:rPr>
      </w:pPr>
    </w:p>
    <w:p w14:paraId="440A2D60">
      <w:pPr>
        <w:rPr>
          <w:rStyle w:val="41"/>
          <w:rFonts w:hint="eastAsia" w:ascii="宋体" w:hAnsi="宋体" w:eastAsia="宋体" w:cs="宋体"/>
          <w:b/>
          <w:bCs/>
          <w:color w:val="auto"/>
          <w:sz w:val="28"/>
          <w:highlight w:val="none"/>
          <w:u w:val="none"/>
        </w:rPr>
      </w:pPr>
      <w:r>
        <w:rPr>
          <w:rStyle w:val="41"/>
          <w:rFonts w:hint="eastAsia" w:ascii="宋体" w:hAnsi="宋体" w:eastAsia="宋体" w:cs="宋体"/>
          <w:b/>
          <w:bCs/>
          <w:color w:val="auto"/>
          <w:sz w:val="28"/>
          <w:highlight w:val="none"/>
          <w:u w:val="none"/>
        </w:rPr>
        <w:br w:type="page"/>
      </w:r>
    </w:p>
    <w:p w14:paraId="3E07B1A4">
      <w:pPr>
        <w:jc w:val="center"/>
        <w:rPr>
          <w:rFonts w:hint="eastAsia" w:ascii="宋体" w:hAnsi="宋体" w:eastAsia="宋体" w:cs="宋体"/>
          <w:b/>
          <w:caps/>
          <w:color w:val="auto"/>
          <w:kern w:val="0"/>
          <w:highlight w:val="none"/>
        </w:rPr>
      </w:pPr>
      <w:r>
        <w:rPr>
          <w:rStyle w:val="41"/>
          <w:rFonts w:hint="eastAsia" w:ascii="宋体" w:hAnsi="宋体" w:eastAsia="宋体" w:cs="宋体"/>
          <w:b/>
          <w:bCs/>
          <w:color w:val="auto"/>
          <w:sz w:val="28"/>
          <w:highlight w:val="none"/>
          <w:u w:val="none"/>
        </w:rPr>
        <w:t>目录</w:t>
      </w:r>
    </w:p>
    <w:p w14:paraId="596F4B23">
      <w:pPr>
        <w:pStyle w:val="2"/>
        <w:rPr>
          <w:rFonts w:hint="eastAsia" w:ascii="宋体" w:hAnsi="宋体" w:eastAsia="宋体" w:cs="宋体"/>
          <w:color w:val="auto"/>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TOC \o "1-3" \h \z \u </w:instrText>
      </w:r>
      <w:r>
        <w:rPr>
          <w:rFonts w:hint="eastAsia" w:ascii="宋体" w:hAnsi="宋体" w:eastAsia="宋体" w:cs="宋体"/>
          <w:color w:val="auto"/>
          <w:highlight w:val="none"/>
        </w:rPr>
        <w:fldChar w:fldCharType="separate"/>
      </w:r>
    </w:p>
    <w:p w14:paraId="5939DF2B">
      <w:pPr>
        <w:pStyle w:val="27"/>
        <w:rPr>
          <w:rFonts w:hint="eastAsia" w:ascii="宋体" w:hAnsi="宋体" w:eastAsia="宋体" w:cs="宋体"/>
          <w:caps w:val="0"/>
          <w:color w:val="auto"/>
          <w:kern w:val="2"/>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"_Toc188805891" </w:instrText>
      </w:r>
      <w:r>
        <w:rPr>
          <w:rFonts w:hint="eastAsia" w:ascii="宋体" w:hAnsi="宋体" w:eastAsia="宋体" w:cs="宋体"/>
          <w:color w:val="auto"/>
          <w:highlight w:val="none"/>
        </w:rPr>
        <w:fldChar w:fldCharType="separate"/>
      </w:r>
      <w:r>
        <w:rPr>
          <w:rStyle w:val="41"/>
          <w:rFonts w:hint="eastAsia" w:ascii="宋体" w:hAnsi="宋体" w:eastAsia="宋体" w:cs="宋体"/>
          <w:color w:val="auto"/>
          <w:highlight w:val="none"/>
        </w:rPr>
        <w:t>第一章  投标须知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_Toc188805891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5DEEBE4">
      <w:pPr>
        <w:pStyle w:val="2"/>
        <w:rPr>
          <w:rFonts w:hint="eastAsia" w:ascii="宋体" w:hAnsi="宋体" w:eastAsia="宋体" w:cs="宋体"/>
          <w:color w:val="auto"/>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"_Toc188805892" </w:instrText>
      </w:r>
      <w:r>
        <w:rPr>
          <w:rFonts w:hint="eastAsia" w:ascii="宋体" w:hAnsi="宋体" w:eastAsia="宋体" w:cs="宋体"/>
          <w:color w:val="auto"/>
          <w:highlight w:val="none"/>
        </w:rPr>
        <w:fldChar w:fldCharType="separate"/>
      </w:r>
      <w:r>
        <w:rPr>
          <w:rStyle w:val="41"/>
          <w:rFonts w:hint="eastAsia" w:ascii="宋体" w:hAnsi="宋体" w:eastAsia="宋体" w:cs="宋体"/>
          <w:color w:val="auto"/>
          <w:highlight w:val="none"/>
        </w:rPr>
        <w:t>一、投标须知前附表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_Toc188805892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66F88AF">
      <w:pPr>
        <w:pStyle w:val="2"/>
        <w:rPr>
          <w:rFonts w:hint="eastAsia" w:ascii="宋体" w:hAnsi="宋体" w:eastAsia="宋体" w:cs="宋体"/>
          <w:color w:val="auto"/>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"_Toc188805894" </w:instrText>
      </w:r>
      <w:r>
        <w:rPr>
          <w:rFonts w:hint="eastAsia" w:ascii="宋体" w:hAnsi="宋体" w:eastAsia="宋体" w:cs="宋体"/>
          <w:color w:val="auto"/>
          <w:highlight w:val="none"/>
        </w:rPr>
        <w:fldChar w:fldCharType="separate"/>
      </w:r>
      <w:r>
        <w:rPr>
          <w:rStyle w:val="41"/>
          <w:rFonts w:hint="eastAsia" w:ascii="宋体" w:hAnsi="宋体" w:eastAsia="宋体" w:cs="宋体"/>
          <w:color w:val="auto"/>
          <w:highlight w:val="none"/>
        </w:rPr>
        <w:t>二、投标须知修改表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_Toc188805894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D1D2D57">
      <w:pPr>
        <w:pStyle w:val="2"/>
        <w:rPr>
          <w:rFonts w:hint="eastAsia" w:ascii="宋体" w:hAnsi="宋体" w:eastAsia="宋体" w:cs="宋体"/>
          <w:color w:val="auto"/>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"_Toc188805895" </w:instrText>
      </w:r>
      <w:r>
        <w:rPr>
          <w:rFonts w:hint="eastAsia" w:ascii="宋体" w:hAnsi="宋体" w:eastAsia="宋体" w:cs="宋体"/>
          <w:color w:val="auto"/>
          <w:highlight w:val="none"/>
        </w:rPr>
        <w:fldChar w:fldCharType="separate"/>
      </w:r>
      <w:r>
        <w:rPr>
          <w:rStyle w:val="41"/>
          <w:rFonts w:hint="eastAsia" w:ascii="宋体" w:hAnsi="宋体" w:eastAsia="宋体" w:cs="宋体"/>
          <w:color w:val="auto"/>
          <w:highlight w:val="none"/>
        </w:rPr>
        <w:t>三、投标须知通用条款</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_Toc188805895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7713406">
      <w:pPr>
        <w:pStyle w:val="19"/>
        <w:tabs>
          <w:tab w:val="right" w:leader="dot" w:pos="9060"/>
        </w:tabs>
        <w:ind w:left="840"/>
        <w:rPr>
          <w:rFonts w:hint="eastAsia" w:ascii="宋体" w:hAnsi="宋体" w:eastAsia="宋体" w:cs="宋体"/>
          <w:color w:val="auto"/>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"_Toc188805896" </w:instrText>
      </w:r>
      <w:r>
        <w:rPr>
          <w:rFonts w:hint="eastAsia" w:ascii="宋体" w:hAnsi="宋体" w:eastAsia="宋体" w:cs="宋体"/>
          <w:color w:val="auto"/>
          <w:highlight w:val="none"/>
        </w:rPr>
        <w:fldChar w:fldCharType="separate"/>
      </w:r>
      <w:r>
        <w:rPr>
          <w:rStyle w:val="41"/>
          <w:rFonts w:hint="eastAsia" w:ascii="宋体" w:hAnsi="宋体" w:eastAsia="宋体" w:cs="宋体"/>
          <w:color w:val="auto"/>
          <w:highlight w:val="none"/>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_Toc188805896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508B070">
      <w:pPr>
        <w:pStyle w:val="19"/>
        <w:tabs>
          <w:tab w:val="right" w:leader="dot" w:pos="9060"/>
        </w:tabs>
        <w:ind w:left="840"/>
        <w:rPr>
          <w:rFonts w:hint="eastAsia" w:ascii="宋体" w:hAnsi="宋体" w:eastAsia="宋体" w:cs="宋体"/>
          <w:color w:val="auto"/>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"_Toc188805897" </w:instrText>
      </w:r>
      <w:r>
        <w:rPr>
          <w:rFonts w:hint="eastAsia" w:ascii="宋体" w:hAnsi="宋体" w:eastAsia="宋体" w:cs="宋体"/>
          <w:color w:val="auto"/>
          <w:highlight w:val="none"/>
        </w:rPr>
        <w:fldChar w:fldCharType="separate"/>
      </w:r>
      <w:r>
        <w:rPr>
          <w:rStyle w:val="41"/>
          <w:rFonts w:hint="eastAsia" w:ascii="宋体" w:hAnsi="宋体" w:eastAsia="宋体" w:cs="宋体"/>
          <w:color w:val="auto"/>
          <w:highlight w:val="none"/>
        </w:rPr>
        <w:t>（二）招标文件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_Toc188805897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4F141AC">
      <w:pPr>
        <w:pStyle w:val="19"/>
        <w:tabs>
          <w:tab w:val="right" w:leader="dot" w:pos="9060"/>
        </w:tabs>
        <w:ind w:left="840"/>
        <w:rPr>
          <w:rFonts w:hint="eastAsia" w:ascii="宋体" w:hAnsi="宋体" w:eastAsia="宋体" w:cs="宋体"/>
          <w:color w:val="auto"/>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"_Toc188805898" </w:instrText>
      </w:r>
      <w:r>
        <w:rPr>
          <w:rFonts w:hint="eastAsia" w:ascii="宋体" w:hAnsi="宋体" w:eastAsia="宋体" w:cs="宋体"/>
          <w:color w:val="auto"/>
          <w:highlight w:val="none"/>
        </w:rPr>
        <w:fldChar w:fldCharType="separate"/>
      </w:r>
      <w:r>
        <w:rPr>
          <w:rStyle w:val="41"/>
          <w:rFonts w:hint="eastAsia" w:ascii="宋体" w:hAnsi="宋体" w:eastAsia="宋体" w:cs="宋体"/>
          <w:color w:val="auto"/>
          <w:highlight w:val="none"/>
        </w:rPr>
        <w:t>（三）投标文件的编制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_Toc188805898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456F58A">
      <w:pPr>
        <w:pStyle w:val="19"/>
        <w:tabs>
          <w:tab w:val="right" w:leader="dot" w:pos="9060"/>
        </w:tabs>
        <w:ind w:left="840"/>
        <w:rPr>
          <w:rFonts w:hint="eastAsia" w:ascii="宋体" w:hAnsi="宋体" w:eastAsia="宋体" w:cs="宋体"/>
          <w:color w:val="auto"/>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"_Toc188805899" </w:instrText>
      </w:r>
      <w:r>
        <w:rPr>
          <w:rFonts w:hint="eastAsia" w:ascii="宋体" w:hAnsi="宋体" w:eastAsia="宋体" w:cs="宋体"/>
          <w:color w:val="auto"/>
          <w:highlight w:val="none"/>
        </w:rPr>
        <w:fldChar w:fldCharType="separate"/>
      </w:r>
      <w:r>
        <w:rPr>
          <w:rStyle w:val="41"/>
          <w:rFonts w:hint="eastAsia" w:ascii="宋体" w:hAnsi="宋体" w:eastAsia="宋体" w:cs="宋体"/>
          <w:color w:val="auto"/>
          <w:highlight w:val="none"/>
        </w:rPr>
        <w:t>（四）投标文件的提交</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_Toc188805899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3E73E76">
      <w:pPr>
        <w:pStyle w:val="19"/>
        <w:tabs>
          <w:tab w:val="right" w:leader="dot" w:pos="9060"/>
        </w:tabs>
        <w:ind w:left="840"/>
        <w:rPr>
          <w:rFonts w:hint="eastAsia" w:ascii="宋体" w:hAnsi="宋体" w:eastAsia="宋体" w:cs="宋体"/>
          <w:color w:val="auto"/>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"_Toc188805900" </w:instrText>
      </w:r>
      <w:r>
        <w:rPr>
          <w:rFonts w:hint="eastAsia" w:ascii="宋体" w:hAnsi="宋体" w:eastAsia="宋体" w:cs="宋体"/>
          <w:color w:val="auto"/>
          <w:highlight w:val="none"/>
        </w:rPr>
        <w:fldChar w:fldCharType="separate"/>
      </w:r>
      <w:r>
        <w:rPr>
          <w:rStyle w:val="41"/>
          <w:rFonts w:hint="eastAsia" w:ascii="宋体" w:hAnsi="宋体" w:eastAsia="宋体" w:cs="宋体"/>
          <w:color w:val="auto"/>
          <w:highlight w:val="none"/>
        </w:rPr>
        <w:t>（五）开标、评标、定标及合同签定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_Toc188805900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83A8EBB">
      <w:pPr>
        <w:pStyle w:val="27"/>
        <w:rPr>
          <w:rFonts w:hint="eastAsia" w:ascii="宋体" w:hAnsi="宋体" w:eastAsia="宋体" w:cs="宋体"/>
          <w:caps w:val="0"/>
          <w:color w:val="auto"/>
          <w:kern w:val="2"/>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"_Toc188805901" </w:instrText>
      </w:r>
      <w:r>
        <w:rPr>
          <w:rFonts w:hint="eastAsia" w:ascii="宋体" w:hAnsi="宋体" w:eastAsia="宋体" w:cs="宋体"/>
          <w:color w:val="auto"/>
          <w:highlight w:val="none"/>
        </w:rPr>
        <w:fldChar w:fldCharType="separate"/>
      </w:r>
      <w:r>
        <w:rPr>
          <w:rStyle w:val="41"/>
          <w:rFonts w:hint="eastAsia" w:ascii="宋体" w:hAnsi="宋体" w:eastAsia="宋体" w:cs="宋体"/>
          <w:color w:val="auto"/>
          <w:highlight w:val="none"/>
        </w:rPr>
        <w:t>第二章  开标、评标及定标办法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_Toc188805901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0E71150">
      <w:pPr>
        <w:pStyle w:val="2"/>
        <w:rPr>
          <w:rFonts w:hint="eastAsia" w:ascii="宋体" w:hAnsi="宋体" w:eastAsia="宋体" w:cs="宋体"/>
          <w:color w:val="auto"/>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"_Toc188805902" </w:instrText>
      </w:r>
      <w:r>
        <w:rPr>
          <w:rFonts w:hint="eastAsia" w:ascii="宋体" w:hAnsi="宋体" w:eastAsia="宋体" w:cs="宋体"/>
          <w:color w:val="auto"/>
          <w:highlight w:val="none"/>
        </w:rPr>
        <w:fldChar w:fldCharType="separate"/>
      </w:r>
      <w:r>
        <w:rPr>
          <w:rStyle w:val="41"/>
          <w:rFonts w:hint="eastAsia" w:ascii="宋体" w:hAnsi="宋体" w:eastAsia="宋体" w:cs="宋体"/>
          <w:color w:val="auto"/>
          <w:highlight w:val="none"/>
        </w:rPr>
        <w:t>一、开标、评标及定标办法修改表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_Toc188805902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24CBA83">
      <w:pPr>
        <w:pStyle w:val="2"/>
        <w:rPr>
          <w:rFonts w:hint="eastAsia" w:ascii="宋体" w:hAnsi="宋体" w:eastAsia="宋体" w:cs="宋体"/>
          <w:color w:val="auto"/>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"_Toc188805903" </w:instrText>
      </w:r>
      <w:r>
        <w:rPr>
          <w:rFonts w:hint="eastAsia" w:ascii="宋体" w:hAnsi="宋体" w:eastAsia="宋体" w:cs="宋体"/>
          <w:color w:val="auto"/>
          <w:highlight w:val="none"/>
        </w:rPr>
        <w:fldChar w:fldCharType="separate"/>
      </w:r>
      <w:r>
        <w:rPr>
          <w:rStyle w:val="41"/>
          <w:rFonts w:hint="eastAsia" w:ascii="宋体" w:hAnsi="宋体" w:eastAsia="宋体" w:cs="宋体"/>
          <w:color w:val="auto"/>
          <w:highlight w:val="none"/>
        </w:rPr>
        <w:t>二、开标、评标及定标办法通用条款</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_Toc188805903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4D308D5">
      <w:pPr>
        <w:pStyle w:val="19"/>
        <w:tabs>
          <w:tab w:val="right" w:leader="dot" w:pos="9060"/>
        </w:tabs>
        <w:ind w:left="840"/>
        <w:rPr>
          <w:rFonts w:hint="eastAsia" w:ascii="宋体" w:hAnsi="宋体" w:eastAsia="宋体" w:cs="宋体"/>
          <w:color w:val="auto"/>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"_Toc188805904" </w:instrText>
      </w:r>
      <w:r>
        <w:rPr>
          <w:rFonts w:hint="eastAsia" w:ascii="宋体" w:hAnsi="宋体" w:eastAsia="宋体" w:cs="宋体"/>
          <w:color w:val="auto"/>
          <w:highlight w:val="none"/>
        </w:rPr>
        <w:fldChar w:fldCharType="separate"/>
      </w:r>
      <w:r>
        <w:rPr>
          <w:rStyle w:val="41"/>
          <w:rFonts w:hint="eastAsia" w:ascii="宋体" w:hAnsi="宋体" w:eastAsia="宋体" w:cs="宋体"/>
          <w:color w:val="auto"/>
          <w:highlight w:val="none"/>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_Toc188805904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9C20C45">
      <w:pPr>
        <w:pStyle w:val="19"/>
        <w:tabs>
          <w:tab w:val="right" w:leader="dot" w:pos="9060"/>
        </w:tabs>
        <w:ind w:left="840"/>
        <w:rPr>
          <w:rFonts w:hint="eastAsia" w:ascii="宋体" w:hAnsi="宋体" w:eastAsia="宋体" w:cs="宋体"/>
          <w:color w:val="auto"/>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"_Toc188805905" </w:instrText>
      </w:r>
      <w:r>
        <w:rPr>
          <w:rFonts w:hint="eastAsia" w:ascii="宋体" w:hAnsi="宋体" w:eastAsia="宋体" w:cs="宋体"/>
          <w:color w:val="auto"/>
          <w:highlight w:val="none"/>
        </w:rPr>
        <w:fldChar w:fldCharType="separate"/>
      </w:r>
      <w:r>
        <w:rPr>
          <w:rStyle w:val="41"/>
          <w:rFonts w:hint="eastAsia" w:ascii="宋体" w:hAnsi="宋体" w:eastAsia="宋体" w:cs="宋体"/>
          <w:color w:val="auto"/>
          <w:highlight w:val="none"/>
        </w:rPr>
        <w:t>（二）开标评标办法程序和细则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_Toc188805905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297B463">
      <w:pPr>
        <w:pStyle w:val="19"/>
        <w:tabs>
          <w:tab w:val="right" w:leader="dot" w:pos="9060"/>
        </w:tabs>
        <w:ind w:left="840"/>
        <w:rPr>
          <w:rFonts w:hint="eastAsia" w:ascii="宋体" w:hAnsi="宋体" w:eastAsia="宋体" w:cs="宋体"/>
          <w:color w:val="auto"/>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"_Toc188805906" </w:instrText>
      </w:r>
      <w:r>
        <w:rPr>
          <w:rFonts w:hint="eastAsia" w:ascii="宋体" w:hAnsi="宋体" w:eastAsia="宋体" w:cs="宋体"/>
          <w:color w:val="auto"/>
          <w:highlight w:val="none"/>
        </w:rPr>
        <w:fldChar w:fldCharType="separate"/>
      </w:r>
      <w:r>
        <w:rPr>
          <w:rStyle w:val="41"/>
          <w:rFonts w:hint="eastAsia" w:ascii="宋体" w:hAnsi="宋体" w:eastAsia="宋体" w:cs="宋体"/>
          <w:color w:val="auto"/>
          <w:highlight w:val="none"/>
        </w:rPr>
        <w:t>可选办法六（适合综合评分法三，技术标与经济标同时开启）</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_Toc188805906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5BEFB71">
      <w:pPr>
        <w:pStyle w:val="27"/>
        <w:rPr>
          <w:rFonts w:hint="eastAsia" w:ascii="宋体" w:hAnsi="宋体" w:eastAsia="宋体" w:cs="宋体"/>
          <w:caps w:val="0"/>
          <w:color w:val="auto"/>
          <w:kern w:val="2"/>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"_Toc188805907" </w:instrText>
      </w:r>
      <w:r>
        <w:rPr>
          <w:rFonts w:hint="eastAsia" w:ascii="宋体" w:hAnsi="宋体" w:eastAsia="宋体" w:cs="宋体"/>
          <w:color w:val="auto"/>
          <w:highlight w:val="none"/>
        </w:rPr>
        <w:fldChar w:fldCharType="separate"/>
      </w:r>
      <w:r>
        <w:rPr>
          <w:rStyle w:val="41"/>
          <w:rFonts w:hint="eastAsia" w:ascii="宋体" w:hAnsi="宋体" w:eastAsia="宋体" w:cs="宋体"/>
          <w:color w:val="auto"/>
          <w:highlight w:val="none"/>
        </w:rPr>
        <w:t>第三章  合同条款</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_Toc188805907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36EDF43">
      <w:pPr>
        <w:pStyle w:val="27"/>
        <w:rPr>
          <w:rFonts w:hint="eastAsia" w:ascii="宋体" w:hAnsi="宋体" w:eastAsia="宋体" w:cs="宋体"/>
          <w:caps w:val="0"/>
          <w:color w:val="auto"/>
          <w:kern w:val="2"/>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"_Toc188805908" </w:instrText>
      </w:r>
      <w:r>
        <w:rPr>
          <w:rFonts w:hint="eastAsia" w:ascii="宋体" w:hAnsi="宋体" w:eastAsia="宋体" w:cs="宋体"/>
          <w:color w:val="auto"/>
          <w:highlight w:val="none"/>
        </w:rPr>
        <w:fldChar w:fldCharType="separate"/>
      </w:r>
      <w:r>
        <w:rPr>
          <w:rStyle w:val="41"/>
          <w:rFonts w:hint="eastAsia" w:ascii="宋体" w:hAnsi="宋体" w:eastAsia="宋体" w:cs="宋体"/>
          <w:color w:val="auto"/>
          <w:highlight w:val="none"/>
        </w:rPr>
        <w:t>第四章  投标文件格式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_Toc188805908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CA2FD52">
      <w:pPr>
        <w:pStyle w:val="27"/>
        <w:rPr>
          <w:rFonts w:hint="eastAsia" w:ascii="宋体" w:hAnsi="宋体" w:eastAsia="宋体" w:cs="宋体"/>
          <w:caps w:val="0"/>
          <w:color w:val="auto"/>
          <w:kern w:val="2"/>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"_Toc188805909" </w:instrText>
      </w:r>
      <w:r>
        <w:rPr>
          <w:rFonts w:hint="eastAsia" w:ascii="宋体" w:hAnsi="宋体" w:eastAsia="宋体" w:cs="宋体"/>
          <w:color w:val="auto"/>
          <w:highlight w:val="none"/>
        </w:rPr>
        <w:fldChar w:fldCharType="separate"/>
      </w:r>
      <w:r>
        <w:rPr>
          <w:rStyle w:val="41"/>
          <w:rFonts w:hint="eastAsia" w:ascii="宋体" w:hAnsi="宋体" w:eastAsia="宋体" w:cs="宋体"/>
          <w:color w:val="auto"/>
          <w:highlight w:val="none"/>
        </w:rPr>
        <w:t>第五章  技术条件（工程建设标准）</w:t>
      </w:r>
      <w:bookmarkStart w:id="33" w:name="_GoBack"/>
      <w:bookmarkEnd w:id="33"/>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_Toc188805909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76848EB">
      <w:pPr>
        <w:pStyle w:val="27"/>
        <w:rPr>
          <w:rFonts w:hint="eastAsia" w:ascii="宋体" w:hAnsi="宋体" w:eastAsia="宋体" w:cs="宋体"/>
          <w:caps w:val="0"/>
          <w:color w:val="auto"/>
          <w:kern w:val="2"/>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"_Toc188805910" </w:instrText>
      </w:r>
      <w:r>
        <w:rPr>
          <w:rFonts w:hint="eastAsia" w:ascii="宋体" w:hAnsi="宋体" w:eastAsia="宋体" w:cs="宋体"/>
          <w:color w:val="auto"/>
          <w:highlight w:val="none"/>
        </w:rPr>
        <w:fldChar w:fldCharType="separate"/>
      </w:r>
      <w:r>
        <w:rPr>
          <w:rStyle w:val="41"/>
          <w:rFonts w:hint="eastAsia" w:ascii="宋体" w:hAnsi="宋体" w:eastAsia="宋体" w:cs="宋体"/>
          <w:color w:val="auto"/>
          <w:highlight w:val="none"/>
        </w:rPr>
        <w:t>第六章  图纸及勘察资料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_Toc188805910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29BDFF3">
      <w:pPr>
        <w:pStyle w:val="27"/>
        <w:rPr>
          <w:rFonts w:hint="eastAsia" w:ascii="宋体" w:hAnsi="宋体" w:eastAsia="宋体" w:cs="宋体"/>
          <w:caps w:val="0"/>
          <w:color w:val="auto"/>
          <w:kern w:val="2"/>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"_Toc188805911" </w:instrText>
      </w:r>
      <w:r>
        <w:rPr>
          <w:rFonts w:hint="eastAsia" w:ascii="宋体" w:hAnsi="宋体" w:eastAsia="宋体" w:cs="宋体"/>
          <w:color w:val="auto"/>
          <w:highlight w:val="none"/>
        </w:rPr>
        <w:fldChar w:fldCharType="separate"/>
      </w:r>
      <w:r>
        <w:rPr>
          <w:rStyle w:val="41"/>
          <w:rFonts w:hint="eastAsia" w:ascii="宋体" w:hAnsi="宋体" w:eastAsia="宋体" w:cs="宋体"/>
          <w:color w:val="auto"/>
          <w:highlight w:val="none"/>
        </w:rPr>
        <w:t>第七章  工程量清单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_Toc188805911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1FF8CFF">
      <w:pPr>
        <w:pStyle w:val="27"/>
        <w:rPr>
          <w:rFonts w:hint="eastAsia" w:ascii="宋体" w:hAnsi="宋体" w:eastAsia="宋体" w:cs="宋体"/>
          <w:caps w:val="0"/>
          <w:color w:val="auto"/>
          <w:kern w:val="2"/>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"_Toc188805912" </w:instrText>
      </w:r>
      <w:r>
        <w:rPr>
          <w:rFonts w:hint="eastAsia" w:ascii="宋体" w:hAnsi="宋体" w:eastAsia="宋体" w:cs="宋体"/>
          <w:color w:val="auto"/>
          <w:highlight w:val="none"/>
        </w:rPr>
        <w:fldChar w:fldCharType="separate"/>
      </w:r>
      <w:r>
        <w:rPr>
          <w:rStyle w:val="41"/>
          <w:rFonts w:hint="eastAsia" w:ascii="宋体" w:hAnsi="宋体" w:eastAsia="宋体" w:cs="宋体"/>
          <w:color w:val="auto"/>
          <w:highlight w:val="none"/>
        </w:rPr>
        <w:t>第八章  最高投标限价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_Toc188805912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410C123">
      <w:pPr>
        <w:pStyle w:val="3"/>
        <w:tabs>
          <w:tab w:val="center" w:pos="4535"/>
          <w:tab w:val="left" w:pos="6825"/>
        </w:tabs>
        <w:rPr>
          <w:rFonts w:hint="eastAsia" w:ascii="宋体" w:hAnsi="宋体" w:eastAsia="宋体" w:cs="宋体"/>
          <w:color w:val="auto"/>
          <w:highlight w:val="none"/>
        </w:rPr>
      </w:pPr>
      <w:r>
        <w:rPr>
          <w:rFonts w:hint="eastAsia" w:ascii="宋体" w:hAnsi="宋体" w:eastAsia="宋体" w:cs="宋体"/>
          <w:color w:val="auto"/>
          <w:highlight w:val="none"/>
        </w:rPr>
        <w:fldChar w:fldCharType="end"/>
      </w:r>
      <w:bookmarkStart w:id="0" w:name="_Toc188805891"/>
      <w:r>
        <w:rPr>
          <w:rFonts w:hint="eastAsia" w:ascii="宋体" w:hAnsi="宋体" w:eastAsia="宋体" w:cs="宋体"/>
          <w:color w:val="auto"/>
          <w:highlight w:val="none"/>
        </w:rPr>
        <w:br w:type="page"/>
      </w:r>
    </w:p>
    <w:p w14:paraId="46945EC8">
      <w:pPr>
        <w:pStyle w:val="3"/>
        <w:tabs>
          <w:tab w:val="center" w:pos="4535"/>
          <w:tab w:val="left" w:pos="6825"/>
        </w:tabs>
        <w:rPr>
          <w:rFonts w:hint="eastAsia" w:ascii="宋体" w:hAnsi="宋体" w:eastAsia="宋体" w:cs="宋体"/>
          <w:color w:val="auto"/>
          <w:highlight w:val="none"/>
        </w:rPr>
      </w:pPr>
      <w:r>
        <w:rPr>
          <w:rFonts w:hint="eastAsia" w:ascii="宋体" w:hAnsi="宋体" w:eastAsia="宋体" w:cs="宋体"/>
          <w:color w:val="auto"/>
          <w:highlight w:val="none"/>
        </w:rPr>
        <w:t>第一章  投标须知</w:t>
      </w:r>
      <w:bookmarkEnd w:id="0"/>
    </w:p>
    <w:p w14:paraId="652D0BDD">
      <w:pPr>
        <w:pStyle w:val="7"/>
        <w:rPr>
          <w:rFonts w:hint="eastAsia" w:ascii="宋体" w:hAnsi="宋体" w:eastAsia="宋体" w:cs="宋体"/>
          <w:color w:val="auto"/>
          <w:highlight w:val="none"/>
        </w:rPr>
      </w:pPr>
      <w:bookmarkStart w:id="1" w:name="_Toc188805892"/>
      <w:r>
        <w:rPr>
          <w:rFonts w:hint="eastAsia" w:ascii="宋体" w:hAnsi="宋体" w:eastAsia="宋体" w:cs="宋体"/>
          <w:color w:val="auto"/>
          <w:highlight w:val="none"/>
        </w:rPr>
        <w:t>一、投标须知前附表</w:t>
      </w:r>
      <w:bookmarkEnd w:id="1"/>
    </w:p>
    <w:p w14:paraId="7A7D7FA8">
      <w:pPr>
        <w:pStyle w:val="10"/>
        <w:spacing w:line="360" w:lineRule="auto"/>
        <w:ind w:firstLine="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4"/>
        <w:tblW w:w="9350" w:type="dxa"/>
        <w:tblInd w:w="125"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5857"/>
      </w:tblGrid>
      <w:tr w14:paraId="07C1C0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2" w:type="dxa"/>
            <w:tcBorders>
              <w:top w:val="double" w:color="auto" w:sz="4" w:space="0"/>
              <w:left w:val="double" w:color="auto" w:sz="4" w:space="0"/>
              <w:bottom w:val="single" w:color="auto" w:sz="4" w:space="0"/>
              <w:right w:val="single" w:color="auto" w:sz="4" w:space="0"/>
            </w:tcBorders>
            <w:shd w:val="clear" w:color="auto" w:fill="auto"/>
            <w:vAlign w:val="center"/>
          </w:tcPr>
          <w:p w14:paraId="51BE756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w:t>
            </w:r>
          </w:p>
        </w:tc>
        <w:tc>
          <w:tcPr>
            <w:tcW w:w="981" w:type="dxa"/>
            <w:tcBorders>
              <w:top w:val="double" w:color="auto" w:sz="4" w:space="0"/>
              <w:left w:val="single" w:color="auto" w:sz="4" w:space="0"/>
              <w:bottom w:val="single" w:color="auto" w:sz="4" w:space="0"/>
              <w:right w:val="single" w:color="auto" w:sz="4" w:space="0"/>
            </w:tcBorders>
            <w:shd w:val="clear" w:color="auto" w:fill="auto"/>
            <w:vAlign w:val="center"/>
          </w:tcPr>
          <w:p w14:paraId="4B15047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条款号</w:t>
            </w:r>
          </w:p>
        </w:tc>
        <w:tc>
          <w:tcPr>
            <w:tcW w:w="1810" w:type="dxa"/>
            <w:tcBorders>
              <w:top w:val="double" w:color="auto" w:sz="4" w:space="0"/>
              <w:left w:val="single" w:color="auto" w:sz="4" w:space="0"/>
              <w:bottom w:val="single" w:color="auto" w:sz="4" w:space="0"/>
              <w:right w:val="single" w:color="auto" w:sz="4" w:space="0"/>
            </w:tcBorders>
            <w:shd w:val="clear" w:color="auto" w:fill="auto"/>
            <w:vAlign w:val="center"/>
          </w:tcPr>
          <w:p w14:paraId="200AC7BF">
            <w:pPr>
              <w:ind w:firstLine="458"/>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内容</w:t>
            </w:r>
          </w:p>
        </w:tc>
        <w:tc>
          <w:tcPr>
            <w:tcW w:w="5857" w:type="dxa"/>
            <w:tcBorders>
              <w:top w:val="double" w:color="auto" w:sz="4" w:space="0"/>
              <w:left w:val="single" w:color="auto" w:sz="4" w:space="0"/>
              <w:bottom w:val="single" w:color="auto" w:sz="4" w:space="0"/>
              <w:right w:val="double" w:color="auto" w:sz="4" w:space="0"/>
            </w:tcBorders>
            <w:shd w:val="clear" w:color="auto" w:fill="auto"/>
            <w:vAlign w:val="center"/>
          </w:tcPr>
          <w:p w14:paraId="1CA03538">
            <w:pPr>
              <w:pStyle w:val="21"/>
              <w:ind w:firstLine="458"/>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说明与要求</w:t>
            </w:r>
          </w:p>
        </w:tc>
      </w:tr>
      <w:tr w14:paraId="38663C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304B04C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10651D3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73142E6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定义</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7C662FB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招标人（即发包人）：</w:t>
            </w:r>
            <w:r>
              <w:rPr>
                <w:rFonts w:hint="eastAsia" w:ascii="宋体" w:hAnsi="宋体" w:eastAsia="宋体" w:cs="宋体"/>
                <w:color w:val="auto"/>
                <w:szCs w:val="21"/>
                <w:highlight w:val="none"/>
                <w:u w:val="single"/>
              </w:rPr>
              <w:t>广州市白云城市建设投资有限公司</w:t>
            </w:r>
          </w:p>
          <w:p w14:paraId="748E477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项目建设管理单位：</w:t>
            </w:r>
            <w:r>
              <w:rPr>
                <w:rFonts w:hint="eastAsia" w:ascii="宋体" w:hAnsi="宋体" w:eastAsia="宋体" w:cs="宋体"/>
                <w:color w:val="auto"/>
                <w:szCs w:val="21"/>
                <w:highlight w:val="none"/>
                <w:u w:val="single"/>
              </w:rPr>
              <w:t>广州市白云城市建设投资有限公司</w:t>
            </w:r>
          </w:p>
          <w:p w14:paraId="4F95610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w:t>
            </w:r>
            <w:r>
              <w:rPr>
                <w:rFonts w:hint="eastAsia" w:ascii="宋体" w:hAnsi="宋体" w:eastAsia="宋体" w:cs="宋体"/>
                <w:color w:val="auto"/>
                <w:szCs w:val="21"/>
                <w:highlight w:val="none"/>
                <w:u w:val="single"/>
              </w:rPr>
              <w:t>广州白云产权经纪有限公司</w:t>
            </w:r>
          </w:p>
          <w:p w14:paraId="145A1569">
            <w:pP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设计单位：</w:t>
            </w:r>
            <w:r>
              <w:rPr>
                <w:rFonts w:hint="eastAsia" w:ascii="宋体" w:hAnsi="宋体" w:cs="宋体"/>
                <w:color w:val="auto"/>
                <w:szCs w:val="21"/>
                <w:highlight w:val="none"/>
                <w:u w:val="single"/>
                <w:lang w:val="en-US" w:eastAsia="zh-CN"/>
              </w:rPr>
              <w:t>广东省建筑设计研究院集团股份有限公司</w:t>
            </w:r>
          </w:p>
          <w:p w14:paraId="1B2C012C">
            <w:pPr>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监理单位：</w:t>
            </w:r>
            <w:r>
              <w:rPr>
                <w:rFonts w:hint="eastAsia" w:ascii="宋体" w:hAnsi="宋体" w:cs="宋体"/>
                <w:color w:val="auto"/>
                <w:szCs w:val="21"/>
                <w:highlight w:val="none"/>
                <w:u w:val="single"/>
                <w:lang w:val="en-US" w:eastAsia="zh-CN"/>
              </w:rPr>
              <w:t>/</w:t>
            </w:r>
          </w:p>
          <w:p w14:paraId="4452DC2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检测机构：</w:t>
            </w:r>
            <w:r>
              <w:rPr>
                <w:rFonts w:hint="eastAsia" w:ascii="宋体" w:hAnsi="宋体" w:eastAsia="宋体" w:cs="宋体"/>
                <w:color w:val="auto"/>
                <w:szCs w:val="21"/>
                <w:highlight w:val="none"/>
                <w:u w:val="single"/>
              </w:rPr>
              <w:t>/</w:t>
            </w:r>
          </w:p>
        </w:tc>
      </w:tr>
      <w:tr w14:paraId="3997A6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50B4422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60FB42A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4E89A01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工程名称</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75952A99">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广州市白云区萧岗村项目首期地块清表平整、围蔽、拆卸工程施工总承包</w:t>
            </w:r>
          </w:p>
        </w:tc>
      </w:tr>
      <w:tr w14:paraId="21CE13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55EC792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01EDE8C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0360DC9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建设地点</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5FFA9B90">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详见本工程招标公告。</w:t>
            </w:r>
          </w:p>
        </w:tc>
      </w:tr>
      <w:tr w14:paraId="6F42DF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26B0523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52635F1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304D046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建设规模</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66424C56">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详见本工程招标公告。</w:t>
            </w:r>
          </w:p>
        </w:tc>
      </w:tr>
      <w:tr w14:paraId="66A045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45A10F5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341683A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3BD8CBC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承包方式</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03697ECC">
            <w:pPr>
              <w:pStyle w:val="17"/>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val="en-US" w:eastAsia="zh-CN"/>
              </w:rPr>
              <w:t>工程费部分：</w:t>
            </w:r>
            <w:r>
              <w:rPr>
                <w:rFonts w:hint="eastAsia" w:ascii="宋体" w:hAnsi="宋体" w:eastAsia="宋体" w:cs="宋体"/>
                <w:color w:val="auto"/>
                <w:szCs w:val="21"/>
                <w:highlight w:val="none"/>
                <w:u w:val="single"/>
              </w:rPr>
              <w:t>包工、包料、包工期、包质量、包安全生产、包文明施工、包验收、包保修的承包方式。本工程为综合单价包干，工程量按实结算，措施项目费总价包干。</w:t>
            </w:r>
          </w:p>
        </w:tc>
      </w:tr>
      <w:tr w14:paraId="71DFBA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454AC88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5B76CC4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445F5B5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509DD6F1">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合格</w:t>
            </w:r>
          </w:p>
        </w:tc>
      </w:tr>
      <w:tr w14:paraId="539313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3AB9C92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0328D72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657C003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招标范围</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3B99C674">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详见本工程招标公告。</w:t>
            </w:r>
          </w:p>
        </w:tc>
      </w:tr>
      <w:tr w14:paraId="2B7E94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3E3A5EB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4DCD8B7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2C548D0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工期要求</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6124D325">
            <w:pPr>
              <w:pStyle w:val="17"/>
              <w:rPr>
                <w:rFonts w:hint="eastAsia" w:ascii="宋体" w:hAnsi="宋体" w:eastAsia="宋体" w:cs="宋体"/>
                <w:color w:val="auto"/>
                <w:szCs w:val="21"/>
                <w:highlight w:val="none"/>
                <w:u w:val="single"/>
              </w:rPr>
            </w:pPr>
            <w:r>
              <w:rPr>
                <w:rFonts w:hint="eastAsia" w:ascii="宋体" w:hAnsi="宋体" w:cs="宋体"/>
                <w:color w:val="auto"/>
                <w:highlight w:val="none"/>
                <w:u w:val="single"/>
                <w:lang w:val="en-US" w:eastAsia="zh-CN"/>
              </w:rPr>
              <w:t>施工总工期暂定24个月</w:t>
            </w:r>
            <w:r>
              <w:rPr>
                <w:rFonts w:hint="eastAsia" w:ascii="宋体" w:hAnsi="宋体" w:eastAsia="宋体" w:cs="宋体"/>
                <w:color w:val="auto"/>
                <w:highlight w:val="none"/>
                <w:u w:val="single"/>
              </w:rPr>
              <w:t>，以开工令载明开工日期起算。</w:t>
            </w:r>
          </w:p>
        </w:tc>
      </w:tr>
      <w:tr w14:paraId="387F4D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0FD72DD1">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5BA64D4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13FF879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资金来源</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7D095256">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详见本工程招标公告。</w:t>
            </w:r>
          </w:p>
        </w:tc>
      </w:tr>
      <w:tr w14:paraId="706516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7C6C057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394F9EB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4.1</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43821B7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投标人资质等级及项目负责人等级要求</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7105231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详见本工程招标公告。</w:t>
            </w:r>
          </w:p>
        </w:tc>
      </w:tr>
      <w:tr w14:paraId="7EC75E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059B6CA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6C73C4F7">
            <w:pPr>
              <w:ind w:firstLine="458"/>
              <w:rPr>
                <w:rFonts w:hint="eastAsia" w:ascii="宋体" w:hAnsi="宋体" w:eastAsia="宋体" w:cs="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08C5D15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资格审查方式</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4510CFC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详见本工程招标公告。</w:t>
            </w:r>
          </w:p>
        </w:tc>
      </w:tr>
      <w:tr w14:paraId="3C23AA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325D3521">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4580DA2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40FFE51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79AAF93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工程量清单计价，按国家、省有关计价规范执行及合同条款相关约定。</w:t>
            </w:r>
          </w:p>
          <w:p w14:paraId="5764388D">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注：</w:t>
            </w:r>
            <w:r>
              <w:rPr>
                <w:rFonts w:hint="eastAsia" w:ascii="宋体" w:hAnsi="宋体" w:eastAsia="宋体" w:cs="宋体"/>
                <w:color w:val="auto"/>
                <w:szCs w:val="21"/>
                <w:highlight w:val="none"/>
                <w:u w:val="single"/>
                <w:lang w:val="en-US" w:eastAsia="zh-CN"/>
              </w:rPr>
              <w:t>1.</w:t>
            </w:r>
            <w:r>
              <w:rPr>
                <w:rFonts w:hint="eastAsia" w:ascii="宋体" w:hAnsi="宋体" w:eastAsia="宋体" w:cs="宋体"/>
                <w:color w:val="auto"/>
                <w:szCs w:val="21"/>
                <w:highlight w:val="none"/>
                <w:u w:val="single"/>
              </w:rPr>
              <w:t>投标人应按照发布的《最高投标限价公布函》（含相关附件）的各项控制数据来</w:t>
            </w:r>
            <w:r>
              <w:rPr>
                <w:rFonts w:hint="eastAsia" w:ascii="宋体" w:hAnsi="宋体" w:eastAsia="宋体" w:cs="宋体"/>
                <w:color w:val="auto"/>
                <w:szCs w:val="21"/>
                <w:highlight w:val="none"/>
                <w:u w:val="single"/>
                <w:lang w:val="en-US" w:eastAsia="zh-CN"/>
              </w:rPr>
              <w:t>填报工程费报价</w:t>
            </w:r>
            <w:r>
              <w:rPr>
                <w:rFonts w:hint="eastAsia" w:ascii="宋体" w:hAnsi="宋体" w:eastAsia="宋体" w:cs="宋体"/>
                <w:color w:val="auto"/>
                <w:szCs w:val="21"/>
                <w:highlight w:val="none"/>
                <w:u w:val="single"/>
              </w:rPr>
              <w:t>，除</w:t>
            </w:r>
            <w:r>
              <w:rPr>
                <w:rFonts w:hint="eastAsia" w:ascii="宋体" w:hAnsi="宋体" w:eastAsia="宋体" w:cs="宋体"/>
                <w:color w:val="auto"/>
                <w:szCs w:val="21"/>
                <w:highlight w:val="none"/>
                <w:u w:val="single"/>
                <w:lang w:val="en-US" w:eastAsia="zh-CN"/>
              </w:rPr>
              <w:t>工程费</w:t>
            </w:r>
            <w:r>
              <w:rPr>
                <w:rFonts w:hint="eastAsia" w:ascii="宋体" w:hAnsi="宋体" w:eastAsia="宋体" w:cs="宋体"/>
                <w:color w:val="auto"/>
                <w:szCs w:val="21"/>
                <w:highlight w:val="none"/>
                <w:u w:val="single"/>
              </w:rPr>
              <w:t>投标总报价不得超过</w:t>
            </w:r>
            <w:r>
              <w:rPr>
                <w:rFonts w:hint="eastAsia" w:ascii="宋体" w:hAnsi="宋体" w:eastAsia="宋体" w:cs="宋体"/>
                <w:color w:val="auto"/>
                <w:szCs w:val="21"/>
                <w:highlight w:val="none"/>
                <w:u w:val="single"/>
                <w:lang w:val="en-US" w:eastAsia="zh-CN"/>
              </w:rPr>
              <w:t>工程费招标控制价</w:t>
            </w:r>
            <w:r>
              <w:rPr>
                <w:rFonts w:hint="eastAsia" w:ascii="宋体" w:hAnsi="宋体" w:eastAsia="宋体" w:cs="宋体"/>
                <w:color w:val="auto"/>
                <w:szCs w:val="21"/>
                <w:highlight w:val="none"/>
                <w:u w:val="single"/>
              </w:rPr>
              <w:t>外，投标人一旦中标，若所提供的</w:t>
            </w:r>
            <w:r>
              <w:rPr>
                <w:rFonts w:hint="eastAsia" w:ascii="宋体" w:hAnsi="宋体" w:eastAsia="宋体" w:cs="宋体"/>
                <w:color w:val="auto"/>
                <w:szCs w:val="21"/>
                <w:highlight w:val="none"/>
                <w:u w:val="single"/>
                <w:lang w:val="en-US" w:eastAsia="zh-CN"/>
              </w:rPr>
              <w:t>工程费</w:t>
            </w:r>
            <w:r>
              <w:rPr>
                <w:rFonts w:hint="eastAsia" w:ascii="宋体" w:hAnsi="宋体" w:eastAsia="宋体" w:cs="宋体"/>
                <w:color w:val="auto"/>
                <w:szCs w:val="21"/>
                <w:highlight w:val="none"/>
                <w:u w:val="single"/>
              </w:rPr>
              <w:t>投标</w:t>
            </w:r>
            <w:r>
              <w:rPr>
                <w:rFonts w:hint="eastAsia" w:ascii="宋体" w:hAnsi="宋体" w:cs="宋体"/>
                <w:color w:val="auto"/>
                <w:szCs w:val="21"/>
                <w:highlight w:val="none"/>
                <w:u w:val="single"/>
                <w:lang w:val="en-US" w:eastAsia="zh-CN"/>
              </w:rPr>
              <w:t>总</w:t>
            </w:r>
            <w:r>
              <w:rPr>
                <w:rFonts w:hint="eastAsia" w:ascii="宋体" w:hAnsi="宋体" w:eastAsia="宋体" w:cs="宋体"/>
                <w:color w:val="auto"/>
                <w:szCs w:val="21"/>
                <w:highlight w:val="none"/>
                <w:u w:val="single"/>
              </w:rPr>
              <w:t>报价综合单价存在不平衡报价的，招标人有权对投标人的不平衡报价进行调整，调整后的综合单价在工程结算时将不得变更。</w:t>
            </w:r>
          </w:p>
          <w:p w14:paraId="32F61231">
            <w:pPr>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val="en-US" w:eastAsia="zh-CN"/>
              </w:rPr>
              <w:t>2.投标人应按《拆卸工程</w:t>
            </w:r>
            <w:r>
              <w:rPr>
                <w:rFonts w:hint="eastAsia" w:ascii="宋体" w:hAnsi="宋体" w:eastAsia="宋体" w:cs="宋体"/>
                <w:color w:val="auto"/>
                <w:szCs w:val="21"/>
                <w:highlight w:val="none"/>
                <w:u w:val="single"/>
              </w:rPr>
              <w:t>回收价值</w:t>
            </w:r>
            <w:r>
              <w:rPr>
                <w:rFonts w:hint="eastAsia" w:ascii="宋体" w:hAnsi="宋体" w:cs="宋体"/>
                <w:color w:val="auto"/>
                <w:szCs w:val="21"/>
                <w:highlight w:val="none"/>
                <w:u w:val="single"/>
                <w:lang w:val="en-US" w:eastAsia="zh-CN"/>
              </w:rPr>
              <w:t>报价明细表</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填报拆卸工程回收价值</w:t>
            </w:r>
            <w:r>
              <w:rPr>
                <w:rFonts w:hint="eastAsia" w:ascii="宋体" w:hAnsi="宋体" w:cs="宋体"/>
                <w:color w:val="auto"/>
                <w:szCs w:val="21"/>
                <w:highlight w:val="none"/>
                <w:u w:val="single"/>
              </w:rPr>
              <w:t>投标单方造价报价</w:t>
            </w:r>
            <w:r>
              <w:rPr>
                <w:rFonts w:hint="eastAsia" w:ascii="宋体" w:hAnsi="宋体" w:cs="宋体"/>
                <w:color w:val="auto"/>
                <w:szCs w:val="21"/>
                <w:highlight w:val="none"/>
                <w:u w:val="single"/>
                <w:lang w:val="en-US" w:eastAsia="zh-CN"/>
              </w:rPr>
              <w:t>及</w:t>
            </w:r>
            <w:r>
              <w:rPr>
                <w:rFonts w:hint="eastAsia" w:ascii="宋体" w:hAnsi="宋体" w:eastAsia="宋体" w:cs="宋体"/>
                <w:color w:val="auto"/>
                <w:szCs w:val="21"/>
                <w:highlight w:val="none"/>
                <w:u w:val="single"/>
                <w:lang w:val="en-US" w:eastAsia="zh-CN"/>
              </w:rPr>
              <w:t>投标</w:t>
            </w:r>
            <w:r>
              <w:rPr>
                <w:rFonts w:hint="eastAsia" w:ascii="宋体" w:hAnsi="宋体" w:cs="宋体"/>
                <w:color w:val="auto"/>
                <w:szCs w:val="21"/>
                <w:highlight w:val="none"/>
                <w:u w:val="single"/>
                <w:lang w:val="en-US" w:eastAsia="zh-CN"/>
              </w:rPr>
              <w:t>总</w:t>
            </w:r>
            <w:r>
              <w:rPr>
                <w:rFonts w:hint="eastAsia" w:ascii="宋体" w:hAnsi="宋体" w:eastAsia="宋体" w:cs="宋体"/>
                <w:color w:val="auto"/>
                <w:szCs w:val="21"/>
                <w:highlight w:val="none"/>
                <w:u w:val="single"/>
                <w:lang w:val="en-US" w:eastAsia="zh-CN"/>
              </w:rPr>
              <w:t>报价，</w:t>
            </w:r>
            <w:r>
              <w:rPr>
                <w:rFonts w:hint="eastAsia" w:ascii="宋体" w:hAnsi="宋体" w:eastAsia="宋体" w:cs="宋体"/>
                <w:color w:val="auto"/>
                <w:highlight w:val="none"/>
                <w:u w:val="single"/>
              </w:rPr>
              <w:t>拆卸工程</w:t>
            </w:r>
            <w:r>
              <w:rPr>
                <w:rFonts w:hint="eastAsia"/>
                <w:color w:val="auto"/>
                <w:highlight w:val="none"/>
              </w:rPr>
              <w:t>回收价值报价低于</w:t>
            </w:r>
            <w:r>
              <w:rPr>
                <w:rFonts w:hint="eastAsia" w:ascii="宋体" w:hAnsi="宋体" w:eastAsia="宋体" w:cs="宋体"/>
                <w:color w:val="auto"/>
                <w:highlight w:val="none"/>
                <w:u w:val="single"/>
              </w:rPr>
              <w:t>拆卸工程</w:t>
            </w:r>
            <w:r>
              <w:rPr>
                <w:rFonts w:hint="eastAsia"/>
                <w:color w:val="auto"/>
                <w:highlight w:val="none"/>
              </w:rPr>
              <w:t>回收价值招标控制价或招标控制综合单价</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为无效标。</w:t>
            </w:r>
          </w:p>
        </w:tc>
      </w:tr>
      <w:tr w14:paraId="17FD7B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26ACAA61">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09158A4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1BE3865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4A0C4978">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120</w:t>
            </w:r>
            <w:r>
              <w:rPr>
                <w:rFonts w:hint="eastAsia" w:ascii="宋体" w:hAnsi="宋体" w:eastAsia="宋体" w:cs="宋体"/>
                <w:color w:val="auto"/>
                <w:szCs w:val="21"/>
                <w:highlight w:val="none"/>
              </w:rPr>
              <w:t>日历天。（</w:t>
            </w:r>
            <w:r>
              <w:rPr>
                <w:rFonts w:hint="eastAsia" w:ascii="宋体" w:hAnsi="宋体" w:eastAsia="宋体" w:cs="宋体"/>
                <w:color w:val="auto"/>
                <w:szCs w:val="21"/>
                <w:highlight w:val="none"/>
                <w:u w:val="single"/>
              </w:rPr>
              <w:t>从递交投标文件截止之日计起</w:t>
            </w:r>
            <w:r>
              <w:rPr>
                <w:rFonts w:hint="eastAsia" w:ascii="宋体" w:hAnsi="宋体" w:eastAsia="宋体" w:cs="宋体"/>
                <w:color w:val="auto"/>
                <w:szCs w:val="21"/>
                <w:highlight w:val="none"/>
              </w:rPr>
              <w:t>）</w:t>
            </w:r>
          </w:p>
        </w:tc>
      </w:tr>
      <w:tr w14:paraId="6E3157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495F820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6CAFCDD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7F37EDE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52573DB0">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方式一：本项目不收投标保证金。</w:t>
            </w:r>
          </w:p>
          <w:p w14:paraId="0AD399E1">
            <w:pPr>
              <w:rPr>
                <w:rFonts w:hint="eastAsia" w:ascii="宋体" w:hAnsi="宋体" w:eastAsia="宋体" w:cs="宋体"/>
                <w:strike/>
                <w:color w:val="auto"/>
                <w:szCs w:val="21"/>
                <w:highlight w:val="none"/>
                <w:u w:val="single"/>
              </w:rPr>
            </w:pPr>
            <w:r>
              <w:rPr>
                <w:rFonts w:hint="eastAsia" w:ascii="宋体" w:hAnsi="宋体" w:eastAsia="宋体" w:cs="宋体"/>
                <w:strike/>
                <w:color w:val="auto"/>
                <w:szCs w:val="21"/>
                <w:highlight w:val="none"/>
                <w:u w:val="single"/>
              </w:rPr>
              <w:t>方式二：本项目收取投标保证金      万元人民币，缴纳时间在        之前。</w:t>
            </w:r>
          </w:p>
          <w:p w14:paraId="79E4E795">
            <w:pPr>
              <w:rPr>
                <w:rFonts w:hint="eastAsia" w:ascii="宋体" w:hAnsi="宋体" w:eastAsia="宋体" w:cs="宋体"/>
                <w:strike/>
                <w:color w:val="auto"/>
                <w:szCs w:val="21"/>
                <w:highlight w:val="none"/>
                <w:u w:val="single"/>
              </w:rPr>
            </w:pPr>
            <w:r>
              <w:rPr>
                <w:rFonts w:hint="eastAsia" w:ascii="宋体" w:hAnsi="宋体" w:eastAsia="宋体" w:cs="宋体"/>
                <w:strike/>
                <w:color w:val="auto"/>
                <w:szCs w:val="21"/>
                <w:highlight w:val="none"/>
                <w:u w:val="single"/>
              </w:rPr>
              <w:t>注：</w:t>
            </w:r>
          </w:p>
          <w:p w14:paraId="00C7362B">
            <w:pPr>
              <w:rPr>
                <w:rFonts w:hint="eastAsia" w:ascii="宋体" w:hAnsi="宋体" w:eastAsia="宋体" w:cs="宋体"/>
                <w:strike/>
                <w:color w:val="auto"/>
                <w:szCs w:val="21"/>
                <w:highlight w:val="none"/>
                <w:u w:val="single"/>
              </w:rPr>
            </w:pPr>
            <w:r>
              <w:rPr>
                <w:rFonts w:hint="eastAsia" w:ascii="宋体" w:hAnsi="宋体" w:eastAsia="宋体" w:cs="宋体"/>
                <w:strike/>
                <w:color w:val="auto"/>
                <w:szCs w:val="21"/>
                <w:highlight w:val="none"/>
                <w:u w:val="single"/>
              </w:rPr>
              <w:t>1、政府投资项目不得收取投标保证金。鼓励招标人对简单小额项目不要求提供投标担保，对中小企业投标人免除投标担保。</w:t>
            </w:r>
          </w:p>
          <w:p w14:paraId="6A44B1BA">
            <w:pPr>
              <w:rPr>
                <w:rFonts w:hint="eastAsia" w:ascii="宋体" w:hAnsi="宋体" w:eastAsia="宋体" w:cs="宋体"/>
                <w:strike/>
                <w:color w:val="auto"/>
                <w:szCs w:val="21"/>
                <w:highlight w:val="none"/>
                <w:u w:val="single"/>
              </w:rPr>
            </w:pPr>
            <w:r>
              <w:rPr>
                <w:rFonts w:hint="eastAsia" w:ascii="宋体" w:hAnsi="宋体" w:eastAsia="宋体" w:cs="宋体"/>
                <w:strike/>
                <w:color w:val="auto"/>
                <w:szCs w:val="21"/>
                <w:highlight w:val="none"/>
                <w:u w:val="single"/>
              </w:rPr>
              <w:t>2、投标保证金不得超过招标项目估算价的2%，投标保证金有效期应当与投标文件有效期一致。根据《房屋建筑和市政基础设施工程施工招标投标管理办法》（建设部令第89号）第二十六条的规定，投标保证金最高不得超过50万元。</w:t>
            </w:r>
          </w:p>
          <w:p w14:paraId="1A7AF373">
            <w:pPr>
              <w:rPr>
                <w:rFonts w:hint="eastAsia" w:ascii="宋体" w:hAnsi="宋体" w:eastAsia="宋体" w:cs="宋体"/>
                <w:color w:val="auto"/>
                <w:szCs w:val="21"/>
                <w:highlight w:val="none"/>
                <w:u w:val="single"/>
              </w:rPr>
            </w:pPr>
            <w:r>
              <w:rPr>
                <w:rFonts w:hint="eastAsia" w:ascii="宋体" w:hAnsi="宋体" w:eastAsia="宋体" w:cs="宋体"/>
                <w:strike/>
                <w:color w:val="auto"/>
                <w:szCs w:val="21"/>
                <w:highlight w:val="none"/>
                <w:u w:val="single"/>
              </w:rPr>
              <w:t>3、招标人在免收投标保证金的同时，应约定免交投标保证金的投标人存在16.4条款所列情形的后续处理措施。</w:t>
            </w:r>
          </w:p>
        </w:tc>
      </w:tr>
      <w:tr w14:paraId="1BE9F7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78F39CD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4E8A922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59C4444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踏勘现场</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54C0C95E">
            <w:pPr>
              <w:pStyle w:val="21"/>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招标人不集中组织，由投标人自行踏勘。</w:t>
            </w:r>
          </w:p>
        </w:tc>
      </w:tr>
      <w:tr w14:paraId="7C7DC6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2CF9E2B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1B5F070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683FAA1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投标答疑</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4F8C6BB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疑问提交时间：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时前</w:t>
            </w:r>
            <w:r>
              <w:rPr>
                <w:rFonts w:hint="eastAsia" w:ascii="宋体" w:hAnsi="宋体" w:eastAsia="宋体" w:cs="宋体"/>
                <w:color w:val="auto"/>
                <w:szCs w:val="21"/>
                <w:highlight w:val="none"/>
                <w:u w:val="single"/>
              </w:rPr>
              <w:t>（递交投标文件截止日期前18天）</w:t>
            </w:r>
            <w:r>
              <w:rPr>
                <w:rFonts w:hint="eastAsia" w:ascii="宋体" w:hAnsi="宋体" w:eastAsia="宋体" w:cs="宋体"/>
                <w:color w:val="auto"/>
                <w:szCs w:val="21"/>
                <w:highlight w:val="none"/>
              </w:rPr>
              <w:t>；</w:t>
            </w:r>
          </w:p>
          <w:p w14:paraId="12B2AA7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形式：投标人的疑问通过</w:t>
            </w:r>
            <w:r>
              <w:rPr>
                <w:rFonts w:hint="eastAsia" w:ascii="宋体" w:hAnsi="宋体" w:eastAsia="宋体" w:cs="宋体"/>
                <w:color w:val="auto"/>
                <w:szCs w:val="24"/>
                <w:highlight w:val="none"/>
                <w:u w:val="single"/>
              </w:rPr>
              <w:t>广州交易集团有限公司（广州公共资源交易中心）</w:t>
            </w:r>
            <w:r>
              <w:rPr>
                <w:rFonts w:hint="eastAsia" w:ascii="宋体" w:hAnsi="宋体" w:eastAsia="宋体" w:cs="宋体"/>
                <w:color w:val="auto"/>
                <w:szCs w:val="21"/>
                <w:highlight w:val="none"/>
              </w:rPr>
              <w:t>交易平台提交。</w:t>
            </w:r>
          </w:p>
          <w:p w14:paraId="7F64F577">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招标人澄清、修补或答疑期限：在递交投标文件截止日期前15 日</w:t>
            </w:r>
          </w:p>
          <w:p w14:paraId="5004EBB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具体要求：按照交易平台关于全流程电子化项目的相关指南进行操作，详见：</w:t>
            </w:r>
            <w:r>
              <w:rPr>
                <w:rFonts w:hint="eastAsia" w:ascii="宋体" w:hAnsi="宋体" w:eastAsia="宋体" w:cs="宋体"/>
                <w:color w:val="auto"/>
                <w:szCs w:val="24"/>
                <w:highlight w:val="none"/>
                <w:u w:val="single"/>
              </w:rPr>
              <w:t>广州交易集团有限公司（广州公共资源交易中心）</w:t>
            </w:r>
            <w:r>
              <w:rPr>
                <w:rFonts w:hint="eastAsia" w:ascii="宋体" w:hAnsi="宋体" w:eastAsia="宋体" w:cs="宋体"/>
                <w:color w:val="auto"/>
                <w:szCs w:val="21"/>
                <w:highlight w:val="none"/>
                <w:u w:val="single"/>
              </w:rPr>
              <w:t>网站(https://ywtb.gzggzy.cn/)服务指南栏目</w:t>
            </w:r>
            <w:r>
              <w:rPr>
                <w:rFonts w:hint="eastAsia" w:ascii="宋体" w:hAnsi="宋体" w:eastAsia="宋体" w:cs="宋体"/>
                <w:color w:val="auto"/>
                <w:szCs w:val="21"/>
                <w:highlight w:val="none"/>
              </w:rPr>
              <w:t>。提问一律不得署名。</w:t>
            </w:r>
          </w:p>
        </w:tc>
      </w:tr>
      <w:tr w14:paraId="63E435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5AAF1EC1">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1CDE319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6A4CF47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投标截止时间</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7BCC25A1">
            <w:pPr>
              <w:rPr>
                <w:rFonts w:hint="eastAsia" w:ascii="宋体" w:hAnsi="宋体" w:eastAsia="宋体" w:cs="宋体"/>
                <w:strike/>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时（北京时间）。</w:t>
            </w:r>
          </w:p>
        </w:tc>
      </w:tr>
      <w:tr w14:paraId="389E54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4BD91BD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69BE4B6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55BE1C1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开标开始时间和地点</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4D83712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（技术标和经济标同时开标）</w:t>
            </w:r>
          </w:p>
          <w:p w14:paraId="04415229">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1、开标开始时间：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分（与投标截止时间为同一时间），地点：</w:t>
            </w:r>
            <w:r>
              <w:rPr>
                <w:rFonts w:hint="eastAsia" w:ascii="宋体" w:hAnsi="宋体" w:eastAsia="宋体" w:cs="宋体"/>
                <w:color w:val="auto"/>
                <w:szCs w:val="24"/>
                <w:highlight w:val="none"/>
                <w:u w:val="single"/>
              </w:rPr>
              <w:t>广州交易集团有限公司（广州公共资源交易中心）</w:t>
            </w:r>
            <w:r>
              <w:rPr>
                <w:rFonts w:hint="eastAsia" w:ascii="宋体" w:hAnsi="宋体" w:eastAsia="宋体" w:cs="宋体"/>
                <w:color w:val="auto"/>
                <w:szCs w:val="24"/>
                <w:highlight w:val="none"/>
                <w:u w:val="single"/>
                <w:lang w:val="en-US" w:eastAsia="zh-CN"/>
              </w:rPr>
              <w:t>指定开标室</w:t>
            </w:r>
            <w:r>
              <w:rPr>
                <w:rFonts w:hint="eastAsia" w:ascii="宋体" w:hAnsi="宋体" w:eastAsia="宋体" w:cs="宋体"/>
                <w:color w:val="auto"/>
                <w:szCs w:val="21"/>
                <w:highlight w:val="none"/>
                <w:u w:val="single"/>
              </w:rPr>
              <w:t>。</w:t>
            </w:r>
          </w:p>
          <w:p w14:paraId="00EB20DE">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投标人也可选择参加在线开标，具体按照交易平台相关指南进行操作。详见：</w:t>
            </w:r>
            <w:r>
              <w:rPr>
                <w:rFonts w:hint="eastAsia" w:ascii="宋体" w:hAnsi="宋体" w:eastAsia="宋体" w:cs="宋体"/>
                <w:color w:val="auto"/>
                <w:szCs w:val="24"/>
                <w:highlight w:val="none"/>
                <w:u w:val="single"/>
              </w:rPr>
              <w:t>广州交易集团有限公司（广州公共资源交易中心）</w:t>
            </w:r>
            <w:r>
              <w:rPr>
                <w:rFonts w:hint="eastAsia" w:ascii="宋体" w:hAnsi="宋体" w:eastAsia="宋体" w:cs="宋体"/>
                <w:color w:val="auto"/>
                <w:szCs w:val="21"/>
                <w:highlight w:val="none"/>
                <w:u w:val="single"/>
              </w:rPr>
              <w:t>网站(https://ywtb.gzggzy.cn/)服务指南栏目发布的最新版操作指引。</w:t>
            </w:r>
          </w:p>
          <w:p w14:paraId="156E216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注：投标文件解密问题。投标人只用执行一次解密，招标人执行解密次数根据招标文件开标次数确定。</w:t>
            </w:r>
          </w:p>
          <w:p w14:paraId="44E2B8CE">
            <w:pPr>
              <w:rPr>
                <w:rFonts w:hint="eastAsia" w:ascii="宋体" w:hAnsi="宋体" w:eastAsia="宋体" w:cs="宋体"/>
                <w:color w:val="auto"/>
                <w:highlight w:val="none"/>
              </w:rPr>
            </w:pPr>
            <w:r>
              <w:rPr>
                <w:rFonts w:hint="eastAsia" w:ascii="宋体" w:hAnsi="宋体" w:eastAsia="宋体" w:cs="宋体"/>
                <w:color w:val="auto"/>
                <w:szCs w:val="21"/>
                <w:highlight w:val="none"/>
              </w:rPr>
              <w:t>2、递交投标文件备用光盘或U盘时间：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分至</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分；递交地点：</w:t>
            </w:r>
            <w:r>
              <w:rPr>
                <w:rFonts w:hint="eastAsia" w:ascii="宋体" w:hAnsi="宋体" w:eastAsia="宋体" w:cs="宋体"/>
                <w:color w:val="auto"/>
                <w:szCs w:val="24"/>
                <w:highlight w:val="none"/>
                <w:u w:val="single"/>
              </w:rPr>
              <w:t>广州交易集团有限公司（广州公共资源交易中心）</w:t>
            </w:r>
            <w:r>
              <w:rPr>
                <w:rFonts w:hint="eastAsia" w:ascii="宋体" w:hAnsi="宋体" w:eastAsia="宋体" w:cs="宋体"/>
                <w:color w:val="auto"/>
                <w:szCs w:val="24"/>
                <w:highlight w:val="none"/>
                <w:u w:val="single"/>
                <w:lang w:val="en-US" w:eastAsia="zh-CN"/>
              </w:rPr>
              <w:t>指定开标室</w:t>
            </w:r>
            <w:r>
              <w:rPr>
                <w:rFonts w:hint="eastAsia" w:ascii="宋体" w:hAnsi="宋体" w:eastAsia="宋体" w:cs="宋体"/>
                <w:color w:val="auto"/>
                <w:highlight w:val="none"/>
              </w:rPr>
              <w:t>。(建议安排在投标文件截止时间前15分钟至投标文件截止时间）</w:t>
            </w:r>
          </w:p>
          <w:p w14:paraId="0B782EA4">
            <w:pPr>
              <w:rPr>
                <w:rFonts w:hint="eastAsia" w:ascii="宋体" w:hAnsi="宋体" w:eastAsia="宋体" w:cs="宋体"/>
                <w:color w:val="auto"/>
                <w:szCs w:val="21"/>
                <w:highlight w:val="none"/>
              </w:rPr>
            </w:pPr>
            <w:r>
              <w:rPr>
                <w:rFonts w:hint="eastAsia" w:ascii="宋体" w:hAnsi="宋体" w:eastAsia="宋体" w:cs="宋体"/>
                <w:color w:val="auto"/>
                <w:highlight w:val="none"/>
              </w:rPr>
              <w:t>上述时间及地点是否有改变，请密切留意补充公告和招标答疑纪要的相关信息。</w:t>
            </w:r>
          </w:p>
        </w:tc>
      </w:tr>
      <w:tr w14:paraId="24066E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411865B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19</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44D2414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796FEDA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开标评标办法</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4360346F">
            <w:pPr>
              <w:pStyle w:val="5"/>
              <w:ind w:firstLine="0"/>
              <w:rPr>
                <w:rFonts w:hint="eastAsia" w:ascii="宋体" w:hAnsi="宋体" w:eastAsia="宋体" w:cs="宋体"/>
                <w:color w:val="auto"/>
                <w:highlight w:val="none"/>
              </w:rPr>
            </w:pPr>
            <w:r>
              <w:rPr>
                <w:rFonts w:hint="eastAsia" w:ascii="宋体" w:hAnsi="宋体" w:eastAsia="宋体" w:cs="宋体"/>
                <w:color w:val="auto"/>
                <w:highlight w:val="none"/>
              </w:rPr>
              <w:t>方式一：</w:t>
            </w:r>
            <w:r>
              <w:rPr>
                <w:rFonts w:hint="eastAsia" w:ascii="宋体" w:hAnsi="宋体" w:eastAsia="宋体" w:cs="宋体"/>
                <w:color w:val="auto"/>
                <w:highlight w:val="none"/>
                <w:u w:val="single"/>
              </w:rPr>
              <w:t>选取方法办法六（适合综合评分法三，技术标与经济标同时开启）；</w:t>
            </w:r>
          </w:p>
        </w:tc>
      </w:tr>
      <w:tr w14:paraId="1BCA94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26347EB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05BEFDB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753CBEB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履约担保</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7FDCF038">
            <w:pPr>
              <w:pStyle w:val="5"/>
              <w:ind w:firstLine="0"/>
              <w:rPr>
                <w:rFonts w:hint="eastAsia" w:ascii="宋体" w:hAnsi="宋体" w:eastAsia="宋体" w:cs="宋体"/>
                <w:color w:val="auto"/>
                <w:highlight w:val="none"/>
              </w:rPr>
            </w:pPr>
            <w:r>
              <w:rPr>
                <w:rFonts w:hint="eastAsia" w:ascii="宋体" w:hAnsi="宋体" w:eastAsia="宋体" w:cs="宋体"/>
                <w:color w:val="auto"/>
                <w:highlight w:val="none"/>
              </w:rPr>
              <w:t>方式一：中标人提供的履约保证金为</w:t>
            </w:r>
            <w:r>
              <w:rPr>
                <w:rFonts w:hint="eastAsia" w:ascii="宋体" w:hAnsi="宋体" w:eastAsia="宋体" w:cs="宋体"/>
                <w:color w:val="auto"/>
                <w:highlight w:val="none"/>
                <w:lang w:val="en-US" w:eastAsia="zh-CN"/>
              </w:rPr>
              <w:t>工程费</w:t>
            </w:r>
            <w:r>
              <w:rPr>
                <w:rFonts w:hint="eastAsia" w:ascii="宋体" w:hAnsi="宋体" w:eastAsia="宋体" w:cs="宋体"/>
                <w:color w:val="auto"/>
                <w:highlight w:val="none"/>
              </w:rPr>
              <w:t>中标价款的10%。</w:t>
            </w:r>
          </w:p>
        </w:tc>
      </w:tr>
      <w:tr w14:paraId="08A7F5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1D38A02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48A603BD">
            <w:pPr>
              <w:rPr>
                <w:rFonts w:hint="eastAsia" w:ascii="宋体" w:hAnsi="宋体" w:eastAsia="宋体" w:cs="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6758AE5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最高投标限价</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72E792A3">
            <w:pPr>
              <w:rPr>
                <w:rFonts w:hint="eastAsia" w:ascii="宋体" w:hAnsi="宋体" w:eastAsia="宋体" w:cs="宋体"/>
                <w:color w:val="auto"/>
                <w:szCs w:val="21"/>
                <w:highlight w:val="none"/>
                <w:lang w:val="en-US" w:eastAsia="zh-CN"/>
              </w:rPr>
            </w:pPr>
            <w:r>
              <w:rPr>
                <w:rFonts w:hint="eastAsia" w:ascii="宋体" w:hAnsi="宋体" w:eastAsia="宋体" w:cs="宋体"/>
                <w:color w:val="auto"/>
                <w:highlight w:val="none"/>
                <w:u w:val="single"/>
              </w:rPr>
              <w:t>本次招标控制价由两部分组成，工程费招标控制价为</w:t>
            </w:r>
            <w:r>
              <w:rPr>
                <w:rFonts w:hint="eastAsia" w:ascii="宋体" w:hAnsi="宋体" w:eastAsia="宋体" w:cs="宋体"/>
                <w:color w:val="auto"/>
                <w:sz w:val="21"/>
                <w:highlight w:val="none"/>
                <w:u w:val="single"/>
                <w:lang w:val="en-US" w:eastAsia="zh-CN"/>
              </w:rPr>
              <w:t>61890555.70</w:t>
            </w:r>
            <w:r>
              <w:rPr>
                <w:rFonts w:hint="eastAsia" w:ascii="宋体" w:hAnsi="宋体" w:eastAsia="宋体" w:cs="宋体"/>
                <w:color w:val="auto"/>
                <w:highlight w:val="none"/>
                <w:u w:val="single"/>
              </w:rPr>
              <w:t>元；拆卸工程回收价值招标控制价</w:t>
            </w:r>
            <w:r>
              <w:rPr>
                <w:rFonts w:hint="eastAsia" w:ascii="宋体" w:hAnsi="宋体" w:eastAsia="宋体" w:cs="宋体"/>
                <w:color w:val="auto"/>
                <w:highlight w:val="none"/>
                <w:u w:val="single"/>
                <w:lang w:val="en-US" w:eastAsia="zh-CN"/>
              </w:rPr>
              <w:t>42844458.00</w:t>
            </w:r>
            <w:r>
              <w:rPr>
                <w:rFonts w:hint="eastAsia" w:ascii="宋体" w:hAnsi="宋体" w:cs="宋体"/>
                <w:color w:val="auto"/>
                <w:highlight w:val="none"/>
                <w:u w:val="single"/>
                <w:lang w:val="en-US" w:eastAsia="zh-CN"/>
              </w:rPr>
              <w:t>元</w:t>
            </w:r>
            <w:r>
              <w:rPr>
                <w:rFonts w:hint="eastAsia" w:ascii="宋体" w:hAnsi="宋体" w:eastAsia="宋体" w:cs="宋体"/>
                <w:color w:val="auto"/>
                <w:highlight w:val="none"/>
                <w:u w:val="single"/>
              </w:rPr>
              <w:t>。（工程费投标</w:t>
            </w:r>
            <w:r>
              <w:rPr>
                <w:rFonts w:hint="eastAsia" w:ascii="宋体" w:hAnsi="宋体" w:cs="宋体"/>
                <w:color w:val="auto"/>
                <w:highlight w:val="none"/>
                <w:u w:val="single"/>
                <w:lang w:val="en-US" w:eastAsia="zh-CN"/>
              </w:rPr>
              <w:t>总</w:t>
            </w:r>
            <w:r>
              <w:rPr>
                <w:rFonts w:hint="eastAsia" w:ascii="宋体" w:hAnsi="宋体" w:eastAsia="宋体" w:cs="宋体"/>
                <w:color w:val="auto"/>
                <w:highlight w:val="none"/>
                <w:u w:val="single"/>
              </w:rPr>
              <w:t>报价不得高于工程费招标控制价，拆卸工程</w:t>
            </w:r>
            <w:r>
              <w:rPr>
                <w:rFonts w:hint="eastAsia"/>
                <w:color w:val="auto"/>
                <w:highlight w:val="none"/>
              </w:rPr>
              <w:t>回收价值报价不得低于</w:t>
            </w:r>
            <w:r>
              <w:rPr>
                <w:rFonts w:hint="eastAsia" w:ascii="宋体" w:hAnsi="宋体" w:eastAsia="宋体" w:cs="宋体"/>
                <w:color w:val="auto"/>
                <w:highlight w:val="none"/>
                <w:u w:val="single"/>
              </w:rPr>
              <w:t>拆卸工程</w:t>
            </w:r>
            <w:r>
              <w:rPr>
                <w:rFonts w:hint="eastAsia"/>
                <w:color w:val="auto"/>
                <w:highlight w:val="none"/>
              </w:rPr>
              <w:t>回收价值招标控制价或招标控制综合单价，由投标人根据招标文件要求以及企业自身情况填报投标报价</w:t>
            </w:r>
            <w:r>
              <w:rPr>
                <w:rFonts w:hint="eastAsia" w:ascii="宋体" w:hAnsi="宋体" w:eastAsia="宋体" w:cs="宋体"/>
                <w:color w:val="auto"/>
                <w:highlight w:val="none"/>
                <w:u w:val="single"/>
              </w:rPr>
              <w:t>，否则为无效标。）</w:t>
            </w:r>
            <w:r>
              <w:rPr>
                <w:rFonts w:hint="eastAsia" w:ascii="宋体" w:hAnsi="宋体" w:cs="宋体"/>
                <w:color w:val="auto"/>
                <w:highlight w:val="none"/>
                <w:u w:val="single"/>
                <w:lang w:val="en-US" w:eastAsia="zh-CN"/>
              </w:rPr>
              <w:t xml:space="preserve"> </w:t>
            </w:r>
          </w:p>
        </w:tc>
      </w:tr>
      <w:tr w14:paraId="51F0A2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63B0C3E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1E7F7627">
            <w:pPr>
              <w:rPr>
                <w:rFonts w:hint="eastAsia" w:ascii="宋体" w:hAnsi="宋体" w:eastAsia="宋体" w:cs="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448FEF1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非竞争费用</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3609F58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本项目安全生产措施费为</w:t>
            </w:r>
            <w:r>
              <w:rPr>
                <w:rFonts w:hint="eastAsia" w:ascii="宋体" w:hAnsi="宋体" w:eastAsia="宋体" w:cs="宋体"/>
                <w:color w:val="auto"/>
                <w:szCs w:val="21"/>
                <w:highlight w:val="none"/>
                <w:u w:val="single"/>
                <w:lang w:val="en-US" w:eastAsia="zh-CN"/>
              </w:rPr>
              <w:t>676833.93</w:t>
            </w:r>
            <w:r>
              <w:rPr>
                <w:rFonts w:hint="eastAsia" w:ascii="宋体" w:hAnsi="宋体" w:eastAsia="宋体" w:cs="宋体"/>
                <w:color w:val="auto"/>
                <w:szCs w:val="21"/>
                <w:highlight w:val="none"/>
              </w:rPr>
              <w:t>元，暂列金额为</w:t>
            </w:r>
            <w:r>
              <w:rPr>
                <w:rFonts w:hint="eastAsia" w:ascii="宋体" w:hAnsi="宋体" w:cs="宋体"/>
                <w:color w:val="auto"/>
                <w:szCs w:val="21"/>
                <w:highlight w:val="none"/>
                <w:u w:val="single"/>
                <w:lang w:val="en-US" w:eastAsia="zh-CN"/>
              </w:rPr>
              <w:t>0</w:t>
            </w:r>
            <w:r>
              <w:rPr>
                <w:rFonts w:hint="eastAsia" w:ascii="宋体" w:hAnsi="宋体" w:eastAsia="宋体" w:cs="宋体"/>
                <w:color w:val="auto"/>
                <w:szCs w:val="21"/>
                <w:highlight w:val="none"/>
              </w:rPr>
              <w:t>元，暂估价为</w:t>
            </w:r>
            <w:r>
              <w:rPr>
                <w:rFonts w:hint="eastAsia" w:ascii="宋体" w:hAnsi="宋体" w:cs="宋体"/>
                <w:color w:val="auto"/>
                <w:szCs w:val="21"/>
                <w:highlight w:val="none"/>
                <w:u w:val="single"/>
                <w:lang w:val="en-US" w:eastAsia="zh-CN"/>
              </w:rPr>
              <w:t>0</w:t>
            </w:r>
            <w:r>
              <w:rPr>
                <w:rFonts w:hint="eastAsia" w:ascii="宋体" w:hAnsi="宋体" w:eastAsia="宋体" w:cs="宋体"/>
                <w:color w:val="auto"/>
                <w:szCs w:val="21"/>
                <w:highlight w:val="none"/>
              </w:rPr>
              <w:t>元。（未按招标文件规定的金额填写的，由评标委员会按照招标文件规定的金额进行修正）</w:t>
            </w:r>
          </w:p>
        </w:tc>
      </w:tr>
      <w:tr w14:paraId="262B5A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7B8AEA4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23</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6596FDAF">
            <w:pPr>
              <w:rPr>
                <w:rFonts w:hint="eastAsia" w:ascii="宋体" w:hAnsi="宋体" w:eastAsia="宋体" w:cs="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1EF87903">
            <w:pPr>
              <w:pStyle w:val="5"/>
              <w:ind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保修期</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11098AF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按照《建设工程质量管理条例》规定。</w:t>
            </w:r>
          </w:p>
        </w:tc>
      </w:tr>
      <w:tr w14:paraId="726C88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52772EAE">
            <w:pP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24</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291E23F5">
            <w:pPr>
              <w:rPr>
                <w:rFonts w:hint="eastAsia" w:ascii="宋体" w:hAnsi="宋体" w:eastAsia="宋体" w:cs="宋体"/>
                <w:strike/>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55652F1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计算评标参考价的等分点值</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41AE3E5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计算评标参考价的等分点值X在开标前从[0,100]</w:t>
            </w:r>
            <w:r>
              <w:rPr>
                <w:rFonts w:hint="eastAsia" w:ascii="宋体" w:hAnsi="宋体" w:eastAsia="宋体" w:cs="宋体"/>
                <w:color w:val="auto"/>
                <w:highlight w:val="none"/>
              </w:rPr>
              <w:t xml:space="preserve"> </w:t>
            </w:r>
            <w:r>
              <w:rPr>
                <w:rFonts w:hint="eastAsia" w:ascii="宋体" w:hAnsi="宋体" w:eastAsia="宋体" w:cs="宋体"/>
                <w:color w:val="auto"/>
                <w:szCs w:val="21"/>
                <w:highlight w:val="none"/>
              </w:rPr>
              <w:t>的整数中随机抽取。</w:t>
            </w:r>
          </w:p>
        </w:tc>
      </w:tr>
      <w:tr w14:paraId="025C6C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223D6C3A">
            <w:pP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25</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0FCBA424">
            <w:pPr>
              <w:ind w:firstLine="458"/>
              <w:rPr>
                <w:rFonts w:hint="eastAsia" w:ascii="宋体" w:hAnsi="宋体" w:eastAsia="宋体" w:cs="宋体"/>
                <w:strike/>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53C2112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进入第二阶段评审的家数</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414ADCB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 1 \* GB3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①</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通过技术有效性审查的投标人均进入第二阶段（适用于通过技术有效性审查家数在[3,</w:t>
            </w:r>
            <w:r>
              <w:rPr>
                <w:rFonts w:hint="eastAsia" w:ascii="宋体" w:hAnsi="宋体" w:cs="宋体"/>
                <w:color w:val="auto"/>
                <w:szCs w:val="21"/>
                <w:highlight w:val="none"/>
                <w:u w:val="single"/>
                <w:lang w:val="en-US" w:eastAsia="zh-CN"/>
              </w:rPr>
              <w:t>7</w:t>
            </w:r>
            <w:r>
              <w:rPr>
                <w:rFonts w:hint="eastAsia" w:ascii="宋体" w:hAnsi="宋体" w:eastAsia="宋体" w:cs="宋体"/>
                <w:color w:val="auto"/>
                <w:szCs w:val="21"/>
                <w:highlight w:val="none"/>
              </w:rPr>
              <w:t>]中的）。</w:t>
            </w:r>
          </w:p>
          <w:p w14:paraId="678C67F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 2 \* GB3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②</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将第一阶段得分由高至低排序，前</w:t>
            </w:r>
            <w:r>
              <w:rPr>
                <w:rFonts w:hint="eastAsia" w:ascii="宋体" w:hAnsi="宋体" w:cs="宋体"/>
                <w:color w:val="auto"/>
                <w:szCs w:val="21"/>
                <w:highlight w:val="none"/>
                <w:u w:val="single"/>
                <w:lang w:val="en-US" w:eastAsia="zh-CN"/>
              </w:rPr>
              <w:t>7</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名投标人进入第二阶段评审（适用于通过技术有效性审查家数大于</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7</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家的）。</w:t>
            </w:r>
          </w:p>
          <w:p w14:paraId="2518397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注：本款适用于选择评标办法一至评标办法六。进入第二阶段的投标人家数应符合行政监管部门的要求。</w:t>
            </w:r>
          </w:p>
        </w:tc>
      </w:tr>
      <w:tr w14:paraId="7B026B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5C9C4CE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6B1CE86C">
            <w:pPr>
              <w:rPr>
                <w:rFonts w:hint="eastAsia" w:ascii="宋体" w:hAnsi="宋体" w:eastAsia="宋体" w:cs="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0DC6D5B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工程成本警戒价</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4112C52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工程成本警戒价为</w:t>
            </w:r>
            <w:r>
              <w:rPr>
                <w:rFonts w:hint="eastAsia" w:ascii="宋体" w:hAnsi="宋体" w:eastAsia="宋体" w:cs="宋体"/>
                <w:color w:val="auto"/>
                <w:szCs w:val="21"/>
                <w:highlight w:val="none"/>
                <w:u w:val="single"/>
                <w:lang w:val="en-US" w:eastAsia="zh-CN"/>
              </w:rPr>
              <w:t>55701500.13</w:t>
            </w:r>
            <w:r>
              <w:rPr>
                <w:rFonts w:hint="eastAsia" w:ascii="宋体" w:hAnsi="宋体" w:eastAsia="宋体" w:cs="宋体"/>
                <w:color w:val="auto"/>
                <w:szCs w:val="21"/>
                <w:highlight w:val="none"/>
              </w:rPr>
              <w:t>元。对低于该警戒价的</w:t>
            </w:r>
            <w:r>
              <w:rPr>
                <w:rFonts w:hint="eastAsia" w:ascii="宋体" w:hAnsi="宋体" w:cs="宋体"/>
                <w:color w:val="auto"/>
                <w:szCs w:val="21"/>
                <w:highlight w:val="none"/>
                <w:lang w:val="en-US" w:eastAsia="zh-CN"/>
              </w:rPr>
              <w:t>工程费</w:t>
            </w:r>
            <w:r>
              <w:rPr>
                <w:rFonts w:hint="eastAsia" w:ascii="宋体" w:hAnsi="宋体" w:eastAsia="宋体" w:cs="宋体"/>
                <w:color w:val="auto"/>
                <w:szCs w:val="21"/>
                <w:highlight w:val="none"/>
              </w:rPr>
              <w:t>投标</w:t>
            </w:r>
            <w:r>
              <w:rPr>
                <w:rFonts w:hint="eastAsia" w:ascii="宋体" w:hAnsi="宋体" w:cs="宋体"/>
                <w:color w:val="auto"/>
                <w:szCs w:val="21"/>
                <w:highlight w:val="none"/>
                <w:lang w:val="en-US" w:eastAsia="zh-CN"/>
              </w:rPr>
              <w:t>总</w:t>
            </w:r>
            <w:r>
              <w:rPr>
                <w:rFonts w:hint="eastAsia" w:ascii="宋体" w:hAnsi="宋体" w:eastAsia="宋体" w:cs="宋体"/>
                <w:color w:val="auto"/>
                <w:szCs w:val="21"/>
                <w:highlight w:val="none"/>
              </w:rPr>
              <w:t>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1B9F4005">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注：为充分体现招标人意愿及落实项目招标人负责制，警戒价由招标人决定。</w:t>
            </w:r>
          </w:p>
        </w:tc>
      </w:tr>
      <w:tr w14:paraId="5F0446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7515FFC6">
            <w:pP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27</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73F3FBB3">
            <w:pPr>
              <w:rPr>
                <w:rFonts w:hint="eastAsia" w:ascii="宋体" w:hAnsi="宋体" w:eastAsia="宋体" w:cs="宋体"/>
                <w:strike/>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45AD972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第一阶段各分值的权重</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68E645B4">
            <w:pPr>
              <w:rPr>
                <w:rFonts w:hint="eastAsia" w:ascii="宋体" w:hAnsi="宋体" w:eastAsia="宋体" w:cs="宋体"/>
                <w:strike/>
                <w:color w:val="auto"/>
                <w:szCs w:val="21"/>
                <w:highlight w:val="none"/>
              </w:rPr>
            </w:pPr>
            <w:r>
              <w:rPr>
                <w:rFonts w:hint="eastAsia" w:ascii="宋体" w:hAnsi="宋体" w:eastAsia="宋体" w:cs="宋体"/>
                <w:color w:val="auto"/>
                <w:szCs w:val="21"/>
                <w:highlight w:val="none"/>
              </w:rPr>
              <w:t>第一阶段各分值的权重：技术分权重为</w:t>
            </w:r>
            <w:r>
              <w:rPr>
                <w:rFonts w:hint="eastAsia" w:ascii="宋体" w:hAnsi="宋体" w:eastAsia="宋体" w:cs="宋体"/>
                <w:color w:val="auto"/>
                <w:szCs w:val="21"/>
                <w:highlight w:val="none"/>
                <w:u w:val="single"/>
              </w:rPr>
              <w:t xml:space="preserve"> 100  </w:t>
            </w:r>
            <w:r>
              <w:rPr>
                <w:rFonts w:hint="eastAsia" w:ascii="宋体" w:hAnsi="宋体" w:eastAsia="宋体" w:cs="宋体"/>
                <w:color w:val="auto"/>
                <w:szCs w:val="21"/>
                <w:highlight w:val="none"/>
              </w:rPr>
              <w:t>%，</w:t>
            </w:r>
            <w:r>
              <w:rPr>
                <w:rFonts w:hint="eastAsia" w:ascii="宋体" w:hAnsi="宋体" w:eastAsia="宋体" w:cs="宋体"/>
                <w:strike/>
                <w:color w:val="auto"/>
                <w:szCs w:val="21"/>
                <w:highlight w:val="none"/>
              </w:rPr>
              <w:t>综合诚信评价分数权重为</w:t>
            </w:r>
            <w:r>
              <w:rPr>
                <w:rFonts w:hint="eastAsia" w:ascii="宋体" w:hAnsi="宋体" w:eastAsia="宋体" w:cs="宋体"/>
                <w:strike/>
                <w:color w:val="auto"/>
                <w:szCs w:val="21"/>
                <w:highlight w:val="none"/>
                <w:u w:val="single"/>
              </w:rPr>
              <w:t xml:space="preserve">    </w:t>
            </w:r>
            <w:r>
              <w:rPr>
                <w:rFonts w:hint="eastAsia" w:ascii="宋体" w:hAnsi="宋体" w:eastAsia="宋体" w:cs="宋体"/>
                <w:strike/>
                <w:color w:val="auto"/>
                <w:szCs w:val="21"/>
                <w:highlight w:val="none"/>
              </w:rPr>
              <w:t>%。</w:t>
            </w:r>
          </w:p>
          <w:p w14:paraId="10B2A9B7">
            <w:pPr>
              <w:rPr>
                <w:rFonts w:hint="eastAsia" w:ascii="宋体" w:hAnsi="宋体" w:eastAsia="宋体" w:cs="宋体"/>
                <w:color w:val="auto"/>
                <w:szCs w:val="21"/>
                <w:highlight w:val="none"/>
              </w:rPr>
            </w:pPr>
            <w:r>
              <w:rPr>
                <w:rFonts w:hint="eastAsia" w:ascii="宋体" w:hAnsi="宋体" w:eastAsia="宋体" w:cs="宋体"/>
                <w:strike/>
                <w:color w:val="auto"/>
                <w:szCs w:val="21"/>
                <w:highlight w:val="none"/>
              </w:rPr>
              <w:t>注：综合诚信评价得分权重按《关于诚信综合评价在招标投标环节中应用的指引》（招标投标指引2020年第6期）规定执行，招标人可在[0,20%]选择。技术分权重=100%-综合诚信评价得分权重</w:t>
            </w:r>
          </w:p>
        </w:tc>
      </w:tr>
      <w:tr w14:paraId="0DB057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7C74A1A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28EB3C3C">
            <w:pPr>
              <w:rPr>
                <w:rFonts w:hint="eastAsia" w:ascii="宋体" w:hAnsi="宋体" w:eastAsia="宋体" w:cs="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0C137BC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评标委员会人数</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1FF3B9A1">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评标委员会由招标人依法组建。</w:t>
            </w:r>
          </w:p>
        </w:tc>
      </w:tr>
      <w:tr w14:paraId="2E1E1D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6AA13248">
            <w:pP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29</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6D6286BD">
            <w:pPr>
              <w:rPr>
                <w:rFonts w:hint="eastAsia" w:ascii="宋体" w:hAnsi="宋体" w:eastAsia="宋体" w:cs="宋体"/>
                <w:strike/>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42CC1219">
            <w:pP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企业综合诚信评价分数</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4D02A63D">
            <w:pP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本项目的企业综合诚信评价分数，以</w:t>
            </w:r>
            <w:r>
              <w:rPr>
                <w:rFonts w:hint="eastAsia" w:ascii="宋体" w:hAnsi="宋体" w:eastAsia="宋体" w:cs="宋体"/>
                <w:strike/>
                <w:color w:val="auto"/>
                <w:szCs w:val="21"/>
                <w:highlight w:val="none"/>
                <w:u w:val="single"/>
              </w:rPr>
              <w:t xml:space="preserve">              </w:t>
            </w:r>
            <w:r>
              <w:rPr>
                <w:rFonts w:hint="eastAsia" w:ascii="宋体" w:hAnsi="宋体" w:eastAsia="宋体" w:cs="宋体"/>
                <w:strike/>
                <w:color w:val="auto"/>
                <w:szCs w:val="21"/>
                <w:highlight w:val="none"/>
              </w:rPr>
              <w:t>排名为准。</w:t>
            </w:r>
          </w:p>
        </w:tc>
      </w:tr>
      <w:tr w14:paraId="401A73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22F8B9D1">
            <w:pP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30</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7F6BE480">
            <w:pPr>
              <w:ind w:firstLine="458"/>
              <w:rPr>
                <w:rFonts w:hint="eastAsia" w:ascii="宋体" w:hAnsi="宋体" w:eastAsia="宋体" w:cs="宋体"/>
                <w:strike/>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758685A3">
            <w:pPr>
              <w:ind w:firstLine="458"/>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第二阶段投标人名次的排序方法（适用于办法一、办法二）</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3513240A">
            <w:pP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选取方法</w:t>
            </w:r>
            <w:r>
              <w:rPr>
                <w:rFonts w:hint="eastAsia" w:ascii="宋体" w:hAnsi="宋体" w:eastAsia="宋体" w:cs="宋体"/>
                <w:strike/>
                <w:color w:val="auto"/>
                <w:szCs w:val="21"/>
                <w:highlight w:val="none"/>
                <w:u w:val="single"/>
              </w:rPr>
              <w:t xml:space="preserve">     </w:t>
            </w:r>
          </w:p>
          <w:p w14:paraId="68A0CED3">
            <w:pP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 xml:space="preserve">方法一：将进入第二阶段投标人的投标报价由低至高进行排序。报价相同的投标文件，以技术分较高的排前；报价与技术得分均相同的投标文件，以综合诚信评价分数高的排前；如仍存在相同情况，则对具有相同情况的投标人，由评标委员会采用随机方式，确定投标人的排序。 </w:t>
            </w:r>
          </w:p>
          <w:p w14:paraId="0FBAB089">
            <w:pP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方法二：将进入第二阶段投标人的投标报价按大于或小于等于工程成本警戒价的标准分为2组。首先，对于小于或等于工程成本警戒价的，评标委员会从序号1开始随机确定投标人的排序，若仅有1名投标报价小于等于工程成本警戒价的，该投标人为第1名；其次，对于大于工程成本警戒价的投标报价由低至高进行排序，序号接上一组。</w:t>
            </w:r>
          </w:p>
          <w:p w14:paraId="512DEC7C">
            <w:pP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 xml:space="preserve">方法三： （由招标人自行确定） </w:t>
            </w:r>
          </w:p>
        </w:tc>
      </w:tr>
      <w:tr w14:paraId="4F5A76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166F218A">
            <w:pP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31</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42BA4883">
            <w:pPr>
              <w:ind w:firstLine="458"/>
              <w:rPr>
                <w:rFonts w:hint="eastAsia" w:ascii="宋体" w:hAnsi="宋体" w:eastAsia="宋体" w:cs="宋体"/>
                <w:strike/>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1082D165">
            <w:pP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经济分相同情况下的排序方法（适用于办法三、办法四）</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176F9E28">
            <w:pP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选取方法</w:t>
            </w:r>
            <w:r>
              <w:rPr>
                <w:rFonts w:hint="eastAsia" w:ascii="宋体" w:hAnsi="宋体" w:eastAsia="宋体" w:cs="宋体"/>
                <w:strike/>
                <w:color w:val="auto"/>
                <w:szCs w:val="21"/>
                <w:highlight w:val="none"/>
                <w:u w:val="single"/>
              </w:rPr>
              <w:t xml:space="preserve">     </w:t>
            </w:r>
          </w:p>
          <w:p w14:paraId="3D730E9D">
            <w:pP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方法一：经济分相同的投标文件，以报价较低的排前；经济分与报价均相同的投标文件，以技术分较高的排前；经济分、报价与技术得分均相同或经济分、报价均相同但未评技术分的投标文件，以综合诚信评价分数高的排前；如仍存在相同情况，则对具有相同情况的投标人，由评标委员会采用随机方式，确定投标人的排序。</w:t>
            </w:r>
          </w:p>
          <w:p w14:paraId="45307E83">
            <w:pP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方法二：经济分相同的投标文件，由评标委员会采用随机方式，确定投标人的排序。</w:t>
            </w:r>
          </w:p>
          <w:p w14:paraId="24530F5C">
            <w:pP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 xml:space="preserve">方法三：  （由招标人自行确定） </w:t>
            </w:r>
          </w:p>
        </w:tc>
      </w:tr>
      <w:tr w14:paraId="033685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6A70F02F">
            <w:pP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32</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4C0F5315">
            <w:pPr>
              <w:ind w:firstLine="458"/>
              <w:rPr>
                <w:rFonts w:hint="eastAsia" w:ascii="宋体" w:hAnsi="宋体" w:eastAsia="宋体" w:cs="宋体"/>
                <w:strike/>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675EF37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第二阶段投标人名次的排序方法（适用于办法五、办法六）</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5C7F604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选取方法</w:t>
            </w:r>
            <w:r>
              <w:rPr>
                <w:rFonts w:hint="eastAsia" w:ascii="宋体" w:hAnsi="宋体" w:eastAsia="宋体" w:cs="宋体"/>
                <w:color w:val="auto"/>
                <w:szCs w:val="21"/>
                <w:highlight w:val="none"/>
                <w:u w:val="single"/>
              </w:rPr>
              <w:t xml:space="preserve"> 一  </w:t>
            </w:r>
          </w:p>
          <w:p w14:paraId="0E837A0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方法一：评标委员会按照“总分=</w:t>
            </w:r>
            <w:r>
              <w:rPr>
                <w:rFonts w:hint="eastAsia" w:ascii="宋体" w:hAnsi="宋体" w:eastAsia="宋体" w:cs="宋体"/>
                <w:color w:val="auto"/>
                <w:szCs w:val="21"/>
                <w:highlight w:val="none"/>
                <w:u w:val="single"/>
              </w:rPr>
              <w:t>技术标得分（100分）×技术标得分权重（</w:t>
            </w:r>
            <w:r>
              <w:rPr>
                <w:rFonts w:hint="eastAsia" w:ascii="宋体" w:hAnsi="宋体" w:eastAsia="宋体" w:cs="宋体"/>
                <w:color w:val="auto"/>
                <w:szCs w:val="21"/>
                <w:highlight w:val="none"/>
                <w:u w:val="single"/>
                <w:lang w:val="en-US" w:eastAsia="zh-CN"/>
              </w:rPr>
              <w:t>4</w:t>
            </w:r>
            <w:r>
              <w:rPr>
                <w:rFonts w:hint="eastAsia" w:ascii="宋体" w:hAnsi="宋体" w:eastAsia="宋体" w:cs="宋体"/>
                <w:color w:val="auto"/>
                <w:szCs w:val="21"/>
                <w:highlight w:val="none"/>
                <w:u w:val="single"/>
              </w:rPr>
              <w:t>0%）+经济标得分（100分）×经济标得分权重（</w:t>
            </w:r>
            <w:r>
              <w:rPr>
                <w:rFonts w:hint="eastAsia" w:ascii="宋体" w:hAnsi="宋体" w:eastAsia="宋体" w:cs="宋体"/>
                <w:color w:val="auto"/>
                <w:szCs w:val="21"/>
                <w:highlight w:val="none"/>
                <w:u w:val="single"/>
                <w:lang w:val="en-US" w:eastAsia="zh-CN"/>
              </w:rPr>
              <w:t>6</w:t>
            </w:r>
            <w:r>
              <w:rPr>
                <w:rFonts w:hint="eastAsia" w:ascii="宋体" w:hAnsi="宋体" w:eastAsia="宋体" w:cs="宋体"/>
                <w:color w:val="auto"/>
                <w:szCs w:val="21"/>
                <w:highlight w:val="none"/>
                <w:u w:val="single"/>
              </w:rPr>
              <w:t>0%）</w:t>
            </w:r>
            <w:r>
              <w:rPr>
                <w:rFonts w:hint="eastAsia" w:ascii="宋体" w:hAnsi="宋体" w:eastAsia="宋体" w:cs="宋体"/>
                <w:color w:val="auto"/>
                <w:szCs w:val="21"/>
                <w:highlight w:val="none"/>
              </w:rPr>
              <w:t>的公式，计算各有效投标文件的总分，并按照总分从高到低排序。</w:t>
            </w:r>
          </w:p>
          <w:p w14:paraId="6BB42F84">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注：</w:t>
            </w:r>
            <w:r>
              <w:rPr>
                <w:rFonts w:hint="eastAsia" w:ascii="宋体" w:hAnsi="宋体" w:eastAsia="宋体" w:cs="宋体"/>
                <w:color w:val="auto"/>
                <w:szCs w:val="21"/>
                <w:highlight w:val="none"/>
              </w:rPr>
              <w:t>经济</w:t>
            </w:r>
            <w:r>
              <w:rPr>
                <w:rFonts w:hint="eastAsia" w:ascii="宋体" w:hAnsi="宋体" w:eastAsia="宋体" w:cs="宋体"/>
                <w:color w:val="auto"/>
                <w:szCs w:val="21"/>
                <w:highlight w:val="none"/>
                <w:lang w:val="en-US" w:eastAsia="zh-CN"/>
              </w:rPr>
              <w:t>标得分</w:t>
            </w:r>
            <w:r>
              <w:rPr>
                <w:rFonts w:hint="eastAsia" w:ascii="宋体" w:hAnsi="宋体" w:eastAsia="宋体" w:cs="宋体"/>
                <w:color w:val="auto"/>
                <w:szCs w:val="21"/>
                <w:highlight w:val="none"/>
              </w:rPr>
              <w:t>=工程费投标</w:t>
            </w:r>
            <w:r>
              <w:rPr>
                <w:rFonts w:hint="eastAsia" w:ascii="宋体" w:hAnsi="宋体" w:cs="宋体"/>
                <w:color w:val="auto"/>
                <w:szCs w:val="21"/>
                <w:highlight w:val="none"/>
                <w:lang w:val="en-US" w:eastAsia="zh-CN"/>
              </w:rPr>
              <w:t>总</w:t>
            </w:r>
            <w:r>
              <w:rPr>
                <w:rFonts w:hint="eastAsia" w:ascii="宋体" w:hAnsi="宋体" w:eastAsia="宋体" w:cs="宋体"/>
                <w:color w:val="auto"/>
                <w:szCs w:val="21"/>
                <w:highlight w:val="none"/>
              </w:rPr>
              <w:t>报价得分×</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0%+拆卸工程回收价值投标</w:t>
            </w:r>
            <w:r>
              <w:rPr>
                <w:rFonts w:hint="eastAsia" w:ascii="宋体" w:hAnsi="宋体" w:cs="宋体"/>
                <w:color w:val="auto"/>
                <w:szCs w:val="21"/>
                <w:highlight w:val="none"/>
                <w:lang w:val="en-US" w:eastAsia="zh-CN"/>
              </w:rPr>
              <w:t>总</w:t>
            </w:r>
            <w:r>
              <w:rPr>
                <w:rFonts w:hint="eastAsia" w:ascii="宋体" w:hAnsi="宋体" w:eastAsia="宋体" w:cs="宋体"/>
                <w:color w:val="auto"/>
                <w:szCs w:val="21"/>
                <w:highlight w:val="none"/>
              </w:rPr>
              <w:t>报价得分×</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0%</w:t>
            </w:r>
          </w:p>
          <w:p w14:paraId="151BC4C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总得分相同的投标文件，以工程费投标</w:t>
            </w:r>
            <w:r>
              <w:rPr>
                <w:rFonts w:hint="eastAsia" w:ascii="宋体" w:hAnsi="宋体" w:cs="宋体"/>
                <w:color w:val="auto"/>
                <w:szCs w:val="21"/>
                <w:highlight w:val="none"/>
                <w:lang w:val="en-US" w:eastAsia="zh-CN"/>
              </w:rPr>
              <w:t>总</w:t>
            </w:r>
            <w:r>
              <w:rPr>
                <w:rFonts w:hint="eastAsia" w:ascii="宋体" w:hAnsi="宋体" w:eastAsia="宋体" w:cs="宋体"/>
                <w:color w:val="auto"/>
                <w:szCs w:val="21"/>
                <w:highlight w:val="none"/>
              </w:rPr>
              <w:t>报价</w:t>
            </w:r>
            <w:r>
              <w:rPr>
                <w:rFonts w:hint="eastAsia" w:ascii="宋体" w:hAnsi="宋体" w:cs="宋体"/>
                <w:color w:val="auto"/>
                <w:szCs w:val="21"/>
                <w:highlight w:val="none"/>
                <w:lang w:val="en-US" w:eastAsia="zh-CN"/>
              </w:rPr>
              <w:t>较低</w:t>
            </w:r>
            <w:r>
              <w:rPr>
                <w:rFonts w:hint="eastAsia" w:ascii="宋体" w:hAnsi="宋体" w:eastAsia="宋体" w:cs="宋体"/>
                <w:color w:val="auto"/>
                <w:szCs w:val="21"/>
                <w:highlight w:val="none"/>
              </w:rPr>
              <w:t>的排前；总得分与工程费投标</w:t>
            </w:r>
            <w:r>
              <w:rPr>
                <w:rFonts w:hint="eastAsia" w:ascii="宋体" w:hAnsi="宋体" w:cs="宋体"/>
                <w:color w:val="auto"/>
                <w:szCs w:val="21"/>
                <w:highlight w:val="none"/>
                <w:lang w:val="en-US" w:eastAsia="zh-CN"/>
              </w:rPr>
              <w:t>总</w:t>
            </w:r>
            <w:r>
              <w:rPr>
                <w:rFonts w:hint="eastAsia" w:ascii="宋体" w:hAnsi="宋体" w:eastAsia="宋体" w:cs="宋体"/>
                <w:color w:val="auto"/>
                <w:szCs w:val="21"/>
                <w:highlight w:val="none"/>
              </w:rPr>
              <w:t>报价均相同的投标文件，以拆卸工程回收价值投标</w:t>
            </w:r>
            <w:r>
              <w:rPr>
                <w:rFonts w:hint="eastAsia" w:ascii="宋体" w:hAnsi="宋体" w:cs="宋体"/>
                <w:color w:val="auto"/>
                <w:szCs w:val="21"/>
                <w:highlight w:val="none"/>
                <w:lang w:val="en-US" w:eastAsia="zh-CN"/>
              </w:rPr>
              <w:t>总</w:t>
            </w:r>
            <w:r>
              <w:rPr>
                <w:rFonts w:hint="eastAsia" w:ascii="宋体" w:hAnsi="宋体" w:eastAsia="宋体" w:cs="宋体"/>
                <w:color w:val="auto"/>
                <w:szCs w:val="21"/>
                <w:highlight w:val="none"/>
              </w:rPr>
              <w:t>报价较高的排前；总得分</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工程费投标</w:t>
            </w:r>
            <w:r>
              <w:rPr>
                <w:rFonts w:hint="eastAsia" w:ascii="宋体" w:hAnsi="宋体" w:cs="宋体"/>
                <w:color w:val="auto"/>
                <w:szCs w:val="21"/>
                <w:highlight w:val="none"/>
                <w:lang w:val="en-US" w:eastAsia="zh-CN"/>
              </w:rPr>
              <w:t>总</w:t>
            </w:r>
            <w:r>
              <w:rPr>
                <w:rFonts w:hint="eastAsia" w:ascii="宋体" w:hAnsi="宋体" w:eastAsia="宋体" w:cs="宋体"/>
                <w:color w:val="auto"/>
                <w:szCs w:val="21"/>
                <w:highlight w:val="none"/>
              </w:rPr>
              <w:t>报价与拆卸工程回收价值投标</w:t>
            </w:r>
            <w:r>
              <w:rPr>
                <w:rFonts w:hint="eastAsia" w:ascii="宋体" w:hAnsi="宋体" w:cs="宋体"/>
                <w:color w:val="auto"/>
                <w:szCs w:val="21"/>
                <w:highlight w:val="none"/>
                <w:lang w:val="en-US" w:eastAsia="zh-CN"/>
              </w:rPr>
              <w:t>总</w:t>
            </w:r>
            <w:r>
              <w:rPr>
                <w:rFonts w:hint="eastAsia" w:ascii="宋体" w:hAnsi="宋体" w:eastAsia="宋体" w:cs="宋体"/>
                <w:color w:val="auto"/>
                <w:szCs w:val="21"/>
                <w:highlight w:val="none"/>
              </w:rPr>
              <w:t>报价均相同的投标文件，以</w:t>
            </w:r>
            <w:r>
              <w:rPr>
                <w:rFonts w:hint="eastAsia" w:ascii="宋体" w:hAnsi="宋体" w:eastAsia="宋体" w:cs="宋体"/>
                <w:color w:val="auto"/>
                <w:szCs w:val="21"/>
                <w:highlight w:val="none"/>
                <w:u w:val="single"/>
              </w:rPr>
              <w:t>技术标得分</w:t>
            </w:r>
            <w:r>
              <w:rPr>
                <w:rFonts w:hint="eastAsia" w:ascii="宋体" w:hAnsi="宋体" w:eastAsia="宋体" w:cs="宋体"/>
                <w:color w:val="auto"/>
                <w:szCs w:val="21"/>
                <w:highlight w:val="none"/>
              </w:rPr>
              <w:t>较高的排前；</w:t>
            </w:r>
            <w:r>
              <w:rPr>
                <w:rFonts w:hint="eastAsia" w:ascii="宋体" w:hAnsi="宋体" w:eastAsia="宋体" w:cs="宋体"/>
                <w:strike/>
                <w:color w:val="auto"/>
                <w:szCs w:val="21"/>
                <w:highlight w:val="none"/>
              </w:rPr>
              <w:t>总得分、报价与</w:t>
            </w:r>
            <w:r>
              <w:rPr>
                <w:rFonts w:hint="eastAsia" w:ascii="宋体" w:hAnsi="宋体" w:eastAsia="宋体" w:cs="宋体"/>
                <w:strike/>
                <w:color w:val="auto"/>
                <w:szCs w:val="21"/>
                <w:highlight w:val="none"/>
                <w:u w:val="single"/>
              </w:rPr>
              <w:t xml:space="preserve">     </w:t>
            </w:r>
            <w:r>
              <w:rPr>
                <w:rFonts w:hint="eastAsia" w:ascii="宋体" w:hAnsi="宋体" w:eastAsia="宋体" w:cs="宋体"/>
                <w:strike/>
                <w:color w:val="auto"/>
                <w:szCs w:val="21"/>
                <w:highlight w:val="none"/>
              </w:rPr>
              <w:t>均相同的投标文件，以诚信综合评价分数高的排前；</w:t>
            </w:r>
            <w:r>
              <w:rPr>
                <w:rFonts w:hint="eastAsia" w:ascii="宋体" w:hAnsi="宋体" w:eastAsia="宋体" w:cs="宋体"/>
                <w:color w:val="auto"/>
                <w:szCs w:val="21"/>
                <w:highlight w:val="none"/>
              </w:rPr>
              <w:t>如仍存在相同情况，则对具有相同情况的投标人</w:t>
            </w:r>
            <w:r>
              <w:rPr>
                <w:rFonts w:hint="eastAsia" w:ascii="宋体" w:hAnsi="宋体" w:eastAsia="宋体" w:cs="宋体"/>
                <w:color w:val="auto"/>
                <w:szCs w:val="21"/>
                <w:highlight w:val="none"/>
                <w:u w:val="single"/>
              </w:rPr>
              <w:t>，由评标委员会采用记名投票方式，以得票多的排前。</w:t>
            </w:r>
          </w:p>
          <w:p w14:paraId="76804B61">
            <w:pPr>
              <w:rPr>
                <w:rFonts w:hint="eastAsia" w:ascii="宋体" w:hAnsi="宋体" w:eastAsia="宋体" w:cs="宋体"/>
                <w:color w:val="auto"/>
                <w:szCs w:val="21"/>
                <w:highlight w:val="none"/>
              </w:rPr>
            </w:pPr>
            <w:r>
              <w:rPr>
                <w:rFonts w:hint="eastAsia" w:ascii="宋体" w:hAnsi="宋体" w:eastAsia="宋体" w:cs="宋体"/>
                <w:strike/>
                <w:color w:val="auto"/>
                <w:szCs w:val="21"/>
                <w:highlight w:val="none"/>
              </w:rPr>
              <w:t>方法二：  （由招标人自行确定）</w:t>
            </w:r>
          </w:p>
        </w:tc>
      </w:tr>
      <w:tr w14:paraId="755F93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384377D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3BA1A11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13.4、13.5.2</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31AC96B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合同价款的调整办法</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5D8E838D">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详见招标文件相关合同条款。</w:t>
            </w:r>
          </w:p>
        </w:tc>
      </w:tr>
      <w:tr w14:paraId="78DD5E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1CB0F5C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14D7239B">
            <w:pPr>
              <w:rPr>
                <w:rFonts w:hint="eastAsia" w:ascii="宋体" w:hAnsi="宋体" w:eastAsia="宋体" w:cs="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10712EA5">
            <w:pP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zh-CN"/>
              </w:rPr>
              <w:t>建设工程质量检测单位</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30400EA0">
            <w:pP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3128F3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3D77D31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1B8F22B2">
            <w:pPr>
              <w:rPr>
                <w:rFonts w:hint="eastAsia" w:ascii="宋体" w:hAnsi="宋体" w:eastAsia="宋体" w:cs="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4AE20056">
            <w:pP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分包</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573BA7A3">
            <w:pP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□不允许；</w:t>
            </w:r>
          </w:p>
          <w:p w14:paraId="517D6527">
            <w:pP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允许：</w:t>
            </w:r>
            <w:r>
              <w:rPr>
                <w:rFonts w:hint="eastAsia" w:ascii="宋体" w:hAnsi="宋体" w:eastAsia="宋体" w:cs="宋体"/>
                <w:color w:val="auto"/>
                <w:kern w:val="0"/>
                <w:szCs w:val="21"/>
                <w:highlight w:val="none"/>
                <w:lang w:val="zh-CN"/>
              </w:rPr>
              <w:t>分包内容要要求：非主体、非关键性工程经监理工程     师及发包人</w:t>
            </w:r>
            <w:r>
              <w:rPr>
                <w:rFonts w:hint="eastAsia" w:ascii="宋体" w:hAnsi="宋体" w:cs="宋体"/>
                <w:color w:val="auto"/>
                <w:kern w:val="0"/>
                <w:szCs w:val="21"/>
                <w:highlight w:val="none"/>
                <w:u w:val="single"/>
                <w:lang w:val="en-US" w:eastAsia="zh-CN"/>
              </w:rPr>
              <w:t>书面</w:t>
            </w:r>
            <w:r>
              <w:rPr>
                <w:rFonts w:hint="eastAsia" w:ascii="宋体" w:hAnsi="宋体" w:eastAsia="宋体" w:cs="宋体"/>
                <w:color w:val="auto"/>
                <w:kern w:val="0"/>
                <w:szCs w:val="21"/>
                <w:highlight w:val="none"/>
                <w:lang w:val="zh-CN"/>
              </w:rPr>
              <w:t>同意后可依法分包。</w:t>
            </w:r>
          </w:p>
          <w:p w14:paraId="0219C503">
            <w:pP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分包金额要求：无</w:t>
            </w:r>
          </w:p>
          <w:p w14:paraId="23EEF063">
            <w:pP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对分包人的资质要求：符合有关法律法规和文件规定，并不得再次分包。</w:t>
            </w:r>
          </w:p>
          <w:p w14:paraId="27567E31">
            <w:pP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对分包人的其他要求：/</w:t>
            </w:r>
          </w:p>
        </w:tc>
      </w:tr>
      <w:tr w14:paraId="005EBF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0202B92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36</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0CA7A0DC">
            <w:pPr>
              <w:jc w:val="center"/>
              <w:rPr>
                <w:rFonts w:hint="eastAsia" w:ascii="宋体" w:hAnsi="宋体" w:eastAsia="宋体" w:cs="宋体"/>
                <w:color w:val="auto"/>
                <w:highlight w:val="none"/>
              </w:rPr>
            </w:pP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37861229">
            <w:pPr>
              <w:jc w:val="center"/>
              <w:rPr>
                <w:rFonts w:hint="eastAsia" w:ascii="宋体" w:hAnsi="宋体" w:eastAsia="宋体" w:cs="宋体"/>
                <w:color w:val="auto"/>
                <w:highlight w:val="none"/>
              </w:rPr>
            </w:pPr>
            <w:r>
              <w:rPr>
                <w:rFonts w:hint="eastAsia" w:ascii="宋体" w:hAnsi="宋体" w:eastAsia="宋体" w:cs="宋体"/>
                <w:color w:val="auto"/>
                <w:highlight w:val="none"/>
              </w:rPr>
              <w:t>电子招标投标解密失败及突发情况的补救</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2F55120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1、按照交易平台关于全流程电子化项目的相关指南进行操作。详见：</w:t>
            </w:r>
            <w:r>
              <w:rPr>
                <w:rFonts w:hint="eastAsia" w:ascii="宋体" w:hAnsi="宋体" w:eastAsia="宋体" w:cs="宋体"/>
                <w:color w:val="auto"/>
                <w:szCs w:val="24"/>
                <w:highlight w:val="none"/>
                <w:u w:val="single"/>
              </w:rPr>
              <w:t>广州交易集团有限公司（广州公共资源交易中心）</w:t>
            </w:r>
            <w:r>
              <w:rPr>
                <w:rFonts w:hint="eastAsia" w:ascii="宋体" w:hAnsi="宋体" w:eastAsia="宋体" w:cs="宋体"/>
                <w:color w:val="auto"/>
                <w:szCs w:val="21"/>
                <w:highlight w:val="none"/>
                <w:u w:val="single"/>
              </w:rPr>
              <w:t>网站(https://ywtb.gzggzy.cn/)服务指南栏目发布的最新版操作指引</w:t>
            </w:r>
            <w:r>
              <w:rPr>
                <w:rFonts w:hint="eastAsia" w:ascii="宋体" w:hAnsi="宋体" w:eastAsia="宋体" w:cs="宋体"/>
                <w:color w:val="auto"/>
                <w:szCs w:val="21"/>
                <w:highlight w:val="none"/>
              </w:rPr>
              <w:t xml:space="preserve">。  </w:t>
            </w:r>
          </w:p>
          <w:p w14:paraId="44CB673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2、提交投标文件光盘或U盘备用</w:t>
            </w:r>
          </w:p>
          <w:p w14:paraId="22ED284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可制作非加密的电子投标文件（PDF格式）刻入光盘或U盘（1份），在投标须知前附表第18项规定的时间、地点提交备用。刻录好的投标文件光盘或U盘密封在密封袋中，并在封口处加盖投标人单位公章。密封袋上应写明项目名称和招标人名称。递交的光盘或U盘不得加密。光盘或U盘无法读取或导入的，则视为未提交备用投标文件光盘或U盘。如果投标人没有按规定通过交易平台网上递交电子投标文件的，不再读取提交的光盘或U盘。投标人也可不提交备用光盘或U盘。</w:t>
            </w:r>
          </w:p>
          <w:p w14:paraId="7C6485D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3、补救方案</w:t>
            </w:r>
          </w:p>
          <w:p w14:paraId="44CE730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（1）投标文件解密失败的补救方案：</w:t>
            </w:r>
          </w:p>
          <w:p w14:paraId="7492021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规定时间内，因投标人之外原因(指网络瘫痪、服务器损坏、交易系统故障短期无法恢复)导致的电子投标文件解密失败，在开标现场读取光盘或U盘内容，继续开标程序。评标委员会对其投标文件的评审以光盘或U盘内容为准。因投标人之外原因解密失败且未递交电子光盘或U盘的，视为撤回投标文件。</w:t>
            </w:r>
          </w:p>
          <w:p w14:paraId="5E5CA3B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（2）评标时突发情况的补救方案</w:t>
            </w:r>
          </w:p>
          <w:p w14:paraId="053EF52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若遇不可抗力发生（指网络瘫痪、服务器损坏、交易系统故障短期无法恢复等因素），由评标委员会开启投标人递交的全部投标文件光盘或U盘，并按光盘或U盘内容进行评审。</w:t>
            </w:r>
          </w:p>
          <w:p w14:paraId="0E4D0E1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（3）除发生上述情况外，开标评标均以投标人通过交易平台网上递交的电子投标文件为准。</w:t>
            </w:r>
          </w:p>
        </w:tc>
      </w:tr>
      <w:tr w14:paraId="46D7E2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4F4EEA7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37</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736FA80A">
            <w:pPr>
              <w:jc w:val="center"/>
              <w:rPr>
                <w:rFonts w:hint="eastAsia" w:ascii="宋体" w:hAnsi="宋体" w:eastAsia="宋体" w:cs="宋体"/>
                <w:color w:val="auto"/>
                <w:highlight w:val="none"/>
              </w:rPr>
            </w:pP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72338748">
            <w:pPr>
              <w:jc w:val="center"/>
              <w:rPr>
                <w:rFonts w:hint="eastAsia" w:ascii="宋体" w:hAnsi="宋体" w:eastAsia="宋体" w:cs="宋体"/>
                <w:color w:val="auto"/>
                <w:highlight w:val="none"/>
              </w:rPr>
            </w:pPr>
            <w:r>
              <w:rPr>
                <w:rFonts w:hint="eastAsia" w:ascii="宋体" w:hAnsi="宋体" w:eastAsia="宋体" w:cs="宋体"/>
                <w:color w:val="auto"/>
                <w:highlight w:val="none"/>
              </w:rPr>
              <w:t>招标人对中标人参与“百千万工程”的具体要求</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77841E3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1.施工中标单位应切实履行《招标公告》‘投标人声明’中‘第十</w:t>
            </w:r>
            <w:r>
              <w:rPr>
                <w:rFonts w:hint="eastAsia" w:ascii="宋体" w:hAnsi="宋体" w:cs="宋体"/>
                <w:color w:val="auto"/>
                <w:szCs w:val="21"/>
                <w:highlight w:val="none"/>
                <w:lang w:val="en-US" w:eastAsia="zh-CN"/>
              </w:rPr>
              <w:t>一</w:t>
            </w:r>
            <w:r>
              <w:rPr>
                <w:rFonts w:hint="eastAsia" w:ascii="宋体" w:hAnsi="宋体" w:eastAsia="宋体" w:cs="宋体"/>
                <w:color w:val="auto"/>
                <w:szCs w:val="21"/>
                <w:highlight w:val="none"/>
              </w:rPr>
              <w:t>条’承诺，结合自身实际，在《白云区“百千万工程”建筑业企业帮扶建设项目库》中自愿认领、帮扶公益性项目。</w:t>
            </w:r>
          </w:p>
          <w:p w14:paraId="24D03FA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施工中标单位自愿帮扶公益性项目的，可以根据企业资质及自身优势和特点，优先认领建设（管理）单位、施工中标单位（如有）已结对帮扶对象的‘百千万工程’项目；其次按照就近就便原则，优先认领招标项目所在地的项目。”</w:t>
            </w:r>
          </w:p>
        </w:tc>
      </w:tr>
      <w:tr w14:paraId="78B6F6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56F99C8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38</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526FDDE0">
            <w:pPr>
              <w:jc w:val="center"/>
              <w:rPr>
                <w:rFonts w:hint="eastAsia" w:ascii="宋体" w:hAnsi="宋体" w:eastAsia="宋体" w:cs="宋体"/>
                <w:color w:val="auto"/>
                <w:highlight w:val="none"/>
              </w:rPr>
            </w:pP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6DA5408B">
            <w:pPr>
              <w:jc w:val="center"/>
              <w:rPr>
                <w:rFonts w:hint="eastAsia" w:ascii="宋体" w:hAnsi="宋体" w:eastAsia="宋体" w:cs="宋体"/>
                <w:color w:val="auto"/>
                <w:highlight w:val="none"/>
              </w:rPr>
            </w:pPr>
            <w:r>
              <w:rPr>
                <w:rFonts w:hint="eastAsia" w:ascii="宋体" w:hAnsi="宋体" w:eastAsia="宋体" w:cs="宋体"/>
                <w:color w:val="auto"/>
                <w:highlight w:val="none"/>
              </w:rPr>
              <w:t>氢燃料电池汽车的投入要求</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36D95912">
            <w:pPr>
              <w:rPr>
                <w:rFonts w:hint="eastAsia" w:ascii="宋体" w:hAnsi="宋体" w:eastAsia="宋体" w:cs="宋体"/>
                <w:color w:val="auto"/>
                <w:szCs w:val="21"/>
                <w:highlight w:val="none"/>
              </w:rPr>
            </w:pPr>
            <w:r>
              <w:rPr>
                <w:rFonts w:hint="eastAsia" w:ascii="宋体" w:hAnsi="宋体" w:cs="宋体"/>
                <w:color w:val="auto"/>
                <w:szCs w:val="21"/>
                <w:highlight w:val="none"/>
              </w:rPr>
              <w:t>投标人应承诺氢燃料电池汽车作为混凝土搅拌车和建筑废弃物运输车在本项目的投入使用，投入比例需≧</w:t>
            </w:r>
            <w:r>
              <w:rPr>
                <w:rFonts w:hint="eastAsia" w:ascii="宋体" w:hAnsi="宋体" w:cs="宋体"/>
                <w:color w:val="auto"/>
                <w:szCs w:val="21"/>
                <w:highlight w:val="none"/>
                <w:lang w:eastAsia="zh-CN"/>
              </w:rPr>
              <w:t>5</w:t>
            </w:r>
            <w:r>
              <w:rPr>
                <w:rFonts w:hint="eastAsia" w:ascii="宋体" w:hAnsi="宋体" w:cs="宋体"/>
                <w:color w:val="auto"/>
                <w:szCs w:val="21"/>
                <w:highlight w:val="none"/>
              </w:rPr>
              <w:t>0%(即:投入的氢燃料电池汽车/投入的总车辆数≧</w:t>
            </w:r>
            <w:r>
              <w:rPr>
                <w:rFonts w:hint="eastAsia" w:ascii="宋体" w:hAnsi="宋体" w:cs="宋体"/>
                <w:color w:val="auto"/>
                <w:szCs w:val="21"/>
                <w:highlight w:val="none"/>
                <w:lang w:eastAsia="zh-CN"/>
              </w:rPr>
              <w:t>5</w:t>
            </w:r>
            <w:r>
              <w:rPr>
                <w:rFonts w:hint="eastAsia" w:ascii="宋体" w:hAnsi="宋体" w:cs="宋体"/>
                <w:color w:val="auto"/>
                <w:szCs w:val="21"/>
                <w:highlight w:val="none"/>
              </w:rPr>
              <w:t>0%)。</w:t>
            </w:r>
          </w:p>
        </w:tc>
      </w:tr>
      <w:tr w14:paraId="468E07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5AA7AA22">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39</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003BA3C3">
            <w:pPr>
              <w:jc w:val="center"/>
              <w:rPr>
                <w:rFonts w:hint="eastAsia" w:ascii="宋体" w:hAnsi="宋体" w:eastAsia="宋体" w:cs="宋体"/>
                <w:color w:val="auto"/>
                <w:highlight w:val="none"/>
              </w:rPr>
            </w:pP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28F9225A">
            <w:pPr>
              <w:jc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t>经济标评审优惠政策</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5D3FCD9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1.根据《广东省政府采购促进中小企业发展实施细则(试行)》要求，对符合《政府采购促进中小企业发展管理办法》的投标人，给予相应的价格评审优惠。</w:t>
            </w:r>
          </w:p>
          <w:p w14:paraId="3465FB5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2.本招标项目评标计算</w:t>
            </w:r>
            <w:r>
              <w:rPr>
                <w:rFonts w:hint="eastAsia" w:ascii="宋体" w:hAnsi="宋体" w:eastAsia="宋体" w:cs="宋体"/>
                <w:b/>
                <w:bCs/>
                <w:color w:val="auto"/>
                <w:szCs w:val="21"/>
                <w:highlight w:val="none"/>
              </w:rPr>
              <w:t>工程费</w:t>
            </w:r>
            <w:r>
              <w:rPr>
                <w:rFonts w:hint="eastAsia" w:ascii="宋体" w:hAnsi="宋体" w:eastAsia="宋体" w:cs="宋体"/>
                <w:color w:val="auto"/>
                <w:szCs w:val="21"/>
                <w:highlight w:val="none"/>
              </w:rPr>
              <w:t>价格分时，对小微企业投标的，在采用原报价进行评分的基础上增加其价格得分的5%作为其价格分:对大中型企业向一家或者多家小微企业分包(分包意向协议(格式详见第</w:t>
            </w:r>
            <w:r>
              <w:rPr>
                <w:rFonts w:hint="eastAsia" w:ascii="宋体" w:hAnsi="宋体" w:cs="宋体"/>
                <w:color w:val="auto"/>
                <w:szCs w:val="21"/>
                <w:highlight w:val="none"/>
                <w:lang w:eastAsia="zh-CN"/>
              </w:rPr>
              <w:t>四</w:t>
            </w:r>
            <w:r>
              <w:rPr>
                <w:rFonts w:hint="eastAsia" w:ascii="宋体" w:hAnsi="宋体" w:eastAsia="宋体" w:cs="宋体"/>
                <w:color w:val="auto"/>
                <w:szCs w:val="21"/>
                <w:highlight w:val="none"/>
              </w:rPr>
              <w:t>章投标文件格式)约定小微企业的合同份额占到合同总金额30%或以上)的，在采用原报价进行评分的基础上增加其价格得分的2%作为其价格分。若原报价己满分，仍可突破满分上限继续享受加分优惠，以实际计算结果作为最终价格分。</w:t>
            </w:r>
          </w:p>
          <w:p w14:paraId="240EF4E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3.投标人应按《政府采购促进中小企业发展管理办法》规定出具《中小企业声明函》(格式详见第</w:t>
            </w:r>
            <w:r>
              <w:rPr>
                <w:rFonts w:hint="eastAsia" w:ascii="宋体" w:hAnsi="宋体" w:cs="宋体"/>
                <w:color w:val="auto"/>
                <w:szCs w:val="21"/>
                <w:highlight w:val="none"/>
                <w:lang w:eastAsia="zh-CN"/>
              </w:rPr>
              <w:t>四</w:t>
            </w:r>
            <w:r>
              <w:rPr>
                <w:rFonts w:hint="eastAsia" w:ascii="宋体" w:hAnsi="宋体" w:eastAsia="宋体" w:cs="宋体"/>
                <w:color w:val="auto"/>
                <w:szCs w:val="21"/>
                <w:highlight w:val="none"/>
              </w:rPr>
              <w:t>章投标文件格式)，否则不得享受相关价格评审优惠。投标人填写《中小企业声明函》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452F61F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4.小微企业划分标准按照《工业和信息化部 国家统计局 国家发展和改革委员会 财政部关于印发中小企业划型标准规定的通知》(工信部联企业(2011)300号)执行。本项目属于建筑业，营业收入 80000 万元以下或资产总额 80000 万元以下的为中小微型企业。其中，营业收入 6000 万元及以上，且资产总额5000 万元及以上的为中型企业;营业收入300万元及以上，且资产总额 300 万元及以上的为小型企业:营业收入 300 万元以下或资产总额 300 万元以下的为微型企业。</w:t>
            </w:r>
          </w:p>
          <w:p w14:paraId="5860537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注:(1)小微企业，是指在中华人民共和国境内依法设立，依据国务院批准的中小企业划分标准确定的小型企业和微型企业，但与大企业的负责人为同一人，或者与大企业存在直接控股、管理关系的除外。</w:t>
            </w:r>
          </w:p>
          <w:p w14:paraId="7A7570A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(2)组成联合体或者接受分包合同的小微企业与联合体内其他企业、分包企业之间存在直接控股、管理关系的，不享受价格评分优惠。</w:t>
            </w:r>
          </w:p>
          <w:p w14:paraId="37260F3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(3)公示期间如有异议、投诉的，被异议、投诉单位需提供注册登记所在地的县级以上人民政府中小企业主管部门认定函。</w:t>
            </w:r>
          </w:p>
          <w:p w14:paraId="547457E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（4）规定享受扶持政策获得承包合同的，小微企业不得将合同分包给大中型企业，中型企业不得将合同分包给大型企业。</w:t>
            </w:r>
          </w:p>
          <w:p w14:paraId="4AFD62C3">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（5）根据《财政部 司法部关于政府采购支持监狱企业发展有关问题的通知》（财库〔2014〕68号）规定，监狱企业视同小型、微型企业，需提供由省级以上监狱管理局、戒毒管理局（含新疆生产建设兵团）出具的属于监狱企业的证明文件，经评审满足要求后，可享受上述加分优惠，否则不得享受上述加分优惠。根据《财政部 民政部 中国残疾人联合会关于促进残疾人就业政府采购政策的通知》（财库〔2017〕141号）规定，残疾人福利性单位视同小型、微型企业，需提供《残疾人福利性单位声明函》（格式详见第</w:t>
            </w:r>
            <w:r>
              <w:rPr>
                <w:rFonts w:hint="eastAsia" w:ascii="宋体" w:hAnsi="宋体" w:cs="宋体"/>
                <w:color w:val="auto"/>
                <w:szCs w:val="21"/>
                <w:highlight w:val="none"/>
                <w:lang w:eastAsia="zh-CN"/>
              </w:rPr>
              <w:t>四</w:t>
            </w:r>
            <w:r>
              <w:rPr>
                <w:rFonts w:hint="eastAsia" w:ascii="宋体" w:hAnsi="宋体" w:eastAsia="宋体" w:cs="宋体"/>
                <w:color w:val="auto"/>
                <w:szCs w:val="21"/>
                <w:highlight w:val="none"/>
              </w:rPr>
              <w:t>章投标文件格式），经评审满足要求后，可享受上述加分优惠，否则不得享受上述加分优惠。监狱企业、残疾人福利性单位属于小型、微型企业的，不重复享受政策。</w:t>
            </w:r>
          </w:p>
        </w:tc>
      </w:tr>
      <w:tr w14:paraId="57FCFA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70B58999">
            <w:pPr>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40</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1E5A70E8">
            <w:pPr>
              <w:jc w:val="center"/>
              <w:rPr>
                <w:rFonts w:hint="eastAsia" w:ascii="宋体" w:hAnsi="宋体" w:eastAsia="宋体" w:cs="宋体"/>
                <w:color w:val="auto"/>
                <w:highlight w:val="none"/>
              </w:rPr>
            </w:pP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7BA12651">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其他费用</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39F99970">
            <w:pPr>
              <w:rPr>
                <w:rFonts w:hint="eastAsia"/>
                <w:color w:val="auto"/>
                <w:highlight w:val="none"/>
              </w:rPr>
            </w:pPr>
            <w:r>
              <w:rPr>
                <w:rFonts w:hint="eastAsia" w:ascii="宋体" w:hAnsi="宋体" w:eastAsia="宋体" w:cs="宋体"/>
                <w:color w:val="auto"/>
                <w:sz w:val="21"/>
                <w:szCs w:val="21"/>
                <w:highlight w:val="none"/>
                <w:u w:val="single"/>
              </w:rPr>
              <w:t>中标人按《广州市发展改革委转发省发展改革委关于规范公共资源交易服务收费及有关问题的通知》(穗发改(2017811号)文件的规定，向广州交易集团有限公司(广州公共资源交易中心))代缴交易服务费，其费用包含在中标人投标报价中，招标人不另行支付。</w:t>
            </w:r>
          </w:p>
        </w:tc>
      </w:tr>
    </w:tbl>
    <w:p w14:paraId="0851BA78">
      <w:pPr>
        <w:spacing w:line="480" w:lineRule="auto"/>
        <w:rPr>
          <w:rFonts w:hint="eastAsia" w:ascii="宋体" w:hAnsi="宋体" w:eastAsia="宋体" w:cs="宋体"/>
          <w:color w:val="auto"/>
          <w:highlight w:val="none"/>
        </w:rPr>
      </w:pPr>
      <w:r>
        <w:rPr>
          <w:rFonts w:hint="eastAsia" w:ascii="宋体" w:hAnsi="宋体" w:eastAsia="宋体" w:cs="宋体"/>
          <w:strike/>
          <w:color w:val="auto"/>
          <w:sz w:val="24"/>
          <w:highlight w:val="none"/>
        </w:rPr>
        <w:t>注：企业</w:t>
      </w:r>
      <w:r>
        <w:rPr>
          <w:rFonts w:hint="eastAsia" w:ascii="宋体" w:hAnsi="宋体" w:eastAsia="宋体" w:cs="宋体"/>
          <w:strike/>
          <w:color w:val="auto"/>
          <w:kern w:val="0"/>
          <w:sz w:val="24"/>
          <w:highlight w:val="none"/>
        </w:rPr>
        <w:t>综合诚信评价得分即</w:t>
      </w:r>
      <w:r>
        <w:rPr>
          <w:rFonts w:hint="eastAsia" w:ascii="宋体" w:hAnsi="宋体" w:eastAsia="宋体" w:cs="宋体"/>
          <w:strike/>
          <w:color w:val="auto"/>
          <w:sz w:val="24"/>
          <w:highlight w:val="none"/>
        </w:rPr>
        <w:t>企业</w:t>
      </w:r>
      <w:r>
        <w:rPr>
          <w:rFonts w:hint="eastAsia" w:ascii="宋体" w:hAnsi="宋体" w:eastAsia="宋体" w:cs="宋体"/>
          <w:strike/>
          <w:color w:val="auto"/>
          <w:kern w:val="0"/>
          <w:sz w:val="24"/>
          <w:highlight w:val="none"/>
        </w:rPr>
        <w:t>综合诚信评价60日诚信分，以下同。</w:t>
      </w:r>
    </w:p>
    <w:p w14:paraId="6F6537DC">
      <w:pPr>
        <w:widowControl/>
        <w:jc w:val="lef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p>
    <w:p w14:paraId="15890109">
      <w:pPr>
        <w:spacing w:line="360" w:lineRule="auto"/>
        <w:jc w:val="center"/>
        <w:outlineLvl w:val="2"/>
        <w:rPr>
          <w:rFonts w:hint="eastAsia" w:ascii="宋体" w:hAnsi="宋体" w:eastAsia="宋体" w:cs="宋体"/>
          <w:color w:val="auto"/>
          <w:sz w:val="30"/>
          <w:szCs w:val="30"/>
          <w:highlight w:val="none"/>
        </w:rPr>
      </w:pPr>
      <w:bookmarkStart w:id="2" w:name="_Toc188805893"/>
      <w:r>
        <w:rPr>
          <w:rFonts w:hint="eastAsia" w:ascii="宋体" w:hAnsi="宋体" w:eastAsia="宋体" w:cs="宋体"/>
          <w:color w:val="auto"/>
          <w:sz w:val="30"/>
          <w:szCs w:val="30"/>
          <w:highlight w:val="none"/>
        </w:rPr>
        <w:t>否决性条款汇总</w:t>
      </w:r>
      <w:bookmarkEnd w:id="2"/>
    </w:p>
    <w:p w14:paraId="216AEE2F">
      <w:pPr>
        <w:spacing w:line="360" w:lineRule="auto"/>
        <w:ind w:firstLine="480" w:firstLineChars="200"/>
        <w:rPr>
          <w:rFonts w:hint="eastAsia" w:ascii="宋体" w:hAnsi="宋体" w:eastAsia="宋体" w:cs="宋体"/>
          <w:color w:val="auto"/>
          <w:kern w:val="21"/>
          <w:sz w:val="24"/>
          <w:highlight w:val="none"/>
        </w:rPr>
      </w:pPr>
      <w:r>
        <w:rPr>
          <w:rFonts w:hint="eastAsia" w:ascii="宋体" w:hAnsi="宋体" w:eastAsia="宋体" w:cs="宋体"/>
          <w:color w:val="auto"/>
          <w:kern w:val="21"/>
          <w:sz w:val="24"/>
          <w:highlight w:val="none"/>
        </w:rPr>
        <w:t>招标人应当在招标文件中将否决性条款集中载明。如招标文件澄清或修改的内容中增加、删除、修改否决性条款的，招标人应当集中载明调整后完整的否决性条款，并依法发给所有潜在投标人或投标人。</w:t>
      </w:r>
    </w:p>
    <w:tbl>
      <w:tblPr>
        <w:tblStyle w:val="34"/>
        <w:tblW w:w="9076"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8114"/>
      </w:tblGrid>
      <w:tr w14:paraId="30DCE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962" w:type="dxa"/>
            <w:noWrap/>
            <w:vAlign w:val="center"/>
          </w:tcPr>
          <w:p w14:paraId="39245DA2">
            <w:pPr>
              <w:spacing w:line="360" w:lineRule="auto"/>
              <w:ind w:firstLine="52"/>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8114" w:type="dxa"/>
            <w:noWrap/>
            <w:vAlign w:val="center"/>
          </w:tcPr>
          <w:p w14:paraId="141FDB25">
            <w:pPr>
              <w:spacing w:line="360" w:lineRule="auto"/>
              <w:ind w:firstLine="426"/>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条款内容</w:t>
            </w:r>
          </w:p>
        </w:tc>
      </w:tr>
      <w:tr w14:paraId="7C1E0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076" w:type="dxa"/>
            <w:gridSpan w:val="2"/>
            <w:noWrap/>
            <w:vAlign w:val="center"/>
          </w:tcPr>
          <w:p w14:paraId="5C763478">
            <w:pPr>
              <w:spacing w:line="360" w:lineRule="auto"/>
              <w:ind w:firstLine="426"/>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一、拒绝受理投标文件的情形：</w:t>
            </w:r>
          </w:p>
        </w:tc>
      </w:tr>
      <w:tr w14:paraId="194A7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62" w:type="dxa"/>
            <w:noWrap/>
            <w:vAlign w:val="center"/>
          </w:tcPr>
          <w:p w14:paraId="258BAA42">
            <w:pPr>
              <w:spacing w:line="360" w:lineRule="auto"/>
              <w:ind w:firstLine="5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8114" w:type="dxa"/>
            <w:noWrap/>
            <w:vAlign w:val="center"/>
          </w:tcPr>
          <w:p w14:paraId="5E59779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（1）未按要求加密的投标文件，广州公共资源交易中心交易平台将予以拒收。</w:t>
            </w:r>
          </w:p>
          <w:p w14:paraId="4DB9C1E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（2）逾期送达的电子投标文件，广州公共资源交易中心交易平台将予以拒收。</w:t>
            </w:r>
          </w:p>
        </w:tc>
      </w:tr>
      <w:tr w14:paraId="0448B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76" w:type="dxa"/>
            <w:gridSpan w:val="2"/>
            <w:noWrap/>
            <w:vAlign w:val="center"/>
          </w:tcPr>
          <w:p w14:paraId="1621DB65">
            <w:pPr>
              <w:spacing w:line="360" w:lineRule="auto"/>
              <w:ind w:firstLine="459"/>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二、 开标时，出现下列情形之一的，不参与资格审查和评标：</w:t>
            </w:r>
          </w:p>
        </w:tc>
      </w:tr>
      <w:tr w14:paraId="2658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62" w:type="dxa"/>
            <w:noWrap/>
            <w:vAlign w:val="center"/>
          </w:tcPr>
          <w:p w14:paraId="05E3E13B">
            <w:pPr>
              <w:spacing w:line="360" w:lineRule="auto"/>
              <w:ind w:firstLine="5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114" w:type="dxa"/>
            <w:noWrap/>
            <w:vAlign w:val="center"/>
          </w:tcPr>
          <w:p w14:paraId="2A4CC72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开标时，出现下列情形之一的，不参与资格审查和评标：</w:t>
            </w:r>
          </w:p>
          <w:p w14:paraId="47D98D7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（1）未完成投标文件传输的或因投标人之外的原因造成投标文件未解密且未按要求递交备用光盘或U盘的。因投标人原因造成投标文件未解密或未在规定的时间内解密的。</w:t>
            </w:r>
          </w:p>
          <w:p w14:paraId="4B9E607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（2）两个（含两个）以上的投标人加密打包投标文件电脑机器特征码一致的，不参与下一程序，并由评标委员会否决其投标。</w:t>
            </w:r>
          </w:p>
        </w:tc>
      </w:tr>
      <w:tr w14:paraId="18773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9076" w:type="dxa"/>
            <w:gridSpan w:val="2"/>
            <w:noWrap/>
            <w:vAlign w:val="center"/>
          </w:tcPr>
          <w:p w14:paraId="47E7C94B">
            <w:pPr>
              <w:spacing w:line="360" w:lineRule="auto"/>
              <w:ind w:firstLine="426"/>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三、投标文件有下列情形之一的，由评标委员会否决其投标：</w:t>
            </w:r>
          </w:p>
        </w:tc>
      </w:tr>
      <w:tr w14:paraId="21F02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962" w:type="dxa"/>
            <w:vAlign w:val="center"/>
          </w:tcPr>
          <w:p w14:paraId="70A4358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114" w:type="dxa"/>
            <w:vAlign w:val="center"/>
          </w:tcPr>
          <w:p w14:paraId="2F2D6CD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投标文件（资格审查文件）有不符合招标文件评标办法附表一《资格审查表》中任何一项情形的。</w:t>
            </w:r>
          </w:p>
        </w:tc>
      </w:tr>
      <w:tr w14:paraId="0D24F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962" w:type="dxa"/>
            <w:vAlign w:val="center"/>
          </w:tcPr>
          <w:p w14:paraId="4DA6F80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8114" w:type="dxa"/>
            <w:vAlign w:val="center"/>
          </w:tcPr>
          <w:p w14:paraId="45D5914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投标文件（技术标部分）出现招标文件评标办法附表二《技术标有效性审查表》中任何一项情形的。</w:t>
            </w:r>
          </w:p>
        </w:tc>
      </w:tr>
      <w:tr w14:paraId="53D4A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962" w:type="dxa"/>
            <w:vAlign w:val="center"/>
          </w:tcPr>
          <w:p w14:paraId="03AD655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8114" w:type="dxa"/>
            <w:vAlign w:val="center"/>
          </w:tcPr>
          <w:p w14:paraId="04B1B86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投标文件（经济标部分）出现招标文件评标办法附表三《经济标有效性审查表》中任何一项情形的。</w:t>
            </w:r>
          </w:p>
        </w:tc>
      </w:tr>
    </w:tbl>
    <w:p w14:paraId="10D0C95F">
      <w:pPr>
        <w:pStyle w:val="7"/>
        <w:ind w:left="0"/>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3" w:name="_Toc188805894"/>
      <w:r>
        <w:rPr>
          <w:rFonts w:hint="eastAsia" w:ascii="宋体" w:hAnsi="宋体" w:eastAsia="宋体" w:cs="宋体"/>
          <w:color w:val="auto"/>
          <w:highlight w:val="none"/>
        </w:rPr>
        <w:t>二、投标须知修改表</w:t>
      </w:r>
      <w:bookmarkEnd w:id="3"/>
    </w:p>
    <w:p w14:paraId="416896E7">
      <w:pPr>
        <w:pStyle w:val="5"/>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14:paraId="34737CAD">
      <w:pPr>
        <w:shd w:val="clear" w:color="auto" w:fill="auto"/>
        <w:spacing w:line="360" w:lineRule="auto"/>
        <w:ind w:firstLine="409" w:firstLineChars="195"/>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条款号：2.5                          修改类型：增加</w:t>
      </w:r>
    </w:p>
    <w:p w14:paraId="3D5A3F34">
      <w:pPr>
        <w:pBdr>
          <w:bottom w:val="single" w:color="auto" w:sz="6" w:space="1"/>
        </w:pBdr>
        <w:shd w:val="clear" w:color="auto" w:fill="auto"/>
        <w:spacing w:line="360" w:lineRule="auto"/>
        <w:ind w:firstLine="409" w:firstLineChars="195"/>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现文：</w:t>
      </w:r>
      <w:r>
        <w:rPr>
          <w:rFonts w:hint="eastAsia" w:ascii="宋体" w:hAnsi="宋体" w:eastAsia="宋体" w:cs="宋体"/>
          <w:color w:val="auto"/>
          <w:kern w:val="0"/>
          <w:sz w:val="21"/>
          <w:szCs w:val="21"/>
          <w:highlight w:val="none"/>
          <w:u w:val="single"/>
        </w:rPr>
        <w:t>2.5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r>
        <w:rPr>
          <w:rFonts w:hint="eastAsia" w:ascii="宋体" w:hAnsi="宋体" w:eastAsia="宋体" w:cs="宋体"/>
          <w:color w:val="auto"/>
          <w:kern w:val="0"/>
          <w:sz w:val="21"/>
          <w:szCs w:val="21"/>
          <w:highlight w:val="none"/>
        </w:rPr>
        <w:t>。</w:t>
      </w:r>
    </w:p>
    <w:p w14:paraId="6FFFF0E3">
      <w:pPr>
        <w:shd w:val="clear" w:color="auto" w:fill="auto"/>
        <w:tabs>
          <w:tab w:val="left" w:pos="4536"/>
        </w:tabs>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条款号：5.1</w:t>
      </w:r>
      <w:r>
        <w:rPr>
          <w:rFonts w:hint="eastAsia" w:ascii="宋体" w:hAnsi="宋体" w:eastAsia="宋体" w:cs="宋体"/>
          <w:b/>
          <w:color w:val="auto"/>
          <w:sz w:val="21"/>
          <w:szCs w:val="21"/>
          <w:highlight w:val="none"/>
        </w:rPr>
        <w:tab/>
      </w:r>
      <w:r>
        <w:rPr>
          <w:rFonts w:hint="eastAsia" w:ascii="宋体" w:hAnsi="宋体" w:eastAsia="宋体" w:cs="宋体"/>
          <w:b/>
          <w:color w:val="auto"/>
          <w:sz w:val="21"/>
          <w:szCs w:val="21"/>
          <w:highlight w:val="none"/>
        </w:rPr>
        <w:t>修改类型：修改</w:t>
      </w:r>
    </w:p>
    <w:p w14:paraId="2087BB50">
      <w:pPr>
        <w:pBdr>
          <w:bottom w:val="single" w:color="auto" w:sz="6" w:space="1"/>
        </w:pBdr>
        <w:shd w:val="clear" w:color="auto" w:fill="auto"/>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14:paraId="1791976A">
      <w:pPr>
        <w:pBdr>
          <w:bottom w:val="single" w:color="auto" w:sz="6" w:space="1"/>
        </w:pBdr>
        <w:shd w:val="clear" w:color="auto" w:fill="auto"/>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eastAsia="宋体" w:cs="宋体"/>
          <w:color w:val="auto"/>
          <w:sz w:val="21"/>
          <w:szCs w:val="21"/>
          <w:highlight w:val="none"/>
          <w:u w:val="single"/>
        </w:rPr>
        <w:t>，投标人不进行踏勘的，视为已熟知现场条件，自行承担相关风险</w:t>
      </w:r>
      <w:r>
        <w:rPr>
          <w:rFonts w:hint="eastAsia" w:ascii="宋体" w:hAnsi="宋体" w:eastAsia="宋体" w:cs="宋体"/>
          <w:color w:val="auto"/>
          <w:sz w:val="21"/>
          <w:szCs w:val="21"/>
          <w:highlight w:val="none"/>
        </w:rPr>
        <w:t>。一旦中标，这种考察即被认为其结果已在中标文件中得到充分反映。</w:t>
      </w:r>
      <w:r>
        <w:rPr>
          <w:rFonts w:hint="eastAsia" w:ascii="宋体" w:hAnsi="宋体" w:eastAsia="宋体" w:cs="宋体"/>
          <w:color w:val="auto"/>
          <w:sz w:val="21"/>
          <w:szCs w:val="21"/>
          <w:highlight w:val="none"/>
          <w:u w:val="single"/>
        </w:rPr>
        <w:t>招标人不受理因投标人缺乏对现场条件的了解或掌握而提出的任何索赔。</w:t>
      </w:r>
      <w:r>
        <w:rPr>
          <w:rFonts w:hint="eastAsia" w:ascii="宋体" w:hAnsi="宋体" w:eastAsia="宋体" w:cs="宋体"/>
          <w:color w:val="auto"/>
          <w:sz w:val="21"/>
          <w:szCs w:val="21"/>
          <w:highlight w:val="none"/>
        </w:rPr>
        <w:t>考察现场的费用由投标人自己承担。</w:t>
      </w:r>
    </w:p>
    <w:p w14:paraId="60A5E055">
      <w:pPr>
        <w:shd w:val="clear" w:color="auto" w:fill="auto"/>
        <w:tabs>
          <w:tab w:val="left" w:pos="4536"/>
        </w:tabs>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条款号：7.1             修改类型：修改</w:t>
      </w:r>
    </w:p>
    <w:p w14:paraId="5F33CC12">
      <w:pPr>
        <w:pBdr>
          <w:top w:val="none" w:color="auto" w:sz="0" w:space="0"/>
          <w:left w:val="none" w:color="auto" w:sz="0" w:space="0"/>
          <w:bottom w:val="none" w:color="auto" w:sz="0" w:space="1"/>
          <w:right w:val="none" w:color="auto" w:sz="0" w:space="0"/>
          <w:between w:val="none" w:color="auto" w:sz="0" w:space="0"/>
        </w:pBdr>
        <w:spacing w:line="360" w:lineRule="auto"/>
        <w:ind w:firstLine="470" w:firstLineChars="224"/>
        <w:rPr>
          <w:rFonts w:hint="eastAsia" w:ascii="宋体" w:hAnsi="宋体" w:eastAsia="宋体" w:cs="宋体"/>
          <w:b w:val="0"/>
          <w:bCs/>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b w:val="0"/>
          <w:bCs/>
          <w:color w:val="auto"/>
          <w:szCs w:val="21"/>
          <w:highlight w:val="none"/>
        </w:rPr>
        <w:t>7.1本招标文件包括下列文件，以及所有按本须知第8条发出的招标答疑会会议纪要和按本须知第9条发出的澄清或修改：</w:t>
      </w:r>
    </w:p>
    <w:p w14:paraId="4AB28AEC">
      <w:pPr>
        <w:pBdr>
          <w:top w:val="none" w:color="auto" w:sz="0" w:space="0"/>
          <w:left w:val="none" w:color="auto" w:sz="0" w:space="0"/>
          <w:bottom w:val="none" w:color="auto" w:sz="0" w:space="1"/>
          <w:right w:val="none" w:color="auto" w:sz="0" w:space="0"/>
          <w:between w:val="none" w:color="auto" w:sz="0" w:space="0"/>
        </w:pBdr>
        <w:spacing w:line="360" w:lineRule="auto"/>
        <w:ind w:firstLine="470" w:firstLineChars="224"/>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第一章  投标须知</w:t>
      </w:r>
    </w:p>
    <w:p w14:paraId="3AA0637D">
      <w:pPr>
        <w:pBdr>
          <w:top w:val="none" w:color="auto" w:sz="0" w:space="0"/>
          <w:left w:val="none" w:color="auto" w:sz="0" w:space="0"/>
          <w:bottom w:val="none" w:color="auto" w:sz="0" w:space="1"/>
          <w:right w:val="none" w:color="auto" w:sz="0" w:space="0"/>
          <w:between w:val="none" w:color="auto" w:sz="0" w:space="0"/>
        </w:pBdr>
        <w:spacing w:line="360" w:lineRule="auto"/>
        <w:ind w:firstLine="470" w:firstLineChars="224"/>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第二章  开标、评标及定标办法</w:t>
      </w:r>
    </w:p>
    <w:p w14:paraId="41B82AD4">
      <w:pPr>
        <w:pBdr>
          <w:top w:val="none" w:color="auto" w:sz="0" w:space="0"/>
          <w:left w:val="none" w:color="auto" w:sz="0" w:space="0"/>
          <w:bottom w:val="none" w:color="auto" w:sz="0" w:space="1"/>
          <w:right w:val="none" w:color="auto" w:sz="0" w:space="0"/>
          <w:between w:val="none" w:color="auto" w:sz="0" w:space="0"/>
        </w:pBdr>
        <w:spacing w:line="360" w:lineRule="auto"/>
        <w:ind w:firstLine="470" w:firstLineChars="224"/>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第三章  合同条款</w:t>
      </w:r>
    </w:p>
    <w:p w14:paraId="767C983F">
      <w:pPr>
        <w:pBdr>
          <w:top w:val="none" w:color="auto" w:sz="0" w:space="0"/>
          <w:left w:val="none" w:color="auto" w:sz="0" w:space="0"/>
          <w:bottom w:val="none" w:color="auto" w:sz="0" w:space="1"/>
          <w:right w:val="none" w:color="auto" w:sz="0" w:space="0"/>
          <w:between w:val="none" w:color="auto" w:sz="0" w:space="0"/>
        </w:pBdr>
        <w:spacing w:line="360" w:lineRule="auto"/>
        <w:ind w:firstLine="470" w:firstLineChars="224"/>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第四章  投标文件格式</w:t>
      </w:r>
    </w:p>
    <w:p w14:paraId="63D7B3CB">
      <w:pPr>
        <w:pBdr>
          <w:top w:val="none" w:color="auto" w:sz="0" w:space="0"/>
          <w:left w:val="none" w:color="auto" w:sz="0" w:space="0"/>
          <w:bottom w:val="none" w:color="auto" w:sz="0" w:space="1"/>
          <w:right w:val="none" w:color="auto" w:sz="0" w:space="0"/>
          <w:between w:val="none" w:color="auto" w:sz="0" w:space="0"/>
        </w:pBdr>
        <w:spacing w:line="360" w:lineRule="auto"/>
        <w:ind w:firstLine="470" w:firstLineChars="224"/>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第五章  技术条件（工程建设标准）（另册）</w:t>
      </w:r>
    </w:p>
    <w:p w14:paraId="1B1424E5">
      <w:pPr>
        <w:pBdr>
          <w:top w:val="none" w:color="auto" w:sz="0" w:space="0"/>
          <w:left w:val="none" w:color="auto" w:sz="0" w:space="0"/>
          <w:bottom w:val="none" w:color="auto" w:sz="0" w:space="1"/>
          <w:right w:val="none" w:color="auto" w:sz="0" w:space="0"/>
          <w:between w:val="none" w:color="auto" w:sz="0" w:space="0"/>
        </w:pBdr>
        <w:spacing w:line="360" w:lineRule="auto"/>
        <w:ind w:firstLine="470" w:firstLineChars="224"/>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第六章  图纸及勘察资料（另册）</w:t>
      </w:r>
    </w:p>
    <w:p w14:paraId="1A01A074">
      <w:pPr>
        <w:pBdr>
          <w:top w:val="none" w:color="auto" w:sz="0" w:space="0"/>
          <w:left w:val="none" w:color="auto" w:sz="0" w:space="0"/>
          <w:bottom w:val="none" w:color="auto" w:sz="0" w:space="1"/>
          <w:right w:val="none" w:color="auto" w:sz="0" w:space="0"/>
          <w:between w:val="none" w:color="auto" w:sz="0" w:space="0"/>
        </w:pBdr>
        <w:spacing w:line="360" w:lineRule="auto"/>
        <w:ind w:firstLine="470" w:firstLineChars="224"/>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第七章  招标工程量清单（另册）</w:t>
      </w:r>
    </w:p>
    <w:p w14:paraId="121FBF05">
      <w:pPr>
        <w:pBdr>
          <w:top w:val="none" w:color="auto" w:sz="0" w:space="0"/>
          <w:left w:val="none" w:color="auto" w:sz="0" w:space="0"/>
          <w:bottom w:val="none" w:color="auto" w:sz="0" w:space="1"/>
          <w:right w:val="none" w:color="auto" w:sz="0" w:space="0"/>
          <w:between w:val="none" w:color="auto" w:sz="0" w:space="0"/>
        </w:pBdr>
        <w:spacing w:line="360" w:lineRule="auto"/>
        <w:ind w:firstLine="470" w:firstLineChars="224"/>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第八章  最高投标限价</w:t>
      </w:r>
    </w:p>
    <w:p w14:paraId="2907F75A">
      <w:pPr>
        <w:pBdr>
          <w:top w:val="none" w:color="auto" w:sz="0" w:space="0"/>
          <w:left w:val="none" w:color="auto" w:sz="0" w:space="0"/>
          <w:bottom w:val="none" w:color="auto" w:sz="0" w:space="1"/>
          <w:right w:val="none" w:color="auto" w:sz="0" w:space="0"/>
          <w:between w:val="none" w:color="auto" w:sz="0" w:space="0"/>
        </w:pBdr>
        <w:spacing w:line="360" w:lineRule="auto"/>
        <w:ind w:firstLine="470" w:firstLineChars="224"/>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14:paraId="7718BBC9">
      <w:pPr>
        <w:pBdr>
          <w:bottom w:val="single" w:color="auto" w:sz="6" w:space="1"/>
        </w:pBdr>
        <w:spacing w:line="360" w:lineRule="auto"/>
        <w:ind w:firstLine="470" w:firstLineChars="224"/>
        <w:rPr>
          <w:rFonts w:hint="eastAsia" w:ascii="宋体" w:hAnsi="宋体" w:eastAsia="宋体" w:cs="宋体"/>
          <w:b w:val="0"/>
          <w:bCs/>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b w:val="0"/>
          <w:bCs/>
          <w:color w:val="auto"/>
          <w:szCs w:val="21"/>
          <w:highlight w:val="none"/>
        </w:rPr>
        <w:t>7.1本招标文件包括下列文件，以及所有按本须知第8条发出的招标答疑纪要和按本须知第9条发出的澄清或修改：</w:t>
      </w:r>
    </w:p>
    <w:p w14:paraId="6526BB8C">
      <w:pPr>
        <w:pBdr>
          <w:bottom w:val="single" w:color="auto" w:sz="6" w:space="1"/>
        </w:pBdr>
        <w:spacing w:line="360" w:lineRule="auto"/>
        <w:ind w:firstLine="470"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投标须知</w:t>
      </w:r>
    </w:p>
    <w:p w14:paraId="30B4211B">
      <w:pPr>
        <w:pBdr>
          <w:bottom w:val="single" w:color="auto" w:sz="6" w:space="1"/>
        </w:pBdr>
        <w:spacing w:line="360" w:lineRule="auto"/>
        <w:ind w:firstLine="470"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  开标、评标及定标办法</w:t>
      </w:r>
    </w:p>
    <w:p w14:paraId="1D08342A">
      <w:pPr>
        <w:pBdr>
          <w:bottom w:val="single" w:color="auto" w:sz="6" w:space="1"/>
        </w:pBdr>
        <w:spacing w:line="360" w:lineRule="auto"/>
        <w:ind w:firstLine="470"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第三章  合同条款</w:t>
      </w:r>
      <w:r>
        <w:rPr>
          <w:rFonts w:hint="eastAsia" w:ascii="宋体" w:hAnsi="宋体" w:eastAsia="宋体" w:cs="宋体"/>
          <w:color w:val="auto"/>
          <w:kern w:val="0"/>
          <w:sz w:val="21"/>
          <w:szCs w:val="21"/>
          <w:highlight w:val="none"/>
          <w:u w:val="single"/>
        </w:rPr>
        <w:t>（另册）</w:t>
      </w:r>
    </w:p>
    <w:p w14:paraId="58A56580">
      <w:pPr>
        <w:pBdr>
          <w:bottom w:val="single" w:color="auto" w:sz="6" w:space="1"/>
        </w:pBdr>
        <w:spacing w:line="360" w:lineRule="auto"/>
        <w:ind w:firstLine="470"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第四章  投标文件格式</w:t>
      </w:r>
    </w:p>
    <w:p w14:paraId="23D996F0">
      <w:pPr>
        <w:pBdr>
          <w:bottom w:val="single" w:color="auto" w:sz="6" w:space="1"/>
        </w:pBdr>
        <w:spacing w:line="360" w:lineRule="auto"/>
        <w:ind w:firstLine="470" w:firstLineChars="224"/>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第五章  技术条件（工程建设标准）</w:t>
      </w:r>
    </w:p>
    <w:p w14:paraId="7EFBA7FB">
      <w:pPr>
        <w:pBdr>
          <w:bottom w:val="single" w:color="auto" w:sz="6" w:space="1"/>
        </w:pBdr>
        <w:spacing w:line="360" w:lineRule="auto"/>
        <w:ind w:firstLine="470"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第六章  图纸及勘察资料（另册）</w:t>
      </w:r>
    </w:p>
    <w:p w14:paraId="1CC03C3D">
      <w:pPr>
        <w:pBdr>
          <w:bottom w:val="single" w:color="auto" w:sz="6" w:space="1"/>
        </w:pBdr>
        <w:spacing w:line="360" w:lineRule="auto"/>
        <w:ind w:firstLine="470"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第七章  招标工程量清单（另册）</w:t>
      </w:r>
    </w:p>
    <w:p w14:paraId="360EDD4F">
      <w:pPr>
        <w:pBdr>
          <w:bottom w:val="single" w:color="auto" w:sz="6" w:space="1"/>
        </w:pBdr>
        <w:spacing w:line="360" w:lineRule="auto"/>
        <w:ind w:firstLine="470" w:firstLineChars="224"/>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第八章  最高投标限价（另册）</w:t>
      </w:r>
    </w:p>
    <w:p w14:paraId="6F3AA051">
      <w:pPr>
        <w:pBdr>
          <w:bottom w:val="single" w:color="auto" w:sz="6" w:space="1"/>
        </w:pBdr>
        <w:spacing w:line="360" w:lineRule="auto"/>
        <w:ind w:firstLine="470"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14:paraId="72BAD7D9">
      <w:pPr>
        <w:shd w:val="clear" w:color="auto" w:fill="auto"/>
        <w:tabs>
          <w:tab w:val="left" w:pos="4536"/>
        </w:tabs>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条款号：8.1             修改类型：修改</w:t>
      </w:r>
    </w:p>
    <w:p w14:paraId="21DA015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8.1投标人若对招标文件（包括招标图纸）中有疑问，可以书面形式通过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交易平台提交给招标人或招标代理人，提交形式见本须知前附表第16项。</w:t>
      </w:r>
    </w:p>
    <w:p w14:paraId="0E884B19">
      <w:pPr>
        <w:pBdr>
          <w:bottom w:val="single" w:color="auto" w:sz="6" w:space="1"/>
        </w:pBdr>
        <w:spacing w:line="360" w:lineRule="auto"/>
        <w:ind w:firstLine="470"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b w:val="0"/>
          <w:bCs/>
          <w:color w:val="auto"/>
          <w:szCs w:val="21"/>
          <w:highlight w:val="none"/>
        </w:rPr>
        <w:t>8.1</w:t>
      </w:r>
      <w:r>
        <w:rPr>
          <w:rFonts w:hint="eastAsia" w:ascii="宋体" w:hAnsi="宋体" w:eastAsia="宋体" w:cs="宋体"/>
          <w:bCs/>
          <w:color w:val="auto"/>
          <w:sz w:val="21"/>
          <w:szCs w:val="21"/>
          <w:highlight w:val="none"/>
          <w:u w:val="single"/>
        </w:rPr>
        <w:t>投标人若对招标文件（包括招标图纸、清单、最高投标限价）中有疑问，采用网上答疑方式进行，详见本须知前附表第16项。招标人或招标代理人将于本须知前附表第16项指定的地点（交易平台）和时间对疑问进行答复。</w:t>
      </w:r>
    </w:p>
    <w:p w14:paraId="53B6B104">
      <w:pPr>
        <w:spacing w:line="360" w:lineRule="auto"/>
        <w:ind w:firstLine="470"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条款号：8.2             修改类型：修改</w:t>
      </w:r>
    </w:p>
    <w:p w14:paraId="19994A32">
      <w:pPr>
        <w:spacing w:line="360" w:lineRule="auto"/>
        <w:ind w:firstLine="470"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原文：8.2</w:t>
      </w:r>
      <w:r>
        <w:rPr>
          <w:rFonts w:hint="eastAsia" w:ascii="宋体" w:hAnsi="宋体" w:eastAsia="宋体" w:cs="宋体"/>
          <w:color w:val="auto"/>
          <w:sz w:val="21"/>
          <w:szCs w:val="21"/>
          <w:highlight w:val="none"/>
        </w:rPr>
        <w:t>招标答疑会会议纪要将在提交投标文件截止时间15日前在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交易平台“项目答疑纪要”专区公开发布。答疑纪要一经在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交易平台发布，视作已发放给所有投标人。</w:t>
      </w:r>
    </w:p>
    <w:p w14:paraId="5029FEB4">
      <w:pPr>
        <w:pBdr>
          <w:bottom w:val="single" w:color="auto" w:sz="6" w:space="1"/>
        </w:pBdr>
        <w:spacing w:line="360" w:lineRule="auto"/>
        <w:ind w:firstLine="470"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现文：8.2</w:t>
      </w:r>
      <w:r>
        <w:rPr>
          <w:rFonts w:hint="eastAsia" w:ascii="宋体" w:hAnsi="宋体" w:eastAsia="宋体" w:cs="宋体"/>
          <w:bCs/>
          <w:color w:val="auto"/>
          <w:szCs w:val="21"/>
          <w:highlight w:val="none"/>
        </w:rPr>
        <w:t>招标答疑会会议纪要将在提交投标文件截止时间15日前在</w:t>
      </w:r>
      <w:r>
        <w:rPr>
          <w:rStyle w:val="129"/>
          <w:rFonts w:hint="eastAsia" w:ascii="宋体" w:hAnsi="宋体" w:eastAsia="宋体" w:cs="宋体"/>
          <w:color w:val="auto"/>
          <w:sz w:val="21"/>
          <w:szCs w:val="21"/>
          <w:highlight w:val="none"/>
          <w:u w:val="single"/>
        </w:rPr>
        <w:t>广州交易集团有限公司（广州公共资源交易中心）</w:t>
      </w:r>
      <w:r>
        <w:rPr>
          <w:rFonts w:hint="eastAsia" w:ascii="宋体" w:hAnsi="宋体" w:eastAsia="宋体" w:cs="宋体"/>
          <w:bCs/>
          <w:color w:val="auto"/>
          <w:szCs w:val="21"/>
          <w:highlight w:val="none"/>
          <w:u w:val="single"/>
        </w:rPr>
        <w:t>网站</w:t>
      </w:r>
      <w:r>
        <w:rPr>
          <w:rFonts w:hint="eastAsia" w:ascii="宋体" w:hAnsi="宋体" w:eastAsia="宋体" w:cs="宋体"/>
          <w:bCs/>
          <w:color w:val="auto"/>
          <w:szCs w:val="21"/>
          <w:highlight w:val="none"/>
        </w:rPr>
        <w:t>交易平台</w:t>
      </w:r>
      <w:r>
        <w:rPr>
          <w:rFonts w:hint="eastAsia" w:ascii="宋体" w:hAnsi="宋体" w:eastAsia="宋体" w:cs="宋体"/>
          <w:bCs/>
          <w:color w:val="auto"/>
          <w:szCs w:val="21"/>
          <w:highlight w:val="none"/>
          <w:u w:val="single"/>
        </w:rPr>
        <w:t>“</w:t>
      </w:r>
      <w:bookmarkStart w:id="4" w:name="_Hlk62738754"/>
      <w:r>
        <w:rPr>
          <w:rFonts w:hint="eastAsia" w:ascii="宋体" w:hAnsi="宋体" w:eastAsia="宋体" w:cs="宋体"/>
          <w:bCs/>
          <w:color w:val="auto"/>
          <w:szCs w:val="21"/>
          <w:highlight w:val="none"/>
          <w:u w:val="single"/>
        </w:rPr>
        <w:t>项目</w:t>
      </w:r>
      <w:bookmarkEnd w:id="4"/>
      <w:r>
        <w:rPr>
          <w:rFonts w:hint="eastAsia" w:ascii="宋体" w:hAnsi="宋体" w:eastAsia="宋体" w:cs="宋体"/>
          <w:bCs/>
          <w:color w:val="auto"/>
          <w:szCs w:val="21"/>
          <w:highlight w:val="none"/>
          <w:u w:val="single"/>
          <w:lang w:val="en-US" w:eastAsia="zh-CN"/>
        </w:rPr>
        <w:t>查询（日程安排、答疑纪要）</w:t>
      </w:r>
      <w:r>
        <w:rPr>
          <w:rFonts w:hint="eastAsia" w:ascii="宋体" w:hAnsi="宋体" w:eastAsia="宋体" w:cs="宋体"/>
          <w:bCs/>
          <w:color w:val="auto"/>
          <w:szCs w:val="21"/>
          <w:highlight w:val="none"/>
          <w:u w:val="single"/>
        </w:rPr>
        <w:t>”</w:t>
      </w:r>
      <w:r>
        <w:rPr>
          <w:rFonts w:hint="eastAsia" w:ascii="宋体" w:hAnsi="宋体" w:eastAsia="宋体" w:cs="宋体"/>
          <w:bCs/>
          <w:color w:val="auto"/>
          <w:szCs w:val="21"/>
          <w:highlight w:val="none"/>
        </w:rPr>
        <w:t>专区公开发布。答疑纪要一经在</w:t>
      </w:r>
      <w:r>
        <w:rPr>
          <w:rStyle w:val="129"/>
          <w:rFonts w:hint="eastAsia" w:ascii="宋体" w:hAnsi="宋体" w:eastAsia="宋体" w:cs="宋体"/>
          <w:color w:val="auto"/>
          <w:sz w:val="21"/>
          <w:szCs w:val="21"/>
          <w:highlight w:val="none"/>
          <w:u w:val="single"/>
        </w:rPr>
        <w:t>广州交易集团有限公司（广州公共资源交易中心）</w:t>
      </w:r>
      <w:r>
        <w:rPr>
          <w:rFonts w:hint="eastAsia" w:ascii="宋体" w:hAnsi="宋体" w:eastAsia="宋体" w:cs="宋体"/>
          <w:bCs/>
          <w:color w:val="auto"/>
          <w:szCs w:val="21"/>
          <w:highlight w:val="none"/>
          <w:u w:val="single"/>
        </w:rPr>
        <w:t>网站</w:t>
      </w:r>
      <w:r>
        <w:rPr>
          <w:rFonts w:hint="eastAsia" w:ascii="宋体" w:hAnsi="宋体" w:eastAsia="宋体" w:cs="宋体"/>
          <w:bCs/>
          <w:color w:val="auto"/>
          <w:szCs w:val="21"/>
          <w:highlight w:val="none"/>
        </w:rPr>
        <w:t>发布，视作已发放给所有投标人。</w:t>
      </w:r>
    </w:p>
    <w:p w14:paraId="48BFEA6A">
      <w:pPr>
        <w:pStyle w:val="5"/>
        <w:spacing w:after="0" w:line="400" w:lineRule="exact"/>
        <w:ind w:firstLine="420" w:firstLineChars="200"/>
        <w:rPr>
          <w:rFonts w:hint="eastAsia" w:ascii="宋体" w:hAnsi="宋体" w:eastAsia="宋体" w:cs="宋体"/>
          <w:b/>
          <w:color w:val="auto"/>
          <w:szCs w:val="21"/>
          <w:highlight w:val="none"/>
        </w:rPr>
      </w:pPr>
      <w:bookmarkStart w:id="5" w:name="_Hlk61366684"/>
      <w:r>
        <w:rPr>
          <w:rFonts w:hint="eastAsia" w:ascii="宋体" w:hAnsi="宋体" w:eastAsia="宋体" w:cs="宋体"/>
          <w:b/>
          <w:color w:val="auto"/>
          <w:szCs w:val="21"/>
          <w:highlight w:val="none"/>
        </w:rPr>
        <w:t>条款号：8.3              修改类型：修改</w:t>
      </w:r>
    </w:p>
    <w:p w14:paraId="28CF6FD8">
      <w:pPr>
        <w:pStyle w:val="5"/>
        <w:spacing w:after="0" w:line="360" w:lineRule="auto"/>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bCs/>
          <w:color w:val="auto"/>
          <w:szCs w:val="21"/>
          <w:highlight w:val="none"/>
        </w:rPr>
        <w:t>：</w:t>
      </w:r>
      <w:r>
        <w:rPr>
          <w:rFonts w:hint="eastAsia" w:ascii="宋体" w:hAnsi="宋体" w:eastAsia="宋体" w:cs="宋体"/>
          <w:b/>
          <w:color w:val="auto"/>
          <w:szCs w:val="21"/>
          <w:highlight w:val="none"/>
        </w:rPr>
        <w:t>8.3</w:t>
      </w:r>
      <w:r>
        <w:rPr>
          <w:rFonts w:hint="eastAsia" w:ascii="宋体" w:hAnsi="宋体" w:eastAsia="宋体" w:cs="宋体"/>
          <w:bCs/>
          <w:color w:val="auto"/>
          <w:szCs w:val="21"/>
          <w:highlight w:val="none"/>
        </w:rPr>
        <w:t>答疑会会议纪要为招标文件的一部分。</w:t>
      </w:r>
    </w:p>
    <w:p w14:paraId="076EC672">
      <w:pPr>
        <w:pBdr>
          <w:bottom w:val="single" w:color="auto" w:sz="6" w:space="1"/>
        </w:pBdr>
        <w:spacing w:line="360" w:lineRule="auto"/>
        <w:ind w:firstLine="422" w:firstLineChars="201"/>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b/>
          <w:color w:val="auto"/>
          <w:kern w:val="0"/>
          <w:szCs w:val="21"/>
          <w:highlight w:val="none"/>
        </w:rPr>
        <w:t>8.3</w:t>
      </w:r>
      <w:r>
        <w:rPr>
          <w:rFonts w:hint="eastAsia" w:ascii="宋体" w:hAnsi="宋体" w:eastAsia="宋体" w:cs="宋体"/>
          <w:color w:val="auto"/>
          <w:szCs w:val="21"/>
          <w:highlight w:val="none"/>
          <w:u w:val="single"/>
        </w:rPr>
        <w:t>招标答疑纪要</w:t>
      </w:r>
      <w:r>
        <w:rPr>
          <w:rFonts w:hint="eastAsia" w:ascii="宋体" w:hAnsi="宋体" w:eastAsia="宋体" w:cs="宋体"/>
          <w:color w:val="auto"/>
          <w:szCs w:val="21"/>
          <w:highlight w:val="none"/>
        </w:rPr>
        <w:t>为招标文件的一部分。</w:t>
      </w:r>
    </w:p>
    <w:p w14:paraId="47D52FAE">
      <w:pPr>
        <w:pStyle w:val="5"/>
        <w:spacing w:after="0" w:line="400" w:lineRule="exact"/>
        <w:ind w:firstLine="420"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条款号：8.4              修改类型：修改</w:t>
      </w:r>
      <w:bookmarkEnd w:id="5"/>
    </w:p>
    <w:p w14:paraId="7D8E4EAA">
      <w:pPr>
        <w:pStyle w:val="5"/>
        <w:spacing w:after="0" w:line="360" w:lineRule="auto"/>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原文：8.4</w:t>
      </w:r>
      <w:r>
        <w:rPr>
          <w:rFonts w:hint="eastAsia" w:ascii="宋体" w:hAnsi="宋体" w:eastAsia="宋体" w:cs="宋体"/>
          <w:bCs/>
          <w:color w:val="auto"/>
          <w:szCs w:val="21"/>
          <w:highlight w:val="none"/>
        </w:rPr>
        <w:t>若招标答疑会会议纪要与招标文件有矛盾，以答疑会议纪要最后发出的书面形式的文件为准。</w:t>
      </w:r>
    </w:p>
    <w:p w14:paraId="56477A3A">
      <w:pPr>
        <w:pStyle w:val="5"/>
        <w:pBdr>
          <w:bottom w:val="single" w:color="auto" w:sz="4" w:space="0"/>
        </w:pBdr>
        <w:spacing w:after="0" w:line="360" w:lineRule="auto"/>
        <w:rPr>
          <w:rFonts w:hint="eastAsia" w:ascii="宋体" w:hAnsi="宋体" w:eastAsia="宋体" w:cs="宋体"/>
          <w:color w:val="auto"/>
          <w:highlight w:val="none"/>
        </w:rPr>
      </w:pPr>
      <w:r>
        <w:rPr>
          <w:rFonts w:hint="eastAsia" w:ascii="宋体" w:hAnsi="宋体" w:eastAsia="宋体" w:cs="宋体"/>
          <w:b/>
          <w:color w:val="auto"/>
          <w:szCs w:val="21"/>
          <w:highlight w:val="none"/>
        </w:rPr>
        <w:t>现文：</w:t>
      </w:r>
      <w:r>
        <w:rPr>
          <w:rFonts w:hint="eastAsia" w:ascii="宋体" w:hAnsi="宋体" w:eastAsia="宋体" w:cs="宋体"/>
          <w:b/>
          <w:color w:val="auto"/>
          <w:kern w:val="0"/>
          <w:szCs w:val="21"/>
          <w:highlight w:val="none"/>
        </w:rPr>
        <w:t>8.4</w:t>
      </w:r>
      <w:r>
        <w:rPr>
          <w:rFonts w:hint="eastAsia" w:ascii="宋体" w:hAnsi="宋体" w:eastAsia="宋体" w:cs="宋体"/>
          <w:color w:val="auto"/>
          <w:szCs w:val="21"/>
          <w:highlight w:val="none"/>
        </w:rPr>
        <w:t>若</w:t>
      </w:r>
      <w:r>
        <w:rPr>
          <w:rFonts w:hint="eastAsia" w:ascii="宋体" w:hAnsi="宋体" w:eastAsia="宋体" w:cs="宋体"/>
          <w:color w:val="auto"/>
          <w:szCs w:val="21"/>
          <w:highlight w:val="none"/>
          <w:u w:val="single"/>
        </w:rPr>
        <w:t>招标答疑纪要</w:t>
      </w:r>
      <w:r>
        <w:rPr>
          <w:rFonts w:hint="eastAsia" w:ascii="宋体" w:hAnsi="宋体" w:eastAsia="宋体" w:cs="宋体"/>
          <w:color w:val="auto"/>
          <w:szCs w:val="21"/>
          <w:highlight w:val="none"/>
        </w:rPr>
        <w:t>与招标文件有矛盾时，以</w:t>
      </w:r>
      <w:r>
        <w:rPr>
          <w:rStyle w:val="129"/>
          <w:rFonts w:hint="eastAsia" w:ascii="宋体" w:hAnsi="宋体" w:eastAsia="宋体" w:cs="宋体"/>
          <w:color w:val="auto"/>
          <w:sz w:val="21"/>
          <w:szCs w:val="21"/>
          <w:highlight w:val="none"/>
          <w:u w:val="single"/>
        </w:rPr>
        <w:t>广州交易集团有限公司（广州公共资源交易中心）</w:t>
      </w:r>
      <w:r>
        <w:rPr>
          <w:rFonts w:hint="eastAsia" w:ascii="宋体" w:hAnsi="宋体" w:eastAsia="宋体" w:cs="宋体"/>
          <w:color w:val="auto"/>
          <w:szCs w:val="21"/>
          <w:highlight w:val="none"/>
        </w:rPr>
        <w:t>最后发布的答疑纪要为准。</w:t>
      </w:r>
    </w:p>
    <w:p w14:paraId="2EE7E653">
      <w:pPr>
        <w:pStyle w:val="5"/>
        <w:spacing w:after="0" w:line="400" w:lineRule="exact"/>
        <w:ind w:firstLine="420"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条款号：9.2             修改类型：修改</w:t>
      </w:r>
    </w:p>
    <w:p w14:paraId="0B0F3C8D">
      <w:pPr>
        <w:pStyle w:val="5"/>
        <w:spacing w:after="0" w:line="360"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b/>
          <w:bCs/>
          <w:color w:val="auto"/>
          <w:szCs w:val="21"/>
          <w:highlight w:val="none"/>
        </w:rPr>
        <w:t>9.2</w:t>
      </w:r>
      <w:r>
        <w:rPr>
          <w:rFonts w:hint="eastAsia" w:ascii="宋体" w:hAnsi="宋体" w:eastAsia="宋体" w:cs="宋体"/>
          <w:color w:val="auto"/>
          <w:sz w:val="21"/>
          <w:szCs w:val="21"/>
          <w:highlight w:val="none"/>
        </w:rPr>
        <w:t>招标文件的澄清或修改将在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交易平台“项目答疑纪要”专区公开发布。答疑纪要一经在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交易平台发布，视作已发放给所有投标人，以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交易平台上网发布时间作为送达时间。</w:t>
      </w:r>
    </w:p>
    <w:p w14:paraId="04EFA2C5">
      <w:pPr>
        <w:pBdr>
          <w:bottom w:val="single" w:color="auto" w:sz="4" w:space="1"/>
        </w:pBdr>
        <w:spacing w:line="360" w:lineRule="auto"/>
        <w:ind w:firstLine="422" w:firstLineChars="201"/>
        <w:rPr>
          <w:rFonts w:hint="eastAsia" w:ascii="宋体" w:hAnsi="宋体" w:eastAsia="宋体" w:cs="宋体"/>
          <w:color w:val="auto"/>
          <w:highlight w:val="none"/>
        </w:rPr>
      </w:pPr>
      <w:r>
        <w:rPr>
          <w:rFonts w:hint="eastAsia" w:ascii="宋体" w:hAnsi="宋体" w:eastAsia="宋体" w:cs="宋体"/>
          <w:b/>
          <w:color w:val="auto"/>
          <w:szCs w:val="21"/>
          <w:highlight w:val="none"/>
        </w:rPr>
        <w:t>现文：</w:t>
      </w:r>
      <w:r>
        <w:rPr>
          <w:rFonts w:hint="eastAsia" w:ascii="宋体" w:hAnsi="宋体" w:eastAsia="宋体" w:cs="宋体"/>
          <w:b/>
          <w:bCs/>
          <w:color w:val="auto"/>
          <w:szCs w:val="21"/>
          <w:highlight w:val="none"/>
        </w:rPr>
        <w:t>9.2</w:t>
      </w:r>
      <w:r>
        <w:rPr>
          <w:rFonts w:hint="eastAsia" w:ascii="宋体" w:hAnsi="宋体" w:eastAsia="宋体" w:cs="宋体"/>
          <w:color w:val="auto"/>
          <w:szCs w:val="21"/>
          <w:highlight w:val="none"/>
        </w:rPr>
        <w:t>招标文件的澄清或修改将在</w:t>
      </w:r>
      <w:r>
        <w:rPr>
          <w:rStyle w:val="129"/>
          <w:rFonts w:hint="eastAsia" w:ascii="宋体" w:hAnsi="宋体" w:eastAsia="宋体" w:cs="宋体"/>
          <w:color w:val="auto"/>
          <w:sz w:val="21"/>
          <w:szCs w:val="21"/>
          <w:highlight w:val="none"/>
          <w:u w:val="single"/>
        </w:rPr>
        <w:t>广州交易集团有限公司（广州公共资源交易中心）</w:t>
      </w:r>
      <w:r>
        <w:rPr>
          <w:rFonts w:hint="eastAsia" w:ascii="宋体" w:hAnsi="宋体" w:eastAsia="宋体" w:cs="宋体"/>
          <w:color w:val="auto"/>
          <w:szCs w:val="21"/>
          <w:highlight w:val="none"/>
        </w:rPr>
        <w:t>交易平台“</w:t>
      </w:r>
      <w:r>
        <w:rPr>
          <w:rFonts w:hint="eastAsia" w:ascii="宋体" w:hAnsi="宋体" w:eastAsia="宋体" w:cs="宋体"/>
          <w:color w:val="auto"/>
          <w:szCs w:val="21"/>
          <w:highlight w:val="none"/>
          <w:u w:val="single"/>
        </w:rPr>
        <w:t>项目查询（日程安排、答疑纪要</w:t>
      </w:r>
      <w:r>
        <w:rPr>
          <w:rFonts w:hint="eastAsia" w:ascii="宋体" w:hAnsi="宋体" w:eastAsia="宋体" w:cs="宋体"/>
          <w:color w:val="auto"/>
          <w:szCs w:val="21"/>
          <w:highlight w:val="none"/>
        </w:rPr>
        <w:t>）”专区公开发布。答疑纪要一经在</w:t>
      </w:r>
      <w:r>
        <w:rPr>
          <w:rStyle w:val="129"/>
          <w:rFonts w:hint="eastAsia" w:ascii="宋体" w:hAnsi="宋体" w:eastAsia="宋体" w:cs="宋体"/>
          <w:color w:val="auto"/>
          <w:sz w:val="21"/>
          <w:szCs w:val="21"/>
          <w:highlight w:val="none"/>
          <w:u w:val="single"/>
        </w:rPr>
        <w:t>广州交易集团有限公司（广州公共资源交易中心）</w:t>
      </w:r>
      <w:r>
        <w:rPr>
          <w:rFonts w:hint="eastAsia" w:ascii="宋体" w:hAnsi="宋体" w:eastAsia="宋体" w:cs="宋体"/>
          <w:color w:val="auto"/>
          <w:szCs w:val="21"/>
          <w:highlight w:val="none"/>
        </w:rPr>
        <w:t>交易平台发布，视作已发放给所有投标人，以</w:t>
      </w:r>
      <w:r>
        <w:rPr>
          <w:rStyle w:val="129"/>
          <w:rFonts w:hint="eastAsia" w:ascii="宋体" w:hAnsi="宋体" w:eastAsia="宋体" w:cs="宋体"/>
          <w:color w:val="auto"/>
          <w:sz w:val="21"/>
          <w:szCs w:val="21"/>
          <w:highlight w:val="none"/>
          <w:u w:val="single"/>
        </w:rPr>
        <w:t>广州交易集团有限公司（广州公共资源交易中心）</w:t>
      </w:r>
      <w:r>
        <w:rPr>
          <w:rFonts w:hint="eastAsia" w:ascii="宋体" w:hAnsi="宋体" w:eastAsia="宋体" w:cs="宋体"/>
          <w:color w:val="auto"/>
          <w:szCs w:val="21"/>
          <w:highlight w:val="none"/>
        </w:rPr>
        <w:t>交易平台上网发布时间作为送达时间。</w:t>
      </w:r>
    </w:p>
    <w:p w14:paraId="51473831">
      <w:pPr>
        <w:pBdr>
          <w:bottom w:val="single" w:color="auto" w:sz="6" w:space="1"/>
        </w:pBdr>
        <w:spacing w:line="360" w:lineRule="auto"/>
        <w:ind w:firstLine="422" w:firstLineChars="201"/>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条款号：9.4             修改类型：修改</w:t>
      </w:r>
    </w:p>
    <w:p w14:paraId="0D0C3B64">
      <w:pPr>
        <w:pBdr>
          <w:bottom w:val="single" w:color="auto" w:sz="6" w:space="1"/>
        </w:pBdr>
        <w:spacing w:line="360" w:lineRule="auto"/>
        <w:ind w:firstLine="422" w:firstLineChars="20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b/>
          <w:bCs/>
          <w:color w:val="auto"/>
          <w:szCs w:val="21"/>
          <w:highlight w:val="none"/>
        </w:rPr>
        <w:t>9.4</w:t>
      </w:r>
      <w:r>
        <w:rPr>
          <w:rFonts w:hint="eastAsia" w:ascii="宋体" w:hAnsi="宋体" w:eastAsia="宋体" w:cs="宋体"/>
          <w:color w:val="auto"/>
          <w:szCs w:val="21"/>
          <w:highlight w:val="none"/>
        </w:rPr>
        <w:t>招标文件的澄清或修改均以书面形式明确的内容为准。当招标文件的澄清、修改、补充等在同一内容的表述不一致时，以最后发出的书面形式的文件为准。</w:t>
      </w:r>
    </w:p>
    <w:p w14:paraId="452193BF">
      <w:pPr>
        <w:pBdr>
          <w:bottom w:val="single" w:color="auto" w:sz="6" w:space="1"/>
        </w:pBdr>
        <w:spacing w:line="360" w:lineRule="auto"/>
        <w:ind w:firstLine="422" w:firstLineChars="20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b/>
          <w:bCs/>
          <w:color w:val="auto"/>
          <w:szCs w:val="21"/>
          <w:highlight w:val="none"/>
        </w:rPr>
        <w:t>9.4</w:t>
      </w:r>
      <w:r>
        <w:rPr>
          <w:rFonts w:hint="eastAsia" w:ascii="宋体" w:hAnsi="宋体" w:eastAsia="宋体" w:cs="宋体"/>
          <w:color w:val="auto"/>
          <w:szCs w:val="21"/>
          <w:highlight w:val="none"/>
        </w:rPr>
        <w:t>招标文件的澄清或修改</w:t>
      </w:r>
      <w:r>
        <w:rPr>
          <w:rFonts w:hint="eastAsia" w:ascii="宋体" w:hAnsi="宋体" w:eastAsia="宋体" w:cs="宋体"/>
          <w:color w:val="auto"/>
          <w:szCs w:val="21"/>
          <w:highlight w:val="none"/>
          <w:u w:val="single"/>
        </w:rPr>
        <w:t>在广州交易集团有限公司（广州公共资源交易中心）网站“项目查询（日程安排、答疑纪要）”专区公开发布。</w:t>
      </w:r>
      <w:r>
        <w:rPr>
          <w:rFonts w:hint="eastAsia" w:ascii="宋体" w:hAnsi="宋体" w:eastAsia="宋体" w:cs="宋体"/>
          <w:color w:val="auto"/>
          <w:szCs w:val="21"/>
          <w:highlight w:val="none"/>
        </w:rPr>
        <w:t>当招标文件的澄清、修改、补充等在同一内容的表述不一致时，以最后发出的文件为准。</w:t>
      </w:r>
    </w:p>
    <w:p w14:paraId="6A093DF9">
      <w:pPr>
        <w:pBdr>
          <w:top w:val="none" w:color="auto" w:sz="0" w:space="0"/>
          <w:left w:val="none" w:color="auto" w:sz="0" w:space="0"/>
          <w:bottom w:val="none" w:color="auto" w:sz="0" w:space="0"/>
          <w:right w:val="none" w:color="auto" w:sz="0" w:space="0"/>
          <w:between w:val="none" w:color="auto" w:sz="0" w:space="0"/>
        </w:pBdr>
        <w:spacing w:line="480" w:lineRule="auto"/>
        <w:ind w:firstLine="470"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条款号：11.2           修改类型：修改</w:t>
      </w:r>
    </w:p>
    <w:p w14:paraId="312E2012">
      <w:pPr>
        <w:pBdr>
          <w:top w:val="none" w:color="auto" w:sz="0" w:space="0"/>
          <w:left w:val="none" w:color="auto" w:sz="0" w:space="0"/>
          <w:bottom w:val="none" w:color="auto" w:sz="0" w:space="0"/>
          <w:right w:val="none" w:color="auto" w:sz="0" w:space="0"/>
          <w:between w:val="none" w:color="auto" w:sz="0" w:space="0"/>
        </w:pBdr>
        <w:spacing w:line="360" w:lineRule="auto"/>
        <w:ind w:firstLine="470" w:firstLineChars="224"/>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11.2投标文件技术标部分主要包括下列内容:</w:t>
      </w:r>
    </w:p>
    <w:p w14:paraId="2030EA3D">
      <w:pPr>
        <w:pBdr>
          <w:top w:val="none" w:color="auto" w:sz="0" w:space="0"/>
          <w:left w:val="none" w:color="auto" w:sz="0" w:space="0"/>
          <w:bottom w:val="none" w:color="auto" w:sz="0" w:space="0"/>
          <w:right w:val="none" w:color="auto" w:sz="0" w:space="0"/>
          <w:between w:val="none" w:color="auto" w:sz="0" w:space="0"/>
        </w:pBdr>
        <w:spacing w:line="360" w:lineRule="auto"/>
        <w:ind w:firstLine="470"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11.2.1 技术投标文件(按招标文件的要求填写)；</w:t>
      </w:r>
    </w:p>
    <w:p w14:paraId="46D79340">
      <w:pPr>
        <w:pBdr>
          <w:top w:val="none" w:color="auto" w:sz="0" w:space="0"/>
          <w:left w:val="none" w:color="auto" w:sz="0" w:space="0"/>
          <w:bottom w:val="none" w:color="auto" w:sz="0" w:space="0"/>
          <w:right w:val="none" w:color="auto" w:sz="0" w:space="0"/>
          <w:between w:val="none" w:color="auto" w:sz="0" w:space="0"/>
        </w:pBdr>
        <w:spacing w:line="360" w:lineRule="auto"/>
        <w:ind w:firstLine="470"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11.2.2 资格审查文件：</w:t>
      </w:r>
    </w:p>
    <w:p w14:paraId="1CF75581">
      <w:pPr>
        <w:pBdr>
          <w:top w:val="none" w:color="auto" w:sz="0" w:space="0"/>
          <w:left w:val="none" w:color="auto" w:sz="0" w:space="0"/>
          <w:bottom w:val="none" w:color="auto" w:sz="0" w:space="0"/>
          <w:right w:val="none" w:color="auto" w:sz="0" w:space="0"/>
          <w:between w:val="none" w:color="auto" w:sz="0" w:space="0"/>
        </w:pBdr>
        <w:spacing w:line="360" w:lineRule="auto"/>
        <w:ind w:firstLine="470"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（1）投标人声明； </w:t>
      </w:r>
    </w:p>
    <w:p w14:paraId="594F39A5">
      <w:pPr>
        <w:pBdr>
          <w:top w:val="none" w:color="auto" w:sz="0" w:space="0"/>
          <w:left w:val="none" w:color="auto" w:sz="0" w:space="0"/>
          <w:bottom w:val="none" w:color="auto" w:sz="0" w:space="0"/>
          <w:right w:val="none" w:color="auto" w:sz="0" w:space="0"/>
          <w:between w:val="none" w:color="auto" w:sz="0" w:space="0"/>
        </w:pBdr>
        <w:spacing w:line="360" w:lineRule="auto"/>
        <w:ind w:firstLine="470"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（2）法定代表人证明书、法定代表人签字或盖章的本投标文件授权委托证明书；</w:t>
      </w:r>
    </w:p>
    <w:p w14:paraId="0385B6B1">
      <w:pPr>
        <w:pBdr>
          <w:top w:val="none" w:color="auto" w:sz="0" w:space="0"/>
          <w:left w:val="none" w:color="auto" w:sz="0" w:space="0"/>
          <w:bottom w:val="none" w:color="auto" w:sz="0" w:space="0"/>
          <w:right w:val="none" w:color="auto" w:sz="0" w:space="0"/>
          <w:between w:val="none" w:color="auto" w:sz="0" w:space="0"/>
        </w:pBdr>
        <w:spacing w:line="360" w:lineRule="auto"/>
        <w:ind w:firstLine="470"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（3）企业营业执照扫描件或电子证照；</w:t>
      </w:r>
    </w:p>
    <w:p w14:paraId="4376B8FA">
      <w:pPr>
        <w:pBdr>
          <w:top w:val="none" w:color="auto" w:sz="0" w:space="0"/>
          <w:left w:val="none" w:color="auto" w:sz="0" w:space="0"/>
          <w:bottom w:val="none" w:color="auto" w:sz="0" w:space="0"/>
          <w:right w:val="none" w:color="auto" w:sz="0" w:space="0"/>
          <w:between w:val="none" w:color="auto" w:sz="0" w:space="0"/>
        </w:pBdr>
        <w:spacing w:line="360" w:lineRule="auto"/>
        <w:ind w:firstLine="470"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（4）企业资质证书扫描件或电子证照；</w:t>
      </w:r>
    </w:p>
    <w:p w14:paraId="3B0E9213">
      <w:pPr>
        <w:pBdr>
          <w:top w:val="none" w:color="auto" w:sz="0" w:space="0"/>
          <w:left w:val="none" w:color="auto" w:sz="0" w:space="0"/>
          <w:bottom w:val="none" w:color="auto" w:sz="0" w:space="0"/>
          <w:right w:val="none" w:color="auto" w:sz="0" w:space="0"/>
          <w:between w:val="none" w:color="auto" w:sz="0" w:space="0"/>
        </w:pBdr>
        <w:spacing w:line="360" w:lineRule="auto"/>
        <w:ind w:firstLine="470"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（5）建筑施工企业安全生产许可证扫描件或电子证照；</w:t>
      </w:r>
    </w:p>
    <w:p w14:paraId="4266E9FE">
      <w:pPr>
        <w:pBdr>
          <w:top w:val="none" w:color="auto" w:sz="0" w:space="0"/>
          <w:left w:val="none" w:color="auto" w:sz="0" w:space="0"/>
          <w:bottom w:val="none" w:color="auto" w:sz="0" w:space="0"/>
          <w:right w:val="none" w:color="auto" w:sz="0" w:space="0"/>
          <w:between w:val="none" w:color="auto" w:sz="0" w:space="0"/>
        </w:pBdr>
        <w:spacing w:line="360" w:lineRule="auto"/>
        <w:ind w:firstLine="470"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（6）项目负责人（按网上投标登记时选择拟投入本项目的项目负责人）</w:t>
      </w:r>
    </w:p>
    <w:p w14:paraId="6061204F">
      <w:pPr>
        <w:pBdr>
          <w:top w:val="none" w:color="auto" w:sz="0" w:space="0"/>
          <w:left w:val="none" w:color="auto" w:sz="0" w:space="0"/>
          <w:bottom w:val="none" w:color="auto" w:sz="0" w:space="0"/>
          <w:right w:val="none" w:color="auto" w:sz="0" w:space="0"/>
          <w:between w:val="none" w:color="auto" w:sz="0" w:space="0"/>
        </w:pBdr>
        <w:spacing w:line="360" w:lineRule="auto"/>
        <w:ind w:firstLine="470"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（7）专职安全员（按网上投标登记时选择拟投入本项目的专职安全员）</w:t>
      </w:r>
    </w:p>
    <w:p w14:paraId="4AB05698">
      <w:pPr>
        <w:pBdr>
          <w:top w:val="none" w:color="auto" w:sz="0" w:space="0"/>
          <w:left w:val="none" w:color="auto" w:sz="0" w:space="0"/>
          <w:bottom w:val="none" w:color="auto" w:sz="0" w:space="0"/>
          <w:right w:val="none" w:color="auto" w:sz="0" w:space="0"/>
          <w:between w:val="none" w:color="auto" w:sz="0" w:space="0"/>
        </w:pBdr>
        <w:spacing w:line="360" w:lineRule="auto"/>
        <w:ind w:firstLine="470"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（8）拟委托技术负责人的相关证书、资料（具体要求由招标人明确）</w:t>
      </w:r>
    </w:p>
    <w:p w14:paraId="433C41AD">
      <w:pPr>
        <w:pBdr>
          <w:top w:val="none" w:color="auto" w:sz="0" w:space="0"/>
          <w:left w:val="none" w:color="auto" w:sz="0" w:space="0"/>
          <w:bottom w:val="none" w:color="auto" w:sz="0" w:space="0"/>
          <w:right w:val="none" w:color="auto" w:sz="0" w:space="0"/>
          <w:between w:val="none" w:color="auto" w:sz="0" w:space="0"/>
        </w:pBdr>
        <w:spacing w:line="360" w:lineRule="auto"/>
        <w:ind w:firstLine="470"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（9）拟委派项目负责人的有效期内的建造师注册证书扫描件或电子证书；  </w:t>
      </w:r>
    </w:p>
    <w:p w14:paraId="27D19E8D">
      <w:pPr>
        <w:pBdr>
          <w:top w:val="none" w:color="auto" w:sz="0" w:space="0"/>
          <w:left w:val="none" w:color="auto" w:sz="0" w:space="0"/>
          <w:bottom w:val="none" w:color="auto" w:sz="0" w:space="0"/>
          <w:right w:val="none" w:color="auto" w:sz="0" w:space="0"/>
          <w:between w:val="none" w:color="auto" w:sz="0" w:space="0"/>
        </w:pBdr>
        <w:spacing w:line="360" w:lineRule="auto"/>
        <w:ind w:firstLine="470"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（10）项目负责人在有效期内的安全生产考核合格证书（B类）或建筑施工企业项目负责人安全生产考核合格证书扫描件或电子证书；</w:t>
      </w:r>
    </w:p>
    <w:p w14:paraId="5A91D939">
      <w:pPr>
        <w:pBdr>
          <w:top w:val="none" w:color="auto" w:sz="0" w:space="0"/>
          <w:left w:val="none" w:color="auto" w:sz="0" w:space="0"/>
          <w:bottom w:val="none" w:color="auto" w:sz="0" w:space="0"/>
          <w:right w:val="none" w:color="auto" w:sz="0" w:space="0"/>
          <w:between w:val="none" w:color="auto" w:sz="0" w:space="0"/>
        </w:pBdr>
        <w:spacing w:line="360" w:lineRule="auto"/>
        <w:ind w:firstLine="470"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（11）专职安全员须具有在有效期内的安全生产考核合格证书（C类）或建筑施工企业专职安全生产管理人员安全生产考核合格证书扫描件或电子证书；</w:t>
      </w:r>
    </w:p>
    <w:p w14:paraId="5A719A02">
      <w:pPr>
        <w:pBdr>
          <w:top w:val="none" w:color="auto" w:sz="0" w:space="0"/>
          <w:left w:val="none" w:color="auto" w:sz="0" w:space="0"/>
          <w:bottom w:val="none" w:color="auto" w:sz="0" w:space="0"/>
          <w:right w:val="none" w:color="auto" w:sz="0" w:space="0"/>
          <w:between w:val="none" w:color="auto" w:sz="0" w:space="0"/>
        </w:pBdr>
        <w:spacing w:line="360" w:lineRule="auto"/>
        <w:ind w:firstLine="470"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（12）用于资格审查的业绩（设置业绩要求时选择此项，投标人须提供类似工程业绩的项目名称及项目编号，具体格式由招标人自定）；</w:t>
      </w:r>
    </w:p>
    <w:p w14:paraId="55EDEEED">
      <w:pPr>
        <w:pBdr>
          <w:top w:val="none" w:color="auto" w:sz="0" w:space="0"/>
          <w:left w:val="none" w:color="auto" w:sz="0" w:space="0"/>
          <w:bottom w:val="none" w:color="auto" w:sz="0" w:space="0"/>
          <w:right w:val="none" w:color="auto" w:sz="0" w:space="0"/>
          <w:between w:val="none" w:color="auto" w:sz="0" w:space="0"/>
        </w:pBdr>
        <w:spacing w:line="360" w:lineRule="auto"/>
        <w:ind w:firstLine="470"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（13）列明主办单位的联合体工作协议（采用联合体投标时需递交，投标人拟任本工程项目负责人应为联合体主办方信用档案中的在册人员，联合体工作协议应明确约定各方拟承担的工作和责任）； </w:t>
      </w:r>
    </w:p>
    <w:p w14:paraId="098304B4">
      <w:pPr>
        <w:pBdr>
          <w:top w:val="none" w:color="auto" w:sz="0" w:space="0"/>
          <w:left w:val="none" w:color="auto" w:sz="0" w:space="0"/>
          <w:bottom w:val="none" w:color="auto" w:sz="0" w:space="0"/>
          <w:right w:val="none" w:color="auto" w:sz="0" w:space="0"/>
          <w:between w:val="none" w:color="auto" w:sz="0" w:space="0"/>
        </w:pBdr>
        <w:spacing w:line="360" w:lineRule="auto"/>
        <w:ind w:firstLine="470"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（14）列明主办单位的联合体工作协议（采用联合体投标时需递交，投标人拟任本工程项目负责人应为联合体主办方信用档案中的在册人员，联合体工作协议应明确约定各方拟承担的工作和责任）；</w:t>
      </w:r>
    </w:p>
    <w:p w14:paraId="1B1ECADF">
      <w:pPr>
        <w:pBdr>
          <w:top w:val="none" w:color="auto" w:sz="0" w:space="0"/>
          <w:left w:val="none" w:color="auto" w:sz="0" w:space="0"/>
          <w:bottom w:val="none" w:color="auto" w:sz="0" w:space="0"/>
          <w:right w:val="none" w:color="auto" w:sz="0" w:space="0"/>
          <w:between w:val="none" w:color="auto" w:sz="0" w:space="0"/>
        </w:pBdr>
        <w:spacing w:line="360" w:lineRule="auto"/>
        <w:ind w:firstLine="470"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注：1.相关电子证书按规定需打印后手写本人签名的，应按照规定手写本人签名后再扫描提交。</w:t>
      </w:r>
    </w:p>
    <w:p w14:paraId="554054B8">
      <w:pPr>
        <w:pBdr>
          <w:top w:val="none" w:color="auto" w:sz="0" w:space="0"/>
          <w:left w:val="none" w:color="auto" w:sz="0" w:space="0"/>
          <w:bottom w:val="none" w:color="auto" w:sz="0" w:space="0"/>
          <w:right w:val="none" w:color="auto" w:sz="0" w:space="0"/>
          <w:between w:val="none" w:color="auto" w:sz="0" w:space="0"/>
        </w:pBdr>
        <w:spacing w:line="360" w:lineRule="auto"/>
        <w:ind w:firstLine="470"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127285A8">
      <w:pPr>
        <w:pBdr>
          <w:top w:val="none" w:color="auto" w:sz="0" w:space="0"/>
          <w:left w:val="none" w:color="auto" w:sz="0" w:space="0"/>
          <w:bottom w:val="none" w:color="auto" w:sz="0" w:space="0"/>
          <w:right w:val="none" w:color="auto" w:sz="0" w:space="0"/>
          <w:between w:val="none" w:color="auto" w:sz="0" w:space="0"/>
        </w:pBdr>
        <w:spacing w:line="360" w:lineRule="auto"/>
        <w:ind w:firstLine="470"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11.2.3项目管理机构配备。</w:t>
      </w:r>
    </w:p>
    <w:p w14:paraId="193BFD40">
      <w:pPr>
        <w:pBdr>
          <w:top w:val="none" w:color="auto" w:sz="0" w:space="0"/>
          <w:left w:val="none" w:color="auto" w:sz="0" w:space="0"/>
          <w:bottom w:val="none" w:color="auto" w:sz="0" w:space="0"/>
          <w:right w:val="none" w:color="auto" w:sz="0" w:space="0"/>
          <w:between w:val="none" w:color="auto" w:sz="0" w:space="0"/>
        </w:pBdr>
        <w:spacing w:line="360" w:lineRule="auto"/>
        <w:ind w:firstLine="470"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（1）投标人应列出该项目工程的施工组织机构构成和画出机构框架图及其负责人；</w:t>
      </w:r>
    </w:p>
    <w:p w14:paraId="0BEBB4DE">
      <w:pPr>
        <w:pBdr>
          <w:top w:val="none" w:color="auto" w:sz="0" w:space="0"/>
          <w:left w:val="none" w:color="auto" w:sz="0" w:space="0"/>
          <w:bottom w:val="none" w:color="auto" w:sz="0" w:space="0"/>
          <w:right w:val="none" w:color="auto" w:sz="0" w:space="0"/>
          <w:between w:val="none" w:color="auto" w:sz="0" w:space="0"/>
        </w:pBdr>
        <w:spacing w:line="360" w:lineRule="auto"/>
        <w:ind w:firstLine="470"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（2）投标人应详细列出该施工组织机构中主要成员的名单、简历资料、职务职称和在本项目中拟担任的职务等资料，并附上有关证明材料扫描件；</w:t>
      </w:r>
    </w:p>
    <w:p w14:paraId="492CA019">
      <w:pPr>
        <w:pBdr>
          <w:top w:val="none" w:color="auto" w:sz="0" w:space="0"/>
          <w:left w:val="none" w:color="auto" w:sz="0" w:space="0"/>
          <w:bottom w:val="none" w:color="auto" w:sz="0" w:space="0"/>
          <w:right w:val="none" w:color="auto" w:sz="0" w:space="0"/>
          <w:between w:val="none" w:color="auto" w:sz="0" w:space="0"/>
        </w:pBdr>
        <w:spacing w:line="360" w:lineRule="auto"/>
        <w:ind w:firstLine="470"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（3）其他辅助说明资料。</w:t>
      </w:r>
    </w:p>
    <w:p w14:paraId="01236BB5">
      <w:pPr>
        <w:pBdr>
          <w:top w:val="none" w:color="auto" w:sz="0" w:space="0"/>
          <w:left w:val="none" w:color="auto" w:sz="0" w:space="0"/>
          <w:bottom w:val="none" w:color="auto" w:sz="0" w:space="0"/>
          <w:right w:val="none" w:color="auto" w:sz="0" w:space="0"/>
          <w:between w:val="none" w:color="auto" w:sz="0" w:space="0"/>
        </w:pBdr>
        <w:spacing w:line="360" w:lineRule="auto"/>
        <w:ind w:firstLine="470"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11.2.4投标人在广州市可使用适合本工程的机械设备（附：机械设备为自有或租赁的说明；及承诺机械设备如属于租赁的，其租赁是不属于重复租赁）。</w:t>
      </w:r>
    </w:p>
    <w:p w14:paraId="73B2D27B">
      <w:pPr>
        <w:pBdr>
          <w:top w:val="none" w:color="auto" w:sz="0" w:space="0"/>
          <w:left w:val="none" w:color="auto" w:sz="0" w:space="0"/>
          <w:bottom w:val="none" w:color="auto" w:sz="0" w:space="0"/>
          <w:right w:val="none" w:color="auto" w:sz="0" w:space="0"/>
          <w:between w:val="none" w:color="auto" w:sz="0" w:space="0"/>
        </w:pBdr>
        <w:spacing w:line="360" w:lineRule="auto"/>
        <w:ind w:firstLine="470"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11.2.5施工组织设计或施工方案。</w:t>
      </w:r>
    </w:p>
    <w:p w14:paraId="3BC54357">
      <w:pPr>
        <w:pBdr>
          <w:top w:val="none" w:color="auto" w:sz="0" w:space="0"/>
          <w:left w:val="none" w:color="auto" w:sz="0" w:space="0"/>
          <w:bottom w:val="none" w:color="auto" w:sz="0" w:space="0"/>
          <w:right w:val="none" w:color="auto" w:sz="0" w:space="0"/>
          <w:between w:val="none" w:color="auto" w:sz="0" w:space="0"/>
        </w:pBdr>
        <w:spacing w:line="360" w:lineRule="auto"/>
        <w:ind w:firstLine="470"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（1）投标人在编制施工组织设计或施工方案时应按照招标人提出的施工现场建筑垃圾源头减量的具体要求以及建筑垃圾综合利用产品的使用要求提供相应措施。</w:t>
      </w:r>
    </w:p>
    <w:p w14:paraId="71670131">
      <w:pPr>
        <w:pBdr>
          <w:top w:val="none" w:color="auto" w:sz="0" w:space="0"/>
          <w:left w:val="none" w:color="auto" w:sz="0" w:space="0"/>
          <w:bottom w:val="none" w:color="auto" w:sz="0" w:space="0"/>
          <w:right w:val="none" w:color="auto" w:sz="0" w:space="0"/>
          <w:between w:val="none" w:color="auto" w:sz="0" w:space="0"/>
        </w:pBdr>
        <w:spacing w:line="360" w:lineRule="auto"/>
        <w:ind w:firstLine="470"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68EBC210">
      <w:pPr>
        <w:pBdr>
          <w:top w:val="none" w:color="auto" w:sz="0" w:space="0"/>
          <w:left w:val="none" w:color="auto" w:sz="0" w:space="0"/>
          <w:bottom w:val="none" w:color="auto" w:sz="0" w:space="0"/>
          <w:right w:val="none" w:color="auto" w:sz="0" w:space="0"/>
          <w:between w:val="none" w:color="auto" w:sz="0" w:space="0"/>
        </w:pBdr>
        <w:spacing w:line="360" w:lineRule="auto"/>
        <w:ind w:firstLine="470" w:firstLineChars="224"/>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11.2.6按照招标文件要求填写的《参与编制技术标投标文件人员名单》</w:t>
      </w:r>
      <w:r>
        <w:rPr>
          <w:rFonts w:hint="eastAsia" w:ascii="宋体" w:hAnsi="宋体" w:eastAsia="宋体" w:cs="宋体"/>
          <w:color w:val="auto"/>
          <w:sz w:val="21"/>
          <w:szCs w:val="21"/>
          <w:highlight w:val="none"/>
        </w:rPr>
        <w:t>。</w:t>
      </w:r>
    </w:p>
    <w:p w14:paraId="24BAC71F">
      <w:pPr>
        <w:pBdr>
          <w:top w:val="none" w:color="auto" w:sz="0" w:space="0"/>
          <w:left w:val="none" w:color="auto" w:sz="0" w:space="0"/>
          <w:bottom w:val="none" w:color="auto" w:sz="0" w:space="0"/>
          <w:right w:val="none" w:color="auto" w:sz="0" w:space="0"/>
          <w:between w:val="none" w:color="auto" w:sz="0" w:space="0"/>
        </w:pBdr>
        <w:spacing w:line="360" w:lineRule="auto"/>
        <w:ind w:firstLine="525" w:firstLineChars="250"/>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bCs/>
          <w:color w:val="auto"/>
          <w:szCs w:val="21"/>
          <w:highlight w:val="none"/>
          <w:u w:val="single"/>
        </w:rPr>
        <w:t>11.2技术标投标文件主要包括下列内容:</w:t>
      </w:r>
    </w:p>
    <w:p w14:paraId="5D9FB378">
      <w:pPr>
        <w:pBdr>
          <w:top w:val="none" w:color="auto" w:sz="0" w:space="0"/>
          <w:left w:val="none" w:color="auto" w:sz="0" w:space="0"/>
          <w:bottom w:val="none" w:color="auto" w:sz="0" w:space="0"/>
          <w:right w:val="none" w:color="auto" w:sz="0" w:space="0"/>
          <w:between w:val="none" w:color="auto" w:sz="0" w:space="0"/>
        </w:pBdr>
        <w:spacing w:line="360" w:lineRule="auto"/>
        <w:ind w:firstLine="525" w:firstLineChars="25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u w:val="single"/>
        </w:rPr>
        <w:t xml:space="preserve">11.2.1 </w:t>
      </w:r>
      <w:bookmarkStart w:id="6" w:name="_Hlk47945758"/>
      <w:r>
        <w:rPr>
          <w:rFonts w:hint="eastAsia" w:ascii="宋体" w:hAnsi="宋体" w:eastAsia="宋体" w:cs="宋体"/>
          <w:bCs/>
          <w:color w:val="auto"/>
          <w:szCs w:val="21"/>
          <w:highlight w:val="none"/>
          <w:u w:val="single"/>
        </w:rPr>
        <w:t>技术标投标文件封面、广州建设工程施工招标投标书(格式按招标文件要求)</w:t>
      </w:r>
      <w:bookmarkEnd w:id="6"/>
      <w:r>
        <w:rPr>
          <w:rFonts w:hint="eastAsia" w:ascii="宋体" w:hAnsi="宋体" w:eastAsia="宋体" w:cs="宋体"/>
          <w:bCs/>
          <w:color w:val="auto"/>
          <w:szCs w:val="21"/>
          <w:highlight w:val="none"/>
          <w:u w:val="single"/>
        </w:rPr>
        <w:t>；</w:t>
      </w:r>
    </w:p>
    <w:p w14:paraId="55B84C08">
      <w:pPr>
        <w:pBdr>
          <w:top w:val="none" w:color="auto" w:sz="0" w:space="0"/>
          <w:left w:val="none" w:color="auto" w:sz="0" w:space="0"/>
          <w:bottom w:val="none" w:color="auto" w:sz="0" w:space="0"/>
          <w:right w:val="none" w:color="auto" w:sz="0" w:space="0"/>
          <w:between w:val="none" w:color="auto" w:sz="0" w:space="0"/>
        </w:pBdr>
        <w:spacing w:line="360" w:lineRule="auto"/>
        <w:ind w:firstLine="525" w:firstLineChars="25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11.2.2 资格审查文件：</w:t>
      </w:r>
    </w:p>
    <w:p w14:paraId="57228F5B">
      <w:pPr>
        <w:pBdr>
          <w:top w:val="none" w:color="auto" w:sz="0" w:space="0"/>
          <w:left w:val="none" w:color="auto" w:sz="0" w:space="0"/>
          <w:bottom w:val="none" w:color="auto" w:sz="0" w:space="0"/>
          <w:right w:val="none" w:color="auto" w:sz="0" w:space="0"/>
          <w:between w:val="none" w:color="auto" w:sz="0" w:space="0"/>
        </w:pBdr>
        <w:spacing w:line="360" w:lineRule="auto"/>
        <w:ind w:firstLine="525" w:firstLineChars="25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（1）投标人声明</w:t>
      </w:r>
      <w:r>
        <w:rPr>
          <w:rFonts w:hint="eastAsia" w:ascii="宋体" w:hAnsi="宋体" w:eastAsia="宋体" w:cs="宋体"/>
          <w:bCs/>
          <w:color w:val="auto"/>
          <w:sz w:val="21"/>
          <w:szCs w:val="21"/>
          <w:highlight w:val="none"/>
          <w:u w:val="single"/>
        </w:rPr>
        <w:t>扫描件（按招标公告附件一的格式及内容提交）</w:t>
      </w:r>
      <w:r>
        <w:rPr>
          <w:rFonts w:hint="eastAsia" w:ascii="宋体" w:hAnsi="宋体" w:eastAsia="宋体" w:cs="宋体"/>
          <w:bCs/>
          <w:color w:val="auto"/>
          <w:szCs w:val="21"/>
          <w:highlight w:val="none"/>
          <w:u w:val="single"/>
        </w:rPr>
        <w:t>；（若为联合体投标，声明企业包含联合体各单位，由联合体牵头单位盖章即可）</w:t>
      </w:r>
    </w:p>
    <w:p w14:paraId="75496125">
      <w:pPr>
        <w:pBdr>
          <w:top w:val="none" w:color="auto" w:sz="0" w:space="0"/>
          <w:left w:val="none" w:color="auto" w:sz="0" w:space="0"/>
          <w:bottom w:val="none" w:color="auto" w:sz="0" w:space="0"/>
          <w:right w:val="none" w:color="auto" w:sz="0" w:space="0"/>
          <w:between w:val="none" w:color="auto" w:sz="0" w:space="0"/>
        </w:pBdr>
        <w:spacing w:line="360" w:lineRule="auto"/>
        <w:ind w:firstLine="525" w:firstLineChars="25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u w:val="single"/>
        </w:rPr>
        <w:t>经投标人盖章的法定代表人证明书、投标人盖章及法定代表人签字或盖章的本投标文件授权委托证明书；（若为联合体投标，由联合体牵头单位盖章即可）</w:t>
      </w:r>
    </w:p>
    <w:p w14:paraId="4AB3F2DC">
      <w:pPr>
        <w:pBdr>
          <w:top w:val="none" w:color="auto" w:sz="0" w:space="0"/>
          <w:left w:val="none" w:color="auto" w:sz="0" w:space="0"/>
          <w:bottom w:val="none" w:color="auto" w:sz="0" w:space="0"/>
          <w:right w:val="none" w:color="auto" w:sz="0" w:space="0"/>
          <w:between w:val="none" w:color="auto" w:sz="0" w:space="0"/>
        </w:pBdr>
        <w:spacing w:line="360" w:lineRule="auto"/>
        <w:ind w:firstLine="525" w:firstLineChars="25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（3）企业营业执照扫描件或电子证照；</w:t>
      </w:r>
      <w:r>
        <w:rPr>
          <w:rFonts w:hint="eastAsia" w:ascii="宋体" w:hAnsi="宋体" w:eastAsia="宋体" w:cs="宋体"/>
          <w:bCs/>
          <w:color w:val="auto"/>
          <w:szCs w:val="21"/>
          <w:highlight w:val="none"/>
          <w:u w:val="single"/>
        </w:rPr>
        <w:t>（若为联合体，指联合体各方）</w:t>
      </w:r>
    </w:p>
    <w:p w14:paraId="05760C72">
      <w:pPr>
        <w:pBdr>
          <w:top w:val="none" w:color="auto" w:sz="0" w:space="0"/>
          <w:left w:val="none" w:color="auto" w:sz="0" w:space="0"/>
          <w:bottom w:val="none" w:color="auto" w:sz="0" w:space="0"/>
          <w:right w:val="none" w:color="auto" w:sz="0" w:space="0"/>
          <w:between w:val="none" w:color="auto" w:sz="0" w:space="0"/>
        </w:pBdr>
        <w:spacing w:line="360" w:lineRule="auto"/>
        <w:ind w:firstLine="525" w:firstLineChars="25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（4）企业资质证书扫描件或电子证照；</w:t>
      </w:r>
      <w:r>
        <w:rPr>
          <w:rFonts w:hint="eastAsia" w:ascii="宋体" w:hAnsi="宋体" w:eastAsia="宋体" w:cs="宋体"/>
          <w:bCs/>
          <w:color w:val="auto"/>
          <w:szCs w:val="21"/>
          <w:highlight w:val="none"/>
          <w:u w:val="single"/>
        </w:rPr>
        <w:t>（若为联合体，指联合体各方）</w:t>
      </w:r>
    </w:p>
    <w:p w14:paraId="7EFD83CC">
      <w:pPr>
        <w:pBdr>
          <w:top w:val="none" w:color="auto" w:sz="0" w:space="0"/>
          <w:left w:val="none" w:color="auto" w:sz="0" w:space="0"/>
          <w:bottom w:val="none" w:color="auto" w:sz="0" w:space="0"/>
          <w:right w:val="none" w:color="auto" w:sz="0" w:space="0"/>
          <w:between w:val="none" w:color="auto" w:sz="0" w:space="0"/>
        </w:pBdr>
        <w:spacing w:line="360" w:lineRule="auto"/>
        <w:ind w:firstLine="525" w:firstLineChars="25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（5）建筑施工企业安全生产许可证扫描件或电子证照；</w:t>
      </w:r>
      <w:r>
        <w:rPr>
          <w:rFonts w:hint="eastAsia" w:ascii="宋体" w:hAnsi="宋体" w:eastAsia="宋体" w:cs="宋体"/>
          <w:bCs/>
          <w:color w:val="auto"/>
          <w:szCs w:val="21"/>
          <w:highlight w:val="none"/>
          <w:u w:val="single"/>
        </w:rPr>
        <w:t>（若为联合体，指联合体各方）</w:t>
      </w:r>
    </w:p>
    <w:p w14:paraId="44E12B9F">
      <w:pPr>
        <w:pBdr>
          <w:top w:val="none" w:color="auto" w:sz="0" w:space="0"/>
          <w:left w:val="none" w:color="auto" w:sz="0" w:space="0"/>
          <w:bottom w:val="none" w:color="auto" w:sz="0" w:space="0"/>
          <w:right w:val="none" w:color="auto" w:sz="0" w:space="0"/>
          <w:between w:val="none" w:color="auto" w:sz="0" w:space="0"/>
        </w:pBdr>
        <w:spacing w:line="360" w:lineRule="auto"/>
        <w:ind w:firstLine="525" w:firstLineChars="25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（6）项目负责人（按网上投标登记时选择拟投标的项目负责人）</w:t>
      </w:r>
      <w:r>
        <w:rPr>
          <w:rFonts w:hint="eastAsia" w:ascii="宋体" w:hAnsi="宋体" w:eastAsia="宋体" w:cs="宋体"/>
          <w:bCs/>
          <w:color w:val="auto"/>
          <w:szCs w:val="21"/>
          <w:highlight w:val="none"/>
          <w:u w:val="single"/>
        </w:rPr>
        <w:t>（若为联合体，指联合体牵头方）</w:t>
      </w:r>
    </w:p>
    <w:p w14:paraId="669D052F">
      <w:pPr>
        <w:pBdr>
          <w:top w:val="none" w:color="auto" w:sz="0" w:space="0"/>
          <w:left w:val="none" w:color="auto" w:sz="0" w:space="0"/>
          <w:bottom w:val="none" w:color="auto" w:sz="0" w:space="0"/>
          <w:right w:val="none" w:color="auto" w:sz="0" w:space="0"/>
          <w:between w:val="none" w:color="auto" w:sz="0" w:space="0"/>
        </w:pBdr>
        <w:spacing w:line="360" w:lineRule="auto"/>
        <w:ind w:firstLine="525" w:firstLineChars="25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（7）专职安全员（按网上投标登记时选择拟投标的专职安全员）</w:t>
      </w:r>
      <w:r>
        <w:rPr>
          <w:rFonts w:hint="eastAsia" w:ascii="宋体" w:hAnsi="宋体" w:eastAsia="宋体" w:cs="宋体"/>
          <w:bCs/>
          <w:color w:val="auto"/>
          <w:szCs w:val="21"/>
          <w:highlight w:val="none"/>
          <w:u w:val="single"/>
        </w:rPr>
        <w:t>（若为联合体，指联合体牵头方）</w:t>
      </w:r>
    </w:p>
    <w:p w14:paraId="6648F10F">
      <w:pPr>
        <w:pBdr>
          <w:top w:val="none" w:color="auto" w:sz="0" w:space="0"/>
          <w:left w:val="none" w:color="auto" w:sz="0" w:space="0"/>
          <w:bottom w:val="none" w:color="auto" w:sz="0" w:space="0"/>
          <w:right w:val="none" w:color="auto" w:sz="0" w:space="0"/>
          <w:between w:val="none" w:color="auto" w:sz="0" w:space="0"/>
        </w:pBdr>
        <w:spacing w:line="360" w:lineRule="auto"/>
        <w:ind w:firstLine="525" w:firstLineChars="25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（8）拟委托技术负责人的</w:t>
      </w:r>
      <w:r>
        <w:rPr>
          <w:rFonts w:hint="eastAsia" w:ascii="宋体" w:hAnsi="宋体" w:eastAsia="宋体" w:cs="宋体"/>
          <w:bCs/>
          <w:color w:val="auto"/>
          <w:sz w:val="21"/>
          <w:szCs w:val="21"/>
          <w:highlight w:val="none"/>
          <w:u w:val="single"/>
        </w:rPr>
        <w:t>职称证书扫描件或电子证照</w:t>
      </w:r>
      <w:r>
        <w:rPr>
          <w:rFonts w:hint="eastAsia" w:ascii="宋体" w:hAnsi="宋体" w:eastAsia="宋体" w:cs="宋体"/>
          <w:bCs/>
          <w:color w:val="auto"/>
          <w:szCs w:val="21"/>
          <w:highlight w:val="none"/>
          <w:u w:val="single"/>
        </w:rPr>
        <w:t>；（若为联合体，指联合体牵头方）</w:t>
      </w:r>
    </w:p>
    <w:p w14:paraId="5B77D868">
      <w:pPr>
        <w:pBdr>
          <w:top w:val="none" w:color="auto" w:sz="0" w:space="0"/>
          <w:left w:val="none" w:color="auto" w:sz="0" w:space="0"/>
          <w:bottom w:val="none" w:color="auto" w:sz="0" w:space="0"/>
          <w:right w:val="none" w:color="auto" w:sz="0" w:space="0"/>
          <w:between w:val="none" w:color="auto" w:sz="0" w:space="0"/>
        </w:pBdr>
        <w:spacing w:line="360" w:lineRule="auto"/>
        <w:ind w:firstLine="525" w:firstLineChars="25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（9）</w:t>
      </w:r>
      <w:bookmarkStart w:id="7" w:name="_Hlk127870179"/>
      <w:r>
        <w:rPr>
          <w:rFonts w:hint="eastAsia" w:ascii="宋体" w:hAnsi="宋体" w:eastAsia="宋体" w:cs="宋体"/>
          <w:bCs/>
          <w:color w:val="auto"/>
          <w:szCs w:val="21"/>
          <w:highlight w:val="none"/>
        </w:rPr>
        <w:t>拟委派项目负责人的建造师注册证书</w:t>
      </w:r>
      <w:bookmarkEnd w:id="7"/>
      <w:r>
        <w:rPr>
          <w:rFonts w:hint="eastAsia" w:ascii="宋体" w:hAnsi="宋体" w:eastAsia="宋体" w:cs="宋体"/>
          <w:bCs/>
          <w:color w:val="auto"/>
          <w:szCs w:val="21"/>
          <w:highlight w:val="none"/>
        </w:rPr>
        <w:t>扫描件或电子证照；</w:t>
      </w:r>
      <w:r>
        <w:rPr>
          <w:rFonts w:hint="eastAsia" w:ascii="宋体" w:hAnsi="宋体" w:eastAsia="宋体" w:cs="宋体"/>
          <w:bCs/>
          <w:color w:val="auto"/>
          <w:szCs w:val="21"/>
          <w:highlight w:val="none"/>
          <w:u w:val="single"/>
        </w:rPr>
        <w:t>（若为联合体，指联合体牵头方）</w:t>
      </w:r>
      <w:r>
        <w:rPr>
          <w:rFonts w:hint="eastAsia" w:ascii="宋体" w:hAnsi="宋体" w:eastAsia="宋体" w:cs="宋体"/>
          <w:bCs/>
          <w:color w:val="auto"/>
          <w:szCs w:val="21"/>
          <w:highlight w:val="none"/>
        </w:rPr>
        <w:t xml:space="preserve"> </w:t>
      </w:r>
    </w:p>
    <w:p w14:paraId="47DF8DDB">
      <w:pPr>
        <w:pBdr>
          <w:top w:val="none" w:color="auto" w:sz="0" w:space="0"/>
          <w:left w:val="none" w:color="auto" w:sz="0" w:space="0"/>
          <w:bottom w:val="none" w:color="auto" w:sz="0" w:space="0"/>
          <w:right w:val="none" w:color="auto" w:sz="0" w:space="0"/>
          <w:between w:val="none" w:color="auto" w:sz="0" w:space="0"/>
        </w:pBdr>
        <w:spacing w:line="360" w:lineRule="auto"/>
        <w:ind w:firstLine="525" w:firstLineChars="25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（10）项目负责人安全生产考核合格证明或在有效期内的安全</w:t>
      </w:r>
      <w:r>
        <w:rPr>
          <w:rFonts w:hint="eastAsia" w:ascii="宋体" w:hAnsi="宋体" w:eastAsia="宋体" w:cs="宋体"/>
          <w:bCs/>
          <w:color w:val="auto"/>
          <w:szCs w:val="21"/>
          <w:highlight w:val="none"/>
          <w:u w:val="none"/>
        </w:rPr>
        <w:t>生产</w:t>
      </w:r>
      <w:r>
        <w:rPr>
          <w:rFonts w:hint="eastAsia" w:ascii="宋体" w:hAnsi="宋体" w:eastAsia="宋体" w:cs="宋体"/>
          <w:bCs/>
          <w:color w:val="auto"/>
          <w:szCs w:val="21"/>
          <w:highlight w:val="none"/>
        </w:rPr>
        <w:t>考核合格证书（B类）或建筑施工企业项目负责人安全生产考核合格证书扫描件或电子证照；</w:t>
      </w:r>
      <w:r>
        <w:rPr>
          <w:rFonts w:hint="eastAsia" w:ascii="宋体" w:hAnsi="宋体" w:eastAsia="宋体" w:cs="宋体"/>
          <w:bCs/>
          <w:color w:val="auto"/>
          <w:szCs w:val="21"/>
          <w:highlight w:val="none"/>
          <w:u w:val="single"/>
        </w:rPr>
        <w:t xml:space="preserve">（若为联合体，指联合体牵头方） </w:t>
      </w:r>
    </w:p>
    <w:p w14:paraId="2F4483DD">
      <w:pPr>
        <w:pBdr>
          <w:top w:val="none" w:color="auto" w:sz="0" w:space="0"/>
          <w:left w:val="none" w:color="auto" w:sz="0" w:space="0"/>
          <w:bottom w:val="none" w:color="auto" w:sz="0" w:space="0"/>
          <w:right w:val="none" w:color="auto" w:sz="0" w:space="0"/>
          <w:between w:val="none" w:color="auto" w:sz="0" w:space="0"/>
        </w:pBdr>
        <w:spacing w:line="360" w:lineRule="auto"/>
        <w:ind w:firstLine="525" w:firstLineChars="25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（11）专职安全员须具有在有效期内的安全生产考核合格证书（C类）或建筑施工企业专职安全生产管理人员安全生产考核合格证书</w:t>
      </w:r>
      <w:r>
        <w:rPr>
          <w:rFonts w:hint="eastAsia" w:ascii="宋体" w:hAnsi="宋体" w:eastAsia="宋体" w:cs="宋体"/>
          <w:bCs/>
          <w:color w:val="auto"/>
          <w:szCs w:val="21"/>
          <w:highlight w:val="none"/>
          <w:u w:val="single"/>
        </w:rPr>
        <w:t>（C3）</w:t>
      </w:r>
      <w:r>
        <w:rPr>
          <w:rFonts w:hint="eastAsia" w:ascii="宋体" w:hAnsi="宋体" w:eastAsia="宋体" w:cs="宋体"/>
          <w:bCs/>
          <w:color w:val="auto"/>
          <w:szCs w:val="21"/>
          <w:highlight w:val="none"/>
        </w:rPr>
        <w:t>扫描件或电子证照；</w:t>
      </w:r>
      <w:r>
        <w:rPr>
          <w:rFonts w:hint="eastAsia" w:ascii="宋体" w:hAnsi="宋体" w:eastAsia="宋体" w:cs="宋体"/>
          <w:bCs/>
          <w:color w:val="auto"/>
          <w:szCs w:val="21"/>
          <w:highlight w:val="none"/>
          <w:u w:val="single"/>
        </w:rPr>
        <w:t>（若为联合体，指联合体牵头方）</w:t>
      </w:r>
      <w:r>
        <w:rPr>
          <w:rFonts w:hint="eastAsia" w:ascii="宋体" w:hAnsi="宋体" w:eastAsia="宋体" w:cs="宋体"/>
          <w:bCs/>
          <w:color w:val="auto"/>
          <w:szCs w:val="21"/>
          <w:highlight w:val="none"/>
        </w:rPr>
        <w:t xml:space="preserve"> </w:t>
      </w:r>
    </w:p>
    <w:p w14:paraId="225B0D20">
      <w:pPr>
        <w:pBdr>
          <w:top w:val="none" w:color="auto" w:sz="0" w:space="0"/>
          <w:left w:val="none" w:color="auto" w:sz="0" w:space="0"/>
          <w:bottom w:val="none" w:color="auto" w:sz="0" w:space="1"/>
          <w:right w:val="none" w:color="auto" w:sz="0" w:space="0"/>
          <w:between w:val="none" w:color="auto" w:sz="0" w:space="0"/>
        </w:pBdr>
        <w:spacing w:line="360" w:lineRule="auto"/>
        <w:ind w:firstLine="525" w:firstLineChars="25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u w:val="single"/>
        </w:rPr>
        <w:t>（1</w:t>
      </w:r>
      <w:r>
        <w:rPr>
          <w:rFonts w:hint="eastAsia" w:ascii="宋体" w:hAnsi="宋体" w:eastAsia="宋体" w:cs="宋体"/>
          <w:bCs/>
          <w:color w:val="auto"/>
          <w:szCs w:val="21"/>
          <w:highlight w:val="none"/>
          <w:u w:val="single"/>
          <w:lang w:val="en-US" w:eastAsia="zh-CN"/>
        </w:rPr>
        <w:t>2</w:t>
      </w:r>
      <w:r>
        <w:rPr>
          <w:rFonts w:hint="eastAsia" w:ascii="宋体" w:hAnsi="宋体" w:eastAsia="宋体" w:cs="宋体"/>
          <w:bCs/>
          <w:color w:val="auto"/>
          <w:szCs w:val="21"/>
          <w:highlight w:val="none"/>
          <w:u w:val="single"/>
        </w:rPr>
        <w:t>）列明</w:t>
      </w:r>
      <w:r>
        <w:rPr>
          <w:rFonts w:hint="eastAsia" w:ascii="宋体" w:hAnsi="宋体" w:eastAsia="宋体" w:cs="宋体"/>
          <w:bCs/>
          <w:color w:val="auto"/>
          <w:szCs w:val="21"/>
          <w:highlight w:val="none"/>
          <w:u w:val="single"/>
          <w:lang w:val="en-US" w:eastAsia="zh-CN"/>
        </w:rPr>
        <w:t>牵头</w:t>
      </w:r>
      <w:r>
        <w:rPr>
          <w:rFonts w:hint="eastAsia" w:ascii="宋体" w:hAnsi="宋体" w:eastAsia="宋体" w:cs="宋体"/>
          <w:bCs/>
          <w:color w:val="auto"/>
          <w:szCs w:val="21"/>
          <w:highlight w:val="none"/>
          <w:u w:val="single"/>
        </w:rPr>
        <w:t>单位的联合体投标协议书（采用联合体投标时需递交，格式按招标公告附件</w:t>
      </w:r>
      <w:r>
        <w:rPr>
          <w:rFonts w:hint="eastAsia" w:ascii="宋体" w:hAnsi="宋体" w:eastAsia="宋体" w:cs="宋体"/>
          <w:bCs/>
          <w:color w:val="auto"/>
          <w:szCs w:val="21"/>
          <w:highlight w:val="none"/>
          <w:u w:val="single"/>
          <w:lang w:val="en-US" w:eastAsia="zh-CN"/>
        </w:rPr>
        <w:t>三</w:t>
      </w:r>
      <w:r>
        <w:rPr>
          <w:rFonts w:hint="eastAsia" w:ascii="宋体" w:hAnsi="宋体" w:eastAsia="宋体" w:cs="宋体"/>
          <w:bCs/>
          <w:color w:val="auto"/>
          <w:szCs w:val="21"/>
          <w:highlight w:val="none"/>
          <w:u w:val="single"/>
        </w:rPr>
        <w:t>。联合体投标协议书应明确约定各方拟承担的工作和责任）；</w:t>
      </w:r>
    </w:p>
    <w:p w14:paraId="70AFFE45">
      <w:pPr>
        <w:pBdr>
          <w:top w:val="none" w:color="auto" w:sz="0" w:space="0"/>
          <w:left w:val="none" w:color="auto" w:sz="0" w:space="0"/>
          <w:bottom w:val="none" w:color="auto" w:sz="0" w:space="1"/>
          <w:right w:val="none" w:color="auto" w:sz="0" w:space="0"/>
          <w:between w:val="none" w:color="auto" w:sz="0" w:space="0"/>
        </w:pBdr>
        <w:spacing w:line="360" w:lineRule="auto"/>
        <w:ind w:firstLine="525" w:firstLineChars="25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u w:val="single"/>
        </w:rPr>
        <w:t>（1</w:t>
      </w:r>
      <w:r>
        <w:rPr>
          <w:rFonts w:hint="eastAsia" w:ascii="宋体" w:hAnsi="宋体" w:eastAsia="宋体" w:cs="宋体"/>
          <w:bCs/>
          <w:color w:val="auto"/>
          <w:szCs w:val="21"/>
          <w:highlight w:val="none"/>
          <w:u w:val="single"/>
          <w:lang w:val="en-US" w:eastAsia="zh-CN"/>
        </w:rPr>
        <w:t>3</w:t>
      </w:r>
      <w:r>
        <w:rPr>
          <w:rFonts w:hint="eastAsia" w:ascii="宋体" w:hAnsi="宋体" w:eastAsia="宋体" w:cs="宋体"/>
          <w:bCs/>
          <w:color w:val="auto"/>
          <w:szCs w:val="21"/>
          <w:highlight w:val="none"/>
          <w:u w:val="single"/>
        </w:rPr>
        <w:t>）资格审查前，投标人须在广州市住房和城乡建设局建立企业信用档案，拟担任本工程项目负责人、专职安全员须是本企业信用档案中的在册人员。（若为联合体，指联合体各方</w:t>
      </w:r>
      <w:r>
        <w:rPr>
          <w:rFonts w:hint="eastAsia" w:ascii="宋体" w:hAnsi="宋体" w:eastAsia="宋体" w:cs="宋体"/>
          <w:bCs/>
          <w:color w:val="auto"/>
          <w:szCs w:val="21"/>
          <w:highlight w:val="none"/>
          <w:u w:val="single"/>
          <w:lang w:eastAsia="zh-CN"/>
        </w:rPr>
        <w:t>，</w:t>
      </w:r>
      <w:r>
        <w:rPr>
          <w:rFonts w:hint="eastAsia" w:ascii="宋体" w:hAnsi="宋体" w:eastAsia="宋体" w:cs="宋体"/>
          <w:bCs/>
          <w:color w:val="auto"/>
          <w:szCs w:val="21"/>
          <w:highlight w:val="none"/>
          <w:u w:val="single"/>
          <w:lang w:val="zh-CN" w:eastAsia="zh-CN"/>
        </w:rPr>
        <w:t>信用档案和人员在册情况以联合体共同投标协议书分工为准</w:t>
      </w:r>
      <w:r>
        <w:rPr>
          <w:rFonts w:hint="eastAsia" w:ascii="宋体" w:hAnsi="宋体" w:eastAsia="宋体" w:cs="宋体"/>
          <w:bCs/>
          <w:color w:val="auto"/>
          <w:szCs w:val="21"/>
          <w:highlight w:val="none"/>
          <w:u w:val="single"/>
        </w:rPr>
        <w:t>）</w:t>
      </w:r>
    </w:p>
    <w:p w14:paraId="5579D131">
      <w:pPr>
        <w:shd w:val="clear" w:color="auto" w:fill="auto"/>
        <w:spacing w:line="360" w:lineRule="auto"/>
        <w:ind w:firstLine="470" w:firstLineChars="224"/>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u w:val="single"/>
          <w:lang w:eastAsia="zh-CN"/>
        </w:rPr>
        <w:t>（</w:t>
      </w:r>
      <w:r>
        <w:rPr>
          <w:rFonts w:hint="eastAsia" w:ascii="宋体" w:hAnsi="宋体" w:eastAsia="宋体" w:cs="宋体"/>
          <w:bCs/>
          <w:color w:val="auto"/>
          <w:sz w:val="21"/>
          <w:szCs w:val="21"/>
          <w:highlight w:val="none"/>
          <w:u w:val="single"/>
          <w:lang w:val="en-US" w:eastAsia="zh-CN"/>
        </w:rPr>
        <w:t>14</w:t>
      </w:r>
      <w:r>
        <w:rPr>
          <w:rFonts w:hint="eastAsia" w:ascii="宋体" w:hAnsi="宋体" w:eastAsia="宋体" w:cs="宋体"/>
          <w:bCs/>
          <w:color w:val="auto"/>
          <w:sz w:val="21"/>
          <w:szCs w:val="21"/>
          <w:highlight w:val="none"/>
          <w:u w:val="single"/>
          <w:lang w:eastAsia="zh-CN"/>
        </w:rPr>
        <w:t>）</w:t>
      </w:r>
      <w:r>
        <w:rPr>
          <w:rFonts w:hint="eastAsia" w:ascii="宋体" w:hAnsi="宋体" w:eastAsia="宋体" w:cs="宋体"/>
          <w:bCs/>
          <w:color w:val="auto"/>
          <w:sz w:val="21"/>
          <w:szCs w:val="21"/>
          <w:highlight w:val="none"/>
          <w:u w:val="single"/>
        </w:rPr>
        <w:t>投标人未出现以下情形：与其它投标人的单位负责人为同一人或者存在控股、管理关系的（按投标人提供的《投标人声明》第九条内容进行评审）。如不同投标人出现单位负责人为同一人或者存在控股、管理关系的情形，则相关投标均无效。（若为联合体，指联合体各方）</w:t>
      </w:r>
    </w:p>
    <w:p w14:paraId="3524D76F">
      <w:pPr>
        <w:shd w:val="clear" w:color="auto" w:fill="auto"/>
        <w:spacing w:line="360" w:lineRule="auto"/>
        <w:ind w:firstLine="470" w:firstLineChars="224"/>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15</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投标人未被列入拖欠农民工工资失信联合惩戒对象名单</w:t>
      </w:r>
      <w:r>
        <w:rPr>
          <w:rFonts w:hint="eastAsia" w:ascii="宋体" w:hAnsi="宋体" w:eastAsia="宋体" w:cs="宋体"/>
          <w:color w:val="auto"/>
          <w:sz w:val="21"/>
          <w:szCs w:val="21"/>
          <w:highlight w:val="none"/>
          <w:u w:val="none"/>
        </w:rPr>
        <w:t>（投标人无需提供资料，按投标截止时间交易系统比对的结果进行评审）。</w:t>
      </w:r>
      <w:r>
        <w:rPr>
          <w:rFonts w:hint="eastAsia" w:ascii="宋体" w:hAnsi="宋体" w:eastAsia="宋体" w:cs="宋体"/>
          <w:color w:val="auto"/>
          <w:sz w:val="21"/>
          <w:szCs w:val="21"/>
          <w:highlight w:val="none"/>
          <w:u w:val="single"/>
        </w:rPr>
        <w:t>（若为联合体，指联合体各方）</w:t>
      </w:r>
    </w:p>
    <w:p w14:paraId="2C7268B0">
      <w:pPr>
        <w:pStyle w:val="153"/>
        <w:pBdr>
          <w:top w:val="none" w:color="auto" w:sz="0" w:space="0"/>
          <w:left w:val="none" w:color="auto" w:sz="0" w:space="0"/>
          <w:bottom w:val="none" w:color="auto" w:sz="0" w:space="0"/>
          <w:right w:val="none" w:color="auto" w:sz="0" w:space="0"/>
          <w:between w:val="none" w:color="auto" w:sz="0" w:space="0"/>
        </w:pBdr>
        <w:shd w:val="clear" w:color="auto" w:fill="auto"/>
        <w:spacing w:line="40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w:t>
      </w:r>
      <w:bookmarkStart w:id="8" w:name="OLE_LINK7"/>
      <w:r>
        <w:rPr>
          <w:rFonts w:hint="eastAsia" w:ascii="宋体" w:hAnsi="宋体" w:eastAsia="宋体" w:cs="宋体"/>
          <w:bCs/>
          <w:color w:val="auto"/>
          <w:sz w:val="21"/>
          <w:szCs w:val="21"/>
          <w:highlight w:val="none"/>
        </w:rPr>
        <w:t>投标人认为应提供的其他资料</w:t>
      </w:r>
      <w:bookmarkEnd w:id="8"/>
      <w:r>
        <w:rPr>
          <w:rFonts w:hint="eastAsia" w:ascii="宋体" w:hAnsi="宋体" w:eastAsia="宋体" w:cs="宋体"/>
          <w:bCs/>
          <w:color w:val="auto"/>
          <w:sz w:val="21"/>
          <w:szCs w:val="21"/>
          <w:highlight w:val="none"/>
        </w:rPr>
        <w:t>。</w:t>
      </w:r>
    </w:p>
    <w:p w14:paraId="273EF92A">
      <w:pPr>
        <w:pBdr>
          <w:bottom w:val="single" w:color="auto" w:sz="6" w:space="1"/>
        </w:pBdr>
        <w:spacing w:line="360" w:lineRule="auto"/>
        <w:ind w:firstLine="525" w:firstLineChars="25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注：1.相关电子证书按规定需打印后手写本人签名的，应按照规定手写本人签名后再扫描提交。</w:t>
      </w:r>
    </w:p>
    <w:p w14:paraId="6A3846F6">
      <w:pPr>
        <w:pBdr>
          <w:bottom w:val="single" w:color="auto" w:sz="6" w:space="1"/>
        </w:pBdr>
        <w:spacing w:line="360" w:lineRule="auto"/>
        <w:ind w:firstLine="525" w:firstLineChars="25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67F73035">
      <w:pPr>
        <w:pBdr>
          <w:bottom w:val="single" w:color="auto" w:sz="6" w:space="1"/>
        </w:pBdr>
        <w:spacing w:line="360" w:lineRule="auto"/>
        <w:ind w:firstLine="525" w:firstLineChars="25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u w:val="single"/>
        </w:rPr>
        <w:t>11.2.3 技术评审资料；</w:t>
      </w:r>
    </w:p>
    <w:p w14:paraId="4F34E05E">
      <w:pPr>
        <w:pBdr>
          <w:bottom w:val="single" w:color="auto" w:sz="6" w:space="1"/>
        </w:pBdr>
        <w:spacing w:line="360" w:lineRule="auto"/>
        <w:ind w:firstLine="525" w:firstLineChars="25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u w:val="single"/>
        </w:rPr>
        <w:t>11.2.4 人员投入承诺书(格式按招标文件要求)；</w:t>
      </w:r>
    </w:p>
    <w:p w14:paraId="6AF45EAE">
      <w:pPr>
        <w:pBdr>
          <w:bottom w:val="single" w:color="auto" w:sz="6" w:space="1"/>
        </w:pBdr>
        <w:spacing w:line="360" w:lineRule="auto"/>
        <w:ind w:firstLine="525" w:firstLineChars="25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u w:val="single"/>
        </w:rPr>
        <w:t>11.2.5 投标人廉洁承诺书(格式按招标文件要求)；</w:t>
      </w:r>
    </w:p>
    <w:p w14:paraId="369EB03D">
      <w:pPr>
        <w:pBdr>
          <w:bottom w:val="single" w:color="auto" w:sz="6" w:space="1"/>
        </w:pBdr>
        <w:spacing w:line="360" w:lineRule="auto"/>
        <w:ind w:firstLine="525" w:firstLineChars="25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u w:val="single"/>
        </w:rPr>
        <w:t>11.2.6 承诺书(格式按招标文件要求)；</w:t>
      </w:r>
    </w:p>
    <w:p w14:paraId="258FB3B0">
      <w:pPr>
        <w:pBdr>
          <w:bottom w:val="single" w:color="auto" w:sz="6" w:space="1"/>
        </w:pBdr>
        <w:spacing w:line="360" w:lineRule="auto"/>
        <w:ind w:firstLine="525" w:firstLineChars="25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u w:val="single"/>
        </w:rPr>
        <w:t>11.2.7 投标函(格式按招标文件要求)；</w:t>
      </w:r>
    </w:p>
    <w:p w14:paraId="4B52DB00">
      <w:pPr>
        <w:pBdr>
          <w:bottom w:val="single" w:color="auto" w:sz="6" w:space="1"/>
        </w:pBdr>
        <w:spacing w:line="360" w:lineRule="auto"/>
        <w:ind w:firstLine="525" w:firstLineChars="25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u w:val="single"/>
        </w:rPr>
        <w:t>11.2.8 施工项目管理团队人员信息表(格式按招标文件要求)；</w:t>
      </w:r>
    </w:p>
    <w:p w14:paraId="67F8ADCF">
      <w:pPr>
        <w:pBdr>
          <w:bottom w:val="single" w:color="auto" w:sz="6" w:space="1"/>
        </w:pBdr>
        <w:spacing w:line="360" w:lineRule="auto"/>
        <w:ind w:firstLine="525" w:firstLineChars="25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u w:val="single"/>
          <w:lang w:val="en-US" w:eastAsia="zh-CN"/>
        </w:rPr>
        <w:t>11.2.9</w:t>
      </w:r>
      <w:r>
        <w:rPr>
          <w:rFonts w:hint="eastAsia" w:ascii="宋体" w:hAnsi="宋体" w:eastAsia="宋体" w:cs="宋体"/>
          <w:bCs/>
          <w:color w:val="auto"/>
          <w:szCs w:val="21"/>
          <w:highlight w:val="none"/>
          <w:u w:val="single"/>
        </w:rPr>
        <w:t>危险性较大的分部分项工程安全管理措施(格式按招标文件要求)</w:t>
      </w:r>
      <w:r>
        <w:rPr>
          <w:rFonts w:hint="eastAsia" w:ascii="宋体" w:hAnsi="宋体" w:eastAsia="宋体" w:cs="宋体"/>
          <w:bCs/>
          <w:color w:val="auto"/>
          <w:szCs w:val="21"/>
          <w:highlight w:val="none"/>
          <w:u w:val="single"/>
          <w:lang w:eastAsia="zh-CN"/>
        </w:rPr>
        <w:t>；</w:t>
      </w:r>
    </w:p>
    <w:p w14:paraId="7A3F67D9">
      <w:pPr>
        <w:pBdr>
          <w:bottom w:val="single" w:color="auto" w:sz="6" w:space="1"/>
        </w:pBdr>
        <w:spacing w:line="360" w:lineRule="auto"/>
        <w:ind w:firstLine="525" w:firstLineChars="25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u w:val="single"/>
        </w:rPr>
        <w:t>11.2.</w:t>
      </w:r>
      <w:r>
        <w:rPr>
          <w:rFonts w:hint="eastAsia" w:ascii="宋体" w:hAnsi="宋体" w:eastAsia="宋体" w:cs="宋体"/>
          <w:bCs/>
          <w:color w:val="auto"/>
          <w:szCs w:val="21"/>
          <w:highlight w:val="none"/>
          <w:u w:val="single"/>
          <w:lang w:val="en-US" w:eastAsia="zh-CN"/>
        </w:rPr>
        <w:t>10</w:t>
      </w:r>
      <w:r>
        <w:rPr>
          <w:rFonts w:hint="eastAsia" w:ascii="宋体" w:hAnsi="宋体" w:eastAsia="宋体" w:cs="宋体"/>
          <w:bCs/>
          <w:color w:val="auto"/>
          <w:szCs w:val="21"/>
          <w:highlight w:val="none"/>
          <w:u w:val="single"/>
        </w:rPr>
        <w:t xml:space="preserve"> 按照招标文件要求填写的《参与编制技术标投标文件人员名单》；</w:t>
      </w:r>
    </w:p>
    <w:p w14:paraId="3EF7FC51">
      <w:pPr>
        <w:pBdr>
          <w:bottom w:val="single" w:color="auto" w:sz="6" w:space="1"/>
        </w:pBdr>
        <w:spacing w:line="360" w:lineRule="auto"/>
        <w:ind w:firstLine="525" w:firstLineChars="250"/>
        <w:rPr>
          <w:rFonts w:hint="eastAsia" w:ascii="宋体" w:hAnsi="宋体" w:eastAsia="宋体" w:cs="宋体"/>
          <w:bCs/>
          <w:color w:val="auto"/>
          <w:szCs w:val="21"/>
          <w:highlight w:val="none"/>
          <w:u w:val="single"/>
          <w:lang w:val="en-US" w:eastAsia="zh-CN"/>
        </w:rPr>
      </w:pPr>
      <w:r>
        <w:rPr>
          <w:rFonts w:hint="eastAsia" w:ascii="宋体" w:hAnsi="宋体" w:eastAsia="宋体" w:cs="宋体"/>
          <w:bCs/>
          <w:color w:val="auto"/>
          <w:szCs w:val="21"/>
          <w:highlight w:val="none"/>
          <w:u w:val="single"/>
          <w:lang w:val="en-US" w:eastAsia="zh-CN"/>
        </w:rPr>
        <w:t>11.2.11施工组织设计；</w:t>
      </w:r>
    </w:p>
    <w:p w14:paraId="40C55E51">
      <w:pPr>
        <w:pBdr>
          <w:bottom w:val="single" w:color="auto" w:sz="6" w:space="1"/>
        </w:pBdr>
        <w:spacing w:line="360" w:lineRule="auto"/>
        <w:ind w:firstLine="525" w:firstLineChars="25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u w:val="single"/>
          <w:lang w:val="en-US" w:eastAsia="zh-CN"/>
        </w:rPr>
        <w:t>注：</w:t>
      </w:r>
      <w:r>
        <w:rPr>
          <w:rFonts w:hint="eastAsia" w:ascii="宋体" w:hAnsi="宋体" w:eastAsia="宋体" w:cs="宋体"/>
          <w:bCs/>
          <w:color w:val="auto"/>
          <w:szCs w:val="21"/>
          <w:highlight w:val="none"/>
          <w:u w:val="single"/>
        </w:rPr>
        <w:t>（1）投标人在编制施工组织设计时应按照招标人提出的施工现场建筑垃圾源头减量的具体要求以及建筑垃圾综合利用产品的使用要求提供相应措施。</w:t>
      </w:r>
    </w:p>
    <w:p w14:paraId="27B36666">
      <w:pPr>
        <w:pBdr>
          <w:bottom w:val="single" w:color="auto" w:sz="6" w:space="1"/>
        </w:pBdr>
        <w:spacing w:line="360" w:lineRule="auto"/>
        <w:ind w:firstLine="525" w:firstLineChars="250"/>
        <w:rPr>
          <w:rFonts w:hint="eastAsia" w:ascii="宋体" w:hAnsi="宋体" w:eastAsia="宋体" w:cs="宋体"/>
          <w:bCs/>
          <w:color w:val="auto"/>
          <w:szCs w:val="21"/>
          <w:highlight w:val="none"/>
          <w:u w:val="single"/>
          <w:lang w:val="en-US" w:eastAsia="zh-CN"/>
        </w:rPr>
      </w:pPr>
      <w:r>
        <w:rPr>
          <w:rFonts w:hint="eastAsia" w:ascii="宋体" w:hAnsi="宋体" w:eastAsia="宋体" w:cs="宋体"/>
          <w:bCs/>
          <w:color w:val="auto"/>
          <w:szCs w:val="21"/>
          <w:highlight w:val="none"/>
          <w:u w:val="single"/>
        </w:rPr>
        <w:t>（2）投标人在编制施工组织设计时应按照招标文件要求，并针对本项目的关键技术、工艺、重点、难点以及拟在本项目采用的新工艺、新技术、新材料编制，应突出重点，标准、规范中已有的内容无需赘述，对于技术特别复杂，施工工艺超出国家标准的项目，施工组织设计的篇幅要求可适当放宽，但不宜超过200页。超过部分不予评审。</w:t>
      </w:r>
    </w:p>
    <w:p w14:paraId="57752F19">
      <w:pPr>
        <w:pBdr>
          <w:bottom w:val="single" w:color="auto" w:sz="6" w:space="1"/>
        </w:pBdr>
        <w:spacing w:line="360" w:lineRule="auto"/>
        <w:ind w:firstLine="525" w:firstLineChars="25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u w:val="single"/>
        </w:rPr>
        <w:t>11.2.</w:t>
      </w:r>
      <w:r>
        <w:rPr>
          <w:rFonts w:hint="eastAsia" w:ascii="宋体" w:hAnsi="宋体" w:eastAsia="宋体" w:cs="宋体"/>
          <w:bCs/>
          <w:color w:val="auto"/>
          <w:szCs w:val="21"/>
          <w:highlight w:val="none"/>
          <w:u w:val="single"/>
          <w:lang w:val="en-US" w:eastAsia="zh-CN"/>
        </w:rPr>
        <w:t>12</w:t>
      </w:r>
      <w:r>
        <w:rPr>
          <w:rFonts w:hint="eastAsia" w:ascii="宋体" w:hAnsi="宋体" w:eastAsia="宋体" w:cs="宋体"/>
          <w:bCs/>
          <w:color w:val="auto"/>
          <w:szCs w:val="21"/>
          <w:highlight w:val="none"/>
          <w:u w:val="single"/>
        </w:rPr>
        <w:t>其他投标人认为应该提供的资料（如有）。</w:t>
      </w:r>
    </w:p>
    <w:p w14:paraId="2F74B204">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条款号：11.3                 修改类型：修改</w:t>
      </w:r>
    </w:p>
    <w:p w14:paraId="27B2557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11.3 经济部分投标文件主要包括下列内容：</w:t>
      </w:r>
    </w:p>
    <w:p w14:paraId="4F9250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11.3.1 经济投标文件(按招标文件的要求填写)。</w:t>
      </w:r>
    </w:p>
    <w:p w14:paraId="530D249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14:paraId="71CCA6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（1）投标总价封面、扉页；</w:t>
      </w:r>
    </w:p>
    <w:p w14:paraId="24C2D6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（2）总说明</w:t>
      </w:r>
    </w:p>
    <w:p w14:paraId="73BD7E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（3）工程项目投标报价汇总表；</w:t>
      </w:r>
    </w:p>
    <w:p w14:paraId="0B8DAB9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（4）单项工程投标报价汇总表；</w:t>
      </w:r>
    </w:p>
    <w:p w14:paraId="150DC5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（5）单位工程投标报价汇总表；</w:t>
      </w:r>
    </w:p>
    <w:p w14:paraId="6375C5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（6）分部分项工程清单与计价表；</w:t>
      </w:r>
    </w:p>
    <w:p w14:paraId="779694E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（7）单价措施项目清单与计价表；</w:t>
      </w:r>
    </w:p>
    <w:p w14:paraId="6ADBA4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（8）总价措施项目清单与计价表；</w:t>
      </w:r>
    </w:p>
    <w:p w14:paraId="6CBD6C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（9）综合单价分析表；</w:t>
      </w:r>
    </w:p>
    <w:p w14:paraId="12DDF8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（10）其他项目清单与计价汇总表；</w:t>
      </w:r>
    </w:p>
    <w:p w14:paraId="456BA1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（11）暂列金额明细表；</w:t>
      </w:r>
    </w:p>
    <w:p w14:paraId="5C781A8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（12）材料（工程设备）暂估价明细表；</w:t>
      </w:r>
    </w:p>
    <w:p w14:paraId="014A176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（13）专业工程暂估价明细表；</w:t>
      </w:r>
    </w:p>
    <w:p w14:paraId="2F4A0D8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（14）计日工表；</w:t>
      </w:r>
    </w:p>
    <w:p w14:paraId="42E232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（15）总承包服务计价表；</w:t>
      </w:r>
    </w:p>
    <w:p w14:paraId="508D16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（16）规费和税金项目计价表；</w:t>
      </w:r>
    </w:p>
    <w:p w14:paraId="3F82545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（17）人工、主要材料和设备一览表</w:t>
      </w:r>
    </w:p>
    <w:p w14:paraId="60DBE9F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11.3.3按照招标文件要求填写的《参与编制经济标投标文件人员名单》。</w:t>
      </w:r>
    </w:p>
    <w:p w14:paraId="4BD9A6E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14:paraId="61D0DD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u w:val="single"/>
        </w:rPr>
        <w:t>11.3 经济标投标文件主要包括下列内容：</w:t>
      </w:r>
    </w:p>
    <w:p w14:paraId="38382DC8">
      <w:pPr>
        <w:pBdr>
          <w:bottom w:val="single" w:color="auto" w:sz="4" w:space="1"/>
        </w:pBd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11.3.1 </w:t>
      </w:r>
      <w:bookmarkStart w:id="9" w:name="_Hlk60754295"/>
      <w:r>
        <w:rPr>
          <w:rFonts w:hint="eastAsia" w:ascii="宋体" w:hAnsi="宋体" w:eastAsia="宋体" w:cs="宋体"/>
          <w:color w:val="auto"/>
          <w:szCs w:val="21"/>
          <w:highlight w:val="none"/>
          <w:u w:val="single"/>
        </w:rPr>
        <w:t>经济标投标文件封面</w:t>
      </w:r>
      <w:bookmarkEnd w:id="9"/>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格式按招标文件要求</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w:t>
      </w:r>
    </w:p>
    <w:p w14:paraId="5B8FD720">
      <w:pPr>
        <w:pBdr>
          <w:bottom w:val="single" w:color="auto" w:sz="4" w:space="1"/>
        </w:pBd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11.3.2</w:t>
      </w:r>
      <w:r>
        <w:rPr>
          <w:rFonts w:hint="eastAsia" w:ascii="宋体" w:hAnsi="宋体" w:eastAsia="宋体" w:cs="宋体"/>
          <w:color w:val="auto"/>
          <w:szCs w:val="21"/>
          <w:highlight w:val="none"/>
          <w:u w:val="single"/>
          <w:lang w:val="en-US" w:eastAsia="zh-CN"/>
        </w:rPr>
        <w:t>工程费</w:t>
      </w:r>
      <w:r>
        <w:rPr>
          <w:rFonts w:hint="eastAsia" w:ascii="宋体" w:hAnsi="宋体" w:eastAsia="宋体" w:cs="宋体"/>
          <w:color w:val="auto"/>
          <w:szCs w:val="21"/>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eastAsia="宋体" w:cs="宋体"/>
          <w:color w:val="auto"/>
          <w:szCs w:val="21"/>
          <w:highlight w:val="none"/>
          <w:u w:val="single"/>
        </w:rPr>
        <w:t>（具体内容详见</w:t>
      </w:r>
      <w:r>
        <w:rPr>
          <w:rFonts w:hint="eastAsia" w:ascii="宋体" w:hAnsi="宋体" w:eastAsia="宋体" w:cs="宋体"/>
          <w:color w:val="auto"/>
          <w:szCs w:val="21"/>
          <w:highlight w:val="none"/>
          <w:u w:val="single"/>
          <w:lang w:val="en-US" w:eastAsia="zh-CN"/>
        </w:rPr>
        <w:t>招标</w:t>
      </w:r>
      <w:r>
        <w:rPr>
          <w:rFonts w:hint="eastAsia" w:ascii="宋体" w:hAnsi="宋体" w:eastAsia="宋体" w:cs="宋体"/>
          <w:color w:val="auto"/>
          <w:szCs w:val="21"/>
          <w:highlight w:val="none"/>
          <w:u w:val="single"/>
        </w:rPr>
        <w:t>工程量清单）</w:t>
      </w:r>
    </w:p>
    <w:p w14:paraId="545FA1B8">
      <w:pPr>
        <w:pBdr>
          <w:bottom w:val="single" w:color="auto" w:sz="4" w:space="1"/>
        </w:pBdr>
        <w:spacing w:line="360" w:lineRule="auto"/>
        <w:ind w:firstLine="420" w:firstLineChars="200"/>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u w:val="single"/>
          <w:lang w:val="en-US" w:eastAsia="zh-CN"/>
        </w:rPr>
        <w:t>11.3.3拆卸工程回收价值：由投标人根据招标文件要求及企业自身情况填报单价报价及总报价；拆卸工程回收价值报价采用数值报价方式，投标人按明细表要求填报，每项内容只能报一个投标单方造价数值报价及一个投标总价数值报价。</w:t>
      </w:r>
      <w:r>
        <w:rPr>
          <w:rFonts w:hint="eastAsia" w:ascii="宋体" w:hAnsi="宋体" w:eastAsia="宋体" w:cs="宋体"/>
          <w:color w:val="auto"/>
          <w:szCs w:val="21"/>
          <w:highlight w:val="none"/>
          <w:u w:val="single"/>
        </w:rPr>
        <w:t>（具体内容详见拆卸工程</w:t>
      </w:r>
      <w:r>
        <w:rPr>
          <w:rFonts w:hint="eastAsia" w:ascii="宋体" w:hAnsi="宋体" w:cs="宋体"/>
          <w:color w:val="auto"/>
          <w:szCs w:val="21"/>
          <w:highlight w:val="none"/>
          <w:u w:val="single"/>
          <w:lang w:val="en-US" w:eastAsia="zh-CN"/>
        </w:rPr>
        <w:t>回收价值报价明细表</w:t>
      </w:r>
      <w:r>
        <w:rPr>
          <w:rFonts w:hint="eastAsia" w:ascii="宋体" w:hAnsi="宋体" w:eastAsia="宋体" w:cs="宋体"/>
          <w:color w:val="auto"/>
          <w:szCs w:val="21"/>
          <w:highlight w:val="none"/>
          <w:u w:val="single"/>
        </w:rPr>
        <w:t>）</w:t>
      </w:r>
    </w:p>
    <w:p w14:paraId="082091F1">
      <w:pPr>
        <w:pBdr>
          <w:bottom w:val="single" w:color="auto" w:sz="4" w:space="1"/>
        </w:pBd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按照招标文件要求填写的《参与编制经济标投标文件人员名单》。</w:t>
      </w:r>
    </w:p>
    <w:p w14:paraId="224FD208">
      <w:pPr>
        <w:pBdr>
          <w:bottom w:val="single" w:color="auto" w:sz="4" w:space="1"/>
        </w:pBdr>
        <w:spacing w:line="360" w:lineRule="auto"/>
        <w:ind w:firstLine="420" w:firstLineChars="200"/>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u w:val="single"/>
        </w:rPr>
        <w:t>11.3.</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rPr>
        <w:t>对投标文件编制的承诺</w:t>
      </w:r>
      <w:r>
        <w:rPr>
          <w:rFonts w:hint="eastAsia" w:ascii="宋体" w:hAnsi="宋体" w:eastAsia="宋体" w:cs="宋体"/>
          <w:bCs/>
          <w:color w:val="auto"/>
          <w:szCs w:val="21"/>
          <w:highlight w:val="none"/>
          <w:u w:val="single"/>
        </w:rPr>
        <w:t>(格式按招标文件要求)；</w:t>
      </w:r>
    </w:p>
    <w:p w14:paraId="4C3FF8B8">
      <w:pPr>
        <w:pBdr>
          <w:bottom w:val="single" w:color="auto" w:sz="4" w:space="1"/>
        </w:pBd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11.3.5若投标人的</w:t>
      </w:r>
      <w:r>
        <w:rPr>
          <w:rFonts w:hint="eastAsia" w:ascii="宋体" w:hAnsi="宋体" w:cs="宋体"/>
          <w:color w:val="auto"/>
          <w:szCs w:val="21"/>
          <w:highlight w:val="none"/>
          <w:u w:val="single"/>
          <w:lang w:val="en-US" w:eastAsia="zh-CN"/>
        </w:rPr>
        <w:t>工程费</w:t>
      </w:r>
      <w:r>
        <w:rPr>
          <w:rFonts w:hint="eastAsia" w:ascii="宋体" w:hAnsi="宋体" w:eastAsia="宋体" w:cs="宋体"/>
          <w:color w:val="auto"/>
          <w:szCs w:val="21"/>
          <w:highlight w:val="none"/>
          <w:u w:val="single"/>
        </w:rPr>
        <w:t>投标</w:t>
      </w:r>
      <w:r>
        <w:rPr>
          <w:rFonts w:hint="eastAsia" w:ascii="宋体" w:hAnsi="宋体" w:cs="宋体"/>
          <w:color w:val="auto"/>
          <w:szCs w:val="21"/>
          <w:highlight w:val="none"/>
          <w:u w:val="single"/>
          <w:lang w:val="en-US" w:eastAsia="zh-CN"/>
        </w:rPr>
        <w:t>总</w:t>
      </w:r>
      <w:r>
        <w:rPr>
          <w:rFonts w:hint="eastAsia" w:ascii="宋体" w:hAnsi="宋体" w:eastAsia="宋体" w:cs="宋体"/>
          <w:color w:val="auto"/>
          <w:szCs w:val="21"/>
          <w:highlight w:val="none"/>
          <w:u w:val="single"/>
        </w:rPr>
        <w:t>报价低于工程成本警戒价的，投标人还须提供详细的施工组织设计、单价、措施性费用、单价分析表、主要材料价格表、投标人成本分析供评标委员会评审。</w:t>
      </w:r>
    </w:p>
    <w:p w14:paraId="78F51176">
      <w:pPr>
        <w:pBdr>
          <w:bottom w:val="single" w:color="auto" w:sz="4" w:space="1"/>
        </w:pBd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11.3.</w:t>
      </w:r>
      <w:r>
        <w:rPr>
          <w:rFonts w:hint="eastAsia" w:ascii="宋体" w:hAnsi="宋体" w:eastAsia="宋体" w:cs="宋体"/>
          <w:color w:val="auto"/>
          <w:szCs w:val="21"/>
          <w:highlight w:val="none"/>
          <w:u w:val="single"/>
          <w:lang w:val="en-US" w:eastAsia="zh-CN"/>
        </w:rPr>
        <w:t>6</w:t>
      </w:r>
      <w:r>
        <w:rPr>
          <w:rFonts w:hint="eastAsia" w:ascii="宋体" w:hAnsi="宋体" w:eastAsia="宋体" w:cs="宋体"/>
          <w:color w:val="auto"/>
          <w:szCs w:val="21"/>
          <w:highlight w:val="none"/>
          <w:u w:val="single"/>
        </w:rPr>
        <w:t>投标人认为应提供的其他资料（如有）。</w:t>
      </w:r>
    </w:p>
    <w:p w14:paraId="2F02C2C1">
      <w:pPr>
        <w:spacing w:line="480" w:lineRule="auto"/>
        <w:ind w:firstLine="470"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条款号：12.2             修改类型：修改</w:t>
      </w:r>
    </w:p>
    <w:p w14:paraId="71EC94CE">
      <w:pPr>
        <w:spacing w:line="360" w:lineRule="auto"/>
        <w:ind w:firstLine="470" w:firstLineChars="224"/>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 w:val="21"/>
          <w:szCs w:val="21"/>
          <w:highlight w:val="none"/>
        </w:rPr>
        <w:t>12.2 投标文件全部采用电子文档，投标文件所附证书证件均为原件扫描件，并采用单位数字证书，</w:t>
      </w:r>
      <w:r>
        <w:rPr>
          <w:rFonts w:hint="eastAsia" w:ascii="宋体" w:hAnsi="宋体" w:eastAsia="宋体" w:cs="宋体"/>
          <w:b/>
          <w:bCs/>
          <w:color w:val="auto"/>
          <w:kern w:val="0"/>
          <w:sz w:val="21"/>
          <w:szCs w:val="21"/>
          <w:highlight w:val="none"/>
        </w:rPr>
        <w:t>对投标文件</w:t>
      </w:r>
      <w:r>
        <w:rPr>
          <w:rFonts w:hint="eastAsia" w:ascii="宋体" w:hAnsi="宋体" w:eastAsia="宋体" w:cs="宋体"/>
          <w:color w:val="auto"/>
          <w:sz w:val="21"/>
          <w:szCs w:val="21"/>
          <w:highlight w:val="none"/>
        </w:rPr>
        <w:t>加盖电子印章。投标文件中需个人签字或盖章的，应加盖个人电子印章或在线下完成后扫描上传。按照交易平台关于全流程电子化项目的相关指南进行操作。详见：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。注释：投标文件电子文档需要投标人单位盖章的材料，投标人加盖电子印章即可，不得将投标人未对电子文档加盖实物印章作为否决投标的情形。</w:t>
      </w:r>
    </w:p>
    <w:p w14:paraId="0196825C">
      <w:pPr>
        <w:pBdr>
          <w:bottom w:val="single" w:color="auto" w:sz="6" w:space="1"/>
        </w:pBdr>
        <w:shd w:val="clear" w:color="auto" w:fill="auto"/>
        <w:spacing w:line="360" w:lineRule="auto"/>
        <w:ind w:firstLine="525" w:firstLineChars="250"/>
        <w:rPr>
          <w:rFonts w:hint="eastAsia" w:ascii="宋体" w:hAnsi="宋体" w:eastAsia="宋体" w:cs="宋体"/>
          <w:b/>
          <w:bCs/>
          <w:color w:val="auto"/>
          <w:szCs w:val="21"/>
          <w:highlight w:val="none"/>
          <w:u w:val="single"/>
        </w:rPr>
      </w:pPr>
      <w:r>
        <w:rPr>
          <w:rFonts w:hint="eastAsia" w:ascii="宋体" w:hAnsi="宋体" w:eastAsia="宋体" w:cs="宋体"/>
          <w:b/>
          <w:color w:val="auto"/>
          <w:szCs w:val="21"/>
          <w:highlight w:val="none"/>
        </w:rPr>
        <w:t>现文：</w:t>
      </w:r>
      <w:r>
        <w:rPr>
          <w:rFonts w:hint="eastAsia" w:ascii="宋体" w:hAnsi="宋体" w:eastAsia="宋体" w:cs="宋体"/>
          <w:color w:val="auto"/>
          <w:sz w:val="21"/>
          <w:szCs w:val="21"/>
          <w:highlight w:val="none"/>
        </w:rPr>
        <w:t>12.2</w:t>
      </w:r>
      <w:r>
        <w:rPr>
          <w:rFonts w:hint="eastAsia" w:ascii="宋体" w:hAnsi="宋体" w:eastAsia="宋体" w:cs="宋体"/>
          <w:bCs/>
          <w:color w:val="auto"/>
          <w:szCs w:val="21"/>
          <w:highlight w:val="none"/>
        </w:rPr>
        <w:t>投标文件全部采用电子文档，投标文件所附证书证件均为原件扫描件，并采用单位数字证书，对投标文件加盖电子印章。投标文件中需个人签字或盖章的，应加盖个人电子印章或在线下完成签字或盖章后扫描上传。</w:t>
      </w:r>
      <w:r>
        <w:rPr>
          <w:rFonts w:hint="eastAsia" w:ascii="宋体" w:hAnsi="宋体" w:eastAsia="宋体" w:cs="宋体"/>
          <w:color w:val="auto"/>
          <w:sz w:val="21"/>
          <w:szCs w:val="20"/>
          <w:highlight w:val="none"/>
          <w:u w:val="single"/>
          <w:lang w:val="en-US" w:eastAsia="zh-CN"/>
        </w:rPr>
        <w:t>投标人应确保所提交的电子文档与原件的一致性，并对合法性、真实性、准确性、完整性负责。</w:t>
      </w:r>
      <w:r>
        <w:rPr>
          <w:rFonts w:hint="eastAsia" w:ascii="宋体" w:hAnsi="宋体" w:eastAsia="宋体" w:cs="宋体"/>
          <w:bCs/>
          <w:color w:val="auto"/>
          <w:szCs w:val="21"/>
          <w:highlight w:val="none"/>
        </w:rPr>
        <w:t>按照</w:t>
      </w:r>
      <w:r>
        <w:rPr>
          <w:rFonts w:hint="eastAsia" w:ascii="宋体" w:hAnsi="宋体" w:eastAsia="宋体" w:cs="宋体"/>
          <w:color w:val="auto"/>
          <w:sz w:val="21"/>
          <w:szCs w:val="21"/>
          <w:highlight w:val="none"/>
          <w:u w:val="single"/>
        </w:rPr>
        <w:t>广州交易集团有限公司（广州公共资源交易中心）</w:t>
      </w:r>
      <w:r>
        <w:rPr>
          <w:rFonts w:hint="eastAsia" w:ascii="宋体" w:hAnsi="宋体" w:eastAsia="宋体" w:cs="宋体"/>
          <w:bCs/>
          <w:color w:val="auto"/>
          <w:szCs w:val="21"/>
          <w:highlight w:val="none"/>
        </w:rPr>
        <w:t>交易平台关于全流程电子化项目的相关指南进行操作。详见：</w:t>
      </w:r>
      <w:r>
        <w:rPr>
          <w:rFonts w:hint="eastAsia" w:ascii="宋体" w:hAnsi="宋体" w:eastAsia="宋体" w:cs="宋体"/>
          <w:b/>
          <w:bCs/>
          <w:color w:val="auto"/>
          <w:szCs w:val="21"/>
          <w:highlight w:val="none"/>
          <w:u w:val="single"/>
        </w:rPr>
        <w:t>【全流程电子化项目】电子招投标操作手册（无纸化）。</w:t>
      </w:r>
    </w:p>
    <w:p w14:paraId="1ED8D39A">
      <w:pPr>
        <w:pBdr>
          <w:bottom w:val="single" w:color="auto" w:sz="6" w:space="1"/>
        </w:pBdr>
        <w:shd w:val="clear" w:color="auto" w:fill="auto"/>
        <w:spacing w:line="360" w:lineRule="auto"/>
        <w:ind w:firstLine="525" w:firstLineChars="25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联合体投标的，除《联合体共同投标协议书》必须联合体各方分别按要求进行签字、盖章外，投标文件封面及其他内容落款中的“投标人”应填写联合体各方的单位全称【格式为：（主）XXXX公司（成）XXXX公司（成）……】，由联合体牵头方签字、盖章即可。</w:t>
      </w:r>
    </w:p>
    <w:p w14:paraId="239D89BC">
      <w:pPr>
        <w:pBdr>
          <w:bottom w:val="single" w:color="auto" w:sz="6" w:space="1"/>
        </w:pBd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注释：投标文件电子文档需要投标人单位盖章的材料，投标人加盖电子印章即可，不得将投标人未对电子文档加盖实物印章作为否决投标的情形。</w:t>
      </w:r>
    </w:p>
    <w:p w14:paraId="36E7C3B6">
      <w:pPr>
        <w:spacing w:line="480" w:lineRule="auto"/>
        <w:ind w:firstLine="470"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条款号：12.3             修改类型：修改</w:t>
      </w:r>
    </w:p>
    <w:p w14:paraId="4B4C09D8">
      <w:pPr>
        <w:spacing w:line="360" w:lineRule="auto"/>
        <w:ind w:firstLine="470" w:firstLineChars="224"/>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 w:val="21"/>
          <w:szCs w:val="21"/>
          <w:highlight w:val="none"/>
        </w:rPr>
        <w:t>12.3 投标文件应按照交易平台关于全流程电子化项目的相关指南进行编制，详见：</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rPr>
        <w:t>。</w:t>
      </w:r>
    </w:p>
    <w:p w14:paraId="5F38AC76">
      <w:pPr>
        <w:spacing w:line="360" w:lineRule="auto"/>
        <w:ind w:firstLine="470" w:firstLineChars="224"/>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如不按上述要求编制引起系统无法检索、读取相关信息的，其后果由投标人承担。</w:t>
      </w:r>
    </w:p>
    <w:p w14:paraId="782C55F7">
      <w:pPr>
        <w:pBdr>
          <w:bottom w:val="single" w:color="auto" w:sz="6" w:space="1"/>
        </w:pBdr>
        <w:spacing w:line="360" w:lineRule="auto"/>
        <w:ind w:firstLine="525" w:firstLineChars="250"/>
        <w:rPr>
          <w:rFonts w:hint="eastAsia" w:ascii="宋体" w:hAnsi="宋体" w:eastAsia="宋体" w:cs="宋体"/>
          <w:b/>
          <w:bCs/>
          <w:color w:val="auto"/>
          <w:szCs w:val="21"/>
          <w:highlight w:val="none"/>
          <w:u w:val="single"/>
        </w:rPr>
      </w:pPr>
      <w:r>
        <w:rPr>
          <w:rFonts w:hint="eastAsia" w:ascii="宋体" w:hAnsi="宋体" w:eastAsia="宋体" w:cs="宋体"/>
          <w:b/>
          <w:color w:val="auto"/>
          <w:szCs w:val="21"/>
          <w:highlight w:val="none"/>
        </w:rPr>
        <w:t>现文：</w:t>
      </w:r>
      <w:r>
        <w:rPr>
          <w:rFonts w:hint="eastAsia" w:ascii="宋体" w:hAnsi="宋体" w:eastAsia="宋体" w:cs="宋体"/>
          <w:color w:val="auto"/>
          <w:sz w:val="21"/>
          <w:szCs w:val="21"/>
          <w:highlight w:val="none"/>
        </w:rPr>
        <w:t>12.3 投标文件应按照交易平台关于全流程电子化项目的相关指南进行编制，详见：</w:t>
      </w:r>
      <w:r>
        <w:rPr>
          <w:rFonts w:hint="eastAsia" w:ascii="宋体" w:hAnsi="宋体" w:eastAsia="宋体" w:cs="宋体"/>
          <w:color w:val="auto"/>
          <w:sz w:val="21"/>
          <w:szCs w:val="21"/>
          <w:highlight w:val="none"/>
          <w:u w:val="single"/>
        </w:rPr>
        <w:t>广州交易集团有限公司（广州公共资源交易中心）网站发布的相关指南。</w:t>
      </w:r>
    </w:p>
    <w:p w14:paraId="1B9C00F4">
      <w:pPr>
        <w:pBdr>
          <w:bottom w:val="single" w:color="auto" w:sz="6" w:space="1"/>
        </w:pBd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如不按上述要求编制引起系统无法检索、读取相关信息的，其后果由投标人承担。</w:t>
      </w:r>
    </w:p>
    <w:p w14:paraId="144CA722">
      <w:pPr>
        <w:spacing w:line="480" w:lineRule="auto"/>
        <w:ind w:firstLine="470"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条款号：13.1             修改类型：修改</w:t>
      </w:r>
    </w:p>
    <w:p w14:paraId="4F37BC4F">
      <w:pPr>
        <w:spacing w:line="360" w:lineRule="auto"/>
        <w:ind w:firstLine="470"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b/>
          <w:bCs/>
          <w:color w:val="auto"/>
          <w:szCs w:val="21"/>
          <w:highlight w:val="none"/>
        </w:rPr>
        <w:t>13.1</w:t>
      </w:r>
      <w:r>
        <w:rPr>
          <w:rFonts w:hint="eastAsia" w:ascii="宋体" w:hAnsi="宋体" w:eastAsia="宋体" w:cs="宋体"/>
          <w:color w:val="auto"/>
          <w:szCs w:val="21"/>
          <w:highlight w:val="none"/>
        </w:rPr>
        <w:t>本工程的投标报价采用投标须知前附表第12项所规定的方式。投标报价（含单价及总价）精确到“分”。</w:t>
      </w:r>
    </w:p>
    <w:p w14:paraId="468030AB">
      <w:pPr>
        <w:pBdr>
          <w:bottom w:val="single" w:color="auto" w:sz="6" w:space="1"/>
        </w:pBd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b w:val="0"/>
          <w:bCs w:val="0"/>
          <w:color w:val="auto"/>
          <w:szCs w:val="21"/>
          <w:highlight w:val="none"/>
        </w:rPr>
        <w:t>13.1本工程的投标报价采用投标须知前附表第12项所规定的方式。投标文件中的大写金额和小写金额不一致的，以大写金额为准，投标报价（含单价及总价）精确到“分”。</w:t>
      </w:r>
    </w:p>
    <w:p w14:paraId="192D4E02">
      <w:pPr>
        <w:shd w:val="clear" w:color="auto" w:fill="auto"/>
        <w:spacing w:line="360" w:lineRule="auto"/>
        <w:ind w:firstLine="409" w:firstLineChars="195"/>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条款号：13.2            修改类型：修改</w:t>
      </w:r>
    </w:p>
    <w:p w14:paraId="3ECE4FB8">
      <w:pPr>
        <w:shd w:val="clear" w:color="auto" w:fill="auto"/>
        <w:spacing w:line="360" w:lineRule="auto"/>
        <w:ind w:firstLine="409" w:firstLineChars="195"/>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Cs/>
          <w:color w:val="auto"/>
          <w:sz w:val="21"/>
          <w:szCs w:val="21"/>
          <w:highlight w:val="none"/>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5A1EBE2C">
      <w:pPr>
        <w:pBdr>
          <w:bottom w:val="single" w:color="auto" w:sz="6" w:space="1"/>
        </w:pBdr>
        <w:shd w:val="clear" w:color="auto" w:fill="auto"/>
        <w:spacing w:line="360" w:lineRule="auto"/>
        <w:ind w:firstLine="409" w:firstLineChars="195"/>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u w:val="single"/>
        </w:rPr>
        <w:t>13.2现文内容以本项目施工总承包合同相关条款为准。</w:t>
      </w:r>
    </w:p>
    <w:p w14:paraId="1E860AE1">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条款号：13.</w:t>
      </w:r>
      <w:r>
        <w:rPr>
          <w:rFonts w:hint="eastAsia" w:ascii="宋体" w:hAnsi="宋体" w:cs="宋体"/>
          <w:b/>
          <w:color w:val="auto"/>
          <w:szCs w:val="21"/>
          <w:highlight w:val="none"/>
          <w:lang w:val="en-US" w:eastAsia="zh-CN"/>
        </w:rPr>
        <w:t>3</w:t>
      </w:r>
      <w:r>
        <w:rPr>
          <w:rFonts w:hint="eastAsia" w:ascii="宋体" w:hAnsi="宋体" w:eastAsia="宋体" w:cs="宋体"/>
          <w:b/>
          <w:color w:val="auto"/>
          <w:szCs w:val="21"/>
          <w:highlight w:val="none"/>
        </w:rPr>
        <w:t xml:space="preserve">             修改类型：修改</w:t>
      </w:r>
    </w:p>
    <w:p w14:paraId="081B4602">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原文：13.</w:t>
      </w:r>
      <w:r>
        <w:rPr>
          <w:rFonts w:hint="eastAsia" w:ascii="宋体" w:hAnsi="宋体" w:cs="宋体"/>
          <w:b/>
          <w:color w:val="auto"/>
          <w:szCs w:val="21"/>
          <w:highlight w:val="none"/>
          <w:lang w:val="en-US" w:eastAsia="zh-CN"/>
        </w:rPr>
        <w:t>3</w:t>
      </w:r>
      <w:r>
        <w:rPr>
          <w:rFonts w:hint="eastAsia" w:ascii="宋体" w:hAnsi="宋体" w:cs="宋体"/>
          <w:b w:val="0"/>
          <w:bCs/>
          <w:color w:val="auto"/>
          <w:szCs w:val="21"/>
          <w:highlight w:val="none"/>
          <w:lang w:val="en-US" w:eastAsia="zh-CN"/>
        </w:rPr>
        <w:t>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6F3BA4C6">
      <w:pPr>
        <w:pBdr>
          <w:bottom w:val="single" w:color="auto" w:sz="4" w:space="1"/>
        </w:pBd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现文：13.</w:t>
      </w:r>
      <w:r>
        <w:rPr>
          <w:rFonts w:hint="eastAsia" w:ascii="宋体" w:hAnsi="宋体" w:cs="宋体"/>
          <w:b/>
          <w:color w:val="auto"/>
          <w:szCs w:val="21"/>
          <w:highlight w:val="none"/>
          <w:lang w:val="en-US" w:eastAsia="zh-CN"/>
        </w:rPr>
        <w:t>3</w:t>
      </w:r>
      <w:r>
        <w:rPr>
          <w:rFonts w:hint="eastAsia" w:ascii="宋体" w:hAnsi="宋体" w:eastAsia="宋体" w:cs="宋体"/>
          <w:bCs/>
          <w:color w:val="auto"/>
          <w:szCs w:val="21"/>
          <w:highlight w:val="none"/>
        </w:rPr>
        <w:t>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安全生产措施费等非竞争性项目明列了单价或合价的金额的，投标人应按照明列的单价或合价的金额报价，未按照规定金额报价的，由评标委员会按照招标文件规定的金额进行修正。</w:t>
      </w:r>
    </w:p>
    <w:p w14:paraId="19B0A81B">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条款号：13.4             修改类型：修改</w:t>
      </w:r>
    </w:p>
    <w:p w14:paraId="50BA72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原文：13.4</w:t>
      </w:r>
      <w:r>
        <w:rPr>
          <w:rFonts w:hint="eastAsia" w:ascii="宋体" w:hAnsi="宋体" w:eastAsia="宋体" w:cs="宋体"/>
          <w:color w:val="auto"/>
          <w:szCs w:val="21"/>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38E166E1">
      <w:pPr>
        <w:pBdr>
          <w:bottom w:val="single" w:color="auto" w:sz="4" w:space="1"/>
        </w:pBd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现文：13.4</w:t>
      </w:r>
      <w:r>
        <w:rPr>
          <w:rFonts w:hint="eastAsia" w:ascii="宋体" w:hAnsi="宋体" w:eastAsia="宋体" w:cs="宋体"/>
          <w:bCs/>
          <w:color w:val="auto"/>
          <w:szCs w:val="21"/>
          <w:highlight w:val="none"/>
        </w:rPr>
        <w:t>投标人一旦中标，投标人对招标人提供的招标工程量清单中列出的工程项目所报出的综合单价，在工程结算时将不得变更，</w:t>
      </w:r>
      <w:r>
        <w:rPr>
          <w:rFonts w:hint="eastAsia" w:ascii="宋体" w:hAnsi="宋体" w:eastAsia="宋体" w:cs="宋体"/>
          <w:bCs/>
          <w:color w:val="auto"/>
          <w:szCs w:val="21"/>
          <w:highlight w:val="none"/>
          <w:u w:val="single"/>
        </w:rPr>
        <w:t>若投标人的综合单价存在不平衡报价，招标人有权对投标人的不平衡报价进行调整，调整后的综合单价在工程结算时将不得变更。招标人应在合同中明确在市场价格发生异常变动情况及发生不平衡报价时合同价款的调整办法。因应计算的实际工程量与招标工程量清单出现偏差或因工程变更等原因导致的工程量偏差，引起相关措施项目相应发生变化时，按合同条款相关约定调整。</w:t>
      </w:r>
    </w:p>
    <w:p w14:paraId="5AEE535E">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条款号：13.5  13.5.1  13.5.2  13.5.3  13.5.4          修改类型：修改</w:t>
      </w:r>
    </w:p>
    <w:p w14:paraId="6D391B8A">
      <w:pPr>
        <w:pStyle w:val="5"/>
        <w:pBdr>
          <w:bottom w:val="single" w:color="auto" w:sz="6" w:space="1"/>
        </w:pBdr>
        <w:spacing w:after="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b/>
          <w:bCs/>
          <w:color w:val="auto"/>
          <w:szCs w:val="21"/>
          <w:highlight w:val="none"/>
        </w:rPr>
        <w:t>13.5</w:t>
      </w:r>
      <w:r>
        <w:rPr>
          <w:rFonts w:hint="eastAsia" w:ascii="宋体" w:hAnsi="宋体" w:eastAsia="宋体" w:cs="宋体"/>
          <w:color w:val="auto"/>
          <w:szCs w:val="21"/>
          <w:highlight w:val="none"/>
        </w:rPr>
        <w:t>工程项目实施期间……，中标后双方协商约定。</w:t>
      </w:r>
    </w:p>
    <w:p w14:paraId="42A3CBD3">
      <w:pPr>
        <w:pStyle w:val="5"/>
        <w:pBdr>
          <w:bottom w:val="single" w:color="auto" w:sz="6" w:space="1"/>
        </w:pBdr>
        <w:spacing w:after="0"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现文：13.5</w:t>
      </w:r>
      <w:r>
        <w:rPr>
          <w:rFonts w:hint="eastAsia" w:ascii="宋体" w:hAnsi="宋体" w:eastAsia="宋体" w:cs="宋体"/>
          <w:color w:val="auto"/>
          <w:szCs w:val="21"/>
          <w:highlight w:val="none"/>
          <w:u w:val="single"/>
        </w:rPr>
        <w:t>现文内容以本项目施工总承包合同相关条款为准。</w:t>
      </w:r>
    </w:p>
    <w:p w14:paraId="3B24D08D">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条款号：13.9             修改类型：修改</w:t>
      </w:r>
    </w:p>
    <w:p w14:paraId="7D1ACFD0">
      <w:pPr>
        <w:pBdr>
          <w:bottom w:val="single" w:color="auto" w:sz="6" w:space="1"/>
        </w:pBd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原文：13.9</w:t>
      </w:r>
      <w:r>
        <w:rPr>
          <w:rFonts w:hint="eastAsia" w:ascii="宋体" w:hAnsi="宋体" w:eastAsia="宋体" w:cs="宋体"/>
          <w:color w:val="auto"/>
          <w:szCs w:val="21"/>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53DEB65F">
      <w:pPr>
        <w:pBdr>
          <w:bottom w:val="single" w:color="auto" w:sz="6" w:space="1"/>
        </w:pBd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b/>
          <w:bCs/>
          <w:color w:val="auto"/>
          <w:szCs w:val="21"/>
          <w:highlight w:val="none"/>
        </w:rPr>
        <w:t>13.9</w:t>
      </w:r>
      <w:r>
        <w:rPr>
          <w:rFonts w:hint="eastAsia" w:ascii="宋体" w:hAnsi="宋体" w:eastAsia="宋体" w:cs="宋体"/>
          <w:color w:val="auto"/>
          <w:szCs w:val="21"/>
          <w:highlight w:val="none"/>
          <w:u w:val="single"/>
        </w:rPr>
        <w:t>现文内容以本项目施工总承包合同相关条款为准。</w:t>
      </w:r>
    </w:p>
    <w:p w14:paraId="31A07183">
      <w:pPr>
        <w:shd w:val="clear" w:color="auto" w:fill="auto"/>
        <w:spacing w:line="360" w:lineRule="auto"/>
        <w:ind w:firstLine="409" w:firstLineChars="195"/>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条款号：13.10                       修改类型：增加</w:t>
      </w:r>
    </w:p>
    <w:p w14:paraId="2333ACFD">
      <w:pPr>
        <w:pBdr>
          <w:bottom w:val="single" w:color="auto" w:sz="6" w:space="1"/>
        </w:pBdr>
        <w:shd w:val="clear" w:color="auto" w:fill="auto"/>
        <w:spacing w:line="360" w:lineRule="auto"/>
        <w:ind w:firstLine="409" w:firstLineChars="195"/>
        <w:rPr>
          <w:rFonts w:hint="eastAsia" w:ascii="宋体" w:hAnsi="宋体" w:eastAsia="宋体" w:cs="宋体"/>
          <w:color w:val="auto"/>
          <w:sz w:val="21"/>
          <w:szCs w:val="21"/>
          <w:highlight w:val="none"/>
          <w:u w:val="singl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u w:val="single"/>
        </w:rPr>
        <w:t>13.10工程量清单报价中有关问题的说明：</w:t>
      </w:r>
    </w:p>
    <w:p w14:paraId="7FC0FB46">
      <w:pPr>
        <w:pBdr>
          <w:bottom w:val="single" w:color="auto" w:sz="6" w:space="1"/>
        </w:pBdr>
        <w:shd w:val="clear" w:color="auto" w:fill="auto"/>
        <w:spacing w:line="360" w:lineRule="auto"/>
        <w:ind w:firstLine="409" w:firstLineChars="195"/>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（1）投标时,拆除废料外运距离</w:t>
      </w:r>
      <w:r>
        <w:rPr>
          <w:rFonts w:hint="eastAsia" w:ascii="宋体" w:hAnsi="宋体" w:eastAsia="宋体" w:cs="宋体"/>
          <w:color w:val="auto"/>
          <w:sz w:val="21"/>
          <w:szCs w:val="21"/>
          <w:highlight w:val="none"/>
          <w:u w:val="single"/>
          <w:lang w:val="en-US" w:eastAsia="zh-CN"/>
        </w:rPr>
        <w:t>根据已标价的工程量清单运距包干计算</w:t>
      </w:r>
      <w:r>
        <w:rPr>
          <w:rFonts w:hint="eastAsia" w:ascii="宋体" w:hAnsi="宋体" w:eastAsia="宋体" w:cs="宋体"/>
          <w:color w:val="auto"/>
          <w:sz w:val="21"/>
          <w:szCs w:val="21"/>
          <w:highlight w:val="none"/>
          <w:u w:val="single"/>
        </w:rPr>
        <w:t>。</w:t>
      </w:r>
    </w:p>
    <w:p w14:paraId="5D6C599B">
      <w:pPr>
        <w:pBdr>
          <w:bottom w:val="single" w:color="auto" w:sz="6" w:space="1"/>
        </w:pBdr>
        <w:shd w:val="clear" w:color="auto" w:fill="auto"/>
        <w:spacing w:line="360" w:lineRule="auto"/>
        <w:ind w:firstLine="409" w:firstLineChars="19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（2）工程量清单中措施项目清单费计价表中的安全生产措施费执行《</w:t>
      </w:r>
      <w:r>
        <w:rPr>
          <w:rFonts w:hint="eastAsia" w:ascii="宋体" w:hAnsi="宋体" w:cs="宋体"/>
          <w:color w:val="auto"/>
          <w:sz w:val="21"/>
          <w:szCs w:val="21"/>
          <w:highlight w:val="none"/>
          <w:u w:val="single"/>
          <w:lang w:val="en-US" w:eastAsia="zh-CN"/>
        </w:rPr>
        <w:t>关于贯彻执行&lt;建设工程工程量清单计价标准&gt;及九项专业工程工程量计算标准的实施意见</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粤标定函</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24</w:t>
      </w:r>
      <w:r>
        <w:rPr>
          <w:rFonts w:hint="eastAsia" w:ascii="宋体" w:hAnsi="宋体" w:eastAsia="宋体" w:cs="宋体"/>
          <w:color w:val="auto"/>
          <w:sz w:val="21"/>
          <w:szCs w:val="21"/>
          <w:highlight w:val="none"/>
          <w:u w:val="single"/>
        </w:rPr>
        <w:t>号）文，安全生产措施费</w:t>
      </w:r>
      <w:r>
        <w:rPr>
          <w:rFonts w:hint="eastAsia" w:ascii="宋体" w:hAnsi="宋体" w:cs="宋体"/>
          <w:color w:val="auto"/>
          <w:sz w:val="21"/>
          <w:szCs w:val="21"/>
          <w:highlight w:val="none"/>
          <w:u w:val="single"/>
          <w:lang w:val="en-US" w:eastAsia="zh-CN"/>
        </w:rPr>
        <w:t>应单独列项，费用不可竞争，且符合《企业安全生产费用提取和使用管理办法》（财资[2022]136号）及我省有关文件规定，其中安全生产责任险保费包含在安全生产措施费中。</w:t>
      </w:r>
      <w:r>
        <w:rPr>
          <w:rFonts w:hint="eastAsia" w:ascii="宋体" w:hAnsi="宋体" w:eastAsia="宋体" w:cs="宋体"/>
          <w:color w:val="auto"/>
          <w:sz w:val="21"/>
          <w:szCs w:val="21"/>
          <w:highlight w:val="none"/>
          <w:u w:val="single"/>
        </w:rPr>
        <w:t>按发包人公布的本工程招标控制价（最高投标限价）中的安全生产措施费计取，作为非竞争费用，在投标报价中单列，不参与投标竞价，该费用从工程施工中标价中提取，专款专用。</w:t>
      </w:r>
    </w:p>
    <w:p w14:paraId="1CEFEA7D">
      <w:pPr>
        <w:shd w:val="clear" w:color="auto" w:fill="auto"/>
        <w:spacing w:line="360" w:lineRule="auto"/>
        <w:ind w:firstLine="409" w:firstLineChars="195"/>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条款号：13.11                       修改类型：增加</w:t>
      </w:r>
    </w:p>
    <w:p w14:paraId="5DC40748">
      <w:pPr>
        <w:pBdr>
          <w:bottom w:val="single" w:color="auto" w:sz="6" w:space="1"/>
        </w:pBdr>
        <w:shd w:val="clear" w:color="auto" w:fill="auto"/>
        <w:spacing w:line="360" w:lineRule="auto"/>
        <w:ind w:firstLine="409" w:firstLineChars="195"/>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u w:val="single"/>
        </w:rPr>
        <w:t>13.11投标人应对当地现有的交通道路状况进行充分调查，充分考虑该路段的交通疏导问题和文明施工，制定可行的交通疏导（包括场内和场外）方案，确保原有道路的交通畅通和施工临时排水的通畅，并符合施工环保要求。承包人应与交警及公路管理部门协商，取得同意和协助，并负责承担道路改线或改善和其他费用。相关费用计入措施项目费中，结算时按发包人批准的实施方案，再按合同约定结算。如果中标人不及时按要求设置，招标人可以另行委托实施，招标人按实际发生的费用在工程款中扣除，中标人不得有任何异议。</w:t>
      </w:r>
    </w:p>
    <w:p w14:paraId="5ABD80CC">
      <w:pPr>
        <w:shd w:val="clear" w:color="auto" w:fill="auto"/>
        <w:spacing w:line="360" w:lineRule="auto"/>
        <w:ind w:firstLine="409" w:firstLineChars="195"/>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条款号：13.12                       修改类型：增加</w:t>
      </w:r>
    </w:p>
    <w:p w14:paraId="706F1F1C">
      <w:pPr>
        <w:pBdr>
          <w:bottom w:val="single" w:color="auto" w:sz="6" w:space="1"/>
        </w:pBdr>
        <w:shd w:val="clear" w:color="auto" w:fill="auto"/>
        <w:spacing w:line="360" w:lineRule="auto"/>
        <w:ind w:firstLine="409" w:firstLineChars="195"/>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u w:val="single"/>
        </w:rPr>
        <w:t>13.12本工程中标人通过现场考察，提出具体施工方案，无论在工程施工期间或是在质量保修期内，</w:t>
      </w:r>
      <w:r>
        <w:rPr>
          <w:rFonts w:hint="eastAsia"/>
          <w:color w:val="auto"/>
          <w:highlight w:val="none"/>
          <w:lang w:val="en-US" w:eastAsia="zh-CN"/>
        </w:rPr>
        <w:t>若因施工而引起的一切索赔、赔偿、诉讼费用、律师费用、鉴定费用、保全费用、差旅费和其他开支费用等</w:t>
      </w:r>
      <w:r>
        <w:rPr>
          <w:rFonts w:hint="eastAsia" w:ascii="宋体" w:hAnsi="宋体" w:eastAsia="宋体" w:cs="宋体"/>
          <w:color w:val="auto"/>
          <w:sz w:val="21"/>
          <w:szCs w:val="21"/>
          <w:highlight w:val="none"/>
          <w:u w:val="single"/>
        </w:rPr>
        <w:t>，由中标人承担全部责任。该项费用在措施项目费中设有独立单项项目，该费用（除围蔽费用除外）包干使用，且中标人不得以任何理由要求招标人另行增加该部分费用（中标人要充分考虑最不利因素影响而采用的施工方案所需的费用）。</w:t>
      </w:r>
    </w:p>
    <w:p w14:paraId="04BAD7D6">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条款号：15.2              修改类型：修改</w:t>
      </w:r>
    </w:p>
    <w:p w14:paraId="5AB3A609">
      <w:pPr>
        <w:pStyle w:val="5"/>
        <w:pBdr>
          <w:bottom w:val="single" w:color="auto" w:sz="6" w:space="1"/>
        </w:pBdr>
        <w:spacing w:after="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b/>
          <w:bCs/>
          <w:color w:val="auto"/>
          <w:szCs w:val="21"/>
          <w:highlight w:val="none"/>
        </w:rPr>
        <w:t xml:space="preserve">15.2 </w:t>
      </w:r>
      <w:r>
        <w:rPr>
          <w:rFonts w:hint="eastAsia" w:ascii="宋体" w:hAnsi="宋体" w:eastAsia="宋体" w:cs="宋体"/>
          <w:bCs/>
          <w:color w:val="auto"/>
          <w:szCs w:val="21"/>
          <w:highlight w:val="none"/>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14:paraId="111111C3">
      <w:pPr>
        <w:pStyle w:val="5"/>
        <w:pBdr>
          <w:bottom w:val="single" w:color="auto" w:sz="6" w:space="1"/>
        </w:pBdr>
        <w:spacing w:after="0"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现文：15.2</w:t>
      </w:r>
      <w:r>
        <w:rPr>
          <w:rFonts w:hint="eastAsia" w:ascii="宋体" w:hAnsi="宋体" w:eastAsia="宋体" w:cs="宋体"/>
          <w:bCs/>
          <w:color w:val="auto"/>
          <w:szCs w:val="21"/>
          <w:highlight w:val="none"/>
        </w:rPr>
        <w:t>在特殊情况下，招标人在原定投标有效期内，可以根据需要以书面形式向投标人提出延长投标有效期的要求，对此要求投标人须以书面形式予以答复。</w:t>
      </w:r>
      <w:r>
        <w:rPr>
          <w:rFonts w:hint="eastAsia" w:ascii="宋体" w:hAnsi="宋体" w:eastAsia="宋体" w:cs="宋体"/>
          <w:bCs/>
          <w:color w:val="auto"/>
          <w:szCs w:val="21"/>
          <w:highlight w:val="none"/>
          <w:u w:val="single"/>
        </w:rPr>
        <w:t>投标人可以拒绝招标人这种要求。同意延长投标有效期的投标人既不能要求也不允许修改其投标文件。</w:t>
      </w:r>
    </w:p>
    <w:p w14:paraId="155643C5">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条款号：16.1  16.1.1  16.1.2  16.1.3  16.2  16.3         修改类型：删除</w:t>
      </w:r>
    </w:p>
    <w:p w14:paraId="234A2A8D">
      <w:pPr>
        <w:pStyle w:val="5"/>
        <w:pBdr>
          <w:bottom w:val="single" w:color="auto" w:sz="6" w:space="1"/>
        </w:pBd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b/>
          <w:bCs/>
          <w:color w:val="auto"/>
          <w:szCs w:val="21"/>
          <w:highlight w:val="none"/>
        </w:rPr>
        <w:t>16.1</w:t>
      </w:r>
      <w:r>
        <w:rPr>
          <w:rFonts w:hint="eastAsia" w:ascii="宋体" w:hAnsi="宋体" w:eastAsia="宋体" w:cs="宋体"/>
          <w:bCs/>
          <w:color w:val="auto"/>
          <w:szCs w:val="21"/>
          <w:highlight w:val="none"/>
        </w:rPr>
        <w:t>投标人应按投标须知前附表第14项所述金额和时间递交投标保证金。招标人应当允许投标人自主选择现金、银行保函、保证保险、专业工程担保公司担保等方式缴纳投标保证金。</w:t>
      </w:r>
    </w:p>
    <w:p w14:paraId="30BD0D81">
      <w:pPr>
        <w:pStyle w:val="5"/>
        <w:pBdr>
          <w:bottom w:val="single" w:color="auto" w:sz="6" w:space="1"/>
        </w:pBd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 xml:space="preserve">16.1.1 </w:t>
      </w:r>
      <w:r>
        <w:rPr>
          <w:rFonts w:hint="eastAsia" w:ascii="宋体" w:hAnsi="宋体" w:eastAsia="宋体" w:cs="宋体"/>
          <w:bCs/>
          <w:color w:val="auto"/>
          <w:szCs w:val="21"/>
          <w:highlight w:val="none"/>
        </w:rPr>
        <w:t>采用现金或者支票形式提交的，投标保证金须从投标人的银行基本账户转出。</w:t>
      </w:r>
    </w:p>
    <w:p w14:paraId="3D48F515">
      <w:pPr>
        <w:pStyle w:val="5"/>
        <w:pBdr>
          <w:bottom w:val="single" w:color="auto" w:sz="6" w:space="1"/>
        </w:pBd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 xml:space="preserve">16.1.2 </w:t>
      </w:r>
      <w:r>
        <w:rPr>
          <w:rFonts w:hint="eastAsia" w:ascii="宋体" w:hAnsi="宋体" w:eastAsia="宋体" w:cs="宋体"/>
          <w:bCs/>
          <w:color w:val="auto"/>
          <w:szCs w:val="21"/>
          <w:highlight w:val="none"/>
        </w:rPr>
        <w:t>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2B656EFC">
      <w:pPr>
        <w:pStyle w:val="5"/>
        <w:pBdr>
          <w:bottom w:val="single" w:color="auto" w:sz="6" w:space="1"/>
        </w:pBd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 xml:space="preserve">16.1.3 </w:t>
      </w:r>
      <w:r>
        <w:rPr>
          <w:rFonts w:hint="eastAsia" w:ascii="宋体" w:hAnsi="宋体" w:eastAsia="宋体" w:cs="宋体"/>
          <w:bCs/>
          <w:color w:val="auto"/>
          <w:szCs w:val="21"/>
          <w:highlight w:val="none"/>
        </w:rPr>
        <w:t>采用电子形式的保函、担保或保证保险提交投标保证金的，应在招标文件中明确电子递交途径。</w:t>
      </w:r>
    </w:p>
    <w:p w14:paraId="46D638E1">
      <w:pPr>
        <w:pStyle w:val="5"/>
        <w:pBdr>
          <w:bottom w:val="single" w:color="auto" w:sz="6" w:space="1"/>
        </w:pBd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16.2</w:t>
      </w:r>
      <w:r>
        <w:rPr>
          <w:rFonts w:hint="eastAsia" w:ascii="宋体" w:hAnsi="宋体" w:eastAsia="宋体" w:cs="宋体"/>
          <w:bCs/>
          <w:color w:val="auto"/>
          <w:szCs w:val="21"/>
          <w:highlight w:val="none"/>
        </w:rPr>
        <w:t>开标时投标人没有按要求提供投标保证金的，其投标文件将被否决；未按招标文件要求提交符合免予提供投标保证金相关证明材料，且未提交投标保证金的投标人，视为未按要求提供投标保证金。</w:t>
      </w:r>
    </w:p>
    <w:p w14:paraId="29B3B17D">
      <w:pPr>
        <w:pStyle w:val="5"/>
        <w:pBdr>
          <w:bottom w:val="single" w:color="auto" w:sz="6" w:space="1"/>
        </w:pBd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16.3</w:t>
      </w:r>
      <w:r>
        <w:rPr>
          <w:rFonts w:hint="eastAsia" w:ascii="宋体" w:hAnsi="宋体" w:eastAsia="宋体" w:cs="宋体"/>
          <w:bCs/>
          <w:color w:val="auto"/>
          <w:szCs w:val="21"/>
          <w:highlight w:val="none"/>
        </w:rPr>
        <w:t>投标保证金应依据法律法规的相关规定退还。</w:t>
      </w:r>
    </w:p>
    <w:p w14:paraId="0723E86D">
      <w:pPr>
        <w:pBdr>
          <w:top w:val="none" w:color="auto" w:sz="0" w:space="0"/>
          <w:left w:val="none" w:color="auto" w:sz="0" w:space="0"/>
          <w:bottom w:val="none" w:color="auto" w:sz="0" w:space="0"/>
          <w:right w:val="none" w:color="auto" w:sz="0" w:space="0"/>
          <w:between w:val="none" w:color="auto" w:sz="0" w:space="0"/>
        </w:pBd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条款号：16.4           修改类型：修改</w:t>
      </w:r>
    </w:p>
    <w:p w14:paraId="4DE4935B">
      <w:pPr>
        <w:pBdr>
          <w:top w:val="none" w:color="auto" w:sz="0" w:space="0"/>
          <w:left w:val="none" w:color="auto" w:sz="0" w:space="0"/>
          <w:bottom w:val="none" w:color="auto" w:sz="0" w:space="0"/>
          <w:right w:val="none" w:color="auto" w:sz="0" w:space="0"/>
          <w:between w:val="none" w:color="auto" w:sz="0" w:space="0"/>
        </w:pBd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原文：16.4</w:t>
      </w:r>
      <w:r>
        <w:rPr>
          <w:rFonts w:hint="eastAsia" w:ascii="宋体" w:hAnsi="宋体" w:eastAsia="宋体" w:cs="宋体"/>
          <w:color w:val="auto"/>
          <w:szCs w:val="21"/>
          <w:highlight w:val="none"/>
        </w:rPr>
        <w:t>如有下列情况之一的，招标人可以不予退还投标保证金（是否退还投标保证金由招标人在招标文件中规定）：</w:t>
      </w:r>
    </w:p>
    <w:p w14:paraId="26DE822B">
      <w:pPr>
        <w:pBdr>
          <w:top w:val="none" w:color="auto" w:sz="0" w:space="0"/>
          <w:left w:val="none" w:color="auto" w:sz="0" w:space="0"/>
          <w:bottom w:val="none" w:color="auto" w:sz="0" w:space="0"/>
          <w:right w:val="none" w:color="auto" w:sz="0" w:space="0"/>
          <w:between w:val="none" w:color="auto" w:sz="0" w:space="0"/>
        </w:pBd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16.4.1因投标人原因造成投标文件未解密的；</w:t>
      </w:r>
    </w:p>
    <w:p w14:paraId="79DAB95C">
      <w:pPr>
        <w:pBdr>
          <w:top w:val="none" w:color="auto" w:sz="0" w:space="0"/>
          <w:left w:val="none" w:color="auto" w:sz="0" w:space="0"/>
          <w:bottom w:val="none" w:color="auto" w:sz="0" w:space="0"/>
          <w:right w:val="none" w:color="auto" w:sz="0" w:space="0"/>
          <w:between w:val="none" w:color="auto" w:sz="0" w:space="0"/>
        </w:pBd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16.4.2投标人在投标有效期内撤销投标文件；</w:t>
      </w:r>
    </w:p>
    <w:p w14:paraId="06818B7E">
      <w:pPr>
        <w:pBdr>
          <w:top w:val="none" w:color="auto" w:sz="0" w:space="0"/>
          <w:left w:val="none" w:color="auto" w:sz="0" w:space="0"/>
          <w:bottom w:val="none" w:color="auto" w:sz="0" w:space="0"/>
          <w:right w:val="none" w:color="auto" w:sz="0" w:space="0"/>
          <w:between w:val="none" w:color="auto" w:sz="0" w:space="0"/>
        </w:pBd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16.4.3中标人未能在规定期限内按要求提交履约担保；</w:t>
      </w:r>
    </w:p>
    <w:p w14:paraId="70DC65FF">
      <w:pPr>
        <w:pBdr>
          <w:top w:val="none" w:color="auto" w:sz="0" w:space="0"/>
          <w:left w:val="none" w:color="auto" w:sz="0" w:space="0"/>
          <w:bottom w:val="none" w:color="auto" w:sz="0" w:space="0"/>
          <w:right w:val="none" w:color="auto" w:sz="0" w:space="0"/>
          <w:between w:val="none" w:color="auto" w:sz="0" w:space="0"/>
        </w:pBd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16.4.4中标人未能在规定期限内签署合同协议。</w:t>
      </w:r>
    </w:p>
    <w:p w14:paraId="51541D90">
      <w:pPr>
        <w:pBdr>
          <w:top w:val="none" w:color="auto" w:sz="0" w:space="0"/>
          <w:left w:val="none" w:color="auto" w:sz="0" w:space="0"/>
          <w:bottom w:val="none" w:color="auto" w:sz="0" w:space="0"/>
          <w:right w:val="none" w:color="auto" w:sz="0" w:space="0"/>
          <w:between w:val="none" w:color="auto" w:sz="0" w:space="0"/>
        </w:pBd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现文：16.4</w:t>
      </w:r>
      <w:r>
        <w:rPr>
          <w:rFonts w:hint="eastAsia" w:ascii="宋体" w:hAnsi="宋体" w:eastAsia="宋体" w:cs="宋体"/>
          <w:color w:val="auto"/>
          <w:szCs w:val="21"/>
          <w:highlight w:val="none"/>
          <w:u w:val="single"/>
        </w:rPr>
        <w:t>投标人如存在下列情况之一的，招标人有权拒绝其在1年内参与招标人后续工程投标。</w:t>
      </w:r>
    </w:p>
    <w:p w14:paraId="43835237">
      <w:pPr>
        <w:pBdr>
          <w:top w:val="none" w:color="auto" w:sz="0" w:space="0"/>
          <w:left w:val="none" w:color="auto" w:sz="0" w:space="0"/>
          <w:bottom w:val="none" w:color="auto" w:sz="0" w:space="0"/>
          <w:right w:val="none" w:color="auto" w:sz="0" w:space="0"/>
          <w:between w:val="none" w:color="auto" w:sz="0" w:space="0"/>
        </w:pBd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16.4.1投标人在投标有效期内撤销投标文件；</w:t>
      </w:r>
    </w:p>
    <w:p w14:paraId="655E1A56">
      <w:pPr>
        <w:pBdr>
          <w:top w:val="none" w:color="auto" w:sz="0" w:space="0"/>
          <w:left w:val="none" w:color="auto" w:sz="0" w:space="0"/>
          <w:bottom w:val="none" w:color="auto" w:sz="0" w:space="0"/>
          <w:right w:val="none" w:color="auto" w:sz="0" w:space="0"/>
          <w:between w:val="none" w:color="auto" w:sz="0" w:space="0"/>
        </w:pBd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16.4.2中标人未能在规定期限内按要求提交履约担保；</w:t>
      </w:r>
    </w:p>
    <w:p w14:paraId="64DEF77C">
      <w:pPr>
        <w:pBdr>
          <w:top w:val="none" w:color="auto" w:sz="0" w:space="0"/>
          <w:left w:val="none" w:color="auto" w:sz="0" w:space="0"/>
          <w:bottom w:val="none" w:color="auto" w:sz="0" w:space="0"/>
          <w:right w:val="none" w:color="auto" w:sz="0" w:space="0"/>
          <w:between w:val="none" w:color="auto" w:sz="0" w:space="0"/>
        </w:pBdr>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16.4.3中标人未能在规定期限内签署合同协议。</w:t>
      </w:r>
    </w:p>
    <w:p w14:paraId="02C35BD6">
      <w:pPr>
        <w:pStyle w:val="2"/>
        <w:pBdr>
          <w:top w:val="none" w:color="auto" w:sz="0" w:space="0"/>
          <w:left w:val="none" w:color="auto" w:sz="0" w:space="0"/>
          <w:bottom w:val="single" w:color="auto" w:sz="4" w:space="0"/>
          <w:right w:val="none" w:color="auto" w:sz="0" w:space="0"/>
          <w:between w:val="none" w:color="auto" w:sz="0" w:space="0"/>
        </w:pBdr>
        <w:rPr>
          <w:rFonts w:hint="eastAsia"/>
          <w:color w:val="auto"/>
          <w:sz w:val="24"/>
          <w:szCs w:val="24"/>
          <w:highlight w:val="none"/>
          <w:u w:val="none"/>
        </w:rPr>
      </w:pPr>
      <w:r>
        <w:rPr>
          <w:rFonts w:hint="eastAsia" w:ascii="宋体" w:hAnsi="宋体" w:eastAsia="宋体" w:cs="宋体"/>
          <w:color w:val="auto"/>
          <w:sz w:val="21"/>
          <w:szCs w:val="21"/>
          <w:highlight w:val="none"/>
          <w:u w:val="single"/>
          <w:lang w:val="en-US" w:eastAsia="zh-CN"/>
        </w:rPr>
        <w:t>16.4.</w:t>
      </w:r>
      <w:r>
        <w:rPr>
          <w:rFonts w:hint="eastAsia" w:ascii="宋体" w:hAnsi="宋体" w:cs="宋体"/>
          <w:color w:val="auto"/>
          <w:sz w:val="21"/>
          <w:szCs w:val="21"/>
          <w:highlight w:val="none"/>
          <w:u w:val="single"/>
          <w:lang w:val="en-US" w:eastAsia="zh-CN"/>
        </w:rPr>
        <w:t>4投标人在投标过程中存在行贿、串通投标等欺诈的重大违法行为的</w:t>
      </w:r>
      <w:r>
        <w:rPr>
          <w:rFonts w:hint="eastAsia" w:ascii="宋体" w:hAnsi="宋体" w:eastAsia="宋体" w:cs="宋体"/>
          <w:color w:val="auto"/>
          <w:sz w:val="21"/>
          <w:szCs w:val="21"/>
          <w:highlight w:val="none"/>
          <w:u w:val="single"/>
          <w:lang w:val="en-US" w:eastAsia="zh-CN"/>
        </w:rPr>
        <w:t>。</w:t>
      </w:r>
    </w:p>
    <w:p w14:paraId="262D2DF9">
      <w:pPr>
        <w:spacing w:line="360" w:lineRule="auto"/>
        <w:ind w:firstLine="470"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条款号：16.5             修改类型：删除</w:t>
      </w:r>
    </w:p>
    <w:p w14:paraId="5CC280AB">
      <w:pPr>
        <w:spacing w:line="360" w:lineRule="auto"/>
        <w:ind w:firstLine="470" w:firstLineChars="224"/>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bCs/>
          <w:color w:val="auto"/>
          <w:szCs w:val="21"/>
          <w:highlight w:val="none"/>
        </w:rPr>
        <w:t>16.5投标人如存在下列情况之一的，将被拒绝在一定时期内参与招标人后续工程投标（拒绝时限需在招标文件中明确）：</w:t>
      </w:r>
    </w:p>
    <w:p w14:paraId="7F39BC90">
      <w:pPr>
        <w:spacing w:line="360" w:lineRule="auto"/>
        <w:ind w:firstLine="470" w:firstLineChars="224"/>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16.5.1投标人存在16.4条款所列情形且投标人提交的保函、担保或保证保险无法兑付的；</w:t>
      </w:r>
    </w:p>
    <w:p w14:paraId="0E3A04F0">
      <w:pPr>
        <w:spacing w:line="360" w:lineRule="auto"/>
        <w:ind w:firstLine="470" w:firstLineChars="224"/>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16.5.2采用非电子形式提交投标保证金的投标人存在16.4条款所列情形，且未按招标人要求补交银行保函、专业工程担保公司担保或保证保险原件的；</w:t>
      </w:r>
    </w:p>
    <w:p w14:paraId="50EA7763">
      <w:pPr>
        <w:spacing w:line="360" w:lineRule="auto"/>
        <w:ind w:firstLine="470" w:firstLineChars="224"/>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16.5.3按招标文件要求免于提供投标保证金的投标人存在16.4条款所列情形，且未按招标人要求补交投标保证金的；</w:t>
      </w:r>
    </w:p>
    <w:p w14:paraId="4121CA35">
      <w:pPr>
        <w:spacing w:line="360" w:lineRule="auto"/>
        <w:ind w:firstLine="470" w:firstLineChars="224"/>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16.5.3按招标文件要求免于提供投标保证金的投标人存在16.4条款所列情形的。</w:t>
      </w:r>
    </w:p>
    <w:p w14:paraId="2DFA929D">
      <w:pPr>
        <w:pBdr>
          <w:bottom w:val="single" w:color="auto" w:sz="4" w:space="1"/>
        </w:pBd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注：16.5.3款由招标人二选一，需在招标文件中明确。</w:t>
      </w:r>
    </w:p>
    <w:p w14:paraId="627EDCDC">
      <w:pPr>
        <w:shd w:val="clear" w:color="auto" w:fill="auto"/>
        <w:spacing w:line="360" w:lineRule="auto"/>
        <w:ind w:firstLine="470"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条款号：17.1             修改类型：修改</w:t>
      </w:r>
    </w:p>
    <w:p w14:paraId="2B216CC6">
      <w:pPr>
        <w:shd w:val="clear" w:color="auto" w:fill="auto"/>
        <w:spacing w:line="360" w:lineRule="auto"/>
        <w:ind w:firstLine="470"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原文：17.1</w:t>
      </w:r>
      <w:r>
        <w:rPr>
          <w:rFonts w:hint="eastAsia" w:ascii="宋体" w:hAnsi="宋体" w:eastAsia="宋体" w:cs="宋体"/>
          <w:bCs/>
          <w:color w:val="auto"/>
          <w:szCs w:val="21"/>
          <w:highlight w:val="none"/>
        </w:rPr>
        <w:t>投标人应采用单位数字证书，对投标文件加盖电子印章。投标文件中需个人签字或盖章的，应加盖个人电子印章或在线下完成后扫描上传。按照交易平台关于全流程电子化项目的相关指南进行操作。详见：</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w:t>
      </w:r>
    </w:p>
    <w:p w14:paraId="5BD119E1">
      <w:pPr>
        <w:pBdr>
          <w:bottom w:val="single" w:color="auto" w:sz="6" w:space="1"/>
        </w:pBdr>
        <w:shd w:val="clear" w:color="auto" w:fill="auto"/>
        <w:spacing w:line="360" w:lineRule="auto"/>
        <w:ind w:firstLine="525" w:firstLineChars="250"/>
        <w:rPr>
          <w:rFonts w:hint="eastAsia" w:ascii="宋体" w:hAnsi="宋体" w:eastAsia="宋体" w:cs="宋体"/>
          <w:b w:val="0"/>
          <w:bCs w:val="0"/>
          <w:color w:val="auto"/>
          <w:szCs w:val="21"/>
          <w:highlight w:val="none"/>
        </w:rPr>
      </w:pPr>
      <w:r>
        <w:rPr>
          <w:rFonts w:hint="eastAsia" w:ascii="宋体" w:hAnsi="宋体" w:eastAsia="宋体" w:cs="宋体"/>
          <w:b/>
          <w:color w:val="auto"/>
          <w:szCs w:val="21"/>
          <w:highlight w:val="none"/>
        </w:rPr>
        <w:t>现文：17.1</w:t>
      </w:r>
      <w:r>
        <w:rPr>
          <w:rFonts w:hint="eastAsia" w:ascii="宋体" w:hAnsi="宋体" w:eastAsia="宋体" w:cs="宋体"/>
          <w:bCs/>
          <w:color w:val="auto"/>
          <w:szCs w:val="21"/>
          <w:highlight w:val="none"/>
        </w:rPr>
        <w:t>投标人应采用单位数字证书，</w:t>
      </w:r>
      <w:r>
        <w:rPr>
          <w:rFonts w:hint="eastAsia" w:ascii="宋体" w:hAnsi="宋体" w:eastAsia="宋体" w:cs="宋体"/>
          <w:b/>
          <w:bCs w:val="0"/>
          <w:color w:val="auto"/>
          <w:szCs w:val="21"/>
          <w:highlight w:val="none"/>
        </w:rPr>
        <w:t>对投标文件</w:t>
      </w:r>
      <w:r>
        <w:rPr>
          <w:rFonts w:hint="eastAsia" w:ascii="宋体" w:hAnsi="宋体" w:eastAsia="宋体" w:cs="宋体"/>
          <w:bCs/>
          <w:color w:val="auto"/>
          <w:szCs w:val="21"/>
          <w:highlight w:val="none"/>
        </w:rPr>
        <w:t>加盖电子印章。投标文件中需个人签字或盖章的，应加盖个人电子印章或在线下完成签字或盖章后扫描上传。按照交易平台关于全流程电子化项目的相关指南进行操作。详见：</w:t>
      </w:r>
      <w:r>
        <w:rPr>
          <w:rFonts w:hint="eastAsia" w:ascii="宋体" w:hAnsi="宋体" w:eastAsia="宋体" w:cs="宋体"/>
          <w:b w:val="0"/>
          <w:bCs w:val="0"/>
          <w:color w:val="auto"/>
          <w:szCs w:val="21"/>
          <w:highlight w:val="none"/>
          <w:u w:val="single"/>
        </w:rPr>
        <w:t>广州交易集团有限公司（广州公共资源交易中心）网站发布的相关指南</w:t>
      </w:r>
      <w:r>
        <w:rPr>
          <w:rFonts w:hint="eastAsia" w:ascii="宋体" w:hAnsi="宋体" w:eastAsia="宋体" w:cs="宋体"/>
          <w:b w:val="0"/>
          <w:bCs w:val="0"/>
          <w:color w:val="auto"/>
          <w:szCs w:val="21"/>
          <w:highlight w:val="none"/>
        </w:rPr>
        <w:t>。</w:t>
      </w:r>
    </w:p>
    <w:p w14:paraId="50F3DC16">
      <w:pPr>
        <w:shd w:val="clear" w:color="auto" w:fill="auto"/>
        <w:spacing w:line="480" w:lineRule="auto"/>
        <w:ind w:firstLine="470"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条款号：18.1             修改类型：修改</w:t>
      </w:r>
    </w:p>
    <w:p w14:paraId="5068084A">
      <w:pPr>
        <w:shd w:val="clear" w:color="auto" w:fill="auto"/>
        <w:spacing w:line="360" w:lineRule="auto"/>
        <w:ind w:firstLine="470"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原文：18.1</w:t>
      </w:r>
      <w:r>
        <w:rPr>
          <w:rFonts w:hint="eastAsia" w:ascii="宋体" w:hAnsi="宋体" w:eastAsia="宋体" w:cs="宋体"/>
          <w:bCs/>
          <w:color w:val="auto"/>
          <w:szCs w:val="21"/>
          <w:highlight w:val="none"/>
        </w:rPr>
        <w:t>递交的电子投标文件（不含备用光盘）必须进行加密。按照交易平台关于全流程电子化项目的相关指南进行操作。详见：</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w:t>
      </w:r>
    </w:p>
    <w:p w14:paraId="5366AE7E">
      <w:pPr>
        <w:pBdr>
          <w:bottom w:val="single" w:color="auto" w:sz="6" w:space="1"/>
        </w:pBdr>
        <w:shd w:val="clear" w:color="auto" w:fill="auto"/>
        <w:spacing w:line="360" w:lineRule="auto"/>
        <w:ind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color w:val="auto"/>
          <w:szCs w:val="21"/>
          <w:highlight w:val="none"/>
        </w:rPr>
        <w:t>现文：18.1</w:t>
      </w:r>
      <w:r>
        <w:rPr>
          <w:rFonts w:hint="eastAsia" w:ascii="宋体" w:hAnsi="宋体" w:eastAsia="宋体" w:cs="宋体"/>
          <w:bCs/>
          <w:color w:val="auto"/>
          <w:szCs w:val="21"/>
          <w:highlight w:val="none"/>
        </w:rPr>
        <w:t>递交的电子投标文件（不含备用光盘</w:t>
      </w:r>
      <w:r>
        <w:rPr>
          <w:rFonts w:hint="eastAsia" w:ascii="宋体" w:hAnsi="宋体" w:eastAsia="宋体" w:cs="宋体"/>
          <w:color w:val="auto"/>
          <w:szCs w:val="21"/>
          <w:highlight w:val="none"/>
        </w:rPr>
        <w:t>或U盘</w:t>
      </w:r>
      <w:r>
        <w:rPr>
          <w:rFonts w:hint="eastAsia" w:ascii="宋体" w:hAnsi="宋体" w:eastAsia="宋体" w:cs="宋体"/>
          <w:bCs/>
          <w:color w:val="auto"/>
          <w:szCs w:val="21"/>
          <w:highlight w:val="none"/>
        </w:rPr>
        <w:t>）必须进行加密。按照交易平台关于全流程电子化项目的相关指南进行操作。详见：</w:t>
      </w:r>
      <w:r>
        <w:rPr>
          <w:rFonts w:hint="eastAsia" w:ascii="宋体" w:hAnsi="宋体" w:eastAsia="宋体" w:cs="宋体"/>
          <w:b w:val="0"/>
          <w:bCs w:val="0"/>
          <w:color w:val="auto"/>
          <w:szCs w:val="21"/>
          <w:highlight w:val="none"/>
          <w:u w:val="single"/>
        </w:rPr>
        <w:t>广州交易集团有限公司（广州公共资源交易中心）网站发布的相关指南</w:t>
      </w:r>
      <w:r>
        <w:rPr>
          <w:rFonts w:hint="eastAsia" w:ascii="宋体" w:hAnsi="宋体" w:eastAsia="宋体" w:cs="宋体"/>
          <w:b w:val="0"/>
          <w:bCs w:val="0"/>
          <w:color w:val="auto"/>
          <w:szCs w:val="21"/>
          <w:highlight w:val="none"/>
        </w:rPr>
        <w:t>。</w:t>
      </w:r>
    </w:p>
    <w:p w14:paraId="5A154E0B">
      <w:pPr>
        <w:shd w:val="clear" w:color="auto" w:fill="auto"/>
        <w:spacing w:line="360" w:lineRule="auto"/>
        <w:ind w:firstLine="470"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条款号：18.2             修改类型：修改</w:t>
      </w:r>
    </w:p>
    <w:p w14:paraId="3A77D32D">
      <w:pPr>
        <w:shd w:val="clear" w:color="auto" w:fill="auto"/>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原文：18.2</w:t>
      </w:r>
      <w:r>
        <w:rPr>
          <w:rFonts w:hint="eastAsia" w:ascii="宋体" w:hAnsi="宋体" w:eastAsia="宋体" w:cs="宋体"/>
          <w:bCs/>
          <w:color w:val="auto"/>
          <w:szCs w:val="21"/>
          <w:highlight w:val="none"/>
        </w:rPr>
        <w:t xml:space="preserve"> 未按要求加密的投标文件，</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交易平台将予以拒收。</w:t>
      </w:r>
    </w:p>
    <w:p w14:paraId="67F483BE">
      <w:pPr>
        <w:pBdr>
          <w:bottom w:val="single" w:color="auto" w:sz="6" w:space="1"/>
        </w:pBdr>
        <w:shd w:val="clear" w:color="auto" w:fill="auto"/>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现文：18.2</w:t>
      </w:r>
      <w:r>
        <w:rPr>
          <w:rFonts w:hint="eastAsia" w:ascii="宋体" w:hAnsi="宋体" w:eastAsia="宋体" w:cs="宋体"/>
          <w:bCs/>
          <w:color w:val="auto"/>
          <w:szCs w:val="21"/>
          <w:highlight w:val="none"/>
        </w:rPr>
        <w:t xml:space="preserve"> 未按要求加密的投标文件，</w:t>
      </w:r>
      <w:r>
        <w:rPr>
          <w:rFonts w:hint="eastAsia" w:ascii="宋体" w:hAnsi="宋体" w:eastAsia="宋体" w:cs="宋体"/>
          <w:b w:val="0"/>
          <w:bCs w:val="0"/>
          <w:color w:val="auto"/>
          <w:szCs w:val="21"/>
          <w:highlight w:val="none"/>
          <w:u w:val="single"/>
        </w:rPr>
        <w:t>广州交易集团有限公司（广州公共资源交易中心）</w:t>
      </w:r>
      <w:r>
        <w:rPr>
          <w:rFonts w:hint="eastAsia" w:ascii="宋体" w:hAnsi="宋体" w:eastAsia="宋体" w:cs="宋体"/>
          <w:bCs/>
          <w:color w:val="auto"/>
          <w:szCs w:val="21"/>
          <w:highlight w:val="none"/>
        </w:rPr>
        <w:t>交易平台将予以拒收。</w:t>
      </w:r>
    </w:p>
    <w:p w14:paraId="0F631F76">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条款号：19               修改类型：修改</w:t>
      </w:r>
    </w:p>
    <w:p w14:paraId="4BEC9C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19．投标文件的递交和接收</w:t>
      </w:r>
    </w:p>
    <w:p w14:paraId="5DE92A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19.1投标人通过交易平台递交电子投标文件。</w:t>
      </w:r>
    </w:p>
    <w:p w14:paraId="266B839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19.2投标人完成电子投标文件上传后，交易平台即时向投标人发出递交回执通知。递交时间以递交回执通知载明的传输完成时间为准。</w:t>
      </w:r>
    </w:p>
    <w:p w14:paraId="1178F3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19.3逾期送达的电子投标文件，交易平台将予以拒收。</w:t>
      </w:r>
    </w:p>
    <w:p w14:paraId="4EC7CC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19.4 投标截止前，招标人拒绝接收符合条件的投标文件，投标人可向招标投标监督机构投诉。</w:t>
      </w:r>
    </w:p>
    <w:p w14:paraId="7AB476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19.5如技术标和经济标先后分别开启，交易平台将按招标文件规定的时间分别开启技术标和经济标。</w:t>
      </w:r>
    </w:p>
    <w:p w14:paraId="724E91D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19．投标文件的递交和接收</w:t>
      </w:r>
    </w:p>
    <w:p w14:paraId="275536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19.1投标人通过</w:t>
      </w:r>
      <w:r>
        <w:rPr>
          <w:rFonts w:hint="eastAsia" w:ascii="宋体" w:hAnsi="宋体" w:eastAsia="宋体" w:cs="宋体"/>
          <w:color w:val="auto"/>
          <w:szCs w:val="21"/>
          <w:highlight w:val="none"/>
          <w:u w:val="single"/>
        </w:rPr>
        <w:t>广州交易集团有限公司（广州公共资源交易中心）</w:t>
      </w:r>
      <w:r>
        <w:rPr>
          <w:rFonts w:hint="eastAsia" w:ascii="宋体" w:hAnsi="宋体" w:eastAsia="宋体" w:cs="宋体"/>
          <w:color w:val="auto"/>
          <w:szCs w:val="21"/>
          <w:highlight w:val="none"/>
        </w:rPr>
        <w:t>交易平台递交电子投标文件。</w:t>
      </w:r>
    </w:p>
    <w:p w14:paraId="4EA765DD">
      <w:pPr>
        <w:pBdr>
          <w:bottom w:val="single" w:color="auto" w:sz="6" w:space="1"/>
        </w:pBd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19.2投标人完成电子投标文件上传后，</w:t>
      </w:r>
      <w:r>
        <w:rPr>
          <w:rFonts w:hint="eastAsia" w:ascii="宋体" w:hAnsi="宋体" w:eastAsia="宋体" w:cs="宋体"/>
          <w:color w:val="auto"/>
          <w:szCs w:val="21"/>
          <w:highlight w:val="none"/>
          <w:u w:val="single"/>
        </w:rPr>
        <w:t>广州交易集团有限公司（广州公共资源交易中心）</w:t>
      </w:r>
      <w:r>
        <w:rPr>
          <w:rFonts w:hint="eastAsia" w:ascii="宋体" w:hAnsi="宋体" w:eastAsia="宋体" w:cs="宋体"/>
          <w:color w:val="auto"/>
          <w:szCs w:val="21"/>
          <w:highlight w:val="none"/>
        </w:rPr>
        <w:t>交易平台即时向投标人发出递交回执通知。递交时间以递交回执通知载明的传输完成时间为准。</w:t>
      </w:r>
    </w:p>
    <w:p w14:paraId="5CC69D44">
      <w:pPr>
        <w:pBdr>
          <w:bottom w:val="single" w:color="auto" w:sz="6" w:space="1"/>
        </w:pBd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19.3逾期送达的电子投标文件，</w:t>
      </w:r>
      <w:r>
        <w:rPr>
          <w:rFonts w:hint="eastAsia" w:ascii="宋体" w:hAnsi="宋体" w:eastAsia="宋体" w:cs="宋体"/>
          <w:color w:val="auto"/>
          <w:szCs w:val="21"/>
          <w:highlight w:val="none"/>
          <w:u w:val="single"/>
        </w:rPr>
        <w:t>广州交易集团有限公司（广州公共资源交易中心）</w:t>
      </w:r>
      <w:r>
        <w:rPr>
          <w:rFonts w:hint="eastAsia" w:ascii="宋体" w:hAnsi="宋体" w:eastAsia="宋体" w:cs="宋体"/>
          <w:color w:val="auto"/>
          <w:szCs w:val="21"/>
          <w:highlight w:val="none"/>
        </w:rPr>
        <w:t>交易平台将予以拒收。</w:t>
      </w:r>
    </w:p>
    <w:p w14:paraId="4CEA511E">
      <w:pPr>
        <w:pBdr>
          <w:bottom w:val="single" w:color="auto" w:sz="6" w:space="1"/>
        </w:pBd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19.4 投标截止前，招标人拒绝接收符合条件的投标文件，投标人可向招标投标监督机构投诉。</w:t>
      </w:r>
    </w:p>
    <w:p w14:paraId="3B13223D">
      <w:pPr>
        <w:shd w:val="clear" w:color="auto" w:fill="auto"/>
        <w:adjustRightInd w:val="0"/>
        <w:spacing w:line="360" w:lineRule="auto"/>
        <w:ind w:firstLine="409" w:firstLineChars="195"/>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条款号：20.3                       修改类型：修改</w:t>
      </w:r>
    </w:p>
    <w:p w14:paraId="76B03989">
      <w:pPr>
        <w:shd w:val="clear" w:color="auto" w:fill="auto"/>
        <w:adjustRightInd w:val="0"/>
        <w:spacing w:line="360" w:lineRule="auto"/>
        <w:ind w:firstLine="409" w:firstLineChars="195"/>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Cs/>
          <w:color w:val="auto"/>
          <w:sz w:val="21"/>
          <w:szCs w:val="21"/>
          <w:highlight w:val="none"/>
        </w:rPr>
        <w:t>20.3 到投标截止时间止，招标人收到的投标文件少于3家的，招标人将重新组织招标（当N个标段同时招标且不允许兼中时，若有效投标人不足N+2家，则重新组织招标）。</w:t>
      </w:r>
    </w:p>
    <w:p w14:paraId="07FFB53F">
      <w:pPr>
        <w:pBdr>
          <w:bottom w:val="single" w:color="auto" w:sz="6" w:space="1"/>
        </w:pBdr>
        <w:shd w:val="clear" w:color="auto" w:fill="auto"/>
        <w:adjustRightInd w:val="0"/>
        <w:spacing w:line="360" w:lineRule="auto"/>
        <w:ind w:firstLine="409" w:firstLineChars="195"/>
        <w:textAlignment w:val="baseline"/>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bCs/>
          <w:color w:val="auto"/>
          <w:sz w:val="21"/>
          <w:szCs w:val="21"/>
          <w:highlight w:val="none"/>
        </w:rPr>
        <w:t>20.3 到投标截止时间止，招标人收到的投标文件少于3家的，招标人将重新组织招标。</w:t>
      </w:r>
    </w:p>
    <w:p w14:paraId="74F25431">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条款号：21.1                       修改类型：修改</w:t>
      </w:r>
    </w:p>
    <w:p w14:paraId="4060F19B">
      <w:pPr>
        <w:pBdr>
          <w:bottom w:val="single" w:color="auto" w:sz="6" w:space="1"/>
        </w:pBd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21.1 本须知前附表第17项规定的投标截止时间后送达的电子投标文件，交易平台将予以拒收。</w:t>
      </w:r>
    </w:p>
    <w:p w14:paraId="152E85B3">
      <w:pPr>
        <w:pBdr>
          <w:bottom w:val="single" w:color="auto" w:sz="6" w:space="1"/>
        </w:pBd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21.1 本须知前附表第17项规定的投标截止时间后送达的电子投标文件，</w:t>
      </w:r>
      <w:r>
        <w:rPr>
          <w:rFonts w:hint="eastAsia" w:ascii="宋体" w:hAnsi="宋体" w:eastAsia="宋体" w:cs="宋体"/>
          <w:color w:val="auto"/>
          <w:szCs w:val="21"/>
          <w:highlight w:val="none"/>
          <w:u w:val="single"/>
        </w:rPr>
        <w:t>广州交易集团有限公司（广州公共资源交易中心）</w:t>
      </w:r>
      <w:r>
        <w:rPr>
          <w:rFonts w:hint="eastAsia" w:ascii="宋体" w:hAnsi="宋体" w:eastAsia="宋体" w:cs="宋体"/>
          <w:color w:val="auto"/>
          <w:szCs w:val="21"/>
          <w:highlight w:val="none"/>
        </w:rPr>
        <w:t>交易平台将予以拒收。</w:t>
      </w:r>
    </w:p>
    <w:p w14:paraId="70F1086B">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条款号：27                         修改类型：修改</w:t>
      </w:r>
    </w:p>
    <w:p w14:paraId="76FAB19E">
      <w:pPr>
        <w:pBdr>
          <w:bottom w:val="single" w:color="auto" w:sz="6" w:space="1"/>
        </w:pBd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27．中标通知书</w:t>
      </w:r>
    </w:p>
    <w:p w14:paraId="5859C836">
      <w:pPr>
        <w:pBdr>
          <w:bottom w:val="single" w:color="auto" w:sz="6" w:space="1"/>
        </w:pBd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27.1招标人将在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0C73D845">
      <w:pPr>
        <w:pBdr>
          <w:bottom w:val="single" w:color="auto" w:sz="6" w:space="1"/>
        </w:pBd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27.2招标人应当自确定中标人后，向招标投标监管机构提交招标投标情况的书面报告；经招投标监管机构备案后，方可发出中标通知书。</w:t>
      </w:r>
    </w:p>
    <w:p w14:paraId="5F72294F">
      <w:pPr>
        <w:pBdr>
          <w:bottom w:val="single" w:color="auto" w:sz="6" w:space="1"/>
        </w:pBd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27.3中标人必须在收到中标通知书后24小时之内以书面形式回复招标人，确认收到。</w:t>
      </w:r>
    </w:p>
    <w:p w14:paraId="449F6121">
      <w:pPr>
        <w:pBdr>
          <w:bottom w:val="single" w:color="auto" w:sz="6" w:space="1"/>
        </w:pBd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27.4在产生中标候选人后，招标人将中标候选人的投标文件商务部分文件的所有内容（包括人员、业绩、奖项等资料）在交易平台和广东省招标投标监管网公开。</w:t>
      </w:r>
    </w:p>
    <w:p w14:paraId="730A0248">
      <w:pPr>
        <w:pBdr>
          <w:bottom w:val="single" w:color="auto" w:sz="6" w:space="1"/>
        </w:pBd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27．中标通知书</w:t>
      </w:r>
    </w:p>
    <w:p w14:paraId="2200FC37">
      <w:pPr>
        <w:pBdr>
          <w:bottom w:val="single" w:color="auto" w:sz="6" w:space="1"/>
        </w:pBd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27.1招标人将在</w:t>
      </w:r>
      <w:r>
        <w:rPr>
          <w:rFonts w:hint="eastAsia" w:ascii="宋体" w:hAnsi="宋体" w:eastAsia="宋体" w:cs="宋体"/>
          <w:color w:val="auto"/>
          <w:szCs w:val="21"/>
          <w:highlight w:val="none"/>
          <w:u w:val="single"/>
        </w:rPr>
        <w:t>广州交易集团有限公司（广州公共资源交易中心）</w:t>
      </w:r>
      <w:r>
        <w:rPr>
          <w:rFonts w:hint="eastAsia" w:ascii="宋体" w:hAnsi="宋体" w:eastAsia="宋体" w:cs="宋体"/>
          <w:color w:val="auto"/>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2679C918">
      <w:pPr>
        <w:pBdr>
          <w:bottom w:val="single" w:color="auto" w:sz="6" w:space="1"/>
        </w:pBd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27.2招标人应当自确定中标人后，向招标投标监管机构提交招标投标情况的书面报告；经招投标监管机构备案后，方可发出中标通知书。</w:t>
      </w:r>
    </w:p>
    <w:p w14:paraId="5655A8CA">
      <w:pPr>
        <w:pBdr>
          <w:bottom w:val="single" w:color="auto" w:sz="6" w:space="1"/>
        </w:pBd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w:t>
      </w:r>
      <w:r>
        <w:rPr>
          <w:rFonts w:hint="eastAsia" w:ascii="宋体" w:hAnsi="宋体" w:eastAsia="宋体" w:cs="宋体"/>
          <w:color w:val="auto"/>
          <w:szCs w:val="21"/>
          <w:highlight w:val="none"/>
          <w:u w:val="single"/>
        </w:rPr>
        <w:t>中标人自行于广州交易集团有限公司（广州公共资源交易中心）交易平台下载中标通知书。中标人须对其投标文件真实性负责，并准备投标文件涉及的所有原件待查，如存在弄虚作假情况或原件不齐或与原件不符的，招标人有权取消其中标人资格，并上报建设行政主管部门。</w:t>
      </w:r>
    </w:p>
    <w:p w14:paraId="6278070D">
      <w:pPr>
        <w:pBdr>
          <w:bottom w:val="single" w:color="auto" w:sz="6" w:space="1"/>
        </w:pBd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27.4在产生中标候选人后，招标人将中标候选人的投标文件商务部分文件的人员、业绩、奖项等资料在</w:t>
      </w:r>
      <w:r>
        <w:rPr>
          <w:rFonts w:hint="eastAsia" w:ascii="宋体" w:hAnsi="宋体" w:eastAsia="宋体" w:cs="宋体"/>
          <w:color w:val="auto"/>
          <w:szCs w:val="21"/>
          <w:highlight w:val="none"/>
          <w:u w:val="single"/>
        </w:rPr>
        <w:t>广州交易集团有限公司（广州公共资源交易中心）</w:t>
      </w:r>
      <w:r>
        <w:rPr>
          <w:rFonts w:hint="eastAsia" w:ascii="宋体" w:hAnsi="宋体" w:eastAsia="宋体" w:cs="宋体"/>
          <w:color w:val="auto"/>
          <w:szCs w:val="21"/>
          <w:highlight w:val="none"/>
        </w:rPr>
        <w:t>交易平台和广东省招标投标监管网公开。</w:t>
      </w:r>
    </w:p>
    <w:p w14:paraId="6CA74E0C">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条款号：28.2                       修改类型：修改</w:t>
      </w:r>
    </w:p>
    <w:p w14:paraId="699B424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原文：28.2</w:t>
      </w:r>
      <w:r>
        <w:rPr>
          <w:rFonts w:hint="eastAsia" w:ascii="宋体" w:hAnsi="宋体" w:eastAsia="宋体" w:cs="宋体"/>
          <w:color w:val="auto"/>
          <w:szCs w:val="21"/>
          <w:highlight w:val="none"/>
        </w:rPr>
        <w:t>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2EC682DF">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现文：</w:t>
      </w:r>
      <w:r>
        <w:rPr>
          <w:rFonts w:hint="eastAsia" w:ascii="宋体" w:hAnsi="宋体" w:eastAsia="宋体" w:cs="宋体"/>
          <w:b/>
          <w:bCs/>
          <w:color w:val="auto"/>
          <w:szCs w:val="21"/>
          <w:highlight w:val="none"/>
        </w:rPr>
        <w:t>28.2</w:t>
      </w:r>
      <w:r>
        <w:rPr>
          <w:rFonts w:hint="eastAsia" w:ascii="宋体" w:hAnsi="宋体" w:eastAsia="宋体" w:cs="宋体"/>
          <w:color w:val="auto"/>
          <w:szCs w:val="21"/>
          <w:highlight w:val="none"/>
        </w:rPr>
        <w:t>中标通知书发出之日起30日后，中标人未按上款的规定与招标人订立合同，招标人将解除中标通知书，</w:t>
      </w:r>
      <w:r>
        <w:rPr>
          <w:rFonts w:hint="eastAsia" w:ascii="宋体" w:hAnsi="宋体" w:eastAsia="宋体" w:cs="宋体"/>
          <w:color w:val="auto"/>
          <w:szCs w:val="21"/>
          <w:highlight w:val="none"/>
          <w:u w:val="single"/>
        </w:rPr>
        <w:t>且中标人依法承担相应法律责任。原中标人给招标人造成的损失，应当予以赔偿。原中标人有异议的，可以向工程所在地人民法院起诉。</w:t>
      </w:r>
    </w:p>
    <w:p w14:paraId="7B6B07D1">
      <w:pPr>
        <w:spacing w:line="360" w:lineRule="auto"/>
        <w:ind w:firstLine="420" w:firstLineChars="200"/>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条款号：28.</w:t>
      </w:r>
      <w:r>
        <w:rPr>
          <w:rFonts w:hint="eastAsia" w:ascii="宋体" w:hAnsi="宋体" w:cs="宋体"/>
          <w:b/>
          <w:color w:val="auto"/>
          <w:szCs w:val="21"/>
          <w:highlight w:val="none"/>
          <w:lang w:val="en-US" w:eastAsia="zh-CN"/>
        </w:rPr>
        <w:t>3</w:t>
      </w:r>
      <w:r>
        <w:rPr>
          <w:rFonts w:hint="eastAsia" w:ascii="宋体" w:hAnsi="宋体" w:eastAsia="宋体" w:cs="宋体"/>
          <w:b/>
          <w:color w:val="auto"/>
          <w:szCs w:val="21"/>
          <w:highlight w:val="none"/>
        </w:rPr>
        <w:t xml:space="preserve">                       修改类型：</w:t>
      </w:r>
      <w:r>
        <w:rPr>
          <w:rFonts w:hint="eastAsia" w:ascii="宋体" w:hAnsi="宋体" w:cs="宋体"/>
          <w:b/>
          <w:color w:val="auto"/>
          <w:szCs w:val="21"/>
          <w:highlight w:val="none"/>
          <w:lang w:val="en-US" w:eastAsia="zh-CN"/>
        </w:rPr>
        <w:t>删除</w:t>
      </w:r>
    </w:p>
    <w:p w14:paraId="2FB5F41B">
      <w:pPr>
        <w:pBdr>
          <w:bottom w:val="single" w:color="auto" w:sz="4" w:space="0"/>
        </w:pBd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 w:val="21"/>
          <w:szCs w:val="20"/>
          <w:highlight w:val="none"/>
        </w:rPr>
        <w:t>28.3非经招标人同意，中标人在投标过程中使用的银行名称及帐号至完成竣工结算不得变更，否则招标人有权停止工程款项的拔付及至解除合同，由此造成的一切责任由中标人承担。</w:t>
      </w:r>
    </w:p>
    <w:p w14:paraId="24F75FEF">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条款号：28.4                       修改类型：修改</w:t>
      </w:r>
    </w:p>
    <w:p w14:paraId="6E12B0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28.4工程进度款支付应不低于已完成工程价款的80%，招标人支付工程款时，中标人应按规定开具发票。质量保证金不超过工程价款总额3%。当年开工、当年不能竣工的新开工项目可以采用过程结算。</w:t>
      </w:r>
    </w:p>
    <w:p w14:paraId="7C2A6F6E">
      <w:pPr>
        <w:pBdr>
          <w:bottom w:val="single" w:color="auto" w:sz="6" w:space="1"/>
        </w:pBd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bCs/>
          <w:color w:val="auto"/>
          <w:szCs w:val="21"/>
          <w:highlight w:val="none"/>
        </w:rPr>
        <w:t>28.4招标人支付工程款时，中标人应</w:t>
      </w:r>
      <w:r>
        <w:rPr>
          <w:rFonts w:hint="eastAsia" w:ascii="宋体" w:hAnsi="宋体" w:eastAsia="宋体" w:cs="宋体"/>
          <w:color w:val="auto"/>
          <w:szCs w:val="21"/>
          <w:highlight w:val="none"/>
        </w:rPr>
        <w:t>按规定开具</w:t>
      </w:r>
      <w:r>
        <w:rPr>
          <w:rFonts w:hint="eastAsia" w:ascii="宋体" w:hAnsi="宋体" w:eastAsia="宋体" w:cs="宋体"/>
          <w:bCs/>
          <w:color w:val="auto"/>
          <w:szCs w:val="21"/>
          <w:highlight w:val="none"/>
          <w:u w:val="single"/>
        </w:rPr>
        <w:t>符合国家税务相关部门要求的</w:t>
      </w:r>
      <w:r>
        <w:rPr>
          <w:rFonts w:hint="eastAsia" w:ascii="宋体" w:hAnsi="宋体" w:eastAsia="宋体" w:cs="宋体"/>
          <w:bCs/>
          <w:color w:val="auto"/>
          <w:szCs w:val="21"/>
          <w:highlight w:val="none"/>
        </w:rPr>
        <w:t>发票。</w:t>
      </w:r>
    </w:p>
    <w:p w14:paraId="6166BA97">
      <w:pPr>
        <w:spacing w:line="276" w:lineRule="auto"/>
        <w:ind w:firstLine="420"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条款号：29                       修改类型：修改</w:t>
      </w:r>
    </w:p>
    <w:p w14:paraId="50F9B142">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原文：29．履约担保</w:t>
      </w:r>
    </w:p>
    <w:p w14:paraId="1FF957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29.1 </w:t>
      </w:r>
      <w:r>
        <w:rPr>
          <w:rFonts w:hint="eastAsia" w:ascii="宋体" w:hAnsi="宋体" w:eastAsia="宋体" w:cs="宋体"/>
          <w:color w:val="auto"/>
          <w:szCs w:val="21"/>
          <w:highlight w:val="none"/>
        </w:rPr>
        <w:t>在收到中标通知书后的15日内，中标人应按本须知前附表第20项的规定向招标人提交履约担保。</w:t>
      </w:r>
    </w:p>
    <w:p w14:paraId="7F8CB89A">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
          <w:color w:val="auto"/>
          <w:szCs w:val="21"/>
          <w:highlight w:val="none"/>
        </w:rPr>
        <w:t>29.2</w:t>
      </w:r>
      <w:r>
        <w:rPr>
          <w:rFonts w:hint="eastAsia" w:ascii="宋体" w:hAnsi="宋体" w:eastAsia="宋体" w:cs="宋体"/>
          <w:color w:val="auto"/>
          <w:szCs w:val="21"/>
          <w:highlight w:val="none"/>
        </w:rPr>
        <w:t>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7E7062F1">
      <w:pPr>
        <w:snapToGrid w:val="0"/>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现文：29．履约担保</w:t>
      </w:r>
    </w:p>
    <w:p w14:paraId="2AE3FAD7">
      <w:pPr>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29.1</w:t>
      </w:r>
      <w:r>
        <w:rPr>
          <w:rFonts w:hint="eastAsia" w:ascii="宋体" w:hAnsi="宋体" w:eastAsia="宋体" w:cs="宋体"/>
          <w:color w:val="auto"/>
          <w:szCs w:val="21"/>
          <w:highlight w:val="none"/>
          <w:u w:val="single"/>
        </w:rPr>
        <w:t>中标人应按本须知前附表第20项的规定向招标人提交履约担保，具体以合同约定为准。</w:t>
      </w:r>
    </w:p>
    <w:p w14:paraId="2BFF009E">
      <w:pPr>
        <w:pBdr>
          <w:bottom w:val="single" w:color="auto" w:sz="6" w:space="1"/>
        </w:pBdr>
        <w:spacing w:line="360" w:lineRule="auto"/>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
          <w:color w:val="auto"/>
          <w:szCs w:val="21"/>
          <w:highlight w:val="none"/>
        </w:rPr>
        <w:t>29.2</w:t>
      </w:r>
      <w:r>
        <w:rPr>
          <w:rFonts w:hint="eastAsia" w:ascii="宋体" w:hAnsi="宋体" w:eastAsia="宋体" w:cs="宋体"/>
          <w:color w:val="auto"/>
          <w:szCs w:val="21"/>
          <w:highlight w:val="none"/>
          <w:u w:val="single"/>
        </w:rPr>
        <w:t>中标人未按上款的规定提交履约担保，招标人将解除中标通知书，且依法承担相应法律责任。原中标人给招标人造成的损失，应当予以赔偿。原中标人有异议的，</w:t>
      </w:r>
      <w:r>
        <w:rPr>
          <w:rFonts w:hint="eastAsia"/>
          <w:color w:val="auto"/>
          <w:highlight w:val="none"/>
          <w:lang w:val="en-US" w:eastAsia="zh-CN"/>
        </w:rPr>
        <w:t>可以向工程所在地人民法院起诉</w:t>
      </w:r>
      <w:r>
        <w:rPr>
          <w:rFonts w:hint="eastAsia" w:ascii="宋体" w:hAnsi="宋体" w:eastAsia="宋体" w:cs="宋体"/>
          <w:color w:val="auto"/>
          <w:szCs w:val="21"/>
          <w:highlight w:val="none"/>
          <w:u w:val="single"/>
        </w:rPr>
        <w:t>。</w:t>
      </w:r>
    </w:p>
    <w:p w14:paraId="6F36EC6A">
      <w:pPr>
        <w:adjustRightInd w:val="0"/>
        <w:spacing w:line="400" w:lineRule="exact"/>
        <w:ind w:firstLine="470" w:firstLineChars="224"/>
        <w:textAlignment w:val="baseline"/>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条款号：30.1                      修改类型：修改</w:t>
      </w:r>
    </w:p>
    <w:p w14:paraId="4B5E52EC">
      <w:pPr>
        <w:adjustRightInd w:val="0"/>
        <w:spacing w:line="400" w:lineRule="exact"/>
        <w:ind w:firstLine="470" w:firstLineChars="224"/>
        <w:textAlignment w:val="baseline"/>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30.1在合同双方全权代表在合同协议书上签字，并分别加盖双方单位的公章后，合同正式生效。</w:t>
      </w:r>
    </w:p>
    <w:p w14:paraId="5CBFB972">
      <w:pPr>
        <w:pBdr>
          <w:bottom w:val="single" w:color="auto" w:sz="6" w:space="1"/>
        </w:pBdr>
        <w:adjustRightInd w:val="0"/>
        <w:spacing w:line="400" w:lineRule="exact"/>
        <w:ind w:firstLine="422" w:firstLineChars="201"/>
        <w:textAlignment w:val="baseline"/>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30.1在合同双方全权代表在合同协议书上签字，并分别加盖双方单位的公章</w:t>
      </w:r>
      <w:r>
        <w:rPr>
          <w:rFonts w:hint="eastAsia" w:ascii="宋体" w:hAnsi="宋体" w:eastAsia="宋体" w:cs="宋体"/>
          <w:color w:val="auto"/>
          <w:szCs w:val="21"/>
          <w:highlight w:val="none"/>
          <w:u w:val="single"/>
        </w:rPr>
        <w:t>且承包人提交履约担保后，合同正式生效。</w:t>
      </w:r>
    </w:p>
    <w:p w14:paraId="1D175D15">
      <w:pPr>
        <w:spacing w:line="360" w:lineRule="auto"/>
        <w:ind w:firstLine="210" w:firstLineChars="1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注：以上修改，仅限于本范本中有可供选择条款的情形。</w:t>
      </w:r>
    </w:p>
    <w:p w14:paraId="6732EBF9">
      <w:pPr>
        <w:spacing w:line="360" w:lineRule="auto"/>
        <w:rPr>
          <w:rFonts w:hint="eastAsia" w:ascii="宋体" w:hAnsi="宋体" w:eastAsia="宋体" w:cs="宋体"/>
          <w:color w:val="auto"/>
          <w:highlight w:val="none"/>
        </w:rPr>
      </w:pPr>
      <w:r>
        <w:rPr>
          <w:rFonts w:hint="eastAsia" w:ascii="宋体" w:hAnsi="宋体" w:eastAsia="宋体" w:cs="宋体"/>
          <w:b/>
          <w:color w:val="auto"/>
          <w:szCs w:val="21"/>
          <w:highlight w:val="none"/>
        </w:rPr>
        <w:t>（以下无正文）</w:t>
      </w:r>
    </w:p>
    <w:p w14:paraId="41FE84E0">
      <w:pPr>
        <w:pStyle w:val="7"/>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10" w:name="_Toc188805895"/>
      <w:r>
        <w:rPr>
          <w:rFonts w:hint="eastAsia" w:ascii="宋体" w:hAnsi="宋体" w:eastAsia="宋体" w:cs="宋体"/>
          <w:color w:val="auto"/>
          <w:highlight w:val="none"/>
        </w:rPr>
        <w:t>三、投标须知通用条款</w:t>
      </w:r>
      <w:bookmarkEnd w:id="10"/>
    </w:p>
    <w:p w14:paraId="65B962BC">
      <w:pPr>
        <w:pStyle w:val="8"/>
        <w:spacing w:before="156" w:after="156"/>
        <w:rPr>
          <w:rFonts w:hint="eastAsia" w:ascii="宋体" w:hAnsi="宋体" w:eastAsia="宋体" w:cs="宋体"/>
          <w:color w:val="auto"/>
          <w:highlight w:val="none"/>
        </w:rPr>
      </w:pPr>
      <w:bookmarkStart w:id="11" w:name="_Toc188805896"/>
      <w:r>
        <w:rPr>
          <w:rFonts w:hint="eastAsia" w:ascii="宋体" w:hAnsi="宋体" w:eastAsia="宋体" w:cs="宋体"/>
          <w:color w:val="auto"/>
          <w:highlight w:val="none"/>
        </w:rPr>
        <w:t>（一）总则</w:t>
      </w:r>
      <w:bookmarkEnd w:id="11"/>
    </w:p>
    <w:p w14:paraId="24034BCF">
      <w:pPr>
        <w:pStyle w:val="5"/>
        <w:spacing w:after="0"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1、定义</w:t>
      </w:r>
    </w:p>
    <w:p w14:paraId="76E11971">
      <w:pPr>
        <w:pStyle w:val="5"/>
        <w:spacing w:after="0"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本招标文件使用的下列词语具有如下规定的意义：</w:t>
      </w:r>
    </w:p>
    <w:p w14:paraId="467DD0DA">
      <w:pPr>
        <w:pStyle w:val="5"/>
        <w:spacing w:after="0" w:line="360" w:lineRule="auto"/>
        <w:ind w:firstLine="480" w:firstLineChars="200"/>
        <w:rPr>
          <w:rFonts w:hint="eastAsia" w:ascii="宋体" w:hAnsi="宋体" w:eastAsia="宋体" w:cs="宋体"/>
          <w:b/>
          <w:bCs/>
          <w:color w:val="auto"/>
          <w:sz w:val="24"/>
          <w:highlight w:val="none"/>
          <w:u w:val="single"/>
        </w:rPr>
      </w:pPr>
      <w:r>
        <w:rPr>
          <w:rFonts w:hint="eastAsia" w:ascii="宋体" w:hAnsi="宋体" w:eastAsia="宋体" w:cs="宋体"/>
          <w:color w:val="auto"/>
          <w:sz w:val="24"/>
          <w:highlight w:val="none"/>
        </w:rPr>
        <w:t>（1）“招标人”（即发包人）、“项目建设管理单位”（或称“项目代建单位”）、“招标代理”、“设计单位”、“监理单位”均已在投标须知前附表中列明。</w:t>
      </w:r>
    </w:p>
    <w:p w14:paraId="1B59228D">
      <w:pPr>
        <w:pStyle w:val="5"/>
        <w:spacing w:after="0"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（2）“投标人”指向招标人提交投标文件的当事人。   </w:t>
      </w:r>
    </w:p>
    <w:p w14:paraId="185B109A">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（3）“承包人”指其投标被招标人接受并与其签订承包合同的当事人。</w:t>
      </w:r>
    </w:p>
    <w:p w14:paraId="427F26A1">
      <w:pPr>
        <w:pStyle w:val="5"/>
        <w:spacing w:after="0"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（4）“招标文件”指由招标代理发出的本文件（包括全部章节、附件）及招标答疑会会议纪要和</w:t>
      </w:r>
      <w:r>
        <w:rPr>
          <w:rFonts w:hint="eastAsia" w:ascii="宋体" w:hAnsi="宋体" w:eastAsia="宋体" w:cs="宋体"/>
          <w:bCs/>
          <w:color w:val="auto"/>
          <w:sz w:val="24"/>
          <w:highlight w:val="none"/>
        </w:rPr>
        <w:t>招标文件的澄清与修改</w:t>
      </w:r>
      <w:r>
        <w:rPr>
          <w:rFonts w:hint="eastAsia" w:ascii="宋体" w:hAnsi="宋体" w:eastAsia="宋体" w:cs="宋体"/>
          <w:color w:val="auto"/>
          <w:sz w:val="24"/>
          <w:highlight w:val="none"/>
        </w:rPr>
        <w:t>文件。</w:t>
      </w:r>
    </w:p>
    <w:p w14:paraId="41F96F80">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（5）“投标文件”指投标人根据本项目招标文件向招标人提交的全部文件。</w:t>
      </w:r>
    </w:p>
    <w:p w14:paraId="1FB5B232">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（6）“书面形式”指打字或印刷的文件和数据电文（包括电报、电传、传真、电子数据交换和电子邮件）。</w:t>
      </w:r>
    </w:p>
    <w:p w14:paraId="3BF8CC48">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2、招标说明</w:t>
      </w:r>
    </w:p>
    <w:p w14:paraId="0992E3D7">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2.1本招标工程项目按照《中华人民共和国招标投标法》等有关法律、行政法规、规章和规范性文件，通过招标方式选定承包人。</w:t>
      </w:r>
    </w:p>
    <w:p w14:paraId="351BFD06">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2.2工程名称、建设地点、建设规模、承包方式、质量标准、招标范围、工期要求等均在投标须知前附表中列明。</w:t>
      </w:r>
    </w:p>
    <w:p w14:paraId="0B0A61C9">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2.3设计说明：详见招标图纸。</w:t>
      </w:r>
    </w:p>
    <w:p w14:paraId="15D8377A">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2.4工程施工特点：详见招标图纸。</w:t>
      </w:r>
    </w:p>
    <w:p w14:paraId="2D2C2399">
      <w:pPr>
        <w:tabs>
          <w:tab w:val="left" w:pos="105"/>
        </w:tabs>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3．资金来源</w:t>
      </w:r>
    </w:p>
    <w:p w14:paraId="52EC17BC">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3.1本招标工程项目资金来源见投标须知前附表第9项</w:t>
      </w:r>
    </w:p>
    <w:p w14:paraId="28BD55FA">
      <w:pPr>
        <w:tabs>
          <w:tab w:val="left" w:pos="105"/>
        </w:tabs>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4．合格投标人的条件</w:t>
      </w:r>
    </w:p>
    <w:p w14:paraId="19DEB332">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4.1详见本项目招标公告</w:t>
      </w:r>
    </w:p>
    <w:p w14:paraId="53D71FEA">
      <w:pPr>
        <w:tabs>
          <w:tab w:val="left" w:pos="105"/>
        </w:tabs>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5．踏勘现场</w:t>
      </w:r>
    </w:p>
    <w:p w14:paraId="66102078">
      <w:pPr>
        <w:spacing w:line="360" w:lineRule="auto"/>
        <w:ind w:firstLine="480" w:firstLineChars="20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5.1 投标人应按本投标须知前附表第15项所述时间和要求对工程现场及周围环境进行踏勘，</w:t>
      </w:r>
      <w:r>
        <w:rPr>
          <w:rFonts w:hint="eastAsia" w:ascii="宋体" w:hAnsi="宋体" w:eastAsia="宋体" w:cs="宋体"/>
          <w:color w:val="auto"/>
          <w:sz w:val="24"/>
          <w:highlight w:val="none"/>
        </w:rPr>
        <w:t>投标人应充分重视和仔细地进行这种考察，</w:t>
      </w:r>
      <w:r>
        <w:rPr>
          <w:rFonts w:hint="eastAsia" w:ascii="宋体" w:hAnsi="宋体" w:eastAsia="宋体" w:cs="宋体"/>
          <w:bCs/>
          <w:color w:val="auto"/>
          <w:sz w:val="24"/>
          <w:highlight w:val="none"/>
        </w:rPr>
        <w:t>以便投标人获取</w:t>
      </w:r>
      <w:r>
        <w:rPr>
          <w:rFonts w:hint="eastAsia" w:ascii="宋体" w:hAnsi="宋体" w:eastAsia="宋体" w:cs="宋体"/>
          <w:color w:val="auto"/>
          <w:sz w:val="24"/>
          <w:highlight w:val="none"/>
        </w:rPr>
        <w:t>那些须投标人自己负责的</w:t>
      </w:r>
      <w:r>
        <w:rPr>
          <w:rFonts w:hint="eastAsia" w:ascii="宋体" w:hAnsi="宋体" w:eastAsia="宋体" w:cs="宋体"/>
          <w:bCs/>
          <w:color w:val="auto"/>
          <w:sz w:val="24"/>
          <w:highlight w:val="none"/>
        </w:rPr>
        <w:t>有关编制投标文件和签署合同所涉及现场所有的资料。</w:t>
      </w:r>
      <w:r>
        <w:rPr>
          <w:rFonts w:hint="eastAsia" w:ascii="宋体" w:hAnsi="宋体" w:eastAsia="宋体" w:cs="宋体"/>
          <w:color w:val="auto"/>
          <w:sz w:val="24"/>
          <w:highlight w:val="none"/>
        </w:rPr>
        <w:t>一旦中标，这种考察即被认为其结果已在中标文件中得到充分反映。考察现场的费用由投标人自己承担。</w:t>
      </w:r>
    </w:p>
    <w:p w14:paraId="2B8745E9">
      <w:pPr>
        <w:tabs>
          <w:tab w:val="left" w:pos="105"/>
        </w:tabs>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5.2 招标人向投标人提供的有关现场的数据和资料，是招标人现有的能被投标人利用的资料，招标人对投标人做出的任何推论、理解和结论均不负责任。</w:t>
      </w:r>
    </w:p>
    <w:p w14:paraId="5ACC3A8B">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5.3 经招标人允许，投标人可为踏勘目的进入招标人的项目现场。</w:t>
      </w:r>
      <w:r>
        <w:rPr>
          <w:rFonts w:hint="eastAsia" w:ascii="宋体" w:hAnsi="宋体" w:eastAsia="宋体" w:cs="宋体"/>
          <w:color w:val="auto"/>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eastAsia="宋体" w:cs="宋体"/>
          <w:bCs/>
          <w:color w:val="auto"/>
          <w:sz w:val="24"/>
          <w:highlight w:val="none"/>
        </w:rPr>
        <w:t>投标人不得因此使招标人承担有关的责任和蒙受损失。</w:t>
      </w:r>
    </w:p>
    <w:p w14:paraId="0389D453">
      <w:pPr>
        <w:tabs>
          <w:tab w:val="left" w:pos="105"/>
        </w:tabs>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6．投标费用</w:t>
      </w:r>
    </w:p>
    <w:p w14:paraId="31371EB0">
      <w:pPr>
        <w:tabs>
          <w:tab w:val="left" w:pos="105"/>
        </w:tabs>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6.1</w:t>
      </w:r>
      <w:r>
        <w:rPr>
          <w:rFonts w:hint="eastAsia" w:ascii="宋体" w:hAnsi="宋体" w:eastAsia="宋体" w:cs="宋体"/>
          <w:color w:val="auto"/>
          <w:sz w:val="24"/>
          <w:highlight w:val="none"/>
        </w:rPr>
        <w:t>不论投标结果如何，投标人应承担</w:t>
      </w:r>
      <w:r>
        <w:rPr>
          <w:rFonts w:hint="eastAsia" w:ascii="宋体" w:hAnsi="宋体" w:eastAsia="宋体" w:cs="宋体"/>
          <w:bCs/>
          <w:color w:val="auto"/>
          <w:sz w:val="24"/>
          <w:highlight w:val="none"/>
        </w:rPr>
        <w:t>自身</w:t>
      </w:r>
      <w:r>
        <w:rPr>
          <w:rFonts w:hint="eastAsia" w:ascii="宋体" w:hAnsi="宋体" w:eastAsia="宋体" w:cs="宋体"/>
          <w:color w:val="auto"/>
          <w:sz w:val="24"/>
          <w:highlight w:val="none"/>
        </w:rPr>
        <w:t>因投标文件编制、递交及其他</w:t>
      </w:r>
      <w:r>
        <w:rPr>
          <w:rFonts w:hint="eastAsia" w:ascii="宋体" w:hAnsi="宋体" w:eastAsia="宋体" w:cs="宋体"/>
          <w:bCs/>
          <w:color w:val="auto"/>
          <w:sz w:val="24"/>
          <w:highlight w:val="none"/>
        </w:rPr>
        <w:t>参加本招标活动</w:t>
      </w:r>
      <w:r>
        <w:rPr>
          <w:rFonts w:hint="eastAsia" w:ascii="宋体" w:hAnsi="宋体" w:eastAsia="宋体" w:cs="宋体"/>
          <w:color w:val="auto"/>
          <w:sz w:val="24"/>
          <w:highlight w:val="none"/>
        </w:rPr>
        <w:t>所涉及的一切费用，招标人对上述费用不负任何责任。</w:t>
      </w:r>
    </w:p>
    <w:p w14:paraId="484C5B2D">
      <w:pPr>
        <w:pStyle w:val="8"/>
        <w:spacing w:before="156" w:after="156"/>
        <w:rPr>
          <w:rFonts w:hint="eastAsia" w:ascii="宋体" w:hAnsi="宋体" w:eastAsia="宋体" w:cs="宋体"/>
          <w:color w:val="auto"/>
          <w:highlight w:val="none"/>
        </w:rPr>
      </w:pPr>
      <w:bookmarkStart w:id="12" w:name="_Toc188805897"/>
      <w:r>
        <w:rPr>
          <w:rFonts w:hint="eastAsia" w:ascii="宋体" w:hAnsi="宋体" w:eastAsia="宋体" w:cs="宋体"/>
          <w:color w:val="auto"/>
          <w:highlight w:val="none"/>
        </w:rPr>
        <w:t>（二）招标文件</w:t>
      </w:r>
      <w:bookmarkEnd w:id="12"/>
    </w:p>
    <w:p w14:paraId="1DF39AFD">
      <w:pPr>
        <w:tabs>
          <w:tab w:val="left" w:pos="105"/>
        </w:tabs>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7.招标文件的组成</w:t>
      </w:r>
    </w:p>
    <w:p w14:paraId="584B4A4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7.1</w:t>
      </w:r>
      <w:r>
        <w:rPr>
          <w:rFonts w:hint="eastAsia" w:ascii="宋体" w:hAnsi="宋体" w:eastAsia="宋体" w:cs="宋体"/>
          <w:color w:val="auto"/>
          <w:sz w:val="24"/>
          <w:highlight w:val="none"/>
        </w:rPr>
        <w:t>本招标文件包括下列文件，以及所有按本须知第8条发出的招标答疑会会议纪要和按本须知第9条发出的澄清或修改：</w:t>
      </w:r>
    </w:p>
    <w:p w14:paraId="53E42FA1">
      <w:pPr>
        <w:pStyle w:val="5"/>
        <w:spacing w:after="0" w:line="360" w:lineRule="auto"/>
        <w:ind w:left="-2"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 xml:space="preserve">第一章  </w:t>
      </w:r>
      <w:r>
        <w:rPr>
          <w:rFonts w:hint="eastAsia" w:ascii="宋体" w:hAnsi="宋体" w:eastAsia="宋体" w:cs="宋体"/>
          <w:color w:val="auto"/>
          <w:sz w:val="24"/>
          <w:highlight w:val="none"/>
        </w:rPr>
        <w:t>投标须知</w:t>
      </w:r>
    </w:p>
    <w:p w14:paraId="5187D387">
      <w:pPr>
        <w:pStyle w:val="5"/>
        <w:spacing w:after="0" w:line="360" w:lineRule="auto"/>
        <w:ind w:left="-2"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 xml:space="preserve">第二章  </w:t>
      </w:r>
      <w:r>
        <w:rPr>
          <w:rFonts w:hint="eastAsia" w:ascii="宋体" w:hAnsi="宋体" w:eastAsia="宋体" w:cs="宋体"/>
          <w:color w:val="auto"/>
          <w:sz w:val="24"/>
          <w:highlight w:val="none"/>
        </w:rPr>
        <w:t>开标、评标及定标办法</w:t>
      </w:r>
    </w:p>
    <w:p w14:paraId="67C1656E">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合同条款</w:t>
      </w:r>
    </w:p>
    <w:p w14:paraId="1DAD972E">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 xml:space="preserve">第四章  </w:t>
      </w:r>
      <w:r>
        <w:rPr>
          <w:rFonts w:hint="eastAsia" w:ascii="宋体" w:hAnsi="宋体" w:eastAsia="宋体" w:cs="宋体"/>
          <w:color w:val="auto"/>
          <w:sz w:val="24"/>
          <w:highlight w:val="none"/>
        </w:rPr>
        <w:t>投标文件格式</w:t>
      </w:r>
    </w:p>
    <w:p w14:paraId="6681F309">
      <w:pPr>
        <w:pStyle w:val="5"/>
        <w:spacing w:after="0" w:line="360" w:lineRule="auto"/>
        <w:ind w:left="-2"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 xml:space="preserve">第五章  </w:t>
      </w:r>
      <w:r>
        <w:rPr>
          <w:rFonts w:hint="eastAsia" w:ascii="宋体" w:hAnsi="宋体" w:eastAsia="宋体" w:cs="宋体"/>
          <w:color w:val="auto"/>
          <w:sz w:val="24"/>
          <w:highlight w:val="none"/>
        </w:rPr>
        <w:t>技术条件（工程建设标准）（另册）</w:t>
      </w:r>
    </w:p>
    <w:p w14:paraId="20E089B2">
      <w:pPr>
        <w:pStyle w:val="5"/>
        <w:spacing w:after="0" w:line="360" w:lineRule="auto"/>
        <w:ind w:left="-2"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 xml:space="preserve">第六章  </w:t>
      </w:r>
      <w:r>
        <w:rPr>
          <w:rFonts w:hint="eastAsia" w:ascii="宋体" w:hAnsi="宋体" w:eastAsia="宋体" w:cs="宋体"/>
          <w:color w:val="auto"/>
          <w:sz w:val="24"/>
          <w:highlight w:val="none"/>
        </w:rPr>
        <w:t>图纸及勘察资料（另册）</w:t>
      </w:r>
    </w:p>
    <w:p w14:paraId="6DDCA8D2">
      <w:pPr>
        <w:pStyle w:val="5"/>
        <w:spacing w:after="0" w:line="360" w:lineRule="auto"/>
        <w:ind w:left="-2"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第七章  招标</w:t>
      </w:r>
      <w:r>
        <w:rPr>
          <w:rFonts w:hint="eastAsia" w:ascii="宋体" w:hAnsi="宋体" w:eastAsia="宋体" w:cs="宋体"/>
          <w:color w:val="auto"/>
          <w:sz w:val="24"/>
          <w:highlight w:val="none"/>
        </w:rPr>
        <w:t>工程量清单（另册）</w:t>
      </w:r>
    </w:p>
    <w:p w14:paraId="0B2CA9C5">
      <w:pPr>
        <w:pStyle w:val="5"/>
        <w:spacing w:after="0" w:line="360" w:lineRule="auto"/>
        <w:ind w:left="-2"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第八章  最高投标限价</w:t>
      </w:r>
    </w:p>
    <w:p w14:paraId="6A929D4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14:paraId="570E6370">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171A86E2">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7.3 投标人一旦中标，招标文件的内容对招标人和中标人双方均有约束力。</w:t>
      </w:r>
    </w:p>
    <w:p w14:paraId="20699C94">
      <w:pPr>
        <w:pStyle w:val="5"/>
        <w:spacing w:after="0"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8．招标答疑</w:t>
      </w:r>
    </w:p>
    <w:p w14:paraId="7231A773">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8.1 投标人若对招标文件（包括招标图纸）中有疑问，可以书面形式</w:t>
      </w:r>
      <w:r>
        <w:rPr>
          <w:rFonts w:hint="eastAsia" w:ascii="宋体" w:hAnsi="宋体" w:eastAsia="宋体" w:cs="宋体"/>
          <w:color w:val="auto"/>
          <w:sz w:val="24"/>
          <w:szCs w:val="24"/>
          <w:highlight w:val="none"/>
        </w:rPr>
        <w:t>通过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交易平台提交</w:t>
      </w:r>
      <w:r>
        <w:rPr>
          <w:rFonts w:hint="eastAsia" w:ascii="宋体" w:hAnsi="宋体" w:eastAsia="宋体" w:cs="宋体"/>
          <w:color w:val="auto"/>
          <w:sz w:val="24"/>
          <w:highlight w:val="none"/>
        </w:rPr>
        <w:t>给招标人或招标代理人，提交形式见本须知前附表第16项。</w:t>
      </w:r>
    </w:p>
    <w:p w14:paraId="5A84F7AE">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8.2招标答疑会会议纪要将在提交投标文件截止时间15日前在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w:t>
      </w:r>
      <w:r>
        <w:rPr>
          <w:rFonts w:hint="eastAsia" w:ascii="宋体" w:hAnsi="宋体" w:eastAsia="宋体" w:cs="宋体"/>
          <w:color w:val="auto"/>
          <w:sz w:val="24"/>
          <w:highlight w:val="none"/>
        </w:rPr>
        <w:t xml:space="preserve"> “项目答疑纪要”专区公开发布。答疑纪要一经在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w:t>
      </w:r>
      <w:r>
        <w:rPr>
          <w:rFonts w:hint="eastAsia" w:ascii="宋体" w:hAnsi="宋体" w:eastAsia="宋体" w:cs="宋体"/>
          <w:color w:val="auto"/>
          <w:sz w:val="24"/>
          <w:highlight w:val="none"/>
        </w:rPr>
        <w:t>发布，视作已发放给所有投标人。</w:t>
      </w:r>
    </w:p>
    <w:p w14:paraId="60BAF183">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8.3答疑会会议纪要为招标文件的一部分。</w:t>
      </w:r>
    </w:p>
    <w:p w14:paraId="62C2AA52">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8.4若招标答疑会会议纪要与招标文件有矛盾，以答疑会议纪要最后发出的书面形式的文件为准。</w:t>
      </w:r>
    </w:p>
    <w:p w14:paraId="6B2AB87F">
      <w:pPr>
        <w:pStyle w:val="5"/>
        <w:spacing w:after="0"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9.招标文件的澄清与修改</w:t>
      </w:r>
    </w:p>
    <w:p w14:paraId="671D5C5A">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9.1招标文件发出后,在提交投标文件截止时间15日前，招标人可对招标文件进行必要的澄清或修改。</w:t>
      </w:r>
    </w:p>
    <w:p w14:paraId="0DCC3FFC">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9.2招标文件的澄清或修改将在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w:t>
      </w:r>
      <w:r>
        <w:rPr>
          <w:rFonts w:hint="eastAsia" w:ascii="宋体" w:hAnsi="宋体" w:eastAsia="宋体" w:cs="宋体"/>
          <w:color w:val="auto"/>
          <w:sz w:val="24"/>
          <w:highlight w:val="none"/>
        </w:rPr>
        <w:t>“项目答疑纪要”专区公开发布。答疑纪要一经在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w:t>
      </w:r>
      <w:r>
        <w:rPr>
          <w:rFonts w:hint="eastAsia" w:ascii="宋体" w:hAnsi="宋体" w:eastAsia="宋体" w:cs="宋体"/>
          <w:color w:val="auto"/>
          <w:sz w:val="24"/>
          <w:highlight w:val="none"/>
        </w:rPr>
        <w:t>发布，视作已发放给所有投标人，以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w:t>
      </w:r>
      <w:r>
        <w:rPr>
          <w:rFonts w:hint="eastAsia" w:ascii="宋体" w:hAnsi="宋体" w:eastAsia="宋体" w:cs="宋体"/>
          <w:color w:val="auto"/>
          <w:sz w:val="24"/>
          <w:highlight w:val="none"/>
        </w:rPr>
        <w:t>上网发布时间作为送达时间。</w:t>
      </w:r>
    </w:p>
    <w:p w14:paraId="390B6BF8">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9.3招标文件的修改内容为招标文件的组成部分。</w:t>
      </w:r>
    </w:p>
    <w:p w14:paraId="1F1FC237">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9.4招标文件的澄清或修改均以书面形式明确的内容为准。当招标文件的澄清、修改、补充等在同一内容的表述不一致时，以最后发出的书面形式的文件为准。</w:t>
      </w:r>
    </w:p>
    <w:p w14:paraId="778AE313">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78FB4EC1">
      <w:pPr>
        <w:pStyle w:val="8"/>
        <w:spacing w:before="156" w:after="156"/>
        <w:rPr>
          <w:rFonts w:hint="eastAsia" w:ascii="宋体" w:hAnsi="宋体" w:eastAsia="宋体" w:cs="宋体"/>
          <w:color w:val="auto"/>
          <w:highlight w:val="none"/>
        </w:rPr>
      </w:pPr>
      <w:bookmarkStart w:id="13" w:name="_Toc188805898"/>
      <w:r>
        <w:rPr>
          <w:rFonts w:hint="eastAsia" w:ascii="宋体" w:hAnsi="宋体" w:eastAsia="宋体" w:cs="宋体"/>
          <w:color w:val="auto"/>
          <w:highlight w:val="none"/>
        </w:rPr>
        <w:t>（三）投标文件的编制</w:t>
      </w:r>
      <w:bookmarkEnd w:id="13"/>
    </w:p>
    <w:p w14:paraId="67ECFCDA">
      <w:pPr>
        <w:pStyle w:val="5"/>
        <w:spacing w:after="0"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10．投标文件的语言及度量衡单位</w:t>
      </w:r>
    </w:p>
    <w:p w14:paraId="089C6163">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10.1 投标文件和与投标有关的所有文件均应使用中文。</w:t>
      </w:r>
    </w:p>
    <w:p w14:paraId="47190229">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10.2 除工程规范另有规定外，投标文件使用的度量衡单位，均采用中华人民共和国法定计量单位。</w:t>
      </w:r>
    </w:p>
    <w:p w14:paraId="01FC7BB4">
      <w:pPr>
        <w:pStyle w:val="5"/>
        <w:spacing w:after="0"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11．投标文件的组成</w:t>
      </w:r>
    </w:p>
    <w:p w14:paraId="7EAB090D">
      <w:pPr>
        <w:pStyle w:val="5"/>
        <w:spacing w:after="0"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11.1 投标文件由技术部分（含资格审查文件）和经济部分二部分投标文件组成</w:t>
      </w:r>
      <w:r>
        <w:rPr>
          <w:rFonts w:hint="eastAsia" w:ascii="宋体" w:hAnsi="宋体" w:eastAsia="宋体" w:cs="宋体"/>
          <w:b/>
          <w:color w:val="auto"/>
          <w:sz w:val="24"/>
          <w:highlight w:val="none"/>
        </w:rPr>
        <w:t>。</w:t>
      </w:r>
    </w:p>
    <w:p w14:paraId="39350DF6">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11.2投标文件技术标部分主要包括下列内容:</w:t>
      </w:r>
    </w:p>
    <w:p w14:paraId="7A5545DF">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11.2.1 技术投标文件</w:t>
      </w:r>
      <w:r>
        <w:rPr>
          <w:rFonts w:hint="eastAsia" w:ascii="宋体" w:hAnsi="宋体" w:eastAsia="宋体" w:cs="宋体"/>
          <w:color w:val="auto"/>
          <w:sz w:val="24"/>
          <w:highlight w:val="none"/>
        </w:rPr>
        <w:t>(按招标文件的要求填写)</w:t>
      </w:r>
      <w:r>
        <w:rPr>
          <w:rFonts w:hint="eastAsia" w:ascii="宋体" w:hAnsi="宋体" w:eastAsia="宋体" w:cs="宋体"/>
          <w:bCs/>
          <w:color w:val="auto"/>
          <w:sz w:val="24"/>
          <w:highlight w:val="none"/>
        </w:rPr>
        <w:t>；</w:t>
      </w:r>
    </w:p>
    <w:p w14:paraId="33BAA9EE">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11.2.2 资格审查文件：</w:t>
      </w:r>
    </w:p>
    <w:p w14:paraId="17CB9CD3">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（1）投标人声明； </w:t>
      </w:r>
    </w:p>
    <w:p w14:paraId="7C5A52B5">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（2）法定代表人证明书、法定代表人签字或盖章的本投标文件授权委托证明书；</w:t>
      </w:r>
    </w:p>
    <w:p w14:paraId="13547BBD">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（3）企业营业执照扫描件或电子证照；</w:t>
      </w:r>
    </w:p>
    <w:p w14:paraId="6D187C90">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（4）企业资质证书扫描件或电子证照；</w:t>
      </w:r>
    </w:p>
    <w:p w14:paraId="34BF76AB">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（5）建筑施工企业安全生产许可证扫描件或电子证照；</w:t>
      </w:r>
    </w:p>
    <w:p w14:paraId="663A2024">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highlight w:val="none"/>
        </w:rPr>
        <w:t>（6）</w:t>
      </w:r>
      <w:r>
        <w:rPr>
          <w:rFonts w:hint="eastAsia" w:ascii="宋体" w:hAnsi="宋体" w:eastAsia="宋体" w:cs="宋体"/>
          <w:bCs/>
          <w:color w:val="auto"/>
          <w:sz w:val="24"/>
          <w:szCs w:val="24"/>
          <w:highlight w:val="none"/>
        </w:rPr>
        <w:t>项目负责人（按网上投标登记时选择拟投标的项目负责人）</w:t>
      </w:r>
    </w:p>
    <w:p w14:paraId="6171E24A">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（7）专职安全员（按网上投标登记时选择拟投标的专职安全员）</w:t>
      </w:r>
    </w:p>
    <w:p w14:paraId="464F8734">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（8）拟委托技术负责人的相关证书、资料（具体要求由招标人明确）</w:t>
      </w:r>
    </w:p>
    <w:p w14:paraId="55DCC51C">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（9）拟委派项目负责人的建造师注册证书扫描件或电子证书； </w:t>
      </w:r>
    </w:p>
    <w:p w14:paraId="229A5674">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（10）项目负责人安全生产考核合格证明或在有效期内的安全生产考核合格证书（B类）或建筑施工企业项目负责人安全生产考核合格证书扫描件或电子证书</w:t>
      </w:r>
      <w:r>
        <w:rPr>
          <w:rFonts w:hint="eastAsia" w:ascii="宋体" w:hAnsi="宋体" w:eastAsia="宋体" w:cs="宋体"/>
          <w:bCs/>
          <w:color w:val="auto"/>
          <w:sz w:val="24"/>
          <w:szCs w:val="24"/>
          <w:highlight w:val="none"/>
        </w:rPr>
        <w:t>；</w:t>
      </w:r>
    </w:p>
    <w:p w14:paraId="20D77DC8">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highlight w:val="none"/>
        </w:rPr>
        <w:t>（11）专职安全员须具有在有效期内的安全生产考核合格证书（C类）或建筑施工企业专职安全生产管理人员安全生产考核合格证书扫描件或电子证书</w:t>
      </w:r>
      <w:r>
        <w:rPr>
          <w:rFonts w:hint="eastAsia" w:ascii="宋体" w:hAnsi="宋体" w:eastAsia="宋体" w:cs="宋体"/>
          <w:bCs/>
          <w:color w:val="auto"/>
          <w:sz w:val="24"/>
          <w:szCs w:val="24"/>
          <w:highlight w:val="none"/>
        </w:rPr>
        <w:t>；</w:t>
      </w:r>
    </w:p>
    <w:p w14:paraId="2C2C97F8">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（12）用于资格审查的业绩（设置业绩要求时选择此项，投标人</w:t>
      </w:r>
      <w:r>
        <w:rPr>
          <w:rFonts w:hint="eastAsia" w:ascii="宋体" w:hAnsi="宋体" w:eastAsia="宋体" w:cs="宋体"/>
          <w:color w:val="auto"/>
          <w:sz w:val="24"/>
          <w:highlight w:val="none"/>
        </w:rPr>
        <w:t>须提供类似工程业绩的项目名称及项目编号，具体格式由招标人自定</w:t>
      </w:r>
      <w:r>
        <w:rPr>
          <w:rFonts w:hint="eastAsia" w:ascii="宋体" w:hAnsi="宋体" w:eastAsia="宋体" w:cs="宋体"/>
          <w:bCs/>
          <w:color w:val="auto"/>
          <w:sz w:val="24"/>
          <w:szCs w:val="24"/>
          <w:highlight w:val="none"/>
        </w:rPr>
        <w:t>）；</w:t>
      </w:r>
    </w:p>
    <w:p w14:paraId="56D3DECA">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（13）资格审查前，投标人须在广州市住房和城乡建设局建立企业信用档案，拟担任本工程项目负责人、专职安全员须是本企业信用档案中的在册人员。</w:t>
      </w:r>
    </w:p>
    <w:p w14:paraId="6C1307B2">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（14）列明主办单位的联合体工作协议（采用联合体投标时需递交，投标人拟任本工程项目负责人应为联合体主办方信用档案中的在册人员，</w:t>
      </w:r>
      <w:r>
        <w:rPr>
          <w:rFonts w:hint="eastAsia" w:ascii="宋体" w:hAnsi="宋体" w:eastAsia="宋体" w:cs="宋体"/>
          <w:color w:val="auto"/>
          <w:sz w:val="24"/>
          <w:szCs w:val="24"/>
          <w:highlight w:val="none"/>
        </w:rPr>
        <w:t>联合体工作协议应明确约定各方拟承担的工作和责任</w:t>
      </w:r>
      <w:r>
        <w:rPr>
          <w:rFonts w:hint="eastAsia" w:ascii="宋体" w:hAnsi="宋体" w:eastAsia="宋体" w:cs="宋体"/>
          <w:bCs/>
          <w:color w:val="auto"/>
          <w:sz w:val="24"/>
          <w:szCs w:val="24"/>
          <w:highlight w:val="none"/>
        </w:rPr>
        <w:t xml:space="preserve">）； </w:t>
      </w:r>
    </w:p>
    <w:p w14:paraId="3A2185D7">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注：1.相关电子证书按规定需打印后手写本人签名的，应按照规定手写本人签名后再扫描提交。</w:t>
      </w:r>
    </w:p>
    <w:p w14:paraId="49647494">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szCs w:val="24"/>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232BDCD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11.2.3项目管理机构配备。</w:t>
      </w:r>
    </w:p>
    <w:p w14:paraId="3193D45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（1）投标人应列出该项目工程的施工组织机构构成和画出机构框架图及其负责人；</w:t>
      </w:r>
    </w:p>
    <w:p w14:paraId="5826E64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（2）投标人应详细列出该施工组织机构中主要成员的名单、简历资料、职务职称和在本项目中拟担任的职务等资料，并附上有关证明材料扫描件；</w:t>
      </w:r>
    </w:p>
    <w:p w14:paraId="65CB64C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（3）其他辅助说明资料。</w:t>
      </w:r>
    </w:p>
    <w:p w14:paraId="1D4C2E3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11.2.4投标人在广州市可使用适合本工程的机械设备（附：机械设备为自有或租赁的说明；及承诺机械设备如属于租赁的，其租赁是不属于重复租赁）。</w:t>
      </w:r>
    </w:p>
    <w:p w14:paraId="716922EF">
      <w:pPr>
        <w:tabs>
          <w:tab w:val="left" w:pos="112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11.2.5施工组织设计或施工方案。</w:t>
      </w:r>
    </w:p>
    <w:p w14:paraId="7902103D">
      <w:pPr>
        <w:tabs>
          <w:tab w:val="left" w:pos="112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（1）投标人在编制施工组织设计或施工方案时应按照招标人提出的施工现场建筑垃圾源头减量的具体要求以及建筑垃圾综合利用产品的使用要求提供相应措施。</w:t>
      </w:r>
    </w:p>
    <w:p w14:paraId="3ED484FF">
      <w:pPr>
        <w:tabs>
          <w:tab w:val="left" w:pos="112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3FC2E9EF">
      <w:pPr>
        <w:tabs>
          <w:tab w:val="left" w:pos="112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11.2.6按照</w:t>
      </w:r>
      <w:r>
        <w:rPr>
          <w:rFonts w:hint="eastAsia" w:ascii="宋体" w:hAnsi="宋体" w:eastAsia="宋体" w:cs="宋体"/>
          <w:bCs/>
          <w:color w:val="auto"/>
          <w:sz w:val="24"/>
          <w:highlight w:val="none"/>
        </w:rPr>
        <w:t>招标文件要求</w:t>
      </w:r>
      <w:r>
        <w:rPr>
          <w:rFonts w:hint="eastAsia" w:ascii="宋体" w:hAnsi="宋体" w:eastAsia="宋体" w:cs="宋体"/>
          <w:color w:val="auto"/>
          <w:sz w:val="24"/>
          <w:highlight w:val="none"/>
        </w:rPr>
        <w:t>填写的《参与编制技术标投标文件人员名单》。</w:t>
      </w:r>
    </w:p>
    <w:p w14:paraId="021C4DB9">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11.3 经济部分投标文件主要包括下列内容：</w:t>
      </w:r>
    </w:p>
    <w:p w14:paraId="483F5A3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11.3.1 经济投标文件(按招标文件的要求填写)。</w:t>
      </w:r>
    </w:p>
    <w:p w14:paraId="4D71E3C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eastAsia="宋体" w:cs="宋体"/>
          <w:color w:val="auto"/>
          <w:sz w:val="24"/>
          <w:szCs w:val="24"/>
          <w:highlight w:val="none"/>
        </w:rPr>
        <w:t>其中包括如下：</w:t>
      </w:r>
      <w:r>
        <w:rPr>
          <w:rFonts w:hint="eastAsia" w:ascii="宋体" w:hAnsi="宋体" w:eastAsia="宋体" w:cs="宋体"/>
          <w:color w:val="auto"/>
          <w:sz w:val="24"/>
          <w:highlight w:val="none"/>
        </w:rPr>
        <w:t xml:space="preserve"> </w:t>
      </w:r>
    </w:p>
    <w:p w14:paraId="4ADA9BAC">
      <w:pPr>
        <w:spacing w:line="360" w:lineRule="auto"/>
        <w:ind w:firstLine="566" w:firstLineChars="236"/>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（1）投标总价封面、扉页；</w:t>
      </w:r>
    </w:p>
    <w:p w14:paraId="1A030757">
      <w:pPr>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（2）总说明</w:t>
      </w:r>
    </w:p>
    <w:p w14:paraId="590D78FF">
      <w:pPr>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（3）工程项目投标报价汇总表；</w:t>
      </w:r>
    </w:p>
    <w:p w14:paraId="2912B12E">
      <w:pPr>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（4）单项工程投标报价汇总表；</w:t>
      </w:r>
    </w:p>
    <w:p w14:paraId="08ED912C">
      <w:pPr>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（5）单位工程投标报价汇总表；</w:t>
      </w:r>
    </w:p>
    <w:p w14:paraId="4F8B2FA0">
      <w:pPr>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（6）分部分项工程清单与计价表；</w:t>
      </w:r>
    </w:p>
    <w:p w14:paraId="0A529043">
      <w:pPr>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（7）单价措施项目清单与计价表；</w:t>
      </w:r>
    </w:p>
    <w:p w14:paraId="3F22714F">
      <w:pPr>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（8）总价措施项目清单与计价表；</w:t>
      </w:r>
    </w:p>
    <w:p w14:paraId="46BF1BDD">
      <w:pPr>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（9）综合单价分析表；</w:t>
      </w:r>
    </w:p>
    <w:p w14:paraId="2EC570CD">
      <w:pPr>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（10）其他项目清单与计价汇总表；</w:t>
      </w:r>
    </w:p>
    <w:p w14:paraId="3EFAF0DA">
      <w:pPr>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（11）暂列金额明细表；</w:t>
      </w:r>
    </w:p>
    <w:p w14:paraId="144BA330">
      <w:pPr>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（12）材料（工程设备）暂估价明细表；</w:t>
      </w:r>
    </w:p>
    <w:p w14:paraId="12880EBE">
      <w:pPr>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（13）专业工程暂估价明细表；</w:t>
      </w:r>
    </w:p>
    <w:p w14:paraId="321FD5D3">
      <w:pPr>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（14）计日工表；</w:t>
      </w:r>
    </w:p>
    <w:p w14:paraId="3516DB89">
      <w:pPr>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（15）总承包服务计价表；</w:t>
      </w:r>
    </w:p>
    <w:p w14:paraId="32EB18C3">
      <w:pPr>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（16）规费和税金项目计价表；</w:t>
      </w:r>
    </w:p>
    <w:p w14:paraId="599A6EC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 xml:space="preserve"> （17）人工、主要材料和设备一览表</w:t>
      </w:r>
    </w:p>
    <w:p w14:paraId="14C81B43">
      <w:pPr>
        <w:tabs>
          <w:tab w:val="left" w:pos="112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11.3.3按照</w:t>
      </w:r>
      <w:r>
        <w:rPr>
          <w:rFonts w:hint="eastAsia" w:ascii="宋体" w:hAnsi="宋体" w:eastAsia="宋体" w:cs="宋体"/>
          <w:bCs/>
          <w:color w:val="auto"/>
          <w:sz w:val="24"/>
          <w:highlight w:val="none"/>
        </w:rPr>
        <w:t>招标文件要求</w:t>
      </w:r>
      <w:r>
        <w:rPr>
          <w:rFonts w:hint="eastAsia" w:ascii="宋体" w:hAnsi="宋体" w:eastAsia="宋体" w:cs="宋体"/>
          <w:color w:val="auto"/>
          <w:sz w:val="24"/>
          <w:highlight w:val="none"/>
        </w:rPr>
        <w:t>填写的《参与编制经济标投标文件人员名单》。</w:t>
      </w:r>
    </w:p>
    <w:p w14:paraId="0F6F68A0">
      <w:pPr>
        <w:tabs>
          <w:tab w:val="left" w:pos="112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11.3.4若投标人的投标报价低于工程成本警戒价的，投标人还须提供详细的施工组织设计、单价、措施性费用、单价分析表、主要材料价格表、投标人成本分析供评标委员会评审。</w:t>
      </w:r>
    </w:p>
    <w:p w14:paraId="61697895">
      <w:pPr>
        <w:pStyle w:val="5"/>
        <w:spacing w:after="0"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12．投标文件格式</w:t>
      </w:r>
    </w:p>
    <w:p w14:paraId="79D544DF">
      <w:pPr>
        <w:pStyle w:val="5"/>
        <w:spacing w:after="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12.1 投标文件包括本须知第11条中规定的内容，投标人提交的投标文件应当使用招标文件所提供的投标文件全部格式（表格可以按同样格式扩展）。</w:t>
      </w:r>
    </w:p>
    <w:p w14:paraId="46A9A092">
      <w:pPr>
        <w:pStyle w:val="5"/>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12.2 投标文件全部采用电子文档，投标文件所附证书证件均为原件扫描件，并采用单位数字证书，按招标</w:t>
      </w:r>
      <w:r>
        <w:rPr>
          <w:rFonts w:hint="eastAsia" w:ascii="宋体" w:hAnsi="宋体" w:eastAsia="宋体" w:cs="宋体"/>
          <w:color w:val="auto"/>
          <w:sz w:val="24"/>
          <w:highlight w:val="none"/>
        </w:rPr>
        <w:t>文件要求在相应位置加盖电子印章。投标文件中需个人签字或盖章的，应加盖个人电子印章或在线下完成后扫描上传。按照交易平台关于</w:t>
      </w:r>
      <w:r>
        <w:rPr>
          <w:rFonts w:hint="eastAsia" w:ascii="宋体" w:hAnsi="宋体" w:eastAsia="宋体" w:cs="宋体"/>
          <w:color w:val="auto"/>
          <w:sz w:val="24"/>
          <w:szCs w:val="24"/>
          <w:highlight w:val="none"/>
        </w:rPr>
        <w:t>全流程电子化项目的相关指南进行操作。详见：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79A8D5F">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注释：投标文件电子文档需要投标人单位盖章的材料，投标人加盖电子印章即可，不得将投标人未对电子文档加盖实物印章作为否决投标的情形。</w:t>
      </w:r>
    </w:p>
    <w:p w14:paraId="6BB95648">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12.3 </w:t>
      </w:r>
      <w:r>
        <w:rPr>
          <w:rFonts w:hint="eastAsia" w:ascii="宋体" w:hAnsi="宋体" w:eastAsia="宋体" w:cs="宋体"/>
          <w:bCs/>
          <w:color w:val="auto"/>
          <w:sz w:val="24"/>
          <w:szCs w:val="24"/>
          <w:highlight w:val="none"/>
        </w:rPr>
        <w:t>投标文件应按</w:t>
      </w:r>
      <w:r>
        <w:rPr>
          <w:rFonts w:hint="eastAsia" w:ascii="宋体" w:hAnsi="宋体" w:eastAsia="宋体" w:cs="宋体"/>
          <w:color w:val="auto"/>
          <w:sz w:val="24"/>
          <w:highlight w:val="none"/>
        </w:rPr>
        <w:t>照交易平台关于全流程电子化项目的相关指南进行编制，详见：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highlight w:val="none"/>
        </w:rPr>
        <w:t xml:space="preserve">。               </w:t>
      </w:r>
    </w:p>
    <w:p w14:paraId="3AA8E910">
      <w:pPr>
        <w:pStyle w:val="5"/>
        <w:spacing w:after="0" w:line="360" w:lineRule="auto"/>
        <w:ind w:firstLine="0"/>
        <w:rPr>
          <w:rFonts w:hint="eastAsia" w:ascii="宋体" w:hAnsi="宋体" w:eastAsia="宋体" w:cs="宋体"/>
          <w:color w:val="auto"/>
          <w:sz w:val="24"/>
          <w:highlight w:val="none"/>
        </w:rPr>
      </w:pPr>
      <w:r>
        <w:rPr>
          <w:rFonts w:hint="eastAsia" w:ascii="宋体" w:hAnsi="宋体" w:eastAsia="宋体" w:cs="宋体"/>
          <w:bCs/>
          <w:color w:val="auto"/>
          <w:sz w:val="24"/>
          <w:szCs w:val="24"/>
          <w:highlight w:val="none"/>
        </w:rPr>
        <w:t>如不按上述要求编制引起系统无法检索、读取相关信息的，其后果由投标人承担。</w:t>
      </w:r>
    </w:p>
    <w:p w14:paraId="2BAEF16D">
      <w:pPr>
        <w:pStyle w:val="5"/>
        <w:spacing w:after="0"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13．投标报价及造价承包和变更结算方式</w:t>
      </w:r>
    </w:p>
    <w:p w14:paraId="3C8A8F60">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13.1 本工程的投标报价采用投标须知前附表第12项所规定的方式。投标报价（含单价及总价）精确到“分”。</w:t>
      </w:r>
    </w:p>
    <w:p w14:paraId="111C7699">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1A283186">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eastAsia="宋体" w:cs="宋体"/>
          <w:color w:val="auto"/>
          <w:sz w:val="24"/>
          <w:szCs w:val="24"/>
          <w:highlight w:val="none"/>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71F4FE5F">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7D1F8781">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0ED6F843">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13.5.1中标的投标文件工程量清单中已有相同项目的适用综合单价，则沿用；</w:t>
      </w:r>
    </w:p>
    <w:p w14:paraId="7DF41458">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597C1414">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13.5.3 中标的投标文件工程量清单中没有相同项目或类似项目的，如可套取相关定额，则以相关定额为基数下浮计算单价,下浮率为中标价</w:t>
      </w:r>
      <w:r>
        <w:rPr>
          <w:rFonts w:hint="eastAsia" w:ascii="宋体" w:hAnsi="宋体" w:eastAsia="宋体" w:cs="宋体"/>
          <w:color w:val="auto"/>
          <w:sz w:val="24"/>
          <w:szCs w:val="24"/>
          <w:highlight w:val="none"/>
        </w:rPr>
        <w:t>相对于最高投标限价的下</w:t>
      </w:r>
      <w:r>
        <w:rPr>
          <w:rFonts w:hint="eastAsia" w:ascii="宋体" w:hAnsi="宋体" w:eastAsia="宋体" w:cs="宋体"/>
          <w:color w:val="auto"/>
          <w:sz w:val="24"/>
          <w:highlight w:val="none"/>
        </w:rPr>
        <w:t>浮率（下浮率=(</w:t>
      </w:r>
      <w:r>
        <w:rPr>
          <w:rFonts w:hint="eastAsia" w:ascii="宋体" w:hAnsi="宋体" w:eastAsia="宋体" w:cs="宋体"/>
          <w:color w:val="auto"/>
          <w:sz w:val="24"/>
          <w:szCs w:val="24"/>
          <w:highlight w:val="none"/>
        </w:rPr>
        <w:t>最高投标限价</w:t>
      </w:r>
      <w:r>
        <w:rPr>
          <w:rFonts w:hint="eastAsia" w:ascii="宋体" w:hAnsi="宋体" w:eastAsia="宋体" w:cs="宋体"/>
          <w:color w:val="auto"/>
          <w:sz w:val="24"/>
          <w:highlight w:val="none"/>
        </w:rPr>
        <w:t>-中标价)/</w:t>
      </w:r>
      <w:r>
        <w:rPr>
          <w:rFonts w:hint="eastAsia" w:ascii="宋体" w:hAnsi="宋体" w:eastAsia="宋体" w:cs="宋体"/>
          <w:color w:val="auto"/>
          <w:sz w:val="24"/>
          <w:szCs w:val="24"/>
          <w:highlight w:val="none"/>
        </w:rPr>
        <w:t xml:space="preserve"> 最高投标限价</w:t>
      </w:r>
      <w:r>
        <w:rPr>
          <w:rFonts w:hint="eastAsia" w:ascii="宋体" w:hAnsi="宋体" w:eastAsia="宋体" w:cs="宋体"/>
          <w:color w:val="auto"/>
          <w:sz w:val="24"/>
          <w:highlight w:val="none"/>
        </w:rPr>
        <w:t>）。</w:t>
      </w:r>
    </w:p>
    <w:p w14:paraId="7240A074">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13.5.4 如相关定额没有相应子目的，其计价方式由招标人在本招标文件第三章中另行规定。未规定的，中标后双方协商约定。</w:t>
      </w:r>
    </w:p>
    <w:p w14:paraId="27FF27ED">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13.6暂列金额、暂估价</w:t>
      </w:r>
    </w:p>
    <w:p w14:paraId="490E049F">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29CAB577">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暂估价是指招标人在工程量清单中提供的用于支付必然发生但暂时不能确定价格的材料的单价以及专业工程的金额。</w:t>
      </w:r>
    </w:p>
    <w:p w14:paraId="024FE30B">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14:paraId="5A7BA330">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0E058C64">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5CEF82D7">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695A9220">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425494BD">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13.7投标人可先到工地踏勘以充分了解工地位置、情况、道路、储存空间、装卸限制及任何其他足以影响承包价的情况，任何因忽视或误解工地情况而导致的索赔或工期延长申请将不被批准。</w:t>
      </w:r>
    </w:p>
    <w:p w14:paraId="0E8EFD29">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14:paraId="21C1D769">
      <w:pPr>
        <w:pStyle w:val="5"/>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13.9</w:t>
      </w:r>
      <w:r>
        <w:rPr>
          <w:rFonts w:hint="eastAsia" w:ascii="宋体" w:hAnsi="宋体" w:eastAsia="宋体" w:cs="宋体"/>
          <w:color w:val="auto"/>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21D43B4A">
      <w:pPr>
        <w:pStyle w:val="5"/>
        <w:spacing w:after="0"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14．投标货币</w:t>
      </w:r>
    </w:p>
    <w:p w14:paraId="6A2C3921">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14.1 本工程投标报价采用的币种为人民币。</w:t>
      </w:r>
    </w:p>
    <w:p w14:paraId="6D6B0B29">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15．投标有效期</w:t>
      </w:r>
    </w:p>
    <w:p w14:paraId="0A8691C3">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15.1 投标有效期见投标须知前附表第13项所规定的期限，在此期限内，凡符合本招标文件要求的投标文件均保持有效。</w:t>
      </w:r>
    </w:p>
    <w:p w14:paraId="1D3AB5BB">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14:paraId="5FFB8BD2">
      <w:pPr>
        <w:pStyle w:val="5"/>
        <w:spacing w:after="0"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16．投标保证金</w:t>
      </w:r>
    </w:p>
    <w:p w14:paraId="7C3F1C2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16.1投标人应按投标须知前附表第14项所述金额和时间递交投标保证金。招标人应当允许投标人自主选择现金、银行保函、保证保险、专业工程担保公司担保等方式缴纳投标保证金。</w:t>
      </w:r>
    </w:p>
    <w:p w14:paraId="2B282D8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16.1.1 采用现金或者支票形式提交的，投标保证金须从投标人的银行基本账户转出。</w:t>
      </w:r>
    </w:p>
    <w:p w14:paraId="28964A7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1D8B80F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16.1.3 采用电子形式的保函、担保或保证保险提交投标保证金的，应在招标文件中明确电子递交途径。</w:t>
      </w:r>
    </w:p>
    <w:p w14:paraId="5AE98F5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t xml:space="preserve">    16.3</w:t>
      </w:r>
      <w:r>
        <w:rPr>
          <w:rFonts w:hint="eastAsia" w:ascii="宋体" w:hAnsi="宋体" w:eastAsia="宋体" w:cs="宋体"/>
          <w:color w:val="auto"/>
          <w:sz w:val="24"/>
          <w:szCs w:val="24"/>
          <w:highlight w:val="none"/>
        </w:rPr>
        <w:t>投标保证金应依据法律法规的相关规定退还。</w:t>
      </w:r>
    </w:p>
    <w:p w14:paraId="6AA1D69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16.4</w:t>
      </w:r>
      <w:r>
        <w:rPr>
          <w:rFonts w:hint="eastAsia" w:ascii="宋体" w:hAnsi="宋体" w:eastAsia="宋体" w:cs="宋体"/>
          <w:color w:val="auto"/>
          <w:sz w:val="24"/>
          <w:szCs w:val="24"/>
          <w:highlight w:val="none"/>
        </w:rPr>
        <w:t>如有下列情况之一的，招标人可以不予退还投标保证金（是否退还投标保证金由招标人在招标文件中规定）：</w:t>
      </w:r>
    </w:p>
    <w:p w14:paraId="432D898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16.4.1因投标人原因造成投标文件未解密的；</w:t>
      </w:r>
    </w:p>
    <w:p w14:paraId="10F3E64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16.4.2投标人在投标有效期内撤销投标文件；</w:t>
      </w:r>
    </w:p>
    <w:p w14:paraId="7443047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16.4.3中标人未能在规定期限内按要求提交履约担保；</w:t>
      </w:r>
    </w:p>
    <w:p w14:paraId="61B280F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16.4.4中标人未能在规定期限内签署合同协议。</w:t>
      </w:r>
    </w:p>
    <w:p w14:paraId="5AEDFA7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16.5投标人如存在下列情况之一的，将被拒绝在一定时期内参与招标人后续工程投标（拒绝时限需在招标文件中明确）：</w:t>
      </w:r>
    </w:p>
    <w:p w14:paraId="61DA02A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16.5.1投标人存在16.4条款所列情形且投标人提交的保函、担保或保证保险无法兑付的；</w:t>
      </w:r>
    </w:p>
    <w:p w14:paraId="0AD792F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16.5.2采用非电子形式提交投标保证金的投标人存在16.4条款所列情形，且未按招标人要求补交银行保函、专业工程担保公司担保或保证保险原件的；</w:t>
      </w:r>
    </w:p>
    <w:p w14:paraId="17CB163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16.5.3按招标文件要求免于提供投标保证金的投标人存在16.4条款所列情形，且未按招标人要求补交投标保证金的；</w:t>
      </w:r>
    </w:p>
    <w:p w14:paraId="0ED0C7F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16.5.3按招标文件要求免于提供投标保证金的投标人存在16.4条款所列情形的。</w:t>
      </w:r>
    </w:p>
    <w:p w14:paraId="3965D9D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注：16.5.3款由招标人二选一，需在招标文件中明确。</w:t>
      </w:r>
    </w:p>
    <w:p w14:paraId="06E53E58">
      <w:pPr>
        <w:pStyle w:val="5"/>
        <w:spacing w:after="0"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17．投标文件的签署</w:t>
      </w:r>
    </w:p>
    <w:p w14:paraId="73BBC18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17.1投标人应采用单位数字证书，按招标文件要求在相应位置加盖电子印章。投标文件中需个人签字或盖章的，</w:t>
      </w:r>
      <w:bookmarkStart w:id="14" w:name="_Hlk71276278"/>
      <w:r>
        <w:rPr>
          <w:rFonts w:hint="eastAsia" w:ascii="宋体" w:hAnsi="宋体" w:eastAsia="宋体" w:cs="宋体"/>
          <w:color w:val="auto"/>
          <w:sz w:val="24"/>
          <w:highlight w:val="none"/>
        </w:rPr>
        <w:t>应加盖个人电子印章或在线下完成后扫描上传。</w:t>
      </w:r>
      <w:bookmarkEnd w:id="14"/>
      <w:r>
        <w:rPr>
          <w:rFonts w:hint="eastAsia" w:ascii="宋体" w:hAnsi="宋体" w:eastAsia="宋体" w:cs="宋体"/>
          <w:color w:val="auto"/>
          <w:sz w:val="24"/>
          <w:highlight w:val="none"/>
        </w:rPr>
        <w:t>按照交易平台关于全流程电子化项目的相关指南进行操作。详见：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4BE88E3A">
      <w:pPr>
        <w:pStyle w:val="8"/>
        <w:spacing w:before="156" w:after="156"/>
        <w:rPr>
          <w:rFonts w:hint="eastAsia" w:ascii="宋体" w:hAnsi="宋体" w:eastAsia="宋体" w:cs="宋体"/>
          <w:color w:val="auto"/>
          <w:highlight w:val="none"/>
        </w:rPr>
      </w:pPr>
      <w:bookmarkStart w:id="15" w:name="_Toc188805899"/>
      <w:r>
        <w:rPr>
          <w:rFonts w:hint="eastAsia" w:ascii="宋体" w:hAnsi="宋体" w:eastAsia="宋体" w:cs="宋体"/>
          <w:color w:val="auto"/>
          <w:highlight w:val="none"/>
        </w:rPr>
        <w:t>（四）投标文件的提交</w:t>
      </w:r>
      <w:bookmarkEnd w:id="15"/>
    </w:p>
    <w:p w14:paraId="09C66219">
      <w:pPr>
        <w:pStyle w:val="5"/>
        <w:spacing w:after="0"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w:t>
      </w:r>
      <w:r>
        <w:rPr>
          <w:rFonts w:hint="eastAsia" w:ascii="宋体" w:hAnsi="宋体" w:eastAsia="宋体" w:cs="宋体"/>
          <w:b/>
          <w:color w:val="auto"/>
          <w:sz w:val="24"/>
          <w:szCs w:val="24"/>
          <w:highlight w:val="none"/>
        </w:rPr>
        <w:t>投标文件的密封和标记</w:t>
      </w:r>
    </w:p>
    <w:p w14:paraId="2F9DC3BC">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18.1递交的电子投标文件（不含备用光盘或U盘）必须进行加密。按照交易平台关于</w:t>
      </w:r>
      <w:r>
        <w:rPr>
          <w:rFonts w:hint="eastAsia" w:ascii="宋体" w:hAnsi="宋体" w:eastAsia="宋体" w:cs="宋体"/>
          <w:color w:val="auto"/>
          <w:sz w:val="24"/>
          <w:szCs w:val="24"/>
          <w:highlight w:val="none"/>
        </w:rPr>
        <w:t>全流程电子化项目的相关指南进行操作。详见：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BE69285">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18.2 未按要求加密的投标文件，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w:t>
      </w:r>
      <w:r>
        <w:rPr>
          <w:rFonts w:hint="eastAsia" w:ascii="宋体" w:hAnsi="宋体" w:eastAsia="宋体" w:cs="宋体"/>
          <w:bCs/>
          <w:color w:val="auto"/>
          <w:sz w:val="24"/>
          <w:highlight w:val="none"/>
        </w:rPr>
        <w:t>将予以拒收。</w:t>
      </w:r>
    </w:p>
    <w:p w14:paraId="465A8218">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19．投标文件的递交和接收</w:t>
      </w:r>
    </w:p>
    <w:p w14:paraId="5AF422F1">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19.1投标人通过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w:t>
      </w:r>
      <w:r>
        <w:rPr>
          <w:rFonts w:hint="eastAsia" w:ascii="宋体" w:hAnsi="宋体" w:eastAsia="宋体" w:cs="宋体"/>
          <w:color w:val="auto"/>
          <w:sz w:val="24"/>
          <w:highlight w:val="none"/>
        </w:rPr>
        <w:t>递交电子投标文件。</w:t>
      </w:r>
    </w:p>
    <w:p w14:paraId="085A63A7">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19.2投标人完成电子</w:t>
      </w:r>
      <w:r>
        <w:rPr>
          <w:rFonts w:hint="eastAsia" w:ascii="宋体" w:hAnsi="宋体" w:eastAsia="宋体" w:cs="宋体"/>
          <w:color w:val="auto"/>
          <w:sz w:val="24"/>
          <w:highlight w:val="none"/>
        </w:rPr>
        <w:t>投标文件</w:t>
      </w:r>
      <w:r>
        <w:rPr>
          <w:rFonts w:hint="eastAsia" w:ascii="宋体" w:hAnsi="宋体" w:eastAsia="宋体" w:cs="宋体"/>
          <w:bCs/>
          <w:color w:val="auto"/>
          <w:sz w:val="24"/>
          <w:highlight w:val="none"/>
        </w:rPr>
        <w:t>上传后，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w:t>
      </w:r>
      <w:r>
        <w:rPr>
          <w:rFonts w:hint="eastAsia" w:ascii="宋体" w:hAnsi="宋体" w:eastAsia="宋体" w:cs="宋体"/>
          <w:color w:val="auto"/>
          <w:sz w:val="24"/>
          <w:highlight w:val="none"/>
        </w:rPr>
        <w:t>即时向投标人发出递交回执通知。递交时间以递交回执通知载明的传输完成时间为准。</w:t>
      </w:r>
    </w:p>
    <w:p w14:paraId="5663284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19.3</w:t>
      </w:r>
      <w:r>
        <w:rPr>
          <w:rFonts w:hint="eastAsia" w:ascii="宋体" w:hAnsi="宋体" w:eastAsia="宋体" w:cs="宋体"/>
          <w:bCs/>
          <w:color w:val="auto"/>
          <w:sz w:val="24"/>
          <w:szCs w:val="24"/>
          <w:highlight w:val="none"/>
        </w:rPr>
        <w:t>逾期送达的</w:t>
      </w:r>
      <w:r>
        <w:rPr>
          <w:rFonts w:hint="eastAsia" w:ascii="宋体" w:hAnsi="宋体" w:eastAsia="宋体" w:cs="宋体"/>
          <w:bCs/>
          <w:color w:val="auto"/>
          <w:sz w:val="24"/>
          <w:highlight w:val="none"/>
        </w:rPr>
        <w:t>电子投标文件，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w:t>
      </w:r>
      <w:r>
        <w:rPr>
          <w:rFonts w:hint="eastAsia" w:ascii="宋体" w:hAnsi="宋体" w:eastAsia="宋体" w:cs="宋体"/>
          <w:color w:val="auto"/>
          <w:sz w:val="24"/>
          <w:highlight w:val="none"/>
        </w:rPr>
        <w:t>将予以拒收。</w:t>
      </w:r>
    </w:p>
    <w:p w14:paraId="1141EB6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19.4 </w:t>
      </w:r>
      <w:r>
        <w:rPr>
          <w:rFonts w:hint="eastAsia" w:ascii="宋体" w:hAnsi="宋体" w:eastAsia="宋体" w:cs="宋体"/>
          <w:color w:val="auto"/>
          <w:sz w:val="24"/>
          <w:szCs w:val="24"/>
          <w:highlight w:val="none"/>
        </w:rPr>
        <w:t>投标截止前，招标人拒绝接收符合条件的投标文件，投标人可向招标投标监督机构投诉。</w:t>
      </w:r>
    </w:p>
    <w:p w14:paraId="0352DED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19.5如技术标和经济标先后分别开启，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w:t>
      </w:r>
      <w:r>
        <w:rPr>
          <w:rFonts w:hint="eastAsia" w:ascii="宋体" w:hAnsi="宋体" w:eastAsia="宋体" w:cs="宋体"/>
          <w:color w:val="auto"/>
          <w:sz w:val="24"/>
          <w:highlight w:val="none"/>
        </w:rPr>
        <w:t>将按招标文件规定的时间分别开启技术标和经济标。</w:t>
      </w:r>
    </w:p>
    <w:p w14:paraId="5FD6C77C">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20．投标文件提交的截止时间</w:t>
      </w:r>
    </w:p>
    <w:p w14:paraId="67E81F66">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20.1投标人应在投标须知前附表第17项所述的时间前提交投标文件。</w:t>
      </w:r>
    </w:p>
    <w:p w14:paraId="73205F5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20.2招标人可按本须知第9条规定以招标文件修改的方式，酌情延长提交投标文件的截止时间。在此情况下，投标人的所有权利和义务以及投标人受制约的截止时间，均以延长后新的投标截止时间为准。</w:t>
      </w:r>
    </w:p>
    <w:p w14:paraId="3D43920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20.3 到投标截止时间止，招标人收到的投标文件少于3家的，招标人将重新组织招标</w:t>
      </w:r>
      <w:r>
        <w:rPr>
          <w:rFonts w:hint="eastAsia" w:ascii="宋体" w:hAnsi="宋体" w:eastAsia="宋体" w:cs="宋体"/>
          <w:color w:val="auto"/>
          <w:sz w:val="24"/>
          <w:szCs w:val="24"/>
          <w:highlight w:val="none"/>
        </w:rPr>
        <w:t>（当N个标段同时招标且不允许兼中时，若有效投标人不足N+2家，则重新组织招标）</w:t>
      </w:r>
      <w:r>
        <w:rPr>
          <w:rFonts w:hint="eastAsia" w:ascii="宋体" w:hAnsi="宋体" w:eastAsia="宋体" w:cs="宋体"/>
          <w:color w:val="auto"/>
          <w:sz w:val="24"/>
          <w:highlight w:val="none"/>
        </w:rPr>
        <w:t>。</w:t>
      </w:r>
    </w:p>
    <w:p w14:paraId="2D3356C9">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21．迟交的投标文件</w:t>
      </w:r>
    </w:p>
    <w:p w14:paraId="0E52877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 本须知前附表第17项规定的投标截止时间</w:t>
      </w:r>
      <w:r>
        <w:rPr>
          <w:rFonts w:hint="eastAsia" w:ascii="宋体" w:hAnsi="宋体" w:eastAsia="宋体" w:cs="宋体"/>
          <w:bCs/>
          <w:color w:val="auto"/>
          <w:sz w:val="24"/>
          <w:szCs w:val="24"/>
          <w:highlight w:val="none"/>
        </w:rPr>
        <w:t>后送达的</w:t>
      </w:r>
      <w:r>
        <w:rPr>
          <w:rFonts w:hint="eastAsia" w:ascii="宋体" w:hAnsi="宋体" w:eastAsia="宋体" w:cs="宋体"/>
          <w:bCs/>
          <w:color w:val="auto"/>
          <w:sz w:val="24"/>
          <w:highlight w:val="none"/>
        </w:rPr>
        <w:t>电子投标文件，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w:t>
      </w:r>
      <w:r>
        <w:rPr>
          <w:rFonts w:hint="eastAsia" w:ascii="宋体" w:hAnsi="宋体" w:eastAsia="宋体" w:cs="宋体"/>
          <w:color w:val="auto"/>
          <w:sz w:val="24"/>
          <w:highlight w:val="none"/>
        </w:rPr>
        <w:t>将予以拒收。</w:t>
      </w:r>
    </w:p>
    <w:p w14:paraId="73B024F2">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22．投标文件的修改与撤回</w:t>
      </w:r>
    </w:p>
    <w:p w14:paraId="2765C09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22.1在规定的投标截止时间前，投标人可以修改或撤回已递交的投标文件，但应以书面形式通知招标人。</w:t>
      </w:r>
    </w:p>
    <w:p w14:paraId="2BC633F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22.2投标人修改或撤回已递交的投标文件，需在</w:t>
      </w:r>
      <w:r>
        <w:rPr>
          <w:rFonts w:hint="eastAsia" w:ascii="宋体" w:hAnsi="宋体" w:eastAsia="宋体" w:cs="宋体"/>
          <w:color w:val="auto"/>
          <w:sz w:val="24"/>
          <w:highlight w:val="none"/>
        </w:rPr>
        <w:t>交易平台发出修改或撤回</w:t>
      </w:r>
      <w:r>
        <w:rPr>
          <w:rFonts w:hint="eastAsia" w:ascii="宋体" w:hAnsi="宋体" w:eastAsia="宋体" w:cs="宋体"/>
          <w:color w:val="auto"/>
          <w:sz w:val="24"/>
          <w:szCs w:val="24"/>
          <w:highlight w:val="none"/>
        </w:rPr>
        <w:t>通知，并按要求加盖电子印章。</w:t>
      </w:r>
      <w:r>
        <w:rPr>
          <w:rFonts w:hint="eastAsia" w:ascii="宋体" w:hAnsi="宋体" w:eastAsia="宋体" w:cs="宋体"/>
          <w:bCs/>
          <w:iCs/>
          <w:color w:val="auto"/>
          <w:sz w:val="24"/>
          <w:szCs w:val="24"/>
          <w:highlight w:val="none"/>
        </w:rPr>
        <w:t>电子招标投标交易平台收到通知后，</w:t>
      </w:r>
      <w:r>
        <w:rPr>
          <w:rFonts w:hint="eastAsia" w:ascii="宋体" w:hAnsi="宋体" w:eastAsia="宋体" w:cs="宋体"/>
          <w:color w:val="auto"/>
          <w:sz w:val="24"/>
          <w:szCs w:val="24"/>
          <w:highlight w:val="none"/>
        </w:rPr>
        <w:t>即时向投标人发出确认回执通知。</w:t>
      </w:r>
    </w:p>
    <w:p w14:paraId="28305CF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22.3修改后再次递交的，按19点的规定执行。</w:t>
      </w:r>
    </w:p>
    <w:p w14:paraId="5DDC3F7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22.4 在投标截止时间之后，投标人不得补充、修改和更换投标文件。</w:t>
      </w:r>
    </w:p>
    <w:p w14:paraId="1257175A">
      <w:pPr>
        <w:pStyle w:val="8"/>
        <w:spacing w:before="156" w:after="156"/>
        <w:rPr>
          <w:rFonts w:hint="eastAsia" w:ascii="宋体" w:hAnsi="宋体" w:eastAsia="宋体" w:cs="宋体"/>
          <w:color w:val="auto"/>
          <w:highlight w:val="none"/>
        </w:rPr>
      </w:pPr>
      <w:bookmarkStart w:id="16" w:name="_Toc188805900"/>
      <w:r>
        <w:rPr>
          <w:rFonts w:hint="eastAsia" w:ascii="宋体" w:hAnsi="宋体" w:eastAsia="宋体" w:cs="宋体"/>
          <w:color w:val="auto"/>
          <w:highlight w:val="none"/>
        </w:rPr>
        <w:t>（五）开标、评标、定标及合同签定</w:t>
      </w:r>
      <w:bookmarkEnd w:id="16"/>
    </w:p>
    <w:p w14:paraId="0E50E8EE">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23、开标。</w:t>
      </w:r>
    </w:p>
    <w:p w14:paraId="3809978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详见第二章开标、评标及定标办法</w:t>
      </w:r>
    </w:p>
    <w:p w14:paraId="0076E2E7">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24．评标过程的保密</w:t>
      </w:r>
    </w:p>
    <w:p w14:paraId="15EB7E2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 开标后，直至中标公示为止，凡属于对投标文件的审查、澄清、评价和比较有关的资料以及中标候选人的推荐情况，与评标有关的其他任何情况均严格保密。</w:t>
      </w:r>
    </w:p>
    <w:p w14:paraId="0185C7B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 在投标文件的评审和比较、中标候选人推荐以及授予合同的过程中，投标人向招标人和评标委员会施加不公正影响的任何行为，都将会导致其投标被拒绝。</w:t>
      </w:r>
    </w:p>
    <w:p w14:paraId="564CFAA9">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25．投标文件的澄清，计算错误的修正</w:t>
      </w:r>
    </w:p>
    <w:p w14:paraId="3CC8DD2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详见招标文件第二章开标、评标及定标办法</w:t>
      </w:r>
    </w:p>
    <w:p w14:paraId="09C7642D">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26．投标文件的评审、比较和否决</w:t>
      </w:r>
    </w:p>
    <w:p w14:paraId="6B1E7D4A">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highlight w:val="none"/>
        </w:rPr>
        <w:t>详见招标文件第二章开标、评标及定标办法。</w:t>
      </w:r>
    </w:p>
    <w:p w14:paraId="657E0CD1">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27．中标通知书</w:t>
      </w:r>
    </w:p>
    <w:p w14:paraId="15028E2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27.1招标人将在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w:t>
      </w:r>
      <w:r>
        <w:rPr>
          <w:rFonts w:hint="eastAsia" w:ascii="宋体" w:hAnsi="宋体" w:eastAsia="宋体" w:cs="宋体"/>
          <w:color w:val="auto"/>
          <w:sz w:val="24"/>
          <w:highlight w:val="none"/>
        </w:rPr>
        <w:t>、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0B95ADE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27.2招标人应当自确定中标人后，向招标投标监管机构提交招标投标情况的书面报告；经招投标监管机构备案后，方可发出中标通知书。</w:t>
      </w:r>
    </w:p>
    <w:p w14:paraId="3F6804A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27.3中标人必须在收到中标通知书后24小时之内以书面形式回复招标人，确认收到。</w:t>
      </w:r>
    </w:p>
    <w:p w14:paraId="3158169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27.4在产生中标候选人后，招标人将中标候选人的投标文件商务部分文件的所有内容（包括报价清单、人员、业绩、奖项等资料）在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交易平台和广东省招标投标监管网</w:t>
      </w:r>
      <w:r>
        <w:rPr>
          <w:rFonts w:hint="eastAsia" w:ascii="宋体" w:hAnsi="宋体" w:eastAsia="宋体" w:cs="宋体"/>
          <w:color w:val="auto"/>
          <w:sz w:val="24"/>
          <w:highlight w:val="none"/>
        </w:rPr>
        <w:t>公开。</w:t>
      </w:r>
    </w:p>
    <w:p w14:paraId="56B6E0E2">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28．合同协议书的签订</w:t>
      </w:r>
    </w:p>
    <w:p w14:paraId="0B87E11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28.1 招标人与中标人将于中标通知书发出之日起30日内，按照招标文件和中标人的投标文件商定和签订合同，招标人和中标人不得再行订立背离合同实质性内容的其他协议。</w:t>
      </w:r>
    </w:p>
    <w:p w14:paraId="341ECF4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3C6053D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28.3非经招标人同意，中标人在投标过程中使用的银行名称及帐号至完成竣工结算不得变更，否则招标人有权停止工程款项的拔付及至解除合同，由此造成的一切责任由中标人承担。</w:t>
      </w:r>
    </w:p>
    <w:p w14:paraId="5C9384E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28.4招标人支付工程款时，中标人应按规定开具发票。</w:t>
      </w:r>
    </w:p>
    <w:p w14:paraId="60849044">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29．履约担保</w:t>
      </w:r>
    </w:p>
    <w:p w14:paraId="7A4B26A6">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29.1 在收到中标通知书后的</w:t>
      </w:r>
      <w:r>
        <w:rPr>
          <w:rFonts w:hint="eastAsia" w:ascii="宋体" w:hAnsi="宋体" w:eastAsia="宋体" w:cs="宋体"/>
          <w:b/>
          <w:color w:val="auto"/>
          <w:sz w:val="24"/>
          <w:highlight w:val="none"/>
        </w:rPr>
        <w:t>15日</w:t>
      </w:r>
      <w:r>
        <w:rPr>
          <w:rFonts w:hint="eastAsia" w:ascii="宋体" w:hAnsi="宋体" w:eastAsia="宋体" w:cs="宋体"/>
          <w:color w:val="auto"/>
          <w:sz w:val="24"/>
          <w:highlight w:val="none"/>
        </w:rPr>
        <w:t>内，中标人应按本须知前附表第20项的规定向招标人提交履约担保。</w:t>
      </w:r>
    </w:p>
    <w:p w14:paraId="4831B11E">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0632BE3E">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30．合同生效</w:t>
      </w:r>
    </w:p>
    <w:p w14:paraId="1673FC8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30.1在合同双方全权代表在合同协议书上签字，并分别加盖双方单位的公章后，合同正式生效。</w:t>
      </w:r>
    </w:p>
    <w:p w14:paraId="7F89DD56">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31．其它费用</w:t>
      </w:r>
    </w:p>
    <w:p w14:paraId="0656CF78">
      <w:pPr>
        <w:pStyle w:val="5"/>
        <w:spacing w:after="0"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32．腐败与欺诈行为</w:t>
      </w:r>
    </w:p>
    <w:p w14:paraId="1DABC674">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在招标和合同实施期间，招标人要求投标人和承包人遵守最高的道德标准。</w:t>
      </w:r>
    </w:p>
    <w:p w14:paraId="2ED5FCA3">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32．1对本条款的规定，特定义如下词汇：</w:t>
      </w:r>
    </w:p>
    <w:p w14:paraId="311BF15A">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1）、“腐败行为”是指在招标或合同执行期间，通过提供、给予、接受或索要任何有价值的东西，从而影响招标人有关人员工作的行为；</w:t>
      </w:r>
    </w:p>
    <w:p w14:paraId="62410565">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592F8570">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32．2如果投标人被认定在本招标的竞争中有腐败或欺诈行为，则会被取消投标资格。</w:t>
      </w:r>
    </w:p>
    <w:p w14:paraId="73A7F48F">
      <w:pPr>
        <w:pStyle w:val="5"/>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32.3投标人如在本项目中存在串通投标、弄虚作假骗取中标、行贿情形的，中标无效，行政监督部门将对其违法行为进行政处罚。该投标人将被招标人列入黑名单并限制其参与招标人后续项目的投标。</w:t>
      </w:r>
    </w:p>
    <w:p w14:paraId="050CFDA1">
      <w:pPr>
        <w:pStyle w:val="3"/>
        <w:rPr>
          <w:rFonts w:hint="eastAsia" w:ascii="宋体" w:hAnsi="宋体" w:eastAsia="宋体" w:cs="宋体"/>
          <w:color w:val="auto"/>
          <w:highlight w:val="none"/>
        </w:rPr>
      </w:pPr>
      <w:r>
        <w:rPr>
          <w:rFonts w:hint="eastAsia" w:ascii="宋体" w:hAnsi="宋体" w:eastAsia="宋体" w:cs="宋体"/>
          <w:color w:val="auto"/>
          <w:sz w:val="24"/>
          <w:highlight w:val="none"/>
        </w:rPr>
        <w:br w:type="page"/>
      </w:r>
      <w:bookmarkStart w:id="17" w:name="_Toc188805901"/>
      <w:r>
        <w:rPr>
          <w:rFonts w:hint="eastAsia" w:ascii="宋体" w:hAnsi="宋体" w:eastAsia="宋体" w:cs="宋体"/>
          <w:color w:val="auto"/>
          <w:highlight w:val="none"/>
        </w:rPr>
        <w:t>第二章  开标、评标及定标办法</w:t>
      </w:r>
      <w:bookmarkEnd w:id="17"/>
    </w:p>
    <w:p w14:paraId="3F42D7AD">
      <w:pPr>
        <w:pStyle w:val="7"/>
        <w:rPr>
          <w:rFonts w:hint="eastAsia" w:ascii="宋体" w:hAnsi="宋体" w:eastAsia="宋体" w:cs="宋体"/>
          <w:color w:val="auto"/>
          <w:highlight w:val="none"/>
        </w:rPr>
      </w:pPr>
      <w:bookmarkStart w:id="18" w:name="_Toc188805902"/>
      <w:r>
        <w:rPr>
          <w:rFonts w:hint="eastAsia" w:ascii="宋体" w:hAnsi="宋体" w:eastAsia="宋体" w:cs="宋体"/>
          <w:color w:val="auto"/>
          <w:sz w:val="28"/>
          <w:szCs w:val="28"/>
          <w:highlight w:val="none"/>
        </w:rPr>
        <w:t>一、</w:t>
      </w:r>
      <w:r>
        <w:rPr>
          <w:rFonts w:hint="eastAsia" w:ascii="宋体" w:hAnsi="宋体" w:eastAsia="宋体" w:cs="宋体"/>
          <w:color w:val="auto"/>
          <w:highlight w:val="none"/>
        </w:rPr>
        <w:t>开标、评标及定标办法修改表</w:t>
      </w:r>
      <w:bookmarkEnd w:id="18"/>
    </w:p>
    <w:p w14:paraId="5FB7E8A0">
      <w:pPr>
        <w:pStyle w:val="5"/>
        <w:spacing w:after="0"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声明：本</w:t>
      </w:r>
      <w:r>
        <w:rPr>
          <w:rFonts w:hint="eastAsia" w:ascii="宋体" w:hAnsi="宋体" w:eastAsia="宋体" w:cs="宋体"/>
          <w:b/>
          <w:color w:val="auto"/>
          <w:highlight w:val="none"/>
        </w:rPr>
        <w:t>开标、评标及定标办法使用GZZB2018-3招标文件范本的开标、评标及定标办法通用条款，与该通用条款不同之处，均在本表中列明，并以现文为准，原</w:t>
      </w:r>
      <w:r>
        <w:rPr>
          <w:rFonts w:hint="eastAsia" w:ascii="宋体" w:hAnsi="宋体" w:eastAsia="宋体" w:cs="宋体"/>
          <w:b/>
          <w:color w:val="auto"/>
          <w:szCs w:val="21"/>
          <w:highlight w:val="none"/>
        </w:rPr>
        <w:t>文不再有效。本招标文件中不再转录</w:t>
      </w:r>
      <w:r>
        <w:rPr>
          <w:rFonts w:hint="eastAsia" w:ascii="宋体" w:hAnsi="宋体" w:eastAsia="宋体" w:cs="宋体"/>
          <w:b/>
          <w:color w:val="auto"/>
          <w:highlight w:val="none"/>
        </w:rPr>
        <w:t>开标、评标及定标办法</w:t>
      </w:r>
      <w:r>
        <w:rPr>
          <w:rFonts w:hint="eastAsia" w:ascii="宋体" w:hAnsi="宋体" w:eastAsia="宋体" w:cs="宋体"/>
          <w:b/>
          <w:color w:val="auto"/>
          <w:szCs w:val="21"/>
          <w:highlight w:val="none"/>
        </w:rPr>
        <w:t>通用条款，请投标人自行到广州市住房和城乡建设局网站（网址：</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"http://www.gzcc.gov.cn/）下载GZZB2018-3"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xml:space="preserve"> </w:t>
      </w:r>
      <w:r>
        <w:rPr>
          <w:rStyle w:val="41"/>
          <w:rFonts w:hint="eastAsia" w:ascii="宋体" w:hAnsi="宋体" w:eastAsia="宋体" w:cs="宋体"/>
          <w:b/>
          <w:color w:val="auto"/>
          <w:szCs w:val="21"/>
          <w:highlight w:val="none"/>
        </w:rPr>
        <w:t>http://zfcj.gz.gov.cn/）下载GZZB2018-3</w:t>
      </w:r>
      <w:r>
        <w:rPr>
          <w:rStyle w:val="41"/>
          <w:rFonts w:hint="eastAsia" w:ascii="宋体" w:hAnsi="宋体" w:eastAsia="宋体" w:cs="宋体"/>
          <w:b/>
          <w:color w:val="auto"/>
          <w:szCs w:val="21"/>
          <w:highlight w:val="none"/>
        </w:rPr>
        <w:fldChar w:fldCharType="end"/>
      </w:r>
      <w:r>
        <w:rPr>
          <w:rFonts w:hint="eastAsia" w:ascii="宋体" w:hAnsi="宋体" w:eastAsia="宋体" w:cs="宋体"/>
          <w:b/>
          <w:color w:val="auto"/>
          <w:szCs w:val="21"/>
          <w:highlight w:val="none"/>
        </w:rPr>
        <w:t>范本查阅。</w:t>
      </w:r>
    </w:p>
    <w:p w14:paraId="78DFAED0">
      <w:pPr>
        <w:spacing w:line="360" w:lineRule="auto"/>
        <w:ind w:firstLine="470"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条款号：36.1             修改类型：修改</w:t>
      </w:r>
    </w:p>
    <w:p w14:paraId="383DBF63">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p>
    <w:p w14:paraId="16CED957">
      <w:pPr>
        <w:pBdr>
          <w:bottom w:val="single" w:color="auto" w:sz="6" w:space="1"/>
        </w:pBd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bCs/>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eastAsia="宋体" w:cs="宋体"/>
          <w:b/>
          <w:color w:val="auto"/>
          <w:szCs w:val="21"/>
          <w:highlight w:val="none"/>
          <w:u w:val="single"/>
        </w:rPr>
        <w:t>若投标人不参加开标会的，其投标文件在开标现场的投标人或招标人代表、招标代理机构代表及交易中心代表见证下公开开启、解密、公布，并视同该投标人认可开标结果。</w:t>
      </w:r>
    </w:p>
    <w:p w14:paraId="12FAA249">
      <w:pP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 36.3            修改类型：删除</w:t>
      </w:r>
    </w:p>
    <w:p w14:paraId="79BCC627">
      <w:pPr>
        <w:pBdr>
          <w:bottom w:val="single" w:color="auto" w:sz="4" w:space="0"/>
        </w:pBd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Cs/>
          <w:color w:val="auto"/>
          <w:sz w:val="21"/>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29181B0C">
      <w:pP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条款号：36.4             修改类型：修改</w:t>
      </w:r>
    </w:p>
    <w:p w14:paraId="5C7E261A">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Cs/>
          <w:color w:val="auto"/>
          <w:sz w:val="21"/>
          <w:szCs w:val="21"/>
          <w:highlight w:val="none"/>
        </w:rPr>
        <w:t>36.4若递交投标文件的投标人不足3家，则重新组织招标。（当N个标段同时招标且不允许兼中时，若有效投标人不足N+2家，则重新组织招标）。</w:t>
      </w:r>
    </w:p>
    <w:p w14:paraId="3A9B7F3F">
      <w:pPr>
        <w:pBdr>
          <w:bottom w:val="single" w:color="auto" w:sz="4" w:space="0"/>
        </w:pBd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bCs/>
          <w:color w:val="auto"/>
          <w:sz w:val="21"/>
          <w:szCs w:val="21"/>
          <w:highlight w:val="none"/>
          <w:u w:val="single"/>
        </w:rPr>
        <w:t>36.4若递交投标文件的投标人不足3家，则重新组织招标。</w:t>
      </w:r>
    </w:p>
    <w:p w14:paraId="6E968A64">
      <w:pP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条款号：36.5.1            修改类型：修改</w:t>
      </w:r>
    </w:p>
    <w:p w14:paraId="0F34E64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36.5.1在投标截止时间后一个小时内，投标人通过交易平台对已递交的电子投标文件进行解密。投标人完成解密后，再由招标人进行解密。解密完成后，公布招标项目名称、投标人名称、投标保证金的递交情况、投标报价、工期及其他内容；</w:t>
      </w:r>
    </w:p>
    <w:p w14:paraId="56B23550">
      <w:pPr>
        <w:pBdr>
          <w:bottom w:val="single" w:color="auto" w:sz="6" w:space="1"/>
        </w:pBdr>
        <w:spacing w:line="360" w:lineRule="auto"/>
        <w:ind w:firstLine="470"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36.5.1在投标截止时间后一个小时内，投标人通过</w:t>
      </w:r>
      <w:r>
        <w:rPr>
          <w:rFonts w:hint="eastAsia" w:ascii="宋体" w:hAnsi="宋体" w:eastAsia="宋体" w:cs="宋体"/>
          <w:color w:val="auto"/>
          <w:sz w:val="21"/>
          <w:szCs w:val="21"/>
          <w:highlight w:val="none"/>
          <w:u w:val="single"/>
        </w:rPr>
        <w:t>广州交易集团有限公司（广州公共资源交易中心）</w:t>
      </w:r>
      <w:r>
        <w:rPr>
          <w:rFonts w:hint="eastAsia" w:ascii="宋体" w:hAnsi="宋体" w:eastAsia="宋体" w:cs="宋体"/>
          <w:color w:val="auto"/>
          <w:sz w:val="21"/>
          <w:szCs w:val="21"/>
          <w:highlight w:val="none"/>
        </w:rPr>
        <w:t>交易平台对已递交的电子投标文件进行解密。投标人完成解密后，再由</w:t>
      </w:r>
      <w:r>
        <w:rPr>
          <w:rFonts w:hint="eastAsia" w:ascii="宋体" w:hAnsi="宋体" w:eastAsia="宋体" w:cs="宋体"/>
          <w:color w:val="auto"/>
          <w:sz w:val="21"/>
          <w:szCs w:val="21"/>
          <w:highlight w:val="none"/>
          <w:u w:val="single"/>
        </w:rPr>
        <w:t>招标人或招标代理机构</w:t>
      </w:r>
      <w:r>
        <w:rPr>
          <w:rFonts w:hint="eastAsia" w:ascii="宋体" w:hAnsi="宋体" w:eastAsia="宋体" w:cs="宋体"/>
          <w:color w:val="auto"/>
          <w:sz w:val="21"/>
          <w:szCs w:val="21"/>
          <w:highlight w:val="none"/>
        </w:rPr>
        <w:t>进行解密。解密完成后，公布招标项目名称、投标人名称、</w:t>
      </w:r>
      <w:r>
        <w:rPr>
          <w:rFonts w:hint="eastAsia" w:ascii="宋体" w:hAnsi="宋体" w:eastAsia="宋体" w:cs="宋体"/>
          <w:color w:val="auto"/>
          <w:sz w:val="21"/>
          <w:szCs w:val="21"/>
          <w:highlight w:val="none"/>
          <w:u w:val="single"/>
        </w:rPr>
        <w:t>投标</w:t>
      </w:r>
      <w:r>
        <w:rPr>
          <w:rFonts w:hint="eastAsia" w:ascii="宋体" w:hAnsi="宋体" w:cs="宋体"/>
          <w:color w:val="auto"/>
          <w:sz w:val="21"/>
          <w:szCs w:val="21"/>
          <w:highlight w:val="none"/>
          <w:u w:val="single"/>
          <w:lang w:val="en-US" w:eastAsia="zh-CN"/>
        </w:rPr>
        <w:t>总</w:t>
      </w:r>
      <w:r>
        <w:rPr>
          <w:rFonts w:hint="eastAsia" w:ascii="宋体" w:hAnsi="宋体" w:eastAsia="宋体" w:cs="宋体"/>
          <w:color w:val="auto"/>
          <w:sz w:val="21"/>
          <w:szCs w:val="21"/>
          <w:highlight w:val="none"/>
          <w:u w:val="single"/>
        </w:rPr>
        <w:t>报价</w:t>
      </w:r>
      <w:r>
        <w:rPr>
          <w:rFonts w:hint="eastAsia" w:ascii="宋体" w:hAnsi="宋体" w:eastAsia="宋体" w:cs="宋体"/>
          <w:color w:val="auto"/>
          <w:sz w:val="21"/>
          <w:szCs w:val="21"/>
          <w:highlight w:val="none"/>
        </w:rPr>
        <w:t>、工期及其他内容；</w:t>
      </w:r>
    </w:p>
    <w:p w14:paraId="5386B6BD">
      <w:pPr>
        <w:shd w:val="clear" w:color="auto" w:fill="auto"/>
        <w:tabs>
          <w:tab w:val="left" w:pos="4410"/>
        </w:tabs>
        <w:spacing w:line="336" w:lineRule="auto"/>
        <w:ind w:firstLine="420" w:firstLineChars="200"/>
        <w:rPr>
          <w:rFonts w:hint="eastAsia" w:ascii="宋体" w:hAnsi="宋体" w:eastAsia="宋体" w:cs="宋体"/>
          <w:b/>
          <w:color w:val="auto"/>
          <w:szCs w:val="21"/>
          <w:highlight w:val="none"/>
          <w:lang w:bidi="ar-SA"/>
        </w:rPr>
      </w:pPr>
      <w:r>
        <w:rPr>
          <w:rFonts w:hint="eastAsia" w:ascii="宋体" w:hAnsi="宋体" w:eastAsia="宋体" w:cs="宋体"/>
          <w:b/>
          <w:color w:val="auto"/>
          <w:szCs w:val="21"/>
          <w:highlight w:val="none"/>
          <w:lang w:bidi="ar-SA"/>
        </w:rPr>
        <w:t>条款号：36.5.3</w:t>
      </w:r>
      <w:r>
        <w:rPr>
          <w:rFonts w:hint="eastAsia" w:ascii="宋体" w:hAnsi="宋体" w:eastAsia="宋体"/>
          <w:b/>
          <w:color w:val="auto"/>
          <w:szCs w:val="21"/>
          <w:highlight w:val="none"/>
        </w:rPr>
        <w:t xml:space="preserve">        </w:t>
      </w:r>
      <w:r>
        <w:rPr>
          <w:rFonts w:hint="eastAsia" w:ascii="宋体" w:hAnsi="宋体" w:eastAsia="宋体"/>
          <w:b/>
          <w:color w:val="auto"/>
          <w:szCs w:val="21"/>
          <w:highlight w:val="none"/>
          <w:lang w:val="en-US" w:eastAsia="zh-CN"/>
        </w:rPr>
        <w:t xml:space="preserve"> </w:t>
      </w:r>
      <w:r>
        <w:rPr>
          <w:rFonts w:hint="eastAsia" w:ascii="宋体" w:hAnsi="宋体" w:eastAsia="宋体"/>
          <w:b/>
          <w:color w:val="auto"/>
          <w:szCs w:val="21"/>
          <w:highlight w:val="none"/>
        </w:rPr>
        <w:t xml:space="preserve"> </w:t>
      </w:r>
      <w:r>
        <w:rPr>
          <w:rFonts w:hint="eastAsia" w:ascii="宋体" w:hAnsi="宋体" w:eastAsia="宋体" w:cs="宋体"/>
          <w:b/>
          <w:color w:val="auto"/>
          <w:szCs w:val="21"/>
          <w:highlight w:val="none"/>
          <w:lang w:bidi="ar-SA"/>
        </w:rPr>
        <w:t>修改类型：修改</w:t>
      </w:r>
    </w:p>
    <w:p w14:paraId="3F90B8BC">
      <w:pPr>
        <w:shd w:val="clear" w:color="auto" w:fill="auto"/>
        <w:spacing w:line="336" w:lineRule="auto"/>
        <w:ind w:firstLine="420" w:firstLineChars="200"/>
        <w:rPr>
          <w:rFonts w:hint="eastAsia" w:ascii="宋体" w:hAnsi="宋体" w:eastAsia="宋体" w:cs="宋体"/>
          <w:color w:val="auto"/>
          <w:szCs w:val="21"/>
          <w:highlight w:val="none"/>
          <w:lang w:bidi="ar-SA"/>
        </w:rPr>
      </w:pPr>
      <w:r>
        <w:rPr>
          <w:rFonts w:hint="eastAsia" w:ascii="宋体" w:hAnsi="宋体" w:eastAsia="宋体" w:cs="宋体"/>
          <w:b/>
          <w:color w:val="auto"/>
          <w:szCs w:val="21"/>
          <w:highlight w:val="none"/>
          <w:lang w:bidi="ar-SA"/>
        </w:rPr>
        <w:t>原文：</w:t>
      </w:r>
      <w:r>
        <w:rPr>
          <w:rFonts w:hint="eastAsia" w:ascii="宋体" w:hAnsi="宋体" w:eastAsia="宋体" w:cs="宋体"/>
          <w:b w:val="0"/>
          <w:color w:val="auto"/>
          <w:szCs w:val="21"/>
          <w:highlight w:val="none"/>
          <w:lang w:bidi="ar-SA"/>
        </w:rPr>
        <w:t>36.5.3</w:t>
      </w:r>
      <w:r>
        <w:rPr>
          <w:rFonts w:hint="eastAsia" w:ascii="宋体" w:hAnsi="宋体" w:eastAsia="宋体" w:cs="宋体"/>
          <w:color w:val="auto"/>
          <w:szCs w:val="21"/>
          <w:highlight w:val="none"/>
          <w:lang w:bidi="ar-SA"/>
        </w:rPr>
        <w:t>投标人代表、招标人代表、监标人、记录人等有关人员在开标记录上签字确认；若有关人员不签字的，不影响开标程序；</w:t>
      </w:r>
    </w:p>
    <w:p w14:paraId="0D06EC27">
      <w:pPr>
        <w:pBdr>
          <w:bottom w:val="single" w:color="auto" w:sz="6" w:space="1"/>
        </w:pBdr>
        <w:shd w:val="clear" w:color="auto" w:fill="auto"/>
        <w:spacing w:line="336" w:lineRule="auto"/>
        <w:ind w:firstLine="420" w:firstLineChars="200"/>
        <w:rPr>
          <w:rFonts w:hint="eastAsia" w:ascii="宋体" w:hAnsi="宋体" w:eastAsia="宋体" w:cs="宋体"/>
          <w:b/>
          <w:color w:val="auto"/>
          <w:szCs w:val="21"/>
          <w:highlight w:val="none"/>
          <w:lang w:bidi="ar-SA"/>
        </w:rPr>
      </w:pPr>
      <w:r>
        <w:rPr>
          <w:rFonts w:hint="eastAsia" w:ascii="宋体" w:hAnsi="宋体" w:eastAsia="宋体" w:cs="宋体"/>
          <w:b/>
          <w:color w:val="auto"/>
          <w:szCs w:val="21"/>
          <w:highlight w:val="none"/>
          <w:lang w:bidi="ar-SA"/>
        </w:rPr>
        <w:t>现文：</w:t>
      </w:r>
      <w:r>
        <w:rPr>
          <w:rFonts w:hint="eastAsia" w:ascii="宋体" w:hAnsi="宋体" w:eastAsia="宋体" w:cs="宋体"/>
          <w:color w:val="auto"/>
          <w:szCs w:val="21"/>
          <w:highlight w:val="none"/>
          <w:lang w:bidi="ar-SA"/>
        </w:rPr>
        <w:t>36.5.3投标人代表、招标人代表、监标人、记录人等有关人员在开标记录上签字确认；若有关人员不签字的，不影响开标程序；</w:t>
      </w:r>
      <w:r>
        <w:rPr>
          <w:rFonts w:hint="eastAsia" w:ascii="宋体" w:hAnsi="宋体" w:eastAsia="宋体" w:cs="宋体"/>
          <w:color w:val="auto"/>
          <w:szCs w:val="21"/>
          <w:highlight w:val="none"/>
          <w:u w:val="single"/>
          <w:lang w:bidi="ar-SA"/>
        </w:rPr>
        <w:t>若投标人不参加开标会的，或不签字确认的，视同该投标人认可开标结果。</w:t>
      </w:r>
    </w:p>
    <w:p w14:paraId="00C9275E">
      <w:pPr>
        <w:shd w:val="clear" w:color="auto" w:fill="auto"/>
        <w:spacing w:line="360" w:lineRule="auto"/>
        <w:ind w:firstLine="470" w:firstLineChars="224"/>
        <w:rPr>
          <w:rFonts w:hint="eastAsia" w:ascii="宋体" w:eastAsia="宋体" w:cs="宋体"/>
          <w:b/>
          <w:color w:val="auto"/>
          <w:szCs w:val="21"/>
          <w:highlight w:val="none"/>
          <w:lang w:bidi="ar-SA"/>
        </w:rPr>
      </w:pPr>
      <w:r>
        <w:rPr>
          <w:rFonts w:hint="eastAsia" w:ascii="宋体" w:eastAsia="宋体" w:cs="宋体"/>
          <w:b/>
          <w:color w:val="auto"/>
          <w:szCs w:val="21"/>
          <w:highlight w:val="none"/>
          <w:lang w:bidi="ar-SA"/>
        </w:rPr>
        <w:t>条款号：36.7</w:t>
      </w:r>
      <w:r>
        <w:rPr>
          <w:rFonts w:hint="eastAsia" w:ascii="宋体" w:hAnsi="宋体" w:eastAsia="宋体"/>
          <w:b/>
          <w:color w:val="auto"/>
          <w:szCs w:val="21"/>
          <w:highlight w:val="none"/>
        </w:rPr>
        <w:t xml:space="preserve">            </w:t>
      </w:r>
      <w:r>
        <w:rPr>
          <w:rFonts w:hint="eastAsia" w:ascii="宋体" w:eastAsia="宋体" w:cs="宋体"/>
          <w:b/>
          <w:color w:val="auto"/>
          <w:szCs w:val="21"/>
          <w:highlight w:val="none"/>
          <w:lang w:bidi="ar-SA"/>
        </w:rPr>
        <w:t>修改类型：修改</w:t>
      </w:r>
    </w:p>
    <w:p w14:paraId="0173DBC9">
      <w:pPr>
        <w:shd w:val="clear" w:color="auto" w:fill="auto"/>
        <w:spacing w:line="360" w:lineRule="auto"/>
        <w:ind w:firstLine="420" w:firstLineChars="200"/>
        <w:rPr>
          <w:rFonts w:hint="eastAsia" w:ascii="宋体" w:eastAsia="宋体" w:cs="宋体"/>
          <w:color w:val="auto"/>
          <w:szCs w:val="21"/>
          <w:highlight w:val="none"/>
          <w:lang w:bidi="ar-SA"/>
        </w:rPr>
      </w:pPr>
      <w:r>
        <w:rPr>
          <w:rFonts w:hint="eastAsia" w:ascii="宋体" w:eastAsia="宋体" w:cs="宋体"/>
          <w:b/>
          <w:color w:val="auto"/>
          <w:szCs w:val="21"/>
          <w:highlight w:val="none"/>
          <w:lang w:bidi="ar-SA"/>
        </w:rPr>
        <w:t>原文：</w:t>
      </w:r>
      <w:r>
        <w:rPr>
          <w:rFonts w:hint="eastAsia" w:ascii="宋体" w:eastAsia="宋体" w:cs="宋体"/>
          <w:bCs/>
          <w:color w:val="auto"/>
          <w:szCs w:val="21"/>
          <w:highlight w:val="none"/>
          <w:lang w:bidi="ar-SA"/>
        </w:rPr>
        <w:t>36.7</w:t>
      </w:r>
      <w:r>
        <w:rPr>
          <w:rFonts w:hint="eastAsia" w:ascii="宋体" w:eastAsia="宋体" w:cs="宋体"/>
          <w:color w:val="auto"/>
          <w:szCs w:val="21"/>
          <w:highlight w:val="none"/>
          <w:lang w:bidi="ar-SA"/>
        </w:rPr>
        <w:t>开标时，两个（含两个）以上的投标人加密打包投标文件电脑机器特征码一致的，不参与下一程序，并由评标委员会否决其投标。</w:t>
      </w:r>
    </w:p>
    <w:p w14:paraId="172EE941">
      <w:pPr>
        <w:pBdr>
          <w:bottom w:val="single" w:color="auto" w:sz="6" w:space="1"/>
        </w:pBdr>
        <w:shd w:val="clear" w:color="auto" w:fill="auto"/>
        <w:spacing w:line="460" w:lineRule="exact"/>
        <w:ind w:firstLine="411" w:firstLineChars="196"/>
        <w:rPr>
          <w:rFonts w:hint="eastAsia" w:ascii="宋体" w:eastAsia="宋体" w:cs="宋体"/>
          <w:color w:val="auto"/>
          <w:szCs w:val="21"/>
          <w:highlight w:val="none"/>
          <w:u w:val="single"/>
          <w:lang w:bidi="ar-SA"/>
        </w:rPr>
      </w:pPr>
      <w:r>
        <w:rPr>
          <w:rFonts w:hint="eastAsia" w:ascii="宋体" w:eastAsia="宋体" w:cs="宋体"/>
          <w:b/>
          <w:color w:val="auto"/>
          <w:szCs w:val="21"/>
          <w:highlight w:val="none"/>
          <w:lang w:bidi="ar-SA"/>
        </w:rPr>
        <w:t>现文：</w:t>
      </w:r>
      <w:r>
        <w:rPr>
          <w:rFonts w:hint="eastAsia" w:ascii="宋体" w:eastAsia="宋体" w:cs="宋体"/>
          <w:bCs/>
          <w:color w:val="auto"/>
          <w:szCs w:val="21"/>
          <w:highlight w:val="none"/>
          <w:lang w:bidi="ar-SA"/>
        </w:rPr>
        <w:t>36.7</w:t>
      </w:r>
      <w:r>
        <w:rPr>
          <w:rFonts w:hint="eastAsia" w:ascii="宋体" w:eastAsia="宋体" w:cs="宋体"/>
          <w:color w:val="auto"/>
          <w:szCs w:val="21"/>
          <w:highlight w:val="none"/>
          <w:lang w:bidi="ar-SA"/>
        </w:rPr>
        <w:t>开标时，</w:t>
      </w:r>
      <w:r>
        <w:rPr>
          <w:rFonts w:hint="eastAsia" w:ascii="宋体" w:eastAsia="宋体" w:cs="宋体"/>
          <w:color w:val="auto"/>
          <w:szCs w:val="21"/>
          <w:highlight w:val="none"/>
          <w:u w:val="single"/>
          <w:lang w:bidi="ar-SA"/>
        </w:rPr>
        <w:t>本项目</w:t>
      </w:r>
      <w:r>
        <w:rPr>
          <w:rFonts w:hint="eastAsia" w:ascii="宋体" w:eastAsia="宋体" w:cs="宋体"/>
          <w:color w:val="auto"/>
          <w:szCs w:val="21"/>
          <w:highlight w:val="none"/>
          <w:lang w:bidi="ar-SA"/>
        </w:rPr>
        <w:t>两个（含两个）以上的投标人加密打包投标文件电脑机器特征码一致的，不参与下一程序，并由评标委员会否决其投标。</w:t>
      </w:r>
    </w:p>
    <w:p w14:paraId="69C4FBE5">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条款号：37.2            修改类型：修改</w:t>
      </w:r>
    </w:p>
    <w:p w14:paraId="4E41FBF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37.2评标委员会在开始评标前，应了解评标专家的职责及守则，认真阅读附件1《评标委员会成员声明》的内容并签名，签字后方可进行评标；</w:t>
      </w:r>
    </w:p>
    <w:p w14:paraId="4DEF96D9">
      <w:pPr>
        <w:pBdr>
          <w:bottom w:val="single" w:color="auto" w:sz="6" w:space="1"/>
        </w:pBdr>
        <w:spacing w:line="360" w:lineRule="auto"/>
        <w:ind w:firstLine="470"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37.2评标委员会在开始评标前，应了解评标专家的职责及守则，认真阅读</w:t>
      </w:r>
      <w:r>
        <w:rPr>
          <w:rFonts w:hint="eastAsia" w:ascii="宋体" w:hAnsi="宋体" w:eastAsia="宋体" w:cs="宋体"/>
          <w:color w:val="auto"/>
          <w:szCs w:val="21"/>
          <w:highlight w:val="none"/>
          <w:u w:val="single"/>
        </w:rPr>
        <w:t>本章</w:t>
      </w:r>
      <w:r>
        <w:rPr>
          <w:rFonts w:hint="eastAsia" w:ascii="宋体" w:hAnsi="宋体" w:eastAsia="宋体" w:cs="宋体"/>
          <w:color w:val="auto"/>
          <w:szCs w:val="21"/>
          <w:highlight w:val="none"/>
        </w:rPr>
        <w:t>附件1《评标委员会成员声明》的内容并签名，签字后方可进行评标；</w:t>
      </w:r>
    </w:p>
    <w:p w14:paraId="0C49317A">
      <w:pPr>
        <w:shd w:val="clear" w:color="auto" w:fill="auto"/>
        <w:tabs>
          <w:tab w:val="left" w:pos="4410"/>
        </w:tabs>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条款号：38.1</w:t>
      </w:r>
      <w:r>
        <w:rPr>
          <w:rFonts w:hint="eastAsia" w:ascii="宋体" w:hAnsi="宋体" w:eastAsia="宋体" w:cs="宋体"/>
          <w:b/>
          <w:color w:val="auto"/>
          <w:sz w:val="21"/>
          <w:szCs w:val="21"/>
          <w:highlight w:val="none"/>
        </w:rPr>
        <w:tab/>
      </w:r>
      <w:r>
        <w:rPr>
          <w:rFonts w:hint="eastAsia" w:ascii="宋体" w:hAnsi="宋体" w:eastAsia="宋体" w:cs="宋体"/>
          <w:b/>
          <w:color w:val="auto"/>
          <w:sz w:val="21"/>
          <w:szCs w:val="21"/>
          <w:highlight w:val="none"/>
        </w:rPr>
        <w:t>修改类型：修改</w:t>
      </w:r>
    </w:p>
    <w:p w14:paraId="36990CC2">
      <w:pPr>
        <w:pBdr>
          <w:bottom w:val="single" w:color="auto" w:sz="4" w:space="1"/>
        </w:pBdr>
        <w:shd w:val="clear" w:color="auto" w:fill="auto"/>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7F391ACF">
      <w:pPr>
        <w:pBdr>
          <w:bottom w:val="single" w:color="auto" w:sz="4" w:space="1"/>
        </w:pBdr>
        <w:shd w:val="clear" w:color="auto" w:fill="auto"/>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38.1为有助于投标文件的审查、评价和比较，评标期间，经</w:t>
      </w:r>
      <w:r>
        <w:rPr>
          <w:rFonts w:hint="eastAsia" w:ascii="宋体" w:hAnsi="宋体" w:eastAsia="宋体" w:cs="宋体"/>
          <w:color w:val="auto"/>
          <w:sz w:val="21"/>
          <w:szCs w:val="21"/>
          <w:highlight w:val="none"/>
          <w:u w:val="single"/>
        </w:rPr>
        <w:t>评标委员会</w:t>
      </w:r>
      <w:r>
        <w:rPr>
          <w:rFonts w:hint="eastAsia" w:ascii="宋体" w:hAnsi="宋体" w:eastAsia="宋体" w:cs="宋体"/>
          <w:color w:val="auto"/>
          <w:sz w:val="21"/>
          <w:szCs w:val="21"/>
          <w:highlight w:val="none"/>
        </w:rPr>
        <w:t>中两人以上（含两人）</w:t>
      </w:r>
      <w:r>
        <w:rPr>
          <w:rFonts w:hint="eastAsia" w:ascii="宋体" w:hAnsi="宋体" w:eastAsia="宋体" w:cs="宋体"/>
          <w:color w:val="auto"/>
          <w:sz w:val="21"/>
          <w:szCs w:val="21"/>
          <w:highlight w:val="none"/>
          <w:u w:val="single"/>
        </w:rPr>
        <w:t>的成员</w:t>
      </w:r>
      <w:r>
        <w:rPr>
          <w:rFonts w:hint="eastAsia" w:ascii="宋体" w:hAnsi="宋体" w:eastAsia="宋体" w:cs="宋体"/>
          <w:color w:val="auto"/>
          <w:sz w:val="21"/>
          <w:szCs w:val="21"/>
          <w:highlight w:val="none"/>
        </w:rPr>
        <w:t>以书面形式提出动议，</w:t>
      </w:r>
      <w:r>
        <w:rPr>
          <w:rFonts w:hint="eastAsia" w:ascii="宋体" w:hAnsi="宋体" w:eastAsia="宋体" w:cs="宋体"/>
          <w:color w:val="auto"/>
          <w:sz w:val="21"/>
          <w:szCs w:val="21"/>
          <w:highlight w:val="none"/>
          <w:u w:val="single"/>
        </w:rPr>
        <w:t>评标委员会</w:t>
      </w:r>
      <w:r>
        <w:rPr>
          <w:rFonts w:hint="eastAsia" w:ascii="宋体" w:hAnsi="宋体" w:eastAsia="宋体" w:cs="宋体"/>
          <w:color w:val="auto"/>
          <w:sz w:val="21"/>
          <w:szCs w:val="21"/>
          <w:highlight w:val="none"/>
        </w:rPr>
        <w:t>应当书面发出澄清通知，要求投标人对投标文件含义不明确</w:t>
      </w:r>
      <w:r>
        <w:rPr>
          <w:rFonts w:hint="eastAsia" w:ascii="宋体" w:hAnsi="宋体" w:eastAsia="宋体" w:cs="宋体"/>
          <w:color w:val="auto"/>
          <w:sz w:val="21"/>
          <w:szCs w:val="21"/>
          <w:highlight w:val="none"/>
          <w:u w:val="single"/>
        </w:rPr>
        <w:t>、对同类问题表述不一致、有明显文字和计算错误的内容以及细微偏差</w:t>
      </w:r>
      <w:r>
        <w:rPr>
          <w:rFonts w:hint="eastAsia" w:ascii="宋体" w:hAnsi="宋体" w:eastAsia="宋体" w:cs="宋体"/>
          <w:color w:val="auto"/>
          <w:sz w:val="21"/>
          <w:szCs w:val="21"/>
          <w:highlight w:val="none"/>
        </w:rPr>
        <w:t>的内容作出澄清。</w:t>
      </w:r>
    </w:p>
    <w:p w14:paraId="210733BD">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条款号：39.3              修改类型：修改</w:t>
      </w:r>
    </w:p>
    <w:p w14:paraId="09AC6D5F">
      <w:pPr>
        <w:pStyle w:val="5"/>
        <w:pBdr>
          <w:bottom w:val="single" w:color="auto" w:sz="4" w:space="1"/>
        </w:pBdr>
        <w:spacing w:after="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p>
    <w:p w14:paraId="503653BD">
      <w:pPr>
        <w:pStyle w:val="5"/>
        <w:pBdr>
          <w:bottom w:val="single" w:color="auto" w:sz="4" w:space="1"/>
        </w:pBdr>
        <w:spacing w:after="0"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r>
        <w:rPr>
          <w:rFonts w:hint="eastAsia" w:ascii="宋体" w:hAnsi="宋体" w:eastAsia="宋体" w:cs="宋体"/>
          <w:color w:val="auto"/>
          <w:szCs w:val="21"/>
          <w:highlight w:val="none"/>
          <w:u w:val="single"/>
        </w:rPr>
        <w:t>若发现第一中标候选人或中标人委派的项目负责人已在其他在建项目中任职、不符合任职数量规定时，将取消第一中标候选人资格或中标资格。</w:t>
      </w:r>
    </w:p>
    <w:p w14:paraId="63D339CD">
      <w:pPr>
        <w:spacing w:line="360" w:lineRule="auto"/>
        <w:ind w:firstLine="470"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条款号：（二）开标评标办法程序和细则 </w:t>
      </w:r>
      <w:r>
        <w:rPr>
          <w:rFonts w:hint="eastAsia" w:ascii="宋体" w:hAnsi="宋体" w:eastAsia="宋体" w:cs="宋体"/>
          <w:bCs/>
          <w:color w:val="auto"/>
          <w:szCs w:val="21"/>
          <w:highlight w:val="none"/>
        </w:rPr>
        <w:t xml:space="preserve"> </w:t>
      </w:r>
      <w:r>
        <w:rPr>
          <w:rFonts w:hint="eastAsia" w:ascii="宋体" w:hAnsi="宋体" w:eastAsia="宋体" w:cs="宋体"/>
          <w:b/>
          <w:color w:val="auto"/>
          <w:szCs w:val="21"/>
          <w:highlight w:val="none"/>
        </w:rPr>
        <w:t xml:space="preserve">            修改类型：删除</w:t>
      </w:r>
    </w:p>
    <w:p w14:paraId="34006029">
      <w:pPr>
        <w:pBdr>
          <w:bottom w:val="single" w:color="auto" w:sz="6" w:space="1"/>
        </w:pBdr>
        <w:spacing w:line="360" w:lineRule="auto"/>
        <w:ind w:firstLine="470" w:firstLineChars="224"/>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bCs/>
          <w:color w:val="auto"/>
          <w:szCs w:val="21"/>
          <w:highlight w:val="none"/>
        </w:rPr>
        <w:t>注：以下七种评标办法所述企业综合诚信评价分数即投标截止当日广州市工程招标代理行业协会网站上公布的企业综合诚信评价60日诚信分。</w:t>
      </w:r>
    </w:p>
    <w:p w14:paraId="0309664F">
      <w:pPr>
        <w:spacing w:line="360" w:lineRule="auto"/>
        <w:ind w:firstLine="492" w:firstLineChars="224"/>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条款号： 评标办法        修改类型：删除</w:t>
      </w:r>
    </w:p>
    <w:p w14:paraId="5F8D76CF">
      <w:pPr>
        <w:pBdr>
          <w:bottom w:val="single" w:color="auto" w:sz="6" w:space="1"/>
        </w:pBdr>
        <w:spacing w:line="360" w:lineRule="auto"/>
        <w:ind w:firstLine="550" w:firstLineChars="250"/>
        <w:rPr>
          <w:rStyle w:val="41"/>
          <w:rFonts w:hint="eastAsia" w:ascii="宋体" w:hAnsi="宋体" w:eastAsia="宋体" w:cs="宋体"/>
          <w:color w:val="auto"/>
          <w:sz w:val="22"/>
          <w:highlight w:val="none"/>
        </w:rPr>
      </w:pPr>
      <w:r>
        <w:rPr>
          <w:rFonts w:hint="eastAsia" w:ascii="宋体" w:hAnsi="宋体" w:eastAsia="宋体" w:cs="宋体"/>
          <w:b/>
          <w:color w:val="auto"/>
          <w:sz w:val="22"/>
          <w:highlight w:val="none"/>
        </w:rPr>
        <w:t>原文：</w:t>
      </w:r>
      <w:r>
        <w:rPr>
          <w:rFonts w:hint="eastAsia" w:ascii="宋体" w:hAnsi="宋体" w:eastAsia="宋体" w:cs="宋体"/>
          <w:bCs/>
          <w:color w:val="auto"/>
          <w:sz w:val="22"/>
          <w:highlight w:val="none"/>
        </w:rPr>
        <w:t>可选办法</w:t>
      </w:r>
      <w:r>
        <w:rPr>
          <w:rStyle w:val="41"/>
          <w:rFonts w:hint="eastAsia" w:ascii="宋体" w:hAnsi="宋体" w:eastAsia="宋体" w:cs="宋体"/>
          <w:bCs/>
          <w:color w:val="auto"/>
          <w:sz w:val="22"/>
          <w:highlight w:val="none"/>
        </w:rPr>
        <w:t>一（适合综合评分法一，技术标与经济标先后分别开启）</w:t>
      </w:r>
    </w:p>
    <w:p w14:paraId="0850D2F0">
      <w:pPr>
        <w:pBdr>
          <w:bottom w:val="single" w:color="auto" w:sz="6" w:space="1"/>
        </w:pBdr>
        <w:spacing w:line="360" w:lineRule="auto"/>
        <w:ind w:firstLine="550" w:firstLineChars="250"/>
        <w:rPr>
          <w:rStyle w:val="41"/>
          <w:rFonts w:hint="eastAsia" w:ascii="宋体" w:hAnsi="宋体" w:eastAsia="宋体" w:cs="宋体"/>
          <w:bCs/>
          <w:color w:val="auto"/>
          <w:sz w:val="22"/>
          <w:highlight w:val="none"/>
        </w:rPr>
      </w:pPr>
      <w:r>
        <w:rPr>
          <w:rStyle w:val="41"/>
          <w:rFonts w:hint="eastAsia" w:ascii="宋体" w:hAnsi="宋体" w:eastAsia="宋体" w:cs="宋体"/>
          <w:bCs/>
          <w:color w:val="auto"/>
          <w:sz w:val="22"/>
          <w:highlight w:val="none"/>
        </w:rPr>
        <w:t>可选</w:t>
      </w:r>
      <w:r>
        <w:rPr>
          <w:rFonts w:hint="eastAsia" w:ascii="宋体" w:hAnsi="宋体" w:eastAsia="宋体" w:cs="宋体"/>
          <w:bCs/>
          <w:color w:val="auto"/>
          <w:sz w:val="22"/>
          <w:highlight w:val="none"/>
          <w:u w:val="single"/>
        </w:rPr>
        <w:t>办法</w:t>
      </w:r>
      <w:r>
        <w:rPr>
          <w:rStyle w:val="41"/>
          <w:rFonts w:hint="eastAsia" w:ascii="宋体" w:hAnsi="宋体" w:eastAsia="宋体" w:cs="宋体"/>
          <w:bCs/>
          <w:color w:val="auto"/>
          <w:sz w:val="22"/>
          <w:highlight w:val="none"/>
        </w:rPr>
        <w:t>二（适合综合评分法一，技术标与经济标同时开启）</w:t>
      </w:r>
    </w:p>
    <w:p w14:paraId="543797BF">
      <w:pPr>
        <w:pBdr>
          <w:bottom w:val="single" w:color="auto" w:sz="6" w:space="1"/>
        </w:pBdr>
        <w:spacing w:line="360" w:lineRule="auto"/>
        <w:ind w:firstLine="550" w:firstLineChars="250"/>
        <w:rPr>
          <w:rStyle w:val="41"/>
          <w:rFonts w:hint="eastAsia" w:ascii="宋体" w:hAnsi="宋体" w:eastAsia="宋体" w:cs="宋体"/>
          <w:bCs/>
          <w:color w:val="auto"/>
          <w:sz w:val="22"/>
          <w:highlight w:val="none"/>
        </w:rPr>
      </w:pPr>
      <w:r>
        <w:rPr>
          <w:rStyle w:val="41"/>
          <w:rFonts w:hint="eastAsia" w:ascii="宋体" w:hAnsi="宋体" w:eastAsia="宋体" w:cs="宋体"/>
          <w:bCs/>
          <w:color w:val="auto"/>
          <w:sz w:val="22"/>
          <w:highlight w:val="none"/>
        </w:rPr>
        <w:t>可选办法三（适合综合评分法二，技术标与经济标先后分别开启）</w:t>
      </w:r>
    </w:p>
    <w:p w14:paraId="5687BEC6">
      <w:pPr>
        <w:pBdr>
          <w:bottom w:val="single" w:color="auto" w:sz="6" w:space="1"/>
        </w:pBdr>
        <w:spacing w:line="360" w:lineRule="auto"/>
        <w:ind w:firstLine="550" w:firstLineChars="250"/>
        <w:rPr>
          <w:rStyle w:val="41"/>
          <w:rFonts w:hint="eastAsia" w:ascii="宋体" w:hAnsi="宋体" w:eastAsia="宋体" w:cs="宋体"/>
          <w:bCs/>
          <w:color w:val="auto"/>
          <w:sz w:val="22"/>
          <w:highlight w:val="none"/>
        </w:rPr>
      </w:pPr>
      <w:r>
        <w:rPr>
          <w:rStyle w:val="41"/>
          <w:rFonts w:hint="eastAsia" w:ascii="宋体" w:hAnsi="宋体" w:eastAsia="宋体" w:cs="宋体"/>
          <w:bCs/>
          <w:color w:val="auto"/>
          <w:sz w:val="22"/>
          <w:highlight w:val="none"/>
        </w:rPr>
        <w:t>可选办法四（适合综合评分法二，技术标与经济标同时开启）</w:t>
      </w:r>
    </w:p>
    <w:p w14:paraId="59A15B74">
      <w:pPr>
        <w:pBdr>
          <w:bottom w:val="single" w:color="auto" w:sz="6" w:space="1"/>
        </w:pBdr>
        <w:spacing w:line="360" w:lineRule="auto"/>
        <w:ind w:firstLine="550" w:firstLineChars="250"/>
        <w:rPr>
          <w:rStyle w:val="41"/>
          <w:rFonts w:hint="eastAsia" w:ascii="宋体" w:hAnsi="宋体" w:eastAsia="宋体" w:cs="宋体"/>
          <w:bCs/>
          <w:color w:val="auto"/>
          <w:sz w:val="22"/>
          <w:highlight w:val="none"/>
        </w:rPr>
      </w:pPr>
      <w:r>
        <w:rPr>
          <w:rStyle w:val="41"/>
          <w:rFonts w:hint="eastAsia" w:ascii="宋体" w:hAnsi="宋体" w:eastAsia="宋体" w:cs="宋体"/>
          <w:bCs/>
          <w:color w:val="auto"/>
          <w:sz w:val="22"/>
          <w:highlight w:val="none"/>
        </w:rPr>
        <w:t>可选办法五（适合综合评分法三，技术标与经济标先后分别开启）</w:t>
      </w:r>
    </w:p>
    <w:p w14:paraId="6FD06E1D">
      <w:pPr>
        <w:pBdr>
          <w:bottom w:val="single" w:color="auto" w:sz="6" w:space="1"/>
        </w:pBdr>
        <w:spacing w:line="360" w:lineRule="auto"/>
        <w:ind w:firstLine="550" w:firstLineChars="250"/>
        <w:rPr>
          <w:rStyle w:val="41"/>
          <w:rFonts w:hint="eastAsia" w:ascii="宋体" w:hAnsi="宋体" w:eastAsia="宋体" w:cs="宋体"/>
          <w:bCs/>
          <w:color w:val="auto"/>
          <w:sz w:val="22"/>
          <w:highlight w:val="none"/>
        </w:rPr>
      </w:pPr>
      <w:r>
        <w:rPr>
          <w:rStyle w:val="41"/>
          <w:rFonts w:hint="eastAsia" w:ascii="宋体" w:hAnsi="宋体" w:eastAsia="宋体" w:cs="宋体"/>
          <w:bCs/>
          <w:color w:val="auto"/>
          <w:sz w:val="22"/>
          <w:highlight w:val="none"/>
        </w:rPr>
        <w:t>可选办法七（适合综合评分法四，技术标与经济标同时开启）</w:t>
      </w:r>
    </w:p>
    <w:p w14:paraId="6D156FBB">
      <w:pPr>
        <w:pBdr>
          <w:bottom w:val="single" w:color="auto" w:sz="6" w:space="1"/>
        </w:pBdr>
        <w:spacing w:line="360" w:lineRule="auto"/>
        <w:ind w:firstLine="550" w:firstLineChars="250"/>
        <w:rPr>
          <w:rStyle w:val="41"/>
          <w:rFonts w:hint="eastAsia" w:ascii="宋体" w:hAnsi="宋体" w:eastAsia="宋体" w:cs="宋体"/>
          <w:bCs/>
          <w:color w:val="auto"/>
          <w:sz w:val="22"/>
          <w:highlight w:val="none"/>
        </w:rPr>
      </w:pPr>
      <w:r>
        <w:rPr>
          <w:rStyle w:val="41"/>
          <w:rFonts w:hint="eastAsia" w:ascii="宋体" w:hAnsi="宋体" w:eastAsia="宋体" w:cs="宋体"/>
          <w:bCs/>
          <w:color w:val="auto"/>
          <w:sz w:val="22"/>
          <w:highlight w:val="none"/>
        </w:rPr>
        <w:t>可选办法八（适合经评审的最低投标价法，技术标与经济标同时开启）</w:t>
      </w:r>
    </w:p>
    <w:p w14:paraId="69A8A4E9">
      <w:pPr>
        <w:pBdr>
          <w:top w:val="none" w:color="auto" w:sz="0" w:space="0"/>
          <w:left w:val="none" w:color="auto" w:sz="0" w:space="0"/>
          <w:bottom w:val="none" w:color="auto" w:sz="0" w:space="0"/>
          <w:right w:val="none" w:color="auto" w:sz="0" w:space="0"/>
          <w:between w:val="none" w:color="auto" w:sz="0" w:space="0"/>
        </w:pBdr>
        <w:spacing w:line="360" w:lineRule="auto"/>
        <w:ind w:firstLine="470"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条款号：40             修改类型：修改</w:t>
      </w:r>
    </w:p>
    <w:p w14:paraId="7B5EE59C">
      <w:pPr>
        <w:pBdr>
          <w:top w:val="none" w:color="auto" w:sz="0" w:space="0"/>
          <w:left w:val="none" w:color="auto" w:sz="0" w:space="0"/>
          <w:bottom w:val="none" w:color="auto" w:sz="0" w:space="0"/>
          <w:right w:val="none" w:color="auto" w:sz="0" w:space="0"/>
          <w:between w:val="none" w:color="auto" w:sz="0" w:space="0"/>
        </w:pBdr>
        <w:spacing w:line="360" w:lineRule="auto"/>
        <w:ind w:firstLine="470" w:firstLineChars="224"/>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40．开标和</w:t>
      </w:r>
      <w:r>
        <w:rPr>
          <w:rFonts w:hint="eastAsia" w:ascii="宋体" w:hAnsi="宋体" w:eastAsia="宋体" w:cs="宋体"/>
          <w:bCs/>
          <w:color w:val="auto"/>
          <w:szCs w:val="21"/>
          <w:highlight w:val="none"/>
        </w:rPr>
        <w:t>评标</w:t>
      </w:r>
      <w:r>
        <w:rPr>
          <w:rFonts w:hint="eastAsia" w:ascii="宋体" w:hAnsi="宋体" w:eastAsia="宋体" w:cs="宋体"/>
          <w:color w:val="auto"/>
          <w:szCs w:val="21"/>
          <w:highlight w:val="none"/>
        </w:rPr>
        <w:t>程序：</w:t>
      </w:r>
    </w:p>
    <w:p w14:paraId="267B3F4C">
      <w:pPr>
        <w:pBdr>
          <w:top w:val="none" w:color="auto" w:sz="0" w:space="0"/>
          <w:left w:val="none" w:color="auto" w:sz="0" w:space="0"/>
          <w:bottom w:val="none" w:color="auto" w:sz="0" w:space="0"/>
          <w:right w:val="none" w:color="auto" w:sz="0" w:space="0"/>
          <w:between w:val="none" w:color="auto" w:sz="0" w:space="0"/>
        </w:pBdr>
        <w:spacing w:line="360" w:lineRule="auto"/>
        <w:ind w:firstLine="470"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40.1投标人递交技术标、经济标投标文件；</w:t>
      </w:r>
    </w:p>
    <w:p w14:paraId="325AAC32">
      <w:pPr>
        <w:pBdr>
          <w:top w:val="none" w:color="auto" w:sz="0" w:space="0"/>
          <w:left w:val="none" w:color="auto" w:sz="0" w:space="0"/>
          <w:bottom w:val="none" w:color="auto" w:sz="0" w:space="0"/>
          <w:right w:val="none" w:color="auto" w:sz="0" w:space="0"/>
          <w:between w:val="none" w:color="auto" w:sz="0" w:space="0"/>
        </w:pBdr>
        <w:spacing w:line="360" w:lineRule="auto"/>
        <w:ind w:firstLine="470"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40.2技术标与经济标投标文件同时公开开标；</w:t>
      </w:r>
    </w:p>
    <w:p w14:paraId="79A27766">
      <w:pPr>
        <w:pBdr>
          <w:top w:val="none" w:color="auto" w:sz="0" w:space="0"/>
          <w:left w:val="none" w:color="auto" w:sz="0" w:space="0"/>
          <w:bottom w:val="none" w:color="auto" w:sz="0" w:space="0"/>
          <w:right w:val="none" w:color="auto" w:sz="0" w:space="0"/>
          <w:between w:val="none" w:color="auto" w:sz="0" w:space="0"/>
        </w:pBdr>
        <w:spacing w:line="360" w:lineRule="auto"/>
        <w:ind w:firstLine="470"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40.3由评标委员会对所有已公开开标的投标人进行资格审查；</w:t>
      </w:r>
    </w:p>
    <w:p w14:paraId="71BEE991">
      <w:pPr>
        <w:pBdr>
          <w:top w:val="none" w:color="auto" w:sz="0" w:space="0"/>
          <w:left w:val="none" w:color="auto" w:sz="0" w:space="0"/>
          <w:bottom w:val="none" w:color="auto" w:sz="0" w:space="0"/>
          <w:right w:val="none" w:color="auto" w:sz="0" w:space="0"/>
          <w:between w:val="none" w:color="auto" w:sz="0" w:space="0"/>
        </w:pBdr>
        <w:spacing w:line="360" w:lineRule="auto"/>
        <w:ind w:firstLine="470"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40.4技术标投标文件有效性审查；</w:t>
      </w:r>
    </w:p>
    <w:p w14:paraId="50DA2E41">
      <w:pPr>
        <w:pBdr>
          <w:top w:val="none" w:color="auto" w:sz="0" w:space="0"/>
          <w:left w:val="none" w:color="auto" w:sz="0" w:space="0"/>
          <w:bottom w:val="none" w:color="auto" w:sz="0" w:space="0"/>
          <w:right w:val="none" w:color="auto" w:sz="0" w:space="0"/>
          <w:between w:val="none" w:color="auto" w:sz="0" w:space="0"/>
        </w:pBdr>
        <w:spacing w:line="360" w:lineRule="auto"/>
        <w:ind w:firstLine="470"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40.5技术标详细审查评分；</w:t>
      </w:r>
    </w:p>
    <w:p w14:paraId="21A4EDE0">
      <w:pPr>
        <w:pBdr>
          <w:top w:val="none" w:color="auto" w:sz="0" w:space="0"/>
          <w:left w:val="none" w:color="auto" w:sz="0" w:space="0"/>
          <w:bottom w:val="none" w:color="auto" w:sz="0" w:space="0"/>
          <w:right w:val="none" w:color="auto" w:sz="0" w:space="0"/>
          <w:between w:val="none" w:color="auto" w:sz="0" w:space="0"/>
        </w:pBdr>
        <w:spacing w:line="360" w:lineRule="auto"/>
        <w:ind w:firstLine="470"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40.6计算第一阶段得分，并按照总分从高到低排列先后次序，编写第一阶段评审报告； </w:t>
      </w:r>
    </w:p>
    <w:p w14:paraId="256A4895">
      <w:pPr>
        <w:pBdr>
          <w:top w:val="none" w:color="auto" w:sz="0" w:space="0"/>
          <w:left w:val="none" w:color="auto" w:sz="0" w:space="0"/>
          <w:bottom w:val="none" w:color="auto" w:sz="0" w:space="0"/>
          <w:right w:val="none" w:color="auto" w:sz="0" w:space="0"/>
          <w:between w:val="none" w:color="auto" w:sz="0" w:space="0"/>
        </w:pBdr>
        <w:spacing w:line="360" w:lineRule="auto"/>
        <w:ind w:firstLine="470"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40.7按投标须知前附表第25项规定，确定进入第二阶段评审的投标人；</w:t>
      </w:r>
    </w:p>
    <w:p w14:paraId="4DE91473">
      <w:pPr>
        <w:pBdr>
          <w:top w:val="none" w:color="auto" w:sz="0" w:space="0"/>
          <w:left w:val="none" w:color="auto" w:sz="0" w:space="0"/>
          <w:bottom w:val="none" w:color="auto" w:sz="0" w:space="0"/>
          <w:right w:val="none" w:color="auto" w:sz="0" w:space="0"/>
          <w:between w:val="none" w:color="auto" w:sz="0" w:space="0"/>
        </w:pBdr>
        <w:spacing w:line="360" w:lineRule="auto"/>
        <w:ind w:firstLine="470"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40.8将进入第二阶段评审的投标人进行排序；</w:t>
      </w:r>
    </w:p>
    <w:p w14:paraId="262446C1">
      <w:pPr>
        <w:pBdr>
          <w:top w:val="none" w:color="auto" w:sz="0" w:space="0"/>
          <w:left w:val="none" w:color="auto" w:sz="0" w:space="0"/>
          <w:bottom w:val="none" w:color="auto" w:sz="0" w:space="0"/>
          <w:right w:val="none" w:color="auto" w:sz="0" w:space="0"/>
          <w:between w:val="none" w:color="auto" w:sz="0" w:space="0"/>
        </w:pBdr>
        <w:spacing w:line="360" w:lineRule="auto"/>
        <w:ind w:firstLine="470"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40.9按排序对经济标投标文件进行有效性审查（含投标报价算术校核），直至评出所有中标候选人；</w:t>
      </w:r>
    </w:p>
    <w:p w14:paraId="3741F6C4">
      <w:pPr>
        <w:pBdr>
          <w:top w:val="none" w:color="auto" w:sz="0" w:space="0"/>
          <w:left w:val="none" w:color="auto" w:sz="0" w:space="0"/>
          <w:bottom w:val="none" w:color="auto" w:sz="0" w:space="0"/>
          <w:right w:val="none" w:color="auto" w:sz="0" w:space="0"/>
          <w:between w:val="none" w:color="auto" w:sz="0" w:space="0"/>
        </w:pBdr>
        <w:spacing w:line="360" w:lineRule="auto"/>
        <w:ind w:firstLine="470"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40.10评标委员会编写评标报告，向招标人推荐中标候选人名单。</w:t>
      </w:r>
    </w:p>
    <w:p w14:paraId="4F11E02F">
      <w:pPr>
        <w:pBdr>
          <w:top w:val="none" w:color="auto" w:sz="0" w:space="0"/>
          <w:left w:val="none" w:color="auto" w:sz="0" w:space="0"/>
          <w:bottom w:val="none" w:color="auto" w:sz="0" w:space="0"/>
          <w:right w:val="none" w:color="auto" w:sz="0" w:space="0"/>
          <w:between w:val="none" w:color="auto" w:sz="0" w:space="0"/>
        </w:pBdr>
        <w:spacing w:line="360" w:lineRule="auto"/>
        <w:ind w:firstLine="470" w:firstLineChars="224"/>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40．开标和评标程序：</w:t>
      </w:r>
    </w:p>
    <w:p w14:paraId="52D8BE30">
      <w:pPr>
        <w:pBdr>
          <w:top w:val="none" w:color="auto" w:sz="0" w:space="0"/>
          <w:left w:val="none" w:color="auto" w:sz="0" w:space="0"/>
          <w:bottom w:val="none" w:color="auto" w:sz="0" w:space="0"/>
          <w:right w:val="none" w:color="auto" w:sz="0" w:space="0"/>
          <w:between w:val="none" w:color="auto" w:sz="0" w:space="0"/>
        </w:pBd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40.1投标人递交技术标</w:t>
      </w:r>
      <w:r>
        <w:rPr>
          <w:rFonts w:hint="eastAsia" w:ascii="宋体" w:hAnsi="宋体" w:eastAsia="宋体" w:cs="宋体"/>
          <w:color w:val="auto"/>
          <w:szCs w:val="21"/>
          <w:highlight w:val="none"/>
          <w:u w:val="single"/>
        </w:rPr>
        <w:t>投标文件（含资格审查文件）</w:t>
      </w:r>
      <w:r>
        <w:rPr>
          <w:rFonts w:hint="eastAsia" w:ascii="宋体" w:hAnsi="宋体" w:eastAsia="宋体" w:cs="宋体"/>
          <w:color w:val="auto"/>
          <w:szCs w:val="21"/>
          <w:highlight w:val="none"/>
        </w:rPr>
        <w:t>、经济标投标文件；</w:t>
      </w:r>
    </w:p>
    <w:p w14:paraId="659FA3C0">
      <w:pPr>
        <w:pBdr>
          <w:top w:val="none" w:color="auto" w:sz="0" w:space="0"/>
          <w:left w:val="none" w:color="auto" w:sz="0" w:space="0"/>
          <w:bottom w:val="none" w:color="auto" w:sz="0" w:space="0"/>
          <w:right w:val="none" w:color="auto" w:sz="0" w:space="0"/>
          <w:between w:val="none" w:color="auto" w:sz="0" w:space="0"/>
        </w:pBd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40.2技术标与经济标投标文件同时公开开标；</w:t>
      </w:r>
    </w:p>
    <w:p w14:paraId="2BBD0A27">
      <w:pPr>
        <w:pBdr>
          <w:top w:val="none" w:color="auto" w:sz="0" w:space="0"/>
          <w:left w:val="none" w:color="auto" w:sz="0" w:space="0"/>
          <w:bottom w:val="none" w:color="auto" w:sz="0" w:space="0"/>
          <w:right w:val="none" w:color="auto" w:sz="0" w:space="0"/>
          <w:between w:val="none" w:color="auto" w:sz="0" w:space="0"/>
        </w:pBd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40.3由评标委员会对所有已公开开标的投标人进行资格审查，</w:t>
      </w:r>
      <w:r>
        <w:rPr>
          <w:rFonts w:hint="eastAsia" w:ascii="宋体" w:hAnsi="宋体" w:eastAsia="宋体" w:cs="宋体"/>
          <w:color w:val="auto"/>
          <w:szCs w:val="21"/>
          <w:highlight w:val="none"/>
          <w:u w:val="single"/>
        </w:rPr>
        <w:t>并编写资格审查报告</w:t>
      </w:r>
      <w:r>
        <w:rPr>
          <w:rFonts w:hint="eastAsia" w:ascii="宋体" w:hAnsi="宋体" w:eastAsia="宋体" w:cs="宋体"/>
          <w:color w:val="auto"/>
          <w:szCs w:val="21"/>
          <w:highlight w:val="none"/>
        </w:rPr>
        <w:t>；</w:t>
      </w:r>
    </w:p>
    <w:p w14:paraId="327722B4">
      <w:pPr>
        <w:pBdr>
          <w:bottom w:val="single" w:color="auto" w:sz="6" w:space="1"/>
        </w:pBd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40.4技术标投标文件有效性审查；</w:t>
      </w:r>
    </w:p>
    <w:p w14:paraId="01A5BEB6">
      <w:pPr>
        <w:pBdr>
          <w:bottom w:val="single" w:color="auto" w:sz="6" w:space="1"/>
        </w:pBd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40.5技术标详细审查评分；</w:t>
      </w:r>
    </w:p>
    <w:p w14:paraId="6A2F1455">
      <w:pPr>
        <w:pBdr>
          <w:bottom w:val="single" w:color="auto" w:sz="6" w:space="1"/>
        </w:pBd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40.6计算第一阶段得分，并按照</w:t>
      </w:r>
      <w:r>
        <w:rPr>
          <w:rFonts w:hint="eastAsia" w:ascii="宋体" w:hAnsi="宋体" w:eastAsia="宋体" w:cs="宋体"/>
          <w:color w:val="auto"/>
          <w:szCs w:val="21"/>
          <w:highlight w:val="none"/>
          <w:u w:val="single"/>
        </w:rPr>
        <w:t>第一阶段得分</w:t>
      </w:r>
      <w:r>
        <w:rPr>
          <w:rFonts w:hint="eastAsia" w:ascii="宋体" w:hAnsi="宋体" w:eastAsia="宋体" w:cs="宋体"/>
          <w:color w:val="auto"/>
          <w:szCs w:val="21"/>
          <w:highlight w:val="none"/>
        </w:rPr>
        <w:t>从高到低排列先后次序，编写第一阶段评审报告；</w:t>
      </w:r>
    </w:p>
    <w:p w14:paraId="05FC8AE3">
      <w:pPr>
        <w:pBdr>
          <w:bottom w:val="single" w:color="auto" w:sz="6" w:space="1"/>
        </w:pBd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40.7按投标须知前附表第25项规定，确定进入第二阶段评审的投标人；</w:t>
      </w:r>
    </w:p>
    <w:p w14:paraId="3C241F8D">
      <w:pPr>
        <w:pBdr>
          <w:bottom w:val="single" w:color="auto" w:sz="6" w:space="1"/>
        </w:pBdr>
        <w:spacing w:line="360" w:lineRule="auto"/>
        <w:ind w:firstLine="525" w:firstLineChars="25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40.8对进入第二阶段的投标人按投标须知前附表第32项规定计算第二阶段得分并排序；</w:t>
      </w:r>
    </w:p>
    <w:p w14:paraId="49350F38">
      <w:pPr>
        <w:pBdr>
          <w:bottom w:val="single" w:color="auto" w:sz="6" w:space="1"/>
        </w:pBd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40.9按排序对经济标投标文件进行有效性审查（含投标报价算术校核），直至评出所有中标候选人；</w:t>
      </w:r>
    </w:p>
    <w:p w14:paraId="75CE6988">
      <w:pPr>
        <w:pBdr>
          <w:bottom w:val="single" w:color="auto" w:sz="6" w:space="1"/>
        </w:pBd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40.10评标委员会编写评标报告，向招标人推荐中标候选人名单。</w:t>
      </w:r>
    </w:p>
    <w:p w14:paraId="104A1E5F">
      <w:pPr>
        <w:pBdr>
          <w:top w:val="none" w:color="auto" w:sz="0" w:space="0"/>
          <w:left w:val="none" w:color="auto" w:sz="0" w:space="0"/>
          <w:bottom w:val="none" w:color="auto" w:sz="0" w:space="0"/>
          <w:right w:val="none" w:color="auto" w:sz="0" w:space="0"/>
          <w:between w:val="none" w:color="auto" w:sz="0" w:space="0"/>
        </w:pBdr>
        <w:spacing w:line="360" w:lineRule="auto"/>
        <w:ind w:firstLine="470"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 41.1              修改类型：修改</w:t>
      </w:r>
    </w:p>
    <w:p w14:paraId="50330357">
      <w:pPr>
        <w:pBdr>
          <w:bottom w:val="single" w:color="auto" w:sz="6" w:space="1"/>
        </w:pBdr>
        <w:spacing w:line="360" w:lineRule="auto"/>
        <w:ind w:firstLine="525" w:firstLineChars="25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41.1 开标由招标人主持；</w:t>
      </w:r>
    </w:p>
    <w:p w14:paraId="1B8426BF">
      <w:pPr>
        <w:pBdr>
          <w:bottom w:val="single" w:color="auto" w:sz="6" w:space="1"/>
        </w:pBdr>
        <w:spacing w:line="360" w:lineRule="auto"/>
        <w:ind w:firstLine="525" w:firstLineChars="25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41.1 开标由招标人</w:t>
      </w:r>
      <w:r>
        <w:rPr>
          <w:rFonts w:hint="eastAsia" w:ascii="宋体" w:hAnsi="宋体" w:eastAsia="宋体" w:cs="宋体"/>
          <w:color w:val="auto"/>
          <w:szCs w:val="21"/>
          <w:highlight w:val="none"/>
          <w:u w:val="single"/>
        </w:rPr>
        <w:t>或招标代理</w:t>
      </w:r>
      <w:r>
        <w:rPr>
          <w:rFonts w:hint="eastAsia" w:ascii="宋体" w:hAnsi="宋体" w:eastAsia="宋体" w:cs="宋体"/>
          <w:color w:val="auto"/>
          <w:szCs w:val="21"/>
          <w:highlight w:val="none"/>
        </w:rPr>
        <w:t>主持；</w:t>
      </w:r>
    </w:p>
    <w:p w14:paraId="381E3152">
      <w:pPr>
        <w:pBdr>
          <w:top w:val="none" w:color="auto" w:sz="0" w:space="0"/>
          <w:left w:val="none" w:color="auto" w:sz="0" w:space="0"/>
          <w:bottom w:val="none" w:color="auto" w:sz="0" w:space="0"/>
          <w:right w:val="none" w:color="auto" w:sz="0" w:space="0"/>
          <w:between w:val="none" w:color="auto" w:sz="0" w:space="0"/>
        </w:pBdr>
        <w:spacing w:line="360" w:lineRule="auto"/>
        <w:ind w:firstLine="470"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条款号：41.2.1             修改类型：修改</w:t>
      </w:r>
    </w:p>
    <w:p w14:paraId="7F6AEDBF">
      <w:pPr>
        <w:pBdr>
          <w:top w:val="none" w:color="auto" w:sz="0" w:space="0"/>
          <w:left w:val="none" w:color="auto" w:sz="0" w:space="0"/>
          <w:bottom w:val="none" w:color="auto" w:sz="0" w:space="0"/>
          <w:right w:val="none" w:color="auto" w:sz="0" w:space="0"/>
          <w:between w:val="none" w:color="auto" w:sz="0" w:space="0"/>
        </w:pBdr>
        <w:spacing w:line="360" w:lineRule="auto"/>
        <w:ind w:firstLine="470" w:firstLineChars="224"/>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41.2.1投标截止期前，各投标人递交投标文件（包括技术标投标文件、经济标投标文件）至交易平台。有关投标文件提交的事项详见第一章投标须知。</w:t>
      </w:r>
    </w:p>
    <w:p w14:paraId="5A627433">
      <w:pPr>
        <w:pBdr>
          <w:top w:val="none" w:color="auto" w:sz="0" w:space="0"/>
          <w:left w:val="none" w:color="auto" w:sz="0" w:space="0"/>
          <w:bottom w:val="single" w:color="auto" w:sz="4" w:space="0"/>
          <w:right w:val="none" w:color="auto" w:sz="0" w:space="0"/>
          <w:between w:val="none" w:color="auto" w:sz="0" w:space="0"/>
        </w:pBdr>
        <w:spacing w:line="360" w:lineRule="auto"/>
        <w:ind w:firstLine="470"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41.2.1投标截止期前，各投标人递交投标文件</w:t>
      </w:r>
      <w:r>
        <w:rPr>
          <w:rFonts w:hint="eastAsia" w:ascii="宋体" w:hAnsi="宋体" w:eastAsia="宋体" w:cs="宋体"/>
          <w:color w:val="auto"/>
          <w:szCs w:val="21"/>
          <w:highlight w:val="none"/>
          <w:u w:val="single"/>
        </w:rPr>
        <w:t>[包括技术标投标文件（含资格审查文件、经济标投标文件]</w:t>
      </w:r>
      <w:r>
        <w:rPr>
          <w:rFonts w:hint="eastAsia" w:ascii="宋体" w:hAnsi="宋体" w:eastAsia="宋体" w:cs="宋体"/>
          <w:color w:val="auto"/>
          <w:szCs w:val="21"/>
          <w:highlight w:val="none"/>
        </w:rPr>
        <w:t>至</w:t>
      </w:r>
      <w:r>
        <w:rPr>
          <w:rFonts w:hint="eastAsia" w:ascii="宋体" w:hAnsi="宋体" w:eastAsia="宋体" w:cs="宋体"/>
          <w:color w:val="auto"/>
          <w:szCs w:val="21"/>
          <w:highlight w:val="none"/>
          <w:u w:val="single"/>
        </w:rPr>
        <w:t>广州交易集团有限公司（广州公共资源交易中心）</w:t>
      </w:r>
      <w:r>
        <w:rPr>
          <w:rFonts w:hint="eastAsia" w:ascii="宋体" w:hAnsi="宋体" w:eastAsia="宋体" w:cs="宋体"/>
          <w:color w:val="auto"/>
          <w:szCs w:val="21"/>
          <w:highlight w:val="none"/>
        </w:rPr>
        <w:t>交易平台。有关投标文件提交的事项详见第一章投标须知。</w:t>
      </w:r>
    </w:p>
    <w:p w14:paraId="4B78ED2D">
      <w:pPr>
        <w:shd w:val="clear" w:color="auto" w:fill="auto"/>
        <w:tabs>
          <w:tab w:val="left" w:pos="4410"/>
        </w:tabs>
        <w:spacing w:line="360" w:lineRule="auto"/>
        <w:ind w:firstLine="420" w:firstLineChars="200"/>
        <w:rPr>
          <w:rFonts w:ascii="宋体" w:hAnsi="宋体" w:eastAsia="宋体" w:cs="等线"/>
          <w:b/>
          <w:color w:val="auto"/>
          <w:szCs w:val="21"/>
          <w:highlight w:val="none"/>
        </w:rPr>
      </w:pPr>
      <w:r>
        <w:rPr>
          <w:rFonts w:hint="eastAsia" w:ascii="宋体" w:hAnsi="宋体" w:eastAsia="宋体" w:cs="等线"/>
          <w:b/>
          <w:color w:val="auto"/>
          <w:szCs w:val="21"/>
          <w:highlight w:val="none"/>
        </w:rPr>
        <w:t>条款号：</w:t>
      </w:r>
      <w:r>
        <w:rPr>
          <w:rFonts w:ascii="宋体" w:hAnsi="宋体" w:eastAsia="宋体" w:cs="等线"/>
          <w:b/>
          <w:color w:val="auto"/>
          <w:szCs w:val="21"/>
          <w:highlight w:val="none"/>
        </w:rPr>
        <w:t>41.2.2</w:t>
      </w:r>
      <w:r>
        <w:rPr>
          <w:rFonts w:ascii="宋体" w:hAnsi="宋体" w:eastAsia="宋体" w:cs="等线"/>
          <w:b/>
          <w:color w:val="auto"/>
          <w:szCs w:val="21"/>
          <w:highlight w:val="none"/>
        </w:rPr>
        <w:tab/>
      </w:r>
      <w:r>
        <w:rPr>
          <w:rFonts w:hint="eastAsia" w:ascii="宋体" w:hAnsi="宋体" w:eastAsia="宋体" w:cs="等线"/>
          <w:b/>
          <w:color w:val="auto"/>
          <w:szCs w:val="21"/>
          <w:highlight w:val="none"/>
        </w:rPr>
        <w:t>修改类型：修改</w:t>
      </w:r>
    </w:p>
    <w:p w14:paraId="65B7B3E0">
      <w:pPr>
        <w:pBdr>
          <w:bottom w:val="single" w:color="auto" w:sz="6" w:space="1"/>
        </w:pBdr>
        <w:shd w:val="clear" w:color="auto" w:fill="auto"/>
        <w:spacing w:line="360" w:lineRule="auto"/>
        <w:ind w:firstLine="420" w:firstLineChars="200"/>
        <w:rPr>
          <w:rFonts w:ascii="宋体" w:hAnsi="宋体" w:eastAsia="宋体" w:cs="等线"/>
          <w:color w:val="auto"/>
          <w:szCs w:val="21"/>
          <w:highlight w:val="none"/>
        </w:rPr>
      </w:pPr>
      <w:r>
        <w:rPr>
          <w:rFonts w:hint="eastAsia" w:ascii="宋体" w:hAnsi="宋体" w:eastAsia="宋体" w:cs="等线"/>
          <w:b/>
          <w:color w:val="auto"/>
          <w:szCs w:val="21"/>
          <w:highlight w:val="none"/>
        </w:rPr>
        <w:t>原文：</w:t>
      </w:r>
      <w:r>
        <w:rPr>
          <w:rFonts w:ascii="宋体" w:hAnsi="宋体" w:eastAsia="宋体" w:cs="等线"/>
          <w:color w:val="auto"/>
          <w:szCs w:val="21"/>
          <w:highlight w:val="none"/>
        </w:rPr>
        <w:t>41.2.2开标前，首先由招标人随机抽取确定该工程计算评标参考价的等分点值X。</w:t>
      </w:r>
    </w:p>
    <w:p w14:paraId="6174A610">
      <w:pPr>
        <w:pBdr>
          <w:bottom w:val="single" w:color="auto" w:sz="6" w:space="1"/>
        </w:pBdr>
        <w:shd w:val="clear" w:color="auto" w:fill="auto"/>
        <w:spacing w:line="360" w:lineRule="auto"/>
        <w:ind w:firstLine="420" w:firstLineChars="200"/>
        <w:rPr>
          <w:rFonts w:ascii="宋体" w:hAnsi="宋体" w:eastAsia="宋体" w:cs="等线"/>
          <w:color w:val="auto"/>
          <w:szCs w:val="21"/>
          <w:highlight w:val="none"/>
        </w:rPr>
      </w:pPr>
      <w:r>
        <w:rPr>
          <w:rFonts w:hint="eastAsia" w:ascii="宋体" w:hAnsi="宋体" w:eastAsia="宋体" w:cs="等线"/>
          <w:b/>
          <w:color w:val="auto"/>
          <w:szCs w:val="21"/>
          <w:highlight w:val="none"/>
        </w:rPr>
        <w:t>现文：</w:t>
      </w:r>
      <w:r>
        <w:rPr>
          <w:rFonts w:ascii="宋体" w:hAnsi="宋体" w:eastAsia="宋体" w:cs="等线"/>
          <w:color w:val="auto"/>
          <w:szCs w:val="21"/>
          <w:highlight w:val="none"/>
        </w:rPr>
        <w:t>41.2.2开标前，首先由</w:t>
      </w:r>
      <w:r>
        <w:rPr>
          <w:rFonts w:hint="eastAsia" w:ascii="宋体" w:hAnsi="宋体" w:eastAsia="宋体" w:cs="等线"/>
          <w:color w:val="auto"/>
          <w:szCs w:val="21"/>
          <w:highlight w:val="none"/>
          <w:u w:val="single"/>
        </w:rPr>
        <w:t>招标人或招标代理</w:t>
      </w:r>
      <w:r>
        <w:rPr>
          <w:rFonts w:hint="eastAsia" w:ascii="宋体" w:hAnsi="宋体" w:eastAsia="宋体" w:cs="等线"/>
          <w:color w:val="auto"/>
          <w:szCs w:val="21"/>
          <w:highlight w:val="none"/>
        </w:rPr>
        <w:t>随机抽取确定该工程计算评标参考价的等分点值</w:t>
      </w:r>
      <w:r>
        <w:rPr>
          <w:rFonts w:ascii="宋体" w:hAnsi="宋体" w:eastAsia="宋体" w:cs="等线"/>
          <w:color w:val="auto"/>
          <w:szCs w:val="21"/>
          <w:highlight w:val="none"/>
        </w:rPr>
        <w:t>X。</w:t>
      </w:r>
    </w:p>
    <w:p w14:paraId="54C31422">
      <w:pPr>
        <w:shd w:val="clear" w:color="auto" w:fill="auto"/>
        <w:spacing w:line="360" w:lineRule="auto"/>
        <w:ind w:firstLine="420" w:firstLineChars="200"/>
        <w:rPr>
          <w:rFonts w:ascii="宋体" w:hAnsi="宋体" w:eastAsia="宋体" w:cs="等线"/>
          <w:b/>
          <w:color w:val="auto"/>
          <w:szCs w:val="21"/>
          <w:highlight w:val="none"/>
        </w:rPr>
      </w:pPr>
      <w:r>
        <w:rPr>
          <w:rFonts w:hint="eastAsia" w:ascii="宋体" w:hAnsi="宋体" w:eastAsia="宋体" w:cs="等线"/>
          <w:b/>
          <w:color w:val="auto"/>
          <w:szCs w:val="21"/>
          <w:highlight w:val="none"/>
        </w:rPr>
        <w:t>条款号：</w:t>
      </w:r>
      <w:r>
        <w:rPr>
          <w:rFonts w:ascii="宋体" w:hAnsi="宋体" w:eastAsia="宋体" w:cs="等线"/>
          <w:b/>
          <w:color w:val="auto"/>
          <w:szCs w:val="21"/>
          <w:highlight w:val="none"/>
        </w:rPr>
        <w:t xml:space="preserve">41.3                        </w:t>
      </w:r>
      <w:r>
        <w:rPr>
          <w:rFonts w:hint="eastAsia" w:ascii="宋体" w:hAnsi="宋体" w:eastAsia="宋体" w:cs="等线"/>
          <w:b/>
          <w:color w:val="auto"/>
          <w:szCs w:val="21"/>
          <w:highlight w:val="none"/>
        </w:rPr>
        <w:t>修改类型：修改</w:t>
      </w:r>
    </w:p>
    <w:p w14:paraId="323799F5">
      <w:pPr>
        <w:shd w:val="clear" w:color="auto" w:fill="auto"/>
        <w:spacing w:line="360" w:lineRule="auto"/>
        <w:ind w:firstLine="420" w:firstLineChars="200"/>
        <w:rPr>
          <w:rFonts w:ascii="宋体" w:hAnsi="宋体" w:eastAsia="宋体" w:cs="等线"/>
          <w:color w:val="auto"/>
          <w:szCs w:val="21"/>
          <w:highlight w:val="none"/>
        </w:rPr>
      </w:pPr>
      <w:r>
        <w:rPr>
          <w:rFonts w:hint="eastAsia" w:ascii="宋体" w:hAnsi="宋体" w:eastAsia="宋体" w:cs="等线"/>
          <w:b/>
          <w:bCs/>
          <w:color w:val="auto"/>
          <w:szCs w:val="21"/>
          <w:highlight w:val="none"/>
        </w:rPr>
        <w:t>原文</w:t>
      </w:r>
      <w:r>
        <w:rPr>
          <w:rFonts w:hint="eastAsia" w:ascii="宋体" w:hAnsi="宋体" w:eastAsia="宋体" w:cs="等线"/>
          <w:color w:val="auto"/>
          <w:szCs w:val="21"/>
          <w:highlight w:val="none"/>
        </w:rPr>
        <w:t>：</w:t>
      </w:r>
      <w:r>
        <w:rPr>
          <w:rFonts w:ascii="宋体" w:hAnsi="宋体" w:eastAsia="宋体" w:cs="等线"/>
          <w:color w:val="auto"/>
          <w:szCs w:val="21"/>
          <w:highlight w:val="none"/>
        </w:rPr>
        <w:t>41.3招标人对开标过程进行记录，并存档备查，投标人在开标记录上签字。</w:t>
      </w:r>
    </w:p>
    <w:p w14:paraId="5AF21EBD">
      <w:pPr>
        <w:pBdr>
          <w:bottom w:val="single" w:color="auto" w:sz="6" w:space="1"/>
        </w:pBdr>
        <w:shd w:val="clear" w:color="auto" w:fill="auto"/>
        <w:spacing w:line="360" w:lineRule="auto"/>
        <w:ind w:firstLine="420" w:firstLineChars="200"/>
        <w:rPr>
          <w:rFonts w:ascii="宋体" w:hAnsi="宋体" w:eastAsia="宋体" w:cs="等线"/>
          <w:color w:val="auto"/>
          <w:szCs w:val="21"/>
          <w:highlight w:val="none"/>
        </w:rPr>
      </w:pPr>
      <w:r>
        <w:rPr>
          <w:rFonts w:hint="eastAsia" w:ascii="宋体" w:hAnsi="宋体" w:eastAsia="宋体" w:cs="等线"/>
          <w:b/>
          <w:bCs/>
          <w:color w:val="auto"/>
          <w:szCs w:val="21"/>
          <w:highlight w:val="none"/>
        </w:rPr>
        <w:t>现文</w:t>
      </w:r>
      <w:r>
        <w:rPr>
          <w:rFonts w:hint="eastAsia" w:ascii="宋体" w:hAnsi="宋体" w:eastAsia="宋体" w:cs="等线"/>
          <w:color w:val="auto"/>
          <w:szCs w:val="21"/>
          <w:highlight w:val="none"/>
        </w:rPr>
        <w:t>：</w:t>
      </w:r>
      <w:r>
        <w:rPr>
          <w:rFonts w:ascii="宋体" w:hAnsi="宋体" w:eastAsia="宋体" w:cs="等线"/>
          <w:color w:val="auto"/>
          <w:szCs w:val="21"/>
          <w:highlight w:val="none"/>
        </w:rPr>
        <w:t>41.3招标人</w:t>
      </w:r>
      <w:r>
        <w:rPr>
          <w:rFonts w:hint="eastAsia" w:ascii="宋体" w:hAnsi="宋体" w:eastAsia="宋体" w:cs="等线"/>
          <w:color w:val="auto"/>
          <w:szCs w:val="21"/>
          <w:highlight w:val="none"/>
          <w:u w:val="single"/>
        </w:rPr>
        <w:t>或招标代理机构</w:t>
      </w:r>
      <w:r>
        <w:rPr>
          <w:rFonts w:hint="eastAsia" w:ascii="宋体" w:hAnsi="宋体" w:eastAsia="宋体" w:cs="等线"/>
          <w:color w:val="auto"/>
          <w:szCs w:val="21"/>
          <w:highlight w:val="none"/>
        </w:rPr>
        <w:t>对开标过程进行记录，并存档备查，</w:t>
      </w:r>
      <w:r>
        <w:rPr>
          <w:rFonts w:hint="eastAsia" w:ascii="宋体" w:hAnsi="宋体" w:eastAsia="宋体" w:cs="等线"/>
          <w:color w:val="auto"/>
          <w:szCs w:val="21"/>
          <w:highlight w:val="none"/>
          <w:u w:val="single"/>
        </w:rPr>
        <w:t>参加开标会的</w:t>
      </w:r>
      <w:r>
        <w:rPr>
          <w:rFonts w:hint="eastAsia" w:ascii="宋体" w:hAnsi="宋体" w:eastAsia="宋体" w:cs="等线"/>
          <w:color w:val="auto"/>
          <w:szCs w:val="21"/>
          <w:highlight w:val="none"/>
        </w:rPr>
        <w:t>投标人在开标记录上签字。</w:t>
      </w:r>
    </w:p>
    <w:p w14:paraId="1DC0663C">
      <w:pPr>
        <w:pBdr>
          <w:bottom w:val="none" w:color="auto" w:sz="0" w:space="1"/>
        </w:pBdr>
        <w:spacing w:line="360" w:lineRule="auto"/>
        <w:ind w:firstLine="470" w:firstLineChars="224"/>
        <w:rPr>
          <w:rFonts w:hint="eastAsia"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条款号： 41.3.1            修改类型：修改</w:t>
      </w:r>
    </w:p>
    <w:p w14:paraId="14EEA5AE">
      <w:pPr>
        <w:pBdr>
          <w:top w:val="none" w:color="auto" w:sz="0" w:space="0"/>
          <w:left w:val="none" w:color="auto" w:sz="0" w:space="0"/>
          <w:bottom w:val="none" w:color="auto" w:sz="0" w:space="0"/>
          <w:right w:val="none" w:color="auto" w:sz="0" w:space="0"/>
          <w:between w:val="none" w:color="auto" w:sz="0" w:space="0"/>
        </w:pBdr>
        <w:spacing w:line="360" w:lineRule="auto"/>
        <w:ind w:firstLine="470" w:firstLineChars="224"/>
        <w:rPr>
          <w:rFonts w:hint="eastAsia" w:ascii="宋体" w:hAnsi="宋体" w:eastAsia="宋体" w:cs="宋体"/>
          <w:bCs/>
          <w:color w:val="auto"/>
          <w:szCs w:val="21"/>
          <w:highlight w:val="none"/>
          <w:lang w:bidi="ar"/>
        </w:rPr>
      </w:pPr>
      <w:r>
        <w:rPr>
          <w:rFonts w:hint="eastAsia" w:ascii="宋体" w:hAnsi="宋体" w:eastAsia="宋体" w:cs="宋体"/>
          <w:b/>
          <w:color w:val="auto"/>
          <w:szCs w:val="21"/>
          <w:highlight w:val="none"/>
          <w:lang w:bidi="ar"/>
        </w:rPr>
        <w:t>原文：</w:t>
      </w:r>
      <w:r>
        <w:rPr>
          <w:rFonts w:hint="eastAsia" w:ascii="宋体" w:hAnsi="宋体" w:eastAsia="宋体" w:cs="宋体"/>
          <w:bCs/>
          <w:color w:val="auto"/>
          <w:szCs w:val="21"/>
          <w:highlight w:val="none"/>
          <w:lang w:bidi="ar"/>
        </w:rPr>
        <w:t>41.3.1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14:paraId="1A42B5D1">
      <w:pPr>
        <w:pBdr>
          <w:bottom w:val="single" w:color="auto" w:sz="4" w:space="1"/>
        </w:pBdr>
        <w:adjustRightInd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lang w:bidi="ar"/>
        </w:rPr>
        <w:t>现文：</w:t>
      </w:r>
      <w:r>
        <w:rPr>
          <w:rFonts w:hint="eastAsia" w:ascii="宋体" w:hAnsi="宋体" w:eastAsia="宋体" w:cs="宋体"/>
          <w:bCs/>
          <w:color w:val="auto"/>
          <w:szCs w:val="21"/>
          <w:highlight w:val="none"/>
          <w:lang w:bidi="ar"/>
        </w:rPr>
        <w:t>41.3.1开标时，公布：a、投标人名称；b、投标文件密封情况</w:t>
      </w:r>
      <w:r>
        <w:rPr>
          <w:rFonts w:hint="eastAsia" w:ascii="宋体" w:hAnsi="宋体" w:eastAsia="宋体" w:cs="宋体"/>
          <w:bCs/>
          <w:color w:val="auto"/>
          <w:szCs w:val="21"/>
          <w:highlight w:val="none"/>
          <w:u w:val="none"/>
          <w:lang w:bidi="ar"/>
        </w:rPr>
        <w:t>；</w:t>
      </w:r>
      <w:r>
        <w:rPr>
          <w:rFonts w:hint="eastAsia" w:ascii="宋体" w:hAnsi="宋体" w:eastAsia="宋体" w:cs="宋体"/>
          <w:bCs/>
          <w:color w:val="auto"/>
          <w:szCs w:val="21"/>
          <w:highlight w:val="none"/>
          <w:u w:val="single"/>
          <w:lang w:bidi="ar"/>
        </w:rPr>
        <w:t>c、</w:t>
      </w:r>
      <w:r>
        <w:rPr>
          <w:rFonts w:hint="eastAsia" w:ascii="宋体" w:hAnsi="宋体" w:eastAsia="宋体" w:cs="宋体"/>
          <w:bCs/>
          <w:color w:val="auto"/>
          <w:szCs w:val="21"/>
          <w:highlight w:val="none"/>
          <w:u w:val="single"/>
          <w:lang w:val="en-US" w:eastAsia="zh-CN" w:bidi="ar"/>
        </w:rPr>
        <w:t>工程费</w:t>
      </w:r>
      <w:r>
        <w:rPr>
          <w:rFonts w:hint="eastAsia" w:ascii="宋体" w:hAnsi="宋体" w:eastAsia="宋体" w:cs="宋体"/>
          <w:bCs/>
          <w:color w:val="auto"/>
          <w:szCs w:val="21"/>
          <w:highlight w:val="none"/>
          <w:u w:val="single"/>
          <w:lang w:bidi="ar"/>
        </w:rPr>
        <w:t>投标</w:t>
      </w:r>
      <w:r>
        <w:rPr>
          <w:rFonts w:hint="eastAsia" w:ascii="宋体" w:hAnsi="宋体" w:cs="宋体"/>
          <w:bCs/>
          <w:color w:val="auto"/>
          <w:szCs w:val="21"/>
          <w:highlight w:val="none"/>
          <w:u w:val="single"/>
          <w:lang w:val="en-US" w:eastAsia="zh-CN" w:bidi="ar"/>
        </w:rPr>
        <w:t>总</w:t>
      </w:r>
      <w:r>
        <w:rPr>
          <w:rFonts w:hint="eastAsia" w:ascii="宋体" w:hAnsi="宋体" w:eastAsia="宋体" w:cs="宋体"/>
          <w:bCs/>
          <w:color w:val="auto"/>
          <w:szCs w:val="21"/>
          <w:highlight w:val="none"/>
          <w:u w:val="single"/>
          <w:lang w:bidi="ar"/>
        </w:rPr>
        <w:t>报价；d、拆卸工程</w:t>
      </w:r>
      <w:r>
        <w:rPr>
          <w:rFonts w:hint="eastAsia" w:ascii="宋体" w:hAnsi="宋体" w:eastAsia="宋体" w:cs="宋体"/>
          <w:bCs/>
          <w:color w:val="auto"/>
          <w:szCs w:val="21"/>
          <w:highlight w:val="none"/>
          <w:u w:val="single"/>
          <w:lang w:val="en-US" w:eastAsia="zh-CN" w:bidi="ar"/>
        </w:rPr>
        <w:t>回收价值投标</w:t>
      </w:r>
      <w:r>
        <w:rPr>
          <w:rFonts w:hint="eastAsia" w:ascii="宋体" w:hAnsi="宋体" w:cs="宋体"/>
          <w:bCs/>
          <w:color w:val="auto"/>
          <w:szCs w:val="21"/>
          <w:highlight w:val="none"/>
          <w:u w:val="single"/>
          <w:lang w:val="en-US" w:eastAsia="zh-CN" w:bidi="ar"/>
        </w:rPr>
        <w:t>总</w:t>
      </w:r>
      <w:r>
        <w:rPr>
          <w:rFonts w:hint="eastAsia" w:ascii="宋体" w:hAnsi="宋体" w:eastAsia="宋体" w:cs="宋体"/>
          <w:bCs/>
          <w:color w:val="auto"/>
          <w:szCs w:val="21"/>
          <w:highlight w:val="none"/>
          <w:u w:val="single"/>
          <w:lang w:val="en-US" w:eastAsia="zh-CN" w:bidi="ar"/>
        </w:rPr>
        <w:t>报价</w:t>
      </w:r>
      <w:r>
        <w:rPr>
          <w:rFonts w:hint="eastAsia" w:ascii="宋体" w:hAnsi="宋体" w:eastAsia="宋体" w:cs="宋体"/>
          <w:bCs/>
          <w:color w:val="auto"/>
          <w:szCs w:val="21"/>
          <w:highlight w:val="none"/>
          <w:u w:val="single"/>
          <w:lang w:bidi="ar"/>
        </w:rPr>
        <w:t>；</w:t>
      </w:r>
      <w:r>
        <w:rPr>
          <w:rFonts w:hint="eastAsia" w:ascii="宋体" w:hAnsi="宋体" w:eastAsia="宋体" w:cs="宋体"/>
          <w:bCs/>
          <w:color w:val="auto"/>
          <w:szCs w:val="21"/>
          <w:highlight w:val="none"/>
          <w:lang w:bidi="ar"/>
        </w:rPr>
        <w:t>e、项目经理（负责人）名称；f、法定代表人证明及授权委托等主要内容及开标记录表中的其他必要内容。投标报价以数字和文字两种方式表述的，应公布文字表述的投标报价。</w:t>
      </w:r>
    </w:p>
    <w:p w14:paraId="7FA19B49">
      <w:pPr>
        <w:adjustRightInd w:val="0"/>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条款号：42.1              修改类型：修改</w:t>
      </w:r>
    </w:p>
    <w:p w14:paraId="32908C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bidi="ar"/>
        </w:rPr>
        <w:t>原文：</w:t>
      </w:r>
      <w:r>
        <w:rPr>
          <w:rFonts w:hint="eastAsia" w:ascii="宋体" w:hAnsi="宋体" w:eastAsia="宋体" w:cs="宋体"/>
          <w:bCs/>
          <w:color w:val="auto"/>
          <w:szCs w:val="21"/>
          <w:highlight w:val="none"/>
          <w:lang w:bidi="ar"/>
        </w:rPr>
        <w:t>42.1</w:t>
      </w:r>
      <w:r>
        <w:rPr>
          <w:rFonts w:hint="eastAsia" w:ascii="宋体" w:hAnsi="宋体" w:eastAsia="宋体" w:cs="宋体"/>
          <w:color w:val="auto"/>
          <w:szCs w:val="21"/>
          <w:highlight w:val="none"/>
        </w:rPr>
        <w:t>评标委员会的组成：方式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95AB94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方式一：评标委员会为综合评标委员会，负责评标工作。</w:t>
      </w:r>
    </w:p>
    <w:p w14:paraId="1A86CA2F">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方式二：评标委员会由技术评审组和经济评审组组成。其中：资格审查、技术评审由技术评标组负责，经济评审由经济评审组负责。</w:t>
      </w:r>
    </w:p>
    <w:p w14:paraId="3EEC3820">
      <w:pPr>
        <w:pBdr>
          <w:bottom w:val="single" w:color="auto" w:sz="6" w:space="1"/>
        </w:pBdr>
        <w:adjustRightIn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bidi="ar"/>
        </w:rPr>
        <w:t>现文：</w:t>
      </w:r>
      <w:r>
        <w:rPr>
          <w:rFonts w:hint="eastAsia" w:ascii="宋体" w:hAnsi="宋体" w:eastAsia="宋体" w:cs="宋体"/>
          <w:bCs/>
          <w:color w:val="auto"/>
          <w:szCs w:val="21"/>
          <w:highlight w:val="none"/>
          <w:lang w:bidi="ar"/>
        </w:rPr>
        <w:t>42.1</w:t>
      </w:r>
      <w:r>
        <w:rPr>
          <w:rFonts w:hint="eastAsia" w:ascii="宋体" w:hAnsi="宋体" w:eastAsia="宋体" w:cs="宋体"/>
          <w:color w:val="auto"/>
          <w:szCs w:val="21"/>
          <w:highlight w:val="none"/>
        </w:rPr>
        <w:t>评标委员会的组成：方式</w:t>
      </w:r>
      <w:r>
        <w:rPr>
          <w:rFonts w:hint="eastAsia" w:ascii="宋体" w:hAnsi="宋体" w:eastAsia="宋体" w:cs="宋体"/>
          <w:color w:val="auto"/>
          <w:szCs w:val="21"/>
          <w:highlight w:val="none"/>
          <w:u w:val="single"/>
        </w:rPr>
        <w:t xml:space="preserve"> 一 </w:t>
      </w:r>
      <w:r>
        <w:rPr>
          <w:rFonts w:hint="eastAsia" w:ascii="宋体" w:hAnsi="宋体" w:eastAsia="宋体" w:cs="宋体"/>
          <w:color w:val="auto"/>
          <w:szCs w:val="21"/>
          <w:highlight w:val="none"/>
        </w:rPr>
        <w:t>。</w:t>
      </w:r>
    </w:p>
    <w:p w14:paraId="572C5A0F">
      <w:pPr>
        <w:pBdr>
          <w:bottom w:val="single" w:color="auto" w:sz="6" w:space="1"/>
        </w:pBdr>
        <w:adjustRightInd w:val="0"/>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方式一：评标委员会为综合评标委员会，负责评标工作。</w:t>
      </w:r>
    </w:p>
    <w:p w14:paraId="26F29822">
      <w:pPr>
        <w:pBdr>
          <w:top w:val="none" w:color="auto" w:sz="0" w:space="0"/>
          <w:left w:val="none" w:color="auto" w:sz="0" w:space="0"/>
          <w:bottom w:val="none" w:color="auto" w:sz="0" w:space="0"/>
          <w:right w:val="none" w:color="auto" w:sz="0" w:space="0"/>
          <w:between w:val="none" w:color="auto" w:sz="0" w:space="0"/>
        </w:pBdr>
        <w:spacing w:line="360" w:lineRule="auto"/>
        <w:ind w:firstLine="470"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条款号：42.2.6 </w:t>
      </w:r>
      <w:r>
        <w:rPr>
          <w:rFonts w:hint="eastAsia" w:ascii="宋体" w:hAnsi="宋体" w:eastAsia="宋体" w:cs="宋体"/>
          <w:color w:val="auto"/>
          <w:szCs w:val="21"/>
          <w:highlight w:val="none"/>
        </w:rPr>
        <w:t xml:space="preserve"> </w:t>
      </w:r>
      <w:r>
        <w:rPr>
          <w:rFonts w:hint="eastAsia" w:ascii="宋体" w:hAnsi="宋体" w:eastAsia="宋体" w:cs="宋体"/>
          <w:b/>
          <w:color w:val="auto"/>
          <w:szCs w:val="21"/>
          <w:highlight w:val="none"/>
        </w:rPr>
        <w:t xml:space="preserve">           修改类型：修改</w:t>
      </w:r>
    </w:p>
    <w:p w14:paraId="60ADC081">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42.2.6资格审查合格的投标人少于3名的（当N个标段同时招标且不允许兼中时，资格审查合格的投标人少于N+2名），则本项目招标失败。</w:t>
      </w:r>
    </w:p>
    <w:p w14:paraId="440B410E">
      <w:pPr>
        <w:widowControl/>
        <w:pBdr>
          <w:bottom w:val="single" w:color="auto" w:sz="6" w:space="1"/>
        </w:pBd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42.2.6资格审查合格的投标人少于</w:t>
      </w:r>
      <w:r>
        <w:rPr>
          <w:rFonts w:hint="eastAsia" w:ascii="宋体" w:hAnsi="宋体" w:eastAsia="宋体" w:cs="宋体"/>
          <w:color w:val="auto"/>
          <w:szCs w:val="21"/>
          <w:highlight w:val="none"/>
          <w:u w:val="single"/>
        </w:rPr>
        <w:t xml:space="preserve"> 3 </w:t>
      </w:r>
      <w:r>
        <w:rPr>
          <w:rFonts w:hint="eastAsia" w:ascii="宋体" w:hAnsi="宋体" w:eastAsia="宋体" w:cs="宋体"/>
          <w:color w:val="auto"/>
          <w:szCs w:val="21"/>
          <w:highlight w:val="none"/>
        </w:rPr>
        <w:t>名的，则本项目招标失败。</w:t>
      </w:r>
    </w:p>
    <w:p w14:paraId="0352A236">
      <w:pPr>
        <w:pBdr>
          <w:top w:val="none" w:color="auto" w:sz="0" w:space="0"/>
          <w:left w:val="none" w:color="auto" w:sz="0" w:space="0"/>
          <w:bottom w:val="none" w:color="auto" w:sz="0" w:space="0"/>
          <w:right w:val="none" w:color="auto" w:sz="0" w:space="0"/>
          <w:between w:val="none" w:color="auto" w:sz="0" w:space="0"/>
        </w:pBdr>
        <w:spacing w:line="360" w:lineRule="auto"/>
        <w:ind w:firstLine="470" w:firstLineChars="224"/>
        <w:rPr>
          <w:rFonts w:ascii="宋体" w:hAnsi="宋体" w:eastAsia="宋体" w:cs="等线"/>
          <w:b/>
          <w:color w:val="auto"/>
          <w:szCs w:val="21"/>
          <w:highlight w:val="none"/>
        </w:rPr>
      </w:pPr>
      <w:r>
        <w:rPr>
          <w:rFonts w:hint="eastAsia" w:ascii="宋体" w:hAnsi="宋体" w:eastAsia="宋体" w:cs="等线"/>
          <w:b/>
          <w:color w:val="auto"/>
          <w:szCs w:val="21"/>
          <w:highlight w:val="none"/>
        </w:rPr>
        <w:t>条款号：42.3.1</w:t>
      </w:r>
      <w:r>
        <w:rPr>
          <w:rFonts w:ascii="宋体" w:hAnsi="宋体" w:eastAsia="宋体" w:cs="等线"/>
          <w:b/>
          <w:color w:val="auto"/>
          <w:szCs w:val="21"/>
          <w:highlight w:val="none"/>
        </w:rPr>
        <w:t xml:space="preserve">                      </w:t>
      </w:r>
      <w:r>
        <w:rPr>
          <w:rFonts w:hint="eastAsia" w:ascii="宋体" w:hAnsi="宋体" w:eastAsia="宋体" w:cs="等线"/>
          <w:b/>
          <w:color w:val="auto"/>
          <w:szCs w:val="21"/>
          <w:highlight w:val="none"/>
        </w:rPr>
        <w:t>　修改类型：修改</w:t>
      </w:r>
    </w:p>
    <w:p w14:paraId="7D746503">
      <w:pPr>
        <w:shd w:val="clear" w:color="auto" w:fill="auto"/>
        <w:spacing w:line="360" w:lineRule="auto"/>
        <w:ind w:firstLine="420" w:firstLineChars="200"/>
        <w:rPr>
          <w:rFonts w:ascii="宋体" w:hAnsi="宋体" w:eastAsia="宋体" w:cs="等线"/>
          <w:b w:val="0"/>
          <w:bCs/>
          <w:color w:val="auto"/>
          <w:szCs w:val="21"/>
          <w:highlight w:val="none"/>
        </w:rPr>
      </w:pPr>
      <w:r>
        <w:rPr>
          <w:rFonts w:hint="eastAsia" w:ascii="宋体" w:hAnsi="宋体" w:eastAsia="宋体" w:cs="等线"/>
          <w:b/>
          <w:color w:val="auto"/>
          <w:szCs w:val="21"/>
          <w:highlight w:val="none"/>
        </w:rPr>
        <w:t>原文：</w:t>
      </w:r>
      <w:r>
        <w:rPr>
          <w:rFonts w:hint="eastAsia" w:ascii="宋体" w:hAnsi="宋体" w:eastAsia="宋体" w:cs="等线"/>
          <w:b w:val="0"/>
          <w:bCs/>
          <w:color w:val="auto"/>
          <w:szCs w:val="21"/>
          <w:highlight w:val="none"/>
        </w:rPr>
        <w:t>42.3.1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w:t>
      </w:r>
      <w:r>
        <w:rPr>
          <w:rFonts w:hint="eastAsia" w:ascii="宋体" w:hAnsi="宋体" w:eastAsia="宋体" w:cs="等线"/>
          <w:b w:val="0"/>
          <w:bCs/>
          <w:color w:val="auto"/>
          <w:szCs w:val="21"/>
          <w:highlight w:val="none"/>
          <w:u w:val="single"/>
        </w:rPr>
        <w:t>（当N个标段同时招标且不允许兼中时，若通过技术标有效性审查投标人不足N+2家，则重新招标）。</w:t>
      </w:r>
      <w:r>
        <w:rPr>
          <w:rFonts w:hint="eastAsia" w:ascii="宋体" w:hAnsi="宋体" w:eastAsia="宋体" w:cs="等线"/>
          <w:b w:val="0"/>
          <w:bCs/>
          <w:color w:val="auto"/>
          <w:szCs w:val="21"/>
          <w:highlight w:val="none"/>
        </w:rPr>
        <w:t>评委发现投标文件中含义不明确、对同类问题表述不一致、有明显文字和计算错误的，应当要求投标人作必要的澄清、说明后再判定投标人是否通过有效性审查，不得直接否决投标。</w:t>
      </w:r>
    </w:p>
    <w:p w14:paraId="4F809DB3">
      <w:pPr>
        <w:pBdr>
          <w:bottom w:val="single" w:color="auto" w:sz="6" w:space="1"/>
        </w:pBdr>
        <w:shd w:val="clear" w:color="auto" w:fill="auto"/>
        <w:spacing w:line="360" w:lineRule="auto"/>
        <w:ind w:firstLine="411" w:firstLineChars="196"/>
        <w:rPr>
          <w:rFonts w:ascii="宋体" w:hAnsi="宋体" w:eastAsia="宋体" w:cs="等线"/>
          <w:color w:val="auto"/>
          <w:szCs w:val="21"/>
          <w:highlight w:val="none"/>
          <w:u w:val="single"/>
        </w:rPr>
      </w:pPr>
      <w:r>
        <w:rPr>
          <w:rFonts w:hint="eastAsia" w:ascii="宋体" w:hAnsi="宋体" w:eastAsia="宋体" w:cs="等线"/>
          <w:b/>
          <w:color w:val="auto"/>
          <w:szCs w:val="21"/>
          <w:highlight w:val="none"/>
        </w:rPr>
        <w:t>现文：</w:t>
      </w:r>
      <w:r>
        <w:rPr>
          <w:rFonts w:hint="eastAsia" w:ascii="宋体" w:hAnsi="宋体" w:eastAsia="宋体" w:cs="等线"/>
          <w:b w:val="0"/>
          <w:bCs/>
          <w:color w:val="auto"/>
          <w:szCs w:val="21"/>
          <w:highlight w:val="none"/>
        </w:rPr>
        <w:t>42.3.1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评委发现投标文件中含义不明确、对同类问题表述不一致、有明显文字和计算错误的，应当要求投标人作必要的澄清、说明后再判定投标人是否通过有效性审查，不得直接否决投标。</w:t>
      </w:r>
    </w:p>
    <w:p w14:paraId="39CA289C">
      <w:pPr>
        <w:pBdr>
          <w:top w:val="none" w:color="auto" w:sz="0" w:space="0"/>
          <w:left w:val="none" w:color="auto" w:sz="0" w:space="0"/>
          <w:bottom w:val="none" w:color="auto" w:sz="0" w:space="0"/>
          <w:right w:val="none" w:color="auto" w:sz="0" w:space="0"/>
          <w:between w:val="none" w:color="auto" w:sz="0" w:space="0"/>
        </w:pBdr>
        <w:spacing w:line="360" w:lineRule="auto"/>
        <w:ind w:firstLine="470"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条款号：42.3.2           修改类型：修改</w:t>
      </w:r>
    </w:p>
    <w:p w14:paraId="3444A0E4">
      <w:pPr>
        <w:pBdr>
          <w:top w:val="none" w:color="auto" w:sz="0" w:space="0"/>
          <w:left w:val="none" w:color="auto" w:sz="0" w:space="0"/>
          <w:bottom w:val="none" w:color="auto" w:sz="0" w:space="0"/>
          <w:right w:val="none" w:color="auto" w:sz="0" w:space="0"/>
          <w:between w:val="none" w:color="auto" w:sz="0" w:space="0"/>
        </w:pBdr>
        <w:spacing w:line="360" w:lineRule="auto"/>
        <w:ind w:firstLine="470" w:firstLineChars="224"/>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42.3.2</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详细审查评分：评标委员会按照本办法附表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详细审查评分表》对通过技术标有效性审查的投标文件进行详细审查，评出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得分。</w:t>
      </w:r>
    </w:p>
    <w:p w14:paraId="74048912">
      <w:pPr>
        <w:pStyle w:val="152"/>
        <w:pBdr>
          <w:bottom w:val="single" w:color="auto" w:sz="6" w:space="1"/>
        </w:pBdr>
        <w:spacing w:line="360" w:lineRule="auto"/>
        <w:ind w:firstLine="525" w:firstLineChars="250"/>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现文：</w:t>
      </w:r>
      <w:r>
        <w:rPr>
          <w:rFonts w:hint="eastAsia" w:ascii="宋体" w:hAnsi="宋体" w:eastAsia="宋体" w:cs="宋体"/>
          <w:bCs/>
          <w:color w:val="auto"/>
          <w:szCs w:val="21"/>
          <w:highlight w:val="none"/>
        </w:rPr>
        <w:t>42.3.2</w:t>
      </w:r>
      <w:r>
        <w:rPr>
          <w:rFonts w:hint="eastAsia" w:ascii="宋体" w:hAnsi="宋体" w:eastAsia="宋体" w:cs="宋体"/>
          <w:bCs/>
          <w:color w:val="auto"/>
          <w:szCs w:val="21"/>
          <w:highlight w:val="none"/>
          <w:u w:val="single"/>
        </w:rPr>
        <w:t>技术标</w:t>
      </w:r>
      <w:r>
        <w:rPr>
          <w:rFonts w:hint="eastAsia" w:ascii="宋体" w:hAnsi="宋体" w:eastAsia="宋体" w:cs="宋体"/>
          <w:bCs/>
          <w:color w:val="auto"/>
          <w:szCs w:val="21"/>
          <w:highlight w:val="none"/>
        </w:rPr>
        <w:t>详细审查评分：评标委员会按照本办法附表</w:t>
      </w:r>
      <w:r>
        <w:rPr>
          <w:rFonts w:hint="eastAsia" w:ascii="宋体" w:hAnsi="宋体" w:eastAsia="宋体" w:cs="宋体"/>
          <w:bCs/>
          <w:color w:val="auto"/>
          <w:szCs w:val="21"/>
          <w:highlight w:val="none"/>
          <w:u w:val="single"/>
        </w:rPr>
        <w:t>四</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u w:val="single"/>
        </w:rPr>
        <w:t>技术标</w:t>
      </w:r>
      <w:r>
        <w:rPr>
          <w:rFonts w:hint="eastAsia" w:ascii="宋体" w:hAnsi="宋体" w:eastAsia="宋体" w:cs="宋体"/>
          <w:bCs/>
          <w:color w:val="auto"/>
          <w:szCs w:val="21"/>
          <w:highlight w:val="none"/>
        </w:rPr>
        <w:t>详细审查评分表》对通过技术标有效性审查的投标文件进行详细审查，评出</w:t>
      </w:r>
      <w:r>
        <w:rPr>
          <w:rFonts w:hint="eastAsia" w:ascii="宋体" w:hAnsi="宋体" w:eastAsia="宋体" w:cs="宋体"/>
          <w:bCs/>
          <w:color w:val="auto"/>
          <w:szCs w:val="21"/>
          <w:highlight w:val="none"/>
          <w:u w:val="single"/>
        </w:rPr>
        <w:t>技术标</w:t>
      </w:r>
      <w:r>
        <w:rPr>
          <w:rFonts w:hint="eastAsia" w:ascii="宋体" w:hAnsi="宋体" w:eastAsia="宋体" w:cs="宋体"/>
          <w:bCs/>
          <w:color w:val="auto"/>
          <w:szCs w:val="21"/>
          <w:highlight w:val="none"/>
        </w:rPr>
        <w:t>得分。</w:t>
      </w:r>
      <w:r>
        <w:rPr>
          <w:rFonts w:hint="eastAsia" w:ascii="宋体" w:hAnsi="宋体" w:eastAsia="宋体" w:cs="宋体"/>
          <w:bCs/>
          <w:color w:val="auto"/>
          <w:szCs w:val="21"/>
          <w:highlight w:val="none"/>
          <w:u w:val="single"/>
        </w:rPr>
        <w:t>投标人的技术标得分为各评委评分的算术平均值（若分数出现小数点时，保留小数点后二位，第三位小数四舍五入）。</w:t>
      </w:r>
    </w:p>
    <w:p w14:paraId="2A890BF8">
      <w:pPr>
        <w:pBdr>
          <w:top w:val="none" w:color="auto" w:sz="0" w:space="0"/>
          <w:left w:val="none" w:color="auto" w:sz="0" w:space="0"/>
          <w:bottom w:val="none" w:color="auto" w:sz="0" w:space="0"/>
          <w:right w:val="none" w:color="auto" w:sz="0" w:space="0"/>
          <w:between w:val="none" w:color="auto" w:sz="0" w:space="0"/>
        </w:pBdr>
        <w:spacing w:line="360" w:lineRule="auto"/>
        <w:ind w:firstLine="470"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条款号：42.3.4           修改类型：修改</w:t>
      </w:r>
    </w:p>
    <w:p w14:paraId="6DFF04C6">
      <w:pPr>
        <w:pBdr>
          <w:top w:val="none" w:color="auto" w:sz="0" w:space="0"/>
          <w:left w:val="none" w:color="auto" w:sz="0" w:space="0"/>
          <w:bottom w:val="none" w:color="auto" w:sz="0" w:space="0"/>
          <w:right w:val="none" w:color="auto" w:sz="0" w:space="0"/>
          <w:between w:val="none" w:color="auto" w:sz="0" w:space="0"/>
        </w:pBdr>
        <w:spacing w:line="360" w:lineRule="auto"/>
        <w:ind w:firstLine="470" w:firstLineChars="224"/>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bCs/>
          <w:color w:val="auto"/>
          <w:szCs w:val="21"/>
          <w:highlight w:val="none"/>
        </w:rPr>
        <w:t>42.3.4</w:t>
      </w:r>
      <w:r>
        <w:rPr>
          <w:rFonts w:hint="eastAsia" w:ascii="宋体" w:hAnsi="宋体" w:eastAsia="宋体" w:cs="宋体"/>
          <w:color w:val="auto"/>
          <w:szCs w:val="21"/>
          <w:highlight w:val="none"/>
        </w:rPr>
        <w:t>评标委员会按照“第一阶段得分=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14:paraId="5BE4E6DF">
      <w:pPr>
        <w:pBdr>
          <w:top w:val="none" w:color="auto" w:sz="0" w:space="0"/>
          <w:left w:val="none" w:color="auto" w:sz="0" w:space="0"/>
          <w:bottom w:val="single" w:color="auto" w:sz="4" w:space="0"/>
          <w:right w:val="none" w:color="auto" w:sz="0" w:space="0"/>
          <w:between w:val="none" w:color="auto" w:sz="0" w:space="0"/>
        </w:pBdr>
        <w:spacing w:line="360" w:lineRule="auto"/>
        <w:ind w:firstLine="470" w:firstLineChars="224"/>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现文：</w:t>
      </w:r>
      <w:r>
        <w:rPr>
          <w:rFonts w:hint="eastAsia" w:ascii="宋体" w:hAnsi="宋体" w:eastAsia="宋体" w:cs="宋体"/>
          <w:bCs/>
          <w:color w:val="auto"/>
          <w:szCs w:val="21"/>
          <w:highlight w:val="none"/>
        </w:rPr>
        <w:t>42.3.4</w:t>
      </w:r>
      <w:r>
        <w:rPr>
          <w:rFonts w:hint="eastAsia" w:ascii="宋体" w:hAnsi="宋体" w:eastAsia="宋体" w:cs="宋体"/>
          <w:color w:val="auto"/>
          <w:szCs w:val="21"/>
          <w:highlight w:val="none"/>
        </w:rPr>
        <w:t>评标委员会按照“第一阶段得分=</w:t>
      </w:r>
      <w:r>
        <w:rPr>
          <w:rFonts w:hint="eastAsia" w:ascii="宋体" w:hAnsi="宋体" w:eastAsia="宋体" w:cs="宋体"/>
          <w:color w:val="auto"/>
          <w:szCs w:val="21"/>
          <w:highlight w:val="none"/>
          <w:u w:val="single"/>
        </w:rPr>
        <w:t>技术标得分×100%</w:t>
      </w:r>
      <w:r>
        <w:rPr>
          <w:rFonts w:hint="eastAsia" w:ascii="宋体" w:hAnsi="宋体" w:eastAsia="宋体" w:cs="宋体"/>
          <w:color w:val="auto"/>
          <w:szCs w:val="21"/>
          <w:highlight w:val="none"/>
        </w:rPr>
        <w:t>”的公式及投标须知前附表第27项的规定，计算各投标人第一阶段得分(按四舍五入的原则保留两位小数) ，</w:t>
      </w:r>
      <w:r>
        <w:rPr>
          <w:rFonts w:hint="eastAsia" w:ascii="宋体" w:hAnsi="宋体" w:eastAsia="宋体" w:cs="宋体"/>
          <w:color w:val="auto"/>
          <w:szCs w:val="21"/>
          <w:highlight w:val="none"/>
          <w:u w:val="single"/>
        </w:rPr>
        <w:t>并按照第一阶段得分</w:t>
      </w:r>
      <w:r>
        <w:rPr>
          <w:rFonts w:hint="eastAsia" w:ascii="宋体" w:hAnsi="宋体" w:eastAsia="宋体" w:cs="宋体"/>
          <w:color w:val="auto"/>
          <w:szCs w:val="21"/>
          <w:highlight w:val="none"/>
        </w:rPr>
        <w:t>从高到低排列先后次序，若投标人得分相同的，则名次并列，占用名次。编写第一阶段评审报告。（适用于进行了技术标评分的）</w:t>
      </w:r>
    </w:p>
    <w:p w14:paraId="2B8556F7">
      <w:pPr>
        <w:pBdr>
          <w:top w:val="none" w:color="auto" w:sz="0" w:space="0"/>
          <w:left w:val="none" w:color="auto" w:sz="0" w:space="0"/>
          <w:bottom w:val="none" w:color="auto" w:sz="0" w:space="0"/>
          <w:right w:val="none" w:color="auto" w:sz="0" w:space="0"/>
          <w:between w:val="none" w:color="auto" w:sz="0" w:space="0"/>
        </w:pBdr>
        <w:spacing w:line="360" w:lineRule="auto"/>
        <w:ind w:firstLine="470"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条款号：42.3.5           修改类型：删除</w:t>
      </w:r>
    </w:p>
    <w:p w14:paraId="72012415">
      <w:pPr>
        <w:pBdr>
          <w:top w:val="none" w:color="auto" w:sz="0" w:space="0"/>
          <w:left w:val="none" w:color="auto" w:sz="0" w:space="0"/>
          <w:bottom w:val="single" w:color="auto" w:sz="4" w:space="0"/>
          <w:right w:val="none" w:color="auto" w:sz="0" w:space="0"/>
          <w:between w:val="none" w:color="auto" w:sz="0" w:space="0"/>
        </w:pBdr>
        <w:spacing w:line="360" w:lineRule="auto"/>
        <w:ind w:firstLine="470" w:firstLineChars="224"/>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42.3.5</w:t>
      </w:r>
      <w:r>
        <w:rPr>
          <w:rFonts w:hint="eastAsia" w:ascii="宋体" w:hAnsi="宋体" w:eastAsia="宋体" w:cs="宋体"/>
          <w:bCs/>
          <w:color w:val="auto"/>
          <w:szCs w:val="21"/>
          <w:highlight w:val="none"/>
        </w:rPr>
        <w:t>招标人应在《投标须知前附表》中明确选择使用施工企业总排名或相应的施工专业承包排名计分。</w:t>
      </w:r>
    </w:p>
    <w:p w14:paraId="5085F3D8">
      <w:pPr>
        <w:pStyle w:val="5"/>
        <w:spacing w:line="460" w:lineRule="exact"/>
        <w:ind w:firstLine="420"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条款号：42.4.2.1-42.4.2.2          修改类型：修改</w:t>
      </w:r>
    </w:p>
    <w:p w14:paraId="0F94AFC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42.4.2投标文件经济标的评分</w:t>
      </w:r>
    </w:p>
    <w:p w14:paraId="53EA14C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42.4.2.1按方法</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计算评标参考价：</w:t>
      </w:r>
    </w:p>
    <w:p w14:paraId="47D81F64">
      <w:pPr>
        <w:widowControl/>
        <w:spacing w:line="360" w:lineRule="auto"/>
        <w:ind w:firstLine="420"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区间抽取法</w:t>
      </w:r>
    </w:p>
    <w:p w14:paraId="3CE1F954">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49ABD709">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评标参考价=（Q高-Q低）/100*Ｘ+Q低</w:t>
      </w:r>
    </w:p>
    <w:p w14:paraId="2BA899D5">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Q低：为达到或超过技术标及格分数线的投标人最低报价与工程成本警示价两者中的较高值；</w:t>
      </w:r>
    </w:p>
    <w:p w14:paraId="6619F239">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Q高：为最高投标限价</w:t>
      </w:r>
    </w:p>
    <w:p w14:paraId="75F2A2F1">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X:为等分点值，在开标前从[0,100]整数中随机抽取</w:t>
      </w:r>
    </w:p>
    <w:p w14:paraId="706E00E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42.4.2.2</w:t>
      </w:r>
      <w:r>
        <w:rPr>
          <w:rFonts w:hint="eastAsia" w:ascii="宋体" w:hAnsi="宋体" w:eastAsia="宋体" w:cs="宋体"/>
          <w:color w:val="auto"/>
          <w:szCs w:val="21"/>
          <w:highlight w:val="none"/>
        </w:rPr>
        <w:t>当标价等于评标参考价时得100分，标价每高于评标参考价1%，扣1.5分，每低于评标参考价1%，扣1分，扣至0分为止，得出经济分，精确到小数点后两位。</w:t>
      </w:r>
    </w:p>
    <w:p w14:paraId="1A13808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42.4.2投标文件经济标的评分</w:t>
      </w:r>
    </w:p>
    <w:p w14:paraId="079E259E">
      <w:pPr>
        <w:widowControl/>
        <w:spacing w:line="360" w:lineRule="auto"/>
        <w:ind w:firstLine="420"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42.4.2.1评标参考价计算方式</w:t>
      </w:r>
    </w:p>
    <w:p w14:paraId="669C76FF">
      <w:pPr>
        <w:widowControl/>
        <w:spacing w:line="360" w:lineRule="auto"/>
        <w:ind w:firstLine="420"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区间抽取法</w:t>
      </w:r>
    </w:p>
    <w:p w14:paraId="61BA857D">
      <w:pPr>
        <w:pStyle w:val="20"/>
        <w:pBdr>
          <w:bottom w:val="single" w:color="auto" w:sz="4" w:space="1"/>
        </w:pBd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设立入围合格分数线（第一阶段入围得分大于等于</w:t>
      </w:r>
      <w:r>
        <w:rPr>
          <w:rFonts w:hint="eastAsia" w:hAnsi="宋体" w:cs="宋体"/>
          <w:color w:val="auto"/>
          <w:kern w:val="0"/>
          <w:szCs w:val="21"/>
          <w:highlight w:val="none"/>
          <w:lang w:val="en-US" w:eastAsia="zh-CN"/>
        </w:rPr>
        <w:t>85</w:t>
      </w:r>
      <w:r>
        <w:rPr>
          <w:rFonts w:hint="eastAsia" w:ascii="宋体" w:hAnsi="宋体" w:eastAsia="宋体" w:cs="宋体"/>
          <w:color w:val="auto"/>
          <w:kern w:val="0"/>
          <w:szCs w:val="21"/>
          <w:highlight w:val="none"/>
        </w:rPr>
        <w:t>分），达到或超过及格线的投标人的报价方能参与评标参考价的计算。</w:t>
      </w:r>
    </w:p>
    <w:p w14:paraId="16DE42C1">
      <w:pPr>
        <w:pStyle w:val="20"/>
        <w:pBdr>
          <w:bottom w:val="single" w:color="auto" w:sz="4" w:space="1"/>
        </w:pBd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将达到或超过技术标及格分数线的</w:t>
      </w:r>
      <w:r>
        <w:rPr>
          <w:rFonts w:hint="eastAsia" w:ascii="宋体" w:hAnsi="宋体" w:eastAsia="宋体" w:cs="宋体"/>
          <w:color w:val="auto"/>
          <w:kern w:val="0"/>
          <w:szCs w:val="21"/>
          <w:highlight w:val="none"/>
          <w:lang w:val="en-US" w:eastAsia="zh-CN"/>
        </w:rPr>
        <w:t>工程费</w:t>
      </w:r>
      <w:r>
        <w:rPr>
          <w:rFonts w:hint="eastAsia" w:ascii="宋体" w:hAnsi="宋体" w:eastAsia="宋体" w:cs="宋体"/>
          <w:color w:val="auto"/>
          <w:kern w:val="0"/>
          <w:szCs w:val="21"/>
          <w:highlight w:val="none"/>
        </w:rPr>
        <w:t>投标</w:t>
      </w:r>
      <w:r>
        <w:rPr>
          <w:rFonts w:hint="eastAsia" w:hAnsi="宋体" w:cs="宋体"/>
          <w:color w:val="auto"/>
          <w:kern w:val="0"/>
          <w:szCs w:val="21"/>
          <w:highlight w:val="none"/>
          <w:lang w:val="en-US" w:eastAsia="zh-CN"/>
        </w:rPr>
        <w:t>总</w:t>
      </w:r>
      <w:r>
        <w:rPr>
          <w:rFonts w:hint="eastAsia" w:ascii="宋体" w:hAnsi="宋体" w:eastAsia="宋体" w:cs="宋体"/>
          <w:color w:val="auto"/>
          <w:kern w:val="0"/>
          <w:szCs w:val="21"/>
          <w:highlight w:val="none"/>
        </w:rPr>
        <w:t>报价由低至高进行排列，按以下公式计算评标参考价，计算公式如下：</w:t>
      </w:r>
    </w:p>
    <w:p w14:paraId="2184B7E3">
      <w:pPr>
        <w:pStyle w:val="20"/>
        <w:pBdr>
          <w:bottom w:val="single" w:color="auto" w:sz="4" w:space="1"/>
        </w:pBd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工程费</w:t>
      </w:r>
      <w:r>
        <w:rPr>
          <w:rFonts w:hint="eastAsia" w:ascii="宋体" w:hAnsi="宋体" w:eastAsia="宋体" w:cs="宋体"/>
          <w:color w:val="auto"/>
          <w:kern w:val="0"/>
          <w:szCs w:val="21"/>
          <w:highlight w:val="none"/>
        </w:rPr>
        <w:t>评标参考价=（Q高-Q低）/100*Ｘ+Q低</w:t>
      </w:r>
    </w:p>
    <w:p w14:paraId="5392F092">
      <w:pPr>
        <w:pStyle w:val="20"/>
        <w:pBdr>
          <w:bottom w:val="single" w:color="auto" w:sz="4" w:space="1"/>
        </w:pBdr>
        <w:tabs>
          <w:tab w:val="left" w:pos="273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Q低：为达到或超过技术标及格分数线的投标人最低</w:t>
      </w:r>
      <w:r>
        <w:rPr>
          <w:rFonts w:hint="eastAsia" w:ascii="宋体" w:hAnsi="宋体" w:eastAsia="宋体" w:cs="宋体"/>
          <w:color w:val="auto"/>
          <w:kern w:val="0"/>
          <w:szCs w:val="21"/>
          <w:highlight w:val="none"/>
          <w:lang w:val="en-US" w:eastAsia="zh-CN"/>
        </w:rPr>
        <w:t>工程费</w:t>
      </w:r>
      <w:r>
        <w:rPr>
          <w:rFonts w:hint="eastAsia" w:hAnsi="宋体" w:cs="宋体"/>
          <w:color w:val="auto"/>
          <w:kern w:val="0"/>
          <w:szCs w:val="21"/>
          <w:highlight w:val="none"/>
          <w:lang w:val="en-US" w:eastAsia="zh-CN"/>
        </w:rPr>
        <w:t>投标总</w:t>
      </w:r>
      <w:r>
        <w:rPr>
          <w:rFonts w:hint="eastAsia" w:ascii="宋体" w:hAnsi="宋体" w:eastAsia="宋体" w:cs="宋体"/>
          <w:color w:val="auto"/>
          <w:kern w:val="0"/>
          <w:szCs w:val="21"/>
          <w:highlight w:val="none"/>
        </w:rPr>
        <w:t>报价与工程成本警示价两者中的较高值</w:t>
      </w:r>
      <w:r>
        <w:rPr>
          <w:rFonts w:hint="eastAsia" w:hAnsi="宋体" w:cs="宋体"/>
          <w:color w:val="auto"/>
          <w:kern w:val="0"/>
          <w:szCs w:val="21"/>
          <w:highlight w:val="none"/>
          <w:lang w:eastAsia="zh-CN"/>
        </w:rPr>
        <w:t>（</w:t>
      </w:r>
      <w:r>
        <w:rPr>
          <w:rFonts w:hint="eastAsia" w:hAnsi="宋体" w:cs="宋体"/>
          <w:color w:val="auto"/>
          <w:kern w:val="0"/>
          <w:szCs w:val="21"/>
          <w:highlight w:val="none"/>
          <w:lang w:val="en-US" w:eastAsia="zh-CN"/>
        </w:rPr>
        <w:t>如</w:t>
      </w:r>
      <w:r>
        <w:rPr>
          <w:rFonts w:hint="eastAsia" w:ascii="宋体" w:hAnsi="宋体" w:eastAsia="宋体" w:cs="宋体"/>
          <w:color w:val="auto"/>
          <w:kern w:val="0"/>
          <w:szCs w:val="21"/>
          <w:highlight w:val="none"/>
        </w:rPr>
        <w:t>投标人</w:t>
      </w:r>
      <w:r>
        <w:rPr>
          <w:rFonts w:hint="eastAsia" w:hAnsi="宋体" w:cs="宋体"/>
          <w:color w:val="auto"/>
          <w:kern w:val="0"/>
          <w:szCs w:val="21"/>
          <w:highlight w:val="none"/>
          <w:lang w:val="en-US" w:eastAsia="zh-CN"/>
        </w:rPr>
        <w:t>均未达到</w:t>
      </w:r>
      <w:r>
        <w:rPr>
          <w:rFonts w:hint="eastAsia" w:ascii="宋体" w:hAnsi="宋体" w:eastAsia="宋体" w:cs="宋体"/>
          <w:color w:val="auto"/>
          <w:kern w:val="0"/>
          <w:szCs w:val="21"/>
          <w:highlight w:val="none"/>
        </w:rPr>
        <w:t>技术标及格分数线</w:t>
      </w:r>
      <w:r>
        <w:rPr>
          <w:rFonts w:hint="eastAsia" w:hAnsi="宋体" w:cs="宋体"/>
          <w:color w:val="auto"/>
          <w:kern w:val="0"/>
          <w:szCs w:val="21"/>
          <w:highlight w:val="none"/>
          <w:lang w:eastAsia="zh-CN"/>
        </w:rPr>
        <w:t>，</w:t>
      </w:r>
      <w:r>
        <w:rPr>
          <w:rFonts w:hint="eastAsia" w:hAnsi="宋体" w:cs="宋体"/>
          <w:color w:val="auto"/>
          <w:kern w:val="0"/>
          <w:szCs w:val="21"/>
          <w:highlight w:val="none"/>
          <w:lang w:val="en-US" w:eastAsia="zh-CN"/>
        </w:rPr>
        <w:t>则</w:t>
      </w:r>
      <w:r>
        <w:rPr>
          <w:rFonts w:hint="eastAsia" w:ascii="宋体" w:hAnsi="宋体" w:eastAsia="宋体" w:cs="宋体"/>
          <w:color w:val="auto"/>
          <w:kern w:val="0"/>
          <w:szCs w:val="21"/>
          <w:highlight w:val="none"/>
        </w:rPr>
        <w:t>Q低</w:t>
      </w:r>
      <w:r>
        <w:rPr>
          <w:rFonts w:hint="eastAsia" w:hAnsi="宋体" w:cs="宋体"/>
          <w:color w:val="auto"/>
          <w:kern w:val="0"/>
          <w:szCs w:val="21"/>
          <w:highlight w:val="none"/>
          <w:lang w:val="en-US" w:eastAsia="zh-CN"/>
        </w:rPr>
        <w:t>为</w:t>
      </w:r>
      <w:r>
        <w:rPr>
          <w:rFonts w:hint="eastAsia" w:ascii="宋体" w:hAnsi="宋体" w:eastAsia="宋体" w:cs="宋体"/>
          <w:color w:val="auto"/>
          <w:kern w:val="0"/>
          <w:szCs w:val="21"/>
          <w:highlight w:val="none"/>
        </w:rPr>
        <w:t>工程成本警示价</w:t>
      </w:r>
      <w:r>
        <w:rPr>
          <w:rFonts w:hint="eastAsia" w:hAnsi="宋体" w:cs="宋体"/>
          <w:color w:val="auto"/>
          <w:kern w:val="0"/>
          <w:szCs w:val="21"/>
          <w:highlight w:val="none"/>
          <w:lang w:eastAsia="zh-CN"/>
        </w:rPr>
        <w:t>）</w:t>
      </w:r>
      <w:r>
        <w:rPr>
          <w:rFonts w:hint="eastAsia" w:ascii="宋体" w:hAnsi="宋体" w:eastAsia="宋体" w:cs="宋体"/>
          <w:color w:val="auto"/>
          <w:kern w:val="0"/>
          <w:szCs w:val="21"/>
          <w:highlight w:val="none"/>
        </w:rPr>
        <w:t>；</w:t>
      </w:r>
    </w:p>
    <w:p w14:paraId="54DAE825">
      <w:pPr>
        <w:pStyle w:val="20"/>
        <w:pBdr>
          <w:bottom w:val="single" w:color="auto" w:sz="4" w:space="1"/>
        </w:pBd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Q高：为</w:t>
      </w:r>
      <w:r>
        <w:rPr>
          <w:rFonts w:hint="eastAsia" w:ascii="宋体" w:hAnsi="宋体" w:eastAsia="宋体" w:cs="宋体"/>
          <w:color w:val="auto"/>
          <w:kern w:val="0"/>
          <w:szCs w:val="21"/>
          <w:highlight w:val="none"/>
          <w:lang w:val="en-US" w:eastAsia="zh-CN"/>
        </w:rPr>
        <w:t>工程费招标控制价</w:t>
      </w:r>
    </w:p>
    <w:p w14:paraId="3741361C">
      <w:pPr>
        <w:pStyle w:val="20"/>
        <w:pBdr>
          <w:bottom w:val="single" w:color="auto" w:sz="4" w:space="1"/>
        </w:pBd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X:为等分点值，在开标前从[0,100]整数中随机抽取</w:t>
      </w:r>
    </w:p>
    <w:p w14:paraId="01E20C8A">
      <w:pPr>
        <w:pStyle w:val="20"/>
        <w:pBdr>
          <w:bottom w:val="single" w:color="auto" w:sz="4" w:space="1"/>
        </w:pBd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bCs/>
          <w:color w:val="auto"/>
          <w:szCs w:val="21"/>
          <w:highlight w:val="none"/>
          <w:u w:val="single"/>
          <w:lang w:bidi="ar"/>
        </w:rPr>
        <w:t>拆卸工程</w:t>
      </w:r>
      <w:r>
        <w:rPr>
          <w:rFonts w:hint="eastAsia" w:ascii="宋体" w:hAnsi="宋体" w:eastAsia="宋体" w:cs="宋体"/>
          <w:color w:val="auto"/>
          <w:kern w:val="0"/>
          <w:szCs w:val="21"/>
          <w:highlight w:val="none"/>
          <w:lang w:val="en-US" w:eastAsia="zh-CN"/>
        </w:rPr>
        <w:t>回收价值评标参考价=最高</w:t>
      </w:r>
      <w:r>
        <w:rPr>
          <w:rFonts w:hint="eastAsia" w:ascii="宋体" w:hAnsi="宋体" w:eastAsia="宋体" w:cs="宋体"/>
          <w:bCs/>
          <w:color w:val="auto"/>
          <w:szCs w:val="21"/>
          <w:highlight w:val="none"/>
          <w:u w:val="single"/>
          <w:lang w:bidi="ar"/>
        </w:rPr>
        <w:t>拆卸工程</w:t>
      </w:r>
      <w:r>
        <w:rPr>
          <w:rFonts w:hint="eastAsia" w:ascii="宋体" w:hAnsi="宋体" w:eastAsia="宋体" w:cs="宋体"/>
          <w:color w:val="auto"/>
          <w:kern w:val="0"/>
          <w:szCs w:val="21"/>
          <w:highlight w:val="none"/>
          <w:lang w:val="en-US" w:eastAsia="zh-CN"/>
        </w:rPr>
        <w:t>回收价值</w:t>
      </w:r>
      <w:r>
        <w:rPr>
          <w:rFonts w:hint="eastAsia" w:hAnsi="宋体" w:cs="宋体"/>
          <w:color w:val="auto"/>
          <w:kern w:val="0"/>
          <w:szCs w:val="21"/>
          <w:highlight w:val="none"/>
          <w:lang w:val="en-US" w:eastAsia="zh-CN"/>
        </w:rPr>
        <w:t>投标总</w:t>
      </w:r>
      <w:r>
        <w:rPr>
          <w:rFonts w:hint="eastAsia" w:ascii="宋体" w:hAnsi="宋体" w:eastAsia="宋体" w:cs="宋体"/>
          <w:color w:val="auto"/>
          <w:kern w:val="0"/>
          <w:szCs w:val="21"/>
          <w:highlight w:val="none"/>
          <w:lang w:val="en-US" w:eastAsia="zh-CN"/>
        </w:rPr>
        <w:t>报价</w:t>
      </w:r>
    </w:p>
    <w:p w14:paraId="230FA7AC">
      <w:pPr>
        <w:pStyle w:val="20"/>
        <w:pBdr>
          <w:bottom w:val="single" w:color="auto" w:sz="4" w:space="1"/>
        </w:pBd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42.4.2.2经济分</w:t>
      </w:r>
      <w:r>
        <w:rPr>
          <w:rFonts w:hint="eastAsia" w:ascii="宋体" w:hAnsi="宋体" w:eastAsia="宋体" w:cs="宋体"/>
          <w:color w:val="auto"/>
          <w:kern w:val="0"/>
          <w:szCs w:val="21"/>
          <w:highlight w:val="none"/>
          <w:lang w:val="en-US" w:eastAsia="zh-CN"/>
        </w:rPr>
        <w:t>=工程费投标</w:t>
      </w:r>
      <w:r>
        <w:rPr>
          <w:rFonts w:hint="eastAsia" w:hAnsi="宋体" w:cs="宋体"/>
          <w:color w:val="auto"/>
          <w:kern w:val="0"/>
          <w:szCs w:val="21"/>
          <w:highlight w:val="none"/>
          <w:lang w:val="en-US" w:eastAsia="zh-CN"/>
        </w:rPr>
        <w:t>总</w:t>
      </w:r>
      <w:r>
        <w:rPr>
          <w:rFonts w:hint="eastAsia" w:ascii="宋体" w:hAnsi="宋体" w:eastAsia="宋体" w:cs="宋体"/>
          <w:color w:val="auto"/>
          <w:kern w:val="0"/>
          <w:szCs w:val="21"/>
          <w:highlight w:val="none"/>
          <w:lang w:val="en-US" w:eastAsia="zh-CN"/>
        </w:rPr>
        <w:t>报价得</w:t>
      </w:r>
      <w:r>
        <w:rPr>
          <w:rFonts w:hint="eastAsia" w:ascii="宋体" w:hAnsi="宋体" w:eastAsia="宋体" w:cs="宋体"/>
          <w:color w:val="auto"/>
          <w:kern w:val="0"/>
          <w:szCs w:val="21"/>
          <w:highlight w:val="none"/>
        </w:rPr>
        <w:t>分</w:t>
      </w:r>
      <w:r>
        <w:rPr>
          <w:rFonts w:hint="eastAsia" w:ascii="宋体" w:hAnsi="宋体" w:eastAsia="宋体" w:cs="宋体"/>
          <w:color w:val="auto"/>
          <w:kern w:val="0"/>
          <w:szCs w:val="21"/>
          <w:highlight w:val="none"/>
          <w:lang w:val="en-US" w:eastAsia="zh-CN"/>
        </w:rPr>
        <w:t>×</w:t>
      </w:r>
      <w:r>
        <w:rPr>
          <w:rFonts w:hint="eastAsia" w:hAnsi="宋体" w:cs="宋体"/>
          <w:color w:val="auto"/>
          <w:kern w:val="0"/>
          <w:szCs w:val="21"/>
          <w:highlight w:val="none"/>
          <w:lang w:val="en-US" w:eastAsia="zh-CN"/>
        </w:rPr>
        <w:t>7</w:t>
      </w:r>
      <w:r>
        <w:rPr>
          <w:rFonts w:hint="eastAsia" w:ascii="宋体" w:hAnsi="宋体" w:eastAsia="宋体" w:cs="宋体"/>
          <w:color w:val="auto"/>
          <w:kern w:val="0"/>
          <w:szCs w:val="21"/>
          <w:highlight w:val="none"/>
          <w:lang w:val="en-US" w:eastAsia="zh-CN"/>
        </w:rPr>
        <w:t>0%+拆卸工程回收价值投标</w:t>
      </w:r>
      <w:r>
        <w:rPr>
          <w:rFonts w:hint="eastAsia" w:hAnsi="宋体" w:cs="宋体"/>
          <w:color w:val="auto"/>
          <w:kern w:val="0"/>
          <w:szCs w:val="21"/>
          <w:highlight w:val="none"/>
          <w:lang w:val="en-US" w:eastAsia="zh-CN"/>
        </w:rPr>
        <w:t>总</w:t>
      </w:r>
      <w:r>
        <w:rPr>
          <w:rFonts w:hint="eastAsia" w:ascii="宋体" w:hAnsi="宋体" w:eastAsia="宋体" w:cs="宋体"/>
          <w:color w:val="auto"/>
          <w:kern w:val="0"/>
          <w:szCs w:val="21"/>
          <w:highlight w:val="none"/>
          <w:lang w:val="en-US" w:eastAsia="zh-CN"/>
        </w:rPr>
        <w:t>报价得</w:t>
      </w:r>
      <w:r>
        <w:rPr>
          <w:rFonts w:hint="eastAsia" w:ascii="宋体" w:hAnsi="宋体" w:eastAsia="宋体" w:cs="宋体"/>
          <w:color w:val="auto"/>
          <w:kern w:val="0"/>
          <w:szCs w:val="21"/>
          <w:highlight w:val="none"/>
        </w:rPr>
        <w:t>分</w:t>
      </w:r>
      <w:r>
        <w:rPr>
          <w:rFonts w:hint="eastAsia" w:ascii="宋体" w:hAnsi="宋体" w:eastAsia="宋体" w:cs="宋体"/>
          <w:color w:val="auto"/>
          <w:kern w:val="0"/>
          <w:szCs w:val="21"/>
          <w:highlight w:val="none"/>
          <w:lang w:val="en-US" w:eastAsia="zh-CN"/>
        </w:rPr>
        <w:t>×</w:t>
      </w:r>
      <w:r>
        <w:rPr>
          <w:rFonts w:hint="eastAsia" w:hAnsi="宋体"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0%</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其中：</w:t>
      </w:r>
    </w:p>
    <w:p w14:paraId="6A246434">
      <w:pPr>
        <w:pStyle w:val="20"/>
        <w:pBdr>
          <w:bottom w:val="single" w:color="auto" w:sz="4" w:space="1"/>
        </w:pBd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当</w:t>
      </w:r>
      <w:r>
        <w:rPr>
          <w:rFonts w:hint="eastAsia" w:ascii="宋体" w:hAnsi="宋体" w:eastAsia="宋体" w:cs="宋体"/>
          <w:color w:val="auto"/>
          <w:kern w:val="0"/>
          <w:szCs w:val="21"/>
          <w:highlight w:val="none"/>
          <w:lang w:val="en-US" w:eastAsia="zh-CN"/>
        </w:rPr>
        <w:t>工程费投标</w:t>
      </w:r>
      <w:r>
        <w:rPr>
          <w:rFonts w:hint="eastAsia" w:hAnsi="宋体" w:cs="宋体"/>
          <w:color w:val="auto"/>
          <w:kern w:val="0"/>
          <w:szCs w:val="21"/>
          <w:highlight w:val="none"/>
          <w:lang w:val="en-US" w:eastAsia="zh-CN"/>
        </w:rPr>
        <w:t>总</w:t>
      </w:r>
      <w:r>
        <w:rPr>
          <w:rFonts w:hint="eastAsia" w:ascii="宋体" w:hAnsi="宋体" w:eastAsia="宋体" w:cs="宋体"/>
          <w:color w:val="auto"/>
          <w:kern w:val="0"/>
          <w:szCs w:val="21"/>
          <w:highlight w:val="none"/>
          <w:lang w:val="en-US" w:eastAsia="zh-CN"/>
        </w:rPr>
        <w:t>报价</w:t>
      </w:r>
      <w:r>
        <w:rPr>
          <w:rFonts w:hint="eastAsia" w:ascii="宋体" w:hAnsi="宋体" w:eastAsia="宋体" w:cs="宋体"/>
          <w:color w:val="auto"/>
          <w:kern w:val="0"/>
          <w:szCs w:val="21"/>
          <w:highlight w:val="none"/>
        </w:rPr>
        <w:t>等于</w:t>
      </w:r>
      <w:r>
        <w:rPr>
          <w:rFonts w:hint="eastAsia" w:ascii="宋体" w:hAnsi="宋体" w:eastAsia="宋体" w:cs="宋体"/>
          <w:color w:val="auto"/>
          <w:kern w:val="0"/>
          <w:szCs w:val="21"/>
          <w:highlight w:val="none"/>
          <w:lang w:val="en-US" w:eastAsia="zh-CN"/>
        </w:rPr>
        <w:t>工程费</w:t>
      </w:r>
      <w:r>
        <w:rPr>
          <w:rFonts w:hint="eastAsia" w:ascii="宋体" w:hAnsi="宋体" w:eastAsia="宋体" w:cs="宋体"/>
          <w:color w:val="auto"/>
          <w:kern w:val="0"/>
          <w:szCs w:val="21"/>
          <w:highlight w:val="none"/>
        </w:rPr>
        <w:t>评标参考价时得100分，</w:t>
      </w:r>
      <w:r>
        <w:rPr>
          <w:rFonts w:hint="eastAsia" w:ascii="宋体" w:hAnsi="宋体" w:eastAsia="宋体" w:cs="宋体"/>
          <w:color w:val="auto"/>
          <w:kern w:val="0"/>
          <w:szCs w:val="21"/>
          <w:highlight w:val="none"/>
          <w:lang w:val="en-US" w:eastAsia="zh-CN"/>
        </w:rPr>
        <w:t>工程费投标</w:t>
      </w:r>
      <w:r>
        <w:rPr>
          <w:rFonts w:hint="eastAsia" w:hAnsi="宋体" w:cs="宋体"/>
          <w:color w:val="auto"/>
          <w:kern w:val="0"/>
          <w:szCs w:val="21"/>
          <w:highlight w:val="none"/>
          <w:lang w:val="en-US" w:eastAsia="zh-CN"/>
        </w:rPr>
        <w:t>总</w:t>
      </w:r>
      <w:r>
        <w:rPr>
          <w:rFonts w:hint="eastAsia" w:ascii="宋体" w:hAnsi="宋体" w:eastAsia="宋体" w:cs="宋体"/>
          <w:color w:val="auto"/>
          <w:kern w:val="0"/>
          <w:szCs w:val="21"/>
          <w:highlight w:val="none"/>
          <w:lang w:val="en-US" w:eastAsia="zh-CN"/>
        </w:rPr>
        <w:t>报价</w:t>
      </w:r>
      <w:r>
        <w:rPr>
          <w:rFonts w:hint="eastAsia" w:ascii="宋体" w:hAnsi="宋体" w:eastAsia="宋体" w:cs="宋体"/>
          <w:color w:val="auto"/>
          <w:kern w:val="0"/>
          <w:szCs w:val="21"/>
          <w:highlight w:val="none"/>
        </w:rPr>
        <w:t>每高于</w:t>
      </w:r>
      <w:r>
        <w:rPr>
          <w:rFonts w:hint="eastAsia" w:ascii="宋体" w:hAnsi="宋体" w:eastAsia="宋体" w:cs="宋体"/>
          <w:color w:val="auto"/>
          <w:kern w:val="0"/>
          <w:szCs w:val="21"/>
          <w:highlight w:val="none"/>
          <w:lang w:val="en-US" w:eastAsia="zh-CN"/>
        </w:rPr>
        <w:t>工程费</w:t>
      </w:r>
      <w:r>
        <w:rPr>
          <w:rFonts w:hint="eastAsia" w:ascii="宋体" w:hAnsi="宋体" w:eastAsia="宋体" w:cs="宋体"/>
          <w:color w:val="auto"/>
          <w:kern w:val="0"/>
          <w:szCs w:val="21"/>
          <w:highlight w:val="none"/>
        </w:rPr>
        <w:t>评标参考价1%，扣1.5分，每低于</w:t>
      </w:r>
      <w:r>
        <w:rPr>
          <w:rFonts w:hint="eastAsia" w:ascii="宋体" w:hAnsi="宋体" w:eastAsia="宋体" w:cs="宋体"/>
          <w:color w:val="auto"/>
          <w:kern w:val="0"/>
          <w:szCs w:val="21"/>
          <w:highlight w:val="none"/>
          <w:lang w:val="en-US" w:eastAsia="zh-CN"/>
        </w:rPr>
        <w:t>工程费</w:t>
      </w:r>
      <w:r>
        <w:rPr>
          <w:rFonts w:hint="eastAsia" w:ascii="宋体" w:hAnsi="宋体" w:eastAsia="宋体" w:cs="宋体"/>
          <w:color w:val="auto"/>
          <w:kern w:val="0"/>
          <w:szCs w:val="21"/>
          <w:highlight w:val="none"/>
        </w:rPr>
        <w:t>评标参考价1%，扣1.0分，扣至0分为止，得出</w:t>
      </w:r>
      <w:r>
        <w:rPr>
          <w:rFonts w:hint="eastAsia" w:ascii="宋体" w:hAnsi="宋体" w:eastAsia="宋体" w:cs="宋体"/>
          <w:color w:val="auto"/>
          <w:kern w:val="0"/>
          <w:szCs w:val="21"/>
          <w:highlight w:val="none"/>
          <w:lang w:val="en-US" w:eastAsia="zh-CN"/>
        </w:rPr>
        <w:t>工程费投标</w:t>
      </w:r>
      <w:r>
        <w:rPr>
          <w:rFonts w:hint="eastAsia" w:hAnsi="宋体" w:cs="宋体"/>
          <w:color w:val="auto"/>
          <w:kern w:val="0"/>
          <w:szCs w:val="21"/>
          <w:highlight w:val="none"/>
          <w:lang w:val="en-US" w:eastAsia="zh-CN"/>
        </w:rPr>
        <w:t>总</w:t>
      </w:r>
      <w:r>
        <w:rPr>
          <w:rFonts w:hint="eastAsia" w:ascii="宋体" w:hAnsi="宋体" w:eastAsia="宋体" w:cs="宋体"/>
          <w:color w:val="auto"/>
          <w:kern w:val="0"/>
          <w:szCs w:val="21"/>
          <w:highlight w:val="none"/>
          <w:lang w:val="en-US" w:eastAsia="zh-CN"/>
        </w:rPr>
        <w:t>报价得</w:t>
      </w:r>
      <w:r>
        <w:rPr>
          <w:rFonts w:hint="eastAsia" w:ascii="宋体" w:hAnsi="宋体" w:eastAsia="宋体" w:cs="宋体"/>
          <w:color w:val="auto"/>
          <w:kern w:val="0"/>
          <w:szCs w:val="21"/>
          <w:highlight w:val="none"/>
        </w:rPr>
        <w:t>分，精确到小数点后两位。</w:t>
      </w:r>
    </w:p>
    <w:p w14:paraId="4F31B1D5">
      <w:pPr>
        <w:pStyle w:val="20"/>
        <w:pBdr>
          <w:bottom w:val="single" w:color="auto" w:sz="4" w:space="1"/>
        </w:pBdr>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当</w:t>
      </w:r>
      <w:r>
        <w:rPr>
          <w:rFonts w:hint="eastAsia" w:ascii="宋体" w:hAnsi="宋体" w:eastAsia="宋体" w:cs="宋体"/>
          <w:bCs/>
          <w:color w:val="auto"/>
          <w:szCs w:val="21"/>
          <w:highlight w:val="none"/>
          <w:u w:val="single"/>
          <w:lang w:bidi="ar"/>
        </w:rPr>
        <w:t>拆卸工程</w:t>
      </w:r>
      <w:r>
        <w:rPr>
          <w:rFonts w:hint="eastAsia" w:ascii="宋体" w:hAnsi="宋体" w:eastAsia="宋体" w:cs="宋体"/>
          <w:color w:val="auto"/>
          <w:kern w:val="0"/>
          <w:szCs w:val="21"/>
          <w:highlight w:val="none"/>
        </w:rPr>
        <w:t>回收价值投标</w:t>
      </w:r>
      <w:r>
        <w:rPr>
          <w:rFonts w:hint="eastAsia" w:hAnsi="宋体" w:cs="宋体"/>
          <w:color w:val="auto"/>
          <w:kern w:val="0"/>
          <w:szCs w:val="21"/>
          <w:highlight w:val="none"/>
          <w:lang w:val="en-US" w:eastAsia="zh-CN"/>
        </w:rPr>
        <w:t>总</w:t>
      </w:r>
      <w:r>
        <w:rPr>
          <w:rFonts w:hint="eastAsia" w:ascii="宋体" w:hAnsi="宋体" w:eastAsia="宋体" w:cs="宋体"/>
          <w:color w:val="auto"/>
          <w:kern w:val="0"/>
          <w:szCs w:val="21"/>
          <w:highlight w:val="none"/>
        </w:rPr>
        <w:t>报价等于</w:t>
      </w:r>
      <w:r>
        <w:rPr>
          <w:rFonts w:hint="eastAsia" w:ascii="宋体" w:hAnsi="宋体" w:eastAsia="宋体" w:cs="宋体"/>
          <w:bCs/>
          <w:color w:val="auto"/>
          <w:szCs w:val="21"/>
          <w:highlight w:val="none"/>
          <w:u w:val="single"/>
          <w:lang w:bidi="ar"/>
        </w:rPr>
        <w:t>拆卸工程</w:t>
      </w:r>
      <w:r>
        <w:rPr>
          <w:rFonts w:hint="eastAsia" w:ascii="宋体" w:hAnsi="宋体" w:eastAsia="宋体" w:cs="宋体"/>
          <w:color w:val="auto"/>
          <w:kern w:val="0"/>
          <w:szCs w:val="21"/>
          <w:highlight w:val="none"/>
        </w:rPr>
        <w:t>回收价值评标基准价时得100分，</w:t>
      </w:r>
      <w:r>
        <w:rPr>
          <w:rFonts w:hint="eastAsia" w:ascii="宋体" w:hAnsi="宋体" w:eastAsia="宋体" w:cs="宋体"/>
          <w:bCs/>
          <w:color w:val="auto"/>
          <w:szCs w:val="21"/>
          <w:highlight w:val="none"/>
          <w:u w:val="single"/>
          <w:lang w:bidi="ar"/>
        </w:rPr>
        <w:t>拆卸工程</w:t>
      </w:r>
      <w:r>
        <w:rPr>
          <w:rFonts w:hint="eastAsia" w:ascii="宋体" w:hAnsi="宋体" w:eastAsia="宋体" w:cs="宋体"/>
          <w:color w:val="auto"/>
          <w:kern w:val="0"/>
          <w:szCs w:val="21"/>
          <w:highlight w:val="none"/>
        </w:rPr>
        <w:t>回收价值投标</w:t>
      </w:r>
      <w:r>
        <w:rPr>
          <w:rFonts w:hint="eastAsia" w:hAnsi="宋体" w:cs="宋体"/>
          <w:color w:val="auto"/>
          <w:kern w:val="0"/>
          <w:szCs w:val="21"/>
          <w:highlight w:val="none"/>
          <w:lang w:val="en-US" w:eastAsia="zh-CN"/>
        </w:rPr>
        <w:t>总</w:t>
      </w:r>
      <w:r>
        <w:rPr>
          <w:rFonts w:hint="eastAsia" w:ascii="宋体" w:hAnsi="宋体" w:eastAsia="宋体" w:cs="宋体"/>
          <w:color w:val="auto"/>
          <w:kern w:val="0"/>
          <w:szCs w:val="21"/>
          <w:highlight w:val="none"/>
        </w:rPr>
        <w:t>报价每低于</w:t>
      </w:r>
      <w:r>
        <w:rPr>
          <w:rFonts w:hint="eastAsia" w:ascii="宋体" w:hAnsi="宋体" w:eastAsia="宋体" w:cs="宋体"/>
          <w:bCs/>
          <w:color w:val="auto"/>
          <w:szCs w:val="21"/>
          <w:highlight w:val="none"/>
          <w:u w:val="single"/>
          <w:lang w:bidi="ar"/>
        </w:rPr>
        <w:t>拆卸工程</w:t>
      </w:r>
      <w:r>
        <w:rPr>
          <w:rFonts w:hint="eastAsia" w:ascii="宋体" w:hAnsi="宋体" w:eastAsia="宋体" w:cs="宋体"/>
          <w:color w:val="auto"/>
          <w:kern w:val="0"/>
          <w:szCs w:val="21"/>
          <w:highlight w:val="none"/>
        </w:rPr>
        <w:t>回收价值评标基准价1%，扣1.0分，扣至0分为止，得出</w:t>
      </w:r>
      <w:r>
        <w:rPr>
          <w:rFonts w:hint="eastAsia" w:ascii="宋体" w:hAnsi="宋体" w:eastAsia="宋体" w:cs="宋体"/>
          <w:bCs/>
          <w:color w:val="auto"/>
          <w:szCs w:val="21"/>
          <w:highlight w:val="none"/>
          <w:u w:val="single"/>
          <w:lang w:bidi="ar"/>
        </w:rPr>
        <w:t>拆卸工程</w:t>
      </w:r>
      <w:r>
        <w:rPr>
          <w:rFonts w:hint="eastAsia" w:ascii="宋体" w:hAnsi="宋体" w:eastAsia="宋体" w:cs="宋体"/>
          <w:color w:val="auto"/>
          <w:kern w:val="0"/>
          <w:szCs w:val="21"/>
          <w:highlight w:val="none"/>
          <w:lang w:val="en-US" w:eastAsia="zh-CN"/>
        </w:rPr>
        <w:t>回收价值投标</w:t>
      </w:r>
      <w:r>
        <w:rPr>
          <w:rFonts w:hint="eastAsia" w:hAnsi="宋体" w:cs="宋体"/>
          <w:color w:val="auto"/>
          <w:kern w:val="0"/>
          <w:szCs w:val="21"/>
          <w:highlight w:val="none"/>
          <w:lang w:val="en-US" w:eastAsia="zh-CN"/>
        </w:rPr>
        <w:t>总</w:t>
      </w:r>
      <w:r>
        <w:rPr>
          <w:rFonts w:hint="eastAsia" w:ascii="宋体" w:hAnsi="宋体" w:eastAsia="宋体" w:cs="宋体"/>
          <w:color w:val="auto"/>
          <w:kern w:val="0"/>
          <w:szCs w:val="21"/>
          <w:highlight w:val="none"/>
          <w:lang w:val="en-US" w:eastAsia="zh-CN"/>
        </w:rPr>
        <w:t>报价得</w:t>
      </w:r>
      <w:r>
        <w:rPr>
          <w:rFonts w:hint="eastAsia" w:ascii="宋体" w:hAnsi="宋体" w:eastAsia="宋体" w:cs="宋体"/>
          <w:color w:val="auto"/>
          <w:kern w:val="0"/>
          <w:szCs w:val="21"/>
          <w:highlight w:val="none"/>
        </w:rPr>
        <w:t>分，精确到小数点后两位</w:t>
      </w:r>
      <w:r>
        <w:rPr>
          <w:rFonts w:hint="eastAsia" w:hAnsi="宋体" w:cs="宋体"/>
          <w:color w:val="auto"/>
          <w:kern w:val="0"/>
          <w:szCs w:val="21"/>
          <w:highlight w:val="none"/>
          <w:lang w:eastAsia="zh-CN"/>
        </w:rPr>
        <w:t>。</w:t>
      </w:r>
    </w:p>
    <w:p w14:paraId="0791735B">
      <w:pPr>
        <w:pStyle w:val="20"/>
        <w:pBdr>
          <w:bottom w:val="single" w:color="auto" w:sz="4" w:space="1"/>
        </w:pBd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注：根据第二章“投标人须知前附表”第</w:t>
      </w:r>
      <w:r>
        <w:rPr>
          <w:rFonts w:hint="eastAsia" w:ascii="宋体" w:hAnsi="宋体" w:eastAsia="宋体" w:cs="宋体"/>
          <w:color w:val="auto"/>
          <w:kern w:val="0"/>
          <w:szCs w:val="21"/>
          <w:highlight w:val="none"/>
          <w:lang w:eastAsia="zh-CN"/>
        </w:rPr>
        <w:t>3</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项规定实施</w:t>
      </w:r>
      <w:r>
        <w:rPr>
          <w:rFonts w:hint="eastAsia" w:hAnsi="宋体" w:cs="宋体"/>
          <w:b/>
          <w:bCs/>
          <w:color w:val="auto"/>
          <w:kern w:val="0"/>
          <w:szCs w:val="21"/>
          <w:highlight w:val="none"/>
          <w:lang w:eastAsia="zh-CN"/>
        </w:rPr>
        <w:t>工程费</w:t>
      </w:r>
      <w:r>
        <w:rPr>
          <w:rFonts w:hint="eastAsia" w:ascii="宋体" w:hAnsi="宋体" w:eastAsia="宋体" w:cs="宋体"/>
          <w:color w:val="auto"/>
          <w:kern w:val="0"/>
          <w:szCs w:val="21"/>
          <w:highlight w:val="none"/>
        </w:rPr>
        <w:t>投标</w:t>
      </w:r>
      <w:r>
        <w:rPr>
          <w:rFonts w:hint="eastAsia" w:hAnsi="宋体" w:cs="宋体"/>
          <w:color w:val="auto"/>
          <w:kern w:val="0"/>
          <w:szCs w:val="21"/>
          <w:highlight w:val="none"/>
          <w:lang w:val="en-US" w:eastAsia="zh-CN"/>
        </w:rPr>
        <w:t>总</w:t>
      </w:r>
      <w:r>
        <w:rPr>
          <w:rFonts w:hint="eastAsia" w:ascii="宋体" w:hAnsi="宋体" w:eastAsia="宋体" w:cs="宋体"/>
          <w:color w:val="auto"/>
          <w:kern w:val="0"/>
          <w:szCs w:val="21"/>
          <w:highlight w:val="none"/>
        </w:rPr>
        <w:t>报价评审优惠政策，对符合《政府采购促进中小企业发展管理办法》的小微企业投标人，给予相应的价格评审优惠。</w:t>
      </w:r>
    </w:p>
    <w:p w14:paraId="2031DA87">
      <w:pPr>
        <w:spacing w:line="360" w:lineRule="auto"/>
        <w:ind w:firstLine="470"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条款号：42.4.4.8                修改类型：修改</w:t>
      </w:r>
    </w:p>
    <w:p w14:paraId="57F0A104">
      <w:pPr>
        <w:pBdr>
          <w:bottom w:val="none" w:color="auto" w:sz="0" w:space="1"/>
        </w:pBdr>
        <w:spacing w:line="360" w:lineRule="auto"/>
        <w:ind w:firstLine="470" w:firstLineChars="224"/>
        <w:rPr>
          <w:rFonts w:hint="eastAsia" w:ascii="宋体" w:hAnsi="宋体" w:eastAsia="宋体" w:cs="宋体"/>
          <w:color w:val="auto"/>
          <w:szCs w:val="21"/>
          <w:highlight w:val="none"/>
          <w:lang w:bidi="ar"/>
        </w:rPr>
      </w:pPr>
      <w:r>
        <w:rPr>
          <w:rFonts w:hint="eastAsia" w:ascii="宋体" w:hAnsi="宋体" w:eastAsia="宋体" w:cs="宋体"/>
          <w:b/>
          <w:color w:val="auto"/>
          <w:kern w:val="0"/>
          <w:szCs w:val="21"/>
          <w:highlight w:val="none"/>
          <w:lang w:bidi="ar"/>
        </w:rPr>
        <w:t>原文：</w:t>
      </w:r>
      <w:r>
        <w:rPr>
          <w:rFonts w:hint="eastAsia" w:ascii="宋体" w:hAnsi="宋体" w:eastAsia="宋体" w:cs="宋体"/>
          <w:color w:val="auto"/>
          <w:szCs w:val="21"/>
          <w:highlight w:val="none"/>
          <w:lang w:bidi="ar"/>
        </w:rPr>
        <w:t>42.4.4.8按上述修正错误的原则及方法调整或修正投标文件的投标报价，调整后的投标报价对投标人起约束作用。如果投标人不接受修正后的报价，则取消其投标资格，并且其投标保证金也将不予退还。</w:t>
      </w:r>
    </w:p>
    <w:p w14:paraId="755DB99B">
      <w:pPr>
        <w:pBdr>
          <w:bottom w:val="single" w:color="auto" w:sz="6" w:space="1"/>
        </w:pBdr>
        <w:spacing w:line="360" w:lineRule="auto"/>
        <w:ind w:firstLine="470" w:firstLineChars="224"/>
        <w:rPr>
          <w:rFonts w:hint="eastAsia" w:ascii="宋体" w:hAnsi="宋体" w:eastAsia="宋体" w:cs="宋体"/>
          <w:color w:val="auto"/>
          <w:szCs w:val="21"/>
          <w:highlight w:val="none"/>
          <w:lang w:bidi="ar"/>
        </w:rPr>
      </w:pPr>
      <w:r>
        <w:rPr>
          <w:rFonts w:hint="eastAsia" w:ascii="宋体" w:hAnsi="宋体" w:eastAsia="宋体" w:cs="宋体"/>
          <w:b/>
          <w:bCs/>
          <w:color w:val="auto"/>
          <w:szCs w:val="21"/>
          <w:highlight w:val="none"/>
          <w:lang w:bidi="ar"/>
        </w:rPr>
        <w:t>现文：</w:t>
      </w:r>
      <w:r>
        <w:rPr>
          <w:rFonts w:hint="eastAsia" w:ascii="宋体" w:hAnsi="宋体" w:eastAsia="宋体" w:cs="宋体"/>
          <w:color w:val="auto"/>
          <w:szCs w:val="21"/>
          <w:highlight w:val="none"/>
          <w:lang w:bidi="ar"/>
        </w:rPr>
        <w:t>42.4.4.8按上述修正错误的原则及方法调整或修正投标文件的投标报价，调整后的投标报价对投标人起约束作用。如果投标人不接受修正后的报价，则取消其投标资格。</w:t>
      </w:r>
    </w:p>
    <w:p w14:paraId="4BF18B0F">
      <w:pPr>
        <w:spacing w:line="360" w:lineRule="auto"/>
        <w:ind w:firstLine="470"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条款号：42.4.4.5                修改类型：修改</w:t>
      </w:r>
    </w:p>
    <w:p w14:paraId="5F018CFD">
      <w:pPr>
        <w:pBdr>
          <w:bottom w:val="none" w:color="auto" w:sz="0" w:space="1"/>
        </w:pBdr>
        <w:spacing w:line="360" w:lineRule="auto"/>
        <w:ind w:firstLine="470" w:firstLineChars="224"/>
        <w:rPr>
          <w:rFonts w:hint="eastAsia" w:ascii="宋体" w:hAnsi="宋体" w:eastAsia="宋体" w:cs="宋体"/>
          <w:color w:val="auto"/>
          <w:sz w:val="18"/>
          <w:szCs w:val="18"/>
          <w:highlight w:val="none"/>
          <w:lang w:bidi="ar"/>
        </w:rPr>
      </w:pPr>
      <w:r>
        <w:rPr>
          <w:rFonts w:hint="eastAsia" w:ascii="宋体" w:hAnsi="宋体" w:eastAsia="宋体" w:cs="宋体"/>
          <w:b/>
          <w:color w:val="auto"/>
          <w:kern w:val="0"/>
          <w:szCs w:val="21"/>
          <w:highlight w:val="none"/>
          <w:lang w:bidi="ar"/>
        </w:rPr>
        <w:t>原文：</w:t>
      </w:r>
      <w:r>
        <w:rPr>
          <w:rFonts w:hint="eastAsia" w:ascii="宋体" w:hAnsi="宋体" w:eastAsia="宋体" w:cs="宋体"/>
          <w:color w:val="auto"/>
          <w:sz w:val="21"/>
          <w:szCs w:val="21"/>
          <w:highlight w:val="none"/>
        </w:rPr>
        <w:t>42.4.4.5如果投标人的有关规费、暂列金额、暂估价、绿色施工安全防护措施费等未按招标文件规定的金额填写的，由评标委员会按照招标文件规定的金额进行修正；</w:t>
      </w:r>
    </w:p>
    <w:p w14:paraId="1C27139E">
      <w:pPr>
        <w:pBdr>
          <w:bottom w:val="single" w:color="auto" w:sz="6" w:space="1"/>
        </w:pBdr>
        <w:spacing w:line="360" w:lineRule="auto"/>
        <w:ind w:firstLine="470" w:firstLineChars="224"/>
        <w:rPr>
          <w:rFonts w:hint="eastAsia" w:ascii="宋体" w:hAnsi="宋体" w:eastAsia="宋体" w:cs="宋体"/>
          <w:color w:val="auto"/>
          <w:szCs w:val="21"/>
          <w:highlight w:val="none"/>
          <w:lang w:bidi="ar"/>
        </w:rPr>
      </w:pPr>
      <w:r>
        <w:rPr>
          <w:rFonts w:hint="eastAsia" w:ascii="宋体" w:hAnsi="宋体" w:eastAsia="宋体" w:cs="宋体"/>
          <w:b/>
          <w:bCs/>
          <w:color w:val="auto"/>
          <w:szCs w:val="21"/>
          <w:highlight w:val="none"/>
          <w:lang w:bidi="ar"/>
        </w:rPr>
        <w:t>现文：</w:t>
      </w:r>
      <w:r>
        <w:rPr>
          <w:rFonts w:hint="eastAsia" w:ascii="宋体" w:hAnsi="宋体" w:eastAsia="宋体" w:cs="宋体"/>
          <w:color w:val="auto"/>
          <w:sz w:val="21"/>
          <w:szCs w:val="21"/>
          <w:highlight w:val="none"/>
        </w:rPr>
        <w:t>42.4.4.5如果投标人的有关规费、暂列金额、暂估价、安全生产措施费等未按招标文件规定的金额填写的，由评标委员会按照招标文件规定的金额进行修正；</w:t>
      </w:r>
    </w:p>
    <w:p w14:paraId="7A2B5B7B">
      <w:pPr>
        <w:shd w:val="clear" w:color="auto" w:fill="auto"/>
        <w:spacing w:line="360" w:lineRule="auto"/>
        <w:ind w:firstLine="420" w:firstLineChars="200"/>
        <w:rPr>
          <w:rFonts w:ascii="宋体" w:hAnsi="宋体" w:eastAsia="宋体" w:cs="等线"/>
          <w:b/>
          <w:color w:val="auto"/>
          <w:szCs w:val="21"/>
          <w:highlight w:val="none"/>
        </w:rPr>
      </w:pPr>
      <w:r>
        <w:rPr>
          <w:rFonts w:hint="eastAsia" w:ascii="宋体" w:hAnsi="宋体" w:eastAsia="宋体" w:cs="等线"/>
          <w:b/>
          <w:color w:val="auto"/>
          <w:szCs w:val="21"/>
          <w:highlight w:val="none"/>
        </w:rPr>
        <w:t>条款号：</w:t>
      </w:r>
      <w:r>
        <w:rPr>
          <w:rFonts w:ascii="宋体" w:hAnsi="宋体" w:eastAsia="宋体" w:cs="等线"/>
          <w:b/>
          <w:color w:val="auto"/>
          <w:kern w:val="0"/>
          <w:szCs w:val="21"/>
          <w:highlight w:val="none"/>
        </w:rPr>
        <w:t>49</w:t>
      </w:r>
      <w:r>
        <w:rPr>
          <w:rFonts w:ascii="宋体" w:hAnsi="宋体" w:eastAsia="宋体" w:cs="等线"/>
          <w:b/>
          <w:color w:val="auto"/>
          <w:szCs w:val="21"/>
          <w:highlight w:val="none"/>
        </w:rPr>
        <w:t xml:space="preserve">                        　修改类型：修改</w:t>
      </w:r>
    </w:p>
    <w:p w14:paraId="34544585">
      <w:pPr>
        <w:shd w:val="clear" w:color="auto" w:fill="auto"/>
        <w:spacing w:line="360" w:lineRule="auto"/>
        <w:ind w:firstLine="420" w:firstLineChars="200"/>
        <w:rPr>
          <w:rFonts w:ascii="宋体" w:hAnsi="宋体" w:eastAsia="宋体" w:cs="等线"/>
          <w:color w:val="auto"/>
          <w:szCs w:val="21"/>
          <w:highlight w:val="none"/>
        </w:rPr>
      </w:pPr>
      <w:r>
        <w:rPr>
          <w:rFonts w:hint="eastAsia" w:ascii="宋体" w:hAnsi="宋体" w:eastAsia="宋体" w:cs="等线"/>
          <w:b/>
          <w:color w:val="auto"/>
          <w:szCs w:val="21"/>
          <w:highlight w:val="none"/>
        </w:rPr>
        <w:t>原文：</w:t>
      </w:r>
      <w:r>
        <w:rPr>
          <w:rFonts w:ascii="宋体" w:hAnsi="宋体" w:eastAsia="宋体" w:cs="等线"/>
          <w:color w:val="auto"/>
          <w:szCs w:val="21"/>
          <w:highlight w:val="none"/>
        </w:rPr>
        <w:t>49若通过经济标有效性审查的投标人不足三家，应当依法重新招标。（当N个标段同时招标且不允许兼中时，若有效投标人不足N+2家，应当依法重新招标）</w:t>
      </w:r>
    </w:p>
    <w:p w14:paraId="34B1629D">
      <w:pPr>
        <w:pBdr>
          <w:bottom w:val="single" w:color="auto" w:sz="6" w:space="1"/>
        </w:pBdr>
        <w:shd w:val="clear" w:color="auto" w:fill="auto"/>
        <w:spacing w:line="360" w:lineRule="auto"/>
        <w:ind w:firstLine="417" w:firstLineChars="199"/>
        <w:rPr>
          <w:rFonts w:ascii="宋体" w:hAnsi="宋体" w:eastAsia="宋体" w:cs="等线"/>
          <w:strike/>
          <w:color w:val="auto"/>
          <w:szCs w:val="21"/>
          <w:highlight w:val="none"/>
        </w:rPr>
      </w:pPr>
      <w:r>
        <w:rPr>
          <w:rFonts w:hint="eastAsia" w:ascii="宋体" w:hAnsi="宋体" w:eastAsia="宋体" w:cs="等线"/>
          <w:b/>
          <w:color w:val="auto"/>
          <w:szCs w:val="21"/>
          <w:highlight w:val="none"/>
        </w:rPr>
        <w:t>现文</w:t>
      </w:r>
      <w:r>
        <w:rPr>
          <w:rFonts w:hint="eastAsia" w:ascii="宋体" w:hAnsi="宋体" w:eastAsia="宋体" w:cs="等线"/>
          <w:color w:val="auto"/>
          <w:szCs w:val="21"/>
          <w:highlight w:val="none"/>
        </w:rPr>
        <w:t>：</w:t>
      </w:r>
      <w:r>
        <w:rPr>
          <w:rFonts w:ascii="宋体" w:hAnsi="宋体" w:eastAsia="宋体" w:cs="等线"/>
          <w:color w:val="auto"/>
          <w:szCs w:val="21"/>
          <w:highlight w:val="none"/>
        </w:rPr>
        <w:t>49</w:t>
      </w:r>
      <w:r>
        <w:rPr>
          <w:rFonts w:hint="eastAsia" w:ascii="宋体" w:hAnsi="宋体" w:eastAsia="宋体" w:cs="等线"/>
          <w:color w:val="auto"/>
          <w:szCs w:val="21"/>
          <w:highlight w:val="none"/>
        </w:rPr>
        <w:t>若通过经济标有效性审查的投标人不足三家，应当依法重新招标。</w:t>
      </w:r>
    </w:p>
    <w:p w14:paraId="3D58D4BE">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条款号：附件1            修改类型：增加</w:t>
      </w:r>
    </w:p>
    <w:p w14:paraId="620FEB8A">
      <w:pPr>
        <w:pBdr>
          <w:bottom w:val="single" w:color="auto" w:sz="6" w:space="1"/>
        </w:pBdr>
        <w:spacing w:line="360" w:lineRule="auto"/>
        <w:ind w:firstLine="470"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附件1《评标委员会成员声明》；</w:t>
      </w:r>
    </w:p>
    <w:p w14:paraId="22AEF309">
      <w:pPr>
        <w:spacing w:line="360" w:lineRule="auto"/>
        <w:ind w:firstLine="470"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条款号：附表一《资格审查表》                         修改类型：修改</w:t>
      </w:r>
    </w:p>
    <w:p w14:paraId="7DEE7D63">
      <w:pPr>
        <w:spacing w:line="360" w:lineRule="auto"/>
        <w:ind w:firstLine="470" w:firstLineChars="224"/>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bCs/>
          <w:color w:val="auto"/>
          <w:szCs w:val="21"/>
          <w:highlight w:val="none"/>
        </w:rPr>
        <w:t>详见《广州市建设工程施工公开招标项目招标文件范本GZZB2018-3》</w:t>
      </w:r>
    </w:p>
    <w:p w14:paraId="54BCCA52">
      <w:pPr>
        <w:pBdr>
          <w:bottom w:val="single" w:color="auto" w:sz="6" w:space="1"/>
        </w:pBd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bCs/>
          <w:color w:val="auto"/>
          <w:szCs w:val="21"/>
          <w:highlight w:val="none"/>
        </w:rPr>
        <w:t>详见附表一《资格审查表》</w:t>
      </w:r>
    </w:p>
    <w:p w14:paraId="065D7E01">
      <w:pPr>
        <w:spacing w:line="360" w:lineRule="auto"/>
        <w:ind w:firstLine="470"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条款号：附表二《技术标有效性审查表》                 修改类型：修改</w:t>
      </w:r>
    </w:p>
    <w:p w14:paraId="5DB671FE">
      <w:pPr>
        <w:spacing w:line="360" w:lineRule="auto"/>
        <w:ind w:firstLine="470" w:firstLineChars="224"/>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bCs/>
          <w:color w:val="auto"/>
          <w:szCs w:val="21"/>
          <w:highlight w:val="none"/>
        </w:rPr>
        <w:t>详见《广州市建设工程施工公开招标项目招标文件范本GZZB2018-3》</w:t>
      </w:r>
    </w:p>
    <w:p w14:paraId="43176EFB">
      <w:pPr>
        <w:pBdr>
          <w:bottom w:val="single" w:color="auto" w:sz="6" w:space="1"/>
        </w:pBd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bCs/>
          <w:color w:val="auto"/>
          <w:szCs w:val="21"/>
          <w:highlight w:val="none"/>
        </w:rPr>
        <w:t>详见附表二《技术标有效性审查表》</w:t>
      </w:r>
    </w:p>
    <w:p w14:paraId="0CB6E48A">
      <w:pPr>
        <w:spacing w:line="360" w:lineRule="auto"/>
        <w:ind w:firstLine="470"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条款号：附表三《经济标有效性审查表》                 修改类型：修改</w:t>
      </w:r>
    </w:p>
    <w:p w14:paraId="6BFE9219">
      <w:pPr>
        <w:spacing w:line="360" w:lineRule="auto"/>
        <w:ind w:firstLine="470" w:firstLineChars="224"/>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bCs/>
          <w:color w:val="auto"/>
          <w:szCs w:val="21"/>
          <w:highlight w:val="none"/>
        </w:rPr>
        <w:t>详见《广州市建设工程施工公开招标项目招标文件范本GZZB2018-3》</w:t>
      </w:r>
    </w:p>
    <w:p w14:paraId="2DB1B0F6">
      <w:pPr>
        <w:pBdr>
          <w:bottom w:val="single" w:color="auto" w:sz="6" w:space="1"/>
        </w:pBd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bCs/>
          <w:color w:val="auto"/>
          <w:szCs w:val="21"/>
          <w:highlight w:val="none"/>
        </w:rPr>
        <w:t>详见附表三《经济标有效性审查表》</w:t>
      </w:r>
    </w:p>
    <w:p w14:paraId="769937C8">
      <w:pPr>
        <w:spacing w:line="360" w:lineRule="auto"/>
        <w:ind w:firstLine="470"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条款号：附表四《技术标详细审查评分表》               修改类型：修改</w:t>
      </w:r>
    </w:p>
    <w:p w14:paraId="380529DD">
      <w:pPr>
        <w:pBdr>
          <w:bottom w:val="single" w:color="auto" w:sz="6" w:space="1"/>
        </w:pBd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bCs/>
          <w:color w:val="auto"/>
          <w:szCs w:val="21"/>
          <w:highlight w:val="none"/>
        </w:rPr>
        <w:t>详见附表四《技术标详细审查评分表》</w:t>
      </w:r>
    </w:p>
    <w:p w14:paraId="267B7624">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条款号：附表</w:t>
      </w:r>
      <w:r>
        <w:rPr>
          <w:rFonts w:hint="eastAsia" w:ascii="宋体" w:hAnsi="宋体" w:cs="宋体"/>
          <w:b/>
          <w:color w:val="auto"/>
          <w:szCs w:val="21"/>
          <w:highlight w:val="none"/>
          <w:lang w:val="en-US" w:eastAsia="zh-CN"/>
        </w:rPr>
        <w:t>五</w:t>
      </w:r>
      <w:r>
        <w:rPr>
          <w:rFonts w:hint="eastAsia" w:ascii="宋体" w:hAnsi="宋体" w:cs="宋体"/>
          <w:b/>
          <w:color w:val="auto"/>
          <w:szCs w:val="21"/>
          <w:highlight w:val="none"/>
        </w:rPr>
        <w:t xml:space="preserve">《经济标评分表》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14:paraId="6532396C">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详见附表</w:t>
      </w:r>
      <w:r>
        <w:rPr>
          <w:rFonts w:hint="eastAsia" w:ascii="宋体" w:hAnsi="宋体" w:cs="宋体"/>
          <w:bCs/>
          <w:color w:val="auto"/>
          <w:szCs w:val="21"/>
          <w:highlight w:val="none"/>
          <w:lang w:val="en-US" w:eastAsia="zh-CN"/>
        </w:rPr>
        <w:t>五</w:t>
      </w:r>
      <w:r>
        <w:rPr>
          <w:rFonts w:hint="eastAsia" w:ascii="宋体" w:hAnsi="宋体" w:cs="宋体"/>
          <w:bCs/>
          <w:color w:val="auto"/>
          <w:szCs w:val="21"/>
          <w:highlight w:val="none"/>
        </w:rPr>
        <w:t>《经济标评分表》</w:t>
      </w:r>
    </w:p>
    <w:p w14:paraId="22AB1C0E">
      <w:pPr>
        <w:spacing w:line="360" w:lineRule="auto"/>
        <w:ind w:firstLine="210" w:firstLineChars="1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注：以上修改，仅限于本范本中有可供选择条款的情形。</w:t>
      </w:r>
    </w:p>
    <w:p w14:paraId="74ED7DD3">
      <w:pPr>
        <w:spacing w:line="360" w:lineRule="auto"/>
        <w:rPr>
          <w:rFonts w:hint="eastAsia" w:ascii="宋体" w:hAnsi="宋体" w:eastAsia="宋体" w:cs="宋体"/>
          <w:color w:val="auto"/>
          <w:highlight w:val="none"/>
        </w:rPr>
      </w:pPr>
      <w:r>
        <w:rPr>
          <w:rFonts w:hint="eastAsia" w:ascii="宋体" w:hAnsi="宋体" w:eastAsia="宋体" w:cs="宋体"/>
          <w:b/>
          <w:color w:val="auto"/>
          <w:szCs w:val="21"/>
          <w:highlight w:val="none"/>
        </w:rPr>
        <w:t>（以下无正文）</w:t>
      </w:r>
    </w:p>
    <w:p w14:paraId="3BC50C8B">
      <w:pPr>
        <w:pStyle w:val="1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74F4359">
      <w:pPr>
        <w:pStyle w:val="7"/>
        <w:ind w:firstLine="525"/>
        <w:rPr>
          <w:rFonts w:hint="eastAsia" w:ascii="宋体" w:hAnsi="宋体" w:eastAsia="宋体" w:cs="宋体"/>
          <w:color w:val="auto"/>
          <w:highlight w:val="none"/>
        </w:rPr>
      </w:pPr>
      <w:bookmarkStart w:id="19" w:name="_Toc188805903"/>
      <w:r>
        <w:rPr>
          <w:rFonts w:hint="eastAsia" w:ascii="宋体" w:hAnsi="宋体" w:eastAsia="宋体" w:cs="宋体"/>
          <w:color w:val="auto"/>
          <w:highlight w:val="none"/>
        </w:rPr>
        <w:t>二、开标、评标及定标办法</w:t>
      </w:r>
      <w:r>
        <w:rPr>
          <w:rFonts w:hint="eastAsia" w:ascii="宋体" w:hAnsi="宋体" w:eastAsia="宋体" w:cs="宋体"/>
          <w:color w:val="auto"/>
          <w:szCs w:val="30"/>
          <w:highlight w:val="none"/>
        </w:rPr>
        <w:t>通用条款</w:t>
      </w:r>
      <w:bookmarkEnd w:id="19"/>
    </w:p>
    <w:p w14:paraId="29A98387">
      <w:pPr>
        <w:pStyle w:val="8"/>
        <w:spacing w:before="156" w:after="156"/>
        <w:ind w:firstLine="540" w:firstLineChars="200"/>
        <w:rPr>
          <w:rFonts w:hint="eastAsia" w:ascii="宋体" w:hAnsi="宋体" w:eastAsia="宋体" w:cs="宋体"/>
          <w:color w:val="auto"/>
          <w:highlight w:val="none"/>
        </w:rPr>
      </w:pPr>
      <w:bookmarkStart w:id="20" w:name="_Toc188805904"/>
      <w:r>
        <w:rPr>
          <w:rFonts w:hint="eastAsia" w:ascii="宋体" w:hAnsi="宋体" w:eastAsia="宋体" w:cs="宋体"/>
          <w:color w:val="auto"/>
          <w:highlight w:val="none"/>
        </w:rPr>
        <w:t>（一）总则</w:t>
      </w:r>
      <w:bookmarkEnd w:id="20"/>
    </w:p>
    <w:p w14:paraId="28ADE603">
      <w:pPr>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35 开标、评标及定标所依据的规则</w:t>
      </w:r>
    </w:p>
    <w:p w14:paraId="1FB1A92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35.1《中华人民共和国招标投标法》；</w:t>
      </w:r>
    </w:p>
    <w:p w14:paraId="46E5E45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35.2《中华人民共和国招标投标法实施条例》；</w:t>
      </w:r>
    </w:p>
    <w:p w14:paraId="7F22363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35.3《评标委员会和评标方法暂行规定》（七部委第12号令）</w:t>
      </w:r>
    </w:p>
    <w:p w14:paraId="5E240A3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35.4《工程建设项目施工招标投标办法》（七部委2003年第30号令）</w:t>
      </w:r>
    </w:p>
    <w:p w14:paraId="56C1D00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35.5《广东省实施〈中华人民共和国招标投标法〉办法》；</w:t>
      </w:r>
    </w:p>
    <w:p w14:paraId="6A4557A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35.6《房屋建筑和市政基础设施工程施工招标投标管理办法》（建设部令第89号）</w:t>
      </w:r>
    </w:p>
    <w:p w14:paraId="75A6632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35.7《财政部 工业和信息化部关于印发〈政府采购促进中小企业发展管理办法〉的通知》（财库〔2020〕46号）</w:t>
      </w:r>
    </w:p>
    <w:p w14:paraId="7024BD8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35.8《广东省加强建设工程招标投标监督管理的若干规定》（粤发[2004]4号）；</w:t>
      </w:r>
    </w:p>
    <w:p w14:paraId="6344505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35.9《广东省政府采购促进中小企业发展实施细则（试行）》</w:t>
      </w:r>
    </w:p>
    <w:p w14:paraId="317265E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35.10《广州市工程建设项目招标投标管理办法》（穗建规字〔2023〕12号）；</w:t>
      </w:r>
    </w:p>
    <w:p w14:paraId="745936D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35.11《广州市财政局 广州市工业和信息化局转发广东省财政厅 广东省发展和改革委员会 广东省工业和信息化厅 广东省地方金融监督管理局关于印发&lt;广东省政府采购促进中小企业发展实施细则（试行）&gt;的通知》（穗财采〔2023〕8号）；</w:t>
      </w:r>
    </w:p>
    <w:p w14:paraId="3338ADB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35.12本项目招标文件。</w:t>
      </w:r>
    </w:p>
    <w:p w14:paraId="74546B7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36．开标</w:t>
      </w:r>
    </w:p>
    <w:p w14:paraId="641FEEC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 招标人按投标须知前附表第18项所规定的时间和地点公开开标，并邀请所有投标人参加。截标后，开标开始时间因故推迟的，相关评标信息仍以原定的开标开始时间的信息为准。</w:t>
      </w:r>
    </w:p>
    <w:p w14:paraId="33FECEB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 招标人在招标文件要求提交投标文件的截止时间前收到的投标文件，开标时都当众予以解密、公布。</w:t>
      </w:r>
    </w:p>
    <w:p w14:paraId="5EB2910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59208A2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36.4若递交投标文件的投标人不足3家，则重新组织招标。（当N个标段同时招标且不允许兼中时，若有效投标人不足N+2家，则重新组织招标）</w:t>
      </w:r>
    </w:p>
    <w:p w14:paraId="0D82779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36.5按下列程序进行开标：</w:t>
      </w:r>
    </w:p>
    <w:p w14:paraId="33D6744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36.5.1在投标截止时间后一个小时内，投标人通过交易平台对已递交的电子投标文件进行解密。投标人完成解密后，再由招标人进行解密。解密完成后，公布招标项目名称、投标人名称、投标保证金的递交情况、投标报价、工期及其他内容；</w:t>
      </w:r>
    </w:p>
    <w:p w14:paraId="5E18E26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36.5.2备用光盘或U盘的读取按投标须知前附表第36项的规定执行；</w:t>
      </w:r>
    </w:p>
    <w:p w14:paraId="29A211E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36.5.3投标人代表、招标人代表、监标人、记录人等有关人员在开标记录上签字确认；若有关人员不签字的，不影响开标程序；</w:t>
      </w:r>
    </w:p>
    <w:p w14:paraId="260FF63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36.5.4开标结束。</w:t>
      </w:r>
    </w:p>
    <w:p w14:paraId="0290F3F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36.6投标截止时间前未完成投标文件传输的或因投标人之外的原因造成投标文件未解密且未按要求递交备用光盘或U盘的，视为投标人撤回投标文件。因投标人原因造成投标文件未解密或未在规定的时间内解密的，视为撤销其投标文件。</w:t>
      </w:r>
    </w:p>
    <w:p w14:paraId="644BB21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36.7开标时，两个（含两个）以上的投标人加密打包投标文件电脑机器特征码一致的，不参与下一程序，并由评标委员会否决其投标。</w:t>
      </w:r>
    </w:p>
    <w:p w14:paraId="5B34142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37．评标</w:t>
      </w:r>
    </w:p>
    <w:p w14:paraId="374A839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37.1评标委员会由招标人依法组建。</w:t>
      </w:r>
    </w:p>
    <w:p w14:paraId="52E605C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37.2评标委员会在开始评标前，应了解评标专家的职责及守则，认真阅读附件1《评标委员会成员声明》的内容并签名，签字后方可进行评标；</w:t>
      </w:r>
    </w:p>
    <w:p w14:paraId="09E1F71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37.3评标委员会的职责及守则：</w:t>
      </w:r>
    </w:p>
    <w:p w14:paraId="082AD64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37.3.1根据评标细则，对</w:t>
      </w:r>
      <w:r>
        <w:rPr>
          <w:rFonts w:hint="eastAsia" w:ascii="宋体" w:hAnsi="宋体" w:eastAsia="宋体" w:cs="宋体"/>
          <w:color w:val="auto"/>
          <w:sz w:val="24"/>
          <w:highlight w:val="none"/>
        </w:rPr>
        <w:t>投标文件</w:t>
      </w:r>
      <w:r>
        <w:rPr>
          <w:rFonts w:hint="eastAsia" w:ascii="宋体" w:hAnsi="宋体" w:eastAsia="宋体" w:cs="宋体"/>
          <w:color w:val="auto"/>
          <w:sz w:val="24"/>
          <w:szCs w:val="24"/>
          <w:highlight w:val="none"/>
        </w:rPr>
        <w:t>进行认真评审，完成评审报告；</w:t>
      </w:r>
    </w:p>
    <w:p w14:paraId="6C9CE4C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37.3.2向招标人报告评审意见，推荐合格的中标候选人。</w:t>
      </w:r>
    </w:p>
    <w:p w14:paraId="7DC5FD0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37.3.3</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14:paraId="449A91A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37.3.4全体参与评标人员：</w:t>
      </w:r>
    </w:p>
    <w:p w14:paraId="7088268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37.3.4.1 必须遵守评标纪律、不得泄密；</w:t>
      </w:r>
    </w:p>
    <w:p w14:paraId="584FC43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37.3.4.2 必须公正、不得循私；</w:t>
      </w:r>
    </w:p>
    <w:p w14:paraId="4A73E5F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37.3.4.3 必须科学、不得草率；</w:t>
      </w:r>
    </w:p>
    <w:p w14:paraId="6E05B82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37.3.4.4 必须客观、不得带有成见；</w:t>
      </w:r>
    </w:p>
    <w:p w14:paraId="6C6AD43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37.3.4.5 必须平等、不得强加于人；</w:t>
      </w:r>
    </w:p>
    <w:p w14:paraId="799B29E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37.3.4.6 必须严谨、不得随意马虎。</w:t>
      </w:r>
    </w:p>
    <w:p w14:paraId="4CC8CEF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030D5F5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37.5评标结束后，评标委员会递交评标报告并依法推荐中标候选人。 </w:t>
      </w:r>
    </w:p>
    <w:p w14:paraId="784AD33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38．投标文件的澄清</w:t>
      </w:r>
    </w:p>
    <w:p w14:paraId="776FCA1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053F8DA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3B33C4A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38.3 评标委员会或评标委员会专业评审组成员均应当阅读投标人的澄清，但应独立参考澄清对投标文件进行评审。</w:t>
      </w:r>
    </w:p>
    <w:p w14:paraId="56BA803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38.4如果投标文件实质上不响应招标文件的各项要求，评标委员会将按照符合性审查标准予以拒绝，不接受投标人通过修改或撤销其不符合要求的差异或保留，使之成为具有响应性的投标。</w:t>
      </w:r>
    </w:p>
    <w:p w14:paraId="1BAFFC4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1CEF6B8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39．定标</w:t>
      </w:r>
    </w:p>
    <w:p w14:paraId="47FD27A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39.1 招标人根据评标委员会递交的评标报告，最终审定中标人。</w:t>
      </w:r>
    </w:p>
    <w:p w14:paraId="4ED7E30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39.2 依法必须进行公开招标的项目，招标人应当确定排名第一的中标候选人为中标人。</w:t>
      </w:r>
    </w:p>
    <w:p w14:paraId="2600AEF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39.3排名第一的中标候选人放弃中标、或因不可抗力提出不能履行合同，或者招标文件规定应当提交履约担保而在规定的期限内未能提交的，招标人可以确定排名第二的中标候选人为中标人。</w:t>
      </w:r>
    </w:p>
    <w:p w14:paraId="00D4326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39.4排名第二的中标候选人出现前款所列的情形的，招标人可以确定排名第三的中标候选人为中标人。以此类推，如所有中标候选人均出现前款所列的情形，为招标失败，招标人依法重新招标。</w:t>
      </w:r>
    </w:p>
    <w:p w14:paraId="7D2D109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14:paraId="7FF7820A">
      <w:pPr>
        <w:pStyle w:val="8"/>
        <w:spacing w:before="156" w:after="156"/>
        <w:ind w:firstLine="540" w:firstLineChars="200"/>
        <w:rPr>
          <w:rFonts w:hint="eastAsia" w:ascii="宋体" w:hAnsi="宋体" w:eastAsia="宋体" w:cs="宋体"/>
          <w:color w:val="auto"/>
          <w:highlight w:val="none"/>
        </w:rPr>
      </w:pPr>
      <w:bookmarkStart w:id="21" w:name="_Toc188805905"/>
      <w:r>
        <w:rPr>
          <w:rFonts w:hint="eastAsia" w:ascii="宋体" w:hAnsi="宋体" w:eastAsia="宋体" w:cs="宋体"/>
          <w:color w:val="auto"/>
          <w:highlight w:val="none"/>
        </w:rPr>
        <w:t>（二）开标评标办法程序和细则</w:t>
      </w:r>
      <w:bookmarkEnd w:id="21"/>
    </w:p>
    <w:p w14:paraId="55B3A15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注：以下七种评标办法所述企业综合诚信评价分数即投标截止当日广州市工程招标代理行业协会网站上公布的企业综合诚信评价60日诚信分。</w:t>
      </w:r>
    </w:p>
    <w:p w14:paraId="7EAD00C0">
      <w:pPr>
        <w:spacing w:line="360" w:lineRule="auto"/>
        <w:rPr>
          <w:rFonts w:hint="eastAsia" w:ascii="宋体" w:hAnsi="宋体" w:eastAsia="宋体" w:cs="宋体"/>
          <w:color w:val="auto"/>
          <w:sz w:val="24"/>
          <w:szCs w:val="24"/>
          <w:highlight w:val="none"/>
        </w:rPr>
      </w:pPr>
    </w:p>
    <w:p w14:paraId="78FDA592">
      <w:pPr>
        <w:pStyle w:val="8"/>
        <w:spacing w:before="156" w:after="156"/>
        <w:ind w:firstLine="540" w:firstLineChars="200"/>
        <w:rPr>
          <w:rFonts w:hint="eastAsia" w:ascii="宋体" w:hAnsi="宋体" w:eastAsia="宋体" w:cs="宋体"/>
          <w:color w:val="auto"/>
          <w:highlight w:val="none"/>
        </w:rPr>
      </w:pPr>
      <w:bookmarkStart w:id="22" w:name="_Toc188805906"/>
      <w:r>
        <w:rPr>
          <w:rFonts w:hint="eastAsia" w:ascii="宋体" w:hAnsi="宋体" w:eastAsia="宋体" w:cs="宋体"/>
          <w:color w:val="auto"/>
          <w:highlight w:val="none"/>
        </w:rPr>
        <w:t>可选办法六（适合综合评分法三，技术标与经济标同时开启）</w:t>
      </w:r>
      <w:bookmarkEnd w:id="22"/>
    </w:p>
    <w:p w14:paraId="44E9237C">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40．开标和评标程序：</w:t>
      </w:r>
    </w:p>
    <w:p w14:paraId="750FFFCC">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40.1投标人递交技术标、经济标投标文件；</w:t>
      </w:r>
    </w:p>
    <w:p w14:paraId="633C0994">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40.2技术标与经济标投标文件同时公开开标；</w:t>
      </w:r>
    </w:p>
    <w:p w14:paraId="2C61A9BD">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40.3由评标委员会对所有已公开开标的投标人进行资格审查；</w:t>
      </w:r>
    </w:p>
    <w:p w14:paraId="38808022">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40.4技术标投标文件有效性审查；</w:t>
      </w:r>
    </w:p>
    <w:p w14:paraId="3A11BF70">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40.5技术标详细审查评分；</w:t>
      </w:r>
    </w:p>
    <w:p w14:paraId="43313F2C">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40.6计算第一阶段得分，并按照总分从高到低排列先后次序，编写第一阶段评审报告； </w:t>
      </w:r>
    </w:p>
    <w:p w14:paraId="7657D1AD">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40.7按投标须知前附表第25项规定，确定进入第二阶段评审的投标人；</w:t>
      </w:r>
    </w:p>
    <w:p w14:paraId="313F49DC">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40.8将进入第二阶段评审的投标人进行排序；</w:t>
      </w:r>
    </w:p>
    <w:p w14:paraId="47F4BBF9">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40.9按排序对经济标投标文件进行有效性审查（含投标报价算术校核），直至评出所有中标候选人；</w:t>
      </w:r>
    </w:p>
    <w:p w14:paraId="36AB663A">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40.10评标委员会编写评标报告，向招标人推荐中标候选人名单。</w:t>
      </w:r>
    </w:p>
    <w:p w14:paraId="64D7431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41.开标细则</w:t>
      </w:r>
    </w:p>
    <w:p w14:paraId="47D0F735">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41.1开标由招标人主持；</w:t>
      </w:r>
    </w:p>
    <w:p w14:paraId="427717C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41.2细则</w:t>
      </w:r>
    </w:p>
    <w:p w14:paraId="65F42545">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41.2.1投标截止期前，各投标人递交投标文件（包括技术标投标文件、经济标投标文件）至广州交易集团有限公司（广州公共资源交易中心）交易平台。有关投标文件提交的事项详见第一章投标须知。 </w:t>
      </w:r>
    </w:p>
    <w:p w14:paraId="4630B7F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41.2.2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30693D2D">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41.3按36.5.1的规定完成解密后，公布下列内容，并予以记录，记录提交评标委员会评审： </w:t>
      </w:r>
    </w:p>
    <w:p w14:paraId="3517825C">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41.3.1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14:paraId="30A8F6B8">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41.4招标人对开标过程进行记录，并存档备查，投标人在开标记录上签字。</w:t>
      </w:r>
    </w:p>
    <w:p w14:paraId="1E7A917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41.5 招标人将上述符合要求的投标文件，送至评标委员会进行评审。</w:t>
      </w:r>
    </w:p>
    <w:p w14:paraId="1ECEE5D6">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评标细则</w:t>
      </w:r>
    </w:p>
    <w:p w14:paraId="312DA43A">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42.1评标委员会的组成：方式      。</w:t>
      </w:r>
    </w:p>
    <w:p w14:paraId="691A76C5">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方式一：评标委员会为综合评标委员会，负责评标工作。</w:t>
      </w:r>
    </w:p>
    <w:p w14:paraId="3E576BBF">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方式二：评标委员会由技术评审组和经济评审组组成。其中：资格审查、技术评审由技术评标组负责，经济评审由经济评审组负责。 </w:t>
      </w:r>
    </w:p>
    <w:p w14:paraId="61D3163F">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42.2投标人资格审查</w:t>
      </w:r>
    </w:p>
    <w:p w14:paraId="430AA839">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42.2.1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hint="eastAsia" w:ascii="宋体" w:hAnsi="宋体" w:eastAsia="宋体" w:cs="宋体"/>
          <w:b/>
          <w:color w:val="auto"/>
          <w:sz w:val="24"/>
          <w:szCs w:val="24"/>
          <w:highlight w:val="none"/>
        </w:rPr>
        <w:t>评委发现资格审查文件中含义不明确、对同类问题表述不一致、有明显文字和计算错误的，应当要求投标人作必要的澄清、说明后再判定投标人是否通过资格审查，不得直接认定其不通过资格审查。</w:t>
      </w:r>
    </w:p>
    <w:p w14:paraId="10EE4A4B">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42.2.2汇总资格审查情况，编写资格审查报告。</w:t>
      </w:r>
    </w:p>
    <w:p w14:paraId="41DB4405">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42.2.3资格审查不合格的投标文件不参加下一阶段的评标，不参与评标参考价的计算。</w:t>
      </w:r>
    </w:p>
    <w:p w14:paraId="38717EA1">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2CBEDCF2">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42.2.5资审合格后，投标人的资格发生变化而不满足投标人合格条件，在发出中标通知书前，资格问题仍未解决的，招标人将取消其中标资格。</w:t>
      </w:r>
    </w:p>
    <w:p w14:paraId="202CE178">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42.2.6资格审查合格的投标人少于3名的（当N个标段同时招标且不允许兼中时，资格审查合格的投标人少于N+2名），则本项目招标失败。</w:t>
      </w:r>
    </w:p>
    <w:p w14:paraId="4A80BF21">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42.3 第一阶段评审</w:t>
      </w:r>
    </w:p>
    <w:p w14:paraId="36425CD5">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42.3.1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Pr>
          <w:rFonts w:hint="eastAsia" w:ascii="宋体" w:hAnsi="宋体" w:eastAsia="宋体" w:cs="宋体"/>
          <w:b/>
          <w:color w:val="auto"/>
          <w:sz w:val="24"/>
          <w:szCs w:val="24"/>
          <w:highlight w:val="none"/>
        </w:rPr>
        <w:t>评委发现投标文件中含义不明确、对同类问题表述不一致、有明显文字和计算错误的，应当要求投标人作必要的澄清、说明后再判定投标人是否通过有效性审查，不得直接否决投标。</w:t>
      </w:r>
    </w:p>
    <w:p w14:paraId="22C786D2">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42.3.2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详细审查评分：评标委员会按照本办法附表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详细审查评分表》对通过技术标有效性审查的投标文件进行详细审查，评出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得分。</w:t>
      </w:r>
    </w:p>
    <w:p w14:paraId="307AE801">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42.3.4评标委员会按照“第一阶段得分=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14:paraId="18636399">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42.3.5招标人应在《投标须知前附表》中明确选择使用施工企业总排名或相应的施工专业承包排名计分。</w:t>
      </w:r>
    </w:p>
    <w:p w14:paraId="2774846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42.4第二阶段评审</w:t>
      </w:r>
    </w:p>
    <w:p w14:paraId="2B65F262">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42.4.1按照投标须知前附表第25项规定，确定进入第二阶段评审的投标人。若在进入第二阶段的最后名次发生并列的，则所有并列的投标人均进入第二阶段。</w:t>
      </w:r>
    </w:p>
    <w:p w14:paraId="2F740DF8">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42.4.2投标文件经济标的评分</w:t>
      </w:r>
    </w:p>
    <w:p w14:paraId="3D206E5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42.4.2.1按方法    计算评标参考价：</w:t>
      </w:r>
    </w:p>
    <w:p w14:paraId="4290B3A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区间抽取法</w:t>
      </w:r>
    </w:p>
    <w:p w14:paraId="20A3B3F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17853DC8">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评标参考价=（Q高-Q低）/100*Ｘ+Q低</w:t>
      </w:r>
    </w:p>
    <w:p w14:paraId="2197E9E7">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Q低：为达到或超过技术标及格分数线的投标人最低报价与工程成本警示价两者中的较高值；</w:t>
      </w:r>
    </w:p>
    <w:p w14:paraId="2C8C7264">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Q高：为最高投标限价</w:t>
      </w:r>
    </w:p>
    <w:p w14:paraId="499B8FF9">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X:为等分点值，在开标前从[0,100]整数中随机抽取</w:t>
      </w:r>
    </w:p>
    <w:p w14:paraId="2B34D39D">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42.4.2.2当标价等于评标参考价时得100分，标价每高于评标参考价1%，扣1.5分，每低于评标参考价1%，扣1分，扣至0分为止，得出经济分，精确到小数点后两位。</w:t>
      </w:r>
    </w:p>
    <w:p w14:paraId="6C7F6BA4">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42.4.2.3评标委员会按投标须知前附表第32项的规定确定排序。</w:t>
      </w:r>
    </w:p>
    <w:p w14:paraId="695E1D2D">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42.4.3经济标的有效性审查：按照投标人第二阶段排序，依次对进入第二阶段评审的投标文件进行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25699452">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42.4.4经济标的算术校核。评标委员会对进行经济标有效性审查的投标文件投标报价按照就低不就高的原则进行算术校核，具体标准如下：</w:t>
      </w:r>
    </w:p>
    <w:p w14:paraId="1017DE0A">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42.4.4.1如果数字表示的金额和用文字表示的金额不一致时，应以文字表示的金额为准；</w:t>
      </w:r>
    </w:p>
    <w:p w14:paraId="2134A36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42.4.4.2经算术复核的投标人报价与其投标报价不一致时，按就低不就高原则确定其最终报价；</w:t>
      </w:r>
    </w:p>
    <w:p w14:paraId="5DA2FD0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42.4.4.3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2CE9F631">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42.4.4.4当合价、金额累加错误时，按就低不就高原则，如果累加修正值小于原累加值，则按累加修正值；如果累加修正值大于原累加值，则按原累加值；</w:t>
      </w:r>
    </w:p>
    <w:p w14:paraId="512EB679">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42.4.4.5如果投标人的有关规费、暂列金额、暂估价、绿色施工安全防护措施费等未按招标文件规定的金额填写的，由评标委员会按照招标文件规定的金额进行修正；</w:t>
      </w:r>
    </w:p>
    <w:p w14:paraId="58A8B4F2">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42.4.4.6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67970EB9">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42.4.4.7按就低不就高原则，当修正后报价小于原报价，总价按修正后报价；当修正后报价大于原报价，总价按原报价，并在签订合同时载明在结算价中扣除修正报价与原报价的差额。</w:t>
      </w:r>
    </w:p>
    <w:p w14:paraId="7F264406">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42.4.4.8按上述修正错误的原则及方法调整或修正投标文件的投标报价，调整后的投标报价对投标人起约束作用。如果投标人不接受修正后的报价，则取消其投标资格，并且其投标保证金也将不予退还。</w:t>
      </w:r>
    </w:p>
    <w:p w14:paraId="18A28DC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01F46A35">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42.6评标委员会应在通过投标文件经济标有效性审查的投标人中，按步骤42.4确定的投标人第二阶段排序，推荐前3名依次为第一中标候选人至第三中标候选人,并编制评标报告。</w:t>
      </w:r>
    </w:p>
    <w:p w14:paraId="1C62BC16">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42.7若通过经济标有效性审查的投标人不足三家，应当依法重新招标。（当N个标段同时招标且不允许兼中时，若有效投标人不足N+2家，应当依法重新招标）。</w:t>
      </w:r>
    </w:p>
    <w:p w14:paraId="6F4AC02A">
      <w:pPr>
        <w:spacing w:line="360" w:lineRule="auto"/>
        <w:ind w:firstLine="480" w:firstLineChars="200"/>
        <w:rPr>
          <w:rFonts w:hint="eastAsia" w:ascii="宋体" w:hAnsi="宋体" w:eastAsia="宋体" w:cs="宋体"/>
          <w:color w:val="auto"/>
          <w:sz w:val="24"/>
          <w:szCs w:val="24"/>
          <w:highlight w:val="none"/>
        </w:rPr>
      </w:pPr>
    </w:p>
    <w:p w14:paraId="408ED4D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4201C44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附件1:《评标委员会成员声明》</w:t>
      </w:r>
    </w:p>
    <w:p w14:paraId="33203C18">
      <w:pPr>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评标委员会成员声明</w:t>
      </w:r>
    </w:p>
    <w:p w14:paraId="0A568DD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本项目招标人  </w:t>
      </w:r>
      <w:r>
        <w:rPr>
          <w:rFonts w:hint="eastAsia" w:ascii="宋体" w:hAnsi="宋体" w:eastAsia="宋体" w:cs="宋体"/>
          <w:color w:val="auto"/>
          <w:sz w:val="24"/>
          <w:szCs w:val="24"/>
          <w:highlight w:val="none"/>
        </w:rPr>
        <w:t>：</w:t>
      </w:r>
    </w:p>
    <w:p w14:paraId="6872A7E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本人就参与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项目的评标工作，作出郑重声明：</w:t>
      </w:r>
    </w:p>
    <w:p w14:paraId="6750C0D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1678EAA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4453AA3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2A3958C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0ADF25E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06CA013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如果本人违反上述声明内容，造成的后果由本人自行承担。</w:t>
      </w:r>
    </w:p>
    <w:p w14:paraId="4A9B9947">
      <w:pPr>
        <w:spacing w:line="360" w:lineRule="auto"/>
        <w:ind w:firstLine="480" w:firstLineChars="200"/>
        <w:rPr>
          <w:rFonts w:hint="eastAsia" w:ascii="宋体" w:hAnsi="宋体" w:eastAsia="宋体" w:cs="宋体"/>
          <w:color w:val="auto"/>
          <w:sz w:val="24"/>
          <w:szCs w:val="24"/>
          <w:highlight w:val="none"/>
        </w:rPr>
      </w:pPr>
    </w:p>
    <w:p w14:paraId="0AE8BE1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声明人：</w:t>
      </w:r>
      <w:r>
        <w:rPr>
          <w:rFonts w:hint="eastAsia" w:ascii="宋体" w:hAnsi="宋体" w:eastAsia="宋体" w:cs="宋体"/>
          <w:color w:val="auto"/>
          <w:sz w:val="24"/>
          <w:szCs w:val="24"/>
          <w:highlight w:val="none"/>
          <w:u w:val="single"/>
        </w:rPr>
        <w:t xml:space="preserve">（签名）  </w:t>
      </w:r>
    </w:p>
    <w:p w14:paraId="1B92FD9E">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63370363">
      <w:pPr>
        <w:widowControl/>
        <w:snapToGrid w:val="0"/>
        <w:spacing w:line="360" w:lineRule="auto"/>
        <w:ind w:right="1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附表一：</w:t>
      </w:r>
    </w:p>
    <w:p w14:paraId="2893C98F">
      <w:pPr>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资格审查表</w:t>
      </w:r>
    </w:p>
    <w:p w14:paraId="4BAF39AF">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工程名称：</w:t>
      </w:r>
    </w:p>
    <w:p w14:paraId="44EA786F">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p>
    <w:tbl>
      <w:tblPr>
        <w:tblStyle w:val="34"/>
        <w:tblW w:w="898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3922"/>
        <w:gridCol w:w="3278"/>
        <w:gridCol w:w="1320"/>
      </w:tblGrid>
      <w:tr w14:paraId="3BB74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284A1D19">
            <w:pPr>
              <w:spacing w:before="120" w:after="6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3922" w:type="dxa"/>
            <w:tcBorders>
              <w:top w:val="single" w:color="auto" w:sz="4" w:space="0"/>
              <w:left w:val="single" w:color="auto" w:sz="4" w:space="0"/>
              <w:bottom w:val="single" w:color="auto" w:sz="4" w:space="0"/>
              <w:right w:val="single" w:color="auto" w:sz="4" w:space="0"/>
            </w:tcBorders>
            <w:vAlign w:val="center"/>
          </w:tcPr>
          <w:p w14:paraId="20ABB7E8">
            <w:pPr>
              <w:spacing w:before="120" w:after="6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审查项目</w:t>
            </w:r>
          </w:p>
        </w:tc>
        <w:tc>
          <w:tcPr>
            <w:tcW w:w="3278" w:type="dxa"/>
            <w:tcBorders>
              <w:top w:val="single" w:color="auto" w:sz="4" w:space="0"/>
              <w:left w:val="single" w:color="auto" w:sz="4" w:space="0"/>
              <w:bottom w:val="single" w:color="auto" w:sz="4" w:space="0"/>
              <w:right w:val="single" w:color="auto" w:sz="4" w:space="0"/>
            </w:tcBorders>
            <w:vAlign w:val="center"/>
          </w:tcPr>
          <w:p w14:paraId="639353CF">
            <w:pPr>
              <w:spacing w:before="120" w:after="6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须审查的资料</w:t>
            </w:r>
          </w:p>
        </w:tc>
        <w:tc>
          <w:tcPr>
            <w:tcW w:w="1320" w:type="dxa"/>
            <w:tcBorders>
              <w:top w:val="single" w:color="auto" w:sz="4" w:space="0"/>
              <w:left w:val="single" w:color="auto" w:sz="4" w:space="0"/>
              <w:bottom w:val="single" w:color="auto" w:sz="4" w:space="0"/>
              <w:right w:val="single" w:color="auto" w:sz="4" w:space="0"/>
            </w:tcBorders>
            <w:vAlign w:val="center"/>
          </w:tcPr>
          <w:p w14:paraId="2BE00D8C">
            <w:pPr>
              <w:spacing w:before="120" w:after="6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审查结果</w:t>
            </w:r>
          </w:p>
        </w:tc>
      </w:tr>
      <w:tr w14:paraId="5D316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6E501C94">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922" w:type="dxa"/>
            <w:tcBorders>
              <w:top w:val="single" w:color="auto" w:sz="4" w:space="0"/>
              <w:left w:val="single" w:color="auto" w:sz="4" w:space="0"/>
              <w:bottom w:val="single" w:color="auto" w:sz="4" w:space="0"/>
              <w:right w:val="single" w:color="auto" w:sz="4" w:space="0"/>
            </w:tcBorders>
            <w:vAlign w:val="center"/>
          </w:tcPr>
          <w:p w14:paraId="126C7F3E">
            <w:pPr>
              <w:spacing w:before="120" w:after="60"/>
              <w:jc w:val="center"/>
              <w:rPr>
                <w:rFonts w:hint="eastAsia" w:ascii="宋体" w:hAnsi="宋体" w:eastAsia="宋体" w:cs="宋体"/>
                <w:color w:val="auto"/>
                <w:szCs w:val="21"/>
                <w:highlight w:val="none"/>
              </w:rPr>
            </w:pPr>
            <w:r>
              <w:rPr>
                <w:rFonts w:hint="eastAsia" w:ascii="宋体" w:hAnsi="宋体"/>
                <w:color w:val="auto"/>
                <w:szCs w:val="21"/>
                <w:highlight w:val="none"/>
              </w:rPr>
              <w:t>投标人参加投标的意思表达清楚，投标人代表</w:t>
            </w:r>
            <w:r>
              <w:rPr>
                <w:rFonts w:hint="eastAsia" w:ascii="宋体" w:hAnsi="宋体"/>
                <w:color w:val="auto"/>
                <w:szCs w:val="21"/>
                <w:highlight w:val="none"/>
                <w:u w:val="single"/>
              </w:rPr>
              <w:t>（若为联合体，指联合体牵头方）</w:t>
            </w:r>
            <w:r>
              <w:rPr>
                <w:rFonts w:hint="eastAsia" w:ascii="宋体" w:hAnsi="宋体"/>
                <w:color w:val="auto"/>
                <w:szCs w:val="21"/>
                <w:highlight w:val="none"/>
              </w:rPr>
              <w:t>被授权有效</w:t>
            </w:r>
          </w:p>
        </w:tc>
        <w:tc>
          <w:tcPr>
            <w:tcW w:w="3278" w:type="dxa"/>
            <w:tcBorders>
              <w:top w:val="single" w:color="auto" w:sz="4" w:space="0"/>
              <w:left w:val="single" w:color="auto" w:sz="4" w:space="0"/>
              <w:bottom w:val="single" w:color="auto" w:sz="4" w:space="0"/>
              <w:right w:val="single" w:color="auto" w:sz="4" w:space="0"/>
            </w:tcBorders>
            <w:vAlign w:val="center"/>
          </w:tcPr>
          <w:p w14:paraId="5F461414">
            <w:pPr>
              <w:spacing w:before="120" w:after="60"/>
              <w:jc w:val="center"/>
              <w:rPr>
                <w:rFonts w:hint="eastAsia" w:ascii="宋体" w:hAnsi="宋体" w:eastAsia="宋体" w:cs="宋体"/>
                <w:color w:val="auto"/>
                <w:szCs w:val="21"/>
                <w:highlight w:val="none"/>
              </w:rPr>
            </w:pPr>
            <w:r>
              <w:rPr>
                <w:rFonts w:hint="eastAsia" w:ascii="宋体" w:hAnsi="宋体"/>
                <w:color w:val="auto"/>
                <w:szCs w:val="21"/>
                <w:highlight w:val="none"/>
              </w:rPr>
              <w:t>投标人声明、法定代表人证明书；委托投标的还应提供法人授权委托证明书</w:t>
            </w:r>
          </w:p>
        </w:tc>
        <w:tc>
          <w:tcPr>
            <w:tcW w:w="1320" w:type="dxa"/>
            <w:tcBorders>
              <w:top w:val="single" w:color="auto" w:sz="4" w:space="0"/>
              <w:left w:val="single" w:color="auto" w:sz="4" w:space="0"/>
              <w:bottom w:val="single" w:color="auto" w:sz="4" w:space="0"/>
              <w:right w:val="single" w:color="auto" w:sz="4" w:space="0"/>
            </w:tcBorders>
            <w:vAlign w:val="center"/>
          </w:tcPr>
          <w:p w14:paraId="369E5742">
            <w:pPr>
              <w:spacing w:before="120" w:after="60"/>
              <w:jc w:val="center"/>
              <w:rPr>
                <w:rFonts w:hint="eastAsia" w:ascii="宋体" w:hAnsi="宋体" w:eastAsia="宋体" w:cs="宋体"/>
                <w:color w:val="auto"/>
                <w:szCs w:val="21"/>
                <w:highlight w:val="none"/>
              </w:rPr>
            </w:pPr>
          </w:p>
        </w:tc>
      </w:tr>
      <w:tr w14:paraId="0032C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7D37B787">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922" w:type="dxa"/>
            <w:tcBorders>
              <w:top w:val="single" w:color="auto" w:sz="4" w:space="0"/>
              <w:left w:val="single" w:color="auto" w:sz="4" w:space="0"/>
              <w:bottom w:val="single" w:color="auto" w:sz="4" w:space="0"/>
              <w:right w:val="single" w:color="auto" w:sz="4" w:space="0"/>
            </w:tcBorders>
            <w:vAlign w:val="center"/>
          </w:tcPr>
          <w:p w14:paraId="186554BA">
            <w:pPr>
              <w:spacing w:before="120" w:after="60"/>
              <w:jc w:val="center"/>
              <w:rPr>
                <w:rFonts w:hint="eastAsia" w:ascii="宋体" w:hAnsi="宋体" w:eastAsia="宋体" w:cs="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均</w:t>
            </w:r>
            <w:r>
              <w:rPr>
                <w:rFonts w:hint="eastAsia" w:ascii="宋体" w:hAnsi="宋体"/>
                <w:color w:val="auto"/>
                <w:szCs w:val="21"/>
                <w:highlight w:val="none"/>
              </w:rPr>
              <w:t>具有独立法人资格，按国家法律经营</w:t>
            </w:r>
          </w:p>
        </w:tc>
        <w:tc>
          <w:tcPr>
            <w:tcW w:w="3278" w:type="dxa"/>
            <w:tcBorders>
              <w:top w:val="single" w:color="auto" w:sz="4" w:space="0"/>
              <w:left w:val="single" w:color="auto" w:sz="4" w:space="0"/>
              <w:bottom w:val="single" w:color="auto" w:sz="4" w:space="0"/>
              <w:right w:val="single" w:color="auto" w:sz="4" w:space="0"/>
            </w:tcBorders>
            <w:vAlign w:val="center"/>
          </w:tcPr>
          <w:p w14:paraId="2EF17C56">
            <w:pPr>
              <w:spacing w:before="120" w:after="60"/>
              <w:jc w:val="center"/>
              <w:rPr>
                <w:rFonts w:hint="eastAsia" w:ascii="宋体" w:hAnsi="宋体" w:eastAsia="宋体" w:cs="宋体"/>
                <w:color w:val="auto"/>
                <w:szCs w:val="21"/>
                <w:highlight w:val="none"/>
              </w:rPr>
            </w:pPr>
            <w:r>
              <w:rPr>
                <w:rFonts w:hint="eastAsia"/>
                <w:color w:val="auto"/>
                <w:highlight w:val="none"/>
              </w:rPr>
              <w:t>营业执照扫描件或电子证照</w:t>
            </w:r>
          </w:p>
        </w:tc>
        <w:tc>
          <w:tcPr>
            <w:tcW w:w="1320" w:type="dxa"/>
            <w:tcBorders>
              <w:top w:val="single" w:color="auto" w:sz="4" w:space="0"/>
              <w:left w:val="single" w:color="auto" w:sz="4" w:space="0"/>
              <w:bottom w:val="single" w:color="auto" w:sz="4" w:space="0"/>
              <w:right w:val="single" w:color="auto" w:sz="4" w:space="0"/>
            </w:tcBorders>
            <w:vAlign w:val="center"/>
          </w:tcPr>
          <w:p w14:paraId="7B143558">
            <w:pPr>
              <w:spacing w:before="120" w:after="60"/>
              <w:jc w:val="center"/>
              <w:rPr>
                <w:rFonts w:hint="eastAsia" w:ascii="宋体" w:hAnsi="宋体" w:eastAsia="宋体" w:cs="宋体"/>
                <w:color w:val="auto"/>
                <w:szCs w:val="21"/>
                <w:highlight w:val="none"/>
              </w:rPr>
            </w:pPr>
          </w:p>
        </w:tc>
      </w:tr>
      <w:tr w14:paraId="3FB47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7943BC56">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922" w:type="dxa"/>
            <w:tcBorders>
              <w:top w:val="single" w:color="auto" w:sz="4" w:space="0"/>
              <w:left w:val="single" w:color="auto" w:sz="4" w:space="0"/>
              <w:bottom w:val="single" w:color="auto" w:sz="4" w:space="0"/>
              <w:right w:val="single" w:color="auto" w:sz="4" w:space="0"/>
            </w:tcBorders>
            <w:vAlign w:val="center"/>
          </w:tcPr>
          <w:p w14:paraId="23AEA1E9">
            <w:pPr>
              <w:spacing w:before="120" w:after="60"/>
              <w:jc w:val="center"/>
              <w:rPr>
                <w:rFonts w:hint="eastAsia" w:ascii="宋体" w:hAnsi="宋体" w:eastAsia="宋体" w:cs="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均</w:t>
            </w:r>
            <w:r>
              <w:rPr>
                <w:rFonts w:hint="eastAsia" w:ascii="宋体" w:hAnsi="宋体"/>
                <w:color w:val="auto"/>
                <w:szCs w:val="21"/>
                <w:highlight w:val="none"/>
              </w:rPr>
              <w:t>持有建设行政主管部门颁发的有效期内的企业资质证书及安全生产许可证；投标人资质符合公告要求</w:t>
            </w:r>
          </w:p>
        </w:tc>
        <w:tc>
          <w:tcPr>
            <w:tcW w:w="3278" w:type="dxa"/>
            <w:tcBorders>
              <w:top w:val="single" w:color="auto" w:sz="4" w:space="0"/>
              <w:left w:val="single" w:color="auto" w:sz="4" w:space="0"/>
              <w:bottom w:val="single" w:color="auto" w:sz="4" w:space="0"/>
              <w:right w:val="single" w:color="auto" w:sz="4" w:space="0"/>
            </w:tcBorders>
            <w:vAlign w:val="center"/>
          </w:tcPr>
          <w:p w14:paraId="5C0D630D">
            <w:pPr>
              <w:spacing w:before="120" w:after="60"/>
              <w:jc w:val="center"/>
              <w:rPr>
                <w:rFonts w:hint="eastAsia" w:ascii="宋体" w:hAnsi="宋体" w:eastAsia="宋体" w:cs="宋体"/>
                <w:color w:val="auto"/>
                <w:szCs w:val="21"/>
                <w:highlight w:val="none"/>
              </w:rPr>
            </w:pPr>
            <w:r>
              <w:rPr>
                <w:rFonts w:hint="eastAsia"/>
                <w:color w:val="auto"/>
                <w:highlight w:val="none"/>
              </w:rPr>
              <w:t>资质证书扫描件或电子证照、安全生产许可证扫描件或电子证照</w:t>
            </w:r>
          </w:p>
        </w:tc>
        <w:tc>
          <w:tcPr>
            <w:tcW w:w="1320" w:type="dxa"/>
            <w:tcBorders>
              <w:top w:val="single" w:color="auto" w:sz="4" w:space="0"/>
              <w:left w:val="single" w:color="auto" w:sz="4" w:space="0"/>
              <w:bottom w:val="single" w:color="auto" w:sz="4" w:space="0"/>
              <w:right w:val="single" w:color="auto" w:sz="4" w:space="0"/>
            </w:tcBorders>
            <w:vAlign w:val="center"/>
          </w:tcPr>
          <w:p w14:paraId="236E941A">
            <w:pPr>
              <w:spacing w:before="120" w:after="60"/>
              <w:jc w:val="center"/>
              <w:rPr>
                <w:rFonts w:hint="eastAsia" w:ascii="宋体" w:hAnsi="宋体" w:eastAsia="宋体" w:cs="宋体"/>
                <w:color w:val="auto"/>
                <w:szCs w:val="21"/>
                <w:highlight w:val="none"/>
              </w:rPr>
            </w:pPr>
          </w:p>
        </w:tc>
      </w:tr>
      <w:tr w14:paraId="7A0C7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1327165F">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3922" w:type="dxa"/>
            <w:tcBorders>
              <w:top w:val="single" w:color="auto" w:sz="4" w:space="0"/>
              <w:left w:val="single" w:color="auto" w:sz="4" w:space="0"/>
              <w:bottom w:val="single" w:color="auto" w:sz="4" w:space="0"/>
              <w:right w:val="single" w:color="auto" w:sz="4" w:space="0"/>
            </w:tcBorders>
            <w:vAlign w:val="center"/>
          </w:tcPr>
          <w:p w14:paraId="5DE8FDA0">
            <w:pPr>
              <w:spacing w:before="120" w:after="60"/>
              <w:jc w:val="center"/>
              <w:rPr>
                <w:rFonts w:hint="eastAsia" w:ascii="宋体" w:hAnsi="宋体" w:eastAsia="宋体" w:cs="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（若为联合体，指联合体牵头方）</w:t>
            </w:r>
            <w:r>
              <w:rPr>
                <w:rFonts w:hint="eastAsia" w:ascii="宋体" w:hAnsi="宋体"/>
                <w:color w:val="auto"/>
                <w:szCs w:val="21"/>
                <w:highlight w:val="none"/>
              </w:rPr>
              <w:t>拟担任本工程项目负责人符合公告要求</w:t>
            </w:r>
          </w:p>
        </w:tc>
        <w:tc>
          <w:tcPr>
            <w:tcW w:w="3278" w:type="dxa"/>
            <w:tcBorders>
              <w:top w:val="single" w:color="auto" w:sz="4" w:space="0"/>
              <w:left w:val="single" w:color="auto" w:sz="4" w:space="0"/>
              <w:bottom w:val="single" w:color="auto" w:sz="4" w:space="0"/>
              <w:right w:val="single" w:color="auto" w:sz="4" w:space="0"/>
            </w:tcBorders>
            <w:vAlign w:val="center"/>
          </w:tcPr>
          <w:p w14:paraId="1B1CC0CC">
            <w:pPr>
              <w:spacing w:before="120" w:after="60"/>
              <w:jc w:val="center"/>
              <w:rPr>
                <w:rFonts w:hint="eastAsia" w:ascii="宋体" w:hAnsi="宋体" w:eastAsia="宋体" w:cs="宋体"/>
                <w:color w:val="auto"/>
                <w:szCs w:val="21"/>
                <w:highlight w:val="none"/>
              </w:rPr>
            </w:pPr>
            <w:r>
              <w:rPr>
                <w:rFonts w:hint="eastAsia"/>
                <w:color w:val="auto"/>
                <w:highlight w:val="none"/>
              </w:rPr>
              <w:t>有效期内的建造师注册证书扫描件或电子证书（注：打印建造师电子证书后，在个人签名处手写本人签名再扫描提交。）</w:t>
            </w:r>
          </w:p>
        </w:tc>
        <w:tc>
          <w:tcPr>
            <w:tcW w:w="1320" w:type="dxa"/>
            <w:tcBorders>
              <w:top w:val="single" w:color="auto" w:sz="4" w:space="0"/>
              <w:left w:val="single" w:color="auto" w:sz="4" w:space="0"/>
              <w:bottom w:val="single" w:color="auto" w:sz="4" w:space="0"/>
              <w:right w:val="single" w:color="auto" w:sz="4" w:space="0"/>
            </w:tcBorders>
            <w:vAlign w:val="center"/>
          </w:tcPr>
          <w:p w14:paraId="0D087FB1">
            <w:pPr>
              <w:spacing w:before="120" w:after="60"/>
              <w:jc w:val="center"/>
              <w:rPr>
                <w:rFonts w:hint="eastAsia" w:ascii="宋体" w:hAnsi="宋体" w:eastAsia="宋体" w:cs="宋体"/>
                <w:color w:val="auto"/>
                <w:szCs w:val="21"/>
                <w:highlight w:val="none"/>
              </w:rPr>
            </w:pPr>
          </w:p>
        </w:tc>
      </w:tr>
      <w:tr w14:paraId="7D256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323BE661">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3922" w:type="dxa"/>
            <w:tcBorders>
              <w:top w:val="single" w:color="auto" w:sz="4" w:space="0"/>
              <w:left w:val="single" w:color="auto" w:sz="4" w:space="0"/>
              <w:bottom w:val="single" w:color="auto" w:sz="4" w:space="0"/>
              <w:right w:val="single" w:color="auto" w:sz="4" w:space="0"/>
            </w:tcBorders>
            <w:vAlign w:val="center"/>
          </w:tcPr>
          <w:p w14:paraId="0D4E047C">
            <w:pPr>
              <w:spacing w:before="120" w:after="60"/>
              <w:jc w:val="center"/>
              <w:rPr>
                <w:rFonts w:hint="eastAsia" w:ascii="宋体" w:hAnsi="宋体" w:eastAsia="宋体" w:cs="宋体"/>
                <w:color w:val="auto"/>
                <w:szCs w:val="21"/>
                <w:highlight w:val="none"/>
              </w:rPr>
            </w:pPr>
            <w:r>
              <w:rPr>
                <w:rFonts w:hint="eastAsia" w:ascii="宋体" w:hAnsi="宋体"/>
                <w:color w:val="auto"/>
                <w:szCs w:val="21"/>
                <w:highlight w:val="none"/>
              </w:rPr>
              <w:t>持有项目负责人</w:t>
            </w:r>
            <w:r>
              <w:rPr>
                <w:rFonts w:hint="eastAsia" w:ascii="宋体" w:hAnsi="宋体" w:eastAsia="宋体"/>
                <w:color w:val="auto"/>
                <w:sz w:val="21"/>
                <w:szCs w:val="21"/>
                <w:highlight w:val="none"/>
                <w:u w:val="single"/>
              </w:rPr>
              <w:t>（若为联合体，指联合体牵头方）</w:t>
            </w:r>
            <w:r>
              <w:rPr>
                <w:rFonts w:hint="eastAsia" w:ascii="宋体" w:hAnsi="宋体"/>
                <w:color w:val="auto"/>
                <w:szCs w:val="21"/>
                <w:highlight w:val="none"/>
              </w:rPr>
              <w:t>安全生产考核合格证（B类）或建筑施工企业项目负责人安全生产考核合格证</w:t>
            </w:r>
          </w:p>
        </w:tc>
        <w:tc>
          <w:tcPr>
            <w:tcW w:w="3278" w:type="dxa"/>
            <w:tcBorders>
              <w:top w:val="single" w:color="auto" w:sz="4" w:space="0"/>
              <w:left w:val="single" w:color="auto" w:sz="4" w:space="0"/>
              <w:bottom w:val="single" w:color="auto" w:sz="4" w:space="0"/>
              <w:right w:val="single" w:color="auto" w:sz="4" w:space="0"/>
            </w:tcBorders>
            <w:vAlign w:val="center"/>
          </w:tcPr>
          <w:p w14:paraId="7F38CD2F">
            <w:pPr>
              <w:spacing w:before="120" w:after="60"/>
              <w:jc w:val="center"/>
              <w:rPr>
                <w:rFonts w:hint="eastAsia" w:ascii="宋体" w:hAnsi="宋体" w:eastAsia="宋体" w:cs="宋体"/>
                <w:color w:val="auto"/>
                <w:szCs w:val="21"/>
                <w:highlight w:val="none"/>
              </w:rPr>
            </w:pPr>
            <w:r>
              <w:rPr>
                <w:rFonts w:hint="eastAsia" w:ascii="宋体" w:hAnsi="宋体"/>
                <w:color w:val="auto"/>
                <w:szCs w:val="21"/>
                <w:highlight w:val="none"/>
              </w:rPr>
              <w:t>项目负责人安全生产考核合格证（B类）或建筑施工企业项目负责人安全生产考核合格证扫描件或电子证书</w:t>
            </w:r>
          </w:p>
        </w:tc>
        <w:tc>
          <w:tcPr>
            <w:tcW w:w="1320" w:type="dxa"/>
            <w:tcBorders>
              <w:top w:val="single" w:color="auto" w:sz="4" w:space="0"/>
              <w:left w:val="single" w:color="auto" w:sz="4" w:space="0"/>
              <w:bottom w:val="single" w:color="auto" w:sz="4" w:space="0"/>
              <w:right w:val="single" w:color="auto" w:sz="4" w:space="0"/>
            </w:tcBorders>
            <w:vAlign w:val="center"/>
          </w:tcPr>
          <w:p w14:paraId="6B841527">
            <w:pPr>
              <w:spacing w:before="120" w:after="60"/>
              <w:jc w:val="center"/>
              <w:rPr>
                <w:rFonts w:hint="eastAsia" w:ascii="宋体" w:hAnsi="宋体" w:eastAsia="宋体" w:cs="宋体"/>
                <w:color w:val="auto"/>
                <w:szCs w:val="21"/>
                <w:highlight w:val="none"/>
              </w:rPr>
            </w:pPr>
          </w:p>
        </w:tc>
      </w:tr>
      <w:tr w14:paraId="6EDAF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755EDF33">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3922" w:type="dxa"/>
            <w:tcBorders>
              <w:top w:val="single" w:color="auto" w:sz="4" w:space="0"/>
              <w:left w:val="single" w:color="auto" w:sz="4" w:space="0"/>
              <w:bottom w:val="single" w:color="auto" w:sz="4" w:space="0"/>
              <w:right w:val="single" w:color="auto" w:sz="4" w:space="0"/>
            </w:tcBorders>
            <w:vAlign w:val="center"/>
          </w:tcPr>
          <w:p w14:paraId="7B09F146">
            <w:pPr>
              <w:spacing w:before="120" w:after="60"/>
              <w:jc w:val="center"/>
              <w:rPr>
                <w:rFonts w:hint="eastAsia" w:ascii="宋体" w:hAnsi="宋体" w:eastAsia="宋体" w:cs="宋体"/>
                <w:color w:val="auto"/>
                <w:szCs w:val="21"/>
                <w:highlight w:val="none"/>
              </w:rPr>
            </w:pPr>
            <w:r>
              <w:rPr>
                <w:rFonts w:hint="eastAsia" w:ascii="宋体" w:hAnsi="宋体"/>
                <w:color w:val="auto"/>
                <w:szCs w:val="21"/>
                <w:highlight w:val="none"/>
              </w:rPr>
              <w:t>投标人拟担任本工程技术负责人</w:t>
            </w:r>
            <w:r>
              <w:rPr>
                <w:rFonts w:hint="eastAsia" w:ascii="宋体" w:hAnsi="宋体"/>
                <w:color w:val="auto"/>
                <w:szCs w:val="21"/>
                <w:highlight w:val="none"/>
                <w:u w:val="single"/>
              </w:rPr>
              <w:t>（若为联合体，指联合体牵头方）</w:t>
            </w:r>
            <w:r>
              <w:rPr>
                <w:rFonts w:hint="eastAsia" w:ascii="宋体" w:hAnsi="宋体"/>
                <w:color w:val="auto"/>
                <w:szCs w:val="21"/>
                <w:highlight w:val="none"/>
              </w:rPr>
              <w:t>符合公告要求</w:t>
            </w:r>
          </w:p>
        </w:tc>
        <w:tc>
          <w:tcPr>
            <w:tcW w:w="3278" w:type="dxa"/>
            <w:tcBorders>
              <w:top w:val="single" w:color="auto" w:sz="4" w:space="0"/>
              <w:left w:val="single" w:color="auto" w:sz="4" w:space="0"/>
              <w:bottom w:val="single" w:color="auto" w:sz="4" w:space="0"/>
              <w:right w:val="single" w:color="auto" w:sz="4" w:space="0"/>
            </w:tcBorders>
            <w:vAlign w:val="center"/>
          </w:tcPr>
          <w:p w14:paraId="0423C4C7">
            <w:pPr>
              <w:spacing w:before="120" w:after="60"/>
              <w:jc w:val="center"/>
              <w:rPr>
                <w:rFonts w:hint="eastAsia" w:ascii="宋体" w:hAnsi="宋体" w:eastAsia="宋体" w:cs="宋体"/>
                <w:color w:val="auto"/>
                <w:szCs w:val="21"/>
                <w:highlight w:val="none"/>
              </w:rPr>
            </w:pPr>
            <w:r>
              <w:rPr>
                <w:rFonts w:hint="eastAsia" w:ascii="宋体" w:hAnsi="宋体"/>
                <w:color w:val="auto"/>
                <w:szCs w:val="21"/>
                <w:highlight w:val="none"/>
              </w:rPr>
              <w:t>拟委托技术负责人的相关证书、资料（具体要求</w:t>
            </w:r>
            <w:r>
              <w:rPr>
                <w:rFonts w:hint="eastAsia" w:ascii="宋体" w:hAnsi="宋体"/>
                <w:color w:val="auto"/>
                <w:szCs w:val="21"/>
                <w:highlight w:val="none"/>
                <w:u w:val="single"/>
              </w:rPr>
              <w:t>详见招标公告</w:t>
            </w:r>
            <w:r>
              <w:rPr>
                <w:rFonts w:hint="eastAsia" w:ascii="宋体" w:hAnsi="宋体"/>
                <w:color w:val="auto"/>
                <w:szCs w:val="21"/>
                <w:highlight w:val="none"/>
              </w:rPr>
              <w:t>）</w:t>
            </w:r>
          </w:p>
        </w:tc>
        <w:tc>
          <w:tcPr>
            <w:tcW w:w="1320" w:type="dxa"/>
            <w:tcBorders>
              <w:top w:val="single" w:color="auto" w:sz="4" w:space="0"/>
              <w:left w:val="single" w:color="auto" w:sz="4" w:space="0"/>
              <w:bottom w:val="single" w:color="auto" w:sz="4" w:space="0"/>
              <w:right w:val="single" w:color="auto" w:sz="4" w:space="0"/>
            </w:tcBorders>
            <w:vAlign w:val="center"/>
          </w:tcPr>
          <w:p w14:paraId="33519A4E">
            <w:pPr>
              <w:spacing w:before="120" w:after="60"/>
              <w:jc w:val="center"/>
              <w:rPr>
                <w:rFonts w:hint="eastAsia" w:ascii="宋体" w:hAnsi="宋体" w:eastAsia="宋体" w:cs="宋体"/>
                <w:color w:val="auto"/>
                <w:szCs w:val="21"/>
                <w:highlight w:val="none"/>
              </w:rPr>
            </w:pPr>
          </w:p>
        </w:tc>
      </w:tr>
      <w:tr w14:paraId="31E1A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0A27BB54">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3922" w:type="dxa"/>
            <w:tcBorders>
              <w:top w:val="single" w:color="auto" w:sz="4" w:space="0"/>
              <w:left w:val="single" w:color="auto" w:sz="4" w:space="0"/>
              <w:bottom w:val="single" w:color="auto" w:sz="4" w:space="0"/>
              <w:right w:val="single" w:color="auto" w:sz="4" w:space="0"/>
            </w:tcBorders>
            <w:vAlign w:val="center"/>
          </w:tcPr>
          <w:p w14:paraId="0979170A">
            <w:pPr>
              <w:spacing w:before="120" w:after="60"/>
              <w:jc w:val="center"/>
              <w:rPr>
                <w:rFonts w:hint="eastAsia" w:ascii="宋体" w:hAnsi="宋体" w:eastAsia="宋体" w:cs="宋体"/>
                <w:color w:val="auto"/>
                <w:szCs w:val="21"/>
                <w:highlight w:val="none"/>
              </w:rPr>
            </w:pPr>
            <w:r>
              <w:rPr>
                <w:rFonts w:hint="eastAsia" w:ascii="宋体" w:hAnsi="宋体"/>
                <w:color w:val="auto"/>
                <w:szCs w:val="21"/>
                <w:highlight w:val="none"/>
              </w:rPr>
              <w:t>专职安全员</w:t>
            </w:r>
            <w:r>
              <w:rPr>
                <w:rFonts w:hint="eastAsia" w:ascii="宋体" w:hAnsi="宋体"/>
                <w:color w:val="auto"/>
                <w:szCs w:val="21"/>
                <w:highlight w:val="none"/>
                <w:u w:val="single"/>
              </w:rPr>
              <w:t>（若为联合体，指联合体牵头方）</w:t>
            </w:r>
            <w:r>
              <w:rPr>
                <w:rFonts w:hint="eastAsia" w:ascii="宋体" w:hAnsi="宋体"/>
                <w:color w:val="auto"/>
                <w:szCs w:val="21"/>
                <w:highlight w:val="none"/>
              </w:rPr>
              <w:t>须具有安全生产考核合格证（C类）或建筑施工企业专职安全生产管理人员安全生产考核合格证（C3）</w:t>
            </w:r>
          </w:p>
        </w:tc>
        <w:tc>
          <w:tcPr>
            <w:tcW w:w="3278" w:type="dxa"/>
            <w:tcBorders>
              <w:top w:val="single" w:color="auto" w:sz="4" w:space="0"/>
              <w:left w:val="single" w:color="auto" w:sz="4" w:space="0"/>
              <w:bottom w:val="single" w:color="auto" w:sz="4" w:space="0"/>
              <w:right w:val="single" w:color="auto" w:sz="4" w:space="0"/>
            </w:tcBorders>
            <w:vAlign w:val="center"/>
          </w:tcPr>
          <w:p w14:paraId="2C6DC19D">
            <w:pPr>
              <w:spacing w:before="120" w:after="60"/>
              <w:jc w:val="center"/>
              <w:rPr>
                <w:rFonts w:hint="eastAsia" w:ascii="宋体" w:hAnsi="宋体" w:eastAsia="宋体" w:cs="宋体"/>
                <w:color w:val="auto"/>
                <w:szCs w:val="21"/>
                <w:highlight w:val="none"/>
              </w:rPr>
            </w:pPr>
            <w:r>
              <w:rPr>
                <w:rFonts w:hint="eastAsia" w:ascii="宋体" w:hAnsi="宋体"/>
                <w:color w:val="auto"/>
                <w:szCs w:val="21"/>
                <w:highlight w:val="none"/>
              </w:rPr>
              <w:t>专职安全员的安全生产考核合格证（C类</w:t>
            </w:r>
            <w:r>
              <w:rPr>
                <w:rFonts w:ascii="宋体" w:hAnsi="宋体"/>
                <w:color w:val="auto"/>
                <w:szCs w:val="21"/>
                <w:highlight w:val="none"/>
              </w:rPr>
              <w:t>）</w:t>
            </w:r>
            <w:r>
              <w:rPr>
                <w:rFonts w:hint="eastAsia" w:ascii="宋体" w:hAnsi="宋体"/>
                <w:color w:val="auto"/>
                <w:szCs w:val="21"/>
                <w:highlight w:val="none"/>
              </w:rPr>
              <w:t>或建筑施工企业专职安全生产管理人员安全生产考核合格证（C3）扫描件或电子证书</w:t>
            </w:r>
          </w:p>
        </w:tc>
        <w:tc>
          <w:tcPr>
            <w:tcW w:w="1320" w:type="dxa"/>
            <w:tcBorders>
              <w:top w:val="single" w:color="auto" w:sz="4" w:space="0"/>
              <w:left w:val="single" w:color="auto" w:sz="4" w:space="0"/>
              <w:bottom w:val="single" w:color="auto" w:sz="4" w:space="0"/>
              <w:right w:val="single" w:color="auto" w:sz="4" w:space="0"/>
            </w:tcBorders>
            <w:vAlign w:val="center"/>
          </w:tcPr>
          <w:p w14:paraId="638CFDA4">
            <w:pPr>
              <w:spacing w:before="120" w:after="60"/>
              <w:jc w:val="center"/>
              <w:rPr>
                <w:rFonts w:hint="eastAsia" w:ascii="宋体" w:hAnsi="宋体" w:eastAsia="宋体" w:cs="宋体"/>
                <w:color w:val="auto"/>
                <w:szCs w:val="21"/>
                <w:highlight w:val="none"/>
              </w:rPr>
            </w:pPr>
          </w:p>
        </w:tc>
      </w:tr>
      <w:tr w14:paraId="752F2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2437B9CB">
            <w:pPr>
              <w:spacing w:before="120" w:after="60"/>
              <w:jc w:val="cente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8</w:t>
            </w:r>
          </w:p>
        </w:tc>
        <w:tc>
          <w:tcPr>
            <w:tcW w:w="3922" w:type="dxa"/>
            <w:tcBorders>
              <w:top w:val="single" w:color="auto" w:sz="4" w:space="0"/>
              <w:left w:val="single" w:color="auto" w:sz="4" w:space="0"/>
              <w:bottom w:val="single" w:color="auto" w:sz="4" w:space="0"/>
              <w:right w:val="single" w:color="auto" w:sz="4" w:space="0"/>
            </w:tcBorders>
            <w:vAlign w:val="center"/>
          </w:tcPr>
          <w:p w14:paraId="7F2130BA">
            <w:pPr>
              <w:spacing w:before="120" w:after="60"/>
              <w:jc w:val="cente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投标人完成过的类似工程业绩符合公告要求</w:t>
            </w:r>
          </w:p>
        </w:tc>
        <w:tc>
          <w:tcPr>
            <w:tcW w:w="3278" w:type="dxa"/>
            <w:tcBorders>
              <w:top w:val="single" w:color="auto" w:sz="4" w:space="0"/>
              <w:left w:val="single" w:color="auto" w:sz="4" w:space="0"/>
              <w:bottom w:val="single" w:color="auto" w:sz="4" w:space="0"/>
              <w:right w:val="single" w:color="auto" w:sz="4" w:space="0"/>
            </w:tcBorders>
            <w:vAlign w:val="center"/>
          </w:tcPr>
          <w:p w14:paraId="1694CE43">
            <w:pPr>
              <w:spacing w:before="120" w:after="60"/>
              <w:jc w:val="cente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业绩在广州市住建行业信用管理平台内的相关扫描件（选择性条款）</w:t>
            </w:r>
          </w:p>
        </w:tc>
        <w:tc>
          <w:tcPr>
            <w:tcW w:w="1320" w:type="dxa"/>
            <w:tcBorders>
              <w:top w:val="single" w:color="auto" w:sz="4" w:space="0"/>
              <w:left w:val="single" w:color="auto" w:sz="4" w:space="0"/>
              <w:bottom w:val="single" w:color="auto" w:sz="4" w:space="0"/>
              <w:right w:val="single" w:color="auto" w:sz="4" w:space="0"/>
            </w:tcBorders>
            <w:vAlign w:val="center"/>
          </w:tcPr>
          <w:p w14:paraId="18E63088">
            <w:pPr>
              <w:spacing w:before="120" w:after="60"/>
              <w:jc w:val="center"/>
              <w:rPr>
                <w:rFonts w:hint="eastAsia" w:ascii="宋体" w:hAnsi="宋体" w:eastAsia="宋体" w:cs="宋体"/>
                <w:color w:val="auto"/>
                <w:szCs w:val="21"/>
                <w:highlight w:val="none"/>
              </w:rPr>
            </w:pPr>
          </w:p>
        </w:tc>
      </w:tr>
      <w:tr w14:paraId="5222F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646E0E53">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3922" w:type="dxa"/>
            <w:tcBorders>
              <w:top w:val="single" w:color="auto" w:sz="4" w:space="0"/>
              <w:left w:val="single" w:color="auto" w:sz="4" w:space="0"/>
              <w:bottom w:val="single" w:color="auto" w:sz="4" w:space="0"/>
              <w:right w:val="single" w:color="auto" w:sz="4" w:space="0"/>
            </w:tcBorders>
            <w:vAlign w:val="center"/>
          </w:tcPr>
          <w:p w14:paraId="637ED5EA">
            <w:pPr>
              <w:spacing w:before="120" w:after="60"/>
              <w:jc w:val="center"/>
              <w:rPr>
                <w:rFonts w:hint="eastAsia" w:ascii="宋体" w:hAnsi="宋体" w:eastAsia="宋体" w:cs="宋体"/>
                <w:color w:val="auto"/>
                <w:szCs w:val="21"/>
                <w:highlight w:val="none"/>
              </w:rPr>
            </w:pPr>
            <w:r>
              <w:rPr>
                <w:rFonts w:hint="eastAsia" w:ascii="宋体" w:hAnsi="宋体"/>
                <w:color w:val="auto"/>
                <w:szCs w:val="21"/>
                <w:highlight w:val="none"/>
              </w:rPr>
              <w:t>投标人提供的投标人声明符合公告要求</w:t>
            </w:r>
            <w:r>
              <w:rPr>
                <w:rFonts w:hint="eastAsia" w:ascii="宋体" w:hAnsi="宋体"/>
                <w:color w:val="auto"/>
                <w:szCs w:val="21"/>
                <w:highlight w:val="none"/>
                <w:u w:val="single"/>
              </w:rPr>
              <w:t>（若为联合体，指联合体各方）</w:t>
            </w:r>
          </w:p>
        </w:tc>
        <w:tc>
          <w:tcPr>
            <w:tcW w:w="3278" w:type="dxa"/>
            <w:tcBorders>
              <w:top w:val="single" w:color="auto" w:sz="4" w:space="0"/>
              <w:left w:val="single" w:color="auto" w:sz="4" w:space="0"/>
              <w:bottom w:val="single" w:color="auto" w:sz="4" w:space="0"/>
              <w:right w:val="single" w:color="auto" w:sz="4" w:space="0"/>
            </w:tcBorders>
            <w:vAlign w:val="center"/>
          </w:tcPr>
          <w:p w14:paraId="64CE78E4">
            <w:pPr>
              <w:spacing w:before="120" w:after="60"/>
              <w:jc w:val="center"/>
              <w:rPr>
                <w:rFonts w:hint="eastAsia" w:ascii="宋体" w:hAnsi="宋体" w:eastAsia="宋体" w:cs="宋体"/>
                <w:color w:val="auto"/>
                <w:szCs w:val="21"/>
                <w:highlight w:val="none"/>
              </w:rPr>
            </w:pPr>
            <w:r>
              <w:rPr>
                <w:rFonts w:hint="eastAsia" w:ascii="宋体" w:hAnsi="宋体"/>
                <w:color w:val="auto"/>
                <w:szCs w:val="21"/>
                <w:highlight w:val="none"/>
              </w:rPr>
              <w:t>投标人声明</w:t>
            </w:r>
          </w:p>
        </w:tc>
        <w:tc>
          <w:tcPr>
            <w:tcW w:w="1320" w:type="dxa"/>
            <w:tcBorders>
              <w:top w:val="single" w:color="auto" w:sz="4" w:space="0"/>
              <w:left w:val="single" w:color="auto" w:sz="4" w:space="0"/>
              <w:bottom w:val="single" w:color="auto" w:sz="4" w:space="0"/>
              <w:right w:val="single" w:color="auto" w:sz="4" w:space="0"/>
            </w:tcBorders>
            <w:vAlign w:val="center"/>
          </w:tcPr>
          <w:p w14:paraId="432B3ED7">
            <w:pPr>
              <w:spacing w:before="120" w:after="60"/>
              <w:jc w:val="center"/>
              <w:rPr>
                <w:rFonts w:hint="eastAsia" w:ascii="宋体" w:hAnsi="宋体" w:eastAsia="宋体" w:cs="宋体"/>
                <w:color w:val="auto"/>
                <w:szCs w:val="21"/>
                <w:highlight w:val="none"/>
              </w:rPr>
            </w:pPr>
          </w:p>
        </w:tc>
      </w:tr>
      <w:tr w14:paraId="6372E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51F76A00">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3922" w:type="dxa"/>
            <w:tcBorders>
              <w:top w:val="single" w:color="auto" w:sz="4" w:space="0"/>
              <w:left w:val="single" w:color="auto" w:sz="4" w:space="0"/>
              <w:bottom w:val="single" w:color="auto" w:sz="4" w:space="0"/>
              <w:right w:val="single" w:color="auto" w:sz="4" w:space="0"/>
            </w:tcBorders>
            <w:vAlign w:val="center"/>
          </w:tcPr>
          <w:p w14:paraId="1DA265F8">
            <w:pPr>
              <w:spacing w:before="120" w:after="60"/>
              <w:jc w:val="center"/>
              <w:rPr>
                <w:rFonts w:hint="eastAsia" w:ascii="宋体" w:hAnsi="宋体" w:eastAsia="宋体" w:cs="宋体"/>
                <w:color w:val="auto"/>
                <w:szCs w:val="21"/>
                <w:highlight w:val="none"/>
              </w:rPr>
            </w:pPr>
            <w:r>
              <w:rPr>
                <w:rFonts w:hint="eastAsia" w:ascii="宋体" w:hAnsi="宋体"/>
                <w:color w:val="auto"/>
                <w:szCs w:val="21"/>
                <w:highlight w:val="none"/>
              </w:rPr>
              <w:t>投标人声明中签字的项目负责人和技术负责人与本项目拟派的项目负责人和技术负责人一致</w:t>
            </w:r>
            <w:r>
              <w:rPr>
                <w:rFonts w:hint="eastAsia" w:ascii="宋体" w:hAnsi="宋体"/>
                <w:color w:val="auto"/>
                <w:szCs w:val="21"/>
                <w:highlight w:val="none"/>
                <w:u w:val="single"/>
              </w:rPr>
              <w:t>（若为联合体，指联合体牵头方）</w:t>
            </w:r>
          </w:p>
        </w:tc>
        <w:tc>
          <w:tcPr>
            <w:tcW w:w="3278" w:type="dxa"/>
            <w:tcBorders>
              <w:top w:val="single" w:color="auto" w:sz="4" w:space="0"/>
              <w:left w:val="single" w:color="auto" w:sz="4" w:space="0"/>
              <w:bottom w:val="single" w:color="auto" w:sz="4" w:space="0"/>
              <w:right w:val="single" w:color="auto" w:sz="4" w:space="0"/>
            </w:tcBorders>
            <w:vAlign w:val="center"/>
          </w:tcPr>
          <w:p w14:paraId="3C1005EF">
            <w:pPr>
              <w:spacing w:before="120" w:after="60"/>
              <w:jc w:val="center"/>
              <w:rPr>
                <w:rFonts w:hint="eastAsia" w:ascii="宋体" w:hAnsi="宋体" w:eastAsia="宋体" w:cs="宋体"/>
                <w:color w:val="auto"/>
                <w:szCs w:val="21"/>
                <w:highlight w:val="none"/>
              </w:rPr>
            </w:pPr>
            <w:r>
              <w:rPr>
                <w:rFonts w:hint="eastAsia" w:ascii="宋体" w:hAnsi="宋体"/>
                <w:color w:val="auto"/>
                <w:szCs w:val="21"/>
                <w:highlight w:val="none"/>
              </w:rPr>
              <w:t>网上投标时选择拟投标的项目负责人、资格审查文件中拟委派的技术负责人及投标人声明</w:t>
            </w:r>
          </w:p>
        </w:tc>
        <w:tc>
          <w:tcPr>
            <w:tcW w:w="1320" w:type="dxa"/>
            <w:tcBorders>
              <w:top w:val="single" w:color="auto" w:sz="4" w:space="0"/>
              <w:left w:val="single" w:color="auto" w:sz="4" w:space="0"/>
              <w:bottom w:val="single" w:color="auto" w:sz="4" w:space="0"/>
              <w:right w:val="single" w:color="auto" w:sz="4" w:space="0"/>
            </w:tcBorders>
            <w:vAlign w:val="center"/>
          </w:tcPr>
          <w:p w14:paraId="430E4904">
            <w:pPr>
              <w:spacing w:before="120" w:after="60"/>
              <w:jc w:val="center"/>
              <w:rPr>
                <w:rFonts w:hint="eastAsia" w:ascii="宋体" w:hAnsi="宋体" w:eastAsia="宋体" w:cs="宋体"/>
                <w:color w:val="auto"/>
                <w:szCs w:val="21"/>
                <w:highlight w:val="none"/>
              </w:rPr>
            </w:pPr>
          </w:p>
        </w:tc>
      </w:tr>
      <w:tr w14:paraId="35336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10EC3DEA">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3922" w:type="dxa"/>
            <w:tcBorders>
              <w:top w:val="single" w:color="auto" w:sz="4" w:space="0"/>
              <w:left w:val="single" w:color="auto" w:sz="4" w:space="0"/>
              <w:bottom w:val="single" w:color="auto" w:sz="4" w:space="0"/>
              <w:right w:val="single" w:color="auto" w:sz="4" w:space="0"/>
            </w:tcBorders>
            <w:vAlign w:val="center"/>
          </w:tcPr>
          <w:p w14:paraId="2D413AC4">
            <w:pPr>
              <w:spacing w:before="120" w:after="60"/>
              <w:jc w:val="center"/>
              <w:rPr>
                <w:rFonts w:hint="eastAsia" w:ascii="宋体" w:hAnsi="宋体" w:eastAsia="宋体" w:cs="宋体"/>
                <w:color w:val="auto"/>
                <w:highlight w:val="none"/>
                <w:u w:val="single"/>
                <w:lang w:eastAsia="zh-CN"/>
              </w:rPr>
            </w:pPr>
            <w:r>
              <w:rPr>
                <w:rFonts w:hint="eastAsia"/>
                <w:color w:val="auto"/>
                <w:highlight w:val="none"/>
                <w:u w:val="single"/>
              </w:rPr>
              <w:t>关于联合体</w:t>
            </w:r>
            <w:r>
              <w:rPr>
                <w:rFonts w:hint="eastAsia"/>
                <w:color w:val="auto"/>
                <w:highlight w:val="none"/>
                <w:u w:val="single"/>
                <w:lang w:eastAsia="zh-CN"/>
              </w:rPr>
              <w:t>：本项目接受联合体投标</w:t>
            </w:r>
          </w:p>
        </w:tc>
        <w:tc>
          <w:tcPr>
            <w:tcW w:w="3278" w:type="dxa"/>
            <w:tcBorders>
              <w:top w:val="single" w:color="auto" w:sz="4" w:space="0"/>
              <w:left w:val="single" w:color="auto" w:sz="4" w:space="0"/>
              <w:bottom w:val="single" w:color="auto" w:sz="4" w:space="0"/>
              <w:right w:val="single" w:color="auto" w:sz="4" w:space="0"/>
            </w:tcBorders>
            <w:vAlign w:val="center"/>
          </w:tcPr>
          <w:p w14:paraId="389236C2">
            <w:pPr>
              <w:spacing w:before="120" w:after="60"/>
              <w:jc w:val="center"/>
              <w:rPr>
                <w:rFonts w:hint="eastAsia" w:ascii="宋体" w:hAnsi="宋体" w:eastAsia="宋体" w:cs="宋体"/>
                <w:color w:val="auto"/>
                <w:highlight w:val="none"/>
                <w:u w:val="single"/>
              </w:rPr>
            </w:pPr>
            <w:r>
              <w:rPr>
                <w:rFonts w:hint="eastAsia"/>
                <w:color w:val="auto"/>
                <w:highlight w:val="none"/>
                <w:u w:val="single"/>
              </w:rPr>
              <w:t>联合体共同投标协议书</w:t>
            </w:r>
          </w:p>
        </w:tc>
        <w:tc>
          <w:tcPr>
            <w:tcW w:w="1320" w:type="dxa"/>
            <w:tcBorders>
              <w:top w:val="single" w:color="auto" w:sz="4" w:space="0"/>
              <w:left w:val="single" w:color="auto" w:sz="4" w:space="0"/>
              <w:bottom w:val="single" w:color="auto" w:sz="4" w:space="0"/>
              <w:right w:val="single" w:color="auto" w:sz="4" w:space="0"/>
            </w:tcBorders>
            <w:vAlign w:val="center"/>
          </w:tcPr>
          <w:p w14:paraId="16AFC893">
            <w:pPr>
              <w:spacing w:before="120" w:after="60"/>
              <w:jc w:val="center"/>
              <w:rPr>
                <w:rFonts w:hint="eastAsia" w:ascii="宋体" w:hAnsi="宋体" w:eastAsia="宋体" w:cs="宋体"/>
                <w:color w:val="auto"/>
                <w:szCs w:val="21"/>
                <w:highlight w:val="none"/>
              </w:rPr>
            </w:pPr>
          </w:p>
        </w:tc>
      </w:tr>
      <w:tr w14:paraId="102E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73BF7830">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3922" w:type="dxa"/>
            <w:tcBorders>
              <w:top w:val="single" w:color="auto" w:sz="4" w:space="0"/>
              <w:left w:val="single" w:color="auto" w:sz="4" w:space="0"/>
              <w:bottom w:val="single" w:color="auto" w:sz="4" w:space="0"/>
              <w:right w:val="single" w:color="auto" w:sz="4" w:space="0"/>
            </w:tcBorders>
            <w:vAlign w:val="center"/>
          </w:tcPr>
          <w:p w14:paraId="236E0793">
            <w:pPr>
              <w:spacing w:before="120" w:after="60"/>
              <w:jc w:val="center"/>
              <w:rPr>
                <w:rFonts w:hint="eastAsia" w:ascii="宋体" w:hAnsi="宋体" w:eastAsia="宋体" w:cs="宋体"/>
                <w:color w:val="auto"/>
                <w:szCs w:val="21"/>
                <w:highlight w:val="none"/>
              </w:rPr>
            </w:pPr>
            <w:r>
              <w:rPr>
                <w:rFonts w:hint="eastAsia" w:ascii="宋体" w:hAnsi="宋体"/>
                <w:color w:val="auto"/>
                <w:szCs w:val="21"/>
                <w:highlight w:val="none"/>
              </w:rPr>
              <w:t>资格审查前，投标人须在广州市住房和城乡建设局建立企业信用档案及拟担任本工程项目负责人、专职安全员须是本企业中的在册人员</w:t>
            </w:r>
            <w:r>
              <w:rPr>
                <w:rFonts w:hint="eastAsia" w:ascii="宋体" w:hAnsi="宋体"/>
                <w:color w:val="auto"/>
                <w:szCs w:val="21"/>
                <w:highlight w:val="none"/>
                <w:u w:val="single"/>
              </w:rPr>
              <w:t>（若为联合体，指联合体各方</w:t>
            </w: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zh-CN"/>
              </w:rPr>
              <w:t>信用档案和人员在册情况以联合体共同投标协议书分工为准</w:t>
            </w:r>
            <w:r>
              <w:rPr>
                <w:rFonts w:hint="eastAsia" w:ascii="宋体" w:hAnsi="宋体"/>
                <w:color w:val="auto"/>
                <w:szCs w:val="21"/>
                <w:highlight w:val="none"/>
                <w:u w:val="single"/>
              </w:rPr>
              <w:t>）</w:t>
            </w:r>
          </w:p>
        </w:tc>
        <w:tc>
          <w:tcPr>
            <w:tcW w:w="3278" w:type="dxa"/>
            <w:tcBorders>
              <w:top w:val="single" w:color="auto" w:sz="4" w:space="0"/>
              <w:left w:val="single" w:color="auto" w:sz="4" w:space="0"/>
              <w:bottom w:val="single" w:color="auto" w:sz="4" w:space="0"/>
              <w:right w:val="single" w:color="auto" w:sz="4" w:space="0"/>
            </w:tcBorders>
            <w:vAlign w:val="center"/>
          </w:tcPr>
          <w:p w14:paraId="65162697">
            <w:pPr>
              <w:spacing w:before="120" w:after="60"/>
              <w:jc w:val="center"/>
              <w:rPr>
                <w:rFonts w:hint="eastAsia" w:ascii="宋体" w:hAnsi="宋体" w:eastAsia="宋体" w:cs="宋体"/>
                <w:color w:val="auto"/>
                <w:szCs w:val="21"/>
                <w:highlight w:val="none"/>
              </w:rPr>
            </w:pPr>
            <w:r>
              <w:rPr>
                <w:rFonts w:hint="eastAsia" w:ascii="宋体" w:hAnsi="宋体"/>
                <w:color w:val="auto"/>
                <w:szCs w:val="21"/>
                <w:highlight w:val="none"/>
              </w:rPr>
              <w:t>投标人在广州市住建行业信用管理平台内企业信用档案的企业和人员信息</w:t>
            </w:r>
          </w:p>
        </w:tc>
        <w:tc>
          <w:tcPr>
            <w:tcW w:w="1320" w:type="dxa"/>
            <w:tcBorders>
              <w:top w:val="single" w:color="auto" w:sz="4" w:space="0"/>
              <w:left w:val="single" w:color="auto" w:sz="4" w:space="0"/>
              <w:bottom w:val="single" w:color="auto" w:sz="4" w:space="0"/>
              <w:right w:val="single" w:color="auto" w:sz="4" w:space="0"/>
            </w:tcBorders>
            <w:vAlign w:val="center"/>
          </w:tcPr>
          <w:p w14:paraId="37DB665F">
            <w:pPr>
              <w:spacing w:before="120" w:after="60"/>
              <w:jc w:val="center"/>
              <w:rPr>
                <w:rFonts w:hint="eastAsia" w:ascii="宋体" w:hAnsi="宋体" w:eastAsia="宋体" w:cs="宋体"/>
                <w:color w:val="auto"/>
                <w:szCs w:val="21"/>
                <w:highlight w:val="none"/>
              </w:rPr>
            </w:pPr>
          </w:p>
        </w:tc>
      </w:tr>
      <w:tr w14:paraId="6FFB3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41DC15D0">
            <w:pPr>
              <w:spacing w:before="120" w:after="60"/>
              <w:jc w:val="cente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13</w:t>
            </w:r>
          </w:p>
        </w:tc>
        <w:tc>
          <w:tcPr>
            <w:tcW w:w="3922" w:type="dxa"/>
            <w:tcBorders>
              <w:top w:val="single" w:color="auto" w:sz="4" w:space="0"/>
              <w:left w:val="single" w:color="auto" w:sz="4" w:space="0"/>
              <w:bottom w:val="single" w:color="auto" w:sz="4" w:space="0"/>
              <w:right w:val="single" w:color="auto" w:sz="4" w:space="0"/>
            </w:tcBorders>
            <w:vAlign w:val="center"/>
          </w:tcPr>
          <w:p w14:paraId="3F9132F0">
            <w:pPr>
              <w:spacing w:before="120" w:after="60"/>
              <w:jc w:val="center"/>
              <w:rPr>
                <w:rFonts w:hint="eastAsia" w:ascii="宋体" w:hAnsi="宋体" w:eastAsia="宋体" w:cs="宋体"/>
                <w:strike/>
                <w:color w:val="auto"/>
                <w:szCs w:val="21"/>
                <w:highlight w:val="none"/>
              </w:rPr>
            </w:pPr>
            <w:r>
              <w:rPr>
                <w:rFonts w:hint="eastAsia" w:ascii="宋体" w:hAnsi="宋体" w:eastAsia="宋体" w:cs="宋体"/>
                <w:strike/>
                <w:color w:val="auto"/>
                <w:highlight w:val="none"/>
              </w:rPr>
              <w:t>未在以往工程中因不充分履约行为被本项目招标人书面拒绝投标的（如有）</w:t>
            </w:r>
          </w:p>
        </w:tc>
        <w:tc>
          <w:tcPr>
            <w:tcW w:w="3278" w:type="dxa"/>
            <w:tcBorders>
              <w:top w:val="single" w:color="auto" w:sz="4" w:space="0"/>
              <w:left w:val="single" w:color="auto" w:sz="4" w:space="0"/>
              <w:bottom w:val="single" w:color="auto" w:sz="4" w:space="0"/>
              <w:right w:val="single" w:color="auto" w:sz="4" w:space="0"/>
            </w:tcBorders>
            <w:vAlign w:val="center"/>
          </w:tcPr>
          <w:p w14:paraId="66789414">
            <w:pPr>
              <w:spacing w:before="120" w:after="60"/>
              <w:jc w:val="cente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u w:val="single"/>
              </w:rPr>
              <w:t>详见招标公告附件二名单</w:t>
            </w:r>
          </w:p>
        </w:tc>
        <w:tc>
          <w:tcPr>
            <w:tcW w:w="1320" w:type="dxa"/>
            <w:tcBorders>
              <w:top w:val="single" w:color="auto" w:sz="4" w:space="0"/>
              <w:left w:val="single" w:color="auto" w:sz="4" w:space="0"/>
              <w:bottom w:val="single" w:color="auto" w:sz="4" w:space="0"/>
              <w:right w:val="single" w:color="auto" w:sz="4" w:space="0"/>
            </w:tcBorders>
            <w:vAlign w:val="center"/>
          </w:tcPr>
          <w:p w14:paraId="62F77F6E">
            <w:pPr>
              <w:spacing w:before="120" w:after="60"/>
              <w:jc w:val="center"/>
              <w:rPr>
                <w:rFonts w:hint="eastAsia" w:ascii="宋体" w:hAnsi="宋体" w:eastAsia="宋体" w:cs="宋体"/>
                <w:color w:val="auto"/>
                <w:szCs w:val="21"/>
                <w:highlight w:val="none"/>
              </w:rPr>
            </w:pPr>
          </w:p>
        </w:tc>
      </w:tr>
      <w:tr w14:paraId="01817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6EF8F266">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3922" w:type="dxa"/>
            <w:tcBorders>
              <w:top w:val="single" w:color="auto" w:sz="4" w:space="0"/>
              <w:left w:val="single" w:color="auto" w:sz="4" w:space="0"/>
              <w:bottom w:val="single" w:color="auto" w:sz="4" w:space="0"/>
              <w:right w:val="single" w:color="auto" w:sz="4" w:space="0"/>
            </w:tcBorders>
            <w:vAlign w:val="center"/>
          </w:tcPr>
          <w:p w14:paraId="0A64A288">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（若为联合体，指联合体各方）</w:t>
            </w:r>
            <w:r>
              <w:rPr>
                <w:rFonts w:hint="eastAsia" w:ascii="宋体" w:hAnsi="宋体" w:eastAsia="宋体" w:cs="宋体"/>
                <w:color w:val="auto"/>
                <w:szCs w:val="21"/>
                <w:highlight w:val="none"/>
              </w:rPr>
              <w:t>未出现以下情形：与其它投标人的单位负责人为同一人或者存在控股、管理关系的（按投标人提供的《投标人声明》第</w:t>
            </w:r>
            <w:r>
              <w:rPr>
                <w:rFonts w:hint="eastAsia" w:ascii="宋体" w:hAnsi="宋体" w:eastAsia="宋体" w:cs="宋体"/>
                <w:b/>
                <w:bCs/>
                <w:color w:val="auto"/>
                <w:szCs w:val="21"/>
                <w:highlight w:val="none"/>
                <w:lang w:val="en-US" w:eastAsia="zh-CN"/>
              </w:rPr>
              <w:t>九</w:t>
            </w:r>
            <w:r>
              <w:rPr>
                <w:rFonts w:hint="eastAsia" w:ascii="宋体" w:hAnsi="宋体" w:eastAsia="宋体" w:cs="宋体"/>
                <w:color w:val="auto"/>
                <w:szCs w:val="21"/>
                <w:highlight w:val="none"/>
              </w:rPr>
              <w:t>条内容进行评审）。</w:t>
            </w:r>
          </w:p>
        </w:tc>
        <w:tc>
          <w:tcPr>
            <w:tcW w:w="3278" w:type="dxa"/>
            <w:tcBorders>
              <w:top w:val="single" w:color="auto" w:sz="4" w:space="0"/>
              <w:left w:val="single" w:color="auto" w:sz="4" w:space="0"/>
              <w:bottom w:val="single" w:color="auto" w:sz="4" w:space="0"/>
              <w:right w:val="single" w:color="auto" w:sz="4" w:space="0"/>
            </w:tcBorders>
            <w:vAlign w:val="center"/>
          </w:tcPr>
          <w:p w14:paraId="50022987">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投标人声明</w:t>
            </w:r>
          </w:p>
        </w:tc>
        <w:tc>
          <w:tcPr>
            <w:tcW w:w="1320" w:type="dxa"/>
            <w:tcBorders>
              <w:top w:val="single" w:color="auto" w:sz="4" w:space="0"/>
              <w:left w:val="single" w:color="auto" w:sz="4" w:space="0"/>
              <w:bottom w:val="single" w:color="auto" w:sz="4" w:space="0"/>
              <w:right w:val="single" w:color="auto" w:sz="4" w:space="0"/>
            </w:tcBorders>
            <w:vAlign w:val="center"/>
          </w:tcPr>
          <w:p w14:paraId="3DFBF688">
            <w:pPr>
              <w:spacing w:before="120" w:after="60"/>
              <w:jc w:val="center"/>
              <w:rPr>
                <w:rFonts w:hint="eastAsia" w:ascii="宋体" w:hAnsi="宋体" w:eastAsia="宋体" w:cs="宋体"/>
                <w:color w:val="auto"/>
                <w:szCs w:val="21"/>
                <w:highlight w:val="none"/>
              </w:rPr>
            </w:pPr>
          </w:p>
        </w:tc>
      </w:tr>
      <w:tr w14:paraId="3A903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797CFA13">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3922" w:type="dxa"/>
            <w:tcBorders>
              <w:top w:val="single" w:color="auto" w:sz="4" w:space="0"/>
              <w:left w:val="single" w:color="auto" w:sz="4" w:space="0"/>
              <w:bottom w:val="single" w:color="auto" w:sz="4" w:space="0"/>
              <w:right w:val="single" w:color="auto" w:sz="4" w:space="0"/>
            </w:tcBorders>
            <w:vAlign w:val="center"/>
          </w:tcPr>
          <w:p w14:paraId="6A836B6A">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未被列入拖欠农民工工资失信联合惩戒对象名单</w:t>
            </w:r>
            <w:r>
              <w:rPr>
                <w:rFonts w:hint="eastAsia" w:ascii="宋体" w:hAnsi="宋体" w:eastAsia="宋体" w:cs="宋体"/>
                <w:b/>
                <w:bCs/>
                <w:color w:val="auto"/>
                <w:szCs w:val="21"/>
                <w:highlight w:val="none"/>
              </w:rPr>
              <w:t>和失信被执行人</w:t>
            </w:r>
            <w:r>
              <w:rPr>
                <w:rFonts w:hint="eastAsia" w:ascii="宋体" w:hAnsi="宋体" w:eastAsia="宋体" w:cs="宋体"/>
                <w:color w:val="auto"/>
                <w:szCs w:val="21"/>
                <w:highlight w:val="none"/>
                <w:u w:val="single"/>
              </w:rPr>
              <w:t>（若为联合体，指联合体各方）</w:t>
            </w:r>
          </w:p>
        </w:tc>
        <w:tc>
          <w:tcPr>
            <w:tcW w:w="3278" w:type="dxa"/>
            <w:tcBorders>
              <w:top w:val="single" w:color="auto" w:sz="4" w:space="0"/>
              <w:left w:val="single" w:color="auto" w:sz="4" w:space="0"/>
              <w:bottom w:val="single" w:color="auto" w:sz="4" w:space="0"/>
              <w:right w:val="single" w:color="auto" w:sz="4" w:space="0"/>
            </w:tcBorders>
            <w:vAlign w:val="center"/>
          </w:tcPr>
          <w:p w14:paraId="42BF79D0">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投标人无需提供资料，按</w:t>
            </w:r>
            <w:r>
              <w:rPr>
                <w:rFonts w:hint="eastAsia" w:ascii="宋体" w:hAnsi="宋体" w:eastAsia="宋体" w:cs="宋体"/>
                <w:b/>
                <w:bCs/>
                <w:color w:val="auto"/>
                <w:szCs w:val="21"/>
                <w:highlight w:val="none"/>
              </w:rPr>
              <w:t>投标截止时间</w:t>
            </w:r>
            <w:r>
              <w:rPr>
                <w:rFonts w:hint="eastAsia" w:ascii="宋体" w:hAnsi="宋体" w:eastAsia="宋体" w:cs="宋体"/>
                <w:color w:val="auto"/>
                <w:szCs w:val="21"/>
                <w:highlight w:val="none"/>
              </w:rPr>
              <w:t>交易系统比对的结果进行评审</w:t>
            </w:r>
          </w:p>
        </w:tc>
        <w:tc>
          <w:tcPr>
            <w:tcW w:w="1320" w:type="dxa"/>
            <w:tcBorders>
              <w:top w:val="single" w:color="auto" w:sz="4" w:space="0"/>
              <w:left w:val="single" w:color="auto" w:sz="4" w:space="0"/>
              <w:bottom w:val="single" w:color="auto" w:sz="4" w:space="0"/>
              <w:right w:val="single" w:color="auto" w:sz="4" w:space="0"/>
            </w:tcBorders>
            <w:vAlign w:val="center"/>
          </w:tcPr>
          <w:p w14:paraId="51BA6639">
            <w:pPr>
              <w:spacing w:before="120" w:after="60"/>
              <w:jc w:val="center"/>
              <w:rPr>
                <w:rFonts w:hint="eastAsia" w:ascii="宋体" w:hAnsi="宋体" w:eastAsia="宋体" w:cs="宋体"/>
                <w:color w:val="auto"/>
                <w:szCs w:val="21"/>
                <w:highlight w:val="none"/>
              </w:rPr>
            </w:pPr>
          </w:p>
        </w:tc>
      </w:tr>
    </w:tbl>
    <w:p w14:paraId="757E2DC4">
      <w:pPr>
        <w:spacing w:line="360" w:lineRule="auto"/>
        <w:ind w:firstLine="470"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23A21EAF">
      <w:pPr>
        <w:spacing w:line="360" w:lineRule="auto"/>
        <w:ind w:firstLine="470"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1、每一项目符合的计“通过”，不符合的计“不通过”； </w:t>
      </w:r>
    </w:p>
    <w:p w14:paraId="4E243A42">
      <w:pPr>
        <w:spacing w:line="360" w:lineRule="auto"/>
        <w:ind w:firstLine="470"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2、若评委意见不一致时，则按少数服从多数的原则，作出评审结论。汇总后，全部审查项目均为有效的，结论为“通过”，否则为“不通过”。</w:t>
      </w:r>
    </w:p>
    <w:p w14:paraId="1F74DDAA">
      <w:pPr>
        <w:spacing w:line="360" w:lineRule="auto"/>
        <w:ind w:firstLine="470" w:firstLineChars="224"/>
        <w:rPr>
          <w:rFonts w:hint="eastAsia" w:ascii="宋体" w:hAnsi="宋体" w:eastAsia="宋体" w:cs="宋体"/>
          <w:color w:val="auto"/>
          <w:szCs w:val="21"/>
          <w:highlight w:val="none"/>
        </w:rPr>
        <w:sectPr>
          <w:footerReference r:id="rId3" w:type="default"/>
          <w:footerReference r:id="rId4" w:type="even"/>
          <w:endnotePr>
            <w:numFmt w:val="decimal"/>
          </w:endnotePr>
          <w:pgSz w:w="11906" w:h="16838"/>
          <w:pgMar w:top="1560" w:right="1418" w:bottom="1247" w:left="1418" w:header="851" w:footer="907" w:gutter="0"/>
          <w:pgNumType w:start="0"/>
          <w:cols w:space="720" w:num="1"/>
          <w:titlePg/>
          <w:docGrid w:type="linesAndChars" w:linePitch="312" w:charSpace="0"/>
        </w:sectPr>
      </w:pPr>
      <w:r>
        <w:rPr>
          <w:rFonts w:hint="eastAsia" w:ascii="宋体" w:hAnsi="宋体" w:eastAsia="宋体" w:cs="宋体"/>
          <w:color w:val="auto"/>
          <w:szCs w:val="21"/>
          <w:highlight w:val="none"/>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088858C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附表二</w:t>
      </w:r>
    </w:p>
    <w:p w14:paraId="4DE61057">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技术标有效性审查表</w:t>
      </w:r>
    </w:p>
    <w:p w14:paraId="76CA718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工程名称：</w:t>
      </w:r>
    </w:p>
    <w:tbl>
      <w:tblPr>
        <w:tblStyle w:val="34"/>
        <w:tblW w:w="1444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8941"/>
        <w:gridCol w:w="993"/>
        <w:gridCol w:w="769"/>
        <w:gridCol w:w="806"/>
        <w:gridCol w:w="788"/>
        <w:gridCol w:w="731"/>
        <w:gridCol w:w="899"/>
      </w:tblGrid>
      <w:tr w14:paraId="103F1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14:paraId="75CE5E69">
            <w:pPr>
              <w:adjustRightIn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8941" w:type="dxa"/>
            <w:tcBorders>
              <w:top w:val="single" w:color="auto" w:sz="4" w:space="0"/>
              <w:left w:val="single" w:color="auto" w:sz="4" w:space="0"/>
              <w:bottom w:val="single" w:color="auto" w:sz="4" w:space="0"/>
              <w:right w:val="single" w:color="auto" w:sz="4" w:space="0"/>
              <w:tl2br w:val="single" w:color="auto" w:sz="4" w:space="0"/>
            </w:tcBorders>
          </w:tcPr>
          <w:p w14:paraId="31D89A7B">
            <w:pPr>
              <w:adjustRightIn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投标人</w:t>
            </w:r>
          </w:p>
          <w:p w14:paraId="3633124E">
            <w:pPr>
              <w:adjustRightIn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评审内容</w:t>
            </w:r>
          </w:p>
        </w:tc>
        <w:tc>
          <w:tcPr>
            <w:tcW w:w="993" w:type="dxa"/>
            <w:tcBorders>
              <w:top w:val="single" w:color="auto" w:sz="4" w:space="0"/>
              <w:left w:val="single" w:color="auto" w:sz="4" w:space="0"/>
              <w:bottom w:val="single" w:color="auto" w:sz="4" w:space="0"/>
              <w:right w:val="single" w:color="auto" w:sz="4" w:space="0"/>
            </w:tcBorders>
          </w:tcPr>
          <w:p w14:paraId="3650AA88">
            <w:pPr>
              <w:adjustRightInd w:val="0"/>
              <w:rPr>
                <w:rFonts w:hint="eastAsia" w:ascii="宋体" w:hAnsi="宋体" w:eastAsia="宋体" w:cs="宋体"/>
                <w:color w:val="auto"/>
                <w:szCs w:val="21"/>
                <w:highlight w:val="none"/>
              </w:rPr>
            </w:pPr>
          </w:p>
        </w:tc>
        <w:tc>
          <w:tcPr>
            <w:tcW w:w="769" w:type="dxa"/>
            <w:tcBorders>
              <w:top w:val="single" w:color="auto" w:sz="4" w:space="0"/>
              <w:left w:val="single" w:color="auto" w:sz="4" w:space="0"/>
              <w:bottom w:val="single" w:color="auto" w:sz="4" w:space="0"/>
              <w:right w:val="single" w:color="auto" w:sz="4" w:space="0"/>
            </w:tcBorders>
          </w:tcPr>
          <w:p w14:paraId="7190F5C4">
            <w:pPr>
              <w:adjustRightInd w:val="0"/>
              <w:rPr>
                <w:rFonts w:hint="eastAsia" w:ascii="宋体" w:hAnsi="宋体" w:eastAsia="宋体" w:cs="宋体"/>
                <w:color w:val="auto"/>
                <w:szCs w:val="21"/>
                <w:highlight w:val="none"/>
              </w:rPr>
            </w:pPr>
          </w:p>
        </w:tc>
        <w:tc>
          <w:tcPr>
            <w:tcW w:w="806" w:type="dxa"/>
            <w:tcBorders>
              <w:top w:val="single" w:color="auto" w:sz="4" w:space="0"/>
              <w:left w:val="single" w:color="auto" w:sz="4" w:space="0"/>
              <w:bottom w:val="single" w:color="auto" w:sz="4" w:space="0"/>
              <w:right w:val="single" w:color="auto" w:sz="4" w:space="0"/>
            </w:tcBorders>
          </w:tcPr>
          <w:p w14:paraId="4A9593F1">
            <w:pPr>
              <w:adjustRightInd w:val="0"/>
              <w:rPr>
                <w:rFonts w:hint="eastAsia" w:ascii="宋体" w:hAnsi="宋体" w:eastAsia="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tcPr>
          <w:p w14:paraId="35A38CEA">
            <w:pPr>
              <w:adjustRightInd w:val="0"/>
              <w:rPr>
                <w:rFonts w:hint="eastAsia" w:ascii="宋体" w:hAnsi="宋体" w:eastAsia="宋体" w:cs="宋体"/>
                <w:color w:val="auto"/>
                <w:szCs w:val="21"/>
                <w:highlight w:val="none"/>
              </w:rPr>
            </w:pPr>
          </w:p>
        </w:tc>
        <w:tc>
          <w:tcPr>
            <w:tcW w:w="731" w:type="dxa"/>
            <w:tcBorders>
              <w:top w:val="single" w:color="auto" w:sz="4" w:space="0"/>
              <w:left w:val="single" w:color="auto" w:sz="4" w:space="0"/>
              <w:bottom w:val="single" w:color="auto" w:sz="4" w:space="0"/>
              <w:right w:val="single" w:color="auto" w:sz="4" w:space="0"/>
            </w:tcBorders>
          </w:tcPr>
          <w:p w14:paraId="31AB6A12">
            <w:pPr>
              <w:adjustRightInd w:val="0"/>
              <w:rPr>
                <w:rFonts w:hint="eastAsia" w:ascii="宋体" w:hAnsi="宋体" w:eastAsia="宋体" w:cs="宋体"/>
                <w:color w:val="auto"/>
                <w:szCs w:val="21"/>
                <w:highlight w:val="none"/>
              </w:rPr>
            </w:pPr>
          </w:p>
        </w:tc>
        <w:tc>
          <w:tcPr>
            <w:tcW w:w="899" w:type="dxa"/>
            <w:tcBorders>
              <w:top w:val="single" w:color="auto" w:sz="4" w:space="0"/>
              <w:left w:val="single" w:color="auto" w:sz="4" w:space="0"/>
              <w:bottom w:val="single" w:color="auto" w:sz="4" w:space="0"/>
              <w:right w:val="single" w:color="auto" w:sz="4" w:space="0"/>
            </w:tcBorders>
          </w:tcPr>
          <w:p w14:paraId="11894D3E">
            <w:pPr>
              <w:adjustRightInd w:val="0"/>
              <w:rPr>
                <w:rFonts w:hint="eastAsia" w:ascii="宋体" w:hAnsi="宋体" w:eastAsia="宋体" w:cs="宋体"/>
                <w:color w:val="auto"/>
                <w:szCs w:val="21"/>
                <w:highlight w:val="none"/>
              </w:rPr>
            </w:pPr>
          </w:p>
        </w:tc>
      </w:tr>
      <w:tr w14:paraId="12C35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14:paraId="4D1ED097">
            <w:pPr>
              <w:adjustRightIn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8941" w:type="dxa"/>
            <w:tcBorders>
              <w:top w:val="single" w:color="auto" w:sz="4" w:space="0"/>
              <w:left w:val="single" w:color="auto" w:sz="4" w:space="0"/>
              <w:bottom w:val="single" w:color="auto" w:sz="4" w:space="0"/>
              <w:right w:val="single" w:color="auto" w:sz="4" w:space="0"/>
            </w:tcBorders>
            <w:vAlign w:val="center"/>
          </w:tcPr>
          <w:p w14:paraId="4637DFDC">
            <w:pPr>
              <w:adjustRightInd w:val="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《广州建设工程施工招标投标书》</w:t>
            </w:r>
            <w:r>
              <w:rPr>
                <w:rFonts w:hint="eastAsia" w:ascii="宋体" w:hAnsi="宋体" w:eastAsia="宋体" w:cs="宋体"/>
                <w:color w:val="auto"/>
                <w:szCs w:val="21"/>
                <w:highlight w:val="none"/>
              </w:rPr>
              <w:t>不能满足完成投标项目工期的；</w:t>
            </w:r>
          </w:p>
        </w:tc>
        <w:tc>
          <w:tcPr>
            <w:tcW w:w="993" w:type="dxa"/>
            <w:tcBorders>
              <w:top w:val="single" w:color="auto" w:sz="4" w:space="0"/>
              <w:left w:val="single" w:color="auto" w:sz="4" w:space="0"/>
              <w:bottom w:val="single" w:color="auto" w:sz="4" w:space="0"/>
              <w:right w:val="single" w:color="auto" w:sz="4" w:space="0"/>
            </w:tcBorders>
          </w:tcPr>
          <w:p w14:paraId="7E07EE3B">
            <w:pPr>
              <w:adjustRightInd w:val="0"/>
              <w:rPr>
                <w:rFonts w:hint="eastAsia" w:ascii="宋体" w:hAnsi="宋体" w:eastAsia="宋体" w:cs="宋体"/>
                <w:color w:val="auto"/>
                <w:szCs w:val="21"/>
                <w:highlight w:val="none"/>
              </w:rPr>
            </w:pPr>
          </w:p>
        </w:tc>
        <w:tc>
          <w:tcPr>
            <w:tcW w:w="769" w:type="dxa"/>
            <w:tcBorders>
              <w:top w:val="single" w:color="auto" w:sz="4" w:space="0"/>
              <w:left w:val="single" w:color="auto" w:sz="4" w:space="0"/>
              <w:bottom w:val="single" w:color="auto" w:sz="4" w:space="0"/>
              <w:right w:val="single" w:color="auto" w:sz="4" w:space="0"/>
            </w:tcBorders>
          </w:tcPr>
          <w:p w14:paraId="1580DD73">
            <w:pPr>
              <w:adjustRightInd w:val="0"/>
              <w:rPr>
                <w:rFonts w:hint="eastAsia" w:ascii="宋体" w:hAnsi="宋体" w:eastAsia="宋体" w:cs="宋体"/>
                <w:color w:val="auto"/>
                <w:szCs w:val="21"/>
                <w:highlight w:val="none"/>
              </w:rPr>
            </w:pPr>
          </w:p>
        </w:tc>
        <w:tc>
          <w:tcPr>
            <w:tcW w:w="806" w:type="dxa"/>
            <w:tcBorders>
              <w:top w:val="single" w:color="auto" w:sz="4" w:space="0"/>
              <w:left w:val="single" w:color="auto" w:sz="4" w:space="0"/>
              <w:bottom w:val="single" w:color="auto" w:sz="4" w:space="0"/>
              <w:right w:val="single" w:color="auto" w:sz="4" w:space="0"/>
            </w:tcBorders>
          </w:tcPr>
          <w:p w14:paraId="76437009">
            <w:pPr>
              <w:adjustRightInd w:val="0"/>
              <w:rPr>
                <w:rFonts w:hint="eastAsia" w:ascii="宋体" w:hAnsi="宋体" w:eastAsia="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tcPr>
          <w:p w14:paraId="1F316963">
            <w:pPr>
              <w:adjustRightInd w:val="0"/>
              <w:rPr>
                <w:rFonts w:hint="eastAsia" w:ascii="宋体" w:hAnsi="宋体" w:eastAsia="宋体" w:cs="宋体"/>
                <w:color w:val="auto"/>
                <w:szCs w:val="21"/>
                <w:highlight w:val="none"/>
              </w:rPr>
            </w:pPr>
          </w:p>
        </w:tc>
        <w:tc>
          <w:tcPr>
            <w:tcW w:w="731" w:type="dxa"/>
            <w:tcBorders>
              <w:top w:val="single" w:color="auto" w:sz="4" w:space="0"/>
              <w:left w:val="single" w:color="auto" w:sz="4" w:space="0"/>
              <w:bottom w:val="single" w:color="auto" w:sz="4" w:space="0"/>
              <w:right w:val="single" w:color="auto" w:sz="4" w:space="0"/>
            </w:tcBorders>
          </w:tcPr>
          <w:p w14:paraId="7476AB98">
            <w:pPr>
              <w:adjustRightInd w:val="0"/>
              <w:rPr>
                <w:rFonts w:hint="eastAsia" w:ascii="宋体" w:hAnsi="宋体" w:eastAsia="宋体" w:cs="宋体"/>
                <w:color w:val="auto"/>
                <w:szCs w:val="21"/>
                <w:highlight w:val="none"/>
              </w:rPr>
            </w:pPr>
          </w:p>
        </w:tc>
        <w:tc>
          <w:tcPr>
            <w:tcW w:w="899" w:type="dxa"/>
            <w:tcBorders>
              <w:top w:val="single" w:color="auto" w:sz="4" w:space="0"/>
              <w:left w:val="single" w:color="auto" w:sz="4" w:space="0"/>
              <w:bottom w:val="single" w:color="auto" w:sz="4" w:space="0"/>
              <w:right w:val="single" w:color="auto" w:sz="4" w:space="0"/>
            </w:tcBorders>
          </w:tcPr>
          <w:p w14:paraId="17CD1C63">
            <w:pPr>
              <w:adjustRightInd w:val="0"/>
              <w:rPr>
                <w:rFonts w:hint="eastAsia" w:ascii="宋体" w:hAnsi="宋体" w:eastAsia="宋体" w:cs="宋体"/>
                <w:color w:val="auto"/>
                <w:szCs w:val="21"/>
                <w:highlight w:val="none"/>
              </w:rPr>
            </w:pPr>
          </w:p>
        </w:tc>
      </w:tr>
      <w:tr w14:paraId="32913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14:paraId="10C672FF">
            <w:pPr>
              <w:adjustRightIn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8941" w:type="dxa"/>
            <w:tcBorders>
              <w:top w:val="single" w:color="auto" w:sz="4" w:space="0"/>
              <w:left w:val="single" w:color="auto" w:sz="4" w:space="0"/>
              <w:bottom w:val="single" w:color="auto" w:sz="4" w:space="0"/>
              <w:right w:val="single" w:color="auto" w:sz="4" w:space="0"/>
            </w:tcBorders>
            <w:vAlign w:val="center"/>
          </w:tcPr>
          <w:p w14:paraId="77BB94D0">
            <w:pPr>
              <w:adjustRightInd w:val="0"/>
              <w:rPr>
                <w:rFonts w:hint="eastAsia" w:ascii="宋体" w:hAnsi="宋体" w:eastAsia="宋体" w:cs="宋体"/>
                <w:color w:val="auto"/>
                <w:szCs w:val="21"/>
                <w:highlight w:val="none"/>
              </w:rPr>
            </w:pPr>
            <w:r>
              <w:rPr>
                <w:rFonts w:hint="eastAsia" w:ascii="宋体" w:hAnsi="宋体"/>
                <w:color w:val="auto"/>
                <w:szCs w:val="21"/>
                <w:highlight w:val="none"/>
                <w:u w:val="single"/>
              </w:rPr>
              <w:t>《广州建设工程施工招标投标书》</w:t>
            </w:r>
            <w:r>
              <w:rPr>
                <w:rFonts w:hint="eastAsia" w:ascii="宋体" w:hAnsi="宋体" w:cs="宋体"/>
                <w:color w:val="auto"/>
                <w:szCs w:val="21"/>
                <w:highlight w:val="none"/>
                <w:u w:val="single"/>
              </w:rPr>
              <w:t>不符合招标文件要求的质量标准</w:t>
            </w:r>
            <w:r>
              <w:rPr>
                <w:rFonts w:hint="eastAsia" w:ascii="宋体" w:hAnsi="宋体" w:eastAsia="宋体" w:cs="宋体"/>
                <w:color w:val="auto"/>
                <w:szCs w:val="21"/>
                <w:highlight w:val="none"/>
                <w:u w:val="single"/>
              </w:rPr>
              <w:t>；</w:t>
            </w:r>
          </w:p>
        </w:tc>
        <w:tc>
          <w:tcPr>
            <w:tcW w:w="993" w:type="dxa"/>
            <w:tcBorders>
              <w:top w:val="single" w:color="auto" w:sz="4" w:space="0"/>
              <w:left w:val="single" w:color="auto" w:sz="4" w:space="0"/>
              <w:bottom w:val="single" w:color="auto" w:sz="4" w:space="0"/>
              <w:right w:val="single" w:color="auto" w:sz="4" w:space="0"/>
            </w:tcBorders>
          </w:tcPr>
          <w:p w14:paraId="174589BD">
            <w:pPr>
              <w:adjustRightInd w:val="0"/>
              <w:rPr>
                <w:rFonts w:hint="eastAsia" w:ascii="宋体" w:hAnsi="宋体" w:eastAsia="宋体" w:cs="宋体"/>
                <w:color w:val="auto"/>
                <w:szCs w:val="21"/>
                <w:highlight w:val="none"/>
              </w:rPr>
            </w:pPr>
          </w:p>
        </w:tc>
        <w:tc>
          <w:tcPr>
            <w:tcW w:w="769" w:type="dxa"/>
            <w:tcBorders>
              <w:top w:val="single" w:color="auto" w:sz="4" w:space="0"/>
              <w:left w:val="single" w:color="auto" w:sz="4" w:space="0"/>
              <w:bottom w:val="single" w:color="auto" w:sz="4" w:space="0"/>
              <w:right w:val="single" w:color="auto" w:sz="4" w:space="0"/>
            </w:tcBorders>
          </w:tcPr>
          <w:p w14:paraId="6D9417B6">
            <w:pPr>
              <w:adjustRightInd w:val="0"/>
              <w:rPr>
                <w:rFonts w:hint="eastAsia" w:ascii="宋体" w:hAnsi="宋体" w:eastAsia="宋体" w:cs="宋体"/>
                <w:color w:val="auto"/>
                <w:szCs w:val="21"/>
                <w:highlight w:val="none"/>
              </w:rPr>
            </w:pPr>
          </w:p>
        </w:tc>
        <w:tc>
          <w:tcPr>
            <w:tcW w:w="806" w:type="dxa"/>
            <w:tcBorders>
              <w:top w:val="single" w:color="auto" w:sz="4" w:space="0"/>
              <w:left w:val="single" w:color="auto" w:sz="4" w:space="0"/>
              <w:bottom w:val="single" w:color="auto" w:sz="4" w:space="0"/>
              <w:right w:val="single" w:color="auto" w:sz="4" w:space="0"/>
            </w:tcBorders>
          </w:tcPr>
          <w:p w14:paraId="334ED4B6">
            <w:pPr>
              <w:adjustRightInd w:val="0"/>
              <w:rPr>
                <w:rFonts w:hint="eastAsia" w:ascii="宋体" w:hAnsi="宋体" w:eastAsia="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tcPr>
          <w:p w14:paraId="0A59D5EA">
            <w:pPr>
              <w:adjustRightInd w:val="0"/>
              <w:rPr>
                <w:rFonts w:hint="eastAsia" w:ascii="宋体" w:hAnsi="宋体" w:eastAsia="宋体" w:cs="宋体"/>
                <w:color w:val="auto"/>
                <w:szCs w:val="21"/>
                <w:highlight w:val="none"/>
              </w:rPr>
            </w:pPr>
          </w:p>
        </w:tc>
        <w:tc>
          <w:tcPr>
            <w:tcW w:w="731" w:type="dxa"/>
            <w:tcBorders>
              <w:top w:val="single" w:color="auto" w:sz="4" w:space="0"/>
              <w:left w:val="single" w:color="auto" w:sz="4" w:space="0"/>
              <w:bottom w:val="single" w:color="auto" w:sz="4" w:space="0"/>
              <w:right w:val="single" w:color="auto" w:sz="4" w:space="0"/>
            </w:tcBorders>
          </w:tcPr>
          <w:p w14:paraId="383D7624">
            <w:pPr>
              <w:adjustRightInd w:val="0"/>
              <w:rPr>
                <w:rFonts w:hint="eastAsia" w:ascii="宋体" w:hAnsi="宋体" w:eastAsia="宋体" w:cs="宋体"/>
                <w:color w:val="auto"/>
                <w:szCs w:val="21"/>
                <w:highlight w:val="none"/>
              </w:rPr>
            </w:pPr>
          </w:p>
        </w:tc>
        <w:tc>
          <w:tcPr>
            <w:tcW w:w="899" w:type="dxa"/>
            <w:tcBorders>
              <w:top w:val="single" w:color="auto" w:sz="4" w:space="0"/>
              <w:left w:val="single" w:color="auto" w:sz="4" w:space="0"/>
              <w:bottom w:val="single" w:color="auto" w:sz="4" w:space="0"/>
              <w:right w:val="single" w:color="auto" w:sz="4" w:space="0"/>
            </w:tcBorders>
          </w:tcPr>
          <w:p w14:paraId="351F5806">
            <w:pPr>
              <w:adjustRightInd w:val="0"/>
              <w:rPr>
                <w:rFonts w:hint="eastAsia" w:ascii="宋体" w:hAnsi="宋体" w:eastAsia="宋体" w:cs="宋体"/>
                <w:color w:val="auto"/>
                <w:szCs w:val="21"/>
                <w:highlight w:val="none"/>
              </w:rPr>
            </w:pPr>
          </w:p>
        </w:tc>
      </w:tr>
      <w:tr w14:paraId="473FB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14:paraId="1604BD1D">
            <w:pPr>
              <w:adjustRightInd w:val="0"/>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3</w:t>
            </w:r>
          </w:p>
        </w:tc>
        <w:tc>
          <w:tcPr>
            <w:tcW w:w="8941" w:type="dxa"/>
            <w:tcBorders>
              <w:top w:val="single" w:color="auto" w:sz="4" w:space="0"/>
              <w:left w:val="single" w:color="auto" w:sz="4" w:space="0"/>
              <w:bottom w:val="single" w:color="auto" w:sz="4" w:space="0"/>
              <w:right w:val="single" w:color="auto" w:sz="4" w:space="0"/>
            </w:tcBorders>
            <w:vAlign w:val="center"/>
          </w:tcPr>
          <w:p w14:paraId="210F76E0">
            <w:pPr>
              <w:adjustRightInd w:val="0"/>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在技术投标文件中涉及本工程项目投标报价的；（本条适用于技术标和经济标分别开启的招标项目）</w:t>
            </w:r>
          </w:p>
        </w:tc>
        <w:tc>
          <w:tcPr>
            <w:tcW w:w="993" w:type="dxa"/>
            <w:tcBorders>
              <w:top w:val="single" w:color="auto" w:sz="4" w:space="0"/>
              <w:left w:val="single" w:color="auto" w:sz="4" w:space="0"/>
              <w:bottom w:val="single" w:color="auto" w:sz="4" w:space="0"/>
              <w:right w:val="single" w:color="auto" w:sz="4" w:space="0"/>
            </w:tcBorders>
          </w:tcPr>
          <w:p w14:paraId="0A1F1D51">
            <w:pPr>
              <w:adjustRightInd w:val="0"/>
              <w:rPr>
                <w:rFonts w:hint="eastAsia" w:ascii="宋体" w:hAnsi="宋体" w:eastAsia="宋体" w:cs="宋体"/>
                <w:strike/>
                <w:color w:val="auto"/>
                <w:szCs w:val="21"/>
                <w:highlight w:val="none"/>
              </w:rPr>
            </w:pPr>
          </w:p>
        </w:tc>
        <w:tc>
          <w:tcPr>
            <w:tcW w:w="769" w:type="dxa"/>
            <w:tcBorders>
              <w:top w:val="single" w:color="auto" w:sz="4" w:space="0"/>
              <w:left w:val="single" w:color="auto" w:sz="4" w:space="0"/>
              <w:bottom w:val="single" w:color="auto" w:sz="4" w:space="0"/>
              <w:right w:val="single" w:color="auto" w:sz="4" w:space="0"/>
            </w:tcBorders>
          </w:tcPr>
          <w:p w14:paraId="4E9E35E2">
            <w:pPr>
              <w:adjustRightInd w:val="0"/>
              <w:rPr>
                <w:rFonts w:hint="eastAsia" w:ascii="宋体" w:hAnsi="宋体" w:eastAsia="宋体" w:cs="宋体"/>
                <w:strike/>
                <w:color w:val="auto"/>
                <w:szCs w:val="21"/>
                <w:highlight w:val="none"/>
              </w:rPr>
            </w:pPr>
          </w:p>
        </w:tc>
        <w:tc>
          <w:tcPr>
            <w:tcW w:w="806" w:type="dxa"/>
            <w:tcBorders>
              <w:top w:val="single" w:color="auto" w:sz="4" w:space="0"/>
              <w:left w:val="single" w:color="auto" w:sz="4" w:space="0"/>
              <w:bottom w:val="single" w:color="auto" w:sz="4" w:space="0"/>
              <w:right w:val="single" w:color="auto" w:sz="4" w:space="0"/>
            </w:tcBorders>
          </w:tcPr>
          <w:p w14:paraId="3D506661">
            <w:pPr>
              <w:adjustRightInd w:val="0"/>
              <w:rPr>
                <w:rFonts w:hint="eastAsia" w:ascii="宋体" w:hAnsi="宋体" w:eastAsia="宋体" w:cs="宋体"/>
                <w:strike/>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tcPr>
          <w:p w14:paraId="4B16CBD8">
            <w:pPr>
              <w:adjustRightInd w:val="0"/>
              <w:rPr>
                <w:rFonts w:hint="eastAsia" w:ascii="宋体" w:hAnsi="宋体" w:eastAsia="宋体" w:cs="宋体"/>
                <w:strike/>
                <w:color w:val="auto"/>
                <w:szCs w:val="21"/>
                <w:highlight w:val="none"/>
              </w:rPr>
            </w:pPr>
          </w:p>
        </w:tc>
        <w:tc>
          <w:tcPr>
            <w:tcW w:w="731" w:type="dxa"/>
            <w:tcBorders>
              <w:top w:val="single" w:color="auto" w:sz="4" w:space="0"/>
              <w:left w:val="single" w:color="auto" w:sz="4" w:space="0"/>
              <w:bottom w:val="single" w:color="auto" w:sz="4" w:space="0"/>
              <w:right w:val="single" w:color="auto" w:sz="4" w:space="0"/>
            </w:tcBorders>
          </w:tcPr>
          <w:p w14:paraId="026C730D">
            <w:pPr>
              <w:adjustRightInd w:val="0"/>
              <w:rPr>
                <w:rFonts w:hint="eastAsia" w:ascii="宋体" w:hAnsi="宋体" w:eastAsia="宋体" w:cs="宋体"/>
                <w:strike/>
                <w:color w:val="auto"/>
                <w:szCs w:val="21"/>
                <w:highlight w:val="none"/>
              </w:rPr>
            </w:pPr>
          </w:p>
        </w:tc>
        <w:tc>
          <w:tcPr>
            <w:tcW w:w="899" w:type="dxa"/>
            <w:tcBorders>
              <w:top w:val="single" w:color="auto" w:sz="4" w:space="0"/>
              <w:left w:val="single" w:color="auto" w:sz="4" w:space="0"/>
              <w:bottom w:val="single" w:color="auto" w:sz="4" w:space="0"/>
              <w:right w:val="single" w:color="auto" w:sz="4" w:space="0"/>
            </w:tcBorders>
          </w:tcPr>
          <w:p w14:paraId="43867889">
            <w:pPr>
              <w:adjustRightInd w:val="0"/>
              <w:rPr>
                <w:rFonts w:hint="eastAsia" w:ascii="宋体" w:hAnsi="宋体" w:eastAsia="宋体" w:cs="宋体"/>
                <w:strike/>
                <w:color w:val="auto"/>
                <w:szCs w:val="21"/>
                <w:highlight w:val="none"/>
              </w:rPr>
            </w:pPr>
          </w:p>
        </w:tc>
      </w:tr>
      <w:tr w14:paraId="61A0B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14:paraId="47E597D8">
            <w:pPr>
              <w:adjustRightIn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8941" w:type="dxa"/>
            <w:tcBorders>
              <w:top w:val="single" w:color="auto" w:sz="4" w:space="0"/>
              <w:left w:val="single" w:color="auto" w:sz="4" w:space="0"/>
              <w:bottom w:val="single" w:color="auto" w:sz="4" w:space="0"/>
              <w:right w:val="single" w:color="auto" w:sz="4" w:space="0"/>
            </w:tcBorders>
            <w:vAlign w:val="center"/>
          </w:tcPr>
          <w:p w14:paraId="776AF4B0">
            <w:pPr>
              <w:adjustRightIn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投标文件中没有有效的法定代表人证明书，或由委托代理人签署的投标文件中没有法定代表人授权书；</w:t>
            </w:r>
          </w:p>
        </w:tc>
        <w:tc>
          <w:tcPr>
            <w:tcW w:w="993" w:type="dxa"/>
            <w:tcBorders>
              <w:top w:val="single" w:color="auto" w:sz="4" w:space="0"/>
              <w:left w:val="single" w:color="auto" w:sz="4" w:space="0"/>
              <w:bottom w:val="single" w:color="auto" w:sz="4" w:space="0"/>
              <w:right w:val="single" w:color="auto" w:sz="4" w:space="0"/>
            </w:tcBorders>
          </w:tcPr>
          <w:p w14:paraId="5D6B42E3">
            <w:pPr>
              <w:adjustRightInd w:val="0"/>
              <w:rPr>
                <w:rFonts w:hint="eastAsia" w:ascii="宋体" w:hAnsi="宋体" w:eastAsia="宋体" w:cs="宋体"/>
                <w:color w:val="auto"/>
                <w:szCs w:val="21"/>
                <w:highlight w:val="none"/>
              </w:rPr>
            </w:pPr>
          </w:p>
        </w:tc>
        <w:tc>
          <w:tcPr>
            <w:tcW w:w="769" w:type="dxa"/>
            <w:tcBorders>
              <w:top w:val="single" w:color="auto" w:sz="4" w:space="0"/>
              <w:left w:val="single" w:color="auto" w:sz="4" w:space="0"/>
              <w:bottom w:val="single" w:color="auto" w:sz="4" w:space="0"/>
              <w:right w:val="single" w:color="auto" w:sz="4" w:space="0"/>
            </w:tcBorders>
          </w:tcPr>
          <w:p w14:paraId="7DA0E276">
            <w:pPr>
              <w:adjustRightInd w:val="0"/>
              <w:rPr>
                <w:rFonts w:hint="eastAsia" w:ascii="宋体" w:hAnsi="宋体" w:eastAsia="宋体" w:cs="宋体"/>
                <w:color w:val="auto"/>
                <w:szCs w:val="21"/>
                <w:highlight w:val="none"/>
              </w:rPr>
            </w:pPr>
          </w:p>
        </w:tc>
        <w:tc>
          <w:tcPr>
            <w:tcW w:w="806" w:type="dxa"/>
            <w:tcBorders>
              <w:top w:val="single" w:color="auto" w:sz="4" w:space="0"/>
              <w:left w:val="single" w:color="auto" w:sz="4" w:space="0"/>
              <w:bottom w:val="single" w:color="auto" w:sz="4" w:space="0"/>
              <w:right w:val="single" w:color="auto" w:sz="4" w:space="0"/>
            </w:tcBorders>
          </w:tcPr>
          <w:p w14:paraId="6224A2D4">
            <w:pPr>
              <w:adjustRightInd w:val="0"/>
              <w:rPr>
                <w:rFonts w:hint="eastAsia" w:ascii="宋体" w:hAnsi="宋体" w:eastAsia="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tcPr>
          <w:p w14:paraId="0A9D4493">
            <w:pPr>
              <w:adjustRightInd w:val="0"/>
              <w:rPr>
                <w:rFonts w:hint="eastAsia" w:ascii="宋体" w:hAnsi="宋体" w:eastAsia="宋体" w:cs="宋体"/>
                <w:color w:val="auto"/>
                <w:szCs w:val="21"/>
                <w:highlight w:val="none"/>
              </w:rPr>
            </w:pPr>
          </w:p>
        </w:tc>
        <w:tc>
          <w:tcPr>
            <w:tcW w:w="731" w:type="dxa"/>
            <w:tcBorders>
              <w:top w:val="single" w:color="auto" w:sz="4" w:space="0"/>
              <w:left w:val="single" w:color="auto" w:sz="4" w:space="0"/>
              <w:bottom w:val="single" w:color="auto" w:sz="4" w:space="0"/>
              <w:right w:val="single" w:color="auto" w:sz="4" w:space="0"/>
            </w:tcBorders>
          </w:tcPr>
          <w:p w14:paraId="490CD6E9">
            <w:pPr>
              <w:adjustRightInd w:val="0"/>
              <w:rPr>
                <w:rFonts w:hint="eastAsia" w:ascii="宋体" w:hAnsi="宋体" w:eastAsia="宋体" w:cs="宋体"/>
                <w:color w:val="auto"/>
                <w:szCs w:val="21"/>
                <w:highlight w:val="none"/>
              </w:rPr>
            </w:pPr>
          </w:p>
        </w:tc>
        <w:tc>
          <w:tcPr>
            <w:tcW w:w="899" w:type="dxa"/>
            <w:tcBorders>
              <w:top w:val="single" w:color="auto" w:sz="4" w:space="0"/>
              <w:left w:val="single" w:color="auto" w:sz="4" w:space="0"/>
              <w:bottom w:val="single" w:color="auto" w:sz="4" w:space="0"/>
              <w:right w:val="single" w:color="auto" w:sz="4" w:space="0"/>
            </w:tcBorders>
          </w:tcPr>
          <w:p w14:paraId="05E44620">
            <w:pPr>
              <w:adjustRightInd w:val="0"/>
              <w:rPr>
                <w:rFonts w:hint="eastAsia" w:ascii="宋体" w:hAnsi="宋体" w:eastAsia="宋体" w:cs="宋体"/>
                <w:color w:val="auto"/>
                <w:szCs w:val="21"/>
                <w:highlight w:val="none"/>
              </w:rPr>
            </w:pPr>
          </w:p>
        </w:tc>
      </w:tr>
      <w:tr w14:paraId="50513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14:paraId="58F12533">
            <w:pPr>
              <w:adjustRightIn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8941" w:type="dxa"/>
            <w:tcBorders>
              <w:top w:val="single" w:color="auto" w:sz="4" w:space="0"/>
              <w:left w:val="single" w:color="auto" w:sz="4" w:space="0"/>
              <w:bottom w:val="single" w:color="auto" w:sz="4" w:space="0"/>
              <w:right w:val="single" w:color="auto" w:sz="4" w:space="0"/>
            </w:tcBorders>
            <w:vAlign w:val="center"/>
          </w:tcPr>
          <w:p w14:paraId="661836BA">
            <w:pPr>
              <w:adjustRightInd w:val="0"/>
              <w:rPr>
                <w:rFonts w:hint="eastAsia" w:ascii="宋体" w:hAnsi="宋体" w:eastAsia="宋体" w:cs="宋体"/>
                <w:color w:val="auto"/>
                <w:szCs w:val="21"/>
                <w:highlight w:val="none"/>
              </w:rPr>
            </w:pPr>
            <w:r>
              <w:rPr>
                <w:rFonts w:hint="eastAsia" w:ascii="宋体" w:hAnsi="宋体"/>
                <w:color w:val="auto"/>
                <w:szCs w:val="21"/>
                <w:highlight w:val="none"/>
              </w:rPr>
              <w:t>投标文件未按规定的格式填写</w:t>
            </w:r>
            <w:r>
              <w:rPr>
                <w:rFonts w:hint="eastAsia" w:ascii="宋体" w:hAnsi="宋体" w:cs="宋体"/>
                <w:color w:val="auto"/>
                <w:szCs w:val="21"/>
                <w:highlight w:val="none"/>
                <w:u w:val="single"/>
                <w:lang w:bidi="ar-SA"/>
              </w:rPr>
              <w:t>（除带“★”号的必须按招标文件规定的格式进行编制外，其余格式仅供参考不作为投标文件有效性审查的条件）</w:t>
            </w:r>
            <w:r>
              <w:rPr>
                <w:rFonts w:hint="eastAsia" w:ascii="宋体" w:hAnsi="宋体"/>
                <w:color w:val="auto"/>
                <w:szCs w:val="21"/>
                <w:highlight w:val="none"/>
              </w:rPr>
              <w:t>，或主要内容不全，或关键字迹模糊、无法辨认的；</w:t>
            </w:r>
          </w:p>
        </w:tc>
        <w:tc>
          <w:tcPr>
            <w:tcW w:w="993" w:type="dxa"/>
            <w:tcBorders>
              <w:top w:val="single" w:color="auto" w:sz="4" w:space="0"/>
              <w:left w:val="single" w:color="auto" w:sz="4" w:space="0"/>
              <w:bottom w:val="single" w:color="auto" w:sz="4" w:space="0"/>
              <w:right w:val="single" w:color="auto" w:sz="4" w:space="0"/>
            </w:tcBorders>
          </w:tcPr>
          <w:p w14:paraId="4319D978">
            <w:pPr>
              <w:adjustRightInd w:val="0"/>
              <w:rPr>
                <w:rFonts w:hint="eastAsia" w:ascii="宋体" w:hAnsi="宋体" w:eastAsia="宋体" w:cs="宋体"/>
                <w:color w:val="auto"/>
                <w:szCs w:val="21"/>
                <w:highlight w:val="none"/>
              </w:rPr>
            </w:pPr>
          </w:p>
        </w:tc>
        <w:tc>
          <w:tcPr>
            <w:tcW w:w="769" w:type="dxa"/>
            <w:tcBorders>
              <w:top w:val="single" w:color="auto" w:sz="4" w:space="0"/>
              <w:left w:val="single" w:color="auto" w:sz="4" w:space="0"/>
              <w:bottom w:val="single" w:color="auto" w:sz="4" w:space="0"/>
              <w:right w:val="single" w:color="auto" w:sz="4" w:space="0"/>
            </w:tcBorders>
          </w:tcPr>
          <w:p w14:paraId="64BF32DF">
            <w:pPr>
              <w:adjustRightInd w:val="0"/>
              <w:rPr>
                <w:rFonts w:hint="eastAsia" w:ascii="宋体" w:hAnsi="宋体" w:eastAsia="宋体" w:cs="宋体"/>
                <w:color w:val="auto"/>
                <w:szCs w:val="21"/>
                <w:highlight w:val="none"/>
              </w:rPr>
            </w:pPr>
          </w:p>
        </w:tc>
        <w:tc>
          <w:tcPr>
            <w:tcW w:w="806" w:type="dxa"/>
            <w:tcBorders>
              <w:top w:val="single" w:color="auto" w:sz="4" w:space="0"/>
              <w:left w:val="single" w:color="auto" w:sz="4" w:space="0"/>
              <w:bottom w:val="single" w:color="auto" w:sz="4" w:space="0"/>
              <w:right w:val="single" w:color="auto" w:sz="4" w:space="0"/>
            </w:tcBorders>
          </w:tcPr>
          <w:p w14:paraId="764F8687">
            <w:pPr>
              <w:adjustRightInd w:val="0"/>
              <w:rPr>
                <w:rFonts w:hint="eastAsia" w:ascii="宋体" w:hAnsi="宋体" w:eastAsia="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tcPr>
          <w:p w14:paraId="13856C45">
            <w:pPr>
              <w:adjustRightInd w:val="0"/>
              <w:rPr>
                <w:rFonts w:hint="eastAsia" w:ascii="宋体" w:hAnsi="宋体" w:eastAsia="宋体" w:cs="宋体"/>
                <w:color w:val="auto"/>
                <w:szCs w:val="21"/>
                <w:highlight w:val="none"/>
              </w:rPr>
            </w:pPr>
          </w:p>
        </w:tc>
        <w:tc>
          <w:tcPr>
            <w:tcW w:w="731" w:type="dxa"/>
            <w:tcBorders>
              <w:top w:val="single" w:color="auto" w:sz="4" w:space="0"/>
              <w:left w:val="single" w:color="auto" w:sz="4" w:space="0"/>
              <w:bottom w:val="single" w:color="auto" w:sz="4" w:space="0"/>
              <w:right w:val="single" w:color="auto" w:sz="4" w:space="0"/>
            </w:tcBorders>
          </w:tcPr>
          <w:p w14:paraId="6C6D0710">
            <w:pPr>
              <w:adjustRightInd w:val="0"/>
              <w:rPr>
                <w:rFonts w:hint="eastAsia" w:ascii="宋体" w:hAnsi="宋体" w:eastAsia="宋体" w:cs="宋体"/>
                <w:color w:val="auto"/>
                <w:szCs w:val="21"/>
                <w:highlight w:val="none"/>
              </w:rPr>
            </w:pPr>
          </w:p>
        </w:tc>
        <w:tc>
          <w:tcPr>
            <w:tcW w:w="899" w:type="dxa"/>
            <w:tcBorders>
              <w:top w:val="single" w:color="auto" w:sz="4" w:space="0"/>
              <w:left w:val="single" w:color="auto" w:sz="4" w:space="0"/>
              <w:bottom w:val="single" w:color="auto" w:sz="4" w:space="0"/>
              <w:right w:val="single" w:color="auto" w:sz="4" w:space="0"/>
            </w:tcBorders>
          </w:tcPr>
          <w:p w14:paraId="5F36F750">
            <w:pPr>
              <w:adjustRightInd w:val="0"/>
              <w:rPr>
                <w:rFonts w:hint="eastAsia" w:ascii="宋体" w:hAnsi="宋体" w:eastAsia="宋体" w:cs="宋体"/>
                <w:color w:val="auto"/>
                <w:szCs w:val="21"/>
                <w:highlight w:val="none"/>
              </w:rPr>
            </w:pPr>
          </w:p>
        </w:tc>
      </w:tr>
      <w:tr w14:paraId="3914D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14:paraId="0914A491">
            <w:pPr>
              <w:adjustRightIn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8941" w:type="dxa"/>
            <w:tcBorders>
              <w:top w:val="single" w:color="auto" w:sz="4" w:space="0"/>
              <w:left w:val="single" w:color="auto" w:sz="4" w:space="0"/>
              <w:bottom w:val="single" w:color="auto" w:sz="4" w:space="0"/>
              <w:right w:val="single" w:color="auto" w:sz="4" w:space="0"/>
            </w:tcBorders>
            <w:vAlign w:val="center"/>
          </w:tcPr>
          <w:p w14:paraId="2851AA11">
            <w:pPr>
              <w:adjustRightIn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投标人之间存在《广东省实施&lt;中华人民共和国招标投标法&gt;》第十六条所禁止的情形的；</w:t>
            </w:r>
          </w:p>
        </w:tc>
        <w:tc>
          <w:tcPr>
            <w:tcW w:w="993" w:type="dxa"/>
            <w:tcBorders>
              <w:top w:val="single" w:color="auto" w:sz="4" w:space="0"/>
              <w:left w:val="single" w:color="auto" w:sz="4" w:space="0"/>
              <w:bottom w:val="single" w:color="auto" w:sz="4" w:space="0"/>
              <w:right w:val="single" w:color="auto" w:sz="4" w:space="0"/>
            </w:tcBorders>
          </w:tcPr>
          <w:p w14:paraId="48F78301">
            <w:pPr>
              <w:adjustRightInd w:val="0"/>
              <w:rPr>
                <w:rFonts w:hint="eastAsia" w:ascii="宋体" w:hAnsi="宋体" w:eastAsia="宋体" w:cs="宋体"/>
                <w:color w:val="auto"/>
                <w:szCs w:val="21"/>
                <w:highlight w:val="none"/>
              </w:rPr>
            </w:pPr>
          </w:p>
        </w:tc>
        <w:tc>
          <w:tcPr>
            <w:tcW w:w="769" w:type="dxa"/>
            <w:tcBorders>
              <w:top w:val="single" w:color="auto" w:sz="4" w:space="0"/>
              <w:left w:val="single" w:color="auto" w:sz="4" w:space="0"/>
              <w:bottom w:val="single" w:color="auto" w:sz="4" w:space="0"/>
              <w:right w:val="single" w:color="auto" w:sz="4" w:space="0"/>
            </w:tcBorders>
          </w:tcPr>
          <w:p w14:paraId="579C4A12">
            <w:pPr>
              <w:adjustRightInd w:val="0"/>
              <w:rPr>
                <w:rFonts w:hint="eastAsia" w:ascii="宋体" w:hAnsi="宋体" w:eastAsia="宋体" w:cs="宋体"/>
                <w:color w:val="auto"/>
                <w:szCs w:val="21"/>
                <w:highlight w:val="none"/>
              </w:rPr>
            </w:pPr>
          </w:p>
        </w:tc>
        <w:tc>
          <w:tcPr>
            <w:tcW w:w="806" w:type="dxa"/>
            <w:tcBorders>
              <w:top w:val="single" w:color="auto" w:sz="4" w:space="0"/>
              <w:left w:val="single" w:color="auto" w:sz="4" w:space="0"/>
              <w:bottom w:val="single" w:color="auto" w:sz="4" w:space="0"/>
              <w:right w:val="single" w:color="auto" w:sz="4" w:space="0"/>
            </w:tcBorders>
          </w:tcPr>
          <w:p w14:paraId="5DC8340D">
            <w:pPr>
              <w:adjustRightInd w:val="0"/>
              <w:rPr>
                <w:rFonts w:hint="eastAsia" w:ascii="宋体" w:hAnsi="宋体" w:eastAsia="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tcPr>
          <w:p w14:paraId="53EDE11F">
            <w:pPr>
              <w:adjustRightInd w:val="0"/>
              <w:rPr>
                <w:rFonts w:hint="eastAsia" w:ascii="宋体" w:hAnsi="宋体" w:eastAsia="宋体" w:cs="宋体"/>
                <w:color w:val="auto"/>
                <w:szCs w:val="21"/>
                <w:highlight w:val="none"/>
              </w:rPr>
            </w:pPr>
          </w:p>
        </w:tc>
        <w:tc>
          <w:tcPr>
            <w:tcW w:w="731" w:type="dxa"/>
            <w:tcBorders>
              <w:top w:val="single" w:color="auto" w:sz="4" w:space="0"/>
              <w:left w:val="single" w:color="auto" w:sz="4" w:space="0"/>
              <w:bottom w:val="single" w:color="auto" w:sz="4" w:space="0"/>
              <w:right w:val="single" w:color="auto" w:sz="4" w:space="0"/>
            </w:tcBorders>
          </w:tcPr>
          <w:p w14:paraId="51835EB2">
            <w:pPr>
              <w:adjustRightInd w:val="0"/>
              <w:rPr>
                <w:rFonts w:hint="eastAsia" w:ascii="宋体" w:hAnsi="宋体" w:eastAsia="宋体" w:cs="宋体"/>
                <w:color w:val="auto"/>
                <w:szCs w:val="21"/>
                <w:highlight w:val="none"/>
              </w:rPr>
            </w:pPr>
          </w:p>
        </w:tc>
        <w:tc>
          <w:tcPr>
            <w:tcW w:w="899" w:type="dxa"/>
            <w:tcBorders>
              <w:top w:val="single" w:color="auto" w:sz="4" w:space="0"/>
              <w:left w:val="single" w:color="auto" w:sz="4" w:space="0"/>
              <w:bottom w:val="single" w:color="auto" w:sz="4" w:space="0"/>
              <w:right w:val="single" w:color="auto" w:sz="4" w:space="0"/>
            </w:tcBorders>
          </w:tcPr>
          <w:p w14:paraId="61423D74">
            <w:pPr>
              <w:adjustRightInd w:val="0"/>
              <w:rPr>
                <w:rFonts w:hint="eastAsia" w:ascii="宋体" w:hAnsi="宋体" w:eastAsia="宋体" w:cs="宋体"/>
                <w:color w:val="auto"/>
                <w:szCs w:val="21"/>
                <w:highlight w:val="none"/>
              </w:rPr>
            </w:pPr>
          </w:p>
        </w:tc>
      </w:tr>
      <w:tr w14:paraId="44620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14:paraId="4CBF66AB">
            <w:pPr>
              <w:adjustRightIn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8941" w:type="dxa"/>
            <w:tcBorders>
              <w:top w:val="single" w:color="auto" w:sz="4" w:space="0"/>
              <w:left w:val="single" w:color="auto" w:sz="4" w:space="0"/>
              <w:bottom w:val="single" w:color="auto" w:sz="4" w:space="0"/>
              <w:right w:val="single" w:color="auto" w:sz="4" w:space="0"/>
            </w:tcBorders>
            <w:vAlign w:val="center"/>
          </w:tcPr>
          <w:p w14:paraId="6A551D3F">
            <w:pPr>
              <w:adjustRightIn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无《参与编制技术标投标文件人员名单》的</w:t>
            </w:r>
          </w:p>
        </w:tc>
        <w:tc>
          <w:tcPr>
            <w:tcW w:w="993" w:type="dxa"/>
            <w:tcBorders>
              <w:top w:val="single" w:color="auto" w:sz="4" w:space="0"/>
              <w:left w:val="single" w:color="auto" w:sz="4" w:space="0"/>
              <w:bottom w:val="single" w:color="auto" w:sz="4" w:space="0"/>
              <w:right w:val="single" w:color="auto" w:sz="4" w:space="0"/>
            </w:tcBorders>
          </w:tcPr>
          <w:p w14:paraId="77388DB9">
            <w:pPr>
              <w:adjustRightInd w:val="0"/>
              <w:rPr>
                <w:rFonts w:hint="eastAsia" w:ascii="宋体" w:hAnsi="宋体" w:eastAsia="宋体" w:cs="宋体"/>
                <w:color w:val="auto"/>
                <w:szCs w:val="21"/>
                <w:highlight w:val="none"/>
              </w:rPr>
            </w:pPr>
          </w:p>
        </w:tc>
        <w:tc>
          <w:tcPr>
            <w:tcW w:w="769" w:type="dxa"/>
            <w:tcBorders>
              <w:top w:val="single" w:color="auto" w:sz="4" w:space="0"/>
              <w:left w:val="single" w:color="auto" w:sz="4" w:space="0"/>
              <w:bottom w:val="single" w:color="auto" w:sz="4" w:space="0"/>
              <w:right w:val="single" w:color="auto" w:sz="4" w:space="0"/>
            </w:tcBorders>
          </w:tcPr>
          <w:p w14:paraId="67B83C7F">
            <w:pPr>
              <w:adjustRightInd w:val="0"/>
              <w:rPr>
                <w:rFonts w:hint="eastAsia" w:ascii="宋体" w:hAnsi="宋体" w:eastAsia="宋体" w:cs="宋体"/>
                <w:color w:val="auto"/>
                <w:szCs w:val="21"/>
                <w:highlight w:val="none"/>
              </w:rPr>
            </w:pPr>
          </w:p>
        </w:tc>
        <w:tc>
          <w:tcPr>
            <w:tcW w:w="806" w:type="dxa"/>
            <w:tcBorders>
              <w:top w:val="single" w:color="auto" w:sz="4" w:space="0"/>
              <w:left w:val="single" w:color="auto" w:sz="4" w:space="0"/>
              <w:bottom w:val="single" w:color="auto" w:sz="4" w:space="0"/>
              <w:right w:val="single" w:color="auto" w:sz="4" w:space="0"/>
            </w:tcBorders>
          </w:tcPr>
          <w:p w14:paraId="0CC9CF87">
            <w:pPr>
              <w:adjustRightInd w:val="0"/>
              <w:rPr>
                <w:rFonts w:hint="eastAsia" w:ascii="宋体" w:hAnsi="宋体" w:eastAsia="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tcPr>
          <w:p w14:paraId="2B9EAEA7">
            <w:pPr>
              <w:adjustRightInd w:val="0"/>
              <w:rPr>
                <w:rFonts w:hint="eastAsia" w:ascii="宋体" w:hAnsi="宋体" w:eastAsia="宋体" w:cs="宋体"/>
                <w:color w:val="auto"/>
                <w:szCs w:val="21"/>
                <w:highlight w:val="none"/>
              </w:rPr>
            </w:pPr>
          </w:p>
        </w:tc>
        <w:tc>
          <w:tcPr>
            <w:tcW w:w="731" w:type="dxa"/>
            <w:tcBorders>
              <w:top w:val="single" w:color="auto" w:sz="4" w:space="0"/>
              <w:left w:val="single" w:color="auto" w:sz="4" w:space="0"/>
              <w:bottom w:val="single" w:color="auto" w:sz="4" w:space="0"/>
              <w:right w:val="single" w:color="auto" w:sz="4" w:space="0"/>
            </w:tcBorders>
          </w:tcPr>
          <w:p w14:paraId="30436E37">
            <w:pPr>
              <w:adjustRightInd w:val="0"/>
              <w:rPr>
                <w:rFonts w:hint="eastAsia" w:ascii="宋体" w:hAnsi="宋体" w:eastAsia="宋体" w:cs="宋体"/>
                <w:color w:val="auto"/>
                <w:szCs w:val="21"/>
                <w:highlight w:val="none"/>
              </w:rPr>
            </w:pPr>
          </w:p>
        </w:tc>
        <w:tc>
          <w:tcPr>
            <w:tcW w:w="899" w:type="dxa"/>
            <w:tcBorders>
              <w:top w:val="single" w:color="auto" w:sz="4" w:space="0"/>
              <w:left w:val="single" w:color="auto" w:sz="4" w:space="0"/>
              <w:bottom w:val="single" w:color="auto" w:sz="4" w:space="0"/>
              <w:right w:val="single" w:color="auto" w:sz="4" w:space="0"/>
            </w:tcBorders>
          </w:tcPr>
          <w:p w14:paraId="11C171C2">
            <w:pPr>
              <w:adjustRightInd w:val="0"/>
              <w:rPr>
                <w:rFonts w:hint="eastAsia" w:ascii="宋体" w:hAnsi="宋体" w:eastAsia="宋体" w:cs="宋体"/>
                <w:color w:val="auto"/>
                <w:szCs w:val="21"/>
                <w:highlight w:val="none"/>
              </w:rPr>
            </w:pPr>
          </w:p>
        </w:tc>
      </w:tr>
      <w:tr w14:paraId="78E73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14:paraId="6E1881C1">
            <w:pPr>
              <w:adjustRightInd w:val="0"/>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8</w:t>
            </w:r>
          </w:p>
        </w:tc>
        <w:tc>
          <w:tcPr>
            <w:tcW w:w="8941" w:type="dxa"/>
            <w:tcBorders>
              <w:top w:val="single" w:color="auto" w:sz="4" w:space="0"/>
              <w:left w:val="single" w:color="auto" w:sz="4" w:space="0"/>
              <w:bottom w:val="single" w:color="auto" w:sz="4" w:space="0"/>
              <w:right w:val="single" w:color="auto" w:sz="4" w:space="0"/>
            </w:tcBorders>
            <w:vAlign w:val="center"/>
          </w:tcPr>
          <w:p w14:paraId="563EE347">
            <w:pPr>
              <w:adjustRightInd w:val="0"/>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投标人未按要求提交投标保证金的</w:t>
            </w:r>
          </w:p>
        </w:tc>
        <w:tc>
          <w:tcPr>
            <w:tcW w:w="993" w:type="dxa"/>
            <w:tcBorders>
              <w:top w:val="single" w:color="auto" w:sz="4" w:space="0"/>
              <w:left w:val="single" w:color="auto" w:sz="4" w:space="0"/>
              <w:bottom w:val="single" w:color="auto" w:sz="4" w:space="0"/>
              <w:right w:val="single" w:color="auto" w:sz="4" w:space="0"/>
            </w:tcBorders>
          </w:tcPr>
          <w:p w14:paraId="7B37177B">
            <w:pPr>
              <w:adjustRightInd w:val="0"/>
              <w:rPr>
                <w:rFonts w:hint="eastAsia" w:ascii="宋体" w:hAnsi="宋体" w:eastAsia="宋体" w:cs="宋体"/>
                <w:color w:val="auto"/>
                <w:szCs w:val="21"/>
                <w:highlight w:val="none"/>
              </w:rPr>
            </w:pPr>
          </w:p>
        </w:tc>
        <w:tc>
          <w:tcPr>
            <w:tcW w:w="769" w:type="dxa"/>
            <w:tcBorders>
              <w:top w:val="single" w:color="auto" w:sz="4" w:space="0"/>
              <w:left w:val="single" w:color="auto" w:sz="4" w:space="0"/>
              <w:bottom w:val="single" w:color="auto" w:sz="4" w:space="0"/>
              <w:right w:val="single" w:color="auto" w:sz="4" w:space="0"/>
            </w:tcBorders>
          </w:tcPr>
          <w:p w14:paraId="536A5CC1">
            <w:pPr>
              <w:adjustRightInd w:val="0"/>
              <w:rPr>
                <w:rFonts w:hint="eastAsia" w:ascii="宋体" w:hAnsi="宋体" w:eastAsia="宋体" w:cs="宋体"/>
                <w:color w:val="auto"/>
                <w:szCs w:val="21"/>
                <w:highlight w:val="none"/>
              </w:rPr>
            </w:pPr>
          </w:p>
        </w:tc>
        <w:tc>
          <w:tcPr>
            <w:tcW w:w="806" w:type="dxa"/>
            <w:tcBorders>
              <w:top w:val="single" w:color="auto" w:sz="4" w:space="0"/>
              <w:left w:val="single" w:color="auto" w:sz="4" w:space="0"/>
              <w:bottom w:val="single" w:color="auto" w:sz="4" w:space="0"/>
              <w:right w:val="single" w:color="auto" w:sz="4" w:space="0"/>
            </w:tcBorders>
          </w:tcPr>
          <w:p w14:paraId="17AD6369">
            <w:pPr>
              <w:adjustRightInd w:val="0"/>
              <w:rPr>
                <w:rFonts w:hint="eastAsia" w:ascii="宋体" w:hAnsi="宋体" w:eastAsia="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tcPr>
          <w:p w14:paraId="7E39D8BC">
            <w:pPr>
              <w:adjustRightInd w:val="0"/>
              <w:rPr>
                <w:rFonts w:hint="eastAsia" w:ascii="宋体" w:hAnsi="宋体" w:eastAsia="宋体" w:cs="宋体"/>
                <w:color w:val="auto"/>
                <w:szCs w:val="21"/>
                <w:highlight w:val="none"/>
              </w:rPr>
            </w:pPr>
          </w:p>
        </w:tc>
        <w:tc>
          <w:tcPr>
            <w:tcW w:w="731" w:type="dxa"/>
            <w:tcBorders>
              <w:top w:val="single" w:color="auto" w:sz="4" w:space="0"/>
              <w:left w:val="single" w:color="auto" w:sz="4" w:space="0"/>
              <w:bottom w:val="single" w:color="auto" w:sz="4" w:space="0"/>
              <w:right w:val="single" w:color="auto" w:sz="4" w:space="0"/>
            </w:tcBorders>
          </w:tcPr>
          <w:p w14:paraId="6FA9A7E0">
            <w:pPr>
              <w:adjustRightInd w:val="0"/>
              <w:rPr>
                <w:rFonts w:hint="eastAsia" w:ascii="宋体" w:hAnsi="宋体" w:eastAsia="宋体" w:cs="宋体"/>
                <w:color w:val="auto"/>
                <w:szCs w:val="21"/>
                <w:highlight w:val="none"/>
              </w:rPr>
            </w:pPr>
          </w:p>
        </w:tc>
        <w:tc>
          <w:tcPr>
            <w:tcW w:w="899" w:type="dxa"/>
            <w:tcBorders>
              <w:top w:val="single" w:color="auto" w:sz="4" w:space="0"/>
              <w:left w:val="single" w:color="auto" w:sz="4" w:space="0"/>
              <w:bottom w:val="single" w:color="auto" w:sz="4" w:space="0"/>
              <w:right w:val="single" w:color="auto" w:sz="4" w:space="0"/>
            </w:tcBorders>
          </w:tcPr>
          <w:p w14:paraId="76F4BA79">
            <w:pPr>
              <w:adjustRightInd w:val="0"/>
              <w:rPr>
                <w:rFonts w:hint="eastAsia" w:ascii="宋体" w:hAnsi="宋体" w:eastAsia="宋体" w:cs="宋体"/>
                <w:color w:val="auto"/>
                <w:szCs w:val="21"/>
                <w:highlight w:val="none"/>
              </w:rPr>
            </w:pPr>
          </w:p>
        </w:tc>
      </w:tr>
      <w:tr w14:paraId="320FB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14:paraId="3FC76928">
            <w:pPr>
              <w:adjustRightIn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8941" w:type="dxa"/>
            <w:tcBorders>
              <w:top w:val="single" w:color="auto" w:sz="4" w:space="0"/>
              <w:left w:val="single" w:color="auto" w:sz="4" w:space="0"/>
              <w:bottom w:val="single" w:color="auto" w:sz="4" w:space="0"/>
              <w:right w:val="single" w:color="auto" w:sz="4" w:space="0"/>
            </w:tcBorders>
            <w:vAlign w:val="center"/>
          </w:tcPr>
          <w:p w14:paraId="46F38133">
            <w:pPr>
              <w:adjustRightIn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投标人与本项目其他投标人加密打包投标文件电脑机器特征码一致的(以</w:t>
            </w:r>
            <w:r>
              <w:rPr>
                <w:rFonts w:hint="eastAsia" w:ascii="宋体" w:hAnsi="宋体"/>
                <w:color w:val="auto"/>
                <w:sz w:val="21"/>
                <w:szCs w:val="21"/>
                <w:highlight w:val="none"/>
                <w:u w:val="single"/>
              </w:rPr>
              <w:t>广州交易集团有限公司（广州公共资源交易中心）</w:t>
            </w:r>
            <w:r>
              <w:rPr>
                <w:rFonts w:hint="eastAsia" w:ascii="宋体" w:hAnsi="宋体" w:eastAsia="宋体" w:cs="宋体"/>
                <w:color w:val="auto"/>
                <w:szCs w:val="21"/>
                <w:highlight w:val="none"/>
              </w:rPr>
              <w:t>交易平台评标系统的检索信息为准)</w:t>
            </w:r>
          </w:p>
        </w:tc>
        <w:tc>
          <w:tcPr>
            <w:tcW w:w="993" w:type="dxa"/>
            <w:tcBorders>
              <w:top w:val="single" w:color="auto" w:sz="4" w:space="0"/>
              <w:left w:val="single" w:color="auto" w:sz="4" w:space="0"/>
              <w:bottom w:val="single" w:color="auto" w:sz="4" w:space="0"/>
              <w:right w:val="single" w:color="auto" w:sz="4" w:space="0"/>
            </w:tcBorders>
          </w:tcPr>
          <w:p w14:paraId="5A9D0C60">
            <w:pPr>
              <w:adjustRightInd w:val="0"/>
              <w:rPr>
                <w:rFonts w:hint="eastAsia" w:ascii="宋体" w:hAnsi="宋体" w:eastAsia="宋体" w:cs="宋体"/>
                <w:color w:val="auto"/>
                <w:szCs w:val="21"/>
                <w:highlight w:val="none"/>
              </w:rPr>
            </w:pPr>
          </w:p>
        </w:tc>
        <w:tc>
          <w:tcPr>
            <w:tcW w:w="769" w:type="dxa"/>
            <w:tcBorders>
              <w:top w:val="single" w:color="auto" w:sz="4" w:space="0"/>
              <w:left w:val="single" w:color="auto" w:sz="4" w:space="0"/>
              <w:bottom w:val="single" w:color="auto" w:sz="4" w:space="0"/>
              <w:right w:val="single" w:color="auto" w:sz="4" w:space="0"/>
            </w:tcBorders>
          </w:tcPr>
          <w:p w14:paraId="46169E62">
            <w:pPr>
              <w:adjustRightInd w:val="0"/>
              <w:rPr>
                <w:rFonts w:hint="eastAsia" w:ascii="宋体" w:hAnsi="宋体" w:eastAsia="宋体" w:cs="宋体"/>
                <w:color w:val="auto"/>
                <w:szCs w:val="21"/>
                <w:highlight w:val="none"/>
              </w:rPr>
            </w:pPr>
          </w:p>
        </w:tc>
        <w:tc>
          <w:tcPr>
            <w:tcW w:w="806" w:type="dxa"/>
            <w:tcBorders>
              <w:top w:val="single" w:color="auto" w:sz="4" w:space="0"/>
              <w:left w:val="single" w:color="auto" w:sz="4" w:space="0"/>
              <w:bottom w:val="single" w:color="auto" w:sz="4" w:space="0"/>
              <w:right w:val="single" w:color="auto" w:sz="4" w:space="0"/>
            </w:tcBorders>
          </w:tcPr>
          <w:p w14:paraId="16D60672">
            <w:pPr>
              <w:adjustRightInd w:val="0"/>
              <w:rPr>
                <w:rFonts w:hint="eastAsia" w:ascii="宋体" w:hAnsi="宋体" w:eastAsia="宋体" w:cs="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tcPr>
          <w:p w14:paraId="1F2444D3">
            <w:pPr>
              <w:adjustRightInd w:val="0"/>
              <w:rPr>
                <w:rFonts w:hint="eastAsia" w:ascii="宋体" w:hAnsi="宋体" w:eastAsia="宋体" w:cs="宋体"/>
                <w:color w:val="auto"/>
                <w:szCs w:val="21"/>
                <w:highlight w:val="none"/>
              </w:rPr>
            </w:pPr>
          </w:p>
        </w:tc>
        <w:tc>
          <w:tcPr>
            <w:tcW w:w="731" w:type="dxa"/>
            <w:tcBorders>
              <w:top w:val="single" w:color="auto" w:sz="4" w:space="0"/>
              <w:left w:val="single" w:color="auto" w:sz="4" w:space="0"/>
              <w:bottom w:val="single" w:color="auto" w:sz="4" w:space="0"/>
              <w:right w:val="single" w:color="auto" w:sz="4" w:space="0"/>
            </w:tcBorders>
          </w:tcPr>
          <w:p w14:paraId="5F5BECC1">
            <w:pPr>
              <w:adjustRightInd w:val="0"/>
              <w:rPr>
                <w:rFonts w:hint="eastAsia" w:ascii="宋体" w:hAnsi="宋体" w:eastAsia="宋体" w:cs="宋体"/>
                <w:color w:val="auto"/>
                <w:szCs w:val="21"/>
                <w:highlight w:val="none"/>
              </w:rPr>
            </w:pPr>
          </w:p>
        </w:tc>
        <w:tc>
          <w:tcPr>
            <w:tcW w:w="899" w:type="dxa"/>
            <w:tcBorders>
              <w:top w:val="single" w:color="auto" w:sz="4" w:space="0"/>
              <w:left w:val="single" w:color="auto" w:sz="4" w:space="0"/>
              <w:bottom w:val="single" w:color="auto" w:sz="4" w:space="0"/>
              <w:right w:val="single" w:color="auto" w:sz="4" w:space="0"/>
            </w:tcBorders>
          </w:tcPr>
          <w:p w14:paraId="2FAA52FD">
            <w:pPr>
              <w:adjustRightInd w:val="0"/>
              <w:rPr>
                <w:rFonts w:hint="eastAsia" w:ascii="宋体" w:hAnsi="宋体" w:eastAsia="宋体" w:cs="宋体"/>
                <w:color w:val="auto"/>
                <w:szCs w:val="21"/>
                <w:highlight w:val="none"/>
              </w:rPr>
            </w:pPr>
          </w:p>
        </w:tc>
      </w:tr>
    </w:tbl>
    <w:p w14:paraId="2E727D3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注：1.本表使用GZZB2018-3招标文件范本，与范本内容不同之处均以下划线标明。技术标评审中，响应性、承诺性内容不应作为评分因素，可在该表中对上述内容进行符合性审查。审查标准须具备可操作性。</w:t>
      </w:r>
    </w:p>
    <w:p w14:paraId="6DBAEA1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 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14:paraId="5E20BEC1">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3.凡出现以上任何一项情形，结论均为无效，否则就为有效。</w:t>
      </w:r>
    </w:p>
    <w:p w14:paraId="7FE275A7">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4.如对本表中某种情形的评审意见不一致时，以评标委员会过半数成员的意见作为评标委员会对该情形的认定结论。</w:t>
      </w:r>
    </w:p>
    <w:p w14:paraId="10C3FC4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评委签名：</w:t>
      </w:r>
    </w:p>
    <w:p w14:paraId="563EE4D4">
      <w:pPr>
        <w:rPr>
          <w:rFonts w:hint="eastAsia" w:ascii="宋体" w:hAnsi="宋体" w:eastAsia="宋体" w:cs="宋体"/>
          <w:color w:val="auto"/>
          <w:szCs w:val="21"/>
          <w:highlight w:val="none"/>
        </w:rPr>
      </w:pPr>
      <w:r>
        <w:rPr>
          <w:rFonts w:hint="eastAsia" w:ascii="宋体" w:hAnsi="宋体" w:eastAsia="宋体" w:cs="宋体"/>
          <w:color w:val="auto"/>
          <w:highlight w:val="none"/>
        </w:rPr>
        <w:br w:type="page"/>
      </w:r>
      <w:r>
        <w:rPr>
          <w:rFonts w:hint="eastAsia" w:ascii="宋体" w:hAnsi="宋体" w:eastAsia="宋体" w:cs="宋体"/>
          <w:color w:val="auto"/>
          <w:szCs w:val="21"/>
          <w:highlight w:val="none"/>
        </w:rPr>
        <w:t>附表三</w:t>
      </w:r>
    </w:p>
    <w:p w14:paraId="2C99A680">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经济标有效性审查表</w:t>
      </w:r>
    </w:p>
    <w:p w14:paraId="2AD1443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工程名称：</w:t>
      </w:r>
    </w:p>
    <w:tbl>
      <w:tblPr>
        <w:tblStyle w:val="34"/>
        <w:tblW w:w="1501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433"/>
        <w:gridCol w:w="1066"/>
        <w:gridCol w:w="1397"/>
        <w:gridCol w:w="1397"/>
        <w:gridCol w:w="1396"/>
        <w:gridCol w:w="1397"/>
        <w:gridCol w:w="1397"/>
      </w:tblGrid>
      <w:tr w14:paraId="633FB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14:paraId="145368C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6433" w:type="dxa"/>
            <w:tcBorders>
              <w:top w:val="single" w:color="auto" w:sz="4" w:space="0"/>
              <w:left w:val="single" w:color="auto" w:sz="4" w:space="0"/>
              <w:bottom w:val="single" w:color="auto" w:sz="4" w:space="0"/>
              <w:right w:val="single" w:color="auto" w:sz="4" w:space="0"/>
              <w:tl2br w:val="single" w:color="auto" w:sz="4" w:space="0"/>
            </w:tcBorders>
          </w:tcPr>
          <w:p w14:paraId="1DF7A3E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投标人</w:t>
            </w:r>
          </w:p>
          <w:p w14:paraId="0FA05BB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评审内容</w:t>
            </w:r>
          </w:p>
        </w:tc>
        <w:tc>
          <w:tcPr>
            <w:tcW w:w="1066" w:type="dxa"/>
            <w:tcBorders>
              <w:top w:val="single" w:color="auto" w:sz="4" w:space="0"/>
              <w:left w:val="single" w:color="auto" w:sz="4" w:space="0"/>
              <w:bottom w:val="single" w:color="auto" w:sz="4" w:space="0"/>
              <w:right w:val="single" w:color="auto" w:sz="4" w:space="0"/>
            </w:tcBorders>
          </w:tcPr>
          <w:p w14:paraId="03E8594B">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78F5E686">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091C9FEA">
            <w:pPr>
              <w:rPr>
                <w:rFonts w:hint="eastAsia" w:ascii="宋体" w:hAnsi="宋体" w:eastAsia="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06D1FF77">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79532478">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3043B6E0">
            <w:pPr>
              <w:rPr>
                <w:rFonts w:hint="eastAsia" w:ascii="宋体" w:hAnsi="宋体" w:eastAsia="宋体" w:cs="宋体"/>
                <w:color w:val="auto"/>
                <w:szCs w:val="21"/>
                <w:highlight w:val="none"/>
              </w:rPr>
            </w:pPr>
          </w:p>
        </w:tc>
      </w:tr>
      <w:tr w14:paraId="62E49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4586E48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6433" w:type="dxa"/>
            <w:tcBorders>
              <w:top w:val="single" w:color="auto" w:sz="4" w:space="0"/>
              <w:left w:val="single" w:color="auto" w:sz="4" w:space="0"/>
              <w:bottom w:val="single" w:color="auto" w:sz="4" w:space="0"/>
              <w:right w:val="single" w:color="auto" w:sz="4" w:space="0"/>
            </w:tcBorders>
            <w:vAlign w:val="center"/>
          </w:tcPr>
          <w:p w14:paraId="40D0941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对同一招标项目出现两个或以上的投标报价，且没有申明哪个有效；</w:t>
            </w:r>
          </w:p>
        </w:tc>
        <w:tc>
          <w:tcPr>
            <w:tcW w:w="1066" w:type="dxa"/>
            <w:tcBorders>
              <w:top w:val="single" w:color="auto" w:sz="4" w:space="0"/>
              <w:left w:val="single" w:color="auto" w:sz="4" w:space="0"/>
              <w:bottom w:val="single" w:color="auto" w:sz="4" w:space="0"/>
              <w:right w:val="single" w:color="auto" w:sz="4" w:space="0"/>
            </w:tcBorders>
          </w:tcPr>
          <w:p w14:paraId="0D8958E2">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2760D215">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4790E773">
            <w:pPr>
              <w:rPr>
                <w:rFonts w:hint="eastAsia" w:ascii="宋体" w:hAnsi="宋体" w:eastAsia="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7F1CADC2">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71ACD679">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68B2A379">
            <w:pPr>
              <w:rPr>
                <w:rFonts w:hint="eastAsia" w:ascii="宋体" w:hAnsi="宋体" w:eastAsia="宋体" w:cs="宋体"/>
                <w:color w:val="auto"/>
                <w:szCs w:val="21"/>
                <w:highlight w:val="none"/>
              </w:rPr>
            </w:pPr>
          </w:p>
        </w:tc>
      </w:tr>
      <w:tr w14:paraId="4E597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3B36AF8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6433" w:type="dxa"/>
            <w:tcBorders>
              <w:top w:val="single" w:color="auto" w:sz="4" w:space="0"/>
              <w:left w:val="single" w:color="auto" w:sz="4" w:space="0"/>
              <w:bottom w:val="single" w:color="auto" w:sz="4" w:space="0"/>
              <w:right w:val="single" w:color="auto" w:sz="4" w:space="0"/>
            </w:tcBorders>
            <w:vAlign w:val="center"/>
          </w:tcPr>
          <w:p w14:paraId="147A29F9">
            <w:pPr>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工程费投标</w:t>
            </w:r>
            <w:r>
              <w:rPr>
                <w:rFonts w:hint="eastAsia" w:ascii="宋体" w:hAnsi="宋体" w:cs="宋体"/>
                <w:color w:val="auto"/>
                <w:szCs w:val="21"/>
                <w:highlight w:val="none"/>
                <w:u w:val="single"/>
                <w:lang w:val="en-US" w:eastAsia="zh-CN"/>
              </w:rPr>
              <w:t>总</w:t>
            </w:r>
            <w:r>
              <w:rPr>
                <w:rFonts w:hint="eastAsia" w:ascii="宋体" w:hAnsi="宋体" w:eastAsia="宋体" w:cs="宋体"/>
                <w:color w:val="auto"/>
                <w:szCs w:val="21"/>
                <w:highlight w:val="none"/>
                <w:u w:val="single"/>
              </w:rPr>
              <w:t>报价高于工程费招标控制价，</w:t>
            </w:r>
            <w:r>
              <w:rPr>
                <w:rFonts w:hint="eastAsia" w:ascii="宋体" w:hAnsi="宋体" w:eastAsia="宋体" w:cs="宋体"/>
                <w:bCs/>
                <w:color w:val="auto"/>
                <w:szCs w:val="21"/>
                <w:highlight w:val="none"/>
                <w:u w:val="single"/>
                <w:lang w:bidi="ar"/>
              </w:rPr>
              <w:t>拆卸工程回收价值报价低于拆卸工程回收价值招标控制价或招标控制综合单价</w:t>
            </w:r>
          </w:p>
        </w:tc>
        <w:tc>
          <w:tcPr>
            <w:tcW w:w="1066" w:type="dxa"/>
            <w:tcBorders>
              <w:top w:val="single" w:color="auto" w:sz="4" w:space="0"/>
              <w:left w:val="single" w:color="auto" w:sz="4" w:space="0"/>
              <w:bottom w:val="single" w:color="auto" w:sz="4" w:space="0"/>
              <w:right w:val="single" w:color="auto" w:sz="4" w:space="0"/>
            </w:tcBorders>
          </w:tcPr>
          <w:p w14:paraId="0348EA66">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6EA2554C">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536C89CB">
            <w:pPr>
              <w:rPr>
                <w:rFonts w:hint="eastAsia" w:ascii="宋体" w:hAnsi="宋体" w:eastAsia="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7EB51F1B">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0B982D5C">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68B8E401">
            <w:pPr>
              <w:rPr>
                <w:rFonts w:hint="eastAsia" w:ascii="宋体" w:hAnsi="宋体" w:eastAsia="宋体" w:cs="宋体"/>
                <w:color w:val="auto"/>
                <w:szCs w:val="21"/>
                <w:highlight w:val="none"/>
              </w:rPr>
            </w:pPr>
          </w:p>
        </w:tc>
      </w:tr>
      <w:tr w14:paraId="5D9B0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6C68253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6433" w:type="dxa"/>
            <w:tcBorders>
              <w:top w:val="single" w:color="auto" w:sz="4" w:space="0"/>
              <w:left w:val="single" w:color="auto" w:sz="4" w:space="0"/>
              <w:bottom w:val="single" w:color="auto" w:sz="4" w:space="0"/>
              <w:right w:val="single" w:color="auto" w:sz="4" w:space="0"/>
            </w:tcBorders>
            <w:vAlign w:val="center"/>
          </w:tcPr>
          <w:p w14:paraId="40B13823">
            <w:pPr>
              <w:autoSpaceDE w:val="0"/>
              <w:autoSpaceDN w:val="0"/>
              <w:adjustRightInd w:val="0"/>
              <w:ind w:left="-2" w:leftChars="-1"/>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val="en-US" w:eastAsia="zh-CN"/>
              </w:rPr>
              <w:t>工程费</w:t>
            </w:r>
            <w:r>
              <w:rPr>
                <w:rFonts w:hint="eastAsia" w:ascii="宋体" w:hAnsi="宋体" w:eastAsia="宋体" w:cs="宋体"/>
                <w:color w:val="auto"/>
                <w:szCs w:val="21"/>
                <w:highlight w:val="none"/>
                <w:u w:val="single"/>
              </w:rPr>
              <w:t>投标</w:t>
            </w:r>
            <w:r>
              <w:rPr>
                <w:rFonts w:hint="eastAsia" w:ascii="宋体" w:hAnsi="宋体" w:cs="宋体"/>
                <w:color w:val="auto"/>
                <w:szCs w:val="21"/>
                <w:highlight w:val="none"/>
                <w:u w:val="single"/>
                <w:lang w:val="en-US" w:eastAsia="zh-CN"/>
              </w:rPr>
              <w:t>总</w:t>
            </w:r>
            <w:r>
              <w:rPr>
                <w:rFonts w:hint="eastAsia" w:ascii="宋体" w:hAnsi="宋体" w:eastAsia="宋体" w:cs="宋体"/>
                <w:color w:val="auto"/>
                <w:szCs w:val="21"/>
                <w:highlight w:val="none"/>
                <w:u w:val="single"/>
              </w:rPr>
              <w:t>报价低于成本的（投标人的</w:t>
            </w:r>
            <w:r>
              <w:rPr>
                <w:rFonts w:hint="eastAsia" w:ascii="宋体" w:hAnsi="宋体" w:eastAsia="宋体" w:cs="宋体"/>
                <w:color w:val="auto"/>
                <w:szCs w:val="21"/>
                <w:highlight w:val="none"/>
                <w:u w:val="single"/>
                <w:lang w:val="en-US" w:eastAsia="zh-CN"/>
              </w:rPr>
              <w:t>工程费</w:t>
            </w:r>
            <w:r>
              <w:rPr>
                <w:rFonts w:hint="eastAsia" w:ascii="宋体" w:hAnsi="宋体" w:eastAsia="宋体" w:cs="宋体"/>
                <w:color w:val="auto"/>
                <w:szCs w:val="21"/>
                <w:highlight w:val="none"/>
                <w:u w:val="single"/>
              </w:rPr>
              <w:t>投标</w:t>
            </w:r>
            <w:r>
              <w:rPr>
                <w:rFonts w:hint="eastAsia" w:ascii="宋体" w:hAnsi="宋体" w:cs="宋体"/>
                <w:color w:val="auto"/>
                <w:szCs w:val="21"/>
                <w:highlight w:val="none"/>
                <w:u w:val="single"/>
                <w:lang w:val="en-US" w:eastAsia="zh-CN"/>
              </w:rPr>
              <w:t>总</w:t>
            </w:r>
            <w:r>
              <w:rPr>
                <w:rFonts w:hint="eastAsia" w:ascii="宋体" w:hAnsi="宋体" w:eastAsia="宋体" w:cs="宋体"/>
                <w:color w:val="auto"/>
                <w:szCs w:val="21"/>
                <w:highlight w:val="none"/>
                <w:u w:val="single"/>
              </w:rPr>
              <w:t>报价低于成本警戒价，使得其</w:t>
            </w:r>
            <w:r>
              <w:rPr>
                <w:rFonts w:hint="eastAsia" w:ascii="宋体" w:hAnsi="宋体" w:eastAsia="宋体" w:cs="宋体"/>
                <w:color w:val="auto"/>
                <w:szCs w:val="21"/>
                <w:highlight w:val="none"/>
                <w:u w:val="single"/>
                <w:lang w:val="en-US" w:eastAsia="zh-CN"/>
              </w:rPr>
              <w:t>工程费</w:t>
            </w:r>
            <w:r>
              <w:rPr>
                <w:rFonts w:hint="eastAsia" w:ascii="宋体" w:hAnsi="宋体" w:eastAsia="宋体" w:cs="宋体"/>
                <w:color w:val="auto"/>
                <w:szCs w:val="21"/>
                <w:highlight w:val="none"/>
                <w:u w:val="single"/>
              </w:rPr>
              <w:t>投标</w:t>
            </w:r>
            <w:r>
              <w:rPr>
                <w:rFonts w:hint="eastAsia" w:ascii="宋体" w:hAnsi="宋体" w:cs="宋体"/>
                <w:color w:val="auto"/>
                <w:szCs w:val="21"/>
                <w:highlight w:val="none"/>
                <w:u w:val="single"/>
                <w:lang w:val="en-US" w:eastAsia="zh-CN"/>
              </w:rPr>
              <w:t>总</w:t>
            </w:r>
            <w:r>
              <w:rPr>
                <w:rFonts w:hint="eastAsia" w:ascii="宋体" w:hAnsi="宋体" w:eastAsia="宋体" w:cs="宋体"/>
                <w:color w:val="auto"/>
                <w:szCs w:val="21"/>
                <w:highlight w:val="none"/>
                <w:u w:val="single"/>
              </w:rPr>
              <w:t>报价可能低于其个别成本，又不能合理说明或者不能提供相关证明材料，评标委员会认定该投标人低于成本报价的）；</w:t>
            </w:r>
          </w:p>
        </w:tc>
        <w:tc>
          <w:tcPr>
            <w:tcW w:w="1066" w:type="dxa"/>
            <w:tcBorders>
              <w:top w:val="single" w:color="auto" w:sz="4" w:space="0"/>
              <w:left w:val="single" w:color="auto" w:sz="4" w:space="0"/>
              <w:bottom w:val="single" w:color="auto" w:sz="4" w:space="0"/>
              <w:right w:val="single" w:color="auto" w:sz="4" w:space="0"/>
            </w:tcBorders>
          </w:tcPr>
          <w:p w14:paraId="3BD8C544">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76076FD7">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75361003">
            <w:pPr>
              <w:rPr>
                <w:rFonts w:hint="eastAsia" w:ascii="宋体" w:hAnsi="宋体" w:eastAsia="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5EE2475E">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7A7F0532">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360E6501">
            <w:pPr>
              <w:rPr>
                <w:rFonts w:hint="eastAsia" w:ascii="宋体" w:hAnsi="宋体" w:eastAsia="宋体" w:cs="宋体"/>
                <w:color w:val="auto"/>
                <w:szCs w:val="21"/>
                <w:highlight w:val="none"/>
              </w:rPr>
            </w:pPr>
          </w:p>
        </w:tc>
      </w:tr>
      <w:tr w14:paraId="6DA18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5E29EED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6433" w:type="dxa"/>
            <w:tcBorders>
              <w:top w:val="single" w:color="auto" w:sz="4" w:space="0"/>
              <w:left w:val="single" w:color="auto" w:sz="4" w:space="0"/>
              <w:bottom w:val="single" w:color="auto" w:sz="4" w:space="0"/>
              <w:right w:val="single" w:color="auto" w:sz="4" w:space="0"/>
            </w:tcBorders>
            <w:vAlign w:val="center"/>
          </w:tcPr>
          <w:p w14:paraId="21ADB2C4">
            <w:pPr>
              <w:rPr>
                <w:rFonts w:hint="eastAsia" w:ascii="宋体" w:hAnsi="宋体" w:eastAsia="宋体" w:cs="宋体"/>
                <w:color w:val="auto"/>
                <w:szCs w:val="21"/>
                <w:highlight w:val="none"/>
              </w:rPr>
            </w:pPr>
            <w:r>
              <w:rPr>
                <w:rFonts w:hint="eastAsia" w:ascii="宋体" w:hAnsi="宋体"/>
                <w:color w:val="auto"/>
                <w:szCs w:val="21"/>
                <w:highlight w:val="none"/>
              </w:rPr>
              <w:t>投标文件未按规定的格式填写</w:t>
            </w:r>
            <w:r>
              <w:rPr>
                <w:rFonts w:hint="eastAsia" w:ascii="宋体" w:hAnsi="宋体" w:cs="宋体"/>
                <w:color w:val="auto"/>
                <w:szCs w:val="21"/>
                <w:highlight w:val="none"/>
                <w:u w:val="single"/>
                <w:lang w:bidi="ar-SA"/>
              </w:rPr>
              <w:t>（除带“★”号的必须按招标文件规定的格式进行编制外，其余格式仅供参考不作为投标文件有效性审查的条件）</w:t>
            </w:r>
            <w:r>
              <w:rPr>
                <w:rFonts w:hint="eastAsia" w:ascii="宋体" w:hAnsi="宋体"/>
                <w:color w:val="auto"/>
                <w:szCs w:val="21"/>
                <w:highlight w:val="none"/>
              </w:rPr>
              <w:t>，或主要内容不全，或关键字迹模糊、无法辨认的；</w:t>
            </w:r>
          </w:p>
        </w:tc>
        <w:tc>
          <w:tcPr>
            <w:tcW w:w="1066" w:type="dxa"/>
            <w:tcBorders>
              <w:top w:val="single" w:color="auto" w:sz="4" w:space="0"/>
              <w:left w:val="single" w:color="auto" w:sz="4" w:space="0"/>
              <w:bottom w:val="single" w:color="auto" w:sz="4" w:space="0"/>
              <w:right w:val="single" w:color="auto" w:sz="4" w:space="0"/>
            </w:tcBorders>
          </w:tcPr>
          <w:p w14:paraId="73BA9D9C">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7BCAD6D9">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77A49279">
            <w:pPr>
              <w:rPr>
                <w:rFonts w:hint="eastAsia" w:ascii="宋体" w:hAnsi="宋体" w:eastAsia="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17C28B1D">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4AD15DD3">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399BFB4D">
            <w:pPr>
              <w:rPr>
                <w:rFonts w:hint="eastAsia" w:ascii="宋体" w:hAnsi="宋体" w:eastAsia="宋体" w:cs="宋体"/>
                <w:color w:val="auto"/>
                <w:szCs w:val="21"/>
                <w:highlight w:val="none"/>
              </w:rPr>
            </w:pPr>
          </w:p>
        </w:tc>
      </w:tr>
      <w:tr w14:paraId="5EE5E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22FD554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6433" w:type="dxa"/>
            <w:tcBorders>
              <w:top w:val="single" w:color="auto" w:sz="4" w:space="0"/>
              <w:left w:val="single" w:color="auto" w:sz="4" w:space="0"/>
              <w:bottom w:val="single" w:color="auto" w:sz="4" w:space="0"/>
              <w:right w:val="single" w:color="auto" w:sz="4" w:space="0"/>
            </w:tcBorders>
            <w:vAlign w:val="center"/>
          </w:tcPr>
          <w:p w14:paraId="71DDD57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投标人之间存在《广东省实施&lt;中华人民共和国招标投标法&gt;》第十六条所禁止的情形的；</w:t>
            </w:r>
          </w:p>
        </w:tc>
        <w:tc>
          <w:tcPr>
            <w:tcW w:w="1066" w:type="dxa"/>
            <w:tcBorders>
              <w:top w:val="single" w:color="auto" w:sz="4" w:space="0"/>
              <w:left w:val="single" w:color="auto" w:sz="4" w:space="0"/>
              <w:bottom w:val="single" w:color="auto" w:sz="4" w:space="0"/>
              <w:right w:val="single" w:color="auto" w:sz="4" w:space="0"/>
            </w:tcBorders>
          </w:tcPr>
          <w:p w14:paraId="0563D408">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16BA7A8D">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05810563">
            <w:pPr>
              <w:rPr>
                <w:rFonts w:hint="eastAsia" w:ascii="宋体" w:hAnsi="宋体" w:eastAsia="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7F265A5E">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4CDBEDB4">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76AF6C89">
            <w:pPr>
              <w:rPr>
                <w:rFonts w:hint="eastAsia" w:ascii="宋体" w:hAnsi="宋体" w:eastAsia="宋体" w:cs="宋体"/>
                <w:color w:val="auto"/>
                <w:szCs w:val="21"/>
                <w:highlight w:val="none"/>
              </w:rPr>
            </w:pPr>
          </w:p>
        </w:tc>
      </w:tr>
      <w:tr w14:paraId="5F6BB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21365C9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6433" w:type="dxa"/>
            <w:tcBorders>
              <w:top w:val="single" w:color="auto" w:sz="4" w:space="0"/>
              <w:left w:val="single" w:color="auto" w:sz="4" w:space="0"/>
              <w:bottom w:val="single" w:color="auto" w:sz="4" w:space="0"/>
              <w:right w:val="single" w:color="auto" w:sz="4" w:space="0"/>
            </w:tcBorders>
            <w:vAlign w:val="center"/>
          </w:tcPr>
          <w:p w14:paraId="4A06AC3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无《参与编制经济标投标文件人员名单》的；</w:t>
            </w:r>
          </w:p>
        </w:tc>
        <w:tc>
          <w:tcPr>
            <w:tcW w:w="1066" w:type="dxa"/>
            <w:tcBorders>
              <w:top w:val="single" w:color="auto" w:sz="4" w:space="0"/>
              <w:left w:val="single" w:color="auto" w:sz="4" w:space="0"/>
              <w:bottom w:val="single" w:color="auto" w:sz="4" w:space="0"/>
              <w:right w:val="single" w:color="auto" w:sz="4" w:space="0"/>
            </w:tcBorders>
          </w:tcPr>
          <w:p w14:paraId="5A4F8FB0">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0E1A8555">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1334E967">
            <w:pPr>
              <w:rPr>
                <w:rFonts w:hint="eastAsia" w:ascii="宋体" w:hAnsi="宋体" w:eastAsia="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5802E86A">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1D0A0FD4">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4F35321C">
            <w:pPr>
              <w:rPr>
                <w:rFonts w:hint="eastAsia" w:ascii="宋体" w:hAnsi="宋体" w:eastAsia="宋体" w:cs="宋体"/>
                <w:color w:val="auto"/>
                <w:szCs w:val="21"/>
                <w:highlight w:val="none"/>
              </w:rPr>
            </w:pPr>
          </w:p>
        </w:tc>
      </w:tr>
      <w:tr w14:paraId="54BB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071187E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6433" w:type="dxa"/>
            <w:tcBorders>
              <w:top w:val="single" w:color="auto" w:sz="4" w:space="0"/>
              <w:left w:val="single" w:color="auto" w:sz="4" w:space="0"/>
              <w:bottom w:val="single" w:color="auto" w:sz="4" w:space="0"/>
              <w:right w:val="single" w:color="auto" w:sz="4" w:space="0"/>
            </w:tcBorders>
            <w:vAlign w:val="center"/>
          </w:tcPr>
          <w:p w14:paraId="2AEACCA1">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无《对投标文件编制的承诺》</w:t>
            </w:r>
          </w:p>
        </w:tc>
        <w:tc>
          <w:tcPr>
            <w:tcW w:w="1066" w:type="dxa"/>
            <w:tcBorders>
              <w:top w:val="single" w:color="auto" w:sz="4" w:space="0"/>
              <w:left w:val="single" w:color="auto" w:sz="4" w:space="0"/>
              <w:bottom w:val="single" w:color="auto" w:sz="4" w:space="0"/>
              <w:right w:val="single" w:color="auto" w:sz="4" w:space="0"/>
            </w:tcBorders>
          </w:tcPr>
          <w:p w14:paraId="333DF1C7">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66CE4C6F">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0956073E">
            <w:pPr>
              <w:rPr>
                <w:rFonts w:hint="eastAsia" w:ascii="宋体" w:hAnsi="宋体" w:eastAsia="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78BAFFCE">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09502474">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66783B12">
            <w:pPr>
              <w:rPr>
                <w:rFonts w:hint="eastAsia" w:ascii="宋体" w:hAnsi="宋体" w:eastAsia="宋体" w:cs="宋体"/>
                <w:color w:val="auto"/>
                <w:szCs w:val="21"/>
                <w:highlight w:val="none"/>
              </w:rPr>
            </w:pPr>
          </w:p>
        </w:tc>
      </w:tr>
      <w:tr w14:paraId="77BAE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76187FD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6433" w:type="dxa"/>
            <w:tcBorders>
              <w:top w:val="single" w:color="auto" w:sz="4" w:space="0"/>
              <w:left w:val="single" w:color="auto" w:sz="4" w:space="0"/>
              <w:bottom w:val="single" w:color="auto" w:sz="4" w:space="0"/>
              <w:right w:val="single" w:color="auto" w:sz="4" w:space="0"/>
            </w:tcBorders>
            <w:vAlign w:val="center"/>
          </w:tcPr>
          <w:p w14:paraId="6A99354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投标人与本项目其他投标人的投标文件工程量清单编制机器硬件</w:t>
            </w:r>
          </w:p>
          <w:p w14:paraId="48A461D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信息一致的（以交易平台评标系统的检索信息为准）</w:t>
            </w:r>
          </w:p>
        </w:tc>
        <w:tc>
          <w:tcPr>
            <w:tcW w:w="1066" w:type="dxa"/>
            <w:tcBorders>
              <w:top w:val="single" w:color="auto" w:sz="4" w:space="0"/>
              <w:left w:val="single" w:color="auto" w:sz="4" w:space="0"/>
              <w:bottom w:val="single" w:color="auto" w:sz="4" w:space="0"/>
              <w:right w:val="single" w:color="auto" w:sz="4" w:space="0"/>
            </w:tcBorders>
          </w:tcPr>
          <w:p w14:paraId="3CBD6713">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24A05D1A">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58FE2D18">
            <w:pPr>
              <w:rPr>
                <w:rFonts w:hint="eastAsia" w:ascii="宋体" w:hAnsi="宋体" w:eastAsia="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7DBAE154">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66270666">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7FE0EA67">
            <w:pPr>
              <w:rPr>
                <w:rFonts w:hint="eastAsia" w:ascii="宋体" w:hAnsi="宋体" w:eastAsia="宋体" w:cs="宋体"/>
                <w:color w:val="auto"/>
                <w:szCs w:val="21"/>
                <w:highlight w:val="none"/>
              </w:rPr>
            </w:pPr>
          </w:p>
        </w:tc>
      </w:tr>
    </w:tbl>
    <w:p w14:paraId="53A76024">
      <w:pPr>
        <w:ind w:firstLine="458"/>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注：1.本表使用GZZB2018-3招标文件范本，与范本内容不同之处均以下划线标明。</w:t>
      </w:r>
    </w:p>
    <w:p w14:paraId="60EBE27D">
      <w:pPr>
        <w:ind w:firstLine="458"/>
        <w:rPr>
          <w:rFonts w:hint="eastAsia" w:ascii="宋体" w:hAnsi="宋体" w:eastAsia="宋体" w:cs="宋体"/>
          <w:color w:val="auto"/>
          <w:szCs w:val="21"/>
          <w:highlight w:val="none"/>
        </w:rPr>
      </w:pPr>
      <w:r>
        <w:rPr>
          <w:rFonts w:hint="eastAsia" w:ascii="宋体" w:hAnsi="宋体" w:eastAsia="宋体" w:cs="宋体"/>
          <w:color w:val="auto"/>
          <w:szCs w:val="21"/>
          <w:highlight w:val="none"/>
        </w:rPr>
        <w:t>2.凡出现以上任何一项情形，结论均为无效，否则就为有效。</w:t>
      </w:r>
    </w:p>
    <w:p w14:paraId="122C5B87">
      <w:pPr>
        <w:ind w:firstLine="458"/>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3.如对本表中某种情形的评审意见不一致时，以评标委员会过半数成员的意见作为评标委员会对该情形的认定结论。</w:t>
      </w:r>
    </w:p>
    <w:p w14:paraId="55922E9A">
      <w:pPr>
        <w:ind w:firstLine="458"/>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0712737B">
      <w:pPr>
        <w:pStyle w:val="5"/>
        <w:ind w:firstLine="458"/>
        <w:rPr>
          <w:rFonts w:hint="eastAsia" w:ascii="宋体" w:hAnsi="宋体" w:eastAsia="宋体" w:cs="宋体"/>
          <w:color w:val="auto"/>
          <w:szCs w:val="21"/>
          <w:highlight w:val="none"/>
        </w:rPr>
        <w:sectPr>
          <w:endnotePr>
            <w:numFmt w:val="decimal"/>
          </w:endnotePr>
          <w:pgSz w:w="16838" w:h="11906" w:orient="landscape"/>
          <w:pgMar w:top="1418" w:right="1247" w:bottom="1418" w:left="1134" w:header="851" w:footer="907" w:gutter="0"/>
          <w:cols w:space="720" w:num="1"/>
          <w:titlePg/>
          <w:docGrid w:type="linesAndChars" w:linePitch="312" w:charSpace="0"/>
        </w:sectPr>
      </w:pPr>
      <w:r>
        <w:rPr>
          <w:rFonts w:hint="eastAsia" w:ascii="宋体" w:hAnsi="宋体" w:eastAsia="宋体" w:cs="宋体"/>
          <w:color w:val="auto"/>
          <w:szCs w:val="21"/>
          <w:highlight w:val="none"/>
        </w:rPr>
        <w:t>评委签名：</w:t>
      </w:r>
    </w:p>
    <w:p w14:paraId="414908E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附表四</w:t>
      </w:r>
      <w:bookmarkStart w:id="23" w:name="_Hlk151460145"/>
      <w:r>
        <w:rPr>
          <w:rFonts w:hint="eastAsia" w:ascii="宋体" w:hAnsi="宋体" w:eastAsia="宋体" w:cs="宋体"/>
          <w:color w:val="auto"/>
          <w:szCs w:val="21"/>
          <w:highlight w:val="none"/>
        </w:rPr>
        <w:t xml:space="preserve">                           </w:t>
      </w:r>
    </w:p>
    <w:p w14:paraId="33CC879C">
      <w:pPr>
        <w:jc w:val="center"/>
        <w:rPr>
          <w:rFonts w:ascii="宋体" w:hAnsi="宋体" w:cs="宋体"/>
          <w:b/>
          <w:color w:val="auto"/>
          <w:sz w:val="36"/>
          <w:szCs w:val="36"/>
          <w:highlight w:val="none"/>
        </w:rPr>
      </w:pPr>
      <w:r>
        <w:rPr>
          <w:rFonts w:hint="eastAsia" w:ascii="宋体" w:hAnsi="宋体" w:cs="宋体"/>
          <w:b/>
          <w:color w:val="auto"/>
          <w:sz w:val="36"/>
          <w:szCs w:val="36"/>
          <w:highlight w:val="none"/>
        </w:rPr>
        <w:t>技术标详细审查评分表</w:t>
      </w:r>
    </w:p>
    <w:tbl>
      <w:tblPr>
        <w:tblStyle w:val="34"/>
        <w:tblW w:w="13905" w:type="dxa"/>
        <w:jc w:val="center"/>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773"/>
        <w:gridCol w:w="1200"/>
        <w:gridCol w:w="800"/>
        <w:gridCol w:w="9966"/>
        <w:gridCol w:w="634"/>
        <w:gridCol w:w="532"/>
      </w:tblGrid>
      <w:tr w14:paraId="5EDDC409">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222" w:hRule="atLeast"/>
          <w:jc w:val="center"/>
        </w:trPr>
        <w:tc>
          <w:tcPr>
            <w:tcW w:w="773" w:type="dxa"/>
            <w:tcBorders>
              <w:top w:val="double" w:color="auto" w:sz="2" w:space="0"/>
              <w:left w:val="single" w:color="auto" w:sz="6" w:space="0"/>
              <w:bottom w:val="single" w:color="auto" w:sz="6" w:space="0"/>
              <w:right w:val="single" w:color="auto" w:sz="6" w:space="0"/>
            </w:tcBorders>
            <w:shd w:val="clear" w:color="auto" w:fill="auto"/>
            <w:vAlign w:val="center"/>
          </w:tcPr>
          <w:p w14:paraId="76503FD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评分项目</w:t>
            </w:r>
          </w:p>
        </w:tc>
        <w:tc>
          <w:tcPr>
            <w:tcW w:w="1200" w:type="dxa"/>
            <w:tcBorders>
              <w:top w:val="double" w:color="auto" w:sz="2" w:space="0"/>
              <w:left w:val="single" w:color="auto" w:sz="6" w:space="0"/>
              <w:bottom w:val="single" w:color="auto" w:sz="6" w:space="0"/>
              <w:right w:val="single" w:color="auto" w:sz="6" w:space="0"/>
            </w:tcBorders>
            <w:shd w:val="clear" w:color="auto" w:fill="auto"/>
            <w:vAlign w:val="center"/>
          </w:tcPr>
          <w:p w14:paraId="4F5F998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评分内容</w:t>
            </w:r>
          </w:p>
        </w:tc>
        <w:tc>
          <w:tcPr>
            <w:tcW w:w="800" w:type="dxa"/>
            <w:tcBorders>
              <w:top w:val="double" w:color="auto" w:sz="2" w:space="0"/>
              <w:left w:val="single" w:color="auto" w:sz="6" w:space="0"/>
              <w:bottom w:val="single" w:color="auto" w:sz="6" w:space="0"/>
              <w:right w:val="single" w:color="auto" w:sz="6" w:space="0"/>
            </w:tcBorders>
            <w:shd w:val="clear" w:color="auto" w:fill="auto"/>
            <w:vAlign w:val="center"/>
          </w:tcPr>
          <w:p w14:paraId="029CC4B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分值</w:t>
            </w:r>
          </w:p>
        </w:tc>
        <w:tc>
          <w:tcPr>
            <w:tcW w:w="9966" w:type="dxa"/>
            <w:tcBorders>
              <w:top w:val="double" w:color="auto" w:sz="2" w:space="0"/>
              <w:left w:val="single" w:color="auto" w:sz="6" w:space="0"/>
              <w:bottom w:val="single" w:color="auto" w:sz="6" w:space="0"/>
              <w:right w:val="single" w:color="auto" w:sz="6" w:space="0"/>
            </w:tcBorders>
            <w:shd w:val="clear" w:color="auto" w:fill="auto"/>
            <w:vAlign w:val="center"/>
          </w:tcPr>
          <w:p w14:paraId="66DEAB9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评审标准</w:t>
            </w:r>
          </w:p>
        </w:tc>
        <w:tc>
          <w:tcPr>
            <w:tcW w:w="634" w:type="dxa"/>
            <w:tcBorders>
              <w:top w:val="double" w:color="auto" w:sz="2" w:space="0"/>
              <w:left w:val="single" w:color="auto" w:sz="6" w:space="0"/>
              <w:bottom w:val="single" w:color="auto" w:sz="6" w:space="0"/>
              <w:right w:val="single" w:color="auto" w:sz="6" w:space="0"/>
            </w:tcBorders>
            <w:shd w:val="clear" w:color="auto" w:fill="auto"/>
            <w:vAlign w:val="center"/>
          </w:tcPr>
          <w:p w14:paraId="49CA4BE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得分</w:t>
            </w:r>
          </w:p>
        </w:tc>
        <w:tc>
          <w:tcPr>
            <w:tcW w:w="532" w:type="dxa"/>
            <w:tcBorders>
              <w:top w:val="double" w:color="auto" w:sz="2" w:space="0"/>
              <w:left w:val="single" w:color="auto" w:sz="6" w:space="0"/>
              <w:bottom w:val="single" w:color="auto" w:sz="6" w:space="0"/>
              <w:right w:val="double" w:color="auto" w:sz="2" w:space="0"/>
            </w:tcBorders>
            <w:shd w:val="clear" w:color="auto" w:fill="auto"/>
            <w:vAlign w:val="center"/>
          </w:tcPr>
          <w:p w14:paraId="1D16385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备注</w:t>
            </w:r>
          </w:p>
        </w:tc>
      </w:tr>
      <w:tr w14:paraId="721869BF">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773" w:type="dxa"/>
            <w:vMerge w:val="restart"/>
            <w:tcBorders>
              <w:top w:val="single" w:color="auto" w:sz="6" w:space="0"/>
              <w:left w:val="single" w:color="auto" w:sz="6" w:space="0"/>
              <w:right w:val="single" w:color="auto" w:sz="6" w:space="0"/>
            </w:tcBorders>
            <w:shd w:val="clear" w:color="auto" w:fill="auto"/>
            <w:vAlign w:val="center"/>
          </w:tcPr>
          <w:p w14:paraId="2B93E14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一、企业资信（</w:t>
            </w:r>
            <w:r>
              <w:rPr>
                <w:rFonts w:hint="eastAsia" w:ascii="宋体" w:hAnsi="宋体" w:eastAsia="宋体" w:cs="宋体"/>
                <w:color w:val="auto"/>
                <w:sz w:val="21"/>
                <w:szCs w:val="21"/>
                <w:highlight w:val="none"/>
                <w:lang w:val="en-US" w:eastAsia="zh-CN" w:bidi="ar"/>
              </w:rPr>
              <w:t>30</w:t>
            </w:r>
            <w:r>
              <w:rPr>
                <w:rFonts w:hint="eastAsia" w:ascii="宋体" w:hAnsi="宋体" w:eastAsia="宋体" w:cs="宋体"/>
                <w:color w:val="auto"/>
                <w:sz w:val="21"/>
                <w:szCs w:val="21"/>
                <w:highlight w:val="none"/>
                <w:lang w:bidi="ar"/>
              </w:rPr>
              <w:t>分）</w:t>
            </w:r>
          </w:p>
        </w:tc>
        <w:tc>
          <w:tcPr>
            <w:tcW w:w="1200" w:type="dxa"/>
            <w:tcBorders>
              <w:top w:val="single" w:color="auto" w:sz="6" w:space="0"/>
              <w:left w:val="single" w:color="auto" w:sz="6" w:space="0"/>
              <w:bottom w:val="single" w:color="auto" w:sz="6" w:space="0"/>
              <w:right w:val="single" w:color="auto" w:sz="6" w:space="0"/>
            </w:tcBorders>
            <w:shd w:val="clear" w:color="auto" w:fill="auto"/>
            <w:vAlign w:val="center"/>
          </w:tcPr>
          <w:p w14:paraId="239CB60A">
            <w:pPr>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项目业绩</w:t>
            </w:r>
          </w:p>
        </w:tc>
        <w:tc>
          <w:tcPr>
            <w:tcW w:w="800" w:type="dxa"/>
            <w:tcBorders>
              <w:top w:val="single" w:color="auto" w:sz="6" w:space="0"/>
              <w:left w:val="single" w:color="auto" w:sz="6" w:space="0"/>
              <w:bottom w:val="single" w:color="auto" w:sz="6" w:space="0"/>
              <w:right w:val="single" w:color="auto" w:sz="6" w:space="0"/>
            </w:tcBorders>
            <w:shd w:val="clear" w:color="auto" w:fill="auto"/>
            <w:vAlign w:val="center"/>
          </w:tcPr>
          <w:p w14:paraId="0330908C">
            <w:pPr>
              <w:jc w:val="center"/>
              <w:rPr>
                <w:rFonts w:hint="default" w:ascii="宋体" w:hAnsi="宋体" w:eastAsia="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10分</w:t>
            </w:r>
          </w:p>
        </w:tc>
        <w:tc>
          <w:tcPr>
            <w:tcW w:w="9966" w:type="dxa"/>
            <w:tcBorders>
              <w:top w:val="single" w:color="auto" w:sz="6" w:space="0"/>
              <w:left w:val="single" w:color="auto" w:sz="6" w:space="0"/>
              <w:bottom w:val="single" w:color="auto" w:sz="6" w:space="0"/>
              <w:right w:val="single" w:color="auto" w:sz="6" w:space="0"/>
            </w:tcBorders>
            <w:shd w:val="clear" w:color="auto" w:fill="auto"/>
            <w:vAlign w:val="center"/>
          </w:tcPr>
          <w:p w14:paraId="6C1D6873">
            <w:pPr>
              <w:jc w:val="left"/>
              <w:rPr>
                <w:rFonts w:hint="eastAsia" w:ascii="宋体" w:hAnsi="宋体" w:eastAsia="宋体" w:cs="宋体"/>
                <w:color w:val="auto"/>
                <w:kern w:val="2"/>
                <w:sz w:val="21"/>
                <w:szCs w:val="21"/>
                <w:highlight w:val="none"/>
              </w:rPr>
            </w:pPr>
            <w:r>
              <w:rPr>
                <w:rFonts w:hint="eastAsia" w:ascii="宋体" w:hAnsi="宋体" w:eastAsia="宋体" w:cs="宋体"/>
                <w:bCs/>
                <w:color w:val="auto"/>
                <w:sz w:val="21"/>
                <w:szCs w:val="21"/>
                <w:highlight w:val="none"/>
              </w:rPr>
              <w:t>投标人</w:t>
            </w:r>
            <w:r>
              <w:rPr>
                <w:rFonts w:hint="eastAsia" w:ascii="宋体" w:hAnsi="宋体" w:eastAsia="宋体" w:cs="宋体"/>
                <w:b/>
                <w:color w:val="auto"/>
                <w:sz w:val="21"/>
                <w:szCs w:val="21"/>
                <w:highlight w:val="none"/>
              </w:rPr>
              <w:t>（若为联合体，指联合体牵头单位）</w:t>
            </w:r>
            <w:r>
              <w:rPr>
                <w:rFonts w:hint="eastAsia" w:ascii="宋体" w:hAnsi="宋体" w:eastAsia="宋体" w:cs="宋体"/>
                <w:bCs/>
                <w:color w:val="auto"/>
                <w:sz w:val="21"/>
                <w:szCs w:val="21"/>
                <w:highlight w:val="none"/>
              </w:rPr>
              <w:t>自202</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年1月1日至投标截止时间止，</w:t>
            </w:r>
            <w:r>
              <w:rPr>
                <w:rFonts w:hint="eastAsia" w:ascii="宋体" w:hAnsi="宋体" w:eastAsia="宋体" w:cs="宋体"/>
                <w:bCs/>
                <w:color w:val="auto"/>
                <w:sz w:val="21"/>
                <w:szCs w:val="21"/>
                <w:highlight w:val="none"/>
                <w:lang w:val="en-US" w:eastAsia="zh-CN"/>
              </w:rPr>
              <w:t>完成过质量合格且建安工程费为</w:t>
            </w:r>
            <w:r>
              <w:rPr>
                <w:rFonts w:hint="eastAsia" w:ascii="宋体" w:hAnsi="宋体" w:cs="宋体"/>
                <w:bCs/>
                <w:color w:val="auto"/>
                <w:sz w:val="21"/>
                <w:szCs w:val="21"/>
                <w:highlight w:val="none"/>
                <w:lang w:val="en-US" w:eastAsia="zh-CN"/>
              </w:rPr>
              <w:t>4000</w:t>
            </w:r>
            <w:r>
              <w:rPr>
                <w:rFonts w:hint="eastAsia" w:ascii="宋体" w:hAnsi="宋体" w:eastAsia="宋体" w:cs="宋体"/>
                <w:bCs/>
                <w:color w:val="auto"/>
                <w:sz w:val="21"/>
                <w:szCs w:val="21"/>
                <w:highlight w:val="none"/>
                <w:lang w:val="en-US" w:eastAsia="zh-CN"/>
              </w:rPr>
              <w:t>万元或以上的房屋建筑工程施工总承包</w:t>
            </w:r>
            <w:r>
              <w:rPr>
                <w:rFonts w:hint="eastAsia" w:ascii="宋体" w:hAnsi="宋体" w:cs="宋体"/>
                <w:bCs/>
                <w:color w:val="auto"/>
                <w:sz w:val="21"/>
                <w:szCs w:val="21"/>
                <w:highlight w:val="none"/>
                <w:lang w:val="en-US" w:eastAsia="zh-CN"/>
              </w:rPr>
              <w:t>业绩</w:t>
            </w:r>
            <w:r>
              <w:rPr>
                <w:rFonts w:hint="eastAsia" w:ascii="宋体" w:hAnsi="宋体" w:eastAsia="宋体" w:cs="宋体"/>
                <w:bCs/>
                <w:color w:val="auto"/>
                <w:sz w:val="21"/>
                <w:szCs w:val="21"/>
                <w:highlight w:val="none"/>
                <w:lang w:val="en-US" w:eastAsia="zh-CN"/>
              </w:rPr>
              <w:t>或施工部分建安工程费为</w:t>
            </w:r>
            <w:r>
              <w:rPr>
                <w:rFonts w:hint="eastAsia" w:ascii="宋体" w:hAnsi="宋体" w:cs="宋体"/>
                <w:bCs/>
                <w:color w:val="auto"/>
                <w:sz w:val="21"/>
                <w:szCs w:val="21"/>
                <w:highlight w:val="none"/>
                <w:lang w:val="en-US" w:eastAsia="zh-CN"/>
              </w:rPr>
              <w:t>4000</w:t>
            </w:r>
            <w:r>
              <w:rPr>
                <w:rFonts w:hint="eastAsia" w:ascii="宋体" w:hAnsi="宋体" w:eastAsia="宋体" w:cs="宋体"/>
                <w:bCs/>
                <w:color w:val="auto"/>
                <w:sz w:val="21"/>
                <w:szCs w:val="21"/>
                <w:highlight w:val="none"/>
                <w:lang w:val="en-US" w:eastAsia="zh-CN"/>
              </w:rPr>
              <w:t>万元或以上的工程总承包</w:t>
            </w:r>
            <w:r>
              <w:rPr>
                <w:rFonts w:hint="eastAsia" w:ascii="宋体" w:hAnsi="宋体" w:cs="宋体"/>
                <w:bCs/>
                <w:color w:val="auto"/>
                <w:sz w:val="21"/>
                <w:szCs w:val="21"/>
                <w:highlight w:val="none"/>
                <w:lang w:val="en-US" w:eastAsia="zh-CN"/>
              </w:rPr>
              <w:t>业绩</w:t>
            </w:r>
            <w:r>
              <w:rPr>
                <w:rFonts w:hint="eastAsia" w:ascii="宋体" w:hAnsi="宋体" w:eastAsia="宋体" w:cs="宋体"/>
                <w:bCs/>
                <w:color w:val="auto"/>
                <w:sz w:val="21"/>
                <w:szCs w:val="21"/>
                <w:highlight w:val="none"/>
                <w:lang w:val="en-US" w:eastAsia="zh-CN"/>
              </w:rPr>
              <w:t>（包括设计施工总承包或设计采购施工总承包或勘察设计施工总承包或勘察设计采购施工总承包等），每项得</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lang w:val="en-US" w:eastAsia="zh-CN"/>
              </w:rPr>
              <w:t>分；</w:t>
            </w:r>
            <w:r>
              <w:rPr>
                <w:rFonts w:hint="eastAsia" w:ascii="宋体" w:hAnsi="宋体" w:eastAsia="宋体" w:cs="宋体"/>
                <w:color w:val="auto"/>
                <w:kern w:val="2"/>
                <w:sz w:val="21"/>
                <w:szCs w:val="21"/>
                <w:highlight w:val="none"/>
                <w:lang w:val="en-US"/>
              </w:rPr>
              <w:t>无或其他情况不得分，</w:t>
            </w:r>
            <w:r>
              <w:rPr>
                <w:rFonts w:hint="eastAsia" w:ascii="宋体" w:hAnsi="宋体" w:eastAsia="宋体" w:cs="宋体"/>
                <w:bCs/>
                <w:color w:val="auto"/>
                <w:sz w:val="21"/>
                <w:szCs w:val="21"/>
                <w:highlight w:val="none"/>
                <w:lang w:val="en-US" w:eastAsia="zh-CN"/>
              </w:rPr>
              <w:t>本项最高得10分</w:t>
            </w:r>
            <w:r>
              <w:rPr>
                <w:rFonts w:hint="eastAsia" w:ascii="宋体" w:hAnsi="宋体" w:eastAsia="宋体" w:cs="宋体"/>
                <w:bCs/>
                <w:color w:val="auto"/>
                <w:sz w:val="21"/>
                <w:szCs w:val="21"/>
                <w:highlight w:val="none"/>
              </w:rPr>
              <w:t>。</w:t>
            </w:r>
          </w:p>
        </w:tc>
        <w:tc>
          <w:tcPr>
            <w:tcW w:w="634" w:type="dxa"/>
            <w:tcBorders>
              <w:top w:val="single" w:color="auto" w:sz="6" w:space="0"/>
              <w:left w:val="single" w:color="auto" w:sz="6" w:space="0"/>
              <w:bottom w:val="single" w:color="auto" w:sz="6" w:space="0"/>
              <w:right w:val="single" w:color="auto" w:sz="6" w:space="0"/>
            </w:tcBorders>
            <w:shd w:val="clear" w:color="auto" w:fill="auto"/>
          </w:tcPr>
          <w:p w14:paraId="51050EA4">
            <w:pPr>
              <w:rPr>
                <w:rFonts w:hint="eastAsia" w:ascii="宋体" w:hAnsi="宋体" w:eastAsia="宋体" w:cs="宋体"/>
                <w:color w:val="auto"/>
                <w:sz w:val="21"/>
                <w:szCs w:val="21"/>
                <w:highlight w:val="none"/>
              </w:rPr>
            </w:pPr>
          </w:p>
        </w:tc>
        <w:tc>
          <w:tcPr>
            <w:tcW w:w="532" w:type="dxa"/>
            <w:tcBorders>
              <w:top w:val="single" w:color="auto" w:sz="6" w:space="0"/>
              <w:left w:val="single" w:color="auto" w:sz="6" w:space="0"/>
              <w:bottom w:val="single" w:color="auto" w:sz="6" w:space="0"/>
              <w:right w:val="double" w:color="auto" w:sz="2" w:space="0"/>
            </w:tcBorders>
            <w:shd w:val="clear" w:color="auto" w:fill="auto"/>
          </w:tcPr>
          <w:p w14:paraId="089A4796">
            <w:pPr>
              <w:rPr>
                <w:rFonts w:hint="eastAsia" w:ascii="宋体" w:hAnsi="宋体" w:eastAsia="宋体" w:cs="宋体"/>
                <w:color w:val="auto"/>
                <w:sz w:val="21"/>
                <w:szCs w:val="21"/>
                <w:highlight w:val="none"/>
              </w:rPr>
            </w:pPr>
          </w:p>
        </w:tc>
      </w:tr>
      <w:tr w14:paraId="03634C96">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92" w:hRule="atLeast"/>
          <w:jc w:val="center"/>
        </w:trPr>
        <w:tc>
          <w:tcPr>
            <w:tcW w:w="773" w:type="dxa"/>
            <w:vMerge w:val="continue"/>
            <w:tcBorders>
              <w:left w:val="single" w:color="auto" w:sz="6" w:space="0"/>
              <w:right w:val="single" w:color="auto" w:sz="6" w:space="0"/>
            </w:tcBorders>
            <w:shd w:val="clear" w:color="auto" w:fill="auto"/>
            <w:vAlign w:val="center"/>
          </w:tcPr>
          <w:p w14:paraId="7577E50C">
            <w:pPr>
              <w:rPr>
                <w:rFonts w:hint="eastAsia" w:ascii="宋体" w:hAnsi="宋体" w:eastAsia="宋体" w:cs="宋体"/>
                <w:color w:val="auto"/>
                <w:sz w:val="21"/>
                <w:szCs w:val="21"/>
                <w:highlight w:val="none"/>
              </w:rPr>
            </w:pPr>
          </w:p>
        </w:tc>
        <w:tc>
          <w:tcPr>
            <w:tcW w:w="1200" w:type="dxa"/>
            <w:tcBorders>
              <w:top w:val="single" w:color="auto" w:sz="6" w:space="0"/>
              <w:left w:val="single" w:color="auto" w:sz="6" w:space="0"/>
              <w:bottom w:val="single" w:color="auto" w:sz="6" w:space="0"/>
              <w:right w:val="single" w:color="auto" w:sz="6" w:space="0"/>
            </w:tcBorders>
            <w:shd w:val="clear" w:color="auto" w:fill="auto"/>
            <w:vAlign w:val="center"/>
          </w:tcPr>
          <w:p w14:paraId="5BD1E288">
            <w:pPr>
              <w:jc w:val="center"/>
              <w:rPr>
                <w:rFonts w:hint="eastAsia" w:ascii="宋体" w:hAnsi="宋体" w:eastAsia="宋体" w:cs="宋体"/>
                <w:color w:val="auto"/>
                <w:kern w:val="2"/>
                <w:sz w:val="21"/>
                <w:szCs w:val="21"/>
                <w:highlight w:val="none"/>
              </w:rPr>
            </w:pPr>
            <w:r>
              <w:rPr>
                <w:rFonts w:hint="eastAsia" w:ascii="宋体" w:hAnsi="宋体" w:eastAsia="宋体" w:cs="宋体"/>
                <w:bCs/>
                <w:color w:val="auto"/>
                <w:kern w:val="0"/>
                <w:sz w:val="21"/>
                <w:szCs w:val="21"/>
                <w:highlight w:val="none"/>
              </w:rPr>
              <w:t>工程奖项</w:t>
            </w:r>
          </w:p>
        </w:tc>
        <w:tc>
          <w:tcPr>
            <w:tcW w:w="800" w:type="dxa"/>
            <w:tcBorders>
              <w:top w:val="single" w:color="auto" w:sz="6" w:space="0"/>
              <w:left w:val="single" w:color="auto" w:sz="6" w:space="0"/>
              <w:bottom w:val="single" w:color="auto" w:sz="6" w:space="0"/>
              <w:right w:val="single" w:color="auto" w:sz="6" w:space="0"/>
            </w:tcBorders>
            <w:shd w:val="clear" w:color="auto" w:fill="auto"/>
            <w:vAlign w:val="center"/>
          </w:tcPr>
          <w:p w14:paraId="22797377">
            <w:pPr>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10</w:t>
            </w:r>
            <w:r>
              <w:rPr>
                <w:rFonts w:hint="eastAsia" w:ascii="宋体" w:hAnsi="宋体" w:cs="宋体"/>
                <w:color w:val="auto"/>
                <w:kern w:val="2"/>
                <w:sz w:val="21"/>
                <w:szCs w:val="21"/>
                <w:highlight w:val="none"/>
                <w:lang w:val="en-US" w:eastAsia="zh-CN"/>
              </w:rPr>
              <w:t>分</w:t>
            </w:r>
          </w:p>
        </w:tc>
        <w:tc>
          <w:tcPr>
            <w:tcW w:w="9966" w:type="dxa"/>
            <w:tcBorders>
              <w:top w:val="single" w:color="auto" w:sz="6" w:space="0"/>
              <w:left w:val="single" w:color="auto" w:sz="6" w:space="0"/>
              <w:bottom w:val="single" w:color="auto" w:sz="6" w:space="0"/>
              <w:right w:val="single" w:color="auto" w:sz="6" w:space="0"/>
            </w:tcBorders>
            <w:shd w:val="clear" w:color="auto" w:fill="auto"/>
            <w:vAlign w:val="center"/>
          </w:tcPr>
          <w:p w14:paraId="1745E0EF">
            <w:pPr>
              <w:pStyle w:val="20"/>
              <w:rPr>
                <w:rFonts w:hint="eastAsia" w:ascii="宋体" w:hAnsi="宋体" w:eastAsia="宋体" w:cs="宋体"/>
                <w:color w:val="auto"/>
                <w:kern w:val="2"/>
                <w:sz w:val="21"/>
                <w:szCs w:val="21"/>
                <w:highlight w:val="none"/>
                <w:lang w:val="en-US"/>
              </w:rPr>
            </w:pPr>
            <w:r>
              <w:rPr>
                <w:rFonts w:hint="eastAsia" w:ascii="宋体" w:hAnsi="宋体" w:eastAsia="宋体" w:cs="宋体"/>
                <w:color w:val="auto"/>
                <w:kern w:val="2"/>
                <w:sz w:val="21"/>
                <w:szCs w:val="21"/>
                <w:highlight w:val="none"/>
                <w:lang w:val="en-US"/>
              </w:rPr>
              <w:t>投标人</w:t>
            </w:r>
            <w:r>
              <w:rPr>
                <w:rFonts w:hint="eastAsia" w:ascii="宋体" w:hAnsi="宋体" w:eastAsia="宋体" w:cs="宋体"/>
                <w:b/>
                <w:bCs/>
                <w:color w:val="auto"/>
                <w:kern w:val="2"/>
                <w:sz w:val="21"/>
                <w:szCs w:val="21"/>
                <w:highlight w:val="none"/>
                <w:lang w:val="en-US"/>
              </w:rPr>
              <w:t>（若为联合体，指联合体牵头单位）</w:t>
            </w:r>
            <w:r>
              <w:rPr>
                <w:rFonts w:hint="eastAsia" w:ascii="宋体" w:hAnsi="宋体" w:eastAsia="宋体" w:cs="宋体"/>
                <w:color w:val="auto"/>
                <w:kern w:val="2"/>
                <w:sz w:val="21"/>
                <w:szCs w:val="21"/>
                <w:highlight w:val="none"/>
                <w:lang w:val="en-US"/>
              </w:rPr>
              <w:t>自202</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en-US"/>
              </w:rPr>
              <w:t>年1月1日至今承接的工程</w:t>
            </w:r>
            <w:r>
              <w:rPr>
                <w:rFonts w:hint="eastAsia"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lang w:val="en-US"/>
              </w:rPr>
              <w:t>获奖情况：</w:t>
            </w:r>
          </w:p>
          <w:p w14:paraId="36114127">
            <w:pPr>
              <w:pStyle w:val="20"/>
              <w:rPr>
                <w:rFonts w:hint="eastAsia" w:ascii="宋体" w:hAnsi="宋体" w:eastAsia="宋体" w:cs="宋体"/>
                <w:color w:val="auto"/>
                <w:kern w:val="2"/>
                <w:sz w:val="21"/>
                <w:szCs w:val="21"/>
                <w:highlight w:val="none"/>
                <w:lang w:val="en-US"/>
              </w:rPr>
            </w:pPr>
            <w:r>
              <w:rPr>
                <w:rFonts w:hint="eastAsia" w:ascii="宋体" w:hAnsi="宋体" w:eastAsia="宋体" w:cs="宋体"/>
                <w:color w:val="auto"/>
                <w:kern w:val="2"/>
                <w:sz w:val="21"/>
                <w:szCs w:val="21"/>
                <w:highlight w:val="none"/>
                <w:lang w:val="en-US"/>
              </w:rPr>
              <w:t>1、获得国家级工程质量奖项的，每项得</w:t>
            </w:r>
            <w:r>
              <w:rPr>
                <w:rFonts w:hint="eastAsia" w:hAnsi="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en-US"/>
              </w:rPr>
              <w:t>分；</w:t>
            </w:r>
          </w:p>
          <w:p w14:paraId="52451991">
            <w:pPr>
              <w:pStyle w:val="20"/>
              <w:rPr>
                <w:rFonts w:hint="eastAsia" w:ascii="宋体" w:hAnsi="宋体" w:eastAsia="宋体" w:cs="宋体"/>
                <w:color w:val="auto"/>
                <w:kern w:val="2"/>
                <w:sz w:val="21"/>
                <w:szCs w:val="21"/>
                <w:highlight w:val="none"/>
                <w:lang w:val="en-US"/>
              </w:rPr>
            </w:pPr>
            <w:r>
              <w:rPr>
                <w:rFonts w:hint="eastAsia" w:ascii="宋体" w:hAnsi="宋体" w:eastAsia="宋体" w:cs="宋体"/>
                <w:color w:val="auto"/>
                <w:kern w:val="2"/>
                <w:sz w:val="21"/>
                <w:szCs w:val="21"/>
                <w:highlight w:val="none"/>
                <w:lang w:val="en-US"/>
              </w:rPr>
              <w:t>2、获得省级工程质量奖项的，每项得</w:t>
            </w:r>
            <w:r>
              <w:rPr>
                <w:rFonts w:hint="eastAsia" w:hAnsi="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en-US"/>
              </w:rPr>
              <w:t>分；</w:t>
            </w:r>
          </w:p>
          <w:p w14:paraId="71FA9C1E">
            <w:pPr>
              <w:pStyle w:val="20"/>
              <w:rPr>
                <w:rFonts w:hint="eastAsia" w:ascii="宋体" w:hAnsi="宋体" w:eastAsia="宋体" w:cs="宋体"/>
                <w:color w:val="auto"/>
                <w:kern w:val="2"/>
                <w:sz w:val="21"/>
                <w:szCs w:val="21"/>
                <w:highlight w:val="none"/>
                <w:lang w:val="en-US"/>
              </w:rPr>
            </w:pPr>
            <w:r>
              <w:rPr>
                <w:rFonts w:hint="eastAsia" w:ascii="宋体" w:hAnsi="宋体" w:eastAsia="宋体" w:cs="宋体"/>
                <w:color w:val="auto"/>
                <w:kern w:val="2"/>
                <w:sz w:val="21"/>
                <w:szCs w:val="21"/>
                <w:highlight w:val="none"/>
                <w:lang w:val="en-US"/>
              </w:rPr>
              <w:t>3、获得市级工程质量奖项的，每项得</w:t>
            </w:r>
            <w:r>
              <w:rPr>
                <w:rFonts w:hint="eastAsia" w:ascii="宋体" w:hAnsi="宋体" w:eastAsia="宋体" w:cs="宋体"/>
                <w:color w:val="auto"/>
                <w:kern w:val="2"/>
                <w:sz w:val="21"/>
                <w:szCs w:val="21"/>
                <w:highlight w:val="none"/>
                <w:lang w:val="en-US" w:eastAsia="zh-CN"/>
              </w:rPr>
              <w:t>0.</w:t>
            </w:r>
            <w:r>
              <w:rPr>
                <w:rFonts w:hint="eastAsia" w:hAnsi="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val="en-US"/>
              </w:rPr>
              <w:t>分</w:t>
            </w:r>
            <w:r>
              <w:rPr>
                <w:rFonts w:hint="eastAsia" w:ascii="宋体" w:hAnsi="宋体" w:eastAsia="宋体" w:cs="宋体"/>
                <w:color w:val="auto"/>
                <w:kern w:val="2"/>
                <w:sz w:val="21"/>
                <w:szCs w:val="21"/>
                <w:highlight w:val="none"/>
                <w:lang w:val="en-US" w:eastAsia="zh-CN"/>
              </w:rPr>
              <w:t>；</w:t>
            </w:r>
          </w:p>
          <w:p w14:paraId="07ACD2C3">
            <w:pPr>
              <w:pStyle w:val="20"/>
              <w:rPr>
                <w:rFonts w:hint="eastAsia" w:ascii="宋体" w:hAnsi="宋体" w:eastAsia="宋体" w:cs="宋体"/>
                <w:color w:val="auto"/>
                <w:kern w:val="2"/>
                <w:sz w:val="21"/>
                <w:szCs w:val="21"/>
                <w:highlight w:val="none"/>
                <w:lang w:val="en-US"/>
              </w:rPr>
            </w:pPr>
            <w:r>
              <w:rPr>
                <w:rFonts w:hint="eastAsia" w:ascii="宋体" w:hAnsi="宋体" w:eastAsia="宋体" w:cs="宋体"/>
                <w:color w:val="auto"/>
                <w:kern w:val="2"/>
                <w:sz w:val="21"/>
                <w:szCs w:val="21"/>
                <w:highlight w:val="none"/>
                <w:lang w:val="en-US"/>
              </w:rPr>
              <w:t>无或其他情况不得分，本项最高得</w:t>
            </w:r>
            <w:r>
              <w:rPr>
                <w:rFonts w:hint="eastAsia" w:ascii="宋体" w:hAnsi="宋体" w:eastAsia="宋体"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lang w:val="en-US"/>
              </w:rPr>
              <w:t>分。</w:t>
            </w:r>
          </w:p>
        </w:tc>
        <w:tc>
          <w:tcPr>
            <w:tcW w:w="634" w:type="dxa"/>
            <w:tcBorders>
              <w:top w:val="single" w:color="auto" w:sz="6" w:space="0"/>
              <w:left w:val="single" w:color="auto" w:sz="6" w:space="0"/>
              <w:bottom w:val="single" w:color="auto" w:sz="6" w:space="0"/>
              <w:right w:val="single" w:color="auto" w:sz="6" w:space="0"/>
            </w:tcBorders>
            <w:shd w:val="clear" w:color="auto" w:fill="auto"/>
          </w:tcPr>
          <w:p w14:paraId="550F88A0">
            <w:pPr>
              <w:rPr>
                <w:rFonts w:hint="eastAsia" w:ascii="宋体" w:hAnsi="宋体" w:eastAsia="宋体" w:cs="宋体"/>
                <w:color w:val="auto"/>
                <w:sz w:val="21"/>
                <w:szCs w:val="21"/>
                <w:highlight w:val="none"/>
              </w:rPr>
            </w:pPr>
          </w:p>
        </w:tc>
        <w:tc>
          <w:tcPr>
            <w:tcW w:w="532" w:type="dxa"/>
            <w:tcBorders>
              <w:top w:val="single" w:color="auto" w:sz="6" w:space="0"/>
              <w:left w:val="single" w:color="auto" w:sz="6" w:space="0"/>
              <w:bottom w:val="single" w:color="auto" w:sz="6" w:space="0"/>
              <w:right w:val="double" w:color="auto" w:sz="2" w:space="0"/>
            </w:tcBorders>
            <w:shd w:val="clear" w:color="auto" w:fill="auto"/>
          </w:tcPr>
          <w:p w14:paraId="0F9769B9">
            <w:pPr>
              <w:rPr>
                <w:rFonts w:hint="eastAsia" w:ascii="宋体" w:hAnsi="宋体" w:eastAsia="宋体" w:cs="宋体"/>
                <w:color w:val="auto"/>
                <w:sz w:val="21"/>
                <w:szCs w:val="21"/>
                <w:highlight w:val="none"/>
              </w:rPr>
            </w:pPr>
          </w:p>
        </w:tc>
      </w:tr>
      <w:tr w14:paraId="6034337D">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92" w:hRule="atLeast"/>
          <w:jc w:val="center"/>
        </w:trPr>
        <w:tc>
          <w:tcPr>
            <w:tcW w:w="773" w:type="dxa"/>
            <w:vMerge w:val="continue"/>
            <w:tcBorders>
              <w:left w:val="single" w:color="auto" w:sz="6" w:space="0"/>
              <w:right w:val="single" w:color="auto" w:sz="6" w:space="0"/>
            </w:tcBorders>
            <w:shd w:val="clear" w:color="auto" w:fill="auto"/>
            <w:vAlign w:val="center"/>
          </w:tcPr>
          <w:p w14:paraId="2000E3A5">
            <w:pPr>
              <w:rPr>
                <w:rFonts w:hint="eastAsia" w:ascii="宋体" w:hAnsi="宋体" w:eastAsia="宋体" w:cs="宋体"/>
                <w:color w:val="auto"/>
                <w:sz w:val="21"/>
                <w:szCs w:val="21"/>
                <w:highlight w:val="none"/>
              </w:rPr>
            </w:pPr>
          </w:p>
        </w:tc>
        <w:tc>
          <w:tcPr>
            <w:tcW w:w="1200" w:type="dxa"/>
            <w:tcBorders>
              <w:top w:val="single" w:color="auto" w:sz="6" w:space="0"/>
              <w:left w:val="single" w:color="auto" w:sz="6" w:space="0"/>
              <w:bottom w:val="single" w:color="auto" w:sz="6" w:space="0"/>
              <w:right w:val="single" w:color="auto" w:sz="6" w:space="0"/>
            </w:tcBorders>
            <w:shd w:val="clear" w:color="auto" w:fill="auto"/>
            <w:vAlign w:val="center"/>
          </w:tcPr>
          <w:p w14:paraId="4ACBAB0E">
            <w:pPr>
              <w:jc w:val="center"/>
              <w:rPr>
                <w:rFonts w:hint="eastAsia" w:ascii="宋体" w:hAnsi="宋体" w:eastAsia="宋体" w:cs="宋体"/>
                <w:color w:val="auto"/>
                <w:kern w:val="2"/>
                <w:sz w:val="21"/>
                <w:szCs w:val="21"/>
                <w:highlight w:val="none"/>
              </w:rPr>
            </w:pPr>
            <w:r>
              <w:rPr>
                <w:rFonts w:hint="eastAsia" w:ascii="宋体" w:hAnsi="宋体" w:eastAsia="宋体" w:cs="宋体"/>
                <w:bCs/>
                <w:color w:val="auto"/>
                <w:kern w:val="0"/>
                <w:sz w:val="21"/>
                <w:szCs w:val="21"/>
                <w:highlight w:val="none"/>
              </w:rPr>
              <w:t>工程研发能力</w:t>
            </w:r>
          </w:p>
        </w:tc>
        <w:tc>
          <w:tcPr>
            <w:tcW w:w="800" w:type="dxa"/>
            <w:tcBorders>
              <w:top w:val="single" w:color="auto" w:sz="6" w:space="0"/>
              <w:left w:val="single" w:color="auto" w:sz="6" w:space="0"/>
              <w:bottom w:val="single" w:color="auto" w:sz="6" w:space="0"/>
              <w:right w:val="single" w:color="auto" w:sz="6" w:space="0"/>
            </w:tcBorders>
            <w:shd w:val="clear" w:color="auto" w:fill="auto"/>
            <w:vAlign w:val="center"/>
          </w:tcPr>
          <w:p w14:paraId="48129188">
            <w:pPr>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6</w:t>
            </w:r>
            <w:r>
              <w:rPr>
                <w:rFonts w:hint="eastAsia" w:ascii="宋体" w:hAnsi="宋体" w:cs="宋体"/>
                <w:color w:val="auto"/>
                <w:kern w:val="2"/>
                <w:sz w:val="21"/>
                <w:szCs w:val="21"/>
                <w:highlight w:val="none"/>
                <w:lang w:val="en-US" w:eastAsia="zh-CN"/>
              </w:rPr>
              <w:t>分</w:t>
            </w:r>
          </w:p>
        </w:tc>
        <w:tc>
          <w:tcPr>
            <w:tcW w:w="9966" w:type="dxa"/>
            <w:tcBorders>
              <w:top w:val="single" w:color="auto" w:sz="6" w:space="0"/>
              <w:left w:val="single" w:color="auto" w:sz="6" w:space="0"/>
              <w:bottom w:val="single" w:color="auto" w:sz="6" w:space="0"/>
              <w:right w:val="single" w:color="auto" w:sz="6" w:space="0"/>
            </w:tcBorders>
            <w:shd w:val="clear" w:color="auto" w:fill="auto"/>
            <w:vAlign w:val="center"/>
          </w:tcPr>
          <w:p w14:paraId="037FCA28">
            <w:pPr>
              <w:spacing w:line="240" w:lineRule="auto"/>
              <w:rPr>
                <w:rFonts w:hint="eastAsia" w:ascii="宋体" w:hAnsi="宋体" w:eastAsia="宋体" w:cs="宋体"/>
                <w:b w:val="0"/>
                <w:bCs w:val="0"/>
                <w:color w:val="auto"/>
                <w:highlight w:val="none"/>
                <w:lang w:val="en-US"/>
              </w:rPr>
            </w:pPr>
            <w:r>
              <w:rPr>
                <w:rFonts w:hint="eastAsia" w:ascii="宋体" w:hAnsi="宋体" w:eastAsia="宋体" w:cs="宋体"/>
                <w:color w:val="auto"/>
                <w:highlight w:val="none"/>
                <w:lang w:val="en-US" w:eastAsia="zh-CN"/>
              </w:rPr>
              <w:t>投标人</w:t>
            </w:r>
            <w:r>
              <w:rPr>
                <w:rFonts w:hint="eastAsia" w:ascii="宋体" w:hAnsi="宋体" w:eastAsia="宋体" w:cs="宋体"/>
                <w:b/>
                <w:bCs/>
                <w:color w:val="auto"/>
                <w:kern w:val="2"/>
                <w:sz w:val="21"/>
                <w:szCs w:val="21"/>
                <w:highlight w:val="none"/>
                <w:lang w:val="en-US"/>
              </w:rPr>
              <w:t>（若为联合体，指联合体牵头单位）</w:t>
            </w:r>
            <w:r>
              <w:rPr>
                <w:rFonts w:hint="eastAsia" w:ascii="宋体" w:hAnsi="宋体" w:eastAsia="宋体" w:cs="宋体"/>
                <w:b w:val="0"/>
                <w:bCs w:val="0"/>
                <w:color w:val="auto"/>
                <w:highlight w:val="none"/>
                <w:lang w:val="en-US"/>
              </w:rPr>
              <w:t>主编或参编过目前仍在使用的工程相关标准（或规范或规程）的：</w:t>
            </w:r>
          </w:p>
          <w:p w14:paraId="3C7B0FC1">
            <w:pPr>
              <w:spacing w:line="240" w:lineRule="auto"/>
              <w:rPr>
                <w:rFonts w:hint="eastAsia" w:ascii="宋体" w:hAnsi="宋体" w:eastAsia="宋体" w:cs="宋体"/>
                <w:b w:val="0"/>
                <w:bCs w:val="0"/>
                <w:color w:val="auto"/>
                <w:highlight w:val="none"/>
                <w:lang w:val="en-US"/>
              </w:rPr>
            </w:pPr>
            <w:r>
              <w:rPr>
                <w:rFonts w:hint="eastAsia" w:ascii="宋体" w:hAnsi="宋体" w:eastAsia="宋体" w:cs="宋体"/>
                <w:b w:val="0"/>
                <w:bCs w:val="0"/>
                <w:color w:val="auto"/>
                <w:highlight w:val="none"/>
                <w:lang w:val="en-US"/>
              </w:rPr>
              <w:t>（1）国家类的，每项得1分；</w:t>
            </w:r>
          </w:p>
          <w:p w14:paraId="63A2B78A">
            <w:pPr>
              <w:spacing w:line="240" w:lineRule="auto"/>
              <w:rPr>
                <w:rFonts w:hint="eastAsia" w:ascii="宋体" w:hAnsi="宋体" w:eastAsia="宋体" w:cs="宋体"/>
                <w:b w:val="0"/>
                <w:bCs w:val="0"/>
                <w:color w:val="auto"/>
                <w:highlight w:val="none"/>
                <w:lang w:val="en-US"/>
              </w:rPr>
            </w:pPr>
            <w:r>
              <w:rPr>
                <w:rFonts w:hint="eastAsia" w:ascii="宋体" w:hAnsi="宋体" w:eastAsia="宋体" w:cs="宋体"/>
                <w:b w:val="0"/>
                <w:bCs w:val="0"/>
                <w:color w:val="auto"/>
                <w:highlight w:val="none"/>
                <w:lang w:val="en-US"/>
              </w:rPr>
              <w:t>（2）行业类的</w:t>
            </w:r>
            <w:r>
              <w:rPr>
                <w:rFonts w:hint="eastAsia" w:ascii="宋体" w:hAnsi="宋体" w:cs="宋体"/>
                <w:b w:val="0"/>
                <w:bCs w:val="0"/>
                <w:color w:val="auto"/>
                <w:highlight w:val="none"/>
                <w:lang w:val="en-US" w:eastAsia="zh-CN"/>
              </w:rPr>
              <w:t>、</w:t>
            </w:r>
            <w:r>
              <w:rPr>
                <w:rFonts w:hint="eastAsia" w:ascii="宋体" w:hAnsi="宋体" w:eastAsia="宋体" w:cs="宋体"/>
                <w:b w:val="0"/>
                <w:bCs w:val="0"/>
                <w:color w:val="auto"/>
                <w:highlight w:val="none"/>
                <w:lang w:val="en-US"/>
              </w:rPr>
              <w:t>地方类的，每项得0.5分；</w:t>
            </w:r>
          </w:p>
          <w:p w14:paraId="0EEC7BF4">
            <w:pPr>
              <w:spacing w:line="240" w:lineRule="auto"/>
              <w:rPr>
                <w:rFonts w:hint="eastAsia" w:ascii="宋体" w:hAnsi="宋体" w:eastAsia="宋体" w:cs="宋体"/>
                <w:color w:val="auto"/>
                <w:highlight w:val="none"/>
                <w:lang w:val="en-US"/>
              </w:rPr>
            </w:pPr>
            <w:r>
              <w:rPr>
                <w:rFonts w:hint="eastAsia" w:ascii="宋体" w:hAnsi="宋体" w:eastAsia="宋体" w:cs="宋体"/>
                <w:color w:val="auto"/>
                <w:kern w:val="2"/>
                <w:sz w:val="21"/>
                <w:szCs w:val="21"/>
                <w:highlight w:val="none"/>
                <w:lang w:val="en-US"/>
              </w:rPr>
              <w:t>无或其他情况不得分，</w:t>
            </w:r>
            <w:r>
              <w:rPr>
                <w:rFonts w:hint="eastAsia" w:ascii="宋体" w:hAnsi="宋体" w:eastAsia="宋体" w:cs="宋体"/>
                <w:b w:val="0"/>
                <w:bCs w:val="0"/>
                <w:color w:val="auto"/>
                <w:highlight w:val="none"/>
                <w:lang w:val="en-US"/>
              </w:rPr>
              <w:t>本小项最高得</w:t>
            </w:r>
            <w:r>
              <w:rPr>
                <w:rFonts w:hint="eastAsia" w:ascii="宋体" w:hAnsi="宋体" w:cs="宋体"/>
                <w:b w:val="0"/>
                <w:bCs w:val="0"/>
                <w:color w:val="auto"/>
                <w:highlight w:val="none"/>
                <w:lang w:val="en-US" w:eastAsia="zh-CN"/>
              </w:rPr>
              <w:t>6</w:t>
            </w:r>
            <w:r>
              <w:rPr>
                <w:rFonts w:hint="eastAsia" w:ascii="宋体" w:hAnsi="宋体" w:eastAsia="宋体" w:cs="宋体"/>
                <w:b w:val="0"/>
                <w:bCs w:val="0"/>
                <w:color w:val="auto"/>
                <w:highlight w:val="none"/>
                <w:lang w:val="en-US"/>
              </w:rPr>
              <w:t>分。</w:t>
            </w:r>
          </w:p>
        </w:tc>
        <w:tc>
          <w:tcPr>
            <w:tcW w:w="634" w:type="dxa"/>
            <w:tcBorders>
              <w:top w:val="single" w:color="auto" w:sz="6" w:space="0"/>
              <w:left w:val="single" w:color="auto" w:sz="6" w:space="0"/>
              <w:bottom w:val="single" w:color="auto" w:sz="6" w:space="0"/>
              <w:right w:val="single" w:color="auto" w:sz="6" w:space="0"/>
            </w:tcBorders>
            <w:shd w:val="clear" w:color="auto" w:fill="auto"/>
          </w:tcPr>
          <w:p w14:paraId="069BF8A6">
            <w:pPr>
              <w:rPr>
                <w:rFonts w:hint="eastAsia" w:ascii="宋体" w:hAnsi="宋体" w:eastAsia="宋体" w:cs="宋体"/>
                <w:color w:val="auto"/>
                <w:sz w:val="21"/>
                <w:szCs w:val="21"/>
                <w:highlight w:val="none"/>
              </w:rPr>
            </w:pPr>
          </w:p>
        </w:tc>
        <w:tc>
          <w:tcPr>
            <w:tcW w:w="532" w:type="dxa"/>
            <w:tcBorders>
              <w:top w:val="single" w:color="auto" w:sz="6" w:space="0"/>
              <w:left w:val="single" w:color="auto" w:sz="6" w:space="0"/>
              <w:bottom w:val="single" w:color="auto" w:sz="6" w:space="0"/>
              <w:right w:val="double" w:color="auto" w:sz="2" w:space="0"/>
            </w:tcBorders>
            <w:shd w:val="clear" w:color="auto" w:fill="auto"/>
          </w:tcPr>
          <w:p w14:paraId="0AB3AC2A">
            <w:pPr>
              <w:rPr>
                <w:rFonts w:hint="eastAsia" w:ascii="宋体" w:hAnsi="宋体" w:eastAsia="宋体" w:cs="宋体"/>
                <w:color w:val="auto"/>
                <w:sz w:val="21"/>
                <w:szCs w:val="21"/>
                <w:highlight w:val="none"/>
              </w:rPr>
            </w:pPr>
          </w:p>
        </w:tc>
      </w:tr>
      <w:tr w14:paraId="040B1E7A">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73" w:type="dxa"/>
            <w:vMerge w:val="continue"/>
            <w:tcBorders>
              <w:left w:val="single" w:color="auto" w:sz="6" w:space="0"/>
              <w:right w:val="single" w:color="auto" w:sz="6" w:space="0"/>
            </w:tcBorders>
            <w:shd w:val="clear" w:color="auto" w:fill="auto"/>
            <w:vAlign w:val="center"/>
          </w:tcPr>
          <w:p w14:paraId="4909B342">
            <w:pPr>
              <w:rPr>
                <w:rFonts w:hint="eastAsia" w:ascii="宋体" w:hAnsi="宋体" w:eastAsia="宋体" w:cs="宋体"/>
                <w:color w:val="auto"/>
                <w:sz w:val="21"/>
                <w:szCs w:val="21"/>
                <w:highlight w:val="none"/>
              </w:rPr>
            </w:pPr>
          </w:p>
        </w:tc>
        <w:tc>
          <w:tcPr>
            <w:tcW w:w="1200" w:type="dxa"/>
            <w:tcBorders>
              <w:top w:val="single" w:color="auto" w:sz="6" w:space="0"/>
              <w:left w:val="single" w:color="auto" w:sz="6" w:space="0"/>
              <w:right w:val="single" w:color="auto" w:sz="6" w:space="0"/>
            </w:tcBorders>
            <w:shd w:val="clear" w:color="auto" w:fill="auto"/>
            <w:vAlign w:val="center"/>
          </w:tcPr>
          <w:p w14:paraId="723620DB">
            <w:pPr>
              <w:jc w:val="center"/>
              <w:rPr>
                <w:rFonts w:hint="eastAsia" w:ascii="宋体" w:hAnsi="宋体" w:eastAsia="宋体" w:cs="宋体"/>
                <w:color w:val="auto"/>
                <w:kern w:val="2"/>
                <w:sz w:val="21"/>
                <w:szCs w:val="21"/>
                <w:highlight w:val="none"/>
              </w:rPr>
            </w:pPr>
            <w:r>
              <w:rPr>
                <w:rFonts w:hint="eastAsia" w:ascii="宋体" w:hAnsi="宋体" w:eastAsia="宋体" w:cs="宋体"/>
                <w:bCs/>
                <w:color w:val="auto"/>
                <w:kern w:val="0"/>
                <w:sz w:val="21"/>
                <w:szCs w:val="21"/>
                <w:highlight w:val="none"/>
              </w:rPr>
              <w:t>第三方评价</w:t>
            </w:r>
          </w:p>
        </w:tc>
        <w:tc>
          <w:tcPr>
            <w:tcW w:w="800" w:type="dxa"/>
            <w:tcBorders>
              <w:top w:val="single" w:color="auto" w:sz="6" w:space="0"/>
              <w:left w:val="single" w:color="auto" w:sz="6" w:space="0"/>
              <w:bottom w:val="single" w:color="auto" w:sz="6" w:space="0"/>
              <w:right w:val="single" w:color="auto" w:sz="6" w:space="0"/>
            </w:tcBorders>
            <w:shd w:val="clear" w:color="auto" w:fill="auto"/>
            <w:vAlign w:val="center"/>
          </w:tcPr>
          <w:p w14:paraId="721E59B3">
            <w:pPr>
              <w:jc w:val="center"/>
              <w:rPr>
                <w:rFonts w:hint="eastAsia" w:ascii="宋体" w:hAnsi="宋体" w:eastAsia="宋体" w:cs="宋体"/>
                <w:color w:val="auto"/>
                <w:kern w:val="2"/>
                <w:sz w:val="21"/>
                <w:szCs w:val="21"/>
                <w:highlight w:val="none"/>
                <w:lang w:val="zh-TW" w:eastAsia="zh-CN"/>
              </w:rPr>
            </w:pPr>
            <w:r>
              <w:rPr>
                <w:rFonts w:hint="eastAsia" w:ascii="宋体" w:hAnsi="宋体" w:cs="宋体"/>
                <w:color w:val="auto"/>
                <w:sz w:val="21"/>
                <w:szCs w:val="21"/>
                <w:highlight w:val="none"/>
                <w:lang w:val="en-US" w:eastAsia="zh-CN"/>
              </w:rPr>
              <w:t>4</w:t>
            </w:r>
            <w:r>
              <w:rPr>
                <w:rFonts w:hint="eastAsia" w:ascii="宋体" w:hAnsi="宋体" w:cs="宋体"/>
                <w:color w:val="auto"/>
                <w:kern w:val="2"/>
                <w:sz w:val="21"/>
                <w:szCs w:val="21"/>
                <w:highlight w:val="none"/>
                <w:lang w:val="en-US" w:eastAsia="zh-CN"/>
              </w:rPr>
              <w:t>分</w:t>
            </w:r>
          </w:p>
        </w:tc>
        <w:tc>
          <w:tcPr>
            <w:tcW w:w="9966" w:type="dxa"/>
            <w:tcBorders>
              <w:top w:val="single" w:color="auto" w:sz="6" w:space="0"/>
              <w:left w:val="single" w:color="auto" w:sz="6" w:space="0"/>
              <w:bottom w:val="single" w:color="auto" w:sz="6" w:space="0"/>
              <w:right w:val="single" w:color="auto" w:sz="6" w:space="0"/>
            </w:tcBorders>
            <w:shd w:val="clear" w:color="auto" w:fill="auto"/>
            <w:vAlign w:val="center"/>
          </w:tcPr>
          <w:p w14:paraId="0920085D">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kern w:val="2"/>
                <w:sz w:val="21"/>
                <w:szCs w:val="21"/>
                <w:highlight w:val="none"/>
                <w:lang w:val="en-US"/>
              </w:rPr>
              <w:t>若为联合体，指联合体牵头单位</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color w:val="auto"/>
                <w:sz w:val="21"/>
                <w:szCs w:val="21"/>
                <w:highlight w:val="none"/>
                <w:lang w:val="zh-CN" w:eastAsia="zh-CN"/>
              </w:rPr>
              <w:t>至投标截止时间止，连续取得“纳税信用A级纳税人”年度（需包含2024年）：5年（或以上）的，得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eastAsia="zh-CN"/>
              </w:rPr>
              <w:t>分；</w:t>
            </w:r>
            <w:r>
              <w:rPr>
                <w:rFonts w:hint="eastAsia" w:ascii="宋体" w:hAnsi="宋体" w:eastAsia="宋体" w:cs="宋体"/>
                <w:color w:val="auto"/>
                <w:sz w:val="21"/>
                <w:szCs w:val="21"/>
                <w:highlight w:val="none"/>
                <w:lang w:val="en-US" w:eastAsia="zh-CN"/>
              </w:rPr>
              <w:t>3-4年的</w:t>
            </w:r>
            <w:r>
              <w:rPr>
                <w:rFonts w:hint="eastAsia" w:ascii="宋体" w:hAnsi="宋体" w:eastAsia="宋体" w:cs="宋体"/>
                <w:color w:val="auto"/>
                <w:sz w:val="21"/>
                <w:szCs w:val="21"/>
                <w:highlight w:val="none"/>
                <w:lang w:val="zh-CN" w:eastAsia="zh-CN"/>
              </w:rPr>
              <w:t>，得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分；</w:t>
            </w:r>
            <w:r>
              <w:rPr>
                <w:rFonts w:hint="eastAsia" w:ascii="宋体" w:hAnsi="宋体" w:eastAsia="宋体" w:cs="宋体"/>
                <w:color w:val="auto"/>
                <w:sz w:val="21"/>
                <w:szCs w:val="21"/>
                <w:highlight w:val="none"/>
                <w:lang w:val="en-US" w:eastAsia="zh-CN"/>
              </w:rPr>
              <w:t>1-2年的</w:t>
            </w:r>
            <w:r>
              <w:rPr>
                <w:rFonts w:hint="eastAsia" w:ascii="宋体" w:hAnsi="宋体" w:eastAsia="宋体" w:cs="宋体"/>
                <w:color w:val="auto"/>
                <w:sz w:val="21"/>
                <w:szCs w:val="21"/>
                <w:highlight w:val="none"/>
                <w:lang w:val="zh-CN" w:eastAsia="zh-CN"/>
              </w:rPr>
              <w:t>，得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eastAsia="zh-CN"/>
              </w:rPr>
              <w:t>分；</w:t>
            </w:r>
            <w:r>
              <w:rPr>
                <w:rFonts w:hint="eastAsia" w:ascii="宋体" w:hAnsi="宋体" w:eastAsia="宋体" w:cs="宋体"/>
                <w:color w:val="auto"/>
                <w:kern w:val="2"/>
                <w:sz w:val="21"/>
                <w:szCs w:val="21"/>
                <w:highlight w:val="none"/>
                <w:lang w:val="en-US"/>
              </w:rPr>
              <w:t>无或其他情况不得分，</w:t>
            </w:r>
            <w:r>
              <w:rPr>
                <w:rFonts w:hint="eastAsia" w:ascii="宋体" w:hAnsi="宋体" w:eastAsia="宋体" w:cs="宋体"/>
                <w:color w:val="auto"/>
                <w:sz w:val="21"/>
                <w:szCs w:val="21"/>
                <w:highlight w:val="none"/>
                <w:lang w:val="en-US" w:eastAsia="zh-CN"/>
              </w:rPr>
              <w:t>本项最高得4分。</w:t>
            </w:r>
          </w:p>
        </w:tc>
        <w:tc>
          <w:tcPr>
            <w:tcW w:w="634" w:type="dxa"/>
            <w:tcBorders>
              <w:top w:val="single" w:color="auto" w:sz="6" w:space="0"/>
              <w:left w:val="single" w:color="auto" w:sz="6" w:space="0"/>
              <w:bottom w:val="single" w:color="auto" w:sz="6" w:space="0"/>
              <w:right w:val="single" w:color="auto" w:sz="6" w:space="0"/>
            </w:tcBorders>
            <w:shd w:val="clear" w:color="auto" w:fill="auto"/>
          </w:tcPr>
          <w:p w14:paraId="3BC286B2">
            <w:pPr>
              <w:rPr>
                <w:rFonts w:hint="eastAsia" w:ascii="宋体" w:hAnsi="宋体" w:eastAsia="宋体" w:cs="宋体"/>
                <w:color w:val="auto"/>
                <w:sz w:val="21"/>
                <w:szCs w:val="21"/>
                <w:highlight w:val="none"/>
              </w:rPr>
            </w:pPr>
          </w:p>
        </w:tc>
        <w:tc>
          <w:tcPr>
            <w:tcW w:w="532" w:type="dxa"/>
            <w:tcBorders>
              <w:top w:val="single" w:color="auto" w:sz="6" w:space="0"/>
              <w:left w:val="single" w:color="auto" w:sz="6" w:space="0"/>
              <w:bottom w:val="single" w:color="auto" w:sz="6" w:space="0"/>
              <w:right w:val="double" w:color="auto" w:sz="2" w:space="0"/>
            </w:tcBorders>
            <w:shd w:val="clear" w:color="auto" w:fill="auto"/>
          </w:tcPr>
          <w:p w14:paraId="6DE45153">
            <w:pPr>
              <w:rPr>
                <w:rFonts w:hint="eastAsia" w:ascii="宋体" w:hAnsi="宋体" w:eastAsia="宋体" w:cs="宋体"/>
                <w:color w:val="auto"/>
                <w:sz w:val="21"/>
                <w:szCs w:val="21"/>
                <w:highlight w:val="none"/>
              </w:rPr>
            </w:pPr>
          </w:p>
        </w:tc>
      </w:tr>
      <w:tr w14:paraId="2A62AAE8">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301" w:hRule="atLeast"/>
          <w:jc w:val="center"/>
        </w:trPr>
        <w:tc>
          <w:tcPr>
            <w:tcW w:w="773" w:type="dxa"/>
            <w:vMerge w:val="restart"/>
            <w:tcBorders>
              <w:top w:val="single" w:color="auto" w:sz="6" w:space="0"/>
              <w:left w:val="single" w:color="auto" w:sz="6" w:space="0"/>
              <w:right w:val="single" w:color="auto" w:sz="6" w:space="0"/>
            </w:tcBorders>
            <w:shd w:val="clear" w:color="auto" w:fill="auto"/>
            <w:vAlign w:val="center"/>
          </w:tcPr>
          <w:p w14:paraId="75F021B5">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二、</w:t>
            </w:r>
            <w:r>
              <w:rPr>
                <w:rFonts w:hint="eastAsia" w:ascii="宋体" w:hAnsi="宋体" w:eastAsia="宋体" w:cs="宋体"/>
                <w:color w:val="auto"/>
                <w:sz w:val="21"/>
                <w:szCs w:val="21"/>
                <w:highlight w:val="none"/>
              </w:rPr>
              <w:t>项目管理机构能力</w:t>
            </w:r>
            <w:r>
              <w:rPr>
                <w:rFonts w:hint="eastAsia" w:ascii="宋体" w:hAnsi="宋体" w:eastAsia="宋体" w:cs="宋体"/>
                <w:color w:val="auto"/>
                <w:sz w:val="21"/>
                <w:szCs w:val="21"/>
                <w:highlight w:val="none"/>
                <w:lang w:bidi="ar"/>
              </w:rPr>
              <w:t>（</w:t>
            </w:r>
            <w:r>
              <w:rPr>
                <w:rFonts w:hint="eastAsia" w:ascii="宋体" w:hAnsi="宋体" w:cs="宋体"/>
                <w:color w:val="auto"/>
                <w:sz w:val="21"/>
                <w:szCs w:val="21"/>
                <w:highlight w:val="none"/>
                <w:lang w:val="en-US" w:eastAsia="zh-CN" w:bidi="ar"/>
              </w:rPr>
              <w:t>3</w:t>
            </w:r>
            <w:r>
              <w:rPr>
                <w:rFonts w:hint="eastAsia" w:ascii="宋体" w:hAnsi="宋体" w:eastAsia="宋体" w:cs="宋体"/>
                <w:color w:val="auto"/>
                <w:sz w:val="21"/>
                <w:szCs w:val="21"/>
                <w:highlight w:val="none"/>
                <w:lang w:val="en-US" w:eastAsia="zh-CN" w:bidi="ar"/>
              </w:rPr>
              <w:t>0</w:t>
            </w:r>
            <w:r>
              <w:rPr>
                <w:rFonts w:hint="eastAsia" w:ascii="宋体" w:hAnsi="宋体" w:eastAsia="宋体" w:cs="宋体"/>
                <w:color w:val="auto"/>
                <w:sz w:val="21"/>
                <w:szCs w:val="21"/>
                <w:highlight w:val="none"/>
                <w:lang w:bidi="ar"/>
              </w:rPr>
              <w:t>分）</w:t>
            </w:r>
          </w:p>
        </w:tc>
        <w:tc>
          <w:tcPr>
            <w:tcW w:w="1200" w:type="dxa"/>
            <w:tcBorders>
              <w:top w:val="single" w:color="auto" w:sz="6" w:space="0"/>
              <w:left w:val="single" w:color="auto" w:sz="6" w:space="0"/>
              <w:bottom w:val="single" w:color="auto" w:sz="6" w:space="0"/>
              <w:right w:val="single" w:color="auto" w:sz="6" w:space="0"/>
            </w:tcBorders>
            <w:shd w:val="clear" w:color="auto" w:fill="auto"/>
            <w:vAlign w:val="center"/>
          </w:tcPr>
          <w:p w14:paraId="2C972F5C">
            <w:pPr>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项目团队</w:t>
            </w:r>
          </w:p>
        </w:tc>
        <w:tc>
          <w:tcPr>
            <w:tcW w:w="800" w:type="dxa"/>
            <w:tcBorders>
              <w:top w:val="single" w:color="auto" w:sz="6" w:space="0"/>
              <w:left w:val="single" w:color="auto" w:sz="6" w:space="0"/>
              <w:bottom w:val="single" w:color="auto" w:sz="6" w:space="0"/>
              <w:right w:val="single" w:color="auto" w:sz="6" w:space="0"/>
            </w:tcBorders>
            <w:shd w:val="clear" w:color="auto" w:fill="auto"/>
            <w:vAlign w:val="center"/>
          </w:tcPr>
          <w:p w14:paraId="30C42161">
            <w:pPr>
              <w:spacing w:before="156" w:after="156"/>
              <w:jc w:val="center"/>
              <w:outlineLvl w:val="1"/>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r>
              <w:rPr>
                <w:rFonts w:hint="eastAsia" w:ascii="宋体" w:hAnsi="宋体" w:cs="宋体"/>
                <w:color w:val="auto"/>
                <w:kern w:val="2"/>
                <w:sz w:val="21"/>
                <w:szCs w:val="21"/>
                <w:highlight w:val="none"/>
                <w:lang w:val="en-US" w:eastAsia="zh-CN"/>
              </w:rPr>
              <w:t>分</w:t>
            </w:r>
          </w:p>
        </w:tc>
        <w:tc>
          <w:tcPr>
            <w:tcW w:w="9966" w:type="dxa"/>
            <w:tcBorders>
              <w:top w:val="single" w:color="auto" w:sz="6" w:space="0"/>
              <w:left w:val="single" w:color="auto" w:sz="6" w:space="0"/>
              <w:bottom w:val="single" w:color="auto" w:sz="6" w:space="0"/>
              <w:right w:val="single" w:color="auto" w:sz="6" w:space="0"/>
            </w:tcBorders>
            <w:shd w:val="clear" w:color="auto" w:fill="auto"/>
            <w:vAlign w:val="center"/>
          </w:tcPr>
          <w:p w14:paraId="01F7747A">
            <w:pPr>
              <w:pStyle w:val="132"/>
              <w:numPr>
                <w:ilvl w:val="0"/>
                <w:numId w:val="0"/>
              </w:numPr>
              <w:ind w:left="0" w:firstLine="0"/>
              <w:rPr>
                <w:rFonts w:hint="default"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rPr>
              <w:t>投标人施工团队人员：</w:t>
            </w:r>
            <w:r>
              <w:rPr>
                <w:rFonts w:hint="eastAsia" w:ascii="宋体" w:hAnsi="宋体" w:eastAsia="宋体" w:cs="宋体"/>
                <w:b/>
                <w:bCs/>
                <w:color w:val="auto"/>
                <w:sz w:val="21"/>
                <w:szCs w:val="21"/>
                <w:highlight w:val="none"/>
              </w:rPr>
              <w:t>（</w:t>
            </w:r>
            <w:r>
              <w:rPr>
                <w:rFonts w:hint="eastAsia" w:ascii="宋体" w:hAnsi="宋体" w:eastAsia="宋体" w:cs="宋体"/>
                <w:color w:val="auto"/>
                <w:kern w:val="2"/>
                <w:sz w:val="21"/>
                <w:szCs w:val="21"/>
                <w:highlight w:val="none"/>
                <w:lang w:val="en-US"/>
              </w:rPr>
              <w:t>无</w:t>
            </w:r>
            <w:r>
              <w:rPr>
                <w:rFonts w:hint="eastAsia" w:ascii="宋体" w:hAnsi="宋体" w:eastAsia="宋体" w:cs="宋体"/>
                <w:color w:val="auto"/>
                <w:kern w:val="2"/>
                <w:sz w:val="21"/>
                <w:szCs w:val="21"/>
                <w:highlight w:val="none"/>
                <w:lang w:val="en-US" w:eastAsia="zh-CN"/>
              </w:rPr>
              <w:t>下列证书</w:t>
            </w:r>
            <w:r>
              <w:rPr>
                <w:rFonts w:hint="eastAsia" w:ascii="宋体" w:hAnsi="宋体" w:eastAsia="宋体" w:cs="宋体"/>
                <w:color w:val="auto"/>
                <w:kern w:val="2"/>
                <w:sz w:val="21"/>
                <w:szCs w:val="21"/>
                <w:highlight w:val="none"/>
                <w:lang w:val="en-US"/>
              </w:rPr>
              <w:t>或其他情况不得分，</w:t>
            </w:r>
            <w:r>
              <w:rPr>
                <w:rFonts w:hint="eastAsia" w:ascii="宋体" w:hAnsi="宋体" w:eastAsia="宋体" w:cs="宋体"/>
                <w:b/>
                <w:bCs/>
                <w:color w:val="auto"/>
                <w:sz w:val="21"/>
                <w:szCs w:val="21"/>
                <w:highlight w:val="none"/>
              </w:rPr>
              <w:t>本项最高得</w:t>
            </w:r>
            <w:r>
              <w:rPr>
                <w:rFonts w:hint="eastAsia" w:ascii="宋体" w:hAnsi="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分）</w:t>
            </w:r>
            <w:r>
              <w:rPr>
                <w:rFonts w:hint="eastAsia" w:ascii="宋体" w:hAnsi="宋体" w:eastAsia="宋体" w:cs="宋体"/>
                <w:b/>
                <w:bCs/>
                <w:color w:val="auto"/>
                <w:sz w:val="21"/>
                <w:szCs w:val="21"/>
                <w:highlight w:val="none"/>
                <w:lang w:eastAsia="zh-CN"/>
              </w:rPr>
              <w:t>：</w:t>
            </w:r>
          </w:p>
          <w:p w14:paraId="3DFC60F0">
            <w:pPr>
              <w:pStyle w:val="132"/>
              <w:numPr>
                <w:ilvl w:val="0"/>
                <w:numId w:val="0"/>
              </w:numPr>
              <w:ind w:left="-420" w:firstLine="42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①</w:t>
            </w:r>
            <w:r>
              <w:rPr>
                <w:rFonts w:hint="eastAsia" w:ascii="宋体" w:hAnsi="宋体" w:eastAsia="宋体" w:cs="宋体"/>
                <w:b/>
                <w:bCs/>
                <w:color w:val="auto"/>
                <w:sz w:val="21"/>
                <w:szCs w:val="21"/>
                <w:highlight w:val="none"/>
              </w:rPr>
              <w:t>质量负责人（</w:t>
            </w:r>
            <w:r>
              <w:rPr>
                <w:rFonts w:hint="eastAsia" w:ascii="宋体" w:hAnsi="宋体" w:eastAsia="宋体" w:cs="宋体"/>
                <w:b/>
                <w:bCs/>
                <w:color w:val="auto"/>
                <w:kern w:val="2"/>
                <w:sz w:val="21"/>
                <w:szCs w:val="21"/>
                <w:highlight w:val="none"/>
                <w:lang w:val="en-US"/>
              </w:rPr>
              <w:t>若为联合体，</w:t>
            </w:r>
            <w:r>
              <w:rPr>
                <w:rFonts w:hint="eastAsia" w:ascii="宋体" w:hAnsi="宋体" w:eastAsia="宋体" w:cs="宋体"/>
                <w:b/>
                <w:bCs/>
                <w:color w:val="auto"/>
                <w:kern w:val="2"/>
                <w:sz w:val="21"/>
                <w:szCs w:val="21"/>
                <w:highlight w:val="none"/>
                <w:lang w:val="en-US" w:eastAsia="zh-CN"/>
              </w:rPr>
              <w:t>由</w:t>
            </w:r>
            <w:r>
              <w:rPr>
                <w:rFonts w:hint="eastAsia" w:ascii="宋体" w:hAnsi="宋体" w:eastAsia="宋体" w:cs="宋体"/>
                <w:b/>
                <w:bCs/>
                <w:color w:val="auto"/>
                <w:kern w:val="2"/>
                <w:sz w:val="21"/>
                <w:szCs w:val="21"/>
                <w:highlight w:val="none"/>
                <w:lang w:val="en-US"/>
              </w:rPr>
              <w:t>联合体牵头单位</w:t>
            </w:r>
            <w:r>
              <w:rPr>
                <w:rFonts w:hint="eastAsia" w:ascii="宋体" w:hAnsi="宋体" w:eastAsia="宋体" w:cs="宋体"/>
                <w:b/>
                <w:bCs/>
                <w:color w:val="auto"/>
                <w:kern w:val="2"/>
                <w:sz w:val="21"/>
                <w:szCs w:val="21"/>
                <w:highlight w:val="none"/>
                <w:lang w:val="en-US" w:eastAsia="zh-CN"/>
              </w:rPr>
              <w:t>委派</w:t>
            </w:r>
            <w:r>
              <w:rPr>
                <w:rFonts w:hint="eastAsia" w:ascii="宋体" w:hAnsi="宋体" w:eastAsia="宋体" w:cs="宋体"/>
                <w:b/>
                <w:bCs/>
                <w:color w:val="auto"/>
                <w:sz w:val="21"/>
                <w:szCs w:val="21"/>
                <w:highlight w:val="none"/>
              </w:rPr>
              <w:t>）：（本小项最高得</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分）</w:t>
            </w:r>
          </w:p>
          <w:p w14:paraId="295C5311">
            <w:pPr>
              <w:pStyle w:val="132"/>
              <w:numPr>
                <w:ilvl w:val="0"/>
                <w:numId w:val="0"/>
              </w:numPr>
              <w:ind w:left="-420"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具有工程相关专业高级（或以上）工程师职称的，得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分；具有工程相关专业中级工程师职称的，得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w:t>
            </w:r>
          </w:p>
          <w:p w14:paraId="3C7CA33B">
            <w:pPr>
              <w:pStyle w:val="132"/>
              <w:numPr>
                <w:ilvl w:val="0"/>
                <w:numId w:val="0"/>
              </w:numPr>
              <w:ind w:left="-420" w:firstLine="42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②</w:t>
            </w:r>
            <w:r>
              <w:rPr>
                <w:rFonts w:hint="eastAsia" w:ascii="宋体" w:hAnsi="宋体" w:eastAsia="宋体" w:cs="宋体"/>
                <w:b/>
                <w:bCs/>
                <w:color w:val="auto"/>
                <w:sz w:val="21"/>
                <w:szCs w:val="21"/>
                <w:highlight w:val="none"/>
              </w:rPr>
              <w:t>安全负责人（</w:t>
            </w:r>
            <w:r>
              <w:rPr>
                <w:rFonts w:hint="eastAsia" w:ascii="宋体" w:hAnsi="宋体" w:eastAsia="宋体" w:cs="宋体"/>
                <w:b/>
                <w:bCs/>
                <w:color w:val="auto"/>
                <w:kern w:val="2"/>
                <w:sz w:val="21"/>
                <w:szCs w:val="21"/>
                <w:highlight w:val="none"/>
                <w:lang w:val="en-US"/>
              </w:rPr>
              <w:t>若为联合体，</w:t>
            </w:r>
            <w:r>
              <w:rPr>
                <w:rFonts w:hint="eastAsia" w:ascii="宋体" w:hAnsi="宋体" w:eastAsia="宋体" w:cs="宋体"/>
                <w:b/>
                <w:bCs/>
                <w:color w:val="auto"/>
                <w:kern w:val="2"/>
                <w:sz w:val="21"/>
                <w:szCs w:val="21"/>
                <w:highlight w:val="none"/>
                <w:lang w:val="en-US" w:eastAsia="zh-CN"/>
              </w:rPr>
              <w:t>由</w:t>
            </w:r>
            <w:r>
              <w:rPr>
                <w:rFonts w:hint="eastAsia" w:ascii="宋体" w:hAnsi="宋体" w:eastAsia="宋体" w:cs="宋体"/>
                <w:b/>
                <w:bCs/>
                <w:color w:val="auto"/>
                <w:kern w:val="2"/>
                <w:sz w:val="21"/>
                <w:szCs w:val="21"/>
                <w:highlight w:val="none"/>
                <w:lang w:val="en-US"/>
              </w:rPr>
              <w:t>联合体牵头单位</w:t>
            </w:r>
            <w:r>
              <w:rPr>
                <w:rFonts w:hint="eastAsia" w:ascii="宋体" w:hAnsi="宋体" w:eastAsia="宋体" w:cs="宋体"/>
                <w:b/>
                <w:bCs/>
                <w:color w:val="auto"/>
                <w:kern w:val="2"/>
                <w:sz w:val="21"/>
                <w:szCs w:val="21"/>
                <w:highlight w:val="none"/>
                <w:lang w:val="en-US" w:eastAsia="zh-CN"/>
              </w:rPr>
              <w:t>委派</w:t>
            </w:r>
            <w:r>
              <w:rPr>
                <w:rFonts w:hint="eastAsia" w:ascii="宋体" w:hAnsi="宋体" w:eastAsia="宋体" w:cs="宋体"/>
                <w:b/>
                <w:bCs/>
                <w:color w:val="auto"/>
                <w:sz w:val="21"/>
                <w:szCs w:val="21"/>
                <w:highlight w:val="none"/>
              </w:rPr>
              <w:t>）：（本小项最高得</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分）</w:t>
            </w:r>
          </w:p>
          <w:p w14:paraId="0249604F">
            <w:pPr>
              <w:pStyle w:val="132"/>
              <w:numPr>
                <w:ilvl w:val="0"/>
                <w:numId w:val="0"/>
              </w:numPr>
              <w:ind w:left="-42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具有</w:t>
            </w:r>
            <w:r>
              <w:rPr>
                <w:rFonts w:hint="eastAsia" w:ascii="宋体" w:hAnsi="宋体" w:eastAsia="宋体" w:cs="宋体"/>
                <w:color w:val="auto"/>
                <w:sz w:val="21"/>
                <w:szCs w:val="21"/>
                <w:highlight w:val="none"/>
              </w:rPr>
              <w:t>注册安全工程师证书，得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0F36F326">
            <w:pPr>
              <w:pStyle w:val="132"/>
              <w:numPr>
                <w:ilvl w:val="0"/>
                <w:numId w:val="0"/>
              </w:numPr>
              <w:ind w:left="-420"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（2）具有工程相关专业中级工程师职称的，得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w:t>
            </w:r>
          </w:p>
          <w:p w14:paraId="443FB93A">
            <w:pPr>
              <w:pStyle w:val="132"/>
              <w:numPr>
                <w:ilvl w:val="0"/>
                <w:numId w:val="0"/>
              </w:numPr>
              <w:ind w:left="-420" w:firstLine="42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③</w:t>
            </w:r>
            <w:r>
              <w:rPr>
                <w:rFonts w:hint="eastAsia" w:ascii="宋体" w:hAnsi="宋体" w:eastAsia="宋体" w:cs="宋体"/>
                <w:b/>
                <w:bCs/>
                <w:color w:val="auto"/>
                <w:sz w:val="21"/>
                <w:szCs w:val="21"/>
                <w:highlight w:val="none"/>
              </w:rPr>
              <w:t>造价负责人（</w:t>
            </w:r>
            <w:r>
              <w:rPr>
                <w:rFonts w:hint="eastAsia" w:ascii="宋体" w:hAnsi="宋体" w:eastAsia="宋体" w:cs="宋体"/>
                <w:b/>
                <w:bCs/>
                <w:color w:val="auto"/>
                <w:kern w:val="2"/>
                <w:sz w:val="21"/>
                <w:szCs w:val="21"/>
                <w:highlight w:val="none"/>
                <w:lang w:val="en-US"/>
              </w:rPr>
              <w:t>若为联合体，</w:t>
            </w:r>
            <w:r>
              <w:rPr>
                <w:rFonts w:hint="eastAsia" w:ascii="宋体" w:hAnsi="宋体" w:eastAsia="宋体" w:cs="宋体"/>
                <w:b/>
                <w:bCs/>
                <w:color w:val="auto"/>
                <w:kern w:val="2"/>
                <w:sz w:val="21"/>
                <w:szCs w:val="21"/>
                <w:highlight w:val="none"/>
                <w:lang w:val="en-US" w:eastAsia="zh-CN"/>
              </w:rPr>
              <w:t>由</w:t>
            </w:r>
            <w:r>
              <w:rPr>
                <w:rFonts w:hint="eastAsia" w:ascii="宋体" w:hAnsi="宋体" w:eastAsia="宋体" w:cs="宋体"/>
                <w:b/>
                <w:bCs/>
                <w:color w:val="auto"/>
                <w:kern w:val="2"/>
                <w:sz w:val="21"/>
                <w:szCs w:val="21"/>
                <w:highlight w:val="none"/>
                <w:lang w:val="en-US"/>
              </w:rPr>
              <w:t>联合体牵头单位</w:t>
            </w:r>
            <w:r>
              <w:rPr>
                <w:rFonts w:hint="eastAsia" w:ascii="宋体" w:hAnsi="宋体" w:eastAsia="宋体" w:cs="宋体"/>
                <w:b/>
                <w:bCs/>
                <w:color w:val="auto"/>
                <w:kern w:val="2"/>
                <w:sz w:val="21"/>
                <w:szCs w:val="21"/>
                <w:highlight w:val="none"/>
                <w:lang w:val="en-US" w:eastAsia="zh-CN"/>
              </w:rPr>
              <w:t>委派</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（本小项最高得</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分）</w:t>
            </w:r>
          </w:p>
          <w:p w14:paraId="5313DF05">
            <w:pPr>
              <w:pStyle w:val="132"/>
              <w:numPr>
                <w:ilvl w:val="0"/>
                <w:numId w:val="0"/>
              </w:numPr>
              <w:ind w:left="-42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具有</w:t>
            </w:r>
            <w:r>
              <w:rPr>
                <w:rFonts w:hint="eastAsia" w:ascii="宋体" w:hAnsi="宋体" w:eastAsia="宋体" w:cs="宋体"/>
                <w:color w:val="auto"/>
                <w:sz w:val="21"/>
                <w:szCs w:val="21"/>
                <w:highlight w:val="none"/>
              </w:rPr>
              <w:t>一级注册造价工程师证书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05581ABE">
            <w:pPr>
              <w:pStyle w:val="132"/>
              <w:numPr>
                <w:ilvl w:val="0"/>
                <w:numId w:val="0"/>
              </w:numPr>
              <w:ind w:left="-420"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（2）具有工程相关专业中级工程师职称的，得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65C39B07">
            <w:pPr>
              <w:pStyle w:val="132"/>
              <w:numPr>
                <w:ilvl w:val="0"/>
                <w:numId w:val="0"/>
              </w:numPr>
              <w:ind w:left="-420" w:firstLine="42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④其他专业工程师（</w:t>
            </w:r>
            <w:r>
              <w:rPr>
                <w:rFonts w:hint="eastAsia" w:ascii="宋体" w:hAnsi="宋体" w:eastAsia="宋体" w:cs="宋体"/>
                <w:b/>
                <w:bCs/>
                <w:color w:val="auto"/>
                <w:sz w:val="21"/>
                <w:szCs w:val="21"/>
                <w:highlight w:val="none"/>
              </w:rPr>
              <w:t>本小项最高得</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分</w:t>
            </w:r>
            <w:r>
              <w:rPr>
                <w:rFonts w:hint="eastAsia" w:ascii="宋体" w:hAnsi="宋体" w:eastAsia="宋体" w:cs="宋体"/>
                <w:b/>
                <w:bCs/>
                <w:color w:val="auto"/>
                <w:sz w:val="21"/>
                <w:szCs w:val="21"/>
                <w:highlight w:val="none"/>
                <w:lang w:val="en-US" w:eastAsia="zh-CN"/>
              </w:rPr>
              <w:t>）</w:t>
            </w:r>
          </w:p>
          <w:p w14:paraId="37780B2B">
            <w:pPr>
              <w:pStyle w:val="132"/>
              <w:keepNext w:val="0"/>
              <w:keepLines w:val="0"/>
              <w:numPr>
                <w:ilvl w:val="0"/>
                <w:numId w:val="0"/>
              </w:numPr>
              <w:suppressLineNumbers w:val="0"/>
              <w:spacing w:before="0" w:beforeAutospacing="0" w:after="0" w:afterAutospacing="0"/>
              <w:ind w:left="-420" w:right="0"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（1）</w:t>
            </w:r>
            <w:r>
              <w:rPr>
                <w:rFonts w:hint="eastAsia" w:ascii="宋体" w:hAnsi="宋体" w:eastAsia="宋体" w:cs="宋体"/>
                <w:color w:val="auto"/>
                <w:sz w:val="21"/>
                <w:szCs w:val="21"/>
                <w:highlight w:val="none"/>
                <w:lang w:val="en-US" w:eastAsia="zh-CN"/>
              </w:rPr>
              <w:t>土建工程师：</w:t>
            </w:r>
            <w:r>
              <w:rPr>
                <w:rFonts w:hint="eastAsia" w:ascii="宋体" w:hAnsi="宋体" w:eastAsia="宋体" w:cs="宋体"/>
                <w:color w:val="auto"/>
                <w:sz w:val="21"/>
                <w:szCs w:val="21"/>
                <w:highlight w:val="none"/>
              </w:rPr>
              <w:t>具有</w:t>
            </w:r>
            <w:r>
              <w:rPr>
                <w:rFonts w:hint="eastAsia" w:ascii="宋体" w:hAnsi="宋体" w:eastAsia="宋体" w:cs="宋体"/>
                <w:color w:val="auto"/>
                <w:sz w:val="21"/>
                <w:szCs w:val="21"/>
                <w:highlight w:val="none"/>
                <w:lang w:val="en-US" w:eastAsia="zh-CN"/>
              </w:rPr>
              <w:t>建筑</w:t>
            </w:r>
            <w:r>
              <w:rPr>
                <w:rFonts w:hint="eastAsia" w:ascii="宋体" w:hAnsi="宋体" w:eastAsia="宋体" w:cs="宋体"/>
                <w:color w:val="auto"/>
                <w:sz w:val="21"/>
                <w:szCs w:val="21"/>
                <w:highlight w:val="none"/>
              </w:rPr>
              <w:t>工程</w:t>
            </w:r>
            <w:r>
              <w:rPr>
                <w:rFonts w:hint="eastAsia" w:ascii="宋体" w:hAnsi="宋体" w:eastAsia="宋体" w:cs="宋体"/>
                <w:color w:val="auto"/>
                <w:sz w:val="21"/>
                <w:szCs w:val="21"/>
                <w:highlight w:val="none"/>
                <w:lang w:val="en-US" w:eastAsia="zh-CN"/>
              </w:rPr>
              <w:t>类</w:t>
            </w:r>
            <w:r>
              <w:rPr>
                <w:rFonts w:hint="eastAsia" w:ascii="宋体" w:hAnsi="宋体" w:eastAsia="宋体" w:cs="宋体"/>
                <w:color w:val="auto"/>
                <w:sz w:val="21"/>
                <w:szCs w:val="21"/>
                <w:highlight w:val="none"/>
              </w:rPr>
              <w:t>相关专业中级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或以上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工程师职称的，得</w:t>
            </w:r>
            <w:r>
              <w:rPr>
                <w:rFonts w:hint="default"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06C8C73D">
            <w:pPr>
              <w:pStyle w:val="132"/>
              <w:numPr>
                <w:ilvl w:val="0"/>
                <w:numId w:val="0"/>
              </w:numPr>
              <w:ind w:left="-420" w:firstLine="420"/>
              <w:rPr>
                <w:rFonts w:hint="eastAsia"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val="en-US" w:eastAsia="zh-CN" w:bidi="ar-SA"/>
              </w:rPr>
              <w:t>（2）</w:t>
            </w:r>
            <w:r>
              <w:rPr>
                <w:rFonts w:hint="eastAsia" w:ascii="宋体" w:hAnsi="宋体" w:eastAsia="宋体" w:cs="宋体"/>
                <w:color w:val="auto"/>
                <w:sz w:val="21"/>
                <w:szCs w:val="21"/>
                <w:highlight w:val="none"/>
                <w:lang w:val="en-US" w:eastAsia="zh-CN"/>
              </w:rPr>
              <w:t>测量工程师：</w:t>
            </w:r>
            <w:r>
              <w:rPr>
                <w:rFonts w:hint="eastAsia" w:ascii="宋体" w:hAnsi="宋体" w:eastAsia="宋体" w:cs="宋体"/>
                <w:color w:val="auto"/>
                <w:sz w:val="21"/>
                <w:szCs w:val="21"/>
                <w:highlight w:val="none"/>
              </w:rPr>
              <w:t>具有</w:t>
            </w:r>
            <w:r>
              <w:rPr>
                <w:rFonts w:hint="eastAsia" w:ascii="宋体" w:hAnsi="宋体" w:eastAsia="宋体" w:cs="宋体"/>
                <w:color w:val="auto"/>
                <w:sz w:val="21"/>
                <w:szCs w:val="21"/>
                <w:highlight w:val="none"/>
                <w:lang w:val="en-US" w:eastAsia="zh-CN"/>
              </w:rPr>
              <w:t>测量</w:t>
            </w:r>
            <w:r>
              <w:rPr>
                <w:rFonts w:hint="eastAsia" w:ascii="宋体" w:hAnsi="宋体" w:eastAsia="宋体" w:cs="宋体"/>
                <w:color w:val="auto"/>
                <w:sz w:val="21"/>
                <w:szCs w:val="21"/>
                <w:highlight w:val="none"/>
              </w:rPr>
              <w:t>工程</w:t>
            </w:r>
            <w:r>
              <w:rPr>
                <w:rFonts w:hint="eastAsia" w:ascii="宋体" w:hAnsi="宋体" w:eastAsia="宋体" w:cs="宋体"/>
                <w:color w:val="auto"/>
                <w:sz w:val="21"/>
                <w:szCs w:val="21"/>
                <w:highlight w:val="none"/>
                <w:lang w:val="en-US" w:eastAsia="zh-CN"/>
              </w:rPr>
              <w:t>类</w:t>
            </w:r>
            <w:r>
              <w:rPr>
                <w:rFonts w:hint="eastAsia" w:ascii="宋体" w:hAnsi="宋体" w:eastAsia="宋体" w:cs="宋体"/>
                <w:color w:val="auto"/>
                <w:sz w:val="21"/>
                <w:szCs w:val="21"/>
                <w:highlight w:val="none"/>
              </w:rPr>
              <w:t>相关专业中级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或以上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工程师职称的，得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0E42F8B6">
            <w:pPr>
              <w:pStyle w:val="132"/>
              <w:numPr>
                <w:ilvl w:val="0"/>
                <w:numId w:val="0"/>
              </w:numPr>
              <w:ind w:left="-420" w:firstLine="42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⑤其他人员（本小项最高得2分）</w:t>
            </w:r>
          </w:p>
          <w:p w14:paraId="2F0E71ED">
            <w:pPr>
              <w:pStyle w:val="132"/>
              <w:numPr>
                <w:ilvl w:val="0"/>
                <w:numId w:val="0"/>
              </w:numPr>
              <w:ind w:left="0" w:firstLine="0"/>
              <w:rPr>
                <w:rFonts w:hint="default"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拟投入本项目的其他人员（除项目负责人、技术负责人、质量负责人、安全负责人、造价负责人、其他专业工程师外），具有建筑工程类相关专业中级（或以上）工程师职称的，每名得0.5分，最高得2分。</w:t>
            </w:r>
          </w:p>
        </w:tc>
        <w:tc>
          <w:tcPr>
            <w:tcW w:w="634" w:type="dxa"/>
            <w:tcBorders>
              <w:top w:val="single" w:color="auto" w:sz="6" w:space="0"/>
              <w:left w:val="single" w:color="auto" w:sz="6" w:space="0"/>
              <w:bottom w:val="single" w:color="auto" w:sz="6" w:space="0"/>
              <w:right w:val="single" w:color="auto" w:sz="6" w:space="0"/>
            </w:tcBorders>
            <w:shd w:val="clear" w:color="auto" w:fill="auto"/>
          </w:tcPr>
          <w:p w14:paraId="2F83624D">
            <w:pPr>
              <w:rPr>
                <w:rFonts w:hint="eastAsia" w:ascii="宋体" w:hAnsi="宋体" w:eastAsia="宋体" w:cs="宋体"/>
                <w:color w:val="auto"/>
                <w:sz w:val="21"/>
                <w:szCs w:val="21"/>
                <w:highlight w:val="none"/>
              </w:rPr>
            </w:pPr>
          </w:p>
        </w:tc>
        <w:tc>
          <w:tcPr>
            <w:tcW w:w="532" w:type="dxa"/>
            <w:tcBorders>
              <w:top w:val="single" w:color="auto" w:sz="6" w:space="0"/>
              <w:left w:val="single" w:color="auto" w:sz="6" w:space="0"/>
              <w:bottom w:val="single" w:color="auto" w:sz="6" w:space="0"/>
              <w:right w:val="double" w:color="auto" w:sz="2" w:space="0"/>
            </w:tcBorders>
            <w:shd w:val="clear" w:color="auto" w:fill="auto"/>
          </w:tcPr>
          <w:p w14:paraId="1070C287">
            <w:pPr>
              <w:rPr>
                <w:rFonts w:hint="eastAsia" w:ascii="宋体" w:hAnsi="宋体" w:eastAsia="宋体" w:cs="宋体"/>
                <w:color w:val="auto"/>
                <w:sz w:val="21"/>
                <w:szCs w:val="21"/>
                <w:highlight w:val="none"/>
              </w:rPr>
            </w:pPr>
          </w:p>
        </w:tc>
      </w:tr>
      <w:tr w14:paraId="0D9F3CEB">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506" w:hRule="atLeast"/>
          <w:jc w:val="center"/>
        </w:trPr>
        <w:tc>
          <w:tcPr>
            <w:tcW w:w="773" w:type="dxa"/>
            <w:vMerge w:val="continue"/>
            <w:tcBorders>
              <w:left w:val="single" w:color="auto" w:sz="6" w:space="0"/>
              <w:right w:val="single" w:color="auto" w:sz="6" w:space="0"/>
            </w:tcBorders>
            <w:shd w:val="clear" w:color="auto" w:fill="auto"/>
            <w:vAlign w:val="center"/>
          </w:tcPr>
          <w:p w14:paraId="411E7F4F">
            <w:pPr>
              <w:rPr>
                <w:rFonts w:hint="eastAsia" w:ascii="宋体" w:hAnsi="宋体" w:eastAsia="宋体" w:cs="宋体"/>
                <w:color w:val="auto"/>
                <w:sz w:val="21"/>
                <w:szCs w:val="21"/>
                <w:highlight w:val="none"/>
                <w:lang w:bidi="ar"/>
              </w:rPr>
            </w:pPr>
          </w:p>
        </w:tc>
        <w:tc>
          <w:tcPr>
            <w:tcW w:w="1200" w:type="dxa"/>
            <w:tcBorders>
              <w:top w:val="single" w:color="auto" w:sz="6" w:space="0"/>
              <w:left w:val="single" w:color="auto" w:sz="6" w:space="0"/>
              <w:bottom w:val="single" w:color="auto" w:sz="6" w:space="0"/>
              <w:right w:val="single" w:color="auto" w:sz="6" w:space="0"/>
            </w:tcBorders>
            <w:shd w:val="clear" w:color="auto" w:fill="auto"/>
            <w:vAlign w:val="center"/>
          </w:tcPr>
          <w:p w14:paraId="5878FAD2">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项目班子述标</w:t>
            </w:r>
            <w:r>
              <w:rPr>
                <w:rFonts w:hint="eastAsia" w:ascii="宋体" w:hAnsi="宋体" w:cs="宋体"/>
                <w:color w:val="auto"/>
                <w:sz w:val="21"/>
                <w:szCs w:val="21"/>
                <w:highlight w:val="none"/>
                <w:lang w:val="en-US" w:eastAsia="zh-CN"/>
              </w:rPr>
              <w:t>及答辩</w:t>
            </w:r>
          </w:p>
        </w:tc>
        <w:tc>
          <w:tcPr>
            <w:tcW w:w="800" w:type="dxa"/>
            <w:tcBorders>
              <w:top w:val="single" w:color="auto" w:sz="6" w:space="0"/>
              <w:left w:val="single" w:color="auto" w:sz="6" w:space="0"/>
              <w:bottom w:val="single" w:color="auto" w:sz="6" w:space="0"/>
              <w:right w:val="single" w:color="auto" w:sz="6" w:space="0"/>
            </w:tcBorders>
            <w:shd w:val="clear" w:color="auto" w:fill="auto"/>
            <w:vAlign w:val="center"/>
          </w:tcPr>
          <w:p w14:paraId="5869C8C2">
            <w:pPr>
              <w:spacing w:before="156" w:after="156"/>
              <w:jc w:val="center"/>
              <w:outlineLvl w:val="1"/>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w:t>
            </w:r>
            <w:r>
              <w:rPr>
                <w:rFonts w:hint="eastAsia" w:ascii="宋体" w:hAnsi="宋体" w:cs="宋体"/>
                <w:color w:val="auto"/>
                <w:kern w:val="2"/>
                <w:sz w:val="21"/>
                <w:szCs w:val="21"/>
                <w:highlight w:val="none"/>
                <w:lang w:val="en-US" w:eastAsia="zh-CN"/>
              </w:rPr>
              <w:t>分</w:t>
            </w:r>
          </w:p>
        </w:tc>
        <w:tc>
          <w:tcPr>
            <w:tcW w:w="9966" w:type="dxa"/>
            <w:tcBorders>
              <w:top w:val="single" w:color="auto" w:sz="6" w:space="0"/>
              <w:left w:val="single" w:color="auto" w:sz="6" w:space="0"/>
              <w:bottom w:val="single" w:color="auto" w:sz="6" w:space="0"/>
              <w:right w:val="single" w:color="auto" w:sz="6" w:space="0"/>
            </w:tcBorders>
            <w:shd w:val="clear" w:color="auto" w:fill="auto"/>
            <w:vAlign w:val="center"/>
          </w:tcPr>
          <w:p w14:paraId="0B13EE5B">
            <w:pPr>
              <w:adjustRightInd/>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w:t>
            </w:r>
            <w:r>
              <w:rPr>
                <w:rFonts w:hint="eastAsia" w:ascii="宋体" w:hAnsi="宋体" w:eastAsia="宋体" w:cs="宋体"/>
                <w:color w:val="auto"/>
                <w:sz w:val="21"/>
                <w:szCs w:val="21"/>
                <w:highlight w:val="none"/>
              </w:rPr>
              <w:t>标人委派本项目拟投入</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项目负责人</w:t>
            </w:r>
            <w:r>
              <w:rPr>
                <w:rFonts w:hint="eastAsia" w:ascii="宋体" w:hAnsi="宋体" w:eastAsia="宋体" w:cs="宋体"/>
                <w:color w:val="auto"/>
                <w:sz w:val="21"/>
                <w:szCs w:val="21"/>
                <w:highlight w:val="none"/>
                <w:lang w:val="en-US" w:eastAsia="zh-CN"/>
              </w:rPr>
              <w:t>或技术负责人作为答辩人员</w:t>
            </w:r>
            <w:r>
              <w:rPr>
                <w:rFonts w:hint="eastAsia" w:ascii="宋体" w:hAnsi="宋体" w:eastAsia="宋体" w:cs="宋体"/>
                <w:color w:val="auto"/>
                <w:sz w:val="21"/>
                <w:szCs w:val="21"/>
                <w:highlight w:val="none"/>
              </w:rPr>
              <w:t>进行现场答辩：</w:t>
            </w:r>
          </w:p>
          <w:p w14:paraId="577B62C5">
            <w:pPr>
              <w:adjustRightInd w:val="0"/>
              <w:snapToGrid w:val="0"/>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答辩</w:t>
            </w:r>
            <w:r>
              <w:rPr>
                <w:rFonts w:hint="eastAsia" w:ascii="宋体" w:hAnsi="宋体" w:eastAsia="宋体" w:cs="宋体"/>
                <w:color w:val="auto"/>
                <w:sz w:val="21"/>
                <w:szCs w:val="21"/>
                <w:highlight w:val="none"/>
                <w:lang w:val="en-US" w:eastAsia="zh-CN"/>
              </w:rPr>
              <w:t>人员</w:t>
            </w:r>
            <w:r>
              <w:rPr>
                <w:rFonts w:hint="eastAsia" w:ascii="宋体" w:hAnsi="宋体" w:eastAsia="宋体" w:cs="宋体"/>
                <w:color w:val="auto"/>
                <w:sz w:val="21"/>
                <w:szCs w:val="21"/>
                <w:highlight w:val="none"/>
              </w:rPr>
              <w:t>对本项目履约能力与履约水平的介绍，介绍时间不超过</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分钟；介绍内容包括但不限于：项目管理人员配备，施工安全、工期及质量管理，对本项目施工重点和难点的分析和应对措施。</w:t>
            </w:r>
          </w:p>
          <w:p w14:paraId="36EF0F77">
            <w:pPr>
              <w:adjustRightInd w:val="0"/>
              <w:jc w:val="left"/>
              <w:textAlignment w:val="baseline"/>
              <w:rPr>
                <w:rFonts w:hint="eastAsia" w:ascii="宋体" w:hAnsi="宋体" w:eastAsia="宋体" w:cs="宋体"/>
                <w:bCs/>
                <w:color w:val="auto"/>
                <w:sz w:val="21"/>
                <w:szCs w:val="20"/>
                <w:highlight w:val="none"/>
              </w:rPr>
            </w:pPr>
            <w:r>
              <w:rPr>
                <w:rFonts w:hint="eastAsia" w:ascii="宋体" w:hAnsi="宋体" w:eastAsia="宋体" w:cs="宋体"/>
                <w:bCs/>
                <w:color w:val="auto"/>
                <w:sz w:val="21"/>
                <w:szCs w:val="20"/>
                <w:highlight w:val="none"/>
              </w:rPr>
              <w:t>【优】：对项目情况认识清晰，</w:t>
            </w:r>
            <w:r>
              <w:rPr>
                <w:rFonts w:hint="eastAsia" w:ascii="宋体" w:hAnsi="宋体" w:eastAsia="宋体" w:cs="宋体"/>
                <w:color w:val="auto"/>
                <w:sz w:val="21"/>
                <w:szCs w:val="21"/>
                <w:highlight w:val="none"/>
              </w:rPr>
              <w:t>项目管理人员配备</w:t>
            </w:r>
            <w:r>
              <w:rPr>
                <w:rFonts w:hint="eastAsia" w:ascii="宋体" w:hAnsi="宋体" w:eastAsia="宋体" w:cs="宋体"/>
                <w:color w:val="auto"/>
                <w:sz w:val="21"/>
                <w:szCs w:val="21"/>
                <w:highlight w:val="none"/>
                <w:lang w:eastAsia="zh-CN"/>
              </w:rPr>
              <w:t>合理，</w:t>
            </w:r>
            <w:r>
              <w:rPr>
                <w:rFonts w:hint="eastAsia" w:ascii="宋体" w:hAnsi="宋体" w:eastAsia="宋体" w:cs="宋体"/>
                <w:bCs/>
                <w:color w:val="auto"/>
                <w:sz w:val="21"/>
                <w:szCs w:val="20"/>
                <w:highlight w:val="none"/>
              </w:rPr>
              <w:t>对项目的重点、难点理解到位，应对措施合理健全，对工程质量和工期、安全的保证措施合理可行。得</w:t>
            </w:r>
            <w:r>
              <w:rPr>
                <w:rFonts w:hint="eastAsia" w:ascii="宋体" w:hAnsi="宋体" w:cs="宋体"/>
                <w:color w:val="auto"/>
                <w:sz w:val="21"/>
                <w:szCs w:val="21"/>
                <w:highlight w:val="none"/>
                <w:lang w:eastAsia="zh-CN"/>
              </w:rPr>
              <w:t>（</w:t>
            </w:r>
            <w:r>
              <w:rPr>
                <w:rFonts w:hint="eastAsia" w:ascii="宋体" w:hAnsi="宋体" w:eastAsia="宋体" w:cs="宋体"/>
                <w:color w:val="auto"/>
                <w:spacing w:val="2"/>
                <w:sz w:val="21"/>
                <w:szCs w:val="21"/>
                <w:highlight w:val="none"/>
                <w:lang w:val="en-US" w:eastAsia="zh-CN"/>
              </w:rPr>
              <w:t>5</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2"/>
                <w:sz w:val="21"/>
                <w:szCs w:val="21"/>
                <w:highlight w:val="none"/>
                <w:lang w:val="en-US" w:eastAsia="zh-CN"/>
              </w:rPr>
              <w:t>10</w:t>
            </w:r>
            <w:r>
              <w:rPr>
                <w:rFonts w:hint="eastAsia" w:ascii="宋体" w:hAnsi="宋体" w:eastAsia="宋体" w:cs="宋体"/>
                <w:color w:val="auto"/>
                <w:spacing w:val="2"/>
                <w:sz w:val="21"/>
                <w:szCs w:val="21"/>
                <w:highlight w:val="none"/>
              </w:rPr>
              <w:t>]</w:t>
            </w:r>
            <w:r>
              <w:rPr>
                <w:rFonts w:hint="eastAsia" w:ascii="宋体" w:hAnsi="宋体" w:eastAsia="宋体" w:cs="宋体"/>
                <w:bCs/>
                <w:color w:val="auto"/>
                <w:sz w:val="21"/>
                <w:szCs w:val="20"/>
                <w:highlight w:val="none"/>
              </w:rPr>
              <w:t>分；</w:t>
            </w:r>
          </w:p>
          <w:p w14:paraId="6259AB20">
            <w:pPr>
              <w:adjustRightInd w:val="0"/>
              <w:jc w:val="left"/>
              <w:textAlignment w:val="baseline"/>
              <w:rPr>
                <w:rFonts w:hint="eastAsia" w:ascii="宋体" w:hAnsi="宋体" w:eastAsia="宋体" w:cs="宋体"/>
                <w:bCs/>
                <w:color w:val="auto"/>
                <w:sz w:val="21"/>
                <w:szCs w:val="20"/>
                <w:highlight w:val="none"/>
              </w:rPr>
            </w:pPr>
            <w:r>
              <w:rPr>
                <w:rFonts w:hint="eastAsia" w:ascii="宋体" w:hAnsi="宋体" w:eastAsia="宋体" w:cs="宋体"/>
                <w:bCs/>
                <w:color w:val="auto"/>
                <w:sz w:val="21"/>
                <w:szCs w:val="20"/>
                <w:highlight w:val="none"/>
              </w:rPr>
              <w:t>【良】：对项目情况认识比较清晰，</w:t>
            </w:r>
            <w:r>
              <w:rPr>
                <w:rFonts w:hint="eastAsia" w:ascii="宋体" w:hAnsi="宋体" w:eastAsia="宋体" w:cs="宋体"/>
                <w:color w:val="auto"/>
                <w:sz w:val="21"/>
                <w:szCs w:val="21"/>
                <w:highlight w:val="none"/>
              </w:rPr>
              <w:t>项目管理人员配备</w:t>
            </w:r>
            <w:r>
              <w:rPr>
                <w:rFonts w:hint="eastAsia" w:ascii="宋体" w:hAnsi="宋体" w:eastAsia="宋体" w:cs="宋体"/>
                <w:color w:val="auto"/>
                <w:sz w:val="21"/>
                <w:szCs w:val="21"/>
                <w:highlight w:val="none"/>
                <w:lang w:eastAsia="zh-CN"/>
              </w:rPr>
              <w:t>比较合理，</w:t>
            </w:r>
            <w:r>
              <w:rPr>
                <w:rFonts w:hint="eastAsia" w:ascii="宋体" w:hAnsi="宋体" w:eastAsia="宋体" w:cs="宋体"/>
                <w:bCs/>
                <w:color w:val="auto"/>
                <w:sz w:val="21"/>
                <w:szCs w:val="20"/>
                <w:highlight w:val="none"/>
              </w:rPr>
              <w:t>对项目的重点、难点理解比较到位，应对措施较比较合理，对工程质量和工期、安全的保证措施比较合理可行。得</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2"/>
                <w:sz w:val="21"/>
                <w:szCs w:val="21"/>
                <w:highlight w:val="none"/>
                <w:lang w:val="en-US" w:eastAsia="zh-CN"/>
              </w:rPr>
              <w:t>2</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2"/>
                <w:sz w:val="21"/>
                <w:szCs w:val="21"/>
                <w:highlight w:val="none"/>
                <w:lang w:val="en-US" w:eastAsia="zh-CN"/>
              </w:rPr>
              <w:t>5</w:t>
            </w:r>
            <w:r>
              <w:rPr>
                <w:rFonts w:hint="eastAsia" w:ascii="宋体" w:hAnsi="宋体" w:cs="宋体"/>
                <w:color w:val="auto"/>
                <w:spacing w:val="2"/>
                <w:sz w:val="21"/>
                <w:szCs w:val="21"/>
                <w:highlight w:val="none"/>
                <w:lang w:val="en-US" w:eastAsia="zh-CN"/>
              </w:rPr>
              <w:t>]</w:t>
            </w:r>
            <w:r>
              <w:rPr>
                <w:rFonts w:hint="eastAsia" w:ascii="宋体" w:hAnsi="宋体" w:eastAsia="宋体" w:cs="宋体"/>
                <w:bCs/>
                <w:color w:val="auto"/>
                <w:sz w:val="21"/>
                <w:szCs w:val="20"/>
                <w:highlight w:val="none"/>
              </w:rPr>
              <w:t>分；</w:t>
            </w:r>
          </w:p>
          <w:p w14:paraId="0D2A4240">
            <w:pPr>
              <w:adjustRightInd w:val="0"/>
              <w:jc w:val="left"/>
              <w:textAlignment w:val="baseline"/>
              <w:rPr>
                <w:rFonts w:hint="eastAsia" w:ascii="宋体" w:hAnsi="宋体" w:eastAsia="宋体" w:cs="宋体"/>
                <w:bCs/>
                <w:color w:val="auto"/>
                <w:sz w:val="21"/>
                <w:szCs w:val="20"/>
                <w:highlight w:val="none"/>
              </w:rPr>
            </w:pPr>
            <w:r>
              <w:rPr>
                <w:rFonts w:hint="eastAsia" w:ascii="宋体" w:hAnsi="宋体" w:eastAsia="宋体" w:cs="宋体"/>
                <w:bCs/>
                <w:color w:val="auto"/>
                <w:sz w:val="21"/>
                <w:szCs w:val="20"/>
                <w:highlight w:val="none"/>
              </w:rPr>
              <w:t>【中】：对项目情况认识一般，</w:t>
            </w:r>
            <w:r>
              <w:rPr>
                <w:rFonts w:hint="eastAsia" w:ascii="宋体" w:hAnsi="宋体" w:eastAsia="宋体" w:cs="宋体"/>
                <w:color w:val="auto"/>
                <w:sz w:val="21"/>
                <w:szCs w:val="21"/>
                <w:highlight w:val="none"/>
              </w:rPr>
              <w:t>项目管理人员配备</w:t>
            </w:r>
            <w:r>
              <w:rPr>
                <w:rFonts w:hint="eastAsia" w:ascii="宋体" w:hAnsi="宋体" w:eastAsia="宋体" w:cs="宋体"/>
                <w:color w:val="auto"/>
                <w:sz w:val="21"/>
                <w:szCs w:val="21"/>
                <w:highlight w:val="none"/>
                <w:lang w:eastAsia="zh-CN"/>
              </w:rPr>
              <w:t>合理性一般，</w:t>
            </w:r>
            <w:r>
              <w:rPr>
                <w:rFonts w:hint="eastAsia" w:ascii="宋体" w:hAnsi="宋体" w:eastAsia="宋体" w:cs="宋体"/>
                <w:bCs/>
                <w:color w:val="auto"/>
                <w:sz w:val="21"/>
                <w:szCs w:val="20"/>
                <w:highlight w:val="none"/>
              </w:rPr>
              <w:t>但重点、难点把握不准，应对措施欠合理，工程质量和工期、安全的保证措施欠合理。得</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0，</w:t>
            </w:r>
            <w:r>
              <w:rPr>
                <w:rFonts w:hint="eastAsia" w:ascii="宋体" w:hAnsi="宋体" w:eastAsia="宋体" w:cs="宋体"/>
                <w:color w:val="auto"/>
                <w:spacing w:val="2"/>
                <w:sz w:val="21"/>
                <w:szCs w:val="21"/>
                <w:highlight w:val="none"/>
                <w:lang w:val="en-US" w:eastAsia="zh-CN"/>
              </w:rPr>
              <w:t>2</w:t>
            </w:r>
            <w:r>
              <w:rPr>
                <w:rFonts w:hint="eastAsia" w:ascii="宋体" w:hAnsi="宋体" w:eastAsia="宋体" w:cs="宋体"/>
                <w:color w:val="auto"/>
                <w:spacing w:val="2"/>
                <w:sz w:val="21"/>
                <w:szCs w:val="21"/>
                <w:highlight w:val="none"/>
              </w:rPr>
              <w:t>]</w:t>
            </w:r>
            <w:r>
              <w:rPr>
                <w:rFonts w:hint="eastAsia" w:ascii="宋体" w:hAnsi="宋体" w:eastAsia="宋体" w:cs="宋体"/>
                <w:bCs/>
                <w:color w:val="auto"/>
                <w:sz w:val="21"/>
                <w:szCs w:val="20"/>
                <w:highlight w:val="none"/>
              </w:rPr>
              <w:t>分；</w:t>
            </w:r>
          </w:p>
          <w:p w14:paraId="516828FB">
            <w:pPr>
              <w:adjustRightInd w:val="0"/>
              <w:jc w:val="left"/>
              <w:textAlignment w:val="baseline"/>
              <w:rPr>
                <w:rFonts w:hint="eastAsia" w:ascii="宋体" w:hAnsi="宋体" w:eastAsia="宋体" w:cs="宋体"/>
                <w:bCs/>
                <w:color w:val="auto"/>
                <w:sz w:val="21"/>
                <w:szCs w:val="20"/>
                <w:highlight w:val="none"/>
              </w:rPr>
            </w:pPr>
            <w:r>
              <w:rPr>
                <w:rFonts w:hint="eastAsia" w:ascii="宋体" w:hAnsi="宋体" w:eastAsia="宋体" w:cs="宋体"/>
                <w:bCs/>
                <w:color w:val="auto"/>
                <w:sz w:val="21"/>
                <w:szCs w:val="20"/>
                <w:highlight w:val="none"/>
              </w:rPr>
              <w:t>【差】：对项目不了解，</w:t>
            </w:r>
            <w:r>
              <w:rPr>
                <w:rFonts w:hint="eastAsia" w:ascii="宋体" w:hAnsi="宋体" w:cs="宋体"/>
                <w:color w:val="auto"/>
                <w:kern w:val="2"/>
                <w:sz w:val="21"/>
                <w:szCs w:val="21"/>
                <w:highlight w:val="none"/>
                <w:lang w:val="en-US" w:eastAsia="zh-CN"/>
              </w:rPr>
              <w:t>未参与</w:t>
            </w:r>
            <w:r>
              <w:rPr>
                <w:rFonts w:hint="eastAsia" w:ascii="宋体" w:hAnsi="宋体" w:eastAsia="宋体" w:cs="宋体"/>
                <w:color w:val="auto"/>
                <w:kern w:val="2"/>
                <w:sz w:val="21"/>
                <w:szCs w:val="21"/>
                <w:highlight w:val="none"/>
                <w:lang w:val="en-US"/>
              </w:rPr>
              <w:t>或其他情况不得分</w:t>
            </w:r>
            <w:r>
              <w:rPr>
                <w:rFonts w:hint="eastAsia" w:ascii="宋体" w:hAnsi="宋体" w:eastAsia="宋体" w:cs="宋体"/>
                <w:bCs/>
                <w:color w:val="auto"/>
                <w:sz w:val="21"/>
                <w:szCs w:val="20"/>
                <w:highlight w:val="none"/>
              </w:rPr>
              <w:t>。得0分。</w:t>
            </w:r>
          </w:p>
          <w:p w14:paraId="78C55DE7">
            <w:pPr>
              <w:adjustRightInd w:val="0"/>
              <w:snapToGrid w:val="0"/>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本小项最高得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68C0FB47">
            <w:pPr>
              <w:numPr>
                <w:ilvl w:val="0"/>
                <w:numId w:val="0"/>
              </w:numPr>
              <w:adjustRightInd w:val="0"/>
              <w:snapToGrid w:val="0"/>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2.</w:t>
            </w:r>
            <w:r>
              <w:rPr>
                <w:rFonts w:hint="eastAsia" w:ascii="宋体" w:hAnsi="宋体" w:eastAsia="宋体" w:cs="宋体"/>
                <w:color w:val="auto"/>
                <w:sz w:val="21"/>
                <w:szCs w:val="21"/>
                <w:highlight w:val="none"/>
              </w:rPr>
              <w:t>答辩</w:t>
            </w:r>
            <w:r>
              <w:rPr>
                <w:rFonts w:hint="eastAsia" w:ascii="宋体" w:hAnsi="宋体" w:eastAsia="宋体" w:cs="宋体"/>
                <w:color w:val="auto"/>
                <w:sz w:val="21"/>
                <w:szCs w:val="21"/>
                <w:highlight w:val="none"/>
                <w:lang w:val="en-US" w:eastAsia="zh-CN"/>
              </w:rPr>
              <w:t>人员</w:t>
            </w:r>
            <w:r>
              <w:rPr>
                <w:rFonts w:hint="eastAsia" w:ascii="宋体" w:hAnsi="宋体" w:eastAsia="宋体" w:cs="宋体"/>
                <w:color w:val="auto"/>
                <w:sz w:val="21"/>
                <w:szCs w:val="21"/>
                <w:highlight w:val="none"/>
              </w:rPr>
              <w:t>就本项目接受评标委员会提问并进行回答</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回答时间不超过5分钟</w:t>
            </w:r>
            <w:r>
              <w:rPr>
                <w:rFonts w:hint="eastAsia" w:ascii="宋体" w:hAnsi="宋体" w:eastAsia="宋体" w:cs="宋体"/>
                <w:color w:val="auto"/>
                <w:sz w:val="21"/>
                <w:szCs w:val="21"/>
                <w:highlight w:val="none"/>
              </w:rPr>
              <w:t>：</w:t>
            </w:r>
          </w:p>
          <w:p w14:paraId="10E93C05">
            <w:pPr>
              <w:numPr>
                <w:ilvl w:val="0"/>
                <w:numId w:val="0"/>
              </w:numPr>
              <w:adjustRightInd w:val="0"/>
              <w:snapToGrid w:val="0"/>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表现优秀得</w:t>
            </w:r>
            <w:r>
              <w:rPr>
                <w:rFonts w:hint="eastAsia" w:ascii="宋体" w:hAnsi="宋体" w:cs="宋体"/>
                <w:color w:val="auto"/>
                <w:sz w:val="21"/>
                <w:szCs w:val="21"/>
                <w:highlight w:val="none"/>
                <w:lang w:eastAsia="zh-CN"/>
              </w:rPr>
              <w:t>（</w:t>
            </w:r>
            <w:r>
              <w:rPr>
                <w:rFonts w:hint="eastAsia" w:ascii="宋体" w:hAnsi="宋体" w:eastAsia="宋体" w:cs="宋体"/>
                <w:color w:val="auto"/>
                <w:spacing w:val="2"/>
                <w:sz w:val="21"/>
                <w:szCs w:val="21"/>
                <w:highlight w:val="none"/>
                <w:lang w:val="en-US" w:eastAsia="zh-CN"/>
              </w:rPr>
              <w:t>5</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2"/>
                <w:sz w:val="21"/>
                <w:szCs w:val="21"/>
                <w:highlight w:val="none"/>
                <w:lang w:val="en-US" w:eastAsia="zh-CN"/>
              </w:rPr>
              <w:t>10</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分，良好得</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2"/>
                <w:sz w:val="21"/>
                <w:szCs w:val="21"/>
                <w:highlight w:val="none"/>
                <w:lang w:val="en-US" w:eastAsia="zh-CN"/>
              </w:rPr>
              <w:t>2</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2"/>
                <w:sz w:val="21"/>
                <w:szCs w:val="21"/>
                <w:highlight w:val="none"/>
                <w:lang w:val="en-US" w:eastAsia="zh-CN"/>
              </w:rPr>
              <w:t>5</w:t>
            </w:r>
            <w:r>
              <w:rPr>
                <w:rFonts w:hint="eastAsia" w:ascii="宋体" w:hAnsi="宋体" w:cs="宋体"/>
                <w:color w:val="auto"/>
                <w:spacing w:val="2"/>
                <w:sz w:val="21"/>
                <w:szCs w:val="21"/>
                <w:highlight w:val="none"/>
                <w:lang w:val="en-US" w:eastAsia="zh-CN"/>
              </w:rPr>
              <w:t>]</w:t>
            </w:r>
            <w:r>
              <w:rPr>
                <w:rFonts w:hint="eastAsia" w:ascii="宋体" w:hAnsi="宋体" w:eastAsia="宋体" w:cs="宋体"/>
                <w:color w:val="auto"/>
                <w:sz w:val="21"/>
                <w:szCs w:val="21"/>
                <w:highlight w:val="none"/>
              </w:rPr>
              <w:t>分，一般得</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0，</w:t>
            </w:r>
            <w:r>
              <w:rPr>
                <w:rFonts w:hint="eastAsia" w:ascii="宋体" w:hAnsi="宋体" w:eastAsia="宋体" w:cs="宋体"/>
                <w:color w:val="auto"/>
                <w:spacing w:val="2"/>
                <w:sz w:val="21"/>
                <w:szCs w:val="21"/>
                <w:highlight w:val="none"/>
                <w:lang w:val="en-US" w:eastAsia="zh-CN"/>
              </w:rPr>
              <w:t>2</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cs="宋体"/>
                <w:color w:val="auto"/>
                <w:kern w:val="2"/>
                <w:sz w:val="21"/>
                <w:szCs w:val="21"/>
                <w:highlight w:val="none"/>
                <w:lang w:val="en-US" w:eastAsia="zh-CN"/>
              </w:rPr>
              <w:t>未参与</w:t>
            </w:r>
            <w:r>
              <w:rPr>
                <w:rFonts w:hint="eastAsia" w:ascii="宋体" w:hAnsi="宋体" w:eastAsia="宋体" w:cs="宋体"/>
                <w:color w:val="auto"/>
                <w:kern w:val="2"/>
                <w:sz w:val="21"/>
                <w:szCs w:val="21"/>
                <w:highlight w:val="none"/>
                <w:lang w:val="en-US"/>
              </w:rPr>
              <w:t>或其他情况不得分</w:t>
            </w:r>
            <w:r>
              <w:rPr>
                <w:rFonts w:hint="eastAsia" w:ascii="宋体" w:hAnsi="宋体" w:eastAsia="宋体" w:cs="宋体"/>
                <w:color w:val="auto"/>
                <w:sz w:val="21"/>
                <w:szCs w:val="21"/>
                <w:highlight w:val="none"/>
              </w:rPr>
              <w:t>。本小项最高得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22B202E8">
            <w:pPr>
              <w:spacing w:line="276" w:lineRule="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注：</w:t>
            </w:r>
          </w:p>
          <w:p w14:paraId="1DA5CEF9">
            <w:pPr>
              <w:spacing w:line="276"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（1）答辩人员组成：项目负责人</w:t>
            </w:r>
            <w:r>
              <w:rPr>
                <w:rFonts w:hint="eastAsia" w:ascii="宋体" w:hAnsi="宋体" w:eastAsia="宋体" w:cs="宋体"/>
                <w:color w:val="auto"/>
                <w:sz w:val="21"/>
                <w:szCs w:val="21"/>
                <w:highlight w:val="none"/>
                <w:u w:val="none"/>
                <w:lang w:val="en-US" w:eastAsia="zh-CN"/>
              </w:rPr>
              <w:t>或技术</w:t>
            </w:r>
            <w:r>
              <w:rPr>
                <w:rFonts w:hint="eastAsia" w:ascii="宋体" w:hAnsi="宋体" w:eastAsia="宋体" w:cs="宋体"/>
                <w:color w:val="auto"/>
                <w:sz w:val="21"/>
                <w:szCs w:val="21"/>
                <w:highlight w:val="none"/>
                <w:u w:val="none"/>
              </w:rPr>
              <w:t>负责人</w:t>
            </w:r>
            <w:r>
              <w:rPr>
                <w:rFonts w:hint="eastAsia" w:ascii="宋体" w:hAnsi="宋体" w:eastAsia="宋体" w:cs="宋体"/>
                <w:color w:val="auto"/>
                <w:sz w:val="21"/>
                <w:szCs w:val="21"/>
                <w:highlight w:val="none"/>
                <w:u w:val="none"/>
                <w:lang w:val="en-US" w:eastAsia="zh-CN"/>
              </w:rPr>
              <w:t>均</w:t>
            </w:r>
            <w:r>
              <w:rPr>
                <w:rFonts w:hint="eastAsia" w:ascii="宋体" w:hAnsi="宋体" w:eastAsia="宋体" w:cs="宋体"/>
                <w:color w:val="auto"/>
                <w:sz w:val="21"/>
                <w:szCs w:val="21"/>
                <w:highlight w:val="none"/>
                <w:u w:val="none"/>
              </w:rPr>
              <w:t>未参加现场答辩，以上两项均为0分。</w:t>
            </w:r>
          </w:p>
          <w:p w14:paraId="53F242ED">
            <w:pPr>
              <w:numPr>
                <w:ilvl w:val="0"/>
                <w:numId w:val="3"/>
              </w:numPr>
              <w:rPr>
                <w:rFonts w:hint="eastAsia"/>
                <w:color w:val="auto"/>
                <w:highlight w:val="none"/>
              </w:rPr>
            </w:pPr>
            <w:r>
              <w:rPr>
                <w:rFonts w:hint="eastAsia"/>
                <w:color w:val="auto"/>
                <w:highlight w:val="none"/>
              </w:rPr>
              <w:t>答辩人员的到场要求：参与答辩的人员出示身份证原件，核对确认身份后签到。未能提供身份证原件核对的不予参加答辩环节。</w:t>
            </w:r>
          </w:p>
          <w:p w14:paraId="6E12D9C6">
            <w:pPr>
              <w:spacing w:line="320" w:lineRule="exact"/>
              <w:rPr>
                <w:rFonts w:hint="eastAsia" w:eastAsia="宋体"/>
                <w:color w:val="auto"/>
                <w:highlight w:val="none"/>
                <w:lang w:val="en-US"/>
              </w:rPr>
            </w:pPr>
            <w:r>
              <w:rPr>
                <w:rFonts w:hint="eastAsia" w:eastAsia="宋体"/>
                <w:b w:val="0"/>
                <w:bCs w:val="0"/>
                <w:color w:val="auto"/>
                <w:highlight w:val="none"/>
                <w:lang w:val="en-US" w:eastAsia="zh-CN"/>
              </w:rPr>
              <w:t>（3）</w:t>
            </w:r>
            <w:r>
              <w:rPr>
                <w:rFonts w:hint="eastAsia" w:eastAsia="宋体"/>
                <w:color w:val="auto"/>
                <w:highlight w:val="none"/>
                <w:lang w:val="en-US"/>
              </w:rPr>
              <w:t>评分区间中，“[”指包含本数，“）”指不包含本数。</w:t>
            </w:r>
          </w:p>
          <w:p w14:paraId="03F067AF">
            <w:pPr>
              <w:pStyle w:val="20"/>
              <w:rPr>
                <w:rFonts w:hint="eastAsia"/>
                <w:color w:val="auto"/>
                <w:highlight w:val="none"/>
              </w:rPr>
            </w:pP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w:t>
            </w:r>
            <w:r>
              <w:rPr>
                <w:rFonts w:hint="eastAsia"/>
                <w:color w:val="auto"/>
                <w:highlight w:val="none"/>
              </w:rPr>
              <w:t>答辩顺序的确定：按照开标时交易系统自动生成的本招标项目《开标记录表》中的序号，由小到大依次排序进行答辩。</w:t>
            </w:r>
          </w:p>
          <w:p w14:paraId="07F1C736">
            <w:pPr>
              <w:pStyle w:val="20"/>
              <w:rPr>
                <w:rFonts w:hint="eastAsia" w:ascii="宋体" w:hAnsi="宋体" w:eastAsia="宋体" w:cs="Courier New"/>
                <w:color w:val="auto"/>
                <w:sz w:val="20"/>
                <w:szCs w:val="20"/>
                <w:highlight w:val="none"/>
                <w:lang w:val="zh-CN" w:eastAsia="zh-CN" w:bidi="ar-SA"/>
              </w:rPr>
            </w:pPr>
            <w:r>
              <w:rPr>
                <w:rFonts w:hint="eastAsia"/>
                <w:color w:val="auto"/>
                <w:highlight w:val="none"/>
                <w:lang w:eastAsia="zh-CN"/>
              </w:rPr>
              <w:t>（</w:t>
            </w:r>
            <w:r>
              <w:rPr>
                <w:rFonts w:hint="eastAsia"/>
                <w:color w:val="auto"/>
                <w:highlight w:val="none"/>
                <w:lang w:val="en-US" w:eastAsia="zh-CN"/>
              </w:rPr>
              <w:t>5</w:t>
            </w:r>
            <w:r>
              <w:rPr>
                <w:rFonts w:hint="eastAsia"/>
                <w:color w:val="auto"/>
                <w:highlight w:val="none"/>
                <w:lang w:eastAsia="zh-CN"/>
              </w:rPr>
              <w:t>）</w:t>
            </w:r>
            <w:r>
              <w:rPr>
                <w:rFonts w:hint="eastAsia"/>
                <w:color w:val="auto"/>
                <w:highlight w:val="none"/>
              </w:rPr>
              <w:t>评标委员会在完成资格</w:t>
            </w:r>
            <w:r>
              <w:rPr>
                <w:rFonts w:hint="eastAsia"/>
                <w:color w:val="auto"/>
                <w:highlight w:val="none"/>
                <w:lang w:eastAsia="zh-CN"/>
              </w:rPr>
              <w:t>审查</w:t>
            </w:r>
            <w:r>
              <w:rPr>
                <w:rFonts w:hint="eastAsia"/>
                <w:color w:val="auto"/>
                <w:highlight w:val="none"/>
              </w:rPr>
              <w:t>、技术标有效性审查后方可启动答辩，具体答辩开始时间以招标代理通知为准。未通过资格</w:t>
            </w:r>
            <w:r>
              <w:rPr>
                <w:rFonts w:hint="eastAsia"/>
                <w:color w:val="auto"/>
                <w:highlight w:val="none"/>
                <w:lang w:eastAsia="zh-CN"/>
              </w:rPr>
              <w:t>审查</w:t>
            </w:r>
            <w:r>
              <w:rPr>
                <w:rFonts w:hint="eastAsia"/>
                <w:color w:val="auto"/>
                <w:highlight w:val="none"/>
              </w:rPr>
              <w:t>、技术标有效性审查的投标人不参与现场答辩。</w:t>
            </w:r>
          </w:p>
        </w:tc>
        <w:tc>
          <w:tcPr>
            <w:tcW w:w="634" w:type="dxa"/>
            <w:tcBorders>
              <w:top w:val="single" w:color="auto" w:sz="6" w:space="0"/>
              <w:left w:val="single" w:color="auto" w:sz="6" w:space="0"/>
              <w:bottom w:val="single" w:color="auto" w:sz="6" w:space="0"/>
              <w:right w:val="single" w:color="auto" w:sz="6" w:space="0"/>
            </w:tcBorders>
            <w:shd w:val="clear" w:color="auto" w:fill="auto"/>
          </w:tcPr>
          <w:p w14:paraId="6D2776BB">
            <w:pPr>
              <w:rPr>
                <w:rFonts w:hint="eastAsia" w:ascii="宋体" w:hAnsi="宋体" w:eastAsia="宋体" w:cs="宋体"/>
                <w:color w:val="auto"/>
                <w:sz w:val="21"/>
                <w:szCs w:val="21"/>
                <w:highlight w:val="none"/>
              </w:rPr>
            </w:pPr>
          </w:p>
        </w:tc>
        <w:tc>
          <w:tcPr>
            <w:tcW w:w="532" w:type="dxa"/>
            <w:tcBorders>
              <w:top w:val="single" w:color="auto" w:sz="6" w:space="0"/>
              <w:left w:val="single" w:color="auto" w:sz="6" w:space="0"/>
              <w:bottom w:val="single" w:color="auto" w:sz="6" w:space="0"/>
              <w:right w:val="double" w:color="auto" w:sz="2" w:space="0"/>
            </w:tcBorders>
            <w:shd w:val="clear" w:color="auto" w:fill="auto"/>
          </w:tcPr>
          <w:p w14:paraId="100B5A7B">
            <w:pPr>
              <w:rPr>
                <w:rFonts w:hint="eastAsia" w:ascii="宋体" w:hAnsi="宋体" w:eastAsia="宋体" w:cs="宋体"/>
                <w:color w:val="auto"/>
                <w:sz w:val="21"/>
                <w:szCs w:val="21"/>
                <w:highlight w:val="none"/>
              </w:rPr>
            </w:pPr>
          </w:p>
        </w:tc>
      </w:tr>
      <w:tr w14:paraId="6E23CC2E">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37" w:hRule="atLeast"/>
          <w:jc w:val="center"/>
        </w:trPr>
        <w:tc>
          <w:tcPr>
            <w:tcW w:w="773" w:type="dxa"/>
            <w:vMerge w:val="restart"/>
            <w:tcBorders>
              <w:top w:val="single" w:color="auto" w:sz="6" w:space="0"/>
              <w:left w:val="single" w:color="auto" w:sz="6" w:space="0"/>
              <w:right w:val="single" w:color="auto" w:sz="6" w:space="0"/>
            </w:tcBorders>
            <w:shd w:val="clear" w:color="auto" w:fill="auto"/>
            <w:vAlign w:val="center"/>
          </w:tcPr>
          <w:p w14:paraId="749478A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三、</w:t>
            </w:r>
            <w:r>
              <w:rPr>
                <w:rFonts w:hint="eastAsia" w:ascii="宋体" w:hAnsi="宋体" w:eastAsia="宋体" w:cs="宋体"/>
                <w:color w:val="auto"/>
                <w:sz w:val="21"/>
                <w:szCs w:val="21"/>
                <w:highlight w:val="none"/>
                <w:lang w:bidi="ar"/>
              </w:rPr>
              <w:t>施工组织设计</w:t>
            </w:r>
          </w:p>
          <w:p w14:paraId="75DE2F5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w:t>
            </w:r>
            <w:r>
              <w:rPr>
                <w:rFonts w:hint="eastAsia" w:ascii="宋体" w:hAnsi="宋体" w:cs="宋体"/>
                <w:color w:val="auto"/>
                <w:sz w:val="21"/>
                <w:szCs w:val="21"/>
                <w:highlight w:val="none"/>
                <w:lang w:val="en-US" w:eastAsia="zh-CN" w:bidi="ar"/>
              </w:rPr>
              <w:t>4</w:t>
            </w:r>
            <w:r>
              <w:rPr>
                <w:rFonts w:hint="eastAsia" w:ascii="宋体" w:hAnsi="宋体" w:eastAsia="宋体" w:cs="宋体"/>
                <w:color w:val="auto"/>
                <w:sz w:val="21"/>
                <w:szCs w:val="21"/>
                <w:highlight w:val="none"/>
                <w:lang w:val="en-US" w:eastAsia="zh-CN" w:bidi="ar"/>
              </w:rPr>
              <w:t>0</w:t>
            </w:r>
            <w:r>
              <w:rPr>
                <w:rFonts w:hint="eastAsia" w:ascii="宋体" w:hAnsi="宋体" w:eastAsia="宋体" w:cs="宋体"/>
                <w:color w:val="auto"/>
                <w:sz w:val="21"/>
                <w:szCs w:val="21"/>
                <w:highlight w:val="none"/>
                <w:lang w:bidi="ar"/>
              </w:rPr>
              <w:t>分）</w:t>
            </w:r>
          </w:p>
        </w:tc>
        <w:tc>
          <w:tcPr>
            <w:tcW w:w="1200" w:type="dxa"/>
            <w:tcBorders>
              <w:top w:val="single" w:color="auto" w:sz="6" w:space="0"/>
              <w:left w:val="single" w:color="auto" w:sz="6" w:space="0"/>
              <w:bottom w:val="single" w:color="auto" w:sz="6" w:space="0"/>
              <w:right w:val="single" w:color="auto" w:sz="6" w:space="0"/>
            </w:tcBorders>
            <w:shd w:val="clear" w:color="auto" w:fill="auto"/>
            <w:vAlign w:val="center"/>
          </w:tcPr>
          <w:p w14:paraId="7903259B">
            <w:pPr>
              <w:autoSpaceDE w:val="0"/>
              <w:autoSpaceDN w:val="0"/>
              <w:adjustRightInd w:val="0"/>
              <w:snapToGrid w:val="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bidi="ar"/>
              </w:rPr>
              <w:t>对项目的整体理解及拆卸工作流程</w:t>
            </w:r>
          </w:p>
        </w:tc>
        <w:tc>
          <w:tcPr>
            <w:tcW w:w="800" w:type="dxa"/>
            <w:tcBorders>
              <w:top w:val="single" w:color="auto" w:sz="6" w:space="0"/>
              <w:left w:val="single" w:color="auto" w:sz="6" w:space="0"/>
              <w:bottom w:val="single" w:color="auto" w:sz="6" w:space="0"/>
              <w:right w:val="single" w:color="auto" w:sz="6" w:space="0"/>
            </w:tcBorders>
            <w:shd w:val="clear" w:color="auto" w:fill="auto"/>
            <w:vAlign w:val="center"/>
          </w:tcPr>
          <w:p w14:paraId="0C3B0392">
            <w:pPr>
              <w:spacing w:before="100" w:beforeAutospacing="1" w:after="100" w:afterAutospacing="1" w:line="320" w:lineRule="exact"/>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8</w:t>
            </w:r>
            <w:r>
              <w:rPr>
                <w:rFonts w:hint="eastAsia" w:ascii="宋体" w:hAnsi="宋体" w:cs="宋体"/>
                <w:color w:val="auto"/>
                <w:kern w:val="2"/>
                <w:sz w:val="21"/>
                <w:szCs w:val="21"/>
                <w:highlight w:val="none"/>
                <w:lang w:val="en-US" w:eastAsia="zh-CN"/>
              </w:rPr>
              <w:t>分</w:t>
            </w:r>
          </w:p>
        </w:tc>
        <w:tc>
          <w:tcPr>
            <w:tcW w:w="9966" w:type="dxa"/>
            <w:tcBorders>
              <w:top w:val="single" w:color="auto" w:sz="6" w:space="0"/>
              <w:left w:val="single" w:color="auto" w:sz="6" w:space="0"/>
              <w:bottom w:val="single" w:color="auto" w:sz="6" w:space="0"/>
              <w:right w:val="single" w:color="auto" w:sz="6" w:space="0"/>
            </w:tcBorders>
            <w:shd w:val="clear" w:color="auto" w:fill="auto"/>
            <w:vAlign w:val="center"/>
          </w:tcPr>
          <w:p w14:paraId="67A8CC3A">
            <w:pPr>
              <w:autoSpaceDE w:val="0"/>
              <w:autoSpaceDN w:val="0"/>
              <w:adjustRightInd w:val="0"/>
              <w:snapToGrid w:val="0"/>
              <w:spacing w:line="288"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lang w:bidi="ar"/>
              </w:rPr>
              <w:t>重点描述拆卸工作的实施方式，熟悉拆除建筑物要求和本项目拆除区域情况，结合现状对工作重点、难点作合理分析，并</w:t>
            </w:r>
            <w:r>
              <w:rPr>
                <w:rFonts w:hint="eastAsia" w:ascii="宋体" w:hAnsi="宋体" w:cs="宋体"/>
                <w:color w:val="auto"/>
                <w:sz w:val="21"/>
                <w:szCs w:val="21"/>
                <w:highlight w:val="none"/>
                <w:lang w:eastAsia="zh-CN" w:bidi="ar"/>
              </w:rPr>
              <w:t>制定</w:t>
            </w:r>
            <w:r>
              <w:rPr>
                <w:rFonts w:hint="eastAsia" w:ascii="宋体" w:hAnsi="宋体" w:eastAsia="宋体" w:cs="宋体"/>
                <w:color w:val="auto"/>
                <w:sz w:val="21"/>
                <w:szCs w:val="21"/>
                <w:highlight w:val="none"/>
                <w:lang w:bidi="ar"/>
              </w:rPr>
              <w:t>应对措施、工作承诺、风险控制及合理化建议（包括但不限于办事流程、社会因素等）</w:t>
            </w:r>
            <w:r>
              <w:rPr>
                <w:rFonts w:hint="eastAsia" w:ascii="宋体" w:hAnsi="宋体" w:cs="宋体"/>
                <w:color w:val="auto"/>
                <w:sz w:val="21"/>
                <w:szCs w:val="21"/>
                <w:highlight w:val="none"/>
                <w:lang w:eastAsia="zh-CN" w:bidi="ar"/>
              </w:rPr>
              <w:t>，确保能准确把握拆除的工作内容</w:t>
            </w:r>
            <w:r>
              <w:rPr>
                <w:rFonts w:hint="eastAsia" w:ascii="宋体" w:hAnsi="宋体" w:eastAsia="宋体" w:cs="宋体"/>
                <w:color w:val="auto"/>
                <w:kern w:val="0"/>
                <w:sz w:val="21"/>
                <w:szCs w:val="21"/>
                <w:highlight w:val="none"/>
                <w:lang w:eastAsia="zh-CN"/>
              </w:rPr>
              <w:t>。</w:t>
            </w:r>
          </w:p>
          <w:p w14:paraId="7D26472C">
            <w:pPr>
              <w:autoSpaceDE w:val="0"/>
              <w:autoSpaceDN w:val="0"/>
              <w:adjustRightInd w:val="0"/>
              <w:snapToGrid w:val="0"/>
              <w:spacing w:line="288" w:lineRule="auto"/>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优得</w:t>
            </w:r>
            <w:r>
              <w:rPr>
                <w:rFonts w:hint="eastAsia" w:ascii="宋体" w:hAnsi="宋体" w:eastAsia="宋体" w:cs="宋体"/>
                <w:color w:val="auto"/>
                <w:sz w:val="21"/>
                <w:szCs w:val="21"/>
                <w:highlight w:val="none"/>
                <w:lang w:val="en-US" w:eastAsia="zh-CN" w:bidi="ar"/>
              </w:rPr>
              <w:t>8</w:t>
            </w:r>
            <w:r>
              <w:rPr>
                <w:rFonts w:hint="eastAsia" w:ascii="宋体" w:hAnsi="宋体" w:eastAsia="宋体" w:cs="宋体"/>
                <w:color w:val="auto"/>
                <w:sz w:val="21"/>
                <w:szCs w:val="21"/>
                <w:highlight w:val="none"/>
                <w:lang w:bidi="ar"/>
              </w:rPr>
              <w:t>分，良得</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分，一般得</w:t>
            </w: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z w:val="21"/>
                <w:szCs w:val="21"/>
                <w:highlight w:val="none"/>
                <w:lang w:bidi="ar"/>
              </w:rPr>
              <w:t>分</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val="en-US" w:eastAsia="zh-CN" w:bidi="ar"/>
              </w:rPr>
              <w:t>无得0分</w:t>
            </w:r>
            <w:r>
              <w:rPr>
                <w:rFonts w:hint="eastAsia" w:ascii="宋体" w:hAnsi="宋体" w:eastAsia="宋体" w:cs="宋体"/>
                <w:color w:val="auto"/>
                <w:sz w:val="21"/>
                <w:szCs w:val="21"/>
                <w:highlight w:val="none"/>
                <w:lang w:bidi="ar"/>
              </w:rPr>
              <w:t>。</w:t>
            </w:r>
          </w:p>
          <w:p w14:paraId="2746529E">
            <w:pPr>
              <w:pStyle w:val="20"/>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bidi="ar"/>
              </w:rPr>
              <w:t>注：本小项最高得</w:t>
            </w:r>
            <w:r>
              <w:rPr>
                <w:rFonts w:hint="eastAsia" w:ascii="宋体" w:hAnsi="宋体" w:eastAsia="宋体" w:cs="宋体"/>
                <w:color w:val="auto"/>
                <w:sz w:val="21"/>
                <w:szCs w:val="21"/>
                <w:highlight w:val="none"/>
                <w:lang w:val="en-US" w:eastAsia="zh-CN" w:bidi="ar"/>
              </w:rPr>
              <w:t>8</w:t>
            </w:r>
            <w:r>
              <w:rPr>
                <w:rFonts w:hint="eastAsia" w:ascii="宋体" w:hAnsi="宋体" w:eastAsia="宋体" w:cs="宋体"/>
                <w:color w:val="auto"/>
                <w:sz w:val="21"/>
                <w:szCs w:val="21"/>
                <w:highlight w:val="none"/>
                <w:lang w:bidi="ar"/>
              </w:rPr>
              <w:t>分。</w:t>
            </w:r>
          </w:p>
        </w:tc>
        <w:tc>
          <w:tcPr>
            <w:tcW w:w="634" w:type="dxa"/>
            <w:tcBorders>
              <w:top w:val="single" w:color="auto" w:sz="6" w:space="0"/>
              <w:left w:val="single" w:color="auto" w:sz="6" w:space="0"/>
              <w:bottom w:val="single" w:color="auto" w:sz="6" w:space="0"/>
              <w:right w:val="single" w:color="auto" w:sz="6" w:space="0"/>
            </w:tcBorders>
            <w:shd w:val="clear" w:color="auto" w:fill="auto"/>
          </w:tcPr>
          <w:p w14:paraId="1096FA55">
            <w:pPr>
              <w:rPr>
                <w:rFonts w:hint="eastAsia" w:ascii="宋体" w:hAnsi="宋体" w:eastAsia="宋体" w:cs="宋体"/>
                <w:color w:val="auto"/>
                <w:sz w:val="21"/>
                <w:szCs w:val="21"/>
                <w:highlight w:val="none"/>
              </w:rPr>
            </w:pPr>
          </w:p>
        </w:tc>
        <w:tc>
          <w:tcPr>
            <w:tcW w:w="532" w:type="dxa"/>
            <w:tcBorders>
              <w:top w:val="single" w:color="auto" w:sz="6" w:space="0"/>
              <w:left w:val="single" w:color="auto" w:sz="6" w:space="0"/>
              <w:bottom w:val="single" w:color="auto" w:sz="6" w:space="0"/>
              <w:right w:val="double" w:color="auto" w:sz="2" w:space="0"/>
            </w:tcBorders>
            <w:shd w:val="clear" w:color="auto" w:fill="auto"/>
          </w:tcPr>
          <w:p w14:paraId="39D5EC00">
            <w:pPr>
              <w:rPr>
                <w:rFonts w:hint="eastAsia" w:ascii="宋体" w:hAnsi="宋体" w:eastAsia="宋体" w:cs="宋体"/>
                <w:color w:val="auto"/>
                <w:sz w:val="21"/>
                <w:szCs w:val="21"/>
                <w:highlight w:val="none"/>
              </w:rPr>
            </w:pPr>
          </w:p>
        </w:tc>
      </w:tr>
      <w:tr w14:paraId="0A356DA3">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73" w:hRule="atLeast"/>
          <w:jc w:val="center"/>
        </w:trPr>
        <w:tc>
          <w:tcPr>
            <w:tcW w:w="773" w:type="dxa"/>
            <w:vMerge w:val="continue"/>
            <w:tcBorders>
              <w:left w:val="single" w:color="auto" w:sz="6" w:space="0"/>
              <w:right w:val="single" w:color="auto" w:sz="6" w:space="0"/>
            </w:tcBorders>
            <w:shd w:val="clear" w:color="auto" w:fill="auto"/>
            <w:vAlign w:val="center"/>
          </w:tcPr>
          <w:p w14:paraId="0EBD3CE2">
            <w:pPr>
              <w:rPr>
                <w:rFonts w:hint="eastAsia" w:ascii="宋体" w:hAnsi="宋体" w:eastAsia="宋体" w:cs="宋体"/>
                <w:color w:val="auto"/>
                <w:sz w:val="21"/>
                <w:szCs w:val="21"/>
                <w:highlight w:val="none"/>
              </w:rPr>
            </w:pPr>
          </w:p>
        </w:tc>
        <w:tc>
          <w:tcPr>
            <w:tcW w:w="1200" w:type="dxa"/>
            <w:tcBorders>
              <w:top w:val="single" w:color="auto" w:sz="6" w:space="0"/>
              <w:left w:val="single" w:color="auto" w:sz="6" w:space="0"/>
              <w:right w:val="single" w:color="auto" w:sz="6" w:space="0"/>
            </w:tcBorders>
            <w:shd w:val="clear" w:color="auto" w:fill="auto"/>
            <w:vAlign w:val="center"/>
          </w:tcPr>
          <w:p w14:paraId="76AD2F7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绿色</w:t>
            </w:r>
            <w:r>
              <w:rPr>
                <w:rFonts w:hint="eastAsia" w:ascii="宋体" w:hAnsi="宋体" w:cs="宋体"/>
                <w:color w:val="auto"/>
                <w:sz w:val="21"/>
                <w:szCs w:val="21"/>
                <w:highlight w:val="none"/>
                <w:lang w:eastAsia="zh-CN"/>
              </w:rPr>
              <w:t>环保</w:t>
            </w:r>
            <w:r>
              <w:rPr>
                <w:rFonts w:hint="eastAsia" w:ascii="宋体" w:hAnsi="宋体" w:eastAsia="宋体" w:cs="宋体"/>
                <w:color w:val="auto"/>
                <w:sz w:val="21"/>
                <w:szCs w:val="21"/>
                <w:highlight w:val="none"/>
              </w:rPr>
              <w:t>控制措施</w:t>
            </w:r>
          </w:p>
        </w:tc>
        <w:tc>
          <w:tcPr>
            <w:tcW w:w="800" w:type="dxa"/>
            <w:tcBorders>
              <w:top w:val="single" w:color="auto" w:sz="6" w:space="0"/>
              <w:left w:val="single" w:color="auto" w:sz="6" w:space="0"/>
              <w:right w:val="single" w:color="auto" w:sz="6" w:space="0"/>
            </w:tcBorders>
            <w:shd w:val="clear" w:color="auto" w:fill="auto"/>
            <w:vAlign w:val="center"/>
          </w:tcPr>
          <w:p w14:paraId="1C34E07D">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8</w:t>
            </w:r>
            <w:r>
              <w:rPr>
                <w:rFonts w:hint="eastAsia" w:ascii="宋体" w:hAnsi="宋体" w:cs="宋体"/>
                <w:color w:val="auto"/>
                <w:kern w:val="2"/>
                <w:sz w:val="21"/>
                <w:szCs w:val="21"/>
                <w:highlight w:val="none"/>
                <w:lang w:val="en-US" w:eastAsia="zh-CN"/>
              </w:rPr>
              <w:t>分</w:t>
            </w:r>
          </w:p>
        </w:tc>
        <w:tc>
          <w:tcPr>
            <w:tcW w:w="9966" w:type="dxa"/>
            <w:tcBorders>
              <w:top w:val="single" w:color="auto" w:sz="6" w:space="0"/>
              <w:left w:val="single" w:color="auto" w:sz="6" w:space="0"/>
              <w:bottom w:val="single" w:color="auto" w:sz="6" w:space="0"/>
              <w:right w:val="single" w:color="auto" w:sz="6" w:space="0"/>
            </w:tcBorders>
            <w:shd w:val="clear" w:color="auto" w:fill="auto"/>
            <w:vAlign w:val="center"/>
          </w:tcPr>
          <w:p w14:paraId="065F425D">
            <w:pP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有建筑垃圾处理方案（现场破除的旧路面混凝土、砖渣等用于临时便道基础使用），采取污染防治措施，并承诺除临时施工便道外主体工程不得使用建筑垃圾，且现场土方利用须确保不参杂腐殖土。根据场地地质情况和标高，合理优化施工工艺与施工工序，平衡挖方与填方量，减少场地内土方外运。对既有结构保护施工措施科学合理、处理得当；相关工程施工方案充分考虑其可实施性和可操作性。提出详细可行的氢燃料电池汽车投入应用措施，混凝土搅拌车和建筑废弃物运输车中氢燃料电池汽车的投入比例≥50%（即：投入的氢燃料电池汽车/投入的总车辆数≥50%）），优得</w:t>
            </w:r>
            <w:r>
              <w:rPr>
                <w:rFonts w:hint="eastAsia" w:ascii="宋体" w:hAnsi="宋体" w:cs="宋体"/>
                <w:color w:val="auto"/>
                <w:sz w:val="21"/>
                <w:szCs w:val="21"/>
                <w:highlight w:val="none"/>
                <w:lang w:val="en-US" w:eastAsia="zh-CN" w:bidi="ar"/>
              </w:rPr>
              <w:t>8</w:t>
            </w:r>
            <w:r>
              <w:rPr>
                <w:rFonts w:hint="eastAsia" w:ascii="宋体" w:hAnsi="宋体" w:eastAsia="宋体" w:cs="宋体"/>
                <w:color w:val="auto"/>
                <w:sz w:val="21"/>
                <w:szCs w:val="21"/>
                <w:highlight w:val="none"/>
                <w:lang w:bidi="ar"/>
              </w:rPr>
              <w:t>分。</w:t>
            </w:r>
          </w:p>
          <w:p w14:paraId="2D688EF9">
            <w:pP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2、有建筑垃圾处理方案（现场破除的旧路面混凝土、砖渣等用于临时便道基础使用），采取污染防治措施，并承诺除临时施工便道外主体工程不得使用建筑垃圾，且现场土方利用须确保不参杂腐殖土。根据场地地质情况和标高，合理优化施工工艺与施工工序，平衡挖方与填方量，减少场地内土方外运。对既有结构保护施工措施较合理；相关工程施工方案充分考虑较合理。提出可行的氢燃料电池汽车投入应用措施（混凝土搅拌车和建筑废弃物运输车中氢燃料电池汽车的投入比例≥50%，（即：投入的氢燃料电池汽车/投入的总车辆数≥50%）），良得</w:t>
            </w:r>
            <w:r>
              <w:rPr>
                <w:rFonts w:hint="eastAsia" w:ascii="宋体" w:hAnsi="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分。</w:t>
            </w:r>
          </w:p>
          <w:p w14:paraId="49B0F5E6">
            <w:pP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3、有建筑垃圾处理方案（现场破除的旧路面混凝土、砖渣等用于临时便道基础使用），采取污染防治措施，并承诺除临时施工便道外主体工程不得使用建筑垃圾，且现场土方利用须确保不参杂腐殖土。根据场地地质情况和标高，合理优化施工工艺与施工工序，平衡挖方与填方量，减少场地内土方外运。对既有结构有基本保护施工措施；有基本的相关工程施工方案。有氢燃料电池汽车投入应用措施（混凝土搅拌车和建筑废弃物运输车中氢燃料电池汽车的投入比例≥50%，（即：投入的氢燃料电池汽车/投入的总车辆数≥50%）），一般得</w:t>
            </w:r>
            <w:r>
              <w:rPr>
                <w:rFonts w:hint="eastAsia" w:ascii="宋体" w:hAnsi="宋体" w:cs="宋体"/>
                <w:color w:val="auto"/>
                <w:sz w:val="21"/>
                <w:szCs w:val="21"/>
                <w:highlight w:val="none"/>
                <w:lang w:val="en-US" w:eastAsia="zh-CN" w:bidi="ar"/>
              </w:rPr>
              <w:t>2</w:t>
            </w:r>
            <w:r>
              <w:rPr>
                <w:rFonts w:hint="eastAsia" w:ascii="宋体" w:hAnsi="宋体" w:eastAsia="宋体" w:cs="宋体"/>
                <w:color w:val="auto"/>
                <w:sz w:val="21"/>
                <w:szCs w:val="21"/>
                <w:highlight w:val="none"/>
                <w:lang w:bidi="ar"/>
              </w:rPr>
              <w:t>分。</w:t>
            </w:r>
          </w:p>
          <w:p w14:paraId="1407CA50">
            <w:pP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4、无建筑垃圾处理方案及污染防治措施，无既有结构保护措施的，得0分。</w:t>
            </w:r>
          </w:p>
          <w:p w14:paraId="0D00B1BA">
            <w:pP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注：本小项最高得</w:t>
            </w:r>
            <w:r>
              <w:rPr>
                <w:rFonts w:hint="eastAsia" w:ascii="宋体" w:hAnsi="宋体" w:eastAsia="宋体" w:cs="宋体"/>
                <w:color w:val="auto"/>
                <w:sz w:val="21"/>
                <w:szCs w:val="21"/>
                <w:highlight w:val="none"/>
                <w:lang w:val="en-US" w:eastAsia="zh-CN" w:bidi="ar"/>
              </w:rPr>
              <w:t>8</w:t>
            </w:r>
            <w:r>
              <w:rPr>
                <w:rFonts w:hint="eastAsia" w:ascii="宋体" w:hAnsi="宋体" w:eastAsia="宋体" w:cs="宋体"/>
                <w:color w:val="auto"/>
                <w:sz w:val="21"/>
                <w:szCs w:val="21"/>
                <w:highlight w:val="none"/>
                <w:lang w:bidi="ar"/>
              </w:rPr>
              <w:t>分。</w:t>
            </w:r>
          </w:p>
        </w:tc>
        <w:tc>
          <w:tcPr>
            <w:tcW w:w="634" w:type="dxa"/>
            <w:tcBorders>
              <w:top w:val="single" w:color="auto" w:sz="6" w:space="0"/>
              <w:left w:val="single" w:color="auto" w:sz="6" w:space="0"/>
              <w:right w:val="single" w:color="auto" w:sz="6" w:space="0"/>
            </w:tcBorders>
            <w:shd w:val="clear" w:color="auto" w:fill="auto"/>
          </w:tcPr>
          <w:p w14:paraId="62F82A48">
            <w:pPr>
              <w:rPr>
                <w:rFonts w:hint="eastAsia" w:ascii="宋体" w:hAnsi="宋体" w:eastAsia="宋体" w:cs="宋体"/>
                <w:color w:val="auto"/>
                <w:sz w:val="21"/>
                <w:szCs w:val="21"/>
                <w:highlight w:val="none"/>
              </w:rPr>
            </w:pPr>
          </w:p>
        </w:tc>
        <w:tc>
          <w:tcPr>
            <w:tcW w:w="532" w:type="dxa"/>
            <w:tcBorders>
              <w:top w:val="single" w:color="auto" w:sz="6" w:space="0"/>
              <w:left w:val="single" w:color="auto" w:sz="6" w:space="0"/>
              <w:right w:val="double" w:color="auto" w:sz="2" w:space="0"/>
            </w:tcBorders>
            <w:shd w:val="clear" w:color="auto" w:fill="auto"/>
          </w:tcPr>
          <w:p w14:paraId="06B6D590">
            <w:pPr>
              <w:rPr>
                <w:rFonts w:hint="eastAsia" w:ascii="宋体" w:hAnsi="宋体" w:eastAsia="宋体" w:cs="宋体"/>
                <w:color w:val="auto"/>
                <w:sz w:val="21"/>
                <w:szCs w:val="21"/>
                <w:highlight w:val="none"/>
              </w:rPr>
            </w:pPr>
          </w:p>
        </w:tc>
      </w:tr>
      <w:tr w14:paraId="2E3F63F3">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364" w:hRule="atLeast"/>
          <w:jc w:val="center"/>
        </w:trPr>
        <w:tc>
          <w:tcPr>
            <w:tcW w:w="773" w:type="dxa"/>
            <w:vMerge w:val="continue"/>
            <w:tcBorders>
              <w:left w:val="single" w:color="auto" w:sz="6" w:space="0"/>
              <w:right w:val="single" w:color="auto" w:sz="6" w:space="0"/>
            </w:tcBorders>
            <w:shd w:val="clear" w:color="auto" w:fill="auto"/>
            <w:vAlign w:val="center"/>
          </w:tcPr>
          <w:p w14:paraId="5DF678CE">
            <w:pPr>
              <w:rPr>
                <w:rFonts w:hint="eastAsia" w:ascii="宋体" w:hAnsi="宋体" w:eastAsia="宋体" w:cs="宋体"/>
                <w:color w:val="auto"/>
                <w:sz w:val="21"/>
                <w:szCs w:val="21"/>
                <w:highlight w:val="none"/>
              </w:rPr>
            </w:pPr>
          </w:p>
        </w:tc>
        <w:tc>
          <w:tcPr>
            <w:tcW w:w="1200" w:type="dxa"/>
            <w:tcBorders>
              <w:top w:val="single" w:color="auto" w:sz="6" w:space="0"/>
              <w:left w:val="single" w:color="auto" w:sz="6" w:space="0"/>
              <w:bottom w:val="single" w:color="auto" w:sz="6" w:space="0"/>
              <w:right w:val="single" w:color="auto" w:sz="6" w:space="0"/>
            </w:tcBorders>
            <w:shd w:val="clear" w:color="auto" w:fill="auto"/>
            <w:vAlign w:val="center"/>
          </w:tcPr>
          <w:p w14:paraId="5BAD523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安全控制措施</w:t>
            </w:r>
          </w:p>
        </w:tc>
        <w:tc>
          <w:tcPr>
            <w:tcW w:w="800" w:type="dxa"/>
            <w:tcBorders>
              <w:top w:val="single" w:color="auto" w:sz="6" w:space="0"/>
              <w:left w:val="single" w:color="auto" w:sz="6" w:space="0"/>
              <w:bottom w:val="single" w:color="auto" w:sz="6" w:space="0"/>
              <w:right w:val="single" w:color="auto" w:sz="6" w:space="0"/>
            </w:tcBorders>
            <w:shd w:val="clear" w:color="auto" w:fill="auto"/>
            <w:vAlign w:val="center"/>
          </w:tcPr>
          <w:p w14:paraId="0DAEA611">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8</w:t>
            </w:r>
            <w:r>
              <w:rPr>
                <w:rFonts w:hint="eastAsia" w:ascii="宋体" w:hAnsi="宋体" w:cs="宋体"/>
                <w:color w:val="auto"/>
                <w:kern w:val="2"/>
                <w:sz w:val="21"/>
                <w:szCs w:val="21"/>
                <w:highlight w:val="none"/>
                <w:lang w:val="en-US" w:eastAsia="zh-CN"/>
              </w:rPr>
              <w:t>分</w:t>
            </w:r>
          </w:p>
        </w:tc>
        <w:tc>
          <w:tcPr>
            <w:tcW w:w="9966" w:type="dxa"/>
            <w:tcBorders>
              <w:top w:val="single" w:color="auto" w:sz="6" w:space="0"/>
              <w:left w:val="single" w:color="auto" w:sz="6" w:space="0"/>
              <w:bottom w:val="single" w:color="auto" w:sz="6" w:space="0"/>
              <w:right w:val="single" w:color="auto" w:sz="6" w:space="0"/>
            </w:tcBorders>
            <w:shd w:val="clear" w:color="auto" w:fill="auto"/>
            <w:vAlign w:val="center"/>
          </w:tcPr>
          <w:p w14:paraId="5A95F297">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制定本工程的安全文明施工目标，针对项目的特点，从</w:t>
            </w:r>
            <w:r>
              <w:rPr>
                <w:rFonts w:hint="eastAsia" w:ascii="宋体" w:hAnsi="宋体" w:cs="宋体"/>
                <w:color w:val="auto"/>
                <w:sz w:val="21"/>
                <w:szCs w:val="21"/>
                <w:highlight w:val="none"/>
                <w:lang w:eastAsia="zh-CN"/>
              </w:rPr>
              <w:t>安全风险、</w:t>
            </w:r>
            <w:r>
              <w:rPr>
                <w:rFonts w:hint="eastAsia" w:ascii="宋体" w:hAnsi="宋体" w:eastAsia="宋体" w:cs="宋体"/>
                <w:color w:val="auto"/>
                <w:sz w:val="21"/>
                <w:szCs w:val="21"/>
                <w:highlight w:val="none"/>
              </w:rPr>
              <w:t>安全文明施工管理体系、应急预案等方面</w:t>
            </w:r>
            <w:r>
              <w:rPr>
                <w:rFonts w:hint="eastAsia" w:ascii="宋体" w:hAnsi="宋体" w:cs="宋体"/>
                <w:color w:val="auto"/>
                <w:sz w:val="21"/>
                <w:szCs w:val="21"/>
                <w:highlight w:val="none"/>
                <w:lang w:eastAsia="zh-CN"/>
              </w:rPr>
              <w:t>制定</w:t>
            </w:r>
            <w:r>
              <w:rPr>
                <w:rFonts w:hint="eastAsia" w:ascii="宋体" w:hAnsi="宋体" w:eastAsia="宋体" w:cs="宋体"/>
                <w:color w:val="auto"/>
                <w:sz w:val="21"/>
                <w:szCs w:val="21"/>
                <w:highlight w:val="none"/>
              </w:rPr>
              <w:t>详细的安全生产</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文明施工保证措施</w:t>
            </w:r>
            <w:r>
              <w:rPr>
                <w:rFonts w:hint="eastAsia" w:ascii="宋体" w:hAnsi="宋体" w:cs="宋体"/>
                <w:color w:val="auto"/>
                <w:sz w:val="21"/>
                <w:szCs w:val="21"/>
                <w:highlight w:val="none"/>
                <w:lang w:eastAsia="zh-CN"/>
              </w:rPr>
              <w:t>及应急处理保障措施等</w:t>
            </w:r>
            <w:r>
              <w:rPr>
                <w:rFonts w:hint="eastAsia" w:ascii="宋体" w:hAnsi="宋体" w:eastAsia="宋体" w:cs="宋体"/>
                <w:color w:val="auto"/>
                <w:sz w:val="21"/>
                <w:szCs w:val="21"/>
                <w:highlight w:val="none"/>
              </w:rPr>
              <w:t>。</w:t>
            </w:r>
          </w:p>
          <w:p w14:paraId="4758C928">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优得</w:t>
            </w:r>
            <w:r>
              <w:rPr>
                <w:rFonts w:hint="eastAsia" w:ascii="宋体" w:hAnsi="宋体" w:eastAsia="宋体" w:cs="宋体"/>
                <w:color w:val="auto"/>
                <w:sz w:val="21"/>
                <w:szCs w:val="21"/>
                <w:highlight w:val="none"/>
                <w:lang w:val="en-US" w:eastAsia="zh-CN" w:bidi="ar"/>
              </w:rPr>
              <w:t>8</w:t>
            </w:r>
            <w:r>
              <w:rPr>
                <w:rFonts w:hint="eastAsia" w:ascii="宋体" w:hAnsi="宋体" w:eastAsia="宋体" w:cs="宋体"/>
                <w:color w:val="auto"/>
                <w:sz w:val="21"/>
                <w:szCs w:val="21"/>
                <w:highlight w:val="none"/>
                <w:lang w:bidi="ar"/>
              </w:rPr>
              <w:t>分，良得</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分，一般得</w:t>
            </w: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z w:val="21"/>
                <w:szCs w:val="21"/>
                <w:highlight w:val="none"/>
                <w:lang w:bidi="ar"/>
              </w:rPr>
              <w:t>分</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val="en-US" w:eastAsia="zh-CN" w:bidi="ar"/>
              </w:rPr>
              <w:t>无得0分</w:t>
            </w:r>
            <w:r>
              <w:rPr>
                <w:rFonts w:hint="eastAsia" w:ascii="宋体" w:hAnsi="宋体" w:eastAsia="宋体" w:cs="宋体"/>
                <w:color w:val="auto"/>
                <w:sz w:val="21"/>
                <w:szCs w:val="21"/>
                <w:highlight w:val="none"/>
                <w:lang w:bidi="ar"/>
              </w:rPr>
              <w:t>。</w:t>
            </w:r>
          </w:p>
          <w:p w14:paraId="5DAC8A7F">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注：本小项最高得</w:t>
            </w:r>
            <w:r>
              <w:rPr>
                <w:rFonts w:hint="eastAsia" w:ascii="宋体" w:hAnsi="宋体" w:eastAsia="宋体" w:cs="宋体"/>
                <w:color w:val="auto"/>
                <w:sz w:val="21"/>
                <w:szCs w:val="21"/>
                <w:highlight w:val="none"/>
                <w:lang w:val="en-US" w:eastAsia="zh-CN" w:bidi="ar"/>
              </w:rPr>
              <w:t>8</w:t>
            </w:r>
            <w:r>
              <w:rPr>
                <w:rFonts w:hint="eastAsia" w:ascii="宋体" w:hAnsi="宋体" w:eastAsia="宋体" w:cs="宋体"/>
                <w:color w:val="auto"/>
                <w:sz w:val="21"/>
                <w:szCs w:val="21"/>
                <w:highlight w:val="none"/>
                <w:lang w:bidi="ar"/>
              </w:rPr>
              <w:t>分。</w:t>
            </w:r>
          </w:p>
        </w:tc>
        <w:tc>
          <w:tcPr>
            <w:tcW w:w="634" w:type="dxa"/>
            <w:tcBorders>
              <w:top w:val="single" w:color="auto" w:sz="6" w:space="0"/>
              <w:left w:val="single" w:color="auto" w:sz="6" w:space="0"/>
              <w:bottom w:val="single" w:color="auto" w:sz="6" w:space="0"/>
              <w:right w:val="single" w:color="auto" w:sz="6" w:space="0"/>
            </w:tcBorders>
            <w:shd w:val="clear" w:color="auto" w:fill="auto"/>
          </w:tcPr>
          <w:p w14:paraId="1F078E19">
            <w:pPr>
              <w:rPr>
                <w:rFonts w:hint="eastAsia" w:ascii="宋体" w:hAnsi="宋体" w:eastAsia="宋体" w:cs="宋体"/>
                <w:color w:val="auto"/>
                <w:sz w:val="21"/>
                <w:szCs w:val="21"/>
                <w:highlight w:val="none"/>
              </w:rPr>
            </w:pPr>
          </w:p>
        </w:tc>
        <w:tc>
          <w:tcPr>
            <w:tcW w:w="532" w:type="dxa"/>
            <w:tcBorders>
              <w:top w:val="single" w:color="auto" w:sz="6" w:space="0"/>
              <w:left w:val="single" w:color="auto" w:sz="6" w:space="0"/>
              <w:bottom w:val="single" w:color="auto" w:sz="6" w:space="0"/>
              <w:right w:val="double" w:color="auto" w:sz="2" w:space="0"/>
            </w:tcBorders>
            <w:shd w:val="clear" w:color="auto" w:fill="auto"/>
          </w:tcPr>
          <w:p w14:paraId="5A76DD0C">
            <w:pPr>
              <w:rPr>
                <w:rFonts w:hint="eastAsia" w:ascii="宋体" w:hAnsi="宋体" w:eastAsia="宋体" w:cs="宋体"/>
                <w:color w:val="auto"/>
                <w:sz w:val="21"/>
                <w:szCs w:val="21"/>
                <w:highlight w:val="none"/>
              </w:rPr>
            </w:pPr>
          </w:p>
        </w:tc>
      </w:tr>
      <w:tr w14:paraId="18484613">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364" w:hRule="atLeast"/>
          <w:jc w:val="center"/>
        </w:trPr>
        <w:tc>
          <w:tcPr>
            <w:tcW w:w="773" w:type="dxa"/>
            <w:vMerge w:val="continue"/>
            <w:tcBorders>
              <w:left w:val="single" w:color="auto" w:sz="6" w:space="0"/>
              <w:right w:val="single" w:color="auto" w:sz="6" w:space="0"/>
            </w:tcBorders>
            <w:shd w:val="clear" w:color="auto" w:fill="auto"/>
            <w:vAlign w:val="center"/>
          </w:tcPr>
          <w:p w14:paraId="72FA3CB0">
            <w:pPr>
              <w:rPr>
                <w:rFonts w:hint="eastAsia" w:ascii="宋体" w:hAnsi="宋体" w:eastAsia="宋体" w:cs="宋体"/>
                <w:color w:val="auto"/>
                <w:sz w:val="21"/>
                <w:szCs w:val="21"/>
                <w:highlight w:val="none"/>
              </w:rPr>
            </w:pPr>
          </w:p>
        </w:tc>
        <w:tc>
          <w:tcPr>
            <w:tcW w:w="1200" w:type="dxa"/>
            <w:tcBorders>
              <w:top w:val="single" w:color="auto" w:sz="6" w:space="0"/>
              <w:left w:val="single" w:color="auto" w:sz="6" w:space="0"/>
              <w:bottom w:val="single" w:color="auto" w:sz="6" w:space="0"/>
              <w:right w:val="single" w:color="auto" w:sz="6" w:space="0"/>
            </w:tcBorders>
            <w:shd w:val="clear" w:color="auto" w:fill="auto"/>
            <w:vAlign w:val="center"/>
          </w:tcPr>
          <w:p w14:paraId="34D70F0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TW"/>
              </w:rPr>
              <w:t>质量控制措施</w:t>
            </w:r>
          </w:p>
        </w:tc>
        <w:tc>
          <w:tcPr>
            <w:tcW w:w="800" w:type="dxa"/>
            <w:tcBorders>
              <w:top w:val="single" w:color="auto" w:sz="6" w:space="0"/>
              <w:left w:val="single" w:color="auto" w:sz="6" w:space="0"/>
              <w:bottom w:val="single" w:color="auto" w:sz="6" w:space="0"/>
              <w:right w:val="single" w:color="auto" w:sz="6" w:space="0"/>
            </w:tcBorders>
            <w:shd w:val="clear" w:color="auto" w:fill="auto"/>
            <w:vAlign w:val="center"/>
          </w:tcPr>
          <w:p w14:paraId="30DC18FE">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8</w:t>
            </w:r>
            <w:r>
              <w:rPr>
                <w:rFonts w:hint="eastAsia" w:ascii="宋体" w:hAnsi="宋体" w:cs="宋体"/>
                <w:color w:val="auto"/>
                <w:kern w:val="2"/>
                <w:sz w:val="21"/>
                <w:szCs w:val="21"/>
                <w:highlight w:val="none"/>
                <w:lang w:val="en-US" w:eastAsia="zh-CN"/>
              </w:rPr>
              <w:t>分</w:t>
            </w:r>
          </w:p>
        </w:tc>
        <w:tc>
          <w:tcPr>
            <w:tcW w:w="9966" w:type="dxa"/>
            <w:tcBorders>
              <w:top w:val="single" w:color="auto" w:sz="6" w:space="0"/>
              <w:left w:val="single" w:color="auto" w:sz="6" w:space="0"/>
              <w:bottom w:val="single" w:color="auto" w:sz="6" w:space="0"/>
              <w:right w:val="single" w:color="auto" w:sz="6" w:space="0"/>
            </w:tcBorders>
            <w:shd w:val="clear" w:color="auto" w:fill="auto"/>
            <w:vAlign w:val="center"/>
          </w:tcPr>
          <w:p w14:paraId="437AE5EA">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制定本工程的质量目标，针对项目的特点，</w:t>
            </w:r>
            <w:r>
              <w:rPr>
                <w:rFonts w:hint="eastAsia" w:ascii="宋体" w:hAnsi="宋体" w:eastAsia="宋体" w:cs="宋体"/>
                <w:i w:val="0"/>
                <w:iCs w:val="0"/>
                <w:caps w:val="0"/>
                <w:color w:val="auto"/>
                <w:spacing w:val="0"/>
                <w:sz w:val="21"/>
                <w:szCs w:val="21"/>
                <w:highlight w:val="none"/>
                <w:shd w:val="clear" w:fill="auto"/>
                <w:lang w:eastAsia="zh-CN"/>
              </w:rPr>
              <w:t>从</w:t>
            </w:r>
            <w:r>
              <w:rPr>
                <w:rFonts w:hint="eastAsia" w:ascii="宋体" w:hAnsi="宋体" w:eastAsia="宋体" w:cs="宋体"/>
                <w:i w:val="0"/>
                <w:iCs w:val="0"/>
                <w:caps w:val="0"/>
                <w:color w:val="auto"/>
                <w:spacing w:val="0"/>
                <w:sz w:val="21"/>
                <w:szCs w:val="21"/>
                <w:highlight w:val="none"/>
                <w:shd w:val="clear" w:fill="auto"/>
              </w:rPr>
              <w:t>拆卸过程的安全性、效率性和相关标准</w:t>
            </w:r>
            <w:r>
              <w:rPr>
                <w:rFonts w:hint="eastAsia" w:ascii="宋体" w:hAnsi="宋体" w:eastAsia="宋体" w:cs="宋体"/>
                <w:i w:val="0"/>
                <w:iCs w:val="0"/>
                <w:caps w:val="0"/>
                <w:color w:val="auto"/>
                <w:spacing w:val="0"/>
                <w:sz w:val="21"/>
                <w:szCs w:val="21"/>
                <w:highlight w:val="none"/>
                <w:shd w:val="clear" w:fill="auto"/>
                <w:lang w:eastAsia="zh-CN"/>
              </w:rPr>
              <w:t>等多方面考虑，</w:t>
            </w:r>
            <w:r>
              <w:rPr>
                <w:rFonts w:hint="eastAsia" w:ascii="宋体" w:hAnsi="宋体" w:cs="宋体"/>
                <w:color w:val="auto"/>
                <w:sz w:val="21"/>
                <w:szCs w:val="21"/>
                <w:highlight w:val="none"/>
                <w:lang w:eastAsia="zh-CN"/>
              </w:rPr>
              <w:t>制定</w:t>
            </w:r>
            <w:r>
              <w:rPr>
                <w:rFonts w:hint="eastAsia" w:ascii="宋体" w:hAnsi="宋体" w:eastAsia="宋体" w:cs="宋体"/>
                <w:color w:val="auto"/>
                <w:sz w:val="21"/>
                <w:szCs w:val="21"/>
                <w:highlight w:val="none"/>
              </w:rPr>
              <w:t>详细的质量保证措施。</w:t>
            </w:r>
          </w:p>
          <w:p w14:paraId="140F57E9">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优得</w:t>
            </w:r>
            <w:r>
              <w:rPr>
                <w:rFonts w:hint="eastAsia" w:ascii="宋体" w:hAnsi="宋体" w:eastAsia="宋体" w:cs="宋体"/>
                <w:color w:val="auto"/>
                <w:sz w:val="21"/>
                <w:szCs w:val="21"/>
                <w:highlight w:val="none"/>
                <w:lang w:val="en-US" w:eastAsia="zh-CN" w:bidi="ar"/>
              </w:rPr>
              <w:t>8</w:t>
            </w:r>
            <w:r>
              <w:rPr>
                <w:rFonts w:hint="eastAsia" w:ascii="宋体" w:hAnsi="宋体" w:eastAsia="宋体" w:cs="宋体"/>
                <w:color w:val="auto"/>
                <w:sz w:val="21"/>
                <w:szCs w:val="21"/>
                <w:highlight w:val="none"/>
                <w:lang w:bidi="ar"/>
              </w:rPr>
              <w:t>分，良得</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分，一般得</w:t>
            </w: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z w:val="21"/>
                <w:szCs w:val="21"/>
                <w:highlight w:val="none"/>
                <w:lang w:bidi="ar"/>
              </w:rPr>
              <w:t>分</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val="en-US" w:eastAsia="zh-CN" w:bidi="ar"/>
              </w:rPr>
              <w:t>无得0分</w:t>
            </w:r>
            <w:r>
              <w:rPr>
                <w:rFonts w:hint="eastAsia" w:ascii="宋体" w:hAnsi="宋体" w:eastAsia="宋体" w:cs="宋体"/>
                <w:color w:val="auto"/>
                <w:sz w:val="21"/>
                <w:szCs w:val="21"/>
                <w:highlight w:val="none"/>
                <w:lang w:bidi="ar"/>
              </w:rPr>
              <w:t>。</w:t>
            </w:r>
          </w:p>
          <w:p w14:paraId="78E4DD2E">
            <w:pPr>
              <w:pStyle w:val="20"/>
              <w:rPr>
                <w:rFonts w:hint="eastAsia"/>
                <w:color w:val="auto"/>
                <w:highlight w:val="none"/>
              </w:rPr>
            </w:pPr>
            <w:r>
              <w:rPr>
                <w:rFonts w:hint="eastAsia" w:ascii="宋体" w:hAnsi="宋体" w:eastAsia="宋体" w:cs="宋体"/>
                <w:color w:val="auto"/>
                <w:sz w:val="21"/>
                <w:szCs w:val="21"/>
                <w:highlight w:val="none"/>
                <w:lang w:bidi="ar"/>
              </w:rPr>
              <w:t>注：本小项最高得</w:t>
            </w:r>
            <w:r>
              <w:rPr>
                <w:rFonts w:hint="eastAsia" w:ascii="宋体" w:hAnsi="宋体" w:eastAsia="宋体" w:cs="宋体"/>
                <w:color w:val="auto"/>
                <w:sz w:val="21"/>
                <w:szCs w:val="21"/>
                <w:highlight w:val="none"/>
                <w:lang w:val="en-US" w:eastAsia="zh-CN" w:bidi="ar"/>
              </w:rPr>
              <w:t>8</w:t>
            </w:r>
            <w:r>
              <w:rPr>
                <w:rFonts w:hint="eastAsia" w:ascii="宋体" w:hAnsi="宋体" w:eastAsia="宋体" w:cs="宋体"/>
                <w:color w:val="auto"/>
                <w:sz w:val="21"/>
                <w:szCs w:val="21"/>
                <w:highlight w:val="none"/>
                <w:lang w:bidi="ar"/>
              </w:rPr>
              <w:t>分。</w:t>
            </w:r>
          </w:p>
        </w:tc>
        <w:tc>
          <w:tcPr>
            <w:tcW w:w="634" w:type="dxa"/>
            <w:tcBorders>
              <w:top w:val="single" w:color="auto" w:sz="6" w:space="0"/>
              <w:left w:val="single" w:color="auto" w:sz="6" w:space="0"/>
              <w:bottom w:val="single" w:color="auto" w:sz="6" w:space="0"/>
              <w:right w:val="single" w:color="auto" w:sz="6" w:space="0"/>
            </w:tcBorders>
            <w:shd w:val="clear" w:color="auto" w:fill="auto"/>
          </w:tcPr>
          <w:p w14:paraId="0496B98F">
            <w:pPr>
              <w:rPr>
                <w:rFonts w:hint="eastAsia" w:ascii="宋体" w:hAnsi="宋体" w:eastAsia="宋体" w:cs="宋体"/>
                <w:color w:val="auto"/>
                <w:sz w:val="21"/>
                <w:szCs w:val="21"/>
                <w:highlight w:val="none"/>
              </w:rPr>
            </w:pPr>
          </w:p>
        </w:tc>
        <w:tc>
          <w:tcPr>
            <w:tcW w:w="532" w:type="dxa"/>
            <w:tcBorders>
              <w:top w:val="single" w:color="auto" w:sz="6" w:space="0"/>
              <w:left w:val="single" w:color="auto" w:sz="6" w:space="0"/>
              <w:bottom w:val="single" w:color="auto" w:sz="6" w:space="0"/>
              <w:right w:val="double" w:color="auto" w:sz="2" w:space="0"/>
            </w:tcBorders>
            <w:shd w:val="clear" w:color="auto" w:fill="auto"/>
          </w:tcPr>
          <w:p w14:paraId="09C041BC">
            <w:pPr>
              <w:rPr>
                <w:rFonts w:hint="eastAsia" w:ascii="宋体" w:hAnsi="宋体" w:eastAsia="宋体" w:cs="宋体"/>
                <w:color w:val="auto"/>
                <w:sz w:val="21"/>
                <w:szCs w:val="21"/>
                <w:highlight w:val="none"/>
              </w:rPr>
            </w:pPr>
          </w:p>
        </w:tc>
      </w:tr>
      <w:tr w14:paraId="0AC7D039">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259" w:hRule="atLeast"/>
          <w:jc w:val="center"/>
        </w:trPr>
        <w:tc>
          <w:tcPr>
            <w:tcW w:w="773" w:type="dxa"/>
            <w:vMerge w:val="continue"/>
            <w:tcBorders>
              <w:left w:val="single" w:color="auto" w:sz="6" w:space="0"/>
              <w:bottom w:val="single" w:color="auto" w:sz="6" w:space="0"/>
              <w:right w:val="single" w:color="auto" w:sz="6" w:space="0"/>
            </w:tcBorders>
            <w:shd w:val="clear" w:color="auto" w:fill="auto"/>
            <w:vAlign w:val="center"/>
          </w:tcPr>
          <w:p w14:paraId="17B22CC2">
            <w:pPr>
              <w:rPr>
                <w:rFonts w:hint="eastAsia" w:ascii="宋体" w:hAnsi="宋体" w:eastAsia="宋体" w:cs="宋体"/>
                <w:color w:val="auto"/>
                <w:sz w:val="21"/>
                <w:szCs w:val="21"/>
                <w:highlight w:val="none"/>
              </w:rPr>
            </w:pPr>
          </w:p>
        </w:tc>
        <w:tc>
          <w:tcPr>
            <w:tcW w:w="1200" w:type="dxa"/>
            <w:tcBorders>
              <w:top w:val="single" w:color="auto" w:sz="6" w:space="0"/>
              <w:left w:val="single" w:color="auto" w:sz="6" w:space="0"/>
              <w:bottom w:val="single" w:color="auto" w:sz="6" w:space="0"/>
              <w:right w:val="single" w:color="auto" w:sz="6" w:space="0"/>
            </w:tcBorders>
            <w:shd w:val="clear" w:color="auto" w:fill="auto"/>
            <w:vAlign w:val="center"/>
          </w:tcPr>
          <w:p w14:paraId="4389E83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TW"/>
              </w:rPr>
              <w:t>进度控制措施</w:t>
            </w:r>
          </w:p>
        </w:tc>
        <w:tc>
          <w:tcPr>
            <w:tcW w:w="800" w:type="dxa"/>
            <w:tcBorders>
              <w:top w:val="single" w:color="auto" w:sz="6" w:space="0"/>
              <w:left w:val="single" w:color="auto" w:sz="6" w:space="0"/>
              <w:bottom w:val="single" w:color="auto" w:sz="6" w:space="0"/>
              <w:right w:val="single" w:color="auto" w:sz="6" w:space="0"/>
            </w:tcBorders>
            <w:shd w:val="clear" w:color="auto" w:fill="auto"/>
            <w:vAlign w:val="center"/>
          </w:tcPr>
          <w:p w14:paraId="1C20CF08">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8</w:t>
            </w:r>
            <w:r>
              <w:rPr>
                <w:rFonts w:hint="eastAsia" w:ascii="宋体" w:hAnsi="宋体" w:cs="宋体"/>
                <w:color w:val="auto"/>
                <w:kern w:val="2"/>
                <w:sz w:val="21"/>
                <w:szCs w:val="21"/>
                <w:highlight w:val="none"/>
                <w:lang w:val="en-US" w:eastAsia="zh-CN"/>
              </w:rPr>
              <w:t>分</w:t>
            </w:r>
          </w:p>
        </w:tc>
        <w:tc>
          <w:tcPr>
            <w:tcW w:w="9966" w:type="dxa"/>
            <w:tcBorders>
              <w:top w:val="single" w:color="auto" w:sz="6" w:space="0"/>
              <w:left w:val="single" w:color="auto" w:sz="6" w:space="0"/>
              <w:bottom w:val="single" w:color="auto" w:sz="6" w:space="0"/>
              <w:right w:val="single" w:color="auto" w:sz="6" w:space="0"/>
            </w:tcBorders>
            <w:shd w:val="clear" w:color="auto" w:fill="auto"/>
            <w:vAlign w:val="center"/>
          </w:tcPr>
          <w:p w14:paraId="4B39753E">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制定详细的进度计划和保证措施控制措施，分析准确、得当。针对项目特点编制施工总进度计划及工期保证措施，确保实现工程进度目标。</w:t>
            </w:r>
          </w:p>
          <w:p w14:paraId="17CF496A">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优得</w:t>
            </w:r>
            <w:r>
              <w:rPr>
                <w:rFonts w:hint="eastAsia" w:ascii="宋体" w:hAnsi="宋体" w:eastAsia="宋体" w:cs="宋体"/>
                <w:color w:val="auto"/>
                <w:sz w:val="21"/>
                <w:szCs w:val="21"/>
                <w:highlight w:val="none"/>
                <w:lang w:val="en-US" w:eastAsia="zh-CN" w:bidi="ar"/>
              </w:rPr>
              <w:t>8</w:t>
            </w:r>
            <w:r>
              <w:rPr>
                <w:rFonts w:hint="eastAsia" w:ascii="宋体" w:hAnsi="宋体" w:eastAsia="宋体" w:cs="宋体"/>
                <w:color w:val="auto"/>
                <w:sz w:val="21"/>
                <w:szCs w:val="21"/>
                <w:highlight w:val="none"/>
                <w:lang w:bidi="ar"/>
              </w:rPr>
              <w:t>分，良得</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分，一般得</w:t>
            </w: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z w:val="21"/>
                <w:szCs w:val="21"/>
                <w:highlight w:val="none"/>
                <w:lang w:bidi="ar"/>
              </w:rPr>
              <w:t>分</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val="en-US" w:eastAsia="zh-CN" w:bidi="ar"/>
              </w:rPr>
              <w:t>无得0分</w:t>
            </w:r>
            <w:r>
              <w:rPr>
                <w:rFonts w:hint="eastAsia" w:ascii="宋体" w:hAnsi="宋体" w:eastAsia="宋体" w:cs="宋体"/>
                <w:color w:val="auto"/>
                <w:sz w:val="21"/>
                <w:szCs w:val="21"/>
                <w:highlight w:val="none"/>
                <w:lang w:bidi="ar"/>
              </w:rPr>
              <w:t>。</w:t>
            </w:r>
          </w:p>
          <w:p w14:paraId="35142B6D">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注：本小项最高得</w:t>
            </w:r>
            <w:r>
              <w:rPr>
                <w:rFonts w:hint="eastAsia" w:ascii="宋体" w:hAnsi="宋体" w:eastAsia="宋体" w:cs="宋体"/>
                <w:color w:val="auto"/>
                <w:sz w:val="21"/>
                <w:szCs w:val="21"/>
                <w:highlight w:val="none"/>
                <w:lang w:val="en-US" w:eastAsia="zh-CN" w:bidi="ar"/>
              </w:rPr>
              <w:t>8</w:t>
            </w:r>
            <w:r>
              <w:rPr>
                <w:rFonts w:hint="eastAsia" w:ascii="宋体" w:hAnsi="宋体" w:eastAsia="宋体" w:cs="宋体"/>
                <w:color w:val="auto"/>
                <w:sz w:val="21"/>
                <w:szCs w:val="21"/>
                <w:highlight w:val="none"/>
                <w:lang w:bidi="ar"/>
              </w:rPr>
              <w:t>分。</w:t>
            </w:r>
          </w:p>
        </w:tc>
        <w:tc>
          <w:tcPr>
            <w:tcW w:w="634" w:type="dxa"/>
            <w:tcBorders>
              <w:top w:val="single" w:color="auto" w:sz="6" w:space="0"/>
              <w:left w:val="single" w:color="auto" w:sz="6" w:space="0"/>
              <w:bottom w:val="single" w:color="auto" w:sz="6" w:space="0"/>
              <w:right w:val="single" w:color="auto" w:sz="6" w:space="0"/>
            </w:tcBorders>
            <w:shd w:val="clear" w:color="auto" w:fill="auto"/>
          </w:tcPr>
          <w:p w14:paraId="35973BBF">
            <w:pPr>
              <w:rPr>
                <w:rFonts w:hint="eastAsia" w:ascii="宋体" w:hAnsi="宋体" w:eastAsia="宋体" w:cs="宋体"/>
                <w:color w:val="auto"/>
                <w:sz w:val="21"/>
                <w:szCs w:val="21"/>
                <w:highlight w:val="none"/>
              </w:rPr>
            </w:pPr>
          </w:p>
        </w:tc>
        <w:tc>
          <w:tcPr>
            <w:tcW w:w="532" w:type="dxa"/>
            <w:tcBorders>
              <w:top w:val="single" w:color="auto" w:sz="6" w:space="0"/>
              <w:left w:val="single" w:color="auto" w:sz="6" w:space="0"/>
              <w:bottom w:val="single" w:color="auto" w:sz="6" w:space="0"/>
              <w:right w:val="double" w:color="auto" w:sz="2" w:space="0"/>
            </w:tcBorders>
            <w:shd w:val="clear" w:color="auto" w:fill="auto"/>
          </w:tcPr>
          <w:p w14:paraId="3A8BA6A6">
            <w:pPr>
              <w:rPr>
                <w:rFonts w:hint="eastAsia" w:ascii="宋体" w:hAnsi="宋体" w:eastAsia="宋体" w:cs="宋体"/>
                <w:color w:val="auto"/>
                <w:sz w:val="21"/>
                <w:szCs w:val="21"/>
                <w:highlight w:val="none"/>
              </w:rPr>
            </w:pPr>
          </w:p>
        </w:tc>
      </w:tr>
      <w:tr w14:paraId="341F1925">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09" w:hRule="atLeast"/>
          <w:jc w:val="center"/>
        </w:trPr>
        <w:tc>
          <w:tcPr>
            <w:tcW w:w="1973" w:type="dxa"/>
            <w:gridSpan w:val="2"/>
            <w:tcBorders>
              <w:top w:val="single" w:color="auto" w:sz="6" w:space="0"/>
              <w:left w:val="single" w:color="auto" w:sz="6" w:space="0"/>
              <w:bottom w:val="double" w:color="auto" w:sz="2" w:space="0"/>
              <w:right w:val="single" w:color="auto" w:sz="6" w:space="0"/>
            </w:tcBorders>
            <w:shd w:val="clear" w:color="auto" w:fill="auto"/>
            <w:vAlign w:val="center"/>
          </w:tcPr>
          <w:p w14:paraId="4E987006">
            <w:pPr>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bidi="ar"/>
              </w:rPr>
              <w:t>合计</w:t>
            </w:r>
          </w:p>
        </w:tc>
        <w:tc>
          <w:tcPr>
            <w:tcW w:w="800" w:type="dxa"/>
            <w:tcBorders>
              <w:top w:val="single" w:color="auto" w:sz="6" w:space="0"/>
              <w:left w:val="single" w:color="auto" w:sz="6" w:space="0"/>
              <w:bottom w:val="double" w:color="auto" w:sz="2" w:space="0"/>
              <w:right w:val="single" w:color="auto" w:sz="6" w:space="0"/>
            </w:tcBorders>
            <w:shd w:val="clear" w:color="auto" w:fill="auto"/>
            <w:vAlign w:val="center"/>
          </w:tcPr>
          <w:p w14:paraId="5D209049">
            <w:pP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bidi="ar"/>
              </w:rPr>
              <w:t>100</w:t>
            </w:r>
            <w:r>
              <w:rPr>
                <w:rFonts w:hint="eastAsia" w:ascii="宋体" w:hAnsi="宋体" w:cs="宋体"/>
                <w:color w:val="auto"/>
                <w:sz w:val="21"/>
                <w:szCs w:val="21"/>
                <w:highlight w:val="none"/>
                <w:lang w:val="en-US" w:eastAsia="zh-CN" w:bidi="ar"/>
              </w:rPr>
              <w:t>分</w:t>
            </w:r>
          </w:p>
        </w:tc>
        <w:tc>
          <w:tcPr>
            <w:tcW w:w="9966" w:type="dxa"/>
            <w:tcBorders>
              <w:top w:val="single" w:color="auto" w:sz="6" w:space="0"/>
              <w:left w:val="single" w:color="auto" w:sz="6" w:space="0"/>
              <w:bottom w:val="double" w:color="auto" w:sz="2" w:space="0"/>
              <w:right w:val="single" w:color="auto" w:sz="6" w:space="0"/>
            </w:tcBorders>
            <w:shd w:val="clear" w:color="auto" w:fill="auto"/>
            <w:vAlign w:val="center"/>
          </w:tcPr>
          <w:p w14:paraId="5FD583C3">
            <w:pPr>
              <w:rPr>
                <w:rFonts w:hint="eastAsia" w:ascii="宋体" w:hAnsi="宋体" w:eastAsia="宋体" w:cs="宋体"/>
                <w:color w:val="auto"/>
                <w:sz w:val="21"/>
                <w:szCs w:val="21"/>
                <w:highlight w:val="none"/>
              </w:rPr>
            </w:pPr>
          </w:p>
        </w:tc>
        <w:tc>
          <w:tcPr>
            <w:tcW w:w="634" w:type="dxa"/>
            <w:tcBorders>
              <w:top w:val="single" w:color="auto" w:sz="6" w:space="0"/>
              <w:left w:val="single" w:color="auto" w:sz="6" w:space="0"/>
              <w:bottom w:val="double" w:color="auto" w:sz="2" w:space="0"/>
              <w:right w:val="single" w:color="auto" w:sz="6" w:space="0"/>
            </w:tcBorders>
            <w:shd w:val="clear" w:color="auto" w:fill="auto"/>
          </w:tcPr>
          <w:p w14:paraId="4ABCB5D6">
            <w:pPr>
              <w:rPr>
                <w:rFonts w:hint="eastAsia" w:ascii="宋体" w:hAnsi="宋体" w:eastAsia="宋体" w:cs="宋体"/>
                <w:color w:val="auto"/>
                <w:sz w:val="21"/>
                <w:szCs w:val="21"/>
                <w:highlight w:val="none"/>
              </w:rPr>
            </w:pPr>
          </w:p>
        </w:tc>
        <w:tc>
          <w:tcPr>
            <w:tcW w:w="532" w:type="dxa"/>
            <w:tcBorders>
              <w:top w:val="single" w:color="auto" w:sz="6" w:space="0"/>
              <w:left w:val="single" w:color="auto" w:sz="6" w:space="0"/>
              <w:bottom w:val="double" w:color="auto" w:sz="2" w:space="0"/>
              <w:right w:val="double" w:color="auto" w:sz="2" w:space="0"/>
            </w:tcBorders>
            <w:shd w:val="clear" w:color="auto" w:fill="auto"/>
          </w:tcPr>
          <w:p w14:paraId="44004775">
            <w:pPr>
              <w:rPr>
                <w:rFonts w:hint="eastAsia" w:ascii="宋体" w:hAnsi="宋体" w:eastAsia="宋体" w:cs="宋体"/>
                <w:color w:val="auto"/>
                <w:sz w:val="21"/>
                <w:szCs w:val="21"/>
                <w:highlight w:val="none"/>
              </w:rPr>
            </w:pPr>
          </w:p>
        </w:tc>
      </w:tr>
    </w:tbl>
    <w:p w14:paraId="026422E8">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w:t>
      </w:r>
    </w:p>
    <w:p w14:paraId="2FF354F9">
      <w:pPr>
        <w:numPr>
          <w:ilvl w:val="0"/>
          <w:numId w:val="0"/>
        </w:numPr>
        <w:spacing w:line="360" w:lineRule="auto"/>
        <w:rPr>
          <w:rFonts w:hint="eastAsia" w:ascii="宋体" w:hAnsi="宋体" w:eastAsia="宋体" w:cs="宋体"/>
          <w:b/>
          <w:bCs/>
          <w:color w:val="auto"/>
          <w:sz w:val="21"/>
          <w:szCs w:val="22"/>
          <w:highlight w:val="none"/>
          <w:lang w:val="en-US" w:eastAsia="zh-CN" w:bidi="ar-SA"/>
        </w:rPr>
      </w:pPr>
      <w:r>
        <w:rPr>
          <w:rFonts w:hint="eastAsia" w:ascii="宋体" w:hAnsi="宋体" w:eastAsia="宋体" w:cs="宋体"/>
          <w:b/>
          <w:bCs/>
          <w:color w:val="auto"/>
          <w:sz w:val="21"/>
          <w:szCs w:val="22"/>
          <w:highlight w:val="none"/>
          <w:lang w:val="en-US" w:eastAsia="zh-CN" w:bidi="ar-SA"/>
        </w:rPr>
        <w:t>1、项目业绩：</w:t>
      </w:r>
    </w:p>
    <w:p w14:paraId="731B9241">
      <w:pPr>
        <w:numPr>
          <w:ilvl w:val="0"/>
          <w:numId w:val="0"/>
        </w:numPr>
        <w:spacing w:line="360" w:lineRule="auto"/>
        <w:rPr>
          <w:rFonts w:hint="eastAsia" w:ascii="宋体" w:hAnsi="宋体" w:eastAsia="宋体" w:cs="宋体"/>
          <w:b w:val="0"/>
          <w:bCs w:val="0"/>
          <w:color w:val="auto"/>
          <w:sz w:val="21"/>
          <w:szCs w:val="22"/>
          <w:highlight w:val="none"/>
          <w:lang w:val="en-US" w:eastAsia="zh-CN" w:bidi="ar-SA"/>
        </w:rPr>
      </w:pPr>
      <w:r>
        <w:rPr>
          <w:rFonts w:hint="eastAsia" w:ascii="宋体" w:hAnsi="宋体" w:eastAsia="宋体" w:cs="宋体"/>
          <w:b w:val="0"/>
          <w:bCs w:val="0"/>
          <w:color w:val="auto"/>
          <w:sz w:val="21"/>
          <w:szCs w:val="22"/>
          <w:highlight w:val="none"/>
          <w:lang w:val="en-US" w:eastAsia="zh-CN" w:bidi="ar-SA"/>
        </w:rPr>
        <w:t>施工企业业绩：</w:t>
      </w:r>
    </w:p>
    <w:p w14:paraId="133B279B">
      <w:pPr>
        <w:numPr>
          <w:ilvl w:val="0"/>
          <w:numId w:val="0"/>
        </w:numPr>
        <w:spacing w:line="360" w:lineRule="auto"/>
        <w:rPr>
          <w:rFonts w:hint="eastAsia" w:ascii="宋体" w:hAnsi="宋体" w:eastAsia="宋体" w:cs="宋体"/>
          <w:b w:val="0"/>
          <w:bCs w:val="0"/>
          <w:color w:val="auto"/>
          <w:sz w:val="21"/>
          <w:szCs w:val="22"/>
          <w:highlight w:val="none"/>
          <w:lang w:val="en-US" w:eastAsia="zh-CN" w:bidi="ar-SA"/>
        </w:rPr>
      </w:pPr>
      <w:r>
        <w:rPr>
          <w:rFonts w:hint="eastAsia" w:ascii="宋体" w:hAnsi="宋体" w:eastAsia="宋体" w:cs="宋体"/>
          <w:b w:val="0"/>
          <w:bCs w:val="0"/>
          <w:color w:val="auto"/>
          <w:sz w:val="21"/>
          <w:szCs w:val="22"/>
          <w:highlight w:val="none"/>
          <w:lang w:val="en-US" w:eastAsia="zh-CN" w:bidi="ar-SA"/>
        </w:rPr>
        <w:t>（1）项目业绩是指</w:t>
      </w:r>
      <w:r>
        <w:rPr>
          <w:rFonts w:hint="eastAsia" w:ascii="宋体" w:hAnsi="宋体" w:eastAsia="宋体" w:cs="宋体"/>
          <w:bCs/>
          <w:color w:val="auto"/>
          <w:sz w:val="21"/>
          <w:szCs w:val="21"/>
          <w:highlight w:val="none"/>
          <w:lang w:val="en-US" w:eastAsia="zh-CN"/>
        </w:rPr>
        <w:t>建安工程费为</w:t>
      </w:r>
      <w:r>
        <w:rPr>
          <w:rFonts w:hint="eastAsia" w:ascii="宋体" w:hAnsi="宋体" w:cs="宋体"/>
          <w:bCs/>
          <w:color w:val="auto"/>
          <w:sz w:val="21"/>
          <w:szCs w:val="21"/>
          <w:highlight w:val="none"/>
          <w:lang w:val="en-US" w:eastAsia="zh-CN"/>
        </w:rPr>
        <w:t>4000</w:t>
      </w:r>
      <w:r>
        <w:rPr>
          <w:rFonts w:hint="eastAsia" w:ascii="宋体" w:hAnsi="宋体" w:eastAsia="宋体" w:cs="宋体"/>
          <w:bCs/>
          <w:color w:val="auto"/>
          <w:sz w:val="21"/>
          <w:szCs w:val="21"/>
          <w:highlight w:val="none"/>
          <w:lang w:val="en-US" w:eastAsia="zh-CN"/>
        </w:rPr>
        <w:t>万元或以上的房屋建筑工程施工总承包</w:t>
      </w:r>
      <w:r>
        <w:rPr>
          <w:rFonts w:hint="eastAsia" w:ascii="宋体" w:hAnsi="宋体" w:cs="宋体"/>
          <w:bCs/>
          <w:color w:val="auto"/>
          <w:sz w:val="21"/>
          <w:szCs w:val="21"/>
          <w:highlight w:val="none"/>
          <w:lang w:val="en-US" w:eastAsia="zh-CN"/>
        </w:rPr>
        <w:t>业绩</w:t>
      </w:r>
      <w:r>
        <w:rPr>
          <w:rFonts w:hint="eastAsia" w:ascii="宋体" w:hAnsi="宋体" w:eastAsia="宋体" w:cs="宋体"/>
          <w:bCs/>
          <w:color w:val="auto"/>
          <w:sz w:val="21"/>
          <w:szCs w:val="21"/>
          <w:highlight w:val="none"/>
          <w:lang w:val="en-US" w:eastAsia="zh-CN"/>
        </w:rPr>
        <w:t>或施工部分建安工程费为</w:t>
      </w:r>
      <w:r>
        <w:rPr>
          <w:rFonts w:hint="eastAsia" w:ascii="宋体" w:hAnsi="宋体" w:cs="宋体"/>
          <w:bCs/>
          <w:color w:val="auto"/>
          <w:sz w:val="21"/>
          <w:szCs w:val="21"/>
          <w:highlight w:val="none"/>
          <w:lang w:val="en-US" w:eastAsia="zh-CN"/>
        </w:rPr>
        <w:t>4000</w:t>
      </w:r>
      <w:r>
        <w:rPr>
          <w:rFonts w:hint="eastAsia" w:ascii="宋体" w:hAnsi="宋体" w:eastAsia="宋体" w:cs="宋体"/>
          <w:bCs/>
          <w:color w:val="auto"/>
          <w:sz w:val="21"/>
          <w:szCs w:val="21"/>
          <w:highlight w:val="none"/>
          <w:lang w:val="en-US" w:eastAsia="zh-CN"/>
        </w:rPr>
        <w:t>万元或以上的工程总承包</w:t>
      </w:r>
      <w:r>
        <w:rPr>
          <w:rFonts w:hint="eastAsia" w:ascii="宋体" w:hAnsi="宋体" w:cs="宋体"/>
          <w:bCs/>
          <w:color w:val="auto"/>
          <w:sz w:val="21"/>
          <w:szCs w:val="21"/>
          <w:highlight w:val="none"/>
          <w:lang w:val="en-US" w:eastAsia="zh-CN"/>
        </w:rPr>
        <w:t>业绩</w:t>
      </w:r>
      <w:r>
        <w:rPr>
          <w:rFonts w:hint="eastAsia" w:ascii="宋体" w:hAnsi="宋体" w:eastAsia="宋体" w:cs="宋体"/>
          <w:bCs/>
          <w:color w:val="auto"/>
          <w:sz w:val="21"/>
          <w:szCs w:val="21"/>
          <w:highlight w:val="none"/>
          <w:lang w:val="en-US" w:eastAsia="zh-CN"/>
        </w:rPr>
        <w:t>（包括设计施工总承包或设计采购施工总承包或勘察设计施工总承包或勘察设计采购施工总承包等）</w:t>
      </w:r>
      <w:r>
        <w:rPr>
          <w:rFonts w:hint="eastAsia" w:ascii="宋体" w:hAnsi="宋体" w:eastAsia="宋体" w:cs="宋体"/>
          <w:bCs/>
          <w:color w:val="auto"/>
          <w:sz w:val="21"/>
          <w:szCs w:val="21"/>
          <w:highlight w:val="none"/>
          <w:lang w:eastAsia="zh-CN"/>
        </w:rPr>
        <w:t>，</w:t>
      </w:r>
      <w:r>
        <w:rPr>
          <w:rFonts w:hint="eastAsia" w:ascii="宋体" w:hAnsi="宋体" w:eastAsia="宋体" w:cs="宋体"/>
          <w:b w:val="0"/>
          <w:bCs w:val="0"/>
          <w:color w:val="auto"/>
          <w:sz w:val="21"/>
          <w:szCs w:val="22"/>
          <w:highlight w:val="none"/>
          <w:lang w:val="en-US" w:eastAsia="zh-CN" w:bidi="ar-SA"/>
        </w:rPr>
        <w:t>业绩取自广州市住建行业信用管理平台，投标人须提供类似工程业绩的项目名称及业绩在广州市住建行业信用管理平台中项目编号及业绩在广州市住建行业信用管理平台的网页信息截图（网页信息截图须能清晰显示带有“住建行业信用管理平台”名称，并至少包含“项目基本信息”等信息的页面）以供核对（业绩相关附件的上传件可不提交），不提供项目名称及项目编号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w:t>
      </w:r>
    </w:p>
    <w:p w14:paraId="65EFEBFE">
      <w:pPr>
        <w:numPr>
          <w:ilvl w:val="0"/>
          <w:numId w:val="0"/>
        </w:numPr>
        <w:spacing w:line="360" w:lineRule="auto"/>
        <w:rPr>
          <w:rFonts w:hint="eastAsia" w:ascii="宋体" w:hAnsi="宋体" w:eastAsia="宋体" w:cs="宋体"/>
          <w:b w:val="0"/>
          <w:bCs w:val="0"/>
          <w:color w:val="auto"/>
          <w:sz w:val="21"/>
          <w:szCs w:val="22"/>
          <w:highlight w:val="none"/>
          <w:lang w:val="en-US" w:eastAsia="zh-CN" w:bidi="ar-SA"/>
        </w:rPr>
      </w:pPr>
      <w:r>
        <w:rPr>
          <w:rFonts w:hint="eastAsia" w:ascii="宋体" w:hAnsi="宋体" w:eastAsia="宋体" w:cs="宋体"/>
          <w:b w:val="0"/>
          <w:bCs w:val="0"/>
          <w:color w:val="auto"/>
          <w:sz w:val="21"/>
          <w:szCs w:val="22"/>
          <w:highlight w:val="none"/>
          <w:lang w:val="en-US" w:eastAsia="zh-CN" w:bidi="ar-SA"/>
        </w:rPr>
        <w:t>（2）金额以中标通知书为准，中标通知书上没有金额或免招标的，以施工合同（不含补充合同）为准。</w:t>
      </w:r>
    </w:p>
    <w:p w14:paraId="40A55CB1">
      <w:pPr>
        <w:numPr>
          <w:ilvl w:val="0"/>
          <w:numId w:val="0"/>
        </w:numPr>
        <w:spacing w:line="360" w:lineRule="auto"/>
        <w:rPr>
          <w:rFonts w:hint="eastAsia" w:ascii="宋体" w:hAnsi="宋体" w:eastAsia="宋体" w:cs="宋体"/>
          <w:b w:val="0"/>
          <w:bCs w:val="0"/>
          <w:color w:val="auto"/>
          <w:sz w:val="21"/>
          <w:szCs w:val="22"/>
          <w:highlight w:val="none"/>
          <w:lang w:val="en-US" w:eastAsia="zh-CN" w:bidi="ar-SA"/>
        </w:rPr>
      </w:pPr>
      <w:r>
        <w:rPr>
          <w:rFonts w:hint="eastAsia" w:ascii="宋体" w:hAnsi="宋体" w:eastAsia="宋体" w:cs="宋体"/>
          <w:b w:val="0"/>
          <w:bCs w:val="0"/>
          <w:color w:val="auto"/>
          <w:sz w:val="21"/>
          <w:szCs w:val="22"/>
          <w:highlight w:val="none"/>
          <w:lang w:val="en-US" w:eastAsia="zh-CN" w:bidi="ar-SA"/>
        </w:rPr>
        <w:t>（3）完成时间以竣工验收报告为准。验收文件应当具有建设单位、设计、施工和监理单位盖章。</w:t>
      </w:r>
    </w:p>
    <w:p w14:paraId="04CA1652">
      <w:pPr>
        <w:numPr>
          <w:ilvl w:val="0"/>
          <w:numId w:val="0"/>
        </w:numPr>
        <w:spacing w:line="360" w:lineRule="auto"/>
        <w:rPr>
          <w:rFonts w:hint="eastAsia" w:ascii="宋体" w:hAnsi="宋体" w:eastAsia="宋体" w:cs="宋体"/>
          <w:b w:val="0"/>
          <w:bCs w:val="0"/>
          <w:color w:val="auto"/>
          <w:sz w:val="21"/>
          <w:szCs w:val="22"/>
          <w:highlight w:val="none"/>
          <w:lang w:val="en-US" w:eastAsia="zh-CN" w:bidi="ar-SA"/>
        </w:rPr>
      </w:pPr>
      <w:r>
        <w:rPr>
          <w:rFonts w:hint="eastAsia" w:ascii="宋体" w:hAnsi="宋体" w:eastAsia="宋体" w:cs="宋体"/>
          <w:b w:val="0"/>
          <w:bCs w:val="0"/>
          <w:color w:val="auto"/>
          <w:sz w:val="21"/>
          <w:szCs w:val="22"/>
          <w:highlight w:val="none"/>
          <w:lang w:val="en-US" w:eastAsia="zh-CN" w:bidi="ar-SA"/>
        </w:rPr>
        <w:t>（4）库内业绩上传件不符合上述要求的或登记的工程内容与施工合同（或工程总承包合同）等业绩证明资料不相符的，该项业绩不予评审。</w:t>
      </w:r>
    </w:p>
    <w:p w14:paraId="2DF54690">
      <w:pPr>
        <w:numPr>
          <w:ilvl w:val="0"/>
          <w:numId w:val="0"/>
        </w:numPr>
        <w:spacing w:line="360" w:lineRule="auto"/>
        <w:rPr>
          <w:rFonts w:hint="eastAsia" w:ascii="宋体" w:hAnsi="宋体" w:eastAsia="宋体" w:cs="宋体"/>
          <w:b/>
          <w:bCs/>
          <w:color w:val="auto"/>
          <w:sz w:val="21"/>
          <w:szCs w:val="22"/>
          <w:highlight w:val="none"/>
          <w:lang w:val="en-US" w:eastAsia="zh-CN" w:bidi="ar-SA"/>
        </w:rPr>
      </w:pPr>
      <w:r>
        <w:rPr>
          <w:rFonts w:hint="eastAsia" w:ascii="宋体" w:hAnsi="宋体" w:eastAsia="宋体" w:cs="宋体"/>
          <w:b/>
          <w:bCs/>
          <w:color w:val="auto"/>
          <w:sz w:val="21"/>
          <w:szCs w:val="22"/>
          <w:highlight w:val="none"/>
          <w:lang w:val="en-US" w:eastAsia="zh-CN" w:bidi="ar-SA"/>
        </w:rPr>
        <w:t>2、工程奖项：</w:t>
      </w:r>
    </w:p>
    <w:p w14:paraId="459580C8">
      <w:pPr>
        <w:numPr>
          <w:ilvl w:val="-1"/>
          <w:numId w:val="0"/>
        </w:num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2.1</w:t>
      </w:r>
      <w:r>
        <w:rPr>
          <w:rFonts w:hint="eastAsia" w:ascii="宋体" w:hAnsi="宋体" w:eastAsia="宋体" w:cs="宋体"/>
          <w:color w:val="auto"/>
          <w:highlight w:val="none"/>
        </w:rPr>
        <w:t>①奖项需提供获奖证书原件扫描件。②时间以获奖证书颁发时间为准。③国家级质量奖项是指鲁班奖、中国土木工程詹天佑奖、国家优质工程金质奖（金奖）、国家优质工程奖。④省市级奖项是指由省市级建设行政主管部门或行业协会</w:t>
      </w:r>
      <w:r>
        <w:rPr>
          <w:rFonts w:hint="eastAsia" w:ascii="宋体" w:hAnsi="宋体" w:cs="宋体"/>
          <w:color w:val="auto"/>
          <w:highlight w:val="none"/>
          <w:lang w:eastAsia="zh-CN"/>
        </w:rPr>
        <w:t>（</w:t>
      </w:r>
      <w:r>
        <w:rPr>
          <w:rFonts w:hint="eastAsia" w:ascii="宋体" w:hAnsi="宋体" w:eastAsia="宋体" w:cs="宋体"/>
          <w:b w:val="0"/>
          <w:bCs w:val="0"/>
          <w:color w:val="auto"/>
          <w:sz w:val="21"/>
          <w:szCs w:val="22"/>
          <w:highlight w:val="none"/>
          <w:lang w:val="en-US" w:eastAsia="zh-CN" w:bidi="ar-SA"/>
        </w:rPr>
        <w:t>或</w:t>
      </w:r>
      <w:r>
        <w:rPr>
          <w:rFonts w:hint="eastAsia" w:ascii="宋体" w:hAnsi="宋体" w:cs="宋体"/>
          <w:color w:val="auto"/>
          <w:highlight w:val="none"/>
          <w:lang w:eastAsia="zh-CN"/>
        </w:rPr>
        <w:t>学会）</w:t>
      </w:r>
      <w:r>
        <w:rPr>
          <w:rFonts w:hint="eastAsia" w:ascii="宋体" w:hAnsi="宋体" w:eastAsia="宋体" w:cs="宋体"/>
          <w:color w:val="auto"/>
          <w:highlight w:val="none"/>
        </w:rPr>
        <w:t>颁发（行业协会</w:t>
      </w:r>
      <w:r>
        <w:rPr>
          <w:rFonts w:hint="eastAsia" w:ascii="宋体" w:hAnsi="宋体" w:cs="宋体"/>
          <w:color w:val="auto"/>
          <w:highlight w:val="none"/>
          <w:lang w:eastAsia="zh-CN"/>
        </w:rPr>
        <w:t>（</w:t>
      </w:r>
      <w:r>
        <w:rPr>
          <w:rFonts w:hint="eastAsia" w:ascii="宋体" w:hAnsi="宋体" w:eastAsia="宋体" w:cs="宋体"/>
          <w:b w:val="0"/>
          <w:bCs w:val="0"/>
          <w:color w:val="auto"/>
          <w:sz w:val="21"/>
          <w:szCs w:val="22"/>
          <w:highlight w:val="none"/>
          <w:lang w:val="en-US" w:eastAsia="zh-CN" w:bidi="ar-SA"/>
        </w:rPr>
        <w:t>或</w:t>
      </w:r>
      <w:r>
        <w:rPr>
          <w:rFonts w:hint="eastAsia" w:ascii="宋体" w:hAnsi="宋体" w:cs="宋体"/>
          <w:color w:val="auto"/>
          <w:highlight w:val="none"/>
          <w:lang w:eastAsia="zh-CN"/>
        </w:rPr>
        <w:t>学会）</w:t>
      </w:r>
      <w:r>
        <w:rPr>
          <w:rFonts w:hint="eastAsia" w:ascii="宋体" w:hAnsi="宋体" w:eastAsia="宋体" w:cs="宋体"/>
          <w:color w:val="auto"/>
          <w:highlight w:val="none"/>
        </w:rPr>
        <w:t>须在民政部门备案）的工程的质量类获奖</w:t>
      </w:r>
      <w:r>
        <w:rPr>
          <w:rFonts w:hint="eastAsia"/>
          <w:color w:val="auto"/>
          <w:highlight w:val="none"/>
        </w:rPr>
        <w:t>或优质工程评价或质量评价优良或质量水平评价A级（或以上）</w:t>
      </w:r>
      <w:r>
        <w:rPr>
          <w:rFonts w:hint="eastAsia" w:ascii="宋体" w:hAnsi="宋体" w:eastAsia="宋体" w:cs="宋体"/>
          <w:color w:val="auto"/>
          <w:highlight w:val="none"/>
        </w:rPr>
        <w:t>，非质量类获奖不予计算；⑤同一工程项目获得多个奖项的，只计算其符合要求的最高奖项得分，不重复计分。只计算房屋建筑工程获奖得分，其他非房建项目，如：路桥、铁路、水利、电力、化工、冶金</w:t>
      </w:r>
      <w:r>
        <w:rPr>
          <w:rFonts w:hint="eastAsia" w:ascii="宋体" w:hAnsi="宋体" w:cs="宋体"/>
          <w:color w:val="auto"/>
          <w:highlight w:val="none"/>
          <w:lang w:eastAsia="zh-CN"/>
        </w:rPr>
        <w:t>、港口、市政</w:t>
      </w:r>
      <w:r>
        <w:rPr>
          <w:rFonts w:hint="eastAsia" w:ascii="宋体" w:hAnsi="宋体" w:eastAsia="宋体" w:cs="宋体"/>
          <w:color w:val="auto"/>
          <w:highlight w:val="none"/>
        </w:rPr>
        <w:t>等的获奖不参与计分。</w:t>
      </w:r>
      <w:r>
        <w:rPr>
          <w:rFonts w:hint="eastAsia" w:ascii="宋体" w:hAnsi="宋体" w:eastAsia="宋体" w:cs="宋体"/>
          <w:color w:val="auto"/>
          <w:highlight w:val="none"/>
          <w:lang w:val="en-US" w:eastAsia="zh-CN"/>
        </w:rPr>
        <w:t>⑥</w:t>
      </w:r>
      <w:r>
        <w:rPr>
          <w:rFonts w:hint="eastAsia" w:ascii="宋体" w:hAnsi="宋体" w:eastAsia="宋体" w:cs="宋体"/>
          <w:color w:val="auto"/>
          <w:highlight w:val="none"/>
        </w:rPr>
        <w:t>不包含安全文明、优良样板</w:t>
      </w:r>
      <w:r>
        <w:rPr>
          <w:rFonts w:hint="eastAsia" w:ascii="宋体" w:hAnsi="宋体" w:cs="宋体"/>
          <w:color w:val="auto"/>
          <w:highlight w:val="none"/>
          <w:lang w:eastAsia="zh-CN"/>
        </w:rPr>
        <w:t>工地</w:t>
      </w:r>
      <w:r>
        <w:rPr>
          <w:rFonts w:hint="eastAsia" w:ascii="宋体" w:hAnsi="宋体" w:eastAsia="宋体" w:cs="宋体"/>
          <w:color w:val="auto"/>
          <w:highlight w:val="none"/>
        </w:rPr>
        <w:t>、绿色施工、</w:t>
      </w:r>
      <w:r>
        <w:rPr>
          <w:rFonts w:hint="eastAsia" w:ascii="宋体" w:hAnsi="宋体" w:cs="宋体"/>
          <w:color w:val="auto"/>
          <w:highlight w:val="none"/>
          <w:lang w:val="en-US" w:eastAsia="zh-CN"/>
        </w:rPr>
        <w:t>钢</w:t>
      </w:r>
      <w:r>
        <w:rPr>
          <w:rFonts w:hint="eastAsia" w:ascii="宋体" w:hAnsi="宋体" w:eastAsia="宋体" w:cs="宋体"/>
          <w:color w:val="auto"/>
          <w:highlight w:val="none"/>
        </w:rPr>
        <w:t>结构、</w:t>
      </w:r>
      <w:r>
        <w:rPr>
          <w:rFonts w:hint="eastAsia" w:ascii="宋体" w:hAnsi="宋体" w:cs="宋体"/>
          <w:color w:val="auto"/>
          <w:highlight w:val="none"/>
          <w:lang w:val="en-US" w:eastAsia="zh-CN"/>
        </w:rPr>
        <w:t>装饰装修、</w:t>
      </w:r>
      <w:r>
        <w:rPr>
          <w:rFonts w:hint="eastAsia" w:ascii="宋体" w:hAnsi="宋体" w:eastAsia="宋体" w:cs="宋体"/>
          <w:color w:val="auto"/>
          <w:highlight w:val="none"/>
        </w:rPr>
        <w:t>技术创新、QC成果、技术应用类等奖项。</w:t>
      </w:r>
      <w:r>
        <w:rPr>
          <w:rFonts w:hint="eastAsia" w:ascii="宋体" w:hAnsi="宋体" w:eastAsia="宋体" w:cs="宋体"/>
          <w:color w:val="auto"/>
          <w:highlight w:val="none"/>
          <w:lang w:val="en-US" w:eastAsia="zh-CN"/>
        </w:rPr>
        <w:t>⑦</w:t>
      </w:r>
      <w:r>
        <w:rPr>
          <w:rFonts w:hint="eastAsia" w:ascii="宋体" w:hAnsi="宋体" w:cs="宋体"/>
          <w:color w:val="auto"/>
          <w:highlight w:val="none"/>
          <w:lang w:val="en-US" w:eastAsia="zh-CN"/>
        </w:rPr>
        <w:t>只计算承接项目，</w:t>
      </w:r>
      <w:r>
        <w:rPr>
          <w:rFonts w:hint="eastAsia" w:ascii="宋体" w:hAnsi="宋体" w:eastAsia="宋体" w:cs="宋体"/>
          <w:color w:val="auto"/>
          <w:highlight w:val="none"/>
        </w:rPr>
        <w:t>参建项目获奖</w:t>
      </w:r>
      <w:r>
        <w:rPr>
          <w:rFonts w:hint="eastAsia" w:ascii="宋体" w:hAnsi="宋体" w:cs="宋体"/>
          <w:color w:val="auto"/>
          <w:highlight w:val="none"/>
          <w:lang w:val="en-US" w:eastAsia="zh-CN"/>
        </w:rPr>
        <w:t>不</w:t>
      </w:r>
      <w:r>
        <w:rPr>
          <w:rFonts w:hint="eastAsia" w:ascii="宋体" w:hAnsi="宋体" w:eastAsia="宋体" w:cs="宋体"/>
          <w:color w:val="auto"/>
          <w:highlight w:val="none"/>
        </w:rPr>
        <w:t>参与计分。</w:t>
      </w:r>
    </w:p>
    <w:p w14:paraId="4A3C8DAB">
      <w:pPr>
        <w:numPr>
          <w:ilvl w:val="-1"/>
          <w:numId w:val="0"/>
        </w:numPr>
        <w:spacing w:line="360" w:lineRule="auto"/>
        <w:ind w:firstLine="420" w:firstLineChars="200"/>
        <w:rPr>
          <w:rFonts w:hint="eastAsia" w:ascii="宋体" w:hAnsi="宋体" w:eastAsia="宋体" w:cs="宋体"/>
          <w:b w:val="0"/>
          <w:bCs w:val="0"/>
          <w:color w:val="auto"/>
          <w:sz w:val="21"/>
          <w:szCs w:val="22"/>
          <w:highlight w:val="none"/>
          <w:lang w:val="en-US" w:eastAsia="zh-CN" w:bidi="ar-SA"/>
        </w:rPr>
      </w:pPr>
      <w:r>
        <w:rPr>
          <w:rFonts w:hint="eastAsia" w:ascii="宋体" w:hAnsi="宋体" w:eastAsia="宋体" w:cs="宋体"/>
          <w:color w:val="auto"/>
          <w:highlight w:val="none"/>
        </w:rPr>
        <w:t>2.2</w:t>
      </w:r>
      <w:r>
        <w:rPr>
          <w:rFonts w:hint="eastAsia" w:ascii="宋体" w:hAnsi="宋体" w:eastAsia="宋体" w:cs="宋体"/>
          <w:color w:val="auto"/>
          <w:highlight w:val="none"/>
          <w:lang w:val="zh-CN"/>
        </w:rPr>
        <w:t>如</w:t>
      </w:r>
      <w:r>
        <w:rPr>
          <w:rFonts w:hint="eastAsia" w:ascii="宋体" w:hAnsi="宋体" w:eastAsia="宋体" w:cs="宋体"/>
          <w:color w:val="auto"/>
          <w:highlight w:val="none"/>
        </w:rPr>
        <w:t>尚未</w:t>
      </w:r>
      <w:r>
        <w:rPr>
          <w:rFonts w:hint="eastAsia" w:ascii="宋体" w:hAnsi="宋体" w:cs="宋体"/>
          <w:color w:val="auto"/>
          <w:highlight w:val="none"/>
          <w:lang w:eastAsia="zh-CN"/>
        </w:rPr>
        <w:t>获得</w:t>
      </w:r>
      <w:r>
        <w:rPr>
          <w:rFonts w:hint="eastAsia" w:ascii="宋体" w:hAnsi="宋体" w:cs="宋体"/>
          <w:color w:val="auto"/>
          <w:highlight w:val="none"/>
          <w:lang w:val="zh-CN"/>
        </w:rPr>
        <w:t>获奖</w:t>
      </w:r>
      <w:r>
        <w:rPr>
          <w:rFonts w:hint="eastAsia" w:ascii="宋体" w:hAnsi="宋体" w:eastAsia="宋体" w:cs="宋体"/>
          <w:color w:val="auto"/>
          <w:highlight w:val="none"/>
          <w:lang w:val="zh-CN"/>
        </w:rPr>
        <w:t>证书，需提供相关奖项颁发</w:t>
      </w:r>
      <w:r>
        <w:rPr>
          <w:rFonts w:hint="eastAsia" w:ascii="宋体" w:hAnsi="宋体" w:eastAsia="宋体" w:cs="宋体"/>
          <w:color w:val="auto"/>
          <w:highlight w:val="none"/>
        </w:rPr>
        <w:t>单位的</w:t>
      </w:r>
      <w:r>
        <w:rPr>
          <w:rFonts w:hint="eastAsia" w:ascii="宋体" w:hAnsi="宋体" w:eastAsia="宋体" w:cs="宋体"/>
          <w:color w:val="auto"/>
          <w:highlight w:val="none"/>
          <w:lang w:val="zh-CN"/>
        </w:rPr>
        <w:t>网站</w:t>
      </w:r>
      <w:r>
        <w:rPr>
          <w:rFonts w:hint="eastAsia" w:ascii="宋体" w:hAnsi="宋体" w:eastAsia="宋体" w:cs="宋体"/>
          <w:color w:val="auto"/>
          <w:highlight w:val="none"/>
        </w:rPr>
        <w:t>公布获奖</w:t>
      </w:r>
      <w:r>
        <w:rPr>
          <w:rFonts w:hint="eastAsia" w:ascii="宋体" w:hAnsi="宋体" w:eastAsia="宋体" w:cs="宋体"/>
          <w:color w:val="auto"/>
          <w:highlight w:val="none"/>
          <w:lang w:val="zh-CN"/>
        </w:rPr>
        <w:t>名单</w:t>
      </w:r>
      <w:r>
        <w:rPr>
          <w:rFonts w:hint="eastAsia" w:ascii="宋体" w:hAnsi="宋体" w:eastAsia="宋体" w:cs="宋体"/>
          <w:color w:val="auto"/>
          <w:highlight w:val="none"/>
        </w:rPr>
        <w:t>的网页</w:t>
      </w:r>
      <w:r>
        <w:rPr>
          <w:rFonts w:hint="eastAsia" w:ascii="宋体" w:hAnsi="宋体" w:eastAsia="宋体" w:cs="宋体"/>
          <w:color w:val="auto"/>
          <w:highlight w:val="none"/>
          <w:lang w:val="zh-CN"/>
        </w:rPr>
        <w:t>截图。</w:t>
      </w:r>
      <w:r>
        <w:rPr>
          <w:rFonts w:hint="eastAsia" w:ascii="宋体" w:hAnsi="宋体" w:eastAsia="宋体" w:cs="宋体"/>
          <w:color w:val="auto"/>
          <w:highlight w:val="none"/>
        </w:rPr>
        <w:t>如奖项由协会（或学会）等社会组织颁发的，还需提供该组织在“全国社会组织信用信息公示平台”登记备案的查询网页截图页（网址：https://xxgs.chinanpo.mca.gov.cn/gsxt/newList），否则不得分。</w:t>
      </w:r>
    </w:p>
    <w:p w14:paraId="391E9A5C">
      <w:pPr>
        <w:numPr>
          <w:ilvl w:val="0"/>
          <w:numId w:val="4"/>
        </w:numPr>
        <w:spacing w:line="360" w:lineRule="auto"/>
        <w:rPr>
          <w:rFonts w:hint="eastAsia" w:ascii="宋体" w:hAnsi="宋体" w:eastAsia="宋体" w:cs="宋体"/>
          <w:b/>
          <w:bCs/>
          <w:color w:val="auto"/>
          <w:sz w:val="21"/>
          <w:szCs w:val="22"/>
          <w:highlight w:val="none"/>
          <w:lang w:val="en-US" w:eastAsia="zh-CN" w:bidi="ar-SA"/>
        </w:rPr>
      </w:pPr>
      <w:r>
        <w:rPr>
          <w:rFonts w:hint="eastAsia" w:ascii="宋体" w:hAnsi="宋体" w:eastAsia="宋体" w:cs="宋体"/>
          <w:b/>
          <w:bCs/>
          <w:color w:val="auto"/>
          <w:kern w:val="0"/>
          <w:sz w:val="21"/>
          <w:szCs w:val="21"/>
          <w:highlight w:val="none"/>
        </w:rPr>
        <w:t>工程研发能力</w:t>
      </w:r>
      <w:r>
        <w:rPr>
          <w:rFonts w:hint="eastAsia" w:ascii="宋体" w:hAnsi="宋体" w:eastAsia="宋体" w:cs="宋体"/>
          <w:b/>
          <w:bCs/>
          <w:color w:val="auto"/>
          <w:sz w:val="21"/>
          <w:szCs w:val="22"/>
          <w:highlight w:val="none"/>
          <w:lang w:val="en-US" w:eastAsia="zh-CN" w:bidi="ar-SA"/>
        </w:rPr>
        <w:t>：</w:t>
      </w:r>
    </w:p>
    <w:p w14:paraId="2F82517B">
      <w:pPr>
        <w:numPr>
          <w:ilvl w:val="0"/>
          <w:numId w:val="0"/>
        </w:numPr>
        <w:spacing w:line="360" w:lineRule="auto"/>
        <w:ind w:left="0" w:leftChars="0" w:firstLine="420" w:firstLineChars="200"/>
        <w:rPr>
          <w:rFonts w:hint="eastAsia" w:ascii="宋体" w:hAnsi="宋体" w:eastAsia="宋体" w:cs="宋体"/>
          <w:b w:val="0"/>
          <w:bCs w:val="0"/>
          <w:color w:val="auto"/>
          <w:sz w:val="21"/>
          <w:szCs w:val="22"/>
          <w:highlight w:val="none"/>
          <w:lang w:val="en-US" w:eastAsia="zh-CN" w:bidi="ar-SA"/>
        </w:rPr>
      </w:pPr>
      <w:r>
        <w:rPr>
          <w:rFonts w:hint="eastAsia" w:ascii="宋体" w:hAnsi="宋体" w:eastAsia="宋体" w:cs="宋体"/>
          <w:b w:val="0"/>
          <w:bCs w:val="0"/>
          <w:color w:val="auto"/>
          <w:sz w:val="21"/>
          <w:szCs w:val="22"/>
          <w:highlight w:val="none"/>
          <w:lang w:val="en-US" w:eastAsia="zh-CN" w:bidi="ar-SA"/>
        </w:rPr>
        <w:t>投标人（</w:t>
      </w:r>
      <w:r>
        <w:rPr>
          <w:rFonts w:hint="eastAsia" w:ascii="宋体" w:hAnsi="宋体" w:eastAsia="宋体" w:cs="宋体"/>
          <w:b w:val="0"/>
          <w:bCs w:val="0"/>
          <w:color w:val="auto"/>
          <w:kern w:val="2"/>
          <w:sz w:val="21"/>
          <w:szCs w:val="21"/>
          <w:highlight w:val="none"/>
          <w:lang w:val="en-US"/>
        </w:rPr>
        <w:t>若为联合体，指联合体牵头单位</w:t>
      </w:r>
      <w:r>
        <w:rPr>
          <w:rFonts w:hint="eastAsia" w:ascii="宋体" w:hAnsi="宋体" w:eastAsia="宋体" w:cs="宋体"/>
          <w:b w:val="0"/>
          <w:bCs w:val="0"/>
          <w:color w:val="auto"/>
          <w:sz w:val="21"/>
          <w:szCs w:val="22"/>
          <w:highlight w:val="none"/>
          <w:lang w:val="en-US" w:eastAsia="zh-CN" w:bidi="ar-SA"/>
        </w:rPr>
        <w:t>）主编或参编过目前仍在使用的工程相关标准（或规范或规程）的，标准在用情况以全国标准信息公共服务平台（https://std.samr.gov.cn/）网页查询信息为准，须提供网页查询截图，时间以实施时间为准，否则不得分。</w:t>
      </w:r>
    </w:p>
    <w:p w14:paraId="2033C54D">
      <w:pPr>
        <w:numPr>
          <w:ilvl w:val="0"/>
          <w:numId w:val="0"/>
        </w:numPr>
        <w:spacing w:line="360" w:lineRule="auto"/>
        <w:rPr>
          <w:rFonts w:hint="eastAsia" w:ascii="宋体" w:hAnsi="宋体" w:eastAsia="宋体" w:cs="宋体"/>
          <w:b/>
          <w:bCs/>
          <w:color w:val="auto"/>
          <w:sz w:val="21"/>
          <w:szCs w:val="22"/>
          <w:highlight w:val="none"/>
          <w:lang w:val="en-US" w:eastAsia="zh-CN" w:bidi="ar-SA"/>
        </w:rPr>
      </w:pPr>
      <w:r>
        <w:rPr>
          <w:rFonts w:hint="eastAsia" w:ascii="宋体" w:hAnsi="宋体" w:eastAsia="宋体" w:cs="宋体"/>
          <w:b/>
          <w:bCs/>
          <w:color w:val="auto"/>
          <w:sz w:val="21"/>
          <w:szCs w:val="22"/>
          <w:highlight w:val="none"/>
          <w:lang w:val="en-US" w:eastAsia="zh-CN" w:bidi="ar-SA"/>
        </w:rPr>
        <w:t>4、第三方评价：</w:t>
      </w:r>
    </w:p>
    <w:p w14:paraId="13EBF056">
      <w:pPr>
        <w:numPr>
          <w:ilvl w:val="0"/>
          <w:numId w:val="0"/>
        </w:numPr>
        <w:spacing w:line="360" w:lineRule="auto"/>
        <w:ind w:left="0" w:leftChars="0" w:firstLine="420" w:firstLineChars="200"/>
        <w:rPr>
          <w:rFonts w:hint="eastAsia" w:ascii="宋体" w:hAnsi="宋体" w:eastAsia="宋体" w:cs="宋体"/>
          <w:b w:val="0"/>
          <w:bCs w:val="0"/>
          <w:color w:val="auto"/>
          <w:sz w:val="21"/>
          <w:szCs w:val="22"/>
          <w:highlight w:val="none"/>
          <w:lang w:val="en-US" w:eastAsia="zh-CN" w:bidi="ar-SA"/>
        </w:rPr>
      </w:pPr>
      <w:r>
        <w:rPr>
          <w:rFonts w:hint="eastAsia" w:ascii="宋体" w:hAnsi="宋体" w:eastAsia="宋体" w:cs="宋体"/>
          <w:b w:val="0"/>
          <w:bCs w:val="0"/>
          <w:color w:val="auto"/>
          <w:sz w:val="21"/>
          <w:szCs w:val="22"/>
          <w:highlight w:val="none"/>
          <w:lang w:val="en-US" w:eastAsia="zh-CN" w:bidi="ar-SA"/>
        </w:rPr>
        <w:t>“纳税信用A级纳税人”须提供国家税务总局官网（http://www.chinatax.gov.cn/）“纳税信用A级纳税人名单公布栏”查询结果网页截图或其省级（含自治区、直辖市）税务局官网“纳税信用A级纳税人名单公布栏”查询结果网页截图。时间以国家税务总局或其省级（含自治区、直辖市）税务局网站纳税信用信息查询结果的网页截图公布的评价年度为准。上述资料显示的纳税人全称须与投标人名称一致，否则不得分。不满足上述要求或无提交上述资料不得分。</w:t>
      </w:r>
    </w:p>
    <w:p w14:paraId="07392543">
      <w:pPr>
        <w:spacing w:line="360" w:lineRule="auto"/>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en-US" w:eastAsia="zh-CN"/>
        </w:rPr>
        <w:t>5</w:t>
      </w:r>
      <w:r>
        <w:rPr>
          <w:rFonts w:hint="eastAsia" w:ascii="宋体" w:hAnsi="宋体" w:eastAsia="宋体" w:cs="宋体"/>
          <w:b/>
          <w:bCs/>
          <w:color w:val="auto"/>
          <w:highlight w:val="none"/>
        </w:rPr>
        <w:t>.项目管理机构能力</w:t>
      </w:r>
      <w:r>
        <w:rPr>
          <w:rFonts w:hint="eastAsia" w:ascii="宋体" w:hAnsi="宋体" w:eastAsia="宋体" w:cs="宋体"/>
          <w:b/>
          <w:bCs/>
          <w:color w:val="auto"/>
          <w:highlight w:val="none"/>
          <w:lang w:val="zh-CN"/>
        </w:rPr>
        <w:t>：</w:t>
      </w:r>
    </w:p>
    <w:p w14:paraId="35D1E02A">
      <w:pPr>
        <w:widowControl/>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.1项目管理机构人员仅指注册在本公司人员，不含子公司人员，如投标申请人为集团公司，则不含其集团下属的子公司人员。项目管理机构人员不能兼任，不重复计算得分。</w:t>
      </w:r>
    </w:p>
    <w:p w14:paraId="3061B724">
      <w:pPr>
        <w:widowControl/>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.2人员须相对应提供身份证、职称证（如有）、资格证（如有）、注册证（如有）等证书。</w:t>
      </w:r>
      <w:r>
        <w:rPr>
          <w:rFonts w:hint="eastAsia" w:ascii="宋体" w:hAnsi="宋体" w:eastAsia="宋体" w:cs="宋体"/>
          <w:b/>
          <w:bCs/>
          <w:color w:val="auto"/>
          <w:highlight w:val="none"/>
        </w:rPr>
        <w:t>注册安全工程师还须提供中华人民共和国应急管理部（https://zwfw.mem.gov.cn/zwthlw/pages/hlwmh/yyfw/zcaqgcscx/index.html）的查询结果网页截图。</w:t>
      </w:r>
      <w:r>
        <w:rPr>
          <w:rFonts w:hint="eastAsia" w:ascii="宋体" w:hAnsi="宋体" w:eastAsia="宋体" w:cs="宋体"/>
          <w:color w:val="auto"/>
          <w:highlight w:val="none"/>
        </w:rPr>
        <w:t>注册造价工程师是指具备一级注册造价工程师执业资格，原注册造价工程师自动划分为一级注册造价工程师，详见住房和城乡建设部关于修改《工程造价咨询企业管理办法》《注册造价工程师管理办法》的决定（中华人民共和国住房和城乡建设部令第50号）。</w:t>
      </w:r>
    </w:p>
    <w:p w14:paraId="3953B1DE">
      <w:pPr>
        <w:widowControl/>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.3所有人员应提供近1个月（2025年</w:t>
      </w: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1</w:t>
      </w:r>
      <w:r>
        <w:rPr>
          <w:rFonts w:hint="eastAsia" w:ascii="宋体" w:hAnsi="宋体" w:eastAsia="宋体" w:cs="宋体"/>
          <w:color w:val="auto"/>
          <w:highlight w:val="none"/>
        </w:rPr>
        <w:t>月）在本单位（不含投标人的子公司，含分公司或分支机构）购买社保的缴费记录；因改制或重组的企业或事业单位人员社保由上级主管部门缴纳的，除提供上级主管部门缴纳社保证明扫描件外，需由上级主管部门出具证明说明</w:t>
      </w:r>
      <w:r>
        <w:rPr>
          <w:rFonts w:hint="eastAsia" w:ascii="宋体" w:hAnsi="宋体" w:cs="宋体"/>
          <w:color w:val="auto"/>
          <w:highlight w:val="none"/>
          <w:lang w:eastAsia="zh-CN"/>
        </w:rPr>
        <w:t>，</w:t>
      </w:r>
      <w:r>
        <w:rPr>
          <w:rFonts w:hint="eastAsia" w:ascii="宋体" w:hAnsi="宋体" w:eastAsia="宋体" w:cs="宋体"/>
          <w:color w:val="auto"/>
          <w:highlight w:val="none"/>
        </w:rPr>
        <w:t>否则不予计分。</w:t>
      </w:r>
    </w:p>
    <w:p w14:paraId="46B3C2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w:t>
      </w:r>
      <w:r>
        <w:rPr>
          <w:rFonts w:hint="eastAsia" w:ascii="宋体" w:hAnsi="宋体" w:eastAsia="宋体" w:cs="宋体"/>
          <w:color w:val="auto"/>
          <w:highlight w:val="none"/>
          <w:lang w:val="zh-CN"/>
        </w:rPr>
        <w:t>本评分表中所需要的</w:t>
      </w:r>
      <w:r>
        <w:rPr>
          <w:rFonts w:hint="eastAsia" w:ascii="宋体" w:hAnsi="宋体" w:eastAsia="宋体" w:cs="宋体"/>
          <w:b/>
          <w:color w:val="auto"/>
          <w:highlight w:val="none"/>
          <w:lang w:val="zh-CN"/>
        </w:rPr>
        <w:t>证明材料</w:t>
      </w:r>
      <w:r>
        <w:rPr>
          <w:rFonts w:hint="eastAsia" w:ascii="宋体" w:hAnsi="宋体" w:eastAsia="宋体" w:cs="宋体"/>
          <w:color w:val="auto"/>
          <w:highlight w:val="none"/>
          <w:lang w:val="zh-CN"/>
        </w:rPr>
        <w:t>可为原件扫描件（或复印件）、网页截图（或</w:t>
      </w:r>
      <w:r>
        <w:rPr>
          <w:rFonts w:hint="eastAsia" w:ascii="宋体" w:hAnsi="宋体" w:eastAsia="宋体" w:cs="宋体"/>
          <w:color w:val="auto"/>
          <w:highlight w:val="none"/>
          <w:lang w:bidi="ar"/>
        </w:rPr>
        <w:t>查询页面</w:t>
      </w:r>
      <w:r>
        <w:rPr>
          <w:rFonts w:hint="eastAsia" w:ascii="宋体" w:hAnsi="宋体" w:eastAsia="宋体" w:cs="宋体"/>
          <w:color w:val="auto"/>
          <w:highlight w:val="none"/>
          <w:lang w:val="zh-CN"/>
        </w:rPr>
        <w:t>）打印件、电子版证书文件等投标人认为应提供的资料，投标人提供的</w:t>
      </w:r>
      <w:r>
        <w:rPr>
          <w:rFonts w:hint="eastAsia" w:ascii="宋体" w:hAnsi="宋体" w:eastAsia="宋体" w:cs="宋体"/>
          <w:b/>
          <w:color w:val="auto"/>
          <w:highlight w:val="none"/>
          <w:lang w:val="zh-CN"/>
        </w:rPr>
        <w:t>证明材料</w:t>
      </w:r>
      <w:r>
        <w:rPr>
          <w:rFonts w:hint="eastAsia" w:ascii="宋体" w:hAnsi="宋体" w:eastAsia="宋体" w:cs="宋体"/>
          <w:color w:val="auto"/>
          <w:highlight w:val="none"/>
          <w:lang w:val="zh-CN"/>
        </w:rPr>
        <w:t>必须加盖投标人（</w:t>
      </w:r>
      <w:r>
        <w:rPr>
          <w:rFonts w:hint="eastAsia" w:ascii="宋体" w:hAnsi="宋体" w:eastAsia="宋体" w:cs="宋体"/>
          <w:b/>
          <w:color w:val="auto"/>
          <w:highlight w:val="none"/>
        </w:rPr>
        <w:t>若为联合体投标，指联合体牵头单位</w:t>
      </w:r>
      <w:r>
        <w:rPr>
          <w:rFonts w:hint="eastAsia" w:ascii="宋体" w:hAnsi="宋体" w:eastAsia="宋体" w:cs="宋体"/>
          <w:color w:val="auto"/>
          <w:highlight w:val="none"/>
          <w:lang w:val="zh-CN"/>
        </w:rPr>
        <w:t>）电子印章且内容必须清晰可辨，如因提供</w:t>
      </w:r>
      <w:r>
        <w:rPr>
          <w:rFonts w:hint="eastAsia" w:ascii="宋体" w:hAnsi="宋体" w:eastAsia="宋体" w:cs="宋体"/>
          <w:b/>
          <w:color w:val="auto"/>
          <w:highlight w:val="none"/>
          <w:lang w:val="zh-CN"/>
        </w:rPr>
        <w:t>证明资料</w:t>
      </w:r>
      <w:r>
        <w:rPr>
          <w:rFonts w:hint="eastAsia" w:ascii="宋体" w:hAnsi="宋体" w:eastAsia="宋体" w:cs="宋体"/>
          <w:color w:val="auto"/>
          <w:highlight w:val="none"/>
          <w:lang w:val="zh-CN"/>
        </w:rPr>
        <w:t>内容模糊或不全导致评标时无法判断或辨认的，视为</w:t>
      </w:r>
      <w:r>
        <w:rPr>
          <w:rFonts w:hint="eastAsia" w:ascii="宋体" w:hAnsi="宋体" w:eastAsia="宋体" w:cs="宋体"/>
          <w:b/>
          <w:color w:val="auto"/>
          <w:highlight w:val="none"/>
          <w:lang w:val="zh-CN"/>
        </w:rPr>
        <w:t>证明资料</w:t>
      </w:r>
      <w:r>
        <w:rPr>
          <w:rFonts w:hint="eastAsia" w:ascii="宋体" w:hAnsi="宋体" w:eastAsia="宋体" w:cs="宋体"/>
          <w:color w:val="auto"/>
          <w:highlight w:val="none"/>
          <w:lang w:val="zh-CN"/>
        </w:rPr>
        <w:t>不提供或提供不完整或提供不符合要求，该评分项不得分。</w:t>
      </w:r>
    </w:p>
    <w:p w14:paraId="3C56D6A9">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7</w:t>
      </w:r>
      <w:r>
        <w:rPr>
          <w:rFonts w:hint="eastAsia" w:ascii="宋体" w:hAnsi="宋体" w:eastAsia="宋体" w:cs="宋体"/>
          <w:color w:val="auto"/>
          <w:highlight w:val="none"/>
        </w:rPr>
        <w:t>.所有评委分数汇总后的算术平均值为投标人的最终得分。分数出现小数点，保留小数点后二位小数，第三位小数四舍五入。</w:t>
      </w:r>
    </w:p>
    <w:p w14:paraId="191630FE">
      <w:pPr>
        <w:rPr>
          <w:rFonts w:hint="eastAsia" w:ascii="宋体" w:hAnsi="宋体" w:eastAsia="宋体" w:cs="宋体"/>
          <w:color w:val="auto"/>
          <w:highlight w:val="none"/>
        </w:rPr>
      </w:pPr>
    </w:p>
    <w:p w14:paraId="542C6A14">
      <w:pPr>
        <w:rPr>
          <w:rFonts w:hint="eastAsia" w:ascii="宋体" w:hAnsi="宋体" w:eastAsia="宋体" w:cs="宋体"/>
          <w:b/>
          <w:color w:val="auto"/>
          <w:highlight w:val="none"/>
        </w:rPr>
      </w:pPr>
      <w:r>
        <w:rPr>
          <w:rFonts w:hint="eastAsia" w:ascii="宋体" w:hAnsi="宋体" w:eastAsia="宋体" w:cs="宋体"/>
          <w:color w:val="auto"/>
          <w:highlight w:val="none"/>
        </w:rPr>
        <w:t>评委签名：                                                            日期：       年    月   日</w:t>
      </w:r>
      <w:bookmarkEnd w:id="23"/>
      <w:r>
        <w:rPr>
          <w:rFonts w:hint="eastAsia" w:ascii="宋体" w:hAnsi="宋体" w:eastAsia="宋体" w:cs="宋体"/>
          <w:b/>
          <w:color w:val="auto"/>
          <w:highlight w:val="none"/>
        </w:rPr>
        <w:br w:type="page"/>
      </w:r>
    </w:p>
    <w:p w14:paraId="3E653ACB">
      <w:pPr>
        <w:rPr>
          <w:rFonts w:hint="eastAsia" w:ascii="宋体" w:hAnsi="宋体" w:eastAsia="宋体" w:cs="宋体"/>
          <w:color w:val="auto"/>
          <w:sz w:val="24"/>
          <w:szCs w:val="24"/>
          <w:highlight w:val="none"/>
        </w:rPr>
      </w:pPr>
      <w:r>
        <w:rPr>
          <w:rFonts w:hint="eastAsia" w:ascii="宋体" w:hAnsi="宋体" w:eastAsia="宋体" w:cs="宋体"/>
          <w:color w:val="auto"/>
          <w:szCs w:val="21"/>
          <w:highlight w:val="none"/>
        </w:rPr>
        <w:t>附表五（适用于区间抽取法）</w:t>
      </w:r>
    </w:p>
    <w:p w14:paraId="3F5AE493">
      <w:pPr>
        <w:jc w:val="center"/>
        <w:rPr>
          <w:rFonts w:hint="default" w:eastAsia="宋体"/>
          <w:b/>
          <w:color w:val="auto"/>
          <w:sz w:val="36"/>
          <w:szCs w:val="36"/>
          <w:highlight w:val="none"/>
          <w:lang w:val="en-US" w:eastAsia="zh-CN"/>
        </w:rPr>
      </w:pPr>
      <w:r>
        <w:rPr>
          <w:rFonts w:hint="eastAsia"/>
          <w:b/>
          <w:color w:val="auto"/>
          <w:sz w:val="36"/>
          <w:szCs w:val="36"/>
          <w:highlight w:val="none"/>
        </w:rPr>
        <w:t>经济标评分表</w:t>
      </w:r>
      <w:r>
        <w:rPr>
          <w:rFonts w:hint="eastAsia" w:ascii="Calibri" w:eastAsia="宋体"/>
          <w:b/>
          <w:color w:val="auto"/>
          <w:sz w:val="36"/>
          <w:szCs w:val="36"/>
          <w:highlight w:val="none"/>
          <w:lang w:val="en-US" w:eastAsia="zh-CN"/>
        </w:rPr>
        <w:t>-工程费</w:t>
      </w:r>
    </w:p>
    <w:p w14:paraId="318835D1">
      <w:pPr>
        <w:rPr>
          <w:color w:val="auto"/>
          <w:szCs w:val="21"/>
          <w:highlight w:val="none"/>
        </w:rPr>
      </w:pPr>
      <w:r>
        <w:rPr>
          <w:rFonts w:hint="eastAsia"/>
          <w:color w:val="auto"/>
          <w:szCs w:val="21"/>
          <w:highlight w:val="none"/>
        </w:rPr>
        <w:t>工程名称：</w:t>
      </w:r>
    </w:p>
    <w:tbl>
      <w:tblPr>
        <w:tblStyle w:val="34"/>
        <w:tblW w:w="1444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1031"/>
        <w:gridCol w:w="1031"/>
        <w:gridCol w:w="1031"/>
        <w:gridCol w:w="1031"/>
        <w:gridCol w:w="1031"/>
        <w:gridCol w:w="1031"/>
        <w:gridCol w:w="1031"/>
        <w:gridCol w:w="1031"/>
        <w:gridCol w:w="1031"/>
        <w:gridCol w:w="1031"/>
        <w:gridCol w:w="1031"/>
        <w:gridCol w:w="1032"/>
      </w:tblGrid>
      <w:tr w14:paraId="3D210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74" w:type="dxa"/>
            <w:tcBorders>
              <w:top w:val="single" w:color="auto" w:sz="4" w:space="0"/>
              <w:left w:val="single" w:color="auto" w:sz="4" w:space="0"/>
              <w:bottom w:val="single" w:color="auto" w:sz="4" w:space="0"/>
              <w:right w:val="single" w:color="auto" w:sz="4" w:space="0"/>
            </w:tcBorders>
            <w:vAlign w:val="center"/>
          </w:tcPr>
          <w:p w14:paraId="048E3AF5">
            <w:pPr>
              <w:rPr>
                <w:rFonts w:ascii="宋体" w:hAnsi="宋体"/>
                <w:color w:val="auto"/>
                <w:szCs w:val="21"/>
                <w:highlight w:val="none"/>
              </w:rPr>
            </w:pPr>
            <w:r>
              <w:rPr>
                <w:rFonts w:hint="eastAsia" w:ascii="宋体" w:hAnsi="宋体"/>
                <w:color w:val="auto"/>
                <w:szCs w:val="21"/>
                <w:highlight w:val="none"/>
              </w:rPr>
              <w:t>投标人名称</w:t>
            </w:r>
          </w:p>
        </w:tc>
        <w:tc>
          <w:tcPr>
            <w:tcW w:w="1031" w:type="dxa"/>
            <w:tcBorders>
              <w:top w:val="single" w:color="auto" w:sz="4" w:space="0"/>
              <w:left w:val="single" w:color="auto" w:sz="4" w:space="0"/>
              <w:bottom w:val="single" w:color="auto" w:sz="4" w:space="0"/>
              <w:right w:val="single" w:color="auto" w:sz="4" w:space="0"/>
            </w:tcBorders>
            <w:vAlign w:val="center"/>
          </w:tcPr>
          <w:p w14:paraId="6CB4FD51">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594DDB9">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2C05DD9">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364CC593">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13D4C342">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4BA03BA8">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31AE5F94">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290B324">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48037150">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EC0B17F">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1F2D4B53">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17FEEF4C">
            <w:pPr>
              <w:rPr>
                <w:rFonts w:ascii="宋体" w:hAnsi="宋体"/>
                <w:color w:val="auto"/>
                <w:szCs w:val="21"/>
                <w:highlight w:val="none"/>
              </w:rPr>
            </w:pPr>
          </w:p>
        </w:tc>
      </w:tr>
      <w:tr w14:paraId="32102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vAlign w:val="center"/>
          </w:tcPr>
          <w:p w14:paraId="752F5AD7">
            <w:pPr>
              <w:rPr>
                <w:rFonts w:ascii="宋体" w:hAnsi="宋体"/>
                <w:color w:val="auto"/>
                <w:szCs w:val="21"/>
                <w:highlight w:val="none"/>
              </w:rPr>
            </w:pPr>
            <w:r>
              <w:rPr>
                <w:rFonts w:hint="eastAsia" w:ascii="宋体" w:hAnsi="宋体"/>
                <w:color w:val="auto"/>
                <w:szCs w:val="21"/>
                <w:highlight w:val="none"/>
                <w:lang w:val="en-US" w:eastAsia="zh-CN"/>
              </w:rPr>
              <w:t>工程费</w:t>
            </w:r>
            <w:r>
              <w:rPr>
                <w:rFonts w:hint="eastAsia" w:ascii="宋体" w:hAnsi="宋体"/>
                <w:color w:val="auto"/>
                <w:szCs w:val="21"/>
                <w:highlight w:val="none"/>
              </w:rPr>
              <w:t>投标</w:t>
            </w:r>
            <w:r>
              <w:rPr>
                <w:rFonts w:hint="eastAsia" w:ascii="宋体" w:hAnsi="宋体"/>
                <w:color w:val="auto"/>
                <w:szCs w:val="21"/>
                <w:highlight w:val="none"/>
                <w:lang w:val="en-US" w:eastAsia="zh-CN"/>
              </w:rPr>
              <w:t>总</w:t>
            </w:r>
            <w:r>
              <w:rPr>
                <w:rFonts w:hint="eastAsia" w:ascii="宋体" w:hAnsi="宋体"/>
                <w:color w:val="auto"/>
                <w:szCs w:val="21"/>
                <w:highlight w:val="none"/>
              </w:rPr>
              <w:t>报价</w:t>
            </w:r>
            <w:r>
              <w:rPr>
                <w:rFonts w:ascii="宋体" w:hAnsi="宋体"/>
                <w:color w:val="auto"/>
                <w:szCs w:val="21"/>
                <w:highlight w:val="none"/>
              </w:rPr>
              <w:t>PT</w:t>
            </w:r>
            <w:r>
              <w:rPr>
                <w:rFonts w:hint="eastAsia" w:ascii="宋体" w:hAnsi="宋体"/>
                <w:color w:val="auto"/>
                <w:szCs w:val="21"/>
                <w:highlight w:val="none"/>
              </w:rPr>
              <w:t>（元）</w:t>
            </w:r>
          </w:p>
        </w:tc>
        <w:tc>
          <w:tcPr>
            <w:tcW w:w="1031" w:type="dxa"/>
            <w:tcBorders>
              <w:top w:val="single" w:color="auto" w:sz="4" w:space="0"/>
              <w:left w:val="single" w:color="auto" w:sz="4" w:space="0"/>
              <w:bottom w:val="single" w:color="auto" w:sz="4" w:space="0"/>
              <w:right w:val="single" w:color="auto" w:sz="4" w:space="0"/>
            </w:tcBorders>
            <w:vAlign w:val="center"/>
          </w:tcPr>
          <w:p w14:paraId="3462DBDA">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458E712C">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22920DE0">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DD4C845">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3681EDA1">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96EBBAE">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71AA114">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1871A27B">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21113AC4">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2F7C2A1F">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D635027">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4D561BDA">
            <w:pPr>
              <w:rPr>
                <w:rFonts w:ascii="宋体" w:hAnsi="宋体"/>
                <w:color w:val="auto"/>
                <w:szCs w:val="21"/>
                <w:highlight w:val="none"/>
              </w:rPr>
            </w:pPr>
          </w:p>
        </w:tc>
      </w:tr>
      <w:tr w14:paraId="1CE6F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36AD4A60">
            <w:pPr>
              <w:rPr>
                <w:rFonts w:ascii="宋体" w:hAnsi="宋体"/>
                <w:color w:val="auto"/>
                <w:szCs w:val="21"/>
                <w:highlight w:val="none"/>
              </w:rPr>
            </w:pPr>
            <w:r>
              <w:rPr>
                <w:rFonts w:hint="eastAsia" w:ascii="宋体" w:hAnsi="宋体"/>
                <w:color w:val="auto"/>
                <w:szCs w:val="21"/>
                <w:highlight w:val="none"/>
              </w:rPr>
              <w:t>计算</w:t>
            </w:r>
            <w:r>
              <w:rPr>
                <w:rFonts w:hint="eastAsia" w:ascii="宋体" w:hAnsi="宋体"/>
                <w:color w:val="auto"/>
                <w:szCs w:val="21"/>
                <w:highlight w:val="none"/>
                <w:lang w:val="en-US" w:eastAsia="zh-CN"/>
              </w:rPr>
              <w:t>工程费</w:t>
            </w:r>
            <w:r>
              <w:rPr>
                <w:rFonts w:hint="eastAsia" w:ascii="宋体" w:hAnsi="宋体"/>
                <w:color w:val="auto"/>
                <w:szCs w:val="21"/>
                <w:highlight w:val="none"/>
              </w:rPr>
              <w:t>评标参考价的等分点值</w:t>
            </w:r>
            <w:r>
              <w:rPr>
                <w:rFonts w:ascii="宋体" w:hAnsi="宋体"/>
                <w:color w:val="auto"/>
                <w:szCs w:val="21"/>
                <w:highlight w:val="none"/>
              </w:rPr>
              <w:t>X</w:t>
            </w:r>
          </w:p>
        </w:tc>
        <w:tc>
          <w:tcPr>
            <w:tcW w:w="12373" w:type="dxa"/>
            <w:gridSpan w:val="12"/>
            <w:tcBorders>
              <w:top w:val="single" w:color="auto" w:sz="4" w:space="0"/>
              <w:left w:val="single" w:color="auto" w:sz="4" w:space="0"/>
              <w:bottom w:val="single" w:color="auto" w:sz="4" w:space="0"/>
              <w:right w:val="single" w:color="auto" w:sz="4" w:space="0"/>
            </w:tcBorders>
            <w:vAlign w:val="center"/>
          </w:tcPr>
          <w:p w14:paraId="278ACE89">
            <w:pPr>
              <w:rPr>
                <w:rFonts w:ascii="宋体" w:hAnsi="宋体"/>
                <w:color w:val="auto"/>
                <w:szCs w:val="21"/>
                <w:highlight w:val="none"/>
              </w:rPr>
            </w:pPr>
          </w:p>
        </w:tc>
      </w:tr>
      <w:tr w14:paraId="0DF5F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64E8C338">
            <w:pPr>
              <w:rPr>
                <w:rFonts w:ascii="宋体" w:hAnsi="宋体"/>
                <w:color w:val="auto"/>
                <w:szCs w:val="21"/>
                <w:highlight w:val="none"/>
              </w:rPr>
            </w:pPr>
            <w:r>
              <w:rPr>
                <w:rFonts w:hint="eastAsia" w:ascii="宋体" w:hAnsi="宋体"/>
                <w:color w:val="auto"/>
                <w:szCs w:val="21"/>
                <w:highlight w:val="none"/>
                <w:lang w:val="en-US" w:eastAsia="zh-CN"/>
              </w:rPr>
              <w:t>工程费</w:t>
            </w:r>
            <w:r>
              <w:rPr>
                <w:rFonts w:hint="eastAsia" w:ascii="宋体" w:hAnsi="宋体"/>
                <w:color w:val="auto"/>
                <w:szCs w:val="21"/>
                <w:highlight w:val="none"/>
              </w:rPr>
              <w:t>评标参考价</w:t>
            </w:r>
            <w:r>
              <w:rPr>
                <w:rFonts w:ascii="宋体" w:hAnsi="宋体"/>
                <w:color w:val="auto"/>
                <w:szCs w:val="21"/>
                <w:highlight w:val="none"/>
              </w:rPr>
              <w:t>PC（元）</w:t>
            </w:r>
          </w:p>
        </w:tc>
        <w:tc>
          <w:tcPr>
            <w:tcW w:w="12373" w:type="dxa"/>
            <w:gridSpan w:val="12"/>
            <w:tcBorders>
              <w:top w:val="single" w:color="auto" w:sz="4" w:space="0"/>
              <w:left w:val="single" w:color="auto" w:sz="4" w:space="0"/>
              <w:bottom w:val="single" w:color="auto" w:sz="4" w:space="0"/>
              <w:right w:val="single" w:color="auto" w:sz="4" w:space="0"/>
            </w:tcBorders>
            <w:vAlign w:val="center"/>
          </w:tcPr>
          <w:p w14:paraId="47AE5719">
            <w:pPr>
              <w:rPr>
                <w:rFonts w:ascii="宋体" w:hAnsi="宋体"/>
                <w:color w:val="auto"/>
                <w:szCs w:val="21"/>
                <w:highlight w:val="none"/>
              </w:rPr>
            </w:pPr>
          </w:p>
        </w:tc>
      </w:tr>
      <w:tr w14:paraId="362F0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37BC0DB0">
            <w:pPr>
              <w:rPr>
                <w:rFonts w:ascii="宋体" w:hAnsi="宋体"/>
                <w:color w:val="auto"/>
                <w:szCs w:val="21"/>
                <w:highlight w:val="none"/>
              </w:rPr>
            </w:pPr>
            <w:r>
              <w:rPr>
                <w:rFonts w:hint="eastAsia" w:ascii="宋体" w:hAnsi="宋体"/>
                <w:color w:val="auto"/>
                <w:szCs w:val="21"/>
                <w:highlight w:val="none"/>
              </w:rPr>
              <w:t>偏差（（</w:t>
            </w:r>
            <w:r>
              <w:rPr>
                <w:rFonts w:ascii="宋体" w:hAnsi="宋体"/>
                <w:color w:val="auto"/>
                <w:szCs w:val="21"/>
                <w:highlight w:val="none"/>
              </w:rPr>
              <w:t>PT-PC</w:t>
            </w:r>
            <w:r>
              <w:rPr>
                <w:rFonts w:hint="eastAsia" w:ascii="宋体" w:hAnsi="宋体"/>
                <w:color w:val="auto"/>
                <w:szCs w:val="21"/>
                <w:highlight w:val="none"/>
              </w:rPr>
              <w:t>）</w:t>
            </w:r>
            <w:r>
              <w:rPr>
                <w:rFonts w:ascii="宋体" w:hAnsi="宋体"/>
                <w:color w:val="auto"/>
                <w:szCs w:val="21"/>
                <w:highlight w:val="none"/>
              </w:rPr>
              <w:t>/PC</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w:t>
            </w:r>
          </w:p>
        </w:tc>
        <w:tc>
          <w:tcPr>
            <w:tcW w:w="1031" w:type="dxa"/>
            <w:tcBorders>
              <w:top w:val="single" w:color="auto" w:sz="4" w:space="0"/>
              <w:left w:val="single" w:color="auto" w:sz="4" w:space="0"/>
              <w:bottom w:val="single" w:color="auto" w:sz="4" w:space="0"/>
              <w:right w:val="single" w:color="auto" w:sz="4" w:space="0"/>
            </w:tcBorders>
            <w:vAlign w:val="center"/>
          </w:tcPr>
          <w:p w14:paraId="29AE3AAD">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2F17B30">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6941385">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09E00D9F">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D550BA4">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0CE9B3D0">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3AC2BE65">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0EAB047D">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72D46BF">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1311A5C2">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F4A3AA1">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7454D9F9">
            <w:pPr>
              <w:rPr>
                <w:rFonts w:ascii="宋体" w:hAnsi="宋体"/>
                <w:color w:val="auto"/>
                <w:szCs w:val="21"/>
                <w:highlight w:val="none"/>
              </w:rPr>
            </w:pPr>
          </w:p>
        </w:tc>
      </w:tr>
      <w:tr w14:paraId="59BED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074" w:type="dxa"/>
            <w:tcBorders>
              <w:top w:val="single" w:color="auto" w:sz="4" w:space="0"/>
              <w:left w:val="single" w:color="auto" w:sz="4" w:space="0"/>
              <w:bottom w:val="single" w:color="auto" w:sz="4" w:space="0"/>
              <w:right w:val="single" w:color="auto" w:sz="4" w:space="0"/>
            </w:tcBorders>
            <w:vAlign w:val="center"/>
          </w:tcPr>
          <w:p w14:paraId="30FF5035">
            <w:pPr>
              <w:rPr>
                <w:rFonts w:ascii="宋体" w:hAnsi="宋体"/>
                <w:color w:val="auto"/>
                <w:szCs w:val="21"/>
                <w:highlight w:val="none"/>
              </w:rPr>
            </w:pPr>
            <w:r>
              <w:rPr>
                <w:rFonts w:hint="eastAsia" w:ascii="宋体" w:hAnsi="宋体"/>
                <w:color w:val="auto"/>
                <w:szCs w:val="21"/>
                <w:highlight w:val="none"/>
              </w:rPr>
              <w:t>减分（</w:t>
            </w:r>
            <w:r>
              <w:rPr>
                <w:rFonts w:ascii="宋体" w:hAnsi="宋体"/>
                <w:color w:val="auto"/>
                <w:szCs w:val="21"/>
                <w:highlight w:val="none"/>
              </w:rPr>
              <w:t>A</w:t>
            </w:r>
            <w:r>
              <w:rPr>
                <w:rFonts w:hint="eastAsia" w:ascii="宋体" w:hAnsi="宋体"/>
                <w:color w:val="auto"/>
                <w:szCs w:val="21"/>
                <w:highlight w:val="none"/>
              </w:rPr>
              <w:t>）</w:t>
            </w:r>
          </w:p>
        </w:tc>
        <w:tc>
          <w:tcPr>
            <w:tcW w:w="1031" w:type="dxa"/>
            <w:tcBorders>
              <w:top w:val="single" w:color="auto" w:sz="4" w:space="0"/>
              <w:left w:val="single" w:color="auto" w:sz="4" w:space="0"/>
              <w:bottom w:val="single" w:color="auto" w:sz="4" w:space="0"/>
              <w:right w:val="single" w:color="auto" w:sz="4" w:space="0"/>
            </w:tcBorders>
            <w:vAlign w:val="center"/>
          </w:tcPr>
          <w:p w14:paraId="7662D4E5">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DC5F2C0">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26CFF77">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D3E1DCF">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E90F254">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40DF0742">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1DD22A57">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02C7471D">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391F868F">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B3E216C">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030EA6ED">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49F8C895">
            <w:pPr>
              <w:rPr>
                <w:rFonts w:ascii="宋体" w:hAnsi="宋体"/>
                <w:color w:val="auto"/>
                <w:szCs w:val="21"/>
                <w:highlight w:val="none"/>
              </w:rPr>
            </w:pPr>
          </w:p>
        </w:tc>
      </w:tr>
      <w:tr w14:paraId="68EF1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48E1985C">
            <w:pPr>
              <w:rPr>
                <w:rFonts w:ascii="宋体" w:hAnsi="宋体"/>
                <w:color w:val="auto"/>
                <w:szCs w:val="21"/>
                <w:highlight w:val="none"/>
              </w:rPr>
            </w:pPr>
            <w:r>
              <w:rPr>
                <w:rFonts w:hint="eastAsia" w:ascii="宋体" w:hAnsi="宋体"/>
                <w:color w:val="auto"/>
                <w:szCs w:val="21"/>
                <w:highlight w:val="none"/>
              </w:rPr>
              <w:t>得分</w:t>
            </w:r>
            <w:r>
              <w:rPr>
                <w:rFonts w:ascii="宋体" w:hAnsi="宋体"/>
                <w:color w:val="auto"/>
                <w:szCs w:val="21"/>
                <w:highlight w:val="none"/>
              </w:rPr>
              <w:t>(I=100-A)</w:t>
            </w:r>
          </w:p>
        </w:tc>
        <w:tc>
          <w:tcPr>
            <w:tcW w:w="1031" w:type="dxa"/>
            <w:tcBorders>
              <w:top w:val="single" w:color="auto" w:sz="4" w:space="0"/>
              <w:left w:val="single" w:color="auto" w:sz="4" w:space="0"/>
              <w:bottom w:val="single" w:color="auto" w:sz="4" w:space="0"/>
              <w:right w:val="single" w:color="auto" w:sz="4" w:space="0"/>
            </w:tcBorders>
            <w:vAlign w:val="center"/>
          </w:tcPr>
          <w:p w14:paraId="1AD42B82">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37786ED6">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09E6967">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10F2D619">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036BC35D">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1D1BA886">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784912E">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10FCDCFC">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BA892F3">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4C8CA5A1">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1D9ACE2">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DEB7454">
            <w:pPr>
              <w:rPr>
                <w:rFonts w:ascii="宋体" w:hAnsi="宋体"/>
                <w:color w:val="auto"/>
                <w:szCs w:val="21"/>
                <w:highlight w:val="none"/>
              </w:rPr>
            </w:pPr>
          </w:p>
        </w:tc>
      </w:tr>
      <w:tr w14:paraId="1E4C2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43D0B05D">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是否满足</w:t>
            </w:r>
            <w:r>
              <w:rPr>
                <w:rFonts w:hint="eastAsia" w:ascii="宋体" w:hAnsi="宋体"/>
                <w:color w:val="auto"/>
                <w:szCs w:val="21"/>
                <w:highlight w:val="none"/>
              </w:rPr>
              <w:t>经济标评审优惠政策</w:t>
            </w:r>
            <w:r>
              <w:rPr>
                <w:rFonts w:hint="eastAsia" w:ascii="宋体" w:hAnsi="宋体"/>
                <w:color w:val="auto"/>
                <w:szCs w:val="21"/>
                <w:highlight w:val="none"/>
                <w:lang w:val="en-US" w:eastAsia="zh-CN"/>
              </w:rPr>
              <w:t>要求</w:t>
            </w:r>
          </w:p>
        </w:tc>
        <w:tc>
          <w:tcPr>
            <w:tcW w:w="1031" w:type="dxa"/>
            <w:tcBorders>
              <w:top w:val="single" w:color="auto" w:sz="4" w:space="0"/>
              <w:left w:val="single" w:color="auto" w:sz="4" w:space="0"/>
              <w:bottom w:val="single" w:color="auto" w:sz="4" w:space="0"/>
              <w:right w:val="single" w:color="auto" w:sz="4" w:space="0"/>
            </w:tcBorders>
            <w:vAlign w:val="center"/>
          </w:tcPr>
          <w:p w14:paraId="6BF63B50">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08A07AD7">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2DA6E4A2">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1C6467A">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3DB87860">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0D6DD2DE">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2116836">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BF873D0">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2DFE2808">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0B983A8E">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0DA805F">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05E033E9">
            <w:pPr>
              <w:rPr>
                <w:rFonts w:ascii="宋体" w:hAnsi="宋体"/>
                <w:color w:val="auto"/>
                <w:szCs w:val="21"/>
                <w:highlight w:val="none"/>
              </w:rPr>
            </w:pPr>
          </w:p>
        </w:tc>
      </w:tr>
      <w:tr w14:paraId="2F531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6578D07C">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工程费经济得分</w:t>
            </w:r>
          </w:p>
        </w:tc>
        <w:tc>
          <w:tcPr>
            <w:tcW w:w="1031" w:type="dxa"/>
            <w:tcBorders>
              <w:top w:val="single" w:color="auto" w:sz="4" w:space="0"/>
              <w:left w:val="single" w:color="auto" w:sz="4" w:space="0"/>
              <w:bottom w:val="single" w:color="auto" w:sz="4" w:space="0"/>
              <w:right w:val="single" w:color="auto" w:sz="4" w:space="0"/>
            </w:tcBorders>
            <w:vAlign w:val="center"/>
          </w:tcPr>
          <w:p w14:paraId="15E9E477">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3423FAD6">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1A2D0272">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4BBD823">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20ED10F1">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4B44EA4E">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FDBD520">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CFB263D">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93286E9">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716A47C">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4C8C6DA3">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213F1AE3">
            <w:pPr>
              <w:rPr>
                <w:rFonts w:ascii="宋体" w:hAnsi="宋体"/>
                <w:color w:val="auto"/>
                <w:szCs w:val="21"/>
                <w:highlight w:val="none"/>
              </w:rPr>
            </w:pPr>
          </w:p>
        </w:tc>
      </w:tr>
    </w:tbl>
    <w:p w14:paraId="77CA71EB">
      <w:pPr>
        <w:rPr>
          <w:color w:val="auto"/>
          <w:szCs w:val="21"/>
          <w:highlight w:val="none"/>
        </w:rPr>
      </w:pPr>
      <w:r>
        <w:rPr>
          <w:rFonts w:hint="eastAsia"/>
          <w:color w:val="auto"/>
          <w:szCs w:val="21"/>
          <w:highlight w:val="none"/>
        </w:rPr>
        <w:t>评委签名：</w:t>
      </w:r>
    </w:p>
    <w:p w14:paraId="4CD7C69C">
      <w:pPr>
        <w:jc w:val="left"/>
        <w:rPr>
          <w:rFonts w:hint="eastAsia"/>
          <w:b/>
          <w:color w:val="auto"/>
          <w:sz w:val="36"/>
          <w:szCs w:val="36"/>
          <w:highlight w:val="none"/>
        </w:rPr>
      </w:pPr>
      <w:r>
        <w:rPr>
          <w:rFonts w:hint="eastAsia"/>
          <w:b/>
          <w:color w:val="auto"/>
          <w:sz w:val="36"/>
          <w:szCs w:val="36"/>
          <w:highlight w:val="none"/>
        </w:rPr>
        <w:br w:type="page"/>
      </w:r>
    </w:p>
    <w:p w14:paraId="65EF6BA3">
      <w:pPr>
        <w:jc w:val="center"/>
        <w:rPr>
          <w:rFonts w:hint="default" w:eastAsia="宋体"/>
          <w:b/>
          <w:color w:val="auto"/>
          <w:sz w:val="36"/>
          <w:szCs w:val="36"/>
          <w:highlight w:val="none"/>
          <w:lang w:val="en-US" w:eastAsia="zh-CN"/>
        </w:rPr>
      </w:pPr>
      <w:r>
        <w:rPr>
          <w:rFonts w:hint="eastAsia"/>
          <w:b/>
          <w:color w:val="auto"/>
          <w:sz w:val="36"/>
          <w:szCs w:val="36"/>
          <w:highlight w:val="none"/>
        </w:rPr>
        <w:t>经济标评分表</w:t>
      </w:r>
      <w:r>
        <w:rPr>
          <w:rFonts w:hint="eastAsia" w:ascii="Calibri" w:eastAsia="宋体"/>
          <w:b/>
          <w:color w:val="auto"/>
          <w:sz w:val="36"/>
          <w:szCs w:val="36"/>
          <w:highlight w:val="none"/>
          <w:lang w:val="en-US" w:eastAsia="zh-CN"/>
        </w:rPr>
        <w:t>-拆卸工程回收价值</w:t>
      </w:r>
    </w:p>
    <w:p w14:paraId="41089FF9">
      <w:pPr>
        <w:rPr>
          <w:color w:val="auto"/>
          <w:szCs w:val="21"/>
          <w:highlight w:val="none"/>
        </w:rPr>
      </w:pPr>
      <w:r>
        <w:rPr>
          <w:rFonts w:hint="eastAsia"/>
          <w:color w:val="auto"/>
          <w:szCs w:val="21"/>
          <w:highlight w:val="none"/>
        </w:rPr>
        <w:t>工程名称：</w:t>
      </w:r>
    </w:p>
    <w:tbl>
      <w:tblPr>
        <w:tblStyle w:val="34"/>
        <w:tblW w:w="1444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1031"/>
        <w:gridCol w:w="1031"/>
        <w:gridCol w:w="1031"/>
        <w:gridCol w:w="1031"/>
        <w:gridCol w:w="1031"/>
        <w:gridCol w:w="1031"/>
        <w:gridCol w:w="1031"/>
        <w:gridCol w:w="1031"/>
        <w:gridCol w:w="1031"/>
        <w:gridCol w:w="1031"/>
        <w:gridCol w:w="1031"/>
        <w:gridCol w:w="1032"/>
      </w:tblGrid>
      <w:tr w14:paraId="65039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74" w:type="dxa"/>
            <w:tcBorders>
              <w:top w:val="single" w:color="auto" w:sz="4" w:space="0"/>
              <w:left w:val="single" w:color="auto" w:sz="4" w:space="0"/>
              <w:bottom w:val="single" w:color="auto" w:sz="4" w:space="0"/>
              <w:right w:val="single" w:color="auto" w:sz="4" w:space="0"/>
            </w:tcBorders>
            <w:vAlign w:val="center"/>
          </w:tcPr>
          <w:p w14:paraId="20B3293A">
            <w:pPr>
              <w:rPr>
                <w:rFonts w:ascii="宋体" w:hAnsi="宋体"/>
                <w:color w:val="auto"/>
                <w:szCs w:val="21"/>
                <w:highlight w:val="none"/>
              </w:rPr>
            </w:pPr>
            <w:r>
              <w:rPr>
                <w:rFonts w:hint="eastAsia" w:ascii="宋体" w:hAnsi="宋体"/>
                <w:color w:val="auto"/>
                <w:szCs w:val="21"/>
                <w:highlight w:val="none"/>
              </w:rPr>
              <w:t>投标人名称</w:t>
            </w:r>
          </w:p>
        </w:tc>
        <w:tc>
          <w:tcPr>
            <w:tcW w:w="1031" w:type="dxa"/>
            <w:tcBorders>
              <w:top w:val="single" w:color="auto" w:sz="4" w:space="0"/>
              <w:left w:val="single" w:color="auto" w:sz="4" w:space="0"/>
              <w:bottom w:val="single" w:color="auto" w:sz="4" w:space="0"/>
              <w:right w:val="single" w:color="auto" w:sz="4" w:space="0"/>
            </w:tcBorders>
            <w:vAlign w:val="center"/>
          </w:tcPr>
          <w:p w14:paraId="458D8000">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2E39A30C">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28CA950D">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3DB618C9">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52184E9">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0FB16BF8">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05A397D">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4FB7C999">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36454BE">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4ED1311E">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EC2DCB5">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2A68120A">
            <w:pPr>
              <w:rPr>
                <w:rFonts w:ascii="宋体" w:hAnsi="宋体"/>
                <w:color w:val="auto"/>
                <w:szCs w:val="21"/>
                <w:highlight w:val="none"/>
              </w:rPr>
            </w:pPr>
          </w:p>
        </w:tc>
      </w:tr>
      <w:tr w14:paraId="270BA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vAlign w:val="center"/>
          </w:tcPr>
          <w:p w14:paraId="40415E20">
            <w:pPr>
              <w:rPr>
                <w:rFonts w:ascii="宋体" w:hAnsi="宋体"/>
                <w:color w:val="auto"/>
                <w:szCs w:val="21"/>
                <w:highlight w:val="none"/>
              </w:rPr>
            </w:pPr>
            <w:r>
              <w:rPr>
                <w:rFonts w:hint="eastAsia" w:ascii="宋体" w:hAnsi="宋体" w:eastAsia="宋体" w:cs="宋体"/>
                <w:bCs/>
                <w:color w:val="auto"/>
                <w:szCs w:val="21"/>
                <w:highlight w:val="none"/>
                <w:u w:val="single"/>
                <w:lang w:bidi="ar"/>
              </w:rPr>
              <w:t>拆卸工程</w:t>
            </w:r>
            <w:r>
              <w:rPr>
                <w:rFonts w:hint="eastAsia" w:ascii="宋体" w:hAnsi="宋体"/>
                <w:color w:val="auto"/>
                <w:szCs w:val="21"/>
                <w:highlight w:val="none"/>
                <w:lang w:val="en-US" w:eastAsia="zh-CN"/>
              </w:rPr>
              <w:t>回收价值</w:t>
            </w:r>
            <w:r>
              <w:rPr>
                <w:rFonts w:hint="eastAsia" w:ascii="宋体" w:hAnsi="宋体"/>
                <w:color w:val="auto"/>
                <w:szCs w:val="21"/>
                <w:highlight w:val="none"/>
              </w:rPr>
              <w:t>投标</w:t>
            </w:r>
            <w:r>
              <w:rPr>
                <w:rFonts w:hint="eastAsia" w:ascii="宋体" w:hAnsi="宋体"/>
                <w:color w:val="auto"/>
                <w:szCs w:val="21"/>
                <w:highlight w:val="none"/>
                <w:lang w:val="en-US" w:eastAsia="zh-CN"/>
              </w:rPr>
              <w:t>总</w:t>
            </w:r>
            <w:r>
              <w:rPr>
                <w:rFonts w:hint="eastAsia" w:ascii="宋体" w:hAnsi="宋体"/>
                <w:color w:val="auto"/>
                <w:szCs w:val="21"/>
                <w:highlight w:val="none"/>
              </w:rPr>
              <w:t>报价</w:t>
            </w:r>
            <w:r>
              <w:rPr>
                <w:rFonts w:ascii="宋体" w:hAnsi="宋体"/>
                <w:color w:val="auto"/>
                <w:szCs w:val="21"/>
                <w:highlight w:val="none"/>
              </w:rPr>
              <w:t>PT</w:t>
            </w:r>
            <w:r>
              <w:rPr>
                <w:rFonts w:hint="eastAsia" w:ascii="宋体" w:hAnsi="宋体"/>
                <w:color w:val="auto"/>
                <w:szCs w:val="21"/>
                <w:highlight w:val="none"/>
              </w:rPr>
              <w:t>（元）</w:t>
            </w:r>
          </w:p>
        </w:tc>
        <w:tc>
          <w:tcPr>
            <w:tcW w:w="1031" w:type="dxa"/>
            <w:tcBorders>
              <w:top w:val="single" w:color="auto" w:sz="4" w:space="0"/>
              <w:left w:val="single" w:color="auto" w:sz="4" w:space="0"/>
              <w:bottom w:val="single" w:color="auto" w:sz="4" w:space="0"/>
              <w:right w:val="single" w:color="auto" w:sz="4" w:space="0"/>
            </w:tcBorders>
            <w:vAlign w:val="center"/>
          </w:tcPr>
          <w:p w14:paraId="7C73B1CC">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BA1AB45">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269A3CEB">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1BEAD3B">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49171B40">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1E4D3783">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4F15D5CD">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2566584F">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0C03E562">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02513248">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120238D">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71F0C2A3">
            <w:pPr>
              <w:rPr>
                <w:rFonts w:ascii="宋体" w:hAnsi="宋体"/>
                <w:color w:val="auto"/>
                <w:szCs w:val="21"/>
                <w:highlight w:val="none"/>
              </w:rPr>
            </w:pPr>
          </w:p>
        </w:tc>
      </w:tr>
      <w:tr w14:paraId="2B6F4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009B2B65">
            <w:pPr>
              <w:rPr>
                <w:rFonts w:ascii="宋体" w:hAnsi="宋体"/>
                <w:color w:val="auto"/>
                <w:szCs w:val="21"/>
                <w:highlight w:val="none"/>
              </w:rPr>
            </w:pPr>
            <w:r>
              <w:rPr>
                <w:rFonts w:hint="eastAsia" w:ascii="宋体" w:hAnsi="宋体"/>
                <w:color w:val="auto"/>
                <w:szCs w:val="21"/>
                <w:highlight w:val="none"/>
              </w:rPr>
              <w:t>计算</w:t>
            </w:r>
            <w:r>
              <w:rPr>
                <w:rFonts w:hint="eastAsia" w:ascii="宋体" w:hAnsi="宋体" w:eastAsia="宋体" w:cs="宋体"/>
                <w:bCs/>
                <w:color w:val="auto"/>
                <w:szCs w:val="21"/>
                <w:highlight w:val="none"/>
                <w:u w:val="single"/>
                <w:lang w:bidi="ar"/>
              </w:rPr>
              <w:t>拆卸工程</w:t>
            </w:r>
            <w:r>
              <w:rPr>
                <w:rFonts w:hint="eastAsia" w:ascii="宋体" w:hAnsi="宋体"/>
                <w:color w:val="auto"/>
                <w:szCs w:val="21"/>
                <w:highlight w:val="none"/>
                <w:lang w:val="en-US" w:eastAsia="zh-CN"/>
              </w:rPr>
              <w:t>回收价值</w:t>
            </w:r>
            <w:r>
              <w:rPr>
                <w:rFonts w:hint="eastAsia" w:ascii="宋体" w:hAnsi="宋体"/>
                <w:color w:val="auto"/>
                <w:szCs w:val="21"/>
                <w:highlight w:val="none"/>
              </w:rPr>
              <w:t>评标参考价的等分点值</w:t>
            </w:r>
            <w:r>
              <w:rPr>
                <w:rFonts w:ascii="宋体" w:hAnsi="宋体"/>
                <w:color w:val="auto"/>
                <w:szCs w:val="21"/>
                <w:highlight w:val="none"/>
              </w:rPr>
              <w:t>X</w:t>
            </w:r>
          </w:p>
        </w:tc>
        <w:tc>
          <w:tcPr>
            <w:tcW w:w="12373" w:type="dxa"/>
            <w:gridSpan w:val="12"/>
            <w:tcBorders>
              <w:top w:val="single" w:color="auto" w:sz="4" w:space="0"/>
              <w:left w:val="single" w:color="auto" w:sz="4" w:space="0"/>
              <w:bottom w:val="single" w:color="auto" w:sz="4" w:space="0"/>
              <w:right w:val="single" w:color="auto" w:sz="4" w:space="0"/>
            </w:tcBorders>
            <w:vAlign w:val="center"/>
          </w:tcPr>
          <w:p w14:paraId="5C0A53F0">
            <w:pPr>
              <w:rPr>
                <w:rFonts w:ascii="宋体" w:hAnsi="宋体"/>
                <w:color w:val="auto"/>
                <w:szCs w:val="21"/>
                <w:highlight w:val="none"/>
              </w:rPr>
            </w:pPr>
          </w:p>
        </w:tc>
      </w:tr>
      <w:tr w14:paraId="325A3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3F37EA7E">
            <w:pPr>
              <w:rPr>
                <w:rFonts w:ascii="宋体" w:hAnsi="宋体"/>
                <w:color w:val="auto"/>
                <w:szCs w:val="21"/>
                <w:highlight w:val="none"/>
              </w:rPr>
            </w:pPr>
            <w:r>
              <w:rPr>
                <w:rFonts w:hint="eastAsia" w:ascii="宋体" w:hAnsi="宋体" w:eastAsia="宋体" w:cs="宋体"/>
                <w:bCs/>
                <w:color w:val="auto"/>
                <w:szCs w:val="21"/>
                <w:highlight w:val="none"/>
                <w:u w:val="single"/>
                <w:lang w:bidi="ar"/>
              </w:rPr>
              <w:t>拆卸工程</w:t>
            </w:r>
            <w:r>
              <w:rPr>
                <w:rFonts w:hint="eastAsia" w:ascii="宋体" w:hAnsi="宋体"/>
                <w:color w:val="auto"/>
                <w:szCs w:val="21"/>
                <w:highlight w:val="none"/>
                <w:lang w:val="en-US" w:eastAsia="zh-CN"/>
              </w:rPr>
              <w:t>回收价值</w:t>
            </w:r>
            <w:r>
              <w:rPr>
                <w:rFonts w:hint="eastAsia" w:ascii="宋体" w:hAnsi="宋体"/>
                <w:color w:val="auto"/>
                <w:szCs w:val="21"/>
                <w:highlight w:val="none"/>
              </w:rPr>
              <w:t>评标参考价</w:t>
            </w:r>
            <w:r>
              <w:rPr>
                <w:rFonts w:ascii="宋体" w:hAnsi="宋体"/>
                <w:color w:val="auto"/>
                <w:szCs w:val="21"/>
                <w:highlight w:val="none"/>
              </w:rPr>
              <w:t>PC（元）</w:t>
            </w:r>
          </w:p>
        </w:tc>
        <w:tc>
          <w:tcPr>
            <w:tcW w:w="12373" w:type="dxa"/>
            <w:gridSpan w:val="12"/>
            <w:tcBorders>
              <w:top w:val="single" w:color="auto" w:sz="4" w:space="0"/>
              <w:left w:val="single" w:color="auto" w:sz="4" w:space="0"/>
              <w:bottom w:val="single" w:color="auto" w:sz="4" w:space="0"/>
              <w:right w:val="single" w:color="auto" w:sz="4" w:space="0"/>
            </w:tcBorders>
            <w:vAlign w:val="center"/>
          </w:tcPr>
          <w:p w14:paraId="715DF99A">
            <w:pPr>
              <w:rPr>
                <w:rFonts w:ascii="宋体" w:hAnsi="宋体"/>
                <w:color w:val="auto"/>
                <w:szCs w:val="21"/>
                <w:highlight w:val="none"/>
              </w:rPr>
            </w:pPr>
          </w:p>
        </w:tc>
      </w:tr>
      <w:tr w14:paraId="45B1E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6EA1D47F">
            <w:pPr>
              <w:rPr>
                <w:rFonts w:ascii="宋体" w:hAnsi="宋体"/>
                <w:color w:val="auto"/>
                <w:szCs w:val="21"/>
                <w:highlight w:val="none"/>
              </w:rPr>
            </w:pPr>
            <w:r>
              <w:rPr>
                <w:rFonts w:hint="eastAsia" w:ascii="宋体" w:hAnsi="宋体"/>
                <w:color w:val="auto"/>
                <w:szCs w:val="21"/>
                <w:highlight w:val="none"/>
              </w:rPr>
              <w:t>偏差（（</w:t>
            </w:r>
            <w:r>
              <w:rPr>
                <w:rFonts w:ascii="宋体" w:hAnsi="宋体"/>
                <w:color w:val="auto"/>
                <w:szCs w:val="21"/>
                <w:highlight w:val="none"/>
              </w:rPr>
              <w:t>PT-PC</w:t>
            </w:r>
            <w:r>
              <w:rPr>
                <w:rFonts w:hint="eastAsia" w:ascii="宋体" w:hAnsi="宋体"/>
                <w:color w:val="auto"/>
                <w:szCs w:val="21"/>
                <w:highlight w:val="none"/>
              </w:rPr>
              <w:t>）</w:t>
            </w:r>
            <w:r>
              <w:rPr>
                <w:rFonts w:ascii="宋体" w:hAnsi="宋体"/>
                <w:color w:val="auto"/>
                <w:szCs w:val="21"/>
                <w:highlight w:val="none"/>
              </w:rPr>
              <w:t>/PC</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w:t>
            </w:r>
          </w:p>
        </w:tc>
        <w:tc>
          <w:tcPr>
            <w:tcW w:w="1031" w:type="dxa"/>
            <w:tcBorders>
              <w:top w:val="single" w:color="auto" w:sz="4" w:space="0"/>
              <w:left w:val="single" w:color="auto" w:sz="4" w:space="0"/>
              <w:bottom w:val="single" w:color="auto" w:sz="4" w:space="0"/>
              <w:right w:val="single" w:color="auto" w:sz="4" w:space="0"/>
            </w:tcBorders>
            <w:vAlign w:val="center"/>
          </w:tcPr>
          <w:p w14:paraId="070283AA">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35EED41A">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3BEFCC27">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0CCE352">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4FADA115">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31D95FD9">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029ACCCC">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435125D">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F5EB709">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36B594B">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2DB87B8F">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2A8B4554">
            <w:pPr>
              <w:rPr>
                <w:rFonts w:ascii="宋体" w:hAnsi="宋体"/>
                <w:color w:val="auto"/>
                <w:szCs w:val="21"/>
                <w:highlight w:val="none"/>
              </w:rPr>
            </w:pPr>
          </w:p>
        </w:tc>
      </w:tr>
      <w:tr w14:paraId="3263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vAlign w:val="center"/>
          </w:tcPr>
          <w:p w14:paraId="07D2272B">
            <w:pPr>
              <w:rPr>
                <w:rFonts w:ascii="宋体" w:hAnsi="宋体"/>
                <w:color w:val="auto"/>
                <w:szCs w:val="21"/>
                <w:highlight w:val="none"/>
              </w:rPr>
            </w:pPr>
            <w:r>
              <w:rPr>
                <w:rFonts w:hint="eastAsia" w:ascii="宋体" w:hAnsi="宋体"/>
                <w:color w:val="auto"/>
                <w:szCs w:val="21"/>
                <w:highlight w:val="none"/>
              </w:rPr>
              <w:t>减分（</w:t>
            </w:r>
            <w:r>
              <w:rPr>
                <w:rFonts w:ascii="宋体" w:hAnsi="宋体"/>
                <w:color w:val="auto"/>
                <w:szCs w:val="21"/>
                <w:highlight w:val="none"/>
              </w:rPr>
              <w:t>A</w:t>
            </w:r>
            <w:r>
              <w:rPr>
                <w:rFonts w:hint="eastAsia" w:ascii="宋体" w:hAnsi="宋体"/>
                <w:color w:val="auto"/>
                <w:szCs w:val="21"/>
                <w:highlight w:val="none"/>
              </w:rPr>
              <w:t>）</w:t>
            </w:r>
          </w:p>
        </w:tc>
        <w:tc>
          <w:tcPr>
            <w:tcW w:w="1031" w:type="dxa"/>
            <w:tcBorders>
              <w:top w:val="single" w:color="auto" w:sz="4" w:space="0"/>
              <w:left w:val="single" w:color="auto" w:sz="4" w:space="0"/>
              <w:bottom w:val="single" w:color="auto" w:sz="4" w:space="0"/>
              <w:right w:val="single" w:color="auto" w:sz="4" w:space="0"/>
            </w:tcBorders>
            <w:vAlign w:val="center"/>
          </w:tcPr>
          <w:p w14:paraId="455FCD9D">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FFAA20E">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031BE070">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30AB178D">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405D0338">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4426F0B9">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24E9703E">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39AF5DA6">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2C8F2B92">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A8BE9C3">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48D0670">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51D77E6">
            <w:pPr>
              <w:rPr>
                <w:rFonts w:ascii="宋体" w:hAnsi="宋体"/>
                <w:color w:val="auto"/>
                <w:szCs w:val="21"/>
                <w:highlight w:val="none"/>
              </w:rPr>
            </w:pPr>
          </w:p>
        </w:tc>
      </w:tr>
      <w:tr w14:paraId="0670B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572BAE7B">
            <w:pPr>
              <w:rPr>
                <w:rFonts w:ascii="宋体" w:hAnsi="宋体"/>
                <w:color w:val="auto"/>
                <w:szCs w:val="21"/>
                <w:highlight w:val="none"/>
              </w:rPr>
            </w:pPr>
            <w:r>
              <w:rPr>
                <w:rFonts w:hint="eastAsia" w:ascii="宋体" w:hAnsi="宋体"/>
                <w:color w:val="auto"/>
                <w:szCs w:val="21"/>
                <w:highlight w:val="none"/>
              </w:rPr>
              <w:t>得分</w:t>
            </w:r>
            <w:r>
              <w:rPr>
                <w:rFonts w:ascii="宋体" w:hAnsi="宋体"/>
                <w:color w:val="auto"/>
                <w:szCs w:val="21"/>
                <w:highlight w:val="none"/>
              </w:rPr>
              <w:t>(I=100-A)</w:t>
            </w:r>
          </w:p>
        </w:tc>
        <w:tc>
          <w:tcPr>
            <w:tcW w:w="1031" w:type="dxa"/>
            <w:tcBorders>
              <w:top w:val="single" w:color="auto" w:sz="4" w:space="0"/>
              <w:left w:val="single" w:color="auto" w:sz="4" w:space="0"/>
              <w:bottom w:val="single" w:color="auto" w:sz="4" w:space="0"/>
              <w:right w:val="single" w:color="auto" w:sz="4" w:space="0"/>
            </w:tcBorders>
            <w:vAlign w:val="center"/>
          </w:tcPr>
          <w:p w14:paraId="130984CA">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1D312E1">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1667D0DF">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EC2B40C">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2E46A0D1">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167DE75A">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1D181C5D">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497B3F9">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9BF49EA">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31ED589E">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16324133">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7519796E">
            <w:pPr>
              <w:rPr>
                <w:rFonts w:ascii="宋体" w:hAnsi="宋体"/>
                <w:color w:val="auto"/>
                <w:szCs w:val="21"/>
                <w:highlight w:val="none"/>
              </w:rPr>
            </w:pPr>
          </w:p>
        </w:tc>
      </w:tr>
    </w:tbl>
    <w:p w14:paraId="1896304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评委签名：</w:t>
      </w:r>
    </w:p>
    <w:p w14:paraId="7AAD17F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57C63CC0">
      <w:pP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附表六</w:t>
      </w:r>
    </w:p>
    <w:p w14:paraId="1F1FF878">
      <w:pPr>
        <w:jc w:val="center"/>
        <w:rPr>
          <w:b/>
          <w:color w:val="auto"/>
          <w:sz w:val="36"/>
          <w:szCs w:val="36"/>
          <w:highlight w:val="none"/>
        </w:rPr>
      </w:pPr>
      <w:r>
        <w:rPr>
          <w:rFonts w:hint="eastAsia"/>
          <w:b/>
          <w:color w:val="auto"/>
          <w:sz w:val="36"/>
          <w:szCs w:val="36"/>
          <w:highlight w:val="none"/>
        </w:rPr>
        <w:t>算术复核表</w:t>
      </w:r>
    </w:p>
    <w:p w14:paraId="490A3C94">
      <w:pPr>
        <w:rPr>
          <w:color w:val="auto"/>
          <w:szCs w:val="21"/>
          <w:highlight w:val="none"/>
        </w:rPr>
      </w:pPr>
      <w:r>
        <w:rPr>
          <w:rFonts w:hint="eastAsia"/>
          <w:color w:val="auto"/>
          <w:szCs w:val="21"/>
          <w:highlight w:val="none"/>
        </w:rPr>
        <w:t>工程名称：</w:t>
      </w:r>
    </w:p>
    <w:tbl>
      <w:tblPr>
        <w:tblStyle w:val="34"/>
        <w:tblW w:w="1417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14:paraId="40B7A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29B9CE89">
            <w:pPr>
              <w:rPr>
                <w:b/>
                <w:color w:val="auto"/>
                <w:sz w:val="28"/>
                <w:szCs w:val="28"/>
                <w:highlight w:val="none"/>
              </w:rPr>
            </w:pPr>
            <w:r>
              <w:rPr>
                <w:rFonts w:hint="eastAsia"/>
                <w:b/>
                <w:color w:val="auto"/>
                <w:sz w:val="28"/>
                <w:szCs w:val="28"/>
                <w:highlight w:val="none"/>
              </w:rPr>
              <w:t>编号</w:t>
            </w:r>
          </w:p>
        </w:tc>
        <w:tc>
          <w:tcPr>
            <w:tcW w:w="4297" w:type="dxa"/>
            <w:tcBorders>
              <w:top w:val="single" w:color="auto" w:sz="4" w:space="0"/>
              <w:left w:val="single" w:color="auto" w:sz="4" w:space="0"/>
              <w:bottom w:val="single" w:color="auto" w:sz="4" w:space="0"/>
              <w:right w:val="single" w:color="auto" w:sz="4" w:space="0"/>
            </w:tcBorders>
          </w:tcPr>
          <w:p w14:paraId="19A60853">
            <w:pPr>
              <w:rPr>
                <w:b/>
                <w:color w:val="auto"/>
                <w:sz w:val="28"/>
                <w:szCs w:val="28"/>
                <w:highlight w:val="none"/>
              </w:rPr>
            </w:pPr>
            <w:r>
              <w:rPr>
                <w:rFonts w:hint="eastAsia"/>
                <w:b/>
                <w:color w:val="auto"/>
                <w:sz w:val="28"/>
                <w:szCs w:val="28"/>
                <w:highlight w:val="none"/>
              </w:rPr>
              <w:t>投标人名称</w:t>
            </w:r>
          </w:p>
        </w:tc>
        <w:tc>
          <w:tcPr>
            <w:tcW w:w="2330" w:type="dxa"/>
            <w:tcBorders>
              <w:top w:val="single" w:color="auto" w:sz="4" w:space="0"/>
              <w:left w:val="single" w:color="auto" w:sz="4" w:space="0"/>
              <w:bottom w:val="single" w:color="auto" w:sz="4" w:space="0"/>
              <w:right w:val="single" w:color="auto" w:sz="4" w:space="0"/>
            </w:tcBorders>
          </w:tcPr>
          <w:p w14:paraId="6093CF56">
            <w:pPr>
              <w:rPr>
                <w:b/>
                <w:color w:val="auto"/>
                <w:sz w:val="28"/>
                <w:szCs w:val="28"/>
                <w:highlight w:val="none"/>
              </w:rPr>
            </w:pPr>
            <w:r>
              <w:rPr>
                <w:rFonts w:hint="eastAsia"/>
                <w:b/>
                <w:color w:val="auto"/>
                <w:sz w:val="28"/>
                <w:szCs w:val="28"/>
                <w:highlight w:val="none"/>
              </w:rPr>
              <w:t>原工程费投标</w:t>
            </w:r>
            <w:r>
              <w:rPr>
                <w:rFonts w:hint="eastAsia"/>
                <w:b/>
                <w:color w:val="auto"/>
                <w:sz w:val="28"/>
                <w:szCs w:val="28"/>
                <w:highlight w:val="none"/>
                <w:lang w:val="en-US" w:eastAsia="zh-CN"/>
              </w:rPr>
              <w:t>总</w:t>
            </w:r>
            <w:r>
              <w:rPr>
                <w:rFonts w:hint="eastAsia"/>
                <w:b/>
                <w:color w:val="auto"/>
                <w:sz w:val="28"/>
                <w:szCs w:val="28"/>
                <w:highlight w:val="none"/>
              </w:rPr>
              <w:t>报价（</w:t>
            </w:r>
            <w:r>
              <w:rPr>
                <w:b/>
                <w:color w:val="auto"/>
                <w:sz w:val="28"/>
                <w:szCs w:val="28"/>
                <w:highlight w:val="none"/>
              </w:rPr>
              <w:t>A</w:t>
            </w:r>
            <w:r>
              <w:rPr>
                <w:rFonts w:hint="eastAsia"/>
                <w:b/>
                <w:color w:val="auto"/>
                <w:sz w:val="28"/>
                <w:szCs w:val="28"/>
                <w:highlight w:val="none"/>
              </w:rPr>
              <w:t>）</w:t>
            </w:r>
          </w:p>
        </w:tc>
        <w:tc>
          <w:tcPr>
            <w:tcW w:w="3101" w:type="dxa"/>
            <w:tcBorders>
              <w:top w:val="single" w:color="auto" w:sz="4" w:space="0"/>
              <w:left w:val="single" w:color="auto" w:sz="4" w:space="0"/>
              <w:bottom w:val="single" w:color="auto" w:sz="4" w:space="0"/>
              <w:right w:val="single" w:color="auto" w:sz="4" w:space="0"/>
            </w:tcBorders>
          </w:tcPr>
          <w:p w14:paraId="732A8C21">
            <w:pPr>
              <w:rPr>
                <w:b/>
                <w:color w:val="auto"/>
                <w:sz w:val="28"/>
                <w:szCs w:val="28"/>
                <w:highlight w:val="none"/>
              </w:rPr>
            </w:pPr>
            <w:r>
              <w:rPr>
                <w:rFonts w:hint="eastAsia"/>
                <w:b/>
                <w:color w:val="auto"/>
                <w:sz w:val="28"/>
                <w:szCs w:val="28"/>
                <w:highlight w:val="none"/>
              </w:rPr>
              <w:t>算数复核后工程费投标</w:t>
            </w:r>
            <w:r>
              <w:rPr>
                <w:rFonts w:hint="eastAsia"/>
                <w:b/>
                <w:color w:val="auto"/>
                <w:sz w:val="28"/>
                <w:szCs w:val="28"/>
                <w:highlight w:val="none"/>
                <w:lang w:val="en-US" w:eastAsia="zh-CN"/>
              </w:rPr>
              <w:t>总</w:t>
            </w:r>
            <w:r>
              <w:rPr>
                <w:rFonts w:hint="eastAsia"/>
                <w:b/>
                <w:color w:val="auto"/>
                <w:sz w:val="28"/>
                <w:szCs w:val="28"/>
                <w:highlight w:val="none"/>
              </w:rPr>
              <w:t>报价（</w:t>
            </w:r>
            <w:r>
              <w:rPr>
                <w:b/>
                <w:color w:val="auto"/>
                <w:sz w:val="28"/>
                <w:szCs w:val="28"/>
                <w:highlight w:val="none"/>
              </w:rPr>
              <w:t>B</w:t>
            </w:r>
            <w:r>
              <w:rPr>
                <w:rFonts w:hint="eastAsia"/>
                <w:b/>
                <w:color w:val="auto"/>
                <w:sz w:val="28"/>
                <w:szCs w:val="28"/>
                <w:highlight w:val="none"/>
              </w:rPr>
              <w:t>）</w:t>
            </w:r>
          </w:p>
        </w:tc>
        <w:tc>
          <w:tcPr>
            <w:tcW w:w="3423" w:type="dxa"/>
            <w:tcBorders>
              <w:top w:val="single" w:color="auto" w:sz="4" w:space="0"/>
              <w:left w:val="single" w:color="auto" w:sz="4" w:space="0"/>
              <w:bottom w:val="single" w:color="auto" w:sz="4" w:space="0"/>
              <w:right w:val="single" w:color="auto" w:sz="4" w:space="0"/>
            </w:tcBorders>
          </w:tcPr>
          <w:p w14:paraId="5E97FC66">
            <w:pPr>
              <w:rPr>
                <w:b/>
                <w:color w:val="auto"/>
                <w:sz w:val="28"/>
                <w:szCs w:val="28"/>
                <w:highlight w:val="none"/>
              </w:rPr>
            </w:pPr>
            <w:r>
              <w:rPr>
                <w:rFonts w:hint="eastAsia"/>
                <w:b/>
                <w:color w:val="auto"/>
                <w:sz w:val="28"/>
                <w:szCs w:val="28"/>
                <w:highlight w:val="none"/>
              </w:rPr>
              <w:t>误差率（</w:t>
            </w:r>
            <w:r>
              <w:rPr>
                <w:b/>
                <w:color w:val="auto"/>
                <w:sz w:val="28"/>
                <w:szCs w:val="28"/>
                <w:highlight w:val="none"/>
              </w:rPr>
              <w:t>r=|A-B|/A*100%</w:t>
            </w:r>
            <w:r>
              <w:rPr>
                <w:rFonts w:hint="eastAsia"/>
                <w:b/>
                <w:color w:val="auto"/>
                <w:sz w:val="28"/>
                <w:szCs w:val="28"/>
                <w:highlight w:val="none"/>
              </w:rPr>
              <w:t>）</w:t>
            </w:r>
          </w:p>
        </w:tc>
      </w:tr>
      <w:tr w14:paraId="5814A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6CDCAEB3">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29115F6C">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0D83D5A5">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528CA89A">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1F906DC5">
            <w:pPr>
              <w:rPr>
                <w:color w:val="auto"/>
                <w:sz w:val="36"/>
                <w:szCs w:val="36"/>
                <w:highlight w:val="none"/>
              </w:rPr>
            </w:pPr>
          </w:p>
        </w:tc>
      </w:tr>
      <w:tr w14:paraId="636FC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58A8ECFC">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19014C31">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17115E4D">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3E93F6B8">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3BDA84C7">
            <w:pPr>
              <w:rPr>
                <w:color w:val="auto"/>
                <w:sz w:val="36"/>
                <w:szCs w:val="36"/>
                <w:highlight w:val="none"/>
              </w:rPr>
            </w:pPr>
          </w:p>
        </w:tc>
      </w:tr>
      <w:tr w14:paraId="331D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73083CFA">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13BF4FB9">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77099D7F">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70E04EE5">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3CB3308D">
            <w:pPr>
              <w:rPr>
                <w:color w:val="auto"/>
                <w:sz w:val="36"/>
                <w:szCs w:val="36"/>
                <w:highlight w:val="none"/>
              </w:rPr>
            </w:pPr>
          </w:p>
        </w:tc>
      </w:tr>
      <w:tr w14:paraId="1F936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62070C7B">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108AC875">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7F354783">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29697863">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128EFE1F">
            <w:pPr>
              <w:rPr>
                <w:color w:val="auto"/>
                <w:sz w:val="36"/>
                <w:szCs w:val="36"/>
                <w:highlight w:val="none"/>
              </w:rPr>
            </w:pPr>
          </w:p>
        </w:tc>
      </w:tr>
      <w:tr w14:paraId="172CA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20D936A4">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46348605">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16C86B50">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4452E80C">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7A3693A1">
            <w:pPr>
              <w:rPr>
                <w:color w:val="auto"/>
                <w:sz w:val="36"/>
                <w:szCs w:val="36"/>
                <w:highlight w:val="none"/>
              </w:rPr>
            </w:pPr>
          </w:p>
        </w:tc>
      </w:tr>
      <w:tr w14:paraId="436B9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39AAA82D">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01045191">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13C67D5B">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733ED719">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3C7B862E">
            <w:pPr>
              <w:rPr>
                <w:color w:val="auto"/>
                <w:sz w:val="36"/>
                <w:szCs w:val="36"/>
                <w:highlight w:val="none"/>
              </w:rPr>
            </w:pPr>
          </w:p>
        </w:tc>
      </w:tr>
      <w:tr w14:paraId="3A696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14448AA3">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5AED8A76">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07ECB93E">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317BF981">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0ECFEB4B">
            <w:pPr>
              <w:rPr>
                <w:color w:val="auto"/>
                <w:sz w:val="36"/>
                <w:szCs w:val="36"/>
                <w:highlight w:val="none"/>
              </w:rPr>
            </w:pPr>
          </w:p>
        </w:tc>
      </w:tr>
      <w:tr w14:paraId="604C2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2234843A">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23515F4C">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64429673">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714D1495">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570297F5">
            <w:pPr>
              <w:rPr>
                <w:color w:val="auto"/>
                <w:sz w:val="36"/>
                <w:szCs w:val="36"/>
                <w:highlight w:val="none"/>
              </w:rPr>
            </w:pPr>
          </w:p>
        </w:tc>
      </w:tr>
    </w:tbl>
    <w:p w14:paraId="1F68DFF3">
      <w:pPr>
        <w:rPr>
          <w:rFonts w:hint="eastAsia" w:ascii="宋体" w:hAnsi="宋体" w:eastAsia="宋体" w:cs="宋体"/>
          <w:color w:val="auto"/>
          <w:highlight w:val="none"/>
        </w:rPr>
      </w:pPr>
      <w:r>
        <w:rPr>
          <w:rFonts w:hint="eastAsia"/>
          <w:color w:val="auto"/>
          <w:szCs w:val="21"/>
          <w:highlight w:val="none"/>
        </w:rPr>
        <w:t>评委签名：</w:t>
      </w:r>
    </w:p>
    <w:p w14:paraId="1442AC35">
      <w:pPr>
        <w:rPr>
          <w:rFonts w:hint="eastAsia" w:ascii="宋体" w:hAnsi="宋体" w:eastAsia="宋体" w:cs="宋体"/>
          <w:color w:val="auto"/>
          <w:szCs w:val="21"/>
          <w:highlight w:val="none"/>
        </w:rPr>
      </w:pPr>
    </w:p>
    <w:p w14:paraId="38F798FE">
      <w:pPr>
        <w:pStyle w:val="3"/>
        <w:jc w:val="center"/>
        <w:rPr>
          <w:rFonts w:hint="eastAsia" w:ascii="宋体" w:hAnsi="宋体" w:eastAsia="宋体" w:cs="宋体"/>
          <w:color w:val="auto"/>
          <w:highlight w:val="none"/>
        </w:rPr>
        <w:sectPr>
          <w:headerReference r:id="rId5" w:type="default"/>
          <w:footerReference r:id="rId6" w:type="default"/>
          <w:pgSz w:w="16839" w:h="11907" w:orient="landscape"/>
          <w:pgMar w:top="1800" w:right="1440" w:bottom="1800" w:left="1440" w:header="851" w:footer="595" w:gutter="0"/>
          <w:cols w:space="720" w:num="1"/>
          <w:docGrid w:type="lines" w:linePitch="312" w:charSpace="0"/>
        </w:sectPr>
      </w:pPr>
      <w:bookmarkStart w:id="24" w:name="_Toc188805907"/>
    </w:p>
    <w:p w14:paraId="1E359B8C">
      <w:pPr>
        <w:pStyle w:val="3"/>
        <w:jc w:val="center"/>
        <w:rPr>
          <w:rFonts w:hint="eastAsia" w:ascii="宋体" w:hAnsi="宋体" w:eastAsia="宋体" w:cs="宋体"/>
          <w:color w:val="auto"/>
          <w:highlight w:val="none"/>
        </w:rPr>
      </w:pPr>
      <w:r>
        <w:rPr>
          <w:rFonts w:hint="eastAsia" w:ascii="宋体" w:hAnsi="宋体" w:eastAsia="宋体" w:cs="宋体"/>
          <w:color w:val="auto"/>
          <w:highlight w:val="none"/>
        </w:rPr>
        <w:t>第三章  合同条款</w:t>
      </w:r>
      <w:bookmarkEnd w:id="24"/>
    </w:p>
    <w:p w14:paraId="1AD39E87">
      <w:pPr>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注：按</w:t>
      </w:r>
      <w:r>
        <w:rPr>
          <w:rFonts w:hint="eastAsia" w:ascii="宋体" w:hAnsi="宋体" w:eastAsia="宋体" w:cs="宋体"/>
          <w:b/>
          <w:bCs/>
          <w:color w:val="auto"/>
          <w:sz w:val="24"/>
          <w:szCs w:val="24"/>
          <w:highlight w:val="none"/>
        </w:rPr>
        <w:t>《广州市建设工程施工合同》（SF－2019－0204）</w:t>
      </w:r>
      <w:r>
        <w:rPr>
          <w:rFonts w:hint="eastAsia" w:ascii="宋体" w:hAnsi="宋体" w:eastAsia="宋体" w:cs="宋体"/>
          <w:color w:val="auto"/>
          <w:sz w:val="24"/>
          <w:szCs w:val="24"/>
          <w:highlight w:val="none"/>
        </w:rPr>
        <w:t>执行，另册。</w:t>
      </w:r>
    </w:p>
    <w:p w14:paraId="733E4255">
      <w:pPr>
        <w:rPr>
          <w:rFonts w:hint="eastAsia" w:ascii="宋体" w:hAnsi="宋体" w:eastAsia="宋体" w:cs="宋体"/>
          <w:color w:val="auto"/>
          <w:sz w:val="24"/>
          <w:szCs w:val="24"/>
          <w:highlight w:val="none"/>
        </w:rPr>
      </w:pPr>
    </w:p>
    <w:p w14:paraId="65FE11C7">
      <w:pPr>
        <w:pStyle w:val="20"/>
        <w:spacing w:line="360" w:lineRule="auto"/>
        <w:rPr>
          <w:rFonts w:hint="eastAsia" w:ascii="宋体" w:hAnsi="宋体" w:eastAsia="宋体" w:cs="宋体"/>
          <w:color w:val="auto"/>
          <w:sz w:val="24"/>
          <w:szCs w:val="24"/>
          <w:highlight w:val="none"/>
        </w:rPr>
      </w:pPr>
    </w:p>
    <w:p w14:paraId="033F5679">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4BED1682">
      <w:pPr>
        <w:pStyle w:val="3"/>
        <w:jc w:val="center"/>
        <w:rPr>
          <w:rFonts w:hint="eastAsia" w:ascii="宋体" w:hAnsi="宋体" w:eastAsia="宋体" w:cs="宋体"/>
          <w:color w:val="auto"/>
          <w:highlight w:val="none"/>
        </w:rPr>
      </w:pPr>
      <w:bookmarkStart w:id="25" w:name="_Toc188805908"/>
      <w:r>
        <w:rPr>
          <w:rFonts w:hint="eastAsia" w:ascii="宋体" w:hAnsi="宋体" w:eastAsia="宋体" w:cs="宋体"/>
          <w:color w:val="auto"/>
          <w:highlight w:val="none"/>
        </w:rPr>
        <w:t>第四章  投标文件格式</w:t>
      </w:r>
      <w:bookmarkEnd w:id="25"/>
    </w:p>
    <w:p w14:paraId="2356D75A">
      <w:pPr>
        <w:autoSpaceDE w:val="0"/>
        <w:autoSpaceDN w:val="0"/>
        <w:adjustRightInd w:val="0"/>
        <w:rPr>
          <w:rFonts w:hint="eastAsia" w:ascii="宋体" w:hAnsi="宋体" w:eastAsia="宋体" w:cs="宋体"/>
          <w:color w:val="auto"/>
          <w:sz w:val="24"/>
          <w:szCs w:val="24"/>
          <w:highlight w:val="none"/>
        </w:rPr>
      </w:pPr>
    </w:p>
    <w:p w14:paraId="0DD7AF63">
      <w:pPr>
        <w:autoSpaceDE w:val="0"/>
        <w:autoSpaceDN w:val="0"/>
        <w:adjustRightInd w:val="0"/>
        <w:rPr>
          <w:rFonts w:hint="eastAsia" w:ascii="宋体" w:hAnsi="宋体" w:eastAsia="宋体" w:cs="宋体"/>
          <w:color w:val="auto"/>
          <w:sz w:val="24"/>
          <w:szCs w:val="24"/>
          <w:highlight w:val="none"/>
        </w:rPr>
      </w:pPr>
    </w:p>
    <w:p w14:paraId="1D663BCA">
      <w:pPr>
        <w:autoSpaceDE w:val="0"/>
        <w:autoSpaceDN w:val="0"/>
        <w:adjustRightInd w:val="0"/>
        <w:rPr>
          <w:rFonts w:hint="eastAsia" w:ascii="宋体" w:hAnsi="宋体" w:eastAsia="宋体" w:cs="宋体"/>
          <w:color w:val="auto"/>
          <w:sz w:val="24"/>
          <w:szCs w:val="24"/>
          <w:highlight w:val="none"/>
        </w:rPr>
      </w:pPr>
    </w:p>
    <w:p w14:paraId="6217BBE5">
      <w:pPr>
        <w:autoSpaceDE w:val="0"/>
        <w:autoSpaceDN w:val="0"/>
        <w:adjustRightInd w:val="0"/>
        <w:rPr>
          <w:rFonts w:hint="eastAsia" w:ascii="宋体" w:hAnsi="宋体" w:eastAsia="宋体" w:cs="宋体"/>
          <w:color w:val="auto"/>
          <w:sz w:val="24"/>
          <w:szCs w:val="24"/>
          <w:highlight w:val="none"/>
        </w:rPr>
      </w:pPr>
    </w:p>
    <w:p w14:paraId="119BC85D">
      <w:pPr>
        <w:autoSpaceDE w:val="0"/>
        <w:autoSpaceDN w:val="0"/>
        <w:adjustRightInd w:val="0"/>
        <w:rPr>
          <w:rFonts w:hint="eastAsia" w:ascii="宋体" w:hAnsi="宋体" w:eastAsia="宋体" w:cs="宋体"/>
          <w:color w:val="auto"/>
          <w:sz w:val="24"/>
          <w:szCs w:val="24"/>
          <w:highlight w:val="none"/>
        </w:rPr>
      </w:pPr>
    </w:p>
    <w:p w14:paraId="677C9643">
      <w:pPr>
        <w:autoSpaceDE w:val="0"/>
        <w:autoSpaceDN w:val="0"/>
        <w:adjustRightInd w:val="0"/>
        <w:rPr>
          <w:rFonts w:hint="eastAsia" w:ascii="宋体" w:hAnsi="宋体" w:eastAsia="宋体" w:cs="宋体"/>
          <w:color w:val="auto"/>
          <w:sz w:val="24"/>
          <w:szCs w:val="24"/>
          <w:highlight w:val="none"/>
        </w:rPr>
      </w:pPr>
    </w:p>
    <w:p w14:paraId="61F95AB6">
      <w:pPr>
        <w:autoSpaceDE w:val="0"/>
        <w:autoSpaceDN w:val="0"/>
        <w:adjustRightInd w:val="0"/>
        <w:rPr>
          <w:rFonts w:hint="eastAsia" w:ascii="宋体" w:hAnsi="宋体" w:eastAsia="宋体" w:cs="宋体"/>
          <w:color w:val="auto"/>
          <w:sz w:val="24"/>
          <w:szCs w:val="24"/>
          <w:highlight w:val="none"/>
        </w:rPr>
      </w:pPr>
    </w:p>
    <w:p w14:paraId="4A70B66B">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第一部分 技术标投标文件（含资格审查文件）</w:t>
      </w:r>
    </w:p>
    <w:p w14:paraId="3F6FF289">
      <w:pPr>
        <w:spacing w:line="360" w:lineRule="auto"/>
        <w:rPr>
          <w:rFonts w:hint="eastAsia" w:ascii="宋体" w:hAnsi="宋体" w:eastAsia="宋体" w:cs="宋体"/>
          <w:color w:val="auto"/>
          <w:sz w:val="24"/>
          <w:highlight w:val="none"/>
        </w:rPr>
      </w:pPr>
      <w:r>
        <w:rPr>
          <w:rFonts w:hint="eastAsia" w:ascii="宋体" w:hAnsi="宋体" w:eastAsia="宋体" w:cs="宋体"/>
          <w:color w:val="auto"/>
          <w:highlight w:val="none"/>
        </w:rPr>
        <w:br w:type="page"/>
      </w:r>
      <w:r>
        <w:rPr>
          <w:rFonts w:hint="eastAsia" w:ascii="宋体" w:hAnsi="宋体" w:eastAsia="宋体" w:cs="宋体"/>
          <w:color w:val="auto"/>
          <w:sz w:val="24"/>
          <w:highlight w:val="none"/>
        </w:rPr>
        <w:t xml:space="preserve"> 技术标投标文件格式一：技术标投标文件封面</w:t>
      </w:r>
    </w:p>
    <w:p w14:paraId="304C97B1">
      <w:pPr>
        <w:pStyle w:val="134"/>
        <w:ind w:firstLine="496"/>
        <w:rPr>
          <w:rFonts w:hint="eastAsia" w:ascii="宋体" w:hAnsi="宋体" w:eastAsia="宋体" w:cs="宋体"/>
          <w:color w:val="auto"/>
          <w:highlight w:val="none"/>
        </w:rPr>
      </w:pPr>
    </w:p>
    <w:p w14:paraId="1623A65D">
      <w:pPr>
        <w:pStyle w:val="134"/>
        <w:ind w:firstLine="496"/>
        <w:rPr>
          <w:rFonts w:hint="eastAsia" w:ascii="宋体" w:hAnsi="宋体" w:eastAsia="宋体" w:cs="宋体"/>
          <w:color w:val="auto"/>
          <w:highlight w:val="none"/>
        </w:rPr>
      </w:pPr>
    </w:p>
    <w:p w14:paraId="2F0232F3">
      <w:pPr>
        <w:pStyle w:val="134"/>
        <w:ind w:firstLine="496"/>
        <w:rPr>
          <w:rFonts w:hint="eastAsia" w:ascii="宋体" w:hAnsi="宋体" w:eastAsia="宋体" w:cs="宋体"/>
          <w:color w:val="auto"/>
          <w:highlight w:val="none"/>
        </w:rPr>
      </w:pPr>
    </w:p>
    <w:p w14:paraId="19F47837">
      <w:pPr>
        <w:pStyle w:val="134"/>
        <w:ind w:firstLine="496"/>
        <w:rPr>
          <w:rFonts w:hint="eastAsia" w:ascii="宋体" w:hAnsi="宋体" w:eastAsia="宋体" w:cs="宋体"/>
          <w:color w:val="auto"/>
          <w:highlight w:val="none"/>
        </w:rPr>
      </w:pPr>
    </w:p>
    <w:p w14:paraId="7C55BD27">
      <w:pPr>
        <w:pStyle w:val="137"/>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[工程名称] </w:t>
      </w:r>
    </w:p>
    <w:p w14:paraId="5B68286C">
      <w:pPr>
        <w:pStyle w:val="134"/>
        <w:ind w:firstLine="496"/>
        <w:rPr>
          <w:rFonts w:hint="eastAsia" w:ascii="宋体" w:hAnsi="宋体" w:eastAsia="宋体" w:cs="宋体"/>
          <w:color w:val="auto"/>
          <w:highlight w:val="none"/>
        </w:rPr>
      </w:pPr>
    </w:p>
    <w:p w14:paraId="443DAEB0">
      <w:pPr>
        <w:pStyle w:val="134"/>
        <w:ind w:firstLine="496"/>
        <w:rPr>
          <w:rFonts w:hint="eastAsia" w:ascii="宋体" w:hAnsi="宋体" w:eastAsia="宋体" w:cs="宋体"/>
          <w:color w:val="auto"/>
          <w:highlight w:val="none"/>
        </w:rPr>
      </w:pPr>
    </w:p>
    <w:p w14:paraId="477F3F55">
      <w:pPr>
        <w:pStyle w:val="134"/>
        <w:ind w:firstLine="496"/>
        <w:rPr>
          <w:rFonts w:hint="eastAsia" w:ascii="宋体" w:hAnsi="宋体" w:eastAsia="宋体" w:cs="宋体"/>
          <w:color w:val="auto"/>
          <w:highlight w:val="none"/>
        </w:rPr>
      </w:pPr>
    </w:p>
    <w:p w14:paraId="629D94F3">
      <w:pPr>
        <w:pStyle w:val="134"/>
        <w:ind w:firstLine="496"/>
        <w:rPr>
          <w:rFonts w:hint="eastAsia" w:ascii="宋体" w:hAnsi="宋体" w:eastAsia="宋体" w:cs="宋体"/>
          <w:color w:val="auto"/>
          <w:highlight w:val="none"/>
        </w:rPr>
      </w:pPr>
    </w:p>
    <w:p w14:paraId="364FB3BF">
      <w:pPr>
        <w:pStyle w:val="135"/>
        <w:rPr>
          <w:rFonts w:hint="eastAsia" w:ascii="宋体" w:hAnsi="宋体" w:eastAsia="宋体" w:cs="宋体"/>
          <w:color w:val="auto"/>
          <w:highlight w:val="none"/>
        </w:rPr>
      </w:pPr>
      <w:r>
        <w:rPr>
          <w:rFonts w:hint="eastAsia" w:ascii="宋体" w:hAnsi="宋体" w:eastAsia="宋体" w:cs="宋体"/>
          <w:color w:val="auto"/>
          <w:highlight w:val="none"/>
        </w:rPr>
        <w:t>投标文件</w:t>
      </w:r>
    </w:p>
    <w:p w14:paraId="376734D7">
      <w:pPr>
        <w:pStyle w:val="137"/>
        <w:rPr>
          <w:rFonts w:hint="eastAsia" w:ascii="宋体" w:hAnsi="宋体" w:eastAsia="宋体" w:cs="宋体"/>
          <w:color w:val="auto"/>
          <w:highlight w:val="none"/>
        </w:rPr>
      </w:pPr>
      <w:r>
        <w:rPr>
          <w:rFonts w:hint="eastAsia" w:ascii="宋体" w:hAnsi="宋体" w:eastAsia="宋体" w:cs="宋体"/>
          <w:color w:val="auto"/>
          <w:highlight w:val="none"/>
        </w:rPr>
        <w:t>第一部分（技术标）</w:t>
      </w:r>
    </w:p>
    <w:p w14:paraId="23CDF802">
      <w:pPr>
        <w:pStyle w:val="134"/>
        <w:ind w:firstLine="496"/>
        <w:rPr>
          <w:rFonts w:hint="eastAsia" w:ascii="宋体" w:hAnsi="宋体" w:eastAsia="宋体" w:cs="宋体"/>
          <w:color w:val="auto"/>
          <w:highlight w:val="none"/>
        </w:rPr>
      </w:pPr>
    </w:p>
    <w:p w14:paraId="2F9AAA54">
      <w:pPr>
        <w:pStyle w:val="134"/>
        <w:ind w:firstLine="496"/>
        <w:rPr>
          <w:rFonts w:hint="eastAsia" w:ascii="宋体" w:hAnsi="宋体" w:eastAsia="宋体" w:cs="宋体"/>
          <w:color w:val="auto"/>
          <w:highlight w:val="none"/>
        </w:rPr>
      </w:pPr>
    </w:p>
    <w:p w14:paraId="0CFCC31E">
      <w:pPr>
        <w:pStyle w:val="134"/>
        <w:ind w:firstLine="496"/>
        <w:rPr>
          <w:rFonts w:hint="eastAsia" w:ascii="宋体" w:hAnsi="宋体" w:eastAsia="宋体" w:cs="宋体"/>
          <w:color w:val="auto"/>
          <w:highlight w:val="none"/>
        </w:rPr>
      </w:pPr>
    </w:p>
    <w:p w14:paraId="6D293659">
      <w:pPr>
        <w:pStyle w:val="134"/>
        <w:ind w:firstLine="496"/>
        <w:rPr>
          <w:rFonts w:hint="eastAsia" w:ascii="宋体" w:hAnsi="宋体" w:eastAsia="宋体" w:cs="宋体"/>
          <w:color w:val="auto"/>
          <w:highlight w:val="none"/>
        </w:rPr>
      </w:pPr>
    </w:p>
    <w:p w14:paraId="59229AD7">
      <w:pPr>
        <w:pStyle w:val="134"/>
        <w:ind w:firstLine="496"/>
        <w:rPr>
          <w:rFonts w:hint="eastAsia" w:ascii="宋体" w:hAnsi="宋体" w:eastAsia="宋体" w:cs="宋体"/>
          <w:color w:val="auto"/>
          <w:highlight w:val="none"/>
        </w:rPr>
      </w:pPr>
    </w:p>
    <w:p w14:paraId="03002430">
      <w:pPr>
        <w:pStyle w:val="134"/>
        <w:ind w:firstLine="496"/>
        <w:rPr>
          <w:rFonts w:hint="eastAsia" w:ascii="宋体" w:hAnsi="宋体" w:eastAsia="宋体" w:cs="宋体"/>
          <w:color w:val="auto"/>
          <w:highlight w:val="none"/>
        </w:rPr>
      </w:pPr>
    </w:p>
    <w:p w14:paraId="11D10388">
      <w:pPr>
        <w:pStyle w:val="134"/>
        <w:ind w:firstLine="496"/>
        <w:rPr>
          <w:rFonts w:hint="eastAsia" w:ascii="宋体" w:hAnsi="宋体" w:eastAsia="宋体" w:cs="宋体"/>
          <w:color w:val="auto"/>
          <w:highlight w:val="none"/>
        </w:rPr>
      </w:pPr>
    </w:p>
    <w:p w14:paraId="5BF0EA9B">
      <w:pPr>
        <w:pStyle w:val="136"/>
        <w:ind w:firstLine="2038" w:firstLineChars="662"/>
        <w:rPr>
          <w:rFonts w:hint="eastAsia" w:ascii="宋体" w:hAnsi="宋体" w:eastAsia="宋体" w:cs="宋体"/>
          <w:color w:val="auto"/>
          <w:highlight w:val="none"/>
          <w:u w:val="singl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 xml:space="preserve">                 </w:t>
      </w:r>
    </w:p>
    <w:p w14:paraId="61C5B8B7">
      <w:pPr>
        <w:pStyle w:val="136"/>
        <w:ind w:firstLine="2038" w:firstLineChars="662"/>
        <w:rPr>
          <w:rFonts w:hint="eastAsia"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7FF9B7CD">
      <w:pPr>
        <w:pStyle w:val="136"/>
        <w:ind w:firstLine="496"/>
        <w:rPr>
          <w:rFonts w:hint="eastAsia" w:ascii="宋体" w:hAnsi="宋体" w:eastAsia="宋体" w:cs="宋体"/>
          <w:color w:val="auto"/>
          <w:sz w:val="24"/>
          <w:szCs w:val="24"/>
          <w:highlight w:val="none"/>
        </w:rPr>
      </w:pPr>
    </w:p>
    <w:p w14:paraId="686B9C66">
      <w:pPr>
        <w:autoSpaceDE w:val="0"/>
        <w:autoSpaceDN w:val="0"/>
        <w:adjustRightInd w:val="0"/>
        <w:rPr>
          <w:rFonts w:hint="eastAsia" w:ascii="宋体" w:hAnsi="宋体" w:eastAsia="宋体" w:cs="宋体"/>
          <w:bCs/>
          <w:color w:val="auto"/>
          <w:sz w:val="24"/>
          <w:szCs w:val="24"/>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w:t>
      </w:r>
      <w:r>
        <w:rPr>
          <w:rFonts w:hint="eastAsia" w:ascii="宋体" w:hAnsi="宋体" w:eastAsia="宋体" w:cs="宋体"/>
          <w:bCs/>
          <w:color w:val="auto"/>
          <w:sz w:val="24"/>
          <w:szCs w:val="24"/>
          <w:highlight w:val="none"/>
        </w:rPr>
        <w:t>技术标</w:t>
      </w:r>
      <w:r>
        <w:rPr>
          <w:rFonts w:hint="eastAsia" w:ascii="宋体" w:hAnsi="宋体" w:eastAsia="宋体" w:cs="宋体"/>
          <w:color w:val="auto"/>
          <w:sz w:val="24"/>
          <w:highlight w:val="none"/>
        </w:rPr>
        <w:t>投标文件</w:t>
      </w:r>
      <w:r>
        <w:rPr>
          <w:rFonts w:hint="eastAsia" w:ascii="宋体" w:hAnsi="宋体" w:eastAsia="宋体" w:cs="宋体"/>
          <w:bCs/>
          <w:color w:val="auto"/>
          <w:sz w:val="24"/>
          <w:szCs w:val="24"/>
          <w:highlight w:val="none"/>
        </w:rPr>
        <w:t>格式二：</w:t>
      </w:r>
    </w:p>
    <w:p w14:paraId="28256F11">
      <w:pPr>
        <w:autoSpaceDE w:val="0"/>
        <w:autoSpaceDN w:val="0"/>
        <w:adjustRightInd w:val="0"/>
        <w:rPr>
          <w:rFonts w:hint="eastAsia" w:ascii="宋体" w:hAnsi="宋体" w:eastAsia="宋体" w:cs="宋体"/>
          <w:b/>
          <w:bCs/>
          <w:color w:val="auto"/>
          <w:sz w:val="24"/>
          <w:szCs w:val="24"/>
          <w:highlight w:val="none"/>
          <w:lang w:val="zh-CN"/>
        </w:rPr>
      </w:pPr>
      <w:r>
        <w:rPr>
          <w:rFonts w:hint="eastAsia" w:ascii="宋体" w:hAnsi="宋体" w:eastAsia="宋体" w:cs="宋体"/>
          <w:bCs/>
          <w:color w:val="auto"/>
          <w:sz w:val="24"/>
          <w:szCs w:val="24"/>
          <w:highlight w:val="none"/>
        </w:rPr>
        <w:t>（适用于技术标与经济标同时开启）</w:t>
      </w:r>
    </w:p>
    <w:p w14:paraId="265D36C4">
      <w:pPr>
        <w:autoSpaceDE w:val="0"/>
        <w:autoSpaceDN w:val="0"/>
        <w:adjustRightInd w:val="0"/>
        <w:ind w:left="-540" w:leftChars="-257" w:firstLine="1135" w:firstLineChars="257"/>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44"/>
          <w:szCs w:val="44"/>
          <w:highlight w:val="none"/>
          <w:lang w:val="zh-CN"/>
        </w:rPr>
        <w:t>广州建设工程施工招标投标书</w:t>
      </w:r>
    </w:p>
    <w:tbl>
      <w:tblPr>
        <w:tblStyle w:val="34"/>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14:paraId="2EC82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163E6F06">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工</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程</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名</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称</w:t>
            </w:r>
          </w:p>
        </w:tc>
        <w:tc>
          <w:tcPr>
            <w:tcW w:w="3574" w:type="dxa"/>
            <w:tcBorders>
              <w:top w:val="single" w:color="auto" w:sz="4" w:space="0"/>
              <w:left w:val="single" w:color="auto" w:sz="4" w:space="0"/>
              <w:bottom w:val="single" w:color="auto" w:sz="4" w:space="0"/>
              <w:right w:val="single" w:color="auto" w:sz="4" w:space="0"/>
            </w:tcBorders>
          </w:tcPr>
          <w:p w14:paraId="31714179">
            <w:pPr>
              <w:autoSpaceDE w:val="0"/>
              <w:autoSpaceDN w:val="0"/>
              <w:adjustRightInd w:val="0"/>
              <w:rPr>
                <w:rFonts w:ascii="宋体" w:cs="宋体"/>
                <w:b/>
                <w:bCs/>
                <w:color w:val="auto"/>
                <w:sz w:val="24"/>
                <w:szCs w:val="24"/>
                <w:highlight w:val="none"/>
                <w:lang w:val="zh-CN"/>
              </w:rPr>
            </w:pPr>
          </w:p>
        </w:tc>
      </w:tr>
      <w:tr w14:paraId="45863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0FBCE61F">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en-US" w:eastAsia="zh-CN"/>
              </w:rPr>
              <w:t>工程费</w:t>
            </w:r>
            <w:r>
              <w:rPr>
                <w:rFonts w:hint="eastAsia" w:ascii="宋体" w:hAnsi="宋体" w:cs="宋体"/>
                <w:b/>
                <w:color w:val="auto"/>
                <w:sz w:val="24"/>
                <w:szCs w:val="24"/>
                <w:highlight w:val="none"/>
                <w:lang w:val="zh-CN"/>
              </w:rPr>
              <w:t>投标总报价（元）</w:t>
            </w:r>
          </w:p>
        </w:tc>
        <w:tc>
          <w:tcPr>
            <w:tcW w:w="3574" w:type="dxa"/>
            <w:tcBorders>
              <w:top w:val="single" w:color="auto" w:sz="4" w:space="0"/>
              <w:left w:val="single" w:color="auto" w:sz="4" w:space="0"/>
              <w:bottom w:val="single" w:color="auto" w:sz="4" w:space="0"/>
              <w:right w:val="single" w:color="auto" w:sz="4" w:space="0"/>
            </w:tcBorders>
            <w:vAlign w:val="center"/>
          </w:tcPr>
          <w:p w14:paraId="0B153EC5">
            <w:pPr>
              <w:shd w:val="clear" w:color="auto" w:fill="auto"/>
              <w:tabs>
                <w:tab w:val="left" w:pos="420"/>
              </w:tabs>
              <w:adjustRightInd w:val="0"/>
              <w:snapToGrid w:val="0"/>
              <w:spacing w:after="96" w:afterLines="31"/>
              <w:jc w:val="left"/>
              <w:rPr>
                <w:rFonts w:hint="eastAsia" w:ascii="宋体" w:hAnsi="宋体"/>
                <w:color w:val="auto"/>
                <w:sz w:val="24"/>
                <w:highlight w:val="none"/>
              </w:rPr>
            </w:pPr>
            <w:r>
              <w:rPr>
                <w:rFonts w:hint="eastAsia" w:ascii="宋体" w:hAnsi="宋体"/>
                <w:color w:val="auto"/>
                <w:sz w:val="24"/>
                <w:highlight w:val="none"/>
              </w:rPr>
              <w:t>大写：</w:t>
            </w:r>
            <w:r>
              <w:rPr>
                <w:rFonts w:hint="eastAsia" w:ascii="宋体" w:hAnsi="宋体"/>
                <w:color w:val="auto"/>
                <w:sz w:val="24"/>
                <w:highlight w:val="none"/>
                <w:u w:val="single"/>
              </w:rPr>
              <w:t xml:space="preserve">                       </w:t>
            </w:r>
          </w:p>
          <w:p w14:paraId="5CAE00F2">
            <w:pPr>
              <w:shd w:val="clear" w:color="auto" w:fill="auto"/>
              <w:autoSpaceDE w:val="0"/>
              <w:autoSpaceDN w:val="0"/>
              <w:adjustRightInd w:val="0"/>
              <w:rPr>
                <w:rFonts w:ascii="宋体" w:cs="宋体"/>
                <w:b/>
                <w:bCs/>
                <w:color w:val="auto"/>
                <w:sz w:val="24"/>
                <w:szCs w:val="24"/>
                <w:highlight w:val="none"/>
                <w:lang w:val="zh-CN"/>
              </w:rPr>
            </w:pPr>
            <w:r>
              <w:rPr>
                <w:rFonts w:hint="eastAsia" w:ascii="宋体" w:hAnsi="宋体"/>
                <w:color w:val="auto"/>
                <w:sz w:val="24"/>
                <w:highlight w:val="none"/>
              </w:rPr>
              <w:t>小写：</w:t>
            </w:r>
            <w:r>
              <w:rPr>
                <w:rFonts w:hint="eastAsia" w:ascii="宋体" w:hAnsi="宋体"/>
                <w:color w:val="auto"/>
                <w:sz w:val="24"/>
                <w:highlight w:val="none"/>
                <w:u w:val="single"/>
              </w:rPr>
              <w:t xml:space="preserve">                       </w:t>
            </w:r>
          </w:p>
        </w:tc>
      </w:tr>
      <w:tr w14:paraId="3DC8E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7CAEAB64">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其中：</w:t>
            </w:r>
            <w:r>
              <w:rPr>
                <w:rFonts w:hint="eastAsia" w:ascii="宋体" w:hAnsi="宋体" w:cs="宋体"/>
                <w:b/>
                <w:bCs/>
                <w:color w:val="auto"/>
                <w:sz w:val="24"/>
                <w:szCs w:val="24"/>
                <w:highlight w:val="none"/>
                <w:lang w:val="zh-CN"/>
              </w:rPr>
              <w:t>人工费</w:t>
            </w:r>
            <w:r>
              <w:rPr>
                <w:rFonts w:hint="eastAsia" w:ascii="宋体" w:hAnsi="宋体" w:cs="宋体"/>
                <w:b/>
                <w:color w:val="auto"/>
                <w:sz w:val="24"/>
                <w:szCs w:val="24"/>
                <w:highlight w:val="none"/>
                <w:lang w:val="zh-CN"/>
              </w:rPr>
              <w:t>（元）</w:t>
            </w:r>
          </w:p>
        </w:tc>
        <w:tc>
          <w:tcPr>
            <w:tcW w:w="3574" w:type="dxa"/>
            <w:tcBorders>
              <w:top w:val="single" w:color="auto" w:sz="4" w:space="0"/>
              <w:left w:val="single" w:color="auto" w:sz="4" w:space="0"/>
              <w:bottom w:val="single" w:color="auto" w:sz="4" w:space="0"/>
              <w:right w:val="single" w:color="auto" w:sz="4" w:space="0"/>
            </w:tcBorders>
            <w:vAlign w:val="center"/>
          </w:tcPr>
          <w:p w14:paraId="6C125D30">
            <w:pPr>
              <w:shd w:val="clear" w:color="auto" w:fill="auto"/>
              <w:tabs>
                <w:tab w:val="left" w:pos="420"/>
              </w:tabs>
              <w:adjustRightInd w:val="0"/>
              <w:snapToGrid w:val="0"/>
              <w:spacing w:after="96" w:afterLines="31"/>
              <w:jc w:val="left"/>
              <w:rPr>
                <w:rFonts w:hint="eastAsia" w:ascii="宋体" w:hAnsi="宋体"/>
                <w:color w:val="auto"/>
                <w:sz w:val="24"/>
                <w:highlight w:val="none"/>
              </w:rPr>
            </w:pPr>
            <w:r>
              <w:rPr>
                <w:rFonts w:hint="eastAsia" w:ascii="宋体" w:hAnsi="宋体"/>
                <w:color w:val="auto"/>
                <w:sz w:val="24"/>
                <w:highlight w:val="none"/>
              </w:rPr>
              <w:t>大写：</w:t>
            </w:r>
            <w:r>
              <w:rPr>
                <w:rFonts w:hint="eastAsia" w:ascii="宋体" w:hAnsi="宋体"/>
                <w:color w:val="auto"/>
                <w:sz w:val="24"/>
                <w:highlight w:val="none"/>
                <w:u w:val="single"/>
              </w:rPr>
              <w:t xml:space="preserve">                       </w:t>
            </w:r>
          </w:p>
          <w:p w14:paraId="5A3060DC">
            <w:pPr>
              <w:shd w:val="clear" w:color="auto" w:fill="auto"/>
              <w:autoSpaceDE w:val="0"/>
              <w:autoSpaceDN w:val="0"/>
              <w:adjustRightInd w:val="0"/>
              <w:rPr>
                <w:rFonts w:ascii="宋体" w:cs="宋体"/>
                <w:b/>
                <w:bCs/>
                <w:color w:val="auto"/>
                <w:sz w:val="24"/>
                <w:szCs w:val="24"/>
                <w:highlight w:val="none"/>
                <w:lang w:val="zh-CN"/>
              </w:rPr>
            </w:pPr>
            <w:r>
              <w:rPr>
                <w:rFonts w:hint="eastAsia" w:ascii="宋体" w:hAnsi="宋体"/>
                <w:color w:val="auto"/>
                <w:sz w:val="24"/>
                <w:highlight w:val="none"/>
              </w:rPr>
              <w:t>小写：</w:t>
            </w:r>
            <w:r>
              <w:rPr>
                <w:rFonts w:hint="eastAsia" w:ascii="宋体" w:hAnsi="宋体"/>
                <w:color w:val="auto"/>
                <w:sz w:val="24"/>
                <w:highlight w:val="none"/>
                <w:u w:val="single"/>
              </w:rPr>
              <w:t xml:space="preserve">                       </w:t>
            </w:r>
          </w:p>
        </w:tc>
      </w:tr>
      <w:tr w14:paraId="6F3F4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045C14DF">
            <w:pPr>
              <w:widowControl/>
              <w:jc w:val="center"/>
              <w:rPr>
                <w:rFonts w:ascii="宋体" w:cs="宋体"/>
                <w:b/>
                <w:bCs/>
                <w:color w:val="auto"/>
                <w:sz w:val="24"/>
                <w:szCs w:val="24"/>
                <w:highlight w:val="none"/>
                <w:lang w:val="zh-CN"/>
              </w:rPr>
            </w:pPr>
            <w:r>
              <w:rPr>
                <w:rFonts w:hint="eastAsia" w:ascii="宋体" w:hAnsi="宋体" w:cs="宋体"/>
                <w:b/>
                <w:bCs/>
                <w:color w:val="auto"/>
                <w:sz w:val="24"/>
                <w:szCs w:val="24"/>
                <w:highlight w:val="none"/>
                <w:lang w:val="zh-CN"/>
              </w:rPr>
              <w:t>其中：</w:t>
            </w:r>
            <w:r>
              <w:rPr>
                <w:rFonts w:hint="eastAsia" w:ascii="宋体" w:hAnsi="宋体" w:cs="宋体"/>
                <w:b/>
                <w:color w:val="auto"/>
                <w:sz w:val="24"/>
                <w:szCs w:val="24"/>
                <w:highlight w:val="none"/>
                <w:lang w:val="zh-CN"/>
              </w:rPr>
              <w:t>安全生产措施费（元）</w:t>
            </w:r>
          </w:p>
        </w:tc>
        <w:tc>
          <w:tcPr>
            <w:tcW w:w="3574" w:type="dxa"/>
            <w:tcBorders>
              <w:top w:val="single" w:color="auto" w:sz="4" w:space="0"/>
              <w:left w:val="single" w:color="auto" w:sz="4" w:space="0"/>
              <w:bottom w:val="single" w:color="auto" w:sz="4" w:space="0"/>
              <w:right w:val="single" w:color="auto" w:sz="4" w:space="0"/>
            </w:tcBorders>
            <w:vAlign w:val="center"/>
          </w:tcPr>
          <w:p w14:paraId="0287EF12">
            <w:pPr>
              <w:shd w:val="clear" w:color="auto" w:fill="auto"/>
              <w:tabs>
                <w:tab w:val="left" w:pos="420"/>
              </w:tabs>
              <w:adjustRightInd w:val="0"/>
              <w:snapToGrid w:val="0"/>
              <w:spacing w:after="96" w:afterLines="31"/>
              <w:jc w:val="left"/>
              <w:rPr>
                <w:rFonts w:hint="eastAsia" w:ascii="宋体" w:hAnsi="宋体"/>
                <w:color w:val="auto"/>
                <w:sz w:val="24"/>
                <w:highlight w:val="none"/>
              </w:rPr>
            </w:pPr>
            <w:r>
              <w:rPr>
                <w:rFonts w:hint="eastAsia" w:ascii="宋体" w:hAnsi="宋体"/>
                <w:color w:val="auto"/>
                <w:sz w:val="24"/>
                <w:highlight w:val="none"/>
              </w:rPr>
              <w:t>大写：</w:t>
            </w:r>
            <w:r>
              <w:rPr>
                <w:rFonts w:hint="eastAsia" w:ascii="宋体" w:hAnsi="宋体"/>
                <w:color w:val="auto"/>
                <w:sz w:val="24"/>
                <w:highlight w:val="none"/>
                <w:u w:val="single"/>
              </w:rPr>
              <w:t xml:space="preserve">                       </w:t>
            </w:r>
          </w:p>
          <w:p w14:paraId="0F9EDA97">
            <w:pPr>
              <w:shd w:val="clear" w:color="auto" w:fill="auto"/>
              <w:autoSpaceDE w:val="0"/>
              <w:autoSpaceDN w:val="0"/>
              <w:adjustRightInd w:val="0"/>
              <w:rPr>
                <w:rFonts w:ascii="宋体" w:cs="宋体"/>
                <w:b/>
                <w:bCs/>
                <w:color w:val="auto"/>
                <w:sz w:val="24"/>
                <w:szCs w:val="24"/>
                <w:highlight w:val="none"/>
                <w:lang w:val="zh-CN"/>
              </w:rPr>
            </w:pPr>
            <w:r>
              <w:rPr>
                <w:rFonts w:hint="eastAsia" w:ascii="宋体" w:hAnsi="宋体"/>
                <w:color w:val="auto"/>
                <w:sz w:val="24"/>
                <w:highlight w:val="none"/>
              </w:rPr>
              <w:t>小写：</w:t>
            </w:r>
            <w:r>
              <w:rPr>
                <w:rFonts w:hint="eastAsia" w:ascii="宋体" w:hAnsi="宋体"/>
                <w:color w:val="auto"/>
                <w:sz w:val="24"/>
                <w:highlight w:val="none"/>
                <w:u w:val="single"/>
              </w:rPr>
              <w:t xml:space="preserve">                       </w:t>
            </w:r>
          </w:p>
        </w:tc>
      </w:tr>
      <w:tr w14:paraId="530C2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5951ABB5">
            <w:pPr>
              <w:jc w:val="center"/>
              <w:rPr>
                <w:rFonts w:ascii="宋体" w:cs="宋体"/>
                <w:b/>
                <w:color w:val="auto"/>
                <w:sz w:val="24"/>
                <w:szCs w:val="24"/>
                <w:highlight w:val="none"/>
                <w:lang w:val="zh-CN"/>
              </w:rPr>
            </w:pPr>
            <w:r>
              <w:rPr>
                <w:rFonts w:hint="eastAsia" w:ascii="宋体" w:hAnsi="宋体" w:cs="宋体"/>
                <w:b/>
                <w:color w:val="auto"/>
                <w:sz w:val="24"/>
                <w:szCs w:val="24"/>
                <w:highlight w:val="none"/>
                <w:lang w:val="en-US" w:eastAsia="zh-CN"/>
              </w:rPr>
              <w:t>拆卸工程回收价值投标总报价（元）</w:t>
            </w:r>
          </w:p>
        </w:tc>
        <w:tc>
          <w:tcPr>
            <w:tcW w:w="3574" w:type="dxa"/>
            <w:tcBorders>
              <w:top w:val="single" w:color="auto" w:sz="4" w:space="0"/>
              <w:left w:val="single" w:color="auto" w:sz="4" w:space="0"/>
              <w:bottom w:val="single" w:color="auto" w:sz="4" w:space="0"/>
              <w:right w:val="single" w:color="auto" w:sz="4" w:space="0"/>
            </w:tcBorders>
          </w:tcPr>
          <w:p w14:paraId="5B70C10F">
            <w:pPr>
              <w:shd w:val="clear" w:color="auto" w:fill="auto"/>
              <w:tabs>
                <w:tab w:val="left" w:pos="420"/>
              </w:tabs>
              <w:adjustRightInd w:val="0"/>
              <w:snapToGrid w:val="0"/>
              <w:spacing w:after="96" w:afterLines="31"/>
              <w:jc w:val="left"/>
              <w:rPr>
                <w:rFonts w:hint="eastAsia" w:ascii="宋体" w:hAnsi="宋体"/>
                <w:color w:val="auto"/>
                <w:sz w:val="24"/>
                <w:highlight w:val="none"/>
              </w:rPr>
            </w:pPr>
            <w:r>
              <w:rPr>
                <w:rFonts w:hint="eastAsia" w:ascii="宋体" w:hAnsi="宋体"/>
                <w:color w:val="auto"/>
                <w:sz w:val="24"/>
                <w:highlight w:val="none"/>
              </w:rPr>
              <w:t>大写：</w:t>
            </w:r>
            <w:r>
              <w:rPr>
                <w:rFonts w:hint="eastAsia" w:ascii="宋体" w:hAnsi="宋体"/>
                <w:color w:val="auto"/>
                <w:sz w:val="24"/>
                <w:highlight w:val="none"/>
                <w:u w:val="single"/>
              </w:rPr>
              <w:t xml:space="preserve">                       </w:t>
            </w:r>
          </w:p>
          <w:p w14:paraId="57855118">
            <w:pPr>
              <w:autoSpaceDE w:val="0"/>
              <w:autoSpaceDN w:val="0"/>
              <w:adjustRightInd w:val="0"/>
              <w:rPr>
                <w:rFonts w:ascii="宋体" w:cs="宋体"/>
                <w:b/>
                <w:bCs/>
                <w:color w:val="auto"/>
                <w:sz w:val="24"/>
                <w:szCs w:val="24"/>
                <w:highlight w:val="none"/>
                <w:lang w:val="zh-CN"/>
              </w:rPr>
            </w:pPr>
            <w:r>
              <w:rPr>
                <w:rFonts w:hint="eastAsia" w:ascii="宋体" w:hAnsi="宋体"/>
                <w:color w:val="auto"/>
                <w:sz w:val="24"/>
                <w:highlight w:val="none"/>
              </w:rPr>
              <w:t>小写：</w:t>
            </w:r>
            <w:r>
              <w:rPr>
                <w:rFonts w:hint="eastAsia" w:ascii="宋体" w:hAnsi="宋体"/>
                <w:color w:val="auto"/>
                <w:sz w:val="24"/>
                <w:highlight w:val="none"/>
                <w:u w:val="single"/>
              </w:rPr>
              <w:t xml:space="preserve">                      </w:t>
            </w:r>
          </w:p>
        </w:tc>
      </w:tr>
      <w:tr w14:paraId="7AAFD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0A6A1598">
            <w:pPr>
              <w:jc w:val="center"/>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lang w:val="zh-CN"/>
              </w:rPr>
              <w:t>投</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标</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总工</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期</w:t>
            </w:r>
          </w:p>
        </w:tc>
        <w:tc>
          <w:tcPr>
            <w:tcW w:w="3574" w:type="dxa"/>
            <w:tcBorders>
              <w:top w:val="single" w:color="auto" w:sz="4" w:space="0"/>
              <w:left w:val="single" w:color="auto" w:sz="4" w:space="0"/>
              <w:bottom w:val="single" w:color="auto" w:sz="4" w:space="0"/>
              <w:right w:val="single" w:color="auto" w:sz="4" w:space="0"/>
            </w:tcBorders>
          </w:tcPr>
          <w:p w14:paraId="20CA6E1C">
            <w:pPr>
              <w:autoSpaceDE w:val="0"/>
              <w:autoSpaceDN w:val="0"/>
              <w:adjustRightInd w:val="0"/>
              <w:rPr>
                <w:rFonts w:ascii="宋体" w:cs="宋体"/>
                <w:b/>
                <w:bCs/>
                <w:color w:val="auto"/>
                <w:sz w:val="24"/>
                <w:szCs w:val="24"/>
                <w:highlight w:val="none"/>
                <w:lang w:val="zh-CN"/>
              </w:rPr>
            </w:pPr>
          </w:p>
        </w:tc>
      </w:tr>
      <w:tr w14:paraId="03DF4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0CD0B467">
            <w:pPr>
              <w:jc w:val="center"/>
              <w:rPr>
                <w:rFonts w:ascii="宋体"/>
                <w:b/>
                <w:color w:val="auto"/>
                <w:sz w:val="24"/>
                <w:szCs w:val="24"/>
                <w:highlight w:val="none"/>
              </w:rPr>
            </w:pPr>
            <w:r>
              <w:rPr>
                <w:rFonts w:hint="eastAsia" w:ascii="宋体" w:hAnsi="宋体" w:cs="宋体"/>
                <w:b/>
                <w:color w:val="auto"/>
                <w:sz w:val="24"/>
                <w:szCs w:val="24"/>
                <w:highlight w:val="none"/>
                <w:lang w:val="zh-CN"/>
              </w:rPr>
              <w:t>工程质量标准</w:t>
            </w:r>
          </w:p>
        </w:tc>
        <w:tc>
          <w:tcPr>
            <w:tcW w:w="3574" w:type="dxa"/>
            <w:tcBorders>
              <w:top w:val="single" w:color="auto" w:sz="4" w:space="0"/>
              <w:left w:val="single" w:color="auto" w:sz="4" w:space="0"/>
              <w:bottom w:val="single" w:color="auto" w:sz="4" w:space="0"/>
              <w:right w:val="single" w:color="auto" w:sz="4" w:space="0"/>
            </w:tcBorders>
          </w:tcPr>
          <w:p w14:paraId="02F0AC14">
            <w:pPr>
              <w:autoSpaceDE w:val="0"/>
              <w:autoSpaceDN w:val="0"/>
              <w:adjustRightInd w:val="0"/>
              <w:rPr>
                <w:rFonts w:ascii="宋体" w:cs="宋体"/>
                <w:b/>
                <w:bCs/>
                <w:color w:val="auto"/>
                <w:sz w:val="24"/>
                <w:szCs w:val="24"/>
                <w:highlight w:val="none"/>
                <w:lang w:val="zh-CN"/>
              </w:rPr>
            </w:pPr>
          </w:p>
        </w:tc>
      </w:tr>
      <w:tr w14:paraId="7737C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00E7C61B">
            <w:pPr>
              <w:autoSpaceDE w:val="0"/>
              <w:autoSpaceDN w:val="0"/>
              <w:adjustRightInd w:val="0"/>
              <w:ind w:firstLine="2159" w:firstLineChars="896"/>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保</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修</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期</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限</w:t>
            </w:r>
          </w:p>
        </w:tc>
        <w:tc>
          <w:tcPr>
            <w:tcW w:w="3574" w:type="dxa"/>
            <w:tcBorders>
              <w:top w:val="single" w:color="auto" w:sz="4" w:space="0"/>
              <w:left w:val="single" w:color="auto" w:sz="4" w:space="0"/>
              <w:bottom w:val="single" w:color="auto" w:sz="4" w:space="0"/>
              <w:right w:val="single" w:color="auto" w:sz="4" w:space="0"/>
            </w:tcBorders>
          </w:tcPr>
          <w:p w14:paraId="5108ED24">
            <w:pPr>
              <w:autoSpaceDE w:val="0"/>
              <w:autoSpaceDN w:val="0"/>
              <w:adjustRightInd w:val="0"/>
              <w:rPr>
                <w:rFonts w:ascii="宋体" w:cs="宋体"/>
                <w:b/>
                <w:bCs/>
                <w:color w:val="auto"/>
                <w:sz w:val="24"/>
                <w:szCs w:val="24"/>
                <w:highlight w:val="none"/>
                <w:lang w:val="zh-CN"/>
              </w:rPr>
            </w:pPr>
          </w:p>
        </w:tc>
      </w:tr>
      <w:tr w14:paraId="45CB0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6BB9A2FC">
            <w:pPr>
              <w:shd w:val="clear" w:color="auto" w:fill="auto"/>
              <w:jc w:val="center"/>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lang w:val="zh-CN"/>
              </w:rPr>
              <w:t>委派的项目负责人</w:t>
            </w:r>
          </w:p>
        </w:tc>
        <w:tc>
          <w:tcPr>
            <w:tcW w:w="3574" w:type="dxa"/>
            <w:tcBorders>
              <w:top w:val="single" w:color="auto" w:sz="4" w:space="0"/>
              <w:left w:val="single" w:color="auto" w:sz="4" w:space="0"/>
              <w:bottom w:val="single" w:color="auto" w:sz="4" w:space="0"/>
              <w:right w:val="single" w:color="auto" w:sz="4" w:space="0"/>
            </w:tcBorders>
          </w:tcPr>
          <w:p w14:paraId="50FF8082">
            <w:pPr>
              <w:autoSpaceDE w:val="0"/>
              <w:autoSpaceDN w:val="0"/>
              <w:adjustRightInd w:val="0"/>
              <w:rPr>
                <w:rFonts w:ascii="宋体" w:cs="宋体"/>
                <w:b/>
                <w:bCs/>
                <w:color w:val="auto"/>
                <w:sz w:val="24"/>
                <w:szCs w:val="24"/>
                <w:highlight w:val="none"/>
                <w:lang w:val="zh-CN"/>
              </w:rPr>
            </w:pPr>
          </w:p>
        </w:tc>
      </w:tr>
      <w:tr w14:paraId="46856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7D428E2D">
            <w:pPr>
              <w:shd w:val="clear" w:color="auto" w:fill="auto"/>
              <w:jc w:val="center"/>
              <w:rPr>
                <w:rFonts w:hint="eastAsia" w:ascii="宋体" w:hAnsi="宋体" w:cs="宋体"/>
                <w:b/>
                <w:color w:val="auto"/>
                <w:sz w:val="24"/>
                <w:szCs w:val="24"/>
                <w:highlight w:val="none"/>
                <w:lang w:val="zh-CN"/>
              </w:rPr>
            </w:pPr>
            <w:r>
              <w:rPr>
                <w:rFonts w:hint="eastAsia" w:ascii="宋体" w:hAnsi="宋体" w:cs="宋体"/>
                <w:b/>
                <w:bCs/>
                <w:color w:val="auto"/>
                <w:sz w:val="24"/>
                <w:szCs w:val="24"/>
                <w:highlight w:val="none"/>
                <w:lang w:val="zh-CN"/>
              </w:rPr>
              <w:t>委派的专职安全员</w:t>
            </w:r>
          </w:p>
        </w:tc>
        <w:tc>
          <w:tcPr>
            <w:tcW w:w="3574" w:type="dxa"/>
            <w:tcBorders>
              <w:top w:val="single" w:color="auto" w:sz="4" w:space="0"/>
              <w:left w:val="single" w:color="auto" w:sz="4" w:space="0"/>
              <w:bottom w:val="single" w:color="auto" w:sz="4" w:space="0"/>
              <w:right w:val="single" w:color="auto" w:sz="4" w:space="0"/>
            </w:tcBorders>
          </w:tcPr>
          <w:p w14:paraId="3F632F2A">
            <w:pPr>
              <w:autoSpaceDE w:val="0"/>
              <w:autoSpaceDN w:val="0"/>
              <w:adjustRightInd w:val="0"/>
              <w:rPr>
                <w:rFonts w:ascii="宋体" w:cs="宋体"/>
                <w:b/>
                <w:bCs/>
                <w:color w:val="auto"/>
                <w:sz w:val="24"/>
                <w:szCs w:val="24"/>
                <w:highlight w:val="none"/>
                <w:lang w:val="zh-CN"/>
              </w:rPr>
            </w:pPr>
          </w:p>
        </w:tc>
      </w:tr>
      <w:tr w14:paraId="3A40C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1D32F335">
            <w:pPr>
              <w:shd w:val="clear" w:color="auto" w:fill="auto"/>
              <w:jc w:val="center"/>
              <w:rPr>
                <w:rFonts w:hint="eastAsia" w:ascii="宋体" w:hAnsi="宋体" w:cs="宋体"/>
                <w:b/>
                <w:color w:val="auto"/>
                <w:sz w:val="24"/>
                <w:szCs w:val="24"/>
                <w:highlight w:val="none"/>
                <w:lang w:val="zh-CN"/>
              </w:rPr>
            </w:pPr>
            <w:r>
              <w:rPr>
                <w:rFonts w:hint="eastAsia" w:ascii="宋体" w:hAnsi="宋体" w:cs="宋体"/>
                <w:b/>
                <w:bCs/>
                <w:color w:val="auto"/>
                <w:sz w:val="24"/>
                <w:szCs w:val="24"/>
                <w:highlight w:val="none"/>
                <w:lang w:val="zh-CN"/>
              </w:rPr>
              <w:t>委派的技术负责人</w:t>
            </w:r>
          </w:p>
        </w:tc>
        <w:tc>
          <w:tcPr>
            <w:tcW w:w="3574" w:type="dxa"/>
            <w:tcBorders>
              <w:top w:val="single" w:color="auto" w:sz="4" w:space="0"/>
              <w:left w:val="single" w:color="auto" w:sz="4" w:space="0"/>
              <w:bottom w:val="single" w:color="auto" w:sz="4" w:space="0"/>
              <w:right w:val="single" w:color="auto" w:sz="4" w:space="0"/>
            </w:tcBorders>
          </w:tcPr>
          <w:p w14:paraId="524A64D6">
            <w:pPr>
              <w:autoSpaceDE w:val="0"/>
              <w:autoSpaceDN w:val="0"/>
              <w:adjustRightInd w:val="0"/>
              <w:rPr>
                <w:rFonts w:ascii="宋体" w:cs="宋体"/>
                <w:b/>
                <w:bCs/>
                <w:color w:val="auto"/>
                <w:sz w:val="24"/>
                <w:szCs w:val="24"/>
                <w:highlight w:val="none"/>
                <w:lang w:val="zh-CN"/>
              </w:rPr>
            </w:pPr>
          </w:p>
        </w:tc>
      </w:tr>
    </w:tbl>
    <w:p w14:paraId="7CCC8B86">
      <w:pPr>
        <w:tabs>
          <w:tab w:val="left" w:pos="720"/>
        </w:tabs>
        <w:snapToGrid w:val="0"/>
        <w:spacing w:line="360" w:lineRule="auto"/>
        <w:rPr>
          <w:rFonts w:hint="eastAsia" w:ascii="宋体" w:hAnsi="宋体" w:eastAsia="宋体" w:cs="宋体"/>
          <w:color w:val="auto"/>
          <w:sz w:val="24"/>
          <w:szCs w:val="24"/>
          <w:highlight w:val="none"/>
        </w:rPr>
      </w:pPr>
    </w:p>
    <w:p w14:paraId="05874B76">
      <w:pPr>
        <w:autoSpaceDE w:val="0"/>
        <w:autoSpaceDN w:val="0"/>
        <w:adjustRightInd w:val="0"/>
        <w:rPr>
          <w:rFonts w:hint="eastAsia" w:ascii="宋体" w:hAnsi="宋体" w:eastAsia="宋体" w:cs="宋体"/>
          <w:bCs/>
          <w:color w:val="auto"/>
          <w:sz w:val="24"/>
          <w:szCs w:val="24"/>
          <w:highlight w:val="none"/>
        </w:rPr>
      </w:pPr>
    </w:p>
    <w:p w14:paraId="75A10669">
      <w:pPr>
        <w:autoSpaceDE w:val="0"/>
        <w:autoSpaceDN w:val="0"/>
        <w:adjustRightInd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br w:type="page"/>
      </w:r>
    </w:p>
    <w:p w14:paraId="740CC81A">
      <w:pPr>
        <w:autoSpaceDE w:val="0"/>
        <w:autoSpaceDN w:val="0"/>
        <w:adjustRightInd w:val="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技术标</w:t>
      </w:r>
      <w:r>
        <w:rPr>
          <w:rFonts w:hint="eastAsia" w:ascii="宋体" w:hAnsi="宋体" w:eastAsia="宋体" w:cs="宋体"/>
          <w:color w:val="auto"/>
          <w:sz w:val="24"/>
          <w:highlight w:val="none"/>
        </w:rPr>
        <w:t>投标文件</w:t>
      </w:r>
      <w:r>
        <w:rPr>
          <w:rFonts w:hint="eastAsia" w:ascii="宋体" w:hAnsi="宋体" w:eastAsia="宋体" w:cs="宋体"/>
          <w:color w:val="auto"/>
          <w:sz w:val="24"/>
          <w:szCs w:val="24"/>
          <w:highlight w:val="none"/>
        </w:rPr>
        <w:t>格式三：</w:t>
      </w:r>
    </w:p>
    <w:p w14:paraId="2717C284">
      <w:pPr>
        <w:autoSpaceDE w:val="0"/>
        <w:autoSpaceDN w:val="0"/>
        <w:adjustRightInd w:val="0"/>
        <w:rPr>
          <w:rFonts w:hint="eastAsia" w:ascii="宋体" w:hAnsi="宋体" w:eastAsia="宋体" w:cs="宋体"/>
          <w:color w:val="auto"/>
          <w:sz w:val="24"/>
          <w:szCs w:val="24"/>
          <w:highlight w:val="none"/>
        </w:rPr>
      </w:pPr>
    </w:p>
    <w:p w14:paraId="6165A1DC">
      <w:pPr>
        <w:autoSpaceDE w:val="0"/>
        <w:autoSpaceDN w:val="0"/>
        <w:adjustRightInd w:val="0"/>
        <w:rPr>
          <w:rFonts w:hint="eastAsia" w:ascii="宋体" w:hAnsi="宋体" w:eastAsia="宋体" w:cs="宋体"/>
          <w:color w:val="auto"/>
          <w:sz w:val="24"/>
          <w:szCs w:val="24"/>
          <w:highlight w:val="none"/>
        </w:rPr>
      </w:pPr>
    </w:p>
    <w:p w14:paraId="13392633">
      <w:pPr>
        <w:autoSpaceDE w:val="0"/>
        <w:autoSpaceDN w:val="0"/>
        <w:adjustRightInd w:val="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资格审查文件</w:t>
      </w:r>
    </w:p>
    <w:p w14:paraId="05818A74">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snapToGrid w:val="0"/>
          <w:color w:val="auto"/>
          <w:spacing w:val="4"/>
          <w:kern w:val="0"/>
          <w:sz w:val="24"/>
          <w:szCs w:val="20"/>
          <w:highlight w:val="none"/>
        </w:rPr>
        <w:t>注：按投标须知修改表11.2.2条款及《资格审查表》要求提交</w:t>
      </w:r>
      <w:r>
        <w:rPr>
          <w:rFonts w:hint="eastAsia" w:ascii="宋体" w:hAnsi="宋体" w:eastAsia="宋体" w:cs="宋体"/>
          <w:snapToGrid w:val="0"/>
          <w:color w:val="auto"/>
          <w:spacing w:val="4"/>
          <w:sz w:val="24"/>
          <w:highlight w:val="none"/>
        </w:rPr>
        <w:t>，格式自拟。</w:t>
      </w:r>
    </w:p>
    <w:p w14:paraId="7657C059">
      <w:pPr>
        <w:autoSpaceDE w:val="0"/>
        <w:autoSpaceDN w:val="0"/>
        <w:adjustRightInd w:val="0"/>
        <w:rPr>
          <w:rFonts w:hint="eastAsia" w:ascii="宋体" w:hAnsi="宋体" w:eastAsia="宋体" w:cs="宋体"/>
          <w:bCs/>
          <w:color w:val="auto"/>
          <w:sz w:val="24"/>
          <w:szCs w:val="24"/>
          <w:highlight w:val="none"/>
        </w:rPr>
      </w:pPr>
    </w:p>
    <w:p w14:paraId="3229414D">
      <w:pPr>
        <w:widowControl/>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br w:type="page"/>
      </w:r>
    </w:p>
    <w:p w14:paraId="3503D124">
      <w:pPr>
        <w:autoSpaceDE w:val="0"/>
        <w:autoSpaceDN w:val="0"/>
        <w:adjustRightInd w:val="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技术标</w:t>
      </w:r>
      <w:r>
        <w:rPr>
          <w:rFonts w:hint="eastAsia" w:ascii="宋体" w:hAnsi="宋体" w:eastAsia="宋体" w:cs="宋体"/>
          <w:color w:val="auto"/>
          <w:sz w:val="24"/>
          <w:highlight w:val="none"/>
        </w:rPr>
        <w:t>投标文件</w:t>
      </w:r>
      <w:r>
        <w:rPr>
          <w:rFonts w:hint="eastAsia" w:ascii="宋体" w:hAnsi="宋体" w:eastAsia="宋体" w:cs="宋体"/>
          <w:color w:val="auto"/>
          <w:sz w:val="24"/>
          <w:szCs w:val="24"/>
          <w:highlight w:val="none"/>
        </w:rPr>
        <w:t>格式四：</w:t>
      </w:r>
    </w:p>
    <w:p w14:paraId="4B3C2B40">
      <w:pPr>
        <w:autoSpaceDE w:val="0"/>
        <w:autoSpaceDN w:val="0"/>
        <w:adjustRightInd w:val="0"/>
        <w:rPr>
          <w:rFonts w:hint="eastAsia" w:ascii="宋体" w:hAnsi="宋体" w:eastAsia="宋体" w:cs="宋体"/>
          <w:color w:val="auto"/>
          <w:sz w:val="24"/>
          <w:szCs w:val="24"/>
          <w:highlight w:val="none"/>
        </w:rPr>
      </w:pPr>
    </w:p>
    <w:p w14:paraId="29B101E9">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b/>
          <w:snapToGrid w:val="0"/>
          <w:color w:val="auto"/>
          <w:spacing w:val="4"/>
          <w:kern w:val="0"/>
          <w:sz w:val="32"/>
          <w:szCs w:val="32"/>
          <w:highlight w:val="none"/>
        </w:rPr>
        <w:t>技术评审资料</w:t>
      </w:r>
    </w:p>
    <w:p w14:paraId="5A0932C6">
      <w:pPr>
        <w:autoSpaceDE w:val="0"/>
        <w:autoSpaceDN w:val="0"/>
        <w:adjustRightInd w:val="0"/>
        <w:rPr>
          <w:rFonts w:hint="eastAsia" w:ascii="宋体" w:hAnsi="宋体" w:eastAsia="宋体" w:cs="宋体"/>
          <w:color w:val="auto"/>
          <w:sz w:val="24"/>
          <w:szCs w:val="24"/>
          <w:highlight w:val="none"/>
        </w:rPr>
      </w:pPr>
      <w:r>
        <w:rPr>
          <w:rFonts w:hint="eastAsia" w:ascii="宋体" w:hAnsi="宋体" w:eastAsia="宋体" w:cs="宋体"/>
          <w:snapToGrid w:val="0"/>
          <w:color w:val="auto"/>
          <w:spacing w:val="4"/>
          <w:kern w:val="0"/>
          <w:sz w:val="24"/>
          <w:szCs w:val="20"/>
          <w:highlight w:val="none"/>
        </w:rPr>
        <w:t>注：按《技术标有效性审查表》及《技术标详细审查评分表》要求提交</w:t>
      </w:r>
      <w:r>
        <w:rPr>
          <w:rFonts w:hint="eastAsia" w:ascii="宋体" w:hAnsi="宋体" w:eastAsia="宋体" w:cs="宋体"/>
          <w:snapToGrid w:val="0"/>
          <w:color w:val="auto"/>
          <w:spacing w:val="4"/>
          <w:sz w:val="24"/>
          <w:highlight w:val="none"/>
        </w:rPr>
        <w:t>，格式自拟。</w:t>
      </w:r>
    </w:p>
    <w:p w14:paraId="686388FB">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F20599B">
      <w:pPr>
        <w:autoSpaceDE w:val="0"/>
        <w:autoSpaceDN w:val="0"/>
        <w:adjustRightInd w:val="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★技术标</w:t>
      </w:r>
      <w:r>
        <w:rPr>
          <w:rFonts w:hint="eastAsia" w:ascii="宋体" w:hAnsi="宋体" w:eastAsia="宋体" w:cs="宋体"/>
          <w:color w:val="auto"/>
          <w:sz w:val="24"/>
          <w:highlight w:val="none"/>
        </w:rPr>
        <w:t>投标文件</w:t>
      </w:r>
      <w:r>
        <w:rPr>
          <w:rFonts w:hint="eastAsia" w:ascii="宋体" w:hAnsi="宋体" w:eastAsia="宋体" w:cs="宋体"/>
          <w:color w:val="auto"/>
          <w:sz w:val="24"/>
          <w:szCs w:val="24"/>
          <w:highlight w:val="none"/>
        </w:rPr>
        <w:t>格式五：</w:t>
      </w:r>
    </w:p>
    <w:p w14:paraId="661E0ABA">
      <w:pPr>
        <w:tabs>
          <w:tab w:val="left" w:pos="720"/>
        </w:tabs>
        <w:snapToGrid w:val="0"/>
        <w:spacing w:line="360" w:lineRule="auto"/>
        <w:rPr>
          <w:rFonts w:hint="eastAsia" w:ascii="宋体" w:hAnsi="宋体" w:eastAsia="宋体" w:cs="宋体"/>
          <w:color w:val="auto"/>
          <w:sz w:val="24"/>
          <w:szCs w:val="24"/>
          <w:highlight w:val="none"/>
        </w:rPr>
      </w:pPr>
    </w:p>
    <w:p w14:paraId="727B3905">
      <w:pPr>
        <w:spacing w:line="4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人员投入承诺书</w:t>
      </w:r>
    </w:p>
    <w:p w14:paraId="468436C3">
      <w:pPr>
        <w:topLinePunct/>
        <w:adjustRightInd w:val="0"/>
        <w:snapToGrid w:val="0"/>
        <w:spacing w:line="360" w:lineRule="auto"/>
        <w:rPr>
          <w:rFonts w:hint="eastAsia" w:ascii="宋体" w:hAnsi="宋体" w:eastAsia="宋体" w:cs="宋体"/>
          <w:snapToGrid w:val="0"/>
          <w:color w:val="auto"/>
          <w:spacing w:val="4"/>
          <w:kern w:val="0"/>
          <w:sz w:val="24"/>
          <w:szCs w:val="24"/>
          <w:highlight w:val="none"/>
        </w:rPr>
      </w:pPr>
    </w:p>
    <w:p w14:paraId="2A86E001">
      <w:pPr>
        <w:topLinePunct/>
        <w:adjustRightInd w:val="0"/>
        <w:snapToGrid w:val="0"/>
        <w:spacing w:line="400" w:lineRule="exact"/>
        <w:rPr>
          <w:rFonts w:hint="eastAsia" w:ascii="宋体" w:hAnsi="宋体" w:eastAsia="宋体" w:cs="宋体"/>
          <w:snapToGrid w:val="0"/>
          <w:color w:val="auto"/>
          <w:spacing w:val="4"/>
          <w:kern w:val="0"/>
          <w:sz w:val="24"/>
          <w:szCs w:val="24"/>
          <w:highlight w:val="none"/>
        </w:rPr>
      </w:pPr>
      <w:r>
        <w:rPr>
          <w:rFonts w:hint="eastAsia" w:ascii="宋体" w:hAnsi="宋体" w:eastAsia="宋体" w:cs="宋体"/>
          <w:snapToGrid w:val="0"/>
          <w:color w:val="auto"/>
          <w:spacing w:val="4"/>
          <w:kern w:val="0"/>
          <w:sz w:val="24"/>
          <w:szCs w:val="24"/>
          <w:highlight w:val="none"/>
        </w:rPr>
        <w:t>致：</w:t>
      </w:r>
      <w:r>
        <w:rPr>
          <w:rFonts w:hint="eastAsia" w:ascii="宋体" w:hAnsi="宋体" w:eastAsia="宋体" w:cs="宋体"/>
          <w:bCs/>
          <w:color w:val="auto"/>
          <w:sz w:val="24"/>
          <w:highlight w:val="none"/>
          <w:u w:val="single"/>
        </w:rPr>
        <w:t>广州市白云城市建设投资有限公司</w:t>
      </w:r>
    </w:p>
    <w:p w14:paraId="2840CDC1">
      <w:pPr>
        <w:topLinePunct/>
        <w:adjustRightInd w:val="0"/>
        <w:snapToGrid w:val="0"/>
        <w:spacing w:line="400" w:lineRule="exact"/>
        <w:ind w:firstLine="496" w:firstLineChars="200"/>
        <w:rPr>
          <w:rFonts w:hint="eastAsia" w:ascii="宋体" w:hAnsi="宋体" w:eastAsia="宋体" w:cs="宋体"/>
          <w:snapToGrid w:val="0"/>
          <w:color w:val="auto"/>
          <w:spacing w:val="4"/>
          <w:kern w:val="0"/>
          <w:sz w:val="24"/>
          <w:szCs w:val="24"/>
          <w:highlight w:val="none"/>
        </w:rPr>
      </w:pPr>
      <w:r>
        <w:rPr>
          <w:rFonts w:hint="eastAsia" w:ascii="宋体" w:hAnsi="宋体" w:eastAsia="宋体" w:cs="宋体"/>
          <w:snapToGrid w:val="0"/>
          <w:color w:val="auto"/>
          <w:spacing w:val="4"/>
          <w:kern w:val="0"/>
          <w:sz w:val="24"/>
          <w:szCs w:val="24"/>
          <w:highlight w:val="none"/>
        </w:rPr>
        <w:t>一旦我方中标，我方愿意做出如下承诺：</w:t>
      </w:r>
    </w:p>
    <w:p w14:paraId="44A217D4">
      <w:pPr>
        <w:topLinePunct/>
        <w:adjustRightInd w:val="0"/>
        <w:snapToGrid w:val="0"/>
        <w:spacing w:line="400" w:lineRule="exact"/>
        <w:ind w:firstLine="496" w:firstLineChars="200"/>
        <w:rPr>
          <w:rFonts w:hint="eastAsia" w:ascii="宋体" w:hAnsi="宋体" w:eastAsia="宋体" w:cs="宋体"/>
          <w:snapToGrid w:val="0"/>
          <w:color w:val="auto"/>
          <w:spacing w:val="4"/>
          <w:kern w:val="0"/>
          <w:sz w:val="24"/>
          <w:szCs w:val="24"/>
          <w:highlight w:val="none"/>
        </w:rPr>
      </w:pPr>
      <w:r>
        <w:rPr>
          <w:rFonts w:hint="eastAsia" w:ascii="宋体" w:hAnsi="宋体" w:eastAsia="宋体" w:cs="宋体"/>
          <w:snapToGrid w:val="0"/>
          <w:color w:val="auto"/>
          <w:spacing w:val="4"/>
          <w:kern w:val="0"/>
          <w:sz w:val="24"/>
          <w:szCs w:val="24"/>
          <w:highlight w:val="none"/>
        </w:rPr>
        <w:t>一、我方承诺按本项目投标时拟投入人员在合同签订前提供原件核对</w:t>
      </w:r>
      <w:r>
        <w:rPr>
          <w:rFonts w:hint="eastAsia" w:ascii="宋体" w:hAnsi="宋体" w:cs="宋体"/>
          <w:snapToGrid w:val="0"/>
          <w:color w:val="auto"/>
          <w:spacing w:val="4"/>
          <w:kern w:val="0"/>
          <w:sz w:val="24"/>
          <w:szCs w:val="24"/>
          <w:highlight w:val="none"/>
          <w:u w:val="single"/>
          <w:lang w:val="en-US" w:eastAsia="zh-CN"/>
        </w:rPr>
        <w:t>无误</w:t>
      </w:r>
      <w:r>
        <w:rPr>
          <w:rFonts w:hint="eastAsia" w:ascii="宋体" w:hAnsi="宋体" w:eastAsia="宋体" w:cs="宋体"/>
          <w:snapToGrid w:val="0"/>
          <w:color w:val="auto"/>
          <w:spacing w:val="4"/>
          <w:kern w:val="0"/>
          <w:sz w:val="24"/>
          <w:szCs w:val="24"/>
          <w:highlight w:val="none"/>
        </w:rPr>
        <w:t>，作为合同签订条件之一。中标后，我方将在中标通知书发出7个工作日内提供投标文件拟投入的全部人员的相关资料原件（包括但不限于社保证明、执业证、职称证等）供贵单位审核。</w:t>
      </w:r>
    </w:p>
    <w:p w14:paraId="58E7EB8A">
      <w:pPr>
        <w:topLinePunct/>
        <w:adjustRightInd w:val="0"/>
        <w:snapToGrid w:val="0"/>
        <w:spacing w:line="400" w:lineRule="exact"/>
        <w:ind w:firstLine="496" w:firstLineChars="200"/>
        <w:rPr>
          <w:rFonts w:hint="eastAsia" w:ascii="宋体" w:hAnsi="宋体" w:eastAsia="宋体" w:cs="宋体"/>
          <w:snapToGrid w:val="0"/>
          <w:color w:val="auto"/>
          <w:spacing w:val="4"/>
          <w:kern w:val="0"/>
          <w:sz w:val="24"/>
          <w:szCs w:val="24"/>
          <w:highlight w:val="none"/>
        </w:rPr>
      </w:pPr>
      <w:r>
        <w:rPr>
          <w:rFonts w:hint="eastAsia" w:ascii="宋体" w:hAnsi="宋体" w:eastAsia="宋体" w:cs="宋体"/>
          <w:snapToGrid w:val="0"/>
          <w:color w:val="auto"/>
          <w:spacing w:val="4"/>
          <w:kern w:val="0"/>
          <w:sz w:val="24"/>
          <w:szCs w:val="24"/>
          <w:highlight w:val="none"/>
        </w:rPr>
        <w:t>如因我方逾期提供原件核对导致未按期签订合同的，贵单位有权取消我方中标资格。</w:t>
      </w:r>
    </w:p>
    <w:p w14:paraId="14193281">
      <w:pPr>
        <w:topLinePunct/>
        <w:adjustRightInd w:val="0"/>
        <w:snapToGrid w:val="0"/>
        <w:spacing w:line="400" w:lineRule="exact"/>
        <w:ind w:firstLine="496" w:firstLineChars="200"/>
        <w:rPr>
          <w:rFonts w:hint="eastAsia" w:ascii="宋体" w:hAnsi="宋体" w:eastAsia="宋体" w:cs="宋体"/>
          <w:snapToGrid w:val="0"/>
          <w:color w:val="auto"/>
          <w:spacing w:val="4"/>
          <w:kern w:val="0"/>
          <w:sz w:val="24"/>
          <w:szCs w:val="24"/>
          <w:highlight w:val="none"/>
        </w:rPr>
      </w:pPr>
      <w:r>
        <w:rPr>
          <w:rFonts w:hint="eastAsia" w:ascii="宋体" w:hAnsi="宋体" w:eastAsia="宋体" w:cs="宋体"/>
          <w:snapToGrid w:val="0"/>
          <w:color w:val="auto"/>
          <w:spacing w:val="4"/>
          <w:kern w:val="0"/>
          <w:sz w:val="24"/>
          <w:szCs w:val="24"/>
          <w:highlight w:val="none"/>
        </w:rPr>
        <w:t>二、如果我司中标，我司保证实际投入本项目的人员与我司投标时一致，且不低于本项目招标文件的要求。否则，我司承诺无条件按招标人的要求进行更换，直至招标人满意为止。经总监理工程师考核，我司未按投标文件投入主要人员或经过更换后的人员不能满足本项目要求的，我司承诺除无条件按招标人的要求更换外，还应按合同约定的金额向招标人支付违约金。</w:t>
      </w:r>
    </w:p>
    <w:p w14:paraId="507ED625">
      <w:pPr>
        <w:topLinePunct/>
        <w:adjustRightInd w:val="0"/>
        <w:snapToGrid w:val="0"/>
        <w:spacing w:line="400" w:lineRule="exact"/>
        <w:ind w:firstLine="496" w:firstLineChars="200"/>
        <w:rPr>
          <w:rFonts w:hint="eastAsia" w:ascii="宋体" w:hAnsi="宋体" w:eastAsia="宋体" w:cs="宋体"/>
          <w:snapToGrid w:val="0"/>
          <w:color w:val="auto"/>
          <w:spacing w:val="4"/>
          <w:kern w:val="0"/>
          <w:sz w:val="24"/>
          <w:szCs w:val="24"/>
          <w:highlight w:val="none"/>
        </w:rPr>
      </w:pPr>
      <w:r>
        <w:rPr>
          <w:rFonts w:hint="eastAsia" w:ascii="宋体" w:hAnsi="宋体" w:eastAsia="宋体" w:cs="宋体"/>
          <w:snapToGrid w:val="0"/>
          <w:color w:val="auto"/>
          <w:spacing w:val="4"/>
          <w:kern w:val="0"/>
          <w:sz w:val="24"/>
          <w:szCs w:val="24"/>
          <w:highlight w:val="none"/>
        </w:rPr>
        <w:t>三、如果我司中标，我司保证投标时拟派的人员均能在本项目中任职。</w:t>
      </w:r>
    </w:p>
    <w:p w14:paraId="7802FCDD">
      <w:pPr>
        <w:topLinePunct/>
        <w:adjustRightInd w:val="0"/>
        <w:snapToGrid w:val="0"/>
        <w:spacing w:line="400" w:lineRule="exact"/>
        <w:ind w:firstLine="496" w:firstLineChars="200"/>
        <w:rPr>
          <w:rFonts w:hint="eastAsia" w:ascii="宋体" w:hAnsi="宋体" w:eastAsia="宋体" w:cs="宋体"/>
          <w:snapToGrid w:val="0"/>
          <w:color w:val="auto"/>
          <w:spacing w:val="4"/>
          <w:kern w:val="0"/>
          <w:sz w:val="24"/>
          <w:szCs w:val="24"/>
          <w:highlight w:val="none"/>
        </w:rPr>
      </w:pPr>
      <w:r>
        <w:rPr>
          <w:rFonts w:hint="eastAsia" w:ascii="宋体" w:hAnsi="宋体" w:eastAsia="宋体" w:cs="宋体"/>
          <w:snapToGrid w:val="0"/>
          <w:color w:val="auto"/>
          <w:spacing w:val="4"/>
          <w:kern w:val="0"/>
          <w:sz w:val="24"/>
          <w:szCs w:val="24"/>
          <w:highlight w:val="none"/>
        </w:rPr>
        <w:t>若项目负责人、技术负责人及专职安全员中有两人或以上未在本项目中任职或其他人员（不含项目负责人、技术负责人及专职安全员）中有三人或以上未在本项目中任职，我方自愿放弃中标资格，予以赔偿给建设单位造成的损失，我方将不提出任何异议。</w:t>
      </w:r>
    </w:p>
    <w:p w14:paraId="113B503E">
      <w:pPr>
        <w:topLinePunct/>
        <w:adjustRightInd w:val="0"/>
        <w:snapToGrid w:val="0"/>
        <w:spacing w:line="400" w:lineRule="exact"/>
        <w:ind w:firstLine="3472" w:firstLineChars="1400"/>
        <w:rPr>
          <w:rFonts w:hint="eastAsia" w:ascii="宋体" w:hAnsi="宋体" w:eastAsia="宋体" w:cs="宋体"/>
          <w:snapToGrid w:val="0"/>
          <w:color w:val="auto"/>
          <w:spacing w:val="4"/>
          <w:kern w:val="0"/>
          <w:sz w:val="24"/>
          <w:szCs w:val="24"/>
          <w:highlight w:val="none"/>
        </w:rPr>
      </w:pPr>
      <w:r>
        <w:rPr>
          <w:rFonts w:hint="eastAsia" w:ascii="宋体" w:hAnsi="宋体" w:eastAsia="宋体" w:cs="宋体"/>
          <w:snapToGrid w:val="0"/>
          <w:color w:val="auto"/>
          <w:spacing w:val="4"/>
          <w:kern w:val="0"/>
          <w:sz w:val="24"/>
          <w:szCs w:val="24"/>
          <w:highlight w:val="none"/>
        </w:rPr>
        <w:t>投标人：　　（盖章）</w:t>
      </w:r>
    </w:p>
    <w:p w14:paraId="6B9D27E2">
      <w:pPr>
        <w:topLinePunct/>
        <w:adjustRightInd w:val="0"/>
        <w:snapToGrid w:val="0"/>
        <w:spacing w:line="400" w:lineRule="exact"/>
        <w:ind w:firstLine="3472" w:firstLineChars="1400"/>
        <w:rPr>
          <w:rFonts w:hint="eastAsia" w:ascii="宋体" w:hAnsi="宋体" w:eastAsia="宋体" w:cs="宋体"/>
          <w:snapToGrid w:val="0"/>
          <w:color w:val="auto"/>
          <w:spacing w:val="4"/>
          <w:kern w:val="0"/>
          <w:sz w:val="24"/>
          <w:szCs w:val="24"/>
          <w:highlight w:val="none"/>
        </w:rPr>
      </w:pPr>
      <w:r>
        <w:rPr>
          <w:rFonts w:hint="eastAsia" w:ascii="宋体" w:hAnsi="宋体" w:eastAsia="宋体" w:cs="宋体"/>
          <w:snapToGrid w:val="0"/>
          <w:color w:val="auto"/>
          <w:spacing w:val="4"/>
          <w:kern w:val="0"/>
          <w:sz w:val="24"/>
          <w:szCs w:val="24"/>
          <w:highlight w:val="none"/>
        </w:rPr>
        <w:t>法定代表人或授权代理人(签字或盖章)：</w:t>
      </w:r>
    </w:p>
    <w:p w14:paraId="66D2E13B">
      <w:pPr>
        <w:topLinePunct/>
        <w:adjustRightInd w:val="0"/>
        <w:snapToGrid w:val="0"/>
        <w:spacing w:line="400" w:lineRule="exact"/>
        <w:ind w:firstLine="3472" w:firstLineChars="1400"/>
        <w:rPr>
          <w:rFonts w:hint="eastAsia" w:ascii="宋体" w:hAnsi="宋体" w:eastAsia="宋体" w:cs="宋体"/>
          <w:snapToGrid w:val="0"/>
          <w:color w:val="auto"/>
          <w:spacing w:val="4"/>
          <w:kern w:val="0"/>
          <w:sz w:val="24"/>
          <w:szCs w:val="24"/>
          <w:highlight w:val="none"/>
        </w:rPr>
      </w:pPr>
      <w:r>
        <w:rPr>
          <w:rFonts w:hint="eastAsia" w:ascii="宋体" w:hAnsi="宋体" w:eastAsia="宋体" w:cs="宋体"/>
          <w:snapToGrid w:val="0"/>
          <w:color w:val="auto"/>
          <w:spacing w:val="4"/>
          <w:kern w:val="0"/>
          <w:sz w:val="24"/>
          <w:szCs w:val="24"/>
          <w:highlight w:val="none"/>
        </w:rPr>
        <w:t>技术负责人(签字或盖章)：</w:t>
      </w:r>
    </w:p>
    <w:p w14:paraId="3914D2B6">
      <w:pPr>
        <w:topLinePunct/>
        <w:adjustRightInd w:val="0"/>
        <w:snapToGrid w:val="0"/>
        <w:spacing w:line="400" w:lineRule="exact"/>
        <w:ind w:firstLine="3472" w:firstLineChars="1400"/>
        <w:rPr>
          <w:rFonts w:hint="eastAsia" w:ascii="宋体" w:hAnsi="宋体" w:eastAsia="宋体" w:cs="宋体"/>
          <w:snapToGrid w:val="0"/>
          <w:color w:val="auto"/>
          <w:spacing w:val="4"/>
          <w:kern w:val="0"/>
          <w:sz w:val="24"/>
          <w:szCs w:val="24"/>
          <w:highlight w:val="none"/>
        </w:rPr>
      </w:pPr>
      <w:r>
        <w:rPr>
          <w:rFonts w:hint="eastAsia" w:ascii="宋体" w:hAnsi="宋体" w:eastAsia="宋体" w:cs="宋体"/>
          <w:snapToGrid w:val="0"/>
          <w:color w:val="auto"/>
          <w:spacing w:val="4"/>
          <w:kern w:val="0"/>
          <w:sz w:val="24"/>
          <w:szCs w:val="24"/>
          <w:highlight w:val="none"/>
        </w:rPr>
        <w:t>项目负责人(签字或盖章)：</w:t>
      </w:r>
    </w:p>
    <w:p w14:paraId="4B7B6E15">
      <w:pPr>
        <w:topLinePunct/>
        <w:adjustRightInd w:val="0"/>
        <w:snapToGrid w:val="0"/>
        <w:spacing w:line="400" w:lineRule="exact"/>
        <w:ind w:firstLine="3472" w:firstLineChars="1400"/>
        <w:rPr>
          <w:rFonts w:hint="eastAsia" w:ascii="宋体" w:hAnsi="宋体" w:eastAsia="宋体" w:cs="宋体"/>
          <w:snapToGrid w:val="0"/>
          <w:color w:val="auto"/>
          <w:spacing w:val="4"/>
          <w:kern w:val="0"/>
          <w:sz w:val="24"/>
          <w:szCs w:val="24"/>
          <w:highlight w:val="none"/>
        </w:rPr>
      </w:pPr>
      <w:r>
        <w:rPr>
          <w:rFonts w:hint="eastAsia" w:ascii="宋体" w:hAnsi="宋体" w:eastAsia="宋体" w:cs="宋体"/>
          <w:snapToGrid w:val="0"/>
          <w:color w:val="auto"/>
          <w:spacing w:val="4"/>
          <w:kern w:val="0"/>
          <w:sz w:val="24"/>
          <w:szCs w:val="24"/>
          <w:highlight w:val="none"/>
        </w:rPr>
        <w:t>日期：   年   月    日</w:t>
      </w:r>
    </w:p>
    <w:p w14:paraId="40D73DC3">
      <w:pPr>
        <w:widowControl/>
        <w:jc w:val="left"/>
        <w:rPr>
          <w:rFonts w:hint="eastAsia" w:ascii="宋体" w:hAnsi="宋体" w:eastAsia="宋体" w:cs="宋体"/>
          <w:snapToGrid w:val="0"/>
          <w:color w:val="auto"/>
          <w:spacing w:val="4"/>
          <w:kern w:val="0"/>
          <w:sz w:val="24"/>
          <w:szCs w:val="24"/>
          <w:highlight w:val="none"/>
        </w:rPr>
      </w:pPr>
    </w:p>
    <w:p w14:paraId="3FB564A3">
      <w:pPr>
        <w:widowControl/>
        <w:jc w:val="left"/>
        <w:rPr>
          <w:rFonts w:hint="eastAsia" w:ascii="宋体" w:hAnsi="宋体" w:eastAsia="宋体" w:cs="宋体"/>
          <w:snapToGrid w:val="0"/>
          <w:color w:val="auto"/>
          <w:spacing w:val="4"/>
          <w:kern w:val="0"/>
          <w:sz w:val="24"/>
          <w:szCs w:val="24"/>
          <w:highlight w:val="none"/>
        </w:rPr>
      </w:pPr>
      <w:r>
        <w:rPr>
          <w:rFonts w:hint="eastAsia" w:ascii="宋体" w:hAnsi="宋体" w:eastAsia="宋体" w:cs="宋体"/>
          <w:snapToGrid w:val="0"/>
          <w:color w:val="auto"/>
          <w:spacing w:val="4"/>
          <w:kern w:val="0"/>
          <w:sz w:val="24"/>
          <w:szCs w:val="24"/>
          <w:highlight w:val="none"/>
        </w:rPr>
        <w:br w:type="page"/>
      </w:r>
    </w:p>
    <w:p w14:paraId="2EE8418D">
      <w:pPr>
        <w:pStyle w:val="6"/>
        <w:rPr>
          <w:rFonts w:hint="eastAsia" w:ascii="宋体" w:hAnsi="宋体" w:eastAsia="宋体" w:cs="宋体"/>
          <w:color w:val="auto"/>
          <w:highlight w:val="none"/>
        </w:rPr>
      </w:pPr>
      <w:r>
        <w:rPr>
          <w:rFonts w:hint="eastAsia" w:ascii="宋体" w:hAnsi="宋体" w:eastAsia="宋体" w:cs="宋体"/>
          <w:color w:val="auto"/>
          <w:sz w:val="24"/>
          <w:highlight w:val="none"/>
        </w:rPr>
        <w:t>★技术标投标文件格式六：</w:t>
      </w:r>
    </w:p>
    <w:p w14:paraId="653C6B75">
      <w:pPr>
        <w:pStyle w:val="6"/>
        <w:jc w:val="center"/>
        <w:rPr>
          <w:rFonts w:hint="eastAsia" w:ascii="宋体" w:hAnsi="宋体" w:eastAsia="宋体" w:cs="宋体"/>
          <w:b/>
          <w:bCs/>
          <w:color w:val="auto"/>
          <w:sz w:val="30"/>
          <w:szCs w:val="30"/>
          <w:highlight w:val="none"/>
        </w:rPr>
      </w:pPr>
    </w:p>
    <w:p w14:paraId="14C87DFA">
      <w:pPr>
        <w:pStyle w:val="6"/>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投标人廉洁承诺书</w:t>
      </w:r>
    </w:p>
    <w:p w14:paraId="175864F0">
      <w:pPr>
        <w:widowControl/>
        <w:spacing w:after="135" w:line="400" w:lineRule="exact"/>
        <w:ind w:right="-197" w:rightChars="-9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广州市白云城市建设投资有限公司：</w:t>
      </w:r>
    </w:p>
    <w:p w14:paraId="76AEA551">
      <w:pPr>
        <w:widowControl/>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本公司参加了</w:t>
      </w:r>
      <w:r>
        <w:rPr>
          <w:rFonts w:hint="eastAsia" w:ascii="宋体" w:hAnsi="宋体" w:cs="宋体"/>
          <w:color w:val="auto"/>
          <w:sz w:val="24"/>
          <w:szCs w:val="24"/>
          <w:highlight w:val="none"/>
          <w:u w:val="single"/>
        </w:rPr>
        <w:t>（项目名称/标段名称）</w:t>
      </w:r>
      <w:r>
        <w:rPr>
          <w:rFonts w:hint="eastAsia" w:ascii="宋体" w:hAnsi="宋体" w:cs="宋体"/>
          <w:color w:val="auto"/>
          <w:sz w:val="24"/>
          <w:szCs w:val="24"/>
          <w:highlight w:val="none"/>
        </w:rPr>
        <w:t>投标，为确保招标工作的公平、公正、公开、有序进行，我们保证遵守《中华人民共和国招标投标法》、《中华人民共和国招标投标法实施条例》、《广东省实施&lt;中华人民共和国招标投标法&gt;办法》等法律法规，特承诺如下事项：</w:t>
      </w:r>
    </w:p>
    <w:p w14:paraId="6BF32AEB">
      <w:pPr>
        <w:widowControl/>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一、自觉遵守国家有关法律法规及廉洁规定。</w:t>
      </w:r>
    </w:p>
    <w:p w14:paraId="5EBFA941">
      <w:pPr>
        <w:widowControl/>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二、不与招标单位工作人员串通投标，损害国家利益、企业利益以及他人的合法利益；</w:t>
      </w:r>
    </w:p>
    <w:p w14:paraId="69629032">
      <w:pPr>
        <w:widowControl/>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三、不与其他单位围标、串标，不出让投标资格，不向招标人或评标委员会成员行贿。</w:t>
      </w:r>
    </w:p>
    <w:p w14:paraId="605D4784">
      <w:pPr>
        <w:widowControl/>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四、不以任何名义向参与招标、评标工作的有关人员提供高消费宴请及娱乐活动和赠送回扣、红包、礼金、购物卡、有价证券、贵重物品和好处费、感谢费等；</w:t>
      </w:r>
    </w:p>
    <w:p w14:paraId="480D2B27">
      <w:pPr>
        <w:widowControl/>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五、不以任何名义为参与招标、评标工作的有关人员装修住房、婚丧嫁取、</w:t>
      </w:r>
      <w:r>
        <w:rPr>
          <w:rFonts w:hint="eastAsia" w:ascii="宋体" w:hAnsi="宋体" w:cs="宋体"/>
          <w:color w:val="auto"/>
          <w:sz w:val="24"/>
          <w:szCs w:val="24"/>
          <w:highlight w:val="none"/>
          <w:u w:val="single"/>
        </w:rPr>
        <w:t>父母</w:t>
      </w:r>
      <w:r>
        <w:rPr>
          <w:rFonts w:hint="eastAsia" w:ascii="宋体" w:hAnsi="宋体" w:cs="宋体"/>
          <w:color w:val="auto"/>
          <w:sz w:val="24"/>
          <w:szCs w:val="24"/>
          <w:highlight w:val="none"/>
        </w:rPr>
        <w:t>配偶子女</w:t>
      </w:r>
      <w:r>
        <w:rPr>
          <w:rFonts w:hint="eastAsia" w:ascii="宋体" w:hAnsi="宋体" w:cs="宋体"/>
          <w:color w:val="auto"/>
          <w:sz w:val="24"/>
          <w:szCs w:val="24"/>
          <w:highlight w:val="none"/>
          <w:u w:val="single"/>
        </w:rPr>
        <w:t>等近亲属</w:t>
      </w:r>
      <w:r>
        <w:rPr>
          <w:rFonts w:hint="eastAsia" w:ascii="宋体" w:hAnsi="宋体" w:cs="宋体"/>
          <w:color w:val="auto"/>
          <w:sz w:val="24"/>
          <w:szCs w:val="24"/>
          <w:highlight w:val="none"/>
        </w:rPr>
        <w:t>的工作安排以及境内外旅游等提供方便；</w:t>
      </w:r>
    </w:p>
    <w:p w14:paraId="34679D94">
      <w:pPr>
        <w:widowControl/>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六、不以谋取非正当利益为目的，擅自与参与招标、评标工作的有关人员就业务问题进行私下商谈或者达成利益默契；</w:t>
      </w:r>
    </w:p>
    <w:p w14:paraId="68AD48E0">
      <w:pPr>
        <w:widowControl/>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七、按法律规定及合同约定保修合同工程，履行本合同所约定的全部义务。</w:t>
      </w:r>
    </w:p>
    <w:p w14:paraId="30F00F7F">
      <w:pPr>
        <w:widowControl/>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八、坚决杜绝转包、违法分包、挂靠等违法违规行为，保证发包人免于承担因本公司违反法律或相关规定而引起的任何责任。未经发包人</w:t>
      </w:r>
      <w:r>
        <w:rPr>
          <w:rFonts w:hint="eastAsia" w:ascii="宋体" w:hAnsi="宋体" w:cs="宋体"/>
          <w:color w:val="auto"/>
          <w:sz w:val="24"/>
          <w:szCs w:val="24"/>
          <w:highlight w:val="none"/>
          <w:u w:val="single"/>
          <w:lang w:val="en-US" w:eastAsia="zh-CN"/>
        </w:rPr>
        <w:t>书面</w:t>
      </w:r>
      <w:r>
        <w:rPr>
          <w:rFonts w:hint="eastAsia" w:ascii="宋体" w:hAnsi="宋体" w:cs="宋体"/>
          <w:color w:val="auto"/>
          <w:sz w:val="24"/>
          <w:szCs w:val="24"/>
          <w:highlight w:val="none"/>
        </w:rPr>
        <w:t>同意，不将工程的任何部分或任何工作分包给第三方；依法分包工程的承包人应具有相应承包资质。</w:t>
      </w:r>
    </w:p>
    <w:p w14:paraId="43A0E8FD">
      <w:pPr>
        <w:widowControl/>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九、自觉接受政府有关部门、发包人或其上级主管部门和监理单位等对本工程的监督，并无条件配合政府有关部门、发包人或其上级主管部门指定审计机构开展审计工作。</w:t>
      </w:r>
    </w:p>
    <w:p w14:paraId="4A05B917">
      <w:pPr>
        <w:widowControl/>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十、本公司理解并接受工程实施过程即可同步进行审计或监督工作，接受对工程实施全过程审计，包括且不限于工程计量、设计变更、资金支付、分包管理、结算等。若政府有关部门、发包人或其上级主管部门、监理单位经核查或审计认定本公司有挂靠或转包或违法分包行为之一的，发包人有权单方解除部分合同或解除合同，由此造成的经济损失由本公司承担。本公司自觉接受行政监督部门的行政处罚。</w:t>
      </w:r>
    </w:p>
    <w:p w14:paraId="43672D7E">
      <w:pPr>
        <w:widowControl/>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十一、如因转包、违法分包（含现场施工作业或管理人员被发现不属于总承包单位或已经备案的依法分包单位人员的情形）、挂靠、项目管理不到位、民工工资纠纷等违反合同的行为，发包人或其上级主管部门有权立即开展调查，本公司无条件配合，相关费用由本公司负责。经核查属实，本公司自觉接受相应处罚。</w:t>
      </w:r>
    </w:p>
    <w:p w14:paraId="1E2C28F6">
      <w:pPr>
        <w:widowControl/>
        <w:spacing w:after="135" w:line="400" w:lineRule="exact"/>
        <w:ind w:firstLine="645"/>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本公司违反上述承诺，或本承诺陈述与事实不符，经查实，本公司愿意接受公开通报，承担由此带来的法律后果，并自愿停止参加广州市行政辖区内的招标投标活动三个月。</w:t>
      </w:r>
      <w:r>
        <w:rPr>
          <w:rFonts w:hint="eastAsia" w:ascii="宋体" w:hAnsi="宋体" w:eastAsia="宋体" w:cs="宋体"/>
          <w:color w:val="auto"/>
          <w:sz w:val="24"/>
          <w:szCs w:val="24"/>
          <w:highlight w:val="none"/>
        </w:rPr>
        <w:t>特此承诺</w:t>
      </w:r>
    </w:p>
    <w:p w14:paraId="6C8DF552">
      <w:pPr>
        <w:widowControl/>
        <w:spacing w:line="400" w:lineRule="exact"/>
        <w:ind w:right="-58" w:firstLine="2880"/>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承诺企业：</w:t>
      </w:r>
      <w:r>
        <w:rPr>
          <w:rFonts w:hint="eastAsia" w:ascii="宋体" w:hAnsi="宋体" w:eastAsia="宋体" w:cs="宋体"/>
          <w:color w:val="auto"/>
          <w:sz w:val="24"/>
          <w:szCs w:val="24"/>
          <w:highlight w:val="none"/>
          <w:u w:val="single"/>
        </w:rPr>
        <w:t xml:space="preserve">              (企业公章)</w:t>
      </w:r>
    </w:p>
    <w:p w14:paraId="61234394">
      <w:pPr>
        <w:widowControl/>
        <w:wordWrap w:val="0"/>
        <w:spacing w:line="400" w:lineRule="exact"/>
        <w:ind w:right="165"/>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法定代表人（签字或盖章）：</w:t>
      </w:r>
      <w:r>
        <w:rPr>
          <w:rFonts w:hint="eastAsia" w:ascii="宋体" w:hAnsi="宋体" w:eastAsia="宋体" w:cs="宋体"/>
          <w:color w:val="auto"/>
          <w:sz w:val="24"/>
          <w:szCs w:val="24"/>
          <w:highlight w:val="none"/>
          <w:u w:val="single"/>
        </w:rPr>
        <w:t xml:space="preserve">                     </w:t>
      </w:r>
    </w:p>
    <w:p w14:paraId="4021FE64">
      <w:pPr>
        <w:widowControl/>
        <w:ind w:firstLine="6480" w:firstLineChars="2700"/>
        <w:jc w:val="left"/>
        <w:rPr>
          <w:rFonts w:hint="eastAsia" w:ascii="宋体" w:hAnsi="宋体" w:eastAsia="宋体" w:cs="宋体"/>
          <w:snapToGrid w:val="0"/>
          <w:color w:val="auto"/>
          <w:spacing w:val="4"/>
          <w:kern w:val="0"/>
          <w:sz w:val="24"/>
          <w:szCs w:val="24"/>
          <w:highlight w:val="none"/>
        </w:rPr>
      </w:pPr>
      <w:r>
        <w:rPr>
          <w:rFonts w:hint="eastAsia" w:ascii="宋体" w:hAnsi="宋体" w:eastAsia="宋体" w:cs="宋体"/>
          <w:color w:val="auto"/>
          <w:sz w:val="24"/>
          <w:szCs w:val="24"/>
          <w:highlight w:val="none"/>
        </w:rPr>
        <w:t>年   月    日</w:t>
      </w:r>
    </w:p>
    <w:p w14:paraId="6E204ABA">
      <w:pPr>
        <w:widowControl/>
        <w:tabs>
          <w:tab w:val="center" w:pos="4153"/>
        </w:tabs>
        <w:jc w:val="center"/>
        <w:rPr>
          <w:rFonts w:hint="eastAsia" w:ascii="宋体" w:hAnsi="宋体" w:eastAsia="宋体" w:cs="宋体"/>
          <w:color w:val="auto"/>
          <w:sz w:val="24"/>
          <w:szCs w:val="24"/>
          <w:highlight w:val="none"/>
        </w:rPr>
      </w:pPr>
    </w:p>
    <w:p w14:paraId="7F670BF0">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6AD6EE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★技术标投标文件格式七：</w:t>
      </w:r>
    </w:p>
    <w:p w14:paraId="265EC841">
      <w:pPr>
        <w:pStyle w:val="6"/>
        <w:rPr>
          <w:rFonts w:hint="eastAsia" w:ascii="宋体" w:hAnsi="宋体" w:eastAsia="宋体" w:cs="宋体"/>
          <w:color w:val="auto"/>
          <w:highlight w:val="none"/>
        </w:rPr>
      </w:pPr>
    </w:p>
    <w:p w14:paraId="7EB7FC51">
      <w:pPr>
        <w:pStyle w:val="138"/>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承  诺  书</w:t>
      </w:r>
    </w:p>
    <w:p w14:paraId="63CD7BDB">
      <w:pPr>
        <w:pStyle w:val="134"/>
        <w:spacing w:line="400" w:lineRule="exact"/>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bCs/>
          <w:color w:val="auto"/>
          <w:highlight w:val="none"/>
          <w:u w:val="single"/>
        </w:rPr>
        <w:t>广州市白云城市建设投资有限公司</w:t>
      </w:r>
    </w:p>
    <w:p w14:paraId="1C50C33E">
      <w:pPr>
        <w:pStyle w:val="134"/>
        <w:spacing w:line="400" w:lineRule="exact"/>
        <w:ind w:firstLine="496"/>
        <w:rPr>
          <w:rFonts w:ascii="宋体" w:hAnsi="宋体" w:cs="宋体"/>
          <w:color w:val="auto"/>
          <w:highlight w:val="none"/>
        </w:rPr>
      </w:pPr>
      <w:r>
        <w:rPr>
          <w:rFonts w:hint="eastAsia" w:ascii="宋体" w:hAnsi="宋体" w:cs="宋体"/>
          <w:color w:val="auto"/>
          <w:highlight w:val="none"/>
        </w:rPr>
        <w:t>经详细阅读本工程招标文件、招标答疑纪要和踏勘现场，我司已理解招标人对本招标项目工程管理的高标准及严格要求，在此，我司郑重作出以下承诺：</w:t>
      </w:r>
    </w:p>
    <w:p w14:paraId="03C1120E">
      <w:pPr>
        <w:pStyle w:val="134"/>
        <w:spacing w:line="400" w:lineRule="exact"/>
        <w:ind w:firstLine="496"/>
        <w:rPr>
          <w:rFonts w:ascii="宋体" w:hAnsi="宋体" w:cs="宋体"/>
          <w:color w:val="auto"/>
          <w:highlight w:val="none"/>
        </w:rPr>
      </w:pPr>
      <w:r>
        <w:rPr>
          <w:rFonts w:hint="eastAsia" w:ascii="宋体" w:hAnsi="宋体" w:cs="宋体"/>
          <w:color w:val="auto"/>
          <w:highlight w:val="none"/>
        </w:rPr>
        <w:t>一、我司已按投标须知第5条的要求完成了对现场的踏勘工作，已充分了解施工现场的条件。如若中标，我司理解招标人向投标人提供的有关现场的数据和资料，是招标人现有的能被投标人利用的资料。招标人对投标人做出的任何推论、理解和结论均不需负任何的责任。我司承诺不会因施工期间现场条件发生的任何阻碍而向招标人索赔工期或费用，并保证不因施工期间现场条件发生的任何阻碍而影响投标承诺的竣工日期。</w:t>
      </w:r>
    </w:p>
    <w:p w14:paraId="5B7DB0C3">
      <w:pPr>
        <w:pStyle w:val="134"/>
        <w:spacing w:line="400" w:lineRule="exact"/>
        <w:ind w:firstLine="496"/>
        <w:rPr>
          <w:rFonts w:ascii="宋体" w:hAnsi="宋体" w:cs="宋体"/>
          <w:color w:val="auto"/>
          <w:highlight w:val="none"/>
        </w:rPr>
      </w:pPr>
      <w:r>
        <w:rPr>
          <w:rFonts w:hint="eastAsia" w:ascii="宋体" w:hAnsi="宋体" w:cs="宋体"/>
          <w:color w:val="auto"/>
          <w:highlight w:val="none"/>
        </w:rPr>
        <w:t>二、我司已全面细致熟悉、复核和理解本招标项目招标时的所有图纸、资料和设计文件，已完全理解本工程的特点和设计意图。经认真审查，我司认为本招标项目图纸、资料和设计文件完整，不存在错项、漏项的情况，满足和符合施工要求；如工程实施过程中发生因上述图纸、资料和设计文件不完整而导致的变更，我司承诺在不影响工程顺利推进的前提下，及时主动报招标人审批同意，其中因我司原因而发生的，我司承诺不要求增加任何费用。</w:t>
      </w:r>
    </w:p>
    <w:p w14:paraId="7F7666DD">
      <w:pPr>
        <w:pStyle w:val="134"/>
        <w:spacing w:line="400" w:lineRule="exact"/>
        <w:ind w:firstLine="496"/>
        <w:rPr>
          <w:rFonts w:ascii="宋体" w:hAnsi="宋体" w:cs="宋体"/>
          <w:color w:val="auto"/>
          <w:highlight w:val="none"/>
        </w:rPr>
      </w:pPr>
      <w:r>
        <w:rPr>
          <w:rFonts w:hint="eastAsia" w:ascii="宋体" w:hAnsi="宋体" w:cs="宋体"/>
          <w:color w:val="auto"/>
          <w:highlight w:val="none"/>
        </w:rPr>
        <w:t>三、经认真审查，我司认为本招标项目图纸、资料和设计文件中不存在不能施工、不便于施工的技术问题；施工期间如仍需发生施工工艺、重大技术方案的调整，我司承诺在不影响工程顺利推进的前提下，及时主动报招标人审批同意，其中因我司原因而发生的，我司承诺不要求增加任何费用。</w:t>
      </w:r>
    </w:p>
    <w:p w14:paraId="38AD5D74">
      <w:pPr>
        <w:pStyle w:val="134"/>
        <w:spacing w:line="400" w:lineRule="exact"/>
        <w:ind w:firstLine="496"/>
        <w:rPr>
          <w:rFonts w:ascii="宋体" w:hAnsi="宋体" w:cs="宋体"/>
          <w:color w:val="auto"/>
          <w:highlight w:val="none"/>
        </w:rPr>
      </w:pPr>
      <w:r>
        <w:rPr>
          <w:rFonts w:hint="eastAsia" w:ascii="宋体" w:hAnsi="宋体" w:cs="宋体"/>
          <w:color w:val="auto"/>
          <w:highlight w:val="none"/>
        </w:rPr>
        <w:t>四、经认真进行市场调查，我司承诺本招标项目材料、设备来源有保证，可按投标承诺及时组织到货，无需代换，图纸、资料和设计文件中所要求的条件我司全部能够满足。</w:t>
      </w:r>
    </w:p>
    <w:p w14:paraId="200E1846">
      <w:pPr>
        <w:pStyle w:val="134"/>
        <w:spacing w:line="400" w:lineRule="exact"/>
        <w:ind w:firstLine="496"/>
        <w:rPr>
          <w:rFonts w:ascii="宋体" w:hAnsi="宋体" w:cs="宋体"/>
          <w:color w:val="auto"/>
          <w:spacing w:val="2"/>
          <w:position w:val="2"/>
          <w:highlight w:val="none"/>
        </w:rPr>
      </w:pPr>
      <w:r>
        <w:rPr>
          <w:rFonts w:hint="eastAsia" w:ascii="宋体" w:hAnsi="宋体" w:cs="宋体"/>
          <w:color w:val="auto"/>
          <w:highlight w:val="none"/>
        </w:rPr>
        <w:t>五、</w:t>
      </w:r>
      <w:r>
        <w:rPr>
          <w:rFonts w:hint="eastAsia" w:ascii="宋体" w:hAnsi="宋体" w:cs="宋体"/>
          <w:color w:val="auto"/>
          <w:spacing w:val="2"/>
          <w:position w:val="2"/>
          <w:highlight w:val="none"/>
        </w:rPr>
        <w:t>鉴于本工程的重要性、复杂性和工期的紧迫性，为确保按时、按质完成本工程的施工任务，我司经慎重考虑，承诺按招标文件的要求投入人员。否则，按合同规定处理，并承担违约责任。</w:t>
      </w:r>
    </w:p>
    <w:p w14:paraId="673FFD5A">
      <w:pPr>
        <w:pStyle w:val="134"/>
        <w:spacing w:line="400" w:lineRule="exact"/>
        <w:ind w:firstLine="488"/>
        <w:rPr>
          <w:rFonts w:ascii="宋体" w:hAnsi="宋体" w:cs="宋体"/>
          <w:color w:val="auto"/>
          <w:highlight w:val="none"/>
        </w:rPr>
      </w:pPr>
      <w:r>
        <w:rPr>
          <w:rFonts w:hint="eastAsia" w:ascii="宋体" w:hAnsi="宋体" w:cs="宋体"/>
          <w:color w:val="auto"/>
          <w:spacing w:val="2"/>
          <w:position w:val="2"/>
          <w:highlight w:val="none"/>
        </w:rPr>
        <w:t>六、我方同意所递交的投标文件在投标须知规定的投标有效期内有效，在此期间内我方的投标有可能中标，我方将受此约束。如果在投标有效期内撤回投标或放弃中标资格，给贵方造成的损失，贵方有权要求我方进行赔偿。</w:t>
      </w:r>
    </w:p>
    <w:p w14:paraId="7C97D283">
      <w:pPr>
        <w:pStyle w:val="134"/>
        <w:spacing w:line="400" w:lineRule="exact"/>
        <w:ind w:firstLine="488"/>
        <w:rPr>
          <w:rFonts w:ascii="宋体" w:hAnsi="宋体" w:cs="宋体"/>
          <w:color w:val="auto"/>
          <w:highlight w:val="none"/>
        </w:rPr>
      </w:pPr>
      <w:r>
        <w:rPr>
          <w:rFonts w:hint="eastAsia" w:ascii="宋体" w:hAnsi="宋体" w:cs="宋体"/>
          <w:color w:val="auto"/>
          <w:spacing w:val="2"/>
          <w:position w:val="2"/>
          <w:highlight w:val="none"/>
        </w:rPr>
        <w:t>七、</w:t>
      </w:r>
      <w:r>
        <w:rPr>
          <w:rFonts w:hint="eastAsia" w:ascii="宋体" w:hAnsi="宋体" w:cs="宋体"/>
          <w:color w:val="auto"/>
          <w:highlight w:val="none"/>
        </w:rPr>
        <w:t>如果我司中标，我司承诺自中标通知书发出之日起至本项目工程结算经有权审核部门审定之日止确保建设管理相关单位驻现场办公的交通和办公设备设施等满足招标人的要求，服从招标人统一调配，相关费用已包含在我司中标总价中。</w:t>
      </w:r>
    </w:p>
    <w:p w14:paraId="724C3924">
      <w:pPr>
        <w:pStyle w:val="134"/>
        <w:spacing w:line="400" w:lineRule="exact"/>
        <w:ind w:firstLine="496"/>
        <w:rPr>
          <w:rFonts w:ascii="宋体" w:hAnsi="宋体" w:cs="宋体"/>
          <w:color w:val="auto"/>
          <w:highlight w:val="none"/>
        </w:rPr>
      </w:pPr>
      <w:r>
        <w:rPr>
          <w:rFonts w:hint="eastAsia" w:ascii="宋体" w:hAnsi="宋体" w:cs="宋体"/>
          <w:color w:val="auto"/>
          <w:highlight w:val="none"/>
        </w:rPr>
        <w:t>八、我司已充分阅读并结合我司实际全面理解招标文件第三章合同格式的所有内容，经慎重考虑，我司承诺全面响应招标人提出合同条款的全部内容，并已在投标报价中充分考虑招标人合同管理各项要求可能带来的我司成本增加和我司现场施工与相关管理要求的困难。如果我司的投标被接受，将保证按招标文件规定的时间及合同条款与贵司签订合同，且在办理合同签订手续时积极主动配合招标人，不提出任何违反招标文件合同条款精神的任何书面要求和疑问，否则，同意被视为自动放弃中标，对由此造成的后果由我司承担相应的法律责任。</w:t>
      </w:r>
    </w:p>
    <w:p w14:paraId="54848F0F">
      <w:pPr>
        <w:pStyle w:val="134"/>
        <w:spacing w:line="400" w:lineRule="exact"/>
        <w:ind w:firstLine="496"/>
        <w:rPr>
          <w:rFonts w:ascii="宋体" w:hAnsi="宋体" w:cs="宋体"/>
          <w:bCs/>
          <w:color w:val="auto"/>
          <w:highlight w:val="none"/>
        </w:rPr>
      </w:pPr>
      <w:r>
        <w:rPr>
          <w:rFonts w:hint="eastAsia" w:ascii="宋体" w:hAnsi="宋体" w:cs="宋体"/>
          <w:color w:val="auto"/>
          <w:highlight w:val="none"/>
        </w:rPr>
        <w:t>九、我司保证本工程文明施工和职业健康安全管理方案完全满足国家、省、市政府、主管部门颁布的安全生产规程与规定，完全满足《建筑施工安全检查标准》（JGJ59-2011）、《广州市建设工程现场文明施工管理办法》（穗建质[2008]937号）、《关于进一步规范建设工程施工现场围蔽的通知》（穗建质[2008]1008号）、《广州市城乡建设委员会关于印发广州市加强建筑工地环保管理工作方案的通知(穗建质〔2014〕754号)》、《广州市住房和城乡建设局等9部门关于印发广州市建设工程绿色施工围蔽指导图集（V2.0版）的通知》（穗建质〔2020〕1号）和《广州市建筑工程安全生产措施费管理办法》（穗建筑[2003]106号）各项规定和招标文件要求。否则，愿意无条件接受招标人的任何处罚，直至被清退出场，并为此承担相应的法律责任。</w:t>
      </w:r>
    </w:p>
    <w:p w14:paraId="40C27AB5">
      <w:pPr>
        <w:pStyle w:val="134"/>
        <w:spacing w:line="400" w:lineRule="exact"/>
        <w:ind w:firstLine="472"/>
        <w:rPr>
          <w:rFonts w:ascii="宋体" w:hAnsi="宋体" w:cs="宋体"/>
          <w:bCs/>
          <w:color w:val="auto"/>
          <w:spacing w:val="-2"/>
          <w:highlight w:val="none"/>
        </w:rPr>
      </w:pPr>
      <w:r>
        <w:rPr>
          <w:rFonts w:hint="eastAsia" w:ascii="宋体" w:hAnsi="宋体" w:cs="宋体"/>
          <w:bCs/>
          <w:color w:val="auto"/>
          <w:spacing w:val="-2"/>
          <w:highlight w:val="none"/>
        </w:rPr>
        <w:t>十、</w:t>
      </w:r>
      <w:r>
        <w:rPr>
          <w:rFonts w:hint="eastAsia" w:ascii="宋体" w:hAnsi="宋体" w:cs="宋体"/>
          <w:color w:val="auto"/>
          <w:spacing w:val="-2"/>
          <w:highlight w:val="none"/>
        </w:rPr>
        <w:t>我司保证本工程竣工验收、竣工资料和竣工备案管理完全符合国家、省、市政府、主管部门颁布的竣工验收和档案管理各项规定及招标文件中提出的各项管理要求。</w:t>
      </w:r>
    </w:p>
    <w:p w14:paraId="69867C38">
      <w:pPr>
        <w:pStyle w:val="134"/>
        <w:spacing w:line="400" w:lineRule="exact"/>
        <w:ind w:firstLine="496"/>
        <w:rPr>
          <w:rFonts w:ascii="宋体" w:hAnsi="宋体" w:cs="宋体"/>
          <w:color w:val="auto"/>
          <w:highlight w:val="none"/>
        </w:rPr>
      </w:pPr>
      <w:r>
        <w:rPr>
          <w:rFonts w:hint="eastAsia" w:ascii="宋体" w:hAnsi="宋体" w:cs="宋体"/>
          <w:color w:val="auto"/>
          <w:highlight w:val="none"/>
        </w:rPr>
        <w:t>十一、我司保证在本项目投标中不存在围标、串标</w:t>
      </w:r>
      <w:r>
        <w:rPr>
          <w:rFonts w:hint="eastAsia" w:ascii="宋体" w:hAnsi="宋体" w:cs="宋体"/>
          <w:color w:val="auto"/>
          <w:highlight w:val="none"/>
          <w:u w:val="single"/>
        </w:rPr>
        <w:t>、行贿等欺诈、舞弊</w:t>
      </w:r>
      <w:r>
        <w:rPr>
          <w:rFonts w:hint="eastAsia" w:ascii="宋体" w:hAnsi="宋体" w:cs="宋体"/>
          <w:color w:val="auto"/>
          <w:highlight w:val="none"/>
        </w:rPr>
        <w:t>等违法、违规行为，如经招标监管部门查实存在上述行为，我司同意对由此造成的后果承担相应的法律责任。</w:t>
      </w:r>
    </w:p>
    <w:p w14:paraId="32606F1A">
      <w:pPr>
        <w:pStyle w:val="134"/>
        <w:spacing w:line="400" w:lineRule="exact"/>
        <w:ind w:firstLine="496"/>
        <w:rPr>
          <w:rFonts w:ascii="宋体" w:hAnsi="宋体" w:cs="宋体"/>
          <w:color w:val="auto"/>
          <w:highlight w:val="none"/>
        </w:rPr>
      </w:pPr>
      <w:r>
        <w:rPr>
          <w:rFonts w:hint="eastAsia" w:ascii="宋体" w:hAnsi="宋体" w:cs="宋体"/>
          <w:color w:val="auto"/>
          <w:highlight w:val="none"/>
        </w:rPr>
        <w:t>十二、如果我司中标，我司保证实际投入本项目的人员、材料、机械、设备与我司递交的投标文件一致，且不低于本项目招标文件的要求。若不满足招标文件要求，我司承诺无条件按招标人的要求进行更换，直至招标人满意为止。</w:t>
      </w:r>
    </w:p>
    <w:p w14:paraId="017F202C">
      <w:pPr>
        <w:pStyle w:val="134"/>
        <w:spacing w:line="400" w:lineRule="exact"/>
        <w:ind w:firstLine="496"/>
        <w:rPr>
          <w:rFonts w:ascii="宋体" w:hAnsi="宋体" w:cs="宋体"/>
          <w:color w:val="auto"/>
          <w:highlight w:val="none"/>
        </w:rPr>
      </w:pPr>
      <w:r>
        <w:rPr>
          <w:rFonts w:hint="eastAsia" w:ascii="宋体" w:hAnsi="宋体" w:cs="宋体"/>
          <w:color w:val="auto"/>
          <w:highlight w:val="none"/>
        </w:rPr>
        <w:t>十三、如果我司中标，我司委派的项目负责人将尽职尽责，按合同约定履行项目负责人的各项职责。如项目负责人出现违约行为，招标人对其出具书面《处罚通知书》的，招标人有权拒绝该项目负责人二年内以项目负责人身份参与招标人其他项目的投标。</w:t>
      </w:r>
    </w:p>
    <w:p w14:paraId="00C0C9BD">
      <w:pPr>
        <w:pStyle w:val="134"/>
        <w:spacing w:line="400" w:lineRule="exact"/>
        <w:ind w:firstLine="496"/>
        <w:rPr>
          <w:rFonts w:ascii="宋体" w:hAnsi="宋体" w:cs="宋体"/>
          <w:color w:val="auto"/>
          <w:highlight w:val="none"/>
        </w:rPr>
      </w:pPr>
      <w:r>
        <w:rPr>
          <w:rFonts w:hint="eastAsia" w:ascii="宋体" w:hAnsi="宋体" w:cs="宋体"/>
          <w:color w:val="auto"/>
          <w:highlight w:val="none"/>
        </w:rPr>
        <w:t>十四、如果我司中标，我司按招标文件要求及投标文件依法实施工程分包。如我司投标阶段选择的分包工程或分包单位不满足招标文件要求的，签订合同前将按招标文件要求重新提交分包工程或分包单位报招标人、监理人审核，审批合格方可分包。如出现以下任一情形，我司承诺可分包工程也自行施工，不再分包：</w:t>
      </w:r>
    </w:p>
    <w:p w14:paraId="33B86EC8">
      <w:pPr>
        <w:pStyle w:val="134"/>
        <w:spacing w:line="400" w:lineRule="exact"/>
        <w:ind w:firstLine="496"/>
        <w:rPr>
          <w:rFonts w:ascii="宋体" w:hAnsi="宋体" w:cs="宋体"/>
          <w:color w:val="auto"/>
          <w:highlight w:val="none"/>
        </w:rPr>
      </w:pPr>
      <w:r>
        <w:rPr>
          <w:rFonts w:hint="eastAsia" w:ascii="宋体" w:hAnsi="宋体" w:cs="宋体"/>
          <w:color w:val="auto"/>
          <w:highlight w:val="none"/>
        </w:rPr>
        <w:t>1、投标阶段已明确所有工程均自行施工，不再分包的；</w:t>
      </w:r>
    </w:p>
    <w:p w14:paraId="21038075">
      <w:pPr>
        <w:pStyle w:val="134"/>
        <w:spacing w:line="400" w:lineRule="exact"/>
        <w:ind w:firstLine="496"/>
        <w:rPr>
          <w:rFonts w:ascii="宋体" w:hAnsi="宋体" w:cs="宋体"/>
          <w:color w:val="auto"/>
          <w:highlight w:val="none"/>
        </w:rPr>
      </w:pPr>
      <w:r>
        <w:rPr>
          <w:rFonts w:hint="eastAsia" w:ascii="宋体" w:hAnsi="宋体" w:cs="宋体"/>
          <w:color w:val="auto"/>
          <w:highlight w:val="none"/>
        </w:rPr>
        <w:t>2、合同签订前未按招标文件选择资质合格的分包单位的；</w:t>
      </w:r>
    </w:p>
    <w:p w14:paraId="785AF40E">
      <w:pPr>
        <w:pStyle w:val="134"/>
        <w:spacing w:line="400" w:lineRule="exact"/>
        <w:ind w:firstLine="496"/>
        <w:rPr>
          <w:rFonts w:ascii="宋体" w:hAnsi="宋体" w:cs="宋体"/>
          <w:color w:val="auto"/>
          <w:highlight w:val="none"/>
        </w:rPr>
      </w:pPr>
      <w:r>
        <w:rPr>
          <w:rFonts w:hint="eastAsia" w:ascii="宋体" w:hAnsi="宋体" w:cs="宋体"/>
          <w:color w:val="auto"/>
          <w:highlight w:val="none"/>
        </w:rPr>
        <w:t>3、投标阶段或合同签订时有选择工程分包及分包单位，但分包工程实施之前，我单位放弃工程分包的；</w:t>
      </w:r>
    </w:p>
    <w:p w14:paraId="69EAECAC">
      <w:pPr>
        <w:pStyle w:val="134"/>
        <w:spacing w:line="400" w:lineRule="exact"/>
        <w:ind w:firstLine="496"/>
        <w:rPr>
          <w:rFonts w:ascii="宋体" w:hAnsi="宋体" w:cs="宋体"/>
          <w:color w:val="auto"/>
          <w:highlight w:val="none"/>
        </w:rPr>
      </w:pPr>
      <w:r>
        <w:rPr>
          <w:rFonts w:hint="eastAsia" w:ascii="宋体" w:hAnsi="宋体" w:cs="宋体"/>
          <w:color w:val="auto"/>
          <w:highlight w:val="none"/>
        </w:rPr>
        <w:t>4、我司与分包单位解除合同的。</w:t>
      </w:r>
    </w:p>
    <w:p w14:paraId="543696EE">
      <w:pPr>
        <w:pStyle w:val="134"/>
        <w:spacing w:line="400" w:lineRule="exact"/>
        <w:ind w:firstLine="496"/>
        <w:rPr>
          <w:rFonts w:ascii="宋体" w:hAnsi="宋体" w:cs="宋体"/>
          <w:color w:val="auto"/>
          <w:highlight w:val="none"/>
        </w:rPr>
      </w:pPr>
      <w:r>
        <w:rPr>
          <w:rFonts w:hint="eastAsia" w:ascii="宋体" w:hAnsi="宋体" w:cs="宋体"/>
          <w:color w:val="auto"/>
          <w:highlight w:val="none"/>
        </w:rPr>
        <w:t>十五、如果我司中标，对招标人、监理人为确保工程质量管理和工程进度而下达的调整项目经理部组成人员的指令、通知，我司承诺无条件地在限期内执行并调整到位。</w:t>
      </w:r>
    </w:p>
    <w:p w14:paraId="43FC4492">
      <w:pPr>
        <w:autoSpaceDE w:val="0"/>
        <w:autoSpaceDN w:val="0"/>
        <w:adjustRightInd w:val="0"/>
        <w:spacing w:line="40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十六、如果我司的投标被接受，我司保证将按国家的有关规定制订保证民工工资支付的方案及保证措施，并在资金使用计划表中按月单列需支付的民工工资计划，并保证发包人不因任何由于我司在发放民工工资事宜上而受到任何处罚、诉讼和罚款。</w:t>
      </w:r>
    </w:p>
    <w:p w14:paraId="1919E94E">
      <w:pPr>
        <w:pStyle w:val="134"/>
        <w:spacing w:line="400" w:lineRule="exact"/>
        <w:ind w:firstLine="3472" w:firstLineChars="1400"/>
        <w:rPr>
          <w:rFonts w:hint="eastAsia" w:ascii="宋体" w:hAnsi="宋体" w:eastAsia="宋体" w:cs="宋体"/>
          <w:color w:val="auto"/>
          <w:highlight w:val="none"/>
        </w:rPr>
      </w:pPr>
    </w:p>
    <w:p w14:paraId="7A34DCD2">
      <w:pPr>
        <w:pStyle w:val="134"/>
        <w:spacing w:line="400" w:lineRule="exact"/>
        <w:ind w:firstLine="3472" w:firstLineChars="1400"/>
        <w:rPr>
          <w:rFonts w:hint="eastAsia" w:ascii="宋体" w:hAnsi="宋体" w:eastAsia="宋体" w:cs="宋体"/>
          <w:color w:val="auto"/>
          <w:highlight w:val="none"/>
        </w:rPr>
      </w:pPr>
    </w:p>
    <w:p w14:paraId="1B1807F3">
      <w:pPr>
        <w:pStyle w:val="134"/>
        <w:spacing w:line="400" w:lineRule="exact"/>
        <w:ind w:firstLine="3472" w:firstLineChars="1400"/>
        <w:rPr>
          <w:rFonts w:hint="eastAsia" w:ascii="宋体" w:hAnsi="宋体" w:eastAsia="宋体" w:cs="宋体"/>
          <w:color w:val="auto"/>
          <w:highlight w:val="none"/>
        </w:rPr>
      </w:pPr>
      <w:r>
        <w:rPr>
          <w:rFonts w:hint="eastAsia" w:ascii="宋体" w:hAnsi="宋体" w:eastAsia="宋体" w:cs="宋体"/>
          <w:color w:val="auto"/>
          <w:highlight w:val="none"/>
        </w:rPr>
        <w:t>投标人：　　（盖章）</w:t>
      </w:r>
    </w:p>
    <w:p w14:paraId="3C683C5B">
      <w:pPr>
        <w:pStyle w:val="134"/>
        <w:spacing w:line="400" w:lineRule="exact"/>
        <w:ind w:firstLine="3472" w:firstLineChars="1400"/>
        <w:rPr>
          <w:rFonts w:hint="eastAsia" w:ascii="宋体" w:hAnsi="宋体" w:eastAsia="宋体" w:cs="宋体"/>
          <w:color w:val="auto"/>
          <w:highlight w:val="none"/>
        </w:rPr>
      </w:pPr>
      <w:r>
        <w:rPr>
          <w:rFonts w:hint="eastAsia" w:ascii="宋体" w:hAnsi="宋体" w:eastAsia="宋体" w:cs="宋体"/>
          <w:color w:val="auto"/>
          <w:highlight w:val="none"/>
        </w:rPr>
        <w:t>法定代表人或授权代理人（签字或盖章）：</w:t>
      </w:r>
    </w:p>
    <w:p w14:paraId="3E1EEBED">
      <w:pPr>
        <w:topLinePunct/>
        <w:adjustRightInd w:val="0"/>
        <w:snapToGrid w:val="0"/>
        <w:spacing w:line="400" w:lineRule="exact"/>
        <w:ind w:firstLine="3472" w:firstLineChars="1400"/>
        <w:rPr>
          <w:rFonts w:hint="eastAsia" w:ascii="宋体" w:hAnsi="宋体" w:eastAsia="宋体" w:cs="宋体"/>
          <w:snapToGrid w:val="0"/>
          <w:color w:val="auto"/>
          <w:spacing w:val="4"/>
          <w:kern w:val="0"/>
          <w:sz w:val="24"/>
          <w:szCs w:val="24"/>
          <w:highlight w:val="none"/>
        </w:rPr>
      </w:pPr>
      <w:r>
        <w:rPr>
          <w:rFonts w:hint="eastAsia" w:ascii="宋体" w:hAnsi="宋体" w:eastAsia="宋体" w:cs="宋体"/>
          <w:snapToGrid w:val="0"/>
          <w:color w:val="auto"/>
          <w:spacing w:val="4"/>
          <w:kern w:val="0"/>
          <w:sz w:val="24"/>
          <w:szCs w:val="24"/>
          <w:highlight w:val="none"/>
        </w:rPr>
        <w:t>技术负责人(签字或盖章)：</w:t>
      </w:r>
    </w:p>
    <w:p w14:paraId="52D276BF">
      <w:pPr>
        <w:topLinePunct/>
        <w:adjustRightInd w:val="0"/>
        <w:snapToGrid w:val="0"/>
        <w:spacing w:line="400" w:lineRule="exact"/>
        <w:ind w:firstLine="3472" w:firstLineChars="1400"/>
        <w:rPr>
          <w:rFonts w:hint="eastAsia" w:ascii="宋体" w:hAnsi="宋体" w:eastAsia="宋体" w:cs="宋体"/>
          <w:snapToGrid w:val="0"/>
          <w:color w:val="auto"/>
          <w:spacing w:val="4"/>
          <w:kern w:val="0"/>
          <w:sz w:val="24"/>
          <w:szCs w:val="24"/>
          <w:highlight w:val="none"/>
        </w:rPr>
      </w:pPr>
      <w:r>
        <w:rPr>
          <w:rFonts w:hint="eastAsia" w:ascii="宋体" w:hAnsi="宋体" w:eastAsia="宋体" w:cs="宋体"/>
          <w:snapToGrid w:val="0"/>
          <w:color w:val="auto"/>
          <w:spacing w:val="4"/>
          <w:kern w:val="0"/>
          <w:sz w:val="24"/>
          <w:szCs w:val="24"/>
          <w:highlight w:val="none"/>
        </w:rPr>
        <w:t>项目负责人(签字或盖章)：</w:t>
      </w:r>
    </w:p>
    <w:p w14:paraId="58D73E85">
      <w:pPr>
        <w:pStyle w:val="134"/>
        <w:spacing w:line="400" w:lineRule="exact"/>
        <w:ind w:firstLine="3472" w:firstLineChars="1400"/>
        <w:rPr>
          <w:rFonts w:hint="eastAsia" w:ascii="宋体" w:hAnsi="宋体" w:eastAsia="宋体" w:cs="宋体"/>
          <w:color w:val="auto"/>
          <w:kern w:val="0"/>
          <w:highlight w:val="none"/>
        </w:rPr>
      </w:pPr>
    </w:p>
    <w:p w14:paraId="6DC301F4">
      <w:pPr>
        <w:widowControl/>
        <w:tabs>
          <w:tab w:val="center" w:pos="4153"/>
        </w:tabs>
        <w:ind w:firstLine="3570" w:firstLineChars="1700"/>
        <w:rPr>
          <w:rFonts w:hint="eastAsia" w:ascii="宋体" w:hAnsi="宋体" w:eastAsia="宋体" w:cs="宋体"/>
          <w:color w:val="auto"/>
          <w:sz w:val="24"/>
          <w:szCs w:val="24"/>
          <w:highlight w:val="none"/>
        </w:rPr>
      </w:pPr>
      <w:r>
        <w:rPr>
          <w:rFonts w:hint="eastAsia" w:ascii="宋体" w:hAnsi="宋体" w:eastAsia="宋体" w:cs="宋体"/>
          <w:color w:val="auto"/>
          <w:highlight w:val="none"/>
        </w:rPr>
        <w:t>日期：     年   月   日</w:t>
      </w:r>
    </w:p>
    <w:p w14:paraId="797C6FF1">
      <w:pPr>
        <w:widowControl/>
        <w:tabs>
          <w:tab w:val="center" w:pos="4153"/>
        </w:tabs>
        <w:jc w:val="left"/>
        <w:rPr>
          <w:rFonts w:hint="eastAsia" w:ascii="宋体" w:hAnsi="宋体" w:eastAsia="宋体" w:cs="宋体"/>
          <w:snapToGrid w:val="0"/>
          <w:color w:val="auto"/>
          <w:spacing w:val="4"/>
          <w:kern w:val="0"/>
          <w:sz w:val="24"/>
          <w:szCs w:val="24"/>
          <w:highlight w:val="none"/>
        </w:rPr>
      </w:pPr>
      <w:r>
        <w:rPr>
          <w:rFonts w:hint="eastAsia" w:ascii="宋体" w:hAnsi="宋体" w:eastAsia="宋体" w:cs="宋体"/>
          <w:color w:val="auto"/>
          <w:sz w:val="24"/>
          <w:szCs w:val="24"/>
          <w:highlight w:val="none"/>
        </w:rPr>
        <w:br w:type="page"/>
      </w:r>
    </w:p>
    <w:p w14:paraId="41B59EC1">
      <w:pPr>
        <w:spacing w:line="360" w:lineRule="auto"/>
        <w:rPr>
          <w:rFonts w:hint="eastAsia" w:ascii="宋体" w:hAnsi="宋体" w:eastAsia="宋体" w:cs="宋体"/>
          <w:color w:val="auto"/>
          <w:sz w:val="24"/>
          <w:highlight w:val="none"/>
        </w:rPr>
      </w:pPr>
      <w:r>
        <w:rPr>
          <w:rFonts w:hint="eastAsia" w:ascii="宋体" w:hAnsi="宋体" w:eastAsia="宋体" w:cs="宋体"/>
          <w:snapToGrid w:val="0"/>
          <w:color w:val="auto"/>
          <w:spacing w:val="4"/>
          <w:kern w:val="0"/>
          <w:sz w:val="24"/>
          <w:szCs w:val="24"/>
          <w:highlight w:val="none"/>
        </w:rPr>
        <w:tab/>
      </w:r>
      <w:r>
        <w:rPr>
          <w:rFonts w:hint="eastAsia" w:ascii="宋体" w:hAnsi="宋体" w:eastAsia="宋体" w:cs="宋体"/>
          <w:snapToGrid w:val="0"/>
          <w:color w:val="auto"/>
          <w:spacing w:val="4"/>
          <w:kern w:val="0"/>
          <w:sz w:val="24"/>
          <w:szCs w:val="24"/>
          <w:highlight w:val="none"/>
        </w:rPr>
        <w:t>★</w:t>
      </w:r>
      <w:r>
        <w:rPr>
          <w:rFonts w:hint="eastAsia" w:ascii="宋体" w:hAnsi="宋体" w:eastAsia="宋体" w:cs="宋体"/>
          <w:color w:val="auto"/>
          <w:sz w:val="24"/>
          <w:highlight w:val="none"/>
        </w:rPr>
        <w:t>技术标投标文件格式八：</w:t>
      </w:r>
    </w:p>
    <w:p w14:paraId="43584E47">
      <w:pPr>
        <w:spacing w:line="360" w:lineRule="auto"/>
        <w:ind w:firstLine="3235" w:firstLineChars="895"/>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投  标  函</w:t>
      </w:r>
    </w:p>
    <w:p w14:paraId="66A4BCDC">
      <w:pPr>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致：</w:t>
      </w:r>
      <w:r>
        <w:rPr>
          <w:rFonts w:hint="eastAsia" w:ascii="宋体" w:hAnsi="宋体" w:eastAsia="宋体" w:cs="宋体"/>
          <w:b/>
          <w:color w:val="auto"/>
          <w:sz w:val="24"/>
          <w:szCs w:val="24"/>
          <w:highlight w:val="none"/>
          <w:u w:val="single"/>
        </w:rPr>
        <w:t>广州市白云城市建设投资有限公司</w:t>
      </w:r>
    </w:p>
    <w:p w14:paraId="50D2A916">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1.根据已收到贵方的项目编号为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工程的招标文件，并已详细审核了全部招标文件及有关附件。</w:t>
      </w:r>
    </w:p>
    <w:p w14:paraId="56BC1261">
      <w:pPr>
        <w:snapToGrid w:val="0"/>
        <w:spacing w:line="400" w:lineRule="exact"/>
        <w:ind w:firstLine="523"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照《中华人民共和国招标投标法》、《中华人民共和国招标投标法实施条例》、《广东省实施〈中华人民共和国招标投标法〉办法》、等有关规定，经考察现场和研究上述招标文件的投标须知、合同条款、标准和技术规范、图纸、工程量清单及其他有关文件后，我方承诺：</w:t>
      </w:r>
    </w:p>
    <w:p w14:paraId="3AA1D7AA">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愿以经济标中的投标报价并按上述合同条款、标准和技术规范、图纸、工程量清单等的要求承包上述工程的施工、竣工并修补其任何缺陷。</w:t>
      </w:r>
    </w:p>
    <w:p w14:paraId="0D7C7586">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我方同意所递交的投标文件在投标须知规定的投标有效期内有效，在此期间内我方的投标有可能中标，我方将受此约束。如果在投标有效期内撤销投标文件或放弃中标资格，给贵方造成的损失，贵方有权要求我方进行赔偿。</w:t>
      </w:r>
    </w:p>
    <w:p w14:paraId="4004A6CD">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4.我方理解贵方将不受必须接受你们所收到的最低标价或其它任何投标文件的约束。</w:t>
      </w:r>
    </w:p>
    <w:p w14:paraId="06D21713">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5.如果我方中标，我方保证按招标文件中规定的工期，在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日历天内完成并移交本工程，质量标准达到招标文件中的要求。</w:t>
      </w:r>
    </w:p>
    <w:p w14:paraId="3DBB4430">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6.如果我方中标，我方将按照规定递交由招标人认可，并在招标文件中规定金额的履约保函。</w:t>
      </w:r>
    </w:p>
    <w:p w14:paraId="14083A5E">
      <w:pPr>
        <w:spacing w:line="4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7.除非另外达成协议并生效，贵方的中标通知书和本投标文件将成为约束双方的合同文件的组成部分。</w:t>
      </w:r>
    </w:p>
    <w:p w14:paraId="5C18A0B1">
      <w:pPr>
        <w:spacing w:line="4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8、如果我方中标，我方将实行项目经理负责制，并按投标文件配备项目管理班子。如未经招标人同意更换项目班子成员，招标人有权取消我公司的中标资格或单方面终止合同，</w:t>
      </w:r>
      <w:r>
        <w:rPr>
          <w:rFonts w:hint="eastAsia" w:ascii="宋体" w:hAnsi="宋体" w:cs="宋体"/>
          <w:color w:val="auto"/>
          <w:sz w:val="24"/>
          <w:szCs w:val="24"/>
          <w:highlight w:val="none"/>
          <w:u w:val="single"/>
        </w:rPr>
        <w:t>我公司承担全部违约责任及由此产生的所有损失的赔偿责任</w:t>
      </w:r>
      <w:r>
        <w:rPr>
          <w:rFonts w:hint="eastAsia" w:ascii="宋体" w:hAnsi="宋体" w:eastAsia="宋体" w:cs="宋体"/>
          <w:color w:val="auto"/>
          <w:sz w:val="24"/>
          <w:szCs w:val="24"/>
          <w:highlight w:val="none"/>
        </w:rPr>
        <w:t>。</w:t>
      </w:r>
    </w:p>
    <w:p w14:paraId="16EEC763">
      <w:pPr>
        <w:spacing w:line="400" w:lineRule="exact"/>
        <w:ind w:firstLine="480"/>
        <w:rPr>
          <w:rFonts w:hint="eastAsia" w:ascii="宋体" w:hAnsi="宋体" w:eastAsia="宋体" w:cs="宋体"/>
          <w:color w:val="auto"/>
          <w:sz w:val="24"/>
          <w:szCs w:val="24"/>
          <w:highlight w:val="none"/>
        </w:rPr>
      </w:pPr>
    </w:p>
    <w:p w14:paraId="3451CF97">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            </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签名或盖章</w:t>
      </w:r>
      <w:r>
        <w:rPr>
          <w:rFonts w:hint="eastAsia" w:ascii="宋体" w:hAnsi="宋体" w:cs="宋体"/>
          <w:color w:val="auto"/>
          <w:sz w:val="24"/>
          <w:szCs w:val="24"/>
          <w:highlight w:val="none"/>
          <w:lang w:eastAsia="zh-CN"/>
        </w:rPr>
        <w:t>）</w:t>
      </w:r>
    </w:p>
    <w:p w14:paraId="70ADE1EA">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投标人企业公章：                         </w:t>
      </w:r>
    </w:p>
    <w:p w14:paraId="33221D2D">
      <w:pPr>
        <w:spacing w:line="4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日期：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日</w:t>
      </w:r>
    </w:p>
    <w:p w14:paraId="2DFA758C">
      <w:pPr>
        <w:pStyle w:val="134"/>
        <w:spacing w:line="400" w:lineRule="exact"/>
        <w:ind w:firstLine="496"/>
        <w:rPr>
          <w:rFonts w:hint="eastAsia" w:ascii="宋体" w:hAnsi="宋体" w:eastAsia="宋体" w:cs="宋体"/>
          <w:color w:val="auto"/>
          <w:highlight w:val="none"/>
        </w:rPr>
      </w:pPr>
    </w:p>
    <w:p w14:paraId="07A3C7AD">
      <w:pPr>
        <w:pStyle w:val="134"/>
        <w:ind w:firstLine="496"/>
        <w:rPr>
          <w:rFonts w:hint="eastAsia" w:ascii="宋体" w:hAnsi="宋体" w:eastAsia="宋体" w:cs="宋体"/>
          <w:color w:val="auto"/>
          <w:highlight w:val="none"/>
        </w:rPr>
      </w:pPr>
    </w:p>
    <w:p w14:paraId="5EC4AD9C">
      <w:pPr>
        <w:pStyle w:val="134"/>
        <w:ind w:firstLine="496"/>
        <w:rPr>
          <w:rFonts w:hint="eastAsia" w:ascii="宋体" w:hAnsi="宋体" w:eastAsia="宋体" w:cs="宋体"/>
          <w:color w:val="auto"/>
          <w:highlight w:val="none"/>
        </w:rPr>
      </w:pPr>
    </w:p>
    <w:p w14:paraId="59C4FF1A">
      <w:pPr>
        <w:pStyle w:val="6"/>
        <w:rPr>
          <w:rFonts w:hint="eastAsia" w:ascii="宋体" w:hAnsi="宋体" w:eastAsia="宋体" w:cs="宋体"/>
          <w:color w:val="auto"/>
          <w:sz w:val="24"/>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w:t>
      </w:r>
      <w:r>
        <w:rPr>
          <w:rFonts w:hint="eastAsia" w:ascii="宋体" w:hAnsi="宋体" w:eastAsia="宋体" w:cs="宋体"/>
          <w:color w:val="auto"/>
          <w:sz w:val="24"/>
          <w:highlight w:val="none"/>
        </w:rPr>
        <w:t>技术标投标文件格式九：</w:t>
      </w:r>
    </w:p>
    <w:tbl>
      <w:tblPr>
        <w:tblStyle w:val="34"/>
        <w:tblW w:w="8523" w:type="dxa"/>
        <w:tblInd w:w="0" w:type="dxa"/>
        <w:tblLayout w:type="fixed"/>
        <w:tblCellMar>
          <w:top w:w="0" w:type="dxa"/>
          <w:left w:w="108" w:type="dxa"/>
          <w:bottom w:w="0" w:type="dxa"/>
          <w:right w:w="108" w:type="dxa"/>
        </w:tblCellMar>
      </w:tblPr>
      <w:tblGrid>
        <w:gridCol w:w="798"/>
        <w:gridCol w:w="1454"/>
        <w:gridCol w:w="1795"/>
        <w:gridCol w:w="1795"/>
        <w:gridCol w:w="2681"/>
      </w:tblGrid>
      <w:tr w14:paraId="38AFF2BE">
        <w:tblPrEx>
          <w:tblCellMar>
            <w:top w:w="0" w:type="dxa"/>
            <w:left w:w="108" w:type="dxa"/>
            <w:bottom w:w="0" w:type="dxa"/>
            <w:right w:w="108" w:type="dxa"/>
          </w:tblCellMar>
        </w:tblPrEx>
        <w:trPr>
          <w:trHeight w:val="1159" w:hRule="atLeast"/>
        </w:trPr>
        <w:tc>
          <w:tcPr>
            <w:tcW w:w="8523" w:type="dxa"/>
            <w:gridSpan w:val="5"/>
            <w:tcBorders>
              <w:top w:val="nil"/>
              <w:left w:val="nil"/>
              <w:bottom w:val="single" w:color="auto" w:sz="4" w:space="0"/>
              <w:right w:val="nil"/>
            </w:tcBorders>
            <w:vAlign w:val="center"/>
          </w:tcPr>
          <w:p w14:paraId="590A05C3">
            <w:pPr>
              <w:widowControl/>
              <w:jc w:val="center"/>
              <w:rPr>
                <w:rFonts w:hint="eastAsia" w:ascii="宋体" w:hAnsi="宋体" w:eastAsia="宋体" w:cs="宋体"/>
                <w:b/>
                <w:bCs/>
                <w:color w:val="auto"/>
                <w:kern w:val="0"/>
                <w:sz w:val="32"/>
                <w:szCs w:val="32"/>
                <w:highlight w:val="none"/>
              </w:rPr>
            </w:pPr>
            <w:bookmarkStart w:id="26" w:name="_Hlk61439518"/>
            <w:r>
              <w:rPr>
                <w:rFonts w:hint="eastAsia" w:ascii="宋体" w:hAnsi="宋体" w:eastAsia="宋体" w:cs="宋体"/>
                <w:b/>
                <w:bCs/>
                <w:color w:val="auto"/>
                <w:kern w:val="0"/>
                <w:sz w:val="32"/>
                <w:szCs w:val="32"/>
                <w:highlight w:val="none"/>
              </w:rPr>
              <w:t>施工项目管理团队人员信息表</w:t>
            </w:r>
            <w:bookmarkEnd w:id="26"/>
          </w:p>
        </w:tc>
      </w:tr>
      <w:tr w14:paraId="2960C8B7">
        <w:tblPrEx>
          <w:tblCellMar>
            <w:top w:w="0" w:type="dxa"/>
            <w:left w:w="108" w:type="dxa"/>
            <w:bottom w:w="0" w:type="dxa"/>
            <w:right w:w="108" w:type="dxa"/>
          </w:tblCellMar>
        </w:tblPrEx>
        <w:trPr>
          <w:trHeight w:val="975" w:hRule="atLeast"/>
        </w:trPr>
        <w:tc>
          <w:tcPr>
            <w:tcW w:w="798" w:type="dxa"/>
            <w:tcBorders>
              <w:top w:val="nil"/>
              <w:left w:val="single" w:color="auto" w:sz="4" w:space="0"/>
              <w:bottom w:val="single" w:color="auto" w:sz="4" w:space="0"/>
              <w:right w:val="single" w:color="auto" w:sz="4" w:space="0"/>
            </w:tcBorders>
            <w:vAlign w:val="center"/>
          </w:tcPr>
          <w:p w14:paraId="2D39743F">
            <w:pPr>
              <w:widowControl/>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序号</w:t>
            </w:r>
          </w:p>
        </w:tc>
        <w:tc>
          <w:tcPr>
            <w:tcW w:w="1454" w:type="dxa"/>
            <w:tcBorders>
              <w:top w:val="nil"/>
              <w:left w:val="nil"/>
              <w:bottom w:val="single" w:color="auto" w:sz="4" w:space="0"/>
              <w:right w:val="single" w:color="auto" w:sz="4" w:space="0"/>
            </w:tcBorders>
            <w:vAlign w:val="center"/>
          </w:tcPr>
          <w:p w14:paraId="28D4EDC3">
            <w:pPr>
              <w:widowControl/>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姓名</w:t>
            </w:r>
          </w:p>
        </w:tc>
        <w:tc>
          <w:tcPr>
            <w:tcW w:w="1795" w:type="dxa"/>
            <w:tcBorders>
              <w:top w:val="nil"/>
              <w:left w:val="nil"/>
              <w:bottom w:val="single" w:color="auto" w:sz="4" w:space="0"/>
              <w:right w:val="single" w:color="auto" w:sz="4" w:space="0"/>
            </w:tcBorders>
            <w:vAlign w:val="center"/>
          </w:tcPr>
          <w:p w14:paraId="11B3E4DB">
            <w:pPr>
              <w:widowControl/>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岗位</w:t>
            </w:r>
          </w:p>
        </w:tc>
        <w:tc>
          <w:tcPr>
            <w:tcW w:w="1795" w:type="dxa"/>
            <w:tcBorders>
              <w:top w:val="nil"/>
              <w:left w:val="nil"/>
              <w:bottom w:val="single" w:color="auto" w:sz="4" w:space="0"/>
              <w:right w:val="single" w:color="auto" w:sz="4" w:space="0"/>
            </w:tcBorders>
            <w:vAlign w:val="center"/>
          </w:tcPr>
          <w:p w14:paraId="29174150">
            <w:pPr>
              <w:widowControl/>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职称</w:t>
            </w:r>
          </w:p>
        </w:tc>
        <w:tc>
          <w:tcPr>
            <w:tcW w:w="2681" w:type="dxa"/>
            <w:tcBorders>
              <w:top w:val="nil"/>
              <w:left w:val="nil"/>
              <w:bottom w:val="single" w:color="auto" w:sz="4" w:space="0"/>
              <w:right w:val="single" w:color="auto" w:sz="4" w:space="0"/>
            </w:tcBorders>
            <w:vAlign w:val="center"/>
          </w:tcPr>
          <w:p w14:paraId="731EE1F2">
            <w:pPr>
              <w:widowControl/>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职称证书或资格证书编号</w:t>
            </w:r>
          </w:p>
        </w:tc>
      </w:tr>
      <w:tr w14:paraId="4A76AFCF">
        <w:tblPrEx>
          <w:tblCellMar>
            <w:top w:w="0" w:type="dxa"/>
            <w:left w:w="108" w:type="dxa"/>
            <w:bottom w:w="0" w:type="dxa"/>
            <w:right w:w="108" w:type="dxa"/>
          </w:tblCellMar>
        </w:tblPrEx>
        <w:trPr>
          <w:trHeight w:val="399" w:hRule="atLeast"/>
        </w:trPr>
        <w:tc>
          <w:tcPr>
            <w:tcW w:w="798" w:type="dxa"/>
            <w:tcBorders>
              <w:top w:val="nil"/>
              <w:left w:val="single" w:color="auto" w:sz="4" w:space="0"/>
              <w:bottom w:val="single" w:color="auto" w:sz="4" w:space="0"/>
              <w:right w:val="single" w:color="auto" w:sz="4" w:space="0"/>
            </w:tcBorders>
            <w:vAlign w:val="center"/>
          </w:tcPr>
          <w:p w14:paraId="4329A3E8">
            <w:pPr>
              <w:widowControl/>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w:t>
            </w:r>
          </w:p>
        </w:tc>
        <w:tc>
          <w:tcPr>
            <w:tcW w:w="1454" w:type="dxa"/>
            <w:tcBorders>
              <w:top w:val="nil"/>
              <w:left w:val="nil"/>
              <w:bottom w:val="single" w:color="auto" w:sz="4" w:space="0"/>
              <w:right w:val="single" w:color="auto" w:sz="4" w:space="0"/>
            </w:tcBorders>
            <w:vAlign w:val="center"/>
          </w:tcPr>
          <w:p w14:paraId="4EDBC9AD">
            <w:pPr>
              <w:widowControl/>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1795" w:type="dxa"/>
            <w:tcBorders>
              <w:top w:val="nil"/>
              <w:left w:val="nil"/>
              <w:bottom w:val="single" w:color="auto" w:sz="4" w:space="0"/>
              <w:right w:val="single" w:color="auto" w:sz="4" w:space="0"/>
            </w:tcBorders>
            <w:vAlign w:val="center"/>
          </w:tcPr>
          <w:p w14:paraId="018560D4">
            <w:pPr>
              <w:widowControl/>
              <w:jc w:val="center"/>
              <w:rPr>
                <w:rFonts w:hint="eastAsia" w:ascii="宋体" w:hAnsi="宋体" w:eastAsia="宋体" w:cs="宋体"/>
                <w:color w:val="auto"/>
                <w:kern w:val="0"/>
                <w:sz w:val="28"/>
                <w:szCs w:val="28"/>
                <w:highlight w:val="none"/>
              </w:rPr>
            </w:pPr>
          </w:p>
        </w:tc>
        <w:tc>
          <w:tcPr>
            <w:tcW w:w="1795" w:type="dxa"/>
            <w:tcBorders>
              <w:top w:val="nil"/>
              <w:left w:val="nil"/>
              <w:bottom w:val="single" w:color="auto" w:sz="4" w:space="0"/>
              <w:right w:val="single" w:color="auto" w:sz="4" w:space="0"/>
            </w:tcBorders>
            <w:vAlign w:val="center"/>
          </w:tcPr>
          <w:p w14:paraId="22546383">
            <w:pPr>
              <w:widowControl/>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2681" w:type="dxa"/>
            <w:tcBorders>
              <w:top w:val="nil"/>
              <w:left w:val="nil"/>
              <w:bottom w:val="single" w:color="auto" w:sz="4" w:space="0"/>
              <w:right w:val="single" w:color="auto" w:sz="4" w:space="0"/>
            </w:tcBorders>
            <w:vAlign w:val="center"/>
          </w:tcPr>
          <w:p w14:paraId="201FAE0B">
            <w:pPr>
              <w:widowControl/>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r>
      <w:tr w14:paraId="08954976">
        <w:tblPrEx>
          <w:tblCellMar>
            <w:top w:w="0" w:type="dxa"/>
            <w:left w:w="108" w:type="dxa"/>
            <w:bottom w:w="0" w:type="dxa"/>
            <w:right w:w="108" w:type="dxa"/>
          </w:tblCellMar>
        </w:tblPrEx>
        <w:trPr>
          <w:trHeight w:val="555" w:hRule="atLeast"/>
        </w:trPr>
        <w:tc>
          <w:tcPr>
            <w:tcW w:w="798" w:type="dxa"/>
            <w:tcBorders>
              <w:top w:val="nil"/>
              <w:left w:val="single" w:color="auto" w:sz="4" w:space="0"/>
              <w:bottom w:val="single" w:color="auto" w:sz="4" w:space="0"/>
              <w:right w:val="single" w:color="auto" w:sz="4" w:space="0"/>
            </w:tcBorders>
            <w:vAlign w:val="center"/>
          </w:tcPr>
          <w:p w14:paraId="552A36E4">
            <w:pPr>
              <w:widowControl/>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w:t>
            </w:r>
          </w:p>
        </w:tc>
        <w:tc>
          <w:tcPr>
            <w:tcW w:w="1454" w:type="dxa"/>
            <w:tcBorders>
              <w:top w:val="nil"/>
              <w:left w:val="nil"/>
              <w:bottom w:val="single" w:color="auto" w:sz="4" w:space="0"/>
              <w:right w:val="single" w:color="auto" w:sz="4" w:space="0"/>
            </w:tcBorders>
            <w:vAlign w:val="center"/>
          </w:tcPr>
          <w:p w14:paraId="3D1F6BAD">
            <w:pPr>
              <w:widowControl/>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1795" w:type="dxa"/>
            <w:tcBorders>
              <w:top w:val="nil"/>
              <w:left w:val="nil"/>
              <w:bottom w:val="single" w:color="auto" w:sz="4" w:space="0"/>
              <w:right w:val="single" w:color="auto" w:sz="4" w:space="0"/>
            </w:tcBorders>
            <w:vAlign w:val="center"/>
          </w:tcPr>
          <w:p w14:paraId="23C8CED5">
            <w:pPr>
              <w:widowControl/>
              <w:jc w:val="center"/>
              <w:rPr>
                <w:rFonts w:hint="eastAsia" w:ascii="宋体" w:hAnsi="宋体" w:eastAsia="宋体" w:cs="宋体"/>
                <w:color w:val="auto"/>
                <w:kern w:val="0"/>
                <w:sz w:val="28"/>
                <w:szCs w:val="28"/>
                <w:highlight w:val="none"/>
              </w:rPr>
            </w:pPr>
          </w:p>
        </w:tc>
        <w:tc>
          <w:tcPr>
            <w:tcW w:w="1795" w:type="dxa"/>
            <w:tcBorders>
              <w:top w:val="nil"/>
              <w:left w:val="nil"/>
              <w:bottom w:val="single" w:color="auto" w:sz="4" w:space="0"/>
              <w:right w:val="single" w:color="auto" w:sz="4" w:space="0"/>
            </w:tcBorders>
            <w:vAlign w:val="center"/>
          </w:tcPr>
          <w:p w14:paraId="2D05114C">
            <w:pPr>
              <w:widowControl/>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2681" w:type="dxa"/>
            <w:tcBorders>
              <w:top w:val="nil"/>
              <w:left w:val="nil"/>
              <w:bottom w:val="single" w:color="auto" w:sz="4" w:space="0"/>
              <w:right w:val="single" w:color="auto" w:sz="4" w:space="0"/>
            </w:tcBorders>
            <w:vAlign w:val="center"/>
          </w:tcPr>
          <w:p w14:paraId="59715642">
            <w:pPr>
              <w:widowControl/>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r>
      <w:tr w14:paraId="1D6743FC">
        <w:tblPrEx>
          <w:tblCellMar>
            <w:top w:w="0" w:type="dxa"/>
            <w:left w:w="108" w:type="dxa"/>
            <w:bottom w:w="0" w:type="dxa"/>
            <w:right w:w="108" w:type="dxa"/>
          </w:tblCellMar>
        </w:tblPrEx>
        <w:trPr>
          <w:trHeight w:val="555" w:hRule="atLeast"/>
        </w:trPr>
        <w:tc>
          <w:tcPr>
            <w:tcW w:w="798" w:type="dxa"/>
            <w:tcBorders>
              <w:top w:val="nil"/>
              <w:left w:val="single" w:color="auto" w:sz="4" w:space="0"/>
              <w:bottom w:val="single" w:color="auto" w:sz="4" w:space="0"/>
              <w:right w:val="single" w:color="auto" w:sz="4" w:space="0"/>
            </w:tcBorders>
            <w:vAlign w:val="center"/>
          </w:tcPr>
          <w:p w14:paraId="68AB5F82">
            <w:pPr>
              <w:widowControl/>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w:t>
            </w:r>
          </w:p>
        </w:tc>
        <w:tc>
          <w:tcPr>
            <w:tcW w:w="1454" w:type="dxa"/>
            <w:tcBorders>
              <w:top w:val="nil"/>
              <w:left w:val="nil"/>
              <w:bottom w:val="single" w:color="auto" w:sz="4" w:space="0"/>
              <w:right w:val="single" w:color="auto" w:sz="4" w:space="0"/>
            </w:tcBorders>
            <w:vAlign w:val="center"/>
          </w:tcPr>
          <w:p w14:paraId="6AAFE488">
            <w:pPr>
              <w:widowControl/>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1795" w:type="dxa"/>
            <w:tcBorders>
              <w:top w:val="nil"/>
              <w:left w:val="nil"/>
              <w:bottom w:val="single" w:color="auto" w:sz="4" w:space="0"/>
              <w:right w:val="single" w:color="auto" w:sz="4" w:space="0"/>
            </w:tcBorders>
            <w:vAlign w:val="center"/>
          </w:tcPr>
          <w:p w14:paraId="03F39B57">
            <w:pPr>
              <w:widowControl/>
              <w:jc w:val="center"/>
              <w:rPr>
                <w:rFonts w:hint="eastAsia" w:ascii="宋体" w:hAnsi="宋体" w:eastAsia="宋体" w:cs="宋体"/>
                <w:color w:val="auto"/>
                <w:kern w:val="0"/>
                <w:sz w:val="28"/>
                <w:szCs w:val="28"/>
                <w:highlight w:val="none"/>
              </w:rPr>
            </w:pPr>
          </w:p>
        </w:tc>
        <w:tc>
          <w:tcPr>
            <w:tcW w:w="1795" w:type="dxa"/>
            <w:tcBorders>
              <w:top w:val="nil"/>
              <w:left w:val="nil"/>
              <w:bottom w:val="single" w:color="auto" w:sz="4" w:space="0"/>
              <w:right w:val="single" w:color="auto" w:sz="4" w:space="0"/>
            </w:tcBorders>
            <w:vAlign w:val="center"/>
          </w:tcPr>
          <w:p w14:paraId="39CA206F">
            <w:pPr>
              <w:widowControl/>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2681" w:type="dxa"/>
            <w:tcBorders>
              <w:top w:val="nil"/>
              <w:left w:val="nil"/>
              <w:bottom w:val="single" w:color="auto" w:sz="4" w:space="0"/>
              <w:right w:val="single" w:color="auto" w:sz="4" w:space="0"/>
            </w:tcBorders>
            <w:vAlign w:val="center"/>
          </w:tcPr>
          <w:p w14:paraId="228DA870">
            <w:pPr>
              <w:widowControl/>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r>
      <w:tr w14:paraId="46DEFD4B">
        <w:tblPrEx>
          <w:tblCellMar>
            <w:top w:w="0" w:type="dxa"/>
            <w:left w:w="108" w:type="dxa"/>
            <w:bottom w:w="0" w:type="dxa"/>
            <w:right w:w="108" w:type="dxa"/>
          </w:tblCellMar>
        </w:tblPrEx>
        <w:trPr>
          <w:trHeight w:val="555" w:hRule="atLeast"/>
        </w:trPr>
        <w:tc>
          <w:tcPr>
            <w:tcW w:w="798" w:type="dxa"/>
            <w:tcBorders>
              <w:top w:val="nil"/>
              <w:left w:val="single" w:color="auto" w:sz="4" w:space="0"/>
              <w:bottom w:val="single" w:color="auto" w:sz="4" w:space="0"/>
              <w:right w:val="single" w:color="auto" w:sz="4" w:space="0"/>
            </w:tcBorders>
            <w:vAlign w:val="center"/>
          </w:tcPr>
          <w:p w14:paraId="28C66702">
            <w:pPr>
              <w:widowControl/>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4</w:t>
            </w:r>
          </w:p>
        </w:tc>
        <w:tc>
          <w:tcPr>
            <w:tcW w:w="1454" w:type="dxa"/>
            <w:tcBorders>
              <w:top w:val="nil"/>
              <w:left w:val="nil"/>
              <w:bottom w:val="single" w:color="auto" w:sz="4" w:space="0"/>
              <w:right w:val="single" w:color="auto" w:sz="4" w:space="0"/>
            </w:tcBorders>
            <w:vAlign w:val="center"/>
          </w:tcPr>
          <w:p w14:paraId="1CB817C6">
            <w:pPr>
              <w:widowControl/>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1795" w:type="dxa"/>
            <w:tcBorders>
              <w:top w:val="nil"/>
              <w:left w:val="nil"/>
              <w:bottom w:val="single" w:color="auto" w:sz="4" w:space="0"/>
              <w:right w:val="single" w:color="auto" w:sz="4" w:space="0"/>
            </w:tcBorders>
            <w:vAlign w:val="center"/>
          </w:tcPr>
          <w:p w14:paraId="43C4772A">
            <w:pPr>
              <w:widowControl/>
              <w:jc w:val="center"/>
              <w:rPr>
                <w:rFonts w:hint="eastAsia" w:ascii="宋体" w:hAnsi="宋体" w:eastAsia="宋体" w:cs="宋体"/>
                <w:color w:val="auto"/>
                <w:kern w:val="0"/>
                <w:sz w:val="28"/>
                <w:szCs w:val="28"/>
                <w:highlight w:val="none"/>
              </w:rPr>
            </w:pPr>
          </w:p>
        </w:tc>
        <w:tc>
          <w:tcPr>
            <w:tcW w:w="1795" w:type="dxa"/>
            <w:tcBorders>
              <w:top w:val="nil"/>
              <w:left w:val="nil"/>
              <w:bottom w:val="single" w:color="auto" w:sz="4" w:space="0"/>
              <w:right w:val="single" w:color="auto" w:sz="4" w:space="0"/>
            </w:tcBorders>
            <w:vAlign w:val="center"/>
          </w:tcPr>
          <w:p w14:paraId="701CBAC9">
            <w:pPr>
              <w:widowControl/>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2681" w:type="dxa"/>
            <w:tcBorders>
              <w:top w:val="nil"/>
              <w:left w:val="nil"/>
              <w:bottom w:val="single" w:color="auto" w:sz="4" w:space="0"/>
              <w:right w:val="single" w:color="auto" w:sz="4" w:space="0"/>
            </w:tcBorders>
            <w:vAlign w:val="center"/>
          </w:tcPr>
          <w:p w14:paraId="217DAB3F">
            <w:pPr>
              <w:widowControl/>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r>
      <w:tr w14:paraId="79596E9E">
        <w:tblPrEx>
          <w:tblCellMar>
            <w:top w:w="0" w:type="dxa"/>
            <w:left w:w="108" w:type="dxa"/>
            <w:bottom w:w="0" w:type="dxa"/>
            <w:right w:w="108" w:type="dxa"/>
          </w:tblCellMar>
        </w:tblPrEx>
        <w:trPr>
          <w:trHeight w:val="555" w:hRule="atLeast"/>
        </w:trPr>
        <w:tc>
          <w:tcPr>
            <w:tcW w:w="798" w:type="dxa"/>
            <w:tcBorders>
              <w:top w:val="nil"/>
              <w:left w:val="single" w:color="auto" w:sz="4" w:space="0"/>
              <w:bottom w:val="single" w:color="auto" w:sz="4" w:space="0"/>
              <w:right w:val="single" w:color="auto" w:sz="4" w:space="0"/>
            </w:tcBorders>
            <w:vAlign w:val="center"/>
          </w:tcPr>
          <w:p w14:paraId="0D5376C5">
            <w:pPr>
              <w:widowControl/>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5</w:t>
            </w:r>
          </w:p>
        </w:tc>
        <w:tc>
          <w:tcPr>
            <w:tcW w:w="1454" w:type="dxa"/>
            <w:tcBorders>
              <w:top w:val="nil"/>
              <w:left w:val="nil"/>
              <w:bottom w:val="single" w:color="auto" w:sz="4" w:space="0"/>
              <w:right w:val="single" w:color="auto" w:sz="4" w:space="0"/>
            </w:tcBorders>
            <w:vAlign w:val="center"/>
          </w:tcPr>
          <w:p w14:paraId="51D61F79">
            <w:pPr>
              <w:widowControl/>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1795" w:type="dxa"/>
            <w:tcBorders>
              <w:top w:val="nil"/>
              <w:left w:val="nil"/>
              <w:bottom w:val="single" w:color="auto" w:sz="4" w:space="0"/>
              <w:right w:val="single" w:color="auto" w:sz="4" w:space="0"/>
            </w:tcBorders>
            <w:vAlign w:val="center"/>
          </w:tcPr>
          <w:p w14:paraId="4802CBA8">
            <w:pPr>
              <w:widowControl/>
              <w:jc w:val="center"/>
              <w:rPr>
                <w:rFonts w:hint="eastAsia" w:ascii="宋体" w:hAnsi="宋体" w:eastAsia="宋体" w:cs="宋体"/>
                <w:color w:val="auto"/>
                <w:kern w:val="0"/>
                <w:sz w:val="28"/>
                <w:szCs w:val="28"/>
                <w:highlight w:val="none"/>
              </w:rPr>
            </w:pPr>
          </w:p>
        </w:tc>
        <w:tc>
          <w:tcPr>
            <w:tcW w:w="1795" w:type="dxa"/>
            <w:tcBorders>
              <w:top w:val="nil"/>
              <w:left w:val="nil"/>
              <w:bottom w:val="single" w:color="auto" w:sz="4" w:space="0"/>
              <w:right w:val="single" w:color="auto" w:sz="4" w:space="0"/>
            </w:tcBorders>
            <w:vAlign w:val="center"/>
          </w:tcPr>
          <w:p w14:paraId="6CF58D70">
            <w:pPr>
              <w:widowControl/>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2681" w:type="dxa"/>
            <w:tcBorders>
              <w:top w:val="nil"/>
              <w:left w:val="nil"/>
              <w:bottom w:val="single" w:color="auto" w:sz="4" w:space="0"/>
              <w:right w:val="single" w:color="auto" w:sz="4" w:space="0"/>
            </w:tcBorders>
            <w:vAlign w:val="center"/>
          </w:tcPr>
          <w:p w14:paraId="412BB0E6">
            <w:pPr>
              <w:widowControl/>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r>
      <w:tr w14:paraId="65DF8BBD">
        <w:tblPrEx>
          <w:tblCellMar>
            <w:top w:w="0" w:type="dxa"/>
            <w:left w:w="108" w:type="dxa"/>
            <w:bottom w:w="0" w:type="dxa"/>
            <w:right w:w="108" w:type="dxa"/>
          </w:tblCellMar>
        </w:tblPrEx>
        <w:trPr>
          <w:trHeight w:val="555" w:hRule="atLeast"/>
        </w:trPr>
        <w:tc>
          <w:tcPr>
            <w:tcW w:w="798" w:type="dxa"/>
            <w:tcBorders>
              <w:top w:val="nil"/>
              <w:left w:val="single" w:color="auto" w:sz="4" w:space="0"/>
              <w:bottom w:val="single" w:color="auto" w:sz="4" w:space="0"/>
              <w:right w:val="single" w:color="auto" w:sz="4" w:space="0"/>
            </w:tcBorders>
            <w:vAlign w:val="center"/>
          </w:tcPr>
          <w:p w14:paraId="340A6758">
            <w:pPr>
              <w:widowControl/>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w:t>
            </w:r>
          </w:p>
        </w:tc>
        <w:tc>
          <w:tcPr>
            <w:tcW w:w="1454" w:type="dxa"/>
            <w:tcBorders>
              <w:top w:val="nil"/>
              <w:left w:val="nil"/>
              <w:bottom w:val="single" w:color="auto" w:sz="4" w:space="0"/>
              <w:right w:val="single" w:color="auto" w:sz="4" w:space="0"/>
            </w:tcBorders>
            <w:vAlign w:val="center"/>
          </w:tcPr>
          <w:p w14:paraId="1204D4D0">
            <w:pPr>
              <w:widowControl/>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1795" w:type="dxa"/>
            <w:tcBorders>
              <w:top w:val="nil"/>
              <w:left w:val="nil"/>
              <w:bottom w:val="single" w:color="auto" w:sz="4" w:space="0"/>
              <w:right w:val="single" w:color="auto" w:sz="4" w:space="0"/>
            </w:tcBorders>
            <w:vAlign w:val="center"/>
          </w:tcPr>
          <w:p w14:paraId="0436DC01">
            <w:pPr>
              <w:widowControl/>
              <w:jc w:val="center"/>
              <w:rPr>
                <w:rFonts w:hint="eastAsia" w:ascii="宋体" w:hAnsi="宋体" w:eastAsia="宋体" w:cs="宋体"/>
                <w:color w:val="auto"/>
                <w:kern w:val="0"/>
                <w:sz w:val="28"/>
                <w:szCs w:val="28"/>
                <w:highlight w:val="none"/>
              </w:rPr>
            </w:pPr>
          </w:p>
        </w:tc>
        <w:tc>
          <w:tcPr>
            <w:tcW w:w="1795" w:type="dxa"/>
            <w:tcBorders>
              <w:top w:val="nil"/>
              <w:left w:val="nil"/>
              <w:bottom w:val="single" w:color="auto" w:sz="4" w:space="0"/>
              <w:right w:val="single" w:color="auto" w:sz="4" w:space="0"/>
            </w:tcBorders>
            <w:vAlign w:val="center"/>
          </w:tcPr>
          <w:p w14:paraId="56453788">
            <w:pPr>
              <w:widowControl/>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2681" w:type="dxa"/>
            <w:tcBorders>
              <w:top w:val="nil"/>
              <w:left w:val="nil"/>
              <w:bottom w:val="single" w:color="auto" w:sz="4" w:space="0"/>
              <w:right w:val="single" w:color="auto" w:sz="4" w:space="0"/>
            </w:tcBorders>
            <w:vAlign w:val="center"/>
          </w:tcPr>
          <w:p w14:paraId="32905EF7">
            <w:pPr>
              <w:widowControl/>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r>
      <w:tr w14:paraId="675FF151">
        <w:tblPrEx>
          <w:tblCellMar>
            <w:top w:w="0" w:type="dxa"/>
            <w:left w:w="108" w:type="dxa"/>
            <w:bottom w:w="0" w:type="dxa"/>
            <w:right w:w="108" w:type="dxa"/>
          </w:tblCellMar>
        </w:tblPrEx>
        <w:trPr>
          <w:trHeight w:val="555" w:hRule="atLeast"/>
        </w:trPr>
        <w:tc>
          <w:tcPr>
            <w:tcW w:w="798" w:type="dxa"/>
            <w:tcBorders>
              <w:top w:val="nil"/>
              <w:left w:val="single" w:color="auto" w:sz="4" w:space="0"/>
              <w:bottom w:val="single" w:color="auto" w:sz="4" w:space="0"/>
              <w:right w:val="single" w:color="auto" w:sz="4" w:space="0"/>
            </w:tcBorders>
            <w:vAlign w:val="center"/>
          </w:tcPr>
          <w:p w14:paraId="2EA587DC">
            <w:pPr>
              <w:widowControl/>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7</w:t>
            </w:r>
          </w:p>
        </w:tc>
        <w:tc>
          <w:tcPr>
            <w:tcW w:w="1454" w:type="dxa"/>
            <w:tcBorders>
              <w:top w:val="nil"/>
              <w:left w:val="nil"/>
              <w:bottom w:val="single" w:color="auto" w:sz="4" w:space="0"/>
              <w:right w:val="single" w:color="auto" w:sz="4" w:space="0"/>
            </w:tcBorders>
            <w:vAlign w:val="center"/>
          </w:tcPr>
          <w:p w14:paraId="24A55F75">
            <w:pPr>
              <w:widowControl/>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1795" w:type="dxa"/>
            <w:tcBorders>
              <w:top w:val="nil"/>
              <w:left w:val="nil"/>
              <w:bottom w:val="single" w:color="auto" w:sz="4" w:space="0"/>
              <w:right w:val="single" w:color="auto" w:sz="4" w:space="0"/>
            </w:tcBorders>
            <w:vAlign w:val="center"/>
          </w:tcPr>
          <w:p w14:paraId="7676F7F0">
            <w:pPr>
              <w:widowControl/>
              <w:jc w:val="center"/>
              <w:rPr>
                <w:rFonts w:hint="eastAsia" w:ascii="宋体" w:hAnsi="宋体" w:eastAsia="宋体" w:cs="宋体"/>
                <w:color w:val="auto"/>
                <w:kern w:val="0"/>
                <w:sz w:val="28"/>
                <w:szCs w:val="28"/>
                <w:highlight w:val="none"/>
              </w:rPr>
            </w:pPr>
          </w:p>
        </w:tc>
        <w:tc>
          <w:tcPr>
            <w:tcW w:w="1795" w:type="dxa"/>
            <w:tcBorders>
              <w:top w:val="nil"/>
              <w:left w:val="nil"/>
              <w:bottom w:val="single" w:color="auto" w:sz="4" w:space="0"/>
              <w:right w:val="single" w:color="auto" w:sz="4" w:space="0"/>
            </w:tcBorders>
            <w:vAlign w:val="center"/>
          </w:tcPr>
          <w:p w14:paraId="2378AD35">
            <w:pPr>
              <w:widowControl/>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2681" w:type="dxa"/>
            <w:tcBorders>
              <w:top w:val="nil"/>
              <w:left w:val="nil"/>
              <w:bottom w:val="single" w:color="auto" w:sz="4" w:space="0"/>
              <w:right w:val="single" w:color="auto" w:sz="4" w:space="0"/>
            </w:tcBorders>
            <w:vAlign w:val="center"/>
          </w:tcPr>
          <w:p w14:paraId="66FC36A3">
            <w:pPr>
              <w:widowControl/>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r>
      <w:tr w14:paraId="49F0DE4C">
        <w:tblPrEx>
          <w:tblCellMar>
            <w:top w:w="0" w:type="dxa"/>
            <w:left w:w="108" w:type="dxa"/>
            <w:bottom w:w="0" w:type="dxa"/>
            <w:right w:w="108" w:type="dxa"/>
          </w:tblCellMar>
        </w:tblPrEx>
        <w:trPr>
          <w:trHeight w:val="555" w:hRule="atLeast"/>
        </w:trPr>
        <w:tc>
          <w:tcPr>
            <w:tcW w:w="798" w:type="dxa"/>
            <w:tcBorders>
              <w:top w:val="nil"/>
              <w:left w:val="single" w:color="auto" w:sz="4" w:space="0"/>
              <w:bottom w:val="single" w:color="auto" w:sz="4" w:space="0"/>
              <w:right w:val="single" w:color="auto" w:sz="4" w:space="0"/>
            </w:tcBorders>
            <w:vAlign w:val="center"/>
          </w:tcPr>
          <w:p w14:paraId="62166791">
            <w:pPr>
              <w:widowControl/>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1454" w:type="dxa"/>
            <w:tcBorders>
              <w:top w:val="nil"/>
              <w:left w:val="nil"/>
              <w:bottom w:val="single" w:color="auto" w:sz="4" w:space="0"/>
              <w:right w:val="single" w:color="auto" w:sz="4" w:space="0"/>
            </w:tcBorders>
            <w:vAlign w:val="center"/>
          </w:tcPr>
          <w:p w14:paraId="5E873130">
            <w:pPr>
              <w:widowControl/>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1795" w:type="dxa"/>
            <w:tcBorders>
              <w:top w:val="nil"/>
              <w:left w:val="nil"/>
              <w:bottom w:val="single" w:color="auto" w:sz="4" w:space="0"/>
              <w:right w:val="single" w:color="auto" w:sz="4" w:space="0"/>
            </w:tcBorders>
            <w:vAlign w:val="center"/>
          </w:tcPr>
          <w:p w14:paraId="5522FED2">
            <w:pPr>
              <w:widowControl/>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1795" w:type="dxa"/>
            <w:tcBorders>
              <w:top w:val="nil"/>
              <w:left w:val="nil"/>
              <w:bottom w:val="single" w:color="auto" w:sz="4" w:space="0"/>
              <w:right w:val="single" w:color="auto" w:sz="4" w:space="0"/>
            </w:tcBorders>
            <w:vAlign w:val="center"/>
          </w:tcPr>
          <w:p w14:paraId="0DDDD0A8">
            <w:pPr>
              <w:widowControl/>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2681" w:type="dxa"/>
            <w:tcBorders>
              <w:top w:val="nil"/>
              <w:left w:val="nil"/>
              <w:bottom w:val="single" w:color="auto" w:sz="4" w:space="0"/>
              <w:right w:val="single" w:color="auto" w:sz="4" w:space="0"/>
            </w:tcBorders>
            <w:vAlign w:val="center"/>
          </w:tcPr>
          <w:p w14:paraId="4DA374A5">
            <w:pPr>
              <w:widowControl/>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r>
      <w:tr w14:paraId="1B4CDFB2">
        <w:tblPrEx>
          <w:tblCellMar>
            <w:top w:w="0" w:type="dxa"/>
            <w:left w:w="108" w:type="dxa"/>
            <w:bottom w:w="0" w:type="dxa"/>
            <w:right w:w="108" w:type="dxa"/>
          </w:tblCellMar>
        </w:tblPrEx>
        <w:trPr>
          <w:trHeight w:val="4952" w:hRule="atLeast"/>
        </w:trPr>
        <w:tc>
          <w:tcPr>
            <w:tcW w:w="8523" w:type="dxa"/>
            <w:gridSpan w:val="5"/>
            <w:tcBorders>
              <w:top w:val="single" w:color="auto" w:sz="4" w:space="0"/>
              <w:left w:val="single" w:color="auto" w:sz="4" w:space="0"/>
              <w:bottom w:val="single" w:color="auto" w:sz="4" w:space="0"/>
              <w:right w:val="single" w:color="auto" w:sz="4" w:space="0"/>
            </w:tcBorders>
            <w:vAlign w:val="center"/>
          </w:tcPr>
          <w:p w14:paraId="2E2C5AE4">
            <w:pPr>
              <w:widowControl/>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备注：</w:t>
            </w:r>
            <w:r>
              <w:rPr>
                <w:rFonts w:hint="eastAsia" w:ascii="宋体" w:hAnsi="宋体" w:eastAsia="宋体" w:cs="宋体"/>
                <w:color w:val="auto"/>
                <w:kern w:val="0"/>
                <w:sz w:val="28"/>
                <w:szCs w:val="28"/>
                <w:highlight w:val="none"/>
              </w:rPr>
              <w:br w:type="textWrapping"/>
            </w:r>
            <w:r>
              <w:rPr>
                <w:rFonts w:hint="eastAsia" w:ascii="宋体" w:hAnsi="宋体" w:eastAsia="宋体" w:cs="宋体"/>
                <w:color w:val="auto"/>
                <w:kern w:val="0"/>
                <w:sz w:val="28"/>
                <w:szCs w:val="28"/>
                <w:highlight w:val="none"/>
              </w:rPr>
              <w:t>1、“岗位”要求</w:t>
            </w:r>
            <w:r>
              <w:rPr>
                <w:rFonts w:hint="eastAsia" w:ascii="宋体" w:hAnsi="宋体" w:eastAsia="宋体" w:cs="宋体"/>
                <w:b/>
                <w:bCs/>
                <w:color w:val="auto"/>
                <w:kern w:val="0"/>
                <w:sz w:val="28"/>
                <w:szCs w:val="28"/>
                <w:highlight w:val="none"/>
              </w:rPr>
              <w:t>（除项目负责人和专职安全员外）：</w:t>
            </w:r>
            <w:r>
              <w:rPr>
                <w:rFonts w:hint="eastAsia" w:ascii="宋体" w:hAnsi="宋体" w:eastAsia="宋体" w:cs="宋体"/>
                <w:color w:val="auto"/>
                <w:kern w:val="0"/>
                <w:sz w:val="28"/>
                <w:szCs w:val="28"/>
                <w:highlight w:val="none"/>
              </w:rPr>
              <w:t>拟派技术负责人、质量负责人、安全负责人、造价负责人、施工员、质量员、资料员等。投标登记时，投标人应按本表内容在交易系统中填写《施工项目管理团队人员信息表》，表中的项目管理团队人员信息作为投标文件的一部分，将由交易系统提取后供各相关单位在履约时比对、查核。</w:t>
            </w:r>
            <w:r>
              <w:rPr>
                <w:rFonts w:hint="eastAsia" w:ascii="宋体" w:hAnsi="宋体" w:eastAsia="宋体" w:cs="宋体"/>
                <w:color w:val="auto"/>
                <w:kern w:val="0"/>
                <w:sz w:val="28"/>
                <w:szCs w:val="28"/>
                <w:highlight w:val="none"/>
              </w:rPr>
              <w:br w:type="textWrapping"/>
            </w:r>
            <w:r>
              <w:rPr>
                <w:rFonts w:hint="eastAsia" w:ascii="宋体" w:hAnsi="宋体" w:eastAsia="宋体" w:cs="宋体"/>
                <w:color w:val="auto"/>
                <w:kern w:val="0"/>
                <w:sz w:val="28"/>
                <w:szCs w:val="28"/>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r>
              <w:rPr>
                <w:rFonts w:hint="eastAsia" w:ascii="宋体" w:hAnsi="宋体" w:eastAsia="宋体" w:cs="宋体"/>
                <w:color w:val="auto"/>
                <w:kern w:val="0"/>
                <w:sz w:val="28"/>
                <w:szCs w:val="28"/>
                <w:highlight w:val="none"/>
              </w:rPr>
              <w:br w:type="textWrapping"/>
            </w:r>
            <w:r>
              <w:rPr>
                <w:rFonts w:hint="eastAsia" w:ascii="宋体" w:hAnsi="宋体" w:eastAsia="宋体" w:cs="宋体"/>
                <w:color w:val="auto"/>
                <w:kern w:val="0"/>
                <w:sz w:val="28"/>
                <w:szCs w:val="28"/>
                <w:highlight w:val="none"/>
              </w:rPr>
              <w:t>3、如评标办法对投标人拟投入的项目管理团队进行评审的，</w:t>
            </w:r>
            <w:bookmarkStart w:id="27" w:name="_Hlk61439507"/>
            <w:r>
              <w:rPr>
                <w:rFonts w:hint="eastAsia" w:ascii="宋体" w:hAnsi="宋体" w:eastAsia="宋体" w:cs="宋体"/>
                <w:color w:val="auto"/>
                <w:kern w:val="0"/>
                <w:sz w:val="28"/>
                <w:szCs w:val="28"/>
                <w:highlight w:val="none"/>
              </w:rPr>
              <w:t>如相同岗位投入人员姓名与本表不一致的，以本表中姓名为准；投标人提供的团队人员职称或资格（含证书编号）情况与本表不一致的，以投标人提供的相关证明材料为准。</w:t>
            </w:r>
            <w:bookmarkEnd w:id="27"/>
          </w:p>
        </w:tc>
      </w:tr>
    </w:tbl>
    <w:p w14:paraId="75C9935F">
      <w:pPr>
        <w:widowControl/>
        <w:tabs>
          <w:tab w:val="center" w:pos="4153"/>
        </w:tabs>
        <w:jc w:val="left"/>
        <w:rPr>
          <w:rFonts w:hint="eastAsia" w:ascii="宋体" w:hAnsi="宋体" w:eastAsia="宋体" w:cs="宋体"/>
          <w:snapToGrid w:val="0"/>
          <w:color w:val="auto"/>
          <w:spacing w:val="4"/>
          <w:kern w:val="0"/>
          <w:sz w:val="24"/>
          <w:szCs w:val="24"/>
          <w:highlight w:val="none"/>
        </w:rPr>
        <w:sectPr>
          <w:pgSz w:w="11907" w:h="16839"/>
          <w:pgMar w:top="1440" w:right="1800" w:bottom="1440" w:left="1800" w:header="851" w:footer="595" w:gutter="0"/>
          <w:cols w:space="720" w:num="1"/>
          <w:docGrid w:type="lines" w:linePitch="312" w:charSpace="0"/>
        </w:sectPr>
      </w:pPr>
    </w:p>
    <w:p w14:paraId="758A3362">
      <w:pPr>
        <w:widowControl/>
        <w:shd w:val="clear" w:color="auto" w:fill="auto"/>
        <w:topLinePunct/>
        <w:adjustRightInd w:val="0"/>
        <w:snapToGrid w:val="0"/>
        <w:spacing w:after="200"/>
        <w:jc w:val="left"/>
        <w:outlineLvl w:val="2"/>
        <w:rPr>
          <w:rFonts w:hint="default" w:ascii="宋体" w:eastAsia="宋体" w:cs="宋体"/>
          <w:b/>
          <w:color w:val="auto"/>
          <w:kern w:val="0"/>
          <w:sz w:val="24"/>
          <w:szCs w:val="24"/>
          <w:highlight w:val="none"/>
          <w:lang w:val="en-US" w:bidi="ar-SA"/>
        </w:rPr>
      </w:pPr>
      <w:bookmarkStart w:id="28" w:name="_Toc48896916"/>
      <w:r>
        <w:rPr>
          <w:rFonts w:hint="eastAsia" w:ascii="宋体" w:hAnsi="宋体" w:eastAsia="宋体" w:cs="宋体"/>
          <w:b/>
          <w:bCs/>
          <w:color w:val="auto"/>
          <w:sz w:val="24"/>
          <w:szCs w:val="24"/>
          <w:highlight w:val="none"/>
          <w:lang w:bidi="ar-SA"/>
        </w:rPr>
        <w:t xml:space="preserve">★ </w:t>
      </w:r>
      <w:bookmarkEnd w:id="28"/>
      <w:r>
        <w:rPr>
          <w:rFonts w:hint="eastAsia" w:ascii="宋体" w:hAnsi="宋体" w:eastAsia="宋体" w:cs="宋体"/>
          <w:color w:val="auto"/>
          <w:sz w:val="24"/>
          <w:highlight w:val="none"/>
        </w:rPr>
        <w:t>技术标投标文件格式</w:t>
      </w:r>
      <w:r>
        <w:rPr>
          <w:rFonts w:hint="eastAsia" w:ascii="宋体" w:hAnsi="宋体" w:eastAsia="宋体" w:cs="宋体"/>
          <w:color w:val="auto"/>
          <w:sz w:val="24"/>
          <w:highlight w:val="none"/>
          <w:lang w:val="en-US" w:eastAsia="zh-CN"/>
        </w:rPr>
        <w:t>十：</w:t>
      </w:r>
    </w:p>
    <w:p w14:paraId="0875657D">
      <w:pPr>
        <w:shd w:val="clear" w:color="auto" w:fill="auto"/>
        <w:autoSpaceDE w:val="0"/>
        <w:autoSpaceDN w:val="0"/>
        <w:adjustRightInd w:val="0"/>
        <w:spacing w:line="360" w:lineRule="auto"/>
        <w:ind w:firstLine="560" w:firstLineChars="200"/>
        <w:jc w:val="center"/>
        <w:rPr>
          <w:rFonts w:hint="eastAsia" w:ascii="宋体" w:hAnsi="宋体" w:eastAsia="宋体" w:cs="宋体"/>
          <w:b/>
          <w:color w:val="auto"/>
          <w:sz w:val="28"/>
          <w:szCs w:val="24"/>
          <w:highlight w:val="none"/>
          <w:lang w:bidi="ar-SA"/>
        </w:rPr>
      </w:pPr>
      <w:r>
        <w:rPr>
          <w:rFonts w:hint="eastAsia" w:ascii="宋体" w:hAnsi="宋体" w:eastAsia="宋体" w:cs="宋体"/>
          <w:b/>
          <w:color w:val="auto"/>
          <w:sz w:val="28"/>
          <w:szCs w:val="24"/>
          <w:highlight w:val="none"/>
          <w:lang w:bidi="ar-SA"/>
        </w:rPr>
        <w:t>危险性较大的分部分项工程清单及超过一定规模的危险性较大的分部分项工程清单</w:t>
      </w:r>
    </w:p>
    <w:p w14:paraId="7C9454B3">
      <w:pPr>
        <w:widowControl w:val="0"/>
        <w:numPr>
          <w:ilvl w:val="0"/>
          <w:numId w:val="5"/>
        </w:numPr>
        <w:shd w:val="clear" w:color="auto" w:fill="auto"/>
        <w:autoSpaceDE w:val="0"/>
        <w:autoSpaceDN w:val="0"/>
        <w:adjustRightInd w:val="0"/>
        <w:spacing w:line="360" w:lineRule="exact"/>
        <w:ind w:left="360" w:hanging="36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根据中华人民共和国住房和城乡建设部令第37号《危险性较大的分部分项工程安全管理规定》（以下简称“37号文”），投标人在投标时须补充完善危大工程清单。</w:t>
      </w:r>
    </w:p>
    <w:p w14:paraId="6C5E8AAD">
      <w:pPr>
        <w:widowControl w:val="0"/>
        <w:numPr>
          <w:ilvl w:val="0"/>
          <w:numId w:val="5"/>
        </w:numPr>
        <w:shd w:val="clear" w:color="auto" w:fill="auto"/>
        <w:autoSpaceDE w:val="0"/>
        <w:autoSpaceDN w:val="0"/>
        <w:adjustRightInd w:val="0"/>
        <w:spacing w:line="360" w:lineRule="exact"/>
        <w:ind w:left="360" w:hanging="36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招标人根据设计文件的要求及37号文的规定列出“危险性较大的分部分项工程清单及超过一定规模的危险性较大的分部分项工程清单”中与本招标项目相关的清单项，具体详见第4点“打√”标识。</w:t>
      </w:r>
    </w:p>
    <w:p w14:paraId="4DDEFC0B">
      <w:pPr>
        <w:widowControl w:val="0"/>
        <w:numPr>
          <w:ilvl w:val="0"/>
          <w:numId w:val="6"/>
        </w:numPr>
        <w:shd w:val="clear" w:color="auto" w:fill="auto"/>
        <w:autoSpaceDE w:val="0"/>
        <w:autoSpaceDN w:val="0"/>
        <w:adjustRightInd w:val="0"/>
        <w:spacing w:line="360" w:lineRule="exact"/>
        <w:ind w:left="1080" w:hanging="72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投标单位同意建设单位在清单中标识的该项请在对应项打“√”标识。</w:t>
      </w:r>
    </w:p>
    <w:p w14:paraId="430B87C4">
      <w:pPr>
        <w:widowControl w:val="0"/>
        <w:numPr>
          <w:ilvl w:val="0"/>
          <w:numId w:val="6"/>
        </w:numPr>
        <w:shd w:val="clear" w:color="auto" w:fill="auto"/>
        <w:autoSpaceDE w:val="0"/>
        <w:autoSpaceDN w:val="0"/>
        <w:adjustRightInd w:val="0"/>
        <w:spacing w:line="360" w:lineRule="exact"/>
        <w:ind w:left="1080" w:hanging="72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投标单位对清单中认为需要补充的该项请在对应项打“√”标识。</w:t>
      </w:r>
    </w:p>
    <w:p w14:paraId="23DE323F">
      <w:pPr>
        <w:widowControl w:val="0"/>
        <w:numPr>
          <w:ilvl w:val="0"/>
          <w:numId w:val="6"/>
        </w:numPr>
        <w:shd w:val="clear" w:color="auto" w:fill="auto"/>
        <w:autoSpaceDE w:val="0"/>
        <w:autoSpaceDN w:val="0"/>
        <w:adjustRightInd w:val="0"/>
        <w:spacing w:line="360" w:lineRule="exact"/>
        <w:ind w:left="1080" w:hanging="72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投标单位不同意建设单位在清单中标识的该项请在对应项打“×”标识，并在备注栏填上相关说明。</w:t>
      </w:r>
    </w:p>
    <w:p w14:paraId="46F38D8C">
      <w:pPr>
        <w:widowControl w:val="0"/>
        <w:numPr>
          <w:ilvl w:val="0"/>
          <w:numId w:val="5"/>
        </w:numPr>
        <w:shd w:val="clear" w:color="auto" w:fill="auto"/>
        <w:autoSpaceDE w:val="0"/>
        <w:autoSpaceDN w:val="0"/>
        <w:adjustRightInd w:val="0"/>
        <w:spacing w:line="360" w:lineRule="exact"/>
        <w:ind w:left="360" w:hanging="36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38C0A3DF">
      <w:pPr>
        <w:widowControl w:val="0"/>
        <w:shd w:val="clear" w:color="auto" w:fill="auto"/>
        <w:autoSpaceDE w:val="0"/>
        <w:autoSpaceDN w:val="0"/>
        <w:adjustRightInd w:val="0"/>
        <w:spacing w:line="360" w:lineRule="exact"/>
        <w:ind w:left="385" w:leftChars="57" w:hanging="266" w:hangingChars="127"/>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4、危险性较大的分部分项工程清单及超过一定规模的危险性较大的分部分项工程清单：</w:t>
      </w:r>
    </w:p>
    <w:tbl>
      <w:tblPr>
        <w:tblStyle w:val="34"/>
        <w:tblW w:w="92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0"/>
        <w:gridCol w:w="1361"/>
        <w:gridCol w:w="1361"/>
        <w:gridCol w:w="1461"/>
      </w:tblGrid>
      <w:tr w14:paraId="1117C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noWrap w:val="0"/>
            <w:vAlign w:val="center"/>
          </w:tcPr>
          <w:p w14:paraId="30290B3D">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一、危险性较大的分部分项工程清单</w:t>
            </w:r>
          </w:p>
        </w:tc>
        <w:tc>
          <w:tcPr>
            <w:tcW w:w="1361" w:type="dxa"/>
            <w:tcBorders>
              <w:top w:val="single" w:color="auto" w:sz="4" w:space="0"/>
              <w:left w:val="nil"/>
              <w:bottom w:val="single" w:color="auto" w:sz="4" w:space="0"/>
              <w:right w:val="single" w:color="auto" w:sz="4" w:space="0"/>
            </w:tcBorders>
            <w:noWrap w:val="0"/>
            <w:vAlign w:val="center"/>
          </w:tcPr>
          <w:p w14:paraId="68CB4ED4">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建设单位</w:t>
            </w:r>
          </w:p>
        </w:tc>
        <w:tc>
          <w:tcPr>
            <w:tcW w:w="1361" w:type="dxa"/>
            <w:tcBorders>
              <w:top w:val="single" w:color="auto" w:sz="4" w:space="0"/>
              <w:left w:val="nil"/>
              <w:bottom w:val="single" w:color="auto" w:sz="4" w:space="0"/>
              <w:right w:val="single" w:color="auto" w:sz="4" w:space="0"/>
            </w:tcBorders>
            <w:noWrap w:val="0"/>
            <w:vAlign w:val="center"/>
          </w:tcPr>
          <w:p w14:paraId="067AD6F5">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投标单位</w:t>
            </w:r>
          </w:p>
        </w:tc>
        <w:tc>
          <w:tcPr>
            <w:tcW w:w="1461" w:type="dxa"/>
            <w:tcBorders>
              <w:top w:val="single" w:color="auto" w:sz="4" w:space="0"/>
              <w:left w:val="nil"/>
              <w:bottom w:val="single" w:color="auto" w:sz="4" w:space="0"/>
              <w:right w:val="single" w:color="auto" w:sz="4" w:space="0"/>
            </w:tcBorders>
            <w:noWrap w:val="0"/>
            <w:vAlign w:val="center"/>
          </w:tcPr>
          <w:p w14:paraId="3F698E5B">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备注</w:t>
            </w:r>
          </w:p>
        </w:tc>
      </w:tr>
      <w:tr w14:paraId="3CFA8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noWrap w:val="0"/>
            <w:vAlign w:val="top"/>
          </w:tcPr>
          <w:p w14:paraId="13B8F1A9">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一、基坑支护</w:t>
            </w:r>
          </w:p>
        </w:tc>
        <w:tc>
          <w:tcPr>
            <w:tcW w:w="1361" w:type="dxa"/>
            <w:tcBorders>
              <w:top w:val="single" w:color="auto" w:sz="4" w:space="0"/>
              <w:left w:val="nil"/>
              <w:bottom w:val="single" w:color="auto" w:sz="4" w:space="0"/>
              <w:right w:val="single" w:color="auto" w:sz="4" w:space="0"/>
            </w:tcBorders>
            <w:noWrap w:val="0"/>
            <w:vAlign w:val="center"/>
          </w:tcPr>
          <w:p w14:paraId="6D7B5F8D">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    )</w:t>
            </w:r>
          </w:p>
        </w:tc>
        <w:tc>
          <w:tcPr>
            <w:tcW w:w="1361" w:type="dxa"/>
            <w:tcBorders>
              <w:top w:val="single" w:color="auto" w:sz="4" w:space="0"/>
              <w:left w:val="nil"/>
              <w:bottom w:val="single" w:color="auto" w:sz="4" w:space="0"/>
              <w:right w:val="single" w:color="auto" w:sz="4" w:space="0"/>
            </w:tcBorders>
            <w:noWrap w:val="0"/>
            <w:vAlign w:val="center"/>
          </w:tcPr>
          <w:p w14:paraId="494F910A">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    )</w:t>
            </w:r>
          </w:p>
        </w:tc>
        <w:tc>
          <w:tcPr>
            <w:tcW w:w="1461" w:type="dxa"/>
            <w:tcBorders>
              <w:top w:val="single" w:color="auto" w:sz="4" w:space="0"/>
              <w:left w:val="nil"/>
              <w:bottom w:val="single" w:color="auto" w:sz="4" w:space="0"/>
              <w:right w:val="single" w:color="auto" w:sz="4" w:space="0"/>
            </w:tcBorders>
            <w:noWrap w:val="0"/>
            <w:vAlign w:val="center"/>
          </w:tcPr>
          <w:p w14:paraId="63CF8A13">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445FE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noWrap w:val="0"/>
            <w:vAlign w:val="top"/>
          </w:tcPr>
          <w:p w14:paraId="21FEEE72">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（一）开挖深度超过3m（含3m）的基坑（槽）的土方开挖、支护、降水工程。</w:t>
            </w:r>
          </w:p>
        </w:tc>
        <w:tc>
          <w:tcPr>
            <w:tcW w:w="1361" w:type="dxa"/>
            <w:tcBorders>
              <w:top w:val="single" w:color="auto" w:sz="4" w:space="0"/>
              <w:left w:val="nil"/>
              <w:bottom w:val="single" w:color="auto" w:sz="4" w:space="0"/>
              <w:right w:val="single" w:color="auto" w:sz="4" w:space="0"/>
            </w:tcBorders>
            <w:noWrap w:val="0"/>
            <w:vAlign w:val="center"/>
          </w:tcPr>
          <w:p w14:paraId="6ADEF6A8">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   )</w:t>
            </w:r>
          </w:p>
        </w:tc>
        <w:tc>
          <w:tcPr>
            <w:tcW w:w="1361" w:type="dxa"/>
            <w:tcBorders>
              <w:top w:val="single" w:color="auto" w:sz="4" w:space="0"/>
              <w:left w:val="nil"/>
              <w:bottom w:val="single" w:color="auto" w:sz="4" w:space="0"/>
              <w:right w:val="single" w:color="auto" w:sz="4" w:space="0"/>
            </w:tcBorders>
            <w:noWrap w:val="0"/>
            <w:vAlign w:val="center"/>
          </w:tcPr>
          <w:p w14:paraId="43F9610F">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    )</w:t>
            </w:r>
          </w:p>
        </w:tc>
        <w:tc>
          <w:tcPr>
            <w:tcW w:w="1461" w:type="dxa"/>
            <w:tcBorders>
              <w:top w:val="single" w:color="auto" w:sz="4" w:space="0"/>
              <w:left w:val="nil"/>
              <w:bottom w:val="single" w:color="auto" w:sz="4" w:space="0"/>
              <w:right w:val="single" w:color="auto" w:sz="4" w:space="0"/>
            </w:tcBorders>
            <w:noWrap w:val="0"/>
            <w:vAlign w:val="center"/>
          </w:tcPr>
          <w:p w14:paraId="33BF2D87">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06ABB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noWrap w:val="0"/>
            <w:vAlign w:val="top"/>
          </w:tcPr>
          <w:p w14:paraId="758CB65F">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（二）开挖深度虽未超过3m，但地质条件、周围环境和地下管线复杂，或影响毗邻建、构筑物安全的基坑（槽）的土方开挖、支护、降水工程。</w:t>
            </w:r>
          </w:p>
        </w:tc>
        <w:tc>
          <w:tcPr>
            <w:tcW w:w="1361" w:type="dxa"/>
            <w:tcBorders>
              <w:top w:val="single" w:color="auto" w:sz="4" w:space="0"/>
              <w:left w:val="nil"/>
              <w:bottom w:val="single" w:color="auto" w:sz="4" w:space="0"/>
              <w:right w:val="single" w:color="auto" w:sz="4" w:space="0"/>
            </w:tcBorders>
            <w:noWrap w:val="0"/>
            <w:vAlign w:val="center"/>
          </w:tcPr>
          <w:p w14:paraId="3A0E2BA1">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    )</w:t>
            </w:r>
          </w:p>
        </w:tc>
        <w:tc>
          <w:tcPr>
            <w:tcW w:w="1361" w:type="dxa"/>
            <w:tcBorders>
              <w:top w:val="single" w:color="auto" w:sz="4" w:space="0"/>
              <w:left w:val="nil"/>
              <w:bottom w:val="single" w:color="auto" w:sz="4" w:space="0"/>
              <w:right w:val="single" w:color="auto" w:sz="4" w:space="0"/>
            </w:tcBorders>
            <w:noWrap w:val="0"/>
            <w:vAlign w:val="center"/>
          </w:tcPr>
          <w:p w14:paraId="4A2219D1">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    )</w:t>
            </w:r>
          </w:p>
        </w:tc>
        <w:tc>
          <w:tcPr>
            <w:tcW w:w="1461" w:type="dxa"/>
            <w:tcBorders>
              <w:top w:val="single" w:color="auto" w:sz="4" w:space="0"/>
              <w:left w:val="nil"/>
              <w:bottom w:val="single" w:color="auto" w:sz="4" w:space="0"/>
              <w:right w:val="single" w:color="auto" w:sz="4" w:space="0"/>
            </w:tcBorders>
            <w:noWrap w:val="0"/>
            <w:vAlign w:val="center"/>
          </w:tcPr>
          <w:p w14:paraId="1FE0BF47">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0B92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noWrap w:val="0"/>
            <w:vAlign w:val="top"/>
          </w:tcPr>
          <w:p w14:paraId="5C1A37C3">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二、模板工程及支撑体系</w:t>
            </w:r>
          </w:p>
        </w:tc>
        <w:tc>
          <w:tcPr>
            <w:tcW w:w="1361" w:type="dxa"/>
            <w:tcBorders>
              <w:top w:val="single" w:color="auto" w:sz="4" w:space="0"/>
              <w:left w:val="nil"/>
              <w:bottom w:val="single" w:color="auto" w:sz="4" w:space="0"/>
              <w:right w:val="single" w:color="auto" w:sz="4" w:space="0"/>
            </w:tcBorders>
            <w:noWrap w:val="0"/>
            <w:vAlign w:val="center"/>
          </w:tcPr>
          <w:p w14:paraId="7C92FAD1">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    )</w:t>
            </w:r>
          </w:p>
        </w:tc>
        <w:tc>
          <w:tcPr>
            <w:tcW w:w="1361" w:type="dxa"/>
            <w:tcBorders>
              <w:top w:val="single" w:color="auto" w:sz="4" w:space="0"/>
              <w:left w:val="nil"/>
              <w:bottom w:val="single" w:color="auto" w:sz="4" w:space="0"/>
              <w:right w:val="single" w:color="auto" w:sz="4" w:space="0"/>
            </w:tcBorders>
            <w:noWrap w:val="0"/>
            <w:vAlign w:val="center"/>
          </w:tcPr>
          <w:p w14:paraId="70281AC4">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    )</w:t>
            </w:r>
          </w:p>
        </w:tc>
        <w:tc>
          <w:tcPr>
            <w:tcW w:w="1461" w:type="dxa"/>
            <w:tcBorders>
              <w:top w:val="single" w:color="auto" w:sz="4" w:space="0"/>
              <w:left w:val="nil"/>
              <w:bottom w:val="single" w:color="auto" w:sz="4" w:space="0"/>
              <w:right w:val="single" w:color="auto" w:sz="4" w:space="0"/>
            </w:tcBorders>
            <w:noWrap w:val="0"/>
            <w:vAlign w:val="center"/>
          </w:tcPr>
          <w:p w14:paraId="71C5CE2E">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15B35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noWrap w:val="0"/>
            <w:vAlign w:val="top"/>
          </w:tcPr>
          <w:p w14:paraId="6288A79B">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（一）各类工具式模板工程：包括滑模、爬模、飞模、隧道模等工程。</w:t>
            </w:r>
          </w:p>
        </w:tc>
        <w:tc>
          <w:tcPr>
            <w:tcW w:w="1361" w:type="dxa"/>
            <w:tcBorders>
              <w:top w:val="single" w:color="auto" w:sz="4" w:space="0"/>
              <w:left w:val="nil"/>
              <w:bottom w:val="single" w:color="auto" w:sz="4" w:space="0"/>
              <w:right w:val="single" w:color="auto" w:sz="4" w:space="0"/>
            </w:tcBorders>
            <w:noWrap w:val="0"/>
            <w:vAlign w:val="center"/>
          </w:tcPr>
          <w:p w14:paraId="158FA4EE">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    )</w:t>
            </w:r>
          </w:p>
        </w:tc>
        <w:tc>
          <w:tcPr>
            <w:tcW w:w="1361" w:type="dxa"/>
            <w:tcBorders>
              <w:top w:val="single" w:color="auto" w:sz="4" w:space="0"/>
              <w:left w:val="nil"/>
              <w:bottom w:val="single" w:color="auto" w:sz="4" w:space="0"/>
              <w:right w:val="single" w:color="auto" w:sz="4" w:space="0"/>
            </w:tcBorders>
            <w:noWrap w:val="0"/>
            <w:vAlign w:val="center"/>
          </w:tcPr>
          <w:p w14:paraId="752BE53F">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    )</w:t>
            </w:r>
          </w:p>
        </w:tc>
        <w:tc>
          <w:tcPr>
            <w:tcW w:w="1461" w:type="dxa"/>
            <w:tcBorders>
              <w:top w:val="single" w:color="auto" w:sz="4" w:space="0"/>
              <w:left w:val="nil"/>
              <w:bottom w:val="single" w:color="auto" w:sz="4" w:space="0"/>
              <w:right w:val="single" w:color="auto" w:sz="4" w:space="0"/>
            </w:tcBorders>
            <w:noWrap w:val="0"/>
            <w:vAlign w:val="center"/>
          </w:tcPr>
          <w:p w14:paraId="5E3A8E8B">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50C70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noWrap w:val="0"/>
            <w:vAlign w:val="top"/>
          </w:tcPr>
          <w:p w14:paraId="29D74DE0">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361" w:type="dxa"/>
            <w:tcBorders>
              <w:top w:val="single" w:color="auto" w:sz="4" w:space="0"/>
              <w:left w:val="nil"/>
              <w:bottom w:val="single" w:color="auto" w:sz="4" w:space="0"/>
              <w:right w:val="single" w:color="auto" w:sz="4" w:space="0"/>
            </w:tcBorders>
            <w:noWrap w:val="0"/>
            <w:vAlign w:val="center"/>
          </w:tcPr>
          <w:p w14:paraId="52ED97A7">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    )</w:t>
            </w:r>
          </w:p>
        </w:tc>
        <w:tc>
          <w:tcPr>
            <w:tcW w:w="1361" w:type="dxa"/>
            <w:tcBorders>
              <w:top w:val="single" w:color="auto" w:sz="4" w:space="0"/>
              <w:left w:val="nil"/>
              <w:bottom w:val="single" w:color="auto" w:sz="4" w:space="0"/>
              <w:right w:val="single" w:color="auto" w:sz="4" w:space="0"/>
            </w:tcBorders>
            <w:noWrap w:val="0"/>
            <w:vAlign w:val="center"/>
          </w:tcPr>
          <w:p w14:paraId="78F72ECB">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    )</w:t>
            </w:r>
          </w:p>
        </w:tc>
        <w:tc>
          <w:tcPr>
            <w:tcW w:w="1461" w:type="dxa"/>
            <w:tcBorders>
              <w:top w:val="single" w:color="auto" w:sz="4" w:space="0"/>
              <w:left w:val="nil"/>
              <w:bottom w:val="single" w:color="auto" w:sz="4" w:space="0"/>
              <w:right w:val="single" w:color="auto" w:sz="4" w:space="0"/>
            </w:tcBorders>
            <w:noWrap w:val="0"/>
            <w:vAlign w:val="center"/>
          </w:tcPr>
          <w:p w14:paraId="0C1948CC">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64708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noWrap w:val="0"/>
            <w:vAlign w:val="top"/>
          </w:tcPr>
          <w:p w14:paraId="45B4CF42">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（三）承重支撑体系：用于钢结构安装等满堂支撑体系。</w:t>
            </w:r>
          </w:p>
        </w:tc>
        <w:tc>
          <w:tcPr>
            <w:tcW w:w="1361" w:type="dxa"/>
            <w:tcBorders>
              <w:top w:val="single" w:color="auto" w:sz="4" w:space="0"/>
              <w:left w:val="nil"/>
              <w:bottom w:val="single" w:color="auto" w:sz="4" w:space="0"/>
              <w:right w:val="single" w:color="auto" w:sz="4" w:space="0"/>
            </w:tcBorders>
            <w:noWrap w:val="0"/>
            <w:vAlign w:val="center"/>
          </w:tcPr>
          <w:p w14:paraId="25ACDC8E">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    )</w:t>
            </w:r>
          </w:p>
        </w:tc>
        <w:tc>
          <w:tcPr>
            <w:tcW w:w="1361" w:type="dxa"/>
            <w:tcBorders>
              <w:top w:val="single" w:color="auto" w:sz="4" w:space="0"/>
              <w:left w:val="nil"/>
              <w:bottom w:val="single" w:color="auto" w:sz="4" w:space="0"/>
              <w:right w:val="single" w:color="auto" w:sz="4" w:space="0"/>
            </w:tcBorders>
            <w:noWrap w:val="0"/>
            <w:vAlign w:val="center"/>
          </w:tcPr>
          <w:p w14:paraId="3F23D3C9">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    )</w:t>
            </w:r>
          </w:p>
        </w:tc>
        <w:tc>
          <w:tcPr>
            <w:tcW w:w="1461" w:type="dxa"/>
            <w:tcBorders>
              <w:top w:val="single" w:color="auto" w:sz="4" w:space="0"/>
              <w:left w:val="nil"/>
              <w:bottom w:val="single" w:color="auto" w:sz="4" w:space="0"/>
              <w:right w:val="single" w:color="auto" w:sz="4" w:space="0"/>
            </w:tcBorders>
            <w:noWrap w:val="0"/>
            <w:vAlign w:val="center"/>
          </w:tcPr>
          <w:p w14:paraId="6D01D932">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10ADB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noWrap w:val="0"/>
            <w:vAlign w:val="top"/>
          </w:tcPr>
          <w:p w14:paraId="7D71FDA2">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　三、起重吊装及起重机械安装拆卸工程</w:t>
            </w:r>
          </w:p>
        </w:tc>
        <w:tc>
          <w:tcPr>
            <w:tcW w:w="1361" w:type="dxa"/>
            <w:tcBorders>
              <w:top w:val="single" w:color="auto" w:sz="4" w:space="0"/>
              <w:left w:val="nil"/>
              <w:bottom w:val="single" w:color="auto" w:sz="4" w:space="0"/>
              <w:right w:val="single" w:color="auto" w:sz="4" w:space="0"/>
            </w:tcBorders>
            <w:noWrap w:val="0"/>
            <w:vAlign w:val="center"/>
          </w:tcPr>
          <w:p w14:paraId="6ED1D21F">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    )</w:t>
            </w:r>
          </w:p>
        </w:tc>
        <w:tc>
          <w:tcPr>
            <w:tcW w:w="1361" w:type="dxa"/>
            <w:tcBorders>
              <w:top w:val="single" w:color="auto" w:sz="4" w:space="0"/>
              <w:left w:val="nil"/>
              <w:bottom w:val="single" w:color="auto" w:sz="4" w:space="0"/>
              <w:right w:val="single" w:color="auto" w:sz="4" w:space="0"/>
            </w:tcBorders>
            <w:noWrap w:val="0"/>
            <w:vAlign w:val="center"/>
          </w:tcPr>
          <w:p w14:paraId="754BEE88">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    )</w:t>
            </w:r>
          </w:p>
        </w:tc>
        <w:tc>
          <w:tcPr>
            <w:tcW w:w="1461" w:type="dxa"/>
            <w:tcBorders>
              <w:top w:val="single" w:color="auto" w:sz="4" w:space="0"/>
              <w:left w:val="nil"/>
              <w:bottom w:val="single" w:color="auto" w:sz="4" w:space="0"/>
              <w:right w:val="single" w:color="auto" w:sz="4" w:space="0"/>
            </w:tcBorders>
            <w:noWrap w:val="0"/>
            <w:vAlign w:val="center"/>
          </w:tcPr>
          <w:p w14:paraId="2AE80DCD">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7EE4F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noWrap w:val="0"/>
            <w:vAlign w:val="top"/>
          </w:tcPr>
          <w:p w14:paraId="27A8B64E">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（一）采用非常规起重设备、方法，且单件起吊重量在10kN及以上的起重吊装工程。</w:t>
            </w:r>
          </w:p>
        </w:tc>
        <w:tc>
          <w:tcPr>
            <w:tcW w:w="1361" w:type="dxa"/>
            <w:tcBorders>
              <w:top w:val="single" w:color="auto" w:sz="4" w:space="0"/>
              <w:left w:val="nil"/>
              <w:bottom w:val="single" w:color="auto" w:sz="4" w:space="0"/>
              <w:right w:val="single" w:color="auto" w:sz="4" w:space="0"/>
            </w:tcBorders>
            <w:noWrap w:val="0"/>
            <w:vAlign w:val="center"/>
          </w:tcPr>
          <w:p w14:paraId="36C567AC">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    )</w:t>
            </w:r>
          </w:p>
        </w:tc>
        <w:tc>
          <w:tcPr>
            <w:tcW w:w="1361" w:type="dxa"/>
            <w:tcBorders>
              <w:top w:val="single" w:color="auto" w:sz="4" w:space="0"/>
              <w:left w:val="nil"/>
              <w:bottom w:val="single" w:color="auto" w:sz="4" w:space="0"/>
              <w:right w:val="single" w:color="auto" w:sz="4" w:space="0"/>
            </w:tcBorders>
            <w:noWrap w:val="0"/>
            <w:vAlign w:val="center"/>
          </w:tcPr>
          <w:p w14:paraId="5240285B">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    )</w:t>
            </w:r>
          </w:p>
        </w:tc>
        <w:tc>
          <w:tcPr>
            <w:tcW w:w="1461" w:type="dxa"/>
            <w:tcBorders>
              <w:top w:val="single" w:color="auto" w:sz="4" w:space="0"/>
              <w:left w:val="nil"/>
              <w:bottom w:val="single" w:color="auto" w:sz="4" w:space="0"/>
              <w:right w:val="single" w:color="auto" w:sz="4" w:space="0"/>
            </w:tcBorders>
            <w:noWrap w:val="0"/>
            <w:vAlign w:val="center"/>
          </w:tcPr>
          <w:p w14:paraId="294834D3">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110A5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noWrap w:val="0"/>
            <w:vAlign w:val="top"/>
          </w:tcPr>
          <w:p w14:paraId="213DD8BA">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（二）采用起重机械进行安装的工程。</w:t>
            </w:r>
          </w:p>
        </w:tc>
        <w:tc>
          <w:tcPr>
            <w:tcW w:w="1361" w:type="dxa"/>
            <w:tcBorders>
              <w:top w:val="single" w:color="auto" w:sz="4" w:space="0"/>
              <w:left w:val="nil"/>
              <w:bottom w:val="single" w:color="auto" w:sz="4" w:space="0"/>
              <w:right w:val="single" w:color="auto" w:sz="4" w:space="0"/>
            </w:tcBorders>
            <w:noWrap w:val="0"/>
            <w:vAlign w:val="top"/>
          </w:tcPr>
          <w:p w14:paraId="7F11C5D6">
            <w:pPr>
              <w:keepNext w:val="0"/>
              <w:keepLines w:val="0"/>
              <w:widowControl w:val="0"/>
              <w:suppressLineNumbers w:val="0"/>
              <w:shd w:val="clear" w:color="auto" w:fill="auto"/>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bidi="ar"/>
              </w:rPr>
              <w:t>(    )</w:t>
            </w:r>
          </w:p>
        </w:tc>
        <w:tc>
          <w:tcPr>
            <w:tcW w:w="1361" w:type="dxa"/>
            <w:tcBorders>
              <w:top w:val="single" w:color="auto" w:sz="4" w:space="0"/>
              <w:left w:val="nil"/>
              <w:bottom w:val="single" w:color="auto" w:sz="4" w:space="0"/>
              <w:right w:val="single" w:color="auto" w:sz="4" w:space="0"/>
            </w:tcBorders>
            <w:noWrap w:val="0"/>
            <w:vAlign w:val="center"/>
          </w:tcPr>
          <w:p w14:paraId="2A73C379">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    )</w:t>
            </w:r>
          </w:p>
        </w:tc>
        <w:tc>
          <w:tcPr>
            <w:tcW w:w="1461" w:type="dxa"/>
            <w:tcBorders>
              <w:top w:val="single" w:color="auto" w:sz="4" w:space="0"/>
              <w:left w:val="nil"/>
              <w:bottom w:val="single" w:color="auto" w:sz="4" w:space="0"/>
              <w:right w:val="single" w:color="auto" w:sz="4" w:space="0"/>
            </w:tcBorders>
            <w:noWrap w:val="0"/>
            <w:vAlign w:val="center"/>
          </w:tcPr>
          <w:p w14:paraId="024BD822">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508FD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noWrap w:val="0"/>
            <w:vAlign w:val="top"/>
          </w:tcPr>
          <w:p w14:paraId="3325D8DB">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（三）起重机械安装和拆卸工程。</w:t>
            </w:r>
          </w:p>
        </w:tc>
        <w:tc>
          <w:tcPr>
            <w:tcW w:w="1361" w:type="dxa"/>
            <w:tcBorders>
              <w:top w:val="single" w:color="auto" w:sz="4" w:space="0"/>
              <w:left w:val="nil"/>
              <w:bottom w:val="single" w:color="auto" w:sz="4" w:space="0"/>
              <w:right w:val="single" w:color="auto" w:sz="4" w:space="0"/>
            </w:tcBorders>
            <w:noWrap w:val="0"/>
            <w:vAlign w:val="top"/>
          </w:tcPr>
          <w:p w14:paraId="3D1A85C5">
            <w:pPr>
              <w:keepNext w:val="0"/>
              <w:keepLines w:val="0"/>
              <w:widowControl w:val="0"/>
              <w:suppressLineNumbers w:val="0"/>
              <w:shd w:val="clear" w:color="auto" w:fill="auto"/>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bidi="ar"/>
              </w:rPr>
              <w:t>(    )</w:t>
            </w:r>
          </w:p>
        </w:tc>
        <w:tc>
          <w:tcPr>
            <w:tcW w:w="1361" w:type="dxa"/>
            <w:tcBorders>
              <w:top w:val="single" w:color="auto" w:sz="4" w:space="0"/>
              <w:left w:val="nil"/>
              <w:bottom w:val="single" w:color="auto" w:sz="4" w:space="0"/>
              <w:right w:val="single" w:color="auto" w:sz="4" w:space="0"/>
            </w:tcBorders>
            <w:noWrap w:val="0"/>
            <w:vAlign w:val="center"/>
          </w:tcPr>
          <w:p w14:paraId="1C680C6A">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    )</w:t>
            </w:r>
          </w:p>
        </w:tc>
        <w:tc>
          <w:tcPr>
            <w:tcW w:w="1461" w:type="dxa"/>
            <w:tcBorders>
              <w:top w:val="single" w:color="auto" w:sz="4" w:space="0"/>
              <w:left w:val="nil"/>
              <w:bottom w:val="single" w:color="auto" w:sz="4" w:space="0"/>
              <w:right w:val="single" w:color="auto" w:sz="4" w:space="0"/>
            </w:tcBorders>
            <w:noWrap w:val="0"/>
            <w:vAlign w:val="center"/>
          </w:tcPr>
          <w:p w14:paraId="3A5F0B65">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5607E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noWrap w:val="0"/>
            <w:vAlign w:val="top"/>
          </w:tcPr>
          <w:p w14:paraId="2ED3BCEE">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四、脚手架工程</w:t>
            </w:r>
          </w:p>
        </w:tc>
        <w:tc>
          <w:tcPr>
            <w:tcW w:w="1361" w:type="dxa"/>
            <w:tcBorders>
              <w:top w:val="single" w:color="auto" w:sz="4" w:space="0"/>
              <w:left w:val="nil"/>
              <w:bottom w:val="single" w:color="auto" w:sz="4" w:space="0"/>
              <w:right w:val="single" w:color="auto" w:sz="4" w:space="0"/>
            </w:tcBorders>
            <w:noWrap w:val="0"/>
            <w:vAlign w:val="top"/>
          </w:tcPr>
          <w:p w14:paraId="2EFE74EF">
            <w:pPr>
              <w:keepNext w:val="0"/>
              <w:keepLines w:val="0"/>
              <w:widowControl w:val="0"/>
              <w:suppressLineNumbers w:val="0"/>
              <w:shd w:val="clear" w:color="auto" w:fill="auto"/>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bidi="ar"/>
              </w:rPr>
              <w:t>(    )</w:t>
            </w:r>
          </w:p>
        </w:tc>
        <w:tc>
          <w:tcPr>
            <w:tcW w:w="1361" w:type="dxa"/>
            <w:tcBorders>
              <w:top w:val="single" w:color="auto" w:sz="4" w:space="0"/>
              <w:left w:val="nil"/>
              <w:bottom w:val="single" w:color="auto" w:sz="4" w:space="0"/>
              <w:right w:val="single" w:color="auto" w:sz="4" w:space="0"/>
            </w:tcBorders>
            <w:noWrap w:val="0"/>
            <w:vAlign w:val="center"/>
          </w:tcPr>
          <w:p w14:paraId="78E4E3E3">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    )</w:t>
            </w:r>
          </w:p>
        </w:tc>
        <w:tc>
          <w:tcPr>
            <w:tcW w:w="1461" w:type="dxa"/>
            <w:tcBorders>
              <w:top w:val="single" w:color="auto" w:sz="4" w:space="0"/>
              <w:left w:val="nil"/>
              <w:bottom w:val="single" w:color="auto" w:sz="4" w:space="0"/>
              <w:right w:val="single" w:color="auto" w:sz="4" w:space="0"/>
            </w:tcBorders>
            <w:noWrap w:val="0"/>
            <w:vAlign w:val="center"/>
          </w:tcPr>
          <w:p w14:paraId="19DEDF7C">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4CF62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noWrap w:val="0"/>
            <w:vAlign w:val="top"/>
          </w:tcPr>
          <w:p w14:paraId="1995505B">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（一）搭设高度24m及以上的落地式钢管脚手架工程（包括采光井、电梯井脚手架）。</w:t>
            </w:r>
          </w:p>
        </w:tc>
        <w:tc>
          <w:tcPr>
            <w:tcW w:w="1361" w:type="dxa"/>
            <w:tcBorders>
              <w:top w:val="single" w:color="auto" w:sz="4" w:space="0"/>
              <w:left w:val="nil"/>
              <w:bottom w:val="single" w:color="auto" w:sz="4" w:space="0"/>
              <w:right w:val="single" w:color="auto" w:sz="4" w:space="0"/>
            </w:tcBorders>
            <w:noWrap w:val="0"/>
            <w:vAlign w:val="top"/>
          </w:tcPr>
          <w:p w14:paraId="6B716146">
            <w:pPr>
              <w:keepNext w:val="0"/>
              <w:keepLines w:val="0"/>
              <w:widowControl w:val="0"/>
              <w:suppressLineNumbers w:val="0"/>
              <w:shd w:val="clear" w:color="auto" w:fill="auto"/>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bidi="ar"/>
              </w:rPr>
              <w:t>(    )</w:t>
            </w:r>
          </w:p>
        </w:tc>
        <w:tc>
          <w:tcPr>
            <w:tcW w:w="1361" w:type="dxa"/>
            <w:tcBorders>
              <w:top w:val="single" w:color="auto" w:sz="4" w:space="0"/>
              <w:left w:val="nil"/>
              <w:bottom w:val="single" w:color="auto" w:sz="4" w:space="0"/>
              <w:right w:val="single" w:color="auto" w:sz="4" w:space="0"/>
            </w:tcBorders>
            <w:noWrap w:val="0"/>
            <w:vAlign w:val="center"/>
          </w:tcPr>
          <w:p w14:paraId="23FD26BD">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    )</w:t>
            </w:r>
          </w:p>
        </w:tc>
        <w:tc>
          <w:tcPr>
            <w:tcW w:w="1461" w:type="dxa"/>
            <w:tcBorders>
              <w:top w:val="single" w:color="auto" w:sz="4" w:space="0"/>
              <w:left w:val="nil"/>
              <w:bottom w:val="single" w:color="auto" w:sz="4" w:space="0"/>
              <w:right w:val="single" w:color="auto" w:sz="4" w:space="0"/>
            </w:tcBorders>
            <w:noWrap w:val="0"/>
            <w:vAlign w:val="center"/>
          </w:tcPr>
          <w:p w14:paraId="6AC7ABB0">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51176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noWrap w:val="0"/>
            <w:vAlign w:val="top"/>
          </w:tcPr>
          <w:p w14:paraId="590E8A11">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（二）附着式升降脚手架工程。</w:t>
            </w:r>
          </w:p>
        </w:tc>
        <w:tc>
          <w:tcPr>
            <w:tcW w:w="1361" w:type="dxa"/>
            <w:tcBorders>
              <w:top w:val="single" w:color="auto" w:sz="4" w:space="0"/>
              <w:left w:val="nil"/>
              <w:bottom w:val="single" w:color="auto" w:sz="4" w:space="0"/>
              <w:right w:val="single" w:color="auto" w:sz="4" w:space="0"/>
            </w:tcBorders>
            <w:noWrap w:val="0"/>
            <w:vAlign w:val="top"/>
          </w:tcPr>
          <w:p w14:paraId="4F5B5E8C">
            <w:pPr>
              <w:keepNext w:val="0"/>
              <w:keepLines w:val="0"/>
              <w:widowControl w:val="0"/>
              <w:suppressLineNumbers w:val="0"/>
              <w:shd w:val="clear" w:color="auto" w:fill="auto"/>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bidi="ar"/>
              </w:rPr>
              <w:t>(    )</w:t>
            </w:r>
          </w:p>
        </w:tc>
        <w:tc>
          <w:tcPr>
            <w:tcW w:w="1361" w:type="dxa"/>
            <w:tcBorders>
              <w:top w:val="single" w:color="auto" w:sz="4" w:space="0"/>
              <w:left w:val="nil"/>
              <w:bottom w:val="single" w:color="auto" w:sz="4" w:space="0"/>
              <w:right w:val="single" w:color="auto" w:sz="4" w:space="0"/>
            </w:tcBorders>
            <w:noWrap w:val="0"/>
            <w:vAlign w:val="center"/>
          </w:tcPr>
          <w:p w14:paraId="2D9865B2">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    )</w:t>
            </w:r>
          </w:p>
        </w:tc>
        <w:tc>
          <w:tcPr>
            <w:tcW w:w="1461" w:type="dxa"/>
            <w:tcBorders>
              <w:top w:val="single" w:color="auto" w:sz="4" w:space="0"/>
              <w:left w:val="nil"/>
              <w:bottom w:val="single" w:color="auto" w:sz="4" w:space="0"/>
              <w:right w:val="single" w:color="auto" w:sz="4" w:space="0"/>
            </w:tcBorders>
            <w:noWrap w:val="0"/>
            <w:vAlign w:val="center"/>
          </w:tcPr>
          <w:p w14:paraId="635FC79E">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2AFE5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noWrap w:val="0"/>
            <w:vAlign w:val="top"/>
          </w:tcPr>
          <w:p w14:paraId="3A50DC50">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（三）悬挑式脚手架工程。</w:t>
            </w:r>
          </w:p>
        </w:tc>
        <w:tc>
          <w:tcPr>
            <w:tcW w:w="1361" w:type="dxa"/>
            <w:tcBorders>
              <w:top w:val="single" w:color="auto" w:sz="4" w:space="0"/>
              <w:left w:val="nil"/>
              <w:bottom w:val="single" w:color="auto" w:sz="4" w:space="0"/>
              <w:right w:val="single" w:color="auto" w:sz="4" w:space="0"/>
            </w:tcBorders>
            <w:noWrap w:val="0"/>
            <w:vAlign w:val="top"/>
          </w:tcPr>
          <w:p w14:paraId="732D679E">
            <w:pPr>
              <w:keepNext w:val="0"/>
              <w:keepLines w:val="0"/>
              <w:widowControl w:val="0"/>
              <w:suppressLineNumbers w:val="0"/>
              <w:shd w:val="clear" w:color="auto" w:fill="auto"/>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bidi="ar"/>
              </w:rPr>
              <w:t>(    )</w:t>
            </w:r>
          </w:p>
        </w:tc>
        <w:tc>
          <w:tcPr>
            <w:tcW w:w="1361" w:type="dxa"/>
            <w:tcBorders>
              <w:top w:val="single" w:color="auto" w:sz="4" w:space="0"/>
              <w:left w:val="nil"/>
              <w:bottom w:val="single" w:color="auto" w:sz="4" w:space="0"/>
              <w:right w:val="single" w:color="auto" w:sz="4" w:space="0"/>
            </w:tcBorders>
            <w:noWrap w:val="0"/>
            <w:vAlign w:val="center"/>
          </w:tcPr>
          <w:p w14:paraId="7FCDFCB3">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    )</w:t>
            </w:r>
          </w:p>
        </w:tc>
        <w:tc>
          <w:tcPr>
            <w:tcW w:w="1461" w:type="dxa"/>
            <w:tcBorders>
              <w:top w:val="single" w:color="auto" w:sz="4" w:space="0"/>
              <w:left w:val="nil"/>
              <w:bottom w:val="single" w:color="auto" w:sz="4" w:space="0"/>
              <w:right w:val="single" w:color="auto" w:sz="4" w:space="0"/>
            </w:tcBorders>
            <w:noWrap w:val="0"/>
            <w:vAlign w:val="center"/>
          </w:tcPr>
          <w:p w14:paraId="651B19E7">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72D69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noWrap w:val="0"/>
            <w:vAlign w:val="top"/>
          </w:tcPr>
          <w:p w14:paraId="2A725DC6">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（四）高处作业吊篮。</w:t>
            </w:r>
          </w:p>
        </w:tc>
        <w:tc>
          <w:tcPr>
            <w:tcW w:w="1361" w:type="dxa"/>
            <w:tcBorders>
              <w:top w:val="single" w:color="auto" w:sz="4" w:space="0"/>
              <w:left w:val="nil"/>
              <w:bottom w:val="single" w:color="auto" w:sz="4" w:space="0"/>
              <w:right w:val="single" w:color="auto" w:sz="4" w:space="0"/>
            </w:tcBorders>
            <w:noWrap w:val="0"/>
            <w:vAlign w:val="top"/>
          </w:tcPr>
          <w:p w14:paraId="48049400">
            <w:pPr>
              <w:keepNext w:val="0"/>
              <w:keepLines w:val="0"/>
              <w:widowControl w:val="0"/>
              <w:suppressLineNumbers w:val="0"/>
              <w:shd w:val="clear" w:color="auto" w:fill="auto"/>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bidi="ar"/>
              </w:rPr>
              <w:t>(    )</w:t>
            </w:r>
          </w:p>
        </w:tc>
        <w:tc>
          <w:tcPr>
            <w:tcW w:w="1361" w:type="dxa"/>
            <w:tcBorders>
              <w:top w:val="single" w:color="auto" w:sz="4" w:space="0"/>
              <w:left w:val="nil"/>
              <w:bottom w:val="single" w:color="auto" w:sz="4" w:space="0"/>
              <w:right w:val="single" w:color="auto" w:sz="4" w:space="0"/>
            </w:tcBorders>
            <w:noWrap w:val="0"/>
            <w:vAlign w:val="center"/>
          </w:tcPr>
          <w:p w14:paraId="7BB85EAC">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    )</w:t>
            </w:r>
          </w:p>
        </w:tc>
        <w:tc>
          <w:tcPr>
            <w:tcW w:w="1461" w:type="dxa"/>
            <w:tcBorders>
              <w:top w:val="single" w:color="auto" w:sz="4" w:space="0"/>
              <w:left w:val="nil"/>
              <w:bottom w:val="single" w:color="auto" w:sz="4" w:space="0"/>
              <w:right w:val="single" w:color="auto" w:sz="4" w:space="0"/>
            </w:tcBorders>
            <w:noWrap w:val="0"/>
            <w:vAlign w:val="center"/>
          </w:tcPr>
          <w:p w14:paraId="2E18107A">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2D579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noWrap w:val="0"/>
            <w:vAlign w:val="top"/>
          </w:tcPr>
          <w:p w14:paraId="4D800686">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（五）卸料平台、操作平台工程。</w:t>
            </w:r>
          </w:p>
        </w:tc>
        <w:tc>
          <w:tcPr>
            <w:tcW w:w="1361" w:type="dxa"/>
            <w:tcBorders>
              <w:top w:val="single" w:color="auto" w:sz="4" w:space="0"/>
              <w:left w:val="nil"/>
              <w:bottom w:val="single" w:color="auto" w:sz="4" w:space="0"/>
              <w:right w:val="single" w:color="auto" w:sz="4" w:space="0"/>
            </w:tcBorders>
            <w:noWrap w:val="0"/>
            <w:vAlign w:val="top"/>
          </w:tcPr>
          <w:p w14:paraId="04E142C6">
            <w:pPr>
              <w:keepNext w:val="0"/>
              <w:keepLines w:val="0"/>
              <w:widowControl w:val="0"/>
              <w:suppressLineNumbers w:val="0"/>
              <w:shd w:val="clear" w:color="auto" w:fill="auto"/>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bidi="ar"/>
              </w:rPr>
              <w:t>(    )</w:t>
            </w:r>
          </w:p>
        </w:tc>
        <w:tc>
          <w:tcPr>
            <w:tcW w:w="1361" w:type="dxa"/>
            <w:tcBorders>
              <w:top w:val="single" w:color="auto" w:sz="4" w:space="0"/>
              <w:left w:val="nil"/>
              <w:bottom w:val="single" w:color="auto" w:sz="4" w:space="0"/>
              <w:right w:val="single" w:color="auto" w:sz="4" w:space="0"/>
            </w:tcBorders>
            <w:noWrap w:val="0"/>
            <w:vAlign w:val="center"/>
          </w:tcPr>
          <w:p w14:paraId="7296E70F">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    )</w:t>
            </w:r>
          </w:p>
        </w:tc>
        <w:tc>
          <w:tcPr>
            <w:tcW w:w="1461" w:type="dxa"/>
            <w:tcBorders>
              <w:top w:val="single" w:color="auto" w:sz="4" w:space="0"/>
              <w:left w:val="nil"/>
              <w:bottom w:val="single" w:color="auto" w:sz="4" w:space="0"/>
              <w:right w:val="single" w:color="auto" w:sz="4" w:space="0"/>
            </w:tcBorders>
            <w:noWrap w:val="0"/>
            <w:vAlign w:val="center"/>
          </w:tcPr>
          <w:p w14:paraId="35958D6A">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2DE05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noWrap w:val="0"/>
            <w:vAlign w:val="top"/>
          </w:tcPr>
          <w:p w14:paraId="452D4AAC">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（六）异型脚手架工程。</w:t>
            </w:r>
          </w:p>
        </w:tc>
        <w:tc>
          <w:tcPr>
            <w:tcW w:w="1361" w:type="dxa"/>
            <w:tcBorders>
              <w:top w:val="single" w:color="auto" w:sz="4" w:space="0"/>
              <w:left w:val="nil"/>
              <w:bottom w:val="single" w:color="auto" w:sz="4" w:space="0"/>
              <w:right w:val="single" w:color="auto" w:sz="4" w:space="0"/>
            </w:tcBorders>
            <w:noWrap w:val="0"/>
            <w:vAlign w:val="top"/>
          </w:tcPr>
          <w:p w14:paraId="58E48551">
            <w:pPr>
              <w:keepNext w:val="0"/>
              <w:keepLines w:val="0"/>
              <w:widowControl w:val="0"/>
              <w:suppressLineNumbers w:val="0"/>
              <w:shd w:val="clear" w:color="auto" w:fill="auto"/>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bidi="ar"/>
              </w:rPr>
              <w:t>(    )</w:t>
            </w:r>
          </w:p>
        </w:tc>
        <w:tc>
          <w:tcPr>
            <w:tcW w:w="1361" w:type="dxa"/>
            <w:tcBorders>
              <w:top w:val="single" w:color="auto" w:sz="4" w:space="0"/>
              <w:left w:val="nil"/>
              <w:bottom w:val="single" w:color="auto" w:sz="4" w:space="0"/>
              <w:right w:val="single" w:color="auto" w:sz="4" w:space="0"/>
            </w:tcBorders>
            <w:noWrap w:val="0"/>
            <w:vAlign w:val="center"/>
          </w:tcPr>
          <w:p w14:paraId="611C0003">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    )</w:t>
            </w:r>
          </w:p>
        </w:tc>
        <w:tc>
          <w:tcPr>
            <w:tcW w:w="1461" w:type="dxa"/>
            <w:tcBorders>
              <w:top w:val="single" w:color="auto" w:sz="4" w:space="0"/>
              <w:left w:val="nil"/>
              <w:bottom w:val="single" w:color="auto" w:sz="4" w:space="0"/>
              <w:right w:val="single" w:color="auto" w:sz="4" w:space="0"/>
            </w:tcBorders>
            <w:noWrap w:val="0"/>
            <w:vAlign w:val="center"/>
          </w:tcPr>
          <w:p w14:paraId="75CD6597">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2736F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noWrap w:val="0"/>
            <w:vAlign w:val="top"/>
          </w:tcPr>
          <w:p w14:paraId="52D98864">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五、拆除工程</w:t>
            </w:r>
          </w:p>
        </w:tc>
        <w:tc>
          <w:tcPr>
            <w:tcW w:w="1361" w:type="dxa"/>
            <w:tcBorders>
              <w:top w:val="single" w:color="auto" w:sz="4" w:space="0"/>
              <w:left w:val="nil"/>
              <w:bottom w:val="single" w:color="auto" w:sz="4" w:space="0"/>
              <w:right w:val="single" w:color="auto" w:sz="4" w:space="0"/>
            </w:tcBorders>
            <w:noWrap w:val="0"/>
            <w:vAlign w:val="top"/>
          </w:tcPr>
          <w:p w14:paraId="6D8BD74B">
            <w:pPr>
              <w:keepNext w:val="0"/>
              <w:keepLines w:val="0"/>
              <w:widowControl w:val="0"/>
              <w:suppressLineNumbers w:val="0"/>
              <w:shd w:val="clear" w:color="auto" w:fill="auto"/>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bidi="ar"/>
              </w:rPr>
              <w:t>(    )</w:t>
            </w:r>
          </w:p>
        </w:tc>
        <w:tc>
          <w:tcPr>
            <w:tcW w:w="1361" w:type="dxa"/>
            <w:tcBorders>
              <w:top w:val="single" w:color="auto" w:sz="4" w:space="0"/>
              <w:left w:val="nil"/>
              <w:bottom w:val="single" w:color="auto" w:sz="4" w:space="0"/>
              <w:right w:val="single" w:color="auto" w:sz="4" w:space="0"/>
            </w:tcBorders>
            <w:noWrap w:val="0"/>
            <w:vAlign w:val="center"/>
          </w:tcPr>
          <w:p w14:paraId="287D924F">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    )</w:t>
            </w:r>
          </w:p>
        </w:tc>
        <w:tc>
          <w:tcPr>
            <w:tcW w:w="1461" w:type="dxa"/>
            <w:tcBorders>
              <w:top w:val="single" w:color="auto" w:sz="4" w:space="0"/>
              <w:left w:val="nil"/>
              <w:bottom w:val="single" w:color="auto" w:sz="4" w:space="0"/>
              <w:right w:val="single" w:color="auto" w:sz="4" w:space="0"/>
            </w:tcBorders>
            <w:noWrap w:val="0"/>
            <w:vAlign w:val="center"/>
          </w:tcPr>
          <w:p w14:paraId="380FCDFB">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43413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noWrap w:val="0"/>
            <w:vAlign w:val="top"/>
          </w:tcPr>
          <w:p w14:paraId="25AD927D">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可能影响行人、交通、电力设施、通讯设施或其它建、构筑物安全的拆除工程。</w:t>
            </w:r>
          </w:p>
        </w:tc>
        <w:tc>
          <w:tcPr>
            <w:tcW w:w="1361" w:type="dxa"/>
            <w:tcBorders>
              <w:top w:val="single" w:color="auto" w:sz="4" w:space="0"/>
              <w:left w:val="nil"/>
              <w:bottom w:val="single" w:color="auto" w:sz="4" w:space="0"/>
              <w:right w:val="single" w:color="auto" w:sz="4" w:space="0"/>
            </w:tcBorders>
            <w:noWrap w:val="0"/>
            <w:vAlign w:val="top"/>
          </w:tcPr>
          <w:p w14:paraId="7359223C">
            <w:pPr>
              <w:keepNext w:val="0"/>
              <w:keepLines w:val="0"/>
              <w:widowControl w:val="0"/>
              <w:suppressLineNumbers w:val="0"/>
              <w:shd w:val="clear" w:color="auto" w:fill="auto"/>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bidi="ar"/>
              </w:rPr>
              <w:t xml:space="preserve">(  </w:t>
            </w:r>
            <w:r>
              <w:rPr>
                <w:rFonts w:hint="eastAsia" w:ascii="宋体" w:hAnsi="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 xml:space="preserve">  )</w:t>
            </w:r>
          </w:p>
        </w:tc>
        <w:tc>
          <w:tcPr>
            <w:tcW w:w="1361" w:type="dxa"/>
            <w:tcBorders>
              <w:top w:val="single" w:color="auto" w:sz="4" w:space="0"/>
              <w:left w:val="nil"/>
              <w:bottom w:val="single" w:color="auto" w:sz="4" w:space="0"/>
              <w:right w:val="single" w:color="auto" w:sz="4" w:space="0"/>
            </w:tcBorders>
            <w:noWrap w:val="0"/>
            <w:vAlign w:val="center"/>
          </w:tcPr>
          <w:p w14:paraId="3E0F161F">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    )</w:t>
            </w:r>
          </w:p>
        </w:tc>
        <w:tc>
          <w:tcPr>
            <w:tcW w:w="1461" w:type="dxa"/>
            <w:tcBorders>
              <w:top w:val="single" w:color="auto" w:sz="4" w:space="0"/>
              <w:left w:val="nil"/>
              <w:bottom w:val="single" w:color="auto" w:sz="4" w:space="0"/>
              <w:right w:val="single" w:color="auto" w:sz="4" w:space="0"/>
            </w:tcBorders>
            <w:noWrap w:val="0"/>
            <w:vAlign w:val="center"/>
          </w:tcPr>
          <w:p w14:paraId="31DDF25B">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048C5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noWrap w:val="0"/>
            <w:vAlign w:val="top"/>
          </w:tcPr>
          <w:p w14:paraId="380CB0C0">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　六、暗挖工程</w:t>
            </w:r>
          </w:p>
        </w:tc>
        <w:tc>
          <w:tcPr>
            <w:tcW w:w="1361" w:type="dxa"/>
            <w:tcBorders>
              <w:top w:val="single" w:color="auto" w:sz="4" w:space="0"/>
              <w:left w:val="nil"/>
              <w:bottom w:val="single" w:color="auto" w:sz="4" w:space="0"/>
              <w:right w:val="single" w:color="auto" w:sz="4" w:space="0"/>
            </w:tcBorders>
            <w:noWrap w:val="0"/>
            <w:vAlign w:val="top"/>
          </w:tcPr>
          <w:p w14:paraId="1D14FE34">
            <w:pPr>
              <w:keepNext w:val="0"/>
              <w:keepLines w:val="0"/>
              <w:widowControl w:val="0"/>
              <w:suppressLineNumbers w:val="0"/>
              <w:shd w:val="clear" w:color="auto" w:fill="auto"/>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bidi="ar"/>
              </w:rPr>
              <w:t>(    )</w:t>
            </w:r>
          </w:p>
        </w:tc>
        <w:tc>
          <w:tcPr>
            <w:tcW w:w="1361" w:type="dxa"/>
            <w:tcBorders>
              <w:top w:val="single" w:color="auto" w:sz="4" w:space="0"/>
              <w:left w:val="nil"/>
              <w:bottom w:val="single" w:color="auto" w:sz="4" w:space="0"/>
              <w:right w:val="single" w:color="auto" w:sz="4" w:space="0"/>
            </w:tcBorders>
            <w:noWrap w:val="0"/>
            <w:vAlign w:val="center"/>
          </w:tcPr>
          <w:p w14:paraId="5B2C7129">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    )</w:t>
            </w:r>
          </w:p>
        </w:tc>
        <w:tc>
          <w:tcPr>
            <w:tcW w:w="1461" w:type="dxa"/>
            <w:tcBorders>
              <w:top w:val="single" w:color="auto" w:sz="4" w:space="0"/>
              <w:left w:val="nil"/>
              <w:bottom w:val="single" w:color="auto" w:sz="4" w:space="0"/>
              <w:right w:val="single" w:color="auto" w:sz="4" w:space="0"/>
            </w:tcBorders>
            <w:noWrap w:val="0"/>
            <w:vAlign w:val="center"/>
          </w:tcPr>
          <w:p w14:paraId="70F38028">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3F9A5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noWrap w:val="0"/>
            <w:vAlign w:val="top"/>
          </w:tcPr>
          <w:p w14:paraId="342AD0EE">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采用矿山法、盾构法、顶管法施工的隧道、洞室工程。</w:t>
            </w:r>
          </w:p>
        </w:tc>
        <w:tc>
          <w:tcPr>
            <w:tcW w:w="1361" w:type="dxa"/>
            <w:tcBorders>
              <w:top w:val="single" w:color="auto" w:sz="4" w:space="0"/>
              <w:left w:val="nil"/>
              <w:bottom w:val="single" w:color="auto" w:sz="4" w:space="0"/>
              <w:right w:val="single" w:color="auto" w:sz="4" w:space="0"/>
            </w:tcBorders>
            <w:noWrap w:val="0"/>
            <w:vAlign w:val="top"/>
          </w:tcPr>
          <w:p w14:paraId="1FC26F9C">
            <w:pPr>
              <w:keepNext w:val="0"/>
              <w:keepLines w:val="0"/>
              <w:widowControl w:val="0"/>
              <w:suppressLineNumbers w:val="0"/>
              <w:shd w:val="clear" w:color="auto" w:fill="auto"/>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bidi="ar"/>
              </w:rPr>
              <w:t>(    )</w:t>
            </w:r>
          </w:p>
        </w:tc>
        <w:tc>
          <w:tcPr>
            <w:tcW w:w="1361" w:type="dxa"/>
            <w:tcBorders>
              <w:top w:val="single" w:color="auto" w:sz="4" w:space="0"/>
              <w:left w:val="nil"/>
              <w:bottom w:val="single" w:color="auto" w:sz="4" w:space="0"/>
              <w:right w:val="single" w:color="auto" w:sz="4" w:space="0"/>
            </w:tcBorders>
            <w:noWrap w:val="0"/>
            <w:vAlign w:val="center"/>
          </w:tcPr>
          <w:p w14:paraId="4F120B68">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    )</w:t>
            </w:r>
          </w:p>
        </w:tc>
        <w:tc>
          <w:tcPr>
            <w:tcW w:w="1461" w:type="dxa"/>
            <w:tcBorders>
              <w:top w:val="single" w:color="auto" w:sz="4" w:space="0"/>
              <w:left w:val="nil"/>
              <w:bottom w:val="single" w:color="auto" w:sz="4" w:space="0"/>
              <w:right w:val="single" w:color="auto" w:sz="4" w:space="0"/>
            </w:tcBorders>
            <w:noWrap w:val="0"/>
            <w:vAlign w:val="center"/>
          </w:tcPr>
          <w:p w14:paraId="47ED0F8A">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0EB8D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noWrap w:val="0"/>
            <w:vAlign w:val="top"/>
          </w:tcPr>
          <w:p w14:paraId="537141A2">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七、其它</w:t>
            </w:r>
          </w:p>
        </w:tc>
        <w:tc>
          <w:tcPr>
            <w:tcW w:w="1361" w:type="dxa"/>
            <w:tcBorders>
              <w:top w:val="single" w:color="auto" w:sz="4" w:space="0"/>
              <w:left w:val="nil"/>
              <w:bottom w:val="single" w:color="auto" w:sz="4" w:space="0"/>
              <w:right w:val="single" w:color="auto" w:sz="4" w:space="0"/>
            </w:tcBorders>
            <w:noWrap w:val="0"/>
            <w:vAlign w:val="top"/>
          </w:tcPr>
          <w:p w14:paraId="23EF7D04">
            <w:pPr>
              <w:keepNext w:val="0"/>
              <w:keepLines w:val="0"/>
              <w:widowControl w:val="0"/>
              <w:suppressLineNumbers w:val="0"/>
              <w:shd w:val="clear" w:color="auto" w:fill="auto"/>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bidi="ar"/>
              </w:rPr>
              <w:t>(    )</w:t>
            </w:r>
          </w:p>
        </w:tc>
        <w:tc>
          <w:tcPr>
            <w:tcW w:w="1361" w:type="dxa"/>
            <w:tcBorders>
              <w:top w:val="single" w:color="auto" w:sz="4" w:space="0"/>
              <w:left w:val="nil"/>
              <w:bottom w:val="single" w:color="auto" w:sz="4" w:space="0"/>
              <w:right w:val="single" w:color="auto" w:sz="4" w:space="0"/>
            </w:tcBorders>
            <w:noWrap w:val="0"/>
            <w:vAlign w:val="center"/>
          </w:tcPr>
          <w:p w14:paraId="35F1C997">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    )</w:t>
            </w:r>
          </w:p>
        </w:tc>
        <w:tc>
          <w:tcPr>
            <w:tcW w:w="1461" w:type="dxa"/>
            <w:tcBorders>
              <w:top w:val="single" w:color="auto" w:sz="4" w:space="0"/>
              <w:left w:val="nil"/>
              <w:bottom w:val="single" w:color="auto" w:sz="4" w:space="0"/>
              <w:right w:val="single" w:color="auto" w:sz="4" w:space="0"/>
            </w:tcBorders>
            <w:noWrap w:val="0"/>
            <w:vAlign w:val="center"/>
          </w:tcPr>
          <w:p w14:paraId="5D4D5969">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369E7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noWrap w:val="0"/>
            <w:vAlign w:val="top"/>
          </w:tcPr>
          <w:p w14:paraId="2AC90530">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（一）建筑幕墙安装工程。</w:t>
            </w:r>
          </w:p>
        </w:tc>
        <w:tc>
          <w:tcPr>
            <w:tcW w:w="1361" w:type="dxa"/>
            <w:tcBorders>
              <w:top w:val="single" w:color="auto" w:sz="4" w:space="0"/>
              <w:left w:val="nil"/>
              <w:bottom w:val="single" w:color="auto" w:sz="4" w:space="0"/>
              <w:right w:val="single" w:color="auto" w:sz="4" w:space="0"/>
            </w:tcBorders>
            <w:noWrap w:val="0"/>
            <w:vAlign w:val="top"/>
          </w:tcPr>
          <w:p w14:paraId="1B480E97">
            <w:pPr>
              <w:keepNext w:val="0"/>
              <w:keepLines w:val="0"/>
              <w:widowControl w:val="0"/>
              <w:suppressLineNumbers w:val="0"/>
              <w:shd w:val="clear" w:color="auto" w:fill="auto"/>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bidi="ar"/>
              </w:rPr>
              <w:t>(    )</w:t>
            </w:r>
          </w:p>
        </w:tc>
        <w:tc>
          <w:tcPr>
            <w:tcW w:w="1361" w:type="dxa"/>
            <w:tcBorders>
              <w:top w:val="single" w:color="auto" w:sz="4" w:space="0"/>
              <w:left w:val="nil"/>
              <w:bottom w:val="single" w:color="auto" w:sz="4" w:space="0"/>
              <w:right w:val="single" w:color="auto" w:sz="4" w:space="0"/>
            </w:tcBorders>
            <w:noWrap w:val="0"/>
            <w:vAlign w:val="center"/>
          </w:tcPr>
          <w:p w14:paraId="49321BD8">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    )</w:t>
            </w:r>
          </w:p>
        </w:tc>
        <w:tc>
          <w:tcPr>
            <w:tcW w:w="1461" w:type="dxa"/>
            <w:tcBorders>
              <w:top w:val="single" w:color="auto" w:sz="4" w:space="0"/>
              <w:left w:val="nil"/>
              <w:bottom w:val="single" w:color="auto" w:sz="4" w:space="0"/>
              <w:right w:val="single" w:color="auto" w:sz="4" w:space="0"/>
            </w:tcBorders>
            <w:noWrap w:val="0"/>
            <w:vAlign w:val="center"/>
          </w:tcPr>
          <w:p w14:paraId="713AF5A8">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4067C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noWrap w:val="0"/>
            <w:vAlign w:val="top"/>
          </w:tcPr>
          <w:p w14:paraId="2B343F44">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（二）钢结构、网架和索膜结构安装工程。</w:t>
            </w:r>
          </w:p>
        </w:tc>
        <w:tc>
          <w:tcPr>
            <w:tcW w:w="1361" w:type="dxa"/>
            <w:tcBorders>
              <w:top w:val="single" w:color="auto" w:sz="4" w:space="0"/>
              <w:left w:val="nil"/>
              <w:bottom w:val="single" w:color="auto" w:sz="4" w:space="0"/>
              <w:right w:val="single" w:color="auto" w:sz="4" w:space="0"/>
            </w:tcBorders>
            <w:noWrap w:val="0"/>
            <w:vAlign w:val="top"/>
          </w:tcPr>
          <w:p w14:paraId="7B394A5E">
            <w:pPr>
              <w:keepNext w:val="0"/>
              <w:keepLines w:val="0"/>
              <w:widowControl w:val="0"/>
              <w:suppressLineNumbers w:val="0"/>
              <w:shd w:val="clear" w:color="auto" w:fill="auto"/>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bidi="ar"/>
              </w:rPr>
              <w:t>(    )</w:t>
            </w:r>
          </w:p>
        </w:tc>
        <w:tc>
          <w:tcPr>
            <w:tcW w:w="1361" w:type="dxa"/>
            <w:tcBorders>
              <w:top w:val="single" w:color="auto" w:sz="4" w:space="0"/>
              <w:left w:val="nil"/>
              <w:bottom w:val="single" w:color="auto" w:sz="4" w:space="0"/>
              <w:right w:val="single" w:color="auto" w:sz="4" w:space="0"/>
            </w:tcBorders>
            <w:noWrap w:val="0"/>
            <w:vAlign w:val="center"/>
          </w:tcPr>
          <w:p w14:paraId="6E7D8EB1">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    )</w:t>
            </w:r>
          </w:p>
        </w:tc>
        <w:tc>
          <w:tcPr>
            <w:tcW w:w="1461" w:type="dxa"/>
            <w:tcBorders>
              <w:top w:val="single" w:color="auto" w:sz="4" w:space="0"/>
              <w:left w:val="nil"/>
              <w:bottom w:val="single" w:color="auto" w:sz="4" w:space="0"/>
              <w:right w:val="single" w:color="auto" w:sz="4" w:space="0"/>
            </w:tcBorders>
            <w:noWrap w:val="0"/>
            <w:vAlign w:val="center"/>
          </w:tcPr>
          <w:p w14:paraId="5F5ECC9D">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6A1DA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noWrap w:val="0"/>
            <w:vAlign w:val="top"/>
          </w:tcPr>
          <w:p w14:paraId="1E8C7146">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（三）人工挖孔桩工程。</w:t>
            </w:r>
          </w:p>
        </w:tc>
        <w:tc>
          <w:tcPr>
            <w:tcW w:w="1361" w:type="dxa"/>
            <w:tcBorders>
              <w:top w:val="single" w:color="auto" w:sz="4" w:space="0"/>
              <w:left w:val="nil"/>
              <w:bottom w:val="single" w:color="auto" w:sz="4" w:space="0"/>
              <w:right w:val="single" w:color="auto" w:sz="4" w:space="0"/>
            </w:tcBorders>
            <w:noWrap w:val="0"/>
            <w:vAlign w:val="top"/>
          </w:tcPr>
          <w:p w14:paraId="1ACF8B0C">
            <w:pPr>
              <w:keepNext w:val="0"/>
              <w:keepLines w:val="0"/>
              <w:widowControl w:val="0"/>
              <w:suppressLineNumbers w:val="0"/>
              <w:shd w:val="clear" w:color="auto" w:fill="auto"/>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bidi="ar"/>
              </w:rPr>
              <w:t>(    )</w:t>
            </w:r>
          </w:p>
        </w:tc>
        <w:tc>
          <w:tcPr>
            <w:tcW w:w="1361" w:type="dxa"/>
            <w:tcBorders>
              <w:top w:val="single" w:color="auto" w:sz="4" w:space="0"/>
              <w:left w:val="nil"/>
              <w:bottom w:val="single" w:color="auto" w:sz="4" w:space="0"/>
              <w:right w:val="single" w:color="auto" w:sz="4" w:space="0"/>
            </w:tcBorders>
            <w:noWrap w:val="0"/>
            <w:vAlign w:val="center"/>
          </w:tcPr>
          <w:p w14:paraId="7EEE41E7">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    )</w:t>
            </w:r>
          </w:p>
        </w:tc>
        <w:tc>
          <w:tcPr>
            <w:tcW w:w="1461" w:type="dxa"/>
            <w:tcBorders>
              <w:top w:val="single" w:color="auto" w:sz="4" w:space="0"/>
              <w:left w:val="nil"/>
              <w:bottom w:val="single" w:color="auto" w:sz="4" w:space="0"/>
              <w:right w:val="single" w:color="auto" w:sz="4" w:space="0"/>
            </w:tcBorders>
            <w:noWrap w:val="0"/>
            <w:vAlign w:val="center"/>
          </w:tcPr>
          <w:p w14:paraId="3FCADD7F">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02C26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noWrap w:val="0"/>
            <w:vAlign w:val="top"/>
          </w:tcPr>
          <w:p w14:paraId="21CD4844">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（四）水下作业工程。</w:t>
            </w:r>
          </w:p>
        </w:tc>
        <w:tc>
          <w:tcPr>
            <w:tcW w:w="1361" w:type="dxa"/>
            <w:tcBorders>
              <w:top w:val="single" w:color="auto" w:sz="4" w:space="0"/>
              <w:left w:val="nil"/>
              <w:bottom w:val="single" w:color="auto" w:sz="4" w:space="0"/>
              <w:right w:val="single" w:color="auto" w:sz="4" w:space="0"/>
            </w:tcBorders>
            <w:noWrap w:val="0"/>
            <w:vAlign w:val="top"/>
          </w:tcPr>
          <w:p w14:paraId="7B89D495">
            <w:pPr>
              <w:keepNext w:val="0"/>
              <w:keepLines w:val="0"/>
              <w:widowControl w:val="0"/>
              <w:suppressLineNumbers w:val="0"/>
              <w:shd w:val="clear" w:color="auto" w:fill="auto"/>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bidi="ar"/>
              </w:rPr>
              <w:t>(    )</w:t>
            </w:r>
          </w:p>
        </w:tc>
        <w:tc>
          <w:tcPr>
            <w:tcW w:w="1361" w:type="dxa"/>
            <w:tcBorders>
              <w:top w:val="single" w:color="auto" w:sz="4" w:space="0"/>
              <w:left w:val="nil"/>
              <w:bottom w:val="single" w:color="auto" w:sz="4" w:space="0"/>
              <w:right w:val="single" w:color="auto" w:sz="4" w:space="0"/>
            </w:tcBorders>
            <w:noWrap w:val="0"/>
            <w:vAlign w:val="center"/>
          </w:tcPr>
          <w:p w14:paraId="6FE6DD55">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    )</w:t>
            </w:r>
          </w:p>
        </w:tc>
        <w:tc>
          <w:tcPr>
            <w:tcW w:w="1461" w:type="dxa"/>
            <w:tcBorders>
              <w:top w:val="single" w:color="auto" w:sz="4" w:space="0"/>
              <w:left w:val="nil"/>
              <w:bottom w:val="single" w:color="auto" w:sz="4" w:space="0"/>
              <w:right w:val="single" w:color="auto" w:sz="4" w:space="0"/>
            </w:tcBorders>
            <w:noWrap w:val="0"/>
            <w:vAlign w:val="center"/>
          </w:tcPr>
          <w:p w14:paraId="3C259B51">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51416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noWrap w:val="0"/>
            <w:vAlign w:val="top"/>
          </w:tcPr>
          <w:p w14:paraId="71BB4D08">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（五）装配式建筑混凝土预制构件安装工程。</w:t>
            </w:r>
          </w:p>
        </w:tc>
        <w:tc>
          <w:tcPr>
            <w:tcW w:w="1361" w:type="dxa"/>
            <w:tcBorders>
              <w:top w:val="single" w:color="auto" w:sz="4" w:space="0"/>
              <w:left w:val="nil"/>
              <w:bottom w:val="single" w:color="auto" w:sz="4" w:space="0"/>
              <w:right w:val="single" w:color="auto" w:sz="4" w:space="0"/>
            </w:tcBorders>
            <w:noWrap w:val="0"/>
            <w:vAlign w:val="top"/>
          </w:tcPr>
          <w:p w14:paraId="4AA871E9">
            <w:pPr>
              <w:keepNext w:val="0"/>
              <w:keepLines w:val="0"/>
              <w:widowControl w:val="0"/>
              <w:suppressLineNumbers w:val="0"/>
              <w:shd w:val="clear" w:color="auto" w:fill="auto"/>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bidi="ar"/>
              </w:rPr>
              <w:t>(    )</w:t>
            </w:r>
          </w:p>
        </w:tc>
        <w:tc>
          <w:tcPr>
            <w:tcW w:w="1361" w:type="dxa"/>
            <w:tcBorders>
              <w:top w:val="single" w:color="auto" w:sz="4" w:space="0"/>
              <w:left w:val="nil"/>
              <w:bottom w:val="single" w:color="auto" w:sz="4" w:space="0"/>
              <w:right w:val="single" w:color="auto" w:sz="4" w:space="0"/>
            </w:tcBorders>
            <w:noWrap w:val="0"/>
            <w:vAlign w:val="center"/>
          </w:tcPr>
          <w:p w14:paraId="5DC4FEF4">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    )</w:t>
            </w:r>
          </w:p>
        </w:tc>
        <w:tc>
          <w:tcPr>
            <w:tcW w:w="1461" w:type="dxa"/>
            <w:tcBorders>
              <w:top w:val="single" w:color="auto" w:sz="4" w:space="0"/>
              <w:left w:val="nil"/>
              <w:bottom w:val="single" w:color="auto" w:sz="4" w:space="0"/>
              <w:right w:val="single" w:color="auto" w:sz="4" w:space="0"/>
            </w:tcBorders>
            <w:noWrap w:val="0"/>
            <w:vAlign w:val="center"/>
          </w:tcPr>
          <w:p w14:paraId="0D1CAAE1">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44D68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noWrap w:val="0"/>
            <w:vAlign w:val="top"/>
          </w:tcPr>
          <w:p w14:paraId="2B5626BE">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（六）采用新技术、新工艺、新材料、新设备可能影响工程施工安全，尚无国家、行业及地方技术标准的分部分项工程。</w:t>
            </w:r>
          </w:p>
        </w:tc>
        <w:tc>
          <w:tcPr>
            <w:tcW w:w="1361" w:type="dxa"/>
            <w:tcBorders>
              <w:top w:val="single" w:color="auto" w:sz="4" w:space="0"/>
              <w:left w:val="nil"/>
              <w:bottom w:val="single" w:color="auto" w:sz="4" w:space="0"/>
              <w:right w:val="single" w:color="auto" w:sz="4" w:space="0"/>
            </w:tcBorders>
            <w:noWrap w:val="0"/>
            <w:vAlign w:val="center"/>
          </w:tcPr>
          <w:p w14:paraId="5CAD827C">
            <w:pPr>
              <w:keepNext w:val="0"/>
              <w:keepLines w:val="0"/>
              <w:widowControl w:val="0"/>
              <w:suppressLineNumbers w:val="0"/>
              <w:shd w:val="clear" w:color="auto" w:fill="auto"/>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bidi="ar"/>
              </w:rPr>
              <w:t>(    )</w:t>
            </w:r>
          </w:p>
        </w:tc>
        <w:tc>
          <w:tcPr>
            <w:tcW w:w="1361" w:type="dxa"/>
            <w:tcBorders>
              <w:top w:val="single" w:color="auto" w:sz="4" w:space="0"/>
              <w:left w:val="nil"/>
              <w:bottom w:val="single" w:color="auto" w:sz="4" w:space="0"/>
              <w:right w:val="single" w:color="auto" w:sz="4" w:space="0"/>
            </w:tcBorders>
            <w:noWrap w:val="0"/>
            <w:vAlign w:val="center"/>
          </w:tcPr>
          <w:p w14:paraId="3CCC989E">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    )</w:t>
            </w:r>
          </w:p>
        </w:tc>
        <w:tc>
          <w:tcPr>
            <w:tcW w:w="1461" w:type="dxa"/>
            <w:tcBorders>
              <w:top w:val="single" w:color="auto" w:sz="4" w:space="0"/>
              <w:left w:val="nil"/>
              <w:bottom w:val="single" w:color="auto" w:sz="4" w:space="0"/>
              <w:right w:val="single" w:color="auto" w:sz="4" w:space="0"/>
            </w:tcBorders>
            <w:noWrap w:val="0"/>
            <w:vAlign w:val="center"/>
          </w:tcPr>
          <w:p w14:paraId="2005C371">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0AF15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noWrap w:val="0"/>
            <w:vAlign w:val="center"/>
          </w:tcPr>
          <w:p w14:paraId="57BD82D5">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二、超过一定规模的危险性较大的分部分项工程清单</w:t>
            </w:r>
          </w:p>
        </w:tc>
        <w:tc>
          <w:tcPr>
            <w:tcW w:w="1361" w:type="dxa"/>
            <w:tcBorders>
              <w:top w:val="single" w:color="auto" w:sz="4" w:space="0"/>
              <w:left w:val="nil"/>
              <w:bottom w:val="single" w:color="auto" w:sz="4" w:space="0"/>
              <w:right w:val="single" w:color="auto" w:sz="4" w:space="0"/>
            </w:tcBorders>
            <w:noWrap w:val="0"/>
            <w:vAlign w:val="center"/>
          </w:tcPr>
          <w:p w14:paraId="06902233">
            <w:pPr>
              <w:keepNext w:val="0"/>
              <w:keepLines w:val="0"/>
              <w:widowControl w:val="0"/>
              <w:suppressLineNumbers w:val="0"/>
              <w:shd w:val="clear" w:color="auto" w:fill="auto"/>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bidi="ar"/>
              </w:rPr>
              <w:t>(    )</w:t>
            </w:r>
          </w:p>
        </w:tc>
        <w:tc>
          <w:tcPr>
            <w:tcW w:w="1361" w:type="dxa"/>
            <w:tcBorders>
              <w:top w:val="single" w:color="auto" w:sz="4" w:space="0"/>
              <w:left w:val="nil"/>
              <w:bottom w:val="single" w:color="auto" w:sz="4" w:space="0"/>
              <w:right w:val="single" w:color="auto" w:sz="4" w:space="0"/>
            </w:tcBorders>
            <w:noWrap w:val="0"/>
            <w:vAlign w:val="center"/>
          </w:tcPr>
          <w:p w14:paraId="12CB68CA">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    )</w:t>
            </w:r>
          </w:p>
        </w:tc>
        <w:tc>
          <w:tcPr>
            <w:tcW w:w="1461" w:type="dxa"/>
            <w:tcBorders>
              <w:top w:val="single" w:color="auto" w:sz="4" w:space="0"/>
              <w:left w:val="nil"/>
              <w:bottom w:val="single" w:color="auto" w:sz="4" w:space="0"/>
              <w:right w:val="single" w:color="auto" w:sz="4" w:space="0"/>
            </w:tcBorders>
            <w:noWrap w:val="0"/>
            <w:vAlign w:val="center"/>
          </w:tcPr>
          <w:p w14:paraId="1BE49154">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01A30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noWrap w:val="0"/>
            <w:vAlign w:val="top"/>
          </w:tcPr>
          <w:p w14:paraId="30EEC302">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一、深基坑工程</w:t>
            </w:r>
          </w:p>
        </w:tc>
        <w:tc>
          <w:tcPr>
            <w:tcW w:w="1361" w:type="dxa"/>
            <w:tcBorders>
              <w:top w:val="single" w:color="auto" w:sz="4" w:space="0"/>
              <w:left w:val="nil"/>
              <w:bottom w:val="single" w:color="auto" w:sz="4" w:space="0"/>
              <w:right w:val="single" w:color="auto" w:sz="4" w:space="0"/>
            </w:tcBorders>
            <w:noWrap w:val="0"/>
            <w:vAlign w:val="center"/>
          </w:tcPr>
          <w:p w14:paraId="007F5E1C">
            <w:pPr>
              <w:keepNext w:val="0"/>
              <w:keepLines w:val="0"/>
              <w:widowControl w:val="0"/>
              <w:suppressLineNumbers w:val="0"/>
              <w:shd w:val="clear" w:color="auto" w:fill="auto"/>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bidi="ar"/>
              </w:rPr>
              <w:t>(    )</w:t>
            </w:r>
          </w:p>
        </w:tc>
        <w:tc>
          <w:tcPr>
            <w:tcW w:w="1361" w:type="dxa"/>
            <w:tcBorders>
              <w:top w:val="single" w:color="auto" w:sz="4" w:space="0"/>
              <w:left w:val="nil"/>
              <w:bottom w:val="single" w:color="auto" w:sz="4" w:space="0"/>
              <w:right w:val="single" w:color="auto" w:sz="4" w:space="0"/>
            </w:tcBorders>
            <w:noWrap w:val="0"/>
            <w:vAlign w:val="center"/>
          </w:tcPr>
          <w:p w14:paraId="389E2C95">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    )</w:t>
            </w:r>
          </w:p>
        </w:tc>
        <w:tc>
          <w:tcPr>
            <w:tcW w:w="1461" w:type="dxa"/>
            <w:tcBorders>
              <w:top w:val="single" w:color="auto" w:sz="4" w:space="0"/>
              <w:left w:val="nil"/>
              <w:bottom w:val="single" w:color="auto" w:sz="4" w:space="0"/>
              <w:right w:val="single" w:color="auto" w:sz="4" w:space="0"/>
            </w:tcBorders>
            <w:noWrap w:val="0"/>
            <w:vAlign w:val="center"/>
          </w:tcPr>
          <w:p w14:paraId="27E1FEC0">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1041A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noWrap w:val="0"/>
            <w:vAlign w:val="top"/>
          </w:tcPr>
          <w:p w14:paraId="1D97DC84">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开挖深度超过5m（含5m）的基坑（槽）的土方开挖、支护、降水工程。</w:t>
            </w:r>
          </w:p>
        </w:tc>
        <w:tc>
          <w:tcPr>
            <w:tcW w:w="1361" w:type="dxa"/>
            <w:tcBorders>
              <w:top w:val="single" w:color="auto" w:sz="4" w:space="0"/>
              <w:left w:val="nil"/>
              <w:bottom w:val="single" w:color="auto" w:sz="4" w:space="0"/>
              <w:right w:val="single" w:color="auto" w:sz="4" w:space="0"/>
            </w:tcBorders>
            <w:noWrap w:val="0"/>
            <w:vAlign w:val="center"/>
          </w:tcPr>
          <w:p w14:paraId="573BBA49">
            <w:pPr>
              <w:keepNext w:val="0"/>
              <w:keepLines w:val="0"/>
              <w:widowControl w:val="0"/>
              <w:suppressLineNumbers w:val="0"/>
              <w:shd w:val="clear" w:color="auto" w:fill="auto"/>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bidi="ar"/>
              </w:rPr>
              <w:t>(    )</w:t>
            </w:r>
          </w:p>
        </w:tc>
        <w:tc>
          <w:tcPr>
            <w:tcW w:w="1361" w:type="dxa"/>
            <w:tcBorders>
              <w:top w:val="single" w:color="auto" w:sz="4" w:space="0"/>
              <w:left w:val="nil"/>
              <w:bottom w:val="single" w:color="auto" w:sz="4" w:space="0"/>
              <w:right w:val="single" w:color="auto" w:sz="4" w:space="0"/>
            </w:tcBorders>
            <w:noWrap w:val="0"/>
            <w:vAlign w:val="center"/>
          </w:tcPr>
          <w:p w14:paraId="0C9540D4">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    )</w:t>
            </w:r>
          </w:p>
        </w:tc>
        <w:tc>
          <w:tcPr>
            <w:tcW w:w="1461" w:type="dxa"/>
            <w:tcBorders>
              <w:top w:val="single" w:color="auto" w:sz="4" w:space="0"/>
              <w:left w:val="nil"/>
              <w:bottom w:val="single" w:color="auto" w:sz="4" w:space="0"/>
              <w:right w:val="single" w:color="auto" w:sz="4" w:space="0"/>
            </w:tcBorders>
            <w:noWrap w:val="0"/>
            <w:vAlign w:val="center"/>
          </w:tcPr>
          <w:p w14:paraId="4896692B">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45BBB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noWrap w:val="0"/>
            <w:vAlign w:val="top"/>
          </w:tcPr>
          <w:p w14:paraId="3DC92CC1">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二、模板工程及支撑体系</w:t>
            </w:r>
          </w:p>
        </w:tc>
        <w:tc>
          <w:tcPr>
            <w:tcW w:w="1361" w:type="dxa"/>
            <w:tcBorders>
              <w:top w:val="single" w:color="auto" w:sz="4" w:space="0"/>
              <w:left w:val="nil"/>
              <w:bottom w:val="single" w:color="auto" w:sz="4" w:space="0"/>
              <w:right w:val="single" w:color="auto" w:sz="4" w:space="0"/>
            </w:tcBorders>
            <w:noWrap w:val="0"/>
            <w:vAlign w:val="center"/>
          </w:tcPr>
          <w:p w14:paraId="3589850A">
            <w:pPr>
              <w:keepNext w:val="0"/>
              <w:keepLines w:val="0"/>
              <w:widowControl w:val="0"/>
              <w:suppressLineNumbers w:val="0"/>
              <w:shd w:val="clear" w:color="auto" w:fill="auto"/>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bidi="ar"/>
              </w:rPr>
              <w:t>(    )</w:t>
            </w:r>
          </w:p>
        </w:tc>
        <w:tc>
          <w:tcPr>
            <w:tcW w:w="1361" w:type="dxa"/>
            <w:tcBorders>
              <w:top w:val="single" w:color="auto" w:sz="4" w:space="0"/>
              <w:left w:val="nil"/>
              <w:bottom w:val="single" w:color="auto" w:sz="4" w:space="0"/>
              <w:right w:val="single" w:color="auto" w:sz="4" w:space="0"/>
            </w:tcBorders>
            <w:noWrap w:val="0"/>
            <w:vAlign w:val="center"/>
          </w:tcPr>
          <w:p w14:paraId="76CB5D71">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    )</w:t>
            </w:r>
          </w:p>
        </w:tc>
        <w:tc>
          <w:tcPr>
            <w:tcW w:w="1461" w:type="dxa"/>
            <w:tcBorders>
              <w:top w:val="single" w:color="auto" w:sz="4" w:space="0"/>
              <w:left w:val="nil"/>
              <w:bottom w:val="single" w:color="auto" w:sz="4" w:space="0"/>
              <w:right w:val="single" w:color="auto" w:sz="4" w:space="0"/>
            </w:tcBorders>
            <w:noWrap w:val="0"/>
            <w:vAlign w:val="center"/>
          </w:tcPr>
          <w:p w14:paraId="1AE6E1FA">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09B9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noWrap w:val="0"/>
            <w:vAlign w:val="top"/>
          </w:tcPr>
          <w:p w14:paraId="6CA88A6C">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（一）各类工具式模板工程：包括滑模、爬模、飞模、隧道模等工程。</w:t>
            </w:r>
          </w:p>
        </w:tc>
        <w:tc>
          <w:tcPr>
            <w:tcW w:w="1361" w:type="dxa"/>
            <w:tcBorders>
              <w:top w:val="single" w:color="auto" w:sz="4" w:space="0"/>
              <w:left w:val="nil"/>
              <w:bottom w:val="single" w:color="auto" w:sz="4" w:space="0"/>
              <w:right w:val="single" w:color="auto" w:sz="4" w:space="0"/>
            </w:tcBorders>
            <w:noWrap w:val="0"/>
            <w:vAlign w:val="center"/>
          </w:tcPr>
          <w:p w14:paraId="7D48D318">
            <w:pPr>
              <w:keepNext w:val="0"/>
              <w:keepLines w:val="0"/>
              <w:widowControl w:val="0"/>
              <w:suppressLineNumbers w:val="0"/>
              <w:shd w:val="clear" w:color="auto" w:fill="auto"/>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bidi="ar"/>
              </w:rPr>
              <w:t>(    )</w:t>
            </w:r>
          </w:p>
        </w:tc>
        <w:tc>
          <w:tcPr>
            <w:tcW w:w="1361" w:type="dxa"/>
            <w:tcBorders>
              <w:top w:val="single" w:color="auto" w:sz="4" w:space="0"/>
              <w:left w:val="nil"/>
              <w:bottom w:val="single" w:color="auto" w:sz="4" w:space="0"/>
              <w:right w:val="single" w:color="auto" w:sz="4" w:space="0"/>
            </w:tcBorders>
            <w:noWrap w:val="0"/>
            <w:vAlign w:val="center"/>
          </w:tcPr>
          <w:p w14:paraId="36FEDDD0">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    )</w:t>
            </w:r>
          </w:p>
        </w:tc>
        <w:tc>
          <w:tcPr>
            <w:tcW w:w="1461" w:type="dxa"/>
            <w:tcBorders>
              <w:top w:val="single" w:color="auto" w:sz="4" w:space="0"/>
              <w:left w:val="nil"/>
              <w:bottom w:val="single" w:color="auto" w:sz="4" w:space="0"/>
              <w:right w:val="single" w:color="auto" w:sz="4" w:space="0"/>
            </w:tcBorders>
            <w:noWrap w:val="0"/>
            <w:vAlign w:val="center"/>
          </w:tcPr>
          <w:p w14:paraId="60E9003E">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1F280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noWrap w:val="0"/>
            <w:vAlign w:val="top"/>
          </w:tcPr>
          <w:p w14:paraId="563DCFC2">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（二）混凝土模板支撑工程：搭设高度8m及以上，或搭设跨度18m及以上，或施工总荷载（设计值）15kN/m2及以上，或集中线荷载（设计值）20kN/m及以上。</w:t>
            </w:r>
          </w:p>
        </w:tc>
        <w:tc>
          <w:tcPr>
            <w:tcW w:w="1361" w:type="dxa"/>
            <w:tcBorders>
              <w:top w:val="single" w:color="auto" w:sz="4" w:space="0"/>
              <w:left w:val="nil"/>
              <w:bottom w:val="single" w:color="auto" w:sz="4" w:space="0"/>
              <w:right w:val="single" w:color="auto" w:sz="4" w:space="0"/>
            </w:tcBorders>
            <w:noWrap w:val="0"/>
            <w:vAlign w:val="center"/>
          </w:tcPr>
          <w:p w14:paraId="31E452A0">
            <w:pPr>
              <w:keepNext w:val="0"/>
              <w:keepLines w:val="0"/>
              <w:widowControl w:val="0"/>
              <w:suppressLineNumbers w:val="0"/>
              <w:shd w:val="clear" w:color="auto" w:fill="auto"/>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bidi="ar"/>
              </w:rPr>
              <w:t>(   )</w:t>
            </w:r>
          </w:p>
        </w:tc>
        <w:tc>
          <w:tcPr>
            <w:tcW w:w="1361" w:type="dxa"/>
            <w:tcBorders>
              <w:top w:val="single" w:color="auto" w:sz="4" w:space="0"/>
              <w:left w:val="nil"/>
              <w:bottom w:val="single" w:color="auto" w:sz="4" w:space="0"/>
              <w:right w:val="single" w:color="auto" w:sz="4" w:space="0"/>
            </w:tcBorders>
            <w:noWrap w:val="0"/>
            <w:vAlign w:val="center"/>
          </w:tcPr>
          <w:p w14:paraId="2CA9DC02">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    )</w:t>
            </w:r>
          </w:p>
        </w:tc>
        <w:tc>
          <w:tcPr>
            <w:tcW w:w="1461" w:type="dxa"/>
            <w:tcBorders>
              <w:top w:val="single" w:color="auto" w:sz="4" w:space="0"/>
              <w:left w:val="nil"/>
              <w:bottom w:val="single" w:color="auto" w:sz="4" w:space="0"/>
              <w:right w:val="single" w:color="auto" w:sz="4" w:space="0"/>
            </w:tcBorders>
            <w:noWrap w:val="0"/>
            <w:vAlign w:val="center"/>
          </w:tcPr>
          <w:p w14:paraId="3E6C39E4">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1991A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noWrap w:val="0"/>
            <w:vAlign w:val="top"/>
          </w:tcPr>
          <w:p w14:paraId="60816E82">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（三）承重支撑体系：用于钢结构安装等满堂支撑体系，承受单点集中荷载7kN及以上。</w:t>
            </w:r>
          </w:p>
        </w:tc>
        <w:tc>
          <w:tcPr>
            <w:tcW w:w="1361" w:type="dxa"/>
            <w:tcBorders>
              <w:top w:val="single" w:color="auto" w:sz="4" w:space="0"/>
              <w:left w:val="nil"/>
              <w:bottom w:val="single" w:color="auto" w:sz="4" w:space="0"/>
              <w:right w:val="single" w:color="auto" w:sz="4" w:space="0"/>
            </w:tcBorders>
            <w:noWrap w:val="0"/>
            <w:vAlign w:val="center"/>
          </w:tcPr>
          <w:p w14:paraId="3ECD5289">
            <w:pPr>
              <w:keepNext w:val="0"/>
              <w:keepLines w:val="0"/>
              <w:widowControl w:val="0"/>
              <w:suppressLineNumbers w:val="0"/>
              <w:shd w:val="clear" w:color="auto" w:fill="auto"/>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bidi="ar"/>
              </w:rPr>
              <w:t>(    )</w:t>
            </w:r>
          </w:p>
        </w:tc>
        <w:tc>
          <w:tcPr>
            <w:tcW w:w="1361" w:type="dxa"/>
            <w:tcBorders>
              <w:top w:val="single" w:color="auto" w:sz="4" w:space="0"/>
              <w:left w:val="nil"/>
              <w:bottom w:val="single" w:color="auto" w:sz="4" w:space="0"/>
              <w:right w:val="single" w:color="auto" w:sz="4" w:space="0"/>
            </w:tcBorders>
            <w:noWrap w:val="0"/>
            <w:vAlign w:val="center"/>
          </w:tcPr>
          <w:p w14:paraId="278ADA1E">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    )</w:t>
            </w:r>
          </w:p>
        </w:tc>
        <w:tc>
          <w:tcPr>
            <w:tcW w:w="1461" w:type="dxa"/>
            <w:tcBorders>
              <w:top w:val="single" w:color="auto" w:sz="4" w:space="0"/>
              <w:left w:val="nil"/>
              <w:bottom w:val="single" w:color="auto" w:sz="4" w:space="0"/>
              <w:right w:val="single" w:color="auto" w:sz="4" w:space="0"/>
            </w:tcBorders>
            <w:noWrap w:val="0"/>
            <w:vAlign w:val="center"/>
          </w:tcPr>
          <w:p w14:paraId="2AA1C84D">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40881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noWrap w:val="0"/>
            <w:vAlign w:val="top"/>
          </w:tcPr>
          <w:p w14:paraId="490B5B59">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　三、起重吊装及起重机械安装拆卸工程</w:t>
            </w:r>
          </w:p>
        </w:tc>
        <w:tc>
          <w:tcPr>
            <w:tcW w:w="1361" w:type="dxa"/>
            <w:tcBorders>
              <w:top w:val="single" w:color="auto" w:sz="4" w:space="0"/>
              <w:left w:val="nil"/>
              <w:bottom w:val="single" w:color="auto" w:sz="4" w:space="0"/>
              <w:right w:val="single" w:color="auto" w:sz="4" w:space="0"/>
            </w:tcBorders>
            <w:noWrap w:val="0"/>
            <w:vAlign w:val="center"/>
          </w:tcPr>
          <w:p w14:paraId="4A664ACD">
            <w:pPr>
              <w:keepNext w:val="0"/>
              <w:keepLines w:val="0"/>
              <w:widowControl w:val="0"/>
              <w:suppressLineNumbers w:val="0"/>
              <w:shd w:val="clear" w:color="auto" w:fill="auto"/>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bidi="ar"/>
              </w:rPr>
              <w:t>(    )</w:t>
            </w:r>
          </w:p>
        </w:tc>
        <w:tc>
          <w:tcPr>
            <w:tcW w:w="1361" w:type="dxa"/>
            <w:tcBorders>
              <w:top w:val="single" w:color="auto" w:sz="4" w:space="0"/>
              <w:left w:val="nil"/>
              <w:bottom w:val="single" w:color="auto" w:sz="4" w:space="0"/>
              <w:right w:val="single" w:color="auto" w:sz="4" w:space="0"/>
            </w:tcBorders>
            <w:noWrap w:val="0"/>
            <w:vAlign w:val="center"/>
          </w:tcPr>
          <w:p w14:paraId="105EB102">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    )</w:t>
            </w:r>
          </w:p>
        </w:tc>
        <w:tc>
          <w:tcPr>
            <w:tcW w:w="1461" w:type="dxa"/>
            <w:tcBorders>
              <w:top w:val="single" w:color="auto" w:sz="4" w:space="0"/>
              <w:left w:val="nil"/>
              <w:bottom w:val="single" w:color="auto" w:sz="4" w:space="0"/>
              <w:right w:val="single" w:color="auto" w:sz="4" w:space="0"/>
            </w:tcBorders>
            <w:noWrap w:val="0"/>
            <w:vAlign w:val="center"/>
          </w:tcPr>
          <w:p w14:paraId="4140FA3A">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2E63D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noWrap w:val="0"/>
            <w:vAlign w:val="top"/>
          </w:tcPr>
          <w:p w14:paraId="2A2E7478">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（一）采用非常规起重设备、方法，且单件起吊重量在100kN及以上的起重吊装工程。</w:t>
            </w:r>
          </w:p>
        </w:tc>
        <w:tc>
          <w:tcPr>
            <w:tcW w:w="1361" w:type="dxa"/>
            <w:tcBorders>
              <w:top w:val="single" w:color="auto" w:sz="4" w:space="0"/>
              <w:left w:val="nil"/>
              <w:bottom w:val="single" w:color="auto" w:sz="4" w:space="0"/>
              <w:right w:val="single" w:color="auto" w:sz="4" w:space="0"/>
            </w:tcBorders>
            <w:noWrap w:val="0"/>
            <w:vAlign w:val="center"/>
          </w:tcPr>
          <w:p w14:paraId="76BC520A">
            <w:pPr>
              <w:keepNext w:val="0"/>
              <w:keepLines w:val="0"/>
              <w:widowControl w:val="0"/>
              <w:suppressLineNumbers w:val="0"/>
              <w:shd w:val="clear" w:color="auto" w:fill="auto"/>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bidi="ar"/>
              </w:rPr>
              <w:t>(    )</w:t>
            </w:r>
          </w:p>
        </w:tc>
        <w:tc>
          <w:tcPr>
            <w:tcW w:w="1361" w:type="dxa"/>
            <w:tcBorders>
              <w:top w:val="single" w:color="auto" w:sz="4" w:space="0"/>
              <w:left w:val="nil"/>
              <w:bottom w:val="single" w:color="auto" w:sz="4" w:space="0"/>
              <w:right w:val="single" w:color="auto" w:sz="4" w:space="0"/>
            </w:tcBorders>
            <w:noWrap w:val="0"/>
            <w:vAlign w:val="center"/>
          </w:tcPr>
          <w:p w14:paraId="66A2FA87">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    )</w:t>
            </w:r>
          </w:p>
        </w:tc>
        <w:tc>
          <w:tcPr>
            <w:tcW w:w="1461" w:type="dxa"/>
            <w:tcBorders>
              <w:top w:val="single" w:color="auto" w:sz="4" w:space="0"/>
              <w:left w:val="nil"/>
              <w:bottom w:val="single" w:color="auto" w:sz="4" w:space="0"/>
              <w:right w:val="single" w:color="auto" w:sz="4" w:space="0"/>
            </w:tcBorders>
            <w:noWrap w:val="0"/>
            <w:vAlign w:val="center"/>
          </w:tcPr>
          <w:p w14:paraId="11D1D54F">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791CE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noWrap w:val="0"/>
            <w:vAlign w:val="top"/>
          </w:tcPr>
          <w:p w14:paraId="65088454">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（二）起重量300kN及以上，或搭设总高度200m及以上，或搭设基础标高在200m及以上的起重机械安装和拆卸工程。</w:t>
            </w:r>
          </w:p>
        </w:tc>
        <w:tc>
          <w:tcPr>
            <w:tcW w:w="1361" w:type="dxa"/>
            <w:tcBorders>
              <w:top w:val="single" w:color="auto" w:sz="4" w:space="0"/>
              <w:left w:val="nil"/>
              <w:bottom w:val="single" w:color="auto" w:sz="4" w:space="0"/>
              <w:right w:val="single" w:color="auto" w:sz="4" w:space="0"/>
            </w:tcBorders>
            <w:noWrap w:val="0"/>
            <w:vAlign w:val="center"/>
          </w:tcPr>
          <w:p w14:paraId="3E005106">
            <w:pPr>
              <w:keepNext w:val="0"/>
              <w:keepLines w:val="0"/>
              <w:widowControl w:val="0"/>
              <w:suppressLineNumbers w:val="0"/>
              <w:shd w:val="clear" w:color="auto" w:fill="auto"/>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bidi="ar"/>
              </w:rPr>
              <w:t>(    )</w:t>
            </w:r>
          </w:p>
        </w:tc>
        <w:tc>
          <w:tcPr>
            <w:tcW w:w="1361" w:type="dxa"/>
            <w:tcBorders>
              <w:top w:val="single" w:color="auto" w:sz="4" w:space="0"/>
              <w:left w:val="nil"/>
              <w:bottom w:val="single" w:color="auto" w:sz="4" w:space="0"/>
              <w:right w:val="single" w:color="auto" w:sz="4" w:space="0"/>
            </w:tcBorders>
            <w:noWrap w:val="0"/>
            <w:vAlign w:val="center"/>
          </w:tcPr>
          <w:p w14:paraId="32BB3671">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    )</w:t>
            </w:r>
          </w:p>
        </w:tc>
        <w:tc>
          <w:tcPr>
            <w:tcW w:w="1461" w:type="dxa"/>
            <w:tcBorders>
              <w:top w:val="single" w:color="auto" w:sz="4" w:space="0"/>
              <w:left w:val="nil"/>
              <w:bottom w:val="single" w:color="auto" w:sz="4" w:space="0"/>
              <w:right w:val="single" w:color="auto" w:sz="4" w:space="0"/>
            </w:tcBorders>
            <w:noWrap w:val="0"/>
            <w:vAlign w:val="center"/>
          </w:tcPr>
          <w:p w14:paraId="2B231B26">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12067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noWrap w:val="0"/>
            <w:vAlign w:val="top"/>
          </w:tcPr>
          <w:p w14:paraId="1DF1B1D0">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四、脚手架工程</w:t>
            </w:r>
          </w:p>
        </w:tc>
        <w:tc>
          <w:tcPr>
            <w:tcW w:w="1361" w:type="dxa"/>
            <w:tcBorders>
              <w:top w:val="single" w:color="auto" w:sz="4" w:space="0"/>
              <w:left w:val="nil"/>
              <w:bottom w:val="single" w:color="auto" w:sz="4" w:space="0"/>
              <w:right w:val="single" w:color="auto" w:sz="4" w:space="0"/>
            </w:tcBorders>
            <w:noWrap w:val="0"/>
            <w:vAlign w:val="center"/>
          </w:tcPr>
          <w:p w14:paraId="4CF9746B">
            <w:pPr>
              <w:keepNext w:val="0"/>
              <w:keepLines w:val="0"/>
              <w:widowControl w:val="0"/>
              <w:suppressLineNumbers w:val="0"/>
              <w:shd w:val="clear" w:color="auto" w:fill="auto"/>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bidi="ar"/>
              </w:rPr>
              <w:t>(    )</w:t>
            </w:r>
          </w:p>
        </w:tc>
        <w:tc>
          <w:tcPr>
            <w:tcW w:w="1361" w:type="dxa"/>
            <w:tcBorders>
              <w:top w:val="single" w:color="auto" w:sz="4" w:space="0"/>
              <w:left w:val="nil"/>
              <w:bottom w:val="single" w:color="auto" w:sz="4" w:space="0"/>
              <w:right w:val="single" w:color="auto" w:sz="4" w:space="0"/>
            </w:tcBorders>
            <w:noWrap w:val="0"/>
            <w:vAlign w:val="center"/>
          </w:tcPr>
          <w:p w14:paraId="73155194">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    )</w:t>
            </w:r>
          </w:p>
        </w:tc>
        <w:tc>
          <w:tcPr>
            <w:tcW w:w="1461" w:type="dxa"/>
            <w:tcBorders>
              <w:top w:val="single" w:color="auto" w:sz="4" w:space="0"/>
              <w:left w:val="nil"/>
              <w:bottom w:val="single" w:color="auto" w:sz="4" w:space="0"/>
              <w:right w:val="single" w:color="auto" w:sz="4" w:space="0"/>
            </w:tcBorders>
            <w:noWrap w:val="0"/>
            <w:vAlign w:val="center"/>
          </w:tcPr>
          <w:p w14:paraId="06243A48">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57E05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noWrap w:val="0"/>
            <w:vAlign w:val="top"/>
          </w:tcPr>
          <w:p w14:paraId="323869F3">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（一）搭设高度50m及以上的落地式钢管脚手架工程。</w:t>
            </w:r>
          </w:p>
        </w:tc>
        <w:tc>
          <w:tcPr>
            <w:tcW w:w="1361" w:type="dxa"/>
            <w:tcBorders>
              <w:top w:val="single" w:color="auto" w:sz="4" w:space="0"/>
              <w:left w:val="nil"/>
              <w:bottom w:val="single" w:color="auto" w:sz="4" w:space="0"/>
              <w:right w:val="single" w:color="auto" w:sz="4" w:space="0"/>
            </w:tcBorders>
            <w:noWrap w:val="0"/>
            <w:vAlign w:val="center"/>
          </w:tcPr>
          <w:p w14:paraId="59826A29">
            <w:pPr>
              <w:keepNext w:val="0"/>
              <w:keepLines w:val="0"/>
              <w:widowControl w:val="0"/>
              <w:suppressLineNumbers w:val="0"/>
              <w:shd w:val="clear" w:color="auto" w:fill="auto"/>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bidi="ar"/>
              </w:rPr>
              <w:t>(    )</w:t>
            </w:r>
          </w:p>
        </w:tc>
        <w:tc>
          <w:tcPr>
            <w:tcW w:w="1361" w:type="dxa"/>
            <w:tcBorders>
              <w:top w:val="single" w:color="auto" w:sz="4" w:space="0"/>
              <w:left w:val="nil"/>
              <w:bottom w:val="single" w:color="auto" w:sz="4" w:space="0"/>
              <w:right w:val="single" w:color="auto" w:sz="4" w:space="0"/>
            </w:tcBorders>
            <w:noWrap w:val="0"/>
            <w:vAlign w:val="center"/>
          </w:tcPr>
          <w:p w14:paraId="04CB6C34">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    )</w:t>
            </w:r>
          </w:p>
        </w:tc>
        <w:tc>
          <w:tcPr>
            <w:tcW w:w="1461" w:type="dxa"/>
            <w:tcBorders>
              <w:top w:val="single" w:color="auto" w:sz="4" w:space="0"/>
              <w:left w:val="nil"/>
              <w:bottom w:val="single" w:color="auto" w:sz="4" w:space="0"/>
              <w:right w:val="single" w:color="auto" w:sz="4" w:space="0"/>
            </w:tcBorders>
            <w:noWrap w:val="0"/>
            <w:vAlign w:val="center"/>
          </w:tcPr>
          <w:p w14:paraId="663C3C62">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07FF6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noWrap w:val="0"/>
            <w:vAlign w:val="top"/>
          </w:tcPr>
          <w:p w14:paraId="07C6357B">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（二）提升高度在150m及以上的附着式升降脚手架工程或附着式升降操作平台工程。</w:t>
            </w:r>
          </w:p>
        </w:tc>
        <w:tc>
          <w:tcPr>
            <w:tcW w:w="1361" w:type="dxa"/>
            <w:tcBorders>
              <w:top w:val="single" w:color="auto" w:sz="4" w:space="0"/>
              <w:left w:val="nil"/>
              <w:bottom w:val="single" w:color="auto" w:sz="4" w:space="0"/>
              <w:right w:val="single" w:color="auto" w:sz="4" w:space="0"/>
            </w:tcBorders>
            <w:noWrap w:val="0"/>
            <w:vAlign w:val="center"/>
          </w:tcPr>
          <w:p w14:paraId="573F71AB">
            <w:pPr>
              <w:keepNext w:val="0"/>
              <w:keepLines w:val="0"/>
              <w:widowControl w:val="0"/>
              <w:suppressLineNumbers w:val="0"/>
              <w:shd w:val="clear" w:color="auto" w:fill="auto"/>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bidi="ar"/>
              </w:rPr>
              <w:t>(    )</w:t>
            </w:r>
          </w:p>
        </w:tc>
        <w:tc>
          <w:tcPr>
            <w:tcW w:w="1361" w:type="dxa"/>
            <w:tcBorders>
              <w:top w:val="single" w:color="auto" w:sz="4" w:space="0"/>
              <w:left w:val="nil"/>
              <w:bottom w:val="single" w:color="auto" w:sz="4" w:space="0"/>
              <w:right w:val="single" w:color="auto" w:sz="4" w:space="0"/>
            </w:tcBorders>
            <w:noWrap w:val="0"/>
            <w:vAlign w:val="center"/>
          </w:tcPr>
          <w:p w14:paraId="40DA8DF5">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    )</w:t>
            </w:r>
          </w:p>
        </w:tc>
        <w:tc>
          <w:tcPr>
            <w:tcW w:w="1461" w:type="dxa"/>
            <w:tcBorders>
              <w:top w:val="single" w:color="auto" w:sz="4" w:space="0"/>
              <w:left w:val="nil"/>
              <w:bottom w:val="single" w:color="auto" w:sz="4" w:space="0"/>
              <w:right w:val="single" w:color="auto" w:sz="4" w:space="0"/>
            </w:tcBorders>
            <w:noWrap w:val="0"/>
            <w:vAlign w:val="center"/>
          </w:tcPr>
          <w:p w14:paraId="07AD7965">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5D74E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noWrap w:val="0"/>
            <w:vAlign w:val="top"/>
          </w:tcPr>
          <w:p w14:paraId="16DCE384">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（三）分段架体搭设高度20m及以上的悬挑式脚手架工程。</w:t>
            </w:r>
          </w:p>
        </w:tc>
        <w:tc>
          <w:tcPr>
            <w:tcW w:w="1361" w:type="dxa"/>
            <w:tcBorders>
              <w:top w:val="single" w:color="auto" w:sz="4" w:space="0"/>
              <w:left w:val="nil"/>
              <w:bottom w:val="single" w:color="auto" w:sz="4" w:space="0"/>
              <w:right w:val="single" w:color="auto" w:sz="4" w:space="0"/>
            </w:tcBorders>
            <w:noWrap w:val="0"/>
            <w:vAlign w:val="center"/>
          </w:tcPr>
          <w:p w14:paraId="0D641997">
            <w:pPr>
              <w:keepNext w:val="0"/>
              <w:keepLines w:val="0"/>
              <w:widowControl w:val="0"/>
              <w:suppressLineNumbers w:val="0"/>
              <w:shd w:val="clear" w:color="auto" w:fill="auto"/>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bidi="ar"/>
              </w:rPr>
              <w:t>(    )</w:t>
            </w:r>
          </w:p>
        </w:tc>
        <w:tc>
          <w:tcPr>
            <w:tcW w:w="1361" w:type="dxa"/>
            <w:tcBorders>
              <w:top w:val="single" w:color="auto" w:sz="4" w:space="0"/>
              <w:left w:val="nil"/>
              <w:bottom w:val="single" w:color="auto" w:sz="4" w:space="0"/>
              <w:right w:val="single" w:color="auto" w:sz="4" w:space="0"/>
            </w:tcBorders>
            <w:noWrap w:val="0"/>
            <w:vAlign w:val="center"/>
          </w:tcPr>
          <w:p w14:paraId="0F659D2D">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    )</w:t>
            </w:r>
          </w:p>
        </w:tc>
        <w:tc>
          <w:tcPr>
            <w:tcW w:w="1461" w:type="dxa"/>
            <w:tcBorders>
              <w:top w:val="single" w:color="auto" w:sz="4" w:space="0"/>
              <w:left w:val="nil"/>
              <w:bottom w:val="single" w:color="auto" w:sz="4" w:space="0"/>
              <w:right w:val="single" w:color="auto" w:sz="4" w:space="0"/>
            </w:tcBorders>
            <w:noWrap w:val="0"/>
            <w:vAlign w:val="center"/>
          </w:tcPr>
          <w:p w14:paraId="117E88E9">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3321F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noWrap w:val="0"/>
            <w:vAlign w:val="top"/>
          </w:tcPr>
          <w:p w14:paraId="421F7CD8">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五、拆除工程</w:t>
            </w:r>
          </w:p>
        </w:tc>
        <w:tc>
          <w:tcPr>
            <w:tcW w:w="1361" w:type="dxa"/>
            <w:tcBorders>
              <w:top w:val="single" w:color="auto" w:sz="4" w:space="0"/>
              <w:left w:val="nil"/>
              <w:bottom w:val="single" w:color="auto" w:sz="4" w:space="0"/>
              <w:right w:val="single" w:color="auto" w:sz="4" w:space="0"/>
            </w:tcBorders>
            <w:noWrap w:val="0"/>
            <w:vAlign w:val="center"/>
          </w:tcPr>
          <w:p w14:paraId="71D99EDD">
            <w:pPr>
              <w:keepNext w:val="0"/>
              <w:keepLines w:val="0"/>
              <w:widowControl w:val="0"/>
              <w:suppressLineNumbers w:val="0"/>
              <w:shd w:val="clear" w:color="auto" w:fill="auto"/>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bidi="ar"/>
              </w:rPr>
              <w:t>(    )</w:t>
            </w:r>
          </w:p>
        </w:tc>
        <w:tc>
          <w:tcPr>
            <w:tcW w:w="1361" w:type="dxa"/>
            <w:tcBorders>
              <w:top w:val="single" w:color="auto" w:sz="4" w:space="0"/>
              <w:left w:val="nil"/>
              <w:bottom w:val="single" w:color="auto" w:sz="4" w:space="0"/>
              <w:right w:val="single" w:color="auto" w:sz="4" w:space="0"/>
            </w:tcBorders>
            <w:noWrap w:val="0"/>
            <w:vAlign w:val="center"/>
          </w:tcPr>
          <w:p w14:paraId="7AB654FF">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    )</w:t>
            </w:r>
          </w:p>
        </w:tc>
        <w:tc>
          <w:tcPr>
            <w:tcW w:w="1461" w:type="dxa"/>
            <w:tcBorders>
              <w:top w:val="single" w:color="auto" w:sz="4" w:space="0"/>
              <w:left w:val="nil"/>
              <w:bottom w:val="single" w:color="auto" w:sz="4" w:space="0"/>
              <w:right w:val="single" w:color="auto" w:sz="4" w:space="0"/>
            </w:tcBorders>
            <w:noWrap w:val="0"/>
            <w:vAlign w:val="center"/>
          </w:tcPr>
          <w:p w14:paraId="6DECBE21">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2A0F6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noWrap w:val="0"/>
            <w:vAlign w:val="top"/>
          </w:tcPr>
          <w:p w14:paraId="436A68A3">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（一）码头、桥梁、高架、烟囱、水塔或拆除中容易引起有毒有害气（液）体或粉尘扩散、易燃易爆事故发生的特殊建、构筑物的拆除工程。</w:t>
            </w:r>
          </w:p>
        </w:tc>
        <w:tc>
          <w:tcPr>
            <w:tcW w:w="1361" w:type="dxa"/>
            <w:tcBorders>
              <w:top w:val="single" w:color="auto" w:sz="4" w:space="0"/>
              <w:left w:val="nil"/>
              <w:bottom w:val="single" w:color="auto" w:sz="4" w:space="0"/>
              <w:right w:val="single" w:color="auto" w:sz="4" w:space="0"/>
            </w:tcBorders>
            <w:noWrap w:val="0"/>
            <w:vAlign w:val="center"/>
          </w:tcPr>
          <w:p w14:paraId="3575A26F">
            <w:pPr>
              <w:keepNext w:val="0"/>
              <w:keepLines w:val="0"/>
              <w:widowControl w:val="0"/>
              <w:suppressLineNumbers w:val="0"/>
              <w:shd w:val="clear" w:color="auto" w:fill="auto"/>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bidi="ar"/>
              </w:rPr>
              <w:t>(    )</w:t>
            </w:r>
          </w:p>
        </w:tc>
        <w:tc>
          <w:tcPr>
            <w:tcW w:w="1361" w:type="dxa"/>
            <w:tcBorders>
              <w:top w:val="single" w:color="auto" w:sz="4" w:space="0"/>
              <w:left w:val="nil"/>
              <w:bottom w:val="single" w:color="auto" w:sz="4" w:space="0"/>
              <w:right w:val="single" w:color="auto" w:sz="4" w:space="0"/>
            </w:tcBorders>
            <w:noWrap w:val="0"/>
            <w:vAlign w:val="center"/>
          </w:tcPr>
          <w:p w14:paraId="1540275C">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    )</w:t>
            </w:r>
          </w:p>
        </w:tc>
        <w:tc>
          <w:tcPr>
            <w:tcW w:w="1461" w:type="dxa"/>
            <w:tcBorders>
              <w:top w:val="single" w:color="auto" w:sz="4" w:space="0"/>
              <w:left w:val="nil"/>
              <w:bottom w:val="single" w:color="auto" w:sz="4" w:space="0"/>
              <w:right w:val="single" w:color="auto" w:sz="4" w:space="0"/>
            </w:tcBorders>
            <w:noWrap w:val="0"/>
            <w:vAlign w:val="center"/>
          </w:tcPr>
          <w:p w14:paraId="36EED84F">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4E1D7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noWrap w:val="0"/>
            <w:vAlign w:val="top"/>
          </w:tcPr>
          <w:p w14:paraId="35D92D89">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（二）文物保护建筑、优秀历史建筑或历史文化风貌区影响范围内的拆除工程。</w:t>
            </w:r>
          </w:p>
        </w:tc>
        <w:tc>
          <w:tcPr>
            <w:tcW w:w="1361" w:type="dxa"/>
            <w:tcBorders>
              <w:top w:val="single" w:color="auto" w:sz="4" w:space="0"/>
              <w:left w:val="nil"/>
              <w:bottom w:val="single" w:color="auto" w:sz="4" w:space="0"/>
              <w:right w:val="single" w:color="auto" w:sz="4" w:space="0"/>
            </w:tcBorders>
            <w:noWrap w:val="0"/>
            <w:vAlign w:val="center"/>
          </w:tcPr>
          <w:p w14:paraId="4898E270">
            <w:pPr>
              <w:keepNext w:val="0"/>
              <w:keepLines w:val="0"/>
              <w:widowControl w:val="0"/>
              <w:suppressLineNumbers w:val="0"/>
              <w:shd w:val="clear" w:color="auto" w:fill="auto"/>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bidi="ar"/>
              </w:rPr>
              <w:t xml:space="preserve">(  </w:t>
            </w:r>
            <w:r>
              <w:rPr>
                <w:rFonts w:hint="eastAsia" w:ascii="宋体" w:hAnsi="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 xml:space="preserve">  )</w:t>
            </w:r>
          </w:p>
        </w:tc>
        <w:tc>
          <w:tcPr>
            <w:tcW w:w="1361" w:type="dxa"/>
            <w:tcBorders>
              <w:top w:val="single" w:color="auto" w:sz="4" w:space="0"/>
              <w:left w:val="nil"/>
              <w:bottom w:val="single" w:color="auto" w:sz="4" w:space="0"/>
              <w:right w:val="single" w:color="auto" w:sz="4" w:space="0"/>
            </w:tcBorders>
            <w:noWrap w:val="0"/>
            <w:vAlign w:val="center"/>
          </w:tcPr>
          <w:p w14:paraId="26072069">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    )</w:t>
            </w:r>
          </w:p>
        </w:tc>
        <w:tc>
          <w:tcPr>
            <w:tcW w:w="1461" w:type="dxa"/>
            <w:tcBorders>
              <w:top w:val="single" w:color="auto" w:sz="4" w:space="0"/>
              <w:left w:val="nil"/>
              <w:bottom w:val="single" w:color="auto" w:sz="4" w:space="0"/>
              <w:right w:val="single" w:color="auto" w:sz="4" w:space="0"/>
            </w:tcBorders>
            <w:noWrap w:val="0"/>
            <w:vAlign w:val="center"/>
          </w:tcPr>
          <w:p w14:paraId="538AB9E4">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07B7B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noWrap w:val="0"/>
            <w:vAlign w:val="top"/>
          </w:tcPr>
          <w:p w14:paraId="76C23CB4">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六、暗挖工程</w:t>
            </w:r>
          </w:p>
        </w:tc>
        <w:tc>
          <w:tcPr>
            <w:tcW w:w="1361" w:type="dxa"/>
            <w:tcBorders>
              <w:top w:val="single" w:color="auto" w:sz="4" w:space="0"/>
              <w:left w:val="nil"/>
              <w:bottom w:val="single" w:color="auto" w:sz="4" w:space="0"/>
              <w:right w:val="single" w:color="auto" w:sz="4" w:space="0"/>
            </w:tcBorders>
            <w:noWrap w:val="0"/>
            <w:vAlign w:val="center"/>
          </w:tcPr>
          <w:p w14:paraId="75AE8DCA">
            <w:pPr>
              <w:keepNext w:val="0"/>
              <w:keepLines w:val="0"/>
              <w:widowControl w:val="0"/>
              <w:suppressLineNumbers w:val="0"/>
              <w:shd w:val="clear" w:color="auto" w:fill="auto"/>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bidi="ar"/>
              </w:rPr>
              <w:t>(    )</w:t>
            </w:r>
          </w:p>
        </w:tc>
        <w:tc>
          <w:tcPr>
            <w:tcW w:w="1361" w:type="dxa"/>
            <w:tcBorders>
              <w:top w:val="single" w:color="auto" w:sz="4" w:space="0"/>
              <w:left w:val="nil"/>
              <w:bottom w:val="single" w:color="auto" w:sz="4" w:space="0"/>
              <w:right w:val="single" w:color="auto" w:sz="4" w:space="0"/>
            </w:tcBorders>
            <w:noWrap w:val="0"/>
            <w:vAlign w:val="center"/>
          </w:tcPr>
          <w:p w14:paraId="24AFBDE3">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    )</w:t>
            </w:r>
          </w:p>
        </w:tc>
        <w:tc>
          <w:tcPr>
            <w:tcW w:w="1461" w:type="dxa"/>
            <w:tcBorders>
              <w:top w:val="single" w:color="auto" w:sz="4" w:space="0"/>
              <w:left w:val="nil"/>
              <w:bottom w:val="single" w:color="auto" w:sz="4" w:space="0"/>
              <w:right w:val="single" w:color="auto" w:sz="4" w:space="0"/>
            </w:tcBorders>
            <w:noWrap w:val="0"/>
            <w:vAlign w:val="center"/>
          </w:tcPr>
          <w:p w14:paraId="6A6AD1DE">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2152D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noWrap w:val="0"/>
            <w:vAlign w:val="top"/>
          </w:tcPr>
          <w:p w14:paraId="5643F3F1">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采用矿山法、盾构法、顶管法施工的隧道、洞室工程。</w:t>
            </w:r>
          </w:p>
        </w:tc>
        <w:tc>
          <w:tcPr>
            <w:tcW w:w="1361" w:type="dxa"/>
            <w:tcBorders>
              <w:top w:val="single" w:color="auto" w:sz="4" w:space="0"/>
              <w:left w:val="nil"/>
              <w:bottom w:val="single" w:color="auto" w:sz="4" w:space="0"/>
              <w:right w:val="single" w:color="auto" w:sz="4" w:space="0"/>
            </w:tcBorders>
            <w:noWrap w:val="0"/>
            <w:vAlign w:val="center"/>
          </w:tcPr>
          <w:p w14:paraId="61FF4749">
            <w:pPr>
              <w:keepNext w:val="0"/>
              <w:keepLines w:val="0"/>
              <w:widowControl w:val="0"/>
              <w:suppressLineNumbers w:val="0"/>
              <w:shd w:val="clear" w:color="auto" w:fill="auto"/>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bidi="ar"/>
              </w:rPr>
              <w:t>(    )</w:t>
            </w:r>
          </w:p>
        </w:tc>
        <w:tc>
          <w:tcPr>
            <w:tcW w:w="1361" w:type="dxa"/>
            <w:tcBorders>
              <w:top w:val="single" w:color="auto" w:sz="4" w:space="0"/>
              <w:left w:val="nil"/>
              <w:bottom w:val="single" w:color="auto" w:sz="4" w:space="0"/>
              <w:right w:val="single" w:color="auto" w:sz="4" w:space="0"/>
            </w:tcBorders>
            <w:noWrap w:val="0"/>
            <w:vAlign w:val="center"/>
          </w:tcPr>
          <w:p w14:paraId="7AB2962B">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    )</w:t>
            </w:r>
          </w:p>
        </w:tc>
        <w:tc>
          <w:tcPr>
            <w:tcW w:w="1461" w:type="dxa"/>
            <w:tcBorders>
              <w:top w:val="single" w:color="auto" w:sz="4" w:space="0"/>
              <w:left w:val="nil"/>
              <w:bottom w:val="single" w:color="auto" w:sz="4" w:space="0"/>
              <w:right w:val="single" w:color="auto" w:sz="4" w:space="0"/>
            </w:tcBorders>
            <w:noWrap w:val="0"/>
            <w:vAlign w:val="center"/>
          </w:tcPr>
          <w:p w14:paraId="72511994">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72CDD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noWrap w:val="0"/>
            <w:vAlign w:val="top"/>
          </w:tcPr>
          <w:p w14:paraId="67335776">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七、其它</w:t>
            </w:r>
          </w:p>
        </w:tc>
        <w:tc>
          <w:tcPr>
            <w:tcW w:w="1361" w:type="dxa"/>
            <w:tcBorders>
              <w:top w:val="single" w:color="auto" w:sz="4" w:space="0"/>
              <w:left w:val="nil"/>
              <w:bottom w:val="single" w:color="auto" w:sz="4" w:space="0"/>
              <w:right w:val="single" w:color="auto" w:sz="4" w:space="0"/>
            </w:tcBorders>
            <w:noWrap w:val="0"/>
            <w:vAlign w:val="center"/>
          </w:tcPr>
          <w:p w14:paraId="01963E1E">
            <w:pPr>
              <w:keepNext w:val="0"/>
              <w:keepLines w:val="0"/>
              <w:widowControl w:val="0"/>
              <w:suppressLineNumbers w:val="0"/>
              <w:shd w:val="clear" w:color="auto" w:fill="auto"/>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bidi="ar"/>
              </w:rPr>
              <w:t>(    )</w:t>
            </w:r>
          </w:p>
        </w:tc>
        <w:tc>
          <w:tcPr>
            <w:tcW w:w="1361" w:type="dxa"/>
            <w:tcBorders>
              <w:top w:val="single" w:color="auto" w:sz="4" w:space="0"/>
              <w:left w:val="nil"/>
              <w:bottom w:val="single" w:color="auto" w:sz="4" w:space="0"/>
              <w:right w:val="single" w:color="auto" w:sz="4" w:space="0"/>
            </w:tcBorders>
            <w:noWrap w:val="0"/>
            <w:vAlign w:val="center"/>
          </w:tcPr>
          <w:p w14:paraId="4B657834">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    )</w:t>
            </w:r>
          </w:p>
        </w:tc>
        <w:tc>
          <w:tcPr>
            <w:tcW w:w="1461" w:type="dxa"/>
            <w:tcBorders>
              <w:top w:val="single" w:color="auto" w:sz="4" w:space="0"/>
              <w:left w:val="nil"/>
              <w:bottom w:val="single" w:color="auto" w:sz="4" w:space="0"/>
              <w:right w:val="single" w:color="auto" w:sz="4" w:space="0"/>
            </w:tcBorders>
            <w:noWrap w:val="0"/>
            <w:vAlign w:val="center"/>
          </w:tcPr>
          <w:p w14:paraId="790453DA">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1F931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noWrap w:val="0"/>
            <w:vAlign w:val="top"/>
          </w:tcPr>
          <w:p w14:paraId="44EEA47A">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（一）施工高度50m及以上的建筑幕墙安装工程。</w:t>
            </w:r>
          </w:p>
        </w:tc>
        <w:tc>
          <w:tcPr>
            <w:tcW w:w="1361" w:type="dxa"/>
            <w:tcBorders>
              <w:top w:val="single" w:color="auto" w:sz="4" w:space="0"/>
              <w:left w:val="nil"/>
              <w:bottom w:val="single" w:color="auto" w:sz="4" w:space="0"/>
              <w:right w:val="single" w:color="auto" w:sz="4" w:space="0"/>
            </w:tcBorders>
            <w:noWrap w:val="0"/>
            <w:vAlign w:val="center"/>
          </w:tcPr>
          <w:p w14:paraId="1DFA193E">
            <w:pPr>
              <w:keepNext w:val="0"/>
              <w:keepLines w:val="0"/>
              <w:widowControl w:val="0"/>
              <w:suppressLineNumbers w:val="0"/>
              <w:shd w:val="clear" w:color="auto" w:fill="auto"/>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bidi="ar"/>
              </w:rPr>
              <w:t>(    )</w:t>
            </w:r>
          </w:p>
        </w:tc>
        <w:tc>
          <w:tcPr>
            <w:tcW w:w="1361" w:type="dxa"/>
            <w:tcBorders>
              <w:top w:val="single" w:color="auto" w:sz="4" w:space="0"/>
              <w:left w:val="nil"/>
              <w:bottom w:val="single" w:color="auto" w:sz="4" w:space="0"/>
              <w:right w:val="single" w:color="auto" w:sz="4" w:space="0"/>
            </w:tcBorders>
            <w:noWrap w:val="0"/>
            <w:vAlign w:val="center"/>
          </w:tcPr>
          <w:p w14:paraId="12950248">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    )</w:t>
            </w:r>
          </w:p>
        </w:tc>
        <w:tc>
          <w:tcPr>
            <w:tcW w:w="1461" w:type="dxa"/>
            <w:tcBorders>
              <w:top w:val="single" w:color="auto" w:sz="4" w:space="0"/>
              <w:left w:val="nil"/>
              <w:bottom w:val="single" w:color="auto" w:sz="4" w:space="0"/>
              <w:right w:val="single" w:color="auto" w:sz="4" w:space="0"/>
            </w:tcBorders>
            <w:noWrap w:val="0"/>
            <w:vAlign w:val="center"/>
          </w:tcPr>
          <w:p w14:paraId="12C6D6EE">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0C4B2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noWrap w:val="0"/>
            <w:vAlign w:val="top"/>
          </w:tcPr>
          <w:p w14:paraId="56BA74B4">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（二）跨度36m及以上的钢结构安装工程，或跨度60m及以上的网架和索膜结构安装工程。</w:t>
            </w:r>
          </w:p>
        </w:tc>
        <w:tc>
          <w:tcPr>
            <w:tcW w:w="1361" w:type="dxa"/>
            <w:tcBorders>
              <w:top w:val="single" w:color="auto" w:sz="4" w:space="0"/>
              <w:left w:val="nil"/>
              <w:bottom w:val="single" w:color="auto" w:sz="4" w:space="0"/>
              <w:right w:val="single" w:color="auto" w:sz="4" w:space="0"/>
            </w:tcBorders>
            <w:noWrap w:val="0"/>
            <w:vAlign w:val="center"/>
          </w:tcPr>
          <w:p w14:paraId="4ED4D193">
            <w:pPr>
              <w:keepNext w:val="0"/>
              <w:keepLines w:val="0"/>
              <w:widowControl w:val="0"/>
              <w:suppressLineNumbers w:val="0"/>
              <w:shd w:val="clear" w:color="auto" w:fill="auto"/>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bidi="ar"/>
              </w:rPr>
              <w:t>(    )</w:t>
            </w:r>
          </w:p>
        </w:tc>
        <w:tc>
          <w:tcPr>
            <w:tcW w:w="1361" w:type="dxa"/>
            <w:tcBorders>
              <w:top w:val="single" w:color="auto" w:sz="4" w:space="0"/>
              <w:left w:val="nil"/>
              <w:bottom w:val="single" w:color="auto" w:sz="4" w:space="0"/>
              <w:right w:val="single" w:color="auto" w:sz="4" w:space="0"/>
            </w:tcBorders>
            <w:noWrap w:val="0"/>
            <w:vAlign w:val="center"/>
          </w:tcPr>
          <w:p w14:paraId="33C0D684">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    )</w:t>
            </w:r>
          </w:p>
        </w:tc>
        <w:tc>
          <w:tcPr>
            <w:tcW w:w="1461" w:type="dxa"/>
            <w:tcBorders>
              <w:top w:val="single" w:color="auto" w:sz="4" w:space="0"/>
              <w:left w:val="nil"/>
              <w:bottom w:val="single" w:color="auto" w:sz="4" w:space="0"/>
              <w:right w:val="single" w:color="auto" w:sz="4" w:space="0"/>
            </w:tcBorders>
            <w:noWrap w:val="0"/>
            <w:vAlign w:val="center"/>
          </w:tcPr>
          <w:p w14:paraId="6F2E9C90">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6D4CF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noWrap w:val="0"/>
            <w:vAlign w:val="top"/>
          </w:tcPr>
          <w:p w14:paraId="2035CDE6">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（三）开挖深度16m及以上的人工挖孔桩工程。</w:t>
            </w:r>
          </w:p>
        </w:tc>
        <w:tc>
          <w:tcPr>
            <w:tcW w:w="1361" w:type="dxa"/>
            <w:tcBorders>
              <w:top w:val="single" w:color="auto" w:sz="4" w:space="0"/>
              <w:left w:val="nil"/>
              <w:bottom w:val="single" w:color="auto" w:sz="4" w:space="0"/>
              <w:right w:val="single" w:color="auto" w:sz="4" w:space="0"/>
            </w:tcBorders>
            <w:noWrap w:val="0"/>
            <w:vAlign w:val="center"/>
          </w:tcPr>
          <w:p w14:paraId="00139B66">
            <w:pPr>
              <w:keepNext w:val="0"/>
              <w:keepLines w:val="0"/>
              <w:widowControl w:val="0"/>
              <w:suppressLineNumbers w:val="0"/>
              <w:shd w:val="clear" w:color="auto" w:fill="auto"/>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bidi="ar"/>
              </w:rPr>
              <w:t>(    )</w:t>
            </w:r>
          </w:p>
        </w:tc>
        <w:tc>
          <w:tcPr>
            <w:tcW w:w="1361" w:type="dxa"/>
            <w:tcBorders>
              <w:top w:val="single" w:color="auto" w:sz="4" w:space="0"/>
              <w:left w:val="nil"/>
              <w:bottom w:val="single" w:color="auto" w:sz="4" w:space="0"/>
              <w:right w:val="single" w:color="auto" w:sz="4" w:space="0"/>
            </w:tcBorders>
            <w:noWrap w:val="0"/>
            <w:vAlign w:val="center"/>
          </w:tcPr>
          <w:p w14:paraId="5C460D90">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    )</w:t>
            </w:r>
          </w:p>
        </w:tc>
        <w:tc>
          <w:tcPr>
            <w:tcW w:w="1461" w:type="dxa"/>
            <w:tcBorders>
              <w:top w:val="single" w:color="auto" w:sz="4" w:space="0"/>
              <w:left w:val="nil"/>
              <w:bottom w:val="single" w:color="auto" w:sz="4" w:space="0"/>
              <w:right w:val="single" w:color="auto" w:sz="4" w:space="0"/>
            </w:tcBorders>
            <w:noWrap w:val="0"/>
            <w:vAlign w:val="center"/>
          </w:tcPr>
          <w:p w14:paraId="736944C9">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4ACD0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noWrap w:val="0"/>
            <w:vAlign w:val="top"/>
          </w:tcPr>
          <w:p w14:paraId="2E56376A">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（四）水下作业工程。</w:t>
            </w:r>
          </w:p>
        </w:tc>
        <w:tc>
          <w:tcPr>
            <w:tcW w:w="1361" w:type="dxa"/>
            <w:tcBorders>
              <w:top w:val="single" w:color="auto" w:sz="4" w:space="0"/>
              <w:left w:val="nil"/>
              <w:bottom w:val="single" w:color="auto" w:sz="4" w:space="0"/>
              <w:right w:val="single" w:color="auto" w:sz="4" w:space="0"/>
            </w:tcBorders>
            <w:noWrap w:val="0"/>
            <w:vAlign w:val="center"/>
          </w:tcPr>
          <w:p w14:paraId="7460936D">
            <w:pPr>
              <w:keepNext w:val="0"/>
              <w:keepLines w:val="0"/>
              <w:widowControl w:val="0"/>
              <w:suppressLineNumbers w:val="0"/>
              <w:shd w:val="clear" w:color="auto" w:fill="auto"/>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bidi="ar"/>
              </w:rPr>
              <w:t>(    )</w:t>
            </w:r>
          </w:p>
        </w:tc>
        <w:tc>
          <w:tcPr>
            <w:tcW w:w="1361" w:type="dxa"/>
            <w:tcBorders>
              <w:top w:val="single" w:color="auto" w:sz="4" w:space="0"/>
              <w:left w:val="nil"/>
              <w:bottom w:val="single" w:color="auto" w:sz="4" w:space="0"/>
              <w:right w:val="single" w:color="auto" w:sz="4" w:space="0"/>
            </w:tcBorders>
            <w:noWrap w:val="0"/>
            <w:vAlign w:val="center"/>
          </w:tcPr>
          <w:p w14:paraId="455C34D4">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    )</w:t>
            </w:r>
          </w:p>
        </w:tc>
        <w:tc>
          <w:tcPr>
            <w:tcW w:w="1461" w:type="dxa"/>
            <w:tcBorders>
              <w:top w:val="single" w:color="auto" w:sz="4" w:space="0"/>
              <w:left w:val="nil"/>
              <w:bottom w:val="single" w:color="auto" w:sz="4" w:space="0"/>
              <w:right w:val="single" w:color="auto" w:sz="4" w:space="0"/>
            </w:tcBorders>
            <w:noWrap w:val="0"/>
            <w:vAlign w:val="center"/>
          </w:tcPr>
          <w:p w14:paraId="61183A11">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3C838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noWrap w:val="0"/>
            <w:vAlign w:val="top"/>
          </w:tcPr>
          <w:p w14:paraId="6C2511FF">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（五）重量1000kN及以上的大型结构整体顶升、平移、转体等施工工艺。</w:t>
            </w:r>
          </w:p>
        </w:tc>
        <w:tc>
          <w:tcPr>
            <w:tcW w:w="1361" w:type="dxa"/>
            <w:tcBorders>
              <w:top w:val="single" w:color="auto" w:sz="4" w:space="0"/>
              <w:left w:val="nil"/>
              <w:bottom w:val="single" w:color="auto" w:sz="4" w:space="0"/>
              <w:right w:val="single" w:color="auto" w:sz="4" w:space="0"/>
            </w:tcBorders>
            <w:noWrap w:val="0"/>
            <w:vAlign w:val="center"/>
          </w:tcPr>
          <w:p w14:paraId="3F7AF419">
            <w:pPr>
              <w:keepNext w:val="0"/>
              <w:keepLines w:val="0"/>
              <w:widowControl w:val="0"/>
              <w:suppressLineNumbers w:val="0"/>
              <w:shd w:val="clear" w:color="auto" w:fill="auto"/>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bidi="ar"/>
              </w:rPr>
              <w:t>(    )</w:t>
            </w:r>
          </w:p>
        </w:tc>
        <w:tc>
          <w:tcPr>
            <w:tcW w:w="1361" w:type="dxa"/>
            <w:tcBorders>
              <w:top w:val="single" w:color="auto" w:sz="4" w:space="0"/>
              <w:left w:val="nil"/>
              <w:bottom w:val="single" w:color="auto" w:sz="4" w:space="0"/>
              <w:right w:val="single" w:color="auto" w:sz="4" w:space="0"/>
            </w:tcBorders>
            <w:noWrap w:val="0"/>
            <w:vAlign w:val="center"/>
          </w:tcPr>
          <w:p w14:paraId="1ED0BE1B">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    )</w:t>
            </w:r>
          </w:p>
        </w:tc>
        <w:tc>
          <w:tcPr>
            <w:tcW w:w="1461" w:type="dxa"/>
            <w:tcBorders>
              <w:top w:val="single" w:color="auto" w:sz="4" w:space="0"/>
              <w:left w:val="nil"/>
              <w:bottom w:val="single" w:color="auto" w:sz="4" w:space="0"/>
              <w:right w:val="single" w:color="auto" w:sz="4" w:space="0"/>
            </w:tcBorders>
            <w:noWrap w:val="0"/>
            <w:vAlign w:val="center"/>
          </w:tcPr>
          <w:p w14:paraId="19B8478C">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7732B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noWrap w:val="0"/>
            <w:vAlign w:val="top"/>
          </w:tcPr>
          <w:p w14:paraId="2B6763EE">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（六）采用新技术、新工艺、新材料、新设备可能影响工程施工安全，尚无国家、行业及地方技术标准的分部分项工程。</w:t>
            </w:r>
          </w:p>
        </w:tc>
        <w:tc>
          <w:tcPr>
            <w:tcW w:w="1361" w:type="dxa"/>
            <w:tcBorders>
              <w:top w:val="single" w:color="auto" w:sz="4" w:space="0"/>
              <w:left w:val="nil"/>
              <w:bottom w:val="single" w:color="auto" w:sz="4" w:space="0"/>
              <w:right w:val="single" w:color="auto" w:sz="4" w:space="0"/>
            </w:tcBorders>
            <w:noWrap w:val="0"/>
            <w:vAlign w:val="center"/>
          </w:tcPr>
          <w:p w14:paraId="2667264E">
            <w:pPr>
              <w:keepNext w:val="0"/>
              <w:keepLines w:val="0"/>
              <w:widowControl w:val="0"/>
              <w:suppressLineNumbers w:val="0"/>
              <w:shd w:val="clear" w:color="auto" w:fill="auto"/>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bidi="ar"/>
              </w:rPr>
              <w:t>(    )</w:t>
            </w:r>
          </w:p>
        </w:tc>
        <w:tc>
          <w:tcPr>
            <w:tcW w:w="1361" w:type="dxa"/>
            <w:tcBorders>
              <w:top w:val="single" w:color="auto" w:sz="4" w:space="0"/>
              <w:left w:val="nil"/>
              <w:bottom w:val="single" w:color="auto" w:sz="4" w:space="0"/>
              <w:right w:val="single" w:color="auto" w:sz="4" w:space="0"/>
            </w:tcBorders>
            <w:noWrap w:val="0"/>
            <w:vAlign w:val="center"/>
          </w:tcPr>
          <w:p w14:paraId="7B9FDE48">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bidi="ar"/>
              </w:rPr>
              <w:t>(    )</w:t>
            </w:r>
          </w:p>
        </w:tc>
        <w:tc>
          <w:tcPr>
            <w:tcW w:w="1461" w:type="dxa"/>
            <w:tcBorders>
              <w:top w:val="single" w:color="auto" w:sz="4" w:space="0"/>
              <w:left w:val="nil"/>
              <w:bottom w:val="single" w:color="auto" w:sz="4" w:space="0"/>
              <w:right w:val="single" w:color="auto" w:sz="4" w:space="0"/>
            </w:tcBorders>
            <w:noWrap w:val="0"/>
            <w:vAlign w:val="center"/>
          </w:tcPr>
          <w:p w14:paraId="1EB7122B">
            <w:pPr>
              <w:keepNext w:val="0"/>
              <w:keepLines w:val="0"/>
              <w:widowControl w:val="0"/>
              <w:suppressLineNumbers w:val="0"/>
              <w:shd w:val="clear" w:color="auto" w:fill="auto"/>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bl>
    <w:p w14:paraId="210CF661">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lang w:bidi="ar-SA"/>
        </w:rPr>
      </w:pPr>
    </w:p>
    <w:p w14:paraId="5E16382A">
      <w:pPr>
        <w:shd w:val="clear" w:color="auto" w:fill="auto"/>
        <w:autoSpaceDE w:val="0"/>
        <w:autoSpaceDN w:val="0"/>
        <w:adjustRightInd w:val="0"/>
        <w:spacing w:line="360" w:lineRule="auto"/>
        <w:ind w:firstLine="480" w:firstLineChars="200"/>
        <w:jc w:val="right"/>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投标人名称（盖法人公章）：</w:t>
      </w:r>
    </w:p>
    <w:p w14:paraId="39B8BE39">
      <w:pPr>
        <w:shd w:val="clear" w:color="auto" w:fill="auto"/>
        <w:autoSpaceDE w:val="0"/>
        <w:autoSpaceDN w:val="0"/>
        <w:adjustRightInd w:val="0"/>
        <w:spacing w:line="360" w:lineRule="auto"/>
        <w:ind w:firstLine="480" w:firstLineChars="200"/>
        <w:jc w:val="right"/>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法定代表人或被授权人（签字或盖章）：</w:t>
      </w:r>
    </w:p>
    <w:p w14:paraId="64109DBE">
      <w:pPr>
        <w:shd w:val="clear" w:color="auto" w:fill="auto"/>
        <w:autoSpaceDE w:val="0"/>
        <w:autoSpaceDN w:val="0"/>
        <w:adjustRightInd w:val="0"/>
        <w:spacing w:line="360" w:lineRule="auto"/>
        <w:ind w:firstLine="480" w:firstLineChars="200"/>
        <w:jc w:val="right"/>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日期：   年  月  日</w:t>
      </w:r>
    </w:p>
    <w:p w14:paraId="530E873C">
      <w:pPr>
        <w:tabs>
          <w:tab w:val="left" w:pos="720"/>
        </w:tabs>
        <w:snapToGrid w:val="0"/>
        <w:spacing w:line="360" w:lineRule="auto"/>
        <w:rPr>
          <w:rFonts w:hint="eastAsia" w:ascii="宋体" w:hAnsi="宋体" w:eastAsia="宋体" w:cs="宋体"/>
          <w:color w:val="auto"/>
          <w:sz w:val="24"/>
          <w:highlight w:val="none"/>
        </w:rPr>
      </w:pPr>
    </w:p>
    <w:p w14:paraId="653F7304">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4BEEF675">
      <w:pPr>
        <w:tabs>
          <w:tab w:val="left" w:pos="720"/>
        </w:tabs>
        <w:snapToGrid w:val="0"/>
        <w:spacing w:line="360" w:lineRule="auto"/>
        <w:rPr>
          <w:rFonts w:hint="eastAsia" w:ascii="宋体" w:hAnsi="宋体" w:eastAsia="宋体" w:cs="宋体"/>
          <w:b/>
          <w:color w:val="auto"/>
          <w:sz w:val="32"/>
          <w:szCs w:val="32"/>
          <w:highlight w:val="none"/>
        </w:rPr>
      </w:pPr>
      <w:r>
        <w:rPr>
          <w:rFonts w:hint="eastAsia" w:ascii="宋体" w:hAnsi="宋体" w:eastAsia="宋体" w:cs="宋体"/>
          <w:color w:val="auto"/>
          <w:sz w:val="24"/>
          <w:highlight w:val="none"/>
        </w:rPr>
        <w:t>★技术标投标文件格式十</w:t>
      </w:r>
      <w:r>
        <w:rPr>
          <w:rFonts w:hint="eastAsia" w:ascii="宋体" w:hAnsi="宋体" w:eastAsia="宋体" w:cs="宋体"/>
          <w:color w:val="auto"/>
          <w:sz w:val="24"/>
          <w:highlight w:val="none"/>
          <w:lang w:val="en-US" w:eastAsia="zh-CN"/>
        </w:rPr>
        <w:t>一</w:t>
      </w:r>
      <w:r>
        <w:rPr>
          <w:rFonts w:hint="eastAsia" w:ascii="宋体" w:hAnsi="宋体" w:eastAsia="宋体" w:cs="宋体"/>
          <w:color w:val="auto"/>
          <w:sz w:val="24"/>
          <w:highlight w:val="none"/>
        </w:rPr>
        <w:t>：</w:t>
      </w:r>
    </w:p>
    <w:p w14:paraId="58562687">
      <w:pPr>
        <w:tabs>
          <w:tab w:val="left" w:pos="720"/>
        </w:tabs>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
          <w:color w:val="auto"/>
          <w:sz w:val="32"/>
          <w:szCs w:val="32"/>
          <w:highlight w:val="none"/>
        </w:rPr>
        <w:t>参与编制技术标投标文件人员名单</w:t>
      </w:r>
    </w:p>
    <w:tbl>
      <w:tblPr>
        <w:tblStyle w:val="34"/>
        <w:tblW w:w="829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14:paraId="5EA34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14:paraId="1443ECE1">
            <w:pPr>
              <w:tabs>
                <w:tab w:val="left" w:pos="720"/>
              </w:tabs>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p>
        </w:tc>
      </w:tr>
      <w:tr w14:paraId="1AD75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14:paraId="42C6F957">
            <w:pPr>
              <w:tabs>
                <w:tab w:val="left" w:pos="720"/>
              </w:tabs>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14:paraId="1A8ECA12">
            <w:pPr>
              <w:tabs>
                <w:tab w:val="left" w:pos="720"/>
              </w:tabs>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14:paraId="5175EBDF">
            <w:pPr>
              <w:tabs>
                <w:tab w:val="left" w:pos="720"/>
              </w:tabs>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14:paraId="6A6B97FE">
            <w:pPr>
              <w:tabs>
                <w:tab w:val="left" w:pos="720"/>
              </w:tabs>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14:paraId="1112CCCF">
            <w:pPr>
              <w:tabs>
                <w:tab w:val="left" w:pos="720"/>
              </w:tabs>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本人签名栏</w:t>
            </w:r>
          </w:p>
        </w:tc>
      </w:tr>
      <w:tr w14:paraId="35791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14:paraId="57BA9CD9">
            <w:pPr>
              <w:tabs>
                <w:tab w:val="left" w:pos="720"/>
              </w:tabs>
              <w:snapToGrid w:val="0"/>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200DCBF2">
            <w:pPr>
              <w:tabs>
                <w:tab w:val="left" w:pos="720"/>
              </w:tabs>
              <w:snapToGrid w:val="0"/>
              <w:spacing w:line="360" w:lineRule="auto"/>
              <w:jc w:val="center"/>
              <w:rPr>
                <w:rFonts w:hint="eastAsia" w:ascii="宋体" w:hAnsi="宋体" w:eastAsia="宋体" w:cs="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67AF5934">
            <w:pPr>
              <w:tabs>
                <w:tab w:val="left" w:pos="720"/>
              </w:tabs>
              <w:snapToGrid w:val="0"/>
              <w:spacing w:line="360" w:lineRule="auto"/>
              <w:jc w:val="center"/>
              <w:rPr>
                <w:rFonts w:hint="eastAsia" w:ascii="宋体" w:hAnsi="宋体" w:eastAsia="宋体" w:cs="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055818C3">
            <w:pPr>
              <w:tabs>
                <w:tab w:val="left" w:pos="720"/>
              </w:tabs>
              <w:snapToGrid w:val="0"/>
              <w:spacing w:line="360" w:lineRule="auto"/>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58F152CA">
            <w:pPr>
              <w:tabs>
                <w:tab w:val="left" w:pos="720"/>
              </w:tabs>
              <w:snapToGrid w:val="0"/>
              <w:spacing w:line="360" w:lineRule="auto"/>
              <w:jc w:val="center"/>
              <w:rPr>
                <w:rFonts w:hint="eastAsia" w:ascii="宋体" w:hAnsi="宋体" w:eastAsia="宋体" w:cs="宋体"/>
                <w:color w:val="auto"/>
                <w:szCs w:val="21"/>
                <w:highlight w:val="none"/>
              </w:rPr>
            </w:pPr>
          </w:p>
        </w:tc>
      </w:tr>
      <w:tr w14:paraId="0C78A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28BA1412">
            <w:pPr>
              <w:tabs>
                <w:tab w:val="left" w:pos="720"/>
              </w:tabs>
              <w:snapToGrid w:val="0"/>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54E29B59">
            <w:pPr>
              <w:tabs>
                <w:tab w:val="left" w:pos="720"/>
              </w:tabs>
              <w:snapToGrid w:val="0"/>
              <w:spacing w:line="360" w:lineRule="auto"/>
              <w:jc w:val="center"/>
              <w:rPr>
                <w:rFonts w:hint="eastAsia" w:ascii="宋体" w:hAnsi="宋体" w:eastAsia="宋体" w:cs="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01C0C527">
            <w:pPr>
              <w:tabs>
                <w:tab w:val="left" w:pos="720"/>
              </w:tabs>
              <w:snapToGrid w:val="0"/>
              <w:spacing w:line="360" w:lineRule="auto"/>
              <w:jc w:val="center"/>
              <w:rPr>
                <w:rFonts w:hint="eastAsia" w:ascii="宋体" w:hAnsi="宋体" w:eastAsia="宋体" w:cs="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400CC574">
            <w:pPr>
              <w:tabs>
                <w:tab w:val="left" w:pos="720"/>
              </w:tabs>
              <w:snapToGrid w:val="0"/>
              <w:spacing w:line="360" w:lineRule="auto"/>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47C67A9A">
            <w:pPr>
              <w:tabs>
                <w:tab w:val="left" w:pos="720"/>
              </w:tabs>
              <w:snapToGrid w:val="0"/>
              <w:spacing w:line="360" w:lineRule="auto"/>
              <w:jc w:val="center"/>
              <w:rPr>
                <w:rFonts w:hint="eastAsia" w:ascii="宋体" w:hAnsi="宋体" w:eastAsia="宋体" w:cs="宋体"/>
                <w:color w:val="auto"/>
                <w:szCs w:val="21"/>
                <w:highlight w:val="none"/>
              </w:rPr>
            </w:pPr>
          </w:p>
        </w:tc>
      </w:tr>
      <w:tr w14:paraId="0B919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30757D16">
            <w:pPr>
              <w:tabs>
                <w:tab w:val="left" w:pos="720"/>
              </w:tabs>
              <w:snapToGrid w:val="0"/>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1F1C99B6">
            <w:pPr>
              <w:tabs>
                <w:tab w:val="left" w:pos="720"/>
              </w:tabs>
              <w:snapToGrid w:val="0"/>
              <w:spacing w:line="360" w:lineRule="auto"/>
              <w:jc w:val="center"/>
              <w:rPr>
                <w:rFonts w:hint="eastAsia" w:ascii="宋体" w:hAnsi="宋体" w:eastAsia="宋体" w:cs="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0EC065B8">
            <w:pPr>
              <w:tabs>
                <w:tab w:val="left" w:pos="720"/>
              </w:tabs>
              <w:snapToGrid w:val="0"/>
              <w:spacing w:line="360" w:lineRule="auto"/>
              <w:jc w:val="center"/>
              <w:rPr>
                <w:rFonts w:hint="eastAsia" w:ascii="宋体" w:hAnsi="宋体" w:eastAsia="宋体" w:cs="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2E90A012">
            <w:pPr>
              <w:tabs>
                <w:tab w:val="left" w:pos="720"/>
              </w:tabs>
              <w:snapToGrid w:val="0"/>
              <w:spacing w:line="360" w:lineRule="auto"/>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0DD30886">
            <w:pPr>
              <w:tabs>
                <w:tab w:val="left" w:pos="720"/>
              </w:tabs>
              <w:snapToGrid w:val="0"/>
              <w:spacing w:line="360" w:lineRule="auto"/>
              <w:jc w:val="center"/>
              <w:rPr>
                <w:rFonts w:hint="eastAsia" w:ascii="宋体" w:hAnsi="宋体" w:eastAsia="宋体" w:cs="宋体"/>
                <w:color w:val="auto"/>
                <w:szCs w:val="21"/>
                <w:highlight w:val="none"/>
              </w:rPr>
            </w:pPr>
          </w:p>
        </w:tc>
      </w:tr>
      <w:tr w14:paraId="528ED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0E19E155">
            <w:pPr>
              <w:tabs>
                <w:tab w:val="left" w:pos="720"/>
              </w:tabs>
              <w:snapToGrid w:val="0"/>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13A55BA1">
            <w:pPr>
              <w:tabs>
                <w:tab w:val="left" w:pos="720"/>
              </w:tabs>
              <w:snapToGrid w:val="0"/>
              <w:spacing w:line="360" w:lineRule="auto"/>
              <w:jc w:val="center"/>
              <w:rPr>
                <w:rFonts w:hint="eastAsia" w:ascii="宋体" w:hAnsi="宋体" w:eastAsia="宋体" w:cs="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189273B8">
            <w:pPr>
              <w:tabs>
                <w:tab w:val="left" w:pos="720"/>
              </w:tabs>
              <w:snapToGrid w:val="0"/>
              <w:spacing w:line="360" w:lineRule="auto"/>
              <w:jc w:val="center"/>
              <w:rPr>
                <w:rFonts w:hint="eastAsia" w:ascii="宋体" w:hAnsi="宋体" w:eastAsia="宋体" w:cs="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568BC8D8">
            <w:pPr>
              <w:tabs>
                <w:tab w:val="left" w:pos="720"/>
              </w:tabs>
              <w:snapToGrid w:val="0"/>
              <w:spacing w:line="360" w:lineRule="auto"/>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2F4E2F55">
            <w:pPr>
              <w:tabs>
                <w:tab w:val="left" w:pos="720"/>
              </w:tabs>
              <w:snapToGrid w:val="0"/>
              <w:spacing w:line="360" w:lineRule="auto"/>
              <w:jc w:val="center"/>
              <w:rPr>
                <w:rFonts w:hint="eastAsia" w:ascii="宋体" w:hAnsi="宋体" w:eastAsia="宋体" w:cs="宋体"/>
                <w:color w:val="auto"/>
                <w:szCs w:val="21"/>
                <w:highlight w:val="none"/>
              </w:rPr>
            </w:pPr>
          </w:p>
        </w:tc>
      </w:tr>
      <w:tr w14:paraId="32D04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1B523BE7">
            <w:pPr>
              <w:tabs>
                <w:tab w:val="left" w:pos="720"/>
              </w:tabs>
              <w:snapToGrid w:val="0"/>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18D7EC4C">
            <w:pPr>
              <w:tabs>
                <w:tab w:val="left" w:pos="720"/>
              </w:tabs>
              <w:snapToGrid w:val="0"/>
              <w:spacing w:line="360" w:lineRule="auto"/>
              <w:jc w:val="center"/>
              <w:rPr>
                <w:rFonts w:hint="eastAsia" w:ascii="宋体" w:hAnsi="宋体" w:eastAsia="宋体" w:cs="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04C70540">
            <w:pPr>
              <w:tabs>
                <w:tab w:val="left" w:pos="720"/>
              </w:tabs>
              <w:snapToGrid w:val="0"/>
              <w:spacing w:line="360" w:lineRule="auto"/>
              <w:jc w:val="center"/>
              <w:rPr>
                <w:rFonts w:hint="eastAsia" w:ascii="宋体" w:hAnsi="宋体" w:eastAsia="宋体" w:cs="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714398FE">
            <w:pPr>
              <w:tabs>
                <w:tab w:val="left" w:pos="720"/>
              </w:tabs>
              <w:snapToGrid w:val="0"/>
              <w:spacing w:line="360" w:lineRule="auto"/>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27247B69">
            <w:pPr>
              <w:tabs>
                <w:tab w:val="left" w:pos="720"/>
              </w:tabs>
              <w:snapToGrid w:val="0"/>
              <w:spacing w:line="360" w:lineRule="auto"/>
              <w:jc w:val="center"/>
              <w:rPr>
                <w:rFonts w:hint="eastAsia" w:ascii="宋体" w:hAnsi="宋体" w:eastAsia="宋体" w:cs="宋体"/>
                <w:color w:val="auto"/>
                <w:szCs w:val="21"/>
                <w:highlight w:val="none"/>
              </w:rPr>
            </w:pPr>
          </w:p>
        </w:tc>
      </w:tr>
      <w:tr w14:paraId="6977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58E9F76B">
            <w:pPr>
              <w:tabs>
                <w:tab w:val="left" w:pos="720"/>
              </w:tabs>
              <w:snapToGrid w:val="0"/>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3F6D867C">
            <w:pPr>
              <w:tabs>
                <w:tab w:val="left" w:pos="720"/>
              </w:tabs>
              <w:snapToGrid w:val="0"/>
              <w:spacing w:line="360" w:lineRule="auto"/>
              <w:jc w:val="center"/>
              <w:rPr>
                <w:rFonts w:hint="eastAsia" w:ascii="宋体" w:hAnsi="宋体" w:eastAsia="宋体" w:cs="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7BD67265">
            <w:pPr>
              <w:tabs>
                <w:tab w:val="left" w:pos="720"/>
              </w:tabs>
              <w:snapToGrid w:val="0"/>
              <w:spacing w:line="360" w:lineRule="auto"/>
              <w:jc w:val="center"/>
              <w:rPr>
                <w:rFonts w:hint="eastAsia" w:ascii="宋体" w:hAnsi="宋体" w:eastAsia="宋体" w:cs="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68F81D0C">
            <w:pPr>
              <w:tabs>
                <w:tab w:val="left" w:pos="720"/>
              </w:tabs>
              <w:snapToGrid w:val="0"/>
              <w:spacing w:line="360" w:lineRule="auto"/>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27C24E72">
            <w:pPr>
              <w:tabs>
                <w:tab w:val="left" w:pos="720"/>
              </w:tabs>
              <w:snapToGrid w:val="0"/>
              <w:spacing w:line="360" w:lineRule="auto"/>
              <w:jc w:val="center"/>
              <w:rPr>
                <w:rFonts w:hint="eastAsia" w:ascii="宋体" w:hAnsi="宋体" w:eastAsia="宋体" w:cs="宋体"/>
                <w:color w:val="auto"/>
                <w:szCs w:val="21"/>
                <w:highlight w:val="none"/>
              </w:rPr>
            </w:pPr>
          </w:p>
        </w:tc>
      </w:tr>
      <w:tr w14:paraId="776C9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14:paraId="45650D05">
            <w:pPr>
              <w:tabs>
                <w:tab w:val="left" w:pos="720"/>
              </w:tabs>
              <w:snapToGrid w:val="0"/>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135F5B94">
            <w:pPr>
              <w:tabs>
                <w:tab w:val="left" w:pos="720"/>
              </w:tabs>
              <w:snapToGrid w:val="0"/>
              <w:spacing w:line="360" w:lineRule="auto"/>
              <w:jc w:val="center"/>
              <w:rPr>
                <w:rFonts w:hint="eastAsia" w:ascii="宋体" w:hAnsi="宋体" w:eastAsia="宋体" w:cs="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3CF774DC">
            <w:pPr>
              <w:tabs>
                <w:tab w:val="left" w:pos="720"/>
              </w:tabs>
              <w:snapToGrid w:val="0"/>
              <w:spacing w:line="360" w:lineRule="auto"/>
              <w:jc w:val="center"/>
              <w:rPr>
                <w:rFonts w:hint="eastAsia" w:ascii="宋体" w:hAnsi="宋体" w:eastAsia="宋体" w:cs="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5003D62D">
            <w:pPr>
              <w:tabs>
                <w:tab w:val="left" w:pos="720"/>
              </w:tabs>
              <w:snapToGrid w:val="0"/>
              <w:spacing w:line="360" w:lineRule="auto"/>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5534C753">
            <w:pPr>
              <w:tabs>
                <w:tab w:val="left" w:pos="720"/>
              </w:tabs>
              <w:snapToGrid w:val="0"/>
              <w:spacing w:line="360" w:lineRule="auto"/>
              <w:jc w:val="center"/>
              <w:rPr>
                <w:rFonts w:hint="eastAsia" w:ascii="宋体" w:hAnsi="宋体" w:eastAsia="宋体" w:cs="宋体"/>
                <w:color w:val="auto"/>
                <w:szCs w:val="21"/>
                <w:highlight w:val="none"/>
              </w:rPr>
            </w:pPr>
          </w:p>
        </w:tc>
      </w:tr>
      <w:tr w14:paraId="476D1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14:paraId="0F62552F">
            <w:pPr>
              <w:tabs>
                <w:tab w:val="left" w:pos="720"/>
              </w:tabs>
              <w:snapToGrid w:val="0"/>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7B783A4C">
            <w:pPr>
              <w:tabs>
                <w:tab w:val="left" w:pos="720"/>
              </w:tabs>
              <w:snapToGrid w:val="0"/>
              <w:spacing w:line="360" w:lineRule="auto"/>
              <w:jc w:val="center"/>
              <w:rPr>
                <w:rFonts w:hint="eastAsia" w:ascii="宋体" w:hAnsi="宋体" w:eastAsia="宋体" w:cs="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41B8F2E2">
            <w:pPr>
              <w:tabs>
                <w:tab w:val="left" w:pos="720"/>
              </w:tabs>
              <w:snapToGrid w:val="0"/>
              <w:spacing w:line="360" w:lineRule="auto"/>
              <w:jc w:val="center"/>
              <w:rPr>
                <w:rFonts w:hint="eastAsia" w:ascii="宋体" w:hAnsi="宋体" w:eastAsia="宋体" w:cs="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0F896725">
            <w:pPr>
              <w:tabs>
                <w:tab w:val="left" w:pos="720"/>
              </w:tabs>
              <w:snapToGrid w:val="0"/>
              <w:spacing w:line="360" w:lineRule="auto"/>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4636C83A">
            <w:pPr>
              <w:tabs>
                <w:tab w:val="left" w:pos="720"/>
              </w:tabs>
              <w:snapToGrid w:val="0"/>
              <w:spacing w:line="360" w:lineRule="auto"/>
              <w:jc w:val="center"/>
              <w:rPr>
                <w:rFonts w:hint="eastAsia" w:ascii="宋体" w:hAnsi="宋体" w:eastAsia="宋体" w:cs="宋体"/>
                <w:color w:val="auto"/>
                <w:szCs w:val="21"/>
                <w:highlight w:val="none"/>
              </w:rPr>
            </w:pPr>
          </w:p>
        </w:tc>
      </w:tr>
    </w:tbl>
    <w:p w14:paraId="518AF840">
      <w:pPr>
        <w:tabs>
          <w:tab w:val="left" w:pos="720"/>
        </w:tabs>
        <w:snapToGrid w:val="0"/>
        <w:spacing w:line="360" w:lineRule="auto"/>
        <w:rPr>
          <w:rFonts w:hint="eastAsia" w:ascii="宋体" w:hAnsi="宋体" w:eastAsia="宋体" w:cs="宋体"/>
          <w:color w:val="auto"/>
          <w:sz w:val="24"/>
          <w:szCs w:val="24"/>
          <w:highlight w:val="none"/>
        </w:rPr>
      </w:pPr>
    </w:p>
    <w:p w14:paraId="0E6BADAA">
      <w:pPr>
        <w:pStyle w:val="5"/>
        <w:spacing w:after="0" w:line="360" w:lineRule="auto"/>
        <w:ind w:left="-2" w:leftChars="-1" w:firstLine="367" w:firstLineChars="17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注：参与编制投标文件所有人员名单应包括如编制技术投标方案、负责清样校对、负责打印及复印等所有人员在内的人员名单。</w:t>
      </w:r>
    </w:p>
    <w:p w14:paraId="6081CF4A">
      <w:pPr>
        <w:pStyle w:val="5"/>
        <w:spacing w:after="0" w:line="360" w:lineRule="auto"/>
        <w:ind w:left="-2" w:leftChars="-1" w:firstLineChars="175"/>
        <w:jc w:val="center"/>
        <w:rPr>
          <w:rFonts w:hint="eastAsia" w:ascii="宋体" w:hAnsi="宋体" w:eastAsia="宋体" w:cs="宋体"/>
          <w:color w:val="auto"/>
          <w:sz w:val="24"/>
          <w:szCs w:val="24"/>
          <w:highlight w:val="none"/>
        </w:rPr>
      </w:pPr>
    </w:p>
    <w:p w14:paraId="6EA77F0E">
      <w:pPr>
        <w:autoSpaceDE w:val="0"/>
        <w:autoSpaceDN w:val="0"/>
        <w:adjustRightInd w:val="0"/>
        <w:rPr>
          <w:rFonts w:hint="eastAsia" w:ascii="宋体" w:hAnsi="宋体" w:eastAsia="宋体" w:cs="宋体"/>
          <w:color w:val="auto"/>
          <w:sz w:val="24"/>
          <w:szCs w:val="24"/>
          <w:highlight w:val="none"/>
        </w:rPr>
      </w:pPr>
    </w:p>
    <w:p w14:paraId="6523BAE8">
      <w:pPr>
        <w:spacing w:line="320" w:lineRule="exact"/>
        <w:rPr>
          <w:rFonts w:hint="eastAsia" w:ascii="宋体" w:hAnsi="宋体" w:eastAsia="宋体" w:cs="宋体"/>
          <w:color w:val="auto"/>
          <w:szCs w:val="21"/>
          <w:highlight w:val="none"/>
        </w:rPr>
      </w:pPr>
    </w:p>
    <w:p w14:paraId="5D07B06D">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4D7382CE">
      <w:pPr>
        <w:shd w:val="clear" w:color="auto" w:fill="auto"/>
        <w:tabs>
          <w:tab w:val="left" w:pos="720"/>
        </w:tabs>
        <w:snapToGrid w:val="0"/>
        <w:spacing w:line="360" w:lineRule="auto"/>
        <w:jc w:val="both"/>
        <w:rPr>
          <w:rFonts w:hint="eastAsia" w:eastAsia="宋体" w:cs="Times New Roman"/>
          <w:b/>
          <w:color w:val="auto"/>
          <w:sz w:val="32"/>
          <w:szCs w:val="32"/>
          <w:highlight w:val="none"/>
        </w:rPr>
      </w:pPr>
      <w:r>
        <w:rPr>
          <w:rFonts w:hint="eastAsia" w:ascii="宋体" w:hAnsi="宋体" w:eastAsia="宋体" w:cs="宋体"/>
          <w:color w:val="auto"/>
          <w:sz w:val="24"/>
          <w:highlight w:val="none"/>
        </w:rPr>
        <w:t>技术标投标文件格式</w:t>
      </w:r>
      <w:r>
        <w:rPr>
          <w:rFonts w:hint="eastAsia" w:ascii="宋体" w:hAnsi="宋体" w:eastAsia="宋体" w:cs="宋体"/>
          <w:color w:val="auto"/>
          <w:sz w:val="24"/>
          <w:highlight w:val="none"/>
          <w:lang w:val="en-US" w:eastAsia="zh-CN"/>
        </w:rPr>
        <w:t>十二</w:t>
      </w:r>
      <w:r>
        <w:rPr>
          <w:rFonts w:hint="eastAsia" w:ascii="宋体" w:hAnsi="宋体" w:eastAsia="宋体" w:cs="宋体"/>
          <w:color w:val="auto"/>
          <w:sz w:val="24"/>
          <w:highlight w:val="none"/>
        </w:rPr>
        <w:t>：</w:t>
      </w:r>
    </w:p>
    <w:p w14:paraId="59C0DE71">
      <w:pPr>
        <w:shd w:val="clear" w:color="auto" w:fill="auto"/>
        <w:tabs>
          <w:tab w:val="left" w:pos="720"/>
        </w:tabs>
        <w:snapToGrid w:val="0"/>
        <w:spacing w:line="360" w:lineRule="auto"/>
        <w:jc w:val="center"/>
        <w:rPr>
          <w:rFonts w:hint="default" w:eastAsia="宋体" w:cs="Times New Roman"/>
          <w:b/>
          <w:color w:val="auto"/>
          <w:sz w:val="32"/>
          <w:szCs w:val="32"/>
          <w:highlight w:val="none"/>
          <w:lang w:val="en-US" w:eastAsia="zh-CN"/>
        </w:rPr>
      </w:pPr>
      <w:r>
        <w:rPr>
          <w:rFonts w:hint="eastAsia" w:eastAsia="宋体" w:cs="Times New Roman"/>
          <w:b/>
          <w:color w:val="auto"/>
          <w:sz w:val="32"/>
          <w:szCs w:val="32"/>
          <w:highlight w:val="none"/>
          <w:lang w:val="en-US" w:eastAsia="zh-CN"/>
        </w:rPr>
        <w:t>施工组织设计</w:t>
      </w:r>
    </w:p>
    <w:p w14:paraId="3C8B2662">
      <w:pPr>
        <w:shd w:val="clear" w:color="auto" w:fill="auto"/>
        <w:rPr>
          <w:rFonts w:hint="eastAsia" w:ascii="宋体" w:hAnsi="宋体" w:eastAsia="宋体" w:cs="宋体"/>
          <w:color w:val="auto"/>
          <w:sz w:val="24"/>
          <w:highlight w:val="none"/>
        </w:rPr>
      </w:pPr>
    </w:p>
    <w:p w14:paraId="2BC51264">
      <w:pPr>
        <w:shd w:val="clear" w:color="auto" w:fill="auto"/>
        <w:tabs>
          <w:tab w:val="left" w:pos="720"/>
        </w:tabs>
        <w:snapToGrid w:val="0"/>
        <w:spacing w:line="360" w:lineRule="auto"/>
        <w:jc w:val="both"/>
        <w:rPr>
          <w:rFonts w:hint="eastAsia" w:eastAsia="宋体" w:cs="Times New Roman"/>
          <w:b/>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24"/>
          <w:highlight w:val="none"/>
        </w:rPr>
        <w:t>技术标投标文件格式</w:t>
      </w:r>
      <w:r>
        <w:rPr>
          <w:rFonts w:hint="eastAsia" w:ascii="宋体" w:hAnsi="宋体" w:eastAsia="宋体" w:cs="宋体"/>
          <w:color w:val="auto"/>
          <w:sz w:val="24"/>
          <w:highlight w:val="none"/>
          <w:lang w:val="en-US" w:eastAsia="zh-CN"/>
        </w:rPr>
        <w:t>十三</w:t>
      </w:r>
      <w:r>
        <w:rPr>
          <w:rFonts w:hint="eastAsia" w:ascii="宋体" w:hAnsi="宋体" w:eastAsia="宋体" w:cs="宋体"/>
          <w:color w:val="auto"/>
          <w:sz w:val="24"/>
          <w:highlight w:val="none"/>
        </w:rPr>
        <w:t>：</w:t>
      </w:r>
    </w:p>
    <w:p w14:paraId="10D8647B">
      <w:pPr>
        <w:shd w:val="clear" w:color="auto" w:fill="auto"/>
        <w:tabs>
          <w:tab w:val="left" w:pos="720"/>
        </w:tabs>
        <w:snapToGrid w:val="0"/>
        <w:spacing w:line="360" w:lineRule="auto"/>
        <w:jc w:val="center"/>
        <w:rPr>
          <w:rFonts w:hint="eastAsia" w:eastAsia="宋体" w:cs="Times New Roman"/>
          <w:b/>
          <w:color w:val="auto"/>
          <w:sz w:val="32"/>
          <w:szCs w:val="32"/>
          <w:highlight w:val="none"/>
        </w:rPr>
      </w:pPr>
      <w:r>
        <w:rPr>
          <w:rFonts w:hint="eastAsia" w:eastAsia="宋体" w:cs="Times New Roman"/>
          <w:b/>
          <w:color w:val="auto"/>
          <w:sz w:val="32"/>
          <w:szCs w:val="32"/>
          <w:highlight w:val="none"/>
        </w:rPr>
        <w:t>其他投标人认为应该提供的资料（如有）</w:t>
      </w:r>
    </w:p>
    <w:p w14:paraId="42B3565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0C7CFB4E">
      <w:pPr>
        <w:spacing w:line="320" w:lineRule="exact"/>
        <w:rPr>
          <w:rFonts w:hint="eastAsia" w:ascii="宋体" w:hAnsi="宋体" w:eastAsia="宋体" w:cs="宋体"/>
          <w:color w:val="auto"/>
          <w:szCs w:val="21"/>
          <w:highlight w:val="none"/>
        </w:rPr>
      </w:pPr>
    </w:p>
    <w:p w14:paraId="2336F32D">
      <w:pPr>
        <w:widowControl/>
        <w:jc w:val="left"/>
        <w:rPr>
          <w:rFonts w:hint="eastAsia" w:ascii="宋体" w:hAnsi="宋体" w:eastAsia="宋体" w:cs="宋体"/>
          <w:color w:val="auto"/>
          <w:szCs w:val="21"/>
          <w:highlight w:val="none"/>
        </w:rPr>
      </w:pPr>
    </w:p>
    <w:p w14:paraId="2EBF9EE5">
      <w:pPr>
        <w:widowControl/>
        <w:jc w:val="left"/>
        <w:rPr>
          <w:rFonts w:hint="eastAsia" w:ascii="宋体" w:hAnsi="宋体" w:eastAsia="宋体" w:cs="宋体"/>
          <w:color w:val="auto"/>
          <w:szCs w:val="21"/>
          <w:highlight w:val="none"/>
        </w:rPr>
      </w:pPr>
    </w:p>
    <w:p w14:paraId="54D333E6">
      <w:pPr>
        <w:widowControl/>
        <w:jc w:val="left"/>
        <w:rPr>
          <w:rFonts w:hint="eastAsia" w:ascii="宋体" w:hAnsi="宋体" w:eastAsia="宋体" w:cs="宋体"/>
          <w:color w:val="auto"/>
          <w:szCs w:val="21"/>
          <w:highlight w:val="none"/>
        </w:rPr>
      </w:pPr>
    </w:p>
    <w:p w14:paraId="4BBDC4C1">
      <w:pPr>
        <w:widowControl/>
        <w:jc w:val="left"/>
        <w:rPr>
          <w:rFonts w:hint="eastAsia" w:ascii="宋体" w:hAnsi="宋体" w:eastAsia="宋体" w:cs="宋体"/>
          <w:color w:val="auto"/>
          <w:szCs w:val="21"/>
          <w:highlight w:val="none"/>
        </w:rPr>
      </w:pPr>
    </w:p>
    <w:p w14:paraId="7FC0D01F">
      <w:pPr>
        <w:widowControl/>
        <w:jc w:val="left"/>
        <w:rPr>
          <w:rFonts w:hint="eastAsia" w:ascii="宋体" w:hAnsi="宋体" w:eastAsia="宋体" w:cs="宋体"/>
          <w:color w:val="auto"/>
          <w:szCs w:val="21"/>
          <w:highlight w:val="none"/>
        </w:rPr>
      </w:pPr>
    </w:p>
    <w:p w14:paraId="20ACCF2E">
      <w:pPr>
        <w:widowControl/>
        <w:jc w:val="left"/>
        <w:rPr>
          <w:rFonts w:hint="eastAsia" w:ascii="宋体" w:hAnsi="宋体" w:eastAsia="宋体" w:cs="宋体"/>
          <w:color w:val="auto"/>
          <w:szCs w:val="21"/>
          <w:highlight w:val="none"/>
        </w:rPr>
      </w:pPr>
    </w:p>
    <w:p w14:paraId="7D446529">
      <w:pPr>
        <w:widowControl/>
        <w:jc w:val="left"/>
        <w:rPr>
          <w:rFonts w:hint="eastAsia" w:ascii="宋体" w:hAnsi="宋体" w:eastAsia="宋体" w:cs="宋体"/>
          <w:color w:val="auto"/>
          <w:szCs w:val="21"/>
          <w:highlight w:val="none"/>
        </w:rPr>
      </w:pPr>
    </w:p>
    <w:p w14:paraId="1877BC6D">
      <w:pPr>
        <w:widowControl/>
        <w:jc w:val="left"/>
        <w:rPr>
          <w:rFonts w:hint="eastAsia" w:ascii="宋体" w:hAnsi="宋体" w:eastAsia="宋体" w:cs="宋体"/>
          <w:color w:val="auto"/>
          <w:szCs w:val="21"/>
          <w:highlight w:val="none"/>
        </w:rPr>
      </w:pPr>
    </w:p>
    <w:p w14:paraId="0F8C068A">
      <w:pPr>
        <w:widowControl/>
        <w:jc w:val="left"/>
        <w:rPr>
          <w:rFonts w:hint="eastAsia" w:ascii="宋体" w:hAnsi="宋体" w:eastAsia="宋体" w:cs="宋体"/>
          <w:color w:val="auto"/>
          <w:szCs w:val="21"/>
          <w:highlight w:val="none"/>
        </w:rPr>
      </w:pPr>
    </w:p>
    <w:p w14:paraId="678181E9">
      <w:pPr>
        <w:widowControl/>
        <w:jc w:val="left"/>
        <w:rPr>
          <w:rFonts w:hint="eastAsia" w:ascii="宋体" w:hAnsi="宋体" w:eastAsia="宋体" w:cs="宋体"/>
          <w:color w:val="auto"/>
          <w:szCs w:val="21"/>
          <w:highlight w:val="none"/>
        </w:rPr>
      </w:pPr>
    </w:p>
    <w:p w14:paraId="37412F14">
      <w:pPr>
        <w:widowControl/>
        <w:jc w:val="left"/>
        <w:rPr>
          <w:rFonts w:hint="eastAsia" w:ascii="宋体" w:hAnsi="宋体" w:eastAsia="宋体" w:cs="宋体"/>
          <w:color w:val="auto"/>
          <w:szCs w:val="21"/>
          <w:highlight w:val="none"/>
        </w:rPr>
      </w:pPr>
    </w:p>
    <w:p w14:paraId="6B6EB617">
      <w:pPr>
        <w:widowControl/>
        <w:jc w:val="left"/>
        <w:rPr>
          <w:rFonts w:hint="eastAsia" w:ascii="宋体" w:hAnsi="宋体" w:eastAsia="宋体" w:cs="宋体"/>
          <w:color w:val="auto"/>
          <w:szCs w:val="21"/>
          <w:highlight w:val="none"/>
        </w:rPr>
      </w:pPr>
    </w:p>
    <w:p w14:paraId="1808573C">
      <w:pPr>
        <w:widowControl/>
        <w:jc w:val="left"/>
        <w:rPr>
          <w:rFonts w:hint="eastAsia" w:ascii="宋体" w:hAnsi="宋体" w:eastAsia="宋体" w:cs="宋体"/>
          <w:color w:val="auto"/>
          <w:szCs w:val="21"/>
          <w:highlight w:val="none"/>
        </w:rPr>
      </w:pPr>
    </w:p>
    <w:p w14:paraId="0EFB66F4">
      <w:pPr>
        <w:widowControl/>
        <w:jc w:val="left"/>
        <w:rPr>
          <w:rFonts w:hint="eastAsia" w:ascii="宋体" w:hAnsi="宋体" w:eastAsia="宋体" w:cs="宋体"/>
          <w:color w:val="auto"/>
          <w:szCs w:val="21"/>
          <w:highlight w:val="none"/>
        </w:rPr>
      </w:pPr>
    </w:p>
    <w:p w14:paraId="0A4D5BE1">
      <w:pPr>
        <w:spacing w:line="320" w:lineRule="exact"/>
        <w:rPr>
          <w:rFonts w:hint="eastAsia" w:ascii="宋体" w:hAnsi="宋体" w:eastAsia="宋体" w:cs="宋体"/>
          <w:color w:val="auto"/>
          <w:szCs w:val="21"/>
          <w:highlight w:val="none"/>
        </w:rPr>
      </w:pPr>
    </w:p>
    <w:p w14:paraId="4FF2921D">
      <w:pPr>
        <w:spacing w:line="360" w:lineRule="auto"/>
        <w:jc w:val="center"/>
        <w:rPr>
          <w:rFonts w:hint="eastAsia" w:ascii="宋体" w:hAnsi="宋体" w:eastAsia="宋体" w:cs="宋体"/>
          <w:color w:val="auto"/>
          <w:sz w:val="24"/>
          <w:highlight w:val="none"/>
        </w:rPr>
      </w:pPr>
      <w:r>
        <w:rPr>
          <w:rFonts w:hint="eastAsia" w:ascii="宋体" w:hAnsi="宋体" w:eastAsia="宋体" w:cs="宋体"/>
          <w:b/>
          <w:color w:val="auto"/>
          <w:sz w:val="32"/>
          <w:szCs w:val="32"/>
          <w:highlight w:val="none"/>
        </w:rPr>
        <w:t>第二部分 经济标投标文件</w:t>
      </w:r>
      <w:r>
        <w:rPr>
          <w:rFonts w:hint="eastAsia" w:ascii="宋体" w:hAnsi="宋体" w:eastAsia="宋体" w:cs="宋体"/>
          <w:color w:val="auto"/>
          <w:sz w:val="24"/>
          <w:szCs w:val="24"/>
          <w:highlight w:val="none"/>
        </w:rPr>
        <w:br w:type="page"/>
      </w:r>
      <w:r>
        <w:rPr>
          <w:rFonts w:hint="eastAsia" w:ascii="宋体" w:hAnsi="宋体" w:eastAsia="宋体" w:cs="宋体"/>
          <w:color w:val="auto"/>
          <w:sz w:val="24"/>
          <w:highlight w:val="none"/>
        </w:rPr>
        <w:t xml:space="preserve"> </w:t>
      </w:r>
    </w:p>
    <w:p w14:paraId="77626BC0">
      <w:pPr>
        <w:pStyle w:val="134"/>
        <w:ind w:firstLine="496"/>
        <w:rPr>
          <w:rFonts w:hint="eastAsia" w:ascii="宋体" w:hAnsi="宋体" w:eastAsia="宋体" w:cs="宋体"/>
          <w:color w:val="auto"/>
          <w:highlight w:val="none"/>
        </w:rPr>
      </w:pPr>
      <w:r>
        <w:rPr>
          <w:rFonts w:hint="eastAsia" w:ascii="宋体" w:hAnsi="宋体" w:eastAsia="宋体" w:cs="宋体"/>
          <w:color w:val="auto"/>
          <w:highlight w:val="none"/>
        </w:rPr>
        <w:t>经济标投标文件格式一：经济标投标文件封面</w:t>
      </w:r>
    </w:p>
    <w:p w14:paraId="0EADAB62">
      <w:pPr>
        <w:pStyle w:val="134"/>
        <w:ind w:firstLine="496"/>
        <w:rPr>
          <w:rFonts w:hint="eastAsia" w:ascii="宋体" w:hAnsi="宋体" w:eastAsia="宋体" w:cs="宋体"/>
          <w:color w:val="auto"/>
          <w:highlight w:val="none"/>
        </w:rPr>
      </w:pPr>
    </w:p>
    <w:p w14:paraId="42648934">
      <w:pPr>
        <w:pStyle w:val="134"/>
        <w:ind w:firstLine="496"/>
        <w:rPr>
          <w:rFonts w:hint="eastAsia" w:ascii="宋体" w:hAnsi="宋体" w:eastAsia="宋体" w:cs="宋体"/>
          <w:color w:val="auto"/>
          <w:highlight w:val="none"/>
        </w:rPr>
      </w:pPr>
    </w:p>
    <w:p w14:paraId="2908B0D6">
      <w:pPr>
        <w:pStyle w:val="134"/>
        <w:ind w:firstLine="496"/>
        <w:rPr>
          <w:rFonts w:hint="eastAsia" w:ascii="宋体" w:hAnsi="宋体" w:eastAsia="宋体" w:cs="宋体"/>
          <w:color w:val="auto"/>
          <w:highlight w:val="none"/>
        </w:rPr>
      </w:pPr>
    </w:p>
    <w:p w14:paraId="745C6404">
      <w:pPr>
        <w:pStyle w:val="137"/>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[工程名称] </w:t>
      </w:r>
    </w:p>
    <w:p w14:paraId="71C8E8BB">
      <w:pPr>
        <w:pStyle w:val="134"/>
        <w:ind w:firstLine="496"/>
        <w:rPr>
          <w:rFonts w:hint="eastAsia" w:ascii="宋体" w:hAnsi="宋体" w:eastAsia="宋体" w:cs="宋体"/>
          <w:color w:val="auto"/>
          <w:highlight w:val="none"/>
        </w:rPr>
      </w:pPr>
    </w:p>
    <w:p w14:paraId="104B7588">
      <w:pPr>
        <w:pStyle w:val="134"/>
        <w:ind w:firstLine="496"/>
        <w:rPr>
          <w:rFonts w:hint="eastAsia" w:ascii="宋体" w:hAnsi="宋体" w:eastAsia="宋体" w:cs="宋体"/>
          <w:color w:val="auto"/>
          <w:highlight w:val="none"/>
        </w:rPr>
      </w:pPr>
    </w:p>
    <w:p w14:paraId="726F6BD5">
      <w:pPr>
        <w:pStyle w:val="134"/>
        <w:ind w:firstLine="496"/>
        <w:rPr>
          <w:rFonts w:hint="eastAsia" w:ascii="宋体" w:hAnsi="宋体" w:eastAsia="宋体" w:cs="宋体"/>
          <w:color w:val="auto"/>
          <w:highlight w:val="none"/>
        </w:rPr>
      </w:pPr>
    </w:p>
    <w:p w14:paraId="16081399">
      <w:pPr>
        <w:pStyle w:val="134"/>
        <w:ind w:firstLine="496"/>
        <w:rPr>
          <w:rFonts w:hint="eastAsia" w:ascii="宋体" w:hAnsi="宋体" w:eastAsia="宋体" w:cs="宋体"/>
          <w:color w:val="auto"/>
          <w:highlight w:val="none"/>
        </w:rPr>
      </w:pPr>
    </w:p>
    <w:p w14:paraId="34E10A39">
      <w:pPr>
        <w:pStyle w:val="135"/>
        <w:rPr>
          <w:rFonts w:hint="eastAsia" w:ascii="宋体" w:hAnsi="宋体" w:eastAsia="宋体" w:cs="宋体"/>
          <w:color w:val="auto"/>
          <w:highlight w:val="none"/>
        </w:rPr>
      </w:pPr>
      <w:r>
        <w:rPr>
          <w:rFonts w:hint="eastAsia" w:ascii="宋体" w:hAnsi="宋体" w:eastAsia="宋体" w:cs="宋体"/>
          <w:color w:val="auto"/>
          <w:highlight w:val="none"/>
        </w:rPr>
        <w:t>投标文件</w:t>
      </w:r>
    </w:p>
    <w:p w14:paraId="509836F7">
      <w:pPr>
        <w:pStyle w:val="137"/>
        <w:rPr>
          <w:rFonts w:hint="eastAsia" w:ascii="宋体" w:hAnsi="宋体" w:eastAsia="宋体" w:cs="宋体"/>
          <w:color w:val="auto"/>
          <w:highlight w:val="none"/>
        </w:rPr>
      </w:pPr>
      <w:r>
        <w:rPr>
          <w:rFonts w:hint="eastAsia" w:ascii="宋体" w:hAnsi="宋体" w:eastAsia="宋体" w:cs="宋体"/>
          <w:color w:val="auto"/>
          <w:highlight w:val="none"/>
        </w:rPr>
        <w:t>第二部分（经济标）</w:t>
      </w:r>
    </w:p>
    <w:p w14:paraId="00A82300">
      <w:pPr>
        <w:pStyle w:val="134"/>
        <w:ind w:firstLine="496"/>
        <w:rPr>
          <w:rFonts w:hint="eastAsia" w:ascii="宋体" w:hAnsi="宋体" w:eastAsia="宋体" w:cs="宋体"/>
          <w:color w:val="auto"/>
          <w:highlight w:val="none"/>
        </w:rPr>
      </w:pPr>
    </w:p>
    <w:p w14:paraId="49AAC53F">
      <w:pPr>
        <w:pStyle w:val="134"/>
        <w:ind w:firstLine="496"/>
        <w:rPr>
          <w:rFonts w:hint="eastAsia" w:ascii="宋体" w:hAnsi="宋体" w:eastAsia="宋体" w:cs="宋体"/>
          <w:color w:val="auto"/>
          <w:highlight w:val="none"/>
        </w:rPr>
      </w:pPr>
    </w:p>
    <w:p w14:paraId="571425C5">
      <w:pPr>
        <w:pStyle w:val="134"/>
        <w:ind w:firstLine="496"/>
        <w:rPr>
          <w:rFonts w:hint="eastAsia" w:ascii="宋体" w:hAnsi="宋体" w:eastAsia="宋体" w:cs="宋体"/>
          <w:color w:val="auto"/>
          <w:highlight w:val="none"/>
        </w:rPr>
      </w:pPr>
    </w:p>
    <w:p w14:paraId="07C5A2F1">
      <w:pPr>
        <w:pStyle w:val="134"/>
        <w:ind w:firstLine="496"/>
        <w:rPr>
          <w:rFonts w:hint="eastAsia" w:ascii="宋体" w:hAnsi="宋体" w:eastAsia="宋体" w:cs="宋体"/>
          <w:color w:val="auto"/>
          <w:highlight w:val="none"/>
        </w:rPr>
      </w:pPr>
    </w:p>
    <w:p w14:paraId="249A86DB">
      <w:pPr>
        <w:pStyle w:val="134"/>
        <w:ind w:firstLine="496"/>
        <w:rPr>
          <w:rFonts w:hint="eastAsia" w:ascii="宋体" w:hAnsi="宋体" w:eastAsia="宋体" w:cs="宋体"/>
          <w:color w:val="auto"/>
          <w:highlight w:val="none"/>
        </w:rPr>
      </w:pPr>
    </w:p>
    <w:p w14:paraId="2DF0CE25">
      <w:pPr>
        <w:pStyle w:val="134"/>
        <w:ind w:firstLine="496"/>
        <w:rPr>
          <w:rFonts w:hint="eastAsia" w:ascii="宋体" w:hAnsi="宋体" w:eastAsia="宋体" w:cs="宋体"/>
          <w:color w:val="auto"/>
          <w:highlight w:val="none"/>
        </w:rPr>
      </w:pPr>
    </w:p>
    <w:p w14:paraId="2787E92B">
      <w:pPr>
        <w:pStyle w:val="134"/>
        <w:ind w:firstLine="496"/>
        <w:rPr>
          <w:rFonts w:hint="eastAsia" w:ascii="宋体" w:hAnsi="宋体" w:eastAsia="宋体" w:cs="宋体"/>
          <w:color w:val="auto"/>
          <w:highlight w:val="none"/>
        </w:rPr>
      </w:pPr>
    </w:p>
    <w:p w14:paraId="2028CCB3">
      <w:pPr>
        <w:pStyle w:val="136"/>
        <w:ind w:firstLine="2038" w:firstLineChars="662"/>
        <w:rPr>
          <w:rFonts w:hint="eastAsia" w:ascii="宋体" w:hAnsi="宋体" w:eastAsia="宋体" w:cs="宋体"/>
          <w:color w:val="auto"/>
          <w:highlight w:val="none"/>
          <w:u w:val="singl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 xml:space="preserve">                 </w:t>
      </w:r>
    </w:p>
    <w:p w14:paraId="2EE5C9AB">
      <w:pPr>
        <w:pStyle w:val="136"/>
        <w:ind w:firstLine="2038" w:firstLineChars="662"/>
        <w:rPr>
          <w:rFonts w:hint="eastAsia"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4D7F1C48">
      <w:pPr>
        <w:tabs>
          <w:tab w:val="left" w:pos="720"/>
        </w:tabs>
        <w:snapToGrid w:val="0"/>
        <w:spacing w:line="360" w:lineRule="auto"/>
        <w:rPr>
          <w:rFonts w:hint="eastAsia" w:ascii="宋体" w:hAnsi="宋体" w:eastAsia="宋体" w:cs="宋体"/>
          <w:color w:val="auto"/>
          <w:sz w:val="24"/>
          <w:szCs w:val="24"/>
          <w:highlight w:val="none"/>
        </w:rPr>
      </w:pPr>
    </w:p>
    <w:p w14:paraId="069CD4D8">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58B9B6F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经济标投标文件格式二：</w:t>
      </w:r>
    </w:p>
    <w:p w14:paraId="5E54B213">
      <w:pPr>
        <w:spacing w:line="360" w:lineRule="auto"/>
        <w:rPr>
          <w:rFonts w:hint="eastAsia" w:ascii="宋体" w:hAnsi="宋体" w:eastAsia="宋体" w:cs="宋体"/>
          <w:color w:val="auto"/>
          <w:sz w:val="24"/>
          <w:highlight w:val="none"/>
        </w:rPr>
      </w:pPr>
    </w:p>
    <w:p w14:paraId="30DA8DBB">
      <w:pPr>
        <w:pStyle w:val="138"/>
        <w:rPr>
          <w:rFonts w:hint="eastAsia" w:ascii="宋体" w:hAnsi="宋体" w:eastAsia="宋体" w:cs="宋体"/>
          <w:color w:val="auto"/>
          <w:highlight w:val="none"/>
        </w:rPr>
      </w:pPr>
      <w:r>
        <w:rPr>
          <w:rFonts w:hint="eastAsia" w:ascii="宋体" w:hAnsi="宋体" w:eastAsia="宋体" w:cs="宋体"/>
          <w:color w:val="auto"/>
          <w:highlight w:val="none"/>
        </w:rPr>
        <w:t>工程量清单计价表</w:t>
      </w:r>
    </w:p>
    <w:p w14:paraId="1840F90A">
      <w:pPr>
        <w:pStyle w:val="134"/>
        <w:ind w:firstLine="496"/>
        <w:rPr>
          <w:rFonts w:hint="eastAsia" w:ascii="宋体" w:hAnsi="宋体" w:eastAsia="宋体" w:cs="宋体"/>
          <w:color w:val="auto"/>
          <w:highlight w:val="none"/>
        </w:rPr>
      </w:pPr>
    </w:p>
    <w:p w14:paraId="6B7FF0E6">
      <w:pPr>
        <w:pStyle w:val="134"/>
        <w:ind w:firstLine="496"/>
        <w:rPr>
          <w:rFonts w:hint="eastAsia" w:ascii="宋体" w:hAnsi="宋体" w:eastAsia="宋体" w:cs="宋体"/>
          <w:color w:val="auto"/>
          <w:sz w:val="24"/>
          <w:highlight w:val="none"/>
        </w:rPr>
      </w:pPr>
      <w:r>
        <w:rPr>
          <w:rFonts w:hint="eastAsia" w:ascii="宋体" w:hAnsi="宋体" w:eastAsia="宋体" w:cs="宋体"/>
          <w:color w:val="auto"/>
          <w:highlight w:val="none"/>
        </w:rPr>
        <w:t>注：</w:t>
      </w:r>
      <w:r>
        <w:rPr>
          <w:rFonts w:hint="eastAsia" w:ascii="宋体" w:hAnsi="宋体" w:eastAsia="宋体" w:cs="宋体"/>
          <w:snapToGrid w:val="0"/>
          <w:color w:val="auto"/>
          <w:szCs w:val="20"/>
          <w:highlight w:val="none"/>
        </w:rPr>
        <w:t>按投标须知修改表11.3.2条款要求，</w:t>
      </w:r>
      <w:r>
        <w:rPr>
          <w:rFonts w:hint="eastAsia" w:ascii="宋体" w:hAnsi="宋体" w:eastAsia="宋体" w:cs="宋体"/>
          <w:color w:val="auto"/>
          <w:highlight w:val="none"/>
        </w:rPr>
        <w:t>详见工程量清单。</w:t>
      </w:r>
    </w:p>
    <w:p w14:paraId="05D582F1">
      <w:pPr>
        <w:spacing w:line="360" w:lineRule="auto"/>
        <w:rPr>
          <w:rFonts w:hint="eastAsia" w:ascii="宋体" w:hAnsi="宋体" w:eastAsia="宋体" w:cs="宋体"/>
          <w:color w:val="auto"/>
          <w:sz w:val="24"/>
          <w:highlight w:val="none"/>
        </w:rPr>
        <w:sectPr>
          <w:pgSz w:w="11906" w:h="16838"/>
          <w:pgMar w:top="1440" w:right="1800" w:bottom="1440" w:left="1800" w:header="851" w:footer="992" w:gutter="0"/>
          <w:cols w:space="720" w:num="1"/>
          <w:docGrid w:type="linesAndChars" w:linePitch="312" w:charSpace="0"/>
        </w:sectPr>
      </w:pPr>
    </w:p>
    <w:p w14:paraId="52CCB89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★经济标投标文件格式三：</w:t>
      </w:r>
    </w:p>
    <w:p w14:paraId="50309B42">
      <w:pPr>
        <w:pStyle w:val="2"/>
        <w:ind w:left="0" w:leftChars="0"/>
        <w:jc w:val="center"/>
        <w:rPr>
          <w:rFonts w:hint="eastAsia" w:ascii="宋体" w:hAnsi="宋体" w:cs="宋体"/>
          <w:b/>
          <w:bCs/>
          <w:color w:val="auto"/>
          <w:sz w:val="28"/>
          <w:szCs w:val="28"/>
          <w:highlight w:val="none"/>
          <w:lang w:eastAsia="zh-CN"/>
        </w:rPr>
      </w:pPr>
      <w:r>
        <w:rPr>
          <w:rFonts w:hint="eastAsia" w:ascii="宋体" w:hAnsi="宋体" w:cs="宋体"/>
          <w:b/>
          <w:bCs/>
          <w:color w:val="auto"/>
          <w:sz w:val="28"/>
          <w:szCs w:val="28"/>
          <w:highlight w:val="none"/>
          <w:lang w:eastAsia="zh-CN"/>
        </w:rPr>
        <w:t>拆卸工程回收价值报价明细表</w:t>
      </w:r>
    </w:p>
    <w:p w14:paraId="616CF85D">
      <w:pPr>
        <w:rPr>
          <w:rFonts w:hint="eastAsia"/>
          <w:color w:val="auto"/>
          <w:highlight w:val="none"/>
          <w:lang w:eastAsia="zh-CN"/>
        </w:rPr>
      </w:pPr>
      <w:r>
        <w:rPr>
          <w:rFonts w:hint="eastAsia"/>
          <w:color w:val="auto"/>
          <w:highlight w:val="none"/>
          <w:lang w:eastAsia="zh-CN"/>
        </w:rPr>
        <w:t>项目名称：广州市白云区萧岗村项目首期地块清表平整、围蔽、拆卸工程施工总承包</w:t>
      </w:r>
    </w:p>
    <w:tbl>
      <w:tblPr>
        <w:tblStyle w:val="34"/>
        <w:tblW w:w="137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5"/>
        <w:gridCol w:w="6250"/>
        <w:gridCol w:w="1383"/>
        <w:gridCol w:w="1400"/>
        <w:gridCol w:w="1282"/>
        <w:gridCol w:w="1172"/>
        <w:gridCol w:w="1429"/>
      </w:tblGrid>
      <w:tr w14:paraId="34385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256F0">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6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AD10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类别</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3D11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rPr>
              <w:t>①</w:t>
            </w:r>
            <w:r>
              <w:rPr>
                <w:rFonts w:hint="eastAsia" w:ascii="宋体" w:hAnsi="宋体" w:eastAsia="宋体" w:cs="宋体"/>
                <w:b/>
                <w:bCs/>
                <w:i w:val="0"/>
                <w:iCs w:val="0"/>
                <w:color w:val="auto"/>
                <w:kern w:val="0"/>
                <w:sz w:val="21"/>
                <w:szCs w:val="21"/>
                <w:highlight w:val="none"/>
                <w:u w:val="none"/>
                <w:lang w:val="en-US" w:eastAsia="zh-CN" w:bidi="ar"/>
              </w:rPr>
              <w:t>M、N结构</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5F9C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rPr>
              <w:t>②</w:t>
            </w:r>
            <w:r>
              <w:rPr>
                <w:rFonts w:hint="eastAsia" w:ascii="宋体" w:hAnsi="宋体" w:eastAsia="宋体" w:cs="宋体"/>
                <w:b/>
                <w:bCs/>
                <w:i w:val="0"/>
                <w:iCs w:val="0"/>
                <w:color w:val="auto"/>
                <w:kern w:val="0"/>
                <w:sz w:val="21"/>
                <w:szCs w:val="21"/>
                <w:highlight w:val="none"/>
                <w:u w:val="none"/>
                <w:lang w:val="en-US" w:eastAsia="zh-CN" w:bidi="ar"/>
              </w:rPr>
              <w:t>A结构</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140F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rPr>
              <w:t>③</w:t>
            </w:r>
            <w:r>
              <w:rPr>
                <w:rFonts w:hint="eastAsia" w:ascii="宋体" w:hAnsi="宋体" w:eastAsia="宋体" w:cs="宋体"/>
                <w:b/>
                <w:bCs/>
                <w:i w:val="0"/>
                <w:iCs w:val="0"/>
                <w:color w:val="auto"/>
                <w:kern w:val="0"/>
                <w:sz w:val="21"/>
                <w:szCs w:val="21"/>
                <w:highlight w:val="none"/>
                <w:u w:val="none"/>
                <w:lang w:val="en-US" w:eastAsia="zh-CN" w:bidi="ar"/>
              </w:rPr>
              <w:t>B结构</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AA95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rPr>
              <w:t>④</w:t>
            </w:r>
            <w:r>
              <w:rPr>
                <w:rFonts w:hint="eastAsia" w:ascii="宋体" w:hAnsi="宋体" w:eastAsia="宋体" w:cs="宋体"/>
                <w:b/>
                <w:bCs/>
                <w:i w:val="0"/>
                <w:iCs w:val="0"/>
                <w:color w:val="auto"/>
                <w:kern w:val="0"/>
                <w:sz w:val="21"/>
                <w:szCs w:val="21"/>
                <w:highlight w:val="none"/>
                <w:u w:val="none"/>
                <w:lang w:val="en-US" w:eastAsia="zh-CN" w:bidi="ar"/>
              </w:rPr>
              <w:t>C结构</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37A8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rPr>
              <w:t>⑤</w:t>
            </w:r>
            <w:r>
              <w:rPr>
                <w:rFonts w:hint="eastAsia" w:ascii="宋体" w:hAnsi="宋体" w:eastAsia="宋体" w:cs="宋体"/>
                <w:b/>
                <w:bCs/>
                <w:i w:val="0"/>
                <w:iCs w:val="0"/>
                <w:color w:val="auto"/>
                <w:kern w:val="0"/>
                <w:sz w:val="21"/>
                <w:szCs w:val="21"/>
                <w:highlight w:val="none"/>
                <w:u w:val="none"/>
                <w:lang w:val="en-US" w:eastAsia="zh-CN" w:bidi="ar"/>
              </w:rPr>
              <w:t>E结构</w:t>
            </w:r>
          </w:p>
        </w:tc>
      </w:tr>
      <w:tr w14:paraId="46B3D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38463">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1</w:t>
            </w:r>
          </w:p>
        </w:tc>
        <w:tc>
          <w:tcPr>
            <w:tcW w:w="6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8ED3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私宅</w:t>
            </w:r>
            <w:r>
              <w:rPr>
                <w:rFonts w:hint="eastAsia" w:ascii="宋体" w:hAnsi="宋体" w:cs="宋体"/>
                <w:b/>
                <w:bCs/>
                <w:i w:val="0"/>
                <w:iCs w:val="0"/>
                <w:color w:val="auto"/>
                <w:kern w:val="0"/>
                <w:sz w:val="21"/>
                <w:szCs w:val="21"/>
                <w:highlight w:val="none"/>
                <w:u w:val="none"/>
                <w:lang w:val="en-US" w:eastAsia="zh-CN" w:bidi="ar"/>
              </w:rPr>
              <w:t>面积</w:t>
            </w:r>
            <w:r>
              <w:rPr>
                <w:rFonts w:hint="eastAsia" w:ascii="宋体" w:hAnsi="宋体" w:eastAsia="宋体" w:cs="宋体"/>
                <w:b/>
                <w:bCs/>
                <w:i w:val="0"/>
                <w:iCs w:val="0"/>
                <w:color w:val="auto"/>
                <w:kern w:val="0"/>
                <w:sz w:val="21"/>
                <w:szCs w:val="21"/>
                <w:highlight w:val="none"/>
                <w:u w:val="none"/>
                <w:lang w:val="en-US" w:eastAsia="zh-CN" w:bidi="ar"/>
              </w:rPr>
              <w:t>（</w:t>
            </w:r>
            <w:r>
              <w:rPr>
                <w:rFonts w:hint="eastAsia" w:ascii="宋体" w:hAnsi="宋体" w:cs="宋体"/>
                <w:b/>
                <w:bCs/>
                <w:i w:val="0"/>
                <w:iCs w:val="0"/>
                <w:color w:val="auto"/>
                <w:kern w:val="0"/>
                <w:sz w:val="21"/>
                <w:szCs w:val="21"/>
                <w:highlight w:val="none"/>
                <w:u w:val="none"/>
                <w:lang w:val="en-US" w:eastAsia="zh-CN" w:bidi="ar"/>
              </w:rPr>
              <w:t>m</w:t>
            </w:r>
            <w:r>
              <w:rPr>
                <w:rFonts w:hint="eastAsia" w:ascii="宋体" w:hAnsi="宋体" w:eastAsia="宋体" w:cs="宋体"/>
                <w:b/>
                <w:bCs/>
                <w:i w:val="0"/>
                <w:iCs w:val="0"/>
                <w:color w:val="auto"/>
                <w:kern w:val="0"/>
                <w:sz w:val="21"/>
                <w:szCs w:val="21"/>
                <w:highlight w:val="none"/>
                <w:u w:val="none"/>
                <w:vertAlign w:val="superscript"/>
                <w:lang w:val="en-US" w:eastAsia="zh-CN" w:bidi="ar"/>
              </w:rPr>
              <w:t>2</w:t>
            </w:r>
            <w:r>
              <w:rPr>
                <w:rFonts w:hint="eastAsia" w:ascii="宋体" w:hAnsi="宋体" w:eastAsia="宋体" w:cs="宋体"/>
                <w:b/>
                <w:bCs/>
                <w:i w:val="0"/>
                <w:iCs w:val="0"/>
                <w:color w:val="auto"/>
                <w:kern w:val="0"/>
                <w:sz w:val="21"/>
                <w:szCs w:val="21"/>
                <w:highlight w:val="none"/>
                <w:u w:val="none"/>
                <w:lang w:val="en-US" w:eastAsia="zh-CN" w:bidi="ar"/>
              </w:rPr>
              <w:t>）</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F02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E03A9">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 xml:space="preserve">209368.90 </w:t>
            </w:r>
            <w:r>
              <w:rPr>
                <w:rFonts w:hint="eastAsia" w:ascii="宋体" w:hAnsi="宋体" w:cs="宋体"/>
                <w:i w:val="0"/>
                <w:iCs w:val="0"/>
                <w:color w:val="auto"/>
                <w:kern w:val="0"/>
                <w:sz w:val="21"/>
                <w:szCs w:val="21"/>
                <w:highlight w:val="none"/>
                <w:u w:val="none"/>
                <w:lang w:val="en-US" w:eastAsia="zh-CN" w:bidi="ar"/>
              </w:rPr>
              <w:t>44</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F58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675.28</w:t>
            </w:r>
            <w:r>
              <w:rPr>
                <w:rFonts w:hint="eastAsia" w:ascii="宋体" w:hAnsi="宋体" w:cs="宋体"/>
                <w:i w:val="0"/>
                <w:iCs w:val="0"/>
                <w:color w:val="auto"/>
                <w:kern w:val="0"/>
                <w:sz w:val="21"/>
                <w:szCs w:val="21"/>
                <w:highlight w:val="none"/>
                <w:u w:val="none"/>
                <w:lang w:val="en-US" w:eastAsia="zh-CN" w:bidi="ar"/>
              </w:rPr>
              <w:t>48</w:t>
            </w:r>
            <w:r>
              <w:rPr>
                <w:rFonts w:hint="eastAsia" w:ascii="宋体" w:hAnsi="宋体" w:eastAsia="宋体" w:cs="宋体"/>
                <w:i w:val="0"/>
                <w:iCs w:val="0"/>
                <w:color w:val="auto"/>
                <w:kern w:val="0"/>
                <w:sz w:val="21"/>
                <w:szCs w:val="21"/>
                <w:highlight w:val="none"/>
                <w:u w:val="none"/>
                <w:lang w:val="en-US" w:eastAsia="zh-CN" w:bidi="ar"/>
              </w:rPr>
              <w:t xml:space="preserve"> </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5B9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0.00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CF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3500.9</w:t>
            </w:r>
            <w:r>
              <w:rPr>
                <w:rFonts w:hint="eastAsia" w:ascii="宋体" w:hAnsi="宋体" w:cs="宋体"/>
                <w:i w:val="0"/>
                <w:iCs w:val="0"/>
                <w:color w:val="auto"/>
                <w:kern w:val="0"/>
                <w:sz w:val="21"/>
                <w:szCs w:val="21"/>
                <w:highlight w:val="none"/>
                <w:u w:val="none"/>
                <w:lang w:val="en-US" w:eastAsia="zh-CN" w:bidi="ar"/>
              </w:rPr>
              <w:t>55</w:t>
            </w:r>
            <w:r>
              <w:rPr>
                <w:rFonts w:hint="eastAsia" w:ascii="宋体" w:hAnsi="宋体" w:eastAsia="宋体" w:cs="宋体"/>
                <w:i w:val="0"/>
                <w:iCs w:val="0"/>
                <w:color w:val="auto"/>
                <w:kern w:val="0"/>
                <w:sz w:val="21"/>
                <w:szCs w:val="21"/>
                <w:highlight w:val="none"/>
                <w:u w:val="none"/>
                <w:lang w:val="en-US" w:eastAsia="zh-CN" w:bidi="ar"/>
              </w:rPr>
              <w:t xml:space="preserve"> </w:t>
            </w:r>
          </w:p>
        </w:tc>
      </w:tr>
      <w:tr w14:paraId="2D05E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C5B24">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2</w:t>
            </w:r>
          </w:p>
        </w:tc>
        <w:tc>
          <w:tcPr>
            <w:tcW w:w="6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7C23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集体</w:t>
            </w:r>
            <w:r>
              <w:rPr>
                <w:rFonts w:hint="eastAsia" w:ascii="宋体" w:hAnsi="宋体" w:cs="宋体"/>
                <w:b/>
                <w:bCs/>
                <w:i w:val="0"/>
                <w:iCs w:val="0"/>
                <w:color w:val="auto"/>
                <w:kern w:val="0"/>
                <w:sz w:val="21"/>
                <w:szCs w:val="21"/>
                <w:highlight w:val="none"/>
                <w:u w:val="none"/>
                <w:lang w:val="en-US" w:eastAsia="zh-CN" w:bidi="ar"/>
              </w:rPr>
              <w:t>物业面积</w:t>
            </w:r>
            <w:r>
              <w:rPr>
                <w:rFonts w:hint="eastAsia" w:ascii="宋体" w:hAnsi="宋体" w:eastAsia="宋体" w:cs="宋体"/>
                <w:b/>
                <w:bCs/>
                <w:i w:val="0"/>
                <w:iCs w:val="0"/>
                <w:color w:val="auto"/>
                <w:kern w:val="0"/>
                <w:sz w:val="21"/>
                <w:szCs w:val="21"/>
                <w:highlight w:val="none"/>
                <w:u w:val="none"/>
                <w:lang w:val="en-US" w:eastAsia="zh-CN" w:bidi="ar"/>
              </w:rPr>
              <w:t>（</w:t>
            </w:r>
            <w:r>
              <w:rPr>
                <w:rFonts w:hint="eastAsia" w:ascii="宋体" w:hAnsi="宋体" w:cs="宋体"/>
                <w:b/>
                <w:bCs/>
                <w:i w:val="0"/>
                <w:iCs w:val="0"/>
                <w:color w:val="auto"/>
                <w:kern w:val="0"/>
                <w:sz w:val="21"/>
                <w:szCs w:val="21"/>
                <w:highlight w:val="none"/>
                <w:u w:val="none"/>
                <w:lang w:val="en-US" w:eastAsia="zh-CN" w:bidi="ar"/>
              </w:rPr>
              <w:t>m</w:t>
            </w:r>
            <w:r>
              <w:rPr>
                <w:rFonts w:hint="eastAsia" w:ascii="宋体" w:hAnsi="宋体" w:eastAsia="宋体" w:cs="宋体"/>
                <w:b/>
                <w:bCs/>
                <w:i w:val="0"/>
                <w:iCs w:val="0"/>
                <w:color w:val="auto"/>
                <w:kern w:val="0"/>
                <w:sz w:val="21"/>
                <w:szCs w:val="21"/>
                <w:highlight w:val="none"/>
                <w:u w:val="none"/>
                <w:vertAlign w:val="superscript"/>
                <w:lang w:val="en-US" w:eastAsia="zh-CN" w:bidi="ar"/>
              </w:rPr>
              <w:t>2</w:t>
            </w:r>
            <w:r>
              <w:rPr>
                <w:rFonts w:hint="eastAsia" w:ascii="宋体" w:hAnsi="宋体" w:eastAsia="宋体" w:cs="宋体"/>
                <w:b/>
                <w:bCs/>
                <w:i w:val="0"/>
                <w:iCs w:val="0"/>
                <w:color w:val="auto"/>
                <w:kern w:val="0"/>
                <w:sz w:val="21"/>
                <w:szCs w:val="21"/>
                <w:highlight w:val="none"/>
                <w:u w:val="none"/>
                <w:lang w:val="en-US" w:eastAsia="zh-CN" w:bidi="ar"/>
              </w:rPr>
              <w:t>）</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724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122402.00</w:t>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B6F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441351.1</w:t>
            </w:r>
            <w:r>
              <w:rPr>
                <w:rFonts w:hint="eastAsia" w:ascii="宋体" w:hAnsi="宋体" w:cs="宋体"/>
                <w:i w:val="0"/>
                <w:iCs w:val="0"/>
                <w:color w:val="auto"/>
                <w:kern w:val="0"/>
                <w:sz w:val="21"/>
                <w:szCs w:val="21"/>
                <w:highlight w:val="none"/>
                <w:u w:val="none"/>
                <w:lang w:val="en-US" w:eastAsia="zh-CN" w:bidi="ar"/>
              </w:rPr>
              <w:t>897</w:t>
            </w:r>
            <w:r>
              <w:rPr>
                <w:rFonts w:hint="eastAsia" w:ascii="宋体" w:hAnsi="宋体" w:eastAsia="宋体" w:cs="宋体"/>
                <w:i w:val="0"/>
                <w:iCs w:val="0"/>
                <w:color w:val="auto"/>
                <w:kern w:val="0"/>
                <w:sz w:val="21"/>
                <w:szCs w:val="21"/>
                <w:highlight w:val="none"/>
                <w:u w:val="none"/>
                <w:lang w:val="en-US" w:eastAsia="zh-CN" w:bidi="ar"/>
              </w:rPr>
              <w:t xml:space="preserve"> </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6F0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2635.1</w:t>
            </w:r>
            <w:r>
              <w:rPr>
                <w:rFonts w:hint="eastAsia" w:ascii="宋体" w:hAnsi="宋体" w:cs="宋体"/>
                <w:i w:val="0"/>
                <w:iCs w:val="0"/>
                <w:color w:val="auto"/>
                <w:kern w:val="0"/>
                <w:sz w:val="21"/>
                <w:szCs w:val="21"/>
                <w:highlight w:val="none"/>
                <w:u w:val="none"/>
                <w:lang w:val="en-US" w:eastAsia="zh-CN" w:bidi="ar"/>
              </w:rPr>
              <w:t>563</w:t>
            </w:r>
            <w:r>
              <w:rPr>
                <w:rFonts w:hint="eastAsia" w:ascii="宋体" w:hAnsi="宋体" w:eastAsia="宋体" w:cs="宋体"/>
                <w:i w:val="0"/>
                <w:iCs w:val="0"/>
                <w:color w:val="auto"/>
                <w:kern w:val="0"/>
                <w:sz w:val="21"/>
                <w:szCs w:val="21"/>
                <w:highlight w:val="none"/>
                <w:u w:val="none"/>
                <w:lang w:val="en-US" w:eastAsia="zh-CN" w:bidi="ar"/>
              </w:rPr>
              <w:t xml:space="preserve"> </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C68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929.24</w:t>
            </w:r>
            <w:r>
              <w:rPr>
                <w:rFonts w:hint="eastAsia" w:ascii="宋体" w:hAnsi="宋体" w:cs="宋体"/>
                <w:i w:val="0"/>
                <w:iCs w:val="0"/>
                <w:color w:val="auto"/>
                <w:kern w:val="0"/>
                <w:sz w:val="21"/>
                <w:szCs w:val="21"/>
                <w:highlight w:val="none"/>
                <w:u w:val="none"/>
                <w:lang w:val="en-US" w:eastAsia="zh-CN" w:bidi="ar"/>
              </w:rPr>
              <w:t>01</w:t>
            </w:r>
            <w:r>
              <w:rPr>
                <w:rFonts w:hint="eastAsia" w:ascii="宋体" w:hAnsi="宋体" w:eastAsia="宋体" w:cs="宋体"/>
                <w:i w:val="0"/>
                <w:iCs w:val="0"/>
                <w:color w:val="auto"/>
                <w:kern w:val="0"/>
                <w:sz w:val="21"/>
                <w:szCs w:val="21"/>
                <w:highlight w:val="none"/>
                <w:u w:val="none"/>
                <w:lang w:val="en-US" w:eastAsia="zh-CN" w:bidi="ar"/>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F57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18083.</w:t>
            </w:r>
            <w:r>
              <w:rPr>
                <w:rFonts w:hint="eastAsia" w:ascii="宋体" w:hAnsi="宋体" w:cs="宋体"/>
                <w:i w:val="0"/>
                <w:iCs w:val="0"/>
                <w:color w:val="auto"/>
                <w:kern w:val="0"/>
                <w:sz w:val="21"/>
                <w:szCs w:val="21"/>
                <w:highlight w:val="none"/>
                <w:u w:val="none"/>
                <w:lang w:val="en-US" w:eastAsia="zh-CN" w:bidi="ar"/>
              </w:rPr>
              <w:t>4984</w:t>
            </w:r>
            <w:r>
              <w:rPr>
                <w:rFonts w:hint="eastAsia" w:ascii="宋体" w:hAnsi="宋体" w:eastAsia="宋体" w:cs="宋体"/>
                <w:i w:val="0"/>
                <w:iCs w:val="0"/>
                <w:color w:val="auto"/>
                <w:kern w:val="0"/>
                <w:sz w:val="21"/>
                <w:szCs w:val="21"/>
                <w:highlight w:val="none"/>
                <w:u w:val="none"/>
                <w:lang w:val="en-US" w:eastAsia="zh-CN" w:bidi="ar"/>
              </w:rPr>
              <w:t xml:space="preserve"> </w:t>
            </w:r>
          </w:p>
        </w:tc>
      </w:tr>
      <w:tr w14:paraId="139DF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28010">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3</w:t>
            </w:r>
          </w:p>
        </w:tc>
        <w:tc>
          <w:tcPr>
            <w:tcW w:w="6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2C02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rPr>
            </w:pPr>
            <w:r>
              <w:rPr>
                <w:rFonts w:hint="eastAsia" w:ascii="宋体" w:hAnsi="宋体" w:eastAsia="宋体" w:cs="宋体"/>
                <w:b/>
                <w:bCs/>
                <w:i w:val="0"/>
                <w:iCs w:val="0"/>
                <w:color w:val="auto"/>
                <w:kern w:val="0"/>
                <w:sz w:val="21"/>
                <w:szCs w:val="21"/>
                <w:highlight w:val="none"/>
                <w:u w:val="none"/>
                <w:lang w:val="en-US" w:eastAsia="zh-CN" w:bidi="ar"/>
              </w:rPr>
              <w:t>拆卸工程总计</w:t>
            </w:r>
            <w:r>
              <w:rPr>
                <w:rFonts w:hint="eastAsia" w:ascii="宋体" w:hAnsi="宋体" w:cs="宋体"/>
                <w:b/>
                <w:bCs/>
                <w:i w:val="0"/>
                <w:iCs w:val="0"/>
                <w:color w:val="auto"/>
                <w:kern w:val="0"/>
                <w:sz w:val="21"/>
                <w:szCs w:val="21"/>
                <w:highlight w:val="none"/>
                <w:u w:val="none"/>
                <w:lang w:val="en-US" w:eastAsia="zh-CN" w:bidi="ar"/>
              </w:rPr>
              <w:t>面积</w:t>
            </w:r>
            <w:r>
              <w:rPr>
                <w:rFonts w:hint="eastAsia" w:ascii="宋体" w:hAnsi="宋体" w:eastAsia="宋体" w:cs="宋体"/>
                <w:b/>
                <w:bCs/>
                <w:i w:val="0"/>
                <w:iCs w:val="0"/>
                <w:color w:val="auto"/>
                <w:kern w:val="0"/>
                <w:sz w:val="21"/>
                <w:szCs w:val="21"/>
                <w:highlight w:val="none"/>
                <w:u w:val="none"/>
                <w:lang w:val="en-US" w:eastAsia="zh-CN" w:bidi="ar"/>
              </w:rPr>
              <w:t>（</w:t>
            </w:r>
            <w:r>
              <w:rPr>
                <w:rFonts w:hint="eastAsia" w:ascii="宋体" w:hAnsi="宋体" w:cs="宋体"/>
                <w:b/>
                <w:bCs/>
                <w:i w:val="0"/>
                <w:iCs w:val="0"/>
                <w:color w:val="auto"/>
                <w:kern w:val="0"/>
                <w:sz w:val="21"/>
                <w:szCs w:val="21"/>
                <w:highlight w:val="none"/>
                <w:u w:val="none"/>
                <w:lang w:val="en-US" w:eastAsia="zh-CN" w:bidi="ar"/>
              </w:rPr>
              <w:t>m</w:t>
            </w:r>
            <w:r>
              <w:rPr>
                <w:rFonts w:hint="eastAsia" w:ascii="宋体" w:hAnsi="宋体" w:eastAsia="宋体" w:cs="宋体"/>
                <w:b/>
                <w:bCs/>
                <w:i w:val="0"/>
                <w:iCs w:val="0"/>
                <w:color w:val="auto"/>
                <w:kern w:val="0"/>
                <w:sz w:val="21"/>
                <w:szCs w:val="21"/>
                <w:highlight w:val="none"/>
                <w:u w:val="none"/>
                <w:vertAlign w:val="superscript"/>
                <w:lang w:val="en-US" w:eastAsia="zh-CN" w:bidi="ar"/>
              </w:rPr>
              <w:t>2</w:t>
            </w:r>
            <w:r>
              <w:rPr>
                <w:rFonts w:hint="eastAsia" w:ascii="宋体" w:hAnsi="宋体" w:eastAsia="宋体" w:cs="宋体"/>
                <w:b/>
                <w:bCs/>
                <w:i w:val="0"/>
                <w:iCs w:val="0"/>
                <w:color w:val="auto"/>
                <w:kern w:val="0"/>
                <w:sz w:val="21"/>
                <w:szCs w:val="21"/>
                <w:highlight w:val="none"/>
                <w:u w:val="none"/>
                <w:lang w:val="en-US" w:eastAsia="zh-CN" w:bidi="ar"/>
              </w:rPr>
              <w:t>）=</w:t>
            </w:r>
            <w:r>
              <w:rPr>
                <w:rFonts w:hint="eastAsia" w:ascii="宋体" w:hAnsi="宋体" w:cs="宋体"/>
                <w:b/>
                <w:bCs/>
                <w:i w:val="0"/>
                <w:iCs w:val="0"/>
                <w:color w:val="auto"/>
                <w:kern w:val="0"/>
                <w:sz w:val="21"/>
                <w:szCs w:val="21"/>
                <w:highlight w:val="none"/>
                <w:u w:val="none"/>
                <w:lang w:val="en-US" w:eastAsia="zh-CN" w:bidi="ar"/>
              </w:rPr>
              <w:t>1+2</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F29A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122402.00</w:t>
            </w:r>
            <w:r>
              <w:rPr>
                <w:rFonts w:hint="eastAsia" w:ascii="宋体" w:hAnsi="宋体" w:cs="宋体"/>
                <w:b/>
                <w:bCs/>
                <w:i w:val="0"/>
                <w:iCs w:val="0"/>
                <w:color w:val="auto"/>
                <w:kern w:val="0"/>
                <w:sz w:val="21"/>
                <w:szCs w:val="21"/>
                <w:highlight w:val="none"/>
                <w:u w:val="none"/>
                <w:lang w:val="en-US" w:eastAsia="zh-CN" w:bidi="ar"/>
              </w:rPr>
              <w:t>2</w:t>
            </w:r>
            <w:r>
              <w:rPr>
                <w:rFonts w:hint="eastAsia" w:ascii="宋体" w:hAnsi="宋体" w:eastAsia="宋体" w:cs="宋体"/>
                <w:b/>
                <w:bCs/>
                <w:i w:val="0"/>
                <w:iCs w:val="0"/>
                <w:color w:val="auto"/>
                <w:kern w:val="0"/>
                <w:sz w:val="21"/>
                <w:szCs w:val="21"/>
                <w:highlight w:val="none"/>
                <w:u w:val="none"/>
                <w:lang w:val="en-US" w:eastAsia="zh-CN" w:bidi="ar"/>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C0A7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650720.09</w:t>
            </w:r>
            <w:r>
              <w:rPr>
                <w:rFonts w:hint="eastAsia" w:ascii="宋体" w:hAnsi="宋体" w:cs="宋体"/>
                <w:b/>
                <w:bCs/>
                <w:i w:val="0"/>
                <w:iCs w:val="0"/>
                <w:color w:val="auto"/>
                <w:kern w:val="0"/>
                <w:sz w:val="21"/>
                <w:szCs w:val="21"/>
                <w:highlight w:val="none"/>
                <w:u w:val="none"/>
                <w:lang w:val="en-US" w:eastAsia="zh-CN" w:bidi="ar"/>
              </w:rPr>
              <w:t>41</w:t>
            </w:r>
            <w:r>
              <w:rPr>
                <w:rFonts w:hint="eastAsia" w:ascii="宋体" w:hAnsi="宋体" w:eastAsia="宋体" w:cs="宋体"/>
                <w:b/>
                <w:bCs/>
                <w:i w:val="0"/>
                <w:iCs w:val="0"/>
                <w:color w:val="auto"/>
                <w:kern w:val="0"/>
                <w:sz w:val="21"/>
                <w:szCs w:val="21"/>
                <w:highlight w:val="none"/>
                <w:u w:val="none"/>
                <w:lang w:val="en-US" w:eastAsia="zh-CN" w:bidi="ar"/>
              </w:rPr>
              <w:t xml:space="preserve"> </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8C45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3310.44</w:t>
            </w:r>
            <w:r>
              <w:rPr>
                <w:rFonts w:hint="eastAsia" w:ascii="宋体" w:hAnsi="宋体" w:cs="宋体"/>
                <w:b/>
                <w:bCs/>
                <w:i w:val="0"/>
                <w:iCs w:val="0"/>
                <w:color w:val="auto"/>
                <w:kern w:val="0"/>
                <w:sz w:val="21"/>
                <w:szCs w:val="21"/>
                <w:highlight w:val="none"/>
                <w:u w:val="none"/>
                <w:lang w:val="en-US" w:eastAsia="zh-CN" w:bidi="ar"/>
              </w:rPr>
              <w:t>11</w:t>
            </w:r>
            <w:r>
              <w:rPr>
                <w:rFonts w:hint="eastAsia" w:ascii="宋体" w:hAnsi="宋体" w:eastAsia="宋体" w:cs="宋体"/>
                <w:b/>
                <w:bCs/>
                <w:i w:val="0"/>
                <w:iCs w:val="0"/>
                <w:color w:val="auto"/>
                <w:kern w:val="0"/>
                <w:sz w:val="21"/>
                <w:szCs w:val="21"/>
                <w:highlight w:val="none"/>
                <w:u w:val="none"/>
                <w:lang w:val="en-US" w:eastAsia="zh-CN" w:bidi="ar"/>
              </w:rPr>
              <w:t xml:space="preserve"> </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0341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929.24</w:t>
            </w:r>
            <w:r>
              <w:rPr>
                <w:rFonts w:hint="eastAsia" w:ascii="宋体" w:hAnsi="宋体" w:cs="宋体"/>
                <w:b/>
                <w:bCs/>
                <w:i w:val="0"/>
                <w:iCs w:val="0"/>
                <w:color w:val="auto"/>
                <w:kern w:val="0"/>
                <w:sz w:val="21"/>
                <w:szCs w:val="21"/>
                <w:highlight w:val="none"/>
                <w:u w:val="none"/>
                <w:lang w:val="en-US" w:eastAsia="zh-CN" w:bidi="ar"/>
              </w:rPr>
              <w:t>01</w:t>
            </w:r>
            <w:r>
              <w:rPr>
                <w:rFonts w:hint="eastAsia" w:ascii="宋体" w:hAnsi="宋体" w:eastAsia="宋体" w:cs="宋体"/>
                <w:b/>
                <w:bCs/>
                <w:i w:val="0"/>
                <w:iCs w:val="0"/>
                <w:color w:val="auto"/>
                <w:kern w:val="0"/>
                <w:sz w:val="21"/>
                <w:szCs w:val="21"/>
                <w:highlight w:val="none"/>
                <w:u w:val="none"/>
                <w:lang w:val="en-US" w:eastAsia="zh-CN" w:bidi="ar"/>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02C6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21584.4</w:t>
            </w:r>
            <w:r>
              <w:rPr>
                <w:rFonts w:hint="eastAsia" w:ascii="宋体" w:hAnsi="宋体" w:cs="宋体"/>
                <w:b/>
                <w:bCs/>
                <w:i w:val="0"/>
                <w:iCs w:val="0"/>
                <w:color w:val="auto"/>
                <w:kern w:val="0"/>
                <w:sz w:val="21"/>
                <w:szCs w:val="21"/>
                <w:highlight w:val="none"/>
                <w:u w:val="none"/>
                <w:lang w:val="en-US" w:eastAsia="zh-CN" w:bidi="ar"/>
              </w:rPr>
              <w:t>534</w:t>
            </w:r>
            <w:r>
              <w:rPr>
                <w:rFonts w:hint="eastAsia" w:ascii="宋体" w:hAnsi="宋体" w:eastAsia="宋体" w:cs="宋体"/>
                <w:b/>
                <w:bCs/>
                <w:i w:val="0"/>
                <w:iCs w:val="0"/>
                <w:color w:val="auto"/>
                <w:kern w:val="0"/>
                <w:sz w:val="21"/>
                <w:szCs w:val="21"/>
                <w:highlight w:val="none"/>
                <w:u w:val="none"/>
                <w:lang w:val="en-US" w:eastAsia="zh-CN" w:bidi="ar"/>
              </w:rPr>
              <w:t xml:space="preserve"> </w:t>
            </w:r>
          </w:p>
        </w:tc>
      </w:tr>
      <w:tr w14:paraId="04E56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7A51">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4</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198F">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招标控制综合单价</w:t>
            </w:r>
            <w:r>
              <w:rPr>
                <w:rFonts w:hint="eastAsia" w:ascii="宋体" w:hAnsi="宋体" w:cs="宋体"/>
                <w:b/>
                <w:bCs/>
                <w:i w:val="0"/>
                <w:iCs w:val="0"/>
                <w:color w:val="auto"/>
                <w:kern w:val="0"/>
                <w:sz w:val="21"/>
                <w:szCs w:val="21"/>
                <w:highlight w:val="none"/>
                <w:u w:val="none"/>
                <w:lang w:val="en-US" w:eastAsia="zh-CN" w:bidi="ar"/>
              </w:rPr>
              <w:t>（单方造价控制价）</w:t>
            </w:r>
            <w:r>
              <w:rPr>
                <w:rFonts w:hint="eastAsia" w:ascii="宋体" w:hAnsi="宋体" w:eastAsia="宋体" w:cs="宋体"/>
                <w:b/>
                <w:bCs/>
                <w:i w:val="0"/>
                <w:iCs w:val="0"/>
                <w:color w:val="auto"/>
                <w:kern w:val="0"/>
                <w:sz w:val="21"/>
                <w:szCs w:val="21"/>
                <w:highlight w:val="none"/>
                <w:u w:val="none"/>
                <w:lang w:val="en-US" w:eastAsia="zh-CN" w:bidi="ar"/>
              </w:rPr>
              <w:t>（元/m</w:t>
            </w:r>
            <w:r>
              <w:rPr>
                <w:rFonts w:hint="eastAsia" w:ascii="宋体" w:hAnsi="宋体" w:eastAsia="宋体" w:cs="宋体"/>
                <w:b/>
                <w:bCs/>
                <w:i w:val="0"/>
                <w:iCs w:val="0"/>
                <w:color w:val="auto"/>
                <w:kern w:val="0"/>
                <w:sz w:val="21"/>
                <w:szCs w:val="21"/>
                <w:highlight w:val="none"/>
                <w:u w:val="none"/>
                <w:vertAlign w:val="superscript"/>
                <w:lang w:val="en-US" w:eastAsia="zh-CN" w:bidi="ar"/>
              </w:rPr>
              <w:t>2</w:t>
            </w:r>
            <w:r>
              <w:rPr>
                <w:rFonts w:hint="eastAsia" w:ascii="宋体" w:hAnsi="宋体" w:eastAsia="宋体" w:cs="宋体"/>
                <w:b/>
                <w:bCs/>
                <w:i w:val="0"/>
                <w:iCs w:val="0"/>
                <w:color w:val="auto"/>
                <w:kern w:val="0"/>
                <w:sz w:val="21"/>
                <w:szCs w:val="21"/>
                <w:highlight w:val="none"/>
                <w:u w:val="none"/>
                <w:lang w:val="en-US" w:eastAsia="zh-CN" w:bidi="ar"/>
              </w:rPr>
              <w:t>）</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6C773">
            <w:pPr>
              <w:keepNext w:val="0"/>
              <w:keepLines w:val="0"/>
              <w:widowControl/>
              <w:suppressLineNumbers w:val="0"/>
              <w:jc w:val="center"/>
              <w:textAlignment w:val="center"/>
              <w:rPr>
                <w:rFonts w:hint="default" w:ascii="宋体" w:hAnsi="宋体" w:eastAsia="宋体" w:cs="宋体"/>
                <w:b/>
                <w:bCs/>
                <w:i w:val="0"/>
                <w:iCs w:val="0"/>
                <w:color w:val="auto"/>
                <w:sz w:val="21"/>
                <w:szCs w:val="21"/>
                <w:highlight w:val="none"/>
                <w:u w:val="none"/>
                <w:lang w:val="en-US"/>
              </w:rPr>
            </w:pPr>
            <w:r>
              <w:rPr>
                <w:rFonts w:hint="eastAsia" w:ascii="宋体" w:hAnsi="宋体" w:cs="宋体"/>
                <w:b/>
                <w:bCs/>
                <w:i w:val="0"/>
                <w:iCs w:val="0"/>
                <w:color w:val="auto"/>
                <w:kern w:val="0"/>
                <w:sz w:val="20"/>
                <w:szCs w:val="20"/>
                <w:highlight w:val="none"/>
                <w:u w:val="none"/>
                <w:lang w:val="en-US" w:eastAsia="zh-CN" w:bidi="ar"/>
              </w:rPr>
              <w:t>46.00</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63C5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56</w:t>
            </w:r>
            <w:r>
              <w:rPr>
                <w:rFonts w:hint="eastAsia" w:ascii="宋体" w:hAnsi="宋体" w:cs="宋体"/>
                <w:b/>
                <w:bCs/>
                <w:i w:val="0"/>
                <w:iCs w:val="0"/>
                <w:color w:val="auto"/>
                <w:kern w:val="0"/>
                <w:sz w:val="20"/>
                <w:szCs w:val="20"/>
                <w:highlight w:val="none"/>
                <w:u w:val="none"/>
                <w:lang w:val="en-US" w:eastAsia="zh-CN" w:bidi="ar"/>
              </w:rPr>
              <w:t>.00</w:t>
            </w:r>
            <w:r>
              <w:rPr>
                <w:rFonts w:hint="eastAsia" w:ascii="宋体" w:hAnsi="宋体" w:eastAsia="宋体" w:cs="宋体"/>
                <w:b/>
                <w:bCs/>
                <w:i w:val="0"/>
                <w:iCs w:val="0"/>
                <w:color w:val="auto"/>
                <w:kern w:val="0"/>
                <w:sz w:val="20"/>
                <w:szCs w:val="20"/>
                <w:highlight w:val="none"/>
                <w:u w:val="none"/>
                <w:lang w:val="en-US" w:eastAsia="zh-CN" w:bidi="ar"/>
              </w:rPr>
              <w:t xml:space="preserve"> </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AA26D">
            <w:pPr>
              <w:keepNext w:val="0"/>
              <w:keepLines w:val="0"/>
              <w:widowControl/>
              <w:suppressLineNumbers w:val="0"/>
              <w:jc w:val="center"/>
              <w:textAlignment w:val="center"/>
              <w:rPr>
                <w:rFonts w:hint="default" w:ascii="宋体" w:hAnsi="宋体" w:eastAsia="宋体" w:cs="宋体"/>
                <w:b/>
                <w:bCs/>
                <w:i w:val="0"/>
                <w:iCs w:val="0"/>
                <w:color w:val="auto"/>
                <w:sz w:val="21"/>
                <w:szCs w:val="21"/>
                <w:highlight w:val="none"/>
                <w:u w:val="none"/>
                <w:lang w:val="en-US"/>
              </w:rPr>
            </w:pPr>
            <w:r>
              <w:rPr>
                <w:rFonts w:hint="eastAsia" w:ascii="宋体" w:hAnsi="宋体" w:eastAsia="宋体" w:cs="宋体"/>
                <w:b/>
                <w:bCs/>
                <w:i w:val="0"/>
                <w:iCs w:val="0"/>
                <w:color w:val="auto"/>
                <w:kern w:val="0"/>
                <w:sz w:val="20"/>
                <w:szCs w:val="20"/>
                <w:highlight w:val="none"/>
                <w:u w:val="none"/>
                <w:lang w:val="en-US" w:eastAsia="zh-CN" w:bidi="ar"/>
              </w:rPr>
              <w:t>37</w:t>
            </w:r>
            <w:r>
              <w:rPr>
                <w:rFonts w:hint="eastAsia" w:ascii="宋体" w:hAnsi="宋体" w:cs="宋体"/>
                <w:b/>
                <w:bCs/>
                <w:i w:val="0"/>
                <w:iCs w:val="0"/>
                <w:color w:val="auto"/>
                <w:kern w:val="0"/>
                <w:sz w:val="20"/>
                <w:szCs w:val="20"/>
                <w:highlight w:val="none"/>
                <w:u w:val="none"/>
                <w:lang w:val="en-US" w:eastAsia="zh-CN" w:bidi="ar"/>
              </w:rPr>
              <w:t>.00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7F7C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11</w:t>
            </w:r>
            <w:r>
              <w:rPr>
                <w:rFonts w:hint="eastAsia" w:ascii="宋体" w:hAnsi="宋体" w:cs="宋体"/>
                <w:b/>
                <w:bCs/>
                <w:i w:val="0"/>
                <w:iCs w:val="0"/>
                <w:color w:val="auto"/>
                <w:kern w:val="0"/>
                <w:sz w:val="20"/>
                <w:szCs w:val="20"/>
                <w:highlight w:val="none"/>
                <w:u w:val="none"/>
                <w:lang w:val="en-US" w:eastAsia="zh-CN" w:bidi="ar"/>
              </w:rPr>
              <w:t>.00</w:t>
            </w:r>
            <w:r>
              <w:rPr>
                <w:rFonts w:hint="eastAsia" w:ascii="宋体" w:hAnsi="宋体" w:eastAsia="宋体" w:cs="宋体"/>
                <w:b/>
                <w:bCs/>
                <w:i w:val="0"/>
                <w:iCs w:val="0"/>
                <w:color w:val="auto"/>
                <w:kern w:val="0"/>
                <w:sz w:val="20"/>
                <w:szCs w:val="20"/>
                <w:highlight w:val="none"/>
                <w:u w:val="none"/>
                <w:lang w:val="en-US" w:eastAsia="zh-CN" w:bidi="ar"/>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39356">
            <w:pPr>
              <w:keepNext w:val="0"/>
              <w:keepLines w:val="0"/>
              <w:widowControl/>
              <w:suppressLineNumbers w:val="0"/>
              <w:jc w:val="center"/>
              <w:textAlignment w:val="center"/>
              <w:rPr>
                <w:rFonts w:hint="default" w:ascii="宋体" w:hAnsi="宋体" w:eastAsia="宋体" w:cs="宋体"/>
                <w:b/>
                <w:bCs/>
                <w:i w:val="0"/>
                <w:iCs w:val="0"/>
                <w:color w:val="auto"/>
                <w:sz w:val="21"/>
                <w:szCs w:val="21"/>
                <w:highlight w:val="none"/>
                <w:u w:val="none"/>
                <w:lang w:val="en-US"/>
              </w:rPr>
            </w:pPr>
            <w:r>
              <w:rPr>
                <w:rFonts w:hint="eastAsia" w:ascii="宋体" w:hAnsi="宋体" w:eastAsia="宋体" w:cs="宋体"/>
                <w:b/>
                <w:bCs/>
                <w:i w:val="0"/>
                <w:iCs w:val="0"/>
                <w:color w:val="auto"/>
                <w:kern w:val="0"/>
                <w:sz w:val="20"/>
                <w:szCs w:val="20"/>
                <w:highlight w:val="none"/>
                <w:u w:val="none"/>
                <w:lang w:val="en-US" w:eastAsia="zh-CN" w:bidi="ar"/>
              </w:rPr>
              <w:t>17</w:t>
            </w:r>
            <w:r>
              <w:rPr>
                <w:rFonts w:hint="eastAsia" w:ascii="宋体" w:hAnsi="宋体" w:cs="宋体"/>
                <w:b/>
                <w:bCs/>
                <w:i w:val="0"/>
                <w:iCs w:val="0"/>
                <w:color w:val="auto"/>
                <w:kern w:val="0"/>
                <w:sz w:val="20"/>
                <w:szCs w:val="20"/>
                <w:highlight w:val="none"/>
                <w:u w:val="none"/>
                <w:lang w:val="en-US" w:eastAsia="zh-CN" w:bidi="ar"/>
              </w:rPr>
              <w:t>.00</w:t>
            </w:r>
          </w:p>
        </w:tc>
      </w:tr>
      <w:tr w14:paraId="6AA47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A766C">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cs="宋体"/>
                <w:b/>
                <w:bCs/>
                <w:i w:val="0"/>
                <w:iCs w:val="0"/>
                <w:color w:val="auto"/>
                <w:sz w:val="21"/>
                <w:szCs w:val="21"/>
                <w:highlight w:val="none"/>
                <w:u w:val="none"/>
                <w:lang w:val="en-US" w:eastAsia="zh-CN"/>
              </w:rPr>
              <w:t>5</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A9A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单方造价</w:t>
            </w:r>
            <w:r>
              <w:rPr>
                <w:rFonts w:hint="eastAsia" w:ascii="宋体" w:hAnsi="宋体" w:cs="宋体"/>
                <w:b/>
                <w:bCs/>
                <w:i w:val="0"/>
                <w:iCs w:val="0"/>
                <w:color w:val="auto"/>
                <w:kern w:val="0"/>
                <w:sz w:val="21"/>
                <w:szCs w:val="21"/>
                <w:highlight w:val="none"/>
                <w:u w:val="none"/>
                <w:lang w:val="en-US" w:eastAsia="zh-CN" w:bidi="ar"/>
              </w:rPr>
              <w:t>报价</w:t>
            </w:r>
            <w:r>
              <w:rPr>
                <w:rFonts w:hint="eastAsia" w:ascii="宋体" w:hAnsi="宋体" w:eastAsia="宋体" w:cs="宋体"/>
                <w:b/>
                <w:bCs/>
                <w:i w:val="0"/>
                <w:iCs w:val="0"/>
                <w:color w:val="auto"/>
                <w:kern w:val="0"/>
                <w:sz w:val="21"/>
                <w:szCs w:val="21"/>
                <w:highlight w:val="none"/>
                <w:u w:val="none"/>
                <w:lang w:val="en-US" w:eastAsia="zh-CN" w:bidi="ar"/>
              </w:rPr>
              <w:t>（元/m</w:t>
            </w:r>
            <w:r>
              <w:rPr>
                <w:rFonts w:hint="eastAsia" w:ascii="宋体" w:hAnsi="宋体" w:eastAsia="宋体" w:cs="宋体"/>
                <w:b/>
                <w:bCs/>
                <w:i w:val="0"/>
                <w:iCs w:val="0"/>
                <w:color w:val="auto"/>
                <w:kern w:val="0"/>
                <w:sz w:val="21"/>
                <w:szCs w:val="21"/>
                <w:highlight w:val="none"/>
                <w:u w:val="none"/>
                <w:vertAlign w:val="superscript"/>
                <w:lang w:val="en-US" w:eastAsia="zh-CN" w:bidi="ar"/>
              </w:rPr>
              <w:t>2</w:t>
            </w:r>
            <w:r>
              <w:rPr>
                <w:rFonts w:hint="eastAsia" w:ascii="宋体" w:hAnsi="宋体" w:eastAsia="宋体" w:cs="宋体"/>
                <w:b/>
                <w:bCs/>
                <w:i w:val="0"/>
                <w:iCs w:val="0"/>
                <w:color w:val="auto"/>
                <w:kern w:val="0"/>
                <w:sz w:val="21"/>
                <w:szCs w:val="21"/>
                <w:highlight w:val="none"/>
                <w:u w:val="none"/>
                <w:lang w:val="en-US" w:eastAsia="zh-CN" w:bidi="ar"/>
              </w:rPr>
              <w:t>）</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F9F9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BFA3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0052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9566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BCCA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p>
        </w:tc>
      </w:tr>
      <w:tr w14:paraId="1DB79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5D2C9">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cs="宋体"/>
                <w:b/>
                <w:bCs/>
                <w:i w:val="0"/>
                <w:iCs w:val="0"/>
                <w:color w:val="auto"/>
                <w:sz w:val="21"/>
                <w:szCs w:val="21"/>
                <w:highlight w:val="none"/>
                <w:u w:val="none"/>
                <w:lang w:val="en-US" w:eastAsia="zh-CN"/>
              </w:rPr>
              <w:t>6</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68A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rPr>
            </w:pPr>
            <w:r>
              <w:rPr>
                <w:rFonts w:hint="eastAsia" w:ascii="宋体" w:hAnsi="宋体" w:cs="宋体"/>
                <w:b/>
                <w:bCs/>
                <w:i w:val="0"/>
                <w:iCs w:val="0"/>
                <w:color w:val="auto"/>
                <w:sz w:val="21"/>
                <w:szCs w:val="21"/>
                <w:highlight w:val="none"/>
                <w:u w:val="none"/>
                <w:lang w:val="en-US" w:eastAsia="zh-CN"/>
              </w:rPr>
              <w:t>拆卸工程</w:t>
            </w:r>
            <w:r>
              <w:rPr>
                <w:rFonts w:hint="eastAsia" w:ascii="宋体" w:hAnsi="宋体" w:eastAsia="宋体" w:cs="宋体"/>
                <w:b/>
                <w:bCs/>
                <w:i w:val="0"/>
                <w:iCs w:val="0"/>
                <w:color w:val="auto"/>
                <w:kern w:val="0"/>
                <w:sz w:val="21"/>
                <w:szCs w:val="21"/>
                <w:highlight w:val="none"/>
                <w:u w:val="none"/>
                <w:lang w:val="en-US" w:eastAsia="zh-CN" w:bidi="ar"/>
              </w:rPr>
              <w:t>回收价值小计（元）=</w:t>
            </w:r>
            <w:r>
              <w:rPr>
                <w:rFonts w:hint="eastAsia" w:ascii="宋体" w:hAnsi="宋体" w:cs="宋体"/>
                <w:b/>
                <w:bCs/>
                <w:i w:val="0"/>
                <w:iCs w:val="0"/>
                <w:color w:val="auto"/>
                <w:kern w:val="0"/>
                <w:sz w:val="21"/>
                <w:szCs w:val="21"/>
                <w:highlight w:val="none"/>
                <w:u w:val="none"/>
                <w:lang w:val="en-US" w:eastAsia="zh-CN" w:bidi="ar"/>
              </w:rPr>
              <w:t>3*5</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620B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489B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0923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5F4C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C176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p>
        </w:tc>
      </w:tr>
      <w:tr w14:paraId="5C53A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6F8A1">
            <w:pPr>
              <w:keepNext w:val="0"/>
              <w:keepLines w:val="0"/>
              <w:widowControl/>
              <w:suppressLineNumbers w:val="0"/>
              <w:jc w:val="center"/>
              <w:textAlignment w:val="center"/>
              <w:rPr>
                <w:rFonts w:hint="default" w:ascii="宋体" w:hAnsi="宋体" w:cs="宋体"/>
                <w:b/>
                <w:bCs/>
                <w:i w:val="0"/>
                <w:iCs w:val="0"/>
                <w:color w:val="auto"/>
                <w:sz w:val="21"/>
                <w:szCs w:val="21"/>
                <w:highlight w:val="none"/>
                <w:u w:val="none"/>
                <w:lang w:val="en-US" w:eastAsia="zh-CN"/>
              </w:rPr>
            </w:pPr>
            <w:r>
              <w:rPr>
                <w:rFonts w:hint="eastAsia" w:ascii="宋体" w:hAnsi="宋体" w:cs="宋体"/>
                <w:b/>
                <w:bCs/>
                <w:i w:val="0"/>
                <w:iCs w:val="0"/>
                <w:color w:val="auto"/>
                <w:sz w:val="21"/>
                <w:szCs w:val="21"/>
                <w:highlight w:val="none"/>
                <w:u w:val="none"/>
                <w:lang w:val="en-US" w:eastAsia="zh-CN"/>
              </w:rPr>
              <w:t>7</w:t>
            </w:r>
          </w:p>
        </w:tc>
        <w:tc>
          <w:tcPr>
            <w:tcW w:w="6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B7EB">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sz w:val="21"/>
                <w:szCs w:val="21"/>
                <w:highlight w:val="none"/>
                <w:u w:val="none"/>
                <w:lang w:val="en-US" w:eastAsia="zh-CN"/>
              </w:rPr>
              <w:t>拆卸工程</w:t>
            </w:r>
            <w:r>
              <w:rPr>
                <w:rFonts w:hint="eastAsia" w:ascii="宋体" w:hAnsi="宋体" w:eastAsia="宋体" w:cs="宋体"/>
                <w:b/>
                <w:bCs/>
                <w:i w:val="0"/>
                <w:iCs w:val="0"/>
                <w:color w:val="auto"/>
                <w:sz w:val="21"/>
                <w:szCs w:val="21"/>
                <w:highlight w:val="none"/>
                <w:u w:val="none"/>
                <w:lang w:eastAsia="zh-CN"/>
              </w:rPr>
              <w:t>回收价值投标总报价</w:t>
            </w:r>
            <w:r>
              <w:rPr>
                <w:rFonts w:hint="eastAsia" w:ascii="宋体" w:hAnsi="宋体" w:cs="宋体"/>
                <w:b/>
                <w:bCs/>
                <w:i w:val="0"/>
                <w:iCs w:val="0"/>
                <w:color w:val="auto"/>
                <w:kern w:val="0"/>
                <w:sz w:val="21"/>
                <w:szCs w:val="21"/>
                <w:highlight w:val="none"/>
                <w:u w:val="none"/>
                <w:lang w:val="en-US" w:eastAsia="zh-CN"/>
              </w:rPr>
              <w:t>（元）=6</w:t>
            </w:r>
            <w:r>
              <w:rPr>
                <w:rFonts w:hint="eastAsia" w:ascii="宋体" w:hAnsi="宋体" w:eastAsia="宋体" w:cs="宋体"/>
                <w:b/>
                <w:bCs/>
                <w:i w:val="0"/>
                <w:iCs w:val="0"/>
                <w:color w:val="auto"/>
                <w:kern w:val="0"/>
                <w:sz w:val="21"/>
                <w:szCs w:val="21"/>
                <w:highlight w:val="none"/>
                <w:u w:val="none"/>
                <w:lang w:val="en-US" w:eastAsia="zh-CN"/>
              </w:rPr>
              <w:t>①+</w:t>
            </w:r>
            <w:r>
              <w:rPr>
                <w:rFonts w:hint="eastAsia" w:ascii="宋体" w:hAnsi="宋体" w:cs="宋体"/>
                <w:b/>
                <w:bCs/>
                <w:i w:val="0"/>
                <w:iCs w:val="0"/>
                <w:color w:val="auto"/>
                <w:kern w:val="0"/>
                <w:sz w:val="21"/>
                <w:szCs w:val="21"/>
                <w:highlight w:val="none"/>
                <w:u w:val="none"/>
                <w:lang w:val="en-US" w:eastAsia="zh-CN"/>
              </w:rPr>
              <w:t>6</w:t>
            </w:r>
            <w:r>
              <w:rPr>
                <w:rFonts w:hint="eastAsia" w:ascii="宋体" w:hAnsi="宋体" w:eastAsia="宋体" w:cs="宋体"/>
                <w:b/>
                <w:bCs/>
                <w:i w:val="0"/>
                <w:iCs w:val="0"/>
                <w:color w:val="auto"/>
                <w:kern w:val="0"/>
                <w:sz w:val="21"/>
                <w:szCs w:val="21"/>
                <w:highlight w:val="none"/>
                <w:u w:val="none"/>
                <w:lang w:val="en-US" w:eastAsia="zh-CN"/>
              </w:rPr>
              <w:t>②+</w:t>
            </w:r>
            <w:r>
              <w:rPr>
                <w:rFonts w:hint="eastAsia" w:ascii="宋体" w:hAnsi="宋体" w:cs="宋体"/>
                <w:b/>
                <w:bCs/>
                <w:i w:val="0"/>
                <w:iCs w:val="0"/>
                <w:color w:val="auto"/>
                <w:kern w:val="0"/>
                <w:sz w:val="21"/>
                <w:szCs w:val="21"/>
                <w:highlight w:val="none"/>
                <w:u w:val="none"/>
                <w:lang w:val="en-US" w:eastAsia="zh-CN"/>
              </w:rPr>
              <w:t>6</w:t>
            </w:r>
            <w:r>
              <w:rPr>
                <w:rFonts w:hint="eastAsia" w:ascii="宋体" w:hAnsi="宋体" w:eastAsia="宋体" w:cs="宋体"/>
                <w:b/>
                <w:bCs/>
                <w:i w:val="0"/>
                <w:iCs w:val="0"/>
                <w:color w:val="auto"/>
                <w:kern w:val="0"/>
                <w:sz w:val="21"/>
                <w:szCs w:val="21"/>
                <w:highlight w:val="none"/>
                <w:u w:val="none"/>
                <w:lang w:val="en-US" w:eastAsia="zh-CN"/>
              </w:rPr>
              <w:t>③+</w:t>
            </w:r>
            <w:r>
              <w:rPr>
                <w:rFonts w:hint="eastAsia" w:ascii="宋体" w:hAnsi="宋体" w:cs="宋体"/>
                <w:b/>
                <w:bCs/>
                <w:i w:val="0"/>
                <w:iCs w:val="0"/>
                <w:color w:val="auto"/>
                <w:kern w:val="0"/>
                <w:sz w:val="21"/>
                <w:szCs w:val="21"/>
                <w:highlight w:val="none"/>
                <w:u w:val="none"/>
                <w:lang w:val="en-US" w:eastAsia="zh-CN"/>
              </w:rPr>
              <w:t>6</w:t>
            </w:r>
            <w:r>
              <w:rPr>
                <w:rFonts w:hint="eastAsia" w:ascii="宋体" w:hAnsi="宋体" w:eastAsia="宋体" w:cs="宋体"/>
                <w:b/>
                <w:bCs/>
                <w:i w:val="0"/>
                <w:iCs w:val="0"/>
                <w:color w:val="auto"/>
                <w:kern w:val="0"/>
                <w:sz w:val="21"/>
                <w:szCs w:val="21"/>
                <w:highlight w:val="none"/>
                <w:u w:val="none"/>
                <w:lang w:val="en-US" w:eastAsia="zh-CN"/>
              </w:rPr>
              <w:t>④+</w:t>
            </w:r>
            <w:r>
              <w:rPr>
                <w:rFonts w:hint="eastAsia" w:ascii="宋体" w:hAnsi="宋体" w:cs="宋体"/>
                <w:b/>
                <w:bCs/>
                <w:i w:val="0"/>
                <w:iCs w:val="0"/>
                <w:color w:val="auto"/>
                <w:kern w:val="0"/>
                <w:sz w:val="21"/>
                <w:szCs w:val="21"/>
                <w:highlight w:val="none"/>
                <w:u w:val="none"/>
                <w:lang w:val="en-US" w:eastAsia="zh-CN"/>
              </w:rPr>
              <w:t>6</w:t>
            </w:r>
            <w:r>
              <w:rPr>
                <w:rFonts w:hint="eastAsia" w:ascii="宋体" w:hAnsi="宋体" w:eastAsia="宋体" w:cs="宋体"/>
                <w:b/>
                <w:bCs/>
                <w:i w:val="0"/>
                <w:iCs w:val="0"/>
                <w:color w:val="auto"/>
                <w:kern w:val="0"/>
                <w:sz w:val="21"/>
                <w:szCs w:val="21"/>
                <w:highlight w:val="none"/>
                <w:u w:val="none"/>
                <w:lang w:val="en-US" w:eastAsia="zh-CN"/>
              </w:rPr>
              <w:t>⑤</w:t>
            </w:r>
          </w:p>
        </w:tc>
        <w:tc>
          <w:tcPr>
            <w:tcW w:w="666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365A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p>
        </w:tc>
      </w:tr>
    </w:tbl>
    <w:p w14:paraId="6096E28E">
      <w:pPr>
        <w:adjustRightInd w:val="0"/>
        <w:snapToGrid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p w14:paraId="7B671FDE">
      <w:pPr>
        <w:numPr>
          <w:ilvl w:val="0"/>
          <w:numId w:val="7"/>
        </w:numPr>
        <w:adjustRightInd w:val="0"/>
        <w:snapToGrid w:val="0"/>
        <w:rPr>
          <w:rFonts w:hint="eastAsia" w:ascii="宋体" w:hAnsi="宋体" w:eastAsia="宋体" w:cs="宋体"/>
          <w:b w:val="0"/>
          <w:bCs w:val="0"/>
          <w:color w:val="auto"/>
          <w:szCs w:val="21"/>
          <w:highlight w:val="none"/>
          <w:lang w:eastAsia="zh-CN"/>
        </w:rPr>
      </w:pPr>
      <w:r>
        <w:rPr>
          <w:rFonts w:hint="eastAsia" w:ascii="宋体" w:hAnsi="宋体" w:eastAsia="宋体" w:cs="宋体"/>
          <w:color w:val="auto"/>
          <w:szCs w:val="21"/>
          <w:highlight w:val="none"/>
          <w:lang w:eastAsia="zh-CN"/>
        </w:rPr>
        <w:t>投标人应按《拆卸工程回收价值报价明细表》填报拆卸工程回收价值投标</w:t>
      </w:r>
      <w:r>
        <w:rPr>
          <w:rFonts w:hint="eastAsia" w:ascii="宋体" w:hAnsi="宋体" w:eastAsia="宋体" w:cs="宋体"/>
          <w:color w:val="auto"/>
          <w:szCs w:val="21"/>
          <w:highlight w:val="none"/>
        </w:rPr>
        <w:t>单方造价</w:t>
      </w:r>
      <w:r>
        <w:rPr>
          <w:rFonts w:hint="eastAsia" w:ascii="宋体" w:hAnsi="宋体" w:eastAsia="宋体" w:cs="宋体"/>
          <w:color w:val="auto"/>
          <w:szCs w:val="21"/>
          <w:highlight w:val="none"/>
          <w:lang w:eastAsia="zh-CN"/>
        </w:rPr>
        <w:t>报价及投标总报价，拆卸工程回收价值报价低于拆卸工程回收价值招标控制价或招标控制综合单价，为无效标。</w:t>
      </w:r>
      <w:r>
        <w:rPr>
          <w:rFonts w:hint="eastAsia" w:ascii="宋体" w:hAnsi="宋体" w:eastAsia="宋体" w:cs="宋体"/>
          <w:color w:val="auto"/>
          <w:szCs w:val="21"/>
          <w:highlight w:val="none"/>
          <w:lang w:val="en-US" w:eastAsia="zh-CN"/>
        </w:rPr>
        <w:t>拆卸工程回收价值小计（元）=拆卸工程总计面积（m</w:t>
      </w:r>
      <w:r>
        <w:rPr>
          <w:rFonts w:hint="eastAsia" w:ascii="宋体" w:hAnsi="宋体" w:eastAsia="宋体" w:cs="宋体"/>
          <w:color w:val="auto"/>
          <w:szCs w:val="21"/>
          <w:highlight w:val="none"/>
          <w:vertAlign w:val="superscript"/>
          <w:lang w:val="en-US" w:eastAsia="zh-CN"/>
        </w:rPr>
        <w:t>2</w:t>
      </w:r>
      <w:r>
        <w:rPr>
          <w:rFonts w:hint="eastAsia" w:ascii="宋体" w:hAnsi="宋体" w:eastAsia="宋体" w:cs="宋体"/>
          <w:color w:val="auto"/>
          <w:szCs w:val="21"/>
          <w:highlight w:val="none"/>
          <w:lang w:val="en-US" w:eastAsia="zh-CN"/>
        </w:rPr>
        <w:t>）×单方</w:t>
      </w:r>
      <w:r>
        <w:rPr>
          <w:rFonts w:hint="eastAsia" w:ascii="宋体" w:hAnsi="宋体" w:eastAsia="宋体" w:cs="宋体"/>
          <w:b w:val="0"/>
          <w:bCs w:val="0"/>
          <w:color w:val="auto"/>
          <w:szCs w:val="21"/>
          <w:highlight w:val="none"/>
          <w:lang w:val="en-US" w:eastAsia="zh-CN"/>
        </w:rPr>
        <w:t>造价</w:t>
      </w:r>
      <w:r>
        <w:rPr>
          <w:rFonts w:hint="eastAsia" w:ascii="宋体" w:hAnsi="宋体" w:eastAsia="宋体" w:cs="宋体"/>
          <w:b w:val="0"/>
          <w:bCs w:val="0"/>
          <w:i w:val="0"/>
          <w:iCs w:val="0"/>
          <w:color w:val="auto"/>
          <w:kern w:val="0"/>
          <w:sz w:val="21"/>
          <w:szCs w:val="21"/>
          <w:highlight w:val="none"/>
          <w:u w:val="none"/>
          <w:lang w:val="en-US" w:eastAsia="zh-CN" w:bidi="ar"/>
        </w:rPr>
        <w:t>（元/m</w:t>
      </w:r>
      <w:r>
        <w:rPr>
          <w:rFonts w:hint="eastAsia" w:ascii="宋体" w:hAnsi="宋体" w:eastAsia="宋体" w:cs="宋体"/>
          <w:b w:val="0"/>
          <w:bCs w:val="0"/>
          <w:i w:val="0"/>
          <w:iCs w:val="0"/>
          <w:color w:val="auto"/>
          <w:kern w:val="0"/>
          <w:sz w:val="21"/>
          <w:szCs w:val="21"/>
          <w:highlight w:val="none"/>
          <w:u w:val="none"/>
          <w:vertAlign w:val="superscript"/>
          <w:lang w:val="en-US" w:eastAsia="zh-CN" w:bidi="ar"/>
        </w:rPr>
        <w:t>2</w:t>
      </w:r>
      <w:r>
        <w:rPr>
          <w:rFonts w:hint="eastAsia" w:ascii="宋体" w:hAnsi="宋体" w:eastAsia="宋体" w:cs="宋体"/>
          <w:b w:val="0"/>
          <w:bCs w:val="0"/>
          <w:i w:val="0"/>
          <w:iCs w:val="0"/>
          <w:color w:val="auto"/>
          <w:kern w:val="0"/>
          <w:sz w:val="21"/>
          <w:szCs w:val="21"/>
          <w:highlight w:val="none"/>
          <w:u w:val="none"/>
          <w:lang w:val="en-US" w:eastAsia="zh-CN" w:bidi="ar"/>
        </w:rPr>
        <w:t>），</w:t>
      </w:r>
      <w:r>
        <w:rPr>
          <w:rFonts w:hint="eastAsia" w:ascii="宋体" w:hAnsi="宋体" w:eastAsia="宋体" w:cs="宋体"/>
          <w:b w:val="0"/>
          <w:bCs w:val="0"/>
          <w:i w:val="0"/>
          <w:iCs w:val="0"/>
          <w:color w:val="auto"/>
          <w:sz w:val="21"/>
          <w:szCs w:val="21"/>
          <w:highlight w:val="none"/>
          <w:u w:val="none"/>
          <w:lang w:val="en-US" w:eastAsia="zh-CN"/>
        </w:rPr>
        <w:t>拆卸工程</w:t>
      </w:r>
      <w:r>
        <w:rPr>
          <w:rFonts w:hint="eastAsia" w:ascii="宋体" w:hAnsi="宋体" w:eastAsia="宋体" w:cs="宋体"/>
          <w:b w:val="0"/>
          <w:bCs w:val="0"/>
          <w:i w:val="0"/>
          <w:iCs w:val="0"/>
          <w:color w:val="auto"/>
          <w:sz w:val="21"/>
          <w:szCs w:val="21"/>
          <w:highlight w:val="none"/>
          <w:u w:val="none"/>
          <w:lang w:eastAsia="zh-CN"/>
        </w:rPr>
        <w:t>回收价值投标总报价</w:t>
      </w:r>
      <w:r>
        <w:rPr>
          <w:rFonts w:hint="eastAsia" w:ascii="宋体" w:hAnsi="宋体" w:eastAsia="宋体" w:cs="宋体"/>
          <w:color w:val="auto"/>
          <w:szCs w:val="21"/>
          <w:highlight w:val="none"/>
          <w:lang w:val="en-US" w:eastAsia="zh-CN"/>
        </w:rPr>
        <w:t>（元）</w:t>
      </w:r>
      <w:r>
        <w:rPr>
          <w:rFonts w:hint="eastAsia" w:ascii="宋体" w:hAnsi="宋体" w:eastAsia="宋体" w:cs="宋体"/>
          <w:b w:val="0"/>
          <w:bCs w:val="0"/>
          <w:i w:val="0"/>
          <w:iCs w:val="0"/>
          <w:color w:val="auto"/>
          <w:sz w:val="21"/>
          <w:szCs w:val="21"/>
          <w:highlight w:val="none"/>
          <w:u w:val="none"/>
          <w:lang w:val="en-US" w:eastAsia="zh-CN"/>
        </w:rPr>
        <w:t>=∑各结构类型</w:t>
      </w:r>
      <w:r>
        <w:rPr>
          <w:rFonts w:hint="eastAsia" w:ascii="宋体" w:hAnsi="宋体" w:eastAsia="宋体" w:cs="宋体"/>
          <w:color w:val="auto"/>
          <w:szCs w:val="21"/>
          <w:highlight w:val="none"/>
          <w:lang w:val="en-US" w:eastAsia="zh-CN"/>
        </w:rPr>
        <w:t>拆卸工程回收价值小计。</w:t>
      </w:r>
    </w:p>
    <w:p w14:paraId="3C23E9B3">
      <w:pPr>
        <w:numPr>
          <w:ilvl w:val="0"/>
          <w:numId w:val="7"/>
        </w:numPr>
        <w:adjustRightInd w:val="0"/>
        <w:snapToGrid w:val="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拆卸工程回收价值报价明细表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拆卸工程回收价值投标总报价</w:t>
      </w:r>
      <w:r>
        <w:rPr>
          <w:rFonts w:hint="eastAsia" w:ascii="宋体" w:hAnsi="宋体" w:eastAsia="宋体" w:cs="宋体"/>
          <w:color w:val="auto"/>
          <w:szCs w:val="21"/>
          <w:highlight w:val="none"/>
          <w:lang w:val="en-US" w:eastAsia="zh-CN"/>
        </w:rPr>
        <w:t>应与《</w:t>
      </w:r>
      <w:r>
        <w:rPr>
          <w:rFonts w:hint="eastAsia" w:ascii="宋体" w:hAnsi="宋体" w:eastAsia="宋体" w:cs="宋体"/>
          <w:color w:val="auto"/>
          <w:szCs w:val="21"/>
          <w:highlight w:val="none"/>
        </w:rPr>
        <w:t>广州建设工程施工招标投</w:t>
      </w:r>
      <w:r>
        <w:rPr>
          <w:rFonts w:hint="eastAsia" w:ascii="宋体" w:hAnsi="宋体" w:eastAsia="宋体" w:cs="宋体"/>
          <w:b w:val="0"/>
          <w:bCs w:val="0"/>
          <w:color w:val="auto"/>
          <w:szCs w:val="21"/>
          <w:highlight w:val="none"/>
        </w:rPr>
        <w:t>标书</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lang w:val="en-US" w:eastAsia="zh-CN"/>
        </w:rPr>
        <w:t>的</w:t>
      </w:r>
      <w:r>
        <w:rPr>
          <w:rFonts w:hint="eastAsia" w:ascii="宋体" w:hAnsi="宋体" w:eastAsia="宋体" w:cs="宋体"/>
          <w:b w:val="0"/>
          <w:bCs w:val="0"/>
          <w:i w:val="0"/>
          <w:iCs w:val="0"/>
          <w:color w:val="auto"/>
          <w:sz w:val="21"/>
          <w:szCs w:val="21"/>
          <w:highlight w:val="none"/>
          <w:u w:val="none"/>
          <w:lang w:val="en-US" w:eastAsia="zh-CN"/>
        </w:rPr>
        <w:t>拆卸工程</w:t>
      </w:r>
      <w:r>
        <w:rPr>
          <w:rFonts w:hint="eastAsia" w:ascii="宋体" w:hAnsi="宋体" w:eastAsia="宋体" w:cs="宋体"/>
          <w:b w:val="0"/>
          <w:bCs w:val="0"/>
          <w:i w:val="0"/>
          <w:iCs w:val="0"/>
          <w:color w:val="auto"/>
          <w:sz w:val="21"/>
          <w:szCs w:val="21"/>
          <w:highlight w:val="none"/>
          <w:u w:val="none"/>
          <w:lang w:eastAsia="zh-CN"/>
        </w:rPr>
        <w:t>回收价值投标总报价</w:t>
      </w:r>
      <w:r>
        <w:rPr>
          <w:rFonts w:hint="eastAsia" w:ascii="宋体" w:hAnsi="宋体" w:eastAsia="宋体" w:cs="宋体"/>
          <w:b w:val="0"/>
          <w:bCs w:val="0"/>
          <w:i w:val="0"/>
          <w:iCs w:val="0"/>
          <w:color w:val="auto"/>
          <w:sz w:val="21"/>
          <w:szCs w:val="21"/>
          <w:highlight w:val="none"/>
          <w:u w:val="none"/>
          <w:lang w:val="en-US" w:eastAsia="zh-CN"/>
        </w:rPr>
        <w:t>一致。若不一致，以</w:t>
      </w:r>
      <w:r>
        <w:rPr>
          <w:rFonts w:hint="eastAsia" w:ascii="宋体" w:hAnsi="宋体" w:eastAsia="宋体" w:cs="宋体"/>
          <w:color w:val="auto"/>
          <w:szCs w:val="21"/>
          <w:highlight w:val="none"/>
          <w:u w:val="none"/>
        </w:rPr>
        <w:t>《拆卸工程回收价值报价明细表》拆卸工程回收价值投标总报价</w:t>
      </w:r>
      <w:r>
        <w:rPr>
          <w:rFonts w:hint="eastAsia" w:ascii="宋体" w:hAnsi="宋体" w:eastAsia="宋体" w:cs="宋体"/>
          <w:b w:val="0"/>
          <w:bCs w:val="0"/>
          <w:i w:val="0"/>
          <w:iCs w:val="0"/>
          <w:color w:val="auto"/>
          <w:sz w:val="21"/>
          <w:szCs w:val="21"/>
          <w:highlight w:val="none"/>
          <w:u w:val="none"/>
          <w:lang w:val="en-US" w:eastAsia="zh-CN"/>
        </w:rPr>
        <w:t>为准，若</w:t>
      </w:r>
      <w:r>
        <w:rPr>
          <w:rFonts w:hint="eastAsia" w:ascii="宋体" w:hAnsi="宋体" w:eastAsia="宋体" w:cs="宋体"/>
          <w:color w:val="auto"/>
          <w:szCs w:val="21"/>
          <w:highlight w:val="none"/>
          <w:u w:val="none"/>
        </w:rPr>
        <w:t>《拆卸工程回收价值报价明细表》拆卸工程回收价值投标总报价</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lang w:val="en-US" w:eastAsia="zh-CN"/>
        </w:rPr>
        <w:t>与各结构类型拆卸工程回收价值小计汇总金额不一致的，以各结构类型拆卸工程回收价值小计汇总金额为准，由评标委员会进行修正</w:t>
      </w:r>
      <w:r>
        <w:rPr>
          <w:rFonts w:hint="eastAsia" w:ascii="宋体" w:hAnsi="宋体" w:eastAsia="宋体" w:cs="宋体"/>
          <w:b w:val="0"/>
          <w:bCs w:val="0"/>
          <w:i w:val="0"/>
          <w:iCs w:val="0"/>
          <w:color w:val="auto"/>
          <w:sz w:val="21"/>
          <w:szCs w:val="21"/>
          <w:highlight w:val="none"/>
          <w:u w:val="none"/>
          <w:lang w:val="en-US" w:eastAsia="zh-CN"/>
        </w:rPr>
        <w:t>。</w:t>
      </w:r>
    </w:p>
    <w:p w14:paraId="12B9DD3F">
      <w:pPr>
        <w:numPr>
          <w:ilvl w:val="0"/>
          <w:numId w:val="7"/>
        </w:numPr>
        <w:adjustRightInd w:val="0"/>
        <w:snapToGrid w:val="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拆卸工程回收价值投标报价以元为单位，小数点后保留</w:t>
      </w:r>
      <w:r>
        <w:rPr>
          <w:rFonts w:hint="eastAsia" w:ascii="宋体" w:hAnsi="宋体" w:eastAsia="宋体" w:cs="宋体"/>
          <w:color w:val="auto"/>
          <w:szCs w:val="21"/>
          <w:highlight w:val="none"/>
          <w:lang w:val="en-US" w:eastAsia="zh-CN"/>
        </w:rPr>
        <w:t>两</w:t>
      </w:r>
      <w:r>
        <w:rPr>
          <w:rFonts w:hint="eastAsia" w:ascii="宋体" w:hAnsi="宋体" w:eastAsia="宋体" w:cs="宋体"/>
          <w:color w:val="auto"/>
          <w:szCs w:val="21"/>
          <w:highlight w:val="none"/>
        </w:rPr>
        <w:t>位小数，第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位小数四舍五入。</w:t>
      </w:r>
    </w:p>
    <w:p w14:paraId="156AD3FC">
      <w:pPr>
        <w:numPr>
          <w:ilvl w:val="0"/>
          <w:numId w:val="7"/>
        </w:numPr>
        <w:adjustRightInd w:val="0"/>
        <w:snapToGrid w:val="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拆卸工程各结构类型、各类别面积均为暂定，最终</w:t>
      </w:r>
      <w:r>
        <w:rPr>
          <w:rFonts w:hint="eastAsia" w:ascii="宋体" w:hAnsi="宋体" w:eastAsia="宋体" w:cs="宋体"/>
          <w:color w:val="auto"/>
          <w:szCs w:val="21"/>
          <w:highlight w:val="none"/>
        </w:rPr>
        <w:t>以实际测绘数据为准</w:t>
      </w:r>
      <w:r>
        <w:rPr>
          <w:rFonts w:hint="eastAsia" w:ascii="宋体" w:hAnsi="宋体" w:eastAsia="宋体" w:cs="宋体"/>
          <w:color w:val="auto"/>
          <w:szCs w:val="21"/>
          <w:highlight w:val="none"/>
          <w:lang w:eastAsia="zh-CN"/>
        </w:rPr>
        <w:t>。</w:t>
      </w:r>
    </w:p>
    <w:p w14:paraId="5F51E05A">
      <w:pPr>
        <w:numPr>
          <w:ilvl w:val="-1"/>
          <w:numId w:val="0"/>
        </w:numPr>
        <w:rPr>
          <w:rFonts w:hint="eastAsia"/>
          <w:color w:val="auto"/>
          <w:highlight w:val="none"/>
          <w:lang w:eastAsia="zh-CN"/>
        </w:rPr>
      </w:pPr>
    </w:p>
    <w:p w14:paraId="44C2152A">
      <w:pPr>
        <w:wordWrap w:val="0"/>
        <w:topLinePunct/>
        <w:adjustRightInd w:val="0"/>
        <w:snapToGrid w:val="0"/>
        <w:spacing w:line="240" w:lineRule="auto"/>
        <w:ind w:firstLine="3052" w:firstLineChars="1400"/>
        <w:jc w:val="right"/>
        <w:rPr>
          <w:rFonts w:hint="default" w:ascii="宋体" w:hAnsi="宋体" w:eastAsia="宋体" w:cs="宋体"/>
          <w:snapToGrid w:val="0"/>
          <w:color w:val="auto"/>
          <w:spacing w:val="4"/>
          <w:kern w:val="0"/>
          <w:sz w:val="21"/>
          <w:szCs w:val="21"/>
          <w:highlight w:val="none"/>
          <w:lang w:val="en-US" w:eastAsia="zh-CN"/>
        </w:rPr>
      </w:pPr>
      <w:r>
        <w:rPr>
          <w:rFonts w:hint="eastAsia" w:ascii="宋体" w:hAnsi="宋体" w:eastAsia="宋体" w:cs="宋体"/>
          <w:snapToGrid w:val="0"/>
          <w:color w:val="auto"/>
          <w:spacing w:val="4"/>
          <w:kern w:val="0"/>
          <w:sz w:val="21"/>
          <w:szCs w:val="21"/>
          <w:highlight w:val="none"/>
        </w:rPr>
        <w:t>投标人：　　（盖章）</w:t>
      </w:r>
      <w:r>
        <w:rPr>
          <w:rFonts w:hint="eastAsia" w:ascii="宋体" w:hAnsi="宋体" w:cs="宋体"/>
          <w:snapToGrid w:val="0"/>
          <w:color w:val="auto"/>
          <w:spacing w:val="4"/>
          <w:kern w:val="0"/>
          <w:sz w:val="21"/>
          <w:szCs w:val="21"/>
          <w:highlight w:val="none"/>
          <w:lang w:val="en-US" w:eastAsia="zh-CN"/>
        </w:rPr>
        <w:t xml:space="preserve">            </w:t>
      </w:r>
    </w:p>
    <w:p w14:paraId="58F4ADE9">
      <w:pPr>
        <w:wordWrap w:val="0"/>
        <w:topLinePunct/>
        <w:adjustRightInd w:val="0"/>
        <w:snapToGrid w:val="0"/>
        <w:spacing w:line="240" w:lineRule="auto"/>
        <w:ind w:firstLine="3052" w:firstLineChars="1400"/>
        <w:jc w:val="right"/>
        <w:rPr>
          <w:rFonts w:hint="default" w:ascii="宋体" w:hAnsi="宋体" w:eastAsia="宋体" w:cs="宋体"/>
          <w:snapToGrid w:val="0"/>
          <w:color w:val="auto"/>
          <w:spacing w:val="4"/>
          <w:kern w:val="0"/>
          <w:sz w:val="21"/>
          <w:szCs w:val="21"/>
          <w:highlight w:val="none"/>
          <w:lang w:val="en-US" w:eastAsia="zh-CN"/>
        </w:rPr>
      </w:pPr>
      <w:r>
        <w:rPr>
          <w:rFonts w:hint="eastAsia" w:ascii="宋体" w:hAnsi="宋体" w:eastAsia="宋体" w:cs="宋体"/>
          <w:snapToGrid w:val="0"/>
          <w:color w:val="auto"/>
          <w:spacing w:val="4"/>
          <w:kern w:val="0"/>
          <w:sz w:val="21"/>
          <w:szCs w:val="21"/>
          <w:highlight w:val="none"/>
        </w:rPr>
        <w:t>法定代表人或授权代理人(签字或盖章)：</w:t>
      </w:r>
      <w:r>
        <w:rPr>
          <w:rFonts w:hint="eastAsia" w:ascii="宋体" w:hAnsi="宋体" w:cs="宋体"/>
          <w:snapToGrid w:val="0"/>
          <w:color w:val="auto"/>
          <w:spacing w:val="4"/>
          <w:kern w:val="0"/>
          <w:sz w:val="21"/>
          <w:szCs w:val="21"/>
          <w:highlight w:val="none"/>
          <w:lang w:val="en-US" w:eastAsia="zh-CN"/>
        </w:rPr>
        <w:t xml:space="preserve">                        </w:t>
      </w:r>
    </w:p>
    <w:p w14:paraId="585DF87E">
      <w:pPr>
        <w:tabs>
          <w:tab w:val="right" w:leader="dot" w:pos="9060"/>
        </w:tabs>
        <w:wordWrap w:val="0"/>
        <w:topLinePunct/>
        <w:adjustRightInd w:val="0"/>
        <w:spacing w:line="240" w:lineRule="auto"/>
        <w:ind w:firstLine="3052" w:firstLineChars="1400"/>
        <w:jc w:val="right"/>
        <w:rPr>
          <w:rFonts w:hint="eastAsia"/>
          <w:color w:val="auto"/>
          <w:highlight w:val="none"/>
        </w:rPr>
        <w:sectPr>
          <w:pgSz w:w="16838" w:h="11906" w:orient="landscape"/>
          <w:pgMar w:top="1800" w:right="1440" w:bottom="1800" w:left="1440" w:header="851" w:footer="992" w:gutter="0"/>
          <w:cols w:space="720" w:num="1"/>
          <w:docGrid w:type="linesAndChars" w:linePitch="312" w:charSpace="0"/>
        </w:sectPr>
      </w:pPr>
      <w:r>
        <w:rPr>
          <w:rFonts w:hint="eastAsia" w:ascii="宋体" w:hAnsi="宋体" w:eastAsia="宋体" w:cs="宋体"/>
          <w:snapToGrid w:val="0"/>
          <w:color w:val="auto"/>
          <w:spacing w:val="4"/>
          <w:kern w:val="0"/>
          <w:sz w:val="21"/>
          <w:szCs w:val="21"/>
          <w:highlight w:val="none"/>
        </w:rPr>
        <w:t>日期：   年   月    日</w:t>
      </w:r>
      <w:r>
        <w:rPr>
          <w:rFonts w:hint="eastAsia" w:ascii="宋体" w:hAnsi="宋体" w:cs="宋体"/>
          <w:snapToGrid w:val="0"/>
          <w:color w:val="auto"/>
          <w:spacing w:val="4"/>
          <w:kern w:val="0"/>
          <w:sz w:val="21"/>
          <w:szCs w:val="21"/>
          <w:highlight w:val="none"/>
          <w:lang w:val="en-US" w:eastAsia="zh-CN"/>
        </w:rPr>
        <w:t xml:space="preserve">    </w:t>
      </w:r>
      <w:r>
        <w:rPr>
          <w:rFonts w:hint="eastAsia" w:ascii="宋体" w:hAnsi="宋体" w:cs="宋体"/>
          <w:snapToGrid w:val="0"/>
          <w:color w:val="auto"/>
          <w:spacing w:val="4"/>
          <w:kern w:val="0"/>
          <w:sz w:val="24"/>
          <w:szCs w:val="24"/>
          <w:highlight w:val="none"/>
          <w:lang w:val="en-US" w:eastAsia="zh-CN"/>
        </w:rPr>
        <w:t xml:space="preserve">    </w:t>
      </w:r>
    </w:p>
    <w:p w14:paraId="7537814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★经济标投标文件格式</w:t>
      </w:r>
      <w:r>
        <w:rPr>
          <w:rFonts w:hint="eastAsia" w:ascii="宋体" w:hAnsi="宋体" w:cs="宋体"/>
          <w:color w:val="auto"/>
          <w:sz w:val="24"/>
          <w:highlight w:val="none"/>
          <w:lang w:eastAsia="zh-CN"/>
        </w:rPr>
        <w:t>四</w:t>
      </w:r>
      <w:r>
        <w:rPr>
          <w:rFonts w:hint="eastAsia" w:ascii="宋体" w:hAnsi="宋体" w:eastAsia="宋体" w:cs="宋体"/>
          <w:color w:val="auto"/>
          <w:sz w:val="24"/>
          <w:highlight w:val="none"/>
        </w:rPr>
        <w:t>：</w:t>
      </w:r>
    </w:p>
    <w:p w14:paraId="5C29B3A5">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参与编制经济标投标文件人员名单</w:t>
      </w:r>
    </w:p>
    <w:tbl>
      <w:tblPr>
        <w:tblStyle w:val="34"/>
        <w:tblW w:w="829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14:paraId="69EAB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14:paraId="023FA965">
            <w:pPr>
              <w:tabs>
                <w:tab w:val="left" w:pos="720"/>
              </w:tabs>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p>
        </w:tc>
      </w:tr>
      <w:tr w14:paraId="55EAB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14:paraId="35232099">
            <w:pPr>
              <w:tabs>
                <w:tab w:val="left" w:pos="720"/>
              </w:tabs>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14:paraId="1603C287">
            <w:pPr>
              <w:tabs>
                <w:tab w:val="left" w:pos="720"/>
              </w:tabs>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14:paraId="7D7B31E4">
            <w:pPr>
              <w:tabs>
                <w:tab w:val="left" w:pos="720"/>
              </w:tabs>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14:paraId="0A5A46A2">
            <w:pPr>
              <w:tabs>
                <w:tab w:val="left" w:pos="720"/>
              </w:tabs>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14:paraId="2F4952FA">
            <w:pPr>
              <w:tabs>
                <w:tab w:val="left" w:pos="720"/>
              </w:tabs>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本人签名栏</w:t>
            </w:r>
          </w:p>
        </w:tc>
      </w:tr>
      <w:tr w14:paraId="683E8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14:paraId="7A6332C7">
            <w:pPr>
              <w:tabs>
                <w:tab w:val="left" w:pos="720"/>
              </w:tabs>
              <w:snapToGrid w:val="0"/>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5B3F1916">
            <w:pPr>
              <w:tabs>
                <w:tab w:val="left" w:pos="720"/>
              </w:tabs>
              <w:snapToGrid w:val="0"/>
              <w:spacing w:line="360" w:lineRule="auto"/>
              <w:jc w:val="center"/>
              <w:rPr>
                <w:rFonts w:hint="eastAsia" w:ascii="宋体" w:hAnsi="宋体" w:eastAsia="宋体" w:cs="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4954EDB7">
            <w:pPr>
              <w:tabs>
                <w:tab w:val="left" w:pos="720"/>
              </w:tabs>
              <w:snapToGrid w:val="0"/>
              <w:spacing w:line="360" w:lineRule="auto"/>
              <w:jc w:val="center"/>
              <w:rPr>
                <w:rFonts w:hint="eastAsia" w:ascii="宋体" w:hAnsi="宋体" w:eastAsia="宋体" w:cs="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78C0A6C0">
            <w:pPr>
              <w:tabs>
                <w:tab w:val="left" w:pos="720"/>
              </w:tabs>
              <w:snapToGrid w:val="0"/>
              <w:spacing w:line="360" w:lineRule="auto"/>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6F961207">
            <w:pPr>
              <w:tabs>
                <w:tab w:val="left" w:pos="720"/>
              </w:tabs>
              <w:snapToGrid w:val="0"/>
              <w:spacing w:line="360" w:lineRule="auto"/>
              <w:jc w:val="center"/>
              <w:rPr>
                <w:rFonts w:hint="eastAsia" w:ascii="宋体" w:hAnsi="宋体" w:eastAsia="宋体" w:cs="宋体"/>
                <w:color w:val="auto"/>
                <w:szCs w:val="21"/>
                <w:highlight w:val="none"/>
              </w:rPr>
            </w:pPr>
          </w:p>
        </w:tc>
      </w:tr>
      <w:tr w14:paraId="45D14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06DAD60A">
            <w:pPr>
              <w:tabs>
                <w:tab w:val="left" w:pos="720"/>
              </w:tabs>
              <w:snapToGrid w:val="0"/>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6113EC18">
            <w:pPr>
              <w:tabs>
                <w:tab w:val="left" w:pos="720"/>
              </w:tabs>
              <w:snapToGrid w:val="0"/>
              <w:spacing w:line="360" w:lineRule="auto"/>
              <w:jc w:val="center"/>
              <w:rPr>
                <w:rFonts w:hint="eastAsia" w:ascii="宋体" w:hAnsi="宋体" w:eastAsia="宋体" w:cs="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57377A38">
            <w:pPr>
              <w:tabs>
                <w:tab w:val="left" w:pos="720"/>
              </w:tabs>
              <w:snapToGrid w:val="0"/>
              <w:spacing w:line="360" w:lineRule="auto"/>
              <w:jc w:val="center"/>
              <w:rPr>
                <w:rFonts w:hint="eastAsia" w:ascii="宋体" w:hAnsi="宋体" w:eastAsia="宋体" w:cs="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10C67A28">
            <w:pPr>
              <w:tabs>
                <w:tab w:val="left" w:pos="720"/>
              </w:tabs>
              <w:snapToGrid w:val="0"/>
              <w:spacing w:line="360" w:lineRule="auto"/>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5F349CC2">
            <w:pPr>
              <w:tabs>
                <w:tab w:val="left" w:pos="720"/>
              </w:tabs>
              <w:snapToGrid w:val="0"/>
              <w:spacing w:line="360" w:lineRule="auto"/>
              <w:jc w:val="center"/>
              <w:rPr>
                <w:rFonts w:hint="eastAsia" w:ascii="宋体" w:hAnsi="宋体" w:eastAsia="宋体" w:cs="宋体"/>
                <w:color w:val="auto"/>
                <w:szCs w:val="21"/>
                <w:highlight w:val="none"/>
              </w:rPr>
            </w:pPr>
          </w:p>
        </w:tc>
      </w:tr>
      <w:tr w14:paraId="7AB21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0FB669FD">
            <w:pPr>
              <w:tabs>
                <w:tab w:val="left" w:pos="720"/>
              </w:tabs>
              <w:snapToGrid w:val="0"/>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7135FD51">
            <w:pPr>
              <w:tabs>
                <w:tab w:val="left" w:pos="720"/>
              </w:tabs>
              <w:snapToGrid w:val="0"/>
              <w:spacing w:line="360" w:lineRule="auto"/>
              <w:jc w:val="center"/>
              <w:rPr>
                <w:rFonts w:hint="eastAsia" w:ascii="宋体" w:hAnsi="宋体" w:eastAsia="宋体" w:cs="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52638280">
            <w:pPr>
              <w:tabs>
                <w:tab w:val="left" w:pos="720"/>
              </w:tabs>
              <w:snapToGrid w:val="0"/>
              <w:spacing w:line="360" w:lineRule="auto"/>
              <w:jc w:val="center"/>
              <w:rPr>
                <w:rFonts w:hint="eastAsia" w:ascii="宋体" w:hAnsi="宋体" w:eastAsia="宋体" w:cs="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6EDAD122">
            <w:pPr>
              <w:tabs>
                <w:tab w:val="left" w:pos="720"/>
              </w:tabs>
              <w:snapToGrid w:val="0"/>
              <w:spacing w:line="360" w:lineRule="auto"/>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18E684F0">
            <w:pPr>
              <w:tabs>
                <w:tab w:val="left" w:pos="720"/>
              </w:tabs>
              <w:snapToGrid w:val="0"/>
              <w:spacing w:line="360" w:lineRule="auto"/>
              <w:jc w:val="center"/>
              <w:rPr>
                <w:rFonts w:hint="eastAsia" w:ascii="宋体" w:hAnsi="宋体" w:eastAsia="宋体" w:cs="宋体"/>
                <w:color w:val="auto"/>
                <w:szCs w:val="21"/>
                <w:highlight w:val="none"/>
              </w:rPr>
            </w:pPr>
          </w:p>
        </w:tc>
      </w:tr>
      <w:tr w14:paraId="4F43F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5E0BBADB">
            <w:pPr>
              <w:tabs>
                <w:tab w:val="left" w:pos="720"/>
              </w:tabs>
              <w:snapToGrid w:val="0"/>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7C35910A">
            <w:pPr>
              <w:tabs>
                <w:tab w:val="left" w:pos="720"/>
              </w:tabs>
              <w:snapToGrid w:val="0"/>
              <w:spacing w:line="360" w:lineRule="auto"/>
              <w:jc w:val="center"/>
              <w:rPr>
                <w:rFonts w:hint="eastAsia" w:ascii="宋体" w:hAnsi="宋体" w:eastAsia="宋体" w:cs="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7CF9870B">
            <w:pPr>
              <w:tabs>
                <w:tab w:val="left" w:pos="720"/>
              </w:tabs>
              <w:snapToGrid w:val="0"/>
              <w:spacing w:line="360" w:lineRule="auto"/>
              <w:jc w:val="center"/>
              <w:rPr>
                <w:rFonts w:hint="eastAsia" w:ascii="宋体" w:hAnsi="宋体" w:eastAsia="宋体" w:cs="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609DACAE">
            <w:pPr>
              <w:tabs>
                <w:tab w:val="left" w:pos="720"/>
              </w:tabs>
              <w:snapToGrid w:val="0"/>
              <w:spacing w:line="360" w:lineRule="auto"/>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24F03D43">
            <w:pPr>
              <w:tabs>
                <w:tab w:val="left" w:pos="720"/>
              </w:tabs>
              <w:snapToGrid w:val="0"/>
              <w:spacing w:line="360" w:lineRule="auto"/>
              <w:jc w:val="center"/>
              <w:rPr>
                <w:rFonts w:hint="eastAsia" w:ascii="宋体" w:hAnsi="宋体" w:eastAsia="宋体" w:cs="宋体"/>
                <w:color w:val="auto"/>
                <w:szCs w:val="21"/>
                <w:highlight w:val="none"/>
              </w:rPr>
            </w:pPr>
          </w:p>
        </w:tc>
      </w:tr>
      <w:tr w14:paraId="1AD35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409D8C51">
            <w:pPr>
              <w:tabs>
                <w:tab w:val="left" w:pos="720"/>
              </w:tabs>
              <w:snapToGrid w:val="0"/>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6CDAB550">
            <w:pPr>
              <w:tabs>
                <w:tab w:val="left" w:pos="720"/>
              </w:tabs>
              <w:snapToGrid w:val="0"/>
              <w:spacing w:line="360" w:lineRule="auto"/>
              <w:jc w:val="center"/>
              <w:rPr>
                <w:rFonts w:hint="eastAsia" w:ascii="宋体" w:hAnsi="宋体" w:eastAsia="宋体" w:cs="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3B28CF81">
            <w:pPr>
              <w:tabs>
                <w:tab w:val="left" w:pos="720"/>
              </w:tabs>
              <w:snapToGrid w:val="0"/>
              <w:spacing w:line="360" w:lineRule="auto"/>
              <w:jc w:val="center"/>
              <w:rPr>
                <w:rFonts w:hint="eastAsia" w:ascii="宋体" w:hAnsi="宋体" w:eastAsia="宋体" w:cs="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2823DD98">
            <w:pPr>
              <w:tabs>
                <w:tab w:val="left" w:pos="720"/>
              </w:tabs>
              <w:snapToGrid w:val="0"/>
              <w:spacing w:line="360" w:lineRule="auto"/>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3A0AA54D">
            <w:pPr>
              <w:tabs>
                <w:tab w:val="left" w:pos="720"/>
              </w:tabs>
              <w:snapToGrid w:val="0"/>
              <w:spacing w:line="360" w:lineRule="auto"/>
              <w:jc w:val="center"/>
              <w:rPr>
                <w:rFonts w:hint="eastAsia" w:ascii="宋体" w:hAnsi="宋体" w:eastAsia="宋体" w:cs="宋体"/>
                <w:color w:val="auto"/>
                <w:szCs w:val="21"/>
                <w:highlight w:val="none"/>
              </w:rPr>
            </w:pPr>
          </w:p>
        </w:tc>
      </w:tr>
      <w:tr w14:paraId="7BA63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37558ED1">
            <w:pPr>
              <w:tabs>
                <w:tab w:val="left" w:pos="720"/>
              </w:tabs>
              <w:snapToGrid w:val="0"/>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346D08DE">
            <w:pPr>
              <w:tabs>
                <w:tab w:val="left" w:pos="720"/>
              </w:tabs>
              <w:snapToGrid w:val="0"/>
              <w:spacing w:line="360" w:lineRule="auto"/>
              <w:jc w:val="center"/>
              <w:rPr>
                <w:rFonts w:hint="eastAsia" w:ascii="宋体" w:hAnsi="宋体" w:eastAsia="宋体" w:cs="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092C815E">
            <w:pPr>
              <w:tabs>
                <w:tab w:val="left" w:pos="720"/>
              </w:tabs>
              <w:snapToGrid w:val="0"/>
              <w:spacing w:line="360" w:lineRule="auto"/>
              <w:jc w:val="center"/>
              <w:rPr>
                <w:rFonts w:hint="eastAsia" w:ascii="宋体" w:hAnsi="宋体" w:eastAsia="宋体" w:cs="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1DCDECD6">
            <w:pPr>
              <w:tabs>
                <w:tab w:val="left" w:pos="720"/>
              </w:tabs>
              <w:snapToGrid w:val="0"/>
              <w:spacing w:line="360" w:lineRule="auto"/>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4500CC40">
            <w:pPr>
              <w:tabs>
                <w:tab w:val="left" w:pos="720"/>
              </w:tabs>
              <w:snapToGrid w:val="0"/>
              <w:spacing w:line="360" w:lineRule="auto"/>
              <w:jc w:val="center"/>
              <w:rPr>
                <w:rFonts w:hint="eastAsia" w:ascii="宋体" w:hAnsi="宋体" w:eastAsia="宋体" w:cs="宋体"/>
                <w:color w:val="auto"/>
                <w:szCs w:val="21"/>
                <w:highlight w:val="none"/>
              </w:rPr>
            </w:pPr>
          </w:p>
        </w:tc>
      </w:tr>
      <w:tr w14:paraId="1D862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14:paraId="060BF794">
            <w:pPr>
              <w:tabs>
                <w:tab w:val="left" w:pos="720"/>
              </w:tabs>
              <w:snapToGrid w:val="0"/>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130AAE15">
            <w:pPr>
              <w:tabs>
                <w:tab w:val="left" w:pos="720"/>
              </w:tabs>
              <w:snapToGrid w:val="0"/>
              <w:spacing w:line="360" w:lineRule="auto"/>
              <w:jc w:val="center"/>
              <w:rPr>
                <w:rFonts w:hint="eastAsia" w:ascii="宋体" w:hAnsi="宋体" w:eastAsia="宋体" w:cs="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15E5068E">
            <w:pPr>
              <w:tabs>
                <w:tab w:val="left" w:pos="720"/>
              </w:tabs>
              <w:snapToGrid w:val="0"/>
              <w:spacing w:line="360" w:lineRule="auto"/>
              <w:jc w:val="center"/>
              <w:rPr>
                <w:rFonts w:hint="eastAsia" w:ascii="宋体" w:hAnsi="宋体" w:eastAsia="宋体" w:cs="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6961F880">
            <w:pPr>
              <w:tabs>
                <w:tab w:val="left" w:pos="720"/>
              </w:tabs>
              <w:snapToGrid w:val="0"/>
              <w:spacing w:line="360" w:lineRule="auto"/>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3EF189B7">
            <w:pPr>
              <w:tabs>
                <w:tab w:val="left" w:pos="720"/>
              </w:tabs>
              <w:snapToGrid w:val="0"/>
              <w:spacing w:line="360" w:lineRule="auto"/>
              <w:jc w:val="center"/>
              <w:rPr>
                <w:rFonts w:hint="eastAsia" w:ascii="宋体" w:hAnsi="宋体" w:eastAsia="宋体" w:cs="宋体"/>
                <w:color w:val="auto"/>
                <w:szCs w:val="21"/>
                <w:highlight w:val="none"/>
              </w:rPr>
            </w:pPr>
          </w:p>
        </w:tc>
      </w:tr>
      <w:tr w14:paraId="232B5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14:paraId="29592ED8">
            <w:pPr>
              <w:tabs>
                <w:tab w:val="left" w:pos="720"/>
              </w:tabs>
              <w:snapToGrid w:val="0"/>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261BC451">
            <w:pPr>
              <w:tabs>
                <w:tab w:val="left" w:pos="720"/>
              </w:tabs>
              <w:snapToGrid w:val="0"/>
              <w:spacing w:line="360" w:lineRule="auto"/>
              <w:jc w:val="center"/>
              <w:rPr>
                <w:rFonts w:hint="eastAsia" w:ascii="宋体" w:hAnsi="宋体" w:eastAsia="宋体" w:cs="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367E79C9">
            <w:pPr>
              <w:tabs>
                <w:tab w:val="left" w:pos="720"/>
              </w:tabs>
              <w:snapToGrid w:val="0"/>
              <w:spacing w:line="360" w:lineRule="auto"/>
              <w:jc w:val="center"/>
              <w:rPr>
                <w:rFonts w:hint="eastAsia" w:ascii="宋体" w:hAnsi="宋体" w:eastAsia="宋体" w:cs="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420E2EE8">
            <w:pPr>
              <w:tabs>
                <w:tab w:val="left" w:pos="720"/>
              </w:tabs>
              <w:snapToGrid w:val="0"/>
              <w:spacing w:line="360" w:lineRule="auto"/>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1C503ADA">
            <w:pPr>
              <w:tabs>
                <w:tab w:val="left" w:pos="720"/>
              </w:tabs>
              <w:snapToGrid w:val="0"/>
              <w:spacing w:line="360" w:lineRule="auto"/>
              <w:jc w:val="center"/>
              <w:rPr>
                <w:rFonts w:hint="eastAsia" w:ascii="宋体" w:hAnsi="宋体" w:eastAsia="宋体" w:cs="宋体"/>
                <w:color w:val="auto"/>
                <w:szCs w:val="21"/>
                <w:highlight w:val="none"/>
              </w:rPr>
            </w:pPr>
          </w:p>
        </w:tc>
      </w:tr>
    </w:tbl>
    <w:p w14:paraId="41B0ADE3">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注：参与编制投标文件所有人员名单应包括如编制各种专业工程量清单投标报价、负责清样校对、负责打印及复印等所有人员在内的人员名单。</w:t>
      </w:r>
    </w:p>
    <w:p w14:paraId="1BC391D2">
      <w:pPr>
        <w:autoSpaceDE w:val="0"/>
        <w:autoSpaceDN w:val="0"/>
        <w:adjustRightIn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Cs w:val="21"/>
          <w:highlight w:val="none"/>
        </w:rPr>
        <w:t>★</w:t>
      </w:r>
      <w:r>
        <w:rPr>
          <w:rFonts w:hint="eastAsia" w:ascii="宋体" w:hAnsi="宋体" w:eastAsia="宋体" w:cs="宋体"/>
          <w:color w:val="auto"/>
          <w:sz w:val="24"/>
          <w:highlight w:val="none"/>
        </w:rPr>
        <w:t>经济标投标文件格式</w:t>
      </w:r>
      <w:r>
        <w:rPr>
          <w:rFonts w:hint="eastAsia" w:ascii="宋体" w:hAnsi="宋体" w:cs="宋体"/>
          <w:color w:val="auto"/>
          <w:sz w:val="24"/>
          <w:highlight w:val="none"/>
          <w:lang w:eastAsia="zh-CN"/>
        </w:rPr>
        <w:t>五</w:t>
      </w:r>
      <w:r>
        <w:rPr>
          <w:rFonts w:hint="eastAsia" w:ascii="宋体" w:hAnsi="宋体" w:eastAsia="宋体" w:cs="宋体"/>
          <w:color w:val="auto"/>
          <w:sz w:val="24"/>
          <w:highlight w:val="none"/>
        </w:rPr>
        <w:t>：</w:t>
      </w:r>
    </w:p>
    <w:p w14:paraId="627F80F9">
      <w:pPr>
        <w:pStyle w:val="5"/>
        <w:spacing w:after="0" w:line="360" w:lineRule="auto"/>
        <w:ind w:firstLine="0"/>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对投标文件编制的承诺</w:t>
      </w:r>
    </w:p>
    <w:p w14:paraId="5788C102">
      <w:pPr>
        <w:pStyle w:val="5"/>
        <w:spacing w:after="0" w:line="360" w:lineRule="auto"/>
        <w:ind w:left="-2" w:leftChars="-1"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本公司授权</w:t>
      </w:r>
      <w:r>
        <w:rPr>
          <w:rFonts w:hint="eastAsia" w:ascii="宋体" w:hAnsi="宋体" w:eastAsia="宋体" w:cs="宋体"/>
          <w:color w:val="auto"/>
          <w:sz w:val="24"/>
          <w:szCs w:val="24"/>
          <w:highlight w:val="none"/>
          <w:u w:val="single"/>
        </w:rPr>
        <w:t xml:space="preserve">         （身份证号：               ）</w:t>
      </w:r>
      <w:r>
        <w:rPr>
          <w:rFonts w:hint="eastAsia" w:ascii="宋体" w:hAnsi="宋体" w:eastAsia="宋体" w:cs="宋体"/>
          <w:color w:val="auto"/>
          <w:sz w:val="24"/>
          <w:szCs w:val="24"/>
          <w:highlight w:val="none"/>
        </w:rPr>
        <w:t>负责对投标文件的编制及内容进行解释、说明，并承诺以下事项：</w:t>
      </w:r>
    </w:p>
    <w:p w14:paraId="43BCE0C4">
      <w:pPr>
        <w:pStyle w:val="5"/>
        <w:spacing w:after="0" w:line="360" w:lineRule="auto"/>
        <w:ind w:left="-2" w:leftChars="-1"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1.被授权人清楚投标文件编制的具体情况，包括技术方案文件、工程量清单、以及投标文件的加密打包的理解；</w:t>
      </w:r>
    </w:p>
    <w:p w14:paraId="4E70CC3B">
      <w:pPr>
        <w:pStyle w:val="5"/>
        <w:spacing w:after="0" w:line="360" w:lineRule="auto"/>
        <w:ind w:left="-2" w:leftChars="-1"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2.在本项目开标至评标结束前，努力确保被授权人在项目评标所在地附近；</w:t>
      </w:r>
    </w:p>
    <w:p w14:paraId="36713F9C">
      <w:pPr>
        <w:pStyle w:val="5"/>
        <w:spacing w:after="0" w:line="360" w:lineRule="auto"/>
        <w:ind w:left="-2" w:leftChars="-1"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3.从评标委员会要求澄清起二小时内，被授权人应如实地书面澄清。</w:t>
      </w:r>
    </w:p>
    <w:p w14:paraId="4994AC88">
      <w:pPr>
        <w:pStyle w:val="5"/>
        <w:spacing w:after="0" w:line="360" w:lineRule="auto"/>
        <w:ind w:left="-2" w:leftChars="-1"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如由于未遵守上述承诺内容之一导致无法进行澄清的，我公司认可和接受评标委员会作出的评审结论。                                 </w:t>
      </w:r>
    </w:p>
    <w:p w14:paraId="7647AA97">
      <w:pPr>
        <w:pStyle w:val="5"/>
        <w:spacing w:after="0" w:line="360" w:lineRule="auto"/>
        <w:ind w:firstLine="360" w:firstLineChars="150"/>
        <w:rPr>
          <w:rFonts w:hint="eastAsia" w:ascii="宋体" w:hAnsi="宋体" w:eastAsia="宋体" w:cs="宋体"/>
          <w:color w:val="auto"/>
          <w:sz w:val="24"/>
          <w:szCs w:val="24"/>
          <w:highlight w:val="none"/>
        </w:rPr>
      </w:pPr>
    </w:p>
    <w:p w14:paraId="27CEEB13">
      <w:pPr>
        <w:pStyle w:val="5"/>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附件：《投标文件编制情况》</w:t>
      </w:r>
    </w:p>
    <w:p w14:paraId="53C68F87">
      <w:pPr>
        <w:spacing w:line="360" w:lineRule="auto"/>
        <w:ind w:right="90" w:firstLine="3240" w:firstLineChars="13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投标人名称：</w:t>
      </w:r>
    </w:p>
    <w:p w14:paraId="0A8C66FC">
      <w:pPr>
        <w:spacing w:line="360" w:lineRule="auto"/>
        <w:ind w:firstLine="4440" w:firstLineChars="18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4C74C5C5">
      <w:pPr>
        <w:pStyle w:val="5"/>
        <w:spacing w:after="0" w:line="360" w:lineRule="auto"/>
        <w:ind w:firstLine="0"/>
        <w:rPr>
          <w:rFonts w:hint="eastAsia" w:ascii="宋体" w:hAnsi="宋体" w:eastAsia="宋体" w:cs="宋体"/>
          <w:b/>
          <w:color w:val="auto"/>
          <w:sz w:val="32"/>
          <w:szCs w:val="32"/>
          <w:highlight w:val="none"/>
        </w:rPr>
      </w:pPr>
    </w:p>
    <w:p w14:paraId="1A1FD95E">
      <w:pPr>
        <w:pStyle w:val="5"/>
        <w:spacing w:after="0" w:line="360" w:lineRule="auto"/>
        <w:ind w:firstLine="640" w:firstLineChars="200"/>
        <w:jc w:val="center"/>
        <w:rPr>
          <w:rFonts w:hint="eastAsia" w:ascii="宋体" w:hAnsi="宋体" w:eastAsia="宋体" w:cs="宋体"/>
          <w:color w:val="auto"/>
          <w:sz w:val="18"/>
          <w:szCs w:val="18"/>
          <w:highlight w:val="none"/>
        </w:rPr>
      </w:pPr>
      <w:r>
        <w:rPr>
          <w:rFonts w:hint="eastAsia" w:ascii="宋体" w:hAnsi="宋体" w:eastAsia="宋体" w:cs="宋体"/>
          <w:b/>
          <w:color w:val="auto"/>
          <w:sz w:val="32"/>
          <w:szCs w:val="32"/>
          <w:highlight w:val="none"/>
        </w:rPr>
        <w:t>投标文件编制情况</w:t>
      </w:r>
    </w:p>
    <w:p w14:paraId="5E044166">
      <w:pPr>
        <w:pStyle w:val="5"/>
        <w:spacing w:after="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1.投标文件报价编制方式: □自行编制的，编制的负责人：</w:t>
      </w:r>
      <w:r>
        <w:rPr>
          <w:rFonts w:hint="eastAsia" w:ascii="宋体" w:hAnsi="宋体" w:eastAsia="宋体" w:cs="宋体"/>
          <w:color w:val="auto"/>
          <w:sz w:val="24"/>
          <w:szCs w:val="24"/>
          <w:highlight w:val="none"/>
          <w:u w:val="single"/>
        </w:rPr>
        <w:t xml:space="preserve"> （盖造价工程师执业专用章或全国建设工程造价员章，执业单位应与投标人一致） </w:t>
      </w:r>
      <w:r>
        <w:rPr>
          <w:rFonts w:hint="eastAsia" w:ascii="宋体" w:hAnsi="宋体" w:eastAsia="宋体" w:cs="宋体"/>
          <w:color w:val="auto"/>
          <w:sz w:val="24"/>
          <w:szCs w:val="24"/>
          <w:highlight w:val="none"/>
        </w:rPr>
        <w:t>。□委托编制的，受委托单位，编制的负责人：</w:t>
      </w:r>
      <w:r>
        <w:rPr>
          <w:rFonts w:hint="eastAsia" w:ascii="宋体" w:hAnsi="宋体" w:eastAsia="宋体" w:cs="宋体"/>
          <w:color w:val="auto"/>
          <w:sz w:val="24"/>
          <w:szCs w:val="24"/>
          <w:highlight w:val="none"/>
          <w:u w:val="single"/>
        </w:rPr>
        <w:t xml:space="preserve"> （盖造价工程师执业专用章或全国建设工程造价员章，执业单位应与受委托单位一致） </w:t>
      </w:r>
      <w:r>
        <w:rPr>
          <w:rFonts w:hint="eastAsia" w:ascii="宋体" w:hAnsi="宋体" w:eastAsia="宋体" w:cs="宋体"/>
          <w:color w:val="auto"/>
          <w:sz w:val="24"/>
          <w:szCs w:val="24"/>
          <w:highlight w:val="none"/>
        </w:rPr>
        <w:t>。</w:t>
      </w:r>
    </w:p>
    <w:p w14:paraId="2CE394E6">
      <w:pPr>
        <w:pStyle w:val="5"/>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2.投标文件加密打包的电脑情况</w:t>
      </w:r>
    </w:p>
    <w:tbl>
      <w:tblPr>
        <w:tblStyle w:val="34"/>
        <w:tblW w:w="8522" w:type="dxa"/>
        <w:tblInd w:w="0" w:type="dxa"/>
        <w:tblLayout w:type="fixed"/>
        <w:tblCellMar>
          <w:top w:w="0" w:type="dxa"/>
          <w:left w:w="108" w:type="dxa"/>
          <w:bottom w:w="0" w:type="dxa"/>
          <w:right w:w="108" w:type="dxa"/>
        </w:tblCellMar>
      </w:tblPr>
      <w:tblGrid>
        <w:gridCol w:w="8522"/>
      </w:tblGrid>
      <w:tr w14:paraId="0DCE73AD">
        <w:tblPrEx>
          <w:tblCellMar>
            <w:top w:w="0" w:type="dxa"/>
            <w:left w:w="108" w:type="dxa"/>
            <w:bottom w:w="0" w:type="dxa"/>
            <w:right w:w="108" w:type="dxa"/>
          </w:tblCellMar>
        </w:tblPrEx>
        <w:trPr>
          <w:trHeight w:val="2819" w:hRule="atLeast"/>
        </w:trPr>
        <w:tc>
          <w:tcPr>
            <w:tcW w:w="8522" w:type="dxa"/>
          </w:tcPr>
          <w:p w14:paraId="5DC95B1F">
            <w:pPr>
              <w:pStyle w:val="5"/>
              <w:spacing w:after="0"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投标文件加密打包的电脑     自有    □      外包    □     其他    □</w:t>
            </w:r>
          </w:p>
          <w:p w14:paraId="537947F5">
            <w:pPr>
              <w:pStyle w:val="5"/>
              <w:spacing w:after="0"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电脑类型</w:t>
            </w:r>
          </w:p>
          <w:p w14:paraId="1804E333">
            <w:pPr>
              <w:pStyle w:val="5"/>
              <w:spacing w:after="0"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电脑所属单位</w:t>
            </w:r>
          </w:p>
          <w:p w14:paraId="58EC9A8E">
            <w:pPr>
              <w:pStyle w:val="5"/>
              <w:spacing w:after="0"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电脑所在地址    （如××市××区(县) ××街（路）××号××大厦××房）</w:t>
            </w:r>
          </w:p>
        </w:tc>
      </w:tr>
    </w:tbl>
    <w:p w14:paraId="7FC0EF8E">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34B615E4">
      <w:pPr>
        <w:pageBreakBefore/>
        <w:spacing w:line="288" w:lineRule="auto"/>
        <w:ind w:firstLine="0" w:firstLineChars="0"/>
        <w:outlineLvl w:val="2"/>
        <w:rPr>
          <w:rFonts w:hint="eastAsia" w:ascii="宋体" w:hAnsi="宋体" w:cs="宋体"/>
          <w:b/>
          <w:bCs/>
          <w:color w:val="auto"/>
          <w:sz w:val="24"/>
          <w:highlight w:val="none"/>
        </w:rPr>
      </w:pPr>
      <w:r>
        <w:rPr>
          <w:rFonts w:hint="eastAsia" w:ascii="宋体" w:hAnsi="宋体" w:eastAsia="宋体" w:cs="宋体"/>
          <w:color w:val="auto"/>
          <w:sz w:val="24"/>
          <w:highlight w:val="none"/>
        </w:rPr>
        <w:t>经济标投标文件格式</w:t>
      </w:r>
      <w:r>
        <w:rPr>
          <w:rFonts w:hint="eastAsia" w:ascii="宋体" w:hAnsi="宋体" w:cs="宋体"/>
          <w:color w:val="auto"/>
          <w:sz w:val="24"/>
          <w:highlight w:val="none"/>
          <w:lang w:val="en-US" w:eastAsia="zh-CN"/>
        </w:rPr>
        <w:t>六</w:t>
      </w:r>
      <w:r>
        <w:rPr>
          <w:rFonts w:hint="eastAsia" w:ascii="宋体" w:hAnsi="宋体" w:cs="宋体"/>
          <w:b w:val="0"/>
          <w:color w:val="auto"/>
          <w:kern w:val="2"/>
          <w:sz w:val="24"/>
          <w:highlight w:val="none"/>
          <w:lang w:val="zh-CN"/>
        </w:rPr>
        <w:t>：</w:t>
      </w:r>
      <w:r>
        <w:rPr>
          <w:rFonts w:hint="eastAsia" w:ascii="宋体" w:hAnsi="宋体" w:cs="宋体"/>
          <w:b/>
          <w:bCs/>
          <w:color w:val="auto"/>
          <w:sz w:val="24"/>
          <w:highlight w:val="none"/>
        </w:rPr>
        <w:t>（以下格式文件由投标人根据需要选用）</w:t>
      </w:r>
    </w:p>
    <w:p w14:paraId="48729914">
      <w:pPr>
        <w:ind w:firstLine="480"/>
        <w:rPr>
          <w:color w:val="auto"/>
          <w:highlight w:val="none"/>
        </w:rPr>
      </w:pPr>
    </w:p>
    <w:p w14:paraId="6F677884">
      <w:pPr>
        <w:spacing w:after="163" w:afterLines="50" w:line="288" w:lineRule="auto"/>
        <w:ind w:firstLine="0" w:firstLineChars="0"/>
        <w:jc w:val="center"/>
        <w:outlineLvl w:val="3"/>
        <w:rPr>
          <w:rFonts w:cs="Times New Roman"/>
          <w:b/>
          <w:color w:val="auto"/>
          <w:sz w:val="36"/>
          <w:szCs w:val="24"/>
          <w:highlight w:val="none"/>
          <w:lang w:bidi="ar"/>
        </w:rPr>
      </w:pPr>
      <w:r>
        <w:rPr>
          <w:rFonts w:hint="eastAsia" w:cs="Times New Roman"/>
          <w:b/>
          <w:color w:val="auto"/>
          <w:sz w:val="36"/>
          <w:szCs w:val="24"/>
          <w:highlight w:val="none"/>
          <w:lang w:bidi="ar"/>
        </w:rPr>
        <w:t>中小企业声明函</w:t>
      </w:r>
    </w:p>
    <w:p w14:paraId="6F876180">
      <w:pPr>
        <w:ind w:firstLine="0" w:firstLineChars="0"/>
        <w:rPr>
          <w:rFonts w:cs="Times New Roman"/>
          <w:color w:val="auto"/>
          <w:szCs w:val="24"/>
          <w:highlight w:val="none"/>
          <w:lang w:bidi="ar"/>
        </w:rPr>
      </w:pPr>
      <w:r>
        <w:rPr>
          <w:rFonts w:hint="eastAsia" w:cs="Times New Roman"/>
          <w:color w:val="auto"/>
          <w:szCs w:val="24"/>
          <w:highlight w:val="none"/>
          <w:lang w:bidi="ar"/>
        </w:rPr>
        <w:t>致：</w:t>
      </w:r>
      <w:r>
        <w:rPr>
          <w:rFonts w:hint="eastAsia" w:cs="Times New Roman"/>
          <w:color w:val="auto"/>
          <w:szCs w:val="24"/>
          <w:highlight w:val="none"/>
          <w:u w:val="single"/>
          <w:lang w:bidi="ar"/>
        </w:rPr>
        <w:t>广州市白云城市建设投资有限公司</w:t>
      </w:r>
    </w:p>
    <w:p w14:paraId="37B46DF3">
      <w:pPr>
        <w:ind w:firstLine="480"/>
        <w:rPr>
          <w:rFonts w:cs="Times New Roman"/>
          <w:color w:val="auto"/>
          <w:szCs w:val="24"/>
          <w:highlight w:val="none"/>
          <w:lang w:bidi="ar"/>
        </w:rPr>
      </w:pPr>
      <w:r>
        <w:rPr>
          <w:rFonts w:hint="eastAsia" w:cs="Times New Roman"/>
          <w:color w:val="auto"/>
          <w:szCs w:val="24"/>
          <w:highlight w:val="none"/>
          <w:lang w:bidi="ar"/>
        </w:rPr>
        <w:t>本公司郑重声明，根据《政府采购促进中小企业发展管理办法》（财库〔2020〕46号）的规定，本公司参加</w:t>
      </w:r>
      <w:r>
        <w:rPr>
          <w:rFonts w:hint="eastAsia" w:cs="Times New Roman"/>
          <w:color w:val="auto"/>
          <w:szCs w:val="24"/>
          <w:highlight w:val="none"/>
          <w:u w:val="single"/>
          <w:lang w:bidi="ar"/>
        </w:rPr>
        <w:t>广州市白云城市建设投资有限公司</w:t>
      </w:r>
      <w:r>
        <w:rPr>
          <w:rFonts w:hint="eastAsia" w:cs="Times New Roman"/>
          <w:color w:val="auto"/>
          <w:szCs w:val="24"/>
          <w:highlight w:val="none"/>
          <w:lang w:bidi="ar"/>
        </w:rPr>
        <w:t>的</w:t>
      </w:r>
      <w:r>
        <w:rPr>
          <w:rFonts w:hint="eastAsia" w:cs="Times New Roman"/>
          <w:b/>
          <w:color w:val="auto"/>
          <w:szCs w:val="24"/>
          <w:highlight w:val="none"/>
          <w:u w:val="single"/>
          <w:lang w:bidi="ar"/>
        </w:rPr>
        <w:t>广州市白云区萧岗村项目首期地块清表平整、围蔽、拆卸工程施工总承包</w:t>
      </w:r>
      <w:r>
        <w:rPr>
          <w:rFonts w:hint="eastAsia" w:cs="Times New Roman"/>
          <w:color w:val="auto"/>
          <w:szCs w:val="24"/>
          <w:highlight w:val="none"/>
          <w:lang w:bidi="ar"/>
        </w:rPr>
        <w:t>招标活动，工程的施工单位全部为符合政策要求的中小企业（或者：服务全部由符合政策要求的中小企业承接）。相关企业（含联合体中的中小企业、签订分包意向协议的中小企业）的具体情况如下：</w:t>
      </w:r>
    </w:p>
    <w:p w14:paraId="1FEAE643">
      <w:pPr>
        <w:ind w:firstLine="480"/>
        <w:rPr>
          <w:rFonts w:cs="Times New Roman"/>
          <w:color w:val="auto"/>
          <w:szCs w:val="24"/>
          <w:highlight w:val="none"/>
          <w:lang w:bidi="ar"/>
        </w:rPr>
      </w:pPr>
      <w:r>
        <w:rPr>
          <w:rFonts w:hint="eastAsia" w:cs="Times New Roman"/>
          <w:color w:val="auto"/>
          <w:szCs w:val="24"/>
          <w:highlight w:val="none"/>
          <w:lang w:bidi="ar"/>
        </w:rPr>
        <w:t>1.</w:t>
      </w:r>
      <w:r>
        <w:rPr>
          <w:rFonts w:hint="eastAsia" w:cs="Times New Roman"/>
          <w:color w:val="auto"/>
          <w:szCs w:val="24"/>
          <w:highlight w:val="none"/>
          <w:u w:val="single"/>
          <w:lang w:bidi="ar"/>
        </w:rPr>
        <w:t>（标的名称）</w:t>
      </w:r>
      <w:r>
        <w:rPr>
          <w:rFonts w:hint="eastAsia" w:cs="Times New Roman"/>
          <w:color w:val="auto"/>
          <w:szCs w:val="24"/>
          <w:highlight w:val="none"/>
          <w:lang w:bidi="ar"/>
        </w:rPr>
        <w:t>，属于</w:t>
      </w:r>
      <w:r>
        <w:rPr>
          <w:rFonts w:hint="eastAsia" w:cs="Times New Roman"/>
          <w:color w:val="auto"/>
          <w:szCs w:val="24"/>
          <w:highlight w:val="none"/>
          <w:u w:val="single"/>
          <w:lang w:val="en-US" w:eastAsia="zh-CN" w:bidi="ar"/>
        </w:rPr>
        <w:t>建筑业</w:t>
      </w:r>
      <w:r>
        <w:rPr>
          <w:rFonts w:hint="eastAsia" w:cs="Times New Roman"/>
          <w:color w:val="auto"/>
          <w:szCs w:val="24"/>
          <w:highlight w:val="none"/>
          <w:lang w:bidi="ar"/>
        </w:rPr>
        <w:t>行业；承建（承接）企业为</w:t>
      </w:r>
      <w:r>
        <w:rPr>
          <w:rFonts w:hint="eastAsia" w:cs="Times New Roman"/>
          <w:color w:val="auto"/>
          <w:szCs w:val="24"/>
          <w:highlight w:val="none"/>
          <w:u w:val="single"/>
          <w:lang w:bidi="ar"/>
        </w:rPr>
        <w:t>（企业名称）</w:t>
      </w:r>
      <w:r>
        <w:rPr>
          <w:rFonts w:hint="eastAsia" w:cs="Times New Roman"/>
          <w:color w:val="auto"/>
          <w:szCs w:val="24"/>
          <w:highlight w:val="none"/>
          <w:lang w:bidi="ar"/>
        </w:rPr>
        <w:t>，从业人员</w:t>
      </w:r>
      <w:r>
        <w:rPr>
          <w:rFonts w:hint="eastAsia" w:cs="Times New Roman"/>
          <w:color w:val="auto"/>
          <w:szCs w:val="24"/>
          <w:highlight w:val="none"/>
          <w:u w:val="single"/>
          <w:lang w:bidi="ar"/>
        </w:rPr>
        <w:t xml:space="preserve">     </w:t>
      </w:r>
      <w:r>
        <w:rPr>
          <w:rFonts w:hint="eastAsia" w:cs="Times New Roman"/>
          <w:color w:val="auto"/>
          <w:szCs w:val="24"/>
          <w:highlight w:val="none"/>
          <w:lang w:bidi="ar"/>
        </w:rPr>
        <w:t>人，营业收入为</w:t>
      </w:r>
      <w:r>
        <w:rPr>
          <w:rFonts w:hint="eastAsia" w:cs="Times New Roman"/>
          <w:color w:val="auto"/>
          <w:szCs w:val="24"/>
          <w:highlight w:val="none"/>
          <w:u w:val="single"/>
          <w:lang w:bidi="ar"/>
        </w:rPr>
        <w:t xml:space="preserve">          </w:t>
      </w:r>
      <w:r>
        <w:rPr>
          <w:rFonts w:hint="eastAsia" w:cs="Times New Roman"/>
          <w:color w:val="auto"/>
          <w:szCs w:val="24"/>
          <w:highlight w:val="none"/>
          <w:lang w:bidi="ar"/>
        </w:rPr>
        <w:t>万元，资产总额为</w:t>
      </w:r>
      <w:r>
        <w:rPr>
          <w:rFonts w:hint="eastAsia" w:cs="Times New Roman"/>
          <w:color w:val="auto"/>
          <w:szCs w:val="24"/>
          <w:highlight w:val="none"/>
          <w:u w:val="single"/>
          <w:lang w:bidi="ar"/>
        </w:rPr>
        <w:t xml:space="preserve">          </w:t>
      </w:r>
      <w:r>
        <w:rPr>
          <w:rFonts w:hint="eastAsia" w:cs="Times New Roman"/>
          <w:color w:val="auto"/>
          <w:szCs w:val="24"/>
          <w:highlight w:val="none"/>
          <w:lang w:bidi="ar"/>
        </w:rPr>
        <w:t>万元，属于</w:t>
      </w:r>
      <w:r>
        <w:rPr>
          <w:rFonts w:hint="eastAsia" w:cs="Times New Roman"/>
          <w:color w:val="auto"/>
          <w:szCs w:val="24"/>
          <w:highlight w:val="none"/>
          <w:u w:val="single"/>
          <w:lang w:bidi="ar"/>
        </w:rPr>
        <w:t>（中型企业、小型企业、微型企业）</w:t>
      </w:r>
      <w:r>
        <w:rPr>
          <w:rFonts w:hint="eastAsia" w:cs="Times New Roman"/>
          <w:color w:val="auto"/>
          <w:szCs w:val="24"/>
          <w:highlight w:val="none"/>
          <w:lang w:bidi="ar"/>
        </w:rPr>
        <w:t>；</w:t>
      </w:r>
    </w:p>
    <w:p w14:paraId="119049CC">
      <w:pPr>
        <w:ind w:firstLine="480"/>
        <w:rPr>
          <w:rFonts w:cs="Times New Roman"/>
          <w:color w:val="auto"/>
          <w:szCs w:val="24"/>
          <w:highlight w:val="none"/>
          <w:lang w:bidi="ar"/>
        </w:rPr>
      </w:pPr>
      <w:r>
        <w:rPr>
          <w:rFonts w:hint="eastAsia" w:cs="Times New Roman"/>
          <w:color w:val="auto"/>
          <w:szCs w:val="24"/>
          <w:highlight w:val="none"/>
          <w:lang w:bidi="ar"/>
        </w:rPr>
        <w:t>2.</w:t>
      </w:r>
      <w:r>
        <w:rPr>
          <w:rFonts w:hint="eastAsia" w:cs="Times New Roman"/>
          <w:color w:val="auto"/>
          <w:szCs w:val="24"/>
          <w:highlight w:val="none"/>
          <w:u w:val="single"/>
          <w:lang w:bidi="ar"/>
        </w:rPr>
        <w:t>（标的名称）</w:t>
      </w:r>
      <w:r>
        <w:rPr>
          <w:rFonts w:hint="eastAsia" w:cs="Times New Roman"/>
          <w:color w:val="auto"/>
          <w:szCs w:val="24"/>
          <w:highlight w:val="none"/>
          <w:lang w:bidi="ar"/>
        </w:rPr>
        <w:t>，属于</w:t>
      </w:r>
      <w:r>
        <w:rPr>
          <w:rFonts w:hint="eastAsia" w:cs="Times New Roman"/>
          <w:color w:val="auto"/>
          <w:szCs w:val="24"/>
          <w:highlight w:val="none"/>
          <w:u w:val="single"/>
          <w:lang w:val="en-US" w:eastAsia="zh-CN" w:bidi="ar"/>
        </w:rPr>
        <w:t>建筑业</w:t>
      </w:r>
      <w:r>
        <w:rPr>
          <w:rFonts w:hint="eastAsia" w:cs="Times New Roman"/>
          <w:color w:val="auto"/>
          <w:szCs w:val="24"/>
          <w:highlight w:val="none"/>
          <w:lang w:bidi="ar"/>
        </w:rPr>
        <w:t>行业；承建（承接）企业为</w:t>
      </w:r>
      <w:r>
        <w:rPr>
          <w:rFonts w:hint="eastAsia" w:cs="Times New Roman"/>
          <w:color w:val="auto"/>
          <w:szCs w:val="24"/>
          <w:highlight w:val="none"/>
          <w:u w:val="single"/>
          <w:lang w:bidi="ar"/>
        </w:rPr>
        <w:t>（企业名称）</w:t>
      </w:r>
      <w:r>
        <w:rPr>
          <w:rFonts w:hint="eastAsia" w:cs="Times New Roman"/>
          <w:color w:val="auto"/>
          <w:szCs w:val="24"/>
          <w:highlight w:val="none"/>
          <w:lang w:bidi="ar"/>
        </w:rPr>
        <w:t>，从业人员</w:t>
      </w:r>
      <w:r>
        <w:rPr>
          <w:rFonts w:hint="eastAsia" w:cs="Times New Roman"/>
          <w:color w:val="auto"/>
          <w:szCs w:val="24"/>
          <w:highlight w:val="none"/>
          <w:u w:val="single"/>
          <w:lang w:bidi="ar"/>
        </w:rPr>
        <w:t xml:space="preserve">     </w:t>
      </w:r>
      <w:r>
        <w:rPr>
          <w:rFonts w:hint="eastAsia" w:cs="Times New Roman"/>
          <w:color w:val="auto"/>
          <w:szCs w:val="24"/>
          <w:highlight w:val="none"/>
          <w:lang w:bidi="ar"/>
        </w:rPr>
        <w:t>人，营业收入为</w:t>
      </w:r>
      <w:r>
        <w:rPr>
          <w:rFonts w:hint="eastAsia" w:cs="Times New Roman"/>
          <w:color w:val="auto"/>
          <w:szCs w:val="24"/>
          <w:highlight w:val="none"/>
          <w:u w:val="single"/>
          <w:lang w:bidi="ar"/>
        </w:rPr>
        <w:t xml:space="preserve">          </w:t>
      </w:r>
      <w:r>
        <w:rPr>
          <w:rFonts w:hint="eastAsia" w:cs="Times New Roman"/>
          <w:color w:val="auto"/>
          <w:szCs w:val="24"/>
          <w:highlight w:val="none"/>
          <w:lang w:bidi="ar"/>
        </w:rPr>
        <w:t>万元，资产总额为</w:t>
      </w:r>
      <w:r>
        <w:rPr>
          <w:rFonts w:hint="eastAsia" w:cs="Times New Roman"/>
          <w:color w:val="auto"/>
          <w:szCs w:val="24"/>
          <w:highlight w:val="none"/>
          <w:u w:val="single"/>
          <w:lang w:bidi="ar"/>
        </w:rPr>
        <w:t xml:space="preserve">          </w:t>
      </w:r>
      <w:r>
        <w:rPr>
          <w:rFonts w:hint="eastAsia" w:cs="Times New Roman"/>
          <w:color w:val="auto"/>
          <w:szCs w:val="24"/>
          <w:highlight w:val="none"/>
          <w:lang w:bidi="ar"/>
        </w:rPr>
        <w:t>万元，属于</w:t>
      </w:r>
      <w:r>
        <w:rPr>
          <w:rFonts w:hint="eastAsia" w:cs="Times New Roman"/>
          <w:color w:val="auto"/>
          <w:szCs w:val="24"/>
          <w:highlight w:val="none"/>
          <w:u w:val="single"/>
          <w:lang w:bidi="ar"/>
        </w:rPr>
        <w:t>（中型企业、小型企业、微型企业）</w:t>
      </w:r>
      <w:r>
        <w:rPr>
          <w:rFonts w:hint="eastAsia" w:cs="Times New Roman"/>
          <w:color w:val="auto"/>
          <w:szCs w:val="24"/>
          <w:highlight w:val="none"/>
          <w:lang w:bidi="ar"/>
        </w:rPr>
        <w:t>；</w:t>
      </w:r>
    </w:p>
    <w:p w14:paraId="676BC616">
      <w:pPr>
        <w:ind w:firstLine="480"/>
        <w:rPr>
          <w:rFonts w:cs="Times New Roman"/>
          <w:color w:val="auto"/>
          <w:szCs w:val="24"/>
          <w:highlight w:val="none"/>
          <w:lang w:bidi="ar"/>
        </w:rPr>
      </w:pPr>
      <w:r>
        <w:rPr>
          <w:rFonts w:hint="eastAsia" w:cs="Times New Roman"/>
          <w:color w:val="auto"/>
          <w:szCs w:val="24"/>
          <w:highlight w:val="none"/>
          <w:lang w:bidi="ar"/>
        </w:rPr>
        <w:t>……</w:t>
      </w:r>
    </w:p>
    <w:p w14:paraId="2C9B35ED">
      <w:pPr>
        <w:ind w:firstLine="480"/>
        <w:rPr>
          <w:rFonts w:cs="Times New Roman"/>
          <w:color w:val="auto"/>
          <w:szCs w:val="24"/>
          <w:highlight w:val="none"/>
          <w:lang w:bidi="ar"/>
        </w:rPr>
      </w:pPr>
      <w:r>
        <w:rPr>
          <w:rFonts w:hint="eastAsia" w:cs="Times New Roman"/>
          <w:color w:val="auto"/>
          <w:szCs w:val="24"/>
          <w:highlight w:val="none"/>
          <w:lang w:bidi="ar"/>
        </w:rPr>
        <w:t>以上企业，不属于大企业的分支机构，不存在控股股东为大企业的情形，也不存在与大企业的负责人</w:t>
      </w:r>
      <w:r>
        <w:rPr>
          <w:rFonts w:hint="eastAsia"/>
          <w:color w:val="auto"/>
          <w:szCs w:val="24"/>
          <w:highlight w:val="none"/>
          <w:u w:val="single"/>
          <w:lang w:bidi="ar"/>
        </w:rPr>
        <w:t>或实际控制人</w:t>
      </w:r>
      <w:r>
        <w:rPr>
          <w:rFonts w:hint="eastAsia" w:cs="Times New Roman"/>
          <w:color w:val="auto"/>
          <w:szCs w:val="24"/>
          <w:highlight w:val="none"/>
          <w:lang w:bidi="ar"/>
        </w:rPr>
        <w:t>为同一人的情形。</w:t>
      </w:r>
    </w:p>
    <w:p w14:paraId="59708935">
      <w:pPr>
        <w:ind w:firstLine="480"/>
        <w:rPr>
          <w:rFonts w:cs="Times New Roman"/>
          <w:color w:val="auto"/>
          <w:szCs w:val="24"/>
          <w:highlight w:val="none"/>
          <w:lang w:bidi="ar"/>
        </w:rPr>
      </w:pPr>
      <w:r>
        <w:rPr>
          <w:rFonts w:hint="eastAsia" w:cs="Times New Roman"/>
          <w:color w:val="auto"/>
          <w:szCs w:val="24"/>
          <w:highlight w:val="none"/>
          <w:lang w:bidi="ar"/>
        </w:rPr>
        <w:t>本企业对上述声明内容的真实性负责。如有虚假，将依法承担相应责任。</w:t>
      </w:r>
    </w:p>
    <w:p w14:paraId="4D4C945D">
      <w:pPr>
        <w:ind w:firstLine="480"/>
        <w:rPr>
          <w:rFonts w:cs="Times New Roman"/>
          <w:color w:val="auto"/>
          <w:szCs w:val="24"/>
          <w:highlight w:val="none"/>
          <w:lang w:bidi="ar"/>
        </w:rPr>
      </w:pPr>
    </w:p>
    <w:p w14:paraId="0DE49306">
      <w:pPr>
        <w:ind w:firstLine="480"/>
        <w:rPr>
          <w:rFonts w:cs="Times New Roman"/>
          <w:color w:val="auto"/>
          <w:szCs w:val="24"/>
          <w:highlight w:val="none"/>
          <w:lang w:bidi="ar"/>
        </w:rPr>
      </w:pPr>
    </w:p>
    <w:p w14:paraId="14E8FB7D">
      <w:pPr>
        <w:ind w:firstLine="480"/>
        <w:rPr>
          <w:rFonts w:cs="Times New Roman"/>
          <w:color w:val="auto"/>
          <w:szCs w:val="24"/>
          <w:highlight w:val="none"/>
          <w:lang w:bidi="ar"/>
        </w:rPr>
      </w:pPr>
    </w:p>
    <w:p w14:paraId="4904A7A0">
      <w:pPr>
        <w:spacing w:line="360" w:lineRule="auto"/>
        <w:ind w:firstLine="0" w:firstLineChars="0"/>
        <w:jc w:val="right"/>
        <w:rPr>
          <w:rFonts w:cs="Times New Roman"/>
          <w:color w:val="auto"/>
          <w:szCs w:val="24"/>
          <w:highlight w:val="none"/>
          <w:lang w:bidi="ar"/>
        </w:rPr>
      </w:pPr>
      <w:r>
        <w:rPr>
          <w:rFonts w:hint="eastAsia" w:cs="Times New Roman"/>
          <w:color w:val="auto"/>
          <w:szCs w:val="24"/>
          <w:highlight w:val="none"/>
          <w:lang w:bidi="ar"/>
        </w:rPr>
        <w:t>投标人：</w:t>
      </w:r>
      <w:r>
        <w:rPr>
          <w:rFonts w:hint="eastAsia" w:cs="Times New Roman"/>
          <w:color w:val="auto"/>
          <w:szCs w:val="24"/>
          <w:highlight w:val="none"/>
          <w:u w:val="single"/>
          <w:lang w:bidi="ar"/>
        </w:rPr>
        <w:t xml:space="preserve">                    </w:t>
      </w:r>
      <w:r>
        <w:rPr>
          <w:rFonts w:hint="eastAsia" w:cs="Times New Roman"/>
          <w:color w:val="auto"/>
          <w:szCs w:val="24"/>
          <w:highlight w:val="none"/>
          <w:lang w:bidi="ar"/>
        </w:rPr>
        <w:t>（盖章）</w:t>
      </w:r>
    </w:p>
    <w:p w14:paraId="529F8E53">
      <w:pPr>
        <w:spacing w:line="360" w:lineRule="auto"/>
        <w:ind w:firstLine="0" w:firstLineChars="0"/>
        <w:jc w:val="right"/>
        <w:rPr>
          <w:rFonts w:cs="Times New Roman"/>
          <w:color w:val="auto"/>
          <w:szCs w:val="24"/>
          <w:highlight w:val="none"/>
          <w:u w:val="single"/>
          <w:lang w:bidi="ar"/>
        </w:rPr>
      </w:pPr>
      <w:r>
        <w:rPr>
          <w:rFonts w:hint="eastAsia" w:cs="Times New Roman"/>
          <w:color w:val="auto"/>
          <w:szCs w:val="24"/>
          <w:highlight w:val="none"/>
          <w:u w:val="single"/>
          <w:lang w:bidi="ar"/>
        </w:rPr>
        <w:t xml:space="preserve">      年   月   日</w:t>
      </w:r>
    </w:p>
    <w:p w14:paraId="4E23E0E4">
      <w:pPr>
        <w:ind w:firstLine="480"/>
        <w:rPr>
          <w:rFonts w:cs="Times New Roman"/>
          <w:color w:val="auto"/>
          <w:szCs w:val="24"/>
          <w:highlight w:val="none"/>
          <w:lang w:bidi="ar"/>
        </w:rPr>
      </w:pPr>
    </w:p>
    <w:p w14:paraId="51776365">
      <w:pPr>
        <w:ind w:firstLine="440"/>
        <w:rPr>
          <w:rFonts w:cs="Times New Roman"/>
          <w:color w:val="auto"/>
          <w:sz w:val="22"/>
          <w:szCs w:val="24"/>
          <w:highlight w:val="none"/>
          <w:lang w:bidi="ar"/>
        </w:rPr>
      </w:pPr>
      <w:r>
        <w:rPr>
          <w:rFonts w:hint="eastAsia" w:cs="Times New Roman"/>
          <w:color w:val="auto"/>
          <w:sz w:val="22"/>
          <w:szCs w:val="24"/>
          <w:highlight w:val="none"/>
          <w:lang w:bidi="ar"/>
        </w:rPr>
        <w:t>1、从业人员、营业收入、资产总额填报上一年度数据，无上一年度数据的新成立企业可不填报。</w:t>
      </w:r>
    </w:p>
    <w:p w14:paraId="6C2CE7FD">
      <w:pPr>
        <w:ind w:firstLine="440"/>
        <w:rPr>
          <w:rFonts w:cs="宋体"/>
          <w:b/>
          <w:color w:val="auto"/>
          <w:kern w:val="1"/>
          <w:szCs w:val="20"/>
          <w:highlight w:val="none"/>
        </w:rPr>
      </w:pPr>
      <w:r>
        <w:rPr>
          <w:rFonts w:hint="eastAsia" w:cs="Times New Roman"/>
          <w:color w:val="auto"/>
          <w:sz w:val="22"/>
          <w:szCs w:val="24"/>
          <w:highlight w:val="none"/>
          <w:lang w:bidi="ar"/>
        </w:rPr>
        <w:t>2、投标人应当自行核实是否属于小微企业，并认真填写声明函，若有虚假将追究其责任。</w:t>
      </w:r>
    </w:p>
    <w:p w14:paraId="11CCCDFF">
      <w:pPr>
        <w:pageBreakBefore/>
        <w:spacing w:line="288" w:lineRule="auto"/>
        <w:ind w:firstLine="0" w:firstLineChars="0"/>
        <w:outlineLvl w:val="2"/>
        <w:rPr>
          <w:b/>
          <w:color w:val="auto"/>
          <w:highlight w:val="none"/>
        </w:rPr>
      </w:pPr>
      <w:r>
        <w:rPr>
          <w:rFonts w:hint="eastAsia" w:ascii="宋体" w:hAnsi="宋体" w:eastAsia="宋体" w:cs="宋体"/>
          <w:color w:val="auto"/>
          <w:sz w:val="24"/>
          <w:highlight w:val="none"/>
        </w:rPr>
        <w:t>经济标投标文件格式</w:t>
      </w:r>
      <w:r>
        <w:rPr>
          <w:rFonts w:hint="eastAsia" w:ascii="宋体" w:hAnsi="宋体" w:cs="宋体"/>
          <w:color w:val="auto"/>
          <w:sz w:val="24"/>
          <w:highlight w:val="none"/>
          <w:lang w:val="en-US" w:eastAsia="zh-CN"/>
        </w:rPr>
        <w:t>七</w:t>
      </w:r>
      <w:r>
        <w:rPr>
          <w:rFonts w:hint="eastAsia" w:ascii="宋体" w:hAnsi="宋体" w:eastAsia="宋体" w:cs="宋体"/>
          <w:b w:val="0"/>
          <w:color w:val="auto"/>
          <w:kern w:val="2"/>
          <w:sz w:val="24"/>
          <w:highlight w:val="none"/>
          <w:lang w:val="zh-CN"/>
        </w:rPr>
        <w:t>：</w:t>
      </w:r>
    </w:p>
    <w:p w14:paraId="7907777D">
      <w:pPr>
        <w:spacing w:after="163" w:afterLines="50" w:line="288" w:lineRule="auto"/>
        <w:ind w:firstLine="0" w:firstLineChars="0"/>
        <w:jc w:val="center"/>
        <w:outlineLvl w:val="3"/>
        <w:rPr>
          <w:rFonts w:cs="Times New Roman"/>
          <w:b/>
          <w:color w:val="auto"/>
          <w:sz w:val="36"/>
          <w:szCs w:val="24"/>
          <w:highlight w:val="none"/>
          <w:lang w:bidi="ar"/>
        </w:rPr>
      </w:pPr>
      <w:r>
        <w:rPr>
          <w:rFonts w:hint="eastAsia" w:cs="Times New Roman"/>
          <w:b/>
          <w:color w:val="auto"/>
          <w:sz w:val="36"/>
          <w:szCs w:val="24"/>
          <w:highlight w:val="none"/>
          <w:lang w:bidi="ar"/>
        </w:rPr>
        <w:t>分包意向协议书</w:t>
      </w:r>
    </w:p>
    <w:p w14:paraId="2E7FFE08">
      <w:pPr>
        <w:ind w:firstLine="0" w:firstLineChars="0"/>
        <w:rPr>
          <w:rFonts w:cs="Times New Roman"/>
          <w:color w:val="auto"/>
          <w:szCs w:val="24"/>
          <w:highlight w:val="none"/>
          <w:u w:val="single"/>
          <w:lang w:bidi="ar"/>
        </w:rPr>
      </w:pPr>
      <w:r>
        <w:rPr>
          <w:rFonts w:hint="eastAsia" w:cs="Times New Roman"/>
          <w:color w:val="auto"/>
          <w:szCs w:val="24"/>
          <w:highlight w:val="none"/>
          <w:lang w:bidi="ar"/>
        </w:rPr>
        <w:t>立约方：</w:t>
      </w:r>
      <w:r>
        <w:rPr>
          <w:rFonts w:hint="eastAsia" w:cs="Times New Roman"/>
          <w:color w:val="auto"/>
          <w:szCs w:val="24"/>
          <w:highlight w:val="none"/>
          <w:u w:val="single"/>
          <w:lang w:bidi="ar"/>
        </w:rPr>
        <w:t>（甲公司全称）</w:t>
      </w:r>
    </w:p>
    <w:p w14:paraId="7F414A0D">
      <w:pPr>
        <w:ind w:firstLine="743" w:firstLineChars="354"/>
        <w:rPr>
          <w:rFonts w:cs="Times New Roman"/>
          <w:color w:val="auto"/>
          <w:szCs w:val="24"/>
          <w:highlight w:val="none"/>
          <w:u w:val="single"/>
          <w:lang w:bidi="ar"/>
        </w:rPr>
      </w:pPr>
      <w:r>
        <w:rPr>
          <w:rFonts w:hint="eastAsia" w:cs="Times New Roman"/>
          <w:color w:val="auto"/>
          <w:szCs w:val="24"/>
          <w:highlight w:val="none"/>
          <w:u w:val="single"/>
          <w:lang w:bidi="ar"/>
        </w:rPr>
        <w:t>（乙公司全称）</w:t>
      </w:r>
    </w:p>
    <w:p w14:paraId="06C2CA10">
      <w:pPr>
        <w:ind w:firstLine="743" w:firstLineChars="354"/>
        <w:rPr>
          <w:rFonts w:cs="Times New Roman"/>
          <w:color w:val="auto"/>
          <w:szCs w:val="24"/>
          <w:highlight w:val="none"/>
          <w:u w:val="single"/>
          <w:lang w:bidi="ar"/>
        </w:rPr>
      </w:pPr>
      <w:r>
        <w:rPr>
          <w:rFonts w:hint="eastAsia" w:cs="Times New Roman"/>
          <w:color w:val="auto"/>
          <w:szCs w:val="24"/>
          <w:highlight w:val="none"/>
          <w:u w:val="single"/>
          <w:lang w:bidi="ar"/>
        </w:rPr>
        <w:t>（……公司全称）</w:t>
      </w:r>
    </w:p>
    <w:p w14:paraId="79CE8CAB">
      <w:pPr>
        <w:ind w:firstLine="480"/>
        <w:rPr>
          <w:rFonts w:cs="Times New Roman"/>
          <w:color w:val="auto"/>
          <w:szCs w:val="24"/>
          <w:highlight w:val="none"/>
          <w:u w:val="single"/>
          <w:lang w:bidi="ar"/>
        </w:rPr>
      </w:pPr>
    </w:p>
    <w:p w14:paraId="03F7798E">
      <w:pPr>
        <w:ind w:firstLine="480"/>
        <w:rPr>
          <w:rFonts w:cs="Times New Roman"/>
          <w:color w:val="auto"/>
          <w:szCs w:val="24"/>
          <w:highlight w:val="none"/>
          <w:lang w:bidi="ar"/>
        </w:rPr>
      </w:pPr>
      <w:r>
        <w:rPr>
          <w:rFonts w:hint="eastAsia" w:cs="Times New Roman"/>
          <w:color w:val="auto"/>
          <w:szCs w:val="24"/>
          <w:highlight w:val="none"/>
          <w:u w:val="single"/>
          <w:lang w:bidi="ar"/>
        </w:rPr>
        <w:t>（甲公司全称）</w:t>
      </w:r>
      <w:r>
        <w:rPr>
          <w:rFonts w:hint="eastAsia" w:cs="Times New Roman"/>
          <w:color w:val="auto"/>
          <w:szCs w:val="24"/>
          <w:highlight w:val="none"/>
          <w:lang w:bidi="ar"/>
        </w:rPr>
        <w:t>、</w:t>
      </w:r>
      <w:r>
        <w:rPr>
          <w:rFonts w:hint="eastAsia" w:cs="Times New Roman"/>
          <w:color w:val="auto"/>
          <w:szCs w:val="24"/>
          <w:highlight w:val="none"/>
          <w:u w:val="single"/>
          <w:lang w:bidi="ar"/>
        </w:rPr>
        <w:t>（乙公司全称）</w:t>
      </w:r>
      <w:r>
        <w:rPr>
          <w:rFonts w:hint="eastAsia" w:cs="Times New Roman"/>
          <w:color w:val="auto"/>
          <w:szCs w:val="24"/>
          <w:highlight w:val="none"/>
          <w:lang w:bidi="ar"/>
        </w:rPr>
        <w:t>、</w:t>
      </w:r>
      <w:r>
        <w:rPr>
          <w:rFonts w:hint="eastAsia" w:cs="Times New Roman"/>
          <w:color w:val="auto"/>
          <w:szCs w:val="24"/>
          <w:highlight w:val="none"/>
          <w:u w:val="single"/>
          <w:lang w:bidi="ar"/>
        </w:rPr>
        <w:t>（……公司全称）</w:t>
      </w:r>
      <w:r>
        <w:rPr>
          <w:rFonts w:hint="eastAsia" w:cs="Times New Roman"/>
          <w:color w:val="auto"/>
          <w:szCs w:val="24"/>
          <w:highlight w:val="none"/>
          <w:lang w:bidi="ar"/>
        </w:rPr>
        <w:t>自愿达成分包意向，参加</w:t>
      </w:r>
      <w:r>
        <w:rPr>
          <w:rFonts w:hint="eastAsia" w:cs="Times New Roman"/>
          <w:color w:val="auto"/>
          <w:szCs w:val="24"/>
          <w:highlight w:val="none"/>
          <w:u w:val="single"/>
          <w:lang w:bidi="ar"/>
        </w:rPr>
        <w:t>（项目名称）</w:t>
      </w:r>
      <w:r>
        <w:rPr>
          <w:rFonts w:hint="eastAsia" w:cs="Times New Roman"/>
          <w:color w:val="auto"/>
          <w:szCs w:val="24"/>
          <w:highlight w:val="none"/>
          <w:lang w:bidi="ar"/>
        </w:rPr>
        <w:t>的投标活动。经各方充分协商一致，就项目的投标和合同实施阶段的有关事务协商一致订立意向如下：</w:t>
      </w:r>
    </w:p>
    <w:p w14:paraId="47FEF2C2">
      <w:pPr>
        <w:ind w:firstLine="480"/>
        <w:rPr>
          <w:rFonts w:cs="Times New Roman"/>
          <w:color w:val="auto"/>
          <w:szCs w:val="24"/>
          <w:highlight w:val="none"/>
          <w:lang w:bidi="ar"/>
        </w:rPr>
      </w:pPr>
      <w:r>
        <w:rPr>
          <w:rFonts w:hint="eastAsia" w:cs="Times New Roman"/>
          <w:color w:val="auto"/>
          <w:szCs w:val="24"/>
          <w:highlight w:val="none"/>
          <w:lang w:bidi="ar"/>
        </w:rPr>
        <w:t>一、分包意向各方关系</w:t>
      </w:r>
    </w:p>
    <w:p w14:paraId="1AB3E2D5">
      <w:pPr>
        <w:ind w:firstLine="480"/>
        <w:rPr>
          <w:rFonts w:cs="Times New Roman"/>
          <w:color w:val="auto"/>
          <w:szCs w:val="24"/>
          <w:highlight w:val="none"/>
          <w:lang w:bidi="ar"/>
        </w:rPr>
      </w:pPr>
      <w:r>
        <w:rPr>
          <w:rFonts w:hint="eastAsia" w:cs="Times New Roman"/>
          <w:color w:val="auto"/>
          <w:szCs w:val="24"/>
          <w:highlight w:val="none"/>
          <w:u w:val="single"/>
          <w:lang w:bidi="ar"/>
        </w:rPr>
        <w:t>（甲公司全称）为投标人</w:t>
      </w:r>
      <w:r>
        <w:rPr>
          <w:rFonts w:hint="eastAsia" w:cs="Times New Roman"/>
          <w:color w:val="auto"/>
          <w:szCs w:val="24"/>
          <w:highlight w:val="none"/>
          <w:lang w:bidi="ar"/>
        </w:rPr>
        <w:t>，</w:t>
      </w:r>
      <w:r>
        <w:rPr>
          <w:rFonts w:hint="eastAsia" w:cs="Times New Roman"/>
          <w:color w:val="auto"/>
          <w:szCs w:val="24"/>
          <w:highlight w:val="none"/>
          <w:u w:val="single"/>
          <w:lang w:bidi="ar"/>
        </w:rPr>
        <w:t>（乙公司全称）</w:t>
      </w:r>
      <w:r>
        <w:rPr>
          <w:rFonts w:hint="eastAsia" w:cs="Times New Roman"/>
          <w:color w:val="auto"/>
          <w:szCs w:val="24"/>
          <w:highlight w:val="none"/>
          <w:lang w:bidi="ar"/>
        </w:rPr>
        <w:t>、</w:t>
      </w:r>
      <w:r>
        <w:rPr>
          <w:rFonts w:hint="eastAsia" w:cs="Times New Roman"/>
          <w:color w:val="auto"/>
          <w:szCs w:val="24"/>
          <w:highlight w:val="none"/>
          <w:u w:val="single"/>
          <w:lang w:bidi="ar"/>
        </w:rPr>
        <w:t>（……公司全称）</w:t>
      </w:r>
      <w:r>
        <w:rPr>
          <w:rFonts w:hint="eastAsia" w:cs="Times New Roman"/>
          <w:color w:val="auto"/>
          <w:szCs w:val="24"/>
          <w:highlight w:val="none"/>
          <w:lang w:bidi="ar"/>
        </w:rPr>
        <w:t>为分包意向单位，</w:t>
      </w:r>
      <w:r>
        <w:rPr>
          <w:rFonts w:hint="eastAsia" w:cs="Times New Roman"/>
          <w:color w:val="auto"/>
          <w:szCs w:val="24"/>
          <w:highlight w:val="none"/>
          <w:u w:val="single"/>
          <w:lang w:bidi="ar"/>
        </w:rPr>
        <w:t>（甲公司全称）</w:t>
      </w:r>
      <w:r>
        <w:rPr>
          <w:rFonts w:hint="eastAsia" w:cs="Times New Roman"/>
          <w:color w:val="auto"/>
          <w:szCs w:val="24"/>
          <w:highlight w:val="none"/>
          <w:lang w:bidi="ar"/>
        </w:rPr>
        <w:t>以投标人的身份参加本项目的投标。若中标，</w:t>
      </w:r>
      <w:r>
        <w:rPr>
          <w:rFonts w:hint="eastAsia" w:cs="Times New Roman"/>
          <w:color w:val="auto"/>
          <w:szCs w:val="24"/>
          <w:highlight w:val="none"/>
          <w:u w:val="single"/>
          <w:lang w:bidi="ar"/>
        </w:rPr>
        <w:t>（甲公司全称）与招标人</w:t>
      </w:r>
      <w:r>
        <w:rPr>
          <w:rFonts w:hint="eastAsia" w:cs="Times New Roman"/>
          <w:color w:val="auto"/>
          <w:szCs w:val="24"/>
          <w:highlight w:val="none"/>
          <w:lang w:bidi="ar"/>
        </w:rPr>
        <w:t>签订建设工程施工合同。承接分包意向的各单位与</w:t>
      </w:r>
      <w:r>
        <w:rPr>
          <w:rFonts w:hint="eastAsia" w:cs="Times New Roman"/>
          <w:color w:val="auto"/>
          <w:szCs w:val="24"/>
          <w:highlight w:val="none"/>
          <w:u w:val="single"/>
          <w:lang w:bidi="ar"/>
        </w:rPr>
        <w:t>（甲公司全称）</w:t>
      </w:r>
      <w:r>
        <w:rPr>
          <w:rFonts w:hint="eastAsia" w:cs="Times New Roman"/>
          <w:color w:val="auto"/>
          <w:szCs w:val="24"/>
          <w:highlight w:val="none"/>
          <w:lang w:bidi="ar"/>
        </w:rPr>
        <w:t>签订分包合同。</w:t>
      </w:r>
      <w:r>
        <w:rPr>
          <w:rFonts w:hint="eastAsia" w:cs="Times New Roman"/>
          <w:color w:val="auto"/>
          <w:szCs w:val="24"/>
          <w:highlight w:val="none"/>
          <w:u w:val="single"/>
          <w:lang w:bidi="ar"/>
        </w:rPr>
        <w:t>（甲公司全称）</w:t>
      </w:r>
      <w:r>
        <w:rPr>
          <w:rFonts w:hint="eastAsia" w:cs="Times New Roman"/>
          <w:color w:val="auto"/>
          <w:szCs w:val="24"/>
          <w:highlight w:val="none"/>
          <w:lang w:bidi="ar"/>
        </w:rPr>
        <w:t>就招标项目和分包项目向招标人负责，分包单位就分包项目承担责任。</w:t>
      </w:r>
    </w:p>
    <w:p w14:paraId="0211BD81">
      <w:pPr>
        <w:ind w:firstLine="480"/>
        <w:rPr>
          <w:rFonts w:cs="Times New Roman"/>
          <w:color w:val="auto"/>
          <w:szCs w:val="24"/>
          <w:highlight w:val="none"/>
          <w:lang w:bidi="ar"/>
        </w:rPr>
      </w:pPr>
      <w:r>
        <w:rPr>
          <w:rFonts w:hint="eastAsia" w:cs="Times New Roman"/>
          <w:color w:val="auto"/>
          <w:szCs w:val="24"/>
          <w:highlight w:val="none"/>
          <w:lang w:bidi="ar"/>
        </w:rPr>
        <w:t>二、有关事项约定如下：</w:t>
      </w:r>
    </w:p>
    <w:p w14:paraId="7D9FB335">
      <w:pPr>
        <w:ind w:firstLine="480"/>
        <w:rPr>
          <w:rFonts w:cs="Times New Roman"/>
          <w:color w:val="auto"/>
          <w:szCs w:val="24"/>
          <w:highlight w:val="none"/>
          <w:lang w:bidi="ar"/>
        </w:rPr>
      </w:pPr>
      <w:r>
        <w:rPr>
          <w:rFonts w:hint="eastAsia" w:cs="Times New Roman"/>
          <w:color w:val="auto"/>
          <w:szCs w:val="24"/>
          <w:highlight w:val="none"/>
          <w:lang w:bidi="ar"/>
        </w:rPr>
        <w:t>1.如中标，分包单位分别与</w:t>
      </w:r>
      <w:r>
        <w:rPr>
          <w:rFonts w:hint="eastAsia" w:cs="Times New Roman"/>
          <w:color w:val="auto"/>
          <w:szCs w:val="24"/>
          <w:highlight w:val="none"/>
          <w:u w:val="single"/>
          <w:lang w:bidi="ar"/>
        </w:rPr>
        <w:t>（甲公司全称）</w:t>
      </w:r>
      <w:r>
        <w:rPr>
          <w:rFonts w:hint="eastAsia" w:cs="Times New Roman"/>
          <w:color w:val="auto"/>
          <w:szCs w:val="24"/>
          <w:highlight w:val="none"/>
          <w:lang w:bidi="ar"/>
        </w:rPr>
        <w:t>签订合同书，并就中标项目分包部分承担法律责任；</w:t>
      </w:r>
    </w:p>
    <w:p w14:paraId="72AB050B">
      <w:pPr>
        <w:ind w:firstLine="480"/>
        <w:rPr>
          <w:rFonts w:cs="Times New Roman"/>
          <w:color w:val="auto"/>
          <w:szCs w:val="24"/>
          <w:highlight w:val="none"/>
          <w:lang w:bidi="ar"/>
        </w:rPr>
      </w:pPr>
      <w:r>
        <w:rPr>
          <w:rFonts w:hint="eastAsia" w:cs="Times New Roman"/>
          <w:color w:val="auto"/>
          <w:szCs w:val="24"/>
          <w:highlight w:val="none"/>
          <w:lang w:bidi="ar"/>
        </w:rPr>
        <w:t>2.分包意向单位1</w:t>
      </w:r>
      <w:r>
        <w:rPr>
          <w:rFonts w:hint="eastAsia" w:cs="Times New Roman"/>
          <w:color w:val="auto"/>
          <w:szCs w:val="24"/>
          <w:highlight w:val="none"/>
          <w:u w:val="single"/>
          <w:lang w:bidi="ar"/>
        </w:rPr>
        <w:t>　（乙公司全称）</w:t>
      </w:r>
      <w:r>
        <w:rPr>
          <w:rFonts w:hint="eastAsia" w:cs="Times New Roman"/>
          <w:color w:val="auto"/>
          <w:szCs w:val="24"/>
          <w:highlight w:val="none"/>
          <w:lang w:bidi="ar"/>
        </w:rPr>
        <w:t>为</w:t>
      </w:r>
      <w:r>
        <w:rPr>
          <w:rFonts w:hint="eastAsia" w:cs="Times New Roman"/>
          <w:color w:val="auto"/>
          <w:szCs w:val="24"/>
          <w:highlight w:val="none"/>
          <w:u w:val="single"/>
          <w:lang w:bidi="ar"/>
        </w:rPr>
        <w:t>（请填写：大型、中型、小型、微型）</w:t>
      </w:r>
      <w:r>
        <w:rPr>
          <w:rFonts w:hint="eastAsia" w:cs="Times New Roman"/>
          <w:color w:val="auto"/>
          <w:szCs w:val="24"/>
          <w:highlight w:val="none"/>
          <w:lang w:bidi="ar"/>
        </w:rPr>
        <w:t>企业，将承担适宜分包部分</w:t>
      </w:r>
      <w:r>
        <w:rPr>
          <w:rFonts w:hint="eastAsia" w:cs="Times New Roman"/>
          <w:color w:val="auto"/>
          <w:szCs w:val="24"/>
          <w:highlight w:val="none"/>
          <w:u w:val="single"/>
          <w:lang w:bidi="ar"/>
        </w:rPr>
        <w:t xml:space="preserve"> （具体分包内容）</w:t>
      </w:r>
      <w:r>
        <w:rPr>
          <w:rFonts w:hint="eastAsia" w:cs="Times New Roman"/>
          <w:color w:val="auto"/>
          <w:szCs w:val="24"/>
          <w:highlight w:val="none"/>
          <w:lang w:bidi="ar"/>
        </w:rPr>
        <w:t>占合同总金额</w:t>
      </w:r>
      <w:r>
        <w:rPr>
          <w:rFonts w:hint="eastAsia" w:cs="Times New Roman"/>
          <w:color w:val="auto"/>
          <w:szCs w:val="24"/>
          <w:highlight w:val="none"/>
          <w:u w:val="single"/>
          <w:lang w:bidi="ar"/>
        </w:rPr>
        <w:t>　　</w:t>
      </w:r>
      <w:r>
        <w:rPr>
          <w:rFonts w:hint="eastAsia" w:cs="Times New Roman"/>
          <w:color w:val="auto"/>
          <w:szCs w:val="24"/>
          <w:highlight w:val="none"/>
          <w:lang w:bidi="ar"/>
        </w:rPr>
        <w:t>%的工作内容。</w:t>
      </w:r>
    </w:p>
    <w:p w14:paraId="25ED7374">
      <w:pPr>
        <w:ind w:firstLine="480"/>
        <w:rPr>
          <w:rFonts w:cs="Times New Roman"/>
          <w:color w:val="auto"/>
          <w:szCs w:val="24"/>
          <w:highlight w:val="none"/>
          <w:lang w:bidi="ar"/>
        </w:rPr>
      </w:pPr>
      <w:r>
        <w:rPr>
          <w:rFonts w:hint="eastAsia" w:cs="Times New Roman"/>
          <w:color w:val="auto"/>
          <w:szCs w:val="24"/>
          <w:highlight w:val="none"/>
          <w:lang w:bidi="ar"/>
        </w:rPr>
        <w:t>3.分包意向单位2</w:t>
      </w:r>
      <w:r>
        <w:rPr>
          <w:rFonts w:hint="eastAsia" w:cs="Times New Roman"/>
          <w:color w:val="auto"/>
          <w:szCs w:val="24"/>
          <w:highlight w:val="none"/>
          <w:u w:val="single"/>
          <w:lang w:bidi="ar"/>
        </w:rPr>
        <w:t>　（……公司全称）</w:t>
      </w:r>
      <w:r>
        <w:rPr>
          <w:rFonts w:hint="eastAsia" w:cs="Times New Roman"/>
          <w:color w:val="auto"/>
          <w:szCs w:val="24"/>
          <w:highlight w:val="none"/>
          <w:lang w:bidi="ar"/>
        </w:rPr>
        <w:t>为</w:t>
      </w:r>
      <w:r>
        <w:rPr>
          <w:rFonts w:hint="eastAsia" w:cs="Times New Roman"/>
          <w:color w:val="auto"/>
          <w:szCs w:val="24"/>
          <w:highlight w:val="none"/>
          <w:u w:val="single"/>
          <w:lang w:bidi="ar"/>
        </w:rPr>
        <w:t>（请填写：大型、中型、小型、微型）</w:t>
      </w:r>
      <w:r>
        <w:rPr>
          <w:rFonts w:hint="eastAsia" w:cs="Times New Roman"/>
          <w:color w:val="auto"/>
          <w:szCs w:val="24"/>
          <w:highlight w:val="none"/>
          <w:lang w:bidi="ar"/>
        </w:rPr>
        <w:t>企业，将承担适宜分包部分</w:t>
      </w:r>
      <w:r>
        <w:rPr>
          <w:rFonts w:hint="eastAsia" w:cs="Times New Roman"/>
          <w:color w:val="auto"/>
          <w:szCs w:val="24"/>
          <w:highlight w:val="none"/>
          <w:u w:val="single"/>
          <w:lang w:bidi="ar"/>
        </w:rPr>
        <w:t>（具体分包内容）占</w:t>
      </w:r>
      <w:r>
        <w:rPr>
          <w:rFonts w:hint="eastAsia" w:cs="Times New Roman"/>
          <w:color w:val="auto"/>
          <w:szCs w:val="24"/>
          <w:highlight w:val="none"/>
          <w:lang w:bidi="ar"/>
        </w:rPr>
        <w:t>合同总金额</w:t>
      </w:r>
      <w:r>
        <w:rPr>
          <w:rFonts w:hint="eastAsia" w:cs="Times New Roman"/>
          <w:color w:val="auto"/>
          <w:szCs w:val="24"/>
          <w:highlight w:val="none"/>
          <w:u w:val="single"/>
          <w:lang w:bidi="ar"/>
        </w:rPr>
        <w:t>　　</w:t>
      </w:r>
      <w:r>
        <w:rPr>
          <w:rFonts w:hint="eastAsia" w:cs="Times New Roman"/>
          <w:color w:val="auto"/>
          <w:szCs w:val="24"/>
          <w:highlight w:val="none"/>
          <w:lang w:bidi="ar"/>
        </w:rPr>
        <w:t>%的工作内容。</w:t>
      </w:r>
    </w:p>
    <w:p w14:paraId="2172F7BE">
      <w:pPr>
        <w:ind w:firstLine="480"/>
        <w:rPr>
          <w:rFonts w:cs="Times New Roman"/>
          <w:color w:val="auto"/>
          <w:szCs w:val="24"/>
          <w:highlight w:val="none"/>
          <w:lang w:bidi="ar"/>
        </w:rPr>
      </w:pPr>
      <w:r>
        <w:rPr>
          <w:rFonts w:hint="eastAsia" w:cs="Times New Roman"/>
          <w:color w:val="auto"/>
          <w:szCs w:val="24"/>
          <w:highlight w:val="none"/>
          <w:lang w:bidi="ar"/>
        </w:rPr>
        <w:t>……</w:t>
      </w:r>
    </w:p>
    <w:p w14:paraId="5296FC41">
      <w:pPr>
        <w:ind w:firstLine="480"/>
        <w:rPr>
          <w:rFonts w:cs="Times New Roman"/>
          <w:color w:val="auto"/>
          <w:szCs w:val="24"/>
          <w:highlight w:val="none"/>
          <w:lang w:bidi="ar"/>
        </w:rPr>
      </w:pPr>
      <w:r>
        <w:rPr>
          <w:rFonts w:hint="eastAsia" w:cs="Times New Roman"/>
          <w:color w:val="auto"/>
          <w:szCs w:val="24"/>
          <w:highlight w:val="none"/>
          <w:lang w:bidi="ar"/>
        </w:rPr>
        <w:t>三、接受分包的企业与投标人之间的关系：</w:t>
      </w:r>
    </w:p>
    <w:p w14:paraId="0558275A">
      <w:pPr>
        <w:ind w:firstLine="480"/>
        <w:rPr>
          <w:rFonts w:cs="Times New Roman"/>
          <w:color w:val="auto"/>
          <w:szCs w:val="24"/>
          <w:highlight w:val="none"/>
          <w:lang w:bidi="ar"/>
        </w:rPr>
      </w:pPr>
      <w:r>
        <w:rPr>
          <w:rFonts w:hint="eastAsia" w:cs="Times New Roman"/>
          <w:color w:val="auto"/>
          <w:szCs w:val="24"/>
          <w:highlight w:val="none"/>
          <w:lang w:bidi="ar"/>
        </w:rPr>
        <w:t>1.分包意向单位1</w:t>
      </w:r>
      <w:r>
        <w:rPr>
          <w:rFonts w:hint="eastAsia" w:cs="Times New Roman"/>
          <w:color w:val="auto"/>
          <w:szCs w:val="24"/>
          <w:highlight w:val="none"/>
          <w:u w:val="single"/>
          <w:lang w:bidi="ar"/>
        </w:rPr>
        <w:t>　（公司全称）</w:t>
      </w:r>
      <w:r>
        <w:rPr>
          <w:rFonts w:hint="eastAsia" w:cs="Times New Roman"/>
          <w:color w:val="auto"/>
          <w:szCs w:val="24"/>
          <w:highlight w:val="none"/>
          <w:lang w:bidi="ar"/>
        </w:rPr>
        <w:t>与投标人之间</w:t>
      </w:r>
      <w:r>
        <w:rPr>
          <w:rFonts w:hint="eastAsia" w:cs="Times New Roman"/>
          <w:color w:val="auto"/>
          <w:szCs w:val="24"/>
          <w:highlight w:val="none"/>
          <w:u w:val="single"/>
          <w:lang w:bidi="ar"/>
        </w:rPr>
        <w:t>（请填写：是否存在）</w:t>
      </w:r>
      <w:r>
        <w:rPr>
          <w:rFonts w:hint="eastAsia" w:cs="Times New Roman"/>
          <w:color w:val="auto"/>
          <w:szCs w:val="24"/>
          <w:highlight w:val="none"/>
          <w:lang w:bidi="ar"/>
        </w:rPr>
        <w:t>直接控股、管理关系的情形。</w:t>
      </w:r>
    </w:p>
    <w:p w14:paraId="21EA6417">
      <w:pPr>
        <w:ind w:firstLine="480"/>
        <w:rPr>
          <w:rFonts w:cs="Times New Roman"/>
          <w:color w:val="auto"/>
          <w:szCs w:val="24"/>
          <w:highlight w:val="none"/>
          <w:lang w:bidi="ar"/>
        </w:rPr>
      </w:pPr>
      <w:r>
        <w:rPr>
          <w:rFonts w:hint="eastAsia" w:cs="Times New Roman"/>
          <w:color w:val="auto"/>
          <w:szCs w:val="24"/>
          <w:highlight w:val="none"/>
          <w:lang w:bidi="ar"/>
        </w:rPr>
        <w:t>2.分包意向单位2</w:t>
      </w:r>
      <w:r>
        <w:rPr>
          <w:rFonts w:hint="eastAsia" w:cs="Times New Roman"/>
          <w:color w:val="auto"/>
          <w:szCs w:val="24"/>
          <w:highlight w:val="none"/>
          <w:u w:val="single"/>
          <w:lang w:bidi="ar"/>
        </w:rPr>
        <w:t>　（公司全称）</w:t>
      </w:r>
      <w:r>
        <w:rPr>
          <w:rFonts w:hint="eastAsia" w:cs="Times New Roman"/>
          <w:color w:val="auto"/>
          <w:szCs w:val="24"/>
          <w:highlight w:val="none"/>
          <w:lang w:bidi="ar"/>
        </w:rPr>
        <w:t>与投标人之间</w:t>
      </w:r>
      <w:r>
        <w:rPr>
          <w:rFonts w:hint="eastAsia" w:cs="Times New Roman"/>
          <w:color w:val="auto"/>
          <w:szCs w:val="24"/>
          <w:highlight w:val="none"/>
          <w:u w:val="single"/>
          <w:lang w:bidi="ar"/>
        </w:rPr>
        <w:t>（请填写：是否存在）</w:t>
      </w:r>
      <w:r>
        <w:rPr>
          <w:rFonts w:hint="eastAsia" w:cs="Times New Roman"/>
          <w:color w:val="auto"/>
          <w:szCs w:val="24"/>
          <w:highlight w:val="none"/>
          <w:lang w:bidi="ar"/>
        </w:rPr>
        <w:t>直接控股、管理关系的情形。</w:t>
      </w:r>
    </w:p>
    <w:p w14:paraId="380E8944">
      <w:pPr>
        <w:ind w:firstLine="480"/>
        <w:rPr>
          <w:rFonts w:cs="Times New Roman"/>
          <w:color w:val="auto"/>
          <w:szCs w:val="24"/>
          <w:highlight w:val="none"/>
          <w:lang w:bidi="ar"/>
        </w:rPr>
      </w:pPr>
      <w:r>
        <w:rPr>
          <w:rFonts w:hint="eastAsia" w:cs="Times New Roman"/>
          <w:color w:val="auto"/>
          <w:szCs w:val="24"/>
          <w:highlight w:val="none"/>
          <w:lang w:bidi="ar"/>
        </w:rPr>
        <w:t>……</w:t>
      </w:r>
    </w:p>
    <w:p w14:paraId="20B4D769">
      <w:pPr>
        <w:ind w:firstLine="480"/>
        <w:rPr>
          <w:rFonts w:cs="Times New Roman"/>
          <w:color w:val="auto"/>
          <w:szCs w:val="24"/>
          <w:highlight w:val="none"/>
          <w:lang w:bidi="ar"/>
        </w:rPr>
      </w:pPr>
      <w:r>
        <w:rPr>
          <w:rFonts w:hint="eastAsia" w:cs="Times New Roman"/>
          <w:color w:val="auto"/>
          <w:szCs w:val="24"/>
          <w:highlight w:val="none"/>
          <w:lang w:bidi="ar"/>
        </w:rPr>
        <w:t>四、如因违约过失责任而导致招标人经济损失或被索赔时，</w:t>
      </w:r>
      <w:r>
        <w:rPr>
          <w:rFonts w:hint="eastAsia" w:cs="Times New Roman"/>
          <w:color w:val="auto"/>
          <w:szCs w:val="24"/>
          <w:highlight w:val="none"/>
          <w:u w:val="single"/>
          <w:lang w:bidi="ar"/>
        </w:rPr>
        <w:t>（甲公司全称）</w:t>
      </w:r>
      <w:r>
        <w:rPr>
          <w:rFonts w:hint="eastAsia" w:cs="Times New Roman"/>
          <w:color w:val="auto"/>
          <w:szCs w:val="24"/>
          <w:highlight w:val="none"/>
          <w:lang w:bidi="ar"/>
        </w:rPr>
        <w:t>同意无条件优先清偿招标人的一切债务和经济赔偿。</w:t>
      </w:r>
    </w:p>
    <w:p w14:paraId="54B8AB96">
      <w:pPr>
        <w:ind w:firstLine="480"/>
        <w:rPr>
          <w:rFonts w:cs="Times New Roman"/>
          <w:color w:val="auto"/>
          <w:szCs w:val="24"/>
          <w:highlight w:val="none"/>
          <w:lang w:bidi="ar"/>
        </w:rPr>
      </w:pPr>
      <w:r>
        <w:rPr>
          <w:rFonts w:hint="eastAsia" w:cs="Times New Roman"/>
          <w:color w:val="auto"/>
          <w:szCs w:val="24"/>
          <w:highlight w:val="none"/>
          <w:lang w:bidi="ar"/>
        </w:rPr>
        <w:t>五、如中标，分包意向单位不得以任何理由提出终止本意向协议。</w:t>
      </w:r>
    </w:p>
    <w:p w14:paraId="4B9B8E88">
      <w:pPr>
        <w:ind w:firstLine="480"/>
        <w:rPr>
          <w:rFonts w:cs="Times New Roman"/>
          <w:color w:val="auto"/>
          <w:szCs w:val="24"/>
          <w:highlight w:val="none"/>
          <w:lang w:bidi="ar"/>
        </w:rPr>
      </w:pPr>
      <w:r>
        <w:rPr>
          <w:rFonts w:hint="eastAsia" w:cs="Times New Roman"/>
          <w:color w:val="auto"/>
          <w:szCs w:val="24"/>
          <w:highlight w:val="none"/>
          <w:lang w:bidi="ar"/>
        </w:rPr>
        <w:t>六、如中标，分包意向单位确定后，不得擅自变更。</w:t>
      </w:r>
    </w:p>
    <w:p w14:paraId="29B7C69B">
      <w:pPr>
        <w:ind w:firstLine="480"/>
        <w:rPr>
          <w:rFonts w:cs="Times New Roman"/>
          <w:color w:val="auto"/>
          <w:szCs w:val="24"/>
          <w:highlight w:val="none"/>
          <w:lang w:bidi="ar"/>
        </w:rPr>
      </w:pPr>
      <w:r>
        <w:rPr>
          <w:rFonts w:hint="eastAsia" w:cs="Times New Roman"/>
          <w:color w:val="auto"/>
          <w:szCs w:val="24"/>
          <w:highlight w:val="none"/>
          <w:lang w:bidi="ar"/>
        </w:rPr>
        <w:t>七、本意向书在自签署之日起生效，有效期内有效，如获中标资格，有效期延续至合同履行完毕之日。</w:t>
      </w:r>
    </w:p>
    <w:p w14:paraId="0A4B01ED">
      <w:pPr>
        <w:ind w:firstLine="480"/>
        <w:rPr>
          <w:rFonts w:cs="Times New Roman"/>
          <w:color w:val="auto"/>
          <w:szCs w:val="24"/>
          <w:highlight w:val="none"/>
          <w:lang w:bidi="ar"/>
        </w:rPr>
      </w:pPr>
    </w:p>
    <w:p w14:paraId="7A959DDC">
      <w:pPr>
        <w:ind w:firstLine="480"/>
        <w:rPr>
          <w:rFonts w:cs="Times New Roman"/>
          <w:color w:val="auto"/>
          <w:szCs w:val="24"/>
          <w:highlight w:val="none"/>
          <w:lang w:bidi="ar"/>
        </w:rPr>
      </w:pPr>
    </w:p>
    <w:p w14:paraId="58D60D09">
      <w:pPr>
        <w:ind w:firstLine="480"/>
        <w:rPr>
          <w:rFonts w:cs="Times New Roman"/>
          <w:color w:val="auto"/>
          <w:szCs w:val="24"/>
          <w:highlight w:val="none"/>
          <w:lang w:bidi="ar"/>
        </w:rPr>
      </w:pPr>
    </w:p>
    <w:p w14:paraId="26BF05E3">
      <w:pPr>
        <w:ind w:firstLine="0" w:firstLineChars="0"/>
        <w:jc w:val="right"/>
        <w:rPr>
          <w:rFonts w:cs="Times New Roman"/>
          <w:color w:val="auto"/>
          <w:szCs w:val="24"/>
          <w:highlight w:val="none"/>
          <w:u w:val="single"/>
          <w:lang w:bidi="ar"/>
        </w:rPr>
      </w:pPr>
      <w:r>
        <w:rPr>
          <w:rFonts w:hint="eastAsia" w:cs="Times New Roman"/>
          <w:color w:val="auto"/>
          <w:szCs w:val="24"/>
          <w:highlight w:val="none"/>
          <w:lang w:bidi="ar"/>
        </w:rPr>
        <w:t>甲公司全称：</w:t>
      </w:r>
      <w:r>
        <w:rPr>
          <w:rFonts w:hint="eastAsia" w:cs="Times New Roman"/>
          <w:color w:val="auto"/>
          <w:szCs w:val="24"/>
          <w:highlight w:val="none"/>
          <w:u w:val="single"/>
          <w:lang w:bidi="ar"/>
        </w:rPr>
        <w:t xml:space="preserve">                          （盖章）</w:t>
      </w:r>
    </w:p>
    <w:p w14:paraId="0951935C">
      <w:pPr>
        <w:ind w:firstLine="0" w:firstLineChars="0"/>
        <w:jc w:val="right"/>
        <w:rPr>
          <w:rFonts w:cs="Times New Roman"/>
          <w:color w:val="auto"/>
          <w:szCs w:val="24"/>
          <w:highlight w:val="none"/>
          <w:lang w:bidi="ar"/>
        </w:rPr>
      </w:pPr>
      <w:r>
        <w:rPr>
          <w:rFonts w:hint="eastAsia" w:cs="Times New Roman"/>
          <w:color w:val="auto"/>
          <w:szCs w:val="24"/>
          <w:highlight w:val="none"/>
          <w:lang w:bidi="ar"/>
        </w:rPr>
        <w:t>法定代表人：</w:t>
      </w:r>
      <w:r>
        <w:rPr>
          <w:rFonts w:hint="eastAsia" w:cs="Times New Roman"/>
          <w:color w:val="auto"/>
          <w:szCs w:val="24"/>
          <w:highlight w:val="none"/>
          <w:u w:val="single"/>
          <w:lang w:bidi="ar"/>
        </w:rPr>
        <w:t xml:space="preserve">                    </w:t>
      </w:r>
      <w:r>
        <w:rPr>
          <w:rFonts w:hint="eastAsia" w:cs="Times New Roman"/>
          <w:color w:val="auto"/>
          <w:szCs w:val="24"/>
          <w:highlight w:val="none"/>
          <w:lang w:bidi="ar"/>
        </w:rPr>
        <w:t>（签字或盖章）</w:t>
      </w:r>
    </w:p>
    <w:p w14:paraId="198EE540">
      <w:pPr>
        <w:ind w:firstLine="0" w:firstLineChars="0"/>
        <w:jc w:val="right"/>
        <w:rPr>
          <w:rFonts w:cs="Times New Roman"/>
          <w:color w:val="auto"/>
          <w:szCs w:val="24"/>
          <w:highlight w:val="none"/>
          <w:u w:val="single"/>
          <w:lang w:bidi="ar"/>
        </w:rPr>
      </w:pPr>
      <w:r>
        <w:rPr>
          <w:rFonts w:hint="eastAsia" w:cs="Times New Roman"/>
          <w:color w:val="auto"/>
          <w:szCs w:val="24"/>
          <w:highlight w:val="none"/>
          <w:u w:val="single"/>
          <w:lang w:bidi="ar"/>
        </w:rPr>
        <w:t xml:space="preserve">     年   月   日</w:t>
      </w:r>
    </w:p>
    <w:p w14:paraId="19FD7DE7">
      <w:pPr>
        <w:ind w:firstLine="0" w:firstLineChars="0"/>
        <w:jc w:val="right"/>
        <w:rPr>
          <w:rFonts w:cs="Times New Roman"/>
          <w:color w:val="auto"/>
          <w:szCs w:val="24"/>
          <w:highlight w:val="none"/>
          <w:lang w:bidi="ar"/>
        </w:rPr>
      </w:pPr>
    </w:p>
    <w:p w14:paraId="2CD3BC7E">
      <w:pPr>
        <w:ind w:firstLine="0" w:firstLineChars="0"/>
        <w:jc w:val="right"/>
        <w:rPr>
          <w:rFonts w:cs="Times New Roman"/>
          <w:color w:val="auto"/>
          <w:szCs w:val="24"/>
          <w:highlight w:val="none"/>
          <w:u w:val="single"/>
          <w:lang w:bidi="ar"/>
        </w:rPr>
      </w:pPr>
      <w:r>
        <w:rPr>
          <w:rFonts w:hint="eastAsia" w:cs="Times New Roman"/>
          <w:color w:val="auto"/>
          <w:szCs w:val="24"/>
          <w:highlight w:val="none"/>
          <w:lang w:bidi="ar"/>
        </w:rPr>
        <w:t>乙公司全称：</w:t>
      </w:r>
      <w:r>
        <w:rPr>
          <w:rFonts w:hint="eastAsia" w:cs="Times New Roman"/>
          <w:color w:val="auto"/>
          <w:szCs w:val="24"/>
          <w:highlight w:val="none"/>
          <w:u w:val="single"/>
          <w:lang w:bidi="ar"/>
        </w:rPr>
        <w:t xml:space="preserve">                          （盖章）</w:t>
      </w:r>
    </w:p>
    <w:p w14:paraId="51F302BE">
      <w:pPr>
        <w:ind w:firstLine="0" w:firstLineChars="0"/>
        <w:jc w:val="right"/>
        <w:rPr>
          <w:rFonts w:cs="Times New Roman"/>
          <w:color w:val="auto"/>
          <w:szCs w:val="24"/>
          <w:highlight w:val="none"/>
          <w:lang w:bidi="ar"/>
        </w:rPr>
      </w:pPr>
      <w:r>
        <w:rPr>
          <w:rFonts w:hint="eastAsia" w:cs="Times New Roman"/>
          <w:color w:val="auto"/>
          <w:szCs w:val="24"/>
          <w:highlight w:val="none"/>
          <w:lang w:bidi="ar"/>
        </w:rPr>
        <w:t>法定代表人：</w:t>
      </w:r>
      <w:r>
        <w:rPr>
          <w:rFonts w:hint="eastAsia" w:cs="Times New Roman"/>
          <w:color w:val="auto"/>
          <w:szCs w:val="24"/>
          <w:highlight w:val="none"/>
          <w:u w:val="single"/>
          <w:lang w:bidi="ar"/>
        </w:rPr>
        <w:t xml:space="preserve">                    </w:t>
      </w:r>
      <w:r>
        <w:rPr>
          <w:rFonts w:hint="eastAsia" w:cs="Times New Roman"/>
          <w:color w:val="auto"/>
          <w:szCs w:val="24"/>
          <w:highlight w:val="none"/>
          <w:lang w:bidi="ar"/>
        </w:rPr>
        <w:t>（签字或盖章）</w:t>
      </w:r>
    </w:p>
    <w:p w14:paraId="72BD0C1C">
      <w:pPr>
        <w:ind w:firstLine="0" w:firstLineChars="0"/>
        <w:jc w:val="right"/>
        <w:rPr>
          <w:rFonts w:cs="Times New Roman"/>
          <w:color w:val="auto"/>
          <w:szCs w:val="24"/>
          <w:highlight w:val="none"/>
          <w:u w:val="single"/>
          <w:lang w:bidi="ar"/>
        </w:rPr>
      </w:pPr>
      <w:r>
        <w:rPr>
          <w:rFonts w:hint="eastAsia" w:cs="Times New Roman"/>
          <w:color w:val="auto"/>
          <w:szCs w:val="24"/>
          <w:highlight w:val="none"/>
          <w:u w:val="single"/>
          <w:lang w:bidi="ar"/>
        </w:rPr>
        <w:t xml:space="preserve">     年   月   日</w:t>
      </w:r>
    </w:p>
    <w:p w14:paraId="59868D40">
      <w:pPr>
        <w:ind w:firstLine="0" w:firstLineChars="0"/>
        <w:jc w:val="right"/>
        <w:rPr>
          <w:rFonts w:cs="Times New Roman"/>
          <w:color w:val="auto"/>
          <w:szCs w:val="24"/>
          <w:highlight w:val="none"/>
          <w:lang w:bidi="ar"/>
        </w:rPr>
      </w:pPr>
    </w:p>
    <w:p w14:paraId="19E5AC7D">
      <w:pPr>
        <w:ind w:firstLine="0" w:firstLineChars="0"/>
        <w:jc w:val="right"/>
        <w:rPr>
          <w:rFonts w:cs="Times New Roman"/>
          <w:color w:val="auto"/>
          <w:szCs w:val="24"/>
          <w:highlight w:val="none"/>
          <w:u w:val="single"/>
          <w:lang w:bidi="ar"/>
        </w:rPr>
      </w:pPr>
      <w:r>
        <w:rPr>
          <w:rFonts w:hint="eastAsia" w:cs="Times New Roman"/>
          <w:color w:val="auto"/>
          <w:szCs w:val="24"/>
          <w:highlight w:val="none"/>
          <w:lang w:bidi="ar"/>
        </w:rPr>
        <w:t>……公司全称：</w:t>
      </w:r>
      <w:r>
        <w:rPr>
          <w:rFonts w:hint="eastAsia" w:cs="Times New Roman"/>
          <w:color w:val="auto"/>
          <w:szCs w:val="24"/>
          <w:highlight w:val="none"/>
          <w:u w:val="single"/>
          <w:lang w:bidi="ar"/>
        </w:rPr>
        <w:t xml:space="preserve">                          （盖章）</w:t>
      </w:r>
    </w:p>
    <w:p w14:paraId="1B1701E4">
      <w:pPr>
        <w:ind w:firstLine="0" w:firstLineChars="0"/>
        <w:jc w:val="right"/>
        <w:rPr>
          <w:rFonts w:cs="Times New Roman"/>
          <w:color w:val="auto"/>
          <w:szCs w:val="24"/>
          <w:highlight w:val="none"/>
          <w:lang w:bidi="ar"/>
        </w:rPr>
      </w:pPr>
      <w:r>
        <w:rPr>
          <w:rFonts w:hint="eastAsia" w:cs="Times New Roman"/>
          <w:color w:val="auto"/>
          <w:szCs w:val="24"/>
          <w:highlight w:val="none"/>
          <w:lang w:bidi="ar"/>
        </w:rPr>
        <w:t>法定代表人：</w:t>
      </w:r>
      <w:r>
        <w:rPr>
          <w:rFonts w:hint="eastAsia" w:cs="Times New Roman"/>
          <w:color w:val="auto"/>
          <w:szCs w:val="24"/>
          <w:highlight w:val="none"/>
          <w:u w:val="single"/>
          <w:lang w:bidi="ar"/>
        </w:rPr>
        <w:t xml:space="preserve">                    </w:t>
      </w:r>
      <w:r>
        <w:rPr>
          <w:rFonts w:hint="eastAsia" w:cs="Times New Roman"/>
          <w:color w:val="auto"/>
          <w:szCs w:val="24"/>
          <w:highlight w:val="none"/>
          <w:lang w:bidi="ar"/>
        </w:rPr>
        <w:t>（签字或盖章）</w:t>
      </w:r>
    </w:p>
    <w:p w14:paraId="5CB0506F">
      <w:pPr>
        <w:ind w:firstLine="0" w:firstLineChars="0"/>
        <w:jc w:val="right"/>
        <w:rPr>
          <w:rFonts w:cs="Times New Roman"/>
          <w:color w:val="auto"/>
          <w:szCs w:val="24"/>
          <w:highlight w:val="none"/>
          <w:u w:val="single"/>
          <w:lang w:bidi="ar"/>
        </w:rPr>
      </w:pPr>
      <w:r>
        <w:rPr>
          <w:rFonts w:hint="eastAsia" w:cs="Times New Roman"/>
          <w:color w:val="auto"/>
          <w:szCs w:val="24"/>
          <w:highlight w:val="none"/>
          <w:u w:val="single"/>
          <w:lang w:bidi="ar"/>
        </w:rPr>
        <w:t xml:space="preserve">     年   月   日</w:t>
      </w:r>
    </w:p>
    <w:p w14:paraId="730A8C89">
      <w:pPr>
        <w:rPr>
          <w:rFonts w:cs="Times New Roman"/>
          <w:b/>
          <w:color w:val="auto"/>
          <w:szCs w:val="24"/>
          <w:highlight w:val="none"/>
          <w:lang w:bidi="ar"/>
        </w:rPr>
      </w:pPr>
    </w:p>
    <w:p w14:paraId="76BE5848">
      <w:pPr>
        <w:ind w:firstLine="440"/>
        <w:rPr>
          <w:rFonts w:cs="Times New Roman"/>
          <w:color w:val="auto"/>
          <w:sz w:val="22"/>
          <w:szCs w:val="24"/>
          <w:highlight w:val="none"/>
          <w:lang w:bidi="ar"/>
        </w:rPr>
      </w:pPr>
      <w:r>
        <w:rPr>
          <w:rFonts w:hint="eastAsia" w:cs="Times New Roman"/>
          <w:color w:val="auto"/>
          <w:sz w:val="22"/>
          <w:szCs w:val="24"/>
          <w:highlight w:val="none"/>
          <w:lang w:bidi="ar"/>
        </w:rPr>
        <w:t>注：1．各方成员应在本意向书上共同盖章确认。</w:t>
      </w:r>
    </w:p>
    <w:p w14:paraId="7F4DAD60">
      <w:pPr>
        <w:ind w:firstLine="880" w:firstLineChars="400"/>
        <w:rPr>
          <w:rFonts w:cs="Times New Roman"/>
          <w:b/>
          <w:bCs/>
          <w:color w:val="auto"/>
          <w:sz w:val="22"/>
          <w:szCs w:val="24"/>
          <w:highlight w:val="none"/>
          <w:lang w:bidi="ar"/>
        </w:rPr>
      </w:pPr>
      <w:r>
        <w:rPr>
          <w:rFonts w:hint="eastAsia" w:cs="Times New Roman"/>
          <w:color w:val="auto"/>
          <w:sz w:val="22"/>
          <w:szCs w:val="24"/>
          <w:highlight w:val="none"/>
          <w:lang w:bidi="ar"/>
        </w:rPr>
        <w:t>2．本意向书内容将作为签订合同的附件之一。</w:t>
      </w:r>
    </w:p>
    <w:p w14:paraId="232A2A95">
      <w:pPr>
        <w:ind w:firstLine="480"/>
        <w:rPr>
          <w:color w:val="auto"/>
          <w:highlight w:val="none"/>
          <w:lang w:val="zh-CN"/>
        </w:rPr>
      </w:pPr>
    </w:p>
    <w:p w14:paraId="23B06DF2">
      <w:pPr>
        <w:pageBreakBefore/>
        <w:spacing w:line="288" w:lineRule="auto"/>
        <w:ind w:firstLine="0" w:firstLineChars="0"/>
        <w:outlineLvl w:val="2"/>
        <w:rPr>
          <w:b/>
          <w:color w:val="auto"/>
          <w:highlight w:val="none"/>
        </w:rPr>
      </w:pPr>
      <w:r>
        <w:rPr>
          <w:rFonts w:hint="eastAsia" w:ascii="宋体" w:hAnsi="宋体" w:eastAsia="宋体" w:cs="宋体"/>
          <w:color w:val="auto"/>
          <w:sz w:val="24"/>
          <w:highlight w:val="none"/>
        </w:rPr>
        <w:t>经济标投标文件格式</w:t>
      </w:r>
      <w:r>
        <w:rPr>
          <w:rFonts w:hint="eastAsia" w:ascii="宋体" w:hAnsi="宋体" w:cs="宋体"/>
          <w:color w:val="auto"/>
          <w:sz w:val="24"/>
          <w:highlight w:val="none"/>
          <w:lang w:val="en-US" w:eastAsia="zh-CN"/>
        </w:rPr>
        <w:t>八</w:t>
      </w:r>
      <w:r>
        <w:rPr>
          <w:rFonts w:hint="eastAsia" w:ascii="宋体" w:hAnsi="宋体" w:eastAsia="宋体" w:cs="宋体"/>
          <w:b w:val="0"/>
          <w:color w:val="auto"/>
          <w:kern w:val="2"/>
          <w:sz w:val="24"/>
          <w:highlight w:val="none"/>
          <w:lang w:val="zh-CN"/>
        </w:rPr>
        <w:t>：</w:t>
      </w:r>
    </w:p>
    <w:p w14:paraId="4276B242">
      <w:pPr>
        <w:ind w:firstLine="480"/>
        <w:rPr>
          <w:color w:val="auto"/>
          <w:highlight w:val="none"/>
          <w:lang w:val="zh-CN"/>
        </w:rPr>
      </w:pPr>
    </w:p>
    <w:p w14:paraId="5EA1638B">
      <w:pPr>
        <w:spacing w:after="163" w:afterLines="50" w:line="288" w:lineRule="auto"/>
        <w:ind w:firstLine="0" w:firstLineChars="0"/>
        <w:jc w:val="center"/>
        <w:outlineLvl w:val="3"/>
        <w:rPr>
          <w:rFonts w:cs="Times New Roman"/>
          <w:b/>
          <w:color w:val="auto"/>
          <w:sz w:val="36"/>
          <w:szCs w:val="24"/>
          <w:highlight w:val="none"/>
          <w:lang w:bidi="ar"/>
        </w:rPr>
      </w:pPr>
      <w:r>
        <w:rPr>
          <w:rFonts w:hint="eastAsia" w:cs="Times New Roman"/>
          <w:b/>
          <w:color w:val="auto"/>
          <w:sz w:val="36"/>
          <w:szCs w:val="24"/>
          <w:highlight w:val="none"/>
          <w:lang w:bidi="ar"/>
        </w:rPr>
        <w:t>残疾人福利性单位声明函（如有）</w:t>
      </w:r>
    </w:p>
    <w:p w14:paraId="7074B5F7">
      <w:pPr>
        <w:ind w:firstLine="480"/>
        <w:rPr>
          <w:rFonts w:cs="Times New Roman"/>
          <w:color w:val="auto"/>
          <w:szCs w:val="24"/>
          <w:highlight w:val="none"/>
          <w:lang w:bidi="ar"/>
        </w:rPr>
      </w:pPr>
      <w:r>
        <w:rPr>
          <w:rFonts w:hint="eastAsia" w:cs="Times New Roman"/>
          <w:color w:val="auto"/>
          <w:szCs w:val="24"/>
          <w:highlight w:val="none"/>
          <w:lang w:bidi="ar"/>
        </w:rPr>
        <w:t>本单位郑重声明，根据《财政部 民政部 中国残疾人联合会关于促进残疾人就业政府采购政策的通知》（财库〔2017〕141号）的规定，本单位为符合条件的残疾人福利性单位，且本单位参加</w:t>
      </w:r>
      <w:r>
        <w:rPr>
          <w:rFonts w:hint="eastAsia" w:cs="Times New Roman"/>
          <w:color w:val="auto"/>
          <w:szCs w:val="24"/>
          <w:highlight w:val="none"/>
          <w:u w:val="single"/>
          <w:lang w:bidi="ar"/>
        </w:rPr>
        <w:t>广州市白云城市建设投资有限公司</w:t>
      </w:r>
      <w:r>
        <w:rPr>
          <w:rFonts w:hint="eastAsia" w:cs="Times New Roman"/>
          <w:color w:val="auto"/>
          <w:szCs w:val="24"/>
          <w:highlight w:val="none"/>
          <w:lang w:bidi="ar"/>
        </w:rPr>
        <w:t>的</w:t>
      </w:r>
      <w:r>
        <w:rPr>
          <w:rFonts w:hint="eastAsia" w:cs="Times New Roman"/>
          <w:b/>
          <w:color w:val="auto"/>
          <w:szCs w:val="24"/>
          <w:highlight w:val="none"/>
          <w:u w:val="single"/>
          <w:lang w:bidi="ar"/>
        </w:rPr>
        <w:t>广州市白云区萧岗村项目首期地块清表平整、围蔽、拆卸工程施工总承包</w:t>
      </w:r>
      <w:r>
        <w:rPr>
          <w:rFonts w:hint="eastAsia" w:cs="Times New Roman"/>
          <w:color w:val="auto"/>
          <w:szCs w:val="24"/>
          <w:highlight w:val="none"/>
          <w:lang w:bidi="ar"/>
        </w:rPr>
        <w:t>项目招标活动提供本单位制造的货物（由本单位承担工程/提供服务），或者提供其他残疾人福利性单位制造的货物（不包括使用非残疾人福利性单位注册商标的货物）。</w:t>
      </w:r>
    </w:p>
    <w:p w14:paraId="4875C934">
      <w:pPr>
        <w:ind w:firstLine="480"/>
        <w:rPr>
          <w:rFonts w:cs="Times New Roman"/>
          <w:color w:val="auto"/>
          <w:szCs w:val="24"/>
          <w:highlight w:val="none"/>
          <w:lang w:bidi="ar"/>
        </w:rPr>
      </w:pPr>
      <w:r>
        <w:rPr>
          <w:rFonts w:hint="eastAsia" w:cs="Times New Roman"/>
          <w:color w:val="auto"/>
          <w:szCs w:val="24"/>
          <w:highlight w:val="none"/>
          <w:lang w:bidi="ar"/>
        </w:rPr>
        <w:t>本单位对上述声明的</w:t>
      </w:r>
      <w:r>
        <w:rPr>
          <w:rFonts w:hint="eastAsia" w:cs="Times New Roman"/>
          <w:color w:val="auto"/>
          <w:szCs w:val="24"/>
          <w:highlight w:val="none"/>
          <w:lang w:val="en-US" w:eastAsia="zh-CN" w:bidi="ar"/>
        </w:rPr>
        <w:t>合法性、</w:t>
      </w:r>
      <w:r>
        <w:rPr>
          <w:rFonts w:hint="eastAsia" w:cs="Times New Roman"/>
          <w:color w:val="auto"/>
          <w:szCs w:val="24"/>
          <w:highlight w:val="none"/>
          <w:lang w:bidi="ar"/>
        </w:rPr>
        <w:t>真实性负责。如有虚假，将依法承担相应责任。</w:t>
      </w:r>
    </w:p>
    <w:p w14:paraId="69B4AF1F">
      <w:pPr>
        <w:ind w:firstLine="480"/>
        <w:rPr>
          <w:rFonts w:cs="Times New Roman"/>
          <w:color w:val="auto"/>
          <w:szCs w:val="24"/>
          <w:highlight w:val="none"/>
          <w:lang w:bidi="ar"/>
        </w:rPr>
      </w:pPr>
    </w:p>
    <w:p w14:paraId="53AF334B">
      <w:pPr>
        <w:ind w:firstLine="480"/>
        <w:rPr>
          <w:rFonts w:cs="Times New Roman"/>
          <w:color w:val="auto"/>
          <w:szCs w:val="24"/>
          <w:highlight w:val="none"/>
          <w:lang w:bidi="ar"/>
        </w:rPr>
      </w:pPr>
    </w:p>
    <w:p w14:paraId="034FA7D4">
      <w:pPr>
        <w:ind w:firstLine="480"/>
        <w:rPr>
          <w:rFonts w:cs="Times New Roman"/>
          <w:color w:val="auto"/>
          <w:szCs w:val="24"/>
          <w:highlight w:val="none"/>
          <w:lang w:bidi="ar"/>
        </w:rPr>
      </w:pPr>
    </w:p>
    <w:p w14:paraId="21E632DB">
      <w:pPr>
        <w:spacing w:line="360" w:lineRule="auto"/>
        <w:ind w:firstLine="0" w:firstLineChars="0"/>
        <w:jc w:val="right"/>
        <w:rPr>
          <w:rFonts w:cs="Times New Roman"/>
          <w:color w:val="auto"/>
          <w:szCs w:val="24"/>
          <w:highlight w:val="none"/>
          <w:lang w:bidi="ar"/>
        </w:rPr>
      </w:pPr>
      <w:r>
        <w:rPr>
          <w:rFonts w:hint="eastAsia" w:cs="Times New Roman"/>
          <w:color w:val="auto"/>
          <w:szCs w:val="24"/>
          <w:highlight w:val="none"/>
          <w:lang w:bidi="ar"/>
        </w:rPr>
        <w:t>投标人：</w:t>
      </w:r>
      <w:r>
        <w:rPr>
          <w:rFonts w:hint="eastAsia" w:cs="Times New Roman"/>
          <w:color w:val="auto"/>
          <w:szCs w:val="24"/>
          <w:highlight w:val="none"/>
          <w:u w:val="single"/>
          <w:lang w:bidi="ar"/>
        </w:rPr>
        <w:t xml:space="preserve">                    </w:t>
      </w:r>
      <w:r>
        <w:rPr>
          <w:rFonts w:hint="eastAsia" w:cs="Times New Roman"/>
          <w:color w:val="auto"/>
          <w:szCs w:val="24"/>
          <w:highlight w:val="none"/>
          <w:lang w:bidi="ar"/>
        </w:rPr>
        <w:t>（盖章）</w:t>
      </w:r>
    </w:p>
    <w:p w14:paraId="1739AFF0">
      <w:pPr>
        <w:spacing w:line="360" w:lineRule="auto"/>
        <w:ind w:firstLine="0" w:firstLineChars="0"/>
        <w:jc w:val="right"/>
        <w:rPr>
          <w:rFonts w:cs="Times New Roman"/>
          <w:color w:val="auto"/>
          <w:szCs w:val="24"/>
          <w:highlight w:val="none"/>
          <w:lang w:bidi="ar"/>
        </w:rPr>
      </w:pPr>
      <w:r>
        <w:rPr>
          <w:rFonts w:hint="eastAsia" w:cs="Times New Roman"/>
          <w:color w:val="auto"/>
          <w:szCs w:val="24"/>
          <w:highlight w:val="none"/>
          <w:u w:val="single"/>
          <w:lang w:bidi="ar"/>
        </w:rPr>
        <w:t xml:space="preserve">      年   月   日</w:t>
      </w:r>
    </w:p>
    <w:p w14:paraId="1B1F5365">
      <w:pPr>
        <w:pageBreakBefore/>
        <w:spacing w:line="288" w:lineRule="auto"/>
        <w:ind w:firstLine="0" w:firstLineChars="0"/>
        <w:outlineLvl w:val="2"/>
        <w:rPr>
          <w:b/>
          <w:color w:val="auto"/>
          <w:highlight w:val="none"/>
        </w:rPr>
      </w:pPr>
      <w:r>
        <w:rPr>
          <w:rFonts w:hint="eastAsia" w:ascii="宋体" w:hAnsi="宋体" w:eastAsia="宋体" w:cs="宋体"/>
          <w:color w:val="auto"/>
          <w:sz w:val="24"/>
          <w:highlight w:val="none"/>
        </w:rPr>
        <w:t>经济标投标文件格式</w:t>
      </w:r>
      <w:r>
        <w:rPr>
          <w:rFonts w:hint="eastAsia" w:ascii="宋体" w:hAnsi="宋体" w:cs="宋体"/>
          <w:color w:val="auto"/>
          <w:sz w:val="24"/>
          <w:highlight w:val="none"/>
          <w:lang w:val="en-US" w:eastAsia="zh-CN"/>
        </w:rPr>
        <w:t>九</w:t>
      </w:r>
      <w:r>
        <w:rPr>
          <w:rFonts w:hint="eastAsia" w:ascii="宋体" w:hAnsi="宋体" w:eastAsia="宋体" w:cs="宋体"/>
          <w:b w:val="0"/>
          <w:color w:val="auto"/>
          <w:kern w:val="2"/>
          <w:sz w:val="24"/>
          <w:highlight w:val="none"/>
          <w:lang w:val="zh-CN"/>
        </w:rPr>
        <w:t>：</w:t>
      </w:r>
    </w:p>
    <w:p w14:paraId="1BCF0EED">
      <w:pPr>
        <w:ind w:firstLine="480"/>
        <w:rPr>
          <w:color w:val="auto"/>
          <w:highlight w:val="none"/>
        </w:rPr>
      </w:pPr>
    </w:p>
    <w:p w14:paraId="717C6DA4">
      <w:pPr>
        <w:spacing w:after="163" w:afterLines="50" w:line="288" w:lineRule="auto"/>
        <w:ind w:firstLine="0" w:firstLineChars="0"/>
        <w:jc w:val="center"/>
        <w:outlineLvl w:val="3"/>
        <w:rPr>
          <w:rFonts w:cs="Times New Roman"/>
          <w:b/>
          <w:color w:val="auto"/>
          <w:sz w:val="36"/>
          <w:szCs w:val="24"/>
          <w:highlight w:val="none"/>
          <w:lang w:bidi="ar"/>
        </w:rPr>
      </w:pPr>
      <w:r>
        <w:rPr>
          <w:rFonts w:hint="eastAsia" w:cs="Times New Roman"/>
          <w:b/>
          <w:color w:val="auto"/>
          <w:sz w:val="36"/>
          <w:szCs w:val="24"/>
          <w:highlight w:val="none"/>
          <w:lang w:bidi="ar"/>
        </w:rPr>
        <w:t>监狱企业的证明文件（如有）</w:t>
      </w:r>
    </w:p>
    <w:p w14:paraId="4D871AB9">
      <w:pPr>
        <w:ind w:firstLine="480"/>
        <w:rPr>
          <w:rFonts w:cs="Times New Roman"/>
          <w:color w:val="auto"/>
          <w:szCs w:val="24"/>
          <w:highlight w:val="none"/>
          <w:lang w:bidi="ar"/>
        </w:rPr>
      </w:pPr>
    </w:p>
    <w:p w14:paraId="531905A5">
      <w:pPr>
        <w:ind w:firstLine="480"/>
        <w:rPr>
          <w:rFonts w:cs="Times New Roman"/>
          <w:color w:val="auto"/>
          <w:szCs w:val="24"/>
          <w:highlight w:val="none"/>
          <w:lang w:bidi="ar"/>
        </w:rPr>
      </w:pPr>
      <w:r>
        <w:rPr>
          <w:rFonts w:hint="eastAsia" w:cs="Times New Roman"/>
          <w:color w:val="auto"/>
          <w:szCs w:val="24"/>
          <w:highlight w:val="none"/>
          <w:lang w:bidi="ar"/>
        </w:rPr>
        <w:t>说明：监狱企业参加招标活动时，应当提供由</w:t>
      </w:r>
      <w:r>
        <w:rPr>
          <w:rFonts w:hint="eastAsia" w:cs="Times New Roman"/>
          <w:b/>
          <w:color w:val="auto"/>
          <w:szCs w:val="24"/>
          <w:highlight w:val="none"/>
          <w:lang w:bidi="ar"/>
        </w:rPr>
        <w:t>省级以上监狱管理局、戒毒管理局（含新疆生产建设兵团）</w:t>
      </w:r>
      <w:r>
        <w:rPr>
          <w:rFonts w:hint="eastAsia" w:cs="Times New Roman"/>
          <w:color w:val="auto"/>
          <w:szCs w:val="24"/>
          <w:highlight w:val="none"/>
          <w:lang w:bidi="ar"/>
        </w:rPr>
        <w:t>出具的属于监狱企业的证明文件，并加盖投标单位公章。</w:t>
      </w:r>
    </w:p>
    <w:p w14:paraId="01FA6E00">
      <w:pPr>
        <w:ind w:firstLine="480"/>
        <w:rPr>
          <w:color w:val="auto"/>
          <w:highlight w:val="none"/>
        </w:rPr>
      </w:pPr>
    </w:p>
    <w:p w14:paraId="4CF881FD">
      <w:pPr>
        <w:shd w:val="clear" w:color="auto" w:fill="auto"/>
        <w:spacing w:line="320" w:lineRule="exact"/>
        <w:rPr>
          <w:rFonts w:hint="eastAsia" w:ascii="宋体" w:hAnsi="宋体" w:eastAsia="宋体" w:cs="宋体"/>
          <w:color w:val="auto"/>
          <w:sz w:val="24"/>
          <w:highlight w:val="none"/>
        </w:rPr>
      </w:pPr>
    </w:p>
    <w:p w14:paraId="4C04162F">
      <w:pPr>
        <w:shd w:val="clear" w:color="auto" w:fill="auto"/>
        <w:spacing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7335322F">
      <w:pPr>
        <w:shd w:val="clear" w:color="auto" w:fill="auto"/>
        <w:spacing w:line="3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经济标投标文件格式</w:t>
      </w:r>
      <w:r>
        <w:rPr>
          <w:rFonts w:hint="eastAsia" w:ascii="宋体" w:hAnsi="宋体" w:cs="宋体"/>
          <w:color w:val="auto"/>
          <w:sz w:val="24"/>
          <w:highlight w:val="none"/>
          <w:lang w:val="en-US" w:eastAsia="zh-CN"/>
        </w:rPr>
        <w:t>十</w:t>
      </w:r>
      <w:r>
        <w:rPr>
          <w:rFonts w:hint="eastAsia" w:ascii="宋体" w:hAnsi="宋体" w:eastAsia="宋体" w:cs="宋体"/>
          <w:color w:val="auto"/>
          <w:sz w:val="24"/>
          <w:highlight w:val="none"/>
        </w:rPr>
        <w:t>：</w:t>
      </w:r>
    </w:p>
    <w:p w14:paraId="2B9DE5A3">
      <w:pPr>
        <w:widowControl w:val="0"/>
        <w:shd w:val="clear" w:color="auto" w:fill="auto"/>
        <w:spacing w:after="0" w:line="360" w:lineRule="auto"/>
        <w:ind w:firstLine="640" w:firstLineChars="200"/>
        <w:jc w:val="center"/>
        <w:rPr>
          <w:rFonts w:hint="eastAsia" w:ascii="Times New Roman" w:hAnsi="Times New Roman" w:eastAsia="宋体" w:cs="Times New Roman"/>
          <w:b/>
          <w:color w:val="auto"/>
          <w:kern w:val="2"/>
          <w:sz w:val="32"/>
          <w:szCs w:val="32"/>
          <w:highlight w:val="none"/>
          <w:lang w:val="en-US" w:eastAsia="zh-CN" w:bidi="ar-SA"/>
        </w:rPr>
      </w:pPr>
      <w:r>
        <w:rPr>
          <w:rFonts w:hint="eastAsia" w:ascii="Times New Roman" w:hAnsi="Times New Roman" w:eastAsia="宋体" w:cs="Times New Roman"/>
          <w:b/>
          <w:color w:val="auto"/>
          <w:kern w:val="2"/>
          <w:sz w:val="32"/>
          <w:szCs w:val="32"/>
          <w:highlight w:val="none"/>
          <w:lang w:val="en-US" w:eastAsia="zh-CN" w:bidi="ar-SA"/>
        </w:rPr>
        <w:t>投标人认为应提供的其他资料（如有）</w:t>
      </w:r>
    </w:p>
    <w:p w14:paraId="7762AE8C">
      <w:pPr>
        <w:spacing w:line="360" w:lineRule="auto"/>
        <w:rPr>
          <w:rFonts w:hint="eastAsia" w:ascii="宋体" w:hAnsi="宋体" w:eastAsia="宋体" w:cs="宋体"/>
          <w:color w:val="auto"/>
          <w:sz w:val="24"/>
          <w:highlight w:val="none"/>
        </w:rPr>
      </w:pPr>
    </w:p>
    <w:p w14:paraId="413156BD">
      <w:pPr>
        <w:rPr>
          <w:rFonts w:hint="eastAsia" w:ascii="宋体" w:hAnsi="宋体" w:eastAsia="宋体" w:cs="宋体"/>
          <w:color w:val="auto"/>
          <w:highlight w:val="none"/>
        </w:rPr>
      </w:pPr>
      <w:bookmarkStart w:id="29" w:name="_Toc188805909"/>
      <w:r>
        <w:rPr>
          <w:rFonts w:hint="eastAsia" w:ascii="宋体" w:hAnsi="宋体" w:eastAsia="宋体" w:cs="宋体"/>
          <w:color w:val="auto"/>
          <w:highlight w:val="none"/>
        </w:rPr>
        <w:br w:type="page"/>
      </w:r>
    </w:p>
    <w:p w14:paraId="31C45691">
      <w:pPr>
        <w:pStyle w:val="3"/>
        <w:jc w:val="center"/>
        <w:rPr>
          <w:rFonts w:hint="eastAsia" w:ascii="宋体" w:hAnsi="宋体" w:eastAsia="宋体" w:cs="宋体"/>
          <w:color w:val="auto"/>
          <w:highlight w:val="none"/>
        </w:rPr>
      </w:pPr>
      <w:r>
        <w:rPr>
          <w:rFonts w:hint="eastAsia" w:ascii="宋体" w:hAnsi="宋体" w:eastAsia="宋体" w:cs="宋体"/>
          <w:color w:val="auto"/>
          <w:highlight w:val="none"/>
        </w:rPr>
        <w:t>第五章  技术条件（工程建设标准）</w:t>
      </w:r>
      <w:bookmarkEnd w:id="29"/>
    </w:p>
    <w:p w14:paraId="3169429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一、具体按施工图纸、中华人民共和国现行技术和验收规范、图纸中规定的其它技术和验收标准、遵照招标人相关规定要求为准。</w:t>
      </w:r>
    </w:p>
    <w:p w14:paraId="28A06C7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二、依据设计文件的要求，本招标工程项目的材料、设备、施工须达到中华人民共和国以及省、市或行业的工程建设标准、规范的要求。</w:t>
      </w:r>
    </w:p>
    <w:p w14:paraId="13DAE39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三、施工现场建筑垃圾源头减量的具体要求和建筑垃圾综合利用产品的使用要求：</w:t>
      </w:r>
    </w:p>
    <w:p w14:paraId="1A8D41E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工程施工单位应当编制建筑垃圾处理方案，采取污染防治措施，并在开工前报工程所在地县级人民政府建筑垃圾主管部门备案。建筑垃圾处理方案内容有调整的，应当及时报告接受备案的部门。建筑垃圾处理方案应当包括下列内容：（1）工程概况和施工单位基本信息；（2）建筑垃圾产生量与种类；（3）建筑垃圾源头减量、分类收集、综合利用、污染防治的措施和目标；（4）需要外运的建筑垃圾种类、数量与运输的时间、路线、方式和运输单位；（5）建筑垃圾回填、消纳、综合利用场所名称；（6）法律、法规规定的其他内容。</w:t>
      </w:r>
    </w:p>
    <w:p w14:paraId="2CFB043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1.2建筑垃圾应当按照国家有关规定进行分类，实行分类收集、分类贮存、分类运输、分类处置。</w:t>
      </w:r>
    </w:p>
    <w:p w14:paraId="20C901A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施工单位应开展建筑垃圾分类和合法装载，并及时向工程所在地县级人民政府建筑垃圾主管部门报送建筑垃圾处理方案。施工单位应当建立建筑垃圾管理台账，分类收集、贮存和及时清运施工过程中产生的建筑垃圾，采取有效措施防止混合已分类的建筑垃圾。工程施工单位应当将建筑垃圾的产生量与种类、清运时间、最终去向等信息在施工现场公示，接受社会监督。</w:t>
      </w:r>
    </w:p>
    <w:p w14:paraId="2978E73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运输建筑垃圾应当遵守下列规定：（1）建立建筑垃圾运输管理台账；（2）不得将工程渣土、工程泥浆与其他建筑垃圾混合运输；（3）保持运输车辆、船舶等运输工具的行驶记录、卫星定位等电子装置正常使用；（4）运输过程中保持运输工具整洁，采取密闭或者其他有效措施防止遗撒建筑垃圾，不得擅自倾倒、抛撒建筑垃圾；（5）按照建筑垃圾处理方案确定的时间、路线、方式、场所进行运输。建筑垃圾运输车辆、船舶应当符合相应的载运技术条件。建筑垃圾处置场所为陆域的，不得采用开底式船舶运输建筑垃圾。</w:t>
      </w:r>
    </w:p>
    <w:p w14:paraId="7A3EBFA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1.5工程泥浆应当在施工现场进行脱水固化处理。施工现场不具备条件的，应当采用罐装器具密闭运输至依法设置的建筑垃圾处置场所进行处置。水上工程中依法无需经脱水处理的除外。</w:t>
      </w:r>
    </w:p>
    <w:p w14:paraId="41F0DB1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建筑垃圾应当按照下列方式，优先就地就近利用：（1）工程渣土及脱水后的工程泥浆优先用于土方平衡、矿坑修复、环境治理、烧结制品及回填等；（2）工程垃圾、拆除垃圾和装修垃圾优先用于生产再生骨料、再生砖、再生砌块、再生沥青混合料等建筑垃圾综合利用产品。具备现场综合利用条件的建设工程，应当进行建筑垃圾现场综合利用。</w:t>
      </w:r>
    </w:p>
    <w:p w14:paraId="67C9722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1.7建设单位和施工单位严格遵守并执行《广东省建筑垃圾管理条例》。</w:t>
      </w:r>
    </w:p>
    <w:p w14:paraId="743C7884">
      <w:pPr>
        <w:pStyle w:val="3"/>
        <w:jc w:val="center"/>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br w:type="page"/>
      </w:r>
      <w:bookmarkStart w:id="30" w:name="_Toc188805910"/>
      <w:r>
        <w:rPr>
          <w:rFonts w:hint="eastAsia" w:ascii="宋体" w:hAnsi="宋体" w:eastAsia="宋体" w:cs="宋体"/>
          <w:color w:val="auto"/>
          <w:highlight w:val="none"/>
        </w:rPr>
        <w:t>第六章  图纸及勘察资料</w:t>
      </w:r>
      <w:bookmarkEnd w:id="30"/>
    </w:p>
    <w:p w14:paraId="6ABBA82A">
      <w:pPr>
        <w:jc w:val="center"/>
        <w:rPr>
          <w:rFonts w:hint="eastAsia" w:ascii="宋体" w:hAnsi="宋体" w:eastAsia="宋体" w:cs="宋体"/>
          <w:color w:val="auto"/>
          <w:highlight w:val="none"/>
        </w:rPr>
      </w:pPr>
      <w:r>
        <w:rPr>
          <w:rFonts w:hint="eastAsia" w:ascii="宋体" w:hAnsi="宋体" w:eastAsia="宋体" w:cs="宋体"/>
          <w:color w:val="auto"/>
          <w:sz w:val="24"/>
          <w:szCs w:val="24"/>
          <w:highlight w:val="none"/>
        </w:rPr>
        <w:t>（另册）</w:t>
      </w:r>
    </w:p>
    <w:p w14:paraId="6B1000E9">
      <w:pPr>
        <w:pStyle w:val="3"/>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31" w:name="_Toc188805911"/>
      <w:r>
        <w:rPr>
          <w:rFonts w:hint="eastAsia" w:ascii="宋体" w:hAnsi="宋体" w:eastAsia="宋体" w:cs="宋体"/>
          <w:color w:val="auto"/>
          <w:highlight w:val="none"/>
        </w:rPr>
        <w:t>第七章  工程量清单</w:t>
      </w:r>
      <w:bookmarkEnd w:id="31"/>
    </w:p>
    <w:p w14:paraId="74F57600">
      <w:pPr>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（另册）</w:t>
      </w:r>
    </w:p>
    <w:p w14:paraId="730A01B1">
      <w:pPr>
        <w:widowControl/>
        <w:jc w:val="left"/>
        <w:rPr>
          <w:rFonts w:hint="eastAsia" w:ascii="宋体" w:hAnsi="宋体" w:eastAsia="宋体" w:cs="宋体"/>
          <w:b/>
          <w:color w:val="auto"/>
          <w:kern w:val="44"/>
          <w:sz w:val="28"/>
          <w:szCs w:val="28"/>
          <w:highlight w:val="none"/>
        </w:rPr>
      </w:pPr>
      <w:r>
        <w:rPr>
          <w:rFonts w:hint="eastAsia" w:ascii="宋体" w:hAnsi="宋体" w:eastAsia="宋体" w:cs="宋体"/>
          <w:color w:val="auto"/>
          <w:highlight w:val="none"/>
        </w:rPr>
        <w:br w:type="page"/>
      </w:r>
    </w:p>
    <w:p w14:paraId="5EFD35BA">
      <w:pPr>
        <w:pStyle w:val="3"/>
        <w:jc w:val="center"/>
        <w:rPr>
          <w:rFonts w:hint="eastAsia" w:ascii="宋体" w:hAnsi="宋体" w:eastAsia="宋体" w:cs="宋体"/>
          <w:color w:val="auto"/>
          <w:highlight w:val="none"/>
        </w:rPr>
      </w:pPr>
      <w:bookmarkStart w:id="32" w:name="_Toc188805912"/>
      <w:r>
        <w:rPr>
          <w:rFonts w:hint="eastAsia" w:ascii="宋体" w:hAnsi="宋体" w:eastAsia="宋体" w:cs="宋体"/>
          <w:color w:val="auto"/>
          <w:highlight w:val="none"/>
        </w:rPr>
        <w:t>第八章  最高投标限价</w:t>
      </w:r>
      <w:bookmarkEnd w:id="32"/>
    </w:p>
    <w:p w14:paraId="1FFAD9EF">
      <w:pPr>
        <w:spacing w:line="360" w:lineRule="auto"/>
        <w:ind w:firstLine="480"/>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（另册）</w:t>
      </w:r>
    </w:p>
    <w:p w14:paraId="2247C35F">
      <w:pPr>
        <w:rPr>
          <w:rFonts w:hint="eastAsia" w:ascii="宋体" w:hAnsi="宋体" w:eastAsia="宋体" w:cs="宋体"/>
          <w:color w:val="auto"/>
          <w:highlight w:val="none"/>
        </w:rPr>
      </w:pPr>
    </w:p>
    <w:sectPr>
      <w:pgSz w:w="11906" w:h="16838"/>
      <w:pgMar w:top="1440" w:right="1800" w:bottom="1440" w:left="180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宋体..胭..">
    <w:altName w:val="宋体"/>
    <w:panose1 w:val="00000000000000000000"/>
    <w:charset w:val="86"/>
    <w:family w:val="roma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C41D6">
    <w:pPr>
      <w:pStyle w:val="2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113169126"/>
                          </w:sdtPr>
                          <w:sdtContent>
                            <w:p w14:paraId="2236DAC1">
                              <w:pPr>
                                <w:pStyle w:val="25"/>
                                <w:jc w:val="center"/>
                              </w:pPr>
                              <w:r>
                                <w:fldChar w:fldCharType="begin"/>
                              </w:r>
                              <w:r>
                                <w:instrText xml:space="preserve">PAGE   \* MERGEFORMAT</w:instrText>
                              </w:r>
                              <w:r>
                                <w:fldChar w:fldCharType="separate"/>
                              </w:r>
                              <w:r>
                                <w:rPr>
                                  <w:lang w:val="zh-CN"/>
                                </w:rPr>
                                <w:t>1</w:t>
                              </w:r>
                              <w:r>
                                <w:fldChar w:fldCharType="end"/>
                              </w:r>
                            </w:p>
                          </w:sdtContent>
                        </w:sdt>
                        <w:p w14:paraId="79B56C24">
                          <w:pPr>
                            <w:pStyle w:val="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sdt>
                    <w:sdtPr>
                      <w:id w:val="1113169126"/>
                    </w:sdtPr>
                    <w:sdtContent>
                      <w:p w14:paraId="2236DAC1">
                        <w:pPr>
                          <w:pStyle w:val="25"/>
                          <w:jc w:val="center"/>
                        </w:pPr>
                        <w:r>
                          <w:fldChar w:fldCharType="begin"/>
                        </w:r>
                        <w:r>
                          <w:instrText xml:space="preserve">PAGE   \* MERGEFORMAT</w:instrText>
                        </w:r>
                        <w:r>
                          <w:fldChar w:fldCharType="separate"/>
                        </w:r>
                        <w:r>
                          <w:rPr>
                            <w:lang w:val="zh-CN"/>
                          </w:rPr>
                          <w:t>1</w:t>
                        </w:r>
                        <w:r>
                          <w:fldChar w:fldCharType="end"/>
                        </w:r>
                      </w:p>
                    </w:sdtContent>
                  </w:sdt>
                  <w:p w14:paraId="79B56C24">
                    <w:pPr>
                      <w:pStyle w:val="7"/>
                    </w:pPr>
                  </w:p>
                </w:txbxContent>
              </v:textbox>
            </v:shape>
          </w:pict>
        </mc:Fallback>
      </mc:AlternateContent>
    </w:r>
  </w:p>
  <w:p w14:paraId="6B8DE88F">
    <w:pPr>
      <w:pStyle w:val="25"/>
      <w:ind w:firstLine="392"/>
      <w:jc w:val="right"/>
      <w:rPr>
        <w:rStyle w:val="3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C7162">
    <w:pPr>
      <w:pStyle w:val="25"/>
      <w:ind w:firstLine="392"/>
      <w:rPr>
        <w:rStyle w:val="39"/>
      </w:rPr>
    </w:pPr>
    <w:r>
      <w:fldChar w:fldCharType="begin"/>
    </w:r>
    <w:r>
      <w:rPr>
        <w:rStyle w:val="39"/>
      </w:rPr>
      <w:instrText xml:space="preserve">PAGE  </w:instrText>
    </w:r>
    <w:r>
      <w:fldChar w:fldCharType="separate"/>
    </w:r>
    <w:r>
      <w:rPr>
        <w:rStyle w:val="39"/>
        <w:rFonts w:hint="eastAsia"/>
      </w:rPr>
      <w:t>一</w:t>
    </w:r>
    <w:r>
      <w:rPr>
        <w:rStyle w:val="39"/>
      </w:rPr>
      <w:t>–2</w:t>
    </w:r>
    <w:r>
      <w:fldChar w:fldCharType="end"/>
    </w:r>
  </w:p>
  <w:p w14:paraId="465CD309">
    <w:pPr>
      <w:pStyle w:val="25"/>
      <w:ind w:firstLine="392"/>
    </w:pPr>
    <w:r>
      <w:rPr>
        <w:kern w:val="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A8002">
    <w:pPr>
      <w:pStyle w:val="25"/>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103F69">
                          <w:pPr>
                            <w:pStyle w:val="25"/>
                            <w:jc w:val="center"/>
                            <w:rPr>
                              <w:rStyle w:val="39"/>
                            </w:rPr>
                          </w:pPr>
                          <w:r>
                            <w:fldChar w:fldCharType="begin"/>
                          </w:r>
                          <w:r>
                            <w:rPr>
                              <w:rStyle w:val="39"/>
                            </w:rPr>
                            <w:instrText xml:space="preserve">PAGE  </w:instrText>
                          </w:r>
                          <w:r>
                            <w:fldChar w:fldCharType="separate"/>
                          </w:r>
                          <w:r>
                            <w:rPr>
                              <w:rStyle w:val="39"/>
                            </w:rPr>
                            <w:t>87</w:t>
                          </w:r>
                          <w:r>
                            <w:fldChar w:fldCharType="end"/>
                          </w:r>
                        </w:p>
                        <w:p w14:paraId="5D3354F9">
                          <w:pPr>
                            <w:pStyle w:val="25"/>
                            <w:ind w:left="-4410" w:leftChars="-2100" w:right="-4439" w:rightChars="-2114"/>
                            <w:rPr>
                              <w:rStyle w:val="39"/>
                            </w:rPr>
                          </w:pPr>
                        </w:p>
                        <w:p w14:paraId="402F4222"/>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54103F69">
                    <w:pPr>
                      <w:pStyle w:val="25"/>
                      <w:jc w:val="center"/>
                      <w:rPr>
                        <w:rStyle w:val="39"/>
                      </w:rPr>
                    </w:pPr>
                    <w:r>
                      <w:fldChar w:fldCharType="begin"/>
                    </w:r>
                    <w:r>
                      <w:rPr>
                        <w:rStyle w:val="39"/>
                      </w:rPr>
                      <w:instrText xml:space="preserve">PAGE  </w:instrText>
                    </w:r>
                    <w:r>
                      <w:fldChar w:fldCharType="separate"/>
                    </w:r>
                    <w:r>
                      <w:rPr>
                        <w:rStyle w:val="39"/>
                      </w:rPr>
                      <w:t>87</w:t>
                    </w:r>
                    <w:r>
                      <w:fldChar w:fldCharType="end"/>
                    </w:r>
                  </w:p>
                  <w:p w14:paraId="5D3354F9">
                    <w:pPr>
                      <w:pStyle w:val="25"/>
                      <w:ind w:left="-4410" w:leftChars="-2100" w:right="-4439" w:rightChars="-2114"/>
                      <w:rPr>
                        <w:rStyle w:val="39"/>
                      </w:rPr>
                    </w:pPr>
                  </w:p>
                  <w:p w14:paraId="402F4222"/>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E15E1">
    <w:pPr>
      <w:pStyle w:val="26"/>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607BF1"/>
    <w:multiLevelType w:val="multilevel"/>
    <w:tmpl w:val="22607BF1"/>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
    <w:nsid w:val="259905B5"/>
    <w:multiLevelType w:val="multilevel"/>
    <w:tmpl w:val="259905B5"/>
    <w:lvl w:ilvl="0" w:tentative="0">
      <w:start w:val="1"/>
      <w:numFmt w:val="chineseCountingThousand"/>
      <w:pStyle w:val="125"/>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9"/>
      <w:suff w:val="space"/>
      <w:lvlText w:val="%2.%3.%4"/>
      <w:lvlJc w:val="left"/>
      <w:pPr>
        <w:ind w:left="284" w:hanging="284"/>
      </w:pPr>
      <w:rPr>
        <w:rFonts w:hint="eastAsia" w:ascii="宋体" w:eastAsia="宋体" w:cs="Times New Roman"/>
        <w:b/>
        <w:i w:val="0"/>
        <w:sz w:val="28"/>
      </w:rPr>
    </w:lvl>
    <w:lvl w:ilvl="4" w:tentative="0">
      <w:start w:val="1"/>
      <w:numFmt w:val="decimal"/>
      <w:pStyle w:val="11"/>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3"/>
      <w:suff w:val="nothing"/>
      <w:lvlText w:val=""/>
      <w:lvlJc w:val="left"/>
      <w:rPr>
        <w:rFonts w:hint="eastAsia" w:cs="Times New Roman"/>
      </w:rPr>
    </w:lvl>
    <w:lvl w:ilvl="7" w:tentative="0">
      <w:start w:val="1"/>
      <w:numFmt w:val="none"/>
      <w:pStyle w:val="14"/>
      <w:suff w:val="nothing"/>
      <w:lvlText w:val=""/>
      <w:lvlJc w:val="left"/>
      <w:rPr>
        <w:rFonts w:hint="eastAsia" w:cs="Times New Roman"/>
      </w:rPr>
    </w:lvl>
    <w:lvl w:ilvl="8" w:tentative="0">
      <w:start w:val="1"/>
      <w:numFmt w:val="none"/>
      <w:pStyle w:val="15"/>
      <w:suff w:val="nothing"/>
      <w:lvlText w:val=""/>
      <w:lvlJc w:val="left"/>
      <w:rPr>
        <w:rFonts w:hint="eastAsia" w:cs="Times New Roman"/>
      </w:rPr>
    </w:lvl>
  </w:abstractNum>
  <w:abstractNum w:abstractNumId="2">
    <w:nsid w:val="353D79F3"/>
    <w:multiLevelType w:val="singleLevel"/>
    <w:tmpl w:val="353D79F3"/>
    <w:lvl w:ilvl="0" w:tentative="0">
      <w:start w:val="3"/>
      <w:numFmt w:val="decimal"/>
      <w:suff w:val="nothing"/>
      <w:lvlText w:val="%1、"/>
      <w:lvlJc w:val="left"/>
    </w:lvl>
  </w:abstractNum>
  <w:abstractNum w:abstractNumId="3">
    <w:nsid w:val="40F961A5"/>
    <w:multiLevelType w:val="singleLevel"/>
    <w:tmpl w:val="40F961A5"/>
    <w:lvl w:ilvl="0" w:tentative="0">
      <w:start w:val="2"/>
      <w:numFmt w:val="decimal"/>
      <w:suff w:val="nothing"/>
      <w:lvlText w:val="（%1）"/>
      <w:lvlJc w:val="left"/>
    </w:lvl>
  </w:abstractNum>
  <w:abstractNum w:abstractNumId="4">
    <w:nsid w:val="66830454"/>
    <w:multiLevelType w:val="multilevel"/>
    <w:tmpl w:val="6683045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EEFA3C3"/>
    <w:multiLevelType w:val="singleLevel"/>
    <w:tmpl w:val="6EEFA3C3"/>
    <w:lvl w:ilvl="0" w:tentative="0">
      <w:start w:val="1"/>
      <w:numFmt w:val="decimal"/>
      <w:suff w:val="nothing"/>
      <w:lvlText w:val="%1、"/>
      <w:lvlJc w:val="left"/>
    </w:lvl>
  </w:abstractNum>
  <w:abstractNum w:abstractNumId="6">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2"/>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1"/>
  </w:num>
  <w:num w:numId="2">
    <w:abstractNumId w:val="6"/>
  </w:num>
  <w:num w:numId="3">
    <w:abstractNumId w:val="3"/>
  </w:num>
  <w:num w:numId="4">
    <w:abstractNumId w:val="2"/>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doNotDisplayPageBoundaries w:val="1"/>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YzI2ZTI4MDA0ODg3MjA0ZTYxNTVhYzAzYTY5OTkifQ=="/>
  </w:docVars>
  <w:rsids>
    <w:rsidRoot w:val="00172A27"/>
    <w:rsid w:val="0000487C"/>
    <w:rsid w:val="000056E5"/>
    <w:rsid w:val="00006747"/>
    <w:rsid w:val="000135B6"/>
    <w:rsid w:val="00013E3D"/>
    <w:rsid w:val="0001674E"/>
    <w:rsid w:val="00017A8F"/>
    <w:rsid w:val="00021086"/>
    <w:rsid w:val="00021C38"/>
    <w:rsid w:val="00026027"/>
    <w:rsid w:val="00027712"/>
    <w:rsid w:val="000310B0"/>
    <w:rsid w:val="00034662"/>
    <w:rsid w:val="00037EB1"/>
    <w:rsid w:val="00040023"/>
    <w:rsid w:val="000405B6"/>
    <w:rsid w:val="00040BE8"/>
    <w:rsid w:val="0004251F"/>
    <w:rsid w:val="000429E8"/>
    <w:rsid w:val="00045D9D"/>
    <w:rsid w:val="00046046"/>
    <w:rsid w:val="000522EB"/>
    <w:rsid w:val="00054CE9"/>
    <w:rsid w:val="00065D8F"/>
    <w:rsid w:val="0007108F"/>
    <w:rsid w:val="00080019"/>
    <w:rsid w:val="00083E57"/>
    <w:rsid w:val="000926BB"/>
    <w:rsid w:val="00093A9F"/>
    <w:rsid w:val="0009557B"/>
    <w:rsid w:val="000A075C"/>
    <w:rsid w:val="000A09A0"/>
    <w:rsid w:val="000A2E3C"/>
    <w:rsid w:val="000A43D4"/>
    <w:rsid w:val="000A76BB"/>
    <w:rsid w:val="000A776B"/>
    <w:rsid w:val="000A7E1E"/>
    <w:rsid w:val="000B0224"/>
    <w:rsid w:val="000B0679"/>
    <w:rsid w:val="000B31D3"/>
    <w:rsid w:val="000C20C9"/>
    <w:rsid w:val="000C2801"/>
    <w:rsid w:val="000C4A74"/>
    <w:rsid w:val="000D413A"/>
    <w:rsid w:val="000D7C7E"/>
    <w:rsid w:val="000E214E"/>
    <w:rsid w:val="000E4410"/>
    <w:rsid w:val="000E4C96"/>
    <w:rsid w:val="000E6033"/>
    <w:rsid w:val="000F4C29"/>
    <w:rsid w:val="000F6909"/>
    <w:rsid w:val="000F6AE3"/>
    <w:rsid w:val="001012F9"/>
    <w:rsid w:val="001034AF"/>
    <w:rsid w:val="0010465D"/>
    <w:rsid w:val="00105A57"/>
    <w:rsid w:val="00125FFB"/>
    <w:rsid w:val="001260A5"/>
    <w:rsid w:val="001268E4"/>
    <w:rsid w:val="00146AC7"/>
    <w:rsid w:val="00147D25"/>
    <w:rsid w:val="0016209F"/>
    <w:rsid w:val="00172A27"/>
    <w:rsid w:val="00172B9B"/>
    <w:rsid w:val="001735E4"/>
    <w:rsid w:val="00176C2A"/>
    <w:rsid w:val="00182098"/>
    <w:rsid w:val="00183CEE"/>
    <w:rsid w:val="00185092"/>
    <w:rsid w:val="0018740C"/>
    <w:rsid w:val="00187585"/>
    <w:rsid w:val="0019298B"/>
    <w:rsid w:val="001A0271"/>
    <w:rsid w:val="001A1CE1"/>
    <w:rsid w:val="001A24E2"/>
    <w:rsid w:val="001A6FF3"/>
    <w:rsid w:val="001B2ECF"/>
    <w:rsid w:val="001B4535"/>
    <w:rsid w:val="001B47C2"/>
    <w:rsid w:val="001C189E"/>
    <w:rsid w:val="001C20AD"/>
    <w:rsid w:val="001C2647"/>
    <w:rsid w:val="001C7D16"/>
    <w:rsid w:val="001D1A5E"/>
    <w:rsid w:val="001D1CDC"/>
    <w:rsid w:val="001D2361"/>
    <w:rsid w:val="001D662D"/>
    <w:rsid w:val="001D7F5F"/>
    <w:rsid w:val="001E1B29"/>
    <w:rsid w:val="001E7D56"/>
    <w:rsid w:val="001F2E06"/>
    <w:rsid w:val="001F6488"/>
    <w:rsid w:val="001F76AB"/>
    <w:rsid w:val="00204ADE"/>
    <w:rsid w:val="002054B1"/>
    <w:rsid w:val="002109D8"/>
    <w:rsid w:val="0021340D"/>
    <w:rsid w:val="0022256A"/>
    <w:rsid w:val="002225B0"/>
    <w:rsid w:val="0022648B"/>
    <w:rsid w:val="00226C3A"/>
    <w:rsid w:val="00226E02"/>
    <w:rsid w:val="00227486"/>
    <w:rsid w:val="0023300B"/>
    <w:rsid w:val="002364DF"/>
    <w:rsid w:val="002435E6"/>
    <w:rsid w:val="00245533"/>
    <w:rsid w:val="002500BA"/>
    <w:rsid w:val="0025042C"/>
    <w:rsid w:val="00251D72"/>
    <w:rsid w:val="00253FEC"/>
    <w:rsid w:val="00256C45"/>
    <w:rsid w:val="002617E1"/>
    <w:rsid w:val="00265A16"/>
    <w:rsid w:val="0027315F"/>
    <w:rsid w:val="0027354B"/>
    <w:rsid w:val="00273AA8"/>
    <w:rsid w:val="002748CB"/>
    <w:rsid w:val="00276E4F"/>
    <w:rsid w:val="00277140"/>
    <w:rsid w:val="00280B80"/>
    <w:rsid w:val="00284338"/>
    <w:rsid w:val="002856D8"/>
    <w:rsid w:val="002857AC"/>
    <w:rsid w:val="00286E06"/>
    <w:rsid w:val="00287254"/>
    <w:rsid w:val="002900F0"/>
    <w:rsid w:val="00290FD5"/>
    <w:rsid w:val="00291D99"/>
    <w:rsid w:val="00291EA4"/>
    <w:rsid w:val="00296E9F"/>
    <w:rsid w:val="002971D7"/>
    <w:rsid w:val="002A4AC5"/>
    <w:rsid w:val="002A541E"/>
    <w:rsid w:val="002B0BA5"/>
    <w:rsid w:val="002B120F"/>
    <w:rsid w:val="002B771F"/>
    <w:rsid w:val="002C1922"/>
    <w:rsid w:val="002C6E19"/>
    <w:rsid w:val="002C7EDA"/>
    <w:rsid w:val="002D377E"/>
    <w:rsid w:val="002D46DF"/>
    <w:rsid w:val="002E648E"/>
    <w:rsid w:val="002F246D"/>
    <w:rsid w:val="002F291D"/>
    <w:rsid w:val="002F515A"/>
    <w:rsid w:val="00304FC0"/>
    <w:rsid w:val="00305D25"/>
    <w:rsid w:val="00306B1C"/>
    <w:rsid w:val="00313D6F"/>
    <w:rsid w:val="0031499B"/>
    <w:rsid w:val="0032275C"/>
    <w:rsid w:val="0032369A"/>
    <w:rsid w:val="00323C2F"/>
    <w:rsid w:val="00327D40"/>
    <w:rsid w:val="00330877"/>
    <w:rsid w:val="00332C40"/>
    <w:rsid w:val="00335CB9"/>
    <w:rsid w:val="00347F82"/>
    <w:rsid w:val="00361E21"/>
    <w:rsid w:val="0036328D"/>
    <w:rsid w:val="00364495"/>
    <w:rsid w:val="003737C1"/>
    <w:rsid w:val="00381DE9"/>
    <w:rsid w:val="003835ED"/>
    <w:rsid w:val="00384057"/>
    <w:rsid w:val="00384A72"/>
    <w:rsid w:val="00386038"/>
    <w:rsid w:val="00387450"/>
    <w:rsid w:val="00387A56"/>
    <w:rsid w:val="00391D68"/>
    <w:rsid w:val="003A1AB7"/>
    <w:rsid w:val="003A2E88"/>
    <w:rsid w:val="003A3459"/>
    <w:rsid w:val="003A3D06"/>
    <w:rsid w:val="003A5CEA"/>
    <w:rsid w:val="003A7E24"/>
    <w:rsid w:val="003C04C4"/>
    <w:rsid w:val="003C1211"/>
    <w:rsid w:val="003C2EAA"/>
    <w:rsid w:val="003D3E17"/>
    <w:rsid w:val="003E0958"/>
    <w:rsid w:val="003E40A1"/>
    <w:rsid w:val="003E6731"/>
    <w:rsid w:val="003F06D2"/>
    <w:rsid w:val="003F2D59"/>
    <w:rsid w:val="003F3026"/>
    <w:rsid w:val="003F363E"/>
    <w:rsid w:val="003F59CC"/>
    <w:rsid w:val="003F6FDA"/>
    <w:rsid w:val="00400200"/>
    <w:rsid w:val="004019A1"/>
    <w:rsid w:val="00404170"/>
    <w:rsid w:val="004053E4"/>
    <w:rsid w:val="004064E3"/>
    <w:rsid w:val="004121D4"/>
    <w:rsid w:val="00412F4B"/>
    <w:rsid w:val="0041717C"/>
    <w:rsid w:val="0042263B"/>
    <w:rsid w:val="00426C63"/>
    <w:rsid w:val="00431AEC"/>
    <w:rsid w:val="0043408E"/>
    <w:rsid w:val="00440C1E"/>
    <w:rsid w:val="00443FA7"/>
    <w:rsid w:val="00444A21"/>
    <w:rsid w:val="00444E06"/>
    <w:rsid w:val="0044617F"/>
    <w:rsid w:val="00450441"/>
    <w:rsid w:val="00452AEE"/>
    <w:rsid w:val="00452B2F"/>
    <w:rsid w:val="00455BD1"/>
    <w:rsid w:val="00455E0B"/>
    <w:rsid w:val="00460D39"/>
    <w:rsid w:val="00462427"/>
    <w:rsid w:val="00465B07"/>
    <w:rsid w:val="004752DF"/>
    <w:rsid w:val="00485B15"/>
    <w:rsid w:val="00490620"/>
    <w:rsid w:val="00491B8B"/>
    <w:rsid w:val="00494ACE"/>
    <w:rsid w:val="00495614"/>
    <w:rsid w:val="004A02EA"/>
    <w:rsid w:val="004A0AB7"/>
    <w:rsid w:val="004A1DFD"/>
    <w:rsid w:val="004A7B45"/>
    <w:rsid w:val="004B011C"/>
    <w:rsid w:val="004B1997"/>
    <w:rsid w:val="004B2A9C"/>
    <w:rsid w:val="004B5714"/>
    <w:rsid w:val="004C0561"/>
    <w:rsid w:val="004C28F1"/>
    <w:rsid w:val="004C34D0"/>
    <w:rsid w:val="004D3271"/>
    <w:rsid w:val="004D77E8"/>
    <w:rsid w:val="004E436D"/>
    <w:rsid w:val="004F031D"/>
    <w:rsid w:val="004F2B51"/>
    <w:rsid w:val="004F3216"/>
    <w:rsid w:val="004F396F"/>
    <w:rsid w:val="004F5211"/>
    <w:rsid w:val="004F7066"/>
    <w:rsid w:val="004F70CE"/>
    <w:rsid w:val="005045C5"/>
    <w:rsid w:val="00504A3A"/>
    <w:rsid w:val="00504E4B"/>
    <w:rsid w:val="0051273D"/>
    <w:rsid w:val="0051416B"/>
    <w:rsid w:val="005218D9"/>
    <w:rsid w:val="00521FC3"/>
    <w:rsid w:val="00534170"/>
    <w:rsid w:val="00536057"/>
    <w:rsid w:val="005362B3"/>
    <w:rsid w:val="00536488"/>
    <w:rsid w:val="00540FAC"/>
    <w:rsid w:val="005445D3"/>
    <w:rsid w:val="0055591A"/>
    <w:rsid w:val="0055733E"/>
    <w:rsid w:val="00563499"/>
    <w:rsid w:val="0056425C"/>
    <w:rsid w:val="00565C14"/>
    <w:rsid w:val="0056790B"/>
    <w:rsid w:val="005734BC"/>
    <w:rsid w:val="005737BB"/>
    <w:rsid w:val="00573D39"/>
    <w:rsid w:val="0057622C"/>
    <w:rsid w:val="0058285B"/>
    <w:rsid w:val="005832DC"/>
    <w:rsid w:val="00587088"/>
    <w:rsid w:val="00597605"/>
    <w:rsid w:val="005A4BEC"/>
    <w:rsid w:val="005B7556"/>
    <w:rsid w:val="005C2529"/>
    <w:rsid w:val="005C556F"/>
    <w:rsid w:val="005D4F7A"/>
    <w:rsid w:val="005D6F4E"/>
    <w:rsid w:val="005E2AA1"/>
    <w:rsid w:val="005E4FDC"/>
    <w:rsid w:val="005E50D2"/>
    <w:rsid w:val="005E5A43"/>
    <w:rsid w:val="005E5E73"/>
    <w:rsid w:val="005E7CCE"/>
    <w:rsid w:val="005F4D69"/>
    <w:rsid w:val="005F67B9"/>
    <w:rsid w:val="005F77BD"/>
    <w:rsid w:val="00602315"/>
    <w:rsid w:val="0060426C"/>
    <w:rsid w:val="006105F0"/>
    <w:rsid w:val="00612E13"/>
    <w:rsid w:val="00613083"/>
    <w:rsid w:val="00613B51"/>
    <w:rsid w:val="00613E22"/>
    <w:rsid w:val="006162D2"/>
    <w:rsid w:val="0062054C"/>
    <w:rsid w:val="00623981"/>
    <w:rsid w:val="006277CF"/>
    <w:rsid w:val="0063025B"/>
    <w:rsid w:val="0063221A"/>
    <w:rsid w:val="00633100"/>
    <w:rsid w:val="006356B7"/>
    <w:rsid w:val="00637DC5"/>
    <w:rsid w:val="00643FB7"/>
    <w:rsid w:val="00644C5F"/>
    <w:rsid w:val="00650373"/>
    <w:rsid w:val="006521CA"/>
    <w:rsid w:val="00657147"/>
    <w:rsid w:val="00657F7D"/>
    <w:rsid w:val="00663540"/>
    <w:rsid w:val="006666E3"/>
    <w:rsid w:val="00666AF0"/>
    <w:rsid w:val="00667FFA"/>
    <w:rsid w:val="0067461A"/>
    <w:rsid w:val="0067780A"/>
    <w:rsid w:val="006779C6"/>
    <w:rsid w:val="00684168"/>
    <w:rsid w:val="00685668"/>
    <w:rsid w:val="006877B1"/>
    <w:rsid w:val="0069058C"/>
    <w:rsid w:val="00693AC0"/>
    <w:rsid w:val="0069727F"/>
    <w:rsid w:val="00697BA9"/>
    <w:rsid w:val="006A0E66"/>
    <w:rsid w:val="006B1D90"/>
    <w:rsid w:val="006B6D33"/>
    <w:rsid w:val="006D2FB0"/>
    <w:rsid w:val="006D43A6"/>
    <w:rsid w:val="006E10D5"/>
    <w:rsid w:val="006E56EE"/>
    <w:rsid w:val="006F06A7"/>
    <w:rsid w:val="006F0A04"/>
    <w:rsid w:val="006F6B5B"/>
    <w:rsid w:val="0070361A"/>
    <w:rsid w:val="00710466"/>
    <w:rsid w:val="007206E6"/>
    <w:rsid w:val="00723B2A"/>
    <w:rsid w:val="00724A72"/>
    <w:rsid w:val="00725B71"/>
    <w:rsid w:val="0073129F"/>
    <w:rsid w:val="00732F36"/>
    <w:rsid w:val="00733049"/>
    <w:rsid w:val="007453A0"/>
    <w:rsid w:val="00745AE4"/>
    <w:rsid w:val="00750457"/>
    <w:rsid w:val="0075297C"/>
    <w:rsid w:val="007553C5"/>
    <w:rsid w:val="0075606A"/>
    <w:rsid w:val="00756166"/>
    <w:rsid w:val="0075649F"/>
    <w:rsid w:val="00757B55"/>
    <w:rsid w:val="00760987"/>
    <w:rsid w:val="007629E6"/>
    <w:rsid w:val="00764114"/>
    <w:rsid w:val="00766210"/>
    <w:rsid w:val="00771EE0"/>
    <w:rsid w:val="0077352D"/>
    <w:rsid w:val="00773A99"/>
    <w:rsid w:val="0077688C"/>
    <w:rsid w:val="007770DA"/>
    <w:rsid w:val="00777C21"/>
    <w:rsid w:val="0078426A"/>
    <w:rsid w:val="007850F4"/>
    <w:rsid w:val="00787DB4"/>
    <w:rsid w:val="007A0335"/>
    <w:rsid w:val="007A4A86"/>
    <w:rsid w:val="007A5888"/>
    <w:rsid w:val="007A71B7"/>
    <w:rsid w:val="007B183F"/>
    <w:rsid w:val="007B310F"/>
    <w:rsid w:val="007B57D5"/>
    <w:rsid w:val="007B74A2"/>
    <w:rsid w:val="007C075C"/>
    <w:rsid w:val="007C0D99"/>
    <w:rsid w:val="007C397B"/>
    <w:rsid w:val="007C4FD6"/>
    <w:rsid w:val="007C7FBF"/>
    <w:rsid w:val="007D21AC"/>
    <w:rsid w:val="007D2BF8"/>
    <w:rsid w:val="007D635B"/>
    <w:rsid w:val="007D64BE"/>
    <w:rsid w:val="007E36AD"/>
    <w:rsid w:val="007E3A8D"/>
    <w:rsid w:val="007E71D6"/>
    <w:rsid w:val="007F4528"/>
    <w:rsid w:val="007F453D"/>
    <w:rsid w:val="007F5E4A"/>
    <w:rsid w:val="007F77BF"/>
    <w:rsid w:val="00801D03"/>
    <w:rsid w:val="00806CB7"/>
    <w:rsid w:val="00807B9F"/>
    <w:rsid w:val="00813871"/>
    <w:rsid w:val="00814B88"/>
    <w:rsid w:val="00815CD3"/>
    <w:rsid w:val="00816710"/>
    <w:rsid w:val="00817548"/>
    <w:rsid w:val="0082342F"/>
    <w:rsid w:val="008248D6"/>
    <w:rsid w:val="008249F8"/>
    <w:rsid w:val="00826BE0"/>
    <w:rsid w:val="00831033"/>
    <w:rsid w:val="00833B85"/>
    <w:rsid w:val="00834AAF"/>
    <w:rsid w:val="00836BDF"/>
    <w:rsid w:val="00841327"/>
    <w:rsid w:val="00841E30"/>
    <w:rsid w:val="00842982"/>
    <w:rsid w:val="00844697"/>
    <w:rsid w:val="00850439"/>
    <w:rsid w:val="00852B45"/>
    <w:rsid w:val="00853506"/>
    <w:rsid w:val="00860452"/>
    <w:rsid w:val="008657E8"/>
    <w:rsid w:val="00870C54"/>
    <w:rsid w:val="00873A83"/>
    <w:rsid w:val="00876145"/>
    <w:rsid w:val="008773A2"/>
    <w:rsid w:val="00880AC0"/>
    <w:rsid w:val="00884DAC"/>
    <w:rsid w:val="00885321"/>
    <w:rsid w:val="00885C00"/>
    <w:rsid w:val="008869BD"/>
    <w:rsid w:val="008939F9"/>
    <w:rsid w:val="00896F11"/>
    <w:rsid w:val="008A084F"/>
    <w:rsid w:val="008A36F0"/>
    <w:rsid w:val="008B2B08"/>
    <w:rsid w:val="008B3C98"/>
    <w:rsid w:val="008B3E72"/>
    <w:rsid w:val="008B5279"/>
    <w:rsid w:val="008B6F26"/>
    <w:rsid w:val="008C7974"/>
    <w:rsid w:val="008D0695"/>
    <w:rsid w:val="008D4290"/>
    <w:rsid w:val="008D599D"/>
    <w:rsid w:val="008D5C03"/>
    <w:rsid w:val="008E1035"/>
    <w:rsid w:val="008E1487"/>
    <w:rsid w:val="008E2270"/>
    <w:rsid w:val="008E2627"/>
    <w:rsid w:val="008E47F9"/>
    <w:rsid w:val="008E50CD"/>
    <w:rsid w:val="008E6E44"/>
    <w:rsid w:val="008E77A9"/>
    <w:rsid w:val="008F25AC"/>
    <w:rsid w:val="008F6ADD"/>
    <w:rsid w:val="009011CE"/>
    <w:rsid w:val="009013CD"/>
    <w:rsid w:val="00901B8B"/>
    <w:rsid w:val="00902FCF"/>
    <w:rsid w:val="009108B2"/>
    <w:rsid w:val="009110A7"/>
    <w:rsid w:val="00912FD7"/>
    <w:rsid w:val="00914253"/>
    <w:rsid w:val="0091606F"/>
    <w:rsid w:val="009162A0"/>
    <w:rsid w:val="00923C35"/>
    <w:rsid w:val="00924CF1"/>
    <w:rsid w:val="00925C34"/>
    <w:rsid w:val="00932E41"/>
    <w:rsid w:val="00942997"/>
    <w:rsid w:val="00942B2A"/>
    <w:rsid w:val="00943C66"/>
    <w:rsid w:val="00944ECD"/>
    <w:rsid w:val="0094680D"/>
    <w:rsid w:val="00951D24"/>
    <w:rsid w:val="009660E7"/>
    <w:rsid w:val="0097035E"/>
    <w:rsid w:val="00975E05"/>
    <w:rsid w:val="00985F79"/>
    <w:rsid w:val="0098717E"/>
    <w:rsid w:val="00990632"/>
    <w:rsid w:val="009906E8"/>
    <w:rsid w:val="00990D72"/>
    <w:rsid w:val="00995455"/>
    <w:rsid w:val="00995C37"/>
    <w:rsid w:val="00996A76"/>
    <w:rsid w:val="009A1C0E"/>
    <w:rsid w:val="009A321D"/>
    <w:rsid w:val="009A32A4"/>
    <w:rsid w:val="009A5DE6"/>
    <w:rsid w:val="009B139B"/>
    <w:rsid w:val="009B6A10"/>
    <w:rsid w:val="009B7A79"/>
    <w:rsid w:val="009B7F09"/>
    <w:rsid w:val="009C178A"/>
    <w:rsid w:val="009C17D3"/>
    <w:rsid w:val="009C1FBC"/>
    <w:rsid w:val="009C3739"/>
    <w:rsid w:val="009C46A0"/>
    <w:rsid w:val="009D0A00"/>
    <w:rsid w:val="009D267E"/>
    <w:rsid w:val="009D6FAE"/>
    <w:rsid w:val="009E07C2"/>
    <w:rsid w:val="009E4160"/>
    <w:rsid w:val="009E680F"/>
    <w:rsid w:val="009E72A9"/>
    <w:rsid w:val="009F21D1"/>
    <w:rsid w:val="009F62BF"/>
    <w:rsid w:val="009F6A16"/>
    <w:rsid w:val="00A0016D"/>
    <w:rsid w:val="00A01390"/>
    <w:rsid w:val="00A018DC"/>
    <w:rsid w:val="00A049E3"/>
    <w:rsid w:val="00A05468"/>
    <w:rsid w:val="00A10B1F"/>
    <w:rsid w:val="00A11CE5"/>
    <w:rsid w:val="00A11D2D"/>
    <w:rsid w:val="00A11F1A"/>
    <w:rsid w:val="00A162D0"/>
    <w:rsid w:val="00A203E5"/>
    <w:rsid w:val="00A22338"/>
    <w:rsid w:val="00A25185"/>
    <w:rsid w:val="00A264AA"/>
    <w:rsid w:val="00A32320"/>
    <w:rsid w:val="00A42BC6"/>
    <w:rsid w:val="00A42EE9"/>
    <w:rsid w:val="00A5067E"/>
    <w:rsid w:val="00A522F5"/>
    <w:rsid w:val="00A560CF"/>
    <w:rsid w:val="00A625CD"/>
    <w:rsid w:val="00A62AB5"/>
    <w:rsid w:val="00A651EF"/>
    <w:rsid w:val="00A6694D"/>
    <w:rsid w:val="00A70537"/>
    <w:rsid w:val="00A72656"/>
    <w:rsid w:val="00A7675E"/>
    <w:rsid w:val="00A843D7"/>
    <w:rsid w:val="00A853AB"/>
    <w:rsid w:val="00A86392"/>
    <w:rsid w:val="00A92AD3"/>
    <w:rsid w:val="00A93B81"/>
    <w:rsid w:val="00A94A70"/>
    <w:rsid w:val="00A9533A"/>
    <w:rsid w:val="00A9640B"/>
    <w:rsid w:val="00A97957"/>
    <w:rsid w:val="00AA0747"/>
    <w:rsid w:val="00AA5023"/>
    <w:rsid w:val="00AB3A54"/>
    <w:rsid w:val="00AB4951"/>
    <w:rsid w:val="00AB5F58"/>
    <w:rsid w:val="00AC6A59"/>
    <w:rsid w:val="00AC7A64"/>
    <w:rsid w:val="00AD08AB"/>
    <w:rsid w:val="00AD1542"/>
    <w:rsid w:val="00AD194E"/>
    <w:rsid w:val="00AD1EFF"/>
    <w:rsid w:val="00AD7334"/>
    <w:rsid w:val="00AD7C8D"/>
    <w:rsid w:val="00AE0178"/>
    <w:rsid w:val="00AE2F98"/>
    <w:rsid w:val="00AE3D20"/>
    <w:rsid w:val="00AE4E40"/>
    <w:rsid w:val="00AF236F"/>
    <w:rsid w:val="00AF7C45"/>
    <w:rsid w:val="00B024FD"/>
    <w:rsid w:val="00B037A5"/>
    <w:rsid w:val="00B03B3B"/>
    <w:rsid w:val="00B04F98"/>
    <w:rsid w:val="00B0603E"/>
    <w:rsid w:val="00B10154"/>
    <w:rsid w:val="00B1605D"/>
    <w:rsid w:val="00B25B63"/>
    <w:rsid w:val="00B27329"/>
    <w:rsid w:val="00B27F1E"/>
    <w:rsid w:val="00B37EE4"/>
    <w:rsid w:val="00B40B6F"/>
    <w:rsid w:val="00B4274A"/>
    <w:rsid w:val="00B45AAF"/>
    <w:rsid w:val="00B471A5"/>
    <w:rsid w:val="00B51728"/>
    <w:rsid w:val="00B52A6D"/>
    <w:rsid w:val="00B53FE6"/>
    <w:rsid w:val="00B555CB"/>
    <w:rsid w:val="00B567FD"/>
    <w:rsid w:val="00B62C48"/>
    <w:rsid w:val="00B63239"/>
    <w:rsid w:val="00B71159"/>
    <w:rsid w:val="00B74180"/>
    <w:rsid w:val="00B80425"/>
    <w:rsid w:val="00B81FD5"/>
    <w:rsid w:val="00B844D9"/>
    <w:rsid w:val="00B8551A"/>
    <w:rsid w:val="00B86A54"/>
    <w:rsid w:val="00B86E8F"/>
    <w:rsid w:val="00B86EAA"/>
    <w:rsid w:val="00B87319"/>
    <w:rsid w:val="00B903DD"/>
    <w:rsid w:val="00B92634"/>
    <w:rsid w:val="00B9322A"/>
    <w:rsid w:val="00B939F0"/>
    <w:rsid w:val="00BA11A8"/>
    <w:rsid w:val="00BA12FF"/>
    <w:rsid w:val="00BA5146"/>
    <w:rsid w:val="00BA5A46"/>
    <w:rsid w:val="00BA740E"/>
    <w:rsid w:val="00BB0B0A"/>
    <w:rsid w:val="00BB0C22"/>
    <w:rsid w:val="00BB19F6"/>
    <w:rsid w:val="00BB31FA"/>
    <w:rsid w:val="00BB4B76"/>
    <w:rsid w:val="00BD1A3D"/>
    <w:rsid w:val="00BD2B05"/>
    <w:rsid w:val="00BD2DAF"/>
    <w:rsid w:val="00BD3697"/>
    <w:rsid w:val="00BD3F16"/>
    <w:rsid w:val="00BE5DD1"/>
    <w:rsid w:val="00BF2C04"/>
    <w:rsid w:val="00BF4719"/>
    <w:rsid w:val="00C02CDE"/>
    <w:rsid w:val="00C02E66"/>
    <w:rsid w:val="00C03BFF"/>
    <w:rsid w:val="00C04EF3"/>
    <w:rsid w:val="00C052EA"/>
    <w:rsid w:val="00C11B6F"/>
    <w:rsid w:val="00C12390"/>
    <w:rsid w:val="00C1571B"/>
    <w:rsid w:val="00C16AE6"/>
    <w:rsid w:val="00C16B28"/>
    <w:rsid w:val="00C2105E"/>
    <w:rsid w:val="00C22561"/>
    <w:rsid w:val="00C22A4E"/>
    <w:rsid w:val="00C22FBB"/>
    <w:rsid w:val="00C24999"/>
    <w:rsid w:val="00C31661"/>
    <w:rsid w:val="00C40C5D"/>
    <w:rsid w:val="00C413CA"/>
    <w:rsid w:val="00C45BBA"/>
    <w:rsid w:val="00C4669C"/>
    <w:rsid w:val="00C52129"/>
    <w:rsid w:val="00C53051"/>
    <w:rsid w:val="00C533D0"/>
    <w:rsid w:val="00C53E37"/>
    <w:rsid w:val="00C53F81"/>
    <w:rsid w:val="00C53FC2"/>
    <w:rsid w:val="00C628FA"/>
    <w:rsid w:val="00C63DE6"/>
    <w:rsid w:val="00C6610D"/>
    <w:rsid w:val="00C66FD4"/>
    <w:rsid w:val="00C70DA0"/>
    <w:rsid w:val="00C7471F"/>
    <w:rsid w:val="00C7620C"/>
    <w:rsid w:val="00C813F2"/>
    <w:rsid w:val="00C81731"/>
    <w:rsid w:val="00C821E6"/>
    <w:rsid w:val="00C84C5D"/>
    <w:rsid w:val="00C86F88"/>
    <w:rsid w:val="00C94118"/>
    <w:rsid w:val="00CA20FD"/>
    <w:rsid w:val="00CA3F09"/>
    <w:rsid w:val="00CA4E72"/>
    <w:rsid w:val="00CA59AF"/>
    <w:rsid w:val="00CB0C2F"/>
    <w:rsid w:val="00CB231D"/>
    <w:rsid w:val="00CB2D74"/>
    <w:rsid w:val="00CB42FE"/>
    <w:rsid w:val="00CB71CE"/>
    <w:rsid w:val="00CC43ED"/>
    <w:rsid w:val="00CC5BE6"/>
    <w:rsid w:val="00CD5B33"/>
    <w:rsid w:val="00CD6033"/>
    <w:rsid w:val="00CE008F"/>
    <w:rsid w:val="00CE1577"/>
    <w:rsid w:val="00CE287F"/>
    <w:rsid w:val="00CF1D5F"/>
    <w:rsid w:val="00CF5BA1"/>
    <w:rsid w:val="00CF6F3A"/>
    <w:rsid w:val="00CF77CA"/>
    <w:rsid w:val="00D0095A"/>
    <w:rsid w:val="00D00D08"/>
    <w:rsid w:val="00D03816"/>
    <w:rsid w:val="00D05482"/>
    <w:rsid w:val="00D0781A"/>
    <w:rsid w:val="00D13C86"/>
    <w:rsid w:val="00D13EDF"/>
    <w:rsid w:val="00D1732A"/>
    <w:rsid w:val="00D2042B"/>
    <w:rsid w:val="00D235AE"/>
    <w:rsid w:val="00D25A11"/>
    <w:rsid w:val="00D268E8"/>
    <w:rsid w:val="00D339B6"/>
    <w:rsid w:val="00D33AD9"/>
    <w:rsid w:val="00D33BC1"/>
    <w:rsid w:val="00D436B0"/>
    <w:rsid w:val="00D46DC3"/>
    <w:rsid w:val="00D470B7"/>
    <w:rsid w:val="00D4780D"/>
    <w:rsid w:val="00D47989"/>
    <w:rsid w:val="00D479E7"/>
    <w:rsid w:val="00D57A28"/>
    <w:rsid w:val="00D60B18"/>
    <w:rsid w:val="00D612E9"/>
    <w:rsid w:val="00D61C6F"/>
    <w:rsid w:val="00D6205A"/>
    <w:rsid w:val="00D65918"/>
    <w:rsid w:val="00D66611"/>
    <w:rsid w:val="00D71F88"/>
    <w:rsid w:val="00D72979"/>
    <w:rsid w:val="00D76084"/>
    <w:rsid w:val="00D76516"/>
    <w:rsid w:val="00D823CC"/>
    <w:rsid w:val="00D84313"/>
    <w:rsid w:val="00D90379"/>
    <w:rsid w:val="00D928BD"/>
    <w:rsid w:val="00D94211"/>
    <w:rsid w:val="00D944A2"/>
    <w:rsid w:val="00D97B0E"/>
    <w:rsid w:val="00DA14FE"/>
    <w:rsid w:val="00DA5ED3"/>
    <w:rsid w:val="00DB165E"/>
    <w:rsid w:val="00DB5B1B"/>
    <w:rsid w:val="00DB65EE"/>
    <w:rsid w:val="00DC13AE"/>
    <w:rsid w:val="00DC5408"/>
    <w:rsid w:val="00DD138B"/>
    <w:rsid w:val="00DD4421"/>
    <w:rsid w:val="00DD505C"/>
    <w:rsid w:val="00DE2CFF"/>
    <w:rsid w:val="00DE3111"/>
    <w:rsid w:val="00DE37F8"/>
    <w:rsid w:val="00DE40B2"/>
    <w:rsid w:val="00DE56AD"/>
    <w:rsid w:val="00DF15A8"/>
    <w:rsid w:val="00DF2812"/>
    <w:rsid w:val="00DF3864"/>
    <w:rsid w:val="00DF744C"/>
    <w:rsid w:val="00E00150"/>
    <w:rsid w:val="00E00293"/>
    <w:rsid w:val="00E10D04"/>
    <w:rsid w:val="00E16663"/>
    <w:rsid w:val="00E171BB"/>
    <w:rsid w:val="00E23319"/>
    <w:rsid w:val="00E25687"/>
    <w:rsid w:val="00E32142"/>
    <w:rsid w:val="00E421D7"/>
    <w:rsid w:val="00E428AF"/>
    <w:rsid w:val="00E515D3"/>
    <w:rsid w:val="00E5273E"/>
    <w:rsid w:val="00E54DE3"/>
    <w:rsid w:val="00E56773"/>
    <w:rsid w:val="00E6254A"/>
    <w:rsid w:val="00E726BD"/>
    <w:rsid w:val="00E76609"/>
    <w:rsid w:val="00E77386"/>
    <w:rsid w:val="00E77E84"/>
    <w:rsid w:val="00E81B63"/>
    <w:rsid w:val="00E82889"/>
    <w:rsid w:val="00E83E87"/>
    <w:rsid w:val="00E87ACB"/>
    <w:rsid w:val="00E905A7"/>
    <w:rsid w:val="00E93CC6"/>
    <w:rsid w:val="00E96404"/>
    <w:rsid w:val="00EA3A6E"/>
    <w:rsid w:val="00EA6D72"/>
    <w:rsid w:val="00EB0B2F"/>
    <w:rsid w:val="00EB35CB"/>
    <w:rsid w:val="00EB35D2"/>
    <w:rsid w:val="00EB455B"/>
    <w:rsid w:val="00EB48E8"/>
    <w:rsid w:val="00EC02AE"/>
    <w:rsid w:val="00EC2F26"/>
    <w:rsid w:val="00EC372B"/>
    <w:rsid w:val="00EC662F"/>
    <w:rsid w:val="00ED3311"/>
    <w:rsid w:val="00ED6227"/>
    <w:rsid w:val="00EE031C"/>
    <w:rsid w:val="00EF0451"/>
    <w:rsid w:val="00EF12A0"/>
    <w:rsid w:val="00EF462A"/>
    <w:rsid w:val="00F003A2"/>
    <w:rsid w:val="00F00B9B"/>
    <w:rsid w:val="00F01660"/>
    <w:rsid w:val="00F0522D"/>
    <w:rsid w:val="00F0658A"/>
    <w:rsid w:val="00F202B7"/>
    <w:rsid w:val="00F25A45"/>
    <w:rsid w:val="00F2691B"/>
    <w:rsid w:val="00F26D57"/>
    <w:rsid w:val="00F2766C"/>
    <w:rsid w:val="00F33059"/>
    <w:rsid w:val="00F37288"/>
    <w:rsid w:val="00F37D93"/>
    <w:rsid w:val="00F41696"/>
    <w:rsid w:val="00F44B10"/>
    <w:rsid w:val="00F46F58"/>
    <w:rsid w:val="00F50D56"/>
    <w:rsid w:val="00F5137F"/>
    <w:rsid w:val="00F566EF"/>
    <w:rsid w:val="00F67F4F"/>
    <w:rsid w:val="00F70D8F"/>
    <w:rsid w:val="00F70F53"/>
    <w:rsid w:val="00F743E6"/>
    <w:rsid w:val="00F75829"/>
    <w:rsid w:val="00F8237F"/>
    <w:rsid w:val="00F85E53"/>
    <w:rsid w:val="00F86593"/>
    <w:rsid w:val="00F9046C"/>
    <w:rsid w:val="00F92739"/>
    <w:rsid w:val="00F92E26"/>
    <w:rsid w:val="00F94F3B"/>
    <w:rsid w:val="00F95095"/>
    <w:rsid w:val="00F95621"/>
    <w:rsid w:val="00F957DA"/>
    <w:rsid w:val="00F96068"/>
    <w:rsid w:val="00F97198"/>
    <w:rsid w:val="00FA1829"/>
    <w:rsid w:val="00FA5361"/>
    <w:rsid w:val="00FB1B19"/>
    <w:rsid w:val="00FB35D0"/>
    <w:rsid w:val="00FB5C0E"/>
    <w:rsid w:val="00FC30DA"/>
    <w:rsid w:val="00FC49B4"/>
    <w:rsid w:val="00FD121E"/>
    <w:rsid w:val="00FD375C"/>
    <w:rsid w:val="00FD5C30"/>
    <w:rsid w:val="00FD670D"/>
    <w:rsid w:val="00FE0F49"/>
    <w:rsid w:val="00FE0FED"/>
    <w:rsid w:val="00FE46FC"/>
    <w:rsid w:val="00FE684B"/>
    <w:rsid w:val="00FE750F"/>
    <w:rsid w:val="00FF397C"/>
    <w:rsid w:val="00FF7D08"/>
    <w:rsid w:val="01942F54"/>
    <w:rsid w:val="028642E4"/>
    <w:rsid w:val="0340702B"/>
    <w:rsid w:val="03FE4B43"/>
    <w:rsid w:val="03FF206B"/>
    <w:rsid w:val="045B7FD9"/>
    <w:rsid w:val="04B04202"/>
    <w:rsid w:val="053A27AF"/>
    <w:rsid w:val="0578164C"/>
    <w:rsid w:val="063D1366"/>
    <w:rsid w:val="06674D87"/>
    <w:rsid w:val="08122D58"/>
    <w:rsid w:val="087D0791"/>
    <w:rsid w:val="08BF4005"/>
    <w:rsid w:val="094460D1"/>
    <w:rsid w:val="099F025A"/>
    <w:rsid w:val="0B125E81"/>
    <w:rsid w:val="0B20262C"/>
    <w:rsid w:val="0B9D3499"/>
    <w:rsid w:val="0BD81DD4"/>
    <w:rsid w:val="0BFC141B"/>
    <w:rsid w:val="0C682067"/>
    <w:rsid w:val="0CCA74C4"/>
    <w:rsid w:val="0D2304DE"/>
    <w:rsid w:val="0F506D1C"/>
    <w:rsid w:val="0FEB39D9"/>
    <w:rsid w:val="1025608D"/>
    <w:rsid w:val="103B05AE"/>
    <w:rsid w:val="10F24710"/>
    <w:rsid w:val="11382ADF"/>
    <w:rsid w:val="1160052F"/>
    <w:rsid w:val="116B779B"/>
    <w:rsid w:val="119F35AC"/>
    <w:rsid w:val="122356AC"/>
    <w:rsid w:val="123D2616"/>
    <w:rsid w:val="12FC0721"/>
    <w:rsid w:val="13F0670F"/>
    <w:rsid w:val="15283F03"/>
    <w:rsid w:val="152A36C4"/>
    <w:rsid w:val="15C050E0"/>
    <w:rsid w:val="165C73DE"/>
    <w:rsid w:val="181A544D"/>
    <w:rsid w:val="183B6710"/>
    <w:rsid w:val="186A29D5"/>
    <w:rsid w:val="189D2168"/>
    <w:rsid w:val="1A1D0C33"/>
    <w:rsid w:val="1AF17CCF"/>
    <w:rsid w:val="1B0A599A"/>
    <w:rsid w:val="1BB36DBC"/>
    <w:rsid w:val="1BE921F2"/>
    <w:rsid w:val="1C037259"/>
    <w:rsid w:val="1C0C5403"/>
    <w:rsid w:val="1C447BCB"/>
    <w:rsid w:val="1DC53368"/>
    <w:rsid w:val="1DD12E69"/>
    <w:rsid w:val="1DDF4451"/>
    <w:rsid w:val="1F0938A3"/>
    <w:rsid w:val="20465F49"/>
    <w:rsid w:val="210E1A9A"/>
    <w:rsid w:val="21A30321"/>
    <w:rsid w:val="2285391D"/>
    <w:rsid w:val="22F83BE9"/>
    <w:rsid w:val="23B72E23"/>
    <w:rsid w:val="23C65EE7"/>
    <w:rsid w:val="2426510D"/>
    <w:rsid w:val="24C057A5"/>
    <w:rsid w:val="25F80946"/>
    <w:rsid w:val="260457EA"/>
    <w:rsid w:val="262B4FFB"/>
    <w:rsid w:val="267501FC"/>
    <w:rsid w:val="273225D7"/>
    <w:rsid w:val="275D314A"/>
    <w:rsid w:val="28977F22"/>
    <w:rsid w:val="28A37CAA"/>
    <w:rsid w:val="29D42A10"/>
    <w:rsid w:val="2ABF38DB"/>
    <w:rsid w:val="2B297FA8"/>
    <w:rsid w:val="2B3F7F4C"/>
    <w:rsid w:val="2C36770C"/>
    <w:rsid w:val="2C631BD0"/>
    <w:rsid w:val="2DA63D01"/>
    <w:rsid w:val="2DE0224B"/>
    <w:rsid w:val="2E6469D8"/>
    <w:rsid w:val="2E842FC6"/>
    <w:rsid w:val="2ED27DE6"/>
    <w:rsid w:val="2EE75DEB"/>
    <w:rsid w:val="2FCF122B"/>
    <w:rsid w:val="305701CE"/>
    <w:rsid w:val="30F8621F"/>
    <w:rsid w:val="3151278B"/>
    <w:rsid w:val="31943A79"/>
    <w:rsid w:val="32C620F5"/>
    <w:rsid w:val="3304709E"/>
    <w:rsid w:val="34E1643E"/>
    <w:rsid w:val="35215623"/>
    <w:rsid w:val="354B444E"/>
    <w:rsid w:val="35A87145"/>
    <w:rsid w:val="35DB6085"/>
    <w:rsid w:val="35EB1EB0"/>
    <w:rsid w:val="35F11AD8"/>
    <w:rsid w:val="368155A4"/>
    <w:rsid w:val="36F37EED"/>
    <w:rsid w:val="37295E7A"/>
    <w:rsid w:val="377318D4"/>
    <w:rsid w:val="37776076"/>
    <w:rsid w:val="37AA3092"/>
    <w:rsid w:val="38297FB0"/>
    <w:rsid w:val="38E057F5"/>
    <w:rsid w:val="39516B95"/>
    <w:rsid w:val="39E75B85"/>
    <w:rsid w:val="3A476F2A"/>
    <w:rsid w:val="3AA865FF"/>
    <w:rsid w:val="3ACD1DB5"/>
    <w:rsid w:val="3BC83DDE"/>
    <w:rsid w:val="3C543A94"/>
    <w:rsid w:val="3C644CE4"/>
    <w:rsid w:val="3CC710C3"/>
    <w:rsid w:val="3D523309"/>
    <w:rsid w:val="3E44046C"/>
    <w:rsid w:val="3F5D2483"/>
    <w:rsid w:val="403431E4"/>
    <w:rsid w:val="41C616F9"/>
    <w:rsid w:val="426E0577"/>
    <w:rsid w:val="430F50A9"/>
    <w:rsid w:val="434774ED"/>
    <w:rsid w:val="43DD5B0C"/>
    <w:rsid w:val="44952A93"/>
    <w:rsid w:val="44ED07B1"/>
    <w:rsid w:val="45D264C6"/>
    <w:rsid w:val="46D223DF"/>
    <w:rsid w:val="46DD5108"/>
    <w:rsid w:val="47F77A9B"/>
    <w:rsid w:val="49DD6073"/>
    <w:rsid w:val="4A21732F"/>
    <w:rsid w:val="4CF45A61"/>
    <w:rsid w:val="4D46724C"/>
    <w:rsid w:val="4D9E28E6"/>
    <w:rsid w:val="4DA76E08"/>
    <w:rsid w:val="4DF76799"/>
    <w:rsid w:val="4E54243E"/>
    <w:rsid w:val="4E9051F3"/>
    <w:rsid w:val="4EE42BF7"/>
    <w:rsid w:val="4F745929"/>
    <w:rsid w:val="4FA72F23"/>
    <w:rsid w:val="4FAE3B04"/>
    <w:rsid w:val="5006263D"/>
    <w:rsid w:val="50612E97"/>
    <w:rsid w:val="52885E9F"/>
    <w:rsid w:val="52A9301B"/>
    <w:rsid w:val="52F13E9F"/>
    <w:rsid w:val="53DE3AF4"/>
    <w:rsid w:val="540018F1"/>
    <w:rsid w:val="545E3D46"/>
    <w:rsid w:val="5559399B"/>
    <w:rsid w:val="55CE6962"/>
    <w:rsid w:val="57DE5276"/>
    <w:rsid w:val="582A77C2"/>
    <w:rsid w:val="584775D9"/>
    <w:rsid w:val="58AC2B70"/>
    <w:rsid w:val="58F279AA"/>
    <w:rsid w:val="595F34BE"/>
    <w:rsid w:val="596403B6"/>
    <w:rsid w:val="59D457E6"/>
    <w:rsid w:val="5A1F236A"/>
    <w:rsid w:val="5AD453EB"/>
    <w:rsid w:val="5AFE7D80"/>
    <w:rsid w:val="5B5A2399"/>
    <w:rsid w:val="5BA855F6"/>
    <w:rsid w:val="5BF476FF"/>
    <w:rsid w:val="5C0F1444"/>
    <w:rsid w:val="5CB03101"/>
    <w:rsid w:val="5E365FFB"/>
    <w:rsid w:val="5F1B5A48"/>
    <w:rsid w:val="610E5BDD"/>
    <w:rsid w:val="6198793F"/>
    <w:rsid w:val="63233BF9"/>
    <w:rsid w:val="63EE7082"/>
    <w:rsid w:val="64726CBA"/>
    <w:rsid w:val="64D81AC6"/>
    <w:rsid w:val="65C46CC2"/>
    <w:rsid w:val="66134265"/>
    <w:rsid w:val="66660838"/>
    <w:rsid w:val="66D042E0"/>
    <w:rsid w:val="67292836"/>
    <w:rsid w:val="677758D5"/>
    <w:rsid w:val="67B5153E"/>
    <w:rsid w:val="6844459B"/>
    <w:rsid w:val="68FD1EF0"/>
    <w:rsid w:val="69B36DC4"/>
    <w:rsid w:val="69FA443E"/>
    <w:rsid w:val="6A7C25E2"/>
    <w:rsid w:val="6AAC62AA"/>
    <w:rsid w:val="6AC1044F"/>
    <w:rsid w:val="6AC21BD8"/>
    <w:rsid w:val="6B193C07"/>
    <w:rsid w:val="6B274B18"/>
    <w:rsid w:val="6C3526BC"/>
    <w:rsid w:val="6DAE7099"/>
    <w:rsid w:val="6FD1699A"/>
    <w:rsid w:val="70581312"/>
    <w:rsid w:val="7149755A"/>
    <w:rsid w:val="71F3558C"/>
    <w:rsid w:val="73423980"/>
    <w:rsid w:val="73996020"/>
    <w:rsid w:val="73EF2AD0"/>
    <w:rsid w:val="74783B65"/>
    <w:rsid w:val="7525437A"/>
    <w:rsid w:val="753538EE"/>
    <w:rsid w:val="76756BE7"/>
    <w:rsid w:val="76A24D23"/>
    <w:rsid w:val="76B65654"/>
    <w:rsid w:val="77116D11"/>
    <w:rsid w:val="771C77E9"/>
    <w:rsid w:val="773E0ACF"/>
    <w:rsid w:val="775732C1"/>
    <w:rsid w:val="7819142B"/>
    <w:rsid w:val="791A2DA2"/>
    <w:rsid w:val="7A014AFF"/>
    <w:rsid w:val="7B6A373A"/>
    <w:rsid w:val="7BA72B0A"/>
    <w:rsid w:val="7DD81BC4"/>
    <w:rsid w:val="7F0953F1"/>
    <w:rsid w:val="7F7C7B39"/>
    <w:rsid w:val="7FED6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5"/>
    <w:link w:val="74"/>
    <w:qFormat/>
    <w:uiPriority w:val="0"/>
    <w:pPr>
      <w:keepNext/>
      <w:keepLines/>
      <w:spacing w:after="120" w:line="360" w:lineRule="auto"/>
      <w:jc w:val="left"/>
      <w:outlineLvl w:val="0"/>
    </w:pPr>
    <w:rPr>
      <w:kern w:val="44"/>
      <w:sz w:val="28"/>
      <w:szCs w:val="28"/>
    </w:rPr>
  </w:style>
  <w:style w:type="paragraph" w:styleId="7">
    <w:name w:val="heading 2"/>
    <w:basedOn w:val="1"/>
    <w:next w:val="1"/>
    <w:link w:val="83"/>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8">
    <w:name w:val="heading 3"/>
    <w:basedOn w:val="1"/>
    <w:next w:val="1"/>
    <w:link w:val="77"/>
    <w:qFormat/>
    <w:uiPriority w:val="0"/>
    <w:pPr>
      <w:widowControl/>
      <w:spacing w:before="100" w:beforeAutospacing="1" w:after="100" w:afterAutospacing="1"/>
      <w:jc w:val="left"/>
      <w:outlineLvl w:val="2"/>
    </w:pPr>
    <w:rPr>
      <w:rFonts w:ascii="宋体" w:hAnsi="宋体" w:cs="宋体"/>
      <w:kern w:val="0"/>
      <w:sz w:val="27"/>
      <w:szCs w:val="27"/>
    </w:rPr>
  </w:style>
  <w:style w:type="paragraph" w:styleId="9">
    <w:name w:val="heading 4"/>
    <w:basedOn w:val="8"/>
    <w:next w:val="10"/>
    <w:link w:val="86"/>
    <w:qFormat/>
    <w:uiPriority w:val="0"/>
    <w:pPr>
      <w:keepNext/>
      <w:keepLines/>
      <w:widowControl w:val="0"/>
      <w:numPr>
        <w:ilvl w:val="3"/>
        <w:numId w:val="1"/>
      </w:numPr>
      <w:spacing w:before="0" w:beforeLines="50" w:beforeAutospacing="0" w:after="0" w:afterLines="50" w:afterAutospacing="0" w:line="360" w:lineRule="auto"/>
      <w:outlineLvl w:val="3"/>
    </w:pPr>
    <w:rPr>
      <w:rFonts w:ascii="Arial" w:hAnsi="Arial" w:cs="Times New Roman"/>
      <w:color w:val="000000"/>
      <w:kern w:val="2"/>
      <w:sz w:val="21"/>
      <w:szCs w:val="21"/>
    </w:rPr>
  </w:style>
  <w:style w:type="paragraph" w:styleId="11">
    <w:name w:val="heading 5"/>
    <w:basedOn w:val="9"/>
    <w:next w:val="10"/>
    <w:link w:val="76"/>
    <w:qFormat/>
    <w:uiPriority w:val="0"/>
    <w:pPr>
      <w:numPr>
        <w:ilvl w:val="4"/>
      </w:numPr>
      <w:spacing w:line="240" w:lineRule="exact"/>
      <w:outlineLvl w:val="4"/>
    </w:pPr>
  </w:style>
  <w:style w:type="paragraph" w:styleId="12">
    <w:name w:val="heading 6"/>
    <w:basedOn w:val="1"/>
    <w:next w:val="1"/>
    <w:link w:val="64"/>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3">
    <w:name w:val="heading 7"/>
    <w:basedOn w:val="1"/>
    <w:next w:val="10"/>
    <w:link w:val="88"/>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4">
    <w:name w:val="heading 8"/>
    <w:basedOn w:val="1"/>
    <w:next w:val="10"/>
    <w:link w:val="57"/>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5">
    <w:name w:val="heading 9"/>
    <w:basedOn w:val="1"/>
    <w:next w:val="10"/>
    <w:link w:val="66"/>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4">
    <w:name w:val="Title"/>
    <w:basedOn w:val="1"/>
    <w:link w:val="56"/>
    <w:qFormat/>
    <w:uiPriority w:val="0"/>
    <w:pPr>
      <w:spacing w:before="120" w:after="60"/>
      <w:jc w:val="center"/>
    </w:pPr>
    <w:rPr>
      <w:rFonts w:ascii="Arial" w:hAnsi="Arial"/>
      <w:b/>
      <w:sz w:val="44"/>
      <w:szCs w:val="20"/>
    </w:rPr>
  </w:style>
  <w:style w:type="paragraph" w:styleId="5">
    <w:name w:val="Body Text First Indent"/>
    <w:basedOn w:val="6"/>
    <w:link w:val="78"/>
    <w:qFormat/>
    <w:uiPriority w:val="0"/>
    <w:pPr>
      <w:ind w:firstLine="420"/>
    </w:pPr>
    <w:rPr>
      <w:rFonts w:asciiTheme="minorHAnsi" w:hAnsiTheme="minorHAnsi" w:eastAsiaTheme="minorEastAsia" w:cstheme="minorBidi"/>
      <w:szCs w:val="22"/>
    </w:rPr>
  </w:style>
  <w:style w:type="paragraph" w:styleId="6">
    <w:name w:val="Body Text"/>
    <w:basedOn w:val="1"/>
    <w:link w:val="72"/>
    <w:qFormat/>
    <w:uiPriority w:val="0"/>
    <w:pPr>
      <w:spacing w:after="120"/>
    </w:pPr>
    <w:rPr>
      <w:rFonts w:ascii="Times New Roman" w:hAnsi="Times New Roman"/>
      <w:szCs w:val="20"/>
    </w:rPr>
  </w:style>
  <w:style w:type="paragraph" w:styleId="10">
    <w:name w:val="Normal Indent"/>
    <w:basedOn w:val="1"/>
    <w:qFormat/>
    <w:uiPriority w:val="0"/>
    <w:pPr>
      <w:ind w:firstLine="420"/>
    </w:pPr>
    <w:rPr>
      <w:rFonts w:ascii="Times New Roman" w:hAnsi="Times New Roman"/>
      <w:szCs w:val="20"/>
    </w:rPr>
  </w:style>
  <w:style w:type="paragraph" w:styleId="16">
    <w:name w:val="Document Map"/>
    <w:basedOn w:val="1"/>
    <w:link w:val="60"/>
    <w:qFormat/>
    <w:uiPriority w:val="0"/>
    <w:pPr>
      <w:shd w:val="clear" w:color="auto" w:fill="000080"/>
    </w:pPr>
    <w:rPr>
      <w:rFonts w:ascii="Times New Roman" w:hAnsi="Times New Roman"/>
      <w:szCs w:val="20"/>
    </w:rPr>
  </w:style>
  <w:style w:type="paragraph" w:styleId="17">
    <w:name w:val="annotation text"/>
    <w:basedOn w:val="1"/>
    <w:link w:val="102"/>
    <w:unhideWhenUsed/>
    <w:qFormat/>
    <w:uiPriority w:val="99"/>
    <w:pPr>
      <w:jc w:val="left"/>
    </w:pPr>
  </w:style>
  <w:style w:type="paragraph" w:styleId="18">
    <w:name w:val="Body Text Indent"/>
    <w:basedOn w:val="1"/>
    <w:link w:val="65"/>
    <w:qFormat/>
    <w:uiPriority w:val="0"/>
    <w:pPr>
      <w:ind w:firstLine="570"/>
    </w:pPr>
    <w:rPr>
      <w:rFonts w:ascii="Times New Roman" w:hAnsi="Times New Roman"/>
      <w:sz w:val="28"/>
      <w:szCs w:val="20"/>
    </w:rPr>
  </w:style>
  <w:style w:type="paragraph" w:styleId="19">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20">
    <w:name w:val="Plain Text"/>
    <w:basedOn w:val="1"/>
    <w:next w:val="1"/>
    <w:link w:val="68"/>
    <w:qFormat/>
    <w:uiPriority w:val="0"/>
    <w:rPr>
      <w:rFonts w:ascii="宋体" w:hAnsi="Courier New"/>
      <w:szCs w:val="20"/>
    </w:rPr>
  </w:style>
  <w:style w:type="paragraph" w:styleId="21">
    <w:name w:val="Date"/>
    <w:basedOn w:val="1"/>
    <w:next w:val="1"/>
    <w:link w:val="75"/>
    <w:qFormat/>
    <w:uiPriority w:val="0"/>
    <w:rPr>
      <w:rFonts w:ascii="Times New Roman" w:hAnsi="Times New Roman"/>
      <w:szCs w:val="20"/>
    </w:rPr>
  </w:style>
  <w:style w:type="paragraph" w:styleId="22">
    <w:name w:val="Body Text Indent 2"/>
    <w:basedOn w:val="1"/>
    <w:link w:val="80"/>
    <w:qFormat/>
    <w:uiPriority w:val="0"/>
    <w:pPr>
      <w:spacing w:line="400" w:lineRule="exact"/>
      <w:ind w:left="425"/>
    </w:pPr>
    <w:rPr>
      <w:rFonts w:ascii="Times New Roman" w:hAnsi="Times New Roman"/>
      <w:color w:val="000000"/>
      <w:sz w:val="24"/>
      <w:szCs w:val="20"/>
    </w:rPr>
  </w:style>
  <w:style w:type="paragraph" w:styleId="23">
    <w:name w:val="endnote text"/>
    <w:basedOn w:val="1"/>
    <w:link w:val="94"/>
    <w:qFormat/>
    <w:uiPriority w:val="0"/>
    <w:pPr>
      <w:snapToGrid w:val="0"/>
      <w:jc w:val="left"/>
    </w:pPr>
    <w:rPr>
      <w:rFonts w:ascii="Times New Roman" w:hAnsi="Times New Roman"/>
      <w:szCs w:val="20"/>
    </w:rPr>
  </w:style>
  <w:style w:type="paragraph" w:styleId="24">
    <w:name w:val="Balloon Text"/>
    <w:basedOn w:val="1"/>
    <w:link w:val="54"/>
    <w:qFormat/>
    <w:uiPriority w:val="0"/>
    <w:rPr>
      <w:rFonts w:ascii="Times New Roman" w:hAnsi="Times New Roman"/>
      <w:sz w:val="18"/>
      <w:szCs w:val="18"/>
    </w:rPr>
  </w:style>
  <w:style w:type="paragraph" w:styleId="25">
    <w:name w:val="footer"/>
    <w:basedOn w:val="1"/>
    <w:link w:val="69"/>
    <w:unhideWhenUsed/>
    <w:qFormat/>
    <w:uiPriority w:val="99"/>
    <w:pPr>
      <w:tabs>
        <w:tab w:val="center" w:pos="4153"/>
        <w:tab w:val="right" w:pos="8306"/>
      </w:tabs>
      <w:snapToGrid w:val="0"/>
      <w:jc w:val="left"/>
    </w:pPr>
    <w:rPr>
      <w:sz w:val="18"/>
      <w:szCs w:val="18"/>
    </w:rPr>
  </w:style>
  <w:style w:type="paragraph" w:styleId="26">
    <w:name w:val="header"/>
    <w:basedOn w:val="1"/>
    <w:link w:val="79"/>
    <w:unhideWhenUsed/>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8">
    <w:name w:val="footnote text"/>
    <w:basedOn w:val="1"/>
    <w:link w:val="58"/>
    <w:qFormat/>
    <w:uiPriority w:val="0"/>
    <w:pPr>
      <w:snapToGrid w:val="0"/>
      <w:spacing w:line="360" w:lineRule="auto"/>
      <w:ind w:firstLine="523" w:firstLineChars="218"/>
      <w:jc w:val="left"/>
    </w:pPr>
    <w:rPr>
      <w:rFonts w:ascii="宋体" w:hAnsi="宋体"/>
      <w:sz w:val="18"/>
      <w:szCs w:val="18"/>
    </w:rPr>
  </w:style>
  <w:style w:type="paragraph" w:styleId="29">
    <w:name w:val="Body Text Indent 3"/>
    <w:basedOn w:val="1"/>
    <w:link w:val="55"/>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30">
    <w:name w:val="Body Text 2"/>
    <w:basedOn w:val="1"/>
    <w:link w:val="71"/>
    <w:qFormat/>
    <w:uiPriority w:val="0"/>
    <w:rPr>
      <w:rFonts w:ascii="宋体" w:hAnsi="宋体"/>
      <w:szCs w:val="24"/>
      <w:u w:val="single"/>
    </w:rPr>
  </w:style>
  <w:style w:type="paragraph" w:styleId="31">
    <w:name w:val="Normal (Web)"/>
    <w:basedOn w:val="1"/>
    <w:unhideWhenUsed/>
    <w:qFormat/>
    <w:uiPriority w:val="0"/>
    <w:pPr>
      <w:spacing w:beforeAutospacing="1" w:afterAutospacing="1"/>
      <w:jc w:val="left"/>
    </w:pPr>
    <w:rPr>
      <w:kern w:val="0"/>
      <w:sz w:val="24"/>
    </w:rPr>
  </w:style>
  <w:style w:type="paragraph" w:styleId="32">
    <w:name w:val="index 1"/>
    <w:basedOn w:val="1"/>
    <w:next w:val="1"/>
    <w:qFormat/>
    <w:uiPriority w:val="0"/>
    <w:rPr>
      <w:rFonts w:ascii="Times New Roman" w:hAnsi="Times New Roman" w:eastAsia="仿宋_GB2312"/>
      <w:sz w:val="28"/>
      <w:szCs w:val="20"/>
    </w:rPr>
  </w:style>
  <w:style w:type="paragraph" w:styleId="33">
    <w:name w:val="annotation subject"/>
    <w:basedOn w:val="17"/>
    <w:next w:val="17"/>
    <w:link w:val="96"/>
    <w:qFormat/>
    <w:uiPriority w:val="0"/>
    <w:pPr>
      <w:spacing w:line="360" w:lineRule="auto"/>
      <w:ind w:firstLine="523" w:firstLineChars="218"/>
    </w:pPr>
    <w:rPr>
      <w:rFonts w:ascii="宋体" w:hAnsi="宋体"/>
      <w:b/>
      <w:bCs/>
      <w:sz w:val="24"/>
      <w:szCs w:val="24"/>
    </w:rPr>
  </w:style>
  <w:style w:type="table" w:styleId="35">
    <w:name w:val="Table Grid"/>
    <w:basedOn w:val="3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qFormat/>
    <w:uiPriority w:val="22"/>
    <w:rPr>
      <w:b/>
    </w:rPr>
  </w:style>
  <w:style w:type="character" w:styleId="38">
    <w:name w:val="endnote reference"/>
    <w:qFormat/>
    <w:uiPriority w:val="0"/>
    <w:rPr>
      <w:vertAlign w:val="superscript"/>
    </w:rPr>
  </w:style>
  <w:style w:type="character" w:styleId="39">
    <w:name w:val="page number"/>
    <w:qFormat/>
    <w:uiPriority w:val="0"/>
    <w:rPr>
      <w:rFonts w:cs="Times New Roman"/>
    </w:rPr>
  </w:style>
  <w:style w:type="character" w:styleId="40">
    <w:name w:val="FollowedHyperlink"/>
    <w:unhideWhenUsed/>
    <w:qFormat/>
    <w:uiPriority w:val="99"/>
    <w:rPr>
      <w:color w:val="954F72"/>
      <w:u w:val="single"/>
    </w:rPr>
  </w:style>
  <w:style w:type="character" w:styleId="41">
    <w:name w:val="Hyperlink"/>
    <w:qFormat/>
    <w:uiPriority w:val="99"/>
    <w:rPr>
      <w:color w:val="0000FF"/>
      <w:u w:val="single"/>
    </w:rPr>
  </w:style>
  <w:style w:type="character" w:styleId="42">
    <w:name w:val="annotation reference"/>
    <w:qFormat/>
    <w:uiPriority w:val="0"/>
    <w:rPr>
      <w:sz w:val="21"/>
      <w:szCs w:val="21"/>
    </w:rPr>
  </w:style>
  <w:style w:type="character" w:styleId="43">
    <w:name w:val="footnote reference"/>
    <w:qFormat/>
    <w:uiPriority w:val="0"/>
    <w:rPr>
      <w:vertAlign w:val="superscript"/>
    </w:rPr>
  </w:style>
  <w:style w:type="paragraph" w:customStyle="1" w:styleId="44">
    <w:name w:val="Default"/>
    <w:qFormat/>
    <w:uiPriority w:val="0"/>
    <w:pPr>
      <w:widowControl w:val="0"/>
      <w:autoSpaceDE w:val="0"/>
      <w:autoSpaceDN w:val="0"/>
      <w:adjustRightInd w:val="0"/>
    </w:pPr>
    <w:rPr>
      <w:rFonts w:ascii="宋体..胭.." w:hAnsi="Calibri" w:eastAsia="宋体..胭.." w:cs="宋体..胭.."/>
      <w:color w:val="000000"/>
      <w:sz w:val="24"/>
      <w:szCs w:val="24"/>
      <w:lang w:val="en-US" w:eastAsia="zh-CN" w:bidi="ar-SA"/>
    </w:rPr>
  </w:style>
  <w:style w:type="character" w:customStyle="1" w:styleId="45">
    <w:name w:val="标题 1 字符"/>
    <w:basedOn w:val="36"/>
    <w:qFormat/>
    <w:uiPriority w:val="9"/>
    <w:rPr>
      <w:rFonts w:ascii="Calibri" w:hAnsi="Calibri" w:eastAsia="宋体" w:cs="Times New Roman"/>
      <w:b/>
      <w:bCs/>
      <w:kern w:val="44"/>
      <w:sz w:val="44"/>
      <w:szCs w:val="44"/>
    </w:rPr>
  </w:style>
  <w:style w:type="character" w:customStyle="1" w:styleId="46">
    <w:name w:val="标题 2 字符"/>
    <w:basedOn w:val="36"/>
    <w:semiHidden/>
    <w:qFormat/>
    <w:uiPriority w:val="9"/>
    <w:rPr>
      <w:rFonts w:asciiTheme="majorHAnsi" w:hAnsiTheme="majorHAnsi" w:eastAsiaTheme="majorEastAsia" w:cstheme="majorBidi"/>
      <w:b/>
      <w:bCs/>
      <w:sz w:val="32"/>
      <w:szCs w:val="32"/>
    </w:rPr>
  </w:style>
  <w:style w:type="character" w:customStyle="1" w:styleId="47">
    <w:name w:val="标题 3 字符"/>
    <w:basedOn w:val="36"/>
    <w:semiHidden/>
    <w:qFormat/>
    <w:uiPriority w:val="9"/>
    <w:rPr>
      <w:rFonts w:ascii="Calibri" w:hAnsi="Calibri" w:eastAsia="宋体" w:cs="Times New Roman"/>
      <w:b/>
      <w:bCs/>
      <w:sz w:val="32"/>
      <w:szCs w:val="32"/>
    </w:rPr>
  </w:style>
  <w:style w:type="character" w:customStyle="1" w:styleId="48">
    <w:name w:val="标题 4 字符"/>
    <w:basedOn w:val="36"/>
    <w:semiHidden/>
    <w:qFormat/>
    <w:uiPriority w:val="9"/>
    <w:rPr>
      <w:rFonts w:asciiTheme="majorHAnsi" w:hAnsiTheme="majorHAnsi" w:eastAsiaTheme="majorEastAsia" w:cstheme="majorBidi"/>
      <w:b/>
      <w:bCs/>
      <w:sz w:val="28"/>
      <w:szCs w:val="28"/>
    </w:rPr>
  </w:style>
  <w:style w:type="character" w:customStyle="1" w:styleId="49">
    <w:name w:val="标题 5 字符"/>
    <w:basedOn w:val="36"/>
    <w:semiHidden/>
    <w:qFormat/>
    <w:uiPriority w:val="9"/>
    <w:rPr>
      <w:rFonts w:ascii="Calibri" w:hAnsi="Calibri" w:eastAsia="宋体" w:cs="Times New Roman"/>
      <w:b/>
      <w:bCs/>
      <w:sz w:val="28"/>
      <w:szCs w:val="28"/>
    </w:rPr>
  </w:style>
  <w:style w:type="character" w:customStyle="1" w:styleId="50">
    <w:name w:val="标题 6 字符"/>
    <w:basedOn w:val="36"/>
    <w:semiHidden/>
    <w:qFormat/>
    <w:uiPriority w:val="9"/>
    <w:rPr>
      <w:rFonts w:asciiTheme="majorHAnsi" w:hAnsiTheme="majorHAnsi" w:eastAsiaTheme="majorEastAsia" w:cstheme="majorBidi"/>
      <w:b/>
      <w:bCs/>
      <w:sz w:val="24"/>
      <w:szCs w:val="24"/>
    </w:rPr>
  </w:style>
  <w:style w:type="character" w:customStyle="1" w:styleId="51">
    <w:name w:val="标题 7 字符"/>
    <w:basedOn w:val="36"/>
    <w:semiHidden/>
    <w:qFormat/>
    <w:uiPriority w:val="9"/>
    <w:rPr>
      <w:rFonts w:ascii="Calibri" w:hAnsi="Calibri" w:eastAsia="宋体" w:cs="Times New Roman"/>
      <w:b/>
      <w:bCs/>
      <w:sz w:val="24"/>
      <w:szCs w:val="24"/>
    </w:rPr>
  </w:style>
  <w:style w:type="character" w:customStyle="1" w:styleId="52">
    <w:name w:val="标题 8 字符"/>
    <w:basedOn w:val="36"/>
    <w:semiHidden/>
    <w:qFormat/>
    <w:uiPriority w:val="9"/>
    <w:rPr>
      <w:rFonts w:asciiTheme="majorHAnsi" w:hAnsiTheme="majorHAnsi" w:eastAsiaTheme="majorEastAsia" w:cstheme="majorBidi"/>
      <w:sz w:val="24"/>
      <w:szCs w:val="24"/>
    </w:rPr>
  </w:style>
  <w:style w:type="character" w:customStyle="1" w:styleId="53">
    <w:name w:val="标题 9 字符"/>
    <w:basedOn w:val="36"/>
    <w:semiHidden/>
    <w:qFormat/>
    <w:uiPriority w:val="9"/>
    <w:rPr>
      <w:rFonts w:asciiTheme="majorHAnsi" w:hAnsiTheme="majorHAnsi" w:eastAsiaTheme="majorEastAsia" w:cstheme="majorBidi"/>
      <w:szCs w:val="21"/>
    </w:rPr>
  </w:style>
  <w:style w:type="character" w:customStyle="1" w:styleId="54">
    <w:name w:val="批注框文本 字符1"/>
    <w:link w:val="24"/>
    <w:qFormat/>
    <w:uiPriority w:val="0"/>
    <w:rPr>
      <w:rFonts w:ascii="Times New Roman" w:hAnsi="Times New Roman" w:eastAsia="宋体" w:cs="Times New Roman"/>
      <w:sz w:val="18"/>
      <w:szCs w:val="18"/>
    </w:rPr>
  </w:style>
  <w:style w:type="character" w:customStyle="1" w:styleId="55">
    <w:name w:val="正文文本缩进 3 字符1"/>
    <w:link w:val="29"/>
    <w:qFormat/>
    <w:uiPriority w:val="0"/>
    <w:rPr>
      <w:rFonts w:ascii="Times New Roman" w:hAnsi="Times New Roman" w:eastAsia="宋体" w:cs="Times New Roman"/>
      <w:color w:val="000000"/>
      <w:sz w:val="24"/>
      <w:szCs w:val="20"/>
    </w:rPr>
  </w:style>
  <w:style w:type="character" w:customStyle="1" w:styleId="56">
    <w:name w:val="标题 字符1"/>
    <w:link w:val="4"/>
    <w:qFormat/>
    <w:uiPriority w:val="0"/>
    <w:rPr>
      <w:rFonts w:ascii="Arial" w:hAnsi="Arial" w:eastAsia="宋体" w:cs="Times New Roman"/>
      <w:b/>
      <w:sz w:val="44"/>
      <w:szCs w:val="20"/>
    </w:rPr>
  </w:style>
  <w:style w:type="character" w:customStyle="1" w:styleId="57">
    <w:name w:val="标题 8 字符1"/>
    <w:link w:val="14"/>
    <w:qFormat/>
    <w:uiPriority w:val="0"/>
    <w:rPr>
      <w:rFonts w:ascii="Arial" w:hAnsi="Arial" w:eastAsia="黑体" w:cs="Times New Roman"/>
      <w:sz w:val="24"/>
      <w:szCs w:val="20"/>
    </w:rPr>
  </w:style>
  <w:style w:type="character" w:customStyle="1" w:styleId="58">
    <w:name w:val="脚注文本 字符1"/>
    <w:link w:val="28"/>
    <w:qFormat/>
    <w:uiPriority w:val="0"/>
    <w:rPr>
      <w:rFonts w:ascii="宋体" w:hAnsi="宋体" w:eastAsia="宋体" w:cs="Times New Roman"/>
      <w:sz w:val="18"/>
      <w:szCs w:val="18"/>
    </w:rPr>
  </w:style>
  <w:style w:type="character" w:customStyle="1" w:styleId="59">
    <w:name w:val="批注框文本 字符"/>
    <w:semiHidden/>
    <w:qFormat/>
    <w:uiPriority w:val="99"/>
    <w:rPr>
      <w:rFonts w:ascii="Calibri" w:hAnsi="Calibri" w:eastAsia="宋体" w:cs="Times New Roman"/>
      <w:sz w:val="18"/>
      <w:szCs w:val="18"/>
    </w:rPr>
  </w:style>
  <w:style w:type="character" w:customStyle="1" w:styleId="60">
    <w:name w:val="文档结构图 字符1"/>
    <w:link w:val="16"/>
    <w:qFormat/>
    <w:uiPriority w:val="0"/>
    <w:rPr>
      <w:rFonts w:ascii="Times New Roman" w:hAnsi="Times New Roman" w:eastAsia="宋体" w:cs="Times New Roman"/>
      <w:szCs w:val="20"/>
      <w:shd w:val="clear" w:color="auto" w:fill="000080"/>
    </w:rPr>
  </w:style>
  <w:style w:type="character" w:customStyle="1" w:styleId="61">
    <w:name w:val="正文文本缩进 2 字符"/>
    <w:semiHidden/>
    <w:qFormat/>
    <w:uiPriority w:val="99"/>
    <w:rPr>
      <w:rFonts w:ascii="Calibri" w:hAnsi="Calibri" w:eastAsia="宋体" w:cs="Times New Roman"/>
    </w:rPr>
  </w:style>
  <w:style w:type="character" w:customStyle="1" w:styleId="62">
    <w:name w:val="正文文本缩进 3 字符"/>
    <w:semiHidden/>
    <w:qFormat/>
    <w:uiPriority w:val="99"/>
    <w:rPr>
      <w:rFonts w:ascii="Calibri" w:hAnsi="Calibri" w:eastAsia="宋体" w:cs="Times New Roman"/>
      <w:sz w:val="16"/>
      <w:szCs w:val="16"/>
    </w:rPr>
  </w:style>
  <w:style w:type="character" w:customStyle="1" w:styleId="63">
    <w:name w:val="文档结构图 字符"/>
    <w:semiHidden/>
    <w:qFormat/>
    <w:uiPriority w:val="99"/>
    <w:rPr>
      <w:rFonts w:ascii="Microsoft YaHei UI" w:hAnsi="Calibri" w:eastAsia="Microsoft YaHei UI" w:cs="Times New Roman"/>
      <w:sz w:val="18"/>
      <w:szCs w:val="18"/>
    </w:rPr>
  </w:style>
  <w:style w:type="character" w:customStyle="1" w:styleId="64">
    <w:name w:val="标题 6 字符1"/>
    <w:link w:val="12"/>
    <w:qFormat/>
    <w:uiPriority w:val="0"/>
    <w:rPr>
      <w:rFonts w:ascii="Arial" w:hAnsi="Arial" w:eastAsia="黑体" w:cs="Times New Roman"/>
      <w:b/>
      <w:bCs/>
      <w:sz w:val="24"/>
      <w:szCs w:val="24"/>
    </w:rPr>
  </w:style>
  <w:style w:type="character" w:customStyle="1" w:styleId="65">
    <w:name w:val="正文文本缩进 字符1"/>
    <w:link w:val="18"/>
    <w:qFormat/>
    <w:uiPriority w:val="0"/>
    <w:rPr>
      <w:rFonts w:ascii="Times New Roman" w:hAnsi="Times New Roman" w:eastAsia="宋体" w:cs="Times New Roman"/>
      <w:sz w:val="28"/>
      <w:szCs w:val="20"/>
    </w:rPr>
  </w:style>
  <w:style w:type="character" w:customStyle="1" w:styleId="66">
    <w:name w:val="标题 9 字符1"/>
    <w:link w:val="15"/>
    <w:qFormat/>
    <w:uiPriority w:val="0"/>
    <w:rPr>
      <w:rFonts w:ascii="Arial" w:hAnsi="Arial" w:eastAsia="黑体" w:cs="Times New Roman"/>
      <w:szCs w:val="20"/>
    </w:rPr>
  </w:style>
  <w:style w:type="character" w:customStyle="1" w:styleId="67">
    <w:name w:val="批注文字 字符"/>
    <w:qFormat/>
    <w:uiPriority w:val="0"/>
    <w:rPr>
      <w:rFonts w:ascii="Calibri" w:hAnsi="Calibri" w:eastAsia="宋体" w:cs="Times New Roman"/>
    </w:rPr>
  </w:style>
  <w:style w:type="character" w:customStyle="1" w:styleId="68">
    <w:name w:val="纯文本 字符1"/>
    <w:link w:val="20"/>
    <w:qFormat/>
    <w:uiPriority w:val="99"/>
    <w:rPr>
      <w:rFonts w:ascii="宋体" w:hAnsi="Courier New" w:eastAsia="宋体" w:cs="Times New Roman"/>
      <w:szCs w:val="20"/>
    </w:rPr>
  </w:style>
  <w:style w:type="character" w:customStyle="1" w:styleId="69">
    <w:name w:val="页脚 字符1"/>
    <w:link w:val="25"/>
    <w:qFormat/>
    <w:uiPriority w:val="0"/>
    <w:rPr>
      <w:rFonts w:ascii="Calibri" w:hAnsi="Calibri" w:eastAsia="宋体" w:cs="Times New Roman"/>
      <w:sz w:val="18"/>
      <w:szCs w:val="18"/>
    </w:rPr>
  </w:style>
  <w:style w:type="character" w:customStyle="1" w:styleId="70">
    <w:name w:val="页眉 字符"/>
    <w:semiHidden/>
    <w:qFormat/>
    <w:uiPriority w:val="99"/>
    <w:rPr>
      <w:rFonts w:ascii="Calibri" w:hAnsi="Calibri" w:eastAsia="宋体" w:cs="Times New Roman"/>
      <w:sz w:val="18"/>
      <w:szCs w:val="18"/>
    </w:rPr>
  </w:style>
  <w:style w:type="character" w:customStyle="1" w:styleId="71">
    <w:name w:val="正文文本 2 字符1"/>
    <w:link w:val="30"/>
    <w:qFormat/>
    <w:uiPriority w:val="0"/>
    <w:rPr>
      <w:rFonts w:ascii="宋体" w:hAnsi="宋体" w:eastAsia="宋体" w:cs="Times New Roman"/>
      <w:szCs w:val="24"/>
      <w:u w:val="single"/>
    </w:rPr>
  </w:style>
  <w:style w:type="character" w:customStyle="1" w:styleId="72">
    <w:name w:val="正文文本 字符1"/>
    <w:link w:val="6"/>
    <w:qFormat/>
    <w:uiPriority w:val="0"/>
    <w:rPr>
      <w:rFonts w:ascii="Times New Roman" w:hAnsi="Times New Roman" w:eastAsia="宋体" w:cs="Times New Roman"/>
      <w:szCs w:val="20"/>
    </w:rPr>
  </w:style>
  <w:style w:type="character" w:customStyle="1" w:styleId="73">
    <w:name w:val="批注文字 字符1"/>
    <w:qFormat/>
    <w:uiPriority w:val="0"/>
    <w:rPr>
      <w:rFonts w:ascii="宋体" w:hAnsi="宋体" w:eastAsia="宋体" w:cs="Times New Roman"/>
      <w:sz w:val="24"/>
      <w:szCs w:val="24"/>
    </w:rPr>
  </w:style>
  <w:style w:type="character" w:customStyle="1" w:styleId="74">
    <w:name w:val="标题 1 字符1"/>
    <w:link w:val="3"/>
    <w:qFormat/>
    <w:uiPriority w:val="0"/>
    <w:rPr>
      <w:rFonts w:ascii="Arial" w:hAnsi="Arial" w:eastAsia="宋体" w:cs="Times New Roman"/>
      <w:b/>
      <w:kern w:val="44"/>
      <w:sz w:val="28"/>
      <w:szCs w:val="28"/>
    </w:rPr>
  </w:style>
  <w:style w:type="character" w:customStyle="1" w:styleId="75">
    <w:name w:val="日期 字符1"/>
    <w:link w:val="21"/>
    <w:qFormat/>
    <w:uiPriority w:val="0"/>
    <w:rPr>
      <w:rFonts w:ascii="Times New Roman" w:hAnsi="Times New Roman" w:eastAsia="宋体" w:cs="Times New Roman"/>
      <w:szCs w:val="20"/>
    </w:rPr>
  </w:style>
  <w:style w:type="character" w:customStyle="1" w:styleId="76">
    <w:name w:val="标题 5 字符1"/>
    <w:link w:val="11"/>
    <w:qFormat/>
    <w:uiPriority w:val="0"/>
    <w:rPr>
      <w:rFonts w:ascii="Arial" w:hAnsi="Arial" w:eastAsia="宋体" w:cs="Times New Roman"/>
      <w:color w:val="000000"/>
      <w:szCs w:val="21"/>
    </w:rPr>
  </w:style>
  <w:style w:type="character" w:customStyle="1" w:styleId="77">
    <w:name w:val="标题 3 字符1"/>
    <w:link w:val="8"/>
    <w:qFormat/>
    <w:uiPriority w:val="0"/>
    <w:rPr>
      <w:rFonts w:ascii="宋体" w:hAnsi="宋体" w:eastAsia="宋体" w:cs="宋体"/>
      <w:kern w:val="0"/>
      <w:sz w:val="27"/>
      <w:szCs w:val="27"/>
    </w:rPr>
  </w:style>
  <w:style w:type="character" w:customStyle="1" w:styleId="78">
    <w:name w:val="正文首行缩进 字符1"/>
    <w:link w:val="5"/>
    <w:qFormat/>
    <w:uiPriority w:val="0"/>
  </w:style>
  <w:style w:type="character" w:customStyle="1" w:styleId="79">
    <w:name w:val="页眉 字符1"/>
    <w:link w:val="26"/>
    <w:qFormat/>
    <w:uiPriority w:val="0"/>
    <w:rPr>
      <w:rFonts w:ascii="Calibri" w:hAnsi="Calibri" w:eastAsia="宋体" w:cs="Times New Roman"/>
      <w:sz w:val="18"/>
      <w:szCs w:val="18"/>
    </w:rPr>
  </w:style>
  <w:style w:type="character" w:customStyle="1" w:styleId="80">
    <w:name w:val="正文文本缩进 2 字符1"/>
    <w:link w:val="22"/>
    <w:qFormat/>
    <w:uiPriority w:val="0"/>
    <w:rPr>
      <w:rFonts w:ascii="Times New Roman" w:hAnsi="Times New Roman" w:eastAsia="宋体" w:cs="Times New Roman"/>
      <w:color w:val="000000"/>
      <w:sz w:val="24"/>
      <w:szCs w:val="20"/>
    </w:rPr>
  </w:style>
  <w:style w:type="character" w:customStyle="1" w:styleId="81">
    <w:name w:val="页脚 字符"/>
    <w:qFormat/>
    <w:uiPriority w:val="99"/>
    <w:rPr>
      <w:rFonts w:ascii="Calibri" w:hAnsi="Calibri" w:eastAsia="宋体" w:cs="Times New Roman"/>
      <w:sz w:val="18"/>
      <w:szCs w:val="18"/>
    </w:rPr>
  </w:style>
  <w:style w:type="character" w:customStyle="1" w:styleId="82">
    <w:name w:val="尾注文本 字符"/>
    <w:semiHidden/>
    <w:qFormat/>
    <w:uiPriority w:val="99"/>
    <w:rPr>
      <w:rFonts w:ascii="Calibri" w:hAnsi="Calibri" w:eastAsia="宋体" w:cs="Times New Roman"/>
    </w:rPr>
  </w:style>
  <w:style w:type="character" w:customStyle="1" w:styleId="83">
    <w:name w:val="标题 2 字符1"/>
    <w:link w:val="7"/>
    <w:qFormat/>
    <w:uiPriority w:val="0"/>
    <w:rPr>
      <w:rFonts w:ascii="Arial" w:hAnsi="Arial" w:eastAsia="宋体" w:cs="Times New Roman"/>
      <w:b/>
      <w:color w:val="000000"/>
      <w:sz w:val="24"/>
      <w:szCs w:val="24"/>
    </w:rPr>
  </w:style>
  <w:style w:type="character" w:customStyle="1" w:styleId="84">
    <w:name w:val="正文首行缩进 字符"/>
    <w:basedOn w:val="85"/>
    <w:semiHidden/>
    <w:qFormat/>
    <w:uiPriority w:val="99"/>
    <w:rPr>
      <w:rFonts w:ascii="Calibri" w:hAnsi="Calibri" w:eastAsia="宋体" w:cs="Times New Roman"/>
    </w:rPr>
  </w:style>
  <w:style w:type="character" w:customStyle="1" w:styleId="85">
    <w:name w:val="正文文本 字符"/>
    <w:semiHidden/>
    <w:qFormat/>
    <w:uiPriority w:val="99"/>
    <w:rPr>
      <w:rFonts w:ascii="Calibri" w:hAnsi="Calibri" w:eastAsia="宋体" w:cs="Times New Roman"/>
    </w:rPr>
  </w:style>
  <w:style w:type="character" w:customStyle="1" w:styleId="86">
    <w:name w:val="标题 4 字符1"/>
    <w:link w:val="9"/>
    <w:qFormat/>
    <w:uiPriority w:val="0"/>
    <w:rPr>
      <w:rFonts w:ascii="Arial" w:hAnsi="Arial" w:eastAsia="宋体" w:cs="Times New Roman"/>
      <w:color w:val="000000"/>
      <w:szCs w:val="21"/>
    </w:rPr>
  </w:style>
  <w:style w:type="character" w:customStyle="1" w:styleId="87">
    <w:name w:val="脚注文本 字符"/>
    <w:semiHidden/>
    <w:qFormat/>
    <w:uiPriority w:val="99"/>
    <w:rPr>
      <w:rFonts w:ascii="Calibri" w:hAnsi="Calibri" w:eastAsia="宋体" w:cs="Times New Roman"/>
      <w:sz w:val="18"/>
      <w:szCs w:val="18"/>
    </w:rPr>
  </w:style>
  <w:style w:type="character" w:customStyle="1" w:styleId="88">
    <w:name w:val="标题 7 字符1"/>
    <w:link w:val="13"/>
    <w:qFormat/>
    <w:uiPriority w:val="0"/>
    <w:rPr>
      <w:rFonts w:ascii="Times New Roman" w:hAnsi="Times New Roman" w:eastAsia="宋体" w:cs="Times New Roman"/>
      <w:b/>
      <w:sz w:val="24"/>
      <w:szCs w:val="20"/>
    </w:rPr>
  </w:style>
  <w:style w:type="character" w:customStyle="1" w:styleId="89">
    <w:name w:val="标题 字符"/>
    <w:qFormat/>
    <w:uiPriority w:val="10"/>
    <w:rPr>
      <w:rFonts w:ascii="等线 Light" w:hAnsi="等线 Light" w:eastAsia="等线 Light" w:cs="Times New Roman"/>
      <w:b/>
      <w:bCs/>
      <w:sz w:val="32"/>
      <w:szCs w:val="32"/>
    </w:rPr>
  </w:style>
  <w:style w:type="character" w:customStyle="1" w:styleId="90">
    <w:name w:val="日期 字符"/>
    <w:semiHidden/>
    <w:qFormat/>
    <w:uiPriority w:val="99"/>
    <w:rPr>
      <w:rFonts w:ascii="Calibri" w:hAnsi="Calibri" w:eastAsia="宋体" w:cs="Times New Roman"/>
    </w:rPr>
  </w:style>
  <w:style w:type="character" w:customStyle="1" w:styleId="91">
    <w:name w:val="正文文本缩进 字符"/>
    <w:semiHidden/>
    <w:qFormat/>
    <w:uiPriority w:val="99"/>
    <w:rPr>
      <w:rFonts w:ascii="Calibri" w:hAnsi="Calibri" w:eastAsia="宋体" w:cs="Times New Roman"/>
    </w:rPr>
  </w:style>
  <w:style w:type="character" w:customStyle="1" w:styleId="92">
    <w:name w:val="纯文本 字符"/>
    <w:semiHidden/>
    <w:qFormat/>
    <w:uiPriority w:val="99"/>
    <w:rPr>
      <w:rFonts w:ascii="等线" w:hAnsi="Courier New" w:cs="Courier New"/>
    </w:rPr>
  </w:style>
  <w:style w:type="character" w:customStyle="1" w:styleId="93">
    <w:name w:val="正文文本 2 字符"/>
    <w:semiHidden/>
    <w:qFormat/>
    <w:uiPriority w:val="99"/>
    <w:rPr>
      <w:rFonts w:ascii="Calibri" w:hAnsi="Calibri" w:eastAsia="宋体" w:cs="Times New Roman"/>
    </w:rPr>
  </w:style>
  <w:style w:type="character" w:customStyle="1" w:styleId="94">
    <w:name w:val="尾注文本 字符1"/>
    <w:link w:val="23"/>
    <w:qFormat/>
    <w:uiPriority w:val="0"/>
    <w:rPr>
      <w:rFonts w:ascii="Times New Roman" w:hAnsi="Times New Roman" w:eastAsia="宋体" w:cs="Times New Roman"/>
      <w:szCs w:val="20"/>
    </w:rPr>
  </w:style>
  <w:style w:type="character" w:customStyle="1" w:styleId="95">
    <w:name w:val="批注主题 字符"/>
    <w:semiHidden/>
    <w:qFormat/>
    <w:uiPriority w:val="99"/>
    <w:rPr>
      <w:rFonts w:ascii="Calibri" w:hAnsi="Calibri" w:eastAsia="宋体" w:cs="Times New Roman"/>
      <w:b/>
      <w:bCs/>
    </w:rPr>
  </w:style>
  <w:style w:type="character" w:customStyle="1" w:styleId="96">
    <w:name w:val="批注主题 字符1"/>
    <w:link w:val="33"/>
    <w:qFormat/>
    <w:uiPriority w:val="0"/>
    <w:rPr>
      <w:rFonts w:ascii="宋体" w:hAnsi="宋体" w:eastAsia="宋体" w:cs="Times New Roman"/>
      <w:b/>
      <w:bCs/>
      <w:sz w:val="24"/>
      <w:szCs w:val="24"/>
    </w:rPr>
  </w:style>
  <w:style w:type="character" w:customStyle="1" w:styleId="97">
    <w:name w:val="页脚 字符2"/>
    <w:basedOn w:val="36"/>
    <w:semiHidden/>
    <w:qFormat/>
    <w:uiPriority w:val="99"/>
    <w:rPr>
      <w:rFonts w:ascii="Calibri" w:hAnsi="Calibri" w:eastAsia="宋体" w:cs="Times New Roman"/>
      <w:sz w:val="18"/>
      <w:szCs w:val="18"/>
    </w:rPr>
  </w:style>
  <w:style w:type="character" w:customStyle="1" w:styleId="98">
    <w:name w:val="正文文本缩进 2 字符2"/>
    <w:basedOn w:val="36"/>
    <w:semiHidden/>
    <w:qFormat/>
    <w:uiPriority w:val="99"/>
    <w:rPr>
      <w:rFonts w:ascii="Calibri" w:hAnsi="Calibri" w:eastAsia="宋体" w:cs="Times New Roman"/>
    </w:rPr>
  </w:style>
  <w:style w:type="character" w:customStyle="1" w:styleId="99">
    <w:name w:val="正文文本缩进 字符2"/>
    <w:basedOn w:val="36"/>
    <w:semiHidden/>
    <w:qFormat/>
    <w:uiPriority w:val="99"/>
    <w:rPr>
      <w:rFonts w:ascii="Calibri" w:hAnsi="Calibri" w:eastAsia="宋体" w:cs="Times New Roman"/>
    </w:rPr>
  </w:style>
  <w:style w:type="character" w:customStyle="1" w:styleId="100">
    <w:name w:val="脚注文本 字符2"/>
    <w:basedOn w:val="36"/>
    <w:semiHidden/>
    <w:qFormat/>
    <w:uiPriority w:val="99"/>
    <w:rPr>
      <w:rFonts w:ascii="Calibri" w:hAnsi="Calibri" w:eastAsia="宋体" w:cs="Times New Roman"/>
      <w:sz w:val="18"/>
      <w:szCs w:val="18"/>
    </w:rPr>
  </w:style>
  <w:style w:type="character" w:customStyle="1" w:styleId="101">
    <w:name w:val="批注框文本 字符2"/>
    <w:basedOn w:val="36"/>
    <w:semiHidden/>
    <w:qFormat/>
    <w:uiPriority w:val="99"/>
    <w:rPr>
      <w:rFonts w:ascii="Calibri" w:hAnsi="Calibri" w:eastAsia="宋体" w:cs="Times New Roman"/>
      <w:sz w:val="18"/>
      <w:szCs w:val="18"/>
    </w:rPr>
  </w:style>
  <w:style w:type="character" w:customStyle="1" w:styleId="102">
    <w:name w:val="批注文字 字符2"/>
    <w:basedOn w:val="36"/>
    <w:link w:val="17"/>
    <w:qFormat/>
    <w:uiPriority w:val="0"/>
    <w:rPr>
      <w:rFonts w:ascii="Calibri" w:hAnsi="Calibri" w:eastAsia="宋体" w:cs="Times New Roman"/>
    </w:rPr>
  </w:style>
  <w:style w:type="character" w:customStyle="1" w:styleId="103">
    <w:name w:val="批注主题 字符2"/>
    <w:basedOn w:val="102"/>
    <w:semiHidden/>
    <w:qFormat/>
    <w:uiPriority w:val="99"/>
    <w:rPr>
      <w:rFonts w:ascii="Calibri" w:hAnsi="Calibri" w:eastAsia="宋体" w:cs="Times New Roman"/>
      <w:b/>
      <w:bCs/>
    </w:rPr>
  </w:style>
  <w:style w:type="character" w:customStyle="1" w:styleId="104">
    <w:name w:val="正文文本缩进 3 字符2"/>
    <w:basedOn w:val="36"/>
    <w:semiHidden/>
    <w:qFormat/>
    <w:uiPriority w:val="99"/>
    <w:rPr>
      <w:rFonts w:ascii="Calibri" w:hAnsi="Calibri" w:eastAsia="宋体" w:cs="Times New Roman"/>
      <w:sz w:val="16"/>
      <w:szCs w:val="16"/>
    </w:rPr>
  </w:style>
  <w:style w:type="character" w:customStyle="1" w:styleId="105">
    <w:name w:val="文档结构图 字符2"/>
    <w:basedOn w:val="36"/>
    <w:semiHidden/>
    <w:qFormat/>
    <w:uiPriority w:val="99"/>
    <w:rPr>
      <w:rFonts w:ascii="Microsoft YaHei UI" w:hAnsi="Calibri" w:eastAsia="Microsoft YaHei UI" w:cs="Times New Roman"/>
      <w:sz w:val="18"/>
      <w:szCs w:val="18"/>
    </w:rPr>
  </w:style>
  <w:style w:type="character" w:customStyle="1" w:styleId="106">
    <w:name w:val="页眉 字符2"/>
    <w:basedOn w:val="36"/>
    <w:semiHidden/>
    <w:qFormat/>
    <w:uiPriority w:val="99"/>
    <w:rPr>
      <w:rFonts w:ascii="Calibri" w:hAnsi="Calibri" w:eastAsia="宋体" w:cs="Times New Roman"/>
      <w:sz w:val="18"/>
      <w:szCs w:val="18"/>
    </w:rPr>
  </w:style>
  <w:style w:type="character" w:customStyle="1" w:styleId="107">
    <w:name w:val="日期 字符2"/>
    <w:basedOn w:val="36"/>
    <w:semiHidden/>
    <w:qFormat/>
    <w:uiPriority w:val="99"/>
    <w:rPr>
      <w:rFonts w:ascii="Calibri" w:hAnsi="Calibri" w:eastAsia="宋体" w:cs="Times New Roman"/>
    </w:rPr>
  </w:style>
  <w:style w:type="character" w:customStyle="1" w:styleId="108">
    <w:name w:val="正文文本 字符2"/>
    <w:basedOn w:val="36"/>
    <w:semiHidden/>
    <w:qFormat/>
    <w:uiPriority w:val="99"/>
    <w:rPr>
      <w:rFonts w:ascii="Calibri" w:hAnsi="Calibri" w:eastAsia="宋体" w:cs="Times New Roman"/>
    </w:rPr>
  </w:style>
  <w:style w:type="character" w:customStyle="1" w:styleId="109">
    <w:name w:val="纯文本 字符2"/>
    <w:basedOn w:val="36"/>
    <w:semiHidden/>
    <w:qFormat/>
    <w:uiPriority w:val="99"/>
    <w:rPr>
      <w:rFonts w:hAnsi="Courier New" w:cs="Courier New" w:asciiTheme="minorEastAsia"/>
    </w:rPr>
  </w:style>
  <w:style w:type="character" w:customStyle="1" w:styleId="110">
    <w:name w:val="标题 字符2"/>
    <w:basedOn w:val="36"/>
    <w:qFormat/>
    <w:uiPriority w:val="10"/>
    <w:rPr>
      <w:rFonts w:asciiTheme="majorHAnsi" w:hAnsiTheme="majorHAnsi" w:eastAsiaTheme="majorEastAsia" w:cstheme="majorBidi"/>
      <w:b/>
      <w:bCs/>
      <w:sz w:val="32"/>
      <w:szCs w:val="32"/>
    </w:rPr>
  </w:style>
  <w:style w:type="character" w:customStyle="1" w:styleId="111">
    <w:name w:val="正文文本首行缩进 字符1"/>
    <w:basedOn w:val="108"/>
    <w:semiHidden/>
    <w:qFormat/>
    <w:uiPriority w:val="99"/>
    <w:rPr>
      <w:rFonts w:ascii="Calibri" w:hAnsi="Calibri" w:eastAsia="宋体" w:cs="Times New Roman"/>
    </w:rPr>
  </w:style>
  <w:style w:type="character" w:customStyle="1" w:styleId="112">
    <w:name w:val="正文文本 2 字符2"/>
    <w:basedOn w:val="36"/>
    <w:semiHidden/>
    <w:qFormat/>
    <w:uiPriority w:val="99"/>
    <w:rPr>
      <w:rFonts w:ascii="Calibri" w:hAnsi="Calibri" w:eastAsia="宋体" w:cs="Times New Roman"/>
    </w:rPr>
  </w:style>
  <w:style w:type="character" w:customStyle="1" w:styleId="113">
    <w:name w:val="尾注文本 字符2"/>
    <w:basedOn w:val="36"/>
    <w:semiHidden/>
    <w:qFormat/>
    <w:uiPriority w:val="99"/>
    <w:rPr>
      <w:rFonts w:ascii="Calibri" w:hAnsi="Calibri" w:eastAsia="宋体" w:cs="Times New Roman"/>
    </w:rPr>
  </w:style>
  <w:style w:type="paragraph" w:customStyle="1" w:styleId="11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15">
    <w:name w:val="表头"/>
    <w:basedOn w:val="1"/>
    <w:qFormat/>
    <w:uiPriority w:val="0"/>
    <w:pPr>
      <w:spacing w:line="360" w:lineRule="auto"/>
      <w:jc w:val="center"/>
    </w:pPr>
    <w:rPr>
      <w:rFonts w:ascii="黑体" w:hAnsi="Times New Roman" w:eastAsia="黑体"/>
      <w:kern w:val="0"/>
      <w:sz w:val="24"/>
      <w:szCs w:val="20"/>
    </w:rPr>
  </w:style>
  <w:style w:type="paragraph" w:customStyle="1" w:styleId="116">
    <w:name w:val="_Style 25"/>
    <w:basedOn w:val="1"/>
    <w:next w:val="1"/>
    <w:qFormat/>
    <w:uiPriority w:val="0"/>
  </w:style>
  <w:style w:type="paragraph" w:customStyle="1" w:styleId="117">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118">
    <w:name w:val="Char Char Char Char"/>
    <w:basedOn w:val="1"/>
    <w:qFormat/>
    <w:uiPriority w:val="0"/>
    <w:rPr>
      <w:rFonts w:ascii="Times New Roman" w:hAnsi="Times New Roman"/>
      <w:sz w:val="30"/>
      <w:szCs w:val="24"/>
    </w:rPr>
  </w:style>
  <w:style w:type="paragraph" w:customStyle="1" w:styleId="119">
    <w:name w:val="公文抬头"/>
    <w:basedOn w:val="10"/>
    <w:qFormat/>
    <w:uiPriority w:val="0"/>
    <w:pPr>
      <w:ind w:firstLine="0"/>
    </w:pPr>
    <w:rPr>
      <w:rFonts w:ascii="仿宋_GB2312" w:eastAsia="仿宋_GB2312"/>
      <w:sz w:val="30"/>
      <w:szCs w:val="24"/>
    </w:rPr>
  </w:style>
  <w:style w:type="paragraph" w:customStyle="1" w:styleId="120">
    <w:name w:val="列出段落1"/>
    <w:basedOn w:val="1"/>
    <w:qFormat/>
    <w:uiPriority w:val="34"/>
    <w:pPr>
      <w:ind w:firstLine="420" w:firstLineChars="200"/>
    </w:pPr>
    <w:rPr>
      <w:rFonts w:ascii="Times New Roman" w:hAnsi="Times New Roman"/>
      <w:szCs w:val="20"/>
    </w:rPr>
  </w:style>
  <w:style w:type="paragraph" w:customStyle="1" w:styleId="121">
    <w:name w:val="修订1"/>
    <w:semiHidden/>
    <w:qFormat/>
    <w:uiPriority w:val="99"/>
    <w:rPr>
      <w:rFonts w:ascii="Times New Roman" w:hAnsi="Times New Roman" w:eastAsia="宋体" w:cs="Times New Roman"/>
      <w:kern w:val="2"/>
      <w:sz w:val="21"/>
      <w:lang w:val="en-US" w:eastAsia="zh-CN" w:bidi="ar-SA"/>
    </w:rPr>
  </w:style>
  <w:style w:type="paragraph" w:customStyle="1" w:styleId="122">
    <w:name w:val="公文标题"/>
    <w:basedOn w:val="8"/>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123">
    <w:name w:val="TOC 标题1"/>
    <w:basedOn w:val="3"/>
    <w:next w:val="1"/>
    <w:qFormat/>
    <w:uiPriority w:val="39"/>
    <w:pPr>
      <w:widowControl/>
      <w:spacing w:before="480" w:after="0" w:line="276" w:lineRule="auto"/>
      <w:outlineLvl w:val="9"/>
    </w:pPr>
    <w:rPr>
      <w:rFonts w:ascii="Cambria" w:hAnsi="Cambria"/>
      <w:color w:val="365F91"/>
      <w:kern w:val="0"/>
    </w:rPr>
  </w:style>
  <w:style w:type="paragraph" w:customStyle="1" w:styleId="124">
    <w:name w:val="Char Char Char1 Char"/>
    <w:basedOn w:val="16"/>
    <w:qFormat/>
    <w:uiPriority w:val="0"/>
    <w:rPr>
      <w:rFonts w:ascii="Tahoma" w:hAnsi="Tahoma"/>
      <w:sz w:val="24"/>
      <w:szCs w:val="24"/>
    </w:rPr>
  </w:style>
  <w:style w:type="paragraph" w:customStyle="1" w:styleId="125">
    <w:name w:val="Char1"/>
    <w:basedOn w:val="1"/>
    <w:qFormat/>
    <w:uiPriority w:val="0"/>
    <w:pPr>
      <w:numPr>
        <w:ilvl w:val="0"/>
        <w:numId w:val="1"/>
      </w:numPr>
    </w:pPr>
    <w:rPr>
      <w:rFonts w:ascii="Times New Roman" w:hAnsi="Times New Roman"/>
      <w:sz w:val="24"/>
      <w:szCs w:val="24"/>
    </w:rPr>
  </w:style>
  <w:style w:type="paragraph" w:customStyle="1" w:styleId="126">
    <w:name w:val="Char"/>
    <w:basedOn w:val="1"/>
    <w:qFormat/>
    <w:uiPriority w:val="0"/>
    <w:rPr>
      <w:rFonts w:ascii="Tahoma" w:hAnsi="Tahoma"/>
      <w:sz w:val="24"/>
      <w:szCs w:val="20"/>
    </w:rPr>
  </w:style>
  <w:style w:type="paragraph" w:customStyle="1" w:styleId="127">
    <w:name w:val="发文落款"/>
    <w:basedOn w:val="114"/>
    <w:qFormat/>
    <w:uiPriority w:val="0"/>
    <w:pPr>
      <w:ind w:left="4094" w:right="607" w:firstLine="0"/>
      <w:jc w:val="center"/>
    </w:pPr>
  </w:style>
  <w:style w:type="character" w:customStyle="1" w:styleId="128">
    <w:name w:val="s2"/>
    <w:qFormat/>
    <w:uiPriority w:val="0"/>
  </w:style>
  <w:style w:type="character" w:customStyle="1" w:styleId="129">
    <w:name w:val="NormalCharacter"/>
    <w:qFormat/>
    <w:uiPriority w:val="0"/>
  </w:style>
  <w:style w:type="character" w:customStyle="1" w:styleId="130">
    <w:name w:val="s3"/>
    <w:qFormat/>
    <w:uiPriority w:val="0"/>
  </w:style>
  <w:style w:type="character" w:customStyle="1" w:styleId="131">
    <w:name w:val="s15"/>
    <w:qFormat/>
    <w:uiPriority w:val="0"/>
    <w:rPr>
      <w:color w:val="2131A1"/>
    </w:rPr>
  </w:style>
  <w:style w:type="paragraph" w:customStyle="1" w:styleId="132">
    <w:name w:val="正文 New New"/>
    <w:qFormat/>
    <w:uiPriority w:val="0"/>
    <w:pPr>
      <w:widowControl w:val="0"/>
      <w:jc w:val="both"/>
    </w:pPr>
    <w:rPr>
      <w:rFonts w:ascii="Times New Roman" w:hAnsi="Times New Roman" w:eastAsia="楷体_GB2312" w:cs="Times New Roman"/>
      <w:lang w:val="en-US" w:eastAsia="zh-CN" w:bidi="ar-SA"/>
    </w:rPr>
  </w:style>
  <w:style w:type="character" w:customStyle="1" w:styleId="133">
    <w:name w:val="文一 Char"/>
    <w:link w:val="134"/>
    <w:qFormat/>
    <w:uiPriority w:val="0"/>
    <w:rPr>
      <w:rFonts w:eastAsia="宋体"/>
      <w:spacing w:val="4"/>
      <w:sz w:val="24"/>
      <w:szCs w:val="24"/>
    </w:rPr>
  </w:style>
  <w:style w:type="paragraph" w:customStyle="1" w:styleId="134">
    <w:name w:val="文一"/>
    <w:basedOn w:val="1"/>
    <w:link w:val="133"/>
    <w:qFormat/>
    <w:uiPriority w:val="0"/>
    <w:pPr>
      <w:topLinePunct/>
      <w:adjustRightInd w:val="0"/>
      <w:snapToGrid w:val="0"/>
      <w:spacing w:line="360" w:lineRule="auto"/>
      <w:ind w:firstLine="200" w:firstLineChars="200"/>
    </w:pPr>
    <w:rPr>
      <w:rFonts w:asciiTheme="minorHAnsi" w:hAnsiTheme="minorHAnsi" w:cstheme="minorBidi"/>
      <w:spacing w:val="4"/>
      <w:sz w:val="24"/>
      <w:szCs w:val="24"/>
    </w:rPr>
  </w:style>
  <w:style w:type="paragraph" w:customStyle="1" w:styleId="135">
    <w:name w:val="封一"/>
    <w:basedOn w:val="134"/>
    <w:next w:val="134"/>
    <w:qFormat/>
    <w:uiPriority w:val="0"/>
    <w:pPr>
      <w:ind w:firstLine="0" w:firstLineChars="0"/>
      <w:jc w:val="center"/>
    </w:pPr>
    <w:rPr>
      <w:rFonts w:eastAsia="黑体"/>
      <w:b/>
      <w:sz w:val="84"/>
      <w:szCs w:val="84"/>
    </w:rPr>
  </w:style>
  <w:style w:type="paragraph" w:customStyle="1" w:styleId="136">
    <w:name w:val="封四"/>
    <w:basedOn w:val="134"/>
    <w:next w:val="134"/>
    <w:qFormat/>
    <w:uiPriority w:val="0"/>
    <w:pPr>
      <w:jc w:val="left"/>
    </w:pPr>
    <w:rPr>
      <w:sz w:val="30"/>
      <w:szCs w:val="30"/>
    </w:rPr>
  </w:style>
  <w:style w:type="paragraph" w:customStyle="1" w:styleId="137">
    <w:name w:val="封二"/>
    <w:basedOn w:val="134"/>
    <w:next w:val="134"/>
    <w:qFormat/>
    <w:uiPriority w:val="0"/>
    <w:pPr>
      <w:ind w:firstLine="0" w:firstLineChars="0"/>
      <w:jc w:val="center"/>
    </w:pPr>
    <w:rPr>
      <w:rFonts w:eastAsia="黑体"/>
      <w:b/>
      <w:sz w:val="36"/>
      <w:szCs w:val="36"/>
    </w:rPr>
  </w:style>
  <w:style w:type="paragraph" w:customStyle="1" w:styleId="138">
    <w:name w:val="正题"/>
    <w:basedOn w:val="134"/>
    <w:next w:val="134"/>
    <w:qFormat/>
    <w:uiPriority w:val="0"/>
    <w:pPr>
      <w:ind w:firstLine="0" w:firstLineChars="0"/>
      <w:jc w:val="center"/>
    </w:pPr>
    <w:rPr>
      <w:rFonts w:eastAsia="黑体"/>
      <w:b/>
      <w:sz w:val="36"/>
      <w:szCs w:val="36"/>
    </w:rPr>
  </w:style>
  <w:style w:type="paragraph" w:customStyle="1" w:styleId="139">
    <w:name w:val="_Style 3"/>
    <w:basedOn w:val="1"/>
    <w:unhideWhenUsed/>
    <w:qFormat/>
    <w:uiPriority w:val="0"/>
    <w:pPr>
      <w:ind w:firstLine="420" w:firstLineChars="200"/>
    </w:pPr>
    <w:rPr>
      <w:rFonts w:ascii="Times New Roman" w:hAnsi="Times New Roman"/>
      <w:sz w:val="20"/>
    </w:rPr>
  </w:style>
  <w:style w:type="paragraph" w:customStyle="1" w:styleId="140">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styleId="141">
    <w:name w:val="List Paragraph"/>
    <w:basedOn w:val="1"/>
    <w:qFormat/>
    <w:uiPriority w:val="34"/>
    <w:pPr>
      <w:ind w:firstLine="420" w:firstLineChars="200"/>
    </w:pPr>
  </w:style>
  <w:style w:type="character" w:customStyle="1" w:styleId="142">
    <w:name w:val="15"/>
    <w:basedOn w:val="36"/>
    <w:qFormat/>
    <w:uiPriority w:val="0"/>
    <w:rPr>
      <w:rFonts w:hint="default" w:ascii="Times New Roman" w:hAnsi="Times New Roman" w:cs="Times New Roman"/>
    </w:rPr>
  </w:style>
  <w:style w:type="character" w:customStyle="1" w:styleId="143">
    <w:name w:val="16"/>
    <w:basedOn w:val="36"/>
    <w:qFormat/>
    <w:uiPriority w:val="0"/>
    <w:rPr>
      <w:rFonts w:hint="default" w:ascii="Times New Roman" w:hAnsi="Times New Roman" w:cs="Times New Roman"/>
    </w:rPr>
  </w:style>
  <w:style w:type="paragraph" w:customStyle="1" w:styleId="144">
    <w:name w:val="修订2"/>
    <w:hidden/>
    <w:semiHidden/>
    <w:qFormat/>
    <w:uiPriority w:val="99"/>
    <w:rPr>
      <w:rFonts w:ascii="Calibri" w:hAnsi="Calibri" w:eastAsia="宋体" w:cs="Times New Roman"/>
      <w:kern w:val="2"/>
      <w:sz w:val="21"/>
      <w:szCs w:val="22"/>
      <w:lang w:val="en-US" w:eastAsia="zh-CN" w:bidi="ar-SA"/>
    </w:rPr>
  </w:style>
  <w:style w:type="paragraph" w:customStyle="1" w:styleId="145">
    <w:name w:val="修订3"/>
    <w:hidden/>
    <w:semiHidden/>
    <w:qFormat/>
    <w:uiPriority w:val="99"/>
    <w:rPr>
      <w:rFonts w:ascii="Calibri" w:hAnsi="Calibri" w:eastAsia="宋体" w:cs="Times New Roman"/>
      <w:kern w:val="2"/>
      <w:sz w:val="21"/>
      <w:szCs w:val="22"/>
      <w:lang w:val="en-US" w:eastAsia="zh-CN" w:bidi="ar-SA"/>
    </w:rPr>
  </w:style>
  <w:style w:type="paragraph" w:customStyle="1" w:styleId="146">
    <w:name w:val="修订4"/>
    <w:hidden/>
    <w:semiHidden/>
    <w:qFormat/>
    <w:uiPriority w:val="99"/>
    <w:rPr>
      <w:rFonts w:ascii="Calibri" w:hAnsi="Calibri" w:eastAsia="宋体" w:cs="Times New Roman"/>
      <w:kern w:val="2"/>
      <w:sz w:val="21"/>
      <w:szCs w:val="22"/>
      <w:lang w:val="en-US" w:eastAsia="zh-CN" w:bidi="ar-SA"/>
    </w:rPr>
  </w:style>
  <w:style w:type="paragraph" w:customStyle="1" w:styleId="147">
    <w:name w:val="Table Paragraph"/>
    <w:basedOn w:val="1"/>
    <w:qFormat/>
    <w:uiPriority w:val="0"/>
    <w:pPr>
      <w:autoSpaceDE w:val="0"/>
      <w:autoSpaceDN w:val="0"/>
      <w:adjustRightInd w:val="0"/>
      <w:jc w:val="left"/>
    </w:pPr>
    <w:rPr>
      <w:rFonts w:ascii="Times New Roman" w:hAnsi="Times New Roman"/>
      <w:kern w:val="0"/>
      <w:sz w:val="24"/>
      <w:szCs w:val="24"/>
    </w:rPr>
  </w:style>
  <w:style w:type="paragraph" w:customStyle="1" w:styleId="148">
    <w:name w:val="修订5"/>
    <w:hidden/>
    <w:semiHidden/>
    <w:qFormat/>
    <w:uiPriority w:val="99"/>
    <w:rPr>
      <w:rFonts w:ascii="Calibri" w:hAnsi="Calibri" w:eastAsia="宋体" w:cs="Times New Roman"/>
      <w:kern w:val="2"/>
      <w:sz w:val="21"/>
      <w:szCs w:val="22"/>
      <w:lang w:val="en-US" w:eastAsia="zh-CN" w:bidi="ar-SA"/>
    </w:rPr>
  </w:style>
  <w:style w:type="paragraph" w:customStyle="1" w:styleId="149">
    <w:name w:val="修订6"/>
    <w:hidden/>
    <w:semiHidden/>
    <w:qFormat/>
    <w:uiPriority w:val="99"/>
    <w:rPr>
      <w:rFonts w:ascii="Calibri" w:hAnsi="Calibri" w:eastAsia="宋体" w:cs="Times New Roman"/>
      <w:kern w:val="2"/>
      <w:sz w:val="21"/>
      <w:szCs w:val="22"/>
      <w:lang w:val="en-US" w:eastAsia="zh-CN" w:bidi="ar-SA"/>
    </w:rPr>
  </w:style>
  <w:style w:type="paragraph" w:customStyle="1" w:styleId="150">
    <w:name w:val="修订7"/>
    <w:hidden/>
    <w:semiHidden/>
    <w:qFormat/>
    <w:uiPriority w:val="99"/>
    <w:rPr>
      <w:rFonts w:ascii="Calibri" w:hAnsi="Calibri" w:eastAsia="宋体" w:cs="Times New Roman"/>
      <w:kern w:val="2"/>
      <w:sz w:val="21"/>
      <w:szCs w:val="22"/>
      <w:lang w:val="en-US" w:eastAsia="zh-CN" w:bidi="ar-SA"/>
    </w:rPr>
  </w:style>
  <w:style w:type="paragraph" w:customStyle="1" w:styleId="151">
    <w:name w:val="Table Text"/>
    <w:basedOn w:val="1"/>
    <w:semiHidden/>
    <w:qFormat/>
    <w:uiPriority w:val="0"/>
    <w:rPr>
      <w:rFonts w:ascii="宋体" w:hAnsi="宋体" w:cs="宋体"/>
      <w:color w:val="000000"/>
      <w:kern w:val="0"/>
      <w:sz w:val="22"/>
    </w:rPr>
  </w:style>
  <w:style w:type="paragraph" w:customStyle="1" w:styleId="152">
    <w:name w:val="正文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3">
    <w:name w:val="正文 New New New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23769A-6A99-4F43-BFD1-269F8D9504DD}">
  <ds:schemaRefs/>
</ds:datastoreItem>
</file>

<file path=docProps/app.xml><?xml version="1.0" encoding="utf-8"?>
<Properties xmlns="http://schemas.openxmlformats.org/officeDocument/2006/extended-properties" xmlns:vt="http://schemas.openxmlformats.org/officeDocument/2006/docPropsVTypes">
  <Template>Normal</Template>
  <Pages>110</Pages>
  <Words>8970</Words>
  <Characters>9405</Characters>
  <Lines>425</Lines>
  <Paragraphs>119</Paragraphs>
  <TotalTime>0</TotalTime>
  <ScaleCrop>false</ScaleCrop>
  <LinksUpToDate>false</LinksUpToDate>
  <CharactersWithSpaces>9795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2024-09-24T08:21:00Z</dcterms:created>
  <dc:creator>NTKO</dc:creator>
  <cp:lastModifiedBy>dyf</cp:lastModifiedBy>
  <cp:lastPrinted>2025-12-25T06:25:00Z</cp:lastPrinted>
  <dcterms:modified xsi:type="dcterms:W3CDTF">2025-12-26T09:28:20Z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A86DA6C2B33745CBBDBCD780DB892628_13</vt:lpwstr>
  </property>
  <property fmtid="{D5CDD505-2E9C-101B-9397-08002B2CF9AE}" pid="4" name="KSOTemplateDocerSaveRecord">
    <vt:lpwstr>eyJoZGlkIjoiZTE5MDgwYWE0ZmQ0ZGM4NWU3M2Y5YjU0MzRiZDc3MTYiLCJ1c2VySWQiOiI2MDgzNzE3ODkifQ==</vt:lpwstr>
  </property>
</Properties>
</file>